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3E1C2769" w14:textId="77777777" w:rsidTr="00AD3606">
        <w:trPr>
          <w:cantSplit/>
          <w:trHeight w:val="23"/>
        </w:trPr>
        <w:tc>
          <w:tcPr>
            <w:tcW w:w="3969" w:type="dxa"/>
            <w:vMerge w:val="restart"/>
            <w:tcMar>
              <w:left w:w="0" w:type="dxa"/>
            </w:tcMar>
          </w:tcPr>
          <w:p w14:paraId="7147B863" w14:textId="08803ED4" w:rsidR="00AD3606" w:rsidRPr="00C0458D" w:rsidRDefault="00F912F4"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roofErr w:type="spellStart"/>
            <w:r w:rsidRPr="00F912F4">
              <w:rPr>
                <w:rFonts w:hint="eastAsia"/>
                <w:b/>
              </w:rPr>
              <w:t>议项</w:t>
            </w:r>
            <w:proofErr w:type="spellEnd"/>
            <w:r w:rsidRPr="00F912F4">
              <w:rPr>
                <w:rFonts w:hint="eastAsia"/>
                <w:b/>
              </w:rPr>
              <w:t>：</w:t>
            </w:r>
            <w:r w:rsidR="003D17D6">
              <w:rPr>
                <w:b/>
              </w:rPr>
              <w:t>ADM 2</w:t>
            </w:r>
          </w:p>
        </w:tc>
        <w:tc>
          <w:tcPr>
            <w:tcW w:w="5245" w:type="dxa"/>
          </w:tcPr>
          <w:p w14:paraId="6779937E" w14:textId="69A4BC79" w:rsidR="00AD3606" w:rsidRPr="00C0458D" w:rsidRDefault="00F912F4" w:rsidP="00472BAD">
            <w:pPr>
              <w:tabs>
                <w:tab w:val="left" w:pos="851"/>
              </w:tabs>
              <w:spacing w:before="0" w:line="240" w:lineRule="atLeast"/>
              <w:jc w:val="right"/>
              <w:rPr>
                <w:b/>
              </w:rPr>
            </w:pPr>
            <w:r>
              <w:rPr>
                <w:rFonts w:hint="eastAsia"/>
                <w:b/>
                <w:lang w:eastAsia="zh-CN"/>
              </w:rPr>
              <w:t>文件</w:t>
            </w:r>
            <w:r w:rsidR="00AD3606" w:rsidRPr="00C0458D">
              <w:rPr>
                <w:b/>
              </w:rPr>
              <w:t>C2</w:t>
            </w:r>
            <w:r w:rsidR="00BF1FDE" w:rsidRPr="00C0458D">
              <w:rPr>
                <w:b/>
              </w:rPr>
              <w:t>5</w:t>
            </w:r>
            <w:r w:rsidR="00AD3606" w:rsidRPr="00C0458D">
              <w:rPr>
                <w:b/>
              </w:rPr>
              <w:t>/</w:t>
            </w:r>
            <w:r w:rsidR="003D17D6">
              <w:rPr>
                <w:b/>
              </w:rPr>
              <w:t>41</w:t>
            </w:r>
            <w:r w:rsidR="00AD3606" w:rsidRPr="00C0458D">
              <w:rPr>
                <w:b/>
              </w:rPr>
              <w:t>-</w:t>
            </w:r>
            <w:r>
              <w:rPr>
                <w:rFonts w:hint="eastAsia"/>
                <w:b/>
                <w:lang w:eastAsia="zh-CN"/>
              </w:rPr>
              <w:t>C</w:t>
            </w:r>
          </w:p>
        </w:tc>
      </w:tr>
      <w:tr w:rsidR="00AD3606" w:rsidRPr="00C0458D" w14:paraId="3E3F9DA5" w14:textId="77777777" w:rsidTr="00AD3606">
        <w:trPr>
          <w:cantSplit/>
        </w:trPr>
        <w:tc>
          <w:tcPr>
            <w:tcW w:w="3969" w:type="dxa"/>
            <w:vMerge/>
          </w:tcPr>
          <w:p w14:paraId="5920AA6E"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4B86FFDA" w:rsidR="00AD3606" w:rsidRPr="00C0458D" w:rsidRDefault="003D17D6" w:rsidP="00AD3606">
            <w:pPr>
              <w:tabs>
                <w:tab w:val="left" w:pos="851"/>
              </w:tabs>
              <w:spacing w:before="0"/>
              <w:jc w:val="right"/>
              <w:rPr>
                <w:b/>
                <w:lang w:eastAsia="zh-CN"/>
              </w:rPr>
            </w:pPr>
            <w:r>
              <w:rPr>
                <w:b/>
              </w:rPr>
              <w:t>2025</w:t>
            </w:r>
            <w:r w:rsidR="00F912F4">
              <w:rPr>
                <w:rFonts w:hint="eastAsia"/>
                <w:b/>
                <w:lang w:eastAsia="zh-CN"/>
              </w:rPr>
              <w:t>年</w:t>
            </w:r>
            <w:r w:rsidR="00F912F4">
              <w:rPr>
                <w:rFonts w:hint="eastAsia"/>
                <w:b/>
                <w:lang w:eastAsia="zh-CN"/>
              </w:rPr>
              <w:t>6</w:t>
            </w:r>
            <w:r w:rsidR="00F912F4">
              <w:rPr>
                <w:rFonts w:hint="eastAsia"/>
                <w:b/>
                <w:lang w:eastAsia="zh-CN"/>
              </w:rPr>
              <w:t>月</w:t>
            </w:r>
            <w:r w:rsidR="00F912F4">
              <w:rPr>
                <w:rFonts w:hint="eastAsia"/>
                <w:b/>
                <w:lang w:eastAsia="zh-CN"/>
              </w:rPr>
              <w:t>2</w:t>
            </w:r>
            <w:r w:rsidR="00F912F4">
              <w:rPr>
                <w:rFonts w:hint="eastAsia"/>
                <w:b/>
                <w:lang w:eastAsia="zh-CN"/>
              </w:rPr>
              <w:t>日</w:t>
            </w:r>
          </w:p>
        </w:tc>
      </w:tr>
      <w:tr w:rsidR="00AD3606" w:rsidRPr="00C0458D" w14:paraId="75730376" w14:textId="77777777" w:rsidTr="00AD3606">
        <w:trPr>
          <w:cantSplit/>
          <w:trHeight w:val="23"/>
        </w:trPr>
        <w:tc>
          <w:tcPr>
            <w:tcW w:w="3969" w:type="dxa"/>
            <w:vMerge/>
          </w:tcPr>
          <w:p w14:paraId="298F937E"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041A065E" w14:textId="29ACC441" w:rsidR="00AD3606" w:rsidRPr="00C0458D" w:rsidRDefault="00F912F4" w:rsidP="00AD3606">
            <w:pPr>
              <w:tabs>
                <w:tab w:val="left" w:pos="851"/>
              </w:tabs>
              <w:spacing w:before="0" w:line="240" w:lineRule="atLeast"/>
              <w:jc w:val="right"/>
              <w:rPr>
                <w:b/>
              </w:rPr>
            </w:pPr>
            <w:proofErr w:type="spellStart"/>
            <w:r w:rsidRPr="00F912F4">
              <w:rPr>
                <w:rFonts w:hint="eastAsia"/>
                <w:b/>
              </w:rPr>
              <w:t>原文：英文</w:t>
            </w:r>
            <w:proofErr w:type="spellEnd"/>
          </w:p>
        </w:tc>
      </w:tr>
      <w:tr w:rsidR="00472BAD" w:rsidRPr="00C0458D" w14:paraId="14DA91C4" w14:textId="77777777" w:rsidTr="00AD3606">
        <w:trPr>
          <w:cantSplit/>
          <w:trHeight w:val="23"/>
        </w:trPr>
        <w:tc>
          <w:tcPr>
            <w:tcW w:w="3969" w:type="dxa"/>
          </w:tcPr>
          <w:p w14:paraId="5858B25D" w14:textId="77777777" w:rsidR="00472BAD" w:rsidRPr="00C0458D" w:rsidRDefault="00472BAD" w:rsidP="00AD3606">
            <w:pPr>
              <w:tabs>
                <w:tab w:val="left" w:pos="851"/>
              </w:tabs>
              <w:spacing w:line="240" w:lineRule="atLeast"/>
              <w:rPr>
                <w:b/>
              </w:rPr>
            </w:pPr>
          </w:p>
        </w:tc>
        <w:tc>
          <w:tcPr>
            <w:tcW w:w="5245" w:type="dxa"/>
          </w:tcPr>
          <w:p w14:paraId="5DBF7439" w14:textId="77777777" w:rsidR="00472BAD" w:rsidRPr="00C0458D" w:rsidRDefault="00472BAD" w:rsidP="00AD3606">
            <w:pPr>
              <w:tabs>
                <w:tab w:val="left" w:pos="851"/>
              </w:tabs>
              <w:spacing w:before="0" w:line="240" w:lineRule="atLeast"/>
              <w:jc w:val="right"/>
              <w:rPr>
                <w:b/>
              </w:rPr>
            </w:pPr>
          </w:p>
        </w:tc>
      </w:tr>
      <w:tr w:rsidR="00AD3606" w:rsidRPr="00C0458D" w14:paraId="2481FF59" w14:textId="77777777" w:rsidTr="00AD3606">
        <w:trPr>
          <w:cantSplit/>
        </w:trPr>
        <w:tc>
          <w:tcPr>
            <w:tcW w:w="9214" w:type="dxa"/>
            <w:gridSpan w:val="2"/>
            <w:tcMar>
              <w:left w:w="0" w:type="dxa"/>
            </w:tcMar>
          </w:tcPr>
          <w:p w14:paraId="2016C4A0" w14:textId="5B904448" w:rsidR="00AD3606" w:rsidRPr="00F912F4" w:rsidRDefault="00F912F4" w:rsidP="000F7289">
            <w:pPr>
              <w:pStyle w:val="Source"/>
              <w:framePr w:hSpace="0" w:wrap="auto" w:vAnchor="margin" w:hAnchor="text" w:xAlign="left" w:yAlign="inline"/>
              <w:rPr>
                <w:sz w:val="34"/>
                <w:szCs w:val="34"/>
              </w:rPr>
            </w:pPr>
            <w:bookmarkStart w:id="8" w:name="dsource" w:colFirst="0" w:colLast="0"/>
            <w:bookmarkEnd w:id="7"/>
            <w:proofErr w:type="spellStart"/>
            <w:r w:rsidRPr="00F912F4">
              <w:rPr>
                <w:rFonts w:hint="eastAsia"/>
                <w:sz w:val="34"/>
                <w:szCs w:val="34"/>
              </w:rPr>
              <w:t>秘书长的报告</w:t>
            </w:r>
            <w:proofErr w:type="spellEnd"/>
          </w:p>
        </w:tc>
      </w:tr>
      <w:tr w:rsidR="00AD3606" w:rsidRPr="00C0458D" w14:paraId="3A759762" w14:textId="77777777" w:rsidTr="008A5EDB">
        <w:trPr>
          <w:cantSplit/>
        </w:trPr>
        <w:tc>
          <w:tcPr>
            <w:tcW w:w="9214" w:type="dxa"/>
            <w:gridSpan w:val="2"/>
            <w:tcBorders>
              <w:bottom w:val="single" w:sz="4" w:space="0" w:color="auto"/>
            </w:tcBorders>
            <w:tcMar>
              <w:left w:w="0" w:type="dxa"/>
            </w:tcMar>
          </w:tcPr>
          <w:p w14:paraId="2A2DCF47" w14:textId="3A8C2E9A" w:rsidR="00AD3606" w:rsidRPr="00F912F4" w:rsidRDefault="00F912F4" w:rsidP="000F7289">
            <w:pPr>
              <w:pStyle w:val="Subtitle"/>
              <w:framePr w:hSpace="0" w:wrap="auto" w:xAlign="left" w:yAlign="inline"/>
              <w:rPr>
                <w:sz w:val="34"/>
                <w:szCs w:val="34"/>
                <w:lang w:eastAsia="zh-CN"/>
              </w:rPr>
            </w:pPr>
            <w:bookmarkStart w:id="9" w:name="dtitle1" w:colFirst="0" w:colLast="0"/>
            <w:bookmarkEnd w:id="8"/>
            <w:r w:rsidRPr="00F912F4">
              <w:rPr>
                <w:rFonts w:hint="eastAsia"/>
                <w:caps/>
                <w:sz w:val="34"/>
                <w:szCs w:val="34"/>
                <w:lang w:eastAsia="zh-CN"/>
              </w:rPr>
              <w:t>外部审计员关于经审计的国际电联</w:t>
            </w:r>
            <w:r w:rsidRPr="00F912F4">
              <w:rPr>
                <w:rFonts w:hint="eastAsia"/>
                <w:caps/>
                <w:sz w:val="34"/>
                <w:szCs w:val="34"/>
                <w:lang w:eastAsia="zh-CN"/>
              </w:rPr>
              <w:t>2024</w:t>
            </w:r>
            <w:r w:rsidRPr="00F912F4">
              <w:rPr>
                <w:rFonts w:hint="eastAsia"/>
                <w:caps/>
                <w:sz w:val="34"/>
                <w:szCs w:val="34"/>
                <w:lang w:eastAsia="zh-CN"/>
              </w:rPr>
              <w:t>年财务报表的报告</w:t>
            </w:r>
          </w:p>
        </w:tc>
      </w:tr>
      <w:tr w:rsidR="00AD3606" w:rsidRPr="00AA32B1" w14:paraId="72B25568" w14:textId="77777777" w:rsidTr="008A5EDB">
        <w:trPr>
          <w:cantSplit/>
        </w:trPr>
        <w:tc>
          <w:tcPr>
            <w:tcW w:w="9214" w:type="dxa"/>
            <w:gridSpan w:val="2"/>
            <w:tcBorders>
              <w:top w:val="single" w:sz="4" w:space="0" w:color="auto"/>
              <w:bottom w:val="single" w:sz="4" w:space="0" w:color="auto"/>
            </w:tcBorders>
            <w:tcMar>
              <w:left w:w="0" w:type="dxa"/>
            </w:tcMar>
          </w:tcPr>
          <w:p w14:paraId="6EC835B2" w14:textId="2B74E8E6" w:rsidR="00AE7086" w:rsidRPr="00F16BAB" w:rsidRDefault="00F912F4" w:rsidP="00AE7086">
            <w:pPr>
              <w:spacing w:before="160"/>
              <w:rPr>
                <w:b/>
                <w:bCs/>
                <w:sz w:val="26"/>
                <w:szCs w:val="26"/>
                <w:lang w:eastAsia="zh-CN"/>
              </w:rPr>
            </w:pPr>
            <w:r w:rsidRPr="00F912F4">
              <w:rPr>
                <w:rFonts w:hint="eastAsia"/>
                <w:b/>
                <w:bCs/>
                <w:sz w:val="26"/>
                <w:szCs w:val="26"/>
                <w:lang w:eastAsia="zh-CN"/>
              </w:rPr>
              <w:t>目的</w:t>
            </w:r>
          </w:p>
          <w:p w14:paraId="11C0CEA0" w14:textId="71522828" w:rsidR="00AE7086" w:rsidRPr="00813E5E" w:rsidRDefault="00F912F4" w:rsidP="00F912F4">
            <w:pPr>
              <w:ind w:firstLineChars="200" w:firstLine="480"/>
              <w:rPr>
                <w:lang w:eastAsia="zh-CN"/>
              </w:rPr>
            </w:pPr>
            <w:r w:rsidRPr="00911C85">
              <w:rPr>
                <w:lang w:val="zh-CN" w:eastAsia="zh-CN"/>
              </w:rPr>
              <w:t>本文件介绍了外部审计员关于经审计的国际电联</w:t>
            </w:r>
            <w:r w:rsidRPr="00911C85">
              <w:rPr>
                <w:lang w:val="zh-CN" w:eastAsia="zh-CN"/>
              </w:rPr>
              <w:t>2024</w:t>
            </w:r>
            <w:r w:rsidRPr="00911C85">
              <w:rPr>
                <w:lang w:val="zh-CN" w:eastAsia="zh-CN"/>
              </w:rPr>
              <w:t>年财务报表的报告。</w:t>
            </w:r>
          </w:p>
          <w:p w14:paraId="2CC38567" w14:textId="036EFA4A" w:rsidR="00AE7086" w:rsidRPr="00F16BAB" w:rsidRDefault="00F912F4" w:rsidP="00AE7086">
            <w:pPr>
              <w:spacing w:before="160"/>
              <w:rPr>
                <w:b/>
                <w:bCs/>
                <w:sz w:val="26"/>
                <w:szCs w:val="26"/>
                <w:lang w:eastAsia="zh-CN"/>
              </w:rPr>
            </w:pPr>
            <w:r w:rsidRPr="00F912F4">
              <w:rPr>
                <w:rFonts w:hint="eastAsia"/>
                <w:b/>
                <w:bCs/>
                <w:sz w:val="26"/>
                <w:szCs w:val="26"/>
                <w:lang w:eastAsia="zh-CN"/>
              </w:rPr>
              <w:t>理事会需采取的行动</w:t>
            </w:r>
          </w:p>
          <w:p w14:paraId="0A821E53" w14:textId="7CF0F0B4" w:rsidR="00AD3606" w:rsidRPr="00AE7086" w:rsidRDefault="00F912F4" w:rsidP="00E17413">
            <w:pPr>
              <w:ind w:right="36" w:firstLineChars="200" w:firstLine="480"/>
              <w:rPr>
                <w:sz w:val="22"/>
                <w:szCs w:val="22"/>
                <w:u w:val="single"/>
                <w:lang w:eastAsia="zh-CN"/>
              </w:rPr>
            </w:pPr>
            <w:r w:rsidRPr="00911C85">
              <w:rPr>
                <w:lang w:val="zh-CN" w:eastAsia="zh-CN"/>
              </w:rPr>
              <w:t>请理事会</w:t>
            </w:r>
            <w:r w:rsidRPr="00911C85">
              <w:rPr>
                <w:b/>
                <w:bCs/>
                <w:lang w:val="zh-CN" w:eastAsia="zh-CN"/>
              </w:rPr>
              <w:t>审议</w:t>
            </w:r>
            <w:r w:rsidRPr="00911C85">
              <w:rPr>
                <w:lang w:val="zh-CN" w:eastAsia="zh-CN"/>
              </w:rPr>
              <w:t>国家审计署（</w:t>
            </w:r>
            <w:r w:rsidRPr="00911C85">
              <w:rPr>
                <w:lang w:val="zh-CN" w:eastAsia="zh-CN"/>
              </w:rPr>
              <w:t>NAO</w:t>
            </w:r>
            <w:r w:rsidRPr="00911C85">
              <w:rPr>
                <w:lang w:val="zh-CN" w:eastAsia="zh-CN"/>
              </w:rPr>
              <w:t>）对国际电联</w:t>
            </w:r>
            <w:r w:rsidRPr="00911C85">
              <w:rPr>
                <w:lang w:val="zh-CN" w:eastAsia="zh-CN"/>
              </w:rPr>
              <w:t>2024</w:t>
            </w:r>
            <w:r w:rsidRPr="00911C85">
              <w:rPr>
                <w:lang w:val="zh-CN" w:eastAsia="zh-CN"/>
              </w:rPr>
              <w:t>年财务报表进行审计后出具的外部审计员报告。</w:t>
            </w:r>
          </w:p>
          <w:p w14:paraId="74A2B47C" w14:textId="77777777" w:rsidR="00AE7086" w:rsidRPr="00813E5E" w:rsidRDefault="00AE7086" w:rsidP="00AE7086">
            <w:pPr>
              <w:spacing w:before="160"/>
              <w:rPr>
                <w:caps/>
                <w:sz w:val="22"/>
                <w:lang w:eastAsia="zh-CN"/>
              </w:rPr>
            </w:pPr>
            <w:r w:rsidRPr="00813E5E">
              <w:rPr>
                <w:sz w:val="22"/>
                <w:lang w:eastAsia="zh-CN"/>
              </w:rPr>
              <w:t>____________</w:t>
            </w:r>
            <w:r>
              <w:rPr>
                <w:sz w:val="22"/>
                <w:lang w:eastAsia="zh-CN"/>
              </w:rPr>
              <w:t>______</w:t>
            </w:r>
          </w:p>
          <w:p w14:paraId="20F2EB2A" w14:textId="43B3CD72" w:rsidR="00AE7086" w:rsidRDefault="00F912F4" w:rsidP="00AE7086">
            <w:pPr>
              <w:spacing w:before="160"/>
              <w:rPr>
                <w:b/>
                <w:bCs/>
                <w:sz w:val="26"/>
                <w:szCs w:val="26"/>
                <w:lang w:eastAsia="zh-CN"/>
              </w:rPr>
            </w:pPr>
            <w:r w:rsidRPr="00F912F4">
              <w:rPr>
                <w:rFonts w:hint="eastAsia"/>
                <w:b/>
                <w:bCs/>
                <w:sz w:val="26"/>
                <w:szCs w:val="26"/>
                <w:lang w:eastAsia="zh-CN"/>
              </w:rPr>
              <w:t>参考文件：</w:t>
            </w:r>
          </w:p>
          <w:p w14:paraId="7089D4B7" w14:textId="17A46414" w:rsidR="00AE7086" w:rsidRPr="00F912F4" w:rsidRDefault="00F912F4" w:rsidP="00F912F4">
            <w:pPr>
              <w:rPr>
                <w:rFonts w:asciiTheme="minorHAnsi" w:hAnsiTheme="minorHAnsi" w:cstheme="minorHAnsi"/>
                <w:sz w:val="22"/>
                <w:szCs w:val="22"/>
                <w:u w:val="single"/>
                <w:lang w:eastAsia="zh-CN"/>
              </w:rPr>
            </w:pPr>
            <w:hyperlink r:id="rId11" w:history="1">
              <w:r w:rsidRPr="00F912F4">
                <w:rPr>
                  <w:rStyle w:val="Hyperlink"/>
                  <w:rFonts w:asciiTheme="minorHAnsi" w:eastAsia="STKaiti" w:hAnsiTheme="minorHAnsi" w:cstheme="minorHAnsi"/>
                  <w:lang w:eastAsia="zh-CN"/>
                </w:rPr>
                <w:t>《财务规则》（</w:t>
              </w:r>
              <w:r w:rsidRPr="00F912F4">
                <w:rPr>
                  <w:rStyle w:val="Hyperlink"/>
                  <w:rFonts w:asciiTheme="minorHAnsi" w:eastAsia="STKaiti" w:hAnsiTheme="minorHAnsi" w:cstheme="minorHAnsi"/>
                  <w:lang w:eastAsia="zh-CN"/>
                </w:rPr>
                <w:t>2022</w:t>
              </w:r>
              <w:r w:rsidRPr="00F912F4">
                <w:rPr>
                  <w:rStyle w:val="Hyperlink"/>
                  <w:rFonts w:asciiTheme="minorHAnsi" w:eastAsia="STKaiti" w:hAnsiTheme="minorHAnsi" w:cstheme="minorHAnsi"/>
                  <w:lang w:eastAsia="zh-CN"/>
                </w:rPr>
                <w:t>年版）</w:t>
              </w:r>
            </w:hyperlink>
            <w:r w:rsidRPr="00F912F4">
              <w:rPr>
                <w:rFonts w:asciiTheme="minorHAnsi" w:eastAsia="STKaiti" w:hAnsiTheme="minorHAnsi" w:cstheme="minorHAnsi"/>
                <w:lang w:eastAsia="zh-CN"/>
              </w:rPr>
              <w:t>：第</w:t>
            </w:r>
            <w:r w:rsidRPr="00F912F4">
              <w:rPr>
                <w:rFonts w:asciiTheme="minorHAnsi" w:eastAsia="STKaiti" w:hAnsiTheme="minorHAnsi" w:cstheme="minorHAnsi"/>
                <w:lang w:eastAsia="zh-CN"/>
              </w:rPr>
              <w:t>28</w:t>
            </w:r>
            <w:r w:rsidRPr="00F912F4">
              <w:rPr>
                <w:rFonts w:asciiTheme="minorHAnsi" w:eastAsia="STKaiti" w:hAnsiTheme="minorHAnsi" w:cstheme="minorHAnsi"/>
                <w:lang w:eastAsia="zh-CN"/>
              </w:rPr>
              <w:t>条及附加权限</w:t>
            </w:r>
          </w:p>
        </w:tc>
      </w:tr>
    </w:tbl>
    <w:p w14:paraId="3E836A65" w14:textId="77777777" w:rsidR="00E227F3" w:rsidRDefault="00E227F3" w:rsidP="00AE7086">
      <w:pPr>
        <w:tabs>
          <w:tab w:val="clear" w:pos="567"/>
          <w:tab w:val="clear" w:pos="1134"/>
          <w:tab w:val="clear" w:pos="1701"/>
          <w:tab w:val="clear" w:pos="2268"/>
          <w:tab w:val="clear" w:pos="2835"/>
        </w:tabs>
        <w:overflowPunct/>
        <w:autoSpaceDE/>
        <w:autoSpaceDN/>
        <w:adjustRightInd/>
        <w:spacing w:before="0"/>
        <w:textAlignment w:val="auto"/>
        <w:rPr>
          <w:u w:val="single"/>
          <w:lang w:eastAsia="zh-CN"/>
        </w:rPr>
      </w:pPr>
      <w:bookmarkStart w:id="10" w:name="_Hlk133421428"/>
      <w:bookmarkEnd w:id="2"/>
      <w:bookmarkEnd w:id="9"/>
    </w:p>
    <w:p w14:paraId="28C2CEAC" w14:textId="77777777" w:rsidR="00830106" w:rsidRDefault="00830106">
      <w:pPr>
        <w:tabs>
          <w:tab w:val="clear" w:pos="567"/>
          <w:tab w:val="clear" w:pos="1134"/>
          <w:tab w:val="clear" w:pos="1701"/>
          <w:tab w:val="clear" w:pos="2268"/>
          <w:tab w:val="clear" w:pos="2835"/>
        </w:tabs>
        <w:overflowPunct/>
        <w:autoSpaceDE/>
        <w:autoSpaceDN/>
        <w:adjustRightInd/>
        <w:spacing w:before="0"/>
        <w:textAlignment w:val="auto"/>
        <w:rPr>
          <w:lang w:eastAsia="zh-CN"/>
        </w:rPr>
        <w:sectPr w:rsidR="00830106"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pPr>
    </w:p>
    <w:p w14:paraId="285C930E" w14:textId="2502B4F6" w:rsidR="00220CF9" w:rsidRDefault="00565068" w:rsidP="00565068">
      <w:pPr>
        <w:tabs>
          <w:tab w:val="clear" w:pos="567"/>
          <w:tab w:val="clear" w:pos="1134"/>
          <w:tab w:val="clear" w:pos="1701"/>
          <w:tab w:val="clear" w:pos="2268"/>
          <w:tab w:val="clear" w:pos="2835"/>
        </w:tabs>
        <w:overflowPunct/>
        <w:autoSpaceDE/>
        <w:autoSpaceDN/>
        <w:adjustRightInd/>
        <w:spacing w:before="0"/>
        <w:jc w:val="right"/>
        <w:textAlignment w:val="auto"/>
      </w:pPr>
      <w:r>
        <w:rPr>
          <w:noProof/>
          <w:lang w:eastAsia="en-GB"/>
        </w:rPr>
        <w:lastRenderedPageBreak/>
        <w:drawing>
          <wp:inline distT="0" distB="0" distL="0" distR="0" wp14:anchorId="73E4F690" wp14:editId="325588B5">
            <wp:extent cx="1666875" cy="714375"/>
            <wp:effectExtent l="0" t="0" r="9525" b="9525"/>
            <wp:docPr id="1" name="Picture 1" descr="NAO - Black and 50k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O - Black and 50k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inline>
        </w:drawing>
      </w:r>
    </w:p>
    <w:p w14:paraId="5789A7DD" w14:textId="77777777" w:rsidR="00565068" w:rsidRDefault="00565068" w:rsidP="00565068">
      <w:pPr>
        <w:pStyle w:val="zzDocType"/>
      </w:pPr>
    </w:p>
    <w:p w14:paraId="40D4613B" w14:textId="77777777" w:rsidR="00565068" w:rsidRDefault="00565068" w:rsidP="00565068">
      <w:pPr>
        <w:pStyle w:val="zzDocType"/>
      </w:pPr>
    </w:p>
    <w:p w14:paraId="6796B772" w14:textId="6BD2E72C" w:rsidR="00565068" w:rsidRPr="00F912F4" w:rsidRDefault="00F912F4" w:rsidP="00565068">
      <w:pPr>
        <w:pStyle w:val="zzDocType"/>
        <w:rPr>
          <w:sz w:val="24"/>
          <w:lang w:eastAsia="zh-CN"/>
        </w:rPr>
      </w:pPr>
      <w:r w:rsidRPr="00F912F4">
        <w:rPr>
          <w:rFonts w:hint="eastAsia"/>
          <w:sz w:val="24"/>
          <w:lang w:eastAsia="zh-CN"/>
        </w:rPr>
        <w:t>提交理事会的报告</w:t>
      </w:r>
    </w:p>
    <w:p w14:paraId="1C086C5B" w14:textId="2AE53D5B" w:rsidR="00565068" w:rsidRPr="00F912F4" w:rsidRDefault="00F912F4" w:rsidP="00565068">
      <w:pPr>
        <w:pStyle w:val="zzDocType"/>
        <w:rPr>
          <w:sz w:val="24"/>
          <w:lang w:eastAsia="zh-CN"/>
        </w:rPr>
      </w:pPr>
      <w:r w:rsidRPr="00F912F4">
        <w:rPr>
          <w:rFonts w:hint="eastAsia"/>
          <w:sz w:val="24"/>
          <w:lang w:eastAsia="zh-CN"/>
        </w:rPr>
        <w:t>2025</w:t>
      </w:r>
      <w:r w:rsidRPr="00F912F4">
        <w:rPr>
          <w:rFonts w:hint="eastAsia"/>
          <w:sz w:val="24"/>
          <w:lang w:eastAsia="zh-CN"/>
        </w:rPr>
        <w:t>年</w:t>
      </w:r>
      <w:r w:rsidRPr="00F912F4">
        <w:rPr>
          <w:rFonts w:hint="eastAsia"/>
          <w:sz w:val="24"/>
          <w:lang w:eastAsia="zh-CN"/>
        </w:rPr>
        <w:t>5</w:t>
      </w:r>
      <w:r w:rsidRPr="00F912F4">
        <w:rPr>
          <w:rFonts w:hint="eastAsia"/>
          <w:sz w:val="24"/>
          <w:lang w:eastAsia="zh-CN"/>
        </w:rPr>
        <w:t>月</w:t>
      </w:r>
    </w:p>
    <w:p w14:paraId="0A318DAB" w14:textId="33ED489F" w:rsidR="00565068" w:rsidRPr="00F912F4" w:rsidRDefault="00F912F4" w:rsidP="00565068">
      <w:pPr>
        <w:pStyle w:val="zzDepartmentname"/>
        <w:rPr>
          <w:bCs/>
          <w:sz w:val="32"/>
          <w:szCs w:val="32"/>
          <w:lang w:eastAsia="zh-CN"/>
        </w:rPr>
      </w:pPr>
      <w:r w:rsidRPr="00F912F4">
        <w:rPr>
          <w:rFonts w:hint="eastAsia"/>
          <w:sz w:val="32"/>
          <w:szCs w:val="32"/>
          <w:lang w:eastAsia="zh-CN"/>
        </w:rPr>
        <w:t>国际电信联盟</w:t>
      </w:r>
    </w:p>
    <w:p w14:paraId="2A148BD9" w14:textId="66E60943" w:rsidR="00565068" w:rsidRDefault="00F912F4" w:rsidP="00565068">
      <w:pPr>
        <w:pStyle w:val="zzReporttitle"/>
        <w:rPr>
          <w:lang w:eastAsia="zh-CN"/>
        </w:rPr>
      </w:pPr>
      <w:r w:rsidRPr="00F912F4">
        <w:rPr>
          <w:rFonts w:hint="eastAsia"/>
          <w:lang w:eastAsia="zh-CN"/>
        </w:rPr>
        <w:t>外部审计员关于国际电联</w:t>
      </w:r>
      <w:r w:rsidRPr="00F912F4">
        <w:rPr>
          <w:rFonts w:hint="eastAsia"/>
          <w:lang w:eastAsia="zh-CN"/>
        </w:rPr>
        <w:t>2024</w:t>
      </w:r>
      <w:r w:rsidRPr="00F912F4">
        <w:rPr>
          <w:rFonts w:hint="eastAsia"/>
          <w:lang w:eastAsia="zh-CN"/>
        </w:rPr>
        <w:t>年财务报表的报告</w:t>
      </w:r>
    </w:p>
    <w:p w14:paraId="1D0D2CE3" w14:textId="193C1585" w:rsidR="00565068" w:rsidRDefault="00565068">
      <w:pPr>
        <w:tabs>
          <w:tab w:val="clear" w:pos="567"/>
          <w:tab w:val="clear" w:pos="1134"/>
          <w:tab w:val="clear" w:pos="1701"/>
          <w:tab w:val="clear" w:pos="2268"/>
          <w:tab w:val="clear" w:pos="2835"/>
        </w:tabs>
        <w:overflowPunct/>
        <w:autoSpaceDE/>
        <w:autoSpaceDN/>
        <w:adjustRightInd/>
        <w:spacing w:before="0"/>
        <w:textAlignment w:val="auto"/>
        <w:rPr>
          <w:lang w:eastAsia="zh-CN"/>
        </w:rPr>
      </w:pPr>
      <w:r>
        <w:rPr>
          <w:lang w:eastAsia="zh-CN"/>
        </w:rPr>
        <w:br w:type="page"/>
      </w:r>
    </w:p>
    <w:p w14:paraId="3B762274" w14:textId="77777777" w:rsidR="00F912F4" w:rsidRPr="00911C85" w:rsidRDefault="00F912F4" w:rsidP="00E17413">
      <w:pPr>
        <w:pStyle w:val="zz"/>
        <w:ind w:right="566"/>
        <w:jc w:val="both"/>
        <w:rPr>
          <w:rFonts w:ascii="Times New Roman" w:eastAsia="SimSun" w:hAnsi="Times New Roman" w:cs="Times New Roman"/>
          <w:lang w:eastAsia="zh-CN"/>
        </w:rPr>
      </w:pPr>
      <w:r w:rsidRPr="00911C85">
        <w:rPr>
          <w:rFonts w:ascii="Times New Roman" w:eastAsia="SimSun" w:hAnsi="Times New Roman" w:cs="Times New Roman"/>
          <w:lang w:eastAsia="zh-CN"/>
        </w:rPr>
        <w:lastRenderedPageBreak/>
        <w:t>审计的目的是为成员提供独立鉴证；为国际电联财务管理和治理增加价值；并通过外部审计程序支持实现既定目标。</w:t>
      </w:r>
    </w:p>
    <w:p w14:paraId="3E149408" w14:textId="77777777" w:rsidR="00F912F4" w:rsidRPr="00911C85" w:rsidRDefault="00F912F4" w:rsidP="00F912F4">
      <w:pPr>
        <w:pStyle w:val="zz"/>
        <w:rPr>
          <w:rFonts w:ascii="Times New Roman" w:eastAsia="SimSun" w:hAnsi="Times New Roman" w:cs="Times New Roman"/>
          <w:lang w:eastAsia="zh-CN"/>
        </w:rPr>
      </w:pPr>
    </w:p>
    <w:p w14:paraId="367FD338" w14:textId="77777777" w:rsidR="00F912F4" w:rsidRPr="00911C85" w:rsidRDefault="00F912F4" w:rsidP="00F912F4">
      <w:pPr>
        <w:pStyle w:val="zz"/>
        <w:rPr>
          <w:rFonts w:ascii="Times New Roman" w:eastAsia="SimSun" w:hAnsi="Times New Roman" w:cs="Times New Roman"/>
          <w:lang w:eastAsia="zh-CN"/>
        </w:rPr>
      </w:pPr>
    </w:p>
    <w:p w14:paraId="60D6DCCA" w14:textId="77777777" w:rsidR="00F912F4" w:rsidRPr="00911C85" w:rsidRDefault="00F912F4" w:rsidP="00F912F4">
      <w:pPr>
        <w:pStyle w:val="zz"/>
        <w:rPr>
          <w:rFonts w:ascii="Times New Roman" w:eastAsia="SimSun" w:hAnsi="Times New Roman" w:cs="Times New Roman"/>
          <w:lang w:eastAsia="zh-CN"/>
        </w:rPr>
      </w:pPr>
    </w:p>
    <w:p w14:paraId="3004DE06" w14:textId="77777777" w:rsidR="00F912F4" w:rsidRPr="00911C85" w:rsidRDefault="00F912F4" w:rsidP="00F912F4">
      <w:pPr>
        <w:pStyle w:val="zz"/>
        <w:rPr>
          <w:rFonts w:ascii="Times New Roman" w:eastAsia="SimSun" w:hAnsi="Times New Roman" w:cs="Times New Roman"/>
          <w:lang w:eastAsia="zh-CN"/>
        </w:rPr>
      </w:pPr>
    </w:p>
    <w:p w14:paraId="45C656CF" w14:textId="77777777" w:rsidR="00F912F4" w:rsidRPr="00911C85" w:rsidRDefault="00F912F4" w:rsidP="00F912F4">
      <w:pPr>
        <w:pStyle w:val="zz"/>
        <w:rPr>
          <w:rFonts w:ascii="Times New Roman" w:eastAsia="SimSun" w:hAnsi="Times New Roman" w:cs="Times New Roman"/>
          <w:lang w:eastAsia="zh-CN"/>
        </w:rPr>
      </w:pPr>
    </w:p>
    <w:p w14:paraId="64FD19BD" w14:textId="77777777" w:rsidR="00F912F4" w:rsidRPr="00911C85" w:rsidRDefault="00F912F4" w:rsidP="00F912F4">
      <w:pPr>
        <w:pStyle w:val="zz"/>
        <w:rPr>
          <w:rFonts w:ascii="Times New Roman" w:eastAsia="SimSun" w:hAnsi="Times New Roman" w:cs="Times New Roman"/>
          <w:lang w:eastAsia="zh-CN"/>
        </w:rPr>
      </w:pPr>
    </w:p>
    <w:p w14:paraId="5CD15FFE" w14:textId="77777777" w:rsidR="00F912F4" w:rsidRDefault="00F912F4" w:rsidP="00F912F4">
      <w:pPr>
        <w:pStyle w:val="zz"/>
        <w:rPr>
          <w:rFonts w:ascii="Times New Roman" w:eastAsia="SimSun" w:hAnsi="Times New Roman" w:cs="Times New Roman"/>
          <w:lang w:eastAsia="zh-CN"/>
        </w:rPr>
      </w:pPr>
    </w:p>
    <w:p w14:paraId="4D49830A" w14:textId="77777777" w:rsidR="00E07EB1" w:rsidRDefault="00E07EB1" w:rsidP="00F912F4">
      <w:pPr>
        <w:pStyle w:val="zz"/>
        <w:rPr>
          <w:rFonts w:ascii="Times New Roman" w:eastAsia="SimSun" w:hAnsi="Times New Roman" w:cs="Times New Roman"/>
          <w:lang w:eastAsia="zh-CN"/>
        </w:rPr>
      </w:pPr>
    </w:p>
    <w:p w14:paraId="4552BD17" w14:textId="77777777" w:rsidR="00E07EB1" w:rsidRDefault="00E07EB1" w:rsidP="00F912F4">
      <w:pPr>
        <w:pStyle w:val="zz"/>
        <w:rPr>
          <w:rFonts w:ascii="Times New Roman" w:eastAsia="SimSun" w:hAnsi="Times New Roman" w:cs="Times New Roman"/>
          <w:lang w:eastAsia="zh-CN"/>
        </w:rPr>
      </w:pPr>
    </w:p>
    <w:p w14:paraId="61A4D263" w14:textId="77777777" w:rsidR="00E07EB1" w:rsidRPr="00911C85" w:rsidRDefault="00E07EB1" w:rsidP="00F912F4">
      <w:pPr>
        <w:pStyle w:val="zz"/>
        <w:rPr>
          <w:rFonts w:ascii="Times New Roman" w:eastAsia="SimSun" w:hAnsi="Times New Roman" w:cs="Times New Roman"/>
          <w:lang w:eastAsia="zh-CN"/>
        </w:rPr>
      </w:pPr>
    </w:p>
    <w:p w14:paraId="675C8889" w14:textId="77777777" w:rsidR="00F912F4" w:rsidRPr="00911C85" w:rsidRDefault="00F912F4" w:rsidP="00F912F4">
      <w:pPr>
        <w:pStyle w:val="zz"/>
        <w:rPr>
          <w:rFonts w:ascii="Times New Roman" w:eastAsia="SimSun" w:hAnsi="Times New Roman" w:cs="Times New Roman"/>
          <w:lang w:eastAsia="zh-CN"/>
        </w:rPr>
      </w:pPr>
    </w:p>
    <w:p w14:paraId="63EED3DF" w14:textId="77777777" w:rsidR="00F912F4" w:rsidRPr="00911C85" w:rsidRDefault="00F912F4" w:rsidP="00F912F4">
      <w:pPr>
        <w:pStyle w:val="zz"/>
        <w:rPr>
          <w:rFonts w:ascii="Times New Roman" w:eastAsia="SimSun" w:hAnsi="Times New Roman" w:cs="Times New Roman"/>
          <w:lang w:eastAsia="zh-CN"/>
        </w:rPr>
      </w:pPr>
    </w:p>
    <w:p w14:paraId="5C4305A0" w14:textId="77777777" w:rsidR="00F912F4" w:rsidRPr="00E07EB1" w:rsidRDefault="00F912F4" w:rsidP="00E17413">
      <w:pPr>
        <w:pBdr>
          <w:top w:val="single" w:sz="4" w:space="1" w:color="auto"/>
        </w:pBdr>
        <w:spacing w:line="340" w:lineRule="exact"/>
        <w:ind w:right="168"/>
        <w:rPr>
          <w:rFonts w:asciiTheme="minorHAnsi" w:eastAsia="SimSun" w:hAnsiTheme="minorHAnsi" w:cstheme="minorHAnsi"/>
          <w:lang w:eastAsia="zh-CN"/>
        </w:rPr>
      </w:pPr>
      <w:r w:rsidRPr="00E07EB1">
        <w:rPr>
          <w:rFonts w:asciiTheme="minorHAnsi" w:eastAsia="SimSun" w:hAnsiTheme="minorHAnsi" w:cstheme="minorHAnsi"/>
          <w:lang w:val="zh-CN" w:eastAsia="zh-CN"/>
        </w:rPr>
        <w:t>审计主任兼审计长是联合王国最高审计机构</w:t>
      </w:r>
      <w:r w:rsidRPr="00E07EB1">
        <w:rPr>
          <w:rFonts w:asciiTheme="minorHAnsi" w:eastAsia="SimSun" w:hAnsiTheme="minorHAnsi" w:cstheme="minorHAnsi"/>
          <w:lang w:val="zh-CN" w:eastAsia="zh-CN"/>
        </w:rPr>
        <w:t xml:space="preserve"> - </w:t>
      </w:r>
      <w:r w:rsidRPr="00E07EB1">
        <w:rPr>
          <w:rFonts w:asciiTheme="minorHAnsi" w:eastAsia="SimSun" w:hAnsiTheme="minorHAnsi" w:cstheme="minorHAnsi"/>
          <w:lang w:val="zh-CN" w:eastAsia="zh-CN"/>
        </w:rPr>
        <w:t>国家审计署（</w:t>
      </w:r>
      <w:r w:rsidRPr="00E07EB1">
        <w:rPr>
          <w:rFonts w:asciiTheme="minorHAnsi" w:eastAsia="SimSun" w:hAnsiTheme="minorHAnsi" w:cstheme="minorHAnsi"/>
          <w:lang w:val="zh-CN" w:eastAsia="zh-CN"/>
        </w:rPr>
        <w:t>NAO</w:t>
      </w:r>
      <w:r w:rsidRPr="00E07EB1">
        <w:rPr>
          <w:rFonts w:asciiTheme="minorHAnsi" w:eastAsia="SimSun" w:hAnsiTheme="minorHAnsi" w:cstheme="minorHAnsi"/>
          <w:lang w:val="zh-CN" w:eastAsia="zh-CN"/>
        </w:rPr>
        <w:t>）的负责人。审计主任兼审计长和国家审计署独立于联合王国政府，确保公共资金的使用适当且有效，并对联合王国议会负责。国家审计署为一些国际组织提供外部审计服务，独立于其作为联合王国最高审计机构的作用。</w:t>
      </w:r>
    </w:p>
    <w:p w14:paraId="123BAF62" w14:textId="77777777" w:rsidR="00F912F4" w:rsidRPr="00911C85" w:rsidRDefault="00F912F4" w:rsidP="00F912F4">
      <w:pPr>
        <w:tabs>
          <w:tab w:val="clear" w:pos="567"/>
          <w:tab w:val="clear" w:pos="1134"/>
          <w:tab w:val="clear" w:pos="1701"/>
          <w:tab w:val="clear" w:pos="2268"/>
          <w:tab w:val="clear" w:pos="2835"/>
        </w:tabs>
        <w:overflowPunct/>
        <w:autoSpaceDE/>
        <w:autoSpaceDN/>
        <w:adjustRightInd/>
        <w:spacing w:before="0"/>
        <w:textAlignment w:val="auto"/>
        <w:rPr>
          <w:rFonts w:ascii="Times New Roman" w:eastAsia="SimSun" w:hAnsi="Times New Roman"/>
          <w:lang w:eastAsia="zh-CN"/>
        </w:rPr>
      </w:pPr>
      <w:r w:rsidRPr="00911C85">
        <w:rPr>
          <w:rFonts w:ascii="Times New Roman" w:eastAsia="SimSun" w:hAnsi="Times New Roman"/>
          <w:lang w:eastAsia="zh-CN"/>
        </w:rPr>
        <w:br w:type="page"/>
      </w:r>
    </w:p>
    <w:p w14:paraId="76F7EC9B" w14:textId="459F55FB" w:rsidR="00F912F4" w:rsidRDefault="00F912F4" w:rsidP="00DA3420">
      <w:pPr>
        <w:pStyle w:val="zzContentsHeader"/>
        <w:spacing w:after="600"/>
        <w:jc w:val="center"/>
        <w:rPr>
          <w:rFonts w:ascii="Times New Roman" w:eastAsia="SimSun" w:hAnsi="Times New Roman" w:cs="Times New Roman"/>
          <w:lang w:val="zh-CN" w:eastAsia="zh-CN"/>
        </w:rPr>
      </w:pPr>
      <w:r w:rsidRPr="00911C85">
        <w:rPr>
          <w:rFonts w:ascii="Times New Roman" w:eastAsia="SimSun" w:hAnsi="Times New Roman" w:cs="Times New Roman"/>
          <w:lang w:val="zh-CN" w:eastAsia="zh-CN"/>
        </w:rPr>
        <w:lastRenderedPageBreak/>
        <w:t>目录</w:t>
      </w:r>
    </w:p>
    <w:p w14:paraId="51CB117A" w14:textId="4F33ABF5" w:rsidR="00DA3420" w:rsidRPr="00DA3420" w:rsidRDefault="00DA3420" w:rsidP="00DA3420">
      <w:pPr>
        <w:pStyle w:val="zzContentsHeader"/>
        <w:spacing w:after="120" w:line="240" w:lineRule="auto"/>
        <w:jc w:val="right"/>
        <w:rPr>
          <w:rFonts w:ascii="Times New Roman" w:eastAsia="SimSun" w:hAnsi="Times New Roman" w:cs="Times New Roman"/>
          <w:sz w:val="28"/>
          <w:szCs w:val="28"/>
          <w:lang w:eastAsia="zh-CN"/>
        </w:rPr>
      </w:pPr>
      <w:r w:rsidRPr="00DA3420">
        <w:rPr>
          <w:rFonts w:ascii="Times New Roman" w:eastAsia="SimSun" w:hAnsi="Times New Roman" w:cs="Times New Roman" w:hint="eastAsia"/>
          <w:sz w:val="28"/>
          <w:szCs w:val="28"/>
          <w:lang w:val="zh-CN" w:eastAsia="zh-CN"/>
        </w:rPr>
        <w:t>页码</w:t>
      </w:r>
    </w:p>
    <w:p w14:paraId="343553EE" w14:textId="4D362EA4" w:rsidR="00DA3420" w:rsidRPr="00DA3420" w:rsidRDefault="00F912F4">
      <w:pPr>
        <w:pStyle w:val="TOC1"/>
        <w:rPr>
          <w:rFonts w:asciiTheme="minorHAnsi" w:hAnsiTheme="minorHAnsi" w:cstheme="minorBidi"/>
          <w:b/>
          <w:bCs/>
          <w:noProof/>
          <w:kern w:val="2"/>
          <w:sz w:val="26"/>
          <w:szCs w:val="26"/>
          <w:lang w:eastAsia="zh-CN"/>
          <w14:ligatures w14:val="standardContextual"/>
        </w:rPr>
      </w:pPr>
      <w:r w:rsidRPr="00DA3420">
        <w:rPr>
          <w:rFonts w:ascii="Times New Roman" w:eastAsia="SimSun" w:hAnsi="Times New Roman"/>
          <w:b/>
          <w:bCs/>
          <w:sz w:val="26"/>
          <w:szCs w:val="26"/>
        </w:rPr>
        <w:fldChar w:fldCharType="begin"/>
      </w:r>
      <w:r w:rsidRPr="00DA3420">
        <w:rPr>
          <w:rFonts w:ascii="Times New Roman" w:eastAsia="SimSun" w:hAnsi="Times New Roman"/>
          <w:sz w:val="26"/>
          <w:szCs w:val="26"/>
          <w:lang w:eastAsia="zh-CN"/>
        </w:rPr>
        <w:instrText xml:space="preserve"> TOC \o "1-2" \u </w:instrText>
      </w:r>
      <w:r w:rsidRPr="00DA3420">
        <w:rPr>
          <w:rFonts w:ascii="Times New Roman" w:eastAsia="SimSun" w:hAnsi="Times New Roman"/>
          <w:b/>
          <w:bCs/>
          <w:sz w:val="26"/>
          <w:szCs w:val="26"/>
        </w:rPr>
        <w:fldChar w:fldCharType="separate"/>
      </w:r>
      <w:r w:rsidR="00DA3420" w:rsidRPr="00DA3420">
        <w:rPr>
          <w:rFonts w:ascii="Times New Roman" w:eastAsia="SimSun" w:hAnsi="Times New Roman" w:hint="eastAsia"/>
          <w:b/>
          <w:bCs/>
          <w:noProof/>
          <w:sz w:val="26"/>
          <w:szCs w:val="26"/>
          <w:lang w:eastAsia="zh-CN"/>
        </w:rPr>
        <w:t>摘要</w:t>
      </w:r>
      <w:r w:rsidR="00DA3420" w:rsidRPr="00DA3420">
        <w:rPr>
          <w:b/>
          <w:bCs/>
          <w:noProof/>
          <w:sz w:val="26"/>
          <w:szCs w:val="26"/>
          <w:lang w:eastAsia="zh-CN"/>
        </w:rPr>
        <w:tab/>
      </w:r>
      <w:r w:rsidR="00DA3420" w:rsidRPr="00DA3420">
        <w:rPr>
          <w:b/>
          <w:bCs/>
          <w:noProof/>
          <w:sz w:val="26"/>
          <w:szCs w:val="26"/>
          <w:lang w:eastAsia="zh-CN"/>
        </w:rPr>
        <w:tab/>
      </w:r>
      <w:r w:rsidR="00DA3420" w:rsidRPr="00DA3420">
        <w:rPr>
          <w:b/>
          <w:bCs/>
          <w:noProof/>
          <w:sz w:val="26"/>
          <w:szCs w:val="26"/>
          <w:lang w:eastAsia="zh-CN"/>
        </w:rPr>
        <w:tab/>
      </w:r>
      <w:r w:rsidR="00DA3420" w:rsidRPr="00DA3420">
        <w:rPr>
          <w:b/>
          <w:bCs/>
          <w:noProof/>
          <w:sz w:val="26"/>
          <w:szCs w:val="26"/>
        </w:rPr>
        <w:fldChar w:fldCharType="begin"/>
      </w:r>
      <w:r w:rsidR="00DA3420" w:rsidRPr="00DA3420">
        <w:rPr>
          <w:b/>
          <w:bCs/>
          <w:noProof/>
          <w:sz w:val="26"/>
          <w:szCs w:val="26"/>
          <w:lang w:eastAsia="zh-CN"/>
        </w:rPr>
        <w:instrText xml:space="preserve"> PAGEREF _Toc200718048 \h </w:instrText>
      </w:r>
      <w:r w:rsidR="00DA3420" w:rsidRPr="00DA3420">
        <w:rPr>
          <w:b/>
          <w:bCs/>
          <w:noProof/>
          <w:sz w:val="26"/>
          <w:szCs w:val="26"/>
        </w:rPr>
      </w:r>
      <w:r w:rsidR="00DA3420" w:rsidRPr="00DA3420">
        <w:rPr>
          <w:b/>
          <w:bCs/>
          <w:noProof/>
          <w:sz w:val="26"/>
          <w:szCs w:val="26"/>
        </w:rPr>
        <w:fldChar w:fldCharType="separate"/>
      </w:r>
      <w:r w:rsidR="00C27D1F">
        <w:rPr>
          <w:b/>
          <w:bCs/>
          <w:noProof/>
          <w:sz w:val="26"/>
          <w:szCs w:val="26"/>
          <w:lang w:eastAsia="zh-CN"/>
        </w:rPr>
        <w:t>5</w:t>
      </w:r>
      <w:r w:rsidR="00DA3420" w:rsidRPr="00DA3420">
        <w:rPr>
          <w:b/>
          <w:bCs/>
          <w:noProof/>
          <w:sz w:val="26"/>
          <w:szCs w:val="26"/>
        </w:rPr>
        <w:fldChar w:fldCharType="end"/>
      </w:r>
    </w:p>
    <w:p w14:paraId="7CE1B14A" w14:textId="76583D91" w:rsidR="00DA3420" w:rsidRPr="00DA3420" w:rsidRDefault="00DA3420" w:rsidP="00DA3420">
      <w:pPr>
        <w:pStyle w:val="TOC2"/>
        <w:tabs>
          <w:tab w:val="clear" w:pos="9639"/>
          <w:tab w:val="right" w:pos="9071"/>
        </w:tabs>
        <w:rPr>
          <w:rFonts w:asciiTheme="minorHAnsi" w:hAnsiTheme="minorHAnsi" w:cstheme="minorBidi"/>
          <w:noProof/>
          <w:kern w:val="2"/>
          <w:sz w:val="26"/>
          <w:szCs w:val="26"/>
          <w:lang w:eastAsia="zh-CN"/>
          <w14:ligatures w14:val="standardContextual"/>
        </w:rPr>
      </w:pPr>
      <w:r w:rsidRPr="00DA3420">
        <w:rPr>
          <w:rFonts w:ascii="Times New Roman" w:eastAsia="SimSun" w:hAnsi="Times New Roman" w:hint="eastAsia"/>
          <w:bCs/>
          <w:noProof/>
          <w:sz w:val="26"/>
          <w:szCs w:val="26"/>
          <w:lang w:eastAsia="zh-CN"/>
        </w:rPr>
        <w:t>背景</w:t>
      </w:r>
      <w:r w:rsidRPr="00DA3420">
        <w:rPr>
          <w:noProof/>
          <w:sz w:val="26"/>
          <w:szCs w:val="26"/>
          <w:lang w:eastAsia="zh-CN"/>
        </w:rPr>
        <w:tab/>
      </w:r>
      <w:r>
        <w:rPr>
          <w:noProof/>
          <w:sz w:val="26"/>
          <w:szCs w:val="26"/>
          <w:lang w:eastAsia="zh-CN"/>
        </w:rPr>
        <w:tab/>
      </w:r>
      <w:r>
        <w:rPr>
          <w:noProof/>
          <w:sz w:val="26"/>
          <w:szCs w:val="26"/>
          <w:lang w:eastAsia="zh-CN"/>
        </w:rPr>
        <w:tab/>
      </w:r>
      <w:r w:rsidRPr="00DA3420">
        <w:rPr>
          <w:noProof/>
          <w:sz w:val="26"/>
          <w:szCs w:val="26"/>
        </w:rPr>
        <w:fldChar w:fldCharType="begin"/>
      </w:r>
      <w:r w:rsidRPr="00DA3420">
        <w:rPr>
          <w:noProof/>
          <w:sz w:val="26"/>
          <w:szCs w:val="26"/>
          <w:lang w:eastAsia="zh-CN"/>
        </w:rPr>
        <w:instrText xml:space="preserve"> PAGEREF _Toc200718049 \h </w:instrText>
      </w:r>
      <w:r w:rsidRPr="00DA3420">
        <w:rPr>
          <w:noProof/>
          <w:sz w:val="26"/>
          <w:szCs w:val="26"/>
        </w:rPr>
      </w:r>
      <w:r w:rsidRPr="00DA3420">
        <w:rPr>
          <w:noProof/>
          <w:sz w:val="26"/>
          <w:szCs w:val="26"/>
        </w:rPr>
        <w:fldChar w:fldCharType="separate"/>
      </w:r>
      <w:r w:rsidR="00C27D1F">
        <w:rPr>
          <w:noProof/>
          <w:sz w:val="26"/>
          <w:szCs w:val="26"/>
          <w:lang w:eastAsia="zh-CN"/>
        </w:rPr>
        <w:t>5</w:t>
      </w:r>
      <w:r w:rsidRPr="00DA3420">
        <w:rPr>
          <w:noProof/>
          <w:sz w:val="26"/>
          <w:szCs w:val="26"/>
        </w:rPr>
        <w:fldChar w:fldCharType="end"/>
      </w:r>
    </w:p>
    <w:p w14:paraId="795B704C" w14:textId="319961D5" w:rsidR="00DA3420" w:rsidRPr="00DA3420" w:rsidRDefault="00DA3420">
      <w:pPr>
        <w:pStyle w:val="TOC2"/>
        <w:rPr>
          <w:rFonts w:asciiTheme="minorHAnsi" w:hAnsiTheme="minorHAnsi" w:cstheme="minorBidi"/>
          <w:noProof/>
          <w:kern w:val="2"/>
          <w:sz w:val="26"/>
          <w:szCs w:val="26"/>
          <w:lang w:eastAsia="zh-CN"/>
          <w14:ligatures w14:val="standardContextual"/>
        </w:rPr>
      </w:pPr>
      <w:r w:rsidRPr="00DA3420">
        <w:rPr>
          <w:rFonts w:asciiTheme="minorHAnsi" w:eastAsia="SimSun" w:hAnsiTheme="minorHAnsi" w:cstheme="minorHAnsi" w:hint="eastAsia"/>
          <w:bCs/>
          <w:noProof/>
          <w:sz w:val="26"/>
          <w:szCs w:val="26"/>
          <w:lang w:eastAsia="zh-CN"/>
        </w:rPr>
        <w:t>主要审计意见</w:t>
      </w:r>
      <w:r w:rsidRPr="00DA3420">
        <w:rPr>
          <w:noProof/>
          <w:sz w:val="26"/>
          <w:szCs w:val="26"/>
          <w:lang w:eastAsia="zh-CN"/>
        </w:rPr>
        <w:tab/>
      </w:r>
      <w:r>
        <w:rPr>
          <w:noProof/>
          <w:sz w:val="26"/>
          <w:szCs w:val="26"/>
          <w:lang w:eastAsia="zh-CN"/>
        </w:rPr>
        <w:tab/>
      </w:r>
      <w:r w:rsidRPr="00DA3420">
        <w:rPr>
          <w:noProof/>
          <w:sz w:val="26"/>
          <w:szCs w:val="26"/>
        </w:rPr>
        <w:fldChar w:fldCharType="begin"/>
      </w:r>
      <w:r w:rsidRPr="00DA3420">
        <w:rPr>
          <w:noProof/>
          <w:sz w:val="26"/>
          <w:szCs w:val="26"/>
          <w:lang w:eastAsia="zh-CN"/>
        </w:rPr>
        <w:instrText xml:space="preserve"> PAGEREF _Toc200718050 \h </w:instrText>
      </w:r>
      <w:r w:rsidRPr="00DA3420">
        <w:rPr>
          <w:noProof/>
          <w:sz w:val="26"/>
          <w:szCs w:val="26"/>
        </w:rPr>
      </w:r>
      <w:r w:rsidRPr="00DA3420">
        <w:rPr>
          <w:noProof/>
          <w:sz w:val="26"/>
          <w:szCs w:val="26"/>
        </w:rPr>
        <w:fldChar w:fldCharType="separate"/>
      </w:r>
      <w:r w:rsidR="00C27D1F">
        <w:rPr>
          <w:noProof/>
          <w:sz w:val="26"/>
          <w:szCs w:val="26"/>
          <w:lang w:eastAsia="zh-CN"/>
        </w:rPr>
        <w:t>5</w:t>
      </w:r>
      <w:r w:rsidRPr="00DA3420">
        <w:rPr>
          <w:noProof/>
          <w:sz w:val="26"/>
          <w:szCs w:val="26"/>
        </w:rPr>
        <w:fldChar w:fldCharType="end"/>
      </w:r>
    </w:p>
    <w:p w14:paraId="66F7B14E" w14:textId="2D9B04C4" w:rsidR="00DA3420" w:rsidRPr="00DA3420" w:rsidRDefault="00DA3420">
      <w:pPr>
        <w:pStyle w:val="TOC1"/>
        <w:rPr>
          <w:rFonts w:asciiTheme="minorHAnsi" w:hAnsiTheme="minorHAnsi" w:cstheme="minorBidi"/>
          <w:b/>
          <w:bCs/>
          <w:noProof/>
          <w:kern w:val="2"/>
          <w:sz w:val="26"/>
          <w:szCs w:val="26"/>
          <w:lang w:eastAsia="zh-CN"/>
          <w14:ligatures w14:val="standardContextual"/>
        </w:rPr>
      </w:pPr>
      <w:r w:rsidRPr="00DA3420">
        <w:rPr>
          <w:rFonts w:asciiTheme="minorHAnsi" w:eastAsia="SimSun" w:hAnsiTheme="minorHAnsi" w:cstheme="minorHAnsi" w:hint="eastAsia"/>
          <w:b/>
          <w:bCs/>
          <w:noProof/>
          <w:sz w:val="26"/>
          <w:szCs w:val="26"/>
          <w:lang w:eastAsia="zh-CN"/>
        </w:rPr>
        <w:t>第一部分</w:t>
      </w:r>
      <w:r w:rsidRPr="00DA3420">
        <w:rPr>
          <w:b/>
          <w:bCs/>
          <w:noProof/>
          <w:sz w:val="26"/>
          <w:szCs w:val="26"/>
          <w:lang w:eastAsia="zh-CN"/>
        </w:rPr>
        <w:tab/>
      </w:r>
      <w:r w:rsidRPr="00DA3420">
        <w:rPr>
          <w:b/>
          <w:bCs/>
          <w:noProof/>
          <w:sz w:val="26"/>
          <w:szCs w:val="26"/>
          <w:lang w:eastAsia="zh-CN"/>
        </w:rPr>
        <w:tab/>
      </w:r>
      <w:r w:rsidRPr="00DA3420">
        <w:rPr>
          <w:b/>
          <w:bCs/>
          <w:noProof/>
          <w:sz w:val="26"/>
          <w:szCs w:val="26"/>
        </w:rPr>
        <w:fldChar w:fldCharType="begin"/>
      </w:r>
      <w:r w:rsidRPr="00DA3420">
        <w:rPr>
          <w:b/>
          <w:bCs/>
          <w:noProof/>
          <w:sz w:val="26"/>
          <w:szCs w:val="26"/>
          <w:lang w:eastAsia="zh-CN"/>
        </w:rPr>
        <w:instrText xml:space="preserve"> PAGEREF _Toc200718058 \h </w:instrText>
      </w:r>
      <w:r w:rsidRPr="00DA3420">
        <w:rPr>
          <w:b/>
          <w:bCs/>
          <w:noProof/>
          <w:sz w:val="26"/>
          <w:szCs w:val="26"/>
        </w:rPr>
      </w:r>
      <w:r w:rsidRPr="00DA3420">
        <w:rPr>
          <w:b/>
          <w:bCs/>
          <w:noProof/>
          <w:sz w:val="26"/>
          <w:szCs w:val="26"/>
        </w:rPr>
        <w:fldChar w:fldCharType="separate"/>
      </w:r>
      <w:r w:rsidR="00C27D1F">
        <w:rPr>
          <w:b/>
          <w:bCs/>
          <w:noProof/>
          <w:sz w:val="26"/>
          <w:szCs w:val="26"/>
          <w:lang w:eastAsia="zh-CN"/>
        </w:rPr>
        <w:t>8</w:t>
      </w:r>
      <w:r w:rsidRPr="00DA3420">
        <w:rPr>
          <w:b/>
          <w:bCs/>
          <w:noProof/>
          <w:sz w:val="26"/>
          <w:szCs w:val="26"/>
        </w:rPr>
        <w:fldChar w:fldCharType="end"/>
      </w:r>
    </w:p>
    <w:p w14:paraId="4759ED6E" w14:textId="78774855" w:rsidR="00DA3420" w:rsidRPr="00DA3420" w:rsidRDefault="00DA3420">
      <w:pPr>
        <w:pStyle w:val="TOC2"/>
        <w:rPr>
          <w:rFonts w:asciiTheme="minorHAnsi" w:hAnsiTheme="minorHAnsi" w:cstheme="minorBidi"/>
          <w:noProof/>
          <w:kern w:val="2"/>
          <w:sz w:val="26"/>
          <w:szCs w:val="26"/>
          <w:lang w:eastAsia="zh-CN"/>
          <w14:ligatures w14:val="standardContextual"/>
        </w:rPr>
      </w:pPr>
      <w:r w:rsidRPr="00DA3420">
        <w:rPr>
          <w:rFonts w:asciiTheme="minorHAnsi" w:eastAsia="SimSun" w:hAnsiTheme="minorHAnsi" w:cstheme="minorHAnsi" w:hint="eastAsia"/>
          <w:bCs/>
          <w:noProof/>
          <w:sz w:val="26"/>
          <w:szCs w:val="26"/>
          <w:lang w:eastAsia="zh-CN"/>
        </w:rPr>
        <w:t>财务管理</w:t>
      </w:r>
      <w:r w:rsidRPr="00DA3420">
        <w:rPr>
          <w:noProof/>
          <w:sz w:val="26"/>
          <w:szCs w:val="26"/>
          <w:lang w:eastAsia="zh-CN"/>
        </w:rPr>
        <w:tab/>
      </w:r>
      <w:r>
        <w:rPr>
          <w:noProof/>
          <w:sz w:val="26"/>
          <w:szCs w:val="26"/>
          <w:lang w:eastAsia="zh-CN"/>
        </w:rPr>
        <w:tab/>
      </w:r>
      <w:r w:rsidRPr="00DA3420">
        <w:rPr>
          <w:noProof/>
          <w:sz w:val="26"/>
          <w:szCs w:val="26"/>
        </w:rPr>
        <w:fldChar w:fldCharType="begin"/>
      </w:r>
      <w:r w:rsidRPr="00DA3420">
        <w:rPr>
          <w:noProof/>
          <w:sz w:val="26"/>
          <w:szCs w:val="26"/>
          <w:lang w:eastAsia="zh-CN"/>
        </w:rPr>
        <w:instrText xml:space="preserve"> PAGEREF _Toc200718059 \h </w:instrText>
      </w:r>
      <w:r w:rsidRPr="00DA3420">
        <w:rPr>
          <w:noProof/>
          <w:sz w:val="26"/>
          <w:szCs w:val="26"/>
        </w:rPr>
      </w:r>
      <w:r w:rsidRPr="00DA3420">
        <w:rPr>
          <w:noProof/>
          <w:sz w:val="26"/>
          <w:szCs w:val="26"/>
        </w:rPr>
        <w:fldChar w:fldCharType="separate"/>
      </w:r>
      <w:r w:rsidR="00C27D1F">
        <w:rPr>
          <w:noProof/>
          <w:sz w:val="26"/>
          <w:szCs w:val="26"/>
          <w:lang w:eastAsia="zh-CN"/>
        </w:rPr>
        <w:t>8</w:t>
      </w:r>
      <w:r w:rsidRPr="00DA3420">
        <w:rPr>
          <w:noProof/>
          <w:sz w:val="26"/>
          <w:szCs w:val="26"/>
        </w:rPr>
        <w:fldChar w:fldCharType="end"/>
      </w:r>
    </w:p>
    <w:p w14:paraId="0ECB1393" w14:textId="213EDFDC" w:rsidR="00DA3420" w:rsidRPr="00DA3420" w:rsidRDefault="00DA3420">
      <w:pPr>
        <w:pStyle w:val="TOC1"/>
        <w:rPr>
          <w:rFonts w:asciiTheme="minorHAnsi" w:hAnsiTheme="minorHAnsi" w:cstheme="minorBidi"/>
          <w:b/>
          <w:bCs/>
          <w:noProof/>
          <w:kern w:val="2"/>
          <w:sz w:val="26"/>
          <w:szCs w:val="26"/>
          <w:lang w:eastAsia="zh-CN"/>
          <w14:ligatures w14:val="standardContextual"/>
        </w:rPr>
      </w:pPr>
      <w:r w:rsidRPr="00DA3420">
        <w:rPr>
          <w:rFonts w:asciiTheme="minorHAnsi" w:eastAsia="SimSun" w:hAnsiTheme="minorHAnsi" w:cstheme="minorHAnsi" w:hint="eastAsia"/>
          <w:b/>
          <w:bCs/>
          <w:noProof/>
          <w:sz w:val="26"/>
          <w:szCs w:val="26"/>
          <w:lang w:eastAsia="zh-CN"/>
        </w:rPr>
        <w:t>第二部分</w:t>
      </w:r>
      <w:r w:rsidRPr="00DA3420">
        <w:rPr>
          <w:b/>
          <w:bCs/>
          <w:noProof/>
          <w:sz w:val="26"/>
          <w:szCs w:val="26"/>
          <w:lang w:eastAsia="zh-CN"/>
        </w:rPr>
        <w:tab/>
      </w:r>
      <w:r w:rsidRPr="00DA3420">
        <w:rPr>
          <w:b/>
          <w:bCs/>
          <w:noProof/>
          <w:sz w:val="26"/>
          <w:szCs w:val="26"/>
        </w:rPr>
        <w:fldChar w:fldCharType="begin"/>
      </w:r>
      <w:r w:rsidRPr="00DA3420">
        <w:rPr>
          <w:b/>
          <w:bCs/>
          <w:noProof/>
          <w:sz w:val="26"/>
          <w:szCs w:val="26"/>
          <w:lang w:eastAsia="zh-CN"/>
        </w:rPr>
        <w:instrText xml:space="preserve"> PAGEREF _Toc200718067 \h </w:instrText>
      </w:r>
      <w:r w:rsidRPr="00DA3420">
        <w:rPr>
          <w:b/>
          <w:bCs/>
          <w:noProof/>
          <w:sz w:val="26"/>
          <w:szCs w:val="26"/>
        </w:rPr>
      </w:r>
      <w:r w:rsidRPr="00DA3420">
        <w:rPr>
          <w:b/>
          <w:bCs/>
          <w:noProof/>
          <w:sz w:val="26"/>
          <w:szCs w:val="26"/>
        </w:rPr>
        <w:fldChar w:fldCharType="separate"/>
      </w:r>
      <w:r w:rsidR="00C27D1F">
        <w:rPr>
          <w:b/>
          <w:bCs/>
          <w:noProof/>
          <w:sz w:val="26"/>
          <w:szCs w:val="26"/>
          <w:lang w:eastAsia="zh-CN"/>
        </w:rPr>
        <w:t>15</w:t>
      </w:r>
      <w:r w:rsidRPr="00DA3420">
        <w:rPr>
          <w:b/>
          <w:bCs/>
          <w:noProof/>
          <w:sz w:val="26"/>
          <w:szCs w:val="26"/>
        </w:rPr>
        <w:fldChar w:fldCharType="end"/>
      </w:r>
    </w:p>
    <w:p w14:paraId="1FBAA70D" w14:textId="2CA73C18" w:rsidR="00DA3420" w:rsidRPr="00DA3420" w:rsidRDefault="00DA3420">
      <w:pPr>
        <w:pStyle w:val="TOC2"/>
        <w:rPr>
          <w:rFonts w:asciiTheme="minorHAnsi" w:hAnsiTheme="minorHAnsi" w:cstheme="minorBidi"/>
          <w:noProof/>
          <w:kern w:val="2"/>
          <w:sz w:val="26"/>
          <w:szCs w:val="26"/>
          <w:lang w:eastAsia="zh-CN"/>
          <w14:ligatures w14:val="standardContextual"/>
        </w:rPr>
      </w:pPr>
      <w:r w:rsidRPr="00DA3420">
        <w:rPr>
          <w:rFonts w:asciiTheme="minorHAnsi" w:eastAsia="SimSun" w:hAnsiTheme="minorHAnsi" w:cstheme="minorHAnsi" w:hint="eastAsia"/>
          <w:bCs/>
          <w:noProof/>
          <w:sz w:val="26"/>
          <w:szCs w:val="26"/>
          <w:lang w:eastAsia="zh-CN"/>
        </w:rPr>
        <w:t>治理和内部控制</w:t>
      </w:r>
      <w:r w:rsidRPr="00DA3420">
        <w:rPr>
          <w:noProof/>
          <w:sz w:val="26"/>
          <w:szCs w:val="26"/>
          <w:lang w:eastAsia="zh-CN"/>
        </w:rPr>
        <w:tab/>
      </w:r>
      <w:r w:rsidRPr="00DA3420">
        <w:rPr>
          <w:noProof/>
          <w:sz w:val="26"/>
          <w:szCs w:val="26"/>
        </w:rPr>
        <w:fldChar w:fldCharType="begin"/>
      </w:r>
      <w:r w:rsidRPr="00DA3420">
        <w:rPr>
          <w:noProof/>
          <w:sz w:val="26"/>
          <w:szCs w:val="26"/>
          <w:lang w:eastAsia="zh-CN"/>
        </w:rPr>
        <w:instrText xml:space="preserve"> PAGEREF _Toc200718068 \h </w:instrText>
      </w:r>
      <w:r w:rsidRPr="00DA3420">
        <w:rPr>
          <w:noProof/>
          <w:sz w:val="26"/>
          <w:szCs w:val="26"/>
        </w:rPr>
      </w:r>
      <w:r w:rsidRPr="00DA3420">
        <w:rPr>
          <w:noProof/>
          <w:sz w:val="26"/>
          <w:szCs w:val="26"/>
        </w:rPr>
        <w:fldChar w:fldCharType="separate"/>
      </w:r>
      <w:r w:rsidR="00C27D1F">
        <w:rPr>
          <w:noProof/>
          <w:sz w:val="26"/>
          <w:szCs w:val="26"/>
          <w:lang w:eastAsia="zh-CN"/>
        </w:rPr>
        <w:t>15</w:t>
      </w:r>
      <w:r w:rsidRPr="00DA3420">
        <w:rPr>
          <w:noProof/>
          <w:sz w:val="26"/>
          <w:szCs w:val="26"/>
        </w:rPr>
        <w:fldChar w:fldCharType="end"/>
      </w:r>
    </w:p>
    <w:p w14:paraId="78E71237" w14:textId="276BD61F" w:rsidR="00DA3420" w:rsidRPr="00DA3420" w:rsidRDefault="00DA3420">
      <w:pPr>
        <w:pStyle w:val="TOC2"/>
        <w:rPr>
          <w:rFonts w:asciiTheme="minorHAnsi" w:hAnsiTheme="minorHAnsi" w:cstheme="minorBidi"/>
          <w:noProof/>
          <w:kern w:val="2"/>
          <w:sz w:val="26"/>
          <w:szCs w:val="26"/>
          <w:lang w:eastAsia="zh-CN"/>
          <w14:ligatures w14:val="standardContextual"/>
        </w:rPr>
      </w:pPr>
      <w:r w:rsidRPr="00DA3420">
        <w:rPr>
          <w:rFonts w:asciiTheme="minorHAnsi" w:eastAsia="SimSun" w:hAnsiTheme="minorHAnsi" w:cstheme="minorHAnsi" w:hint="eastAsia"/>
          <w:bCs/>
          <w:noProof/>
          <w:sz w:val="26"/>
          <w:szCs w:val="26"/>
          <w:lang w:eastAsia="zh-CN"/>
        </w:rPr>
        <w:t>内部控制说明</w:t>
      </w:r>
      <w:r w:rsidRPr="00DA3420">
        <w:rPr>
          <w:noProof/>
          <w:sz w:val="26"/>
          <w:szCs w:val="26"/>
          <w:lang w:eastAsia="zh-CN"/>
        </w:rPr>
        <w:tab/>
      </w:r>
      <w:r w:rsidRPr="00DA3420">
        <w:rPr>
          <w:noProof/>
          <w:sz w:val="26"/>
          <w:szCs w:val="26"/>
        </w:rPr>
        <w:fldChar w:fldCharType="begin"/>
      </w:r>
      <w:r w:rsidRPr="00DA3420">
        <w:rPr>
          <w:noProof/>
          <w:sz w:val="26"/>
          <w:szCs w:val="26"/>
          <w:lang w:eastAsia="zh-CN"/>
        </w:rPr>
        <w:instrText xml:space="preserve"> PAGEREF _Toc200718076 \h </w:instrText>
      </w:r>
      <w:r w:rsidRPr="00DA3420">
        <w:rPr>
          <w:noProof/>
          <w:sz w:val="26"/>
          <w:szCs w:val="26"/>
        </w:rPr>
      </w:r>
      <w:r w:rsidRPr="00DA3420">
        <w:rPr>
          <w:noProof/>
          <w:sz w:val="26"/>
          <w:szCs w:val="26"/>
        </w:rPr>
        <w:fldChar w:fldCharType="separate"/>
      </w:r>
      <w:r w:rsidR="00C27D1F">
        <w:rPr>
          <w:noProof/>
          <w:sz w:val="26"/>
          <w:szCs w:val="26"/>
          <w:lang w:eastAsia="zh-CN"/>
        </w:rPr>
        <w:t>21</w:t>
      </w:r>
      <w:r w:rsidRPr="00DA3420">
        <w:rPr>
          <w:noProof/>
          <w:sz w:val="26"/>
          <w:szCs w:val="26"/>
        </w:rPr>
        <w:fldChar w:fldCharType="end"/>
      </w:r>
    </w:p>
    <w:p w14:paraId="53B2C123" w14:textId="3FBEB05B" w:rsidR="00DA3420" w:rsidRPr="00DA3420" w:rsidRDefault="00DA3420">
      <w:pPr>
        <w:pStyle w:val="TOC1"/>
        <w:rPr>
          <w:rFonts w:asciiTheme="minorHAnsi" w:hAnsiTheme="minorHAnsi" w:cstheme="minorBidi"/>
          <w:b/>
          <w:bCs/>
          <w:noProof/>
          <w:kern w:val="2"/>
          <w:sz w:val="26"/>
          <w:szCs w:val="26"/>
          <w:lang w:eastAsia="zh-CN"/>
          <w14:ligatures w14:val="standardContextual"/>
        </w:rPr>
      </w:pPr>
      <w:r w:rsidRPr="00DA3420">
        <w:rPr>
          <w:rFonts w:asciiTheme="minorHAnsi" w:eastAsia="SimSun" w:hAnsiTheme="minorHAnsi" w:cstheme="minorHAnsi" w:hint="eastAsia"/>
          <w:b/>
          <w:bCs/>
          <w:noProof/>
          <w:sz w:val="26"/>
          <w:szCs w:val="26"/>
          <w:lang w:eastAsia="zh-CN"/>
        </w:rPr>
        <w:t>第三部分</w:t>
      </w:r>
      <w:r w:rsidRPr="00DA3420">
        <w:rPr>
          <w:b/>
          <w:bCs/>
          <w:noProof/>
          <w:sz w:val="26"/>
          <w:szCs w:val="26"/>
          <w:lang w:eastAsia="zh-CN"/>
        </w:rPr>
        <w:tab/>
      </w:r>
      <w:r w:rsidRPr="00DA3420">
        <w:rPr>
          <w:b/>
          <w:bCs/>
          <w:noProof/>
          <w:sz w:val="26"/>
          <w:szCs w:val="26"/>
        </w:rPr>
        <w:fldChar w:fldCharType="begin"/>
      </w:r>
      <w:r w:rsidRPr="00DA3420">
        <w:rPr>
          <w:b/>
          <w:bCs/>
          <w:noProof/>
          <w:sz w:val="26"/>
          <w:szCs w:val="26"/>
          <w:lang w:eastAsia="zh-CN"/>
        </w:rPr>
        <w:instrText xml:space="preserve"> PAGEREF _Toc200718077 \h </w:instrText>
      </w:r>
      <w:r w:rsidRPr="00DA3420">
        <w:rPr>
          <w:b/>
          <w:bCs/>
          <w:noProof/>
          <w:sz w:val="26"/>
          <w:szCs w:val="26"/>
        </w:rPr>
      </w:r>
      <w:r w:rsidRPr="00DA3420">
        <w:rPr>
          <w:b/>
          <w:bCs/>
          <w:noProof/>
          <w:sz w:val="26"/>
          <w:szCs w:val="26"/>
        </w:rPr>
        <w:fldChar w:fldCharType="separate"/>
      </w:r>
      <w:r w:rsidR="00C27D1F">
        <w:rPr>
          <w:b/>
          <w:bCs/>
          <w:noProof/>
          <w:sz w:val="26"/>
          <w:szCs w:val="26"/>
          <w:lang w:eastAsia="zh-CN"/>
        </w:rPr>
        <w:t>22</w:t>
      </w:r>
      <w:r w:rsidRPr="00DA3420">
        <w:rPr>
          <w:b/>
          <w:bCs/>
          <w:noProof/>
          <w:sz w:val="26"/>
          <w:szCs w:val="26"/>
        </w:rPr>
        <w:fldChar w:fldCharType="end"/>
      </w:r>
    </w:p>
    <w:p w14:paraId="0BA850FB" w14:textId="0734C15A" w:rsidR="00DA3420" w:rsidRPr="00DA3420" w:rsidRDefault="00DA3420">
      <w:pPr>
        <w:pStyle w:val="TOC2"/>
        <w:rPr>
          <w:rFonts w:asciiTheme="minorHAnsi" w:hAnsiTheme="minorHAnsi" w:cstheme="minorBidi"/>
          <w:noProof/>
          <w:kern w:val="2"/>
          <w:sz w:val="26"/>
          <w:szCs w:val="26"/>
          <w:lang w:eastAsia="zh-CN"/>
          <w14:ligatures w14:val="standardContextual"/>
        </w:rPr>
      </w:pPr>
      <w:r w:rsidRPr="00DA3420">
        <w:rPr>
          <w:rFonts w:asciiTheme="minorHAnsi" w:eastAsia="SimSun" w:hAnsiTheme="minorHAnsi" w:cstheme="minorHAnsi" w:hint="eastAsia"/>
          <w:bCs/>
          <w:noProof/>
          <w:sz w:val="26"/>
          <w:szCs w:val="26"/>
          <w:lang w:eastAsia="zh-CN"/>
        </w:rPr>
        <w:t>转型计划</w:t>
      </w:r>
      <w:r w:rsidRPr="00DA3420">
        <w:rPr>
          <w:noProof/>
          <w:sz w:val="26"/>
          <w:szCs w:val="26"/>
          <w:lang w:eastAsia="zh-CN"/>
        </w:rPr>
        <w:tab/>
      </w:r>
      <w:r w:rsidRPr="00DA3420">
        <w:rPr>
          <w:noProof/>
          <w:sz w:val="26"/>
          <w:szCs w:val="26"/>
        </w:rPr>
        <w:fldChar w:fldCharType="begin"/>
      </w:r>
      <w:r w:rsidRPr="00DA3420">
        <w:rPr>
          <w:noProof/>
          <w:sz w:val="26"/>
          <w:szCs w:val="26"/>
          <w:lang w:eastAsia="zh-CN"/>
        </w:rPr>
        <w:instrText xml:space="preserve"> PAGEREF _Toc200718078 \h </w:instrText>
      </w:r>
      <w:r w:rsidRPr="00DA3420">
        <w:rPr>
          <w:noProof/>
          <w:sz w:val="26"/>
          <w:szCs w:val="26"/>
        </w:rPr>
      </w:r>
      <w:r w:rsidRPr="00DA3420">
        <w:rPr>
          <w:noProof/>
          <w:sz w:val="26"/>
          <w:szCs w:val="26"/>
        </w:rPr>
        <w:fldChar w:fldCharType="separate"/>
      </w:r>
      <w:r w:rsidR="00C27D1F">
        <w:rPr>
          <w:noProof/>
          <w:sz w:val="26"/>
          <w:szCs w:val="26"/>
          <w:lang w:eastAsia="zh-CN"/>
        </w:rPr>
        <w:t>22</w:t>
      </w:r>
      <w:r w:rsidRPr="00DA3420">
        <w:rPr>
          <w:noProof/>
          <w:sz w:val="26"/>
          <w:szCs w:val="26"/>
        </w:rPr>
        <w:fldChar w:fldCharType="end"/>
      </w:r>
    </w:p>
    <w:p w14:paraId="53376AEC" w14:textId="6F46722C" w:rsidR="00DA3420" w:rsidRPr="00DA3420" w:rsidRDefault="00DA3420">
      <w:pPr>
        <w:pStyle w:val="TOC2"/>
        <w:rPr>
          <w:rFonts w:asciiTheme="minorHAnsi" w:hAnsiTheme="minorHAnsi" w:cstheme="minorBidi"/>
          <w:noProof/>
          <w:kern w:val="2"/>
          <w:sz w:val="26"/>
          <w:szCs w:val="26"/>
          <w:lang w:eastAsia="zh-CN"/>
          <w14:ligatures w14:val="standardContextual"/>
        </w:rPr>
      </w:pPr>
      <w:r w:rsidRPr="00DA3420">
        <w:rPr>
          <w:rFonts w:asciiTheme="minorHAnsi" w:eastAsia="SimSun" w:hAnsiTheme="minorHAnsi" w:cstheme="minorHAnsi" w:hint="eastAsia"/>
          <w:bCs/>
          <w:noProof/>
          <w:sz w:val="26"/>
          <w:szCs w:val="26"/>
          <w:lang w:eastAsia="zh-CN"/>
        </w:rPr>
        <w:t>新办公楼项目</w:t>
      </w:r>
      <w:r w:rsidRPr="00DA3420">
        <w:rPr>
          <w:noProof/>
          <w:sz w:val="26"/>
          <w:szCs w:val="26"/>
          <w:lang w:eastAsia="zh-CN"/>
        </w:rPr>
        <w:tab/>
      </w:r>
      <w:r w:rsidRPr="00DA3420">
        <w:rPr>
          <w:noProof/>
          <w:sz w:val="26"/>
          <w:szCs w:val="26"/>
        </w:rPr>
        <w:fldChar w:fldCharType="begin"/>
      </w:r>
      <w:r w:rsidRPr="00DA3420">
        <w:rPr>
          <w:noProof/>
          <w:sz w:val="26"/>
          <w:szCs w:val="26"/>
          <w:lang w:eastAsia="zh-CN"/>
        </w:rPr>
        <w:instrText xml:space="preserve"> PAGEREF _Toc200718079 \h </w:instrText>
      </w:r>
      <w:r w:rsidRPr="00DA3420">
        <w:rPr>
          <w:noProof/>
          <w:sz w:val="26"/>
          <w:szCs w:val="26"/>
        </w:rPr>
      </w:r>
      <w:r w:rsidRPr="00DA3420">
        <w:rPr>
          <w:noProof/>
          <w:sz w:val="26"/>
          <w:szCs w:val="26"/>
        </w:rPr>
        <w:fldChar w:fldCharType="separate"/>
      </w:r>
      <w:r w:rsidR="00C27D1F">
        <w:rPr>
          <w:noProof/>
          <w:sz w:val="26"/>
          <w:szCs w:val="26"/>
          <w:lang w:eastAsia="zh-CN"/>
        </w:rPr>
        <w:t>23</w:t>
      </w:r>
      <w:r w:rsidRPr="00DA3420">
        <w:rPr>
          <w:noProof/>
          <w:sz w:val="26"/>
          <w:szCs w:val="26"/>
        </w:rPr>
        <w:fldChar w:fldCharType="end"/>
      </w:r>
    </w:p>
    <w:p w14:paraId="7D71E195" w14:textId="47898534" w:rsidR="00DA3420" w:rsidRPr="00DA3420" w:rsidRDefault="00DA3420">
      <w:pPr>
        <w:pStyle w:val="TOC2"/>
        <w:rPr>
          <w:rFonts w:asciiTheme="minorHAnsi" w:hAnsiTheme="minorHAnsi" w:cstheme="minorBidi"/>
          <w:noProof/>
          <w:kern w:val="2"/>
          <w:sz w:val="26"/>
          <w:szCs w:val="26"/>
          <w:lang w:eastAsia="zh-CN"/>
          <w14:ligatures w14:val="standardContextual"/>
        </w:rPr>
      </w:pPr>
      <w:r w:rsidRPr="00DA3420">
        <w:rPr>
          <w:rFonts w:asciiTheme="minorHAnsi" w:eastAsia="SimSun" w:hAnsiTheme="minorHAnsi" w:cstheme="minorHAnsi" w:hint="eastAsia"/>
          <w:bCs/>
          <w:noProof/>
          <w:sz w:val="26"/>
          <w:szCs w:val="26"/>
          <w:lang w:eastAsia="zh-CN"/>
        </w:rPr>
        <w:t>国际电联的区域代表处</w:t>
      </w:r>
      <w:r w:rsidRPr="00DA3420">
        <w:rPr>
          <w:noProof/>
          <w:sz w:val="26"/>
          <w:szCs w:val="26"/>
          <w:lang w:eastAsia="zh-CN"/>
        </w:rPr>
        <w:tab/>
      </w:r>
      <w:r w:rsidRPr="00DA3420">
        <w:rPr>
          <w:noProof/>
          <w:sz w:val="26"/>
          <w:szCs w:val="26"/>
        </w:rPr>
        <w:fldChar w:fldCharType="begin"/>
      </w:r>
      <w:r w:rsidRPr="00DA3420">
        <w:rPr>
          <w:noProof/>
          <w:sz w:val="26"/>
          <w:szCs w:val="26"/>
          <w:lang w:eastAsia="zh-CN"/>
        </w:rPr>
        <w:instrText xml:space="preserve"> PAGEREF _Toc200718081 \h </w:instrText>
      </w:r>
      <w:r w:rsidRPr="00DA3420">
        <w:rPr>
          <w:noProof/>
          <w:sz w:val="26"/>
          <w:szCs w:val="26"/>
        </w:rPr>
      </w:r>
      <w:r w:rsidRPr="00DA3420">
        <w:rPr>
          <w:noProof/>
          <w:sz w:val="26"/>
          <w:szCs w:val="26"/>
        </w:rPr>
        <w:fldChar w:fldCharType="separate"/>
      </w:r>
      <w:r w:rsidR="00C27D1F">
        <w:rPr>
          <w:noProof/>
          <w:sz w:val="26"/>
          <w:szCs w:val="26"/>
          <w:lang w:eastAsia="zh-CN"/>
        </w:rPr>
        <w:t>25</w:t>
      </w:r>
      <w:r w:rsidRPr="00DA3420">
        <w:rPr>
          <w:noProof/>
          <w:sz w:val="26"/>
          <w:szCs w:val="26"/>
        </w:rPr>
        <w:fldChar w:fldCharType="end"/>
      </w:r>
    </w:p>
    <w:p w14:paraId="14E812AF" w14:textId="6E33A3BA" w:rsidR="00DA3420" w:rsidRPr="00DA3420" w:rsidRDefault="00DA3420">
      <w:pPr>
        <w:pStyle w:val="TOC1"/>
        <w:rPr>
          <w:rFonts w:asciiTheme="minorHAnsi" w:hAnsiTheme="minorHAnsi" w:cstheme="minorBidi"/>
          <w:b/>
          <w:bCs/>
          <w:noProof/>
          <w:kern w:val="2"/>
          <w:sz w:val="26"/>
          <w:szCs w:val="26"/>
          <w:lang w:eastAsia="zh-CN"/>
          <w14:ligatures w14:val="standardContextual"/>
        </w:rPr>
      </w:pPr>
      <w:r w:rsidRPr="00DA3420">
        <w:rPr>
          <w:rFonts w:hint="eastAsia"/>
          <w:b/>
          <w:bCs/>
          <w:noProof/>
          <w:sz w:val="26"/>
          <w:szCs w:val="26"/>
          <w:lang w:eastAsia="zh-CN"/>
        </w:rPr>
        <w:t>第四部分</w:t>
      </w:r>
      <w:r w:rsidRPr="00DA3420">
        <w:rPr>
          <w:b/>
          <w:bCs/>
          <w:noProof/>
          <w:sz w:val="26"/>
          <w:szCs w:val="26"/>
          <w:lang w:eastAsia="zh-CN"/>
        </w:rPr>
        <w:tab/>
      </w:r>
      <w:r w:rsidRPr="00DA3420">
        <w:rPr>
          <w:b/>
          <w:bCs/>
          <w:noProof/>
          <w:sz w:val="26"/>
          <w:szCs w:val="26"/>
        </w:rPr>
        <w:fldChar w:fldCharType="begin"/>
      </w:r>
      <w:r w:rsidRPr="00DA3420">
        <w:rPr>
          <w:b/>
          <w:bCs/>
          <w:noProof/>
          <w:sz w:val="26"/>
          <w:szCs w:val="26"/>
          <w:lang w:eastAsia="zh-CN"/>
        </w:rPr>
        <w:instrText xml:space="preserve"> PAGEREF _Toc200718082 \h </w:instrText>
      </w:r>
      <w:r w:rsidRPr="00DA3420">
        <w:rPr>
          <w:b/>
          <w:bCs/>
          <w:noProof/>
          <w:sz w:val="26"/>
          <w:szCs w:val="26"/>
        </w:rPr>
      </w:r>
      <w:r w:rsidRPr="00DA3420">
        <w:rPr>
          <w:b/>
          <w:bCs/>
          <w:noProof/>
          <w:sz w:val="26"/>
          <w:szCs w:val="26"/>
        </w:rPr>
        <w:fldChar w:fldCharType="separate"/>
      </w:r>
      <w:r w:rsidR="00C27D1F">
        <w:rPr>
          <w:b/>
          <w:bCs/>
          <w:noProof/>
          <w:sz w:val="26"/>
          <w:szCs w:val="26"/>
          <w:lang w:eastAsia="zh-CN"/>
        </w:rPr>
        <w:t>27</w:t>
      </w:r>
      <w:r w:rsidRPr="00DA3420">
        <w:rPr>
          <w:b/>
          <w:bCs/>
          <w:noProof/>
          <w:sz w:val="26"/>
          <w:szCs w:val="26"/>
        </w:rPr>
        <w:fldChar w:fldCharType="end"/>
      </w:r>
    </w:p>
    <w:p w14:paraId="2621794D" w14:textId="488D45D1" w:rsidR="00DA3420" w:rsidRPr="00DA3420" w:rsidRDefault="00DA3420">
      <w:pPr>
        <w:pStyle w:val="TOC2"/>
        <w:rPr>
          <w:rFonts w:asciiTheme="minorHAnsi" w:hAnsiTheme="minorHAnsi" w:cstheme="minorBidi"/>
          <w:noProof/>
          <w:kern w:val="2"/>
          <w:sz w:val="26"/>
          <w:szCs w:val="26"/>
          <w:lang w:eastAsia="zh-CN"/>
          <w14:ligatures w14:val="standardContextual"/>
        </w:rPr>
      </w:pPr>
      <w:r w:rsidRPr="00DA3420">
        <w:rPr>
          <w:rFonts w:hint="eastAsia"/>
          <w:bCs/>
          <w:noProof/>
          <w:sz w:val="26"/>
          <w:szCs w:val="26"/>
          <w:lang w:eastAsia="zh-CN"/>
        </w:rPr>
        <w:t>以往建议</w:t>
      </w:r>
      <w:r w:rsidRPr="00DA3420">
        <w:rPr>
          <w:noProof/>
          <w:sz w:val="26"/>
          <w:szCs w:val="26"/>
          <w:lang w:eastAsia="zh-CN"/>
        </w:rPr>
        <w:tab/>
      </w:r>
      <w:r w:rsidRPr="00DA3420">
        <w:rPr>
          <w:noProof/>
          <w:sz w:val="26"/>
          <w:szCs w:val="26"/>
        </w:rPr>
        <w:fldChar w:fldCharType="begin"/>
      </w:r>
      <w:r w:rsidRPr="00DA3420">
        <w:rPr>
          <w:noProof/>
          <w:sz w:val="26"/>
          <w:szCs w:val="26"/>
          <w:lang w:eastAsia="zh-CN"/>
        </w:rPr>
        <w:instrText xml:space="preserve"> PAGEREF _Toc200718083 \h </w:instrText>
      </w:r>
      <w:r w:rsidRPr="00DA3420">
        <w:rPr>
          <w:noProof/>
          <w:sz w:val="26"/>
          <w:szCs w:val="26"/>
        </w:rPr>
      </w:r>
      <w:r w:rsidRPr="00DA3420">
        <w:rPr>
          <w:noProof/>
          <w:sz w:val="26"/>
          <w:szCs w:val="26"/>
        </w:rPr>
        <w:fldChar w:fldCharType="separate"/>
      </w:r>
      <w:r w:rsidR="00C27D1F">
        <w:rPr>
          <w:noProof/>
          <w:sz w:val="26"/>
          <w:szCs w:val="26"/>
          <w:lang w:eastAsia="zh-CN"/>
        </w:rPr>
        <w:t>27</w:t>
      </w:r>
      <w:r w:rsidRPr="00DA3420">
        <w:rPr>
          <w:noProof/>
          <w:sz w:val="26"/>
          <w:szCs w:val="26"/>
        </w:rPr>
        <w:fldChar w:fldCharType="end"/>
      </w:r>
    </w:p>
    <w:p w14:paraId="6D373B83" w14:textId="4820499B" w:rsidR="00DA3420" w:rsidRPr="00DA3420" w:rsidRDefault="00DA3420">
      <w:pPr>
        <w:pStyle w:val="TOC2"/>
        <w:rPr>
          <w:rFonts w:asciiTheme="minorHAnsi" w:hAnsiTheme="minorHAnsi" w:cstheme="minorBidi"/>
          <w:noProof/>
          <w:kern w:val="2"/>
          <w:sz w:val="26"/>
          <w:szCs w:val="26"/>
          <w:lang w:eastAsia="zh-CN"/>
          <w14:ligatures w14:val="standardContextual"/>
        </w:rPr>
      </w:pPr>
      <w:r w:rsidRPr="00DA3420">
        <w:rPr>
          <w:rFonts w:hint="eastAsia"/>
          <w:bCs/>
          <w:noProof/>
          <w:sz w:val="26"/>
          <w:szCs w:val="26"/>
          <w:lang w:eastAsia="zh-CN"/>
        </w:rPr>
        <w:t>致谢</w:t>
      </w:r>
      <w:r w:rsidRPr="00DA3420">
        <w:rPr>
          <w:noProof/>
          <w:sz w:val="26"/>
          <w:szCs w:val="26"/>
          <w:lang w:eastAsia="zh-CN"/>
        </w:rPr>
        <w:tab/>
      </w:r>
      <w:r>
        <w:rPr>
          <w:noProof/>
          <w:sz w:val="26"/>
          <w:szCs w:val="26"/>
          <w:lang w:eastAsia="zh-CN"/>
        </w:rPr>
        <w:tab/>
      </w:r>
      <w:r w:rsidRPr="00DA3420">
        <w:rPr>
          <w:noProof/>
          <w:sz w:val="26"/>
          <w:szCs w:val="26"/>
        </w:rPr>
        <w:fldChar w:fldCharType="begin"/>
      </w:r>
      <w:r w:rsidRPr="00DA3420">
        <w:rPr>
          <w:noProof/>
          <w:sz w:val="26"/>
          <w:szCs w:val="26"/>
          <w:lang w:eastAsia="zh-CN"/>
        </w:rPr>
        <w:instrText xml:space="preserve"> PAGEREF _Toc200718084 \h </w:instrText>
      </w:r>
      <w:r w:rsidRPr="00DA3420">
        <w:rPr>
          <w:noProof/>
          <w:sz w:val="26"/>
          <w:szCs w:val="26"/>
        </w:rPr>
      </w:r>
      <w:r w:rsidRPr="00DA3420">
        <w:rPr>
          <w:noProof/>
          <w:sz w:val="26"/>
          <w:szCs w:val="26"/>
        </w:rPr>
        <w:fldChar w:fldCharType="separate"/>
      </w:r>
      <w:r w:rsidR="00C27D1F">
        <w:rPr>
          <w:noProof/>
          <w:sz w:val="26"/>
          <w:szCs w:val="26"/>
          <w:lang w:eastAsia="zh-CN"/>
        </w:rPr>
        <w:t>29</w:t>
      </w:r>
      <w:r w:rsidRPr="00DA3420">
        <w:rPr>
          <w:noProof/>
          <w:sz w:val="26"/>
          <w:szCs w:val="26"/>
        </w:rPr>
        <w:fldChar w:fldCharType="end"/>
      </w:r>
    </w:p>
    <w:p w14:paraId="7AF307CC" w14:textId="404D1983" w:rsidR="00DA3420" w:rsidRPr="00DA3420" w:rsidRDefault="00DA3420">
      <w:pPr>
        <w:pStyle w:val="TOC1"/>
        <w:rPr>
          <w:rFonts w:asciiTheme="minorHAnsi" w:hAnsiTheme="minorHAnsi" w:cstheme="minorBidi"/>
          <w:b/>
          <w:bCs/>
          <w:noProof/>
          <w:kern w:val="2"/>
          <w:sz w:val="26"/>
          <w:szCs w:val="26"/>
          <w:lang w:eastAsia="zh-CN"/>
          <w14:ligatures w14:val="standardContextual"/>
        </w:rPr>
      </w:pPr>
      <w:r w:rsidRPr="00DA3420">
        <w:rPr>
          <w:rFonts w:hint="eastAsia"/>
          <w:b/>
          <w:bCs/>
          <w:noProof/>
          <w:sz w:val="26"/>
          <w:szCs w:val="26"/>
          <w:lang w:eastAsia="zh-CN"/>
        </w:rPr>
        <w:t>附录一：上一年度的建议</w:t>
      </w:r>
      <w:r w:rsidRPr="00DA3420">
        <w:rPr>
          <w:b/>
          <w:bCs/>
          <w:noProof/>
          <w:sz w:val="26"/>
          <w:szCs w:val="26"/>
          <w:lang w:eastAsia="zh-CN"/>
        </w:rPr>
        <w:tab/>
      </w:r>
      <w:r w:rsidRPr="00DA3420">
        <w:rPr>
          <w:b/>
          <w:bCs/>
          <w:noProof/>
          <w:sz w:val="26"/>
          <w:szCs w:val="26"/>
        </w:rPr>
        <w:fldChar w:fldCharType="begin"/>
      </w:r>
      <w:r w:rsidRPr="00DA3420">
        <w:rPr>
          <w:b/>
          <w:bCs/>
          <w:noProof/>
          <w:sz w:val="26"/>
          <w:szCs w:val="26"/>
          <w:lang w:eastAsia="zh-CN"/>
        </w:rPr>
        <w:instrText xml:space="preserve"> PAGEREF _Toc200718085 \h </w:instrText>
      </w:r>
      <w:r w:rsidRPr="00DA3420">
        <w:rPr>
          <w:b/>
          <w:bCs/>
          <w:noProof/>
          <w:sz w:val="26"/>
          <w:szCs w:val="26"/>
        </w:rPr>
      </w:r>
      <w:r w:rsidRPr="00DA3420">
        <w:rPr>
          <w:b/>
          <w:bCs/>
          <w:noProof/>
          <w:sz w:val="26"/>
          <w:szCs w:val="26"/>
        </w:rPr>
        <w:fldChar w:fldCharType="separate"/>
      </w:r>
      <w:r w:rsidR="00C27D1F">
        <w:rPr>
          <w:b/>
          <w:bCs/>
          <w:noProof/>
          <w:sz w:val="26"/>
          <w:szCs w:val="26"/>
          <w:lang w:eastAsia="zh-CN"/>
        </w:rPr>
        <w:t>30</w:t>
      </w:r>
      <w:r w:rsidRPr="00DA3420">
        <w:rPr>
          <w:b/>
          <w:bCs/>
          <w:noProof/>
          <w:sz w:val="26"/>
          <w:szCs w:val="26"/>
        </w:rPr>
        <w:fldChar w:fldCharType="end"/>
      </w:r>
    </w:p>
    <w:p w14:paraId="587F1D03" w14:textId="564967B8" w:rsidR="00DA3420" w:rsidRPr="00DA3420" w:rsidRDefault="00DA3420">
      <w:pPr>
        <w:pStyle w:val="TOC1"/>
        <w:rPr>
          <w:rFonts w:asciiTheme="minorHAnsi" w:hAnsiTheme="minorHAnsi" w:cstheme="minorBidi"/>
          <w:b/>
          <w:bCs/>
          <w:noProof/>
          <w:kern w:val="2"/>
          <w:sz w:val="26"/>
          <w:szCs w:val="26"/>
          <w:lang w:eastAsia="zh-CN"/>
          <w14:ligatures w14:val="standardContextual"/>
        </w:rPr>
      </w:pPr>
      <w:r w:rsidRPr="00DA3420">
        <w:rPr>
          <w:rFonts w:hint="eastAsia"/>
          <w:b/>
          <w:bCs/>
          <w:noProof/>
          <w:sz w:val="26"/>
          <w:szCs w:val="26"/>
          <w:lang w:val="it-IT" w:eastAsia="zh-CN"/>
        </w:rPr>
        <w:t>附录二：未落实的意大利审计院建议</w:t>
      </w:r>
      <w:r w:rsidRPr="00DA3420">
        <w:rPr>
          <w:b/>
          <w:bCs/>
          <w:noProof/>
          <w:sz w:val="26"/>
          <w:szCs w:val="26"/>
          <w:lang w:eastAsia="zh-CN"/>
        </w:rPr>
        <w:tab/>
      </w:r>
      <w:r w:rsidRPr="00DA3420">
        <w:rPr>
          <w:b/>
          <w:bCs/>
          <w:noProof/>
          <w:sz w:val="26"/>
          <w:szCs w:val="26"/>
        </w:rPr>
        <w:fldChar w:fldCharType="begin"/>
      </w:r>
      <w:r w:rsidRPr="00DA3420">
        <w:rPr>
          <w:b/>
          <w:bCs/>
          <w:noProof/>
          <w:sz w:val="26"/>
          <w:szCs w:val="26"/>
          <w:lang w:eastAsia="zh-CN"/>
        </w:rPr>
        <w:instrText xml:space="preserve"> PAGEREF _Toc200718086 \h </w:instrText>
      </w:r>
      <w:r w:rsidRPr="00DA3420">
        <w:rPr>
          <w:b/>
          <w:bCs/>
          <w:noProof/>
          <w:sz w:val="26"/>
          <w:szCs w:val="26"/>
        </w:rPr>
      </w:r>
      <w:r w:rsidRPr="00DA3420">
        <w:rPr>
          <w:b/>
          <w:bCs/>
          <w:noProof/>
          <w:sz w:val="26"/>
          <w:szCs w:val="26"/>
        </w:rPr>
        <w:fldChar w:fldCharType="separate"/>
      </w:r>
      <w:r w:rsidR="00C27D1F">
        <w:rPr>
          <w:b/>
          <w:bCs/>
          <w:noProof/>
          <w:sz w:val="26"/>
          <w:szCs w:val="26"/>
          <w:lang w:eastAsia="zh-CN"/>
        </w:rPr>
        <w:t>36</w:t>
      </w:r>
      <w:r w:rsidRPr="00DA3420">
        <w:rPr>
          <w:b/>
          <w:bCs/>
          <w:noProof/>
          <w:sz w:val="26"/>
          <w:szCs w:val="26"/>
        </w:rPr>
        <w:fldChar w:fldCharType="end"/>
      </w:r>
    </w:p>
    <w:p w14:paraId="5DD20DD4" w14:textId="1F88D854" w:rsidR="00F912F4" w:rsidRPr="00911C85" w:rsidRDefault="00F912F4" w:rsidP="00F912F4">
      <w:pPr>
        <w:ind w:left="1134"/>
        <w:rPr>
          <w:rFonts w:ascii="Times New Roman" w:eastAsia="SimSun" w:hAnsi="Times New Roman"/>
          <w:lang w:eastAsia="zh-CN"/>
        </w:rPr>
      </w:pPr>
      <w:r w:rsidRPr="00DA3420">
        <w:rPr>
          <w:rFonts w:ascii="Times New Roman" w:eastAsia="SimSun" w:hAnsi="Times New Roman"/>
          <w:sz w:val="26"/>
          <w:szCs w:val="26"/>
        </w:rPr>
        <w:fldChar w:fldCharType="end"/>
      </w:r>
    </w:p>
    <w:p w14:paraId="5E6960B2" w14:textId="77777777" w:rsidR="00F912F4" w:rsidRPr="00911C85" w:rsidRDefault="00F912F4" w:rsidP="00F912F4">
      <w:pPr>
        <w:tabs>
          <w:tab w:val="clear" w:pos="567"/>
          <w:tab w:val="clear" w:pos="1134"/>
          <w:tab w:val="clear" w:pos="1701"/>
          <w:tab w:val="clear" w:pos="2268"/>
          <w:tab w:val="clear" w:pos="2835"/>
        </w:tabs>
        <w:overflowPunct/>
        <w:autoSpaceDE/>
        <w:autoSpaceDN/>
        <w:adjustRightInd/>
        <w:spacing w:before="0"/>
        <w:ind w:left="851"/>
        <w:textAlignment w:val="auto"/>
        <w:rPr>
          <w:rFonts w:ascii="Times New Roman" w:eastAsia="SimSun" w:hAnsi="Times New Roman"/>
          <w:lang w:eastAsia="zh-CN"/>
        </w:rPr>
      </w:pPr>
      <w:r w:rsidRPr="00911C85">
        <w:rPr>
          <w:rFonts w:ascii="Times New Roman" w:eastAsia="SimSun" w:hAnsi="Times New Roman"/>
          <w:lang w:eastAsia="zh-CN"/>
        </w:rPr>
        <w:br w:type="page"/>
      </w:r>
    </w:p>
    <w:p w14:paraId="644105EB" w14:textId="77777777" w:rsidR="00F912F4" w:rsidRPr="00911C85" w:rsidRDefault="00F912F4" w:rsidP="00F912F4">
      <w:pPr>
        <w:pStyle w:val="Heading1"/>
        <w:rPr>
          <w:rFonts w:ascii="Times New Roman" w:eastAsia="SimSun" w:hAnsi="Times New Roman"/>
          <w:sz w:val="56"/>
          <w:szCs w:val="56"/>
          <w:lang w:eastAsia="zh-CN"/>
        </w:rPr>
      </w:pPr>
      <w:bookmarkStart w:id="12" w:name="_Toc167982616"/>
      <w:bookmarkStart w:id="13" w:name="_Toc168645187"/>
      <w:bookmarkStart w:id="14" w:name="_Toc200718048"/>
      <w:r w:rsidRPr="00D47C1A">
        <w:rPr>
          <w:rFonts w:ascii="Times New Roman" w:eastAsia="SimSun" w:hAnsi="Times New Roman"/>
          <w:sz w:val="56"/>
          <w:szCs w:val="56"/>
          <w:lang w:eastAsia="zh-CN"/>
        </w:rPr>
        <w:lastRenderedPageBreak/>
        <w:t>摘要</w:t>
      </w:r>
      <w:bookmarkEnd w:id="12"/>
      <w:bookmarkEnd w:id="13"/>
      <w:bookmarkEnd w:id="14"/>
    </w:p>
    <w:p w14:paraId="2D8D02CE" w14:textId="77777777" w:rsidR="00F912F4" w:rsidRPr="00911C85" w:rsidRDefault="00F912F4" w:rsidP="00D47C1A">
      <w:pPr>
        <w:pStyle w:val="Heading2"/>
        <w:numPr>
          <w:ilvl w:val="0"/>
          <w:numId w:val="0"/>
        </w:numPr>
        <w:spacing w:before="720"/>
        <w:rPr>
          <w:rFonts w:ascii="Times New Roman" w:eastAsia="SimSun" w:hAnsi="Times New Roman"/>
          <w:b w:val="0"/>
          <w:bCs/>
          <w:sz w:val="40"/>
          <w:szCs w:val="40"/>
          <w:lang w:eastAsia="zh-CN"/>
        </w:rPr>
      </w:pPr>
      <w:bookmarkStart w:id="15" w:name="_Toc200718049"/>
      <w:r w:rsidRPr="00D47C1A">
        <w:rPr>
          <w:rFonts w:ascii="Times New Roman" w:eastAsia="SimSun" w:hAnsi="Times New Roman"/>
          <w:b w:val="0"/>
          <w:bCs/>
          <w:sz w:val="40"/>
          <w:szCs w:val="40"/>
          <w:lang w:eastAsia="zh-CN"/>
        </w:rPr>
        <w:t>背景</w:t>
      </w:r>
      <w:bookmarkEnd w:id="15"/>
    </w:p>
    <w:p w14:paraId="15B16B09" w14:textId="77777777" w:rsidR="00F912F4" w:rsidRPr="00D47C1A" w:rsidRDefault="00F912F4" w:rsidP="00D47C1A">
      <w:pPr>
        <w:rPr>
          <w:rFonts w:asciiTheme="minorHAnsi" w:eastAsia="SimSun" w:hAnsiTheme="minorHAnsi" w:cstheme="minorHAnsi"/>
          <w:lang w:eastAsia="zh-CN"/>
        </w:rPr>
      </w:pPr>
      <w:bookmarkStart w:id="16" w:name="_Toc243706531"/>
      <w:r w:rsidRPr="00D47C1A">
        <w:rPr>
          <w:rFonts w:asciiTheme="minorHAnsi" w:eastAsia="SimSun" w:hAnsiTheme="minorHAnsi" w:cstheme="minorHAnsi"/>
          <w:b/>
          <w:bCs/>
          <w:lang w:val="zh-CN" w:eastAsia="zh-CN"/>
        </w:rPr>
        <w:t>1</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国际电信联盟（国际电联）是联合国负责信息通信技术（</w:t>
      </w:r>
      <w:r w:rsidRPr="00D47C1A">
        <w:rPr>
          <w:rFonts w:asciiTheme="minorHAnsi" w:eastAsia="SimSun" w:hAnsiTheme="minorHAnsi" w:cstheme="minorHAnsi"/>
          <w:lang w:val="zh-CN" w:eastAsia="zh-CN"/>
        </w:rPr>
        <w:t>ICT</w:t>
      </w:r>
      <w:r w:rsidRPr="00D47C1A">
        <w:rPr>
          <w:rFonts w:asciiTheme="minorHAnsi" w:eastAsia="SimSun" w:hAnsiTheme="minorHAnsi" w:cstheme="minorHAnsi"/>
          <w:lang w:val="zh-CN" w:eastAsia="zh-CN"/>
        </w:rPr>
        <w:t>）事务的专门机构。国际电联成立于</w:t>
      </w:r>
      <w:r w:rsidRPr="00D47C1A">
        <w:rPr>
          <w:rFonts w:asciiTheme="minorHAnsi" w:eastAsia="SimSun" w:hAnsiTheme="minorHAnsi" w:cstheme="minorHAnsi"/>
          <w:lang w:val="zh-CN" w:eastAsia="zh-CN"/>
        </w:rPr>
        <w:t>1865</w:t>
      </w:r>
      <w:r w:rsidRPr="00D47C1A">
        <w:rPr>
          <w:rFonts w:asciiTheme="minorHAnsi" w:eastAsia="SimSun" w:hAnsiTheme="minorHAnsi" w:cstheme="minorHAnsi"/>
          <w:lang w:val="zh-CN" w:eastAsia="zh-CN"/>
        </w:rPr>
        <w:t>年，旨在促进通信网络的国际连接。国际电联划分全球无线电频谱和卫星轨道，制定可确保网络和技术无缝互连互通的技术标准，努力增强世界各地服务不足社区对</w:t>
      </w:r>
      <w:r w:rsidRPr="00D47C1A">
        <w:rPr>
          <w:rFonts w:asciiTheme="minorHAnsi" w:eastAsia="SimSun" w:hAnsiTheme="minorHAnsi" w:cstheme="minorHAnsi"/>
          <w:lang w:val="zh-CN" w:eastAsia="zh-CN"/>
        </w:rPr>
        <w:t>ICT</w:t>
      </w:r>
      <w:r w:rsidRPr="00D47C1A">
        <w:rPr>
          <w:rFonts w:asciiTheme="minorHAnsi" w:eastAsia="SimSun" w:hAnsiTheme="minorHAnsi" w:cstheme="minorHAnsi"/>
          <w:lang w:val="zh-CN" w:eastAsia="zh-CN"/>
        </w:rPr>
        <w:t>的获取。</w:t>
      </w:r>
    </w:p>
    <w:p w14:paraId="5263F5B6" w14:textId="77777777" w:rsidR="00F912F4" w:rsidRPr="00D47C1A" w:rsidRDefault="00F912F4" w:rsidP="00D47C1A">
      <w:pPr>
        <w:pStyle w:val="Heading2"/>
        <w:numPr>
          <w:ilvl w:val="0"/>
          <w:numId w:val="0"/>
        </w:numPr>
        <w:rPr>
          <w:rFonts w:asciiTheme="minorHAnsi" w:eastAsia="SimSun" w:hAnsiTheme="minorHAnsi" w:cstheme="minorHAnsi"/>
          <w:b w:val="0"/>
          <w:bCs/>
          <w:sz w:val="40"/>
          <w:szCs w:val="40"/>
          <w:lang w:eastAsia="zh-CN"/>
        </w:rPr>
      </w:pPr>
      <w:bookmarkStart w:id="17" w:name="_Toc137224223"/>
      <w:bookmarkStart w:id="18" w:name="_Toc200718050"/>
      <w:r w:rsidRPr="00D47C1A">
        <w:rPr>
          <w:rFonts w:asciiTheme="minorHAnsi" w:eastAsia="SimSun" w:hAnsiTheme="minorHAnsi" w:cstheme="minorHAnsi"/>
          <w:b w:val="0"/>
          <w:bCs/>
          <w:sz w:val="40"/>
          <w:szCs w:val="40"/>
          <w:lang w:eastAsia="zh-CN"/>
        </w:rPr>
        <w:t>主要审计意见</w:t>
      </w:r>
      <w:bookmarkEnd w:id="17"/>
      <w:bookmarkEnd w:id="18"/>
    </w:p>
    <w:p w14:paraId="5FD61EDB" w14:textId="77777777" w:rsidR="00F912F4" w:rsidRPr="00E07EB1" w:rsidRDefault="00F912F4" w:rsidP="00E07EB1">
      <w:pPr>
        <w:pStyle w:val="Headingb"/>
      </w:pPr>
      <w:bookmarkStart w:id="19" w:name="_Toc200718051"/>
      <w:proofErr w:type="spellStart"/>
      <w:r w:rsidRPr="00E07EB1">
        <w:t>财务管理</w:t>
      </w:r>
      <w:bookmarkEnd w:id="19"/>
      <w:proofErr w:type="spellEnd"/>
    </w:p>
    <w:p w14:paraId="346AAC4C"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我们在对国际电联</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年财务报表进行审计后出具了无保留的审计意见。我们未发现任何可能影响财务报表准确性、完整性或有效性的重大缺陷或错误。该财务报表系按照国际公共部门会计准则（</w:t>
      </w:r>
      <w:r w:rsidRPr="00D47C1A">
        <w:rPr>
          <w:rFonts w:asciiTheme="minorHAnsi" w:eastAsia="SimSun" w:hAnsiTheme="minorHAnsi" w:cstheme="minorHAnsi"/>
          <w:lang w:val="zh-CN" w:eastAsia="zh-CN"/>
        </w:rPr>
        <w:t>IPSAS</w:t>
      </w:r>
      <w:r w:rsidRPr="00D47C1A">
        <w:rPr>
          <w:rFonts w:asciiTheme="minorHAnsi" w:eastAsia="SimSun" w:hAnsiTheme="minorHAnsi" w:cstheme="minorHAnsi"/>
          <w:lang w:val="zh-CN" w:eastAsia="zh-CN"/>
        </w:rPr>
        <w:t>）编制，并符合国际电联《财务规则》。我们注意到财务报告的呈现方式和质量有所改善，披露问题比往年有所减少。在国际电联准备采用新的</w:t>
      </w:r>
      <w:r w:rsidRPr="00D47C1A">
        <w:rPr>
          <w:rFonts w:asciiTheme="minorHAnsi" w:eastAsia="SimSun" w:hAnsiTheme="minorHAnsi" w:cstheme="minorHAnsi"/>
          <w:lang w:val="zh-CN" w:eastAsia="zh-CN"/>
        </w:rPr>
        <w:t>IPSAS</w:t>
      </w:r>
      <w:r w:rsidRPr="00D47C1A">
        <w:rPr>
          <w:rFonts w:asciiTheme="minorHAnsi" w:eastAsia="SimSun" w:hAnsiTheme="minorHAnsi" w:cstheme="minorHAnsi"/>
          <w:lang w:val="zh-CN" w:eastAsia="zh-CN"/>
        </w:rPr>
        <w:t>标准时，继续完善结账和审查程序至关重要。总体而言，国际电联的财务状况总体上保持稳定；然而，长期挑战依然存在，最突出的是大量无资金准备的职员福利负债，这仍然是国际电联最大的财务风险。</w:t>
      </w:r>
    </w:p>
    <w:p w14:paraId="7B60B94C" w14:textId="659BCF89"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国际电联报告称，</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年基于</w:t>
      </w:r>
      <w:r w:rsidRPr="00D47C1A">
        <w:rPr>
          <w:rFonts w:asciiTheme="minorHAnsi" w:eastAsia="SimSun" w:hAnsiTheme="minorHAnsi" w:cstheme="minorHAnsi"/>
          <w:lang w:val="zh-CN" w:eastAsia="zh-CN"/>
        </w:rPr>
        <w:t>IPSAS</w:t>
      </w:r>
      <w:r w:rsidRPr="00D47C1A">
        <w:rPr>
          <w:rFonts w:asciiTheme="minorHAnsi" w:eastAsia="SimSun" w:hAnsiTheme="minorHAnsi" w:cstheme="minorHAnsi"/>
          <w:lang w:val="zh-CN" w:eastAsia="zh-CN"/>
        </w:rPr>
        <w:t>的总体赤字为</w:t>
      </w:r>
      <w:r w:rsidRPr="00D47C1A">
        <w:rPr>
          <w:rFonts w:asciiTheme="minorHAnsi" w:eastAsia="SimSun" w:hAnsiTheme="minorHAnsi" w:cstheme="minorHAnsi"/>
          <w:lang w:val="zh-CN" w:eastAsia="zh-CN"/>
        </w:rPr>
        <w:t>2</w:t>
      </w:r>
      <w:r w:rsidR="00E07EB1">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790</w:t>
      </w:r>
      <w:r w:rsidRPr="00D47C1A">
        <w:rPr>
          <w:rFonts w:asciiTheme="minorHAnsi" w:eastAsia="SimSun" w:hAnsiTheme="minorHAnsi" w:cstheme="minorHAnsi"/>
          <w:lang w:val="zh-CN" w:eastAsia="zh-CN"/>
        </w:rPr>
        <w:t>万瑞郎，其中资本化项目成本大幅减值</w:t>
      </w:r>
      <w:r w:rsidRPr="00D47C1A">
        <w:rPr>
          <w:rFonts w:asciiTheme="minorHAnsi" w:eastAsia="SimSun" w:hAnsiTheme="minorHAnsi" w:cstheme="minorHAnsi"/>
          <w:lang w:val="zh-CN" w:eastAsia="zh-CN"/>
        </w:rPr>
        <w:t>2</w:t>
      </w:r>
      <w:r w:rsidR="00E07EB1">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100</w:t>
      </w:r>
      <w:r w:rsidRPr="00D47C1A">
        <w:rPr>
          <w:rFonts w:asciiTheme="minorHAnsi" w:eastAsia="SimSun" w:hAnsiTheme="minorHAnsi" w:cstheme="minorHAnsi"/>
          <w:lang w:val="zh-CN" w:eastAsia="zh-CN"/>
        </w:rPr>
        <w:t>万瑞郎，因撤回新办公楼赞助而增加的准备金总计</w:t>
      </w:r>
      <w:r w:rsidRPr="00D47C1A">
        <w:rPr>
          <w:rFonts w:asciiTheme="minorHAnsi" w:eastAsia="SimSun" w:hAnsiTheme="minorHAnsi" w:cstheme="minorHAnsi"/>
          <w:lang w:val="zh-CN" w:eastAsia="zh-CN"/>
        </w:rPr>
        <w:t>500</w:t>
      </w:r>
      <w:r w:rsidRPr="00D47C1A">
        <w:rPr>
          <w:rFonts w:asciiTheme="minorHAnsi" w:eastAsia="SimSun" w:hAnsiTheme="minorHAnsi" w:cstheme="minorHAnsi"/>
          <w:lang w:val="zh-CN" w:eastAsia="zh-CN"/>
        </w:rPr>
        <w:t>万瑞郎，这些都在很大程度上影响了赤字的结果。预测和成本回收方面仍然存在挑战，特别是在与卫星有关的活动中。国际电联继续报告净资产负值为</w:t>
      </w:r>
      <w:r w:rsidRPr="00D47C1A">
        <w:rPr>
          <w:rFonts w:asciiTheme="minorHAnsi" w:eastAsia="SimSun" w:hAnsiTheme="minorHAnsi" w:cstheme="minorHAnsi"/>
          <w:lang w:val="zh-CN" w:eastAsia="zh-CN"/>
        </w:rPr>
        <w:t>3.18</w:t>
      </w:r>
      <w:r w:rsidRPr="00D47C1A">
        <w:rPr>
          <w:rFonts w:asciiTheme="minorHAnsi" w:eastAsia="SimSun" w:hAnsiTheme="minorHAnsi" w:cstheme="minorHAnsi"/>
          <w:lang w:val="zh-CN" w:eastAsia="zh-CN"/>
        </w:rPr>
        <w:t>亿瑞郎，主要由未拨备的离职后福利负债所致。我们强调改善收入预测、积极主动管理应收账款，和重新评估专用储备金以支持财务可持续性的重要性，特别要考虑到</w:t>
      </w:r>
      <w:r w:rsidRPr="00D47C1A">
        <w:rPr>
          <w:rFonts w:asciiTheme="minorHAnsi" w:eastAsia="SimSun" w:hAnsiTheme="minorHAnsi" w:cstheme="minorHAnsi"/>
          <w:lang w:val="zh-CN" w:eastAsia="zh-CN"/>
        </w:rPr>
        <w:t>4.158</w:t>
      </w:r>
      <w:r w:rsidRPr="00D47C1A">
        <w:rPr>
          <w:rFonts w:asciiTheme="minorHAnsi" w:eastAsia="SimSun" w:hAnsiTheme="minorHAnsi" w:cstheme="minorHAnsi"/>
          <w:lang w:val="zh-CN" w:eastAsia="zh-CN"/>
        </w:rPr>
        <w:t>亿瑞郎的</w:t>
      </w:r>
      <w:r w:rsidRPr="00D47C1A">
        <w:rPr>
          <w:rFonts w:asciiTheme="minorHAnsi" w:eastAsia="SimSun" w:hAnsiTheme="minorHAnsi" w:cstheme="minorHAnsi"/>
          <w:lang w:val="zh-CN" w:eastAsia="zh-CN"/>
        </w:rPr>
        <w:t>ASHI</w:t>
      </w:r>
      <w:r w:rsidRPr="00D47C1A">
        <w:rPr>
          <w:rFonts w:asciiTheme="minorHAnsi" w:eastAsia="SimSun" w:hAnsiTheme="minorHAnsi" w:cstheme="minorHAnsi"/>
          <w:lang w:val="zh-CN" w:eastAsia="zh-CN"/>
        </w:rPr>
        <w:t>负债以及更加不确定的经济环境。</w:t>
      </w:r>
    </w:p>
    <w:p w14:paraId="48B182B5" w14:textId="77777777" w:rsidR="00F912F4" w:rsidRPr="00E07EB1" w:rsidRDefault="00F912F4" w:rsidP="00E07EB1">
      <w:pPr>
        <w:pStyle w:val="Headingb"/>
      </w:pPr>
      <w:bookmarkStart w:id="20" w:name="_Toc200718052"/>
      <w:proofErr w:type="spellStart"/>
      <w:r w:rsidRPr="00E07EB1">
        <w:t>治理和内部控制</w:t>
      </w:r>
      <w:bookmarkEnd w:id="20"/>
      <w:proofErr w:type="spellEnd"/>
    </w:p>
    <w:p w14:paraId="5CF03B62"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4</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国际电联已采取措施，通过采纳</w:t>
      </w:r>
      <w:r w:rsidRPr="00D47C1A">
        <w:rPr>
          <w:rFonts w:asciiTheme="minorHAnsi" w:eastAsia="SimSun" w:hAnsiTheme="minorHAnsi" w:cstheme="minorHAnsi"/>
          <w:lang w:val="zh-CN" w:eastAsia="zh-CN"/>
        </w:rPr>
        <w:t>2013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COSO</w:t>
      </w:r>
      <w:r w:rsidRPr="00D47C1A">
        <w:rPr>
          <w:rFonts w:asciiTheme="minorHAnsi" w:eastAsia="SimSun" w:hAnsiTheme="minorHAnsi" w:cstheme="minorHAnsi"/>
          <w:lang w:val="zh-CN" w:eastAsia="zh-CN"/>
        </w:rPr>
        <w:t>内部控制</w:t>
      </w:r>
      <w:r w:rsidRPr="00D47C1A">
        <w:rPr>
          <w:rFonts w:asciiTheme="minorHAnsi" w:eastAsia="SimSun" w:hAnsiTheme="minorHAnsi" w:cstheme="minorHAnsi"/>
          <w:lang w:val="zh-CN" w:eastAsia="zh-CN"/>
        </w:rPr>
        <w:t xml:space="preserve"> – </w:t>
      </w:r>
      <w:r w:rsidRPr="00D47C1A">
        <w:rPr>
          <w:rFonts w:asciiTheme="minorHAnsi" w:eastAsia="SimSun" w:hAnsiTheme="minorHAnsi" w:cstheme="minorHAnsi"/>
          <w:lang w:val="zh-CN" w:eastAsia="zh-CN"/>
        </w:rPr>
        <w:t>综合框架并建立问责制模型和框架，加强其内部治理和控制环境。上述模型和框架已于</w:t>
      </w:r>
      <w:r w:rsidRPr="00D47C1A">
        <w:rPr>
          <w:rFonts w:asciiTheme="minorHAnsi" w:eastAsia="SimSun" w:hAnsiTheme="minorHAnsi" w:cstheme="minorHAnsi"/>
          <w:lang w:val="zh-CN" w:eastAsia="zh-CN"/>
        </w:rPr>
        <w:t>2022</w:t>
      </w:r>
      <w:r w:rsidRPr="00D47C1A">
        <w:rPr>
          <w:rFonts w:asciiTheme="minorHAnsi" w:eastAsia="SimSun" w:hAnsiTheme="minorHAnsi" w:cstheme="minorHAnsi"/>
          <w:lang w:val="zh-CN" w:eastAsia="zh-CN"/>
        </w:rPr>
        <w:t>年获得理事会批准。这些举措为内部控制提供了基本结构，明确了三道防线的作用和责任，并表明了对加强监督和鉴证的承诺。然而，这些框架在整个国际电联的实施仍不一致，在区域代表处网络的运作中亦然，权力下放和风险承担等关键要素仍需进一步完善，以确保其有效性。</w:t>
      </w:r>
    </w:p>
    <w:p w14:paraId="07231272" w14:textId="77777777" w:rsidR="00F912F4" w:rsidRPr="00D47C1A" w:rsidRDefault="00F912F4" w:rsidP="00D47C1A">
      <w:pPr>
        <w:keepLines/>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lastRenderedPageBreak/>
        <w:t>5</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通过引入经修订的政策和工具，包括经修订的《监督章程》、强化绩效管理系统和必修的道德规范培训，在组织层面已取得进展。这些措施体现了最高管理层态度的进一步强化。尽管如此，我们的审查，包括在亚太区域代表处的实地工作，都凸显了设计与实施之间的差距。在若干案例中，包括权力下放和财务监督机制，职责要么没有记录在案，要么与实际的权限和控制结构不符。这削弱了问责制和第一线控制职能的有效性。审计客户声明书程序虽然是一种关键的鉴证机制，但同样存在与实际运作情况脱节的问题，且尚未得到充分的验证与挑战支持。</w:t>
      </w:r>
    </w:p>
    <w:p w14:paraId="67874BD8"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6</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国际电联内部的风险管理流程仍主要以合规为导向，且与战略规划及绩效管理脱节。一些地区存在风险登记制度，并已任命了业务风险经理，但目前尚无充分证据表明风险信息被用于决策或控制设计。在区域层面，能力和系统整合方面都存在差距，缺乏有针对性的培训和监督进一步限制了基于风险信息的运作。尽管亚太办事处过去存在一些问题，但缺乏系统的欺诈风险评定仍是关键的控制缺口，应作为优先事项加以解决。</w:t>
      </w:r>
    </w:p>
    <w:p w14:paraId="4C7592A8"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7</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虽然政策的制定不断完善，但控制活动的实施仍然不一致且不成熟。问责制框架设想通过第二线管理监督来明确控制责任并进行持续监督。各项活动尚未以系统化的方式聚焦于风险管理。国际电联的监测机制仍然严重依赖自我评定，缺乏结构化的、基于风险的第二道线和第三道线的鉴证。我们支持管理层对</w:t>
      </w:r>
      <w:r w:rsidRPr="00D47C1A">
        <w:rPr>
          <w:rFonts w:asciiTheme="minorHAnsi" w:eastAsia="SimSun" w:hAnsiTheme="minorHAnsi" w:cstheme="minorHAnsi"/>
          <w:lang w:val="zh-CN" w:eastAsia="zh-CN"/>
        </w:rPr>
        <w:t>COSO</w:t>
      </w:r>
      <w:r w:rsidRPr="00D47C1A">
        <w:rPr>
          <w:rFonts w:asciiTheme="minorHAnsi" w:eastAsia="SimSun" w:hAnsiTheme="minorHAnsi" w:cstheme="minorHAnsi"/>
          <w:lang w:val="zh-CN" w:eastAsia="zh-CN"/>
        </w:rPr>
        <w:t>框架的承诺，但需要进一步的工作来解决我们强调的问题并实现鉴证收益。通过重点和持续的监测、评估以及充分关注风险的独立审计，加强第二道线和第三道线的成熟度和能力，对于实现问责制框架的全部宗旨并向成员提供可靠鉴证至关重要。</w:t>
      </w:r>
    </w:p>
    <w:p w14:paraId="5588142B" w14:textId="77777777" w:rsidR="00F912F4" w:rsidRPr="00E07EB1" w:rsidRDefault="00F912F4" w:rsidP="00E07EB1">
      <w:pPr>
        <w:pStyle w:val="Headingb"/>
      </w:pPr>
      <w:bookmarkStart w:id="21" w:name="_Toc200718053"/>
      <w:proofErr w:type="spellStart"/>
      <w:r w:rsidRPr="00E07EB1">
        <w:t>转型</w:t>
      </w:r>
      <w:bookmarkEnd w:id="21"/>
      <w:proofErr w:type="spellEnd"/>
    </w:p>
    <w:p w14:paraId="607A86FE" w14:textId="385087CF"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8</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国际电联在</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路线图中启动的转型计划为其支撑职能的现代化和绩效提升提供了重要且及时的机遇。该计划围绕五个主题支柱展开：治理；系统、流程和工具；人员和文化；资源优化；及成员和合作伙伴，已推出了关键举措和基础项目，并得到</w:t>
      </w:r>
      <w:r w:rsidR="00D47C1A" w:rsidRPr="00D47C1A">
        <w:rPr>
          <w:rFonts w:ascii="SimSun" w:eastAsia="SimSun" w:hAnsi="SimSun" w:cstheme="minorHAnsi"/>
          <w:lang w:val="zh-CN" w:eastAsia="zh-CN"/>
        </w:rPr>
        <w:t>“</w:t>
      </w:r>
      <w:r w:rsidRPr="00D47C1A">
        <w:rPr>
          <w:rFonts w:asciiTheme="minorHAnsi" w:eastAsia="SimSun" w:hAnsiTheme="minorHAnsi" w:cstheme="minorHAnsi"/>
          <w:lang w:val="zh-CN" w:eastAsia="zh-CN"/>
        </w:rPr>
        <w:t>转型信息概览</w:t>
      </w:r>
      <w:r w:rsidR="00D47C1A" w:rsidRPr="00D47C1A">
        <w:rPr>
          <w:rFonts w:ascii="SimSun" w:eastAsia="SimSun" w:hAnsi="SimSun" w:cstheme="minorHAnsi"/>
          <w:lang w:val="zh-CN" w:eastAsia="zh-CN"/>
        </w:rPr>
        <w:t>”</w:t>
      </w:r>
      <w:r w:rsidRPr="00D47C1A">
        <w:rPr>
          <w:rFonts w:asciiTheme="minorHAnsi" w:eastAsia="SimSun" w:hAnsiTheme="minorHAnsi" w:cstheme="minorHAnsi"/>
          <w:lang w:val="zh-CN" w:eastAsia="zh-CN"/>
        </w:rPr>
        <w:t>和内部</w:t>
      </w:r>
      <w:r w:rsidR="00D47C1A" w:rsidRPr="00D47C1A">
        <w:rPr>
          <w:rFonts w:ascii="SimSun" w:eastAsia="SimSun" w:hAnsi="SimSun" w:cstheme="minorHAnsi"/>
          <w:lang w:val="zh-CN" w:eastAsia="zh-CN"/>
        </w:rPr>
        <w:t>“</w:t>
      </w:r>
      <w:r w:rsidRPr="00D47C1A">
        <w:rPr>
          <w:rFonts w:asciiTheme="minorHAnsi" w:eastAsia="SimSun" w:hAnsiTheme="minorHAnsi" w:cstheme="minorHAnsi"/>
          <w:lang w:val="zh-CN" w:eastAsia="zh-CN"/>
        </w:rPr>
        <w:t>变革者</w:t>
      </w:r>
      <w:r w:rsidR="00D47C1A" w:rsidRPr="00D47C1A">
        <w:rPr>
          <w:rFonts w:ascii="SimSun" w:eastAsia="SimSun" w:hAnsi="SimSun" w:cstheme="minorHAnsi"/>
          <w:lang w:val="zh-CN" w:eastAsia="zh-CN"/>
        </w:rPr>
        <w:t>”</w:t>
      </w:r>
      <w:r w:rsidRPr="00D47C1A">
        <w:rPr>
          <w:rFonts w:asciiTheme="minorHAnsi" w:eastAsia="SimSun" w:hAnsiTheme="minorHAnsi" w:cstheme="minorHAnsi"/>
          <w:lang w:val="zh-CN" w:eastAsia="zh-CN"/>
        </w:rPr>
        <w:t>网络等工具的支持。</w:t>
      </w:r>
    </w:p>
    <w:p w14:paraId="5799A227"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9</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进展仍处于早期阶段，详细的运作模型和完整的测量框架尚未完全嵌入。资源限制依然存在，许多举措依赖于与现有部门工作计划的整合。虽然已经采取了一些初步步骤来考虑替代性交付模式，但我们认为，进一步探索各种方案以确保有效利用资源和释放潜在的转型收益非常重要。高度重视文化变革、绩效衡量和确定轻重缓急对于实现可持续成果至关重要。我们强调，持续治理监督、鉴证和使各项举措与战略目标保持一致十分重要，这些都是降低此类变革计划的风险的关键要素。</w:t>
      </w:r>
    </w:p>
    <w:p w14:paraId="3BEE90E1" w14:textId="77777777" w:rsidR="00F912F4" w:rsidRPr="00E07EB1" w:rsidRDefault="00F912F4" w:rsidP="00E07EB1">
      <w:pPr>
        <w:pStyle w:val="Headingb"/>
      </w:pPr>
      <w:bookmarkStart w:id="22" w:name="_Toc200718054"/>
      <w:proofErr w:type="spellStart"/>
      <w:r w:rsidRPr="00E07EB1">
        <w:t>新办公楼项目</w:t>
      </w:r>
      <w:bookmarkEnd w:id="22"/>
      <w:proofErr w:type="spellEnd"/>
    </w:p>
    <w:p w14:paraId="4A38D1FE" w14:textId="456B6503"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10</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在</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年终止最初项目后，国际电联秘书处已减值和注销了总计</w:t>
      </w:r>
      <w:r w:rsidRPr="00D47C1A">
        <w:rPr>
          <w:rFonts w:asciiTheme="minorHAnsi" w:eastAsia="SimSun" w:hAnsiTheme="minorHAnsi" w:cstheme="minorHAnsi"/>
          <w:lang w:val="zh-CN" w:eastAsia="zh-CN"/>
        </w:rPr>
        <w:t>2</w:t>
      </w:r>
      <w:r w:rsidR="00E07EB1">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220</w:t>
      </w:r>
      <w:r w:rsidRPr="00D47C1A">
        <w:rPr>
          <w:rFonts w:asciiTheme="minorHAnsi" w:eastAsia="SimSun" w:hAnsiTheme="minorHAnsi" w:cstheme="minorHAnsi"/>
          <w:lang w:val="zh-CN" w:eastAsia="zh-CN"/>
        </w:rPr>
        <w:t>万瑞郎的成本，并根据理事会第</w:t>
      </w:r>
      <w:r w:rsidRPr="00D47C1A">
        <w:rPr>
          <w:rFonts w:asciiTheme="minorHAnsi" w:eastAsia="SimSun" w:hAnsiTheme="minorHAnsi" w:cstheme="minorHAnsi"/>
          <w:lang w:val="zh-CN" w:eastAsia="zh-CN"/>
        </w:rPr>
        <w:t>640</w:t>
      </w:r>
      <w:r w:rsidRPr="00D47C1A">
        <w:rPr>
          <w:rFonts w:asciiTheme="minorHAnsi" w:eastAsia="SimSun" w:hAnsiTheme="minorHAnsi" w:cstheme="minorHAnsi"/>
          <w:lang w:val="zh-CN" w:eastAsia="zh-CN"/>
        </w:rPr>
        <w:t>号决定开始重新调整</w:t>
      </w:r>
      <w:r w:rsidRPr="00D47C1A">
        <w:rPr>
          <w:rFonts w:asciiTheme="minorHAnsi" w:eastAsia="SimSun" w:hAnsiTheme="minorHAnsi" w:cstheme="minorHAnsi"/>
          <w:lang w:val="zh-CN" w:eastAsia="zh-CN"/>
        </w:rPr>
        <w:t>Varembé</w:t>
      </w:r>
      <w:r w:rsidRPr="00D47C1A">
        <w:rPr>
          <w:rFonts w:asciiTheme="minorHAnsi" w:eastAsia="SimSun" w:hAnsiTheme="minorHAnsi" w:cstheme="minorHAnsi"/>
          <w:lang w:val="zh-CN" w:eastAsia="zh-CN"/>
        </w:rPr>
        <w:t>办公楼项目的范围。修订后的项目概要已经制定完成，用户参与已经开始，但目前尚未建立详细的商业案例和明确的项目收益。秘书处已启动了新的资格预审和招标程序，截至报告时，评估工作正在进行中。目前正在与东道国就贷款用途重新分配进行讨论，且正在积极对赞助协议进行管理。</w:t>
      </w:r>
    </w:p>
    <w:p w14:paraId="00DCD757" w14:textId="77777777" w:rsidR="00F912F4" w:rsidRPr="00D47C1A" w:rsidRDefault="00F912F4" w:rsidP="00E16D3F">
      <w:pPr>
        <w:keepLines/>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lastRenderedPageBreak/>
        <w:t>11</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尽管在治理方面取得了一些进展，但我们认为经验总结工作缺乏足够的独立性，未能充分解决治理和监督问题，这些问题本可以在更早阶段发现弱点并减少损失规模。国际电联确保稳健、独立的鉴证安排，并具有准确的报告制度，这一点非常重要。这些措施对于恢复利益攸关方的信心和支持有效实施这一重大资本计划至关重要。我们重申了在此前报告中提出的意见。</w:t>
      </w:r>
    </w:p>
    <w:p w14:paraId="333DE4D2" w14:textId="77777777" w:rsidR="00F912F4" w:rsidRPr="00E07EB1" w:rsidRDefault="00F912F4" w:rsidP="00E07EB1">
      <w:pPr>
        <w:pStyle w:val="Headingb"/>
        <w:rPr>
          <w:lang w:eastAsia="zh-CN"/>
        </w:rPr>
      </w:pPr>
      <w:bookmarkStart w:id="23" w:name="_Toc200718055"/>
      <w:r w:rsidRPr="00E07EB1">
        <w:rPr>
          <w:rFonts w:hint="eastAsia"/>
          <w:lang w:eastAsia="zh-CN"/>
        </w:rPr>
        <w:t>国际电联的日内瓦园区战略</w:t>
      </w:r>
      <w:bookmarkEnd w:id="23"/>
    </w:p>
    <w:p w14:paraId="68801950"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12</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国际电联的日内瓦园区战略规划提出了一个前瞻性的框架，旨在将国际电联的物理基础设施与其战略目标保持一致，重点遵循财务可行性、可持续性以及灵活、以人为本的设计原则。合并办公场所和会议功能的提案反映了更广泛的公共部门不断变化的工作模式，并参考了占用率研究和初步财务分析。然而，规划尚未充分解决在日内瓦维持中心总部的高昂结构性成本问题。我们认为，进一步完善该战略应包括对分散化方案进行全面的场景分析，评估将非核心职能迁移至低成本地区的可行性及成本效益。这将加强投资决策的证据基础，并加强国际电联对运作效率和长期财务可持续性的承诺。</w:t>
      </w:r>
    </w:p>
    <w:p w14:paraId="15581347" w14:textId="77777777" w:rsidR="00F912F4" w:rsidRPr="00E07EB1" w:rsidRDefault="00F912F4" w:rsidP="00E07EB1">
      <w:pPr>
        <w:pStyle w:val="Headingb"/>
      </w:pPr>
      <w:bookmarkStart w:id="24" w:name="_Toc200718056"/>
      <w:proofErr w:type="spellStart"/>
      <w:r w:rsidRPr="00E07EB1">
        <w:rPr>
          <w:rFonts w:hint="eastAsia"/>
        </w:rPr>
        <w:t>国际电联的区域代表处</w:t>
      </w:r>
      <w:bookmarkEnd w:id="24"/>
      <w:proofErr w:type="spellEnd"/>
    </w:p>
    <w:p w14:paraId="6EE85AAA"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13</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在理事会财务和人力资源工作组的指导下并经全权代表大会第</w:t>
      </w:r>
      <w:r w:rsidRPr="00D47C1A">
        <w:rPr>
          <w:rFonts w:asciiTheme="minorHAnsi" w:eastAsia="SimSun" w:hAnsiTheme="minorHAnsi" w:cstheme="minorHAnsi"/>
          <w:lang w:val="zh-CN" w:eastAsia="zh-CN"/>
        </w:rPr>
        <w:t>25</w:t>
      </w:r>
      <w:r w:rsidRPr="00D47C1A">
        <w:rPr>
          <w:rFonts w:asciiTheme="minorHAnsi" w:eastAsia="SimSun" w:hAnsiTheme="minorHAnsi" w:cstheme="minorHAnsi"/>
          <w:lang w:val="zh-CN" w:eastAsia="zh-CN"/>
        </w:rPr>
        <w:t>号决定的授权，国际电联已开始审查其区域代表处。通过审查，可以有机会评估分散运作的有效性以及分散运作如何支持实现国际电联的战略目标。审查以全面的职责范围为指导，侧重于绩效、效率以及与《战略规划》、《基加利行动计划》和更广泛的联合国发展框架保持一致。在审计期间，我们检查了亚太区域代表处的运作，并注意到，尽管各方明确承诺开展项目活动，但在治理、规划和问责方面仍存在系统性挑战。</w:t>
      </w:r>
    </w:p>
    <w:p w14:paraId="62EB1DB9"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14</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目前，区域代表处没有单独制定正式的工作计划来阐述明确的目标、可交付成果和绩效指标。我们认为，这些规划工具的缺失妨碍了监测绩效、报告是否与全球优先事项保持一致以及展示各项分散活动价值的能力。发布临时指导意见，制定结构化工作计划并辅以可量化的指标，将有助于加强在当前审查过程中的治理和透明度，并强化国际电联区域影响力的战略贡献。</w:t>
      </w:r>
    </w:p>
    <w:p w14:paraId="70E026AF" w14:textId="77777777" w:rsidR="00F912F4" w:rsidRPr="00E07EB1" w:rsidRDefault="00F912F4" w:rsidP="00E07EB1">
      <w:pPr>
        <w:pStyle w:val="Headingb"/>
        <w:rPr>
          <w:lang w:eastAsia="zh-CN"/>
        </w:rPr>
      </w:pPr>
      <w:bookmarkStart w:id="25" w:name="_Toc200718057"/>
      <w:r w:rsidRPr="00E07EB1">
        <w:rPr>
          <w:lang w:eastAsia="zh-CN"/>
        </w:rPr>
        <w:t>以往的建议</w:t>
      </w:r>
      <w:bookmarkEnd w:id="25"/>
    </w:p>
    <w:p w14:paraId="6238F7AA"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15</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自开始履行职责以来，我们向理事会提出了</w:t>
      </w:r>
      <w:r w:rsidRPr="00D47C1A">
        <w:rPr>
          <w:rFonts w:asciiTheme="minorHAnsi" w:eastAsia="SimSun" w:hAnsiTheme="minorHAnsi" w:cstheme="minorHAnsi"/>
          <w:lang w:val="zh-CN" w:eastAsia="zh-CN"/>
        </w:rPr>
        <w:t>21</w:t>
      </w:r>
      <w:r w:rsidRPr="00D47C1A">
        <w:rPr>
          <w:rFonts w:asciiTheme="minorHAnsi" w:eastAsia="SimSun" w:hAnsiTheme="minorHAnsi" w:cstheme="minorHAnsi"/>
          <w:lang w:val="zh-CN" w:eastAsia="zh-CN"/>
        </w:rPr>
        <w:t>项建议，其中五项已完结，四项已经落实，一项因未实施而完结，九项仍在进行中，两项与新办公楼项目有关，仍未解决且尚未落实。</w:t>
      </w:r>
    </w:p>
    <w:p w14:paraId="3E822AC5" w14:textId="5D42FE3D"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16</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5</w:t>
      </w:r>
      <w:r w:rsidRPr="00D47C1A">
        <w:rPr>
          <w:rFonts w:asciiTheme="minorHAnsi" w:eastAsia="SimSun" w:hAnsiTheme="minorHAnsi" w:cstheme="minorHAnsi"/>
          <w:lang w:val="zh-CN" w:eastAsia="zh-CN"/>
        </w:rPr>
        <w:t>月，秘书长指示对尚未完成的建议进行全面审查，这是朝着加强这一领域后续行动迈出的可喜一步。然而，此次审查揭示了重大差距，特别是在跟踪和审议前任机构此前</w:t>
      </w:r>
      <w:r w:rsidR="00D47C1A" w:rsidRPr="00D47C1A">
        <w:rPr>
          <w:rFonts w:ascii="SimSun" w:eastAsia="SimSun" w:hAnsi="SimSun" w:cstheme="minorHAnsi"/>
          <w:lang w:val="zh-CN" w:eastAsia="zh-CN"/>
        </w:rPr>
        <w:t>“</w:t>
      </w:r>
      <w:r w:rsidRPr="00D47C1A">
        <w:rPr>
          <w:rFonts w:asciiTheme="minorHAnsi" w:eastAsia="SimSun" w:hAnsiTheme="minorHAnsi" w:cstheme="minorHAnsi"/>
          <w:lang w:val="zh-CN" w:eastAsia="zh-CN"/>
        </w:rPr>
        <w:t>特别</w:t>
      </w:r>
      <w:r w:rsidR="00D47C1A" w:rsidRPr="00D47C1A">
        <w:rPr>
          <w:rFonts w:ascii="SimSun" w:eastAsia="SimSun" w:hAnsi="SimSun" w:cstheme="minorHAnsi"/>
          <w:lang w:val="zh-CN" w:eastAsia="zh-CN"/>
        </w:rPr>
        <w:t>”</w:t>
      </w:r>
      <w:r w:rsidRPr="00D47C1A">
        <w:rPr>
          <w:rFonts w:asciiTheme="minorHAnsi" w:eastAsia="SimSun" w:hAnsiTheme="minorHAnsi" w:cstheme="minorHAnsi"/>
          <w:lang w:val="zh-CN" w:eastAsia="zh-CN"/>
        </w:rPr>
        <w:t>报告中提出的建议方面，包括关于区域代表处和欺诈问题的建议，这些建议未被纳入合规信息概览且未得到积极管理。</w:t>
      </w:r>
    </w:p>
    <w:p w14:paraId="22AFA4A1"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17</w:t>
      </w:r>
      <w:r w:rsidRPr="00D47C1A">
        <w:rPr>
          <w:rFonts w:asciiTheme="minorHAnsi" w:eastAsia="SimSun" w:hAnsiTheme="minorHAnsi" w:cstheme="minorHAnsi"/>
          <w:b/>
          <w:bCs/>
          <w:lang w:val="zh-CN" w:eastAsia="zh-CN"/>
        </w:rPr>
        <w:tab/>
      </w:r>
      <w:r w:rsidRPr="00D47C1A">
        <w:rPr>
          <w:rFonts w:asciiTheme="minorHAnsi" w:eastAsia="SimSun" w:hAnsiTheme="minorHAnsi" w:cstheme="minorHAnsi"/>
          <w:lang w:val="zh-CN" w:eastAsia="zh-CN"/>
        </w:rPr>
        <w:t>我们在任期伊始从前任手中接管了</w:t>
      </w:r>
      <w:r w:rsidRPr="00D47C1A">
        <w:rPr>
          <w:rFonts w:asciiTheme="minorHAnsi" w:eastAsia="SimSun" w:hAnsiTheme="minorHAnsi" w:cstheme="minorHAnsi"/>
          <w:lang w:val="zh-CN" w:eastAsia="zh-CN"/>
        </w:rPr>
        <w:t>121</w:t>
      </w:r>
      <w:r w:rsidRPr="00D47C1A">
        <w:rPr>
          <w:rFonts w:asciiTheme="minorHAnsi" w:eastAsia="SimSun" w:hAnsiTheme="minorHAnsi" w:cstheme="minorHAnsi"/>
          <w:lang w:val="zh-CN" w:eastAsia="zh-CN"/>
        </w:rPr>
        <w:t>项未决建议。虽然已经取得了一些进展，但仍有若干建议尚未解决。特别是，那些特别报告中提出的长期性问题，在我们自己的调查结果中仍然存在。为解决这些不足，应建立更加结构化和系统化的流程，确保及时跟进尚未落实的建议，且秘书处应定期与</w:t>
      </w:r>
      <w:r w:rsidRPr="00D47C1A">
        <w:rPr>
          <w:rFonts w:asciiTheme="minorHAnsi" w:eastAsia="SimSun" w:hAnsiTheme="minorHAnsi" w:cstheme="minorHAnsi"/>
          <w:lang w:val="zh-CN" w:eastAsia="zh-CN"/>
        </w:rPr>
        <w:t>IMAC</w:t>
      </w:r>
      <w:r w:rsidRPr="00D47C1A">
        <w:rPr>
          <w:rFonts w:asciiTheme="minorHAnsi" w:eastAsia="SimSun" w:hAnsiTheme="minorHAnsi" w:cstheme="minorHAnsi"/>
          <w:lang w:val="zh-CN" w:eastAsia="zh-CN"/>
        </w:rPr>
        <w:t>接触，报告进展情况，保持透明度。</w:t>
      </w:r>
    </w:p>
    <w:p w14:paraId="474B7EE4" w14:textId="77777777" w:rsidR="00F912F4" w:rsidRPr="00D47C1A" w:rsidRDefault="00F912F4" w:rsidP="00D47C1A">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SimSun" w:hAnsiTheme="minorHAnsi" w:cstheme="minorHAnsi"/>
          <w:sz w:val="32"/>
          <w:lang w:eastAsia="zh-CN"/>
        </w:rPr>
      </w:pPr>
      <w:r w:rsidRPr="00D47C1A">
        <w:rPr>
          <w:rFonts w:asciiTheme="minorHAnsi" w:eastAsia="SimSun" w:hAnsiTheme="minorHAnsi" w:cstheme="minorHAnsi"/>
          <w:lang w:eastAsia="zh-CN"/>
        </w:rPr>
        <w:br w:type="page"/>
      </w:r>
    </w:p>
    <w:p w14:paraId="303E1B5A" w14:textId="77777777" w:rsidR="00F912F4" w:rsidRPr="00D47C1A" w:rsidRDefault="00F912F4" w:rsidP="00D47C1A">
      <w:pPr>
        <w:pStyle w:val="Heading1"/>
        <w:ind w:left="0" w:firstLine="0"/>
        <w:rPr>
          <w:rFonts w:asciiTheme="minorHAnsi" w:eastAsia="SimSun" w:hAnsiTheme="minorHAnsi" w:cstheme="minorHAnsi"/>
          <w:sz w:val="56"/>
          <w:szCs w:val="56"/>
          <w:lang w:eastAsia="zh-CN"/>
        </w:rPr>
      </w:pPr>
      <w:bookmarkStart w:id="26" w:name="_Toc200718058"/>
      <w:r w:rsidRPr="00D47C1A">
        <w:rPr>
          <w:rFonts w:asciiTheme="minorHAnsi" w:eastAsia="SimSun" w:hAnsiTheme="minorHAnsi" w:cstheme="minorHAnsi"/>
          <w:sz w:val="56"/>
          <w:szCs w:val="56"/>
          <w:lang w:eastAsia="zh-CN"/>
        </w:rPr>
        <w:lastRenderedPageBreak/>
        <w:t>第一部分</w:t>
      </w:r>
      <w:bookmarkEnd w:id="16"/>
      <w:bookmarkEnd w:id="26"/>
    </w:p>
    <w:p w14:paraId="59AC1978" w14:textId="77777777" w:rsidR="00F912F4" w:rsidRPr="00D47C1A" w:rsidRDefault="00F912F4" w:rsidP="00D47C1A">
      <w:pPr>
        <w:pStyle w:val="Heading2"/>
        <w:numPr>
          <w:ilvl w:val="0"/>
          <w:numId w:val="0"/>
        </w:numPr>
        <w:spacing w:before="720"/>
        <w:rPr>
          <w:rFonts w:asciiTheme="minorHAnsi" w:eastAsia="SimSun" w:hAnsiTheme="minorHAnsi" w:cstheme="minorHAnsi"/>
          <w:b w:val="0"/>
          <w:bCs/>
          <w:sz w:val="40"/>
          <w:szCs w:val="40"/>
          <w:lang w:eastAsia="zh-CN"/>
        </w:rPr>
      </w:pPr>
      <w:bookmarkStart w:id="27" w:name="_Toc137224225"/>
      <w:bookmarkStart w:id="28" w:name="_Toc200718059"/>
      <w:r w:rsidRPr="00D47C1A">
        <w:rPr>
          <w:rFonts w:asciiTheme="minorHAnsi" w:eastAsia="SimSun" w:hAnsiTheme="minorHAnsi" w:cstheme="minorHAnsi"/>
          <w:b w:val="0"/>
          <w:bCs/>
          <w:sz w:val="40"/>
          <w:szCs w:val="40"/>
          <w:lang w:eastAsia="zh-CN"/>
        </w:rPr>
        <w:t>财务管理</w:t>
      </w:r>
      <w:bookmarkEnd w:id="27"/>
      <w:bookmarkEnd w:id="28"/>
    </w:p>
    <w:p w14:paraId="3A59FF43" w14:textId="77777777" w:rsidR="00F912F4" w:rsidRPr="00E07EB1" w:rsidRDefault="00F912F4" w:rsidP="00E07EB1">
      <w:pPr>
        <w:pStyle w:val="Headingb"/>
        <w:rPr>
          <w:lang w:eastAsia="zh-CN"/>
        </w:rPr>
      </w:pPr>
      <w:bookmarkStart w:id="29" w:name="_Toc200718060"/>
      <w:r w:rsidRPr="00E07EB1">
        <w:rPr>
          <w:rFonts w:hint="eastAsia"/>
          <w:lang w:eastAsia="zh-CN"/>
        </w:rPr>
        <w:t>总体</w:t>
      </w:r>
      <w:r w:rsidRPr="00E07EB1">
        <w:rPr>
          <w:lang w:eastAsia="zh-CN"/>
        </w:rPr>
        <w:t>审计结果</w:t>
      </w:r>
      <w:bookmarkEnd w:id="29"/>
    </w:p>
    <w:p w14:paraId="29A2920C"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1.1</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经过对国际电联</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财务报表的审计，未发现我们认为相对于报表准确性、完整性或有效性而言的重大缺陷或错误。审计意见确认，这些财务报表在所有重大方面公允地列示了国际电联的财务状况及其截至该年度末的财务业绩和现金流量。审计意见还确认，这些财务报表的编制符合国际公共部门会计准则（</w:t>
      </w:r>
      <w:r w:rsidRPr="00D47C1A">
        <w:rPr>
          <w:rFonts w:asciiTheme="minorHAnsi" w:eastAsia="SimSun" w:hAnsiTheme="minorHAnsi" w:cstheme="minorHAnsi"/>
          <w:lang w:val="zh-CN" w:eastAsia="zh-CN"/>
        </w:rPr>
        <w:t>IPSAS</w:t>
      </w:r>
      <w:r w:rsidRPr="00D47C1A">
        <w:rPr>
          <w:rFonts w:asciiTheme="minorHAnsi" w:eastAsia="SimSun" w:hAnsiTheme="minorHAnsi" w:cstheme="minorHAnsi"/>
          <w:lang w:val="zh-CN" w:eastAsia="zh-CN"/>
        </w:rPr>
        <w:t>）。审计亦确认，在所有重大方面，构成财务报表的交易均按照《财务规则》进行，并符合管理机构的预期目的。</w:t>
      </w:r>
    </w:p>
    <w:p w14:paraId="5CC98EA1"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1.2</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本次审计包括对国际电联会计程序的总体审查、对影响我们审计意见的内部控制的评估；以及我们认为在具体情况下必要的对会计记录和其他支持性证据的测试。我们的审计程序主要旨在形成上述意见。审计并未涉及对预算和财务信息系统所有方面的详细审查，因此审计结果不应被视为对这些系统的全面陈述。最后，我们进行了检查，以确保财务报表准确反映会计记录并公允列报。</w:t>
      </w:r>
    </w:p>
    <w:p w14:paraId="3B71A023" w14:textId="77777777" w:rsidR="00F912F4" w:rsidRPr="00E07EB1" w:rsidRDefault="00F912F4" w:rsidP="00E07EB1">
      <w:pPr>
        <w:pStyle w:val="Headingb"/>
      </w:pPr>
      <w:bookmarkStart w:id="30" w:name="_Toc200718061"/>
      <w:proofErr w:type="spellStart"/>
      <w:r w:rsidRPr="00E07EB1">
        <w:t>财务报表的列报</w:t>
      </w:r>
      <w:bookmarkEnd w:id="30"/>
      <w:proofErr w:type="spellEnd"/>
    </w:p>
    <w:p w14:paraId="11193CE7" w14:textId="77777777" w:rsidR="00F912F4" w:rsidRPr="00D47C1A" w:rsidRDefault="00F912F4" w:rsidP="00D47C1A">
      <w:pPr>
        <w:tabs>
          <w:tab w:val="left" w:pos="0"/>
        </w:tabs>
        <w:rPr>
          <w:rFonts w:asciiTheme="minorHAnsi" w:eastAsia="SimSun" w:hAnsiTheme="minorHAnsi" w:cstheme="minorHAnsi"/>
          <w:spacing w:val="-2"/>
          <w:lang w:eastAsia="zh-CN"/>
        </w:rPr>
      </w:pPr>
      <w:r w:rsidRPr="00D47C1A">
        <w:rPr>
          <w:rFonts w:asciiTheme="minorHAnsi" w:eastAsia="SimSun" w:hAnsiTheme="minorHAnsi" w:cstheme="minorHAnsi"/>
          <w:b/>
          <w:bCs/>
          <w:lang w:val="zh-CN" w:eastAsia="zh-CN"/>
        </w:rPr>
        <w:t>1.3</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根据我们的整体计划，国际电联于</w:t>
      </w:r>
      <w:r w:rsidRPr="00D47C1A">
        <w:rPr>
          <w:rFonts w:asciiTheme="minorHAnsi" w:eastAsia="SimSun" w:hAnsiTheme="minorHAnsi" w:cstheme="minorHAnsi"/>
          <w:lang w:val="zh-CN" w:eastAsia="zh-CN"/>
        </w:rPr>
        <w:t>2025</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3</w:t>
      </w:r>
      <w:r w:rsidRPr="00D47C1A">
        <w:rPr>
          <w:rFonts w:asciiTheme="minorHAnsi" w:eastAsia="SimSun" w:hAnsiTheme="minorHAnsi" w:cstheme="minorHAnsi"/>
          <w:lang w:val="zh-CN" w:eastAsia="zh-CN"/>
        </w:rPr>
        <w:t>月初提交了</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运作报告草案和财务报表供审计。总体而言，财务报表的列示和质量较之前提交审计的版本有所改进。虽然我们在初步审查仍发现了一些需要国际电联考虑的列报和披露问题，但这些问题相较于往年所强调的问题更为次要。国际电联认识到，为进一步提升财务报告质量，需对结账及审查流程进行持续优化。我们已与管理层和独立管理顾问委员会（</w:t>
      </w:r>
      <w:r w:rsidRPr="00D47C1A">
        <w:rPr>
          <w:rFonts w:asciiTheme="minorHAnsi" w:eastAsia="SimSun" w:hAnsiTheme="minorHAnsi" w:cstheme="minorHAnsi"/>
          <w:lang w:val="zh-CN" w:eastAsia="zh-CN"/>
        </w:rPr>
        <w:t>IMAC</w:t>
      </w:r>
      <w:r w:rsidRPr="00D47C1A">
        <w:rPr>
          <w:rFonts w:asciiTheme="minorHAnsi" w:eastAsia="SimSun" w:hAnsiTheme="minorHAnsi" w:cstheme="minorHAnsi"/>
          <w:lang w:val="zh-CN" w:eastAsia="zh-CN"/>
        </w:rPr>
        <w:t>）讨论了需要改进的关键领域。此举尤为重要，因为新的</w:t>
      </w:r>
      <w:r w:rsidRPr="00D47C1A">
        <w:rPr>
          <w:rFonts w:asciiTheme="minorHAnsi" w:eastAsia="SimSun" w:hAnsiTheme="minorHAnsi" w:cstheme="minorHAnsi"/>
          <w:lang w:val="zh-CN" w:eastAsia="zh-CN"/>
        </w:rPr>
        <w:t>IPSAS</w:t>
      </w:r>
      <w:r w:rsidRPr="00D47C1A">
        <w:rPr>
          <w:rFonts w:asciiTheme="minorHAnsi" w:eastAsia="SimSun" w:hAnsiTheme="minorHAnsi" w:cstheme="minorHAnsi"/>
          <w:lang w:val="zh-CN" w:eastAsia="zh-CN"/>
        </w:rPr>
        <w:t>报告标准将在今后几年内陆续实施，这将要求会计政策与流程进一步完善。</w:t>
      </w:r>
    </w:p>
    <w:p w14:paraId="104229C3" w14:textId="77777777" w:rsidR="00F912F4" w:rsidRPr="00E07EB1" w:rsidRDefault="00F912F4" w:rsidP="00E07EB1">
      <w:pPr>
        <w:pStyle w:val="Headingb"/>
      </w:pPr>
      <w:bookmarkStart w:id="31" w:name="_Toc200718062"/>
      <w:proofErr w:type="spellStart"/>
      <w:r w:rsidRPr="00E07EB1">
        <w:rPr>
          <w:rFonts w:hint="eastAsia"/>
        </w:rPr>
        <w:t>财务评论</w:t>
      </w:r>
      <w:bookmarkEnd w:id="31"/>
      <w:proofErr w:type="spellEnd"/>
    </w:p>
    <w:p w14:paraId="5548C806" w14:textId="77777777" w:rsidR="00F912F4" w:rsidRPr="00D47C1A" w:rsidRDefault="00F912F4" w:rsidP="00D47C1A">
      <w:pPr>
        <w:pStyle w:val="Heading4"/>
        <w:numPr>
          <w:ilvl w:val="0"/>
          <w:numId w:val="0"/>
        </w:numPr>
        <w:rPr>
          <w:rFonts w:asciiTheme="minorHAnsi" w:eastAsia="SimSun" w:hAnsiTheme="minorHAnsi" w:cstheme="minorHAnsi"/>
          <w:i w:val="0"/>
          <w:iCs/>
          <w:sz w:val="28"/>
          <w:szCs w:val="28"/>
          <w:lang w:eastAsia="zh-CN"/>
        </w:rPr>
      </w:pPr>
      <w:r w:rsidRPr="00D47C1A">
        <w:rPr>
          <w:rFonts w:asciiTheme="minorHAnsi" w:eastAsia="SimSun" w:hAnsiTheme="minorHAnsi" w:cstheme="minorHAnsi"/>
          <w:i w:val="0"/>
          <w:iCs/>
          <w:sz w:val="28"/>
          <w:szCs w:val="28"/>
          <w:lang w:eastAsia="zh-CN"/>
        </w:rPr>
        <w:t>财务业绩</w:t>
      </w:r>
    </w:p>
    <w:p w14:paraId="642E7222" w14:textId="1B7E5494" w:rsidR="00F912F4" w:rsidRPr="00D47C1A" w:rsidRDefault="00F912F4" w:rsidP="00D47C1A">
      <w:pPr>
        <w:keepNext/>
        <w:keepLines/>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1.4</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国际电联报告的总赤字为</w:t>
      </w:r>
      <w:r w:rsidRPr="00D47C1A">
        <w:rPr>
          <w:rFonts w:asciiTheme="minorHAnsi" w:eastAsia="SimSun" w:hAnsiTheme="minorHAnsi" w:cstheme="minorHAnsi"/>
          <w:lang w:val="zh-CN" w:eastAsia="zh-CN"/>
        </w:rPr>
        <w:t>2</w:t>
      </w:r>
      <w:r w:rsidR="00E07EB1">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790</w:t>
      </w:r>
      <w:r w:rsidRPr="00D47C1A">
        <w:rPr>
          <w:rFonts w:asciiTheme="minorHAnsi" w:eastAsia="SimSun" w:hAnsiTheme="minorHAnsi" w:cstheme="minorHAnsi"/>
          <w:lang w:val="zh-CN" w:eastAsia="zh-CN"/>
        </w:rPr>
        <w:t>万瑞郎（</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年的赤字为</w:t>
      </w:r>
      <w:r w:rsidRPr="00D47C1A">
        <w:rPr>
          <w:rFonts w:asciiTheme="minorHAnsi" w:eastAsia="SimSun" w:hAnsiTheme="minorHAnsi" w:cstheme="minorHAnsi"/>
          <w:lang w:val="zh-CN" w:eastAsia="zh-CN"/>
        </w:rPr>
        <w:t>2</w:t>
      </w:r>
      <w:r w:rsidR="00E07EB1">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480</w:t>
      </w:r>
      <w:r w:rsidRPr="00D47C1A">
        <w:rPr>
          <w:rFonts w:asciiTheme="minorHAnsi" w:eastAsia="SimSun" w:hAnsiTheme="minorHAnsi" w:cstheme="minorHAnsi"/>
          <w:lang w:val="zh-CN" w:eastAsia="zh-CN"/>
        </w:rPr>
        <w:t>万瑞郎），总收入为</w:t>
      </w:r>
      <w:r w:rsidRPr="00D47C1A">
        <w:rPr>
          <w:rFonts w:asciiTheme="minorHAnsi" w:eastAsia="SimSun" w:hAnsiTheme="minorHAnsi" w:cstheme="minorHAnsi"/>
          <w:lang w:val="zh-CN" w:eastAsia="zh-CN"/>
        </w:rPr>
        <w:t>1.846</w:t>
      </w:r>
      <w:r w:rsidRPr="00D47C1A">
        <w:rPr>
          <w:rFonts w:asciiTheme="minorHAnsi" w:eastAsia="SimSun" w:hAnsiTheme="minorHAnsi" w:cstheme="minorHAnsi"/>
          <w:lang w:val="zh-CN" w:eastAsia="zh-CN"/>
        </w:rPr>
        <w:t>亿瑞郎（</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年的总收入为</w:t>
      </w:r>
      <w:r w:rsidRPr="00D47C1A">
        <w:rPr>
          <w:rFonts w:asciiTheme="minorHAnsi" w:eastAsia="SimSun" w:hAnsiTheme="minorHAnsi" w:cstheme="minorHAnsi"/>
          <w:lang w:val="zh-CN" w:eastAsia="zh-CN"/>
        </w:rPr>
        <w:t>1.807</w:t>
      </w:r>
      <w:r w:rsidRPr="00D47C1A">
        <w:rPr>
          <w:rFonts w:asciiTheme="minorHAnsi" w:eastAsia="SimSun" w:hAnsiTheme="minorHAnsi" w:cstheme="minorHAnsi"/>
          <w:lang w:val="zh-CN" w:eastAsia="zh-CN"/>
        </w:rPr>
        <w:t>亿瑞郎），支出为</w:t>
      </w:r>
      <w:r w:rsidRPr="00D47C1A">
        <w:rPr>
          <w:rFonts w:asciiTheme="minorHAnsi" w:eastAsia="SimSun" w:hAnsiTheme="minorHAnsi" w:cstheme="minorHAnsi"/>
          <w:lang w:val="zh-CN" w:eastAsia="zh-CN"/>
        </w:rPr>
        <w:t>2.22</w:t>
      </w:r>
      <w:r w:rsidRPr="00D47C1A">
        <w:rPr>
          <w:rFonts w:asciiTheme="minorHAnsi" w:eastAsia="SimSun" w:hAnsiTheme="minorHAnsi" w:cstheme="minorHAnsi"/>
          <w:lang w:val="zh-CN" w:eastAsia="zh-CN"/>
        </w:rPr>
        <w:t>亿瑞郎（</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年的支出为</w:t>
      </w:r>
      <w:r w:rsidRPr="00D47C1A">
        <w:rPr>
          <w:rFonts w:asciiTheme="minorHAnsi" w:eastAsia="SimSun" w:hAnsiTheme="minorHAnsi" w:cstheme="minorHAnsi"/>
          <w:lang w:val="zh-CN" w:eastAsia="zh-CN"/>
        </w:rPr>
        <w:t>1.972</w:t>
      </w:r>
      <w:r w:rsidRPr="00D47C1A">
        <w:rPr>
          <w:rFonts w:asciiTheme="minorHAnsi" w:eastAsia="SimSun" w:hAnsiTheme="minorHAnsi" w:cstheme="minorHAnsi"/>
          <w:lang w:val="zh-CN" w:eastAsia="zh-CN"/>
        </w:rPr>
        <w:t>亿瑞郎）。支出增加</w:t>
      </w:r>
      <w:r w:rsidRPr="00D47C1A">
        <w:rPr>
          <w:rFonts w:asciiTheme="minorHAnsi" w:eastAsia="SimSun" w:hAnsiTheme="minorHAnsi" w:cstheme="minorHAnsi"/>
          <w:lang w:val="zh-CN" w:eastAsia="zh-CN"/>
        </w:rPr>
        <w:t>2</w:t>
      </w:r>
      <w:r w:rsidR="00E07EB1">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480</w:t>
      </w:r>
      <w:r w:rsidRPr="00D47C1A">
        <w:rPr>
          <w:rFonts w:asciiTheme="minorHAnsi" w:eastAsia="SimSun" w:hAnsiTheme="minorHAnsi" w:cstheme="minorHAnsi"/>
          <w:lang w:val="zh-CN" w:eastAsia="zh-CN"/>
        </w:rPr>
        <w:t>万瑞郎的原因是在建资产的资本化价值减值，该减值与新办公楼项目之前发生的费用（</w:t>
      </w:r>
      <w:r w:rsidRPr="00D47C1A">
        <w:rPr>
          <w:rFonts w:asciiTheme="minorHAnsi" w:eastAsia="SimSun" w:hAnsiTheme="minorHAnsi" w:cstheme="minorHAnsi"/>
          <w:lang w:val="zh-CN" w:eastAsia="zh-CN"/>
        </w:rPr>
        <w:t>2</w:t>
      </w:r>
      <w:r w:rsidR="00E07EB1">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100</w:t>
      </w:r>
      <w:r w:rsidRPr="00D47C1A">
        <w:rPr>
          <w:rFonts w:asciiTheme="minorHAnsi" w:eastAsia="SimSun" w:hAnsiTheme="minorHAnsi" w:cstheme="minorHAnsi"/>
          <w:lang w:val="zh-CN" w:eastAsia="zh-CN"/>
        </w:rPr>
        <w:t>万瑞郎）、应收账款坏账准备金的增加（</w:t>
      </w:r>
      <w:r w:rsidRPr="00D47C1A">
        <w:rPr>
          <w:rFonts w:asciiTheme="minorHAnsi" w:eastAsia="SimSun" w:hAnsiTheme="minorHAnsi" w:cstheme="minorHAnsi"/>
          <w:lang w:val="zh-CN" w:eastAsia="zh-CN"/>
        </w:rPr>
        <w:t>640</w:t>
      </w:r>
      <w:r w:rsidRPr="00D47C1A">
        <w:rPr>
          <w:rFonts w:asciiTheme="minorHAnsi" w:eastAsia="SimSun" w:hAnsiTheme="minorHAnsi" w:cstheme="minorHAnsi"/>
          <w:lang w:val="zh-CN" w:eastAsia="zh-CN"/>
        </w:rPr>
        <w:t>万瑞郎）以及为偿还新办公楼赞助协议而计提的准备金有关。上述支出部分被员工费用的减少（</w:t>
      </w:r>
      <w:r w:rsidRPr="00D47C1A">
        <w:rPr>
          <w:rFonts w:asciiTheme="minorHAnsi" w:eastAsia="SimSun" w:hAnsiTheme="minorHAnsi" w:cstheme="minorHAnsi"/>
          <w:lang w:val="zh-CN" w:eastAsia="zh-CN"/>
        </w:rPr>
        <w:t>820</w:t>
      </w:r>
      <w:r w:rsidRPr="00D47C1A">
        <w:rPr>
          <w:rFonts w:asciiTheme="minorHAnsi" w:eastAsia="SimSun" w:hAnsiTheme="minorHAnsi" w:cstheme="minorHAnsi"/>
          <w:lang w:val="zh-CN" w:eastAsia="zh-CN"/>
        </w:rPr>
        <w:t>万瑞郎）所抵消，主要由于</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年离职后健康保险（</w:t>
      </w:r>
      <w:r w:rsidRPr="00D47C1A">
        <w:rPr>
          <w:rFonts w:asciiTheme="minorHAnsi" w:eastAsia="SimSun" w:hAnsiTheme="minorHAnsi" w:cstheme="minorHAnsi"/>
          <w:lang w:val="zh-CN" w:eastAsia="zh-CN"/>
        </w:rPr>
        <w:t>ASHI</w:t>
      </w:r>
      <w:r w:rsidRPr="00D47C1A">
        <w:rPr>
          <w:rFonts w:asciiTheme="minorHAnsi" w:eastAsia="SimSun" w:hAnsiTheme="minorHAnsi" w:cstheme="minorHAnsi"/>
          <w:lang w:val="zh-CN" w:eastAsia="zh-CN"/>
        </w:rPr>
        <w:t>）净服务费用减少了</w:t>
      </w:r>
      <w:r w:rsidRPr="00D47C1A">
        <w:rPr>
          <w:rFonts w:asciiTheme="minorHAnsi" w:eastAsia="SimSun" w:hAnsiTheme="minorHAnsi" w:cstheme="minorHAnsi"/>
          <w:lang w:val="zh-CN" w:eastAsia="zh-CN"/>
        </w:rPr>
        <w:t>780</w:t>
      </w:r>
      <w:r w:rsidRPr="00D47C1A">
        <w:rPr>
          <w:rFonts w:asciiTheme="minorHAnsi" w:eastAsia="SimSun" w:hAnsiTheme="minorHAnsi" w:cstheme="minorHAnsi"/>
          <w:lang w:val="zh-CN" w:eastAsia="zh-CN"/>
        </w:rPr>
        <w:t>万瑞郎（</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1</w:t>
      </w:r>
      <w:r w:rsidR="00E07EB1">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160</w:t>
      </w:r>
      <w:r w:rsidRPr="00D47C1A">
        <w:rPr>
          <w:rFonts w:asciiTheme="minorHAnsi" w:eastAsia="SimSun" w:hAnsiTheme="minorHAnsi" w:cstheme="minorHAnsi"/>
          <w:lang w:val="zh-CN" w:eastAsia="zh-CN"/>
        </w:rPr>
        <w:t>万瑞郎）以及其他职员费用的下降（</w:t>
      </w:r>
      <w:r w:rsidRPr="00D47C1A">
        <w:rPr>
          <w:rFonts w:asciiTheme="minorHAnsi" w:eastAsia="SimSun" w:hAnsiTheme="minorHAnsi" w:cstheme="minorHAnsi"/>
          <w:lang w:val="zh-CN" w:eastAsia="zh-CN"/>
        </w:rPr>
        <w:t>340</w:t>
      </w:r>
      <w:r w:rsidRPr="00D47C1A">
        <w:rPr>
          <w:rFonts w:asciiTheme="minorHAnsi" w:eastAsia="SimSun" w:hAnsiTheme="minorHAnsi" w:cstheme="minorHAnsi"/>
          <w:lang w:val="zh-CN" w:eastAsia="zh-CN"/>
        </w:rPr>
        <w:t>万瑞郎）。</w:t>
      </w:r>
    </w:p>
    <w:p w14:paraId="64DD6807"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1.5</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国际电联收到</w:t>
      </w:r>
      <w:r w:rsidRPr="00D47C1A">
        <w:rPr>
          <w:rFonts w:asciiTheme="minorHAnsi" w:eastAsia="SimSun" w:hAnsiTheme="minorHAnsi" w:cstheme="minorHAnsi"/>
          <w:lang w:val="zh-CN" w:eastAsia="zh-CN"/>
        </w:rPr>
        <w:t>950</w:t>
      </w:r>
      <w:r w:rsidRPr="00D47C1A">
        <w:rPr>
          <w:rFonts w:asciiTheme="minorHAnsi" w:eastAsia="SimSun" w:hAnsiTheme="minorHAnsi" w:cstheme="minorHAnsi"/>
          <w:lang w:val="zh-CN" w:eastAsia="zh-CN"/>
        </w:rPr>
        <w:t>万瑞郎的净财务收入，主要来自市场条件变化所带来的投资利息（</w:t>
      </w:r>
      <w:r w:rsidRPr="00D47C1A">
        <w:rPr>
          <w:rFonts w:asciiTheme="minorHAnsi" w:eastAsia="SimSun" w:hAnsiTheme="minorHAnsi" w:cstheme="minorHAnsi"/>
          <w:lang w:val="zh-CN" w:eastAsia="zh-CN"/>
        </w:rPr>
        <w:t>460</w:t>
      </w:r>
      <w:r w:rsidRPr="00D47C1A">
        <w:rPr>
          <w:rFonts w:asciiTheme="minorHAnsi" w:eastAsia="SimSun" w:hAnsiTheme="minorHAnsi" w:cstheme="minorHAnsi"/>
          <w:lang w:val="zh-CN" w:eastAsia="zh-CN"/>
        </w:rPr>
        <w:t>万瑞郎）和汇率收益（</w:t>
      </w:r>
      <w:r w:rsidRPr="00D47C1A">
        <w:rPr>
          <w:rFonts w:asciiTheme="minorHAnsi" w:eastAsia="SimSun" w:hAnsiTheme="minorHAnsi" w:cstheme="minorHAnsi"/>
          <w:lang w:val="zh-CN" w:eastAsia="zh-CN"/>
        </w:rPr>
        <w:t>570</w:t>
      </w:r>
      <w:r w:rsidRPr="00D47C1A">
        <w:rPr>
          <w:rFonts w:asciiTheme="minorHAnsi" w:eastAsia="SimSun" w:hAnsiTheme="minorHAnsi" w:cstheme="minorHAnsi"/>
          <w:lang w:val="zh-CN" w:eastAsia="zh-CN"/>
        </w:rPr>
        <w:t>万瑞郎），而</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年的净财务成本为</w:t>
      </w:r>
      <w:r w:rsidRPr="00D47C1A">
        <w:rPr>
          <w:rFonts w:asciiTheme="minorHAnsi" w:eastAsia="SimSun" w:hAnsiTheme="minorHAnsi" w:cstheme="minorHAnsi"/>
          <w:lang w:val="zh-CN" w:eastAsia="zh-CN"/>
        </w:rPr>
        <w:t>830</w:t>
      </w:r>
      <w:r w:rsidRPr="00D47C1A">
        <w:rPr>
          <w:rFonts w:asciiTheme="minorHAnsi" w:eastAsia="SimSun" w:hAnsiTheme="minorHAnsi" w:cstheme="minorHAnsi"/>
          <w:lang w:val="zh-CN" w:eastAsia="zh-CN"/>
        </w:rPr>
        <w:t>万瑞郎，但</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年的总体赤字较</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年增加了</w:t>
      </w:r>
      <w:r w:rsidRPr="00D47C1A">
        <w:rPr>
          <w:rFonts w:asciiTheme="minorHAnsi" w:eastAsia="SimSun" w:hAnsiTheme="minorHAnsi" w:cstheme="minorHAnsi"/>
          <w:lang w:val="zh-CN" w:eastAsia="zh-CN"/>
        </w:rPr>
        <w:t>310</w:t>
      </w:r>
      <w:r w:rsidRPr="00D47C1A">
        <w:rPr>
          <w:rFonts w:asciiTheme="minorHAnsi" w:eastAsia="SimSun" w:hAnsiTheme="minorHAnsi" w:cstheme="minorHAnsi"/>
          <w:lang w:val="zh-CN" w:eastAsia="zh-CN"/>
        </w:rPr>
        <w:t>万瑞郎。</w:t>
      </w:r>
    </w:p>
    <w:p w14:paraId="1CECC10B" w14:textId="77777777" w:rsidR="00F912F4" w:rsidRPr="00D47C1A" w:rsidRDefault="00F912F4" w:rsidP="00D47C1A">
      <w:pPr>
        <w:pStyle w:val="Heading4"/>
        <w:numPr>
          <w:ilvl w:val="0"/>
          <w:numId w:val="0"/>
        </w:numPr>
        <w:rPr>
          <w:rFonts w:asciiTheme="minorHAnsi" w:eastAsia="SimSun" w:hAnsiTheme="minorHAnsi" w:cstheme="minorHAnsi"/>
          <w:i w:val="0"/>
          <w:iCs/>
          <w:sz w:val="28"/>
          <w:szCs w:val="28"/>
          <w:lang w:eastAsia="zh-CN"/>
        </w:rPr>
      </w:pPr>
      <w:r w:rsidRPr="00D47C1A">
        <w:rPr>
          <w:rFonts w:asciiTheme="minorHAnsi" w:eastAsia="SimSun" w:hAnsiTheme="minorHAnsi" w:cstheme="minorHAnsi"/>
          <w:i w:val="0"/>
          <w:iCs/>
          <w:sz w:val="28"/>
          <w:szCs w:val="28"/>
          <w:lang w:eastAsia="zh-CN"/>
        </w:rPr>
        <w:lastRenderedPageBreak/>
        <w:t>预算业绩</w:t>
      </w:r>
    </w:p>
    <w:p w14:paraId="41B67712"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1.6</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正常预算与实际支出的比较报表显示了相对于批准预算的收支情况，实际收入为</w:t>
      </w:r>
      <w:r w:rsidRPr="00D47C1A">
        <w:rPr>
          <w:rFonts w:asciiTheme="minorHAnsi" w:eastAsia="SimSun" w:hAnsiTheme="minorHAnsi" w:cstheme="minorHAnsi"/>
          <w:lang w:val="zh-CN" w:eastAsia="zh-CN"/>
        </w:rPr>
        <w:t>1.615</w:t>
      </w:r>
      <w:r w:rsidRPr="00D47C1A">
        <w:rPr>
          <w:rFonts w:asciiTheme="minorHAnsi" w:eastAsia="SimSun" w:hAnsiTheme="minorHAnsi" w:cstheme="minorHAnsi"/>
          <w:lang w:val="zh-CN" w:eastAsia="zh-CN"/>
        </w:rPr>
        <w:t>亿瑞郎，实际支出为</w:t>
      </w:r>
      <w:r w:rsidRPr="00D47C1A">
        <w:rPr>
          <w:rFonts w:asciiTheme="minorHAnsi" w:eastAsia="SimSun" w:hAnsiTheme="minorHAnsi" w:cstheme="minorHAnsi"/>
          <w:lang w:val="zh-CN" w:eastAsia="zh-CN"/>
        </w:rPr>
        <w:t>1.558</w:t>
      </w:r>
      <w:r w:rsidRPr="00D47C1A">
        <w:rPr>
          <w:rFonts w:asciiTheme="minorHAnsi" w:eastAsia="SimSun" w:hAnsiTheme="minorHAnsi" w:cstheme="minorHAnsi"/>
          <w:lang w:val="zh-CN" w:eastAsia="zh-CN"/>
        </w:rPr>
        <w:t>亿瑞郎，而平衡预算为</w:t>
      </w:r>
      <w:r w:rsidRPr="00D47C1A">
        <w:rPr>
          <w:rFonts w:asciiTheme="minorHAnsi" w:eastAsia="SimSun" w:hAnsiTheme="minorHAnsi" w:cstheme="minorHAnsi"/>
          <w:lang w:val="zh-CN" w:eastAsia="zh-CN"/>
        </w:rPr>
        <w:t>1.649</w:t>
      </w:r>
      <w:r w:rsidRPr="00D47C1A">
        <w:rPr>
          <w:rFonts w:asciiTheme="minorHAnsi" w:eastAsia="SimSun" w:hAnsiTheme="minorHAnsi" w:cstheme="minorHAnsi"/>
          <w:lang w:val="zh-CN" w:eastAsia="zh-CN"/>
        </w:rPr>
        <w:t>亿瑞郎。尽管国际电联报告总体盈余</w:t>
      </w:r>
      <w:r w:rsidRPr="00D47C1A">
        <w:rPr>
          <w:rFonts w:asciiTheme="minorHAnsi" w:eastAsia="SimSun" w:hAnsiTheme="minorHAnsi" w:cstheme="minorHAnsi"/>
          <w:lang w:val="zh-CN" w:eastAsia="zh-CN"/>
        </w:rPr>
        <w:t>570</w:t>
      </w:r>
      <w:r w:rsidRPr="00D47C1A">
        <w:rPr>
          <w:rFonts w:asciiTheme="minorHAnsi" w:eastAsia="SimSun" w:hAnsiTheme="minorHAnsi" w:cstheme="minorHAnsi"/>
          <w:lang w:val="zh-CN" w:eastAsia="zh-CN"/>
        </w:rPr>
        <w:t>万瑞郎，实现了收支平衡目标，但成本回收收入较预算低</w:t>
      </w:r>
      <w:r w:rsidRPr="00D47C1A">
        <w:rPr>
          <w:rFonts w:asciiTheme="minorHAnsi" w:eastAsia="SimSun" w:hAnsiTheme="minorHAnsi" w:cstheme="minorHAnsi"/>
          <w:lang w:val="zh-CN" w:eastAsia="zh-CN"/>
        </w:rPr>
        <w:t>610</w:t>
      </w:r>
      <w:r w:rsidRPr="00D47C1A">
        <w:rPr>
          <w:rFonts w:asciiTheme="minorHAnsi" w:eastAsia="SimSun" w:hAnsiTheme="minorHAnsi" w:cstheme="minorHAnsi"/>
          <w:lang w:val="zh-CN" w:eastAsia="zh-CN"/>
        </w:rPr>
        <w:t>万瑞郎（</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年低于预算</w:t>
      </w:r>
      <w:r w:rsidRPr="00D47C1A">
        <w:rPr>
          <w:rFonts w:asciiTheme="minorHAnsi" w:eastAsia="SimSun" w:hAnsiTheme="minorHAnsi" w:cstheme="minorHAnsi"/>
          <w:lang w:val="zh-CN" w:eastAsia="zh-CN"/>
        </w:rPr>
        <w:t>700</w:t>
      </w:r>
      <w:r w:rsidRPr="00D47C1A">
        <w:rPr>
          <w:rFonts w:asciiTheme="minorHAnsi" w:eastAsia="SimSun" w:hAnsiTheme="minorHAnsi" w:cstheme="minorHAnsi"/>
          <w:lang w:val="zh-CN" w:eastAsia="zh-CN"/>
        </w:rPr>
        <w:t>万瑞郎）。这一缺口主要归因于处理卫星网络申报资料（</w:t>
      </w:r>
      <w:r w:rsidRPr="00D47C1A">
        <w:rPr>
          <w:rFonts w:asciiTheme="minorHAnsi" w:eastAsia="SimSun" w:hAnsiTheme="minorHAnsi" w:cstheme="minorHAnsi"/>
          <w:lang w:val="zh-CN" w:eastAsia="zh-CN"/>
        </w:rPr>
        <w:t>SNF</w:t>
      </w:r>
      <w:r w:rsidRPr="00D47C1A">
        <w:rPr>
          <w:rFonts w:asciiTheme="minorHAnsi" w:eastAsia="SimSun" w:hAnsiTheme="minorHAnsi" w:cstheme="minorHAnsi"/>
          <w:lang w:val="zh-CN" w:eastAsia="zh-CN"/>
        </w:rPr>
        <w:t>）的成本回收收入持续下降，部分被</w:t>
      </w:r>
      <w:r w:rsidRPr="00D47C1A">
        <w:rPr>
          <w:rFonts w:asciiTheme="minorHAnsi" w:eastAsia="SimSun" w:hAnsiTheme="minorHAnsi" w:cstheme="minorHAnsi"/>
          <w:lang w:val="zh-CN" w:eastAsia="zh-CN"/>
        </w:rPr>
        <w:t>360</w:t>
      </w:r>
      <w:r w:rsidRPr="00D47C1A">
        <w:rPr>
          <w:rFonts w:asciiTheme="minorHAnsi" w:eastAsia="SimSun" w:hAnsiTheme="minorHAnsi" w:cstheme="minorHAnsi"/>
          <w:lang w:val="zh-CN" w:eastAsia="zh-CN"/>
        </w:rPr>
        <w:t>万瑞郎（预期为</w:t>
      </w:r>
      <w:r w:rsidRPr="00D47C1A">
        <w:rPr>
          <w:rFonts w:asciiTheme="minorHAnsi" w:eastAsia="SimSun" w:hAnsiTheme="minorHAnsi" w:cstheme="minorHAnsi"/>
          <w:lang w:val="zh-CN" w:eastAsia="zh-CN"/>
        </w:rPr>
        <w:t>100</w:t>
      </w:r>
      <w:r w:rsidRPr="00D47C1A">
        <w:rPr>
          <w:rFonts w:asciiTheme="minorHAnsi" w:eastAsia="SimSun" w:hAnsiTheme="minorHAnsi" w:cstheme="minorHAnsi"/>
          <w:lang w:val="zh-CN" w:eastAsia="zh-CN"/>
        </w:rPr>
        <w:t>万瑞郎）的利息收入所抵消。</w:t>
      </w:r>
    </w:p>
    <w:p w14:paraId="1002D099" w14:textId="3AA2C8BE"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1.7</w:t>
      </w:r>
      <w:r w:rsidRPr="00D47C1A">
        <w:rPr>
          <w:rFonts w:asciiTheme="minorHAnsi" w:eastAsia="SimSun" w:hAnsiTheme="minorHAnsi" w:cstheme="minorHAnsi"/>
          <w:lang w:val="zh-CN" w:eastAsia="zh-CN"/>
        </w:rPr>
        <w:tab/>
        <w:t>2024</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SNF</w:t>
      </w:r>
      <w:r w:rsidRPr="00D47C1A">
        <w:rPr>
          <w:rFonts w:asciiTheme="minorHAnsi" w:eastAsia="SimSun" w:hAnsiTheme="minorHAnsi" w:cstheme="minorHAnsi"/>
          <w:lang w:val="zh-CN" w:eastAsia="zh-CN"/>
        </w:rPr>
        <w:t>的收入预测为</w:t>
      </w:r>
      <w:r w:rsidRPr="00D47C1A">
        <w:rPr>
          <w:rFonts w:asciiTheme="minorHAnsi" w:eastAsia="SimSun" w:hAnsiTheme="minorHAnsi" w:cstheme="minorHAnsi"/>
          <w:lang w:val="zh-CN" w:eastAsia="zh-CN"/>
        </w:rPr>
        <w:t>1</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400</w:t>
      </w:r>
      <w:r w:rsidRPr="00D47C1A">
        <w:rPr>
          <w:rFonts w:asciiTheme="minorHAnsi" w:eastAsia="SimSun" w:hAnsiTheme="minorHAnsi" w:cstheme="minorHAnsi"/>
          <w:lang w:val="zh-CN" w:eastAsia="zh-CN"/>
        </w:rPr>
        <w:t>万瑞郎，实际收入为</w:t>
      </w:r>
      <w:r w:rsidRPr="00D47C1A">
        <w:rPr>
          <w:rFonts w:asciiTheme="minorHAnsi" w:eastAsia="SimSun" w:hAnsiTheme="minorHAnsi" w:cstheme="minorHAnsi"/>
          <w:lang w:val="zh-CN" w:eastAsia="zh-CN"/>
        </w:rPr>
        <w:t>760</w:t>
      </w:r>
      <w:r w:rsidRPr="00D47C1A">
        <w:rPr>
          <w:rFonts w:asciiTheme="minorHAnsi" w:eastAsia="SimSun" w:hAnsiTheme="minorHAnsi" w:cstheme="minorHAnsi"/>
          <w:lang w:val="zh-CN" w:eastAsia="zh-CN"/>
        </w:rPr>
        <w:t>万瑞郎，较预测值低</w:t>
      </w:r>
      <w:r w:rsidRPr="00D47C1A">
        <w:rPr>
          <w:rFonts w:asciiTheme="minorHAnsi" w:eastAsia="SimSun" w:hAnsiTheme="minorHAnsi" w:cstheme="minorHAnsi"/>
          <w:lang w:val="zh-CN" w:eastAsia="zh-CN"/>
        </w:rPr>
        <w:t>45.7%</w:t>
      </w:r>
      <w:r w:rsidRPr="00D47C1A">
        <w:rPr>
          <w:rFonts w:asciiTheme="minorHAnsi" w:eastAsia="SimSun" w:hAnsiTheme="minorHAnsi" w:cstheme="minorHAnsi"/>
          <w:lang w:val="zh-CN" w:eastAsia="zh-CN"/>
        </w:rPr>
        <w:t>。</w:t>
      </w:r>
      <w:r w:rsidRPr="00D47C1A">
        <w:rPr>
          <w:rFonts w:asciiTheme="minorHAnsi" w:eastAsia="SimSun" w:hAnsiTheme="minorHAnsi" w:cstheme="minorHAnsi"/>
          <w:lang w:val="zh-CN" w:eastAsia="zh-CN"/>
        </w:rPr>
        <w:t>2025</w:t>
      </w:r>
      <w:r w:rsidRPr="00D47C1A">
        <w:rPr>
          <w:rFonts w:asciiTheme="minorHAnsi" w:eastAsia="SimSun" w:hAnsiTheme="minorHAnsi" w:cstheme="minorHAnsi"/>
          <w:lang w:val="zh-CN" w:eastAsia="zh-CN"/>
        </w:rPr>
        <w:t>年的预测收入亦为</w:t>
      </w:r>
      <w:r w:rsidRPr="00D47C1A">
        <w:rPr>
          <w:rFonts w:asciiTheme="minorHAnsi" w:eastAsia="SimSun" w:hAnsiTheme="minorHAnsi" w:cstheme="minorHAnsi"/>
          <w:lang w:val="zh-CN" w:eastAsia="zh-CN"/>
        </w:rPr>
        <w:t>1</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400</w:t>
      </w:r>
      <w:r w:rsidRPr="00D47C1A">
        <w:rPr>
          <w:rFonts w:asciiTheme="minorHAnsi" w:eastAsia="SimSun" w:hAnsiTheme="minorHAnsi" w:cstheme="minorHAnsi"/>
          <w:lang w:val="zh-CN" w:eastAsia="zh-CN"/>
        </w:rPr>
        <w:t>万瑞郎，鉴于近期趋势，国际电联可能再次报告</w:t>
      </w:r>
      <w:r w:rsidRPr="00D47C1A">
        <w:rPr>
          <w:rFonts w:asciiTheme="minorHAnsi" w:eastAsia="SimSun" w:hAnsiTheme="minorHAnsi" w:cstheme="minorHAnsi"/>
          <w:lang w:val="zh-CN" w:eastAsia="zh-CN"/>
        </w:rPr>
        <w:t>SNF</w:t>
      </w:r>
      <w:r w:rsidRPr="00D47C1A">
        <w:rPr>
          <w:rFonts w:asciiTheme="minorHAnsi" w:eastAsia="SimSun" w:hAnsiTheme="minorHAnsi" w:cstheme="minorHAnsi"/>
          <w:lang w:val="zh-CN" w:eastAsia="zh-CN"/>
        </w:rPr>
        <w:t>收入短缺。国际电联的报告称，预算金额与实际开票金额之间的差异源于对地静止卫星网络申报资料向非对地静止卫星系统申报资料的转移。非对地静止卫星系统的收费较低，导致了收入下降。</w:t>
      </w:r>
    </w:p>
    <w:p w14:paraId="57093601" w14:textId="2DA87266"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1.8</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正如我们之前强调的，国际电联必须继续关注收入的准确预测，并相应地调整其针对这些活动的运作模式。国际电联应确定成本回收活动未能全部回收成本的领域。然后，应利用这一信息来确定是否应交叉补贴相关活动以实现国际电联的目标，或为有关收费水平的决定提供信息。我们在</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年的报告中指出，秘书长在理事会</w:t>
      </w:r>
      <w:r w:rsidRPr="00D47C1A">
        <w:rPr>
          <w:rFonts w:asciiTheme="minorHAnsi" w:eastAsia="SimSun" w:hAnsiTheme="minorHAnsi" w:cstheme="minorHAnsi"/>
          <w:lang w:val="zh-CN" w:eastAsia="zh-CN"/>
        </w:rPr>
        <w:t>C24/16</w:t>
      </w:r>
      <w:r w:rsidRPr="00D47C1A">
        <w:rPr>
          <w:rFonts w:asciiTheme="minorHAnsi" w:eastAsia="SimSun" w:hAnsiTheme="minorHAnsi" w:cstheme="minorHAnsi"/>
          <w:lang w:val="zh-CN" w:eastAsia="zh-CN"/>
        </w:rPr>
        <w:t>号文件中对与处理卫星相关申报有关的费用的最新评估显示，</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年相关费用为</w:t>
      </w:r>
      <w:r w:rsidRPr="00D47C1A">
        <w:rPr>
          <w:rFonts w:asciiTheme="minorHAnsi" w:eastAsia="SimSun" w:hAnsiTheme="minorHAnsi" w:cstheme="minorHAnsi"/>
          <w:lang w:val="zh-CN" w:eastAsia="zh-CN"/>
        </w:rPr>
        <w:t>1</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940</w:t>
      </w:r>
      <w:r w:rsidRPr="00D47C1A">
        <w:rPr>
          <w:rFonts w:asciiTheme="minorHAnsi" w:eastAsia="SimSun" w:hAnsiTheme="minorHAnsi" w:cstheme="minorHAnsi"/>
          <w:lang w:val="zh-CN" w:eastAsia="zh-CN"/>
        </w:rPr>
        <w:t>万瑞郎。与</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年的</w:t>
      </w:r>
      <w:r w:rsidRPr="00D47C1A">
        <w:rPr>
          <w:rFonts w:asciiTheme="minorHAnsi" w:eastAsia="SimSun" w:hAnsiTheme="minorHAnsi" w:cstheme="minorHAnsi"/>
          <w:lang w:val="zh-CN" w:eastAsia="zh-CN"/>
        </w:rPr>
        <w:t>1</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060</w:t>
      </w:r>
      <w:r w:rsidRPr="00D47C1A">
        <w:rPr>
          <w:rFonts w:asciiTheme="minorHAnsi" w:eastAsia="SimSun" w:hAnsiTheme="minorHAnsi" w:cstheme="minorHAnsi"/>
          <w:lang w:val="zh-CN" w:eastAsia="zh-CN"/>
        </w:rPr>
        <w:t>万瑞郎和</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年的</w:t>
      </w:r>
      <w:r w:rsidRPr="00D47C1A">
        <w:rPr>
          <w:rFonts w:asciiTheme="minorHAnsi" w:eastAsia="SimSun" w:hAnsiTheme="minorHAnsi" w:cstheme="minorHAnsi"/>
          <w:lang w:val="zh-CN" w:eastAsia="zh-CN"/>
        </w:rPr>
        <w:t>760</w:t>
      </w:r>
      <w:r w:rsidRPr="00D47C1A">
        <w:rPr>
          <w:rFonts w:asciiTheme="minorHAnsi" w:eastAsia="SimSun" w:hAnsiTheme="minorHAnsi" w:cstheme="minorHAnsi"/>
          <w:lang w:val="zh-CN" w:eastAsia="zh-CN"/>
        </w:rPr>
        <w:t>万瑞郎的收入相比，这凸显了回收成本严重不足。我们注意到，理事会将审议修改</w:t>
      </w:r>
      <w:r w:rsidRPr="00D47C1A">
        <w:rPr>
          <w:rFonts w:asciiTheme="minorHAnsi" w:eastAsia="SimSun" w:hAnsiTheme="minorHAnsi" w:cstheme="minorHAnsi"/>
          <w:lang w:val="zh-CN" w:eastAsia="zh-CN"/>
        </w:rPr>
        <w:t>SNF</w:t>
      </w:r>
      <w:r w:rsidRPr="00D47C1A">
        <w:rPr>
          <w:rFonts w:asciiTheme="minorHAnsi" w:eastAsia="SimSun" w:hAnsiTheme="minorHAnsi" w:cstheme="minorHAnsi"/>
          <w:lang w:val="zh-CN" w:eastAsia="zh-CN"/>
        </w:rPr>
        <w:t>收费计算方法的提案。我们继续强调，了解所提供服务的全部成本并利用这一信息为所有活动制定适当的收费水平至关重要。</w:t>
      </w:r>
    </w:p>
    <w:p w14:paraId="17699597"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1.9</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在支出方面，国际电联所有部门的实际支出均低于预算，具体情况详见财务报表注释</w:t>
      </w:r>
      <w:r w:rsidRPr="00D47C1A">
        <w:rPr>
          <w:rFonts w:asciiTheme="minorHAnsi" w:eastAsia="SimSun" w:hAnsiTheme="minorHAnsi" w:cstheme="minorHAnsi"/>
          <w:lang w:val="zh-CN" w:eastAsia="zh-CN"/>
        </w:rPr>
        <w:t>24</w:t>
      </w:r>
      <w:r w:rsidRPr="00D47C1A">
        <w:rPr>
          <w:rFonts w:asciiTheme="minorHAnsi" w:eastAsia="SimSun" w:hAnsiTheme="minorHAnsi" w:cstheme="minorHAnsi"/>
          <w:lang w:val="zh-CN" w:eastAsia="zh-CN"/>
        </w:rPr>
        <w:t>，财务状况。我们计划在</w:t>
      </w:r>
      <w:r w:rsidRPr="00D47C1A">
        <w:rPr>
          <w:rFonts w:asciiTheme="minorHAnsi" w:eastAsia="SimSun" w:hAnsiTheme="minorHAnsi" w:cstheme="minorHAnsi"/>
          <w:lang w:val="zh-CN" w:eastAsia="zh-CN"/>
        </w:rPr>
        <w:t>2025</w:t>
      </w:r>
      <w:r w:rsidRPr="00D47C1A">
        <w:rPr>
          <w:rFonts w:asciiTheme="minorHAnsi" w:eastAsia="SimSun" w:hAnsiTheme="minorHAnsi" w:cstheme="minorHAnsi"/>
          <w:lang w:val="zh-CN" w:eastAsia="zh-CN"/>
        </w:rPr>
        <w:t>年审计期间对国际电联的预算流程进行更为详尽的审查。</w:t>
      </w:r>
    </w:p>
    <w:p w14:paraId="489C716F" w14:textId="77777777" w:rsidR="00F912F4" w:rsidRPr="00D47C1A" w:rsidRDefault="00F912F4" w:rsidP="00D47C1A">
      <w:pPr>
        <w:pStyle w:val="Heading4"/>
        <w:numPr>
          <w:ilvl w:val="0"/>
          <w:numId w:val="0"/>
        </w:numPr>
        <w:rPr>
          <w:rFonts w:asciiTheme="minorHAnsi" w:eastAsia="SimSun" w:hAnsiTheme="minorHAnsi" w:cstheme="minorHAnsi"/>
          <w:i w:val="0"/>
          <w:iCs/>
          <w:sz w:val="28"/>
          <w:szCs w:val="28"/>
          <w:lang w:eastAsia="zh-CN"/>
        </w:rPr>
      </w:pPr>
      <w:r w:rsidRPr="00D47C1A">
        <w:rPr>
          <w:rFonts w:asciiTheme="minorHAnsi" w:eastAsia="SimSun" w:hAnsiTheme="minorHAnsi" w:cstheme="minorHAnsi"/>
          <w:i w:val="0"/>
          <w:iCs/>
          <w:sz w:val="28"/>
          <w:szCs w:val="28"/>
          <w:lang w:eastAsia="zh-CN"/>
        </w:rPr>
        <w:t>财务状况</w:t>
      </w:r>
    </w:p>
    <w:p w14:paraId="34B89647" w14:textId="60BD39F4"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1.10</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总体而言，由于离职后健康保险（</w:t>
      </w:r>
      <w:r w:rsidRPr="00D47C1A">
        <w:rPr>
          <w:rFonts w:asciiTheme="minorHAnsi" w:eastAsia="SimSun" w:hAnsiTheme="minorHAnsi" w:cstheme="minorHAnsi"/>
          <w:lang w:val="zh-CN" w:eastAsia="zh-CN"/>
        </w:rPr>
        <w:t>ASHI</w:t>
      </w:r>
      <w:r w:rsidRPr="00D47C1A">
        <w:rPr>
          <w:rFonts w:asciiTheme="minorHAnsi" w:eastAsia="SimSun" w:hAnsiTheme="minorHAnsi" w:cstheme="minorHAnsi"/>
          <w:lang w:val="zh-CN" w:eastAsia="zh-CN"/>
        </w:rPr>
        <w:t>）估值的精算损失为</w:t>
      </w:r>
      <w:r w:rsidRPr="00D47C1A">
        <w:rPr>
          <w:rFonts w:asciiTheme="minorHAnsi" w:eastAsia="SimSun" w:hAnsiTheme="minorHAnsi" w:cstheme="minorHAnsi"/>
          <w:lang w:val="zh-CN" w:eastAsia="zh-CN"/>
        </w:rPr>
        <w:t>3</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270</w:t>
      </w:r>
      <w:r w:rsidRPr="00D47C1A">
        <w:rPr>
          <w:rFonts w:asciiTheme="minorHAnsi" w:eastAsia="SimSun" w:hAnsiTheme="minorHAnsi" w:cstheme="minorHAnsi"/>
          <w:lang w:val="zh-CN" w:eastAsia="zh-CN"/>
        </w:rPr>
        <w:t>万瑞郎，并考虑到收支赤字，净负债增加到</w:t>
      </w:r>
      <w:r w:rsidRPr="00D47C1A">
        <w:rPr>
          <w:rFonts w:asciiTheme="minorHAnsi" w:eastAsia="SimSun" w:hAnsiTheme="minorHAnsi" w:cstheme="minorHAnsi"/>
          <w:lang w:val="zh-CN" w:eastAsia="zh-CN"/>
        </w:rPr>
        <w:t>3.18</w:t>
      </w:r>
      <w:r w:rsidRPr="00D47C1A">
        <w:rPr>
          <w:rFonts w:asciiTheme="minorHAnsi" w:eastAsia="SimSun" w:hAnsiTheme="minorHAnsi" w:cstheme="minorHAnsi"/>
          <w:lang w:val="zh-CN" w:eastAsia="zh-CN"/>
        </w:rPr>
        <w:t>亿瑞郎（</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2.574</w:t>
      </w:r>
      <w:r w:rsidRPr="00D47C1A">
        <w:rPr>
          <w:rFonts w:asciiTheme="minorHAnsi" w:eastAsia="SimSun" w:hAnsiTheme="minorHAnsi" w:cstheme="minorHAnsi"/>
          <w:lang w:val="zh-CN" w:eastAsia="zh-CN"/>
        </w:rPr>
        <w:t>亿瑞郎）。</w:t>
      </w:r>
      <w:bookmarkStart w:id="32" w:name="_Hlk145317899"/>
      <w:bookmarkEnd w:id="32"/>
    </w:p>
    <w:p w14:paraId="2869EB4D" w14:textId="308EDD1C" w:rsidR="00F912F4" w:rsidRPr="00D47C1A" w:rsidRDefault="00F912F4" w:rsidP="00D47C1A">
      <w:pPr>
        <w:tabs>
          <w:tab w:val="left" w:pos="0"/>
        </w:tabs>
        <w:rPr>
          <w:rFonts w:asciiTheme="minorHAnsi" w:eastAsia="SimSun" w:hAnsiTheme="minorHAnsi" w:cstheme="minorHAnsi"/>
          <w:lang w:val="zh-CN" w:eastAsia="zh-CN"/>
        </w:rPr>
      </w:pPr>
      <w:r w:rsidRPr="00D47C1A">
        <w:rPr>
          <w:rFonts w:asciiTheme="minorHAnsi" w:eastAsia="SimSun" w:hAnsiTheme="minorHAnsi" w:cstheme="minorHAnsi"/>
          <w:b/>
          <w:bCs/>
          <w:lang w:val="zh-CN" w:eastAsia="zh-CN"/>
        </w:rPr>
        <w:t>1.11</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总资产增加</w:t>
      </w:r>
      <w:r w:rsidRPr="00D47C1A">
        <w:rPr>
          <w:rFonts w:asciiTheme="minorHAnsi" w:eastAsia="SimSun" w:hAnsiTheme="minorHAnsi" w:cstheme="minorHAnsi"/>
          <w:lang w:val="zh-CN" w:eastAsia="zh-CN"/>
        </w:rPr>
        <w:t>1</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420</w:t>
      </w:r>
      <w:r w:rsidRPr="00D47C1A">
        <w:rPr>
          <w:rFonts w:asciiTheme="minorHAnsi" w:eastAsia="SimSun" w:hAnsiTheme="minorHAnsi" w:cstheme="minorHAnsi"/>
          <w:lang w:val="zh-CN" w:eastAsia="zh-CN"/>
        </w:rPr>
        <w:t>万瑞郎，达到</w:t>
      </w:r>
      <w:r w:rsidRPr="00D47C1A">
        <w:rPr>
          <w:rFonts w:asciiTheme="minorHAnsi" w:eastAsia="SimSun" w:hAnsiTheme="minorHAnsi" w:cstheme="minorHAnsi"/>
          <w:lang w:val="zh-CN" w:eastAsia="zh-CN"/>
        </w:rPr>
        <w:t>3.227</w:t>
      </w:r>
      <w:r w:rsidRPr="00D47C1A">
        <w:rPr>
          <w:rFonts w:asciiTheme="minorHAnsi" w:eastAsia="SimSun" w:hAnsiTheme="minorHAnsi" w:cstheme="minorHAnsi"/>
          <w:lang w:val="zh-CN" w:eastAsia="zh-CN"/>
        </w:rPr>
        <w:t>亿瑞郎。这些资产包括</w:t>
      </w:r>
      <w:r w:rsidRPr="00D47C1A">
        <w:rPr>
          <w:rFonts w:asciiTheme="minorHAnsi" w:eastAsia="SimSun" w:hAnsiTheme="minorHAnsi" w:cstheme="minorHAnsi"/>
          <w:lang w:val="zh-CN" w:eastAsia="zh-CN"/>
        </w:rPr>
        <w:t>2.1</w:t>
      </w:r>
      <w:r w:rsidRPr="00D47C1A">
        <w:rPr>
          <w:rFonts w:asciiTheme="minorHAnsi" w:eastAsia="SimSun" w:hAnsiTheme="minorHAnsi" w:cstheme="minorHAnsi"/>
          <w:lang w:val="zh-CN" w:eastAsia="zh-CN"/>
        </w:rPr>
        <w:t>亿瑞郎的现金和投资（</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1.909</w:t>
      </w:r>
      <w:r w:rsidRPr="00D47C1A">
        <w:rPr>
          <w:rFonts w:asciiTheme="minorHAnsi" w:eastAsia="SimSun" w:hAnsiTheme="minorHAnsi" w:cstheme="minorHAnsi"/>
          <w:lang w:val="zh-CN" w:eastAsia="zh-CN"/>
        </w:rPr>
        <w:t>亿瑞郎）以及账面净值为</w:t>
      </w:r>
      <w:r w:rsidRPr="00D47C1A">
        <w:rPr>
          <w:rFonts w:asciiTheme="minorHAnsi" w:eastAsia="SimSun" w:hAnsiTheme="minorHAnsi" w:cstheme="minorHAnsi"/>
          <w:lang w:val="zh-CN" w:eastAsia="zh-CN"/>
        </w:rPr>
        <w:t>6</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880</w:t>
      </w:r>
      <w:r w:rsidRPr="00D47C1A">
        <w:rPr>
          <w:rFonts w:asciiTheme="minorHAnsi" w:eastAsia="SimSun" w:hAnsiTheme="minorHAnsi" w:cstheme="minorHAnsi"/>
          <w:lang w:val="zh-CN" w:eastAsia="zh-CN"/>
        </w:rPr>
        <w:t>万瑞郎的固定资产和无形资产（</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8</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900</w:t>
      </w:r>
      <w:r w:rsidRPr="00D47C1A">
        <w:rPr>
          <w:rFonts w:asciiTheme="minorHAnsi" w:eastAsia="SimSun" w:hAnsiTheme="minorHAnsi" w:cstheme="minorHAnsi"/>
          <w:lang w:val="zh-CN" w:eastAsia="zh-CN"/>
        </w:rPr>
        <w:t>万瑞郎），反映出在建资产的重大减值。核心活动的应收账款在扣除</w:t>
      </w:r>
      <w:r w:rsidRPr="00D47C1A">
        <w:rPr>
          <w:rFonts w:asciiTheme="minorHAnsi" w:eastAsia="SimSun" w:hAnsiTheme="minorHAnsi" w:cstheme="minorHAnsi"/>
          <w:lang w:val="zh-CN" w:eastAsia="zh-CN"/>
        </w:rPr>
        <w:t>4</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330</w:t>
      </w:r>
      <w:r w:rsidRPr="00D47C1A">
        <w:rPr>
          <w:rFonts w:asciiTheme="minorHAnsi" w:eastAsia="SimSun" w:hAnsiTheme="minorHAnsi" w:cstheme="minorHAnsi"/>
          <w:lang w:val="zh-CN" w:eastAsia="zh-CN"/>
        </w:rPr>
        <w:t>万瑞郎（</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3</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500</w:t>
      </w:r>
      <w:r w:rsidRPr="00D47C1A">
        <w:rPr>
          <w:rFonts w:asciiTheme="minorHAnsi" w:eastAsia="SimSun" w:hAnsiTheme="minorHAnsi" w:cstheme="minorHAnsi"/>
          <w:lang w:val="zh-CN" w:eastAsia="zh-CN"/>
        </w:rPr>
        <w:t>万瑞郎）的减值后增至</w:t>
      </w:r>
      <w:r w:rsidRPr="00D47C1A">
        <w:rPr>
          <w:rFonts w:asciiTheme="minorHAnsi" w:eastAsia="SimSun" w:hAnsiTheme="minorHAnsi" w:cstheme="minorHAnsi"/>
          <w:lang w:val="zh-CN" w:eastAsia="zh-CN"/>
        </w:rPr>
        <w:t>3</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650</w:t>
      </w:r>
      <w:r w:rsidRPr="00D47C1A">
        <w:rPr>
          <w:rFonts w:asciiTheme="minorHAnsi" w:eastAsia="SimSun" w:hAnsiTheme="minorHAnsi" w:cstheme="minorHAnsi"/>
          <w:lang w:val="zh-CN" w:eastAsia="zh-CN"/>
        </w:rPr>
        <w:t>万瑞郎（</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2</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240</w:t>
      </w:r>
      <w:r w:rsidRPr="00D47C1A">
        <w:rPr>
          <w:rFonts w:asciiTheme="minorHAnsi" w:eastAsia="SimSun" w:hAnsiTheme="minorHAnsi" w:cstheme="minorHAnsi"/>
          <w:lang w:val="zh-CN" w:eastAsia="zh-CN"/>
        </w:rPr>
        <w:t>万瑞郎），反映了管理层对预计无法从成员国和其他服务用户那里收回的款项的估计。这一金额意味着秘书处可用于开展活动的资金大幅减少。</w:t>
      </w:r>
    </w:p>
    <w:p w14:paraId="0274A3B8" w14:textId="598CF19C"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1.12</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负债合计增加了</w:t>
      </w:r>
      <w:r w:rsidRPr="00D47C1A">
        <w:rPr>
          <w:rFonts w:asciiTheme="minorHAnsi" w:eastAsia="SimSun" w:hAnsiTheme="minorHAnsi" w:cstheme="minorHAnsi"/>
          <w:lang w:val="zh-CN" w:eastAsia="zh-CN"/>
        </w:rPr>
        <w:t>7</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480</w:t>
      </w:r>
      <w:r w:rsidRPr="00D47C1A">
        <w:rPr>
          <w:rFonts w:asciiTheme="minorHAnsi" w:eastAsia="SimSun" w:hAnsiTheme="minorHAnsi" w:cstheme="minorHAnsi"/>
          <w:lang w:val="zh-CN" w:eastAsia="zh-CN"/>
        </w:rPr>
        <w:t>万瑞郎，达到</w:t>
      </w:r>
      <w:r w:rsidRPr="00D47C1A">
        <w:rPr>
          <w:rFonts w:asciiTheme="minorHAnsi" w:eastAsia="SimSun" w:hAnsiTheme="minorHAnsi" w:cstheme="minorHAnsi"/>
          <w:lang w:val="zh-CN" w:eastAsia="zh-CN"/>
        </w:rPr>
        <w:t>6.407</w:t>
      </w:r>
      <w:r w:rsidRPr="00D47C1A">
        <w:rPr>
          <w:rFonts w:asciiTheme="minorHAnsi" w:eastAsia="SimSun" w:hAnsiTheme="minorHAnsi" w:cstheme="minorHAnsi"/>
          <w:lang w:val="zh-CN" w:eastAsia="zh-CN"/>
        </w:rPr>
        <w:t>亿瑞郎。负债包括提前收到的分摊会费</w:t>
      </w:r>
      <w:r w:rsidRPr="00D47C1A">
        <w:rPr>
          <w:rFonts w:asciiTheme="minorHAnsi" w:eastAsia="SimSun" w:hAnsiTheme="minorHAnsi" w:cstheme="minorHAnsi"/>
          <w:lang w:val="zh-CN" w:eastAsia="zh-CN"/>
        </w:rPr>
        <w:t>4</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710</w:t>
      </w:r>
      <w:r w:rsidRPr="00D47C1A">
        <w:rPr>
          <w:rFonts w:asciiTheme="minorHAnsi" w:eastAsia="SimSun" w:hAnsiTheme="minorHAnsi" w:cstheme="minorHAnsi"/>
          <w:lang w:val="zh-CN" w:eastAsia="zh-CN"/>
        </w:rPr>
        <w:t>万瑞郎（</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5</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050</w:t>
      </w:r>
      <w:r w:rsidRPr="00D47C1A">
        <w:rPr>
          <w:rFonts w:asciiTheme="minorHAnsi" w:eastAsia="SimSun" w:hAnsiTheme="minorHAnsi" w:cstheme="minorHAnsi"/>
          <w:lang w:val="zh-CN" w:eastAsia="zh-CN"/>
        </w:rPr>
        <w:t>万瑞郎）、</w:t>
      </w:r>
      <w:r w:rsidRPr="00D47C1A">
        <w:rPr>
          <w:rFonts w:asciiTheme="minorHAnsi" w:eastAsia="SimSun" w:hAnsiTheme="minorHAnsi" w:cstheme="minorHAnsi"/>
          <w:lang w:val="zh-CN" w:eastAsia="zh-CN"/>
        </w:rPr>
        <w:t>7</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320</w:t>
      </w:r>
      <w:r w:rsidRPr="00D47C1A">
        <w:rPr>
          <w:rFonts w:asciiTheme="minorHAnsi" w:eastAsia="SimSun" w:hAnsiTheme="minorHAnsi" w:cstheme="minorHAnsi"/>
          <w:lang w:val="zh-CN" w:eastAsia="zh-CN"/>
        </w:rPr>
        <w:t>万瑞郎的第三方（即捐助方）资金（</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4</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150</w:t>
      </w:r>
      <w:r w:rsidRPr="00D47C1A">
        <w:rPr>
          <w:rFonts w:asciiTheme="minorHAnsi" w:eastAsia="SimSun" w:hAnsiTheme="minorHAnsi" w:cstheme="minorHAnsi"/>
          <w:lang w:val="zh-CN" w:eastAsia="zh-CN"/>
        </w:rPr>
        <w:t>万瑞郎）、</w:t>
      </w:r>
      <w:r w:rsidRPr="00D47C1A">
        <w:rPr>
          <w:rFonts w:asciiTheme="minorHAnsi" w:eastAsia="SimSun" w:hAnsiTheme="minorHAnsi" w:cstheme="minorHAnsi"/>
          <w:lang w:val="zh-CN" w:eastAsia="zh-CN"/>
        </w:rPr>
        <w:t>5</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330</w:t>
      </w:r>
      <w:r w:rsidRPr="00D47C1A">
        <w:rPr>
          <w:rFonts w:asciiTheme="minorHAnsi" w:eastAsia="SimSun" w:hAnsiTheme="minorHAnsi" w:cstheme="minorHAnsi"/>
          <w:lang w:val="zh-CN" w:eastAsia="zh-CN"/>
        </w:rPr>
        <w:t>万瑞郎的借款（</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5</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300</w:t>
      </w:r>
      <w:r w:rsidRPr="00D47C1A">
        <w:rPr>
          <w:rFonts w:asciiTheme="minorHAnsi" w:eastAsia="SimSun" w:hAnsiTheme="minorHAnsi" w:cstheme="minorHAnsi"/>
          <w:lang w:val="zh-CN" w:eastAsia="zh-CN"/>
        </w:rPr>
        <w:t>万瑞郎）和</w:t>
      </w:r>
      <w:r w:rsidRPr="00D47C1A">
        <w:rPr>
          <w:rFonts w:asciiTheme="minorHAnsi" w:eastAsia="SimSun" w:hAnsiTheme="minorHAnsi" w:cstheme="minorHAnsi"/>
          <w:lang w:val="zh-CN" w:eastAsia="zh-CN"/>
        </w:rPr>
        <w:t>4.414</w:t>
      </w:r>
      <w:r w:rsidRPr="00D47C1A">
        <w:rPr>
          <w:rFonts w:asciiTheme="minorHAnsi" w:eastAsia="SimSun" w:hAnsiTheme="minorHAnsi" w:cstheme="minorHAnsi"/>
          <w:lang w:val="zh-CN" w:eastAsia="zh-CN"/>
        </w:rPr>
        <w:t>亿瑞郎的职员福利负债总额（</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3.994</w:t>
      </w:r>
      <w:r w:rsidRPr="00D47C1A">
        <w:rPr>
          <w:rFonts w:asciiTheme="minorHAnsi" w:eastAsia="SimSun" w:hAnsiTheme="minorHAnsi" w:cstheme="minorHAnsi"/>
          <w:lang w:val="zh-CN" w:eastAsia="zh-CN"/>
        </w:rPr>
        <w:t>亿瑞郎）。其中，</w:t>
      </w:r>
      <w:r w:rsidRPr="00D47C1A">
        <w:rPr>
          <w:rFonts w:asciiTheme="minorHAnsi" w:eastAsia="SimSun" w:hAnsiTheme="minorHAnsi" w:cstheme="minorHAnsi"/>
          <w:lang w:val="zh-CN" w:eastAsia="zh-CN"/>
        </w:rPr>
        <w:t>4.158</w:t>
      </w:r>
      <w:r w:rsidRPr="00D47C1A">
        <w:rPr>
          <w:rFonts w:asciiTheme="minorHAnsi" w:eastAsia="SimSun" w:hAnsiTheme="minorHAnsi" w:cstheme="minorHAnsi"/>
          <w:lang w:val="zh-CN" w:eastAsia="zh-CN"/>
        </w:rPr>
        <w:t>亿瑞郎与离职后健康保险相关，如财务报表注释</w:t>
      </w:r>
      <w:r w:rsidRPr="00D47C1A">
        <w:rPr>
          <w:rFonts w:asciiTheme="minorHAnsi" w:eastAsia="SimSun" w:hAnsiTheme="minorHAnsi" w:cstheme="minorHAnsi"/>
          <w:lang w:val="zh-CN" w:eastAsia="zh-CN"/>
        </w:rPr>
        <w:t>16</w:t>
      </w:r>
      <w:r w:rsidRPr="00D47C1A">
        <w:rPr>
          <w:rFonts w:asciiTheme="minorHAnsi" w:eastAsia="SimSun" w:hAnsiTheme="minorHAnsi" w:cstheme="minorHAnsi"/>
          <w:lang w:val="zh-CN" w:eastAsia="zh-CN"/>
        </w:rPr>
        <w:t>所示。</w:t>
      </w:r>
    </w:p>
    <w:p w14:paraId="4FB98CE7" w14:textId="77777777" w:rsidR="00F912F4" w:rsidRPr="00D47C1A" w:rsidRDefault="00F912F4" w:rsidP="00C41566">
      <w:pPr>
        <w:keepLines/>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lastRenderedPageBreak/>
        <w:t>1.13</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国际电联的总体财务状况在过去四年间基本保持平稳，但其一直报告净资产为负值，主要是由于职员福利负债供资不足。图</w:t>
      </w:r>
      <w:r w:rsidRPr="00D47C1A">
        <w:rPr>
          <w:rFonts w:asciiTheme="minorHAnsi" w:eastAsia="SimSun" w:hAnsiTheme="minorHAnsi" w:cstheme="minorHAnsi"/>
          <w:lang w:val="zh-CN" w:eastAsia="zh-CN"/>
        </w:rPr>
        <w:t>1</w:t>
      </w:r>
      <w:r w:rsidRPr="00D47C1A">
        <w:rPr>
          <w:rFonts w:asciiTheme="minorHAnsi" w:eastAsia="SimSun" w:hAnsiTheme="minorHAnsi" w:cstheme="minorHAnsi"/>
          <w:lang w:val="zh-CN" w:eastAsia="zh-CN"/>
        </w:rPr>
        <w:t>提供了一些关键比率的趋势分析，这些比率用于说明组织的财务健康状况及其随时间的变化情况。比率表示账户项目之间的关系。例如，每</w:t>
      </w:r>
      <w:r w:rsidRPr="00D47C1A">
        <w:rPr>
          <w:rFonts w:asciiTheme="minorHAnsi" w:eastAsia="SimSun" w:hAnsiTheme="minorHAnsi" w:cstheme="minorHAnsi"/>
          <w:lang w:val="zh-CN" w:eastAsia="zh-CN"/>
        </w:rPr>
        <w:t>2.3</w:t>
      </w:r>
      <w:r w:rsidRPr="00D47C1A">
        <w:rPr>
          <w:rFonts w:asciiTheme="minorHAnsi" w:eastAsia="SimSun" w:hAnsiTheme="minorHAnsi" w:cstheme="minorHAnsi"/>
          <w:lang w:val="zh-CN" w:eastAsia="zh-CN"/>
        </w:rPr>
        <w:t>瑞郎的流动资产对应</w:t>
      </w:r>
      <w:r w:rsidRPr="00D47C1A">
        <w:rPr>
          <w:rFonts w:asciiTheme="minorHAnsi" w:eastAsia="SimSun" w:hAnsiTheme="minorHAnsi" w:cstheme="minorHAnsi"/>
          <w:lang w:val="zh-CN" w:eastAsia="zh-CN"/>
        </w:rPr>
        <w:t>1</w:t>
      </w:r>
      <w:r w:rsidRPr="00D47C1A">
        <w:rPr>
          <w:rFonts w:asciiTheme="minorHAnsi" w:eastAsia="SimSun" w:hAnsiTheme="minorHAnsi" w:cstheme="minorHAnsi"/>
          <w:lang w:val="zh-CN" w:eastAsia="zh-CN"/>
        </w:rPr>
        <w:t>瑞郎的流动负债，这表明国际电联能够满足其即时现金流需求。</w:t>
      </w:r>
    </w:p>
    <w:p w14:paraId="1C5F6991" w14:textId="77777777" w:rsidR="00F912F4"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1.14</w:t>
      </w:r>
      <w:r w:rsidRPr="00D47C1A">
        <w:rPr>
          <w:rFonts w:asciiTheme="minorHAnsi" w:eastAsia="SimSun" w:hAnsiTheme="minorHAnsi" w:cstheme="minorHAnsi"/>
          <w:lang w:val="zh-CN" w:eastAsia="zh-CN"/>
        </w:rPr>
        <w:tab/>
      </w:r>
      <w:r w:rsidRPr="00D47C1A">
        <w:rPr>
          <w:rFonts w:asciiTheme="minorHAnsi" w:eastAsia="SimSun" w:hAnsiTheme="minorHAnsi" w:cstheme="minorHAnsi"/>
          <w:lang w:eastAsia="zh-CN"/>
        </w:rPr>
        <w:t>尽管看似积极，但</w:t>
      </w:r>
      <w:r w:rsidRPr="00D47C1A">
        <w:rPr>
          <w:rFonts w:asciiTheme="minorHAnsi" w:eastAsia="SimSun" w:hAnsiTheme="minorHAnsi" w:cstheme="minorHAnsi"/>
          <w:lang w:val="zh-CN" w:eastAsia="zh-CN"/>
        </w:rPr>
        <w:t>国际电联</w:t>
      </w:r>
      <w:r w:rsidRPr="00D47C1A">
        <w:rPr>
          <w:rFonts w:asciiTheme="minorHAnsi" w:eastAsia="SimSun" w:hAnsiTheme="minorHAnsi" w:cstheme="minorHAnsi"/>
          <w:lang w:eastAsia="zh-CN"/>
        </w:rPr>
        <w:t>的现金管理政策是将现金和投资列为流动资产，</w:t>
      </w:r>
      <w:r w:rsidRPr="00D47C1A">
        <w:rPr>
          <w:rFonts w:asciiTheme="minorHAnsi" w:eastAsia="SimSun" w:hAnsiTheme="minorHAnsi" w:cstheme="minorHAnsi"/>
          <w:lang w:val="zh-CN" w:eastAsia="zh-CN"/>
        </w:rPr>
        <w:t>即使</w:t>
      </w:r>
      <w:r w:rsidRPr="00D47C1A">
        <w:rPr>
          <w:rFonts w:asciiTheme="minorHAnsi" w:eastAsia="SimSun" w:hAnsiTheme="minorHAnsi" w:cstheme="minorHAnsi"/>
          <w:lang w:eastAsia="zh-CN"/>
        </w:rPr>
        <w:t>这些资产</w:t>
      </w:r>
      <w:r w:rsidRPr="00D47C1A">
        <w:rPr>
          <w:rFonts w:asciiTheme="minorHAnsi" w:eastAsia="SimSun" w:hAnsiTheme="minorHAnsi" w:cstheme="minorHAnsi"/>
          <w:lang w:val="zh-CN" w:eastAsia="zh-CN"/>
        </w:rPr>
        <w:t>支持非流动负债，如捐赠基金和储备金账户，包括员工福利。</w:t>
      </w:r>
      <w:r w:rsidRPr="00D47C1A">
        <w:rPr>
          <w:rFonts w:asciiTheme="minorHAnsi" w:eastAsia="SimSun" w:hAnsiTheme="minorHAnsi" w:cstheme="minorHAnsi"/>
          <w:lang w:eastAsia="zh-CN"/>
        </w:rPr>
        <w:t>更准确衡量财务健康状况的指标是总资产与总负债的比率。</w:t>
      </w:r>
      <w:r w:rsidRPr="00D47C1A">
        <w:rPr>
          <w:rFonts w:asciiTheme="minorHAnsi" w:eastAsia="SimSun" w:hAnsiTheme="minorHAnsi" w:cstheme="minorHAnsi"/>
          <w:lang w:val="zh-CN" w:eastAsia="zh-CN"/>
        </w:rPr>
        <w:t>国际电联目前每</w:t>
      </w:r>
      <w:r w:rsidRPr="00D47C1A">
        <w:rPr>
          <w:rFonts w:asciiTheme="minorHAnsi" w:eastAsia="SimSun" w:hAnsiTheme="minorHAnsi" w:cstheme="minorHAnsi"/>
          <w:lang w:val="zh-CN" w:eastAsia="zh-CN"/>
        </w:rPr>
        <w:t>1</w:t>
      </w:r>
      <w:r w:rsidRPr="00D47C1A">
        <w:rPr>
          <w:rFonts w:asciiTheme="minorHAnsi" w:eastAsia="SimSun" w:hAnsiTheme="minorHAnsi" w:cstheme="minorHAnsi"/>
          <w:lang w:val="zh-CN" w:eastAsia="zh-CN"/>
        </w:rPr>
        <w:t>瑞郎的负债仅对应</w:t>
      </w:r>
      <w:r w:rsidRPr="00D47C1A">
        <w:rPr>
          <w:rFonts w:asciiTheme="minorHAnsi" w:eastAsia="SimSun" w:hAnsiTheme="minorHAnsi" w:cstheme="minorHAnsi"/>
          <w:lang w:val="zh-CN" w:eastAsia="zh-CN"/>
        </w:rPr>
        <w:t>0.5</w:t>
      </w:r>
      <w:r w:rsidRPr="00D47C1A">
        <w:rPr>
          <w:rFonts w:asciiTheme="minorHAnsi" w:eastAsia="SimSun" w:hAnsiTheme="minorHAnsi" w:cstheme="minorHAnsi"/>
          <w:lang w:val="zh-CN" w:eastAsia="zh-CN"/>
        </w:rPr>
        <w:t>瑞郎的资产，这是过去四年间相对稳定的财务状况衡量比率。</w:t>
      </w:r>
      <w:r w:rsidRPr="00D47C1A">
        <w:rPr>
          <w:rFonts w:asciiTheme="minorHAnsi" w:eastAsia="SimSun" w:hAnsiTheme="minorHAnsi" w:cstheme="minorHAnsi"/>
          <w:lang w:eastAsia="zh-CN"/>
        </w:rPr>
        <w:t>这一情况主要归因于大量未提列的职员相关负债，我们将在本节后文予以讨论。</w:t>
      </w:r>
    </w:p>
    <w:p w14:paraId="31E7EADD" w14:textId="77777777" w:rsidR="00C41566" w:rsidRPr="00D47C1A" w:rsidRDefault="00C41566" w:rsidP="00D47C1A">
      <w:pPr>
        <w:tabs>
          <w:tab w:val="left" w:pos="0"/>
        </w:tabs>
        <w:rPr>
          <w:rFonts w:asciiTheme="minorHAnsi" w:eastAsia="SimSun" w:hAnsiTheme="minorHAnsi" w:cstheme="minorHAnsi"/>
          <w:lang w:eastAsia="zh-CN"/>
        </w:rPr>
      </w:pPr>
    </w:p>
    <w:tbl>
      <w:tblPr>
        <w:tblW w:w="5000" w:type="pct"/>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814"/>
        <w:gridCol w:w="1813"/>
        <w:gridCol w:w="1814"/>
        <w:gridCol w:w="1814"/>
        <w:gridCol w:w="1816"/>
      </w:tblGrid>
      <w:tr w:rsidR="00F912F4" w:rsidRPr="00D47C1A" w14:paraId="22BE60AD" w14:textId="77777777" w:rsidTr="0011737E">
        <w:tc>
          <w:tcPr>
            <w:tcW w:w="7654" w:type="dxa"/>
            <w:gridSpan w:val="5"/>
            <w:tcBorders>
              <w:bottom w:val="single" w:sz="6" w:space="0" w:color="008000"/>
            </w:tcBorders>
            <w:shd w:val="clear" w:color="auto" w:fill="auto"/>
          </w:tcPr>
          <w:p w14:paraId="13619C85" w14:textId="77777777" w:rsidR="00F912F4" w:rsidRPr="004415BD" w:rsidRDefault="00F912F4" w:rsidP="00D47C1A">
            <w:pPr>
              <w:pStyle w:val="TableNo"/>
              <w:keepLines/>
              <w:spacing w:before="120"/>
              <w:jc w:val="left"/>
              <w:rPr>
                <w:rFonts w:asciiTheme="minorHAnsi" w:eastAsia="SimSun" w:hAnsiTheme="minorHAnsi" w:cstheme="minorHAnsi"/>
                <w:b/>
                <w:bCs/>
                <w:szCs w:val="24"/>
              </w:rPr>
            </w:pPr>
            <w:r w:rsidRPr="004415BD">
              <w:rPr>
                <w:rFonts w:asciiTheme="minorHAnsi" w:eastAsia="SimSun" w:hAnsiTheme="minorHAnsi" w:cstheme="minorHAnsi"/>
                <w:color w:val="000000"/>
                <w:szCs w:val="24"/>
                <w:lang w:val="zh-CN"/>
              </w:rPr>
              <w:t>图</w:t>
            </w:r>
            <w:r w:rsidRPr="004415BD">
              <w:rPr>
                <w:rFonts w:asciiTheme="minorHAnsi" w:eastAsia="SimSun" w:hAnsiTheme="minorHAnsi" w:cstheme="minorHAnsi"/>
                <w:color w:val="000000"/>
                <w:szCs w:val="24"/>
                <w:lang w:val="zh-CN"/>
              </w:rPr>
              <w:t>1</w:t>
            </w:r>
          </w:p>
        </w:tc>
      </w:tr>
      <w:tr w:rsidR="00F912F4" w:rsidRPr="00D47C1A" w14:paraId="2B73BCB6" w14:textId="77777777" w:rsidTr="0011737E">
        <w:tc>
          <w:tcPr>
            <w:tcW w:w="7654" w:type="dxa"/>
            <w:gridSpan w:val="5"/>
            <w:tcBorders>
              <w:top w:val="single" w:sz="6" w:space="0" w:color="008000"/>
            </w:tcBorders>
            <w:shd w:val="clear" w:color="auto" w:fill="auto"/>
          </w:tcPr>
          <w:p w14:paraId="7C8F95D3" w14:textId="77777777" w:rsidR="00F912F4" w:rsidRPr="004415BD" w:rsidRDefault="00F912F4" w:rsidP="00D47C1A">
            <w:pPr>
              <w:pStyle w:val="Tabletitle"/>
              <w:keepLines/>
              <w:jc w:val="left"/>
              <w:rPr>
                <w:rFonts w:asciiTheme="minorHAnsi" w:eastAsia="SimSun" w:hAnsiTheme="minorHAnsi" w:cstheme="minorHAnsi"/>
                <w:b w:val="0"/>
                <w:sz w:val="28"/>
                <w:szCs w:val="28"/>
                <w:lang w:eastAsia="zh-CN"/>
              </w:rPr>
            </w:pPr>
            <w:r w:rsidRPr="004415BD">
              <w:rPr>
                <w:rFonts w:asciiTheme="minorHAnsi" w:eastAsia="SimSun" w:hAnsiTheme="minorHAnsi" w:cstheme="minorHAnsi"/>
                <w:b w:val="0"/>
                <w:color w:val="000000"/>
                <w:sz w:val="28"/>
                <w:szCs w:val="28"/>
                <w:lang w:val="zh-CN" w:eastAsia="zh-CN"/>
              </w:rPr>
              <w:t>国际电联主要财务状况比率分析</w:t>
            </w:r>
          </w:p>
        </w:tc>
      </w:tr>
      <w:tr w:rsidR="00F912F4" w:rsidRPr="00D47C1A" w14:paraId="3DC8710D" w14:textId="77777777" w:rsidTr="0011737E">
        <w:tc>
          <w:tcPr>
            <w:tcW w:w="1530" w:type="dxa"/>
            <w:shd w:val="clear" w:color="auto" w:fill="auto"/>
          </w:tcPr>
          <w:p w14:paraId="121B4BBD" w14:textId="77777777" w:rsidR="00F912F4" w:rsidRPr="00D47C1A" w:rsidRDefault="00F912F4" w:rsidP="00D47C1A">
            <w:pPr>
              <w:pStyle w:val="Tablehead"/>
              <w:keepNext/>
              <w:keepLines/>
              <w:spacing w:before="20" w:after="20"/>
              <w:rPr>
                <w:rFonts w:asciiTheme="minorHAnsi" w:eastAsia="SimSun" w:hAnsiTheme="minorHAnsi" w:cstheme="minorHAnsi"/>
                <w:szCs w:val="22"/>
              </w:rPr>
            </w:pPr>
            <w:proofErr w:type="spellStart"/>
            <w:r w:rsidRPr="00D47C1A">
              <w:rPr>
                <w:rFonts w:asciiTheme="minorHAnsi" w:eastAsia="SimSun" w:hAnsiTheme="minorHAnsi" w:cstheme="minorHAnsi"/>
                <w:bCs/>
                <w:color w:val="000000"/>
                <w:szCs w:val="22"/>
                <w:lang w:val="zh-CN"/>
              </w:rPr>
              <w:t>比率</w:t>
            </w:r>
            <w:proofErr w:type="spellEnd"/>
          </w:p>
        </w:tc>
        <w:tc>
          <w:tcPr>
            <w:tcW w:w="1530" w:type="dxa"/>
            <w:shd w:val="clear" w:color="auto" w:fill="auto"/>
          </w:tcPr>
          <w:p w14:paraId="3C355F49" w14:textId="77777777" w:rsidR="00F912F4" w:rsidRPr="00D47C1A" w:rsidRDefault="00F912F4" w:rsidP="00D47C1A">
            <w:pPr>
              <w:pStyle w:val="Tablehead"/>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bCs/>
                <w:color w:val="000000"/>
                <w:szCs w:val="22"/>
                <w:lang w:val="zh-CN"/>
              </w:rPr>
              <w:t>2024</w:t>
            </w:r>
            <w:r w:rsidRPr="00D47C1A">
              <w:rPr>
                <w:rFonts w:asciiTheme="minorHAnsi" w:eastAsia="SimSun" w:hAnsiTheme="minorHAnsi" w:cstheme="minorHAnsi"/>
                <w:bCs/>
                <w:color w:val="000000"/>
                <w:szCs w:val="22"/>
                <w:lang w:val="zh-CN"/>
              </w:rPr>
              <w:t>年</w:t>
            </w:r>
          </w:p>
        </w:tc>
        <w:tc>
          <w:tcPr>
            <w:tcW w:w="1531" w:type="dxa"/>
            <w:shd w:val="clear" w:color="auto" w:fill="auto"/>
          </w:tcPr>
          <w:p w14:paraId="66955440" w14:textId="77777777" w:rsidR="00F912F4" w:rsidRPr="00D47C1A" w:rsidRDefault="00F912F4" w:rsidP="00D47C1A">
            <w:pPr>
              <w:pStyle w:val="Tablehead"/>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bCs/>
                <w:color w:val="000000"/>
                <w:szCs w:val="22"/>
                <w:lang w:val="zh-CN"/>
              </w:rPr>
              <w:t>2023</w:t>
            </w:r>
            <w:r w:rsidRPr="00D47C1A">
              <w:rPr>
                <w:rFonts w:asciiTheme="minorHAnsi" w:eastAsia="SimSun" w:hAnsiTheme="minorHAnsi" w:cstheme="minorHAnsi"/>
                <w:bCs/>
                <w:color w:val="000000"/>
                <w:szCs w:val="22"/>
                <w:lang w:val="zh-CN"/>
              </w:rPr>
              <w:t>年</w:t>
            </w:r>
          </w:p>
        </w:tc>
        <w:tc>
          <w:tcPr>
            <w:tcW w:w="1531" w:type="dxa"/>
            <w:shd w:val="clear" w:color="auto" w:fill="auto"/>
          </w:tcPr>
          <w:p w14:paraId="09CE0833" w14:textId="77777777" w:rsidR="00F912F4" w:rsidRPr="00D47C1A" w:rsidRDefault="00F912F4" w:rsidP="00D47C1A">
            <w:pPr>
              <w:pStyle w:val="Tablehead"/>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bCs/>
                <w:color w:val="000000"/>
                <w:szCs w:val="22"/>
                <w:lang w:val="zh-CN"/>
              </w:rPr>
              <w:t>2022</w:t>
            </w:r>
            <w:r w:rsidRPr="00D47C1A">
              <w:rPr>
                <w:rFonts w:asciiTheme="minorHAnsi" w:eastAsia="SimSun" w:hAnsiTheme="minorHAnsi" w:cstheme="minorHAnsi"/>
                <w:bCs/>
                <w:color w:val="000000"/>
                <w:szCs w:val="22"/>
                <w:lang w:val="zh-CN"/>
              </w:rPr>
              <w:t>年</w:t>
            </w:r>
          </w:p>
        </w:tc>
        <w:tc>
          <w:tcPr>
            <w:tcW w:w="1532" w:type="dxa"/>
            <w:shd w:val="clear" w:color="auto" w:fill="auto"/>
          </w:tcPr>
          <w:p w14:paraId="401D440D" w14:textId="77777777" w:rsidR="00F912F4" w:rsidRPr="00D47C1A" w:rsidRDefault="00F912F4" w:rsidP="00D47C1A">
            <w:pPr>
              <w:pStyle w:val="Tablehead"/>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bCs/>
                <w:color w:val="000000"/>
                <w:szCs w:val="22"/>
                <w:lang w:val="zh-CN"/>
              </w:rPr>
              <w:t>2021</w:t>
            </w:r>
            <w:r w:rsidRPr="00D47C1A">
              <w:rPr>
                <w:rFonts w:asciiTheme="minorHAnsi" w:eastAsia="SimSun" w:hAnsiTheme="minorHAnsi" w:cstheme="minorHAnsi"/>
                <w:bCs/>
                <w:color w:val="000000"/>
                <w:szCs w:val="22"/>
                <w:lang w:val="zh-CN"/>
              </w:rPr>
              <w:t>年</w:t>
            </w:r>
          </w:p>
        </w:tc>
      </w:tr>
      <w:tr w:rsidR="00F912F4" w:rsidRPr="00D47C1A" w14:paraId="74AEA656" w14:textId="77777777" w:rsidTr="0011737E">
        <w:tc>
          <w:tcPr>
            <w:tcW w:w="1530" w:type="dxa"/>
            <w:shd w:val="clear" w:color="auto" w:fill="auto"/>
          </w:tcPr>
          <w:p w14:paraId="4DA5E0C1" w14:textId="77777777" w:rsidR="00F912F4" w:rsidRPr="00D47C1A" w:rsidRDefault="00F912F4" w:rsidP="00D47C1A">
            <w:pPr>
              <w:pStyle w:val="Tabletext"/>
              <w:keepNext/>
              <w:keepLines/>
              <w:spacing w:before="20" w:after="20"/>
              <w:rPr>
                <w:rFonts w:asciiTheme="minorHAnsi" w:eastAsia="SimSun" w:hAnsiTheme="minorHAnsi" w:cstheme="minorHAnsi"/>
                <w:szCs w:val="22"/>
                <w:lang w:eastAsia="zh-CN"/>
              </w:rPr>
            </w:pPr>
            <w:r w:rsidRPr="00D47C1A">
              <w:rPr>
                <w:rFonts w:asciiTheme="minorHAnsi" w:eastAsia="SimSun" w:hAnsiTheme="minorHAnsi" w:cstheme="minorHAnsi"/>
                <w:b/>
                <w:bCs/>
                <w:color w:val="000000"/>
                <w:szCs w:val="22"/>
                <w:lang w:val="zh-CN" w:eastAsia="zh-CN"/>
              </w:rPr>
              <w:t>流动比率</w:t>
            </w:r>
          </w:p>
          <w:p w14:paraId="6FAC2E91" w14:textId="77777777" w:rsidR="00F912F4" w:rsidRPr="00D47C1A" w:rsidRDefault="00F912F4" w:rsidP="00D47C1A">
            <w:pPr>
              <w:pStyle w:val="Tabletext"/>
              <w:keepNext/>
              <w:keepLines/>
              <w:spacing w:before="20" w:after="20"/>
              <w:rPr>
                <w:rFonts w:asciiTheme="minorHAnsi" w:eastAsia="SimSun" w:hAnsiTheme="minorHAnsi" w:cstheme="minorHAnsi"/>
                <w:szCs w:val="22"/>
                <w:lang w:eastAsia="zh-CN"/>
              </w:rPr>
            </w:pPr>
            <w:r w:rsidRPr="00D47C1A">
              <w:rPr>
                <w:rFonts w:asciiTheme="minorHAnsi" w:eastAsia="SimSun" w:hAnsiTheme="minorHAnsi" w:cstheme="minorHAnsi"/>
                <w:color w:val="000000"/>
                <w:szCs w:val="22"/>
                <w:lang w:val="zh-CN" w:eastAsia="zh-CN"/>
              </w:rPr>
              <w:t>流动资产：流动负债</w:t>
            </w:r>
          </w:p>
        </w:tc>
        <w:tc>
          <w:tcPr>
            <w:tcW w:w="1530" w:type="dxa"/>
            <w:shd w:val="clear" w:color="auto" w:fill="auto"/>
            <w:vAlign w:val="bottom"/>
          </w:tcPr>
          <w:p w14:paraId="3B836471" w14:textId="77777777" w:rsidR="00F912F4" w:rsidRPr="00D47C1A" w:rsidRDefault="00F912F4" w:rsidP="00D47C1A">
            <w:pPr>
              <w:pStyle w:val="Tabletext"/>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2.3</w:t>
            </w:r>
          </w:p>
        </w:tc>
        <w:tc>
          <w:tcPr>
            <w:tcW w:w="1531" w:type="dxa"/>
            <w:shd w:val="clear" w:color="auto" w:fill="auto"/>
            <w:vAlign w:val="bottom"/>
          </w:tcPr>
          <w:p w14:paraId="3AB10EF4" w14:textId="77777777" w:rsidR="00F912F4" w:rsidRPr="00D47C1A" w:rsidRDefault="00F912F4" w:rsidP="00D47C1A">
            <w:pPr>
              <w:pStyle w:val="Tabletext"/>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2.2</w:t>
            </w:r>
          </w:p>
        </w:tc>
        <w:tc>
          <w:tcPr>
            <w:tcW w:w="1531" w:type="dxa"/>
            <w:shd w:val="clear" w:color="auto" w:fill="auto"/>
            <w:vAlign w:val="bottom"/>
          </w:tcPr>
          <w:p w14:paraId="3597808E" w14:textId="77777777" w:rsidR="00F912F4" w:rsidRPr="00D47C1A" w:rsidRDefault="00F912F4" w:rsidP="00D47C1A">
            <w:pPr>
              <w:pStyle w:val="Tabletext"/>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2.2</w:t>
            </w:r>
          </w:p>
        </w:tc>
        <w:tc>
          <w:tcPr>
            <w:tcW w:w="1532" w:type="dxa"/>
            <w:shd w:val="clear" w:color="auto" w:fill="auto"/>
            <w:vAlign w:val="bottom"/>
          </w:tcPr>
          <w:p w14:paraId="102BA03B" w14:textId="77777777" w:rsidR="00F912F4" w:rsidRPr="00D47C1A" w:rsidRDefault="00F912F4" w:rsidP="00D47C1A">
            <w:pPr>
              <w:pStyle w:val="Tabletext"/>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3.2</w:t>
            </w:r>
          </w:p>
        </w:tc>
      </w:tr>
      <w:tr w:rsidR="00F912F4" w:rsidRPr="00D47C1A" w14:paraId="04CCFF7D" w14:textId="77777777" w:rsidTr="0011737E">
        <w:tc>
          <w:tcPr>
            <w:tcW w:w="1530" w:type="dxa"/>
            <w:shd w:val="clear" w:color="auto" w:fill="auto"/>
          </w:tcPr>
          <w:p w14:paraId="6B302634" w14:textId="2BB29B78" w:rsidR="00F912F4" w:rsidRPr="00D47C1A" w:rsidRDefault="00F912F4" w:rsidP="00D47C1A">
            <w:pPr>
              <w:pStyle w:val="Tabletext"/>
              <w:keepNext/>
              <w:keepLines/>
              <w:spacing w:before="20" w:after="20"/>
              <w:rPr>
                <w:rStyle w:val="Bold"/>
                <w:rFonts w:asciiTheme="minorHAnsi" w:eastAsia="SimSun" w:hAnsiTheme="minorHAnsi" w:cstheme="minorHAnsi"/>
                <w:szCs w:val="22"/>
                <w:lang w:eastAsia="zh-CN"/>
              </w:rPr>
            </w:pPr>
            <w:r w:rsidRPr="00D47C1A">
              <w:rPr>
                <w:rFonts w:asciiTheme="minorHAnsi" w:eastAsia="SimSun" w:hAnsiTheme="minorHAnsi" w:cstheme="minorHAnsi"/>
                <w:b/>
                <w:bCs/>
                <w:color w:val="000000"/>
                <w:szCs w:val="22"/>
                <w:lang w:val="zh-CN" w:eastAsia="zh-CN"/>
              </w:rPr>
              <w:t>资产总额：</w:t>
            </w:r>
            <w:r w:rsidR="00A038BF">
              <w:rPr>
                <w:rFonts w:asciiTheme="minorHAnsi" w:eastAsia="SimSun" w:hAnsiTheme="minorHAnsi" w:cstheme="minorHAnsi"/>
                <w:b/>
                <w:bCs/>
                <w:color w:val="000000"/>
                <w:szCs w:val="22"/>
                <w:lang w:val="zh-CN" w:eastAsia="zh-CN"/>
              </w:rPr>
              <w:br/>
            </w:r>
            <w:r w:rsidRPr="00D47C1A">
              <w:rPr>
                <w:rFonts w:asciiTheme="minorHAnsi" w:eastAsia="SimSun" w:hAnsiTheme="minorHAnsi" w:cstheme="minorHAnsi"/>
                <w:b/>
                <w:bCs/>
                <w:color w:val="000000"/>
                <w:szCs w:val="22"/>
                <w:lang w:val="zh-CN" w:eastAsia="zh-CN"/>
              </w:rPr>
              <w:t>负债总额</w:t>
            </w:r>
          </w:p>
          <w:p w14:paraId="31368790" w14:textId="77777777" w:rsidR="00F912F4" w:rsidRPr="00D47C1A" w:rsidRDefault="00F912F4" w:rsidP="00D47C1A">
            <w:pPr>
              <w:pStyle w:val="Tabletext"/>
              <w:keepNext/>
              <w:keepLines/>
              <w:spacing w:before="20" w:after="20"/>
              <w:rPr>
                <w:rFonts w:asciiTheme="minorHAnsi" w:eastAsia="SimSun" w:hAnsiTheme="minorHAnsi" w:cstheme="minorHAnsi"/>
                <w:szCs w:val="22"/>
                <w:lang w:eastAsia="zh-CN"/>
              </w:rPr>
            </w:pPr>
            <w:r w:rsidRPr="00D47C1A">
              <w:rPr>
                <w:rFonts w:asciiTheme="minorHAnsi" w:eastAsia="SimSun" w:hAnsiTheme="minorHAnsi" w:cstheme="minorHAnsi"/>
                <w:color w:val="000000"/>
                <w:szCs w:val="22"/>
                <w:lang w:val="zh-CN" w:eastAsia="zh-CN"/>
              </w:rPr>
              <w:t>资产：负债</w:t>
            </w:r>
          </w:p>
        </w:tc>
        <w:tc>
          <w:tcPr>
            <w:tcW w:w="1530" w:type="dxa"/>
            <w:shd w:val="clear" w:color="auto" w:fill="auto"/>
            <w:vAlign w:val="bottom"/>
          </w:tcPr>
          <w:p w14:paraId="13FB5DBB" w14:textId="6297659B" w:rsidR="00F912F4" w:rsidRPr="00D47C1A" w:rsidRDefault="00F912F4" w:rsidP="00D47C1A">
            <w:pPr>
              <w:pStyle w:val="Tabletext"/>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0.5</w:t>
            </w:r>
          </w:p>
        </w:tc>
        <w:tc>
          <w:tcPr>
            <w:tcW w:w="1531" w:type="dxa"/>
            <w:shd w:val="clear" w:color="auto" w:fill="auto"/>
            <w:vAlign w:val="bottom"/>
          </w:tcPr>
          <w:p w14:paraId="2D478E2D" w14:textId="6521D15C" w:rsidR="00F912F4" w:rsidRPr="00D47C1A" w:rsidRDefault="00F912F4" w:rsidP="00D47C1A">
            <w:pPr>
              <w:pStyle w:val="Tabletext"/>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0.5</w:t>
            </w:r>
          </w:p>
        </w:tc>
        <w:tc>
          <w:tcPr>
            <w:tcW w:w="1531" w:type="dxa"/>
            <w:shd w:val="clear" w:color="auto" w:fill="auto"/>
            <w:vAlign w:val="bottom"/>
          </w:tcPr>
          <w:p w14:paraId="2D261384" w14:textId="5D699F65" w:rsidR="00F912F4" w:rsidRPr="00D47C1A" w:rsidRDefault="00F912F4" w:rsidP="00D47C1A">
            <w:pPr>
              <w:pStyle w:val="Tabletext"/>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0.6</w:t>
            </w:r>
          </w:p>
        </w:tc>
        <w:tc>
          <w:tcPr>
            <w:tcW w:w="1532" w:type="dxa"/>
            <w:shd w:val="clear" w:color="auto" w:fill="auto"/>
            <w:vAlign w:val="bottom"/>
          </w:tcPr>
          <w:p w14:paraId="28C76727" w14:textId="3814D1E3" w:rsidR="00F912F4" w:rsidRPr="00D47C1A" w:rsidRDefault="00F912F4" w:rsidP="00D47C1A">
            <w:pPr>
              <w:pStyle w:val="Tabletext"/>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0.5</w:t>
            </w:r>
          </w:p>
        </w:tc>
      </w:tr>
      <w:tr w:rsidR="00F912F4" w:rsidRPr="00D47C1A" w14:paraId="5E2FA945" w14:textId="77777777" w:rsidTr="0011737E">
        <w:tc>
          <w:tcPr>
            <w:tcW w:w="1530" w:type="dxa"/>
            <w:shd w:val="clear" w:color="auto" w:fill="auto"/>
          </w:tcPr>
          <w:p w14:paraId="47721A5A" w14:textId="4828C96C" w:rsidR="00F912F4" w:rsidRPr="00D47C1A" w:rsidRDefault="00F912F4" w:rsidP="00D47C1A">
            <w:pPr>
              <w:pStyle w:val="Tabletext"/>
              <w:keepNext/>
              <w:keepLines/>
              <w:spacing w:before="20" w:after="20"/>
              <w:rPr>
                <w:rStyle w:val="Bold"/>
                <w:rFonts w:asciiTheme="minorHAnsi" w:eastAsia="SimSun" w:hAnsiTheme="minorHAnsi" w:cstheme="minorHAnsi"/>
                <w:b w:val="0"/>
                <w:bCs w:val="0"/>
                <w:szCs w:val="22"/>
                <w:lang w:eastAsia="zh-CN"/>
              </w:rPr>
            </w:pPr>
            <w:r w:rsidRPr="00D47C1A">
              <w:rPr>
                <w:rFonts w:asciiTheme="minorHAnsi" w:eastAsia="SimSun" w:hAnsiTheme="minorHAnsi" w:cstheme="minorHAnsi"/>
                <w:b/>
                <w:bCs/>
                <w:color w:val="000000"/>
                <w:szCs w:val="22"/>
                <w:lang w:val="zh-CN" w:eastAsia="zh-CN"/>
              </w:rPr>
              <w:t>现金比率</w:t>
            </w:r>
            <w:r w:rsidR="00C41566">
              <w:rPr>
                <w:rFonts w:asciiTheme="minorHAnsi" w:eastAsia="SimSun" w:hAnsiTheme="minorHAnsi" w:cstheme="minorHAnsi" w:hint="eastAsia"/>
                <w:b/>
                <w:bCs/>
                <w:color w:val="000000"/>
                <w:szCs w:val="22"/>
                <w:lang w:val="zh-CN" w:eastAsia="zh-CN"/>
              </w:rPr>
              <w:t>：</w:t>
            </w:r>
          </w:p>
          <w:p w14:paraId="7F69D485" w14:textId="77777777" w:rsidR="00F912F4" w:rsidRPr="00D47C1A" w:rsidRDefault="00F912F4" w:rsidP="00D47C1A">
            <w:pPr>
              <w:pStyle w:val="Tabletext"/>
              <w:keepNext/>
              <w:keepLines/>
              <w:spacing w:before="20" w:after="20"/>
              <w:rPr>
                <w:rFonts w:asciiTheme="minorHAnsi" w:eastAsia="SimSun" w:hAnsiTheme="minorHAnsi" w:cstheme="minorHAnsi"/>
                <w:szCs w:val="22"/>
                <w:lang w:eastAsia="zh-CN"/>
              </w:rPr>
            </w:pPr>
            <w:r w:rsidRPr="00D47C1A">
              <w:rPr>
                <w:rFonts w:asciiTheme="minorHAnsi" w:eastAsia="SimSun" w:hAnsiTheme="minorHAnsi" w:cstheme="minorHAnsi"/>
                <w:color w:val="000000"/>
                <w:szCs w:val="22"/>
                <w:lang w:val="zh-CN" w:eastAsia="zh-CN"/>
              </w:rPr>
              <w:t>现金和短期投资：流动负债</w:t>
            </w:r>
          </w:p>
        </w:tc>
        <w:tc>
          <w:tcPr>
            <w:tcW w:w="1530" w:type="dxa"/>
            <w:shd w:val="clear" w:color="auto" w:fill="auto"/>
            <w:vAlign w:val="bottom"/>
          </w:tcPr>
          <w:p w14:paraId="1A0AECC0" w14:textId="77777777" w:rsidR="00F912F4" w:rsidRPr="00D47C1A" w:rsidRDefault="00F912F4" w:rsidP="00D47C1A">
            <w:pPr>
              <w:pStyle w:val="Tabletext"/>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2.0</w:t>
            </w:r>
          </w:p>
        </w:tc>
        <w:tc>
          <w:tcPr>
            <w:tcW w:w="1531" w:type="dxa"/>
            <w:shd w:val="clear" w:color="auto" w:fill="auto"/>
            <w:vAlign w:val="bottom"/>
          </w:tcPr>
          <w:p w14:paraId="30295419" w14:textId="77777777" w:rsidR="00F912F4" w:rsidRPr="00D47C1A" w:rsidRDefault="00F912F4" w:rsidP="00D47C1A">
            <w:pPr>
              <w:pStyle w:val="Tabletext"/>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1.9</w:t>
            </w:r>
          </w:p>
        </w:tc>
        <w:tc>
          <w:tcPr>
            <w:tcW w:w="1531" w:type="dxa"/>
            <w:shd w:val="clear" w:color="auto" w:fill="auto"/>
            <w:vAlign w:val="bottom"/>
          </w:tcPr>
          <w:p w14:paraId="3C8C0E76" w14:textId="77777777" w:rsidR="00F912F4" w:rsidRPr="00D47C1A" w:rsidRDefault="00F912F4" w:rsidP="00D47C1A">
            <w:pPr>
              <w:pStyle w:val="Tabletext"/>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2.0</w:t>
            </w:r>
          </w:p>
        </w:tc>
        <w:tc>
          <w:tcPr>
            <w:tcW w:w="1532" w:type="dxa"/>
            <w:shd w:val="clear" w:color="auto" w:fill="auto"/>
            <w:vAlign w:val="bottom"/>
          </w:tcPr>
          <w:p w14:paraId="6413945D" w14:textId="77777777" w:rsidR="00F912F4" w:rsidRPr="00D47C1A" w:rsidRDefault="00F912F4" w:rsidP="00D47C1A">
            <w:pPr>
              <w:pStyle w:val="Tabletext"/>
              <w:keepN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2.8</w:t>
            </w:r>
          </w:p>
        </w:tc>
      </w:tr>
      <w:tr w:rsidR="00F912F4" w:rsidRPr="00D47C1A" w14:paraId="62236C27" w14:textId="77777777" w:rsidTr="0011737E">
        <w:tc>
          <w:tcPr>
            <w:tcW w:w="1530" w:type="dxa"/>
            <w:shd w:val="clear" w:color="auto" w:fill="auto"/>
          </w:tcPr>
          <w:p w14:paraId="657DB513" w14:textId="7D90D543" w:rsidR="00F912F4" w:rsidRPr="00D47C1A" w:rsidRDefault="00F912F4" w:rsidP="00D47C1A">
            <w:pPr>
              <w:pStyle w:val="Tabletext"/>
              <w:keepLines/>
              <w:spacing w:before="20" w:after="20"/>
              <w:rPr>
                <w:rStyle w:val="Bold"/>
                <w:rFonts w:asciiTheme="minorHAnsi" w:eastAsia="SimSun" w:hAnsiTheme="minorHAnsi" w:cstheme="minorHAnsi"/>
                <w:b w:val="0"/>
                <w:bCs w:val="0"/>
                <w:szCs w:val="22"/>
                <w:lang w:eastAsia="zh-CN"/>
              </w:rPr>
            </w:pPr>
            <w:r w:rsidRPr="00D47C1A">
              <w:rPr>
                <w:rFonts w:asciiTheme="minorHAnsi" w:eastAsia="SimSun" w:hAnsiTheme="minorHAnsi" w:cstheme="minorHAnsi"/>
                <w:b/>
                <w:bCs/>
                <w:color w:val="000000"/>
                <w:szCs w:val="22"/>
                <w:lang w:val="zh-CN" w:eastAsia="zh-CN"/>
              </w:rPr>
              <w:t>投资比率</w:t>
            </w:r>
            <w:r w:rsidR="00C41566">
              <w:rPr>
                <w:rFonts w:asciiTheme="minorHAnsi" w:eastAsia="SimSun" w:hAnsiTheme="minorHAnsi" w:cstheme="minorHAnsi" w:hint="eastAsia"/>
                <w:b/>
                <w:bCs/>
                <w:color w:val="000000"/>
                <w:szCs w:val="22"/>
                <w:lang w:val="zh-CN" w:eastAsia="zh-CN"/>
              </w:rPr>
              <w:t>：</w:t>
            </w:r>
          </w:p>
          <w:p w14:paraId="22988128" w14:textId="7AFDAFFB" w:rsidR="00F912F4" w:rsidRPr="00D47C1A" w:rsidRDefault="00F912F4" w:rsidP="00D47C1A">
            <w:pPr>
              <w:pStyle w:val="Tabletext"/>
              <w:keepLines/>
              <w:spacing w:before="20" w:after="20"/>
              <w:rPr>
                <w:rFonts w:asciiTheme="minorHAnsi" w:eastAsia="SimSun" w:hAnsiTheme="minorHAnsi" w:cstheme="minorHAnsi"/>
                <w:szCs w:val="22"/>
                <w:lang w:eastAsia="zh-CN"/>
              </w:rPr>
            </w:pPr>
            <w:r w:rsidRPr="00D47C1A">
              <w:rPr>
                <w:rFonts w:asciiTheme="minorHAnsi" w:eastAsia="SimSun" w:hAnsiTheme="minorHAnsi" w:cstheme="minorHAnsi"/>
                <w:color w:val="000000"/>
                <w:szCs w:val="22"/>
                <w:lang w:val="zh-CN" w:eastAsia="zh-CN"/>
              </w:rPr>
              <w:t>现金和投资：</w:t>
            </w:r>
            <w:r w:rsidR="00D47C1A">
              <w:rPr>
                <w:rFonts w:asciiTheme="minorHAnsi" w:eastAsia="SimSun" w:hAnsiTheme="minorHAnsi" w:cstheme="minorHAnsi"/>
                <w:color w:val="000000"/>
                <w:szCs w:val="22"/>
                <w:lang w:val="zh-CN" w:eastAsia="zh-CN"/>
              </w:rPr>
              <w:br/>
            </w:r>
            <w:r w:rsidRPr="00D47C1A">
              <w:rPr>
                <w:rFonts w:asciiTheme="minorHAnsi" w:eastAsia="SimSun" w:hAnsiTheme="minorHAnsi" w:cstheme="minorHAnsi"/>
                <w:color w:val="000000"/>
                <w:szCs w:val="22"/>
                <w:lang w:val="zh-CN" w:eastAsia="zh-CN"/>
              </w:rPr>
              <w:t>总资产</w:t>
            </w:r>
          </w:p>
        </w:tc>
        <w:tc>
          <w:tcPr>
            <w:tcW w:w="1530" w:type="dxa"/>
            <w:shd w:val="clear" w:color="auto" w:fill="auto"/>
            <w:vAlign w:val="bottom"/>
          </w:tcPr>
          <w:p w14:paraId="4F9F9A8C" w14:textId="71551AA7" w:rsidR="00F912F4" w:rsidRPr="00D47C1A" w:rsidRDefault="00F912F4" w:rsidP="00D47C1A">
            <w:pPr>
              <w:pStyle w:val="Tablet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0.6</w:t>
            </w:r>
          </w:p>
        </w:tc>
        <w:tc>
          <w:tcPr>
            <w:tcW w:w="1531" w:type="dxa"/>
            <w:shd w:val="clear" w:color="auto" w:fill="auto"/>
            <w:vAlign w:val="bottom"/>
          </w:tcPr>
          <w:p w14:paraId="38F8BD7C" w14:textId="68EC7D37" w:rsidR="00F912F4" w:rsidRPr="00D47C1A" w:rsidRDefault="00F912F4" w:rsidP="00D47C1A">
            <w:pPr>
              <w:pStyle w:val="Tablet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0.6</w:t>
            </w:r>
          </w:p>
        </w:tc>
        <w:tc>
          <w:tcPr>
            <w:tcW w:w="1531" w:type="dxa"/>
            <w:shd w:val="clear" w:color="auto" w:fill="auto"/>
            <w:vAlign w:val="bottom"/>
          </w:tcPr>
          <w:p w14:paraId="398A029B" w14:textId="538C8D42" w:rsidR="00F912F4" w:rsidRPr="00D47C1A" w:rsidRDefault="00F912F4" w:rsidP="00D47C1A">
            <w:pPr>
              <w:pStyle w:val="Tablet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0.7</w:t>
            </w:r>
          </w:p>
        </w:tc>
        <w:tc>
          <w:tcPr>
            <w:tcW w:w="1532" w:type="dxa"/>
            <w:shd w:val="clear" w:color="auto" w:fill="auto"/>
            <w:vAlign w:val="bottom"/>
          </w:tcPr>
          <w:p w14:paraId="7E92D5DD" w14:textId="5213F47E" w:rsidR="00F912F4" w:rsidRPr="00D47C1A" w:rsidRDefault="00F912F4" w:rsidP="00D47C1A">
            <w:pPr>
              <w:pStyle w:val="Tabletext"/>
              <w:keepLines/>
              <w:spacing w:before="20" w:after="20"/>
              <w:jc w:val="center"/>
              <w:rPr>
                <w:rFonts w:asciiTheme="minorHAnsi" w:eastAsia="SimSun" w:hAnsiTheme="minorHAnsi" w:cstheme="minorHAnsi"/>
                <w:szCs w:val="22"/>
              </w:rPr>
            </w:pPr>
            <w:r w:rsidRPr="00D47C1A">
              <w:rPr>
                <w:rFonts w:asciiTheme="minorHAnsi" w:eastAsia="SimSun" w:hAnsiTheme="minorHAnsi" w:cstheme="minorHAnsi"/>
                <w:color w:val="000000"/>
                <w:szCs w:val="22"/>
                <w:lang w:val="zh-CN"/>
              </w:rPr>
              <w:t>0.7</w:t>
            </w:r>
          </w:p>
        </w:tc>
      </w:tr>
      <w:tr w:rsidR="00F912F4" w:rsidRPr="00D47C1A" w14:paraId="0522171A" w14:textId="77777777" w:rsidTr="0011737E">
        <w:tc>
          <w:tcPr>
            <w:tcW w:w="7654" w:type="dxa"/>
            <w:gridSpan w:val="5"/>
            <w:shd w:val="clear" w:color="auto" w:fill="auto"/>
          </w:tcPr>
          <w:p w14:paraId="03F91187" w14:textId="77777777" w:rsidR="00F912F4" w:rsidRPr="004415BD" w:rsidRDefault="00F912F4" w:rsidP="00D47C1A">
            <w:pPr>
              <w:pStyle w:val="Tablelegend"/>
              <w:keepLines/>
              <w:rPr>
                <w:rFonts w:asciiTheme="minorHAnsi" w:eastAsia="SimSun" w:hAnsiTheme="minorHAnsi" w:cstheme="minorHAnsi"/>
                <w:lang w:eastAsia="zh-CN"/>
              </w:rPr>
            </w:pPr>
            <w:r w:rsidRPr="004415BD">
              <w:rPr>
                <w:rFonts w:asciiTheme="minorHAnsi" w:eastAsia="SimSun" w:hAnsiTheme="minorHAnsi" w:cstheme="minorHAnsi"/>
                <w:color w:val="000000"/>
                <w:lang w:val="zh-CN" w:eastAsia="zh-CN"/>
              </w:rPr>
              <w:t>来源：国际电联财务工作报告</w:t>
            </w:r>
          </w:p>
        </w:tc>
      </w:tr>
    </w:tbl>
    <w:p w14:paraId="07DCF69F" w14:textId="77777777" w:rsidR="00F912F4" w:rsidRPr="00D47C1A" w:rsidRDefault="00F912F4" w:rsidP="004415BD">
      <w:pPr>
        <w:pStyle w:val="Headingb"/>
        <w:spacing w:before="360"/>
        <w:rPr>
          <w:bCs/>
          <w:lang w:eastAsia="zh-CN"/>
        </w:rPr>
      </w:pPr>
      <w:bookmarkStart w:id="33" w:name="_Toc200718063"/>
      <w:r w:rsidRPr="00D47C1A">
        <w:rPr>
          <w:lang w:val="zh-CN" w:eastAsia="zh-CN"/>
        </w:rPr>
        <w:t>现金管理</w:t>
      </w:r>
      <w:bookmarkEnd w:id="33"/>
    </w:p>
    <w:p w14:paraId="42EDF1C0"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1.15</w:t>
      </w:r>
      <w:r w:rsidRPr="00D47C1A">
        <w:rPr>
          <w:rFonts w:asciiTheme="minorHAnsi" w:eastAsia="SimSun" w:hAnsiTheme="minorHAnsi" w:cstheme="minorHAnsi"/>
          <w:lang w:val="zh-CN" w:eastAsia="zh-CN"/>
        </w:rPr>
        <w:tab/>
        <w:t>2024</w:t>
      </w:r>
      <w:r w:rsidRPr="00D47C1A">
        <w:rPr>
          <w:rFonts w:asciiTheme="minorHAnsi" w:eastAsia="SimSun" w:hAnsiTheme="minorHAnsi" w:cstheme="minorHAnsi"/>
          <w:lang w:val="zh-CN" w:eastAsia="zh-CN"/>
        </w:rPr>
        <w:t>年，国际电联减少了定期存款的使用，增加了现金持有量。正如管理层对我们之前建议（</w:t>
      </w:r>
      <w:r w:rsidRPr="00D47C1A">
        <w:rPr>
          <w:rFonts w:asciiTheme="minorHAnsi" w:eastAsia="SimSun" w:hAnsiTheme="minorHAnsi" w:cstheme="minorHAnsi"/>
          <w:lang w:val="zh-CN" w:eastAsia="zh-CN"/>
        </w:rPr>
        <w:t>2022</w:t>
      </w:r>
      <w:r w:rsidRPr="00D47C1A">
        <w:rPr>
          <w:rFonts w:asciiTheme="minorHAnsi" w:eastAsia="SimSun" w:hAnsiTheme="minorHAnsi" w:cstheme="minorHAnsi"/>
          <w:lang w:val="zh-CN" w:eastAsia="zh-CN"/>
        </w:rPr>
        <w:t>年，最终</w:t>
      </w:r>
      <w:r w:rsidRPr="00D47C1A">
        <w:rPr>
          <w:rFonts w:asciiTheme="minorHAnsi" w:eastAsia="SimSun" w:hAnsiTheme="minorHAnsi" w:cstheme="minorHAnsi"/>
          <w:lang w:val="zh-CN" w:eastAsia="zh-CN"/>
        </w:rPr>
        <w:t>R4</w:t>
      </w:r>
      <w:r w:rsidRPr="00D47C1A">
        <w:rPr>
          <w:rFonts w:asciiTheme="minorHAnsi" w:eastAsia="SimSun" w:hAnsiTheme="minorHAnsi" w:cstheme="minorHAnsi"/>
          <w:lang w:val="zh-CN" w:eastAsia="zh-CN"/>
        </w:rPr>
        <w:t>）的回应所强调的那样，新的财务指引将在</w:t>
      </w:r>
      <w:r w:rsidRPr="00D47C1A">
        <w:rPr>
          <w:rFonts w:asciiTheme="minorHAnsi" w:eastAsia="SimSun" w:hAnsiTheme="minorHAnsi" w:cstheme="minorHAnsi"/>
          <w:lang w:val="zh-CN" w:eastAsia="zh-CN"/>
        </w:rPr>
        <w:t>2025</w:t>
      </w:r>
      <w:r w:rsidRPr="00D47C1A">
        <w:rPr>
          <w:rFonts w:asciiTheme="minorHAnsi" w:eastAsia="SimSun" w:hAnsiTheme="minorHAnsi" w:cstheme="minorHAnsi"/>
          <w:lang w:val="zh-CN" w:eastAsia="zh-CN"/>
        </w:rPr>
        <w:t>年实施。这包括建立一个财政委员会和制定相关的投资政策。该委员会将制定国际电联进行短期和长期投资的参数。我们将审查相关安排的有效性，作为明年审计工作的一部分。</w:t>
      </w:r>
    </w:p>
    <w:p w14:paraId="3D60313C" w14:textId="77777777" w:rsidR="00F912F4" w:rsidRPr="00C41566" w:rsidRDefault="00F912F4" w:rsidP="00C41566">
      <w:pPr>
        <w:pStyle w:val="Headingb"/>
        <w:rPr>
          <w:lang w:eastAsia="zh-CN"/>
        </w:rPr>
      </w:pPr>
      <w:bookmarkStart w:id="34" w:name="_Toc200718064"/>
      <w:r w:rsidRPr="00C41566">
        <w:rPr>
          <w:lang w:eastAsia="zh-CN"/>
        </w:rPr>
        <w:t>债务方管理</w:t>
      </w:r>
      <w:bookmarkEnd w:id="34"/>
    </w:p>
    <w:p w14:paraId="2E4DA683"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1.16</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财务报表（注释</w:t>
      </w:r>
      <w:r w:rsidRPr="00D47C1A">
        <w:rPr>
          <w:rFonts w:asciiTheme="minorHAnsi" w:eastAsia="SimSun" w:hAnsiTheme="minorHAnsi" w:cstheme="minorHAnsi"/>
          <w:lang w:val="zh-CN" w:eastAsia="zh-CN"/>
        </w:rPr>
        <w:t>8</w:t>
      </w:r>
      <w:r w:rsidRPr="00D47C1A">
        <w:rPr>
          <w:rFonts w:asciiTheme="minorHAnsi" w:eastAsia="SimSun" w:hAnsiTheme="minorHAnsi" w:cstheme="minorHAnsi"/>
          <w:lang w:val="zh-CN" w:eastAsia="zh-CN"/>
        </w:rPr>
        <w:t>）显示部门成员以往分摊会费的余额存在重大减值。这反映了管理层在截至报告日（</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12</w:t>
      </w:r>
      <w:r w:rsidRPr="00D47C1A">
        <w:rPr>
          <w:rFonts w:asciiTheme="minorHAnsi" w:eastAsia="SimSun" w:hAnsiTheme="minorHAnsi" w:cstheme="minorHAnsi"/>
          <w:lang w:val="zh-CN" w:eastAsia="zh-CN"/>
        </w:rPr>
        <w:t>月</w:t>
      </w:r>
      <w:r w:rsidRPr="00D47C1A">
        <w:rPr>
          <w:rFonts w:asciiTheme="minorHAnsi" w:eastAsia="SimSun" w:hAnsiTheme="minorHAnsi" w:cstheme="minorHAnsi"/>
          <w:lang w:val="zh-CN" w:eastAsia="zh-CN"/>
        </w:rPr>
        <w:t>31</w:t>
      </w:r>
      <w:r w:rsidRPr="00D47C1A">
        <w:rPr>
          <w:rFonts w:asciiTheme="minorHAnsi" w:eastAsia="SimSun" w:hAnsiTheme="minorHAnsi" w:cstheme="minorHAnsi"/>
          <w:lang w:val="zh-CN" w:eastAsia="zh-CN"/>
        </w:rPr>
        <w:t>日）对该等余额可能的可收回性进行的评估。历史周期表明，许多成员将在全权代表大会召开的前一年与秘书处商定付款计划，以恢复其投票权。考虑到未付应收账款数额很高，管理层应对剩余余额进行详细审查，以便找出那些无法收回的余额。这将有助于确定应向全权代表大会报告的余额，并由全</w:t>
      </w:r>
      <w:r w:rsidRPr="00D47C1A">
        <w:rPr>
          <w:rFonts w:asciiTheme="minorHAnsi" w:eastAsia="SimSun" w:hAnsiTheme="minorHAnsi" w:cstheme="minorHAnsi"/>
          <w:lang w:val="zh-CN" w:eastAsia="zh-CN"/>
        </w:rPr>
        <w:lastRenderedPageBreak/>
        <w:t>权代表大会采取最终行动。以这种方式清理应收账款将使秘书处能够集中精力针对更有可能收到的应收账款采取回收行动。</w:t>
      </w:r>
    </w:p>
    <w:p w14:paraId="73F9AFA7" w14:textId="77777777" w:rsidR="00F912F4" w:rsidRPr="00D47C1A" w:rsidRDefault="00F912F4" w:rsidP="00D47C1A">
      <w:pPr>
        <w:keepNext/>
        <w:keepLines/>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国际电联应：建议</w:t>
      </w:r>
      <w:r w:rsidRPr="00D47C1A">
        <w:rPr>
          <w:rFonts w:asciiTheme="minorHAnsi" w:eastAsia="SimSun" w:hAnsiTheme="minorHAnsi" w:cstheme="minorHAnsi"/>
          <w:b/>
          <w:bCs/>
          <w:lang w:val="zh-CN" w:eastAsia="zh-CN"/>
        </w:rPr>
        <w:t>1</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R1</w:t>
      </w:r>
      <w:r w:rsidRPr="00D47C1A">
        <w:rPr>
          <w:rFonts w:asciiTheme="minorHAnsi" w:eastAsia="SimSun" w:hAnsiTheme="minorHAnsi" w:cstheme="minorHAnsi"/>
          <w:b/>
          <w:bCs/>
          <w:lang w:val="zh-CN" w:eastAsia="zh-CN"/>
        </w:rPr>
        <w:t>）：详细审查以往应收成员分摊会费并确定不可收回的债务，供全权代表大会采取适当行动。</w:t>
      </w:r>
    </w:p>
    <w:p w14:paraId="4CD47F1F" w14:textId="77777777" w:rsidR="00F912F4" w:rsidRPr="00E16D3F" w:rsidRDefault="00F912F4" w:rsidP="00D47C1A">
      <w:pPr>
        <w:rPr>
          <w:rStyle w:val="Italic"/>
          <w:rFonts w:asciiTheme="minorHAnsi" w:eastAsia="STKaiti" w:hAnsiTheme="minorHAnsi" w:cstheme="minorHAnsi"/>
          <w:b/>
          <w:i w:val="0"/>
          <w:iCs w:val="0"/>
          <w:lang w:eastAsia="zh-CN"/>
        </w:rPr>
      </w:pPr>
      <w:r w:rsidRPr="00D47C1A">
        <w:rPr>
          <w:rFonts w:asciiTheme="minorHAnsi" w:eastAsia="STKaiti" w:hAnsiTheme="minorHAnsi" w:cstheme="minorHAnsi"/>
          <w:lang w:val="zh-CN" w:eastAsia="zh-CN"/>
        </w:rPr>
        <w:t>国际电联管理层意见：国际电联已将此项建议记录在案。应当指出，全权代表大会（</w:t>
      </w:r>
      <w:r w:rsidRPr="00D47C1A">
        <w:rPr>
          <w:rFonts w:asciiTheme="minorHAnsi" w:eastAsia="STKaiti" w:hAnsiTheme="minorHAnsi" w:cstheme="minorHAnsi"/>
          <w:lang w:val="zh-CN" w:eastAsia="zh-CN"/>
        </w:rPr>
        <w:t>PP</w:t>
      </w:r>
      <w:r w:rsidRPr="00D47C1A">
        <w:rPr>
          <w:rFonts w:asciiTheme="minorHAnsi" w:eastAsia="STKaiti" w:hAnsiTheme="minorHAnsi" w:cstheme="minorHAnsi"/>
          <w:lang w:val="zh-CN" w:eastAsia="zh-CN"/>
        </w:rPr>
        <w:t>）通过第</w:t>
      </w:r>
      <w:r w:rsidRPr="00D47C1A">
        <w:rPr>
          <w:rFonts w:asciiTheme="minorHAnsi" w:eastAsia="STKaiti" w:hAnsiTheme="minorHAnsi" w:cstheme="minorHAnsi"/>
          <w:lang w:val="zh-CN" w:eastAsia="zh-CN"/>
        </w:rPr>
        <w:t>41</w:t>
      </w:r>
      <w:r w:rsidRPr="00D47C1A">
        <w:rPr>
          <w:rFonts w:asciiTheme="minorHAnsi" w:eastAsia="STKaiti" w:hAnsiTheme="minorHAnsi" w:cstheme="minorHAnsi"/>
          <w:lang w:val="zh-CN" w:eastAsia="zh-CN"/>
        </w:rPr>
        <w:t>号和第</w:t>
      </w:r>
      <w:r w:rsidRPr="00D47C1A">
        <w:rPr>
          <w:rFonts w:asciiTheme="minorHAnsi" w:eastAsia="STKaiti" w:hAnsiTheme="minorHAnsi" w:cstheme="minorHAnsi"/>
          <w:lang w:val="zh-CN" w:eastAsia="zh-CN"/>
        </w:rPr>
        <w:t>152</w:t>
      </w:r>
      <w:r w:rsidRPr="00D47C1A">
        <w:rPr>
          <w:rFonts w:asciiTheme="minorHAnsi" w:eastAsia="STKaiti" w:hAnsiTheme="minorHAnsi" w:cstheme="minorHAnsi"/>
          <w:lang w:val="zh-CN" w:eastAsia="zh-CN"/>
        </w:rPr>
        <w:t>号决议，已为处理债务问题确立了总体框架。秘书处和</w:t>
      </w:r>
      <w:r w:rsidRPr="00D47C1A">
        <w:rPr>
          <w:rFonts w:asciiTheme="minorHAnsi" w:eastAsia="STKaiti" w:hAnsiTheme="minorHAnsi" w:cstheme="minorHAnsi"/>
          <w:lang w:val="zh-CN" w:eastAsia="zh-CN"/>
        </w:rPr>
        <w:t>/</w:t>
      </w:r>
      <w:r w:rsidRPr="00D47C1A">
        <w:rPr>
          <w:rFonts w:asciiTheme="minorHAnsi" w:eastAsia="STKaiti" w:hAnsiTheme="minorHAnsi" w:cstheme="minorHAnsi"/>
          <w:lang w:val="zh-CN" w:eastAsia="zh-CN"/>
        </w:rPr>
        <w:t>或理事会不能授权注销成员国分摊会费。对于部门准成员、部门成员和学术成员，理事会可以授权注销无法收回的债务。每年向理事会提交一份关于无法收回债务的文件（</w:t>
      </w:r>
      <w:r>
        <w:fldChar w:fldCharType="begin"/>
      </w:r>
      <w:r>
        <w:rPr>
          <w:lang w:eastAsia="zh-CN"/>
        </w:rPr>
        <w:instrText>HYPERLINK "https://www.itu.int/md/S25-CL-C-0011/en"</w:instrText>
      </w:r>
      <w:r>
        <w:fldChar w:fldCharType="separate"/>
      </w:r>
      <w:proofErr w:type="spellStart"/>
      <w:r w:rsidRPr="00D47C1A">
        <w:rPr>
          <w:rStyle w:val="Hyperlink"/>
          <w:rFonts w:asciiTheme="minorHAnsi" w:hAnsiTheme="minorHAnsi" w:cstheme="minorHAnsi"/>
          <w:lang w:eastAsia="zh-CN"/>
        </w:rPr>
        <w:t>C25</w:t>
      </w:r>
      <w:proofErr w:type="spellEnd"/>
      <w:r w:rsidRPr="00D47C1A">
        <w:rPr>
          <w:rStyle w:val="Hyperlink"/>
          <w:rFonts w:asciiTheme="minorHAnsi" w:hAnsiTheme="minorHAnsi" w:cstheme="minorHAnsi"/>
          <w:lang w:eastAsia="zh-CN"/>
        </w:rPr>
        <w:t>/11</w:t>
      </w:r>
      <w:r>
        <w:fldChar w:fldCharType="end"/>
      </w:r>
      <w:r w:rsidRPr="00D47C1A">
        <w:rPr>
          <w:rFonts w:asciiTheme="minorHAnsi" w:eastAsia="STKaiti" w:hAnsiTheme="minorHAnsi" w:cstheme="minorHAnsi"/>
          <w:lang w:val="zh-CN" w:eastAsia="zh-CN"/>
        </w:rPr>
        <w:t>号文件）以供批准。将进一步分析相关情况，并就无法收回的债务提出核销建议。</w:t>
      </w:r>
    </w:p>
    <w:p w14:paraId="0F1DA002" w14:textId="77777777" w:rsidR="00F912F4" w:rsidRPr="00C41566" w:rsidRDefault="00F912F4" w:rsidP="00C41566">
      <w:pPr>
        <w:pStyle w:val="Headingb"/>
        <w:rPr>
          <w:lang w:eastAsia="zh-CN"/>
        </w:rPr>
      </w:pPr>
      <w:bookmarkStart w:id="35" w:name="_Toc200718065"/>
      <w:r w:rsidRPr="00C41566">
        <w:rPr>
          <w:lang w:eastAsia="zh-CN"/>
        </w:rPr>
        <w:t>项目管理</w:t>
      </w:r>
      <w:bookmarkEnd w:id="35"/>
    </w:p>
    <w:p w14:paraId="7E9014BC"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1.17</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作为</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审计的一部分，我们审查了国际电联在亚太区域代表处的工作，以更深入地了解国际电联的驻地运作及其项目和计划管理方法。通过审查，我们发现了国际电联在项目管理财务监督方面的不足。项目经理和项目发起人</w:t>
      </w:r>
      <w:r w:rsidRPr="00D47C1A">
        <w:rPr>
          <w:rStyle w:val="FootnoteReference"/>
          <w:rFonts w:asciiTheme="minorHAnsi" w:hAnsiTheme="minorHAnsi" w:cstheme="minorHAnsi"/>
          <w:lang w:val="zh-CN"/>
        </w:rPr>
        <w:footnoteReference w:id="1"/>
      </w:r>
      <w:r w:rsidRPr="00D47C1A">
        <w:rPr>
          <w:rFonts w:asciiTheme="minorHAnsi" w:eastAsia="SimSun" w:hAnsiTheme="minorHAnsi" w:cstheme="minorHAnsi"/>
          <w:lang w:val="zh-CN" w:eastAsia="zh-CN"/>
        </w:rPr>
        <w:t>无法常规访问其项目所涉及的交易信息。这主要是由于缺乏相应的报告功能。我们还注意到，项目经理不能随时了解有关其活动的其他未结交易，如采购订单、咨询合同和差旅授权。</w:t>
      </w:r>
    </w:p>
    <w:p w14:paraId="78787059"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1.18</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尽管此类报告未及时提供令人意外，但国际电联对我们的意见做出了积极回应，并在</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年结</w:t>
      </w:r>
      <w:r w:rsidRPr="00D47C1A">
        <w:rPr>
          <w:rFonts w:asciiTheme="minorHAnsi" w:eastAsia="SimSun" w:hAnsiTheme="minorHAnsi" w:cstheme="minorHAnsi"/>
          <w:lang w:eastAsia="zh-CN"/>
        </w:rPr>
        <w:t>帐</w:t>
      </w:r>
      <w:r w:rsidRPr="00D47C1A">
        <w:rPr>
          <w:rFonts w:asciiTheme="minorHAnsi" w:eastAsia="SimSun" w:hAnsiTheme="minorHAnsi" w:cstheme="minorHAnsi"/>
          <w:lang w:val="zh-CN" w:eastAsia="zh-CN"/>
        </w:rPr>
        <w:t>过程中启动了额外控制措施。这些措施要求涉及</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年支出总额为</w:t>
      </w:r>
      <w:r w:rsidRPr="00D47C1A">
        <w:rPr>
          <w:rFonts w:asciiTheme="minorHAnsi" w:eastAsia="SimSun" w:hAnsiTheme="minorHAnsi" w:cstheme="minorHAnsi"/>
          <w:lang w:val="zh-CN" w:eastAsia="zh-CN"/>
        </w:rPr>
        <w:t>1650</w:t>
      </w:r>
      <w:r w:rsidRPr="00D47C1A">
        <w:rPr>
          <w:rFonts w:asciiTheme="minorHAnsi" w:eastAsia="SimSun" w:hAnsiTheme="minorHAnsi" w:cstheme="minorHAnsi"/>
          <w:lang w:val="zh-CN" w:eastAsia="zh-CN"/>
        </w:rPr>
        <w:t>万瑞郎的</w:t>
      </w:r>
      <w:r w:rsidRPr="00D47C1A">
        <w:rPr>
          <w:rFonts w:asciiTheme="minorHAnsi" w:eastAsia="SimSun" w:hAnsiTheme="minorHAnsi" w:cstheme="minorHAnsi"/>
          <w:lang w:val="zh-CN" w:eastAsia="zh-CN"/>
        </w:rPr>
        <w:t>57</w:t>
      </w:r>
      <w:r w:rsidRPr="00D47C1A">
        <w:rPr>
          <w:rFonts w:asciiTheme="minorHAnsi" w:eastAsia="SimSun" w:hAnsiTheme="minorHAnsi" w:cstheme="minorHAnsi"/>
          <w:lang w:val="zh-CN" w:eastAsia="zh-CN"/>
        </w:rPr>
        <w:t>项协议的项目经理，审查其赠款下记录的所有支出，以确认交易符合捐助方协议。为了加强财务监督并确保项目财务管理的问责制，报告和验证机制应纳入例行的月度结账程序，直至系统解决方案实施。</w:t>
      </w:r>
    </w:p>
    <w:p w14:paraId="3F7AF081"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国际电联应：</w:t>
      </w:r>
    </w:p>
    <w:p w14:paraId="6A696D89" w14:textId="2DE9FC9C"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2</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R2</w:t>
      </w:r>
      <w:r w:rsidRPr="00D47C1A">
        <w:rPr>
          <w:rFonts w:asciiTheme="minorHAnsi" w:eastAsia="SimSun" w:hAnsiTheme="minorHAnsi" w:cstheme="minorHAnsi"/>
          <w:b/>
          <w:bCs/>
          <w:lang w:val="zh-CN" w:eastAsia="zh-CN"/>
        </w:rPr>
        <w:t>）：确保项目经理能够在</w:t>
      </w:r>
      <w:r w:rsidR="00D47C1A" w:rsidRPr="00D47C1A">
        <w:rPr>
          <w:rFonts w:ascii="SimSun" w:eastAsia="SimSun" w:hAnsi="SimSun" w:cstheme="minorHAnsi"/>
          <w:b/>
          <w:bCs/>
          <w:lang w:val="zh-CN" w:eastAsia="zh-CN"/>
        </w:rPr>
        <w:t>“</w:t>
      </w:r>
      <w:r w:rsidRPr="00D47C1A">
        <w:rPr>
          <w:rFonts w:asciiTheme="minorHAnsi" w:eastAsia="SimSun" w:hAnsiTheme="minorHAnsi" w:cstheme="minorHAnsi"/>
          <w:b/>
          <w:bCs/>
          <w:lang w:val="zh-CN" w:eastAsia="zh-CN"/>
        </w:rPr>
        <w:t>项目财务状况</w:t>
      </w:r>
      <w:r w:rsidR="00D47C1A" w:rsidRPr="00D47C1A">
        <w:rPr>
          <w:rFonts w:ascii="SimSun" w:eastAsia="SimSun" w:hAnsi="SimSun" w:cstheme="minorHAnsi"/>
          <w:b/>
          <w:bCs/>
          <w:lang w:val="zh-CN" w:eastAsia="zh-CN"/>
        </w:rPr>
        <w:t>”</w:t>
      </w:r>
      <w:r w:rsidRPr="00D47C1A">
        <w:rPr>
          <w:rFonts w:asciiTheme="minorHAnsi" w:eastAsia="SimSun" w:hAnsiTheme="minorHAnsi" w:cstheme="minorHAnsi"/>
          <w:b/>
          <w:bCs/>
          <w:lang w:val="zh-CN" w:eastAsia="zh-CN"/>
        </w:rPr>
        <w:t>信息概览中例行访问交易层面的财务细节，使他们能够实时审查和验证其项目的所有费用。</w:t>
      </w:r>
    </w:p>
    <w:p w14:paraId="699C1774"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3</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R3</w:t>
      </w:r>
      <w:r w:rsidRPr="00D47C1A">
        <w:rPr>
          <w:rFonts w:asciiTheme="minorHAnsi" w:eastAsia="SimSun" w:hAnsiTheme="minorHAnsi" w:cstheme="minorHAnsi"/>
          <w:b/>
          <w:bCs/>
          <w:lang w:val="zh-CN" w:eastAsia="zh-CN"/>
        </w:rPr>
        <w:t>）：正式要求项目经理在每个报告期结束时明确确认财务费用的准确性。这应成为项目财务审查过程中的一项强制性控制步骤。</w:t>
      </w:r>
    </w:p>
    <w:p w14:paraId="243CB28E"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4</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R4</w:t>
      </w:r>
      <w:r w:rsidRPr="00D47C1A">
        <w:rPr>
          <w:rFonts w:asciiTheme="minorHAnsi" w:eastAsia="SimSun" w:hAnsiTheme="minorHAnsi" w:cstheme="minorHAnsi"/>
          <w:b/>
          <w:bCs/>
          <w:lang w:val="zh-CN" w:eastAsia="zh-CN"/>
        </w:rPr>
        <w:t>）：在年底加强财务报告流程，以确保项目财务报表在定稿前得到充分验证，从而降低错报风险。</w:t>
      </w:r>
    </w:p>
    <w:p w14:paraId="479ABD43" w14:textId="77777777" w:rsidR="00F912F4" w:rsidRPr="00C41566" w:rsidRDefault="00F912F4" w:rsidP="00D47C1A">
      <w:pPr>
        <w:rPr>
          <w:rFonts w:asciiTheme="minorHAnsi" w:eastAsia="STKaiti" w:hAnsiTheme="minorHAnsi" w:cstheme="minorHAnsi"/>
          <w:lang w:val="zh-CN" w:eastAsia="zh-CN"/>
        </w:rPr>
      </w:pPr>
      <w:r w:rsidRPr="00D47C1A">
        <w:rPr>
          <w:rFonts w:asciiTheme="minorHAnsi" w:eastAsia="STKaiti" w:hAnsiTheme="minorHAnsi" w:cstheme="minorHAnsi"/>
          <w:lang w:val="zh-CN" w:eastAsia="zh-CN"/>
        </w:rPr>
        <w:t>国际电联管理层意见：国际电联已将这些建议记录在案。详细的实时信息概览正处于完成阶段，并将采用基于角色的访问权限，以便系统化地获取信息，并能够查询与其各自赠款相关的费用细节。培训和未来报告编写将于</w:t>
      </w:r>
      <w:r w:rsidRPr="00D47C1A">
        <w:rPr>
          <w:rFonts w:asciiTheme="minorHAnsi" w:eastAsia="STKaiti" w:hAnsiTheme="minorHAnsi" w:cstheme="minorHAnsi"/>
          <w:lang w:val="zh-CN" w:eastAsia="zh-CN"/>
        </w:rPr>
        <w:t>2025</w:t>
      </w:r>
      <w:r w:rsidRPr="00D47C1A">
        <w:rPr>
          <w:rFonts w:asciiTheme="minorHAnsi" w:eastAsia="STKaiti" w:hAnsiTheme="minorHAnsi" w:cstheme="minorHAnsi"/>
          <w:lang w:val="zh-CN" w:eastAsia="zh-CN"/>
        </w:rPr>
        <w:t>年第三季度和第四季度推出。</w:t>
      </w:r>
    </w:p>
    <w:p w14:paraId="165B9EB7" w14:textId="77777777" w:rsidR="00F912F4" w:rsidRPr="00D47C1A" w:rsidRDefault="00F912F4" w:rsidP="00D47C1A">
      <w:pPr>
        <w:rPr>
          <w:rFonts w:asciiTheme="minorHAnsi" w:eastAsia="SimSun" w:hAnsiTheme="minorHAnsi" w:cstheme="minorHAnsi"/>
          <w:lang w:eastAsia="zh-CN"/>
        </w:rPr>
      </w:pPr>
      <w:r w:rsidRPr="00D47C1A">
        <w:rPr>
          <w:rFonts w:asciiTheme="minorHAnsi" w:eastAsia="STKaiti" w:hAnsiTheme="minorHAnsi" w:cstheme="minorHAnsi"/>
          <w:lang w:val="zh-CN" w:eastAsia="zh-CN"/>
        </w:rPr>
        <w:t>国际电联将确保对所有预算外赠款进行年度审查，并且在发布财务报告之前要求对这一信息进行认证。这一步骤将在</w:t>
      </w:r>
      <w:r w:rsidRPr="00D47C1A">
        <w:rPr>
          <w:rFonts w:asciiTheme="minorHAnsi" w:eastAsia="STKaiti" w:hAnsiTheme="minorHAnsi" w:cstheme="minorHAnsi"/>
          <w:lang w:val="zh-CN" w:eastAsia="zh-CN"/>
        </w:rPr>
        <w:t>2025</w:t>
      </w:r>
      <w:r w:rsidRPr="00D47C1A">
        <w:rPr>
          <w:rFonts w:asciiTheme="minorHAnsi" w:eastAsia="STKaiti" w:hAnsiTheme="minorHAnsi" w:cstheme="minorHAnsi"/>
          <w:lang w:val="zh-CN" w:eastAsia="zh-CN"/>
        </w:rPr>
        <w:t>年底之前纳入赠款财务审查流程。</w:t>
      </w:r>
    </w:p>
    <w:p w14:paraId="53E4911F" w14:textId="77777777" w:rsidR="00F912F4" w:rsidRPr="00D47C1A" w:rsidRDefault="00F912F4" w:rsidP="004415BD">
      <w:pPr>
        <w:pStyle w:val="Headingb"/>
        <w:rPr>
          <w:bCs/>
          <w:lang w:eastAsia="zh-CN"/>
        </w:rPr>
      </w:pPr>
      <w:bookmarkStart w:id="36" w:name="_Toc200718066"/>
      <w:r w:rsidRPr="00D47C1A">
        <w:rPr>
          <w:lang w:val="zh-CN" w:eastAsia="zh-CN"/>
        </w:rPr>
        <w:lastRenderedPageBreak/>
        <w:t>职员福利</w:t>
      </w:r>
      <w:bookmarkEnd w:id="36"/>
    </w:p>
    <w:p w14:paraId="02A02669" w14:textId="28353AED"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1.19</w:t>
      </w:r>
      <w:r w:rsidRPr="00D47C1A">
        <w:rPr>
          <w:rFonts w:asciiTheme="minorHAnsi" w:eastAsia="SimSun" w:hAnsiTheme="minorHAnsi" w:cstheme="minorHAnsi"/>
          <w:lang w:val="zh-CN" w:eastAsia="zh-CN"/>
        </w:rPr>
        <w:tab/>
        <w:t>2024</w:t>
      </w:r>
      <w:r w:rsidRPr="00D47C1A">
        <w:rPr>
          <w:rFonts w:asciiTheme="minorHAnsi" w:eastAsia="SimSun" w:hAnsiTheme="minorHAnsi" w:cstheme="minorHAnsi"/>
          <w:lang w:val="zh-CN" w:eastAsia="zh-CN"/>
        </w:rPr>
        <w:t>年，财务报表中报告的职员费用总额为</w:t>
      </w:r>
      <w:r w:rsidRPr="00D47C1A">
        <w:rPr>
          <w:rFonts w:asciiTheme="minorHAnsi" w:eastAsia="SimSun" w:hAnsiTheme="minorHAnsi" w:cstheme="minorHAnsi"/>
          <w:lang w:val="zh-CN" w:eastAsia="zh-CN"/>
        </w:rPr>
        <w:t>1.425</w:t>
      </w:r>
      <w:r w:rsidRPr="00D47C1A">
        <w:rPr>
          <w:rFonts w:asciiTheme="minorHAnsi" w:eastAsia="SimSun" w:hAnsiTheme="minorHAnsi" w:cstheme="minorHAnsi"/>
          <w:lang w:val="zh-CN" w:eastAsia="zh-CN"/>
        </w:rPr>
        <w:t>亿瑞郎（</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1.507</w:t>
      </w:r>
      <w:r w:rsidRPr="00D47C1A">
        <w:rPr>
          <w:rFonts w:asciiTheme="minorHAnsi" w:eastAsia="SimSun" w:hAnsiTheme="minorHAnsi" w:cstheme="minorHAnsi"/>
          <w:lang w:val="zh-CN" w:eastAsia="zh-CN"/>
        </w:rPr>
        <w:t>亿瑞郎），占该时期所有费用的</w:t>
      </w:r>
      <w:r w:rsidRPr="00D47C1A">
        <w:rPr>
          <w:rFonts w:asciiTheme="minorHAnsi" w:eastAsia="SimSun" w:hAnsiTheme="minorHAnsi" w:cstheme="minorHAnsi"/>
          <w:lang w:val="zh-CN" w:eastAsia="zh-CN"/>
        </w:rPr>
        <w:t>68.7%</w:t>
      </w:r>
      <w:r w:rsidRPr="00D47C1A">
        <w:rPr>
          <w:rFonts w:asciiTheme="minorHAnsi" w:eastAsia="SimSun" w:hAnsiTheme="minorHAnsi" w:cstheme="minorHAnsi"/>
          <w:lang w:val="zh-CN" w:eastAsia="zh-CN"/>
        </w:rPr>
        <w:t>（</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76.4%</w:t>
      </w:r>
      <w:r w:rsidRPr="00D47C1A">
        <w:rPr>
          <w:rFonts w:asciiTheme="minorHAnsi" w:eastAsia="SimSun" w:hAnsiTheme="minorHAnsi" w:cstheme="minorHAnsi"/>
          <w:lang w:val="zh-CN" w:eastAsia="zh-CN"/>
        </w:rPr>
        <w:t>），支出比例的减少主要是由于</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w:t>
      </w:r>
      <w:r w:rsidR="00D47C1A" w:rsidRPr="00D47C1A">
        <w:rPr>
          <w:rFonts w:ascii="SimSun" w:eastAsia="SimSun" w:hAnsi="SimSun" w:cstheme="minorHAnsi"/>
          <w:lang w:val="zh-CN" w:eastAsia="zh-CN"/>
        </w:rPr>
        <w:t>“</w:t>
      </w:r>
      <w:r w:rsidRPr="00D47C1A">
        <w:rPr>
          <w:rFonts w:asciiTheme="minorHAnsi" w:eastAsia="SimSun" w:hAnsiTheme="minorHAnsi" w:cstheme="minorHAnsi"/>
          <w:lang w:val="zh-CN" w:eastAsia="zh-CN"/>
        </w:rPr>
        <w:t>新办公楼</w:t>
      </w:r>
      <w:r w:rsidR="00D47C1A" w:rsidRPr="00D47C1A">
        <w:rPr>
          <w:rFonts w:ascii="SimSun" w:eastAsia="SimSun" w:hAnsi="SimSun" w:cstheme="minorHAnsi"/>
          <w:lang w:val="zh-CN" w:eastAsia="zh-CN"/>
        </w:rPr>
        <w:t>”</w:t>
      </w:r>
      <w:r w:rsidRPr="00D47C1A">
        <w:rPr>
          <w:rFonts w:asciiTheme="minorHAnsi" w:eastAsia="SimSun" w:hAnsiTheme="minorHAnsi" w:cstheme="minorHAnsi"/>
          <w:lang w:val="zh-CN" w:eastAsia="zh-CN"/>
        </w:rPr>
        <w:t>减值费用的增加，而非职员费用的根本性减少。国际电联《人事规则》规定了国际电联职员的服务条件以及基本权利、责任和义务。这包括薪金、相关津贴以及社会保障福利，包括加入联合国合办工作人员养恤基金和离职后健康保险。</w:t>
      </w:r>
    </w:p>
    <w:p w14:paraId="54EE3CF2" w14:textId="77777777" w:rsidR="00F912F4" w:rsidRPr="00D47C1A" w:rsidRDefault="00F912F4" w:rsidP="00D47C1A">
      <w:pPr>
        <w:pStyle w:val="Heading4"/>
        <w:numPr>
          <w:ilvl w:val="0"/>
          <w:numId w:val="0"/>
        </w:numPr>
        <w:rPr>
          <w:rFonts w:asciiTheme="minorHAnsi" w:eastAsia="SimSun" w:hAnsiTheme="minorHAnsi" w:cstheme="minorHAnsi"/>
          <w:i w:val="0"/>
          <w:iCs/>
          <w:sz w:val="28"/>
          <w:szCs w:val="28"/>
          <w:lang w:eastAsia="zh-CN"/>
        </w:rPr>
      </w:pPr>
      <w:r w:rsidRPr="00D47C1A">
        <w:rPr>
          <w:rFonts w:asciiTheme="minorHAnsi" w:eastAsia="SimSun" w:hAnsiTheme="minorHAnsi" w:cstheme="minorHAnsi"/>
          <w:i w:val="0"/>
          <w:iCs/>
          <w:sz w:val="28"/>
          <w:szCs w:val="28"/>
          <w:lang w:eastAsia="zh-CN"/>
        </w:rPr>
        <w:t>离职后福利</w:t>
      </w:r>
    </w:p>
    <w:p w14:paraId="52A4EF99"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1.20</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国际电联在其财务报表中确认的最重大的负债为职员福利负债。这些负债包括职工离职后健康保险、离职回国待遇和积存年假。这些职员福利的总负债已增至</w:t>
      </w:r>
      <w:r w:rsidRPr="00D47C1A">
        <w:rPr>
          <w:rFonts w:asciiTheme="minorHAnsi" w:eastAsia="SimSun" w:hAnsiTheme="minorHAnsi" w:cstheme="minorHAnsi"/>
          <w:lang w:val="zh-CN" w:eastAsia="zh-CN"/>
        </w:rPr>
        <w:t>4.414</w:t>
      </w:r>
      <w:r w:rsidRPr="00D47C1A">
        <w:rPr>
          <w:rFonts w:asciiTheme="minorHAnsi" w:eastAsia="SimSun" w:hAnsiTheme="minorHAnsi" w:cstheme="minorHAnsi"/>
          <w:lang w:val="zh-CN" w:eastAsia="zh-CN"/>
        </w:rPr>
        <w:t>亿瑞郎（</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3.994</w:t>
      </w:r>
      <w:r w:rsidRPr="00D47C1A">
        <w:rPr>
          <w:rFonts w:asciiTheme="minorHAnsi" w:eastAsia="SimSun" w:hAnsiTheme="minorHAnsi" w:cstheme="minorHAnsi"/>
          <w:lang w:val="zh-CN" w:eastAsia="zh-CN"/>
        </w:rPr>
        <w:t>亿瑞郎）。</w:t>
      </w:r>
    </w:p>
    <w:p w14:paraId="1C88AFB4"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1.21</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离职后健康保险负债总额为</w:t>
      </w:r>
      <w:r w:rsidRPr="00D47C1A">
        <w:rPr>
          <w:rFonts w:asciiTheme="minorHAnsi" w:eastAsia="SimSun" w:hAnsiTheme="minorHAnsi" w:cstheme="minorHAnsi"/>
          <w:lang w:val="zh-CN" w:eastAsia="zh-CN"/>
        </w:rPr>
        <w:t>4.158</w:t>
      </w:r>
      <w:r w:rsidRPr="00D47C1A">
        <w:rPr>
          <w:rFonts w:asciiTheme="minorHAnsi" w:eastAsia="SimSun" w:hAnsiTheme="minorHAnsi" w:cstheme="minorHAnsi"/>
          <w:lang w:val="zh-CN" w:eastAsia="zh-CN"/>
        </w:rPr>
        <w:t>亿瑞郎（</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3.753</w:t>
      </w:r>
      <w:r w:rsidRPr="00D47C1A">
        <w:rPr>
          <w:rFonts w:asciiTheme="minorHAnsi" w:eastAsia="SimSun" w:hAnsiTheme="minorHAnsi" w:cstheme="minorHAnsi"/>
          <w:lang w:val="zh-CN" w:eastAsia="zh-CN"/>
        </w:rPr>
        <w:t>亿瑞郎），由独立精算师根据基本数据和假设计算得出。这些负债反映了截至</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12</w:t>
      </w:r>
      <w:r w:rsidRPr="00D47C1A">
        <w:rPr>
          <w:rFonts w:asciiTheme="minorHAnsi" w:eastAsia="SimSun" w:hAnsiTheme="minorHAnsi" w:cstheme="minorHAnsi"/>
          <w:lang w:val="zh-CN" w:eastAsia="zh-CN"/>
        </w:rPr>
        <w:t>月</w:t>
      </w:r>
      <w:r w:rsidRPr="00D47C1A">
        <w:rPr>
          <w:rFonts w:asciiTheme="minorHAnsi" w:eastAsia="SimSun" w:hAnsiTheme="minorHAnsi" w:cstheme="minorHAnsi"/>
          <w:lang w:val="zh-CN" w:eastAsia="zh-CN"/>
        </w:rPr>
        <w:t>31</w:t>
      </w:r>
      <w:r w:rsidRPr="00D47C1A">
        <w:rPr>
          <w:rFonts w:asciiTheme="minorHAnsi" w:eastAsia="SimSun" w:hAnsiTheme="minorHAnsi" w:cstheme="minorHAnsi"/>
          <w:lang w:val="zh-CN" w:eastAsia="zh-CN"/>
        </w:rPr>
        <w:t>日对职员和退休人员的合同义务价值，涉及他们未来预期的基本报销额。同比变动源于精算假设的变化，包括与医疗报销费用有关的假设。</w:t>
      </w:r>
    </w:p>
    <w:p w14:paraId="42C94E2E"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1.22</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鉴于估值中的估算和判断的水平较高，我们将其视为审计中的一个重大风险。在审查对估值的现有控制措施（包括管理层对精算师使用的普查数据的验证）的同时，我们还考虑了管理层如何确定所使用的假设是合理和适当的。我们测试了普查数据的真实性，并执行了相关程序，以获得依赖管理层专家的权利。我们的精算团队评估了所使用的假设和方法，以确保这些假设和方法是适当的、符合</w:t>
      </w:r>
      <w:r w:rsidRPr="00D47C1A">
        <w:rPr>
          <w:rFonts w:asciiTheme="minorHAnsi" w:eastAsia="SimSun" w:hAnsiTheme="minorHAnsi" w:cstheme="minorHAnsi"/>
          <w:lang w:val="zh-CN" w:eastAsia="zh-CN"/>
        </w:rPr>
        <w:t>IPSAS</w:t>
      </w:r>
      <w:r w:rsidRPr="00D47C1A">
        <w:rPr>
          <w:rFonts w:asciiTheme="minorHAnsi" w:eastAsia="SimSun" w:hAnsiTheme="minorHAnsi" w:cstheme="minorHAnsi"/>
          <w:lang w:val="zh-CN" w:eastAsia="zh-CN"/>
        </w:rPr>
        <w:t>并与行业参照标准一致。</w:t>
      </w:r>
    </w:p>
    <w:p w14:paraId="3FC9009F" w14:textId="5F68D92D"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1.23</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国际电联保留一个单独的账目，用于未来为离职后健康保险负债提供资金，</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12</w:t>
      </w:r>
      <w:r w:rsidRPr="00D47C1A">
        <w:rPr>
          <w:rFonts w:asciiTheme="minorHAnsi" w:eastAsia="SimSun" w:hAnsiTheme="minorHAnsi" w:cstheme="minorHAnsi"/>
          <w:lang w:val="zh-CN" w:eastAsia="zh-CN"/>
        </w:rPr>
        <w:t>月总额为</w:t>
      </w:r>
      <w:r w:rsidRPr="00D47C1A">
        <w:rPr>
          <w:rFonts w:asciiTheme="minorHAnsi" w:eastAsia="SimSun" w:hAnsiTheme="minorHAnsi" w:cstheme="minorHAnsi"/>
          <w:lang w:val="zh-CN" w:eastAsia="zh-CN"/>
        </w:rPr>
        <w:t>1</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500</w:t>
      </w:r>
      <w:r w:rsidRPr="00D47C1A">
        <w:rPr>
          <w:rFonts w:asciiTheme="minorHAnsi" w:eastAsia="SimSun" w:hAnsiTheme="minorHAnsi" w:cstheme="minorHAnsi"/>
          <w:lang w:val="zh-CN" w:eastAsia="zh-CN"/>
        </w:rPr>
        <w:t>万瑞郎（</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1</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400</w:t>
      </w:r>
      <w:r w:rsidRPr="00D47C1A">
        <w:rPr>
          <w:rFonts w:asciiTheme="minorHAnsi" w:eastAsia="SimSun" w:hAnsiTheme="minorHAnsi" w:cstheme="minorHAnsi"/>
          <w:lang w:val="zh-CN" w:eastAsia="zh-CN"/>
        </w:rPr>
        <w:t>万瑞郎），其中包括当年理事会同意（第</w:t>
      </w:r>
      <w:r w:rsidRPr="00D47C1A">
        <w:rPr>
          <w:rFonts w:asciiTheme="minorHAnsi" w:eastAsia="SimSun" w:hAnsiTheme="minorHAnsi" w:cstheme="minorHAnsi"/>
          <w:lang w:val="zh-CN" w:eastAsia="zh-CN"/>
        </w:rPr>
        <w:t>1417</w:t>
      </w:r>
      <w:r w:rsidRPr="00D47C1A">
        <w:rPr>
          <w:rFonts w:asciiTheme="minorHAnsi" w:eastAsia="SimSun" w:hAnsiTheme="minorHAnsi" w:cstheme="minorHAnsi"/>
          <w:lang w:val="zh-CN" w:eastAsia="zh-CN"/>
        </w:rPr>
        <w:t>号决议，第</w:t>
      </w:r>
      <w:r w:rsidRPr="00D47C1A">
        <w:rPr>
          <w:rFonts w:asciiTheme="minorHAnsi" w:eastAsia="SimSun" w:hAnsiTheme="minorHAnsi" w:cstheme="minorHAnsi"/>
          <w:lang w:val="zh-CN" w:eastAsia="zh-CN"/>
        </w:rPr>
        <w:t>9</w:t>
      </w:r>
      <w:r w:rsidRPr="00D47C1A">
        <w:rPr>
          <w:rFonts w:asciiTheme="minorHAnsi" w:eastAsia="SimSun" w:hAnsiTheme="minorHAnsi" w:cstheme="minorHAnsi"/>
          <w:lang w:val="zh-CN" w:eastAsia="zh-CN"/>
        </w:rPr>
        <w:t>段）的额外拨款</w:t>
      </w:r>
      <w:r w:rsidRPr="00D47C1A">
        <w:rPr>
          <w:rFonts w:asciiTheme="minorHAnsi" w:eastAsia="SimSun" w:hAnsiTheme="minorHAnsi" w:cstheme="minorHAnsi"/>
          <w:lang w:val="zh-CN" w:eastAsia="zh-CN"/>
        </w:rPr>
        <w:t>100</w:t>
      </w:r>
      <w:r w:rsidRPr="00D47C1A">
        <w:rPr>
          <w:rFonts w:asciiTheme="minorHAnsi" w:eastAsia="SimSun" w:hAnsiTheme="minorHAnsi" w:cstheme="minorHAnsi"/>
          <w:lang w:val="zh-CN" w:eastAsia="zh-CN"/>
        </w:rPr>
        <w:t>万瑞郎。这些资金主要来自储备金账户的转账。尽管如此，仍有约</w:t>
      </w:r>
      <w:r w:rsidRPr="00D47C1A">
        <w:rPr>
          <w:rFonts w:asciiTheme="minorHAnsi" w:eastAsia="SimSun" w:hAnsiTheme="minorHAnsi" w:cstheme="minorHAnsi"/>
          <w:lang w:val="zh-CN" w:eastAsia="zh-CN"/>
        </w:rPr>
        <w:t>4</w:t>
      </w:r>
      <w:r w:rsidRPr="00D47C1A">
        <w:rPr>
          <w:rFonts w:asciiTheme="minorHAnsi" w:eastAsia="SimSun" w:hAnsiTheme="minorHAnsi" w:cstheme="minorHAnsi"/>
          <w:lang w:val="zh-CN" w:eastAsia="zh-CN"/>
        </w:rPr>
        <w:t>亿瑞郎的重大无资金准备负债，加上国际电联的其它资产和负债，导致准备金净值为负</w:t>
      </w:r>
      <w:r w:rsidRPr="00D47C1A">
        <w:rPr>
          <w:rFonts w:asciiTheme="minorHAnsi" w:eastAsia="SimSun" w:hAnsiTheme="minorHAnsi" w:cstheme="minorHAnsi"/>
          <w:lang w:val="zh-CN" w:eastAsia="zh-CN"/>
        </w:rPr>
        <w:t>3.13</w:t>
      </w:r>
      <w:r w:rsidRPr="00D47C1A">
        <w:rPr>
          <w:rFonts w:asciiTheme="minorHAnsi" w:eastAsia="SimSun" w:hAnsiTheme="minorHAnsi" w:cstheme="minorHAnsi"/>
          <w:lang w:val="zh-CN" w:eastAsia="zh-CN"/>
        </w:rPr>
        <w:t>亿瑞郎。</w:t>
      </w:r>
    </w:p>
    <w:p w14:paraId="1D29994C"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1.24</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这一规模的严重赤字对国际电联构成重大长期财务风险。然而，此类没有资金准备的负债在联合国系统内较为常见，但成员仍应定期确定和批准其为这些方案负债筹措资金的方式。这一点对于因预算外资金而产生的负债尤为重要。我们认为，定期审查通过考虑所提供的保险覆盖范围和水平来降低风险敞口的机会仍至关重要。</w:t>
      </w:r>
    </w:p>
    <w:p w14:paraId="5FEAC1AA"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1.25</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在理事会</w:t>
      </w:r>
      <w:hyperlink r:id="rId16" w:history="1">
        <w:r w:rsidRPr="00D47C1A">
          <w:rPr>
            <w:rStyle w:val="Hyperlink"/>
            <w:rFonts w:asciiTheme="minorHAnsi" w:hAnsiTheme="minorHAnsi" w:cstheme="minorHAnsi"/>
            <w:lang w:eastAsia="zh-CN"/>
          </w:rPr>
          <w:t>C25/46</w:t>
        </w:r>
      </w:hyperlink>
      <w:r w:rsidRPr="00D47C1A">
        <w:rPr>
          <w:rFonts w:asciiTheme="minorHAnsi" w:eastAsia="SimSun" w:hAnsiTheme="minorHAnsi" w:cstheme="minorHAnsi"/>
          <w:lang w:val="zh-CN" w:eastAsia="zh-CN"/>
        </w:rPr>
        <w:t>号文件中，秘书长介绍了负债的最新情况、目前的资金管理方式以及全系统发展的最新情况。国际电联计划通过对</w:t>
      </w:r>
      <w:r w:rsidRPr="00D47C1A">
        <w:rPr>
          <w:rFonts w:asciiTheme="minorHAnsi" w:eastAsia="SimSun" w:hAnsiTheme="minorHAnsi" w:cstheme="minorHAnsi"/>
          <w:lang w:val="zh-CN" w:eastAsia="zh-CN"/>
        </w:rPr>
        <w:t>2026</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1</w:t>
      </w:r>
      <w:r w:rsidRPr="00D47C1A">
        <w:rPr>
          <w:rFonts w:asciiTheme="minorHAnsi" w:eastAsia="SimSun" w:hAnsiTheme="minorHAnsi" w:cstheme="minorHAnsi"/>
          <w:lang w:val="zh-CN" w:eastAsia="zh-CN"/>
        </w:rPr>
        <w:t>月</w:t>
      </w:r>
      <w:r w:rsidRPr="00D47C1A">
        <w:rPr>
          <w:rFonts w:asciiTheme="minorHAnsi" w:eastAsia="SimSun" w:hAnsiTheme="minorHAnsi" w:cstheme="minorHAnsi"/>
          <w:lang w:val="zh-CN" w:eastAsia="zh-CN"/>
        </w:rPr>
        <w:t>1</w:t>
      </w:r>
      <w:r w:rsidRPr="00D47C1A">
        <w:rPr>
          <w:rFonts w:asciiTheme="minorHAnsi" w:eastAsia="SimSun" w:hAnsiTheme="minorHAnsi" w:cstheme="minorHAnsi"/>
          <w:lang w:val="zh-CN" w:eastAsia="zh-CN"/>
        </w:rPr>
        <w:t>日起新招聘职员的基薪征收</w:t>
      </w:r>
      <w:r w:rsidRPr="00D47C1A">
        <w:rPr>
          <w:rFonts w:asciiTheme="minorHAnsi" w:eastAsia="SimSun" w:hAnsiTheme="minorHAnsi" w:cstheme="minorHAnsi"/>
          <w:lang w:val="zh-CN" w:eastAsia="zh-CN"/>
        </w:rPr>
        <w:t>5.35%</w:t>
      </w:r>
      <w:r w:rsidRPr="00D47C1A">
        <w:rPr>
          <w:rFonts w:asciiTheme="minorHAnsi" w:eastAsia="SimSun" w:hAnsiTheme="minorHAnsi" w:cstheme="minorHAnsi"/>
          <w:lang w:val="zh-CN" w:eastAsia="zh-CN"/>
        </w:rPr>
        <w:t>的费用，为负债提供部分资金。</w:t>
      </w:r>
    </w:p>
    <w:p w14:paraId="4C14746B"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1.26</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无资金准备的负债仍然是国际电联最重大的财务风险，各成员应定期审查有关提供服务的现有安排，并确认成本和负债的资金战略仍最适合国际电联的实际情况。通过审查，我们发现，其他储备金中存在若干活动有限的基金，如国际电联职员退休和福利基金（</w:t>
      </w:r>
      <w:r w:rsidRPr="00D47C1A">
        <w:rPr>
          <w:rFonts w:asciiTheme="minorHAnsi" w:eastAsia="SimSun" w:hAnsiTheme="minorHAnsi" w:cstheme="minorHAnsi"/>
          <w:lang w:val="zh-CN" w:eastAsia="zh-CN"/>
        </w:rPr>
        <w:t>650</w:t>
      </w:r>
      <w:r w:rsidRPr="00D47C1A">
        <w:rPr>
          <w:rFonts w:asciiTheme="minorHAnsi" w:eastAsia="SimSun" w:hAnsiTheme="minorHAnsi" w:cstheme="minorHAnsi"/>
          <w:lang w:val="zh-CN" w:eastAsia="zh-CN"/>
        </w:rPr>
        <w:t>万瑞郎）。管理层应考虑是否应获得成员的授权，将这些基金重新指定用于提高</w:t>
      </w:r>
      <w:r w:rsidRPr="00D47C1A">
        <w:rPr>
          <w:rFonts w:asciiTheme="minorHAnsi" w:eastAsia="SimSun" w:hAnsiTheme="minorHAnsi" w:cstheme="minorHAnsi"/>
          <w:lang w:val="zh-CN" w:eastAsia="zh-CN"/>
        </w:rPr>
        <w:t>ASHI</w:t>
      </w:r>
      <w:r w:rsidRPr="00D47C1A">
        <w:rPr>
          <w:rFonts w:asciiTheme="minorHAnsi" w:eastAsia="SimSun" w:hAnsiTheme="minorHAnsi" w:cstheme="minorHAnsi"/>
          <w:lang w:val="zh-CN" w:eastAsia="zh-CN"/>
        </w:rPr>
        <w:t>的资金水平。</w:t>
      </w:r>
    </w:p>
    <w:p w14:paraId="47C308A8" w14:textId="77777777" w:rsidR="00F912F4" w:rsidRPr="00D47C1A" w:rsidRDefault="00F912F4" w:rsidP="00C41566">
      <w:pPr>
        <w:keepLines/>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lastRenderedPageBreak/>
        <w:t>1.27</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在</w:t>
      </w:r>
      <w:r w:rsidRPr="00D47C1A">
        <w:rPr>
          <w:rFonts w:asciiTheme="minorHAnsi" w:eastAsia="SimSun" w:hAnsiTheme="minorHAnsi" w:cstheme="minorHAnsi"/>
          <w:lang w:val="zh-CN" w:eastAsia="zh-CN"/>
        </w:rPr>
        <w:t>2022</w:t>
      </w:r>
      <w:r w:rsidRPr="00D47C1A">
        <w:rPr>
          <w:rFonts w:asciiTheme="minorHAnsi" w:eastAsia="SimSun" w:hAnsiTheme="minorHAnsi" w:cstheme="minorHAnsi"/>
          <w:lang w:val="zh-CN" w:eastAsia="zh-CN"/>
        </w:rPr>
        <w:t>年的报告中，我们强调，尽管核心资源面临压力，但国际电联仍持有若干现金支持的储备金和基金余额。虽然某些资金余额可能因特定用途而受到限制，但我们仍然认为管理层应进行具体审查，并考虑是否需要审查相关条件，以确定其是否仍具相关性和适当性，并据此与成员进行沟通。因此，我们继续</w:t>
      </w:r>
      <w:r w:rsidRPr="00D47C1A">
        <w:rPr>
          <w:rFonts w:asciiTheme="minorHAnsi" w:eastAsia="SimSun" w:hAnsiTheme="minorHAnsi" w:cstheme="minorHAnsi"/>
          <w:b/>
          <w:bCs/>
          <w:lang w:val="zh-CN" w:eastAsia="zh-CN"/>
        </w:rPr>
        <w:t>重申先前的建议（</w:t>
      </w:r>
      <w:r w:rsidRPr="00D47C1A">
        <w:rPr>
          <w:rFonts w:asciiTheme="minorHAnsi" w:eastAsia="SimSun" w:hAnsiTheme="minorHAnsi" w:cstheme="minorHAnsi"/>
          <w:b/>
          <w:bCs/>
          <w:lang w:val="zh-CN" w:eastAsia="zh-CN"/>
        </w:rPr>
        <w:t>2022</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R.10</w:t>
      </w:r>
      <w:r w:rsidRPr="00D47C1A">
        <w:rPr>
          <w:rFonts w:asciiTheme="minorHAnsi" w:eastAsia="SimSun" w:hAnsiTheme="minorHAnsi" w:cstheme="minorHAnsi"/>
          <w:b/>
          <w:bCs/>
          <w:lang w:val="zh-CN" w:eastAsia="zh-CN"/>
        </w:rPr>
        <w:t>），国际电联应审查其当前的基金和储备金余额。</w:t>
      </w:r>
    </w:p>
    <w:p w14:paraId="2030026E" w14:textId="77777777" w:rsidR="00F912F4" w:rsidRPr="00D47C1A" w:rsidRDefault="00F912F4" w:rsidP="00D47C1A">
      <w:pPr>
        <w:rPr>
          <w:rStyle w:val="Italic"/>
          <w:rFonts w:asciiTheme="minorHAnsi" w:eastAsia="STKaiti" w:hAnsiTheme="minorHAnsi" w:cstheme="minorHAnsi"/>
          <w:lang w:eastAsia="zh-CN"/>
        </w:rPr>
      </w:pPr>
      <w:r w:rsidRPr="00D47C1A">
        <w:rPr>
          <w:rFonts w:asciiTheme="minorHAnsi" w:eastAsia="STKaiti" w:hAnsiTheme="minorHAnsi" w:cstheme="minorHAnsi"/>
          <w:lang w:val="zh-CN" w:eastAsia="zh-CN"/>
        </w:rPr>
        <w:t>国际电联管理层意见：国际电联已将此项建议记录在案，国际电联秘书处将向理事会提出各项增加</w:t>
      </w:r>
      <w:r w:rsidRPr="00D47C1A">
        <w:rPr>
          <w:rFonts w:asciiTheme="minorHAnsi" w:eastAsia="STKaiti" w:hAnsiTheme="minorHAnsi" w:cstheme="minorHAnsi"/>
          <w:lang w:val="zh-CN" w:eastAsia="zh-CN"/>
        </w:rPr>
        <w:t>ASHI</w:t>
      </w:r>
      <w:r w:rsidRPr="00D47C1A">
        <w:rPr>
          <w:rFonts w:asciiTheme="minorHAnsi" w:eastAsia="STKaiti" w:hAnsiTheme="minorHAnsi" w:cstheme="minorHAnsi"/>
          <w:lang w:val="zh-CN" w:eastAsia="zh-CN"/>
        </w:rPr>
        <w:t>负债供资的提案。</w:t>
      </w:r>
    </w:p>
    <w:p w14:paraId="6CD9F0ED" w14:textId="766FF5EC"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1.28</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影响</w:t>
      </w:r>
      <w:r w:rsidRPr="00D47C1A">
        <w:rPr>
          <w:rFonts w:asciiTheme="minorHAnsi" w:hAnsiTheme="minorHAnsi" w:cstheme="minorHAnsi"/>
          <w:lang w:eastAsia="zh-CN"/>
        </w:rPr>
        <w:t>ASHI</w:t>
      </w:r>
      <w:r w:rsidRPr="00D47C1A">
        <w:rPr>
          <w:rFonts w:asciiTheme="minorHAnsi" w:eastAsia="SimSun" w:hAnsiTheme="minorHAnsi" w:cstheme="minorHAnsi"/>
          <w:lang w:val="zh-CN" w:eastAsia="zh-CN"/>
        </w:rPr>
        <w:t>负债估值的最重要因素是精算假设，这些假设使负债增加了</w:t>
      </w:r>
      <w:r w:rsidRPr="00D47C1A">
        <w:rPr>
          <w:rFonts w:asciiTheme="minorHAnsi" w:eastAsia="SimSun" w:hAnsiTheme="minorHAnsi" w:cstheme="minorHAnsi"/>
          <w:lang w:val="zh-CN" w:eastAsia="zh-CN"/>
        </w:rPr>
        <w:t>3</w:t>
      </w:r>
      <w:r w:rsidR="00C4156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270</w:t>
      </w:r>
      <w:r w:rsidRPr="00D47C1A">
        <w:rPr>
          <w:rFonts w:asciiTheme="minorHAnsi" w:eastAsia="SimSun" w:hAnsiTheme="minorHAnsi" w:cstheme="minorHAnsi"/>
          <w:lang w:val="zh-CN" w:eastAsia="zh-CN"/>
        </w:rPr>
        <w:t>万瑞郎（图</w:t>
      </w:r>
      <w:r w:rsidRPr="00D47C1A">
        <w:rPr>
          <w:rFonts w:asciiTheme="minorHAnsi" w:eastAsia="SimSun" w:hAnsiTheme="minorHAnsi" w:cstheme="minorHAnsi"/>
          <w:lang w:val="zh-CN" w:eastAsia="zh-CN"/>
        </w:rPr>
        <w:t>2</w:t>
      </w:r>
      <w:r w:rsidRPr="00D47C1A">
        <w:rPr>
          <w:rFonts w:asciiTheme="minorHAnsi" w:eastAsia="SimSun" w:hAnsiTheme="minorHAnsi" w:cstheme="minorHAnsi"/>
          <w:lang w:val="zh-CN" w:eastAsia="zh-CN"/>
        </w:rPr>
        <w:t>）。其中包括：</w:t>
      </w:r>
    </w:p>
    <w:p w14:paraId="7FFCB26C" w14:textId="1BB79F29" w:rsidR="00F912F4" w:rsidRPr="00BA42BF" w:rsidRDefault="00BA42BF" w:rsidP="00BA42BF">
      <w:pPr>
        <w:pStyle w:val="enumlev1"/>
        <w:rPr>
          <w:lang w:eastAsia="zh-CN"/>
        </w:rPr>
      </w:pPr>
      <w:r w:rsidRPr="00BA42BF">
        <w:rPr>
          <w:color w:val="333333"/>
          <w:lang w:val="zh-CN" w:eastAsia="zh-CN"/>
        </w:rPr>
        <w:t>•</w:t>
      </w:r>
      <w:r w:rsidR="00F912F4" w:rsidRPr="00D47C1A">
        <w:rPr>
          <w:lang w:val="zh-CN" w:eastAsia="zh-CN"/>
        </w:rPr>
        <w:tab/>
      </w:r>
      <w:r w:rsidR="00F912F4" w:rsidRPr="00BA42BF">
        <w:rPr>
          <w:rFonts w:hint="eastAsia"/>
          <w:lang w:eastAsia="zh-CN"/>
        </w:rPr>
        <w:t>因财务假设变更导致亏损</w:t>
      </w:r>
      <w:r w:rsidR="00F912F4" w:rsidRPr="00BA42BF">
        <w:rPr>
          <w:rFonts w:hint="eastAsia"/>
          <w:lang w:eastAsia="zh-CN"/>
        </w:rPr>
        <w:t>2</w:t>
      </w:r>
      <w:r w:rsidR="00C41566">
        <w:rPr>
          <w:rFonts w:hint="eastAsia"/>
          <w:lang w:eastAsia="zh-CN"/>
        </w:rPr>
        <w:t> </w:t>
      </w:r>
      <w:r w:rsidR="00F912F4" w:rsidRPr="00BA42BF">
        <w:rPr>
          <w:rFonts w:hint="eastAsia"/>
          <w:lang w:eastAsia="zh-CN"/>
        </w:rPr>
        <w:t>060</w:t>
      </w:r>
      <w:r w:rsidR="00F912F4" w:rsidRPr="00BA42BF">
        <w:rPr>
          <w:rFonts w:hint="eastAsia"/>
          <w:lang w:eastAsia="zh-CN"/>
        </w:rPr>
        <w:t>万瑞郎，反映了对贴现率、通货膨胀率和医疗趋势的调整。亏损主要是由于贴现率从</w:t>
      </w:r>
      <w:r w:rsidR="00F912F4" w:rsidRPr="00BA42BF">
        <w:rPr>
          <w:rFonts w:hint="eastAsia"/>
          <w:lang w:eastAsia="zh-CN"/>
        </w:rPr>
        <w:t>1.9%</w:t>
      </w:r>
      <w:r w:rsidR="00F912F4" w:rsidRPr="00BA42BF">
        <w:rPr>
          <w:rFonts w:hint="eastAsia"/>
          <w:lang w:eastAsia="zh-CN"/>
        </w:rPr>
        <w:t>降至</w:t>
      </w:r>
      <w:r w:rsidR="00F912F4" w:rsidRPr="00BA42BF">
        <w:rPr>
          <w:rFonts w:hint="eastAsia"/>
          <w:lang w:eastAsia="zh-CN"/>
        </w:rPr>
        <w:t>1.4%</w:t>
      </w:r>
      <w:r w:rsidR="00F912F4" w:rsidRPr="00BA42BF">
        <w:rPr>
          <w:rFonts w:hint="eastAsia"/>
          <w:lang w:eastAsia="zh-CN"/>
        </w:rPr>
        <w:t>，从而增加了整体负债。国际电联采用现金流加权收益率曲线方法，反映了基础计划的预期现金流和估算的货币敞口。</w:t>
      </w:r>
    </w:p>
    <w:p w14:paraId="1C55E308" w14:textId="7FD64B2A" w:rsidR="00F912F4" w:rsidRPr="00BA42BF" w:rsidRDefault="00A038BF" w:rsidP="00BA42BF">
      <w:pPr>
        <w:pStyle w:val="enumlev1"/>
        <w:rPr>
          <w:lang w:eastAsia="zh-CN"/>
        </w:rPr>
      </w:pPr>
      <w:r w:rsidRPr="00BA42BF">
        <w:rPr>
          <w:color w:val="333333"/>
          <w:lang w:val="zh-CN" w:eastAsia="zh-CN"/>
        </w:rPr>
        <w:t>•</w:t>
      </w:r>
      <w:r w:rsidR="00F912F4" w:rsidRPr="00BA42BF">
        <w:rPr>
          <w:rFonts w:hint="eastAsia"/>
          <w:lang w:eastAsia="zh-CN"/>
        </w:rPr>
        <w:tab/>
      </w:r>
      <w:r w:rsidR="00F912F4" w:rsidRPr="00BA42BF">
        <w:rPr>
          <w:rFonts w:hint="eastAsia"/>
          <w:lang w:eastAsia="zh-CN"/>
        </w:rPr>
        <w:t>因人口统计假设变更导致亏损</w:t>
      </w:r>
      <w:r w:rsidR="00F912F4" w:rsidRPr="00BA42BF">
        <w:rPr>
          <w:rFonts w:hint="eastAsia"/>
          <w:lang w:eastAsia="zh-CN"/>
        </w:rPr>
        <w:t>1</w:t>
      </w:r>
      <w:r w:rsidR="00C41566">
        <w:rPr>
          <w:rFonts w:hint="eastAsia"/>
          <w:lang w:eastAsia="zh-CN"/>
        </w:rPr>
        <w:t> </w:t>
      </w:r>
      <w:r w:rsidR="00F912F4" w:rsidRPr="00BA42BF">
        <w:rPr>
          <w:rFonts w:hint="eastAsia"/>
          <w:lang w:eastAsia="zh-CN"/>
        </w:rPr>
        <w:t>060</w:t>
      </w:r>
      <w:r w:rsidR="00F912F4" w:rsidRPr="00BA42BF">
        <w:rPr>
          <w:rFonts w:hint="eastAsia"/>
          <w:lang w:eastAsia="zh-CN"/>
        </w:rPr>
        <w:t>万瑞郎。这主要是由于</w:t>
      </w:r>
      <w:r w:rsidR="00F912F4" w:rsidRPr="00BA42BF">
        <w:rPr>
          <w:rFonts w:hint="eastAsia"/>
          <w:lang w:eastAsia="zh-CN"/>
        </w:rPr>
        <w:t>2024</w:t>
      </w:r>
      <w:r w:rsidR="00F912F4" w:rsidRPr="00BA42BF">
        <w:rPr>
          <w:rFonts w:hint="eastAsia"/>
          <w:lang w:eastAsia="zh-CN"/>
        </w:rPr>
        <w:t>年期间开展了两项新的人口统计研究，用于更新关于医疗报销费用和职员流动率的假设。相关内容将在下文作详细说明。</w:t>
      </w:r>
    </w:p>
    <w:p w14:paraId="25F35EE2" w14:textId="582D5F40" w:rsidR="00F912F4" w:rsidRPr="00BA42BF" w:rsidRDefault="00A038BF" w:rsidP="00A038BF">
      <w:pPr>
        <w:pStyle w:val="enumlev1"/>
        <w:rPr>
          <w:lang w:eastAsia="zh-CN"/>
        </w:rPr>
      </w:pPr>
      <w:r w:rsidRPr="00BA42BF">
        <w:rPr>
          <w:color w:val="333333"/>
          <w:lang w:val="zh-CN" w:eastAsia="zh-CN"/>
        </w:rPr>
        <w:t>•</w:t>
      </w:r>
      <w:r w:rsidR="00F912F4" w:rsidRPr="00BA42BF">
        <w:rPr>
          <w:rFonts w:hint="eastAsia"/>
          <w:lang w:eastAsia="zh-CN"/>
        </w:rPr>
        <w:tab/>
      </w:r>
      <w:r w:rsidR="00F912F4" w:rsidRPr="00BA42BF">
        <w:rPr>
          <w:rFonts w:hint="eastAsia"/>
          <w:lang w:eastAsia="zh-CN"/>
        </w:rPr>
        <w:t>因经验变化导致亏损</w:t>
      </w:r>
      <w:r w:rsidR="00F912F4" w:rsidRPr="00BA42BF">
        <w:rPr>
          <w:rFonts w:hint="eastAsia"/>
          <w:lang w:eastAsia="zh-CN"/>
        </w:rPr>
        <w:t>150</w:t>
      </w:r>
      <w:r w:rsidR="00F912F4" w:rsidRPr="00BA42BF">
        <w:rPr>
          <w:rFonts w:hint="eastAsia"/>
          <w:lang w:eastAsia="zh-CN"/>
        </w:rPr>
        <w:t>万瑞郎。这些调整主要源于假设与实际结果之间的差异</w:t>
      </w:r>
      <w:r w:rsidR="00C41566">
        <w:rPr>
          <w:rFonts w:hint="eastAsia"/>
          <w:lang w:eastAsia="zh-CN"/>
        </w:rPr>
        <w:t>，</w:t>
      </w:r>
      <w:r w:rsidR="00F912F4" w:rsidRPr="00BA42BF">
        <w:rPr>
          <w:rFonts w:hint="eastAsia"/>
          <w:lang w:eastAsia="zh-CN"/>
        </w:rPr>
        <w:t>主要涉及实际发生的医疗费用。</w:t>
      </w:r>
    </w:p>
    <w:p w14:paraId="048BC7B1" w14:textId="77777777" w:rsidR="00F912F4" w:rsidRPr="00D47C1A" w:rsidRDefault="00F912F4" w:rsidP="00D47C1A">
      <w:pPr>
        <w:pStyle w:val="enumlev1"/>
        <w:ind w:left="0" w:firstLine="0"/>
        <w:rPr>
          <w:rFonts w:asciiTheme="minorHAnsi" w:eastAsia="SimSun" w:hAnsiTheme="minorHAnsi" w:cstheme="minorHAnsi"/>
          <w:lang w:eastAsia="zh-CN"/>
        </w:rPr>
      </w:pPr>
    </w:p>
    <w:tbl>
      <w:tblPr>
        <w:tblW w:w="5000" w:type="pct"/>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977"/>
        <w:gridCol w:w="1417"/>
        <w:gridCol w:w="1419"/>
        <w:gridCol w:w="1560"/>
        <w:gridCol w:w="1698"/>
      </w:tblGrid>
      <w:tr w:rsidR="00F912F4" w:rsidRPr="00BA42BF" w14:paraId="069EE293" w14:textId="77777777" w:rsidTr="0011737E">
        <w:tc>
          <w:tcPr>
            <w:tcW w:w="5000" w:type="pct"/>
            <w:gridSpan w:val="5"/>
            <w:tcBorders>
              <w:bottom w:val="single" w:sz="6" w:space="0" w:color="008000"/>
            </w:tcBorders>
          </w:tcPr>
          <w:p w14:paraId="01787EA3" w14:textId="7868E626" w:rsidR="00F912F4" w:rsidRPr="004415BD" w:rsidRDefault="00F912F4" w:rsidP="00D47C1A">
            <w:pPr>
              <w:pStyle w:val="TableNo"/>
              <w:keepLines/>
              <w:tabs>
                <w:tab w:val="clear" w:pos="567"/>
                <w:tab w:val="clear" w:pos="1134"/>
                <w:tab w:val="clear" w:pos="1701"/>
                <w:tab w:val="clear" w:pos="2268"/>
                <w:tab w:val="clear" w:pos="2835"/>
                <w:tab w:val="left" w:pos="1875"/>
              </w:tabs>
              <w:spacing w:before="20" w:after="20"/>
              <w:jc w:val="left"/>
              <w:rPr>
                <w:rFonts w:asciiTheme="minorHAnsi" w:eastAsia="SimSun" w:hAnsiTheme="minorHAnsi" w:cstheme="minorHAnsi"/>
                <w:b/>
                <w:bCs/>
                <w:szCs w:val="24"/>
              </w:rPr>
            </w:pPr>
            <w:r w:rsidRPr="004415BD">
              <w:rPr>
                <w:rFonts w:asciiTheme="minorHAnsi" w:eastAsia="SimSun" w:hAnsiTheme="minorHAnsi" w:cstheme="minorHAnsi"/>
                <w:color w:val="000000"/>
                <w:szCs w:val="24"/>
                <w:lang w:val="zh-CN"/>
              </w:rPr>
              <w:t>图</w:t>
            </w:r>
            <w:r w:rsidRPr="004415BD">
              <w:rPr>
                <w:rFonts w:asciiTheme="minorHAnsi" w:eastAsia="SimSun" w:hAnsiTheme="minorHAnsi" w:cstheme="minorHAnsi"/>
                <w:color w:val="000000"/>
                <w:szCs w:val="24"/>
                <w:lang w:val="zh-CN"/>
              </w:rPr>
              <w:t>2</w:t>
            </w:r>
          </w:p>
        </w:tc>
      </w:tr>
      <w:tr w:rsidR="00F912F4" w:rsidRPr="00BA42BF" w14:paraId="3AD6A65C" w14:textId="77777777" w:rsidTr="0011737E">
        <w:tc>
          <w:tcPr>
            <w:tcW w:w="5000" w:type="pct"/>
            <w:gridSpan w:val="5"/>
            <w:tcBorders>
              <w:top w:val="single" w:sz="6" w:space="0" w:color="008000"/>
            </w:tcBorders>
          </w:tcPr>
          <w:p w14:paraId="1866CD17" w14:textId="6B524A32" w:rsidR="00F912F4" w:rsidRPr="004415BD" w:rsidRDefault="00F912F4" w:rsidP="00D47C1A">
            <w:pPr>
              <w:pStyle w:val="Tabletitle"/>
              <w:keepLines/>
              <w:tabs>
                <w:tab w:val="clear" w:pos="2948"/>
                <w:tab w:val="left" w:pos="1875"/>
              </w:tabs>
              <w:spacing w:before="20" w:after="20"/>
              <w:jc w:val="left"/>
              <w:rPr>
                <w:rFonts w:asciiTheme="minorHAnsi" w:eastAsia="SimSun" w:hAnsiTheme="minorHAnsi" w:cstheme="minorHAnsi"/>
                <w:b w:val="0"/>
                <w:sz w:val="28"/>
                <w:szCs w:val="28"/>
                <w:lang w:eastAsia="zh-CN"/>
              </w:rPr>
            </w:pPr>
            <w:r w:rsidRPr="004415BD">
              <w:rPr>
                <w:rFonts w:asciiTheme="minorHAnsi" w:eastAsia="SimSun" w:hAnsiTheme="minorHAnsi" w:cstheme="minorHAnsi"/>
                <w:b w:val="0"/>
                <w:color w:val="000000"/>
                <w:sz w:val="28"/>
                <w:szCs w:val="28"/>
                <w:lang w:val="zh-CN" w:eastAsia="zh-CN"/>
              </w:rPr>
              <w:t>ASHI</w:t>
            </w:r>
            <w:r w:rsidRPr="004415BD">
              <w:rPr>
                <w:rFonts w:asciiTheme="minorHAnsi" w:eastAsia="SimSun" w:hAnsiTheme="minorHAnsi" w:cstheme="minorHAnsi"/>
                <w:b w:val="0"/>
                <w:color w:val="000000"/>
                <w:sz w:val="28"/>
                <w:szCs w:val="28"/>
                <w:lang w:val="zh-CN" w:eastAsia="zh-CN"/>
              </w:rPr>
              <w:t>确定给付承付款项的变化情况</w:t>
            </w:r>
          </w:p>
        </w:tc>
      </w:tr>
      <w:tr w:rsidR="00BA42BF" w:rsidRPr="00BA42BF" w14:paraId="4CA15895" w14:textId="77777777" w:rsidTr="00BA42BF">
        <w:tc>
          <w:tcPr>
            <w:tcW w:w="1641" w:type="pct"/>
            <w:shd w:val="clear" w:color="auto" w:fill="auto"/>
          </w:tcPr>
          <w:p w14:paraId="57B8D811" w14:textId="77777777" w:rsidR="00F912F4" w:rsidRPr="00BA42BF" w:rsidRDefault="00F912F4" w:rsidP="00A038BF">
            <w:pPr>
              <w:pStyle w:val="Tablehead"/>
              <w:keepNext/>
              <w:keepLines/>
              <w:rPr>
                <w:rFonts w:asciiTheme="minorHAnsi" w:eastAsia="SimSun" w:hAnsiTheme="minorHAnsi" w:cstheme="minorHAnsi"/>
                <w:szCs w:val="22"/>
                <w:lang w:eastAsia="zh-CN"/>
              </w:rPr>
            </w:pPr>
          </w:p>
        </w:tc>
        <w:tc>
          <w:tcPr>
            <w:tcW w:w="781" w:type="pct"/>
          </w:tcPr>
          <w:p w14:paraId="6945DC84" w14:textId="77777777" w:rsidR="00F912F4" w:rsidRPr="00BA42BF" w:rsidRDefault="00F912F4" w:rsidP="00A038BF">
            <w:pPr>
              <w:pStyle w:val="Tablehead"/>
              <w:keepNext/>
              <w:keepLines/>
              <w:jc w:val="center"/>
              <w:rPr>
                <w:rFonts w:asciiTheme="minorHAnsi" w:eastAsia="SimSun" w:hAnsiTheme="minorHAnsi" w:cstheme="minorHAnsi"/>
                <w:szCs w:val="22"/>
              </w:rPr>
            </w:pPr>
            <w:r w:rsidRPr="00BA42BF">
              <w:rPr>
                <w:rFonts w:asciiTheme="minorHAnsi" w:eastAsia="SimSun" w:hAnsiTheme="minorHAnsi" w:cstheme="minorHAnsi"/>
                <w:bCs/>
                <w:color w:val="000000"/>
                <w:szCs w:val="22"/>
                <w:lang w:val="zh-CN"/>
              </w:rPr>
              <w:t>2024</w:t>
            </w:r>
            <w:r w:rsidRPr="00BA42BF">
              <w:rPr>
                <w:rFonts w:asciiTheme="minorHAnsi" w:eastAsia="SimSun" w:hAnsiTheme="minorHAnsi" w:cstheme="minorHAnsi"/>
                <w:bCs/>
                <w:color w:val="000000"/>
                <w:szCs w:val="22"/>
                <w:lang w:val="zh-CN"/>
              </w:rPr>
              <w:t>年</w:t>
            </w:r>
          </w:p>
        </w:tc>
        <w:tc>
          <w:tcPr>
            <w:tcW w:w="782" w:type="pct"/>
            <w:shd w:val="clear" w:color="auto" w:fill="auto"/>
          </w:tcPr>
          <w:p w14:paraId="382993B6" w14:textId="77777777" w:rsidR="00F912F4" w:rsidRPr="00BA42BF" w:rsidRDefault="00F912F4" w:rsidP="00A038BF">
            <w:pPr>
              <w:pStyle w:val="Tablehead"/>
              <w:keepNext/>
              <w:keepLines/>
              <w:jc w:val="center"/>
              <w:rPr>
                <w:rFonts w:asciiTheme="minorHAnsi" w:eastAsia="SimSun" w:hAnsiTheme="minorHAnsi" w:cstheme="minorHAnsi"/>
                <w:szCs w:val="22"/>
              </w:rPr>
            </w:pPr>
            <w:r w:rsidRPr="00BA42BF">
              <w:rPr>
                <w:rFonts w:asciiTheme="minorHAnsi" w:eastAsia="SimSun" w:hAnsiTheme="minorHAnsi" w:cstheme="minorHAnsi"/>
                <w:bCs/>
                <w:color w:val="000000"/>
                <w:szCs w:val="22"/>
                <w:lang w:val="zh-CN"/>
              </w:rPr>
              <w:t>2023</w:t>
            </w:r>
            <w:r w:rsidRPr="00BA42BF">
              <w:rPr>
                <w:rFonts w:asciiTheme="minorHAnsi" w:eastAsia="SimSun" w:hAnsiTheme="minorHAnsi" w:cstheme="minorHAnsi"/>
                <w:bCs/>
                <w:color w:val="000000"/>
                <w:szCs w:val="22"/>
                <w:lang w:val="zh-CN"/>
              </w:rPr>
              <w:t>年</w:t>
            </w:r>
          </w:p>
        </w:tc>
        <w:tc>
          <w:tcPr>
            <w:tcW w:w="860" w:type="pct"/>
            <w:shd w:val="clear" w:color="auto" w:fill="auto"/>
          </w:tcPr>
          <w:p w14:paraId="2E148C34" w14:textId="77777777" w:rsidR="00F912F4" w:rsidRPr="00BA42BF" w:rsidRDefault="00F912F4" w:rsidP="00A038BF">
            <w:pPr>
              <w:pStyle w:val="Tablehead"/>
              <w:keepNext/>
              <w:keepLines/>
              <w:jc w:val="center"/>
              <w:rPr>
                <w:rFonts w:asciiTheme="minorHAnsi" w:eastAsia="SimSun" w:hAnsiTheme="minorHAnsi" w:cstheme="minorHAnsi"/>
                <w:szCs w:val="22"/>
              </w:rPr>
            </w:pPr>
            <w:r w:rsidRPr="00BA42BF">
              <w:rPr>
                <w:rFonts w:asciiTheme="minorHAnsi" w:eastAsia="SimSun" w:hAnsiTheme="minorHAnsi" w:cstheme="minorHAnsi"/>
                <w:bCs/>
                <w:color w:val="000000"/>
                <w:szCs w:val="22"/>
                <w:lang w:val="zh-CN"/>
              </w:rPr>
              <w:t>2022</w:t>
            </w:r>
            <w:r w:rsidRPr="00BA42BF">
              <w:rPr>
                <w:rFonts w:asciiTheme="minorHAnsi" w:eastAsia="SimSun" w:hAnsiTheme="minorHAnsi" w:cstheme="minorHAnsi"/>
                <w:bCs/>
                <w:color w:val="000000"/>
                <w:szCs w:val="22"/>
                <w:lang w:val="zh-CN"/>
              </w:rPr>
              <w:t>年</w:t>
            </w:r>
          </w:p>
        </w:tc>
        <w:tc>
          <w:tcPr>
            <w:tcW w:w="936" w:type="pct"/>
            <w:shd w:val="clear" w:color="auto" w:fill="auto"/>
          </w:tcPr>
          <w:p w14:paraId="65536D9F" w14:textId="77777777" w:rsidR="00F912F4" w:rsidRPr="00BA42BF" w:rsidRDefault="00F912F4" w:rsidP="00A038BF">
            <w:pPr>
              <w:pStyle w:val="Tablehead"/>
              <w:keepNext/>
              <w:keepLines/>
              <w:jc w:val="center"/>
              <w:rPr>
                <w:rFonts w:asciiTheme="minorHAnsi" w:eastAsia="SimSun" w:hAnsiTheme="minorHAnsi" w:cstheme="minorHAnsi"/>
                <w:szCs w:val="22"/>
              </w:rPr>
            </w:pPr>
            <w:r w:rsidRPr="00BA42BF">
              <w:rPr>
                <w:rFonts w:asciiTheme="minorHAnsi" w:eastAsia="SimSun" w:hAnsiTheme="minorHAnsi" w:cstheme="minorHAnsi"/>
                <w:bCs/>
                <w:color w:val="000000"/>
                <w:szCs w:val="22"/>
                <w:lang w:val="zh-CN"/>
              </w:rPr>
              <w:t>2021</w:t>
            </w:r>
            <w:r w:rsidRPr="00BA42BF">
              <w:rPr>
                <w:rFonts w:asciiTheme="minorHAnsi" w:eastAsia="SimSun" w:hAnsiTheme="minorHAnsi" w:cstheme="minorHAnsi"/>
                <w:bCs/>
                <w:color w:val="000000"/>
                <w:szCs w:val="22"/>
                <w:lang w:val="zh-CN"/>
              </w:rPr>
              <w:t>年</w:t>
            </w:r>
          </w:p>
        </w:tc>
      </w:tr>
      <w:tr w:rsidR="00BA42BF" w:rsidRPr="00BA42BF" w14:paraId="7A66325A" w14:textId="77777777" w:rsidTr="00BA42BF">
        <w:tc>
          <w:tcPr>
            <w:tcW w:w="1641" w:type="pct"/>
            <w:shd w:val="clear" w:color="auto" w:fill="auto"/>
          </w:tcPr>
          <w:p w14:paraId="64D03494" w14:textId="77777777" w:rsidR="00F912F4" w:rsidRPr="00BA42BF" w:rsidRDefault="00F912F4" w:rsidP="00A038BF">
            <w:pPr>
              <w:pStyle w:val="Tabletext"/>
              <w:keepNext/>
              <w:keepLines/>
              <w:rPr>
                <w:rFonts w:asciiTheme="minorHAnsi" w:eastAsia="SimSun" w:hAnsiTheme="minorHAnsi" w:cstheme="minorHAnsi"/>
                <w:szCs w:val="22"/>
                <w:lang w:eastAsia="zh-CN"/>
              </w:rPr>
            </w:pPr>
            <w:r w:rsidRPr="00BA42BF">
              <w:rPr>
                <w:rFonts w:asciiTheme="minorHAnsi" w:eastAsia="SimSun" w:hAnsiTheme="minorHAnsi" w:cstheme="minorHAnsi"/>
                <w:color w:val="000000"/>
                <w:szCs w:val="22"/>
                <w:lang w:val="zh-CN" w:eastAsia="zh-CN"/>
              </w:rPr>
              <w:t>1</w:t>
            </w:r>
            <w:r w:rsidRPr="00BA42BF">
              <w:rPr>
                <w:rFonts w:asciiTheme="minorHAnsi" w:eastAsia="SimSun" w:hAnsiTheme="minorHAnsi" w:cstheme="minorHAnsi"/>
                <w:color w:val="000000"/>
                <w:szCs w:val="22"/>
                <w:lang w:val="zh-CN" w:eastAsia="zh-CN"/>
              </w:rPr>
              <w:t>月</w:t>
            </w:r>
            <w:r w:rsidRPr="00BA42BF">
              <w:rPr>
                <w:rFonts w:asciiTheme="minorHAnsi" w:eastAsia="SimSun" w:hAnsiTheme="minorHAnsi" w:cstheme="minorHAnsi"/>
                <w:color w:val="000000"/>
                <w:szCs w:val="22"/>
                <w:lang w:val="zh-CN" w:eastAsia="zh-CN"/>
              </w:rPr>
              <w:t>1</w:t>
            </w:r>
            <w:r w:rsidRPr="00BA42BF">
              <w:rPr>
                <w:rFonts w:asciiTheme="minorHAnsi" w:eastAsia="SimSun" w:hAnsiTheme="minorHAnsi" w:cstheme="minorHAnsi"/>
                <w:color w:val="000000"/>
                <w:szCs w:val="22"/>
                <w:lang w:val="zh-CN" w:eastAsia="zh-CN"/>
              </w:rPr>
              <w:t>日确定给付承付款项</w:t>
            </w:r>
          </w:p>
        </w:tc>
        <w:tc>
          <w:tcPr>
            <w:tcW w:w="781" w:type="pct"/>
          </w:tcPr>
          <w:p w14:paraId="227DF38D"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375,271</w:t>
            </w:r>
          </w:p>
        </w:tc>
        <w:tc>
          <w:tcPr>
            <w:tcW w:w="782" w:type="pct"/>
            <w:shd w:val="clear" w:color="auto" w:fill="auto"/>
          </w:tcPr>
          <w:p w14:paraId="54F51D45"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344,102</w:t>
            </w:r>
          </w:p>
        </w:tc>
        <w:tc>
          <w:tcPr>
            <w:tcW w:w="860" w:type="pct"/>
            <w:shd w:val="clear" w:color="auto" w:fill="auto"/>
          </w:tcPr>
          <w:p w14:paraId="5A70D0FB"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545,636</w:t>
            </w:r>
          </w:p>
        </w:tc>
        <w:tc>
          <w:tcPr>
            <w:tcW w:w="936" w:type="pct"/>
            <w:shd w:val="clear" w:color="auto" w:fill="auto"/>
          </w:tcPr>
          <w:p w14:paraId="350E231F"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631,870</w:t>
            </w:r>
          </w:p>
        </w:tc>
      </w:tr>
      <w:tr w:rsidR="00BA42BF" w:rsidRPr="00BA42BF" w14:paraId="7537E90F" w14:textId="77777777" w:rsidTr="00BA42BF">
        <w:tc>
          <w:tcPr>
            <w:tcW w:w="1641" w:type="pct"/>
            <w:shd w:val="clear" w:color="auto" w:fill="auto"/>
          </w:tcPr>
          <w:p w14:paraId="3DA69B95" w14:textId="77777777" w:rsidR="00F912F4" w:rsidRPr="00BA42BF" w:rsidRDefault="00F912F4" w:rsidP="00A038BF">
            <w:pPr>
              <w:pStyle w:val="Tabletext"/>
              <w:keepNext/>
              <w:keepLines/>
              <w:rPr>
                <w:rFonts w:asciiTheme="minorHAnsi" w:eastAsia="SimSun" w:hAnsiTheme="minorHAnsi" w:cstheme="minorHAnsi"/>
                <w:szCs w:val="22"/>
              </w:rPr>
            </w:pPr>
            <w:proofErr w:type="spellStart"/>
            <w:r w:rsidRPr="00BA42BF">
              <w:rPr>
                <w:rFonts w:asciiTheme="minorHAnsi" w:eastAsia="SimSun" w:hAnsiTheme="minorHAnsi" w:cstheme="minorHAnsi"/>
                <w:color w:val="000000"/>
                <w:szCs w:val="22"/>
                <w:lang w:val="zh-CN"/>
              </w:rPr>
              <w:t>利息成本</w:t>
            </w:r>
            <w:proofErr w:type="spellEnd"/>
          </w:p>
        </w:tc>
        <w:tc>
          <w:tcPr>
            <w:tcW w:w="781" w:type="pct"/>
          </w:tcPr>
          <w:p w14:paraId="3BAB8AC1"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7,046</w:t>
            </w:r>
          </w:p>
        </w:tc>
        <w:tc>
          <w:tcPr>
            <w:tcW w:w="782" w:type="pct"/>
            <w:shd w:val="clear" w:color="auto" w:fill="auto"/>
            <w:vAlign w:val="bottom"/>
          </w:tcPr>
          <w:p w14:paraId="3EF6EFF8"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8,489</w:t>
            </w:r>
          </w:p>
        </w:tc>
        <w:tc>
          <w:tcPr>
            <w:tcW w:w="860" w:type="pct"/>
            <w:shd w:val="clear" w:color="auto" w:fill="auto"/>
          </w:tcPr>
          <w:p w14:paraId="2260DF7A"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2,703</w:t>
            </w:r>
          </w:p>
        </w:tc>
        <w:tc>
          <w:tcPr>
            <w:tcW w:w="936" w:type="pct"/>
            <w:shd w:val="clear" w:color="auto" w:fill="auto"/>
          </w:tcPr>
          <w:p w14:paraId="796A11C0"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1,254</w:t>
            </w:r>
          </w:p>
        </w:tc>
      </w:tr>
      <w:tr w:rsidR="00BA42BF" w:rsidRPr="00BA42BF" w14:paraId="1814582B" w14:textId="77777777" w:rsidTr="00BA42BF">
        <w:tc>
          <w:tcPr>
            <w:tcW w:w="1641" w:type="pct"/>
            <w:shd w:val="clear" w:color="auto" w:fill="auto"/>
          </w:tcPr>
          <w:p w14:paraId="7CF4DD74" w14:textId="77777777" w:rsidR="00F912F4" w:rsidRPr="00BA42BF" w:rsidRDefault="00F912F4" w:rsidP="00A038BF">
            <w:pPr>
              <w:pStyle w:val="Tabletext"/>
              <w:keepNext/>
              <w:keepLines/>
              <w:rPr>
                <w:rFonts w:asciiTheme="minorHAnsi" w:eastAsia="SimSun" w:hAnsiTheme="minorHAnsi" w:cstheme="minorHAnsi"/>
                <w:szCs w:val="22"/>
              </w:rPr>
            </w:pPr>
            <w:proofErr w:type="spellStart"/>
            <w:r w:rsidRPr="00BA42BF">
              <w:rPr>
                <w:rFonts w:asciiTheme="minorHAnsi" w:eastAsia="SimSun" w:hAnsiTheme="minorHAnsi" w:cstheme="minorHAnsi"/>
                <w:color w:val="000000"/>
                <w:szCs w:val="22"/>
                <w:lang w:val="zh-CN"/>
              </w:rPr>
              <w:t>当前服务成本</w:t>
            </w:r>
            <w:proofErr w:type="spellEnd"/>
          </w:p>
        </w:tc>
        <w:tc>
          <w:tcPr>
            <w:tcW w:w="781" w:type="pct"/>
          </w:tcPr>
          <w:p w14:paraId="58E0B8D4"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11,095</w:t>
            </w:r>
          </w:p>
        </w:tc>
        <w:tc>
          <w:tcPr>
            <w:tcW w:w="782" w:type="pct"/>
            <w:shd w:val="clear" w:color="auto" w:fill="auto"/>
            <w:vAlign w:val="bottom"/>
          </w:tcPr>
          <w:p w14:paraId="401F8970"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10,165</w:t>
            </w:r>
          </w:p>
        </w:tc>
        <w:tc>
          <w:tcPr>
            <w:tcW w:w="860" w:type="pct"/>
            <w:shd w:val="clear" w:color="auto" w:fill="auto"/>
          </w:tcPr>
          <w:p w14:paraId="14E86129"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19,685</w:t>
            </w:r>
          </w:p>
        </w:tc>
        <w:tc>
          <w:tcPr>
            <w:tcW w:w="936" w:type="pct"/>
            <w:shd w:val="clear" w:color="auto" w:fill="auto"/>
          </w:tcPr>
          <w:p w14:paraId="31E422B5"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25,171</w:t>
            </w:r>
          </w:p>
        </w:tc>
      </w:tr>
      <w:tr w:rsidR="00BA42BF" w:rsidRPr="00BA42BF" w14:paraId="6BA47B82" w14:textId="77777777" w:rsidTr="00BA42BF">
        <w:tc>
          <w:tcPr>
            <w:tcW w:w="1641" w:type="pct"/>
            <w:shd w:val="clear" w:color="auto" w:fill="auto"/>
          </w:tcPr>
          <w:p w14:paraId="5F871800" w14:textId="77777777" w:rsidR="00F912F4" w:rsidRPr="00BA42BF" w:rsidRDefault="00F912F4" w:rsidP="00A038BF">
            <w:pPr>
              <w:pStyle w:val="Tabletext"/>
              <w:keepNext/>
              <w:keepLines/>
              <w:rPr>
                <w:rFonts w:asciiTheme="minorHAnsi" w:eastAsia="SimSun" w:hAnsiTheme="minorHAnsi" w:cstheme="minorHAnsi"/>
                <w:szCs w:val="22"/>
              </w:rPr>
            </w:pPr>
            <w:proofErr w:type="spellStart"/>
            <w:r w:rsidRPr="00BA42BF">
              <w:rPr>
                <w:rFonts w:asciiTheme="minorHAnsi" w:eastAsia="SimSun" w:hAnsiTheme="minorHAnsi" w:cstheme="minorHAnsi"/>
                <w:color w:val="000000"/>
                <w:szCs w:val="22"/>
                <w:lang w:val="zh-CN"/>
              </w:rPr>
              <w:t>已缴会费</w:t>
            </w:r>
            <w:proofErr w:type="spellEnd"/>
          </w:p>
        </w:tc>
        <w:tc>
          <w:tcPr>
            <w:tcW w:w="781" w:type="pct"/>
          </w:tcPr>
          <w:p w14:paraId="5CB0A28C"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-10,325</w:t>
            </w:r>
          </w:p>
        </w:tc>
        <w:tc>
          <w:tcPr>
            <w:tcW w:w="782" w:type="pct"/>
            <w:shd w:val="clear" w:color="auto" w:fill="auto"/>
            <w:vAlign w:val="bottom"/>
          </w:tcPr>
          <w:p w14:paraId="7F58B9EF"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-7,009</w:t>
            </w:r>
          </w:p>
        </w:tc>
        <w:tc>
          <w:tcPr>
            <w:tcW w:w="860" w:type="pct"/>
            <w:shd w:val="clear" w:color="auto" w:fill="auto"/>
          </w:tcPr>
          <w:p w14:paraId="09E2074E"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-8,412</w:t>
            </w:r>
          </w:p>
        </w:tc>
        <w:tc>
          <w:tcPr>
            <w:tcW w:w="936" w:type="pct"/>
            <w:shd w:val="clear" w:color="auto" w:fill="auto"/>
          </w:tcPr>
          <w:p w14:paraId="3F3EEA04"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-9,160</w:t>
            </w:r>
          </w:p>
        </w:tc>
      </w:tr>
      <w:tr w:rsidR="00BA42BF" w:rsidRPr="00BA42BF" w14:paraId="708190C2" w14:textId="77777777" w:rsidTr="00BA42BF">
        <w:tc>
          <w:tcPr>
            <w:tcW w:w="1641" w:type="pct"/>
            <w:shd w:val="clear" w:color="auto" w:fill="auto"/>
          </w:tcPr>
          <w:p w14:paraId="20232530" w14:textId="77777777" w:rsidR="00F912F4" w:rsidRPr="00BA42BF" w:rsidRDefault="00F912F4" w:rsidP="00A038BF">
            <w:pPr>
              <w:pStyle w:val="Tabletext"/>
              <w:keepNext/>
              <w:keepLines/>
              <w:rPr>
                <w:rFonts w:asciiTheme="minorHAnsi" w:eastAsia="SimSun" w:hAnsiTheme="minorHAnsi" w:cstheme="minorHAnsi"/>
                <w:szCs w:val="22"/>
              </w:rPr>
            </w:pPr>
            <w:proofErr w:type="spellStart"/>
            <w:r w:rsidRPr="00BA42BF">
              <w:rPr>
                <w:rFonts w:asciiTheme="minorHAnsi" w:eastAsia="SimSun" w:hAnsiTheme="minorHAnsi" w:cstheme="minorHAnsi"/>
                <w:color w:val="000000"/>
                <w:szCs w:val="22"/>
                <w:lang w:val="zh-CN"/>
              </w:rPr>
              <w:t>精算假设变化</w:t>
            </w:r>
            <w:proofErr w:type="spellEnd"/>
          </w:p>
        </w:tc>
        <w:tc>
          <w:tcPr>
            <w:tcW w:w="781" w:type="pct"/>
          </w:tcPr>
          <w:p w14:paraId="7F5658C2"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-32,748</w:t>
            </w:r>
          </w:p>
        </w:tc>
        <w:tc>
          <w:tcPr>
            <w:tcW w:w="782" w:type="pct"/>
            <w:shd w:val="clear" w:color="auto" w:fill="auto"/>
          </w:tcPr>
          <w:p w14:paraId="2E97FEC4"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-19,524</w:t>
            </w:r>
          </w:p>
        </w:tc>
        <w:tc>
          <w:tcPr>
            <w:tcW w:w="860" w:type="pct"/>
            <w:shd w:val="clear" w:color="auto" w:fill="auto"/>
          </w:tcPr>
          <w:p w14:paraId="18157B73"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-215,510</w:t>
            </w:r>
          </w:p>
        </w:tc>
        <w:tc>
          <w:tcPr>
            <w:tcW w:w="936" w:type="pct"/>
            <w:shd w:val="clear" w:color="auto" w:fill="auto"/>
          </w:tcPr>
          <w:p w14:paraId="0B2DA0E1"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-103,499</w:t>
            </w:r>
          </w:p>
        </w:tc>
      </w:tr>
      <w:tr w:rsidR="00BA42BF" w:rsidRPr="00BA42BF" w14:paraId="2528DC0C" w14:textId="77777777" w:rsidTr="00BA42BF">
        <w:tc>
          <w:tcPr>
            <w:tcW w:w="1641" w:type="pct"/>
            <w:shd w:val="clear" w:color="auto" w:fill="auto"/>
          </w:tcPr>
          <w:p w14:paraId="359B4515" w14:textId="77777777" w:rsidR="00F912F4" w:rsidRPr="00BA42BF" w:rsidRDefault="00F912F4" w:rsidP="00A038BF">
            <w:pPr>
              <w:pStyle w:val="Tabletext"/>
              <w:keepNext/>
              <w:keepLines/>
              <w:rPr>
                <w:rFonts w:asciiTheme="minorHAnsi" w:eastAsia="SimSun" w:hAnsiTheme="minorHAnsi" w:cstheme="minorHAnsi"/>
                <w:szCs w:val="22"/>
                <w:lang w:eastAsia="zh-CN"/>
              </w:rPr>
            </w:pPr>
            <w:r w:rsidRPr="00BA42BF">
              <w:rPr>
                <w:rFonts w:asciiTheme="minorHAnsi" w:eastAsia="SimSun" w:hAnsiTheme="minorHAnsi" w:cstheme="minorHAnsi"/>
                <w:color w:val="000000"/>
                <w:szCs w:val="22"/>
                <w:lang w:val="zh-CN" w:eastAsia="zh-CN"/>
              </w:rPr>
              <w:t>12</w:t>
            </w:r>
            <w:r w:rsidRPr="00BA42BF">
              <w:rPr>
                <w:rFonts w:asciiTheme="minorHAnsi" w:eastAsia="SimSun" w:hAnsiTheme="minorHAnsi" w:cstheme="minorHAnsi"/>
                <w:color w:val="000000"/>
                <w:szCs w:val="22"/>
                <w:lang w:val="zh-CN" w:eastAsia="zh-CN"/>
              </w:rPr>
              <w:t>月</w:t>
            </w:r>
            <w:r w:rsidRPr="00BA42BF">
              <w:rPr>
                <w:rFonts w:asciiTheme="minorHAnsi" w:eastAsia="SimSun" w:hAnsiTheme="minorHAnsi" w:cstheme="minorHAnsi"/>
                <w:color w:val="000000"/>
                <w:szCs w:val="22"/>
                <w:lang w:val="zh-CN" w:eastAsia="zh-CN"/>
              </w:rPr>
              <w:t>31</w:t>
            </w:r>
            <w:r w:rsidRPr="00BA42BF">
              <w:rPr>
                <w:rFonts w:asciiTheme="minorHAnsi" w:eastAsia="SimSun" w:hAnsiTheme="minorHAnsi" w:cstheme="minorHAnsi"/>
                <w:color w:val="000000"/>
                <w:szCs w:val="22"/>
                <w:lang w:val="zh-CN" w:eastAsia="zh-CN"/>
              </w:rPr>
              <w:t>日确定给付承付款项</w:t>
            </w:r>
          </w:p>
        </w:tc>
        <w:tc>
          <w:tcPr>
            <w:tcW w:w="781" w:type="pct"/>
          </w:tcPr>
          <w:p w14:paraId="20B611F8"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415,835</w:t>
            </w:r>
          </w:p>
        </w:tc>
        <w:tc>
          <w:tcPr>
            <w:tcW w:w="782" w:type="pct"/>
            <w:shd w:val="clear" w:color="auto" w:fill="auto"/>
          </w:tcPr>
          <w:p w14:paraId="03DC1AAF"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375,271</w:t>
            </w:r>
          </w:p>
        </w:tc>
        <w:tc>
          <w:tcPr>
            <w:tcW w:w="860" w:type="pct"/>
            <w:shd w:val="clear" w:color="auto" w:fill="auto"/>
          </w:tcPr>
          <w:p w14:paraId="2DF858E8"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344,102</w:t>
            </w:r>
          </w:p>
        </w:tc>
        <w:tc>
          <w:tcPr>
            <w:tcW w:w="936" w:type="pct"/>
            <w:shd w:val="clear" w:color="auto" w:fill="auto"/>
          </w:tcPr>
          <w:p w14:paraId="2B779200"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545,636</w:t>
            </w:r>
          </w:p>
        </w:tc>
      </w:tr>
      <w:tr w:rsidR="00F912F4" w:rsidRPr="00BA42BF" w14:paraId="092E11B7" w14:textId="77777777" w:rsidTr="00BA42BF">
        <w:tc>
          <w:tcPr>
            <w:tcW w:w="1641" w:type="pct"/>
          </w:tcPr>
          <w:p w14:paraId="2B8E8E3B" w14:textId="27903294" w:rsidR="00F912F4" w:rsidRPr="00BA42BF" w:rsidRDefault="004415BD" w:rsidP="00A038BF">
            <w:pPr>
              <w:pStyle w:val="Tablelegend"/>
              <w:rPr>
                <w:rFonts w:asciiTheme="minorHAnsi" w:eastAsia="SimSun" w:hAnsiTheme="minorHAnsi" w:cstheme="minorHAnsi"/>
                <w:sz w:val="22"/>
                <w:szCs w:val="22"/>
                <w:lang w:eastAsia="zh-CN"/>
              </w:rPr>
            </w:pPr>
            <w:r w:rsidRPr="004415BD">
              <w:rPr>
                <w:rFonts w:asciiTheme="minorHAnsi" w:eastAsia="SimSun" w:hAnsiTheme="minorHAnsi" w:cstheme="minorHAnsi"/>
                <w:color w:val="000000"/>
                <w:lang w:val="zh-CN" w:eastAsia="zh-CN"/>
              </w:rPr>
              <w:t>来源：国际电联财务报表</w:t>
            </w:r>
          </w:p>
        </w:tc>
        <w:tc>
          <w:tcPr>
            <w:tcW w:w="3359" w:type="pct"/>
            <w:gridSpan w:val="4"/>
            <w:shd w:val="clear" w:color="auto" w:fill="auto"/>
          </w:tcPr>
          <w:p w14:paraId="16F3270E" w14:textId="1E5B170E" w:rsidR="00F912F4" w:rsidRPr="004415BD" w:rsidRDefault="00F912F4" w:rsidP="00A038BF">
            <w:pPr>
              <w:pStyle w:val="Tablelegend"/>
              <w:rPr>
                <w:rFonts w:asciiTheme="minorHAnsi" w:eastAsia="SimSun" w:hAnsiTheme="minorHAnsi" w:cstheme="minorHAnsi"/>
                <w:lang w:eastAsia="zh-CN"/>
              </w:rPr>
            </w:pPr>
          </w:p>
        </w:tc>
      </w:tr>
    </w:tbl>
    <w:p w14:paraId="476A53D9" w14:textId="77777777" w:rsidR="00F912F4" w:rsidRPr="00D47C1A" w:rsidRDefault="00F912F4" w:rsidP="00D47C1A">
      <w:pPr>
        <w:pStyle w:val="Heading4"/>
        <w:numPr>
          <w:ilvl w:val="0"/>
          <w:numId w:val="0"/>
        </w:numPr>
        <w:rPr>
          <w:rFonts w:asciiTheme="minorHAnsi" w:eastAsia="SimSun" w:hAnsiTheme="minorHAnsi" w:cstheme="minorHAnsi"/>
          <w:i w:val="0"/>
          <w:iCs/>
          <w:sz w:val="28"/>
          <w:szCs w:val="28"/>
          <w:lang w:eastAsia="zh-CN"/>
        </w:rPr>
      </w:pPr>
      <w:r w:rsidRPr="00BA42BF">
        <w:rPr>
          <w:rFonts w:asciiTheme="minorHAnsi" w:eastAsia="SimSun" w:hAnsiTheme="minorHAnsi" w:cstheme="minorHAnsi"/>
          <w:i w:val="0"/>
          <w:iCs/>
          <w:sz w:val="28"/>
          <w:szCs w:val="28"/>
          <w:lang w:eastAsia="zh-CN"/>
        </w:rPr>
        <w:t>医疗报销费用</w:t>
      </w:r>
    </w:p>
    <w:p w14:paraId="551F98C7"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1.29</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国际电联的基本义务是指职员、前职员及其受扶养人因过去在本组织服务而获得的、未来将提出的预期报销额。在制定估算时，国际电联的精算师制定了每个年龄段每份报销的预期报销费用，见财务报表注释</w:t>
      </w:r>
      <w:r w:rsidRPr="00D47C1A">
        <w:rPr>
          <w:rFonts w:asciiTheme="minorHAnsi" w:eastAsia="SimSun" w:hAnsiTheme="minorHAnsi" w:cstheme="minorHAnsi"/>
          <w:lang w:val="zh-CN" w:eastAsia="zh-CN"/>
        </w:rPr>
        <w:t>16.1.2</w:t>
      </w:r>
      <w:r w:rsidRPr="00D47C1A">
        <w:rPr>
          <w:rFonts w:asciiTheme="minorHAnsi" w:eastAsia="SimSun" w:hAnsiTheme="minorHAnsi" w:cstheme="minorHAnsi"/>
          <w:lang w:val="zh-CN" w:eastAsia="zh-CN"/>
        </w:rPr>
        <w:t>。</w:t>
      </w:r>
    </w:p>
    <w:p w14:paraId="3834E82E" w14:textId="77777777" w:rsidR="00F912F4" w:rsidRPr="00D47C1A" w:rsidRDefault="00F912F4" w:rsidP="00D47C1A">
      <w:pPr>
        <w:adjustRightInd/>
        <w:spacing w:before="0"/>
        <w:textAlignment w:val="auto"/>
        <w:rPr>
          <w:rFonts w:asciiTheme="minorHAnsi" w:eastAsia="SimSun" w:hAnsiTheme="minorHAnsi" w:cstheme="minorHAnsi"/>
          <w:color w:val="000000"/>
          <w:lang w:eastAsia="zh-CN"/>
        </w:rPr>
      </w:pPr>
    </w:p>
    <w:tbl>
      <w:tblPr>
        <w:tblW w:w="5000" w:type="pct"/>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023"/>
        <w:gridCol w:w="3024"/>
        <w:gridCol w:w="3024"/>
      </w:tblGrid>
      <w:tr w:rsidR="00F912F4" w:rsidRPr="00BA42BF" w14:paraId="26011BAB" w14:textId="77777777" w:rsidTr="00BA42BF">
        <w:tc>
          <w:tcPr>
            <w:tcW w:w="7654" w:type="dxa"/>
            <w:gridSpan w:val="3"/>
            <w:tcBorders>
              <w:bottom w:val="single" w:sz="6" w:space="0" w:color="008000"/>
            </w:tcBorders>
            <w:shd w:val="clear" w:color="auto" w:fill="auto"/>
          </w:tcPr>
          <w:p w14:paraId="60BBF70A" w14:textId="77777777" w:rsidR="00F912F4" w:rsidRPr="004415BD" w:rsidRDefault="00F912F4" w:rsidP="004415BD">
            <w:pPr>
              <w:pStyle w:val="TableNo"/>
              <w:keepLines/>
              <w:spacing w:before="20" w:after="20"/>
              <w:jc w:val="left"/>
              <w:rPr>
                <w:rFonts w:asciiTheme="minorHAnsi" w:eastAsia="SimSun" w:hAnsiTheme="minorHAnsi" w:cstheme="minorHAnsi"/>
                <w:b/>
                <w:bCs/>
                <w:szCs w:val="24"/>
              </w:rPr>
            </w:pPr>
            <w:r w:rsidRPr="004415BD">
              <w:rPr>
                <w:rFonts w:asciiTheme="minorHAnsi" w:eastAsia="SimSun" w:hAnsiTheme="minorHAnsi" w:cstheme="minorHAnsi"/>
                <w:color w:val="000000"/>
                <w:szCs w:val="24"/>
                <w:lang w:val="zh-CN"/>
              </w:rPr>
              <w:lastRenderedPageBreak/>
              <w:t>图</w:t>
            </w:r>
            <w:r w:rsidRPr="004415BD">
              <w:rPr>
                <w:rFonts w:asciiTheme="minorHAnsi" w:eastAsia="SimSun" w:hAnsiTheme="minorHAnsi" w:cstheme="minorHAnsi"/>
                <w:color w:val="000000"/>
                <w:szCs w:val="24"/>
                <w:lang w:val="zh-CN"/>
              </w:rPr>
              <w:t>3</w:t>
            </w:r>
          </w:p>
        </w:tc>
      </w:tr>
      <w:tr w:rsidR="00F912F4" w:rsidRPr="00BA42BF" w14:paraId="7679AA61" w14:textId="77777777" w:rsidTr="00BA42BF">
        <w:tc>
          <w:tcPr>
            <w:tcW w:w="7654" w:type="dxa"/>
            <w:gridSpan w:val="3"/>
            <w:tcBorders>
              <w:top w:val="single" w:sz="6" w:space="0" w:color="008000"/>
            </w:tcBorders>
            <w:shd w:val="clear" w:color="auto" w:fill="auto"/>
          </w:tcPr>
          <w:p w14:paraId="138F2B37" w14:textId="77777777" w:rsidR="00F912F4" w:rsidRPr="004415BD" w:rsidRDefault="00F912F4" w:rsidP="004415BD">
            <w:pPr>
              <w:pStyle w:val="Tabletitle"/>
              <w:keepLines/>
              <w:spacing w:before="20" w:after="20"/>
              <w:jc w:val="left"/>
              <w:rPr>
                <w:rFonts w:asciiTheme="minorHAnsi" w:eastAsia="SimSun" w:hAnsiTheme="minorHAnsi" w:cstheme="minorHAnsi"/>
                <w:b w:val="0"/>
                <w:sz w:val="28"/>
                <w:szCs w:val="28"/>
              </w:rPr>
            </w:pPr>
            <w:proofErr w:type="spellStart"/>
            <w:r w:rsidRPr="004415BD">
              <w:rPr>
                <w:rFonts w:asciiTheme="minorHAnsi" w:eastAsia="SimSun" w:hAnsiTheme="minorHAnsi" w:cstheme="minorHAnsi"/>
                <w:b w:val="0"/>
                <w:color w:val="000000"/>
                <w:sz w:val="28"/>
                <w:szCs w:val="28"/>
                <w:lang w:val="zh-CN"/>
              </w:rPr>
              <w:t>医疗报销费用</w:t>
            </w:r>
            <w:proofErr w:type="spellEnd"/>
          </w:p>
        </w:tc>
      </w:tr>
      <w:tr w:rsidR="00F912F4" w:rsidRPr="00BA42BF" w14:paraId="793566E3" w14:textId="77777777" w:rsidTr="00BA42BF">
        <w:tc>
          <w:tcPr>
            <w:tcW w:w="2550" w:type="dxa"/>
            <w:shd w:val="clear" w:color="auto" w:fill="auto"/>
          </w:tcPr>
          <w:p w14:paraId="348A3D6E" w14:textId="77777777" w:rsidR="00F912F4" w:rsidRPr="00BA42BF" w:rsidRDefault="00F912F4" w:rsidP="00A038BF">
            <w:pPr>
              <w:pStyle w:val="Tablehead"/>
              <w:keepNext/>
              <w:keepLines/>
              <w:jc w:val="center"/>
              <w:rPr>
                <w:rFonts w:asciiTheme="minorHAnsi" w:eastAsia="SimSun" w:hAnsiTheme="minorHAnsi" w:cstheme="minorHAnsi"/>
                <w:szCs w:val="22"/>
              </w:rPr>
            </w:pPr>
            <w:proofErr w:type="spellStart"/>
            <w:r w:rsidRPr="00BA42BF">
              <w:rPr>
                <w:rFonts w:asciiTheme="minorHAnsi" w:eastAsia="SimSun" w:hAnsiTheme="minorHAnsi" w:cstheme="minorHAnsi"/>
                <w:bCs/>
                <w:color w:val="000000"/>
                <w:szCs w:val="22"/>
                <w:lang w:val="zh-CN"/>
              </w:rPr>
              <w:t>年龄段</w:t>
            </w:r>
            <w:proofErr w:type="spellEnd"/>
          </w:p>
        </w:tc>
        <w:tc>
          <w:tcPr>
            <w:tcW w:w="2552" w:type="dxa"/>
            <w:shd w:val="clear" w:color="auto" w:fill="auto"/>
          </w:tcPr>
          <w:p w14:paraId="366377E8" w14:textId="77777777" w:rsidR="00F912F4" w:rsidRPr="00BA42BF" w:rsidRDefault="00F912F4" w:rsidP="00A038BF">
            <w:pPr>
              <w:pStyle w:val="Tablehead"/>
              <w:keepNext/>
              <w:keepLines/>
              <w:jc w:val="center"/>
              <w:rPr>
                <w:rFonts w:asciiTheme="minorHAnsi" w:eastAsia="SimSun" w:hAnsiTheme="minorHAnsi" w:cstheme="minorHAnsi"/>
                <w:szCs w:val="22"/>
              </w:rPr>
            </w:pPr>
            <w:r w:rsidRPr="00BA42BF">
              <w:rPr>
                <w:rFonts w:asciiTheme="minorHAnsi" w:eastAsia="SimSun" w:hAnsiTheme="minorHAnsi" w:cstheme="minorHAnsi"/>
                <w:bCs/>
                <w:color w:val="000000"/>
                <w:szCs w:val="22"/>
                <w:lang w:val="zh-CN"/>
              </w:rPr>
              <w:t>2024</w:t>
            </w:r>
            <w:proofErr w:type="spellStart"/>
            <w:r w:rsidRPr="00BA42BF">
              <w:rPr>
                <w:rFonts w:asciiTheme="minorHAnsi" w:eastAsia="SimSun" w:hAnsiTheme="minorHAnsi" w:cstheme="minorHAnsi"/>
                <w:bCs/>
                <w:color w:val="000000"/>
                <w:szCs w:val="22"/>
                <w:lang w:val="zh-CN"/>
              </w:rPr>
              <w:t>年报销费用（瑞郎</w:t>
            </w:r>
            <w:proofErr w:type="spellEnd"/>
            <w:r w:rsidRPr="00BA42BF">
              <w:rPr>
                <w:rFonts w:asciiTheme="minorHAnsi" w:eastAsia="SimSun" w:hAnsiTheme="minorHAnsi" w:cstheme="minorHAnsi"/>
                <w:bCs/>
                <w:color w:val="000000"/>
                <w:szCs w:val="22"/>
                <w:lang w:val="zh-CN"/>
              </w:rPr>
              <w:t>）</w:t>
            </w:r>
          </w:p>
        </w:tc>
        <w:tc>
          <w:tcPr>
            <w:tcW w:w="2552" w:type="dxa"/>
            <w:shd w:val="clear" w:color="auto" w:fill="auto"/>
          </w:tcPr>
          <w:p w14:paraId="20FBDC0B" w14:textId="77777777" w:rsidR="00F912F4" w:rsidRPr="00BA42BF" w:rsidRDefault="00F912F4" w:rsidP="00A038BF">
            <w:pPr>
              <w:pStyle w:val="Tablehead"/>
              <w:keepNext/>
              <w:keepLines/>
              <w:jc w:val="center"/>
              <w:rPr>
                <w:rFonts w:asciiTheme="minorHAnsi" w:eastAsia="SimSun" w:hAnsiTheme="minorHAnsi" w:cstheme="minorHAnsi"/>
                <w:szCs w:val="22"/>
              </w:rPr>
            </w:pPr>
            <w:r w:rsidRPr="00BA42BF">
              <w:rPr>
                <w:rFonts w:asciiTheme="minorHAnsi" w:eastAsia="SimSun" w:hAnsiTheme="minorHAnsi" w:cstheme="minorHAnsi"/>
                <w:bCs/>
                <w:color w:val="000000"/>
                <w:szCs w:val="22"/>
                <w:lang w:val="zh-CN"/>
              </w:rPr>
              <w:t>2023</w:t>
            </w:r>
            <w:proofErr w:type="spellStart"/>
            <w:r w:rsidRPr="00BA42BF">
              <w:rPr>
                <w:rFonts w:asciiTheme="minorHAnsi" w:eastAsia="SimSun" w:hAnsiTheme="minorHAnsi" w:cstheme="minorHAnsi"/>
                <w:bCs/>
                <w:color w:val="000000"/>
                <w:szCs w:val="22"/>
                <w:lang w:val="zh-CN"/>
              </w:rPr>
              <w:t>年报销费用（瑞郎</w:t>
            </w:r>
            <w:proofErr w:type="spellEnd"/>
            <w:r w:rsidRPr="00BA42BF">
              <w:rPr>
                <w:rFonts w:asciiTheme="minorHAnsi" w:eastAsia="SimSun" w:hAnsiTheme="minorHAnsi" w:cstheme="minorHAnsi"/>
                <w:bCs/>
                <w:color w:val="000000"/>
                <w:szCs w:val="22"/>
                <w:lang w:val="zh-CN"/>
              </w:rPr>
              <w:t>）</w:t>
            </w:r>
          </w:p>
        </w:tc>
      </w:tr>
      <w:tr w:rsidR="00F912F4" w:rsidRPr="00BA42BF" w14:paraId="539CEC0E" w14:textId="77777777" w:rsidTr="00BA42BF">
        <w:tc>
          <w:tcPr>
            <w:tcW w:w="2550" w:type="dxa"/>
            <w:shd w:val="clear" w:color="auto" w:fill="auto"/>
          </w:tcPr>
          <w:p w14:paraId="10B90AF4"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50</w:t>
            </w:r>
          </w:p>
        </w:tc>
        <w:tc>
          <w:tcPr>
            <w:tcW w:w="2552" w:type="dxa"/>
            <w:shd w:val="clear" w:color="auto" w:fill="auto"/>
            <w:vAlign w:val="bottom"/>
          </w:tcPr>
          <w:p w14:paraId="25E5E91E"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4,408</w:t>
            </w:r>
          </w:p>
        </w:tc>
        <w:tc>
          <w:tcPr>
            <w:tcW w:w="2552" w:type="dxa"/>
            <w:shd w:val="clear" w:color="auto" w:fill="auto"/>
            <w:vAlign w:val="bottom"/>
          </w:tcPr>
          <w:p w14:paraId="002CD967"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3,226</w:t>
            </w:r>
          </w:p>
        </w:tc>
      </w:tr>
      <w:tr w:rsidR="00F912F4" w:rsidRPr="00BA42BF" w14:paraId="0FE2525D" w14:textId="77777777" w:rsidTr="00BA42BF">
        <w:tc>
          <w:tcPr>
            <w:tcW w:w="2550" w:type="dxa"/>
            <w:shd w:val="clear" w:color="auto" w:fill="auto"/>
          </w:tcPr>
          <w:p w14:paraId="4618B24C"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55</w:t>
            </w:r>
          </w:p>
        </w:tc>
        <w:tc>
          <w:tcPr>
            <w:tcW w:w="2552" w:type="dxa"/>
            <w:shd w:val="clear" w:color="auto" w:fill="auto"/>
            <w:vAlign w:val="bottom"/>
          </w:tcPr>
          <w:p w14:paraId="3C7CF456"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5,441</w:t>
            </w:r>
          </w:p>
        </w:tc>
        <w:tc>
          <w:tcPr>
            <w:tcW w:w="2552" w:type="dxa"/>
            <w:shd w:val="clear" w:color="auto" w:fill="auto"/>
            <w:vAlign w:val="bottom"/>
          </w:tcPr>
          <w:p w14:paraId="20B66235"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4,038</w:t>
            </w:r>
          </w:p>
        </w:tc>
      </w:tr>
      <w:tr w:rsidR="00F912F4" w:rsidRPr="00BA42BF" w14:paraId="24C60CEA" w14:textId="77777777" w:rsidTr="00BA42BF">
        <w:tc>
          <w:tcPr>
            <w:tcW w:w="2550" w:type="dxa"/>
            <w:shd w:val="clear" w:color="auto" w:fill="auto"/>
          </w:tcPr>
          <w:p w14:paraId="787E7BB8"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60</w:t>
            </w:r>
          </w:p>
        </w:tc>
        <w:tc>
          <w:tcPr>
            <w:tcW w:w="2552" w:type="dxa"/>
            <w:shd w:val="clear" w:color="auto" w:fill="auto"/>
            <w:vAlign w:val="bottom"/>
          </w:tcPr>
          <w:p w14:paraId="275D3C0E"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6,620</w:t>
            </w:r>
          </w:p>
        </w:tc>
        <w:tc>
          <w:tcPr>
            <w:tcW w:w="2552" w:type="dxa"/>
            <w:shd w:val="clear" w:color="auto" w:fill="auto"/>
            <w:vAlign w:val="bottom"/>
          </w:tcPr>
          <w:p w14:paraId="3ED5A274"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5,063</w:t>
            </w:r>
          </w:p>
        </w:tc>
      </w:tr>
      <w:tr w:rsidR="00F912F4" w:rsidRPr="00BA42BF" w14:paraId="7BBE71F7" w14:textId="77777777" w:rsidTr="00BA42BF">
        <w:tc>
          <w:tcPr>
            <w:tcW w:w="2550" w:type="dxa"/>
            <w:shd w:val="clear" w:color="auto" w:fill="auto"/>
          </w:tcPr>
          <w:p w14:paraId="5CEA3F81"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65</w:t>
            </w:r>
          </w:p>
        </w:tc>
        <w:tc>
          <w:tcPr>
            <w:tcW w:w="2552" w:type="dxa"/>
            <w:shd w:val="clear" w:color="auto" w:fill="auto"/>
            <w:vAlign w:val="bottom"/>
          </w:tcPr>
          <w:p w14:paraId="2193112E"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7,938</w:t>
            </w:r>
          </w:p>
        </w:tc>
        <w:tc>
          <w:tcPr>
            <w:tcW w:w="2552" w:type="dxa"/>
            <w:shd w:val="clear" w:color="auto" w:fill="auto"/>
            <w:vAlign w:val="bottom"/>
          </w:tcPr>
          <w:p w14:paraId="2206D8F8"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6,357</w:t>
            </w:r>
          </w:p>
        </w:tc>
      </w:tr>
      <w:tr w:rsidR="00F912F4" w:rsidRPr="00BA42BF" w14:paraId="24CB2BA3" w14:textId="77777777" w:rsidTr="00BA42BF">
        <w:tc>
          <w:tcPr>
            <w:tcW w:w="2550" w:type="dxa"/>
            <w:shd w:val="clear" w:color="auto" w:fill="auto"/>
          </w:tcPr>
          <w:p w14:paraId="542702B2"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70</w:t>
            </w:r>
          </w:p>
        </w:tc>
        <w:tc>
          <w:tcPr>
            <w:tcW w:w="2552" w:type="dxa"/>
            <w:shd w:val="clear" w:color="auto" w:fill="auto"/>
            <w:vAlign w:val="bottom"/>
          </w:tcPr>
          <w:p w14:paraId="779F4B24"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9,566</w:t>
            </w:r>
          </w:p>
        </w:tc>
        <w:tc>
          <w:tcPr>
            <w:tcW w:w="2552" w:type="dxa"/>
            <w:shd w:val="clear" w:color="auto" w:fill="auto"/>
            <w:vAlign w:val="bottom"/>
          </w:tcPr>
          <w:p w14:paraId="3512942C"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7,995</w:t>
            </w:r>
          </w:p>
        </w:tc>
      </w:tr>
      <w:tr w:rsidR="00F912F4" w:rsidRPr="00BA42BF" w14:paraId="5350BAC6" w14:textId="77777777" w:rsidTr="00BA42BF">
        <w:tc>
          <w:tcPr>
            <w:tcW w:w="2550" w:type="dxa"/>
            <w:shd w:val="clear" w:color="auto" w:fill="auto"/>
          </w:tcPr>
          <w:p w14:paraId="2155C2EA"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75</w:t>
            </w:r>
          </w:p>
        </w:tc>
        <w:tc>
          <w:tcPr>
            <w:tcW w:w="2552" w:type="dxa"/>
            <w:shd w:val="clear" w:color="auto" w:fill="auto"/>
            <w:vAlign w:val="bottom"/>
          </w:tcPr>
          <w:p w14:paraId="72235569"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10,926</w:t>
            </w:r>
          </w:p>
        </w:tc>
        <w:tc>
          <w:tcPr>
            <w:tcW w:w="2552" w:type="dxa"/>
            <w:shd w:val="clear" w:color="auto" w:fill="auto"/>
            <w:vAlign w:val="bottom"/>
          </w:tcPr>
          <w:p w14:paraId="50908525"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10,074</w:t>
            </w:r>
          </w:p>
        </w:tc>
      </w:tr>
      <w:tr w:rsidR="00F912F4" w:rsidRPr="00BA42BF" w14:paraId="5942919E" w14:textId="77777777" w:rsidTr="00BA42BF">
        <w:tc>
          <w:tcPr>
            <w:tcW w:w="2550" w:type="dxa"/>
            <w:shd w:val="clear" w:color="auto" w:fill="auto"/>
          </w:tcPr>
          <w:p w14:paraId="5B1A3211"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80</w:t>
            </w:r>
          </w:p>
        </w:tc>
        <w:tc>
          <w:tcPr>
            <w:tcW w:w="2552" w:type="dxa"/>
            <w:shd w:val="clear" w:color="auto" w:fill="auto"/>
            <w:vAlign w:val="bottom"/>
          </w:tcPr>
          <w:p w14:paraId="16FFA4D9"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12,060</w:t>
            </w:r>
          </w:p>
        </w:tc>
        <w:tc>
          <w:tcPr>
            <w:tcW w:w="2552" w:type="dxa"/>
            <w:shd w:val="clear" w:color="auto" w:fill="auto"/>
            <w:vAlign w:val="bottom"/>
          </w:tcPr>
          <w:p w14:paraId="6863D72C"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12,715</w:t>
            </w:r>
          </w:p>
        </w:tc>
      </w:tr>
      <w:tr w:rsidR="00F912F4" w:rsidRPr="00BA42BF" w14:paraId="3A680393" w14:textId="77777777" w:rsidTr="00BA42BF">
        <w:tc>
          <w:tcPr>
            <w:tcW w:w="2550" w:type="dxa"/>
            <w:shd w:val="clear" w:color="auto" w:fill="auto"/>
          </w:tcPr>
          <w:p w14:paraId="69D9440C"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85</w:t>
            </w:r>
          </w:p>
        </w:tc>
        <w:tc>
          <w:tcPr>
            <w:tcW w:w="2552" w:type="dxa"/>
            <w:shd w:val="clear" w:color="auto" w:fill="auto"/>
            <w:vAlign w:val="bottom"/>
          </w:tcPr>
          <w:p w14:paraId="4F145E8B"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14,672</w:t>
            </w:r>
          </w:p>
        </w:tc>
        <w:tc>
          <w:tcPr>
            <w:tcW w:w="2552" w:type="dxa"/>
            <w:shd w:val="clear" w:color="auto" w:fill="auto"/>
            <w:vAlign w:val="bottom"/>
          </w:tcPr>
          <w:p w14:paraId="5B7BE0B2"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14.736</w:t>
            </w:r>
          </w:p>
        </w:tc>
      </w:tr>
      <w:tr w:rsidR="00F912F4" w:rsidRPr="00BA42BF" w14:paraId="514BD02F" w14:textId="77777777" w:rsidTr="00BA42BF">
        <w:trPr>
          <w:trHeight w:val="60"/>
        </w:trPr>
        <w:tc>
          <w:tcPr>
            <w:tcW w:w="2550" w:type="dxa"/>
            <w:shd w:val="clear" w:color="auto" w:fill="auto"/>
          </w:tcPr>
          <w:p w14:paraId="435E025B"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90</w:t>
            </w:r>
          </w:p>
        </w:tc>
        <w:tc>
          <w:tcPr>
            <w:tcW w:w="2552" w:type="dxa"/>
            <w:shd w:val="clear" w:color="auto" w:fill="auto"/>
            <w:vAlign w:val="bottom"/>
          </w:tcPr>
          <w:p w14:paraId="088D42BD"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16,919</w:t>
            </w:r>
          </w:p>
        </w:tc>
        <w:tc>
          <w:tcPr>
            <w:tcW w:w="2552" w:type="dxa"/>
            <w:shd w:val="clear" w:color="auto" w:fill="auto"/>
            <w:vAlign w:val="bottom"/>
          </w:tcPr>
          <w:p w14:paraId="2E4612CB" w14:textId="77777777" w:rsidR="00F912F4" w:rsidRPr="00BA42BF" w:rsidRDefault="00F912F4" w:rsidP="00A038BF">
            <w:pPr>
              <w:pStyle w:val="Tabletext"/>
              <w:keepNext/>
              <w:keepLines/>
              <w:jc w:val="center"/>
              <w:rPr>
                <w:rFonts w:asciiTheme="minorHAnsi" w:eastAsia="SimSun" w:hAnsiTheme="minorHAnsi" w:cstheme="minorHAnsi"/>
                <w:szCs w:val="22"/>
              </w:rPr>
            </w:pPr>
            <w:r w:rsidRPr="00BA42BF">
              <w:rPr>
                <w:rFonts w:asciiTheme="minorHAnsi" w:eastAsia="SimSun" w:hAnsiTheme="minorHAnsi" w:cstheme="minorHAnsi"/>
                <w:color w:val="000000"/>
                <w:szCs w:val="22"/>
                <w:lang w:val="zh-CN"/>
              </w:rPr>
              <w:t>16,953</w:t>
            </w:r>
          </w:p>
        </w:tc>
      </w:tr>
      <w:tr w:rsidR="00F912F4" w:rsidRPr="00BA42BF" w14:paraId="63B996C5" w14:textId="77777777" w:rsidTr="00BA42BF">
        <w:tc>
          <w:tcPr>
            <w:tcW w:w="7654" w:type="dxa"/>
            <w:gridSpan w:val="3"/>
            <w:shd w:val="clear" w:color="auto" w:fill="auto"/>
          </w:tcPr>
          <w:p w14:paraId="647E7E21" w14:textId="77777777" w:rsidR="00F912F4" w:rsidRPr="004415BD" w:rsidRDefault="00F912F4" w:rsidP="00A038BF">
            <w:pPr>
              <w:pStyle w:val="Tablelegend"/>
              <w:keepNext/>
              <w:keepLines/>
              <w:rPr>
                <w:rFonts w:asciiTheme="minorHAnsi" w:eastAsia="SimSun" w:hAnsiTheme="minorHAnsi" w:cstheme="minorHAnsi"/>
                <w:lang w:eastAsia="zh-CN"/>
              </w:rPr>
            </w:pPr>
            <w:r w:rsidRPr="004415BD">
              <w:rPr>
                <w:rFonts w:asciiTheme="minorHAnsi" w:eastAsia="SimSun" w:hAnsiTheme="minorHAnsi" w:cstheme="minorHAnsi"/>
                <w:color w:val="000000"/>
                <w:lang w:val="zh-CN" w:eastAsia="zh-CN"/>
              </w:rPr>
              <w:t>来源：国际电联财务报表和国际电联</w:t>
            </w:r>
            <w:r w:rsidRPr="004415BD">
              <w:rPr>
                <w:rFonts w:asciiTheme="minorHAnsi" w:eastAsia="SimSun" w:hAnsiTheme="minorHAnsi" w:cstheme="minorHAnsi"/>
                <w:color w:val="000000"/>
                <w:lang w:val="zh-CN" w:eastAsia="zh-CN"/>
              </w:rPr>
              <w:t>IPSAS 39 ASHI</w:t>
            </w:r>
            <w:r w:rsidRPr="004415BD">
              <w:rPr>
                <w:rFonts w:asciiTheme="minorHAnsi" w:eastAsia="SimSun" w:hAnsiTheme="minorHAnsi" w:cstheme="minorHAnsi"/>
                <w:color w:val="000000"/>
                <w:lang w:val="zh-CN" w:eastAsia="zh-CN"/>
              </w:rPr>
              <w:t>估值报告</w:t>
            </w:r>
          </w:p>
        </w:tc>
      </w:tr>
    </w:tbl>
    <w:p w14:paraId="61D9FB26" w14:textId="77777777" w:rsidR="00F912F4" w:rsidRPr="00D47C1A" w:rsidRDefault="00F912F4" w:rsidP="00D47C1A">
      <w:pPr>
        <w:tabs>
          <w:tab w:val="left" w:pos="0"/>
        </w:tabs>
        <w:spacing w:before="240"/>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1.30</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鉴于计划的变更，特别是向</w:t>
      </w:r>
      <w:r w:rsidRPr="00D47C1A">
        <w:rPr>
          <w:rFonts w:asciiTheme="minorHAnsi" w:eastAsia="SimSun" w:hAnsiTheme="minorHAnsi" w:cstheme="minorHAnsi"/>
          <w:lang w:val="zh-CN" w:eastAsia="zh-CN"/>
        </w:rPr>
        <w:t>UNSMIS</w:t>
      </w:r>
      <w:r w:rsidRPr="00D47C1A">
        <w:rPr>
          <w:rFonts w:asciiTheme="minorHAnsi" w:eastAsia="SimSun" w:hAnsiTheme="minorHAnsi" w:cstheme="minorHAnsi"/>
          <w:lang w:val="zh-CN" w:eastAsia="zh-CN"/>
        </w:rPr>
        <w:t>的过渡以及更广泛的全球医疗保健趋势，特别是由于新冠肺炎疫情带来的变化，我们在之前的报告（</w:t>
      </w:r>
      <w:r w:rsidRPr="00D47C1A">
        <w:rPr>
          <w:rFonts w:asciiTheme="minorHAnsi" w:eastAsia="SimSun" w:hAnsiTheme="minorHAnsi" w:cstheme="minorHAnsi"/>
          <w:lang w:val="zh-CN" w:eastAsia="zh-CN"/>
        </w:rPr>
        <w:t>2022 R#7</w:t>
      </w:r>
      <w:r w:rsidRPr="00D47C1A">
        <w:rPr>
          <w:rFonts w:asciiTheme="minorHAnsi" w:eastAsia="SimSun" w:hAnsiTheme="minorHAnsi" w:cstheme="minorHAnsi"/>
          <w:lang w:val="zh-CN" w:eastAsia="zh-CN"/>
        </w:rPr>
        <w:t>）中建议国际电联进行新的全面医疗报销费用的研究，以更新相关数据并为未来估值提供支持。此前的假设基于</w:t>
      </w:r>
      <w:r w:rsidRPr="00D47C1A">
        <w:rPr>
          <w:rFonts w:asciiTheme="minorHAnsi" w:eastAsia="SimSun" w:hAnsiTheme="minorHAnsi" w:cstheme="minorHAnsi"/>
          <w:lang w:val="zh-CN" w:eastAsia="zh-CN"/>
        </w:rPr>
        <w:t>2015</w:t>
      </w:r>
      <w:r w:rsidRPr="00D47C1A">
        <w:rPr>
          <w:rFonts w:asciiTheme="minorHAnsi" w:eastAsia="SimSun" w:hAnsiTheme="minorHAnsi" w:cstheme="minorHAnsi"/>
          <w:lang w:val="zh-CN" w:eastAsia="zh-CN"/>
        </w:rPr>
        <w:t>年至</w:t>
      </w:r>
      <w:r w:rsidRPr="00D47C1A">
        <w:rPr>
          <w:rFonts w:asciiTheme="minorHAnsi" w:eastAsia="SimSun" w:hAnsiTheme="minorHAnsi" w:cstheme="minorHAnsi"/>
          <w:lang w:val="zh-CN" w:eastAsia="zh-CN"/>
        </w:rPr>
        <w:t>2017</w:t>
      </w:r>
      <w:r w:rsidRPr="00D47C1A">
        <w:rPr>
          <w:rFonts w:asciiTheme="minorHAnsi" w:eastAsia="SimSun" w:hAnsiTheme="minorHAnsi" w:cstheme="minorHAnsi"/>
          <w:lang w:val="zh-CN" w:eastAsia="zh-CN"/>
        </w:rPr>
        <w:t>年期间的实际理赔经验，根据截至</w:t>
      </w:r>
      <w:r w:rsidRPr="00D47C1A">
        <w:rPr>
          <w:rFonts w:asciiTheme="minorHAnsi" w:eastAsia="SimSun" w:hAnsiTheme="minorHAnsi" w:cstheme="minorHAnsi"/>
          <w:lang w:val="zh-CN" w:eastAsia="zh-CN"/>
        </w:rPr>
        <w:t>2022</w:t>
      </w:r>
      <w:r w:rsidRPr="00D47C1A">
        <w:rPr>
          <w:rFonts w:asciiTheme="minorHAnsi" w:eastAsia="SimSun" w:hAnsiTheme="minorHAnsi" w:cstheme="minorHAnsi"/>
          <w:lang w:val="zh-CN" w:eastAsia="zh-CN"/>
        </w:rPr>
        <w:t>年的经验进行了调整，并进一步结合截至</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年底的预期医疗通胀进行了调整。</w:t>
      </w:r>
    </w:p>
    <w:p w14:paraId="0284DD1D"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1.31</w:t>
      </w:r>
      <w:r w:rsidRPr="00D47C1A">
        <w:rPr>
          <w:rFonts w:asciiTheme="minorHAnsi" w:eastAsia="SimSun" w:hAnsiTheme="minorHAnsi" w:cstheme="minorHAnsi"/>
          <w:lang w:val="zh-CN" w:eastAsia="zh-CN"/>
        </w:rPr>
        <w:tab/>
        <w:t>2024</w:t>
      </w:r>
      <w:r w:rsidRPr="00D47C1A">
        <w:rPr>
          <w:rFonts w:asciiTheme="minorHAnsi" w:eastAsia="SimSun" w:hAnsiTheme="minorHAnsi" w:cstheme="minorHAnsi"/>
          <w:lang w:val="zh-CN" w:eastAsia="zh-CN"/>
        </w:rPr>
        <w:t>年期间，国际电联精算师根据国际电联</w:t>
      </w:r>
      <w:r w:rsidRPr="00D47C1A">
        <w:rPr>
          <w:rFonts w:asciiTheme="minorHAnsi" w:eastAsia="SimSun" w:hAnsiTheme="minorHAnsi" w:cstheme="minorHAnsi"/>
          <w:lang w:val="zh-CN" w:eastAsia="zh-CN"/>
        </w:rPr>
        <w:t>2020</w:t>
      </w:r>
      <w:r w:rsidRPr="00D47C1A">
        <w:rPr>
          <w:rFonts w:asciiTheme="minorHAnsi" w:eastAsia="SimSun" w:hAnsiTheme="minorHAnsi" w:cstheme="minorHAnsi"/>
          <w:lang w:val="zh-CN" w:eastAsia="zh-CN"/>
        </w:rPr>
        <w:t>年至</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的实际报销数据（按年龄组细分）开展了一项新研究。该研究还考虑了医疗报销费用的预期增加，以估计截至报告日期时按年龄划分的人均报销费用。这相比于前一年所采用的方法有所改进，如上文所述，当时精算师利用一般医疗成本通胀假设，对以往的一项研究进行了推算。</w:t>
      </w:r>
    </w:p>
    <w:p w14:paraId="3E236220"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1.32</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在</w:t>
      </w:r>
      <w:r w:rsidRPr="00D47C1A">
        <w:rPr>
          <w:rFonts w:asciiTheme="minorHAnsi" w:eastAsia="SimSun" w:hAnsiTheme="minorHAnsi" w:cstheme="minorHAnsi"/>
          <w:lang w:val="zh-CN" w:eastAsia="zh-CN"/>
        </w:rPr>
        <w:t>2022</w:t>
      </w:r>
      <w:r w:rsidRPr="00D47C1A">
        <w:rPr>
          <w:rFonts w:asciiTheme="minorHAnsi" w:eastAsia="SimSun" w:hAnsiTheme="minorHAnsi" w:cstheme="minorHAnsi"/>
          <w:lang w:val="zh-CN" w:eastAsia="zh-CN"/>
        </w:rPr>
        <w:t>年报告中，我们还建议（</w:t>
      </w:r>
      <w:r w:rsidRPr="00D47C1A">
        <w:rPr>
          <w:rFonts w:asciiTheme="minorHAnsi" w:eastAsia="SimSun" w:hAnsiTheme="minorHAnsi" w:cstheme="minorHAnsi"/>
          <w:lang w:val="zh-CN" w:eastAsia="zh-CN"/>
        </w:rPr>
        <w:t>2022 R#8</w:t>
      </w:r>
      <w:r w:rsidRPr="00D47C1A">
        <w:rPr>
          <w:rFonts w:asciiTheme="minorHAnsi" w:eastAsia="SimSun" w:hAnsiTheme="minorHAnsi" w:cstheme="minorHAnsi"/>
          <w:lang w:val="zh-CN" w:eastAsia="zh-CN"/>
        </w:rPr>
        <w:t>），用于员工福利负债估值的所有第三方数据均应经过适当验证。鉴于今年采取的措施，我们认为管理层应进一步加强这些数据验证和核对流程。这应包括建立更清晰的数据核对和对账协议，设定及时交付和验证的期望值，并规范对基础数据源的定期审查。</w:t>
      </w:r>
      <w:r w:rsidRPr="00D47C1A">
        <w:rPr>
          <w:rFonts w:asciiTheme="minorHAnsi" w:eastAsia="SimSun" w:hAnsiTheme="minorHAnsi" w:cstheme="minorHAnsi"/>
          <w:b/>
          <w:bCs/>
          <w:lang w:val="zh-CN" w:eastAsia="zh-CN"/>
        </w:rPr>
        <w:t>因此，我们重申</w:t>
      </w:r>
      <w:r w:rsidRPr="00D47C1A">
        <w:rPr>
          <w:rFonts w:asciiTheme="minorHAnsi" w:eastAsia="SimSun" w:hAnsiTheme="minorHAnsi" w:cstheme="minorHAnsi"/>
          <w:b/>
          <w:bCs/>
          <w:lang w:val="zh-CN" w:eastAsia="zh-CN"/>
        </w:rPr>
        <w:t>2022</w:t>
      </w:r>
      <w:r w:rsidRPr="00D47C1A">
        <w:rPr>
          <w:rFonts w:asciiTheme="minorHAnsi" w:eastAsia="SimSun" w:hAnsiTheme="minorHAnsi" w:cstheme="minorHAnsi"/>
          <w:b/>
          <w:bCs/>
          <w:lang w:val="zh-CN" w:eastAsia="zh-CN"/>
        </w:rPr>
        <w:t>年在此问题上的建议</w:t>
      </w:r>
      <w:r w:rsidRPr="00D47C1A">
        <w:rPr>
          <w:rFonts w:asciiTheme="minorHAnsi" w:eastAsia="SimSun" w:hAnsiTheme="minorHAnsi" w:cstheme="minorHAnsi"/>
          <w:lang w:val="zh-CN" w:eastAsia="zh-CN"/>
        </w:rPr>
        <w:t>，并敦促秘书处审查其如何对关键的第三方数据获得充分和及时的鉴证。</w:t>
      </w:r>
    </w:p>
    <w:p w14:paraId="6E782F21" w14:textId="77777777" w:rsidR="00F912F4" w:rsidRPr="00D47C1A" w:rsidRDefault="00F912F4" w:rsidP="00D47C1A">
      <w:pPr>
        <w:pStyle w:val="Heading4"/>
        <w:numPr>
          <w:ilvl w:val="0"/>
          <w:numId w:val="0"/>
        </w:numPr>
        <w:rPr>
          <w:rFonts w:asciiTheme="minorHAnsi" w:eastAsia="SimSun" w:hAnsiTheme="minorHAnsi" w:cstheme="minorHAnsi"/>
          <w:i w:val="0"/>
          <w:iCs/>
          <w:sz w:val="28"/>
          <w:szCs w:val="28"/>
          <w:lang w:eastAsia="zh-CN"/>
        </w:rPr>
      </w:pPr>
      <w:r w:rsidRPr="00BA42BF">
        <w:rPr>
          <w:rFonts w:asciiTheme="minorHAnsi" w:eastAsia="SimSun" w:hAnsiTheme="minorHAnsi" w:cstheme="minorHAnsi"/>
          <w:i w:val="0"/>
          <w:iCs/>
          <w:sz w:val="28"/>
          <w:szCs w:val="28"/>
          <w:lang w:eastAsia="zh-CN"/>
        </w:rPr>
        <w:t>联合国合办工作人员养恤基金</w:t>
      </w:r>
    </w:p>
    <w:p w14:paraId="13B4FD1A"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1.33</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通过其职员作为成员组织加入了联合国合办工作人员养恤基金（养恤基金）。但是，由于养恤金计划无法准确确定对每个参与组织所承担的相应风险的可靠估算，因此国际电联的财务报表中没有出现养恤金计划的精算负债。</w:t>
      </w:r>
    </w:p>
    <w:p w14:paraId="215E8884" w14:textId="77777777" w:rsidR="00F912F4" w:rsidRPr="00D47C1A" w:rsidRDefault="00F912F4" w:rsidP="00D47C1A">
      <w:pPr>
        <w:tabs>
          <w:tab w:val="left" w:pos="0"/>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1.34</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财务报表注释</w:t>
      </w:r>
      <w:r w:rsidRPr="00D47C1A">
        <w:rPr>
          <w:rFonts w:asciiTheme="minorHAnsi" w:eastAsia="SimSun" w:hAnsiTheme="minorHAnsi" w:cstheme="minorHAnsi"/>
          <w:lang w:val="zh-CN" w:eastAsia="zh-CN"/>
        </w:rPr>
        <w:t>17.3</w:t>
      </w:r>
      <w:r w:rsidRPr="00D47C1A">
        <w:rPr>
          <w:rFonts w:asciiTheme="minorHAnsi" w:eastAsia="SimSun" w:hAnsiTheme="minorHAnsi" w:cstheme="minorHAnsi"/>
          <w:lang w:val="zh-CN" w:eastAsia="zh-CN"/>
        </w:rPr>
        <w:t>概述了联合国养恤金计划的特点，这一披露在许多参与组织中都是一致的。在最近的精算日期，即</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12</w:t>
      </w:r>
      <w:r w:rsidRPr="00D47C1A">
        <w:rPr>
          <w:rFonts w:asciiTheme="minorHAnsi" w:eastAsia="SimSun" w:hAnsiTheme="minorHAnsi" w:cstheme="minorHAnsi"/>
          <w:lang w:val="zh-CN" w:eastAsia="zh-CN"/>
        </w:rPr>
        <w:t>月</w:t>
      </w:r>
      <w:r w:rsidRPr="00D47C1A">
        <w:rPr>
          <w:rFonts w:asciiTheme="minorHAnsi" w:eastAsia="SimSun" w:hAnsiTheme="minorHAnsi" w:cstheme="minorHAnsi"/>
          <w:lang w:val="zh-CN" w:eastAsia="zh-CN"/>
        </w:rPr>
        <w:t>31</w:t>
      </w:r>
      <w:r w:rsidRPr="00D47C1A">
        <w:rPr>
          <w:rFonts w:asciiTheme="minorHAnsi" w:eastAsia="SimSun" w:hAnsiTheme="minorHAnsi" w:cstheme="minorHAnsi"/>
          <w:lang w:val="zh-CN" w:eastAsia="zh-CN"/>
        </w:rPr>
        <w:t>日，养恤基金得出结论，根据该基金规则第</w:t>
      </w:r>
      <w:r w:rsidRPr="00D47C1A">
        <w:rPr>
          <w:rFonts w:asciiTheme="minorHAnsi" w:eastAsia="SimSun" w:hAnsiTheme="minorHAnsi" w:cstheme="minorHAnsi"/>
          <w:lang w:val="zh-CN" w:eastAsia="zh-CN"/>
        </w:rPr>
        <w:t>26</w:t>
      </w:r>
      <w:r w:rsidRPr="00D47C1A">
        <w:rPr>
          <w:rFonts w:asciiTheme="minorHAnsi" w:eastAsia="SimSun" w:hAnsiTheme="minorHAnsi" w:cstheme="minorHAnsi"/>
          <w:lang w:val="zh-CN" w:eastAsia="zh-CN"/>
        </w:rPr>
        <w:t>条，不需要支付差额款项，因为其筹资比率为</w:t>
      </w:r>
      <w:r w:rsidRPr="00D47C1A">
        <w:rPr>
          <w:rFonts w:asciiTheme="minorHAnsi" w:hAnsiTheme="minorHAnsi" w:cstheme="minorHAnsi"/>
          <w:lang w:eastAsia="zh-CN"/>
        </w:rPr>
        <w:t>111.0%</w:t>
      </w:r>
      <w:r w:rsidRPr="00D47C1A">
        <w:rPr>
          <w:rFonts w:asciiTheme="minorHAnsi" w:eastAsia="SimSun" w:hAnsiTheme="minorHAnsi" w:cstheme="minorHAnsi"/>
          <w:lang w:val="zh-CN" w:eastAsia="zh-CN"/>
        </w:rPr>
        <w:t>（</w:t>
      </w:r>
      <w:r w:rsidRPr="00D47C1A">
        <w:rPr>
          <w:rFonts w:asciiTheme="minorHAnsi" w:eastAsia="SimSun" w:hAnsiTheme="minorHAnsi" w:cstheme="minorHAnsi"/>
          <w:lang w:val="zh-CN" w:eastAsia="zh-CN"/>
        </w:rPr>
        <w:t>2021</w:t>
      </w:r>
      <w:r w:rsidRPr="00D47C1A">
        <w:rPr>
          <w:rFonts w:asciiTheme="minorHAnsi" w:eastAsia="SimSun" w:hAnsiTheme="minorHAnsi" w:cstheme="minorHAnsi"/>
          <w:lang w:val="zh-CN" w:eastAsia="zh-CN"/>
        </w:rPr>
        <w:t>年的估值中为</w:t>
      </w:r>
      <w:r w:rsidRPr="00D47C1A">
        <w:rPr>
          <w:rFonts w:asciiTheme="minorHAnsi" w:hAnsiTheme="minorHAnsi" w:cstheme="minorHAnsi"/>
          <w:lang w:eastAsia="zh-CN"/>
        </w:rPr>
        <w:t>117.0%</w:t>
      </w:r>
      <w:r w:rsidRPr="00D47C1A">
        <w:rPr>
          <w:rFonts w:asciiTheme="minorHAnsi" w:eastAsia="SimSun" w:hAnsiTheme="minorHAnsi" w:cstheme="minorHAnsi"/>
          <w:lang w:val="zh-CN" w:eastAsia="zh-CN"/>
        </w:rPr>
        <w:t>）。如果这种情况在未来发生变化，国际电联和联合国系统其他参与实体将需要支付差额款项。鉴于联合国系统目前资金的不确定性，以及应计养恤金职员队伍及其相关缴费可能大幅减少，国际电联未来的财务风险将加大，需予以密切监控。</w:t>
      </w:r>
    </w:p>
    <w:p w14:paraId="42A80107" w14:textId="77777777" w:rsidR="00F912F4" w:rsidRPr="00D47C1A" w:rsidRDefault="00F912F4" w:rsidP="00D47C1A">
      <w:pPr>
        <w:adjustRightInd/>
        <w:textAlignment w:val="auto"/>
        <w:rPr>
          <w:rFonts w:asciiTheme="minorHAnsi" w:eastAsia="SimSun" w:hAnsiTheme="minorHAnsi" w:cstheme="minorHAnsi"/>
          <w:lang w:eastAsia="zh-CN"/>
        </w:rPr>
      </w:pPr>
      <w:r w:rsidRPr="00D47C1A">
        <w:rPr>
          <w:rFonts w:asciiTheme="minorHAnsi" w:eastAsia="SimSun" w:hAnsiTheme="minorHAnsi" w:cstheme="minorHAnsi"/>
          <w:lang w:eastAsia="zh-CN"/>
        </w:rPr>
        <w:br w:type="page"/>
      </w:r>
    </w:p>
    <w:p w14:paraId="1A45B70E" w14:textId="77777777" w:rsidR="00F912F4" w:rsidRPr="00D47C1A" w:rsidRDefault="00F912F4" w:rsidP="00D47C1A">
      <w:pPr>
        <w:pStyle w:val="Heading1"/>
        <w:ind w:left="0" w:firstLine="0"/>
        <w:rPr>
          <w:rFonts w:asciiTheme="minorHAnsi" w:eastAsia="SimSun" w:hAnsiTheme="minorHAnsi" w:cstheme="minorHAnsi"/>
          <w:sz w:val="56"/>
          <w:szCs w:val="56"/>
          <w:lang w:eastAsia="zh-CN"/>
        </w:rPr>
      </w:pPr>
      <w:bookmarkStart w:id="37" w:name="_Toc200718067"/>
      <w:r w:rsidRPr="00BA42BF">
        <w:rPr>
          <w:rFonts w:asciiTheme="minorHAnsi" w:eastAsia="SimSun" w:hAnsiTheme="minorHAnsi" w:cstheme="minorHAnsi"/>
          <w:sz w:val="56"/>
          <w:szCs w:val="56"/>
          <w:lang w:eastAsia="zh-CN"/>
        </w:rPr>
        <w:lastRenderedPageBreak/>
        <w:t>第二部分</w:t>
      </w:r>
      <w:bookmarkEnd w:id="37"/>
    </w:p>
    <w:p w14:paraId="7F8C5CD6" w14:textId="77777777" w:rsidR="00F912F4" w:rsidRPr="00D47C1A" w:rsidRDefault="00F912F4" w:rsidP="00D47C1A">
      <w:pPr>
        <w:pStyle w:val="Heading2"/>
        <w:numPr>
          <w:ilvl w:val="0"/>
          <w:numId w:val="0"/>
        </w:numPr>
        <w:spacing w:before="720"/>
        <w:rPr>
          <w:rFonts w:asciiTheme="minorHAnsi" w:eastAsia="SimSun" w:hAnsiTheme="minorHAnsi" w:cstheme="minorHAnsi"/>
          <w:b w:val="0"/>
          <w:bCs/>
          <w:sz w:val="40"/>
          <w:szCs w:val="40"/>
          <w:lang w:eastAsia="zh-CN"/>
        </w:rPr>
      </w:pPr>
      <w:bookmarkStart w:id="38" w:name="_Toc137224227"/>
      <w:bookmarkStart w:id="39" w:name="_Toc200718068"/>
      <w:r w:rsidRPr="00BA42BF">
        <w:rPr>
          <w:rFonts w:asciiTheme="minorHAnsi" w:eastAsia="SimSun" w:hAnsiTheme="minorHAnsi" w:cstheme="minorHAnsi"/>
          <w:b w:val="0"/>
          <w:bCs/>
          <w:sz w:val="40"/>
          <w:szCs w:val="40"/>
          <w:lang w:eastAsia="zh-CN"/>
        </w:rPr>
        <w:t>治理和内部控制</w:t>
      </w:r>
      <w:bookmarkEnd w:id="38"/>
      <w:bookmarkEnd w:id="39"/>
    </w:p>
    <w:p w14:paraId="46D28C41" w14:textId="77777777" w:rsidR="00F912F4" w:rsidRPr="004415BD" w:rsidRDefault="00F912F4" w:rsidP="004415BD">
      <w:pPr>
        <w:pStyle w:val="Headingb"/>
      </w:pPr>
      <w:bookmarkStart w:id="40" w:name="_Toc200718069"/>
      <w:proofErr w:type="spellStart"/>
      <w:r w:rsidRPr="004415BD">
        <w:rPr>
          <w:rFonts w:hint="eastAsia"/>
        </w:rPr>
        <w:t>引言</w:t>
      </w:r>
      <w:bookmarkEnd w:id="40"/>
      <w:proofErr w:type="spellEnd"/>
    </w:p>
    <w:p w14:paraId="165B860A"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2.1</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如内部控制声明所披露，国际电联正式通过了</w:t>
      </w:r>
      <w:r w:rsidRPr="00D47C1A">
        <w:rPr>
          <w:rFonts w:asciiTheme="minorHAnsi" w:eastAsia="STKaiti" w:hAnsiTheme="minorHAnsi" w:cstheme="minorHAnsi"/>
          <w:lang w:val="zh-CN" w:eastAsia="zh-CN"/>
        </w:rPr>
        <w:t>2013</w:t>
      </w:r>
      <w:r w:rsidRPr="00D47C1A">
        <w:rPr>
          <w:rFonts w:asciiTheme="minorHAnsi" w:eastAsia="STKaiti" w:hAnsiTheme="minorHAnsi" w:cstheme="minorHAnsi"/>
          <w:lang w:val="zh-CN" w:eastAsia="zh-CN"/>
        </w:rPr>
        <w:t>年</w:t>
      </w:r>
      <w:r w:rsidRPr="00D47C1A">
        <w:rPr>
          <w:rFonts w:asciiTheme="minorHAnsi" w:eastAsia="STKaiti" w:hAnsiTheme="minorHAnsi" w:cstheme="minorHAnsi"/>
          <w:lang w:val="zh-CN" w:eastAsia="zh-CN"/>
        </w:rPr>
        <w:t>COSO</w:t>
      </w:r>
      <w:r w:rsidRPr="00D47C1A">
        <w:rPr>
          <w:rFonts w:asciiTheme="minorHAnsi" w:eastAsia="STKaiti" w:hAnsiTheme="minorHAnsi" w:cstheme="minorHAnsi"/>
          <w:lang w:val="zh-CN" w:eastAsia="zh-CN"/>
        </w:rPr>
        <w:t>内部控制综合框架</w:t>
      </w:r>
      <w:r w:rsidRPr="00D47C1A">
        <w:rPr>
          <w:rFonts w:asciiTheme="minorHAnsi" w:eastAsia="SimSun" w:hAnsiTheme="minorHAnsi" w:cstheme="minorHAnsi"/>
          <w:lang w:val="zh-CN" w:eastAsia="zh-CN"/>
        </w:rPr>
        <w:t>，作为其内部控制系统的基础。该模式是联合国系统得到广泛认可的程序，旨在为实现运作、报告和合规目标提供合理鉴证。</w:t>
      </w:r>
    </w:p>
    <w:p w14:paraId="5031DABD" w14:textId="77777777" w:rsidR="00F912F4" w:rsidRPr="00D47C1A" w:rsidRDefault="00F912F4" w:rsidP="00D47C1A">
      <w:pPr>
        <w:tabs>
          <w:tab w:val="left" w:pos="774"/>
        </w:tabs>
        <w:rPr>
          <w:rFonts w:asciiTheme="minorHAnsi" w:eastAsia="SimSun" w:hAnsiTheme="minorHAnsi" w:cstheme="minorHAnsi"/>
          <w:spacing w:val="-3"/>
          <w:lang w:eastAsia="zh-CN"/>
        </w:rPr>
      </w:pPr>
      <w:r w:rsidRPr="00D47C1A">
        <w:rPr>
          <w:rFonts w:asciiTheme="minorHAnsi" w:eastAsia="SimSun" w:hAnsiTheme="minorHAnsi" w:cstheme="minorHAnsi"/>
          <w:b/>
          <w:bCs/>
          <w:lang w:val="zh-CN" w:eastAsia="zh-CN"/>
        </w:rPr>
        <w:t>2.2</w:t>
      </w:r>
      <w:r w:rsidRPr="00D47C1A">
        <w:rPr>
          <w:rFonts w:asciiTheme="minorHAnsi" w:eastAsia="SimSun" w:hAnsiTheme="minorHAnsi" w:cstheme="minorHAnsi"/>
          <w:lang w:val="zh-CN" w:eastAsia="zh-CN"/>
        </w:rPr>
        <w:tab/>
        <w:t>2022</w:t>
      </w:r>
      <w:r w:rsidRPr="00D47C1A">
        <w:rPr>
          <w:rFonts w:asciiTheme="minorHAnsi" w:eastAsia="SimSun" w:hAnsiTheme="minorHAnsi" w:cstheme="minorHAnsi"/>
          <w:lang w:val="zh-CN" w:eastAsia="zh-CN"/>
        </w:rPr>
        <w:t>年，国际电联理事会批准了国际电联问责制模型和框架，通过阐明内部治理结构、特定角色的责任和鉴证机制，使</w:t>
      </w:r>
      <w:r w:rsidRPr="00D47C1A">
        <w:rPr>
          <w:rFonts w:asciiTheme="minorHAnsi" w:eastAsia="SimSun" w:hAnsiTheme="minorHAnsi" w:cstheme="minorHAnsi"/>
          <w:lang w:val="zh-CN" w:eastAsia="zh-CN"/>
        </w:rPr>
        <w:t>COSO</w:t>
      </w:r>
      <w:r w:rsidRPr="00D47C1A">
        <w:rPr>
          <w:rFonts w:asciiTheme="minorHAnsi" w:eastAsia="SimSun" w:hAnsiTheme="minorHAnsi" w:cstheme="minorHAnsi"/>
          <w:lang w:val="zh-CN" w:eastAsia="zh-CN"/>
        </w:rPr>
        <w:t>的原则得以实施。鉴证机制贯穿三道（防线）：第一道线（控制所有权）、第二道线（监督和合规），及第三道线（独立审计和评估）。问责制框架为</w:t>
      </w:r>
      <w:r w:rsidRPr="00D47C1A">
        <w:rPr>
          <w:rFonts w:asciiTheme="minorHAnsi" w:eastAsia="SimSun" w:hAnsiTheme="minorHAnsi" w:cstheme="minorHAnsi"/>
          <w:lang w:val="zh-CN" w:eastAsia="zh-CN"/>
        </w:rPr>
        <w:t>COSO</w:t>
      </w:r>
      <w:r w:rsidRPr="00D47C1A">
        <w:rPr>
          <w:rFonts w:asciiTheme="minorHAnsi" w:eastAsia="SimSun" w:hAnsiTheme="minorHAnsi" w:cstheme="minorHAnsi"/>
          <w:lang w:val="zh-CN" w:eastAsia="zh-CN"/>
        </w:rPr>
        <w:t>融入整个国际电联提供了结构性基础。</w:t>
      </w:r>
    </w:p>
    <w:p w14:paraId="23A16BD7"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2.3</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今年，我们审议了目前国际电联内部控制系统如何与</w:t>
      </w:r>
      <w:r w:rsidRPr="00D47C1A">
        <w:rPr>
          <w:rFonts w:asciiTheme="minorHAnsi" w:eastAsia="SimSun" w:hAnsiTheme="minorHAnsi" w:cstheme="minorHAnsi"/>
          <w:lang w:val="zh-CN" w:eastAsia="zh-CN"/>
        </w:rPr>
        <w:t>COSO</w:t>
      </w:r>
      <w:r w:rsidRPr="00D47C1A">
        <w:rPr>
          <w:rFonts w:asciiTheme="minorHAnsi" w:eastAsia="SimSun" w:hAnsiTheme="minorHAnsi" w:cstheme="minorHAnsi"/>
          <w:lang w:val="zh-CN" w:eastAsia="zh-CN"/>
        </w:rPr>
        <w:t>框架的五个组成部分保持一致：</w:t>
      </w:r>
    </w:p>
    <w:p w14:paraId="02B2CF28" w14:textId="1E3BAA39" w:rsidR="00F912F4" w:rsidRPr="004415BD" w:rsidRDefault="004415BD" w:rsidP="004415BD">
      <w:pPr>
        <w:pStyle w:val="enumlev1"/>
        <w:rPr>
          <w:lang w:eastAsia="zh-CN"/>
        </w:rPr>
      </w:pPr>
      <w:r>
        <w:rPr>
          <w:lang w:eastAsia="zh-CN"/>
        </w:rPr>
        <w:t>•</w:t>
      </w:r>
      <w:r w:rsidR="00F912F4" w:rsidRPr="004415BD">
        <w:rPr>
          <w:lang w:eastAsia="zh-CN"/>
        </w:rPr>
        <w:tab/>
      </w:r>
      <w:r w:rsidR="00F912F4" w:rsidRPr="004415BD">
        <w:rPr>
          <w:lang w:eastAsia="zh-CN"/>
        </w:rPr>
        <w:t>控制环境；</w:t>
      </w:r>
    </w:p>
    <w:p w14:paraId="20C1DFEA" w14:textId="589B02A7" w:rsidR="00F912F4" w:rsidRPr="004415BD" w:rsidRDefault="004415BD" w:rsidP="004415BD">
      <w:pPr>
        <w:pStyle w:val="enumlev1"/>
        <w:rPr>
          <w:lang w:eastAsia="zh-CN"/>
        </w:rPr>
      </w:pPr>
      <w:r>
        <w:rPr>
          <w:lang w:eastAsia="zh-CN"/>
        </w:rPr>
        <w:t>•</w:t>
      </w:r>
      <w:r w:rsidR="00F912F4" w:rsidRPr="004415BD">
        <w:rPr>
          <w:lang w:eastAsia="zh-CN"/>
        </w:rPr>
        <w:tab/>
      </w:r>
      <w:r w:rsidR="00F912F4" w:rsidRPr="004415BD">
        <w:rPr>
          <w:lang w:eastAsia="zh-CN"/>
        </w:rPr>
        <w:t>风险评估</w:t>
      </w:r>
      <w:r w:rsidR="00C41566" w:rsidRPr="004415BD">
        <w:rPr>
          <w:lang w:eastAsia="zh-CN"/>
        </w:rPr>
        <w:t>；</w:t>
      </w:r>
    </w:p>
    <w:p w14:paraId="48B7D832" w14:textId="09AACDD5" w:rsidR="00F912F4" w:rsidRPr="004415BD" w:rsidRDefault="004415BD" w:rsidP="004415BD">
      <w:pPr>
        <w:pStyle w:val="enumlev1"/>
        <w:rPr>
          <w:lang w:eastAsia="zh-CN"/>
        </w:rPr>
      </w:pPr>
      <w:r>
        <w:rPr>
          <w:lang w:eastAsia="zh-CN"/>
        </w:rPr>
        <w:t>•</w:t>
      </w:r>
      <w:r w:rsidR="00F912F4" w:rsidRPr="004415BD">
        <w:rPr>
          <w:lang w:eastAsia="zh-CN"/>
        </w:rPr>
        <w:tab/>
      </w:r>
      <w:r w:rsidR="00F912F4" w:rsidRPr="004415BD">
        <w:rPr>
          <w:lang w:eastAsia="zh-CN"/>
        </w:rPr>
        <w:t>控制活动；</w:t>
      </w:r>
    </w:p>
    <w:p w14:paraId="4FEDCBE2" w14:textId="49553CD5" w:rsidR="00F912F4" w:rsidRPr="004415BD" w:rsidRDefault="004415BD" w:rsidP="004415BD">
      <w:pPr>
        <w:pStyle w:val="enumlev1"/>
        <w:rPr>
          <w:lang w:eastAsia="zh-CN"/>
        </w:rPr>
      </w:pPr>
      <w:r>
        <w:rPr>
          <w:lang w:eastAsia="zh-CN"/>
        </w:rPr>
        <w:t>•</w:t>
      </w:r>
      <w:r w:rsidR="00F912F4" w:rsidRPr="004415BD">
        <w:rPr>
          <w:lang w:eastAsia="zh-CN"/>
        </w:rPr>
        <w:tab/>
      </w:r>
      <w:r w:rsidR="00F912F4" w:rsidRPr="004415BD">
        <w:rPr>
          <w:lang w:eastAsia="zh-CN"/>
        </w:rPr>
        <w:t>信息与沟通；</w:t>
      </w:r>
      <w:r w:rsidR="00F912F4" w:rsidRPr="004415BD">
        <w:rPr>
          <w:rFonts w:hint="eastAsia"/>
          <w:lang w:eastAsia="zh-CN"/>
        </w:rPr>
        <w:t>及</w:t>
      </w:r>
    </w:p>
    <w:p w14:paraId="70B36F25" w14:textId="3C878706" w:rsidR="00F912F4" w:rsidRPr="004415BD" w:rsidRDefault="004415BD" w:rsidP="004415BD">
      <w:pPr>
        <w:pStyle w:val="enumlev1"/>
        <w:rPr>
          <w:lang w:eastAsia="zh-CN"/>
        </w:rPr>
      </w:pPr>
      <w:r>
        <w:rPr>
          <w:lang w:eastAsia="zh-CN"/>
        </w:rPr>
        <w:t>•</w:t>
      </w:r>
      <w:r w:rsidR="00F912F4" w:rsidRPr="004415BD">
        <w:rPr>
          <w:lang w:eastAsia="zh-CN"/>
        </w:rPr>
        <w:tab/>
      </w:r>
      <w:r w:rsidR="00F912F4" w:rsidRPr="004415BD">
        <w:rPr>
          <w:lang w:eastAsia="zh-CN"/>
        </w:rPr>
        <w:t>监督活动</w:t>
      </w:r>
      <w:r w:rsidR="00F912F4" w:rsidRPr="004415BD">
        <w:rPr>
          <w:rFonts w:hint="eastAsia"/>
          <w:lang w:eastAsia="zh-CN"/>
        </w:rPr>
        <w:t>。</w:t>
      </w:r>
    </w:p>
    <w:p w14:paraId="2EBBDAAD"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2.4</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我们的评估借鉴了组织层面的政策制定，以及我们从对亚太区域代表处的实地考察中获得的运作见解。</w:t>
      </w:r>
    </w:p>
    <w:p w14:paraId="77C0D89D" w14:textId="77777777" w:rsidR="00F912F4" w:rsidRPr="004415BD" w:rsidRDefault="00F912F4" w:rsidP="004415BD">
      <w:pPr>
        <w:pStyle w:val="Headingb"/>
        <w:rPr>
          <w:lang w:eastAsia="zh-CN"/>
        </w:rPr>
      </w:pPr>
      <w:bookmarkStart w:id="41" w:name="_Toc200718070"/>
      <w:r w:rsidRPr="004415BD">
        <w:rPr>
          <w:lang w:eastAsia="zh-CN"/>
        </w:rPr>
        <w:t>控制环境</w:t>
      </w:r>
      <w:bookmarkEnd w:id="41"/>
    </w:p>
    <w:p w14:paraId="3C4300F6"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2.5</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问责制框架强调需要一个强有力的、以价值观为导向的控制环境，并以符合道德规范的领导、明确的权力下放和责任的协调一致为基础。在组织层面，正在取得进展：国际电联引入了道德规范必修培训，增强了绩效管理工具，并发布了经修订的监督章程。包括理事会和独立管理顾问委员会（</w:t>
      </w:r>
      <w:r w:rsidRPr="00D47C1A">
        <w:rPr>
          <w:rFonts w:asciiTheme="minorHAnsi" w:eastAsia="SimSun" w:hAnsiTheme="minorHAnsi" w:cstheme="minorHAnsi"/>
          <w:lang w:val="zh-CN" w:eastAsia="zh-CN"/>
        </w:rPr>
        <w:t>IMAC</w:t>
      </w:r>
      <w:r w:rsidRPr="00D47C1A">
        <w:rPr>
          <w:rFonts w:asciiTheme="minorHAnsi" w:eastAsia="SimSun" w:hAnsiTheme="minorHAnsi" w:cstheme="minorHAnsi"/>
          <w:lang w:val="zh-CN" w:eastAsia="zh-CN"/>
        </w:rPr>
        <w:t>）在内的治理机构越来越重视内部控制和监督。</w:t>
      </w:r>
    </w:p>
    <w:p w14:paraId="7188B601"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2.6</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然而，我们的工作发现，在某些情况下，这些设计改进尚未得到有效实施或系统融入。尽管制定国际电联范围内的权力下放框架的工作正在进行中，但作为控制责任基础的权力下放尚未以文件形式明确规定。我们在对亚太区域代表处的审查中强调了这一点，例如，区域代表处主任在没有正式授权的情况下开展工作，仅依靠职务说明和非正式先例行事。这导致了财务责任的模糊不清，削弱了运营问责制，这与问责制框架对第一道线角色的期望相悖。权力下放不明确仍然是一个系统性问题，影响到整个国际电联问责制的有效性。</w:t>
      </w:r>
    </w:p>
    <w:p w14:paraId="24BB3FFF" w14:textId="77777777" w:rsidR="00F912F4" w:rsidRPr="00D47C1A" w:rsidRDefault="00F912F4" w:rsidP="004415BD">
      <w:pPr>
        <w:keepNext/>
        <w:keepLines/>
        <w:rPr>
          <w:rFonts w:asciiTheme="minorHAnsi" w:eastAsia="SimSun" w:hAnsiTheme="minorHAnsi" w:cstheme="minorHAnsi"/>
          <w:lang w:eastAsia="zh-CN"/>
        </w:rPr>
      </w:pPr>
      <w:r w:rsidRPr="00D47C1A">
        <w:rPr>
          <w:rFonts w:asciiTheme="minorHAnsi" w:eastAsia="SimSun" w:hAnsiTheme="minorHAnsi" w:cstheme="minorHAnsi"/>
          <w:b/>
          <w:bCs/>
          <w:lang w:val="zh-CN" w:eastAsia="zh-CN"/>
        </w:rPr>
        <w:lastRenderedPageBreak/>
        <w:t>国际电联应：</w:t>
      </w:r>
    </w:p>
    <w:p w14:paraId="3E92E863" w14:textId="77777777" w:rsidR="00F912F4" w:rsidRPr="00D47C1A" w:rsidRDefault="00F912F4" w:rsidP="004415BD">
      <w:pPr>
        <w:keepNext/>
        <w:keepLines/>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5</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R5</w:t>
      </w:r>
      <w:r w:rsidRPr="00D47C1A">
        <w:rPr>
          <w:rFonts w:asciiTheme="minorHAnsi" w:eastAsia="SimSun" w:hAnsiTheme="minorHAnsi" w:cstheme="minorHAnsi"/>
          <w:b/>
          <w:bCs/>
          <w:lang w:val="zh-CN" w:eastAsia="zh-CN"/>
        </w:rPr>
        <w:t>）：最终确定并实施权力下放框架，并通过培训和监督予以支持。</w:t>
      </w:r>
    </w:p>
    <w:p w14:paraId="24E9F422" w14:textId="77777777" w:rsidR="00F912F4" w:rsidRPr="00C41566" w:rsidRDefault="00F912F4" w:rsidP="00D47C1A">
      <w:pPr>
        <w:rPr>
          <w:rStyle w:val="Italic"/>
          <w:rFonts w:asciiTheme="minorHAnsi" w:eastAsia="STKaiti" w:hAnsiTheme="minorHAnsi" w:cstheme="minorHAnsi"/>
          <w:i w:val="0"/>
          <w:iCs w:val="0"/>
          <w:lang w:eastAsia="zh-CN"/>
        </w:rPr>
      </w:pPr>
      <w:r w:rsidRPr="00D47C1A">
        <w:rPr>
          <w:rFonts w:asciiTheme="minorHAnsi" w:eastAsia="STKaiti" w:hAnsiTheme="minorHAnsi" w:cstheme="minorHAnsi"/>
          <w:lang w:val="zh-CN" w:eastAsia="zh-CN"/>
        </w:rPr>
        <w:t>国际电联管理层意见：国际电联正在建立权力下放框架，作为</w:t>
      </w:r>
      <w:r w:rsidRPr="00D47C1A">
        <w:rPr>
          <w:rFonts w:asciiTheme="minorHAnsi" w:eastAsia="STKaiti" w:hAnsiTheme="minorHAnsi" w:cstheme="minorHAnsi"/>
          <w:lang w:val="zh-CN" w:eastAsia="zh-CN"/>
        </w:rPr>
        <w:t>2025</w:t>
      </w:r>
      <w:r w:rsidRPr="00D47C1A">
        <w:rPr>
          <w:rFonts w:asciiTheme="minorHAnsi" w:eastAsia="STKaiti" w:hAnsiTheme="minorHAnsi" w:cstheme="minorHAnsi"/>
          <w:lang w:val="zh-CN" w:eastAsia="zh-CN"/>
        </w:rPr>
        <w:t>年要完成的优先事项。</w:t>
      </w:r>
    </w:p>
    <w:p w14:paraId="3E4791D8"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2.7</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秘书长在内部控制说明中得出的结论所依据的管理层鉴证，是基于审计客户声明书流程。这要求选任官员和高级管理人员证明其职责范围内具体关键控制的运作情况。从我们在国际电联开展的工作中，我们发现这一流程应更好地与实际运作保持一致。国际电联官员证明控制措施有效，但在许多情况下，有助于彻底分析的财务工具并未到位。我们还注意到，预算负责人被要求就其在控制措施中的角色不包括相关权限的事项作出陈述。这将通过使申述情况与明确授权确定的权力和职责保持一致来解决。我们的分析发现，预算负责人在分配的预算方面缺乏授权，控制权仍保留在</w:t>
      </w:r>
      <w:r w:rsidRPr="00D47C1A">
        <w:rPr>
          <w:rFonts w:asciiTheme="minorHAnsi" w:eastAsia="SimSun" w:hAnsiTheme="minorHAnsi" w:cstheme="minorHAnsi"/>
          <w:lang w:val="zh-CN" w:eastAsia="zh-CN"/>
        </w:rPr>
        <w:t>FRMD</w:t>
      </w:r>
      <w:r w:rsidRPr="00D47C1A">
        <w:rPr>
          <w:rFonts w:asciiTheme="minorHAnsi" w:eastAsia="SimSun" w:hAnsiTheme="minorHAnsi" w:cstheme="minorHAnsi"/>
          <w:lang w:val="zh-CN" w:eastAsia="zh-CN"/>
        </w:rPr>
        <w:t>的预算控制处。</w:t>
      </w:r>
    </w:p>
    <w:p w14:paraId="5AB2EEF9"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2.8</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我们认为，这一流程需要进一步成熟，有必要改进对这一流程的培训和支持，并需要引入对所提供答复的审查、质疑和验证。还应建立机制，定期测试和确认所提供的鉴证的质量和证据。对这些鉴证进行核验是</w:t>
      </w:r>
      <w:r w:rsidRPr="00D47C1A">
        <w:rPr>
          <w:rFonts w:asciiTheme="minorHAnsi" w:eastAsia="SimSun" w:hAnsiTheme="minorHAnsi" w:cstheme="minorHAnsi"/>
          <w:lang w:val="zh-CN" w:eastAsia="zh-CN"/>
        </w:rPr>
        <w:t>COSO</w:t>
      </w:r>
      <w:r w:rsidRPr="00D47C1A">
        <w:rPr>
          <w:rFonts w:asciiTheme="minorHAnsi" w:eastAsia="SimSun" w:hAnsiTheme="minorHAnsi" w:cstheme="minorHAnsi"/>
          <w:lang w:val="zh-CN" w:eastAsia="zh-CN"/>
        </w:rPr>
        <w:t>框架的一项要求。没有充分的指导和验证，当前运行的流程将无法提供可靠和高质量的申述。</w:t>
      </w:r>
    </w:p>
    <w:p w14:paraId="1D86A8B1" w14:textId="77777777" w:rsidR="00F912F4" w:rsidRPr="00D47C1A" w:rsidRDefault="00F912F4" w:rsidP="00D47C1A">
      <w:pPr>
        <w:rPr>
          <w:rFonts w:asciiTheme="minorHAnsi" w:eastAsia="SimSun" w:hAnsiTheme="minorHAnsi" w:cstheme="minorHAnsi"/>
          <w:lang w:eastAsia="zh-CN"/>
        </w:rPr>
      </w:pPr>
      <w:r w:rsidRPr="00D47C1A">
        <w:rPr>
          <w:rFonts w:asciiTheme="minorHAnsi" w:eastAsia="SimSun" w:hAnsiTheme="minorHAnsi" w:cstheme="minorHAnsi"/>
          <w:b/>
          <w:bCs/>
          <w:lang w:val="zh-CN" w:eastAsia="zh-CN"/>
        </w:rPr>
        <w:t>国际电联应：</w:t>
      </w:r>
    </w:p>
    <w:p w14:paraId="520246CC"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6</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R6</w:t>
      </w:r>
      <w:r w:rsidRPr="00D47C1A">
        <w:rPr>
          <w:rFonts w:asciiTheme="minorHAnsi" w:eastAsia="SimSun" w:hAnsiTheme="minorHAnsi" w:cstheme="minorHAnsi"/>
          <w:b/>
          <w:bCs/>
          <w:lang w:val="zh-CN" w:eastAsia="zh-CN"/>
        </w:rPr>
        <w:t>）：改进</w:t>
      </w:r>
      <w:bookmarkStart w:id="42" w:name="_Hlk200445962"/>
      <w:r w:rsidRPr="00D47C1A">
        <w:rPr>
          <w:rFonts w:asciiTheme="minorHAnsi" w:eastAsia="SimSun" w:hAnsiTheme="minorHAnsi" w:cstheme="minorHAnsi"/>
          <w:b/>
          <w:bCs/>
          <w:lang w:val="zh-CN" w:eastAsia="zh-CN"/>
        </w:rPr>
        <w:t>审计客户声明书</w:t>
      </w:r>
      <w:bookmarkEnd w:id="42"/>
      <w:r w:rsidRPr="00D47C1A">
        <w:rPr>
          <w:rFonts w:asciiTheme="minorHAnsi" w:eastAsia="SimSun" w:hAnsiTheme="minorHAnsi" w:cstheme="minorHAnsi"/>
          <w:b/>
          <w:bCs/>
          <w:lang w:val="zh-CN" w:eastAsia="zh-CN"/>
        </w:rPr>
        <w:t>流程，引入验证程序，为评估控制有效性提供信息。</w:t>
      </w:r>
    </w:p>
    <w:p w14:paraId="3C62D84D" w14:textId="77777777" w:rsidR="00F912F4" w:rsidRPr="00A038BF" w:rsidRDefault="00F912F4" w:rsidP="00D47C1A">
      <w:pPr>
        <w:rPr>
          <w:rStyle w:val="Italic"/>
          <w:rFonts w:asciiTheme="minorHAnsi" w:eastAsia="STKaiti" w:hAnsiTheme="minorHAnsi" w:cstheme="minorHAnsi"/>
          <w:i w:val="0"/>
          <w:iCs w:val="0"/>
          <w:lang w:eastAsia="zh-CN"/>
        </w:rPr>
      </w:pPr>
      <w:r w:rsidRPr="00D47C1A">
        <w:rPr>
          <w:rFonts w:asciiTheme="minorHAnsi" w:eastAsia="STKaiti" w:hAnsiTheme="minorHAnsi" w:cstheme="minorHAnsi"/>
          <w:lang w:val="zh-CN" w:eastAsia="zh-CN"/>
        </w:rPr>
        <w:t>国际电联管理层意见：国际电联已将此项建议记录在案，并将继续努力进一步改进审计客户声明书流程，并确保评估控制有效性的验证程序到位。</w:t>
      </w:r>
    </w:p>
    <w:p w14:paraId="3710D3CC"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2.9</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总体而言，高层的基调有所改善，但是，控制环境需要在高级管理层以下进一步贯彻。必须明确角色分工、授权和问责制，特别是在分散化运作中。秘书处应努力完善这一流程，以加强控制文化，更好地识别无效或缺失的控制措施，并增强成员对控制环境有效运作的信心。</w:t>
      </w:r>
    </w:p>
    <w:p w14:paraId="1B99FA13"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2.10</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鉴于国际电联的职责，能够证明其自身信息系统具备有效的控制环境，对于运营和声誉来说都十分重要。作为审计的一部分，我们审视了管理层为保障其</w:t>
      </w:r>
      <w:r w:rsidRPr="00D47C1A">
        <w:rPr>
          <w:rFonts w:asciiTheme="minorHAnsi" w:eastAsia="SimSun" w:hAnsiTheme="minorHAnsi" w:cstheme="minorHAnsi"/>
          <w:lang w:val="zh-CN" w:eastAsia="zh-CN"/>
        </w:rPr>
        <w:t>IT</w:t>
      </w:r>
      <w:r w:rsidRPr="00D47C1A">
        <w:rPr>
          <w:rFonts w:asciiTheme="minorHAnsi" w:eastAsia="SimSun" w:hAnsiTheme="minorHAnsi" w:cstheme="minorHAnsi"/>
          <w:lang w:val="zh-CN" w:eastAsia="zh-CN"/>
        </w:rPr>
        <w:t>环境而做出的总体安排。根据我们的经验，许多组织寻求认证以向利益攸关方提供建立、实施、维护和持续改进信息系统的保障。此类安排可树立对既定安排的信心，并有助于降低</w:t>
      </w:r>
      <w:r w:rsidRPr="00D47C1A">
        <w:rPr>
          <w:rFonts w:asciiTheme="minorHAnsi" w:eastAsia="SimSun" w:hAnsiTheme="minorHAnsi" w:cstheme="minorHAnsi"/>
          <w:lang w:val="zh-CN" w:eastAsia="zh-CN"/>
        </w:rPr>
        <w:t>IT</w:t>
      </w:r>
      <w:r w:rsidRPr="00D47C1A">
        <w:rPr>
          <w:rFonts w:asciiTheme="minorHAnsi" w:eastAsia="SimSun" w:hAnsiTheme="minorHAnsi" w:cstheme="minorHAnsi"/>
          <w:lang w:val="zh-CN" w:eastAsia="zh-CN"/>
        </w:rPr>
        <w:t>风险。在与管理层的讨论中，我们了解到，已经开展了一些工作来评估国际电联是否准备好获得认证，但没有采取任何步骤来获得认证。我们认为，国际电联必须考虑正式通过一个适合国际电联环境的框架，并对此进行定期的外部审查。</w:t>
      </w:r>
    </w:p>
    <w:p w14:paraId="7D1B70E2"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2.11</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在与管理层的讨论中，我们了解到，信息服务部（</w:t>
      </w:r>
      <w:r w:rsidRPr="00D47C1A">
        <w:rPr>
          <w:rFonts w:asciiTheme="minorHAnsi" w:eastAsia="SimSun" w:hAnsiTheme="minorHAnsi" w:cstheme="minorHAnsi"/>
          <w:lang w:val="zh-CN" w:eastAsia="zh-CN"/>
        </w:rPr>
        <w:t>ISD</w:t>
      </w:r>
      <w:r w:rsidRPr="00D47C1A">
        <w:rPr>
          <w:rFonts w:asciiTheme="minorHAnsi" w:eastAsia="SimSun" w:hAnsiTheme="minorHAnsi" w:cstheme="minorHAnsi"/>
          <w:lang w:val="zh-CN" w:eastAsia="zh-CN"/>
        </w:rPr>
        <w:t>）</w:t>
      </w:r>
      <w:r w:rsidRPr="00D47C1A">
        <w:rPr>
          <w:rFonts w:asciiTheme="minorHAnsi" w:eastAsia="SimSun" w:hAnsiTheme="minorHAnsi" w:cstheme="minorHAnsi"/>
          <w:lang w:val="zh-CN" w:eastAsia="zh-CN"/>
        </w:rPr>
        <w:t>2025</w:t>
      </w:r>
      <w:r w:rsidRPr="00D47C1A">
        <w:rPr>
          <w:rFonts w:asciiTheme="minorHAnsi" w:eastAsia="SimSun" w:hAnsiTheme="minorHAnsi" w:cstheme="minorHAnsi"/>
          <w:lang w:val="zh-CN" w:eastAsia="zh-CN"/>
        </w:rPr>
        <w:t>年工作计划中提出了若干举措，以加强</w:t>
      </w:r>
      <w:r w:rsidRPr="00D47C1A">
        <w:rPr>
          <w:rFonts w:asciiTheme="minorHAnsi" w:eastAsia="SimSun" w:hAnsiTheme="minorHAnsi" w:cstheme="minorHAnsi"/>
          <w:lang w:val="zh-CN" w:eastAsia="zh-CN"/>
        </w:rPr>
        <w:t>IT</w:t>
      </w:r>
      <w:r w:rsidRPr="00D47C1A">
        <w:rPr>
          <w:rFonts w:asciiTheme="minorHAnsi" w:eastAsia="SimSun" w:hAnsiTheme="minorHAnsi" w:cstheme="minorHAnsi"/>
          <w:lang w:val="zh-CN" w:eastAsia="zh-CN"/>
        </w:rPr>
        <w:t>治理和安全。管理层定期向</w:t>
      </w:r>
      <w:r w:rsidRPr="00D47C1A">
        <w:rPr>
          <w:rFonts w:asciiTheme="minorHAnsi" w:eastAsia="SimSun" w:hAnsiTheme="minorHAnsi" w:cstheme="minorHAnsi"/>
          <w:lang w:val="zh-CN" w:eastAsia="zh-CN"/>
        </w:rPr>
        <w:t>IMAC</w:t>
      </w:r>
      <w:r w:rsidRPr="00D47C1A">
        <w:rPr>
          <w:rFonts w:asciiTheme="minorHAnsi" w:eastAsia="SimSun" w:hAnsiTheme="minorHAnsi" w:cstheme="minorHAnsi"/>
          <w:lang w:val="zh-CN" w:eastAsia="zh-CN"/>
        </w:rPr>
        <w:t>通报进展情况，但我们注意到，目前尚未对</w:t>
      </w:r>
      <w:r w:rsidRPr="00D47C1A">
        <w:rPr>
          <w:rFonts w:asciiTheme="minorHAnsi" w:eastAsia="SimSun" w:hAnsiTheme="minorHAnsi" w:cstheme="minorHAnsi"/>
          <w:lang w:val="zh-CN" w:eastAsia="zh-CN"/>
        </w:rPr>
        <w:t>ISD</w:t>
      </w:r>
      <w:r w:rsidRPr="00D47C1A">
        <w:rPr>
          <w:rFonts w:asciiTheme="minorHAnsi" w:eastAsia="SimSun" w:hAnsiTheme="minorHAnsi" w:cstheme="minorHAnsi"/>
          <w:lang w:val="zh-CN" w:eastAsia="zh-CN"/>
        </w:rPr>
        <w:t>依赖以保障</w:t>
      </w:r>
      <w:r w:rsidRPr="00D47C1A">
        <w:rPr>
          <w:rFonts w:asciiTheme="minorHAnsi" w:eastAsia="SimSun" w:hAnsiTheme="minorHAnsi" w:cstheme="minorHAnsi"/>
          <w:lang w:val="zh-CN" w:eastAsia="zh-CN"/>
        </w:rPr>
        <w:t>ICT</w:t>
      </w:r>
      <w:r w:rsidRPr="00D47C1A">
        <w:rPr>
          <w:rFonts w:asciiTheme="minorHAnsi" w:eastAsia="SimSun" w:hAnsiTheme="minorHAnsi" w:cstheme="minorHAnsi"/>
          <w:lang w:val="zh-CN" w:eastAsia="zh-CN"/>
        </w:rPr>
        <w:t>环境的一整套保障措施进行总体报告。我们担心，鉴于国际电联的联邦结构，</w:t>
      </w:r>
      <w:r w:rsidRPr="00D47C1A">
        <w:rPr>
          <w:rFonts w:asciiTheme="minorHAnsi" w:eastAsia="SimSun" w:hAnsiTheme="minorHAnsi" w:cstheme="minorHAnsi"/>
          <w:lang w:val="zh-CN" w:eastAsia="zh-CN"/>
        </w:rPr>
        <w:t>ISD</w:t>
      </w:r>
      <w:r w:rsidRPr="00D47C1A">
        <w:rPr>
          <w:rFonts w:asciiTheme="minorHAnsi" w:eastAsia="SimSun" w:hAnsiTheme="minorHAnsi" w:cstheme="minorHAnsi"/>
          <w:lang w:val="zh-CN" w:eastAsia="zh-CN"/>
        </w:rPr>
        <w:t>无法全面掌握各系统，从而难以及时发现和消除漏洞。正如《内部控制说明》所强调的，某一部门管理的数据库因存在漏洞曾遭受一次网络攻击。国际电联报告称，该安全事件已被迅速遏制，并已实施纠正措施。</w:t>
      </w:r>
    </w:p>
    <w:p w14:paraId="20C680F8" w14:textId="77777777" w:rsidR="00F912F4" w:rsidRPr="00D47C1A" w:rsidRDefault="00F912F4" w:rsidP="004415BD">
      <w:pPr>
        <w:keepNext/>
        <w:keepLines/>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lastRenderedPageBreak/>
        <w:t>国际电联应：</w:t>
      </w:r>
    </w:p>
    <w:p w14:paraId="7A4E6F19"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7</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R7</w:t>
      </w:r>
      <w:r w:rsidRPr="00D47C1A">
        <w:rPr>
          <w:rFonts w:asciiTheme="minorHAnsi" w:eastAsia="SimSun" w:hAnsiTheme="minorHAnsi" w:cstheme="minorHAnsi"/>
          <w:b/>
          <w:bCs/>
          <w:lang w:val="zh-CN" w:eastAsia="zh-CN"/>
        </w:rPr>
        <w:t>）：考虑采用适当的信息系统认证的成本与收益，以证明其在信息系统管理方面致力于达到高标准。</w:t>
      </w:r>
    </w:p>
    <w:p w14:paraId="2E091D73"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8</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R8</w:t>
      </w:r>
      <w:r w:rsidRPr="00D47C1A">
        <w:rPr>
          <w:rFonts w:asciiTheme="minorHAnsi" w:eastAsia="SimSun" w:hAnsiTheme="minorHAnsi" w:cstheme="minorHAnsi"/>
          <w:b/>
          <w:bCs/>
          <w:lang w:val="zh-CN" w:eastAsia="zh-CN"/>
        </w:rPr>
        <w:t>）：提供年度报告，</w:t>
      </w:r>
      <w:bookmarkStart w:id="43" w:name="_Hlk200447222"/>
      <w:r w:rsidRPr="00D47C1A">
        <w:rPr>
          <w:rFonts w:asciiTheme="minorHAnsi" w:eastAsia="SimSun" w:hAnsiTheme="minorHAnsi" w:cstheme="minorHAnsi"/>
          <w:b/>
          <w:bCs/>
          <w:lang w:val="zh-CN" w:eastAsia="zh-CN"/>
        </w:rPr>
        <w:t>总结保障信息系统的各项年度活动，并增强利益攸关方对有效减缓信息系统运行中风险和威胁的信心。</w:t>
      </w:r>
      <w:bookmarkEnd w:id="43"/>
    </w:p>
    <w:p w14:paraId="2EBB98EC"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TKaiti" w:hAnsiTheme="minorHAnsi" w:cstheme="minorHAnsi"/>
          <w:lang w:val="zh-CN" w:eastAsia="zh-CN"/>
        </w:rPr>
        <w:t>国际电联管理层意见：国际电联已将这些建议记录在案，并将提供所建议的年度报告，总结保障信息系统的各项年度活动，并增强利益攸关方对有效减缓信息系统运行中风险和威胁的信心。</w:t>
      </w:r>
    </w:p>
    <w:p w14:paraId="6DE66EE6" w14:textId="77777777" w:rsidR="00F912F4" w:rsidRPr="004415BD" w:rsidRDefault="00F912F4" w:rsidP="004415BD">
      <w:pPr>
        <w:pStyle w:val="Headingb"/>
        <w:rPr>
          <w:lang w:eastAsia="zh-CN"/>
        </w:rPr>
      </w:pPr>
      <w:bookmarkStart w:id="44" w:name="_Toc200718071"/>
      <w:r w:rsidRPr="004415BD">
        <w:rPr>
          <w:rFonts w:hint="eastAsia"/>
          <w:lang w:eastAsia="zh-CN"/>
        </w:rPr>
        <w:t>风险评估</w:t>
      </w:r>
      <w:bookmarkEnd w:id="44"/>
    </w:p>
    <w:p w14:paraId="3C394D3D"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2.12</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问责制框架要求通过一套集成的登记和审查体系，发现并逐级上报对国际电联目标构成风险的因素。在</w:t>
      </w:r>
      <w:r w:rsidRPr="00D47C1A">
        <w:rPr>
          <w:rFonts w:asciiTheme="minorHAnsi" w:eastAsia="SimSun" w:hAnsiTheme="minorHAnsi" w:cstheme="minorHAnsi"/>
          <w:lang w:val="zh-CN" w:eastAsia="zh-CN"/>
        </w:rPr>
        <w:t>COSO</w:t>
      </w:r>
      <w:r w:rsidRPr="00D47C1A">
        <w:rPr>
          <w:rFonts w:asciiTheme="minorHAnsi" w:eastAsia="SimSun" w:hAnsiTheme="minorHAnsi" w:cstheme="minorHAnsi"/>
          <w:lang w:val="zh-CN" w:eastAsia="zh-CN"/>
        </w:rPr>
        <w:t>模型下，风险评估应为战略和日常决策提供信息。</w:t>
      </w:r>
    </w:p>
    <w:p w14:paraId="7D54F559"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2.13</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在中央层面，国际电联建立了组织风险登记册，并指定了一名业务风险经理。有关风险问题的讨论已成为理事会和管理协调组以及</w:t>
      </w:r>
      <w:r w:rsidRPr="00D47C1A">
        <w:rPr>
          <w:rFonts w:asciiTheme="minorHAnsi" w:eastAsia="SimSun" w:hAnsiTheme="minorHAnsi" w:cstheme="minorHAnsi"/>
          <w:lang w:val="zh-CN" w:eastAsia="zh-CN"/>
        </w:rPr>
        <w:t>IMAC</w:t>
      </w:r>
      <w:r w:rsidRPr="00D47C1A">
        <w:rPr>
          <w:rFonts w:asciiTheme="minorHAnsi" w:eastAsia="SimSun" w:hAnsiTheme="minorHAnsi" w:cstheme="minorHAnsi"/>
          <w:lang w:val="zh-CN" w:eastAsia="zh-CN"/>
        </w:rPr>
        <w:t>讨论的经常性内容。特定领域，包括</w:t>
      </w:r>
      <w:r w:rsidRPr="00D47C1A">
        <w:rPr>
          <w:rFonts w:asciiTheme="minorHAnsi" w:eastAsia="SimSun" w:hAnsiTheme="minorHAnsi" w:cstheme="minorHAnsi"/>
          <w:lang w:val="zh-CN" w:eastAsia="zh-CN"/>
        </w:rPr>
        <w:t>ICT</w:t>
      </w:r>
      <w:r w:rsidRPr="00D47C1A">
        <w:rPr>
          <w:rFonts w:asciiTheme="minorHAnsi" w:eastAsia="SimSun" w:hAnsiTheme="minorHAnsi" w:cstheme="minorHAnsi"/>
          <w:lang w:val="zh-CN" w:eastAsia="zh-CN"/>
        </w:rPr>
        <w:t>（与</w:t>
      </w:r>
      <w:r w:rsidRPr="00D47C1A">
        <w:rPr>
          <w:rFonts w:asciiTheme="minorHAnsi" w:eastAsia="SimSun" w:hAnsiTheme="minorHAnsi" w:cstheme="minorHAnsi"/>
          <w:lang w:val="zh-CN" w:eastAsia="zh-CN"/>
        </w:rPr>
        <w:t>COBIT</w:t>
      </w:r>
      <w:r w:rsidRPr="00D47C1A">
        <w:rPr>
          <w:rFonts w:asciiTheme="minorHAnsi" w:eastAsia="SimSun" w:hAnsiTheme="minorHAnsi" w:cstheme="minorHAnsi"/>
          <w:lang w:val="zh-CN" w:eastAsia="zh-CN"/>
        </w:rPr>
        <w:t>保持一致）和新总部办公楼也设有登记册制度。</w:t>
      </w:r>
    </w:p>
    <w:p w14:paraId="3F554F84"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2.14</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应加倍努力，制定系统、成熟的、全组织范围的风险应对办法。风险并非始终与规划、预算或绩效管理紧密相关，且常被视为一项组织的合规要求，而不是一种运营工具。国际电联管理层需要做更多的工作，以确保输出成果用于决策，或作为一项工具，跟踪在管理已识别风险方面取得的进展，或用于评估风险缓解措施的有效性。</w:t>
      </w:r>
    </w:p>
    <w:p w14:paraId="46D86247" w14:textId="4B97CE18"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2.15</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需要将风险登记册纳入区域代表处网络，并确保这些代表处的职员接受必要的培训，能够有效利用组织风险系统。风险识别仅在具体项目层面进行，这些风险随后在总部进行汇总。然而，我们注意到，这种协调并未与组织层面的报告体系相结合，且缺乏机制来上报在项目组合中发现的系统性问题。国际电联告知我们，已经建立了针对</w:t>
      </w:r>
      <w:r w:rsidR="00D47C1A" w:rsidRPr="00D47C1A">
        <w:rPr>
          <w:rFonts w:ascii="SimSun" w:eastAsia="SimSun" w:hAnsi="SimSun" w:cstheme="minorHAnsi"/>
          <w:lang w:val="zh-CN" w:eastAsia="zh-CN"/>
        </w:rPr>
        <w:t>“</w:t>
      </w:r>
      <w:r w:rsidRPr="00D47C1A">
        <w:rPr>
          <w:rFonts w:asciiTheme="minorHAnsi" w:eastAsia="SimSun" w:hAnsiTheme="minorHAnsi" w:cstheme="minorHAnsi"/>
          <w:lang w:val="zh-CN" w:eastAsia="zh-CN"/>
        </w:rPr>
        <w:t>特别监督项目</w:t>
      </w:r>
      <w:r w:rsidR="00D47C1A" w:rsidRPr="00D47C1A">
        <w:rPr>
          <w:rFonts w:ascii="SimSun" w:eastAsia="SimSun" w:hAnsi="SimSun" w:cstheme="minorHAnsi"/>
          <w:lang w:val="zh-CN" w:eastAsia="zh-CN"/>
        </w:rPr>
        <w:t>”</w:t>
      </w:r>
      <w:r w:rsidRPr="00D47C1A">
        <w:rPr>
          <w:rFonts w:asciiTheme="minorHAnsi" w:eastAsia="SimSun" w:hAnsiTheme="minorHAnsi" w:cstheme="minorHAnsi"/>
          <w:lang w:val="zh-CN" w:eastAsia="zh-CN"/>
        </w:rPr>
        <w:t>的机制：这是对面临长期实施挑战的项目增加的一层监督。</w:t>
      </w:r>
      <w:r w:rsidRPr="00D47C1A">
        <w:rPr>
          <w:rFonts w:asciiTheme="minorHAnsi" w:eastAsia="SimSun" w:hAnsiTheme="minorHAnsi" w:cstheme="minorHAnsi"/>
          <w:lang w:val="zh-CN" w:eastAsia="zh-CN"/>
        </w:rPr>
        <w:t>COSO</w:t>
      </w:r>
      <w:r w:rsidRPr="00D47C1A">
        <w:rPr>
          <w:rFonts w:asciiTheme="minorHAnsi" w:eastAsia="SimSun" w:hAnsiTheme="minorHAnsi" w:cstheme="minorHAnsi"/>
          <w:lang w:val="zh-CN" w:eastAsia="zh-CN"/>
        </w:rPr>
        <w:t>和问责制框架设想，风险信息在组织内部流动，以支持决策制定和流程改进。区域风险登记册对于在特定且不同的运营环境中捕捉风险至关重要。</w:t>
      </w:r>
    </w:p>
    <w:p w14:paraId="763F2A23"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2.16</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我们认为，国际电联目前的风险评估机制需要得到加强，并需提供有效的、前瞻性的、综合性的监督，以识别和管理跨领域和新出现的风险。国际电联应考虑对当前流程的有效性和价值进行审查，以确保成本和收益之间达到适当的平衡，并确保其恰当地支持管理层的决策和监督。我们认为，当前的风险流程未能提供系统性的保障，且未被用于为决策或控制提供信息。</w:t>
      </w:r>
    </w:p>
    <w:p w14:paraId="70407394" w14:textId="77777777" w:rsidR="00F912F4" w:rsidRPr="00D47C1A" w:rsidRDefault="00F912F4" w:rsidP="00D47C1A">
      <w:pPr>
        <w:rPr>
          <w:rFonts w:asciiTheme="minorHAnsi" w:eastAsia="SimSun" w:hAnsiTheme="minorHAnsi" w:cstheme="minorHAnsi"/>
          <w:lang w:eastAsia="zh-CN"/>
        </w:rPr>
      </w:pPr>
      <w:r w:rsidRPr="00D47C1A">
        <w:rPr>
          <w:rFonts w:asciiTheme="minorHAnsi" w:eastAsia="SimSun" w:hAnsiTheme="minorHAnsi" w:cstheme="minorHAnsi"/>
          <w:b/>
          <w:bCs/>
          <w:lang w:val="zh-CN" w:eastAsia="zh-CN"/>
        </w:rPr>
        <w:t>国际电联应：</w:t>
      </w:r>
    </w:p>
    <w:p w14:paraId="739EE023"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9</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R9</w:t>
      </w:r>
      <w:r w:rsidRPr="00D47C1A">
        <w:rPr>
          <w:rFonts w:asciiTheme="minorHAnsi" w:eastAsia="SimSun" w:hAnsiTheme="minorHAnsi" w:cstheme="minorHAnsi"/>
          <w:b/>
          <w:bCs/>
          <w:lang w:val="zh-CN" w:eastAsia="zh-CN"/>
        </w:rPr>
        <w:t>）：审查现有风险管理安排的有效性，并确保这些安排支持国际电联系统性地发现和缓解实现国际电联各项目标所面临的风险。</w:t>
      </w:r>
    </w:p>
    <w:p w14:paraId="310983CB" w14:textId="77777777" w:rsidR="00F912F4" w:rsidRPr="00C41566" w:rsidRDefault="00F912F4" w:rsidP="00D47C1A">
      <w:pPr>
        <w:rPr>
          <w:rStyle w:val="Italic"/>
          <w:rFonts w:asciiTheme="minorHAnsi" w:eastAsia="SimSun" w:hAnsiTheme="minorHAnsi" w:cstheme="minorHAnsi"/>
          <w:i w:val="0"/>
          <w:iCs w:val="0"/>
          <w:lang w:eastAsia="zh-CN"/>
        </w:rPr>
      </w:pPr>
      <w:r w:rsidRPr="00D47C1A">
        <w:rPr>
          <w:rFonts w:asciiTheme="minorHAnsi" w:eastAsia="STKaiti" w:hAnsiTheme="minorHAnsi" w:cstheme="minorHAnsi"/>
          <w:lang w:val="zh-CN" w:eastAsia="zh-CN"/>
        </w:rPr>
        <w:t>国际电联管理层意见：国际电联已将此项建议记录在案，并将确保其风险管理安排为实现国际电联的各项目标提供更为系统化的保障，包括通过支持相关决策和业务流程来提供保障。</w:t>
      </w:r>
    </w:p>
    <w:p w14:paraId="5511DDEF"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lastRenderedPageBreak/>
        <w:t>2.17</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在</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年的报告（</w:t>
      </w:r>
      <w:r w:rsidRPr="00D47C1A">
        <w:rPr>
          <w:rFonts w:asciiTheme="minorHAnsi" w:eastAsia="SimSun" w:hAnsiTheme="minorHAnsi" w:cstheme="minorHAnsi"/>
          <w:lang w:val="zh-CN" w:eastAsia="zh-CN"/>
        </w:rPr>
        <w:t>R1</w:t>
      </w:r>
      <w:r w:rsidRPr="00D47C1A">
        <w:rPr>
          <w:rFonts w:asciiTheme="minorHAnsi" w:eastAsia="SimSun" w:hAnsiTheme="minorHAnsi" w:cstheme="minorHAnsi"/>
          <w:lang w:val="zh-CN" w:eastAsia="zh-CN"/>
        </w:rPr>
        <w:t>）中，我们建议国际电联应对其欺诈风险敞口进行系统评估。在回应这一建议时，国际电联已责成监督处将这一行动纳入其</w:t>
      </w:r>
      <w:r w:rsidRPr="00D47C1A">
        <w:rPr>
          <w:rFonts w:asciiTheme="minorHAnsi" w:eastAsia="SimSun" w:hAnsiTheme="minorHAnsi" w:cstheme="minorHAnsi"/>
          <w:lang w:val="zh-CN" w:eastAsia="zh-CN"/>
        </w:rPr>
        <w:t>2025</w:t>
      </w:r>
      <w:r w:rsidRPr="00D47C1A">
        <w:rPr>
          <w:rFonts w:asciiTheme="minorHAnsi" w:eastAsia="SimSun" w:hAnsiTheme="minorHAnsi" w:cstheme="minorHAnsi"/>
          <w:lang w:val="zh-CN" w:eastAsia="zh-CN"/>
        </w:rPr>
        <w:t>年工作计划。我们认为，鉴于国际电联过去的做法，秘书处应给予这一评估工作更高的优先级。此外，评估和配套行动应完全由国际电联内各管理层和业务流程负责人负责，这一点亦很重要。监督处不应负责主导和管理欺诈风险评估，以免损害其客观性。管理层应制定计划，维护和应对任何已发现的风险。</w:t>
      </w:r>
    </w:p>
    <w:p w14:paraId="297BF5D6"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2.18</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最后，考虑到亚太办事处过去存在的问题，我们预计内部控制和欺诈风险意识会得到加强。然而，没有专门适应区域背景的有针对性的宣传或风险评估，区域职员对报告渠道和义务仍不清楚。虽然国际电联已建立内部培训计划，但这些计划是一般性的，未能充分考虑区域实际情况、欺诈风险或有效传递经验教训。培训对于在整个国际电联范围内提高欺诈风险意识以及培养一种鼓励职员对切实存在的问题进行报告的文化至关重要。</w:t>
      </w:r>
    </w:p>
    <w:p w14:paraId="1392EEAF" w14:textId="77777777" w:rsidR="00F912F4" w:rsidRPr="00D47C1A" w:rsidRDefault="00F912F4" w:rsidP="00D47C1A">
      <w:pPr>
        <w:rPr>
          <w:rFonts w:asciiTheme="minorHAnsi" w:eastAsia="SimSun" w:hAnsiTheme="minorHAnsi" w:cstheme="minorHAnsi"/>
          <w:lang w:eastAsia="zh-CN"/>
        </w:rPr>
      </w:pPr>
      <w:r w:rsidRPr="00D47C1A">
        <w:rPr>
          <w:rFonts w:asciiTheme="minorHAnsi" w:eastAsia="SimSun" w:hAnsiTheme="minorHAnsi" w:cstheme="minorHAnsi"/>
          <w:b/>
          <w:bCs/>
          <w:lang w:val="zh-CN" w:eastAsia="zh-CN"/>
        </w:rPr>
        <w:t>国际电联应：</w:t>
      </w:r>
    </w:p>
    <w:p w14:paraId="06DB5E2F"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10</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R10</w:t>
      </w:r>
      <w:r w:rsidRPr="00D47C1A">
        <w:rPr>
          <w:rFonts w:asciiTheme="minorHAnsi" w:eastAsia="SimSun" w:hAnsiTheme="minorHAnsi" w:cstheme="minorHAnsi"/>
          <w:b/>
          <w:bCs/>
          <w:lang w:val="zh-CN" w:eastAsia="zh-CN"/>
        </w:rPr>
        <w:t>）：为相关职员开发并实施量身定制的关键业务流程欺诈和控制培训。这应基于欺诈风险评估的结果。</w:t>
      </w:r>
    </w:p>
    <w:p w14:paraId="28B8E3CD" w14:textId="77777777" w:rsidR="00F912F4" w:rsidRPr="00E16D3F" w:rsidRDefault="00F912F4" w:rsidP="00D47C1A">
      <w:pPr>
        <w:keepNext/>
        <w:keepLines/>
        <w:rPr>
          <w:rStyle w:val="Italic"/>
          <w:rFonts w:asciiTheme="minorHAnsi" w:eastAsia="SimSun" w:hAnsiTheme="minorHAnsi" w:cstheme="minorHAnsi"/>
          <w:i w:val="0"/>
          <w:iCs w:val="0"/>
          <w:lang w:eastAsia="zh-CN"/>
        </w:rPr>
      </w:pPr>
      <w:r w:rsidRPr="00D47C1A">
        <w:rPr>
          <w:rFonts w:asciiTheme="minorHAnsi" w:eastAsia="STKaiti" w:hAnsiTheme="minorHAnsi" w:cstheme="minorHAnsi"/>
          <w:lang w:val="zh-CN" w:eastAsia="zh-CN"/>
        </w:rPr>
        <w:t>国际电联管理层意见：国际电联已将此项建议记录在案，因此将在整个组织范围内提供进一步量身定制的培训，以应对欺诈以及与道德规范和诚信相关的风险。</w:t>
      </w:r>
    </w:p>
    <w:p w14:paraId="58080830" w14:textId="0114BEB4" w:rsidR="00F912F4" w:rsidRPr="00E16D3F" w:rsidRDefault="00F912F4" w:rsidP="00D47C1A">
      <w:pPr>
        <w:keepNext/>
        <w:keepLines/>
        <w:rPr>
          <w:rStyle w:val="Italic"/>
          <w:rFonts w:asciiTheme="minorHAnsi" w:eastAsia="SimSun" w:hAnsiTheme="minorHAnsi" w:cstheme="minorHAnsi"/>
          <w:i w:val="0"/>
          <w:iCs w:val="0"/>
          <w:lang w:eastAsia="zh-CN"/>
        </w:rPr>
      </w:pPr>
      <w:r w:rsidRPr="00D47C1A">
        <w:rPr>
          <w:rFonts w:asciiTheme="minorHAnsi" w:eastAsia="STKaiti" w:hAnsiTheme="minorHAnsi" w:cstheme="minorHAnsi"/>
          <w:lang w:val="zh-CN" w:eastAsia="zh-CN"/>
        </w:rPr>
        <w:t>2024</w:t>
      </w:r>
      <w:r w:rsidRPr="00D47C1A">
        <w:rPr>
          <w:rFonts w:asciiTheme="minorHAnsi" w:eastAsia="STKaiti" w:hAnsiTheme="minorHAnsi" w:cstheme="minorHAnsi"/>
          <w:lang w:val="zh-CN" w:eastAsia="zh-CN"/>
        </w:rPr>
        <w:t>年，作为必修培训政策的一部分，开发了一个关于</w:t>
      </w:r>
      <w:r w:rsidR="00D47C1A" w:rsidRPr="00D47C1A">
        <w:rPr>
          <w:rFonts w:ascii="SimSun" w:eastAsia="SimSun" w:hAnsi="SimSun" w:cstheme="minorHAnsi"/>
          <w:lang w:val="zh-CN" w:eastAsia="zh-CN"/>
        </w:rPr>
        <w:t>“</w:t>
      </w:r>
      <w:r w:rsidRPr="00D47C1A">
        <w:rPr>
          <w:rFonts w:asciiTheme="minorHAnsi" w:eastAsia="STKaiti" w:hAnsiTheme="minorHAnsi" w:cstheme="minorHAnsi"/>
          <w:lang w:val="zh-CN" w:eastAsia="zh-CN"/>
        </w:rPr>
        <w:t>国际电联的道德规范与诚信</w:t>
      </w:r>
      <w:r w:rsidR="00D47C1A" w:rsidRPr="00D47C1A">
        <w:rPr>
          <w:rFonts w:ascii="SimSun" w:eastAsia="SimSun" w:hAnsi="SimSun" w:cstheme="minorHAnsi"/>
          <w:lang w:val="zh-CN" w:eastAsia="zh-CN"/>
        </w:rPr>
        <w:t>”</w:t>
      </w:r>
      <w:r w:rsidRPr="00D47C1A">
        <w:rPr>
          <w:rFonts w:asciiTheme="minorHAnsi" w:eastAsia="STKaiti" w:hAnsiTheme="minorHAnsi" w:cstheme="minorHAnsi"/>
          <w:lang w:val="zh-CN" w:eastAsia="zh-CN"/>
        </w:rPr>
        <w:t>模块。该培训通过在线培训方式提供有关道德规范和诚信的知识。培训专为国际电联职员设计，旨在加强整个组织的道德规范文化。需进一步开展定制化培训，以确保未来特定岗位能够具备相关欺诈风险意识。</w:t>
      </w:r>
    </w:p>
    <w:p w14:paraId="472EF5AD" w14:textId="77777777" w:rsidR="00F912F4" w:rsidRPr="004415BD" w:rsidRDefault="00F912F4" w:rsidP="004415BD">
      <w:pPr>
        <w:pStyle w:val="Headingb"/>
        <w:rPr>
          <w:lang w:eastAsia="zh-CN"/>
        </w:rPr>
      </w:pPr>
      <w:bookmarkStart w:id="45" w:name="_Toc200718072"/>
      <w:r w:rsidRPr="004415BD">
        <w:rPr>
          <w:rFonts w:hint="eastAsia"/>
          <w:lang w:eastAsia="zh-CN"/>
        </w:rPr>
        <w:t>控制活动</w:t>
      </w:r>
      <w:bookmarkEnd w:id="45"/>
    </w:p>
    <w:p w14:paraId="6F93B853"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2.19</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控制活动是帮助确保风险响应得到有效实施的政策和程序。在问责制框架下，控制活动主要是第一线的责任，由第二线通过政策指导和合规性监控予以支持。</w:t>
      </w:r>
    </w:p>
    <w:p w14:paraId="11133720"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2.20</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在政策层面，国际电联已采取措施加强其控制环境。修订《财务规则和财务细则》、引入《采购手册》，以及改进预算外资金标准操作规程（</w:t>
      </w:r>
      <w:r w:rsidRPr="00D47C1A">
        <w:rPr>
          <w:rFonts w:asciiTheme="minorHAnsi" w:eastAsia="SimSun" w:hAnsiTheme="minorHAnsi" w:cstheme="minorHAnsi"/>
          <w:lang w:val="zh-CN" w:eastAsia="zh-CN"/>
        </w:rPr>
        <w:t>SOP</w:t>
      </w:r>
      <w:r w:rsidRPr="00D47C1A">
        <w:rPr>
          <w:rFonts w:asciiTheme="minorHAnsi" w:eastAsia="SimSun" w:hAnsiTheme="minorHAnsi" w:cstheme="minorHAnsi"/>
          <w:lang w:val="zh-CN" w:eastAsia="zh-CN"/>
        </w:rPr>
        <w:t>）均体现了重大进展。设立财政委员会和制定更具结构化的投资政策进一步加强了财务治理。</w:t>
      </w:r>
    </w:p>
    <w:p w14:paraId="29367A8D"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2.21</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但是，政策和执行之间的差距尚待改善。控制责任，特别是项目经理、发起人和财务官员的控制责任应以操作性条款的方式进一步阐明，为这些角色提高支持的正式培训目前还很缺失。正如报告前面所强调的，在我们的实地调查中，项目经理无法获得交易层面的财务数据，也不要求他们对项目支出进行验证。</w:t>
      </w:r>
    </w:p>
    <w:p w14:paraId="2A084858"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2.22</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需要明确的权力下放，以进一步确保控制环境的有效性并明确问责制。如果没有清晰的控制责任文档，且第二线没有积极提供支持并反馈控制效果，则不能期望第一线职能部门能够实施相称的、基于风险的控制措施。</w:t>
      </w:r>
    </w:p>
    <w:p w14:paraId="1ACC18A2"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2.23</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综上所述，尽管控制活动的设计正在不断完善，但实施进度仍需加快。如果没有更明确的角色定义、对数据的实时访问以及更强大的监控支持和分析，控制执行就无法可靠地保护组织免受运营或财务风险的影响。今后几年，我们将关注秘书处如何努力改进和强化业务流程，我们认为这是提高控制效率和有效性的重要进程。</w:t>
      </w:r>
    </w:p>
    <w:p w14:paraId="22D9CF54" w14:textId="77777777" w:rsidR="00F912F4" w:rsidRPr="004415BD" w:rsidRDefault="00F912F4" w:rsidP="004415BD">
      <w:pPr>
        <w:pStyle w:val="Headingb"/>
        <w:rPr>
          <w:lang w:eastAsia="zh-CN"/>
        </w:rPr>
      </w:pPr>
      <w:bookmarkStart w:id="46" w:name="_Toc200718073"/>
      <w:r w:rsidRPr="004415BD">
        <w:rPr>
          <w:rFonts w:hint="eastAsia"/>
          <w:lang w:eastAsia="zh-CN"/>
        </w:rPr>
        <w:lastRenderedPageBreak/>
        <w:t>信息与沟通</w:t>
      </w:r>
      <w:bookmarkEnd w:id="46"/>
    </w:p>
    <w:p w14:paraId="18F38024"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2.24</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有效的内部控制有赖于将信息及时提供给有需要的人。这也是秘书处确立自上而下的基调、并表明其积极致力于支持职员应用和执行控制文化的关键机制。同时亦是组织展示其为确保合规执行和问责而采取的行动的关键机制。</w:t>
      </w:r>
      <w:r w:rsidRPr="00D47C1A">
        <w:rPr>
          <w:rFonts w:asciiTheme="minorHAnsi" w:eastAsia="SimSun" w:hAnsiTheme="minorHAnsi" w:cstheme="minorHAnsi"/>
          <w:lang w:val="zh-CN" w:eastAsia="zh-CN"/>
        </w:rPr>
        <w:t>COSO</w:t>
      </w:r>
      <w:r w:rsidRPr="00D47C1A">
        <w:rPr>
          <w:rFonts w:asciiTheme="minorHAnsi" w:eastAsia="SimSun" w:hAnsiTheme="minorHAnsi" w:cstheme="minorHAnsi"/>
          <w:lang w:val="zh-CN" w:eastAsia="zh-CN"/>
        </w:rPr>
        <w:t>强调需要进行纵向和横向沟通，确保职员了解其义务，确保高层领导意识到控制薄弱环节。清晰的沟通是展示对透明度和问责制的承诺的核心，并能增强利益攸关方和职员对应用和执行流程和规则的信心。</w:t>
      </w:r>
    </w:p>
    <w:p w14:paraId="5087A883"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2.25</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改进了内部沟通基础设施。通过信息概览、更新内联网和举行全员畅谈会，传播政策变动和绩效信息。必修学习模块的引入也提高了职员对道德规范期望和行为标准的普遍认识。国际电联告知我们，此措施也已纳入新员工入职流程。</w:t>
      </w:r>
    </w:p>
    <w:p w14:paraId="7F5895B5"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2.26</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然而，这种沟通在支持内部控制方面的有效性应予以审查。信息仍停留在较高层次且过于笼统，缺乏根据员工角色或风险暴露程度进行差异化区分。这一问题在区域环境中尤为突出。以亚太区域代表处为例，职员不清楚欺诈或不当行为的报告程序，我们发现，尽管存在历史性的控制问题，但职员认为他们没有得到足够的支持和培训。尽管引入了必修培训，但秘书处仍应采取更多措施，针对性地加强培训和提高对欺诈的认识，特别是在区域代表处和地区办事处以及其他关键的欺诈风险领域。</w:t>
      </w:r>
    </w:p>
    <w:p w14:paraId="04744515"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2.27</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问责制框架要求三道防线有效互动并共享信息，以加强内部控制。目前，这一期望并未在实践中得到满足。</w:t>
      </w:r>
    </w:p>
    <w:p w14:paraId="7B8AE1B6" w14:textId="77777777" w:rsidR="00F912F4" w:rsidRPr="004415BD" w:rsidRDefault="00F912F4" w:rsidP="004415BD">
      <w:pPr>
        <w:pStyle w:val="Headingb"/>
        <w:rPr>
          <w:lang w:eastAsia="zh-CN"/>
        </w:rPr>
      </w:pPr>
      <w:bookmarkStart w:id="47" w:name="_Toc200718074"/>
      <w:r w:rsidRPr="004415BD">
        <w:rPr>
          <w:rFonts w:hint="eastAsia"/>
          <w:lang w:eastAsia="zh-CN"/>
        </w:rPr>
        <w:t>监控活动</w:t>
      </w:r>
      <w:bookmarkEnd w:id="47"/>
    </w:p>
    <w:p w14:paraId="1A01EDF8"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2.28</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监控活动旨在评估内部控制系统是否随时间推移有效运行。根据问责制框架，这些职责被分配到第二和第三道防线。第二道线负责合规性和质量保证，而第三道线目前通过监督处提供内部审计和调查。</w:t>
      </w:r>
    </w:p>
    <w:p w14:paraId="5712F778"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2.29</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然而，监控工作仍然严重依赖自我评估机制，尤其是《审计客户声明书》。这些声明书需要进一步的证据支持，并应接受结构化的审查和质疑。在亚太区域代表处，声明书中提出的几项主张在我们进行审计时无法得到证实。</w:t>
      </w:r>
    </w:p>
    <w:p w14:paraId="0DAC8F2A" w14:textId="77777777" w:rsidR="00F912F4" w:rsidRPr="00D47C1A" w:rsidRDefault="00F912F4" w:rsidP="00D47C1A">
      <w:pPr>
        <w:tabs>
          <w:tab w:val="left" w:pos="774"/>
        </w:tabs>
        <w:rPr>
          <w:rFonts w:asciiTheme="minorHAnsi" w:eastAsia="SimSun" w:hAnsiTheme="minorHAnsi" w:cstheme="minorHAnsi"/>
          <w:lang w:val="zh-CN" w:eastAsia="zh-CN"/>
        </w:rPr>
      </w:pPr>
      <w:r w:rsidRPr="00D47C1A">
        <w:rPr>
          <w:rFonts w:asciiTheme="minorHAnsi" w:eastAsia="SimSun" w:hAnsiTheme="minorHAnsi" w:cstheme="minorHAnsi"/>
          <w:b/>
          <w:bCs/>
          <w:lang w:val="zh-CN" w:eastAsia="zh-CN"/>
        </w:rPr>
        <w:t>2.30</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此外，应更一致地应用第二线控制监测措施，如合规性审查和政策依从性检查。这限制了国际电联在控制薄弱环节升级之前发现弱点、或在证据基础上系统性提升绩效的能力。为实现问责制框架的愿景，国际电联需要建立基于风险的第二道线，以补充审计职能，并确保实时和持续的鉴证，而不仅仅依赖于审计的周期性性质和未经核实的自我报告。我们知道秘书处正在就此问题开展工作，包括考虑应用</w:t>
      </w:r>
      <w:r w:rsidRPr="00D47C1A">
        <w:rPr>
          <w:rFonts w:asciiTheme="minorHAnsi" w:eastAsia="SimSun" w:hAnsiTheme="minorHAnsi" w:cstheme="minorHAnsi"/>
          <w:lang w:val="zh-CN" w:eastAsia="zh-CN"/>
        </w:rPr>
        <w:t>GRC</w:t>
      </w:r>
      <w:r w:rsidRPr="00D47C1A">
        <w:rPr>
          <w:rFonts w:asciiTheme="minorHAnsi" w:eastAsia="SimSun" w:hAnsiTheme="minorHAnsi" w:cstheme="minorHAnsi"/>
          <w:lang w:val="zh-CN" w:eastAsia="zh-CN"/>
        </w:rPr>
        <w:t>工具。无论做出何种安排，我们强烈鼓励秘书处做出第二道线的各项安排，将其作为改善控制环境有效性、增强利益攸关方对国际电联控制程序的信心的关键措施。</w:t>
      </w:r>
    </w:p>
    <w:p w14:paraId="2FFCE632"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国际电联应：</w:t>
      </w:r>
    </w:p>
    <w:p w14:paraId="1417DEE3"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11</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R11</w:t>
      </w:r>
      <w:r w:rsidRPr="00D47C1A">
        <w:rPr>
          <w:rFonts w:asciiTheme="minorHAnsi" w:eastAsia="SimSun" w:hAnsiTheme="minorHAnsi" w:cstheme="minorHAnsi"/>
          <w:b/>
          <w:bCs/>
          <w:lang w:val="zh-CN" w:eastAsia="zh-CN"/>
        </w:rPr>
        <w:t>）：建立结构化的、基于风险的第二道控制线，系统地监控合规情况，为最重大和重要的内部控制提供持续保障。</w:t>
      </w:r>
    </w:p>
    <w:p w14:paraId="72CE7251" w14:textId="77777777" w:rsidR="00F912F4" w:rsidRPr="00D47C1A" w:rsidRDefault="00F912F4" w:rsidP="00D47C1A">
      <w:pPr>
        <w:rPr>
          <w:rFonts w:asciiTheme="minorHAnsi" w:eastAsia="STKaiti" w:hAnsiTheme="minorHAnsi" w:cstheme="minorHAnsi"/>
          <w:lang w:val="zh-CN" w:eastAsia="zh-CN"/>
        </w:rPr>
      </w:pPr>
      <w:r w:rsidRPr="00D47C1A">
        <w:rPr>
          <w:rFonts w:asciiTheme="minorHAnsi" w:eastAsia="STKaiti" w:hAnsiTheme="minorHAnsi" w:cstheme="minorHAnsi"/>
          <w:lang w:val="zh-CN" w:eastAsia="zh-CN"/>
        </w:rPr>
        <w:t>国际电联管理层意见：国际电联于</w:t>
      </w:r>
      <w:r w:rsidRPr="00D47C1A">
        <w:rPr>
          <w:rFonts w:asciiTheme="minorHAnsi" w:eastAsia="STKaiti" w:hAnsiTheme="minorHAnsi" w:cstheme="minorHAnsi"/>
          <w:lang w:val="zh-CN" w:eastAsia="zh-CN"/>
        </w:rPr>
        <w:t>2024</w:t>
      </w:r>
      <w:r w:rsidRPr="00D47C1A">
        <w:rPr>
          <w:rFonts w:asciiTheme="minorHAnsi" w:eastAsia="STKaiti" w:hAnsiTheme="minorHAnsi" w:cstheme="minorHAnsi"/>
          <w:lang w:val="zh-CN" w:eastAsia="zh-CN"/>
        </w:rPr>
        <w:t>年引入了对控制活动的第二线监控，国际电联将继续努力提升并全面落实该监控机制。</w:t>
      </w:r>
    </w:p>
    <w:p w14:paraId="7504950B" w14:textId="77777777" w:rsidR="00F912F4" w:rsidRPr="00E371C6" w:rsidRDefault="00F912F4" w:rsidP="00D47C1A">
      <w:pPr>
        <w:rPr>
          <w:rStyle w:val="Italic"/>
          <w:rFonts w:asciiTheme="minorHAnsi" w:eastAsia="STKaiti" w:hAnsiTheme="minorHAnsi" w:cstheme="minorHAnsi"/>
          <w:i w:val="0"/>
          <w:iCs w:val="0"/>
          <w:lang w:eastAsia="zh-CN"/>
        </w:rPr>
      </w:pPr>
      <w:r w:rsidRPr="00D47C1A">
        <w:rPr>
          <w:rFonts w:asciiTheme="minorHAnsi" w:eastAsia="STKaiti" w:hAnsiTheme="minorHAnsi" w:cstheme="minorHAnsi"/>
          <w:lang w:val="zh-CN" w:eastAsia="zh-CN"/>
        </w:rPr>
        <w:lastRenderedPageBreak/>
        <w:t>尽管在第二线监控领域仍需进一步工作，但目前已有多项活动正在实施或处于开发阶段，以强化这一职能。具体包括：定期合规性检查、拨款认证流程以及对员工待遇的监督。</w:t>
      </w:r>
    </w:p>
    <w:p w14:paraId="4BD6BE82" w14:textId="77777777" w:rsidR="00F912F4" w:rsidRPr="00E371C6" w:rsidRDefault="00F912F4" w:rsidP="00D47C1A">
      <w:pPr>
        <w:rPr>
          <w:rStyle w:val="Italic"/>
          <w:rFonts w:asciiTheme="minorHAnsi" w:eastAsia="SimSun" w:hAnsiTheme="minorHAnsi" w:cstheme="minorHAnsi"/>
          <w:i w:val="0"/>
          <w:iCs w:val="0"/>
          <w:lang w:eastAsia="zh-CN"/>
        </w:rPr>
      </w:pPr>
      <w:r w:rsidRPr="00D47C1A">
        <w:rPr>
          <w:rFonts w:asciiTheme="minorHAnsi" w:eastAsia="STKaiti" w:hAnsiTheme="minorHAnsi" w:cstheme="minorHAnsi"/>
          <w:lang w:val="zh-CN" w:eastAsia="zh-CN"/>
        </w:rPr>
        <w:t>国家审计署关于这一问题的补充建议将协助国际电联加强职能，确保第二线监控能够借助国际电联其他第二线职能部门的专业知识（如财务规划和控制、信息安全、道德规范和组织复原力）；并将目标对准关键业务流程。</w:t>
      </w:r>
    </w:p>
    <w:p w14:paraId="08575048" w14:textId="77777777" w:rsidR="00F912F4" w:rsidRPr="00D47C1A" w:rsidRDefault="00F912F4" w:rsidP="00D47C1A">
      <w:pPr>
        <w:tabs>
          <w:tab w:val="left" w:pos="774"/>
        </w:tabs>
        <w:spacing w:before="240"/>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2.31</w:t>
      </w:r>
      <w:r w:rsidRPr="00D47C1A">
        <w:rPr>
          <w:rFonts w:asciiTheme="minorHAnsi" w:eastAsia="SimSun" w:hAnsiTheme="minorHAnsi" w:cstheme="minorHAnsi"/>
          <w:lang w:val="zh-CN" w:eastAsia="zh-CN"/>
        </w:rPr>
        <w:tab/>
        <w:t>2023</w:t>
      </w:r>
      <w:r w:rsidRPr="00D47C1A">
        <w:rPr>
          <w:rFonts w:asciiTheme="minorHAnsi" w:eastAsia="SimSun" w:hAnsiTheme="minorHAnsi" w:cstheme="minorHAnsi"/>
          <w:lang w:val="zh-CN" w:eastAsia="zh-CN"/>
        </w:rPr>
        <w:t>年监督处的成立和《监督章程》的通过是加强国际电联第三道线的重要里程碑。内部审计职能已变得更加结构化，而且持续与</w:t>
      </w:r>
      <w:r w:rsidRPr="00D47C1A">
        <w:rPr>
          <w:rFonts w:asciiTheme="minorHAnsi" w:eastAsia="SimSun" w:hAnsiTheme="minorHAnsi" w:cstheme="minorHAnsi"/>
          <w:lang w:val="zh-CN" w:eastAsia="zh-CN"/>
        </w:rPr>
        <w:t>IMAC</w:t>
      </w:r>
      <w:r w:rsidRPr="00D47C1A">
        <w:rPr>
          <w:rFonts w:asciiTheme="minorHAnsi" w:eastAsia="SimSun" w:hAnsiTheme="minorHAnsi" w:cstheme="minorHAnsi"/>
          <w:lang w:val="zh-CN" w:eastAsia="zh-CN"/>
        </w:rPr>
        <w:t>、高级管理层和外部审计员分享报告。总体而言，经修订的监督安排尚处于起步阶段，目前尚未完全配备必要资源，且新的安排仍处于成熟初期。随着安排的逐步完善，确保其始终聚焦于提供高质量、独立且客观的鉴证至关重要。</w:t>
      </w:r>
    </w:p>
    <w:p w14:paraId="18AF7F79"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2.32</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我们注意到，监督处已计划按照内部审计师协会（</w:t>
      </w:r>
      <w:r w:rsidRPr="00D47C1A">
        <w:rPr>
          <w:rFonts w:asciiTheme="minorHAnsi" w:eastAsia="SimSun" w:hAnsiTheme="minorHAnsi" w:cstheme="minorHAnsi"/>
          <w:lang w:val="zh-CN" w:eastAsia="zh-CN"/>
        </w:rPr>
        <w:t>IIA</w:t>
      </w:r>
      <w:r w:rsidRPr="00D47C1A">
        <w:rPr>
          <w:rFonts w:asciiTheme="minorHAnsi" w:eastAsia="SimSun" w:hAnsiTheme="minorHAnsi" w:cstheme="minorHAnsi"/>
          <w:lang w:val="zh-CN" w:eastAsia="zh-CN"/>
        </w:rPr>
        <w:t>）的标准对内部审计职能进行外部质量评估。我们认为，在此关键时刻，此次审查既重要又及时，旨在确保新的安排以及实施这些安排的工具和能力能够符合内部审计的专业标准。为确保充分发挥价值，应将评估作为全面的外部质量审查，而不是辅以独立验证的自我评估。这将对是否符合</w:t>
      </w:r>
      <w:r w:rsidRPr="00D47C1A">
        <w:rPr>
          <w:rFonts w:asciiTheme="minorHAnsi" w:eastAsia="SimSun" w:hAnsiTheme="minorHAnsi" w:cstheme="minorHAnsi"/>
          <w:lang w:val="zh-CN" w:eastAsia="zh-CN"/>
        </w:rPr>
        <w:t>IIA</w:t>
      </w:r>
      <w:r w:rsidRPr="00D47C1A">
        <w:rPr>
          <w:rFonts w:asciiTheme="minorHAnsi" w:eastAsia="SimSun" w:hAnsiTheme="minorHAnsi" w:cstheme="minorHAnsi"/>
          <w:lang w:val="zh-CN" w:eastAsia="zh-CN"/>
        </w:rPr>
        <w:t>标准的情况进行客观评估，并指出改进的机会。在变革时期，面对信息系统持续面临的威胁，以及重大资本投资正在进行的情况下，该处必须集中精力应对国际电联面临的关键风险。</w:t>
      </w:r>
    </w:p>
    <w:p w14:paraId="1FBA09F8"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2.33</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我们此前已指出，国际电联内部缺乏评估机制是向成员和捐助方提供保障的一项重大缺陷。在监督处内已正式设立了评估职能。国际电联已通知我们，计划于</w:t>
      </w:r>
      <w:r w:rsidRPr="00D47C1A">
        <w:rPr>
          <w:rFonts w:asciiTheme="minorHAnsi" w:eastAsia="SimSun" w:hAnsiTheme="minorHAnsi" w:cstheme="minorHAnsi"/>
          <w:lang w:val="zh-CN" w:eastAsia="zh-CN"/>
        </w:rPr>
        <w:t>2025</w:t>
      </w:r>
      <w:r w:rsidRPr="00D47C1A">
        <w:rPr>
          <w:rFonts w:asciiTheme="minorHAnsi" w:eastAsia="SimSun" w:hAnsiTheme="minorHAnsi" w:cstheme="minorHAnsi"/>
          <w:lang w:val="zh-CN" w:eastAsia="zh-CN"/>
        </w:rPr>
        <w:t>年底前填补评估职位的空缺。该职能的有效启动及充足资源配置对于支持基于证据的决策制定、学习与问责，以符合联合国系统预期，至关重要。我们将鼓励秘书处继续优先考虑全面建设这一能力，更加注重从评估中吸取教训，并更好地支持持续改进运作效果。我们认为，评估职能的有效运作是向成员和捐助方提供保障的重要工具，同时也是为管理层提供信息以持续改进其运作的关键手段。</w:t>
      </w:r>
    </w:p>
    <w:p w14:paraId="3F1D2DBC" w14:textId="77777777" w:rsidR="00F912F4" w:rsidRPr="004415BD" w:rsidRDefault="00F912F4" w:rsidP="004415BD">
      <w:pPr>
        <w:pStyle w:val="Headingb"/>
        <w:rPr>
          <w:lang w:eastAsia="zh-CN"/>
        </w:rPr>
      </w:pPr>
      <w:bookmarkStart w:id="48" w:name="_Toc200718075"/>
      <w:r w:rsidRPr="004415BD">
        <w:rPr>
          <w:rFonts w:hint="eastAsia"/>
          <w:lang w:eastAsia="zh-CN"/>
        </w:rPr>
        <w:t>问责制框架</w:t>
      </w:r>
      <w:bookmarkEnd w:id="48"/>
    </w:p>
    <w:p w14:paraId="5D705971"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2.34</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国际电联已采取有意义的步骤，建立与</w:t>
      </w:r>
      <w:r w:rsidRPr="00D47C1A">
        <w:rPr>
          <w:rFonts w:asciiTheme="minorHAnsi" w:eastAsia="SimSun" w:hAnsiTheme="minorHAnsi" w:cstheme="minorHAnsi"/>
          <w:lang w:val="zh-CN" w:eastAsia="zh-CN"/>
        </w:rPr>
        <w:t>2013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COSO</w:t>
      </w:r>
      <w:r w:rsidRPr="00D47C1A">
        <w:rPr>
          <w:rFonts w:asciiTheme="minorHAnsi" w:eastAsia="SimSun" w:hAnsiTheme="minorHAnsi" w:cstheme="minorHAnsi"/>
          <w:lang w:val="zh-CN" w:eastAsia="zh-CN"/>
        </w:rPr>
        <w:t>框架相一致的控制系统原则，并辅之以理事会</w:t>
      </w:r>
      <w:r w:rsidRPr="00D47C1A">
        <w:rPr>
          <w:rFonts w:asciiTheme="minorHAnsi" w:eastAsia="SimSun" w:hAnsiTheme="minorHAnsi" w:cstheme="minorHAnsi"/>
          <w:lang w:val="zh-CN" w:eastAsia="zh-CN"/>
        </w:rPr>
        <w:t>2022</w:t>
      </w:r>
      <w:r w:rsidRPr="00D47C1A">
        <w:rPr>
          <w:rFonts w:asciiTheme="minorHAnsi" w:eastAsia="SimSun" w:hAnsiTheme="minorHAnsi" w:cstheme="minorHAnsi"/>
          <w:lang w:val="zh-CN" w:eastAsia="zh-CN"/>
        </w:rPr>
        <w:t>年批准的问责制模型和框架。这些行动澄清了内部控制的结构基础，提高了政策的一致性，加强了高层治理监督。</w:t>
      </w:r>
    </w:p>
    <w:p w14:paraId="3A241D37"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2.35</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基于</w:t>
      </w:r>
      <w:r w:rsidRPr="00D47C1A">
        <w:rPr>
          <w:rFonts w:asciiTheme="minorHAnsi" w:eastAsia="SimSun" w:hAnsiTheme="minorHAnsi" w:cstheme="minorHAnsi"/>
          <w:lang w:val="zh-CN" w:eastAsia="zh-CN"/>
        </w:rPr>
        <w:t>COSO</w:t>
      </w:r>
      <w:r w:rsidRPr="00D47C1A">
        <w:rPr>
          <w:rFonts w:asciiTheme="minorHAnsi" w:eastAsia="SimSun" w:hAnsiTheme="minorHAnsi" w:cstheme="minorHAnsi"/>
          <w:lang w:val="zh-CN" w:eastAsia="zh-CN"/>
        </w:rPr>
        <w:t>的内部控制体系仍处于运作成熟的早期阶段；控制责任没有明确下放，风险没有充分融入规划或决策，项目层面的财务监督不一致，内部沟通尚未有效强化预期控制行为。我们从审计工作中得出的结论凸显了这些差距在实际操作中是如何具体表现的。</w:t>
      </w:r>
    </w:p>
    <w:p w14:paraId="1681A6AB"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2.36</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没有更明确界定的权限、更好的数据访问、强化和集中的培训或量身定制的支持，第一线职能将难以履行</w:t>
      </w:r>
      <w:r w:rsidRPr="00D47C1A">
        <w:rPr>
          <w:rFonts w:asciiTheme="minorHAnsi" w:eastAsia="SimSun" w:hAnsiTheme="minorHAnsi" w:cstheme="minorHAnsi"/>
          <w:lang w:val="zh-CN" w:eastAsia="zh-CN"/>
        </w:rPr>
        <w:t>COSO</w:t>
      </w:r>
      <w:r w:rsidRPr="00D47C1A">
        <w:rPr>
          <w:rFonts w:asciiTheme="minorHAnsi" w:eastAsia="SimSun" w:hAnsiTheme="minorHAnsi" w:cstheme="minorHAnsi"/>
          <w:lang w:val="zh-CN" w:eastAsia="zh-CN"/>
        </w:rPr>
        <w:t>和问责制框架规定的义务。由于缺乏有效的第二线检测或监控控制，管理层缺乏对控制环境有效性的洞察力，也缺乏获得信息以集中精力实施关键控制并改进其设计的能力。随着第三线逐步提升能力并从计划中的外部审查中吸取经验，确保具备足够能力实施基于风险的计划，以应对组织面临的重大挑战，并向成员提供保障，交付有效的输出成果，将至关重要。</w:t>
      </w:r>
    </w:p>
    <w:p w14:paraId="06E39FE1"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lastRenderedPageBreak/>
        <w:t>2.37</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要全面实现问责制框架的意图，不仅需要结构性改进，还需要持续关注运营嵌入、文化强化和基于证据的监控。这些要素对于国际电联展示可靠的内部控制，并满足成员国和外部利益攸关方的期望至关重要。</w:t>
      </w:r>
    </w:p>
    <w:p w14:paraId="65791F3A" w14:textId="77777777" w:rsidR="00F912F4" w:rsidRPr="00D47C1A" w:rsidRDefault="00F912F4" w:rsidP="00D47C1A">
      <w:pPr>
        <w:pStyle w:val="Heading2"/>
        <w:numPr>
          <w:ilvl w:val="0"/>
          <w:numId w:val="0"/>
        </w:numPr>
        <w:rPr>
          <w:rFonts w:asciiTheme="minorHAnsi" w:eastAsia="SimSun" w:hAnsiTheme="minorHAnsi" w:cstheme="minorHAnsi"/>
          <w:b w:val="0"/>
          <w:bCs/>
          <w:sz w:val="40"/>
          <w:szCs w:val="40"/>
          <w:lang w:eastAsia="zh-CN"/>
        </w:rPr>
      </w:pPr>
      <w:bookmarkStart w:id="49" w:name="_Toc200718076"/>
      <w:r w:rsidRPr="004415BD">
        <w:rPr>
          <w:rFonts w:asciiTheme="minorHAnsi" w:eastAsia="SimSun" w:hAnsiTheme="minorHAnsi" w:cstheme="minorHAnsi"/>
          <w:b w:val="0"/>
          <w:bCs/>
          <w:sz w:val="40"/>
          <w:szCs w:val="40"/>
          <w:lang w:eastAsia="zh-CN"/>
        </w:rPr>
        <w:t>内部控制说明</w:t>
      </w:r>
      <w:bookmarkEnd w:id="49"/>
    </w:p>
    <w:p w14:paraId="72AFDF84"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2.38</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秘书长的</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年《内部控制说明》（</w:t>
      </w:r>
      <w:r w:rsidRPr="00D47C1A">
        <w:rPr>
          <w:rFonts w:asciiTheme="minorHAnsi" w:eastAsia="SimSun" w:hAnsiTheme="minorHAnsi" w:cstheme="minorHAnsi"/>
          <w:lang w:val="zh-CN" w:eastAsia="zh-CN"/>
        </w:rPr>
        <w:t>SIC</w:t>
      </w:r>
      <w:r w:rsidRPr="00D47C1A">
        <w:rPr>
          <w:rFonts w:asciiTheme="minorHAnsi" w:eastAsia="SimSun" w:hAnsiTheme="minorHAnsi" w:cstheme="minorHAnsi"/>
          <w:lang w:val="zh-CN" w:eastAsia="zh-CN"/>
        </w:rPr>
        <w:t>）标志着国际电联在内部控制承诺的正式化与沟通方面迈出了积极一步。该说明围绕</w:t>
      </w:r>
      <w:r w:rsidRPr="00D47C1A">
        <w:rPr>
          <w:rFonts w:asciiTheme="minorHAnsi" w:eastAsia="SimSun" w:hAnsiTheme="minorHAnsi" w:cstheme="minorHAnsi"/>
          <w:lang w:val="zh-CN" w:eastAsia="zh-CN"/>
        </w:rPr>
        <w:t>COSO</w:t>
      </w:r>
      <w:r w:rsidRPr="00D47C1A">
        <w:rPr>
          <w:rFonts w:asciiTheme="minorHAnsi" w:eastAsia="SimSun" w:hAnsiTheme="minorHAnsi" w:cstheme="minorHAnsi"/>
          <w:lang w:val="zh-CN" w:eastAsia="zh-CN"/>
        </w:rPr>
        <w:t>框架构建，与国际标准的契合度较往年更为明确，并认可了当前正在推进的若干关键举措，旨在加强监督、提升财务治理并培育问责文化。</w:t>
      </w:r>
    </w:p>
    <w:p w14:paraId="601EB6EC"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2.39</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然而，我们认为，组织内部控制实践的成熟度仍需进一步提升。该说明强调了取得的进展，但应更明确地承认在某些领域仍存在显著不足，如权力下放、运营风险整合以及区域层面财务监督与监控的一致性应用。关于内部控制有效性的陈述未提及独立验证或实施过程中的已知限制。</w:t>
      </w:r>
    </w:p>
    <w:p w14:paraId="155C7233"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2.40</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作为组织鉴证的一个关键要素，《内部控制说明》应提供一个平衡和基于证据的视角，承认取得的进展，但也应发现仍然存在的控制薄弱缓解，以及为解决这些弱点而采取的措施。我们已发现了说明中可进一步加强自我批评的领域，这将提升说明作为高级管理层问责制工具和理事会监督机制的价值。</w:t>
      </w:r>
    </w:p>
    <w:p w14:paraId="1695C8AD"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2.41</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展望未来，今后的《内部控制说明》应借鉴本报告此节中提出的意见，并更清晰地参考已知的实施挑战，利用第二线和第三线的鉴证来源，并明确将风险和控制缺陷与改革领域相联系。这种透明度将提升《内部控制说明》的可信度，并增强成员国对国际电联内部控制系统的信心。</w:t>
      </w:r>
    </w:p>
    <w:p w14:paraId="0B404687" w14:textId="77777777" w:rsidR="00F912F4" w:rsidRPr="00D47C1A" w:rsidRDefault="00F912F4" w:rsidP="00D47C1A">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SimSun" w:hAnsiTheme="minorHAnsi" w:cstheme="minorHAnsi"/>
          <w:sz w:val="32"/>
          <w:lang w:eastAsia="zh-CN"/>
        </w:rPr>
      </w:pPr>
      <w:r w:rsidRPr="00D47C1A">
        <w:rPr>
          <w:rFonts w:asciiTheme="minorHAnsi" w:eastAsia="SimSun" w:hAnsiTheme="minorHAnsi" w:cstheme="minorHAnsi"/>
          <w:lang w:eastAsia="zh-CN"/>
        </w:rPr>
        <w:br w:type="page"/>
      </w:r>
    </w:p>
    <w:p w14:paraId="5F05AFAA" w14:textId="77777777" w:rsidR="00F912F4" w:rsidRPr="00D47C1A" w:rsidRDefault="00F912F4" w:rsidP="00D47C1A">
      <w:pPr>
        <w:pStyle w:val="Heading1"/>
        <w:ind w:left="0" w:firstLine="0"/>
        <w:rPr>
          <w:rFonts w:asciiTheme="minorHAnsi" w:eastAsia="SimSun" w:hAnsiTheme="minorHAnsi" w:cstheme="minorHAnsi"/>
          <w:sz w:val="56"/>
          <w:szCs w:val="56"/>
          <w:lang w:eastAsia="zh-CN"/>
        </w:rPr>
      </w:pPr>
      <w:bookmarkStart w:id="50" w:name="_Toc200718077"/>
      <w:r w:rsidRPr="004415BD">
        <w:rPr>
          <w:rFonts w:asciiTheme="minorHAnsi" w:eastAsia="SimSun" w:hAnsiTheme="minorHAnsi" w:cstheme="minorHAnsi"/>
          <w:sz w:val="56"/>
          <w:szCs w:val="56"/>
          <w:lang w:eastAsia="zh-CN"/>
        </w:rPr>
        <w:lastRenderedPageBreak/>
        <w:t>第三部分</w:t>
      </w:r>
      <w:bookmarkEnd w:id="50"/>
    </w:p>
    <w:p w14:paraId="7830F85A" w14:textId="77777777" w:rsidR="00F912F4" w:rsidRPr="00D47C1A" w:rsidRDefault="00F912F4" w:rsidP="00D47C1A">
      <w:pPr>
        <w:pStyle w:val="Heading2"/>
        <w:numPr>
          <w:ilvl w:val="0"/>
          <w:numId w:val="0"/>
        </w:numPr>
        <w:spacing w:before="720"/>
        <w:rPr>
          <w:rFonts w:asciiTheme="minorHAnsi" w:eastAsia="SimSun" w:hAnsiTheme="minorHAnsi" w:cstheme="minorHAnsi"/>
          <w:b w:val="0"/>
          <w:bCs/>
          <w:sz w:val="40"/>
          <w:szCs w:val="40"/>
          <w:lang w:eastAsia="zh-CN"/>
        </w:rPr>
      </w:pPr>
      <w:bookmarkStart w:id="51" w:name="_Toc200718078"/>
      <w:r w:rsidRPr="004415BD">
        <w:rPr>
          <w:rFonts w:asciiTheme="minorHAnsi" w:eastAsia="SimSun" w:hAnsiTheme="minorHAnsi" w:cstheme="minorHAnsi"/>
          <w:b w:val="0"/>
          <w:bCs/>
          <w:sz w:val="40"/>
          <w:szCs w:val="40"/>
          <w:lang w:eastAsia="zh-CN"/>
        </w:rPr>
        <w:t>转型计划</w:t>
      </w:r>
      <w:bookmarkEnd w:id="51"/>
    </w:p>
    <w:p w14:paraId="09B48E9B"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3.1</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秘书长在理事会</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6</w:t>
      </w:r>
      <w:r w:rsidRPr="00D47C1A">
        <w:rPr>
          <w:rFonts w:asciiTheme="minorHAnsi" w:eastAsia="SimSun" w:hAnsiTheme="minorHAnsi" w:cstheme="minorHAnsi"/>
          <w:lang w:val="zh-CN" w:eastAsia="zh-CN"/>
        </w:rPr>
        <w:t>月的会议上承诺实施国际电联转型计划。我们在</w:t>
      </w:r>
      <w:r w:rsidRPr="00D47C1A">
        <w:rPr>
          <w:rFonts w:asciiTheme="minorHAnsi" w:eastAsia="SimSun" w:hAnsiTheme="minorHAnsi" w:cstheme="minorHAnsi"/>
          <w:lang w:val="zh-CN" w:eastAsia="zh-CN"/>
        </w:rPr>
        <w:t>2022</w:t>
      </w:r>
      <w:r w:rsidRPr="00D47C1A">
        <w:rPr>
          <w:rFonts w:asciiTheme="minorHAnsi" w:eastAsia="SimSun" w:hAnsiTheme="minorHAnsi" w:cstheme="minorHAnsi"/>
          <w:lang w:val="zh-CN" w:eastAsia="zh-CN"/>
        </w:rPr>
        <w:t>年的报告中强调，需要确定明确的目标运营模式，设立专门处室来协调交付和报告，并确保有效、客观和独立的治理安排。</w:t>
      </w:r>
    </w:p>
    <w:p w14:paraId="6ECF982A"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3.2</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此后，秘书长通过发布路线图（</w:t>
      </w:r>
      <w:hyperlink r:id="rId17" w:history="1">
        <w:proofErr w:type="spellStart"/>
        <w:r w:rsidRPr="00D47C1A">
          <w:rPr>
            <w:rStyle w:val="Hyperlink"/>
            <w:rFonts w:asciiTheme="minorHAnsi" w:hAnsiTheme="minorHAnsi" w:cstheme="minorHAnsi"/>
            <w:lang w:eastAsia="zh-CN"/>
          </w:rPr>
          <w:t>C24</w:t>
        </w:r>
        <w:proofErr w:type="spellEnd"/>
        <w:r w:rsidRPr="00D47C1A">
          <w:rPr>
            <w:rStyle w:val="Hyperlink"/>
            <w:rFonts w:asciiTheme="minorHAnsi" w:hAnsiTheme="minorHAnsi" w:cstheme="minorHAnsi"/>
            <w:lang w:eastAsia="zh-CN"/>
          </w:rPr>
          <w:t>/73</w:t>
        </w:r>
      </w:hyperlink>
      <w:r w:rsidRPr="00D47C1A">
        <w:rPr>
          <w:rFonts w:asciiTheme="minorHAnsi" w:eastAsia="SimSun" w:hAnsiTheme="minorHAnsi" w:cstheme="minorHAnsi"/>
          <w:lang w:val="zh-CN" w:eastAsia="zh-CN"/>
        </w:rPr>
        <w:t>号文件）正式确定了转型计划，该路线图列出了</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年年中至</w:t>
      </w:r>
      <w:r w:rsidRPr="00D47C1A">
        <w:rPr>
          <w:rFonts w:asciiTheme="minorHAnsi" w:eastAsia="SimSun" w:hAnsiTheme="minorHAnsi" w:cstheme="minorHAnsi"/>
          <w:lang w:val="zh-CN" w:eastAsia="zh-CN"/>
        </w:rPr>
        <w:t>2027</w:t>
      </w:r>
      <w:r w:rsidRPr="00D47C1A">
        <w:rPr>
          <w:rFonts w:asciiTheme="minorHAnsi" w:eastAsia="SimSun" w:hAnsiTheme="minorHAnsi" w:cstheme="minorHAnsi"/>
          <w:lang w:val="zh-CN" w:eastAsia="zh-CN"/>
        </w:rPr>
        <w:t>年底的计划活动。转型计划侧重于改进各项支持性职能，围绕五个主题支柱展开：治理、系统、流程和工具、人员和文化、资源优化，及成员和合作伙伴。</w:t>
      </w:r>
    </w:p>
    <w:p w14:paraId="2D0D6484" w14:textId="453EFC63"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3.3</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在构建和启动转型活动方面已取得进展。引入了转型信息概览来支持透明度和绩效跟踪。在绩效管理、人工智能的采用、领导力开发、招聘、差旅和职员流动等领域推出了六项加速举措。若干基础项目也已经开始工作，如网站重新设计、企业资源规划和客户关系管理升级以及财务系统改革。</w:t>
      </w:r>
      <w:r w:rsidR="00D47C1A" w:rsidRPr="00D47C1A">
        <w:rPr>
          <w:rFonts w:ascii="SimSun" w:eastAsia="SimSun" w:hAnsi="SimSun" w:cstheme="minorHAnsi"/>
          <w:lang w:val="zh-CN" w:eastAsia="zh-CN"/>
        </w:rPr>
        <w:t>“</w:t>
      </w:r>
      <w:r w:rsidRPr="00D47C1A">
        <w:rPr>
          <w:rFonts w:asciiTheme="minorHAnsi" w:eastAsia="SimSun" w:hAnsiTheme="minorHAnsi" w:cstheme="minorHAnsi"/>
          <w:lang w:val="zh-CN" w:eastAsia="zh-CN"/>
        </w:rPr>
        <w:t>变革者</w:t>
      </w:r>
      <w:r w:rsidR="00D47C1A" w:rsidRPr="00D47C1A">
        <w:rPr>
          <w:rFonts w:ascii="SimSun" w:eastAsia="SimSun" w:hAnsi="SimSun" w:cstheme="minorHAnsi"/>
          <w:lang w:val="zh-CN" w:eastAsia="zh-CN"/>
        </w:rPr>
        <w:t>”</w:t>
      </w:r>
      <w:r w:rsidRPr="00D47C1A">
        <w:rPr>
          <w:rFonts w:asciiTheme="minorHAnsi" w:eastAsia="SimSun" w:hAnsiTheme="minorHAnsi" w:cstheme="minorHAnsi"/>
          <w:lang w:val="zh-CN" w:eastAsia="zh-CN"/>
        </w:rPr>
        <w:t>职员网络继续促进内部参与并推动案例开发。</w:t>
      </w:r>
    </w:p>
    <w:p w14:paraId="75D5ED19"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3.4</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截至本次审查时，详细的运作模式仍在逐步建立。秘书处在</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年确定了</w:t>
      </w:r>
      <w:r w:rsidRPr="00D47C1A">
        <w:rPr>
          <w:rFonts w:asciiTheme="minorHAnsi" w:eastAsia="SimSun" w:hAnsiTheme="minorHAnsi" w:cstheme="minorHAnsi"/>
          <w:lang w:val="zh-CN" w:eastAsia="zh-CN"/>
        </w:rPr>
        <w:t>89</w:t>
      </w:r>
      <w:r w:rsidRPr="00D47C1A">
        <w:rPr>
          <w:rFonts w:asciiTheme="minorHAnsi" w:eastAsia="SimSun" w:hAnsiTheme="minorHAnsi" w:cstheme="minorHAnsi"/>
          <w:lang w:val="zh-CN" w:eastAsia="zh-CN"/>
        </w:rPr>
        <w:t>项可交付成果。目前的活动既有运作改进，也有支撑项目。重点仍然是实现内部流程现代化，而非探索替代交付模式。衡量成果的基线指标和</w:t>
      </w:r>
      <w:r w:rsidRPr="00D47C1A">
        <w:rPr>
          <w:rFonts w:asciiTheme="minorHAnsi" w:eastAsia="SimSun" w:hAnsiTheme="minorHAnsi" w:cstheme="minorHAnsi"/>
          <w:lang w:val="zh-CN" w:eastAsia="zh-CN"/>
        </w:rPr>
        <w:t>KPI</w:t>
      </w:r>
      <w:r w:rsidRPr="00D47C1A">
        <w:rPr>
          <w:rFonts w:asciiTheme="minorHAnsi" w:eastAsia="SimSun" w:hAnsiTheme="minorHAnsi" w:cstheme="minorHAnsi"/>
          <w:lang w:val="zh-CN" w:eastAsia="zh-CN"/>
        </w:rPr>
        <w:t>正在制定中，但完整的衡量框架尚未投入运作。</w:t>
      </w:r>
    </w:p>
    <w:p w14:paraId="2AF5CD6C"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3.5</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支持转型计划的专用资源仍然有限。</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年，划拨了</w:t>
      </w:r>
      <w:r w:rsidRPr="00D47C1A">
        <w:rPr>
          <w:rFonts w:asciiTheme="minorHAnsi" w:eastAsia="SimSun" w:hAnsiTheme="minorHAnsi" w:cstheme="minorHAnsi"/>
          <w:lang w:val="zh-CN" w:eastAsia="zh-CN"/>
        </w:rPr>
        <w:t>130</w:t>
      </w:r>
      <w:r w:rsidRPr="00D47C1A">
        <w:rPr>
          <w:rFonts w:asciiTheme="minorHAnsi" w:eastAsia="SimSun" w:hAnsiTheme="minorHAnsi" w:cstheme="minorHAnsi"/>
          <w:lang w:val="zh-CN" w:eastAsia="zh-CN"/>
        </w:rPr>
        <w:t>万瑞郎，大多数举措继续依赖于与各部门工作计划的融合。考虑到转型的范围以及涉及</w:t>
      </w:r>
      <w:r w:rsidRPr="00D47C1A">
        <w:rPr>
          <w:rFonts w:asciiTheme="minorHAnsi" w:eastAsia="SimSun" w:hAnsiTheme="minorHAnsi" w:cstheme="minorHAnsi"/>
          <w:lang w:val="zh-CN" w:eastAsia="zh-CN"/>
        </w:rPr>
        <w:t>IT</w:t>
      </w:r>
      <w:r w:rsidRPr="00D47C1A">
        <w:rPr>
          <w:rFonts w:asciiTheme="minorHAnsi" w:eastAsia="SimSun" w:hAnsiTheme="minorHAnsi" w:cstheme="minorHAnsi"/>
          <w:lang w:val="zh-CN" w:eastAsia="zh-CN"/>
        </w:rPr>
        <w:t>系统和数字化变革的项目的需求，这仍然是一个制约因素。仍然需要根据可实现的成果和成本效益的明确性来评估举措并确定其优先次序，特别是在资源密集型领域，如系统开发。</w:t>
      </w:r>
    </w:p>
    <w:p w14:paraId="32D66D18"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3.6</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已告知我们，正在探索各种机会，通过外包、伙伴关系或共享服务等替代模式交付职能。我们认为，考虑替代交付模式至关重要，因为这些变化可以带来真正的转型变革，并为国际电联将内部资源集中在运作中独特且具有增值作用的要素上提供机遇。</w:t>
      </w:r>
    </w:p>
    <w:p w14:paraId="672408C9"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国际电联应：</w:t>
      </w:r>
    </w:p>
    <w:p w14:paraId="6C71E367"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12</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R12</w:t>
      </w:r>
      <w:r w:rsidRPr="00D47C1A">
        <w:rPr>
          <w:rFonts w:asciiTheme="minorHAnsi" w:eastAsia="SimSun" w:hAnsiTheme="minorHAnsi" w:cstheme="minorHAnsi"/>
          <w:b/>
          <w:bCs/>
          <w:lang w:val="zh-CN" w:eastAsia="zh-CN"/>
        </w:rPr>
        <w:t>）：对替代交付模式进行评估，以确保有效利用资源，这是组织转型的关键要素。</w:t>
      </w:r>
    </w:p>
    <w:p w14:paraId="682DE532" w14:textId="77777777" w:rsidR="00F912F4" w:rsidRPr="00D47C1A" w:rsidRDefault="00F912F4" w:rsidP="00D47C1A">
      <w:pPr>
        <w:rPr>
          <w:rStyle w:val="Italic"/>
          <w:rFonts w:asciiTheme="minorHAnsi" w:eastAsia="STKaiti" w:hAnsiTheme="minorHAnsi" w:cstheme="minorHAnsi"/>
          <w:lang w:eastAsia="zh-CN"/>
        </w:rPr>
      </w:pPr>
      <w:r w:rsidRPr="00D47C1A">
        <w:rPr>
          <w:rFonts w:asciiTheme="minorHAnsi" w:eastAsia="STKaiti" w:hAnsiTheme="minorHAnsi" w:cstheme="minorHAnsi"/>
          <w:lang w:val="zh-CN" w:eastAsia="zh-CN"/>
        </w:rPr>
        <w:t>国际电联管理层意见：国际电联将所提出的意见和建议记录在案，但是，考虑替代交付模式是转型举措所采用的模式中固有的一个步骤。在审查每个流程时，一旦完成了问题分析，解决方案分析将考虑现有的流程修复或替代交付模式（如外包或共享服务）是否适合所选择的实施解决方案，同时分析可用资源和实施的可行性。</w:t>
      </w:r>
    </w:p>
    <w:p w14:paraId="43BE95E4" w14:textId="77777777" w:rsidR="00F912F4" w:rsidRPr="00D47C1A" w:rsidRDefault="00F912F4" w:rsidP="00E371C6">
      <w:pPr>
        <w:keepLines/>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lastRenderedPageBreak/>
        <w:t>3.7</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文化变革仍然是实现成功的关键推动因素。秘书处已采取步骤，通过培训和领导力举措加强职员参与，并已开始着手解决员工健康调查中反映的相关问题。我们认为，改变组织文化可能是任何转型计划中最具挑战性的因素之一。这将需要持续关注职员沟通和参与度指标。</w:t>
      </w:r>
    </w:p>
    <w:p w14:paraId="018926CC"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3.8</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如前所述，转型计划为组织改进和提升效率提供了重要机会。虽然目前计划处于早期阶段，尚难对其进展状况作出明确判断，但国际电联应制定明确的成功标准，以便更有效地实现惠益。</w:t>
      </w:r>
    </w:p>
    <w:p w14:paraId="05A200DB"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3.9</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管理层要确定转型过程中最重要的要素和促进因素，并确保为其提供适当的资源，这一点仍很关键。继续关注优先次序，并结合客观的项目管理和保障，将是实现预期成果的关键。我们将在任期内继续对计划进行监督和报告。</w:t>
      </w:r>
    </w:p>
    <w:p w14:paraId="3307937F"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国际电联应：</w:t>
      </w:r>
    </w:p>
    <w:p w14:paraId="44B24E7A"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13</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R13</w:t>
      </w:r>
      <w:r w:rsidRPr="00D47C1A">
        <w:rPr>
          <w:rFonts w:asciiTheme="minorHAnsi" w:eastAsia="SimSun" w:hAnsiTheme="minorHAnsi" w:cstheme="minorHAnsi"/>
          <w:b/>
          <w:bCs/>
          <w:lang w:val="zh-CN" w:eastAsia="zh-CN"/>
        </w:rPr>
        <w:t>）：在可用资源范围内优先实施最关键的转型举措。这些举措应得到强有力的绩效衡量措施的支持。</w:t>
      </w:r>
    </w:p>
    <w:p w14:paraId="5C88E17E" w14:textId="6D7E0980" w:rsidR="00F912F4" w:rsidRPr="00E16D3F" w:rsidRDefault="00F912F4" w:rsidP="00D47C1A">
      <w:pPr>
        <w:rPr>
          <w:rStyle w:val="Italic"/>
          <w:rFonts w:asciiTheme="minorHAnsi" w:eastAsia="STKaiti" w:hAnsiTheme="minorHAnsi" w:cstheme="minorHAnsi"/>
          <w:i w:val="0"/>
          <w:iCs w:val="0"/>
          <w:lang w:eastAsia="zh-CN"/>
        </w:rPr>
      </w:pPr>
      <w:r w:rsidRPr="00D47C1A">
        <w:rPr>
          <w:rFonts w:asciiTheme="minorHAnsi" w:eastAsia="STKaiti" w:hAnsiTheme="minorHAnsi" w:cstheme="minorHAnsi"/>
          <w:lang w:val="zh-CN" w:eastAsia="zh-CN"/>
        </w:rPr>
        <w:t>国际电联管理层意见：国际电联转型计划采用的项目组合管理方法是根据业务准备情况、所需资源、收益和成本来选择实施举措。项目任务需明确目标、收益和可衡量的</w:t>
      </w:r>
      <w:r w:rsidRPr="00D47C1A">
        <w:rPr>
          <w:rFonts w:asciiTheme="minorHAnsi" w:eastAsia="STKaiti" w:hAnsiTheme="minorHAnsi" w:cstheme="minorHAnsi"/>
          <w:lang w:val="zh-CN" w:eastAsia="zh-CN"/>
        </w:rPr>
        <w:t>KPI</w:t>
      </w:r>
      <w:r w:rsidRPr="00D47C1A">
        <w:rPr>
          <w:rFonts w:asciiTheme="minorHAnsi" w:eastAsia="STKaiti" w:hAnsiTheme="minorHAnsi" w:cstheme="minorHAnsi"/>
          <w:lang w:val="zh-CN" w:eastAsia="zh-CN"/>
        </w:rPr>
        <w:t>，这些将在项目开始时设定基线，并在项目实施期间和实施之后进行衡量。</w:t>
      </w:r>
    </w:p>
    <w:p w14:paraId="0A3F9696" w14:textId="77777777" w:rsidR="00F912F4" w:rsidRPr="00D47C1A" w:rsidRDefault="00F912F4" w:rsidP="00D47C1A">
      <w:pPr>
        <w:pStyle w:val="Heading2"/>
        <w:numPr>
          <w:ilvl w:val="0"/>
          <w:numId w:val="0"/>
        </w:numPr>
        <w:rPr>
          <w:rFonts w:asciiTheme="minorHAnsi" w:eastAsia="SimSun" w:hAnsiTheme="minorHAnsi" w:cstheme="minorHAnsi"/>
          <w:b w:val="0"/>
          <w:bCs/>
          <w:sz w:val="40"/>
          <w:szCs w:val="40"/>
          <w:lang w:eastAsia="zh-CN"/>
        </w:rPr>
      </w:pPr>
      <w:bookmarkStart w:id="52" w:name="_Toc200718079"/>
      <w:r w:rsidRPr="00DA3420">
        <w:rPr>
          <w:rFonts w:asciiTheme="minorHAnsi" w:eastAsia="SimSun" w:hAnsiTheme="minorHAnsi" w:cstheme="minorHAnsi"/>
          <w:b w:val="0"/>
          <w:bCs/>
          <w:sz w:val="40"/>
          <w:szCs w:val="40"/>
          <w:lang w:eastAsia="zh-CN"/>
        </w:rPr>
        <w:t>新办公楼项目</w:t>
      </w:r>
      <w:bookmarkEnd w:id="52"/>
    </w:p>
    <w:p w14:paraId="4480BCFA" w14:textId="77777777" w:rsidR="00F912F4" w:rsidRPr="00D47C1A" w:rsidRDefault="00F912F4" w:rsidP="00D47C1A">
      <w:pPr>
        <w:pStyle w:val="Heading5"/>
        <w:numPr>
          <w:ilvl w:val="0"/>
          <w:numId w:val="0"/>
        </w:numPr>
        <w:rPr>
          <w:rFonts w:asciiTheme="minorHAnsi" w:eastAsia="SimSun" w:hAnsiTheme="minorHAnsi" w:cstheme="minorHAnsi"/>
          <w:b/>
          <w:bCs/>
          <w:i w:val="0"/>
          <w:iCs/>
          <w:sz w:val="28"/>
          <w:szCs w:val="28"/>
          <w:lang w:eastAsia="zh-CN"/>
        </w:rPr>
      </w:pPr>
      <w:r w:rsidRPr="00DA3420">
        <w:rPr>
          <w:rFonts w:asciiTheme="minorHAnsi" w:eastAsia="SimSun" w:hAnsiTheme="minorHAnsi" w:cstheme="minorHAnsi"/>
          <w:b/>
          <w:bCs/>
          <w:i w:val="0"/>
          <w:iCs/>
          <w:sz w:val="28"/>
          <w:szCs w:val="28"/>
          <w:lang w:eastAsia="zh-CN"/>
        </w:rPr>
        <w:t>背景</w:t>
      </w:r>
    </w:p>
    <w:p w14:paraId="19DE9D69" w14:textId="4EAD4AC0" w:rsidR="00F912F4" w:rsidRPr="00D47C1A" w:rsidRDefault="00F912F4" w:rsidP="00D47C1A">
      <w:pPr>
        <w:keepNext/>
        <w:keepLines/>
        <w:tabs>
          <w:tab w:val="left" w:pos="774"/>
        </w:tabs>
        <w:rPr>
          <w:rFonts w:asciiTheme="minorHAnsi" w:eastAsia="SimSun" w:hAnsiTheme="minorHAnsi" w:cstheme="minorHAnsi"/>
          <w:lang w:eastAsia="zh-CN"/>
        </w:rPr>
      </w:pPr>
      <w:bookmarkStart w:id="53" w:name="_Hlk167738796"/>
      <w:r w:rsidRPr="00D47C1A">
        <w:rPr>
          <w:rFonts w:asciiTheme="minorHAnsi" w:eastAsia="SimSun" w:hAnsiTheme="minorHAnsi" w:cstheme="minorHAnsi"/>
          <w:b/>
          <w:bCs/>
          <w:lang w:val="zh-CN" w:eastAsia="zh-CN"/>
        </w:rPr>
        <w:t>3.10</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根据理事会第</w:t>
      </w:r>
      <w:r w:rsidRPr="00D47C1A">
        <w:rPr>
          <w:rFonts w:asciiTheme="minorHAnsi" w:eastAsia="SimSun" w:hAnsiTheme="minorHAnsi" w:cstheme="minorHAnsi"/>
          <w:lang w:val="zh-CN" w:eastAsia="zh-CN"/>
        </w:rPr>
        <w:t>640</w:t>
      </w:r>
      <w:r w:rsidRPr="00D47C1A">
        <w:rPr>
          <w:rFonts w:asciiTheme="minorHAnsi" w:eastAsia="SimSun" w:hAnsiTheme="minorHAnsi" w:cstheme="minorHAnsi"/>
          <w:lang w:val="zh-CN" w:eastAsia="zh-CN"/>
        </w:rPr>
        <w:t>号决定（</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年），国际电联秘书处已开始从初始设计阶段过渡到重新确定范围的新</w:t>
      </w:r>
      <w:r w:rsidRPr="00D47C1A">
        <w:rPr>
          <w:rFonts w:asciiTheme="minorHAnsi" w:eastAsia="SimSun" w:hAnsiTheme="minorHAnsi" w:cstheme="minorHAnsi"/>
          <w:lang w:val="zh-CN" w:eastAsia="zh-CN"/>
        </w:rPr>
        <w:t>Varembé</w:t>
      </w:r>
      <w:r w:rsidRPr="00D47C1A">
        <w:rPr>
          <w:rFonts w:asciiTheme="minorHAnsi" w:eastAsia="SimSun" w:hAnsiTheme="minorHAnsi" w:cstheme="minorHAnsi"/>
          <w:lang w:val="zh-CN" w:eastAsia="zh-CN"/>
        </w:rPr>
        <w:t>办公楼项目启动阶段。与原建筑师和工程公司的合同已于</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11</w:t>
      </w:r>
      <w:r w:rsidRPr="00D47C1A">
        <w:rPr>
          <w:rFonts w:asciiTheme="minorHAnsi" w:eastAsia="SimSun" w:hAnsiTheme="minorHAnsi" w:cstheme="minorHAnsi"/>
          <w:lang w:val="zh-CN" w:eastAsia="zh-CN"/>
        </w:rPr>
        <w:t>月终止，所有合同项下的财务义务均已结清。同样，与项目管理服务相关的费用也已结清，计划于</w:t>
      </w:r>
      <w:r w:rsidRPr="00D47C1A">
        <w:rPr>
          <w:rFonts w:asciiTheme="minorHAnsi" w:eastAsia="SimSun" w:hAnsiTheme="minorHAnsi" w:cstheme="minorHAnsi"/>
          <w:lang w:val="zh-CN" w:eastAsia="zh-CN"/>
        </w:rPr>
        <w:t>2025</w:t>
      </w:r>
      <w:r w:rsidRPr="00D47C1A">
        <w:rPr>
          <w:rFonts w:asciiTheme="minorHAnsi" w:eastAsia="SimSun" w:hAnsiTheme="minorHAnsi" w:cstheme="minorHAnsi"/>
          <w:lang w:val="zh-CN" w:eastAsia="zh-CN"/>
        </w:rPr>
        <w:t>年对项目管理服务进行新的招标。国际电联报告指出，初始设计阶段的最后终止费用为</w:t>
      </w:r>
      <w:r w:rsidRPr="00D47C1A">
        <w:rPr>
          <w:rFonts w:asciiTheme="minorHAnsi" w:eastAsia="SimSun" w:hAnsiTheme="minorHAnsi" w:cstheme="minorHAnsi"/>
          <w:lang w:val="zh-CN" w:eastAsia="zh-CN"/>
        </w:rPr>
        <w:t>2</w:t>
      </w:r>
      <w:r w:rsidR="00E371C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220</w:t>
      </w:r>
      <w:r w:rsidRPr="00D47C1A">
        <w:rPr>
          <w:rFonts w:asciiTheme="minorHAnsi" w:eastAsia="SimSun" w:hAnsiTheme="minorHAnsi" w:cstheme="minorHAnsi"/>
          <w:lang w:val="zh-CN" w:eastAsia="zh-CN"/>
        </w:rPr>
        <w:t>万瑞郎，而预期为</w:t>
      </w:r>
      <w:r w:rsidRPr="00D47C1A">
        <w:rPr>
          <w:rFonts w:asciiTheme="minorHAnsi" w:eastAsia="SimSun" w:hAnsiTheme="minorHAnsi" w:cstheme="minorHAnsi"/>
          <w:lang w:val="zh-CN" w:eastAsia="zh-CN"/>
        </w:rPr>
        <w:t>2</w:t>
      </w:r>
      <w:r w:rsidR="00E371C6">
        <w:rPr>
          <w:rFonts w:asciiTheme="minorHAnsi" w:eastAsia="SimSun" w:hAnsiTheme="minorHAnsi" w:cstheme="minorHAnsi"/>
          <w:lang w:val="zh-CN" w:eastAsia="zh-CN"/>
        </w:rPr>
        <w:t> </w:t>
      </w:r>
      <w:r w:rsidRPr="00D47C1A">
        <w:rPr>
          <w:rFonts w:asciiTheme="minorHAnsi" w:eastAsia="SimSun" w:hAnsiTheme="minorHAnsi" w:cstheme="minorHAnsi"/>
          <w:lang w:val="zh-CN" w:eastAsia="zh-CN"/>
        </w:rPr>
        <w:t>270</w:t>
      </w:r>
      <w:r w:rsidRPr="00D47C1A">
        <w:rPr>
          <w:rFonts w:asciiTheme="minorHAnsi" w:eastAsia="SimSun" w:hAnsiTheme="minorHAnsi" w:cstheme="minorHAnsi"/>
          <w:lang w:val="zh-CN" w:eastAsia="zh-CN"/>
        </w:rPr>
        <w:t>万瑞郎，未使用的资金划拨给了新项目的应急储备金。财务报表（注释</w:t>
      </w:r>
      <w:r w:rsidRPr="00D47C1A">
        <w:rPr>
          <w:rFonts w:asciiTheme="minorHAnsi" w:eastAsia="SimSun" w:hAnsiTheme="minorHAnsi" w:cstheme="minorHAnsi"/>
          <w:lang w:val="zh-CN" w:eastAsia="zh-CN"/>
        </w:rPr>
        <w:t>12</w:t>
      </w:r>
      <w:r w:rsidRPr="00D47C1A">
        <w:rPr>
          <w:rFonts w:asciiTheme="minorHAnsi" w:eastAsia="SimSun" w:hAnsiTheme="minorHAnsi" w:cstheme="minorHAnsi"/>
          <w:lang w:val="zh-CN" w:eastAsia="zh-CN"/>
        </w:rPr>
        <w:t>）包括了新办公楼最初资本化成本减值的详细信息。各位成员或许还记得，我们对</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年财务报表的审计意见强调了与该资产可能发生减值相关的事项。我们感到满意的是，这些成本的减值已被正确确认并反映了</w:t>
      </w:r>
      <w:r w:rsidRPr="00D47C1A">
        <w:rPr>
          <w:rFonts w:asciiTheme="minorHAnsi" w:eastAsia="SimSun" w:hAnsiTheme="minorHAnsi" w:cstheme="minorHAnsi"/>
          <w:lang w:val="zh-CN" w:eastAsia="zh-CN"/>
        </w:rPr>
        <w:t>IPSAS</w:t>
      </w:r>
      <w:r w:rsidRPr="00D47C1A">
        <w:rPr>
          <w:rFonts w:asciiTheme="minorHAnsi" w:eastAsia="SimSun" w:hAnsiTheme="minorHAnsi" w:cstheme="minorHAnsi"/>
          <w:lang w:val="zh-CN" w:eastAsia="zh-CN"/>
        </w:rPr>
        <w:t>财务报告要求，因为这些成本对国际电联不再具有价值。</w:t>
      </w:r>
    </w:p>
    <w:p w14:paraId="0C498FC7"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3.11</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针对新项目，制定了完善的项目简报并在内部和用户中分享，并通过焦点组让代表和职员参与其中。我们目前仍不清楚详细的商业案例和需求评估，因此重申此前的建议。国际电联有必要明确列出项目的效益，以便成员国能够在项目完成后据此衡量项目是否取得成功以及资金带来的价值。我们注意到，该项目现已进入竞争性资格预审和招标程序，以遴选新的规划和设计公司。这一流程于</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年底启动，预计将于</w:t>
      </w:r>
      <w:r w:rsidRPr="00D47C1A">
        <w:rPr>
          <w:rFonts w:asciiTheme="minorHAnsi" w:eastAsia="SimSun" w:hAnsiTheme="minorHAnsi" w:cstheme="minorHAnsi"/>
          <w:lang w:val="zh-CN" w:eastAsia="zh-CN"/>
        </w:rPr>
        <w:t>2025</w:t>
      </w:r>
      <w:r w:rsidRPr="00D47C1A">
        <w:rPr>
          <w:rFonts w:asciiTheme="minorHAnsi" w:eastAsia="SimSun" w:hAnsiTheme="minorHAnsi" w:cstheme="minorHAnsi"/>
          <w:lang w:val="zh-CN" w:eastAsia="zh-CN"/>
        </w:rPr>
        <w:t>年第一季度完成最终遴选。截至本报告撰写时，国际电联正在对投标文件进行评估。</w:t>
      </w:r>
    </w:p>
    <w:p w14:paraId="7D1D7578" w14:textId="77777777" w:rsidR="00F912F4" w:rsidRPr="00D47C1A" w:rsidRDefault="00F912F4" w:rsidP="00E371C6">
      <w:pPr>
        <w:keepLines/>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lastRenderedPageBreak/>
        <w:t>3.12</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国际电联已告知我们，与东道国的相关讨论正在进行中，但东道国已确认，国际电联可将贷款金额用于</w:t>
      </w:r>
      <w:r w:rsidRPr="00D47C1A">
        <w:rPr>
          <w:rFonts w:asciiTheme="minorHAnsi" w:eastAsia="SimSun" w:hAnsiTheme="minorHAnsi" w:cstheme="minorHAnsi"/>
          <w:lang w:val="zh-CN" w:eastAsia="zh-CN"/>
        </w:rPr>
        <w:t>2025</w:t>
      </w:r>
      <w:r w:rsidRPr="00D47C1A">
        <w:rPr>
          <w:rFonts w:asciiTheme="minorHAnsi" w:eastAsia="SimSun" w:hAnsiTheme="minorHAnsi" w:cstheme="minorHAnsi"/>
          <w:lang w:val="zh-CN" w:eastAsia="zh-CN"/>
        </w:rPr>
        <w:t>年为其总部办公场所开发备选的经重新评估的项目。正式的贷款用途调整程序将在国际电联提交详细的技术文件后启动。赞助安排也在积极管理中，三家赞助商已重申其对项目的支持，一家赞助商退出了原定</w:t>
      </w:r>
      <w:r w:rsidRPr="00D47C1A">
        <w:rPr>
          <w:rFonts w:asciiTheme="minorHAnsi" w:eastAsia="SimSun" w:hAnsiTheme="minorHAnsi" w:cstheme="minorHAnsi"/>
          <w:lang w:val="zh-CN" w:eastAsia="zh-CN"/>
        </w:rPr>
        <w:t>500</w:t>
      </w:r>
      <w:r w:rsidRPr="00D47C1A">
        <w:rPr>
          <w:rFonts w:asciiTheme="minorHAnsi" w:eastAsia="SimSun" w:hAnsiTheme="minorHAnsi" w:cstheme="minorHAnsi"/>
          <w:lang w:val="zh-CN" w:eastAsia="zh-CN"/>
        </w:rPr>
        <w:t>万瑞郎的协议，这笔退款已在</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年财务报表（注释</w:t>
      </w:r>
      <w:r w:rsidRPr="00D47C1A">
        <w:rPr>
          <w:rFonts w:asciiTheme="minorHAnsi" w:eastAsia="SimSun" w:hAnsiTheme="minorHAnsi" w:cstheme="minorHAnsi"/>
          <w:lang w:val="zh-CN" w:eastAsia="zh-CN"/>
        </w:rPr>
        <w:t>17</w:t>
      </w:r>
      <w:r w:rsidRPr="00D47C1A">
        <w:rPr>
          <w:rFonts w:asciiTheme="minorHAnsi" w:eastAsia="SimSun" w:hAnsiTheme="minorHAnsi" w:cstheme="minorHAnsi"/>
          <w:lang w:val="zh-CN" w:eastAsia="zh-CN"/>
        </w:rPr>
        <w:t>）中列支。管理层正在继续与捐助方就未来协议进行讨论。</w:t>
      </w:r>
    </w:p>
    <w:p w14:paraId="6E3074ED"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3.13</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秘书处继续与成员国顾问组（</w:t>
      </w:r>
      <w:r w:rsidRPr="00D47C1A">
        <w:rPr>
          <w:rFonts w:asciiTheme="minorHAnsi" w:eastAsia="SimSun" w:hAnsiTheme="minorHAnsi" w:cstheme="minorHAnsi"/>
          <w:lang w:val="zh-CN" w:eastAsia="zh-CN"/>
        </w:rPr>
        <w:t>MSAG</w:t>
      </w:r>
      <w:r w:rsidRPr="00D47C1A">
        <w:rPr>
          <w:rFonts w:asciiTheme="minorHAnsi" w:eastAsia="SimSun" w:hAnsiTheme="minorHAnsi" w:cstheme="minorHAnsi"/>
          <w:lang w:val="zh-CN" w:eastAsia="zh-CN"/>
        </w:rPr>
        <w:t>）协作，并由一个成员国提供的一名外部技术专家予以支持。如我们在</w:t>
      </w:r>
      <w:r w:rsidRPr="00D47C1A">
        <w:rPr>
          <w:rFonts w:asciiTheme="minorHAnsi" w:eastAsia="SimSun" w:hAnsiTheme="minorHAnsi" w:cstheme="minorHAnsi"/>
          <w:lang w:val="zh-CN" w:eastAsia="zh-CN"/>
        </w:rPr>
        <w:t>2022</w:t>
      </w:r>
      <w:r w:rsidRPr="00D47C1A">
        <w:rPr>
          <w:rFonts w:asciiTheme="minorHAnsi" w:eastAsia="SimSun" w:hAnsiTheme="minorHAnsi" w:cstheme="minorHAnsi"/>
          <w:lang w:val="zh-CN" w:eastAsia="zh-CN"/>
        </w:rPr>
        <w:t>年和</w:t>
      </w:r>
      <w:r w:rsidRPr="00D47C1A">
        <w:rPr>
          <w:rFonts w:asciiTheme="minorHAnsi" w:eastAsia="SimSun" w:hAnsiTheme="minorHAnsi" w:cstheme="minorHAnsi"/>
          <w:lang w:val="zh-CN" w:eastAsia="zh-CN"/>
        </w:rPr>
        <w:t>2023</w:t>
      </w:r>
      <w:r w:rsidRPr="00D47C1A">
        <w:rPr>
          <w:rFonts w:asciiTheme="minorHAnsi" w:eastAsia="SimSun" w:hAnsiTheme="minorHAnsi" w:cstheme="minorHAnsi"/>
          <w:lang w:val="zh-CN" w:eastAsia="zh-CN"/>
        </w:rPr>
        <w:t>年向理事会提交的报告中强调的，我们重申明确治理与保障安排的重要性，其目的就是使成员对项目的成本、风险缓解和整体进展充满信心。在注意到已经做出的安排的同时，我们继续强调投入足够的资源为如此规模和如此重要的项目提供适当水平的专家和独立评估的重要性。</w:t>
      </w:r>
      <w:r w:rsidRPr="00D47C1A">
        <w:rPr>
          <w:rFonts w:asciiTheme="minorHAnsi" w:eastAsia="SimSun" w:hAnsiTheme="minorHAnsi" w:cstheme="minorHAnsi"/>
          <w:b/>
          <w:bCs/>
          <w:lang w:val="zh-CN" w:eastAsia="zh-CN"/>
        </w:rPr>
        <w:t>我们重申</w:t>
      </w:r>
      <w:r w:rsidRPr="00D47C1A">
        <w:rPr>
          <w:rFonts w:asciiTheme="minorHAnsi" w:eastAsia="SimSun" w:hAnsiTheme="minorHAnsi" w:cstheme="minorHAnsi"/>
          <w:b/>
          <w:bCs/>
          <w:lang w:val="zh-CN" w:eastAsia="zh-CN"/>
        </w:rPr>
        <w:t>2022</w:t>
      </w:r>
      <w:r w:rsidRPr="00D47C1A">
        <w:rPr>
          <w:rFonts w:asciiTheme="minorHAnsi" w:eastAsia="SimSun" w:hAnsiTheme="minorHAnsi" w:cstheme="minorHAnsi"/>
          <w:b/>
          <w:bCs/>
          <w:lang w:val="zh-CN" w:eastAsia="zh-CN"/>
        </w:rPr>
        <w:t>年的建议（中期报告</w:t>
      </w:r>
      <w:r w:rsidRPr="00D47C1A">
        <w:rPr>
          <w:rFonts w:asciiTheme="minorHAnsi" w:eastAsia="SimSun" w:hAnsiTheme="minorHAnsi" w:cstheme="minorHAnsi"/>
          <w:b/>
          <w:bCs/>
          <w:lang w:val="zh-CN" w:eastAsia="zh-CN"/>
        </w:rPr>
        <w:t>R8</w:t>
      </w:r>
      <w:r w:rsidRPr="00D47C1A">
        <w:rPr>
          <w:rFonts w:asciiTheme="minorHAnsi" w:eastAsia="SimSun" w:hAnsiTheme="minorHAnsi" w:cstheme="minorHAnsi"/>
          <w:b/>
          <w:bCs/>
          <w:lang w:val="zh-CN" w:eastAsia="zh-CN"/>
        </w:rPr>
        <w:t>），国际电联应审查治理和保障安排，并定期确认项目是否得到适当管理、资源配备和执行，从而确保查明和减轻重要资本项目的风险。</w:t>
      </w:r>
    </w:p>
    <w:p w14:paraId="54029D82"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3.14</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除了需要充分的项目保障外，我们还继续强调，清晰、准确和有保障的项目进展和支出数据十分重要。国际电联应从最初的项目管理和报告中吸取经验教训。这将增强利益攸关方的信心，并更好地使管理层确保适当的控制和报告机制到位。鉴于从初始项目计划中注销的成本很高，严格的成本管理和控制至关重要。管理层向我们提供了经验总结，我们注意到，这项工作是由在项目初始阶段与国际电联合作的施工咨询公司进行的。我们认为，这一过程存在着缺乏足够的独立性和客观性的风险，没有全面审查所有治理方面的经验教训，如保障、报告和成本控制。</w:t>
      </w:r>
    </w:p>
    <w:p w14:paraId="03617659"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国际电联应：</w:t>
      </w:r>
    </w:p>
    <w:p w14:paraId="4D05D9F2"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14</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R14</w:t>
      </w:r>
      <w:r w:rsidRPr="00D47C1A">
        <w:rPr>
          <w:rFonts w:asciiTheme="minorHAnsi" w:eastAsia="SimSun" w:hAnsiTheme="minorHAnsi" w:cstheme="minorHAnsi"/>
          <w:b/>
          <w:bCs/>
          <w:lang w:val="zh-CN" w:eastAsia="zh-CN"/>
        </w:rPr>
        <w:t>）：认真审查经验总结工作的完整性和客观性，确保项目管理、治理和监督的所有要素都得到充分考虑，并为项目治理和控制的最佳做法奠定基础。</w:t>
      </w:r>
    </w:p>
    <w:p w14:paraId="7486F9CB" w14:textId="77777777" w:rsidR="00F912F4" w:rsidRPr="00E16D3F" w:rsidRDefault="00F912F4" w:rsidP="00D47C1A">
      <w:pPr>
        <w:rPr>
          <w:rStyle w:val="Italic"/>
          <w:rFonts w:asciiTheme="minorHAnsi" w:eastAsia="SimSun" w:hAnsiTheme="minorHAnsi" w:cstheme="minorHAnsi"/>
          <w:i w:val="0"/>
          <w:iCs w:val="0"/>
          <w:lang w:eastAsia="zh-CN"/>
        </w:rPr>
      </w:pPr>
      <w:r w:rsidRPr="00D47C1A">
        <w:rPr>
          <w:rFonts w:asciiTheme="minorHAnsi" w:eastAsia="STKaiti" w:hAnsiTheme="minorHAnsi" w:cstheme="minorHAnsi"/>
          <w:lang w:val="zh-CN" w:eastAsia="zh-CN"/>
        </w:rPr>
        <w:t>国际电联管理层意见：经验总结工作的主要目标是评估初始设计阶段采购和订立合同策略方面遇到的挑战、风险和障碍，并确定需要改进的领域，以免重蹈覆辙。经验总结的成果将被视为新</w:t>
      </w:r>
      <w:r w:rsidRPr="00D47C1A">
        <w:rPr>
          <w:rFonts w:asciiTheme="minorHAnsi" w:eastAsia="STKaiti" w:hAnsiTheme="minorHAnsi" w:cstheme="minorHAnsi"/>
          <w:lang w:val="zh-CN" w:eastAsia="zh-CN"/>
        </w:rPr>
        <w:t>Varembé</w:t>
      </w:r>
      <w:r w:rsidRPr="00D47C1A">
        <w:rPr>
          <w:rFonts w:asciiTheme="minorHAnsi" w:eastAsia="STKaiti" w:hAnsiTheme="minorHAnsi" w:cstheme="minorHAnsi"/>
          <w:lang w:val="zh-CN" w:eastAsia="zh-CN"/>
        </w:rPr>
        <w:t>办公楼项目交付新战略的输入意见。根据</w:t>
      </w:r>
      <w:r w:rsidRPr="00D47C1A">
        <w:rPr>
          <w:rFonts w:asciiTheme="minorHAnsi" w:eastAsia="STKaiti" w:hAnsiTheme="minorHAnsi" w:cstheme="minorHAnsi"/>
          <w:lang w:val="zh-CN" w:eastAsia="zh-CN"/>
        </w:rPr>
        <w:t>IMAC</w:t>
      </w:r>
      <w:r w:rsidRPr="00D47C1A">
        <w:rPr>
          <w:rFonts w:asciiTheme="minorHAnsi" w:eastAsia="STKaiti" w:hAnsiTheme="minorHAnsi" w:cstheme="minorHAnsi"/>
          <w:lang w:val="zh-CN" w:eastAsia="zh-CN"/>
        </w:rPr>
        <w:t>和审计员的建议，已经制定了项目治理框架，以简化决策过程，同时保持问责制。这一新的治理框架将在与</w:t>
      </w:r>
      <w:r w:rsidRPr="00D47C1A">
        <w:rPr>
          <w:rFonts w:asciiTheme="minorHAnsi" w:eastAsia="STKaiti" w:hAnsiTheme="minorHAnsi" w:cstheme="minorHAnsi"/>
          <w:lang w:val="zh-CN" w:eastAsia="zh-CN"/>
        </w:rPr>
        <w:t>MSAG</w:t>
      </w:r>
      <w:r w:rsidRPr="00D47C1A">
        <w:rPr>
          <w:rFonts w:asciiTheme="minorHAnsi" w:eastAsia="STKaiti" w:hAnsiTheme="minorHAnsi" w:cstheme="minorHAnsi"/>
          <w:lang w:val="zh-CN" w:eastAsia="zh-CN"/>
        </w:rPr>
        <w:t>磋商并经</w:t>
      </w:r>
      <w:r w:rsidRPr="00D47C1A">
        <w:rPr>
          <w:rFonts w:asciiTheme="minorHAnsi" w:eastAsia="STKaiti" w:hAnsiTheme="minorHAnsi" w:cstheme="minorHAnsi"/>
          <w:lang w:val="zh-CN" w:eastAsia="zh-CN"/>
        </w:rPr>
        <w:t>CoCo</w:t>
      </w:r>
      <w:r w:rsidRPr="00D47C1A">
        <w:rPr>
          <w:rFonts w:asciiTheme="minorHAnsi" w:eastAsia="STKaiti" w:hAnsiTheme="minorHAnsi" w:cstheme="minorHAnsi"/>
          <w:lang w:val="zh-CN" w:eastAsia="zh-CN"/>
        </w:rPr>
        <w:t>批准后实施。此外，项目管理计划将根据以往的经验和最佳做法进行审查，并在通过之前寻求</w:t>
      </w:r>
      <w:r w:rsidRPr="00D47C1A">
        <w:rPr>
          <w:rFonts w:asciiTheme="minorHAnsi" w:eastAsia="STKaiti" w:hAnsiTheme="minorHAnsi" w:cstheme="minorHAnsi"/>
          <w:lang w:val="zh-CN" w:eastAsia="zh-CN"/>
        </w:rPr>
        <w:t>IMAC</w:t>
      </w:r>
      <w:r w:rsidRPr="00D47C1A">
        <w:rPr>
          <w:rFonts w:asciiTheme="minorHAnsi" w:eastAsia="STKaiti" w:hAnsiTheme="minorHAnsi" w:cstheme="minorHAnsi"/>
          <w:lang w:val="zh-CN" w:eastAsia="zh-CN"/>
        </w:rPr>
        <w:t>和</w:t>
      </w:r>
      <w:r w:rsidRPr="00D47C1A">
        <w:rPr>
          <w:rFonts w:asciiTheme="minorHAnsi" w:eastAsia="STKaiti" w:hAnsiTheme="minorHAnsi" w:cstheme="minorHAnsi"/>
          <w:lang w:val="zh-CN" w:eastAsia="zh-CN"/>
        </w:rPr>
        <w:t>NAO</w:t>
      </w:r>
      <w:r w:rsidRPr="00D47C1A">
        <w:rPr>
          <w:rFonts w:asciiTheme="minorHAnsi" w:eastAsia="STKaiti" w:hAnsiTheme="minorHAnsi" w:cstheme="minorHAnsi"/>
          <w:lang w:val="zh-CN" w:eastAsia="zh-CN"/>
        </w:rPr>
        <w:t>的指导。</w:t>
      </w:r>
    </w:p>
    <w:p w14:paraId="7929DBA0" w14:textId="77777777" w:rsidR="00F912F4" w:rsidRPr="00E371C6" w:rsidRDefault="00F912F4" w:rsidP="00E371C6">
      <w:pPr>
        <w:pStyle w:val="Headingb"/>
        <w:rPr>
          <w:lang w:eastAsia="zh-CN"/>
        </w:rPr>
      </w:pPr>
      <w:bookmarkStart w:id="54" w:name="_Toc200718080"/>
      <w:r w:rsidRPr="00E371C6">
        <w:rPr>
          <w:rFonts w:hint="eastAsia"/>
          <w:lang w:eastAsia="zh-CN"/>
        </w:rPr>
        <w:t>国际电联日内瓦园区战略规划</w:t>
      </w:r>
      <w:bookmarkEnd w:id="54"/>
    </w:p>
    <w:p w14:paraId="55DB8521" w14:textId="70656A0B"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3.15</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国际电联制定了</w:t>
      </w:r>
      <w:r w:rsidR="00D47C1A" w:rsidRPr="00D47C1A">
        <w:rPr>
          <w:rFonts w:ascii="SimSun" w:eastAsia="SimSun" w:hAnsi="SimSun" w:cstheme="minorHAnsi"/>
          <w:lang w:val="zh-CN" w:eastAsia="zh-CN"/>
        </w:rPr>
        <w:t>“</w:t>
      </w:r>
      <w:r w:rsidRPr="00D47C1A">
        <w:rPr>
          <w:rFonts w:asciiTheme="minorHAnsi" w:eastAsia="SimSun" w:hAnsiTheme="minorHAnsi" w:cstheme="minorHAnsi"/>
          <w:lang w:val="zh-CN" w:eastAsia="zh-CN"/>
        </w:rPr>
        <w:t>国际电联日内瓦园区战略规划</w:t>
      </w:r>
      <w:r w:rsidR="00D47C1A" w:rsidRPr="00D47C1A">
        <w:rPr>
          <w:rFonts w:ascii="SimSun" w:eastAsia="SimSun" w:hAnsi="SimSun" w:cstheme="minorHAnsi"/>
          <w:lang w:val="zh-CN" w:eastAsia="zh-CN"/>
        </w:rPr>
        <w:t>”</w:t>
      </w:r>
      <w:r w:rsidRPr="00D47C1A">
        <w:rPr>
          <w:rFonts w:asciiTheme="minorHAnsi" w:eastAsia="SimSun" w:hAnsiTheme="minorHAnsi" w:cstheme="minorHAnsi"/>
          <w:lang w:val="zh-CN" w:eastAsia="zh-CN"/>
        </w:rPr>
        <w:t>初稿（</w:t>
      </w:r>
      <w:hyperlink r:id="rId18" w:history="1">
        <w:r w:rsidRPr="00D47C1A">
          <w:rPr>
            <w:rStyle w:val="Hyperlink"/>
            <w:rFonts w:asciiTheme="minorHAnsi" w:hAnsiTheme="minorHAnsi" w:cstheme="minorHAnsi"/>
            <w:lang w:eastAsia="zh-CN"/>
          </w:rPr>
          <w:t>CWG-FHR-20/8</w:t>
        </w:r>
      </w:hyperlink>
      <w:r w:rsidRPr="00D47C1A">
        <w:rPr>
          <w:rFonts w:asciiTheme="minorHAnsi" w:eastAsia="SimSun" w:hAnsiTheme="minorHAnsi" w:cstheme="minorHAnsi"/>
          <w:lang w:val="zh-CN" w:eastAsia="zh-CN"/>
        </w:rPr>
        <w:t>），于</w:t>
      </w:r>
      <w:r w:rsidRPr="00D47C1A">
        <w:rPr>
          <w:rFonts w:asciiTheme="minorHAnsi" w:eastAsia="SimSun" w:hAnsiTheme="minorHAnsi" w:cstheme="minorHAnsi"/>
          <w:lang w:val="zh-CN" w:eastAsia="zh-CN"/>
        </w:rPr>
        <w:t>2025</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2</w:t>
      </w:r>
      <w:r w:rsidRPr="00D47C1A">
        <w:rPr>
          <w:rFonts w:asciiTheme="minorHAnsi" w:eastAsia="SimSun" w:hAnsiTheme="minorHAnsi" w:cstheme="minorHAnsi"/>
          <w:lang w:val="zh-CN" w:eastAsia="zh-CN"/>
        </w:rPr>
        <w:t>月提交给理事会财务和人力资源工作组。该文件阐述了一项长期愿景，旨在使国际电联物理基础设施与其战略目标和运作需求保持一致，同时应对其老化园区在财务和功能方面所面临的挑战。</w:t>
      </w:r>
    </w:p>
    <w:p w14:paraId="618F3481"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3.16</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该战略规划基于一系列指导原则，包括财务可行性、环境可持续性、技术整合、灵活和以人为本的工作场所设计以及追求协作机会。秘书处已通过利用占用率研究、职员反馈、基准和初步财务分析，征集支持其方法的数据。通过更有效地利用现有办公楼和灵活的工作模式来整合工作场所和会议需求的提案反映了其他公共部门组织寻求优化利用其不动产的做法。</w:t>
      </w:r>
    </w:p>
    <w:p w14:paraId="4DDE19D2"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lastRenderedPageBreak/>
        <w:t>3.17</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在审查该战略时，我们注意到，该战略未能充分关注最为重要的结构性财务考虑因素中的一个因素：在日内瓦维持总部运营和维护的高昂成本。虽然简要提及了分散化、区域化和运作效率可能带来的影响，但并未进行详细分析，以评估某些职能是否可以从联合国系统内或混合运作模式下的低成本地点以更经济有效的方式提供。</w:t>
      </w:r>
    </w:p>
    <w:p w14:paraId="5C9168C6" w14:textId="77777777" w:rsidR="00F912F4" w:rsidRPr="00D47C1A" w:rsidRDefault="00F912F4" w:rsidP="00DA3420">
      <w:pPr>
        <w:keepLines/>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3.18</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在进一步制定园区战略时，我们认为有必要对分散化方案进行深入的情景分析。这包括审查非核心或后台职能搬迁的可行性和成本效益。分析还可包括确定潜在候选地点，可能考虑国际电联现有代表处，并评估此举对服务提供和协调可能产生的任何潜在影响。在下一规划阶段纳入这些考虑因素将表明国际电联致力于确保其支持职能高效运行，并最大限度地利用资源来有效实现核心业务目标。</w:t>
      </w:r>
    </w:p>
    <w:p w14:paraId="516D6BD0"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3.19</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虽然园区战略规划初稿结构合理，在某些方面具有前瞻性，但</w:t>
      </w:r>
      <w:r w:rsidRPr="00D47C1A">
        <w:rPr>
          <w:rFonts w:asciiTheme="minorHAnsi" w:eastAsia="SimSun" w:hAnsiTheme="minorHAnsi" w:cstheme="minorHAnsi"/>
          <w:b/>
          <w:bCs/>
          <w:lang w:val="zh-CN" w:eastAsia="zh-CN"/>
        </w:rPr>
        <w:t>国际电联应：</w:t>
      </w:r>
    </w:p>
    <w:bookmarkEnd w:id="53"/>
    <w:p w14:paraId="6DCDFC60" w14:textId="77777777" w:rsidR="00F912F4" w:rsidRPr="00D47C1A" w:rsidRDefault="00F912F4" w:rsidP="00D47C1A">
      <w:pPr>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15</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R15</w:t>
      </w:r>
      <w:r w:rsidRPr="00D47C1A">
        <w:rPr>
          <w:rFonts w:asciiTheme="minorHAnsi" w:eastAsia="SimSun" w:hAnsiTheme="minorHAnsi" w:cstheme="minorHAnsi"/>
          <w:b/>
          <w:bCs/>
          <w:lang w:val="zh-CN" w:eastAsia="zh-CN"/>
        </w:rPr>
        <w:t>）：更全面地探讨其地理布局和相关成本影响。此类分析应在下一阶段规划制定中优先进行，以便做出更明智的决策，并支持长期财务可持续性。</w:t>
      </w:r>
    </w:p>
    <w:p w14:paraId="1257EBB5" w14:textId="77777777" w:rsidR="00F912F4" w:rsidRPr="00E371C6" w:rsidRDefault="00F912F4" w:rsidP="00D47C1A">
      <w:pPr>
        <w:rPr>
          <w:rStyle w:val="Italic"/>
          <w:rFonts w:asciiTheme="minorHAnsi" w:eastAsia="SimSun" w:hAnsiTheme="minorHAnsi" w:cstheme="minorHAnsi"/>
          <w:i w:val="0"/>
          <w:iCs w:val="0"/>
          <w:lang w:eastAsia="zh-CN"/>
        </w:rPr>
      </w:pPr>
      <w:r w:rsidRPr="00D47C1A">
        <w:rPr>
          <w:rFonts w:asciiTheme="minorHAnsi" w:eastAsia="STKaiti" w:hAnsiTheme="minorHAnsi" w:cstheme="minorHAnsi"/>
          <w:lang w:val="zh-CN" w:eastAsia="zh-CN"/>
        </w:rPr>
        <w:t>国际电联管理层意见：国际电联日内瓦园区是国际电联正在开展的关于其地理布局的更广泛审查的一部分，该审查旨在结合若干战略目标对相关问题进行审议，包括国际电联日内瓦代表处的合理化、加强国际电联的区域代表性、确保业务连续性和可持续性，以及提升国际电联人力资源的灵活性。这将包括考虑扩大国际电联在现有的区域代表处和地区办事处地点的代表性，并在国际电联现有法律框架范围内，考虑国际电联可能的其他候选地点。</w:t>
      </w:r>
    </w:p>
    <w:p w14:paraId="51FA49E8" w14:textId="77777777" w:rsidR="00F912F4" w:rsidRPr="00D47C1A" w:rsidRDefault="00F912F4" w:rsidP="00D47C1A">
      <w:pPr>
        <w:pStyle w:val="Heading2"/>
        <w:numPr>
          <w:ilvl w:val="0"/>
          <w:numId w:val="0"/>
        </w:numPr>
        <w:rPr>
          <w:rFonts w:asciiTheme="minorHAnsi" w:eastAsia="SimSun" w:hAnsiTheme="minorHAnsi" w:cstheme="minorHAnsi"/>
          <w:b w:val="0"/>
          <w:bCs/>
          <w:sz w:val="40"/>
          <w:szCs w:val="40"/>
          <w:lang w:eastAsia="zh-CN"/>
        </w:rPr>
      </w:pPr>
      <w:bookmarkStart w:id="55" w:name="_Toc200718081"/>
      <w:r w:rsidRPr="00DA3420">
        <w:rPr>
          <w:rFonts w:asciiTheme="minorHAnsi" w:eastAsia="SimSun" w:hAnsiTheme="minorHAnsi" w:cstheme="minorHAnsi"/>
          <w:b w:val="0"/>
          <w:bCs/>
          <w:sz w:val="40"/>
          <w:szCs w:val="40"/>
          <w:lang w:eastAsia="zh-CN"/>
        </w:rPr>
        <w:t>国际电联的区域代表处</w:t>
      </w:r>
      <w:bookmarkEnd w:id="55"/>
    </w:p>
    <w:p w14:paraId="09F22A3E"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3.20</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在</w:t>
      </w:r>
      <w:r w:rsidRPr="00D47C1A">
        <w:rPr>
          <w:rFonts w:asciiTheme="minorHAnsi" w:eastAsia="SimSun" w:hAnsiTheme="minorHAnsi" w:cstheme="minorHAnsi"/>
          <w:lang w:val="zh-CN" w:eastAsia="zh-CN"/>
        </w:rPr>
        <w:t>2024</w:t>
      </w:r>
      <w:r w:rsidRPr="00D47C1A">
        <w:rPr>
          <w:rFonts w:asciiTheme="minorHAnsi" w:eastAsia="SimSun" w:hAnsiTheme="minorHAnsi" w:cstheme="minorHAnsi"/>
          <w:lang w:val="zh-CN" w:eastAsia="zh-CN"/>
        </w:rPr>
        <w:t>年的审计中，我们审查了国际电联亚太区域代表处的项目管理和其他运作情况。这是我们在全权代表大会第</w:t>
      </w:r>
      <w:r w:rsidRPr="00D47C1A">
        <w:rPr>
          <w:rFonts w:asciiTheme="minorHAnsi" w:eastAsia="SimSun" w:hAnsiTheme="minorHAnsi" w:cstheme="minorHAnsi"/>
          <w:lang w:val="zh-CN" w:eastAsia="zh-CN"/>
        </w:rPr>
        <w:t>25</w:t>
      </w:r>
      <w:r w:rsidRPr="00D47C1A">
        <w:rPr>
          <w:rFonts w:asciiTheme="minorHAnsi" w:eastAsia="SimSun" w:hAnsiTheme="minorHAnsi" w:cstheme="minorHAnsi"/>
          <w:lang w:val="zh-CN" w:eastAsia="zh-CN"/>
        </w:rPr>
        <w:t>号决定（</w:t>
      </w:r>
      <w:r w:rsidRPr="00D47C1A">
        <w:rPr>
          <w:rFonts w:asciiTheme="minorHAnsi" w:eastAsia="SimSun" w:hAnsiTheme="minorHAnsi" w:cstheme="minorHAnsi"/>
          <w:lang w:val="zh-CN" w:eastAsia="zh-CN"/>
        </w:rPr>
        <w:t>2022</w:t>
      </w:r>
      <w:r w:rsidRPr="00D47C1A">
        <w:rPr>
          <w:rFonts w:asciiTheme="minorHAnsi" w:eastAsia="SimSun" w:hAnsiTheme="minorHAnsi" w:cstheme="minorHAnsi"/>
          <w:lang w:val="zh-CN" w:eastAsia="zh-CN"/>
        </w:rPr>
        <w:t>年，布加勒斯特，修订版）的背景下对国际电联区域代表处进行更广泛审议的一部分，该决定要求加强国际电联分散化运作中的治理、问责和战略一致性。我们的审查结果虽然侧重于一个区域代表处，但强调了与国际电联根据第</w:t>
      </w:r>
      <w:r w:rsidRPr="00D47C1A">
        <w:rPr>
          <w:rFonts w:asciiTheme="minorHAnsi" w:eastAsia="SimSun" w:hAnsiTheme="minorHAnsi" w:cstheme="minorHAnsi"/>
          <w:lang w:val="zh-CN" w:eastAsia="zh-CN"/>
        </w:rPr>
        <w:t>25</w:t>
      </w:r>
      <w:r w:rsidRPr="00D47C1A">
        <w:rPr>
          <w:rFonts w:asciiTheme="minorHAnsi" w:eastAsia="SimSun" w:hAnsiTheme="minorHAnsi" w:cstheme="minorHAnsi"/>
          <w:lang w:val="zh-CN" w:eastAsia="zh-CN"/>
        </w:rPr>
        <w:t>号决议正在进行的审查相关的更广泛的系统性问题。</w:t>
      </w:r>
    </w:p>
    <w:p w14:paraId="2A4B41A6"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3.21</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国际电联已在理事会财务和人力资源工作组（</w:t>
      </w:r>
      <w:r w:rsidRPr="00D47C1A">
        <w:rPr>
          <w:rFonts w:asciiTheme="minorHAnsi" w:eastAsia="SimSun" w:hAnsiTheme="minorHAnsi" w:cstheme="minorHAnsi"/>
          <w:lang w:val="zh-CN" w:eastAsia="zh-CN"/>
        </w:rPr>
        <w:t>CWG-FHR</w:t>
      </w:r>
      <w:r w:rsidRPr="00D47C1A">
        <w:rPr>
          <w:rFonts w:asciiTheme="minorHAnsi" w:eastAsia="SimSun" w:hAnsiTheme="minorHAnsi" w:cstheme="minorHAnsi"/>
          <w:lang w:val="zh-CN" w:eastAsia="zh-CN"/>
        </w:rPr>
        <w:t>）的指导下对其区域代表处开展了全面审查。由信函通信组制定并经</w:t>
      </w:r>
      <w:r w:rsidRPr="00D47C1A">
        <w:rPr>
          <w:rFonts w:asciiTheme="minorHAnsi" w:eastAsia="SimSun" w:hAnsiTheme="minorHAnsi" w:cstheme="minorHAnsi"/>
          <w:lang w:val="zh-CN" w:eastAsia="zh-CN"/>
        </w:rPr>
        <w:t>CWG-FHR</w:t>
      </w:r>
      <w:r w:rsidRPr="00D47C1A">
        <w:rPr>
          <w:rFonts w:asciiTheme="minorHAnsi" w:eastAsia="SimSun" w:hAnsiTheme="minorHAnsi" w:cstheme="minorHAnsi"/>
          <w:lang w:val="zh-CN" w:eastAsia="zh-CN"/>
        </w:rPr>
        <w:t>第</w:t>
      </w:r>
      <w:r w:rsidRPr="00D47C1A">
        <w:rPr>
          <w:rFonts w:asciiTheme="minorHAnsi" w:eastAsia="SimSun" w:hAnsiTheme="minorHAnsi" w:cstheme="minorHAnsi"/>
          <w:lang w:val="zh-CN" w:eastAsia="zh-CN"/>
        </w:rPr>
        <w:t>20</w:t>
      </w:r>
      <w:r w:rsidRPr="00D47C1A">
        <w:rPr>
          <w:rFonts w:asciiTheme="minorHAnsi" w:eastAsia="SimSun" w:hAnsiTheme="minorHAnsi" w:cstheme="minorHAnsi"/>
          <w:lang w:val="zh-CN" w:eastAsia="zh-CN"/>
        </w:rPr>
        <w:t>次会议通过的职责范围概述了一个强有力的框架，以评估区域代表处和地区办事处的有效性、效率和战略契合度。这项审查将于</w:t>
      </w:r>
      <w:r w:rsidRPr="00D47C1A">
        <w:rPr>
          <w:rFonts w:asciiTheme="minorHAnsi" w:eastAsia="SimSun" w:hAnsiTheme="minorHAnsi" w:cstheme="minorHAnsi"/>
          <w:lang w:val="zh-CN" w:eastAsia="zh-CN"/>
        </w:rPr>
        <w:t>2026</w:t>
      </w:r>
      <w:r w:rsidRPr="00D47C1A">
        <w:rPr>
          <w:rFonts w:asciiTheme="minorHAnsi" w:eastAsia="SimSun" w:hAnsiTheme="minorHAnsi" w:cstheme="minorHAnsi"/>
          <w:lang w:val="zh-CN" w:eastAsia="zh-CN"/>
        </w:rPr>
        <w:t>年</w:t>
      </w:r>
      <w:r w:rsidRPr="00D47C1A">
        <w:rPr>
          <w:rFonts w:asciiTheme="minorHAnsi" w:eastAsia="SimSun" w:hAnsiTheme="minorHAnsi" w:cstheme="minorHAnsi"/>
          <w:lang w:val="zh-CN" w:eastAsia="zh-CN"/>
        </w:rPr>
        <w:t>4</w:t>
      </w:r>
      <w:r w:rsidRPr="00D47C1A">
        <w:rPr>
          <w:rFonts w:asciiTheme="minorHAnsi" w:eastAsia="SimSun" w:hAnsiTheme="minorHAnsi" w:cstheme="minorHAnsi"/>
          <w:lang w:val="zh-CN" w:eastAsia="zh-CN"/>
        </w:rPr>
        <w:t>月提交最后报告，目前看来在方法论上较为严谨、范围界定明确，重点关注绩效、与《战略规划》及《基加利行动计划》的整合，以及与联合国发展框架的协调一致。</w:t>
      </w:r>
    </w:p>
    <w:p w14:paraId="24224ED4" w14:textId="77777777" w:rsidR="00F912F4" w:rsidRPr="00D47C1A" w:rsidRDefault="00F912F4" w:rsidP="00D47C1A">
      <w:pPr>
        <w:tabs>
          <w:tab w:val="left" w:pos="774"/>
        </w:tabs>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3.22</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国际电联的职责范围强调了绩效衡量标准和运作一致性的重要性。然而，目前在区域代表处层面尚无正式工作计划要求，以指导实施</w:t>
      </w:r>
      <w:r w:rsidRPr="00D47C1A">
        <w:rPr>
          <w:rFonts w:asciiTheme="minorHAnsi" w:eastAsia="SimSun" w:hAnsiTheme="minorHAnsi" w:cstheme="minorHAnsi"/>
          <w:lang w:val="zh-CN" w:eastAsia="zh-CN"/>
        </w:rPr>
        <w:t>ITU-D</w:t>
      </w:r>
      <w:r w:rsidRPr="00D47C1A">
        <w:rPr>
          <w:rFonts w:asciiTheme="minorHAnsi" w:eastAsia="SimSun" w:hAnsiTheme="minorHAnsi" w:cstheme="minorHAnsi"/>
          <w:lang w:val="zh-CN" w:eastAsia="zh-CN"/>
        </w:rPr>
        <w:t>运作规划或《基加利行动计划》的优先事项。我们认为，一个具有可衡量</w:t>
      </w:r>
      <w:r w:rsidRPr="00D47C1A">
        <w:rPr>
          <w:rFonts w:asciiTheme="minorHAnsi" w:eastAsia="SimSun" w:hAnsiTheme="minorHAnsi" w:cstheme="minorHAnsi"/>
          <w:lang w:val="zh-CN" w:eastAsia="zh-CN"/>
        </w:rPr>
        <w:t>KPI</w:t>
      </w:r>
      <w:r w:rsidRPr="00D47C1A">
        <w:rPr>
          <w:rFonts w:asciiTheme="minorHAnsi" w:eastAsia="SimSun" w:hAnsiTheme="minorHAnsi" w:cstheme="minorHAnsi"/>
          <w:lang w:val="zh-CN" w:eastAsia="zh-CN"/>
        </w:rPr>
        <w:t>的结构化年度工作计划将加强问责制，支持绩效监督，并确保区域活动系统地展示对国际电联全球目标的贡献。</w:t>
      </w:r>
    </w:p>
    <w:p w14:paraId="5336E678" w14:textId="77777777" w:rsidR="00F912F4" w:rsidRPr="00D47C1A" w:rsidRDefault="00F912F4" w:rsidP="00E371C6">
      <w:pPr>
        <w:keepNext/>
        <w:keepLines/>
        <w:tabs>
          <w:tab w:val="left" w:pos="774"/>
        </w:tabs>
        <w:rPr>
          <w:rStyle w:val="Bold"/>
          <w:rFonts w:asciiTheme="minorHAnsi" w:eastAsia="SimSun" w:hAnsiTheme="minorHAnsi" w:cstheme="minorHAnsi"/>
          <w:b w:val="0"/>
          <w:bCs w:val="0"/>
          <w:lang w:eastAsia="zh-CN"/>
        </w:rPr>
      </w:pPr>
      <w:r w:rsidRPr="00D47C1A">
        <w:rPr>
          <w:rFonts w:asciiTheme="minorHAnsi" w:eastAsia="SimSun" w:hAnsiTheme="minorHAnsi" w:cstheme="minorHAnsi"/>
          <w:b/>
          <w:bCs/>
          <w:lang w:val="zh-CN" w:eastAsia="zh-CN"/>
        </w:rPr>
        <w:lastRenderedPageBreak/>
        <w:t>3.23</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尽管职责范围强调治理和问责制，但正如本报告前文所指出，整个国际电联都存在系统性薄弱环节，包括现有的区域代表处安排。国际电联计划对区域代表处开展的审查为解决这些长期存在的薄弱环节提供了关键契机。在组织推进审查工作的进程中，</w:t>
      </w:r>
      <w:r w:rsidRPr="00D47C1A">
        <w:rPr>
          <w:rFonts w:asciiTheme="minorHAnsi" w:eastAsia="SimSun" w:hAnsiTheme="minorHAnsi" w:cstheme="minorHAnsi"/>
          <w:b/>
          <w:bCs/>
          <w:lang w:val="zh-CN" w:eastAsia="zh-CN"/>
        </w:rPr>
        <w:t>国际电联应：</w:t>
      </w:r>
    </w:p>
    <w:p w14:paraId="7C34600F" w14:textId="77777777" w:rsidR="00F912F4" w:rsidRPr="00D47C1A" w:rsidRDefault="00F912F4" w:rsidP="00DA3420">
      <w:pPr>
        <w:keepNext/>
        <w:keepLines/>
        <w:rPr>
          <w:rStyle w:val="Bold"/>
          <w:rFonts w:asciiTheme="minorHAnsi" w:eastAsia="SimSun" w:hAnsiTheme="minorHAnsi" w:cstheme="minorHAnsi"/>
          <w:lang w:eastAsia="zh-CN"/>
        </w:rPr>
      </w:pPr>
      <w:r w:rsidRPr="00D47C1A">
        <w:rPr>
          <w:rFonts w:asciiTheme="minorHAnsi" w:eastAsia="SimSun" w:hAnsiTheme="minorHAnsi" w:cstheme="minorHAnsi"/>
          <w:b/>
          <w:bCs/>
          <w:lang w:val="zh-CN" w:eastAsia="zh-CN"/>
        </w:rPr>
        <w:t>建议</w:t>
      </w:r>
      <w:r w:rsidRPr="00D47C1A">
        <w:rPr>
          <w:rFonts w:asciiTheme="minorHAnsi" w:eastAsia="SimSun" w:hAnsiTheme="minorHAnsi" w:cstheme="minorHAnsi"/>
          <w:b/>
          <w:bCs/>
          <w:lang w:val="zh-CN" w:eastAsia="zh-CN"/>
        </w:rPr>
        <w:t>16</w:t>
      </w:r>
      <w:r w:rsidRPr="00D47C1A">
        <w:rPr>
          <w:rFonts w:asciiTheme="minorHAnsi" w:eastAsia="SimSun" w:hAnsiTheme="minorHAnsi" w:cstheme="minorHAnsi"/>
          <w:b/>
          <w:bCs/>
          <w:lang w:val="zh-CN" w:eastAsia="zh-CN"/>
        </w:rPr>
        <w:t>（</w:t>
      </w:r>
      <w:r w:rsidRPr="00D47C1A">
        <w:rPr>
          <w:rFonts w:asciiTheme="minorHAnsi" w:eastAsia="SimSun" w:hAnsiTheme="minorHAnsi" w:cstheme="minorHAnsi"/>
          <w:b/>
          <w:bCs/>
          <w:lang w:val="zh-CN" w:eastAsia="zh-CN"/>
        </w:rPr>
        <w:t>R16</w:t>
      </w:r>
      <w:r w:rsidRPr="00D47C1A">
        <w:rPr>
          <w:rFonts w:asciiTheme="minorHAnsi" w:eastAsia="SimSun" w:hAnsiTheme="minorHAnsi" w:cstheme="minorHAnsi"/>
          <w:b/>
          <w:bCs/>
          <w:lang w:val="zh-CN" w:eastAsia="zh-CN"/>
        </w:rPr>
        <w:t>）：向区域代表处发布临时指南，要求其编制与国际电联优先事项相一致的年度工作计划，并设定适当的绩效措施。</w:t>
      </w:r>
    </w:p>
    <w:p w14:paraId="005610D2" w14:textId="77777777" w:rsidR="00F912F4" w:rsidRPr="00E16D3F" w:rsidRDefault="00F912F4" w:rsidP="00DA3420">
      <w:pPr>
        <w:keepNext/>
        <w:keepLines/>
        <w:rPr>
          <w:rStyle w:val="Italic"/>
          <w:rFonts w:asciiTheme="minorHAnsi" w:eastAsia="SimSun" w:hAnsiTheme="minorHAnsi" w:cstheme="minorHAnsi"/>
          <w:i w:val="0"/>
          <w:iCs w:val="0"/>
          <w:lang w:eastAsia="zh-CN"/>
        </w:rPr>
      </w:pPr>
      <w:r w:rsidRPr="00D47C1A">
        <w:rPr>
          <w:rFonts w:asciiTheme="minorHAnsi" w:eastAsia="STKaiti" w:hAnsiTheme="minorHAnsi" w:cstheme="minorHAnsi"/>
          <w:lang w:val="zh-CN" w:eastAsia="zh-CN"/>
        </w:rPr>
        <w:t>国际电联管理层意见：区域代表处代表国际电联的全部运作活动，因此，将通过运作规划流程确定整个组织的优先事项，该流程将与所有相关局协作，确立成本基准，包括目标和指标、</w:t>
      </w:r>
      <w:r w:rsidRPr="00D47C1A">
        <w:rPr>
          <w:rFonts w:asciiTheme="minorHAnsi" w:eastAsia="STKaiti" w:hAnsiTheme="minorHAnsi" w:cstheme="minorHAnsi"/>
          <w:lang w:val="zh-CN" w:eastAsia="zh-CN"/>
        </w:rPr>
        <w:t>KPI</w:t>
      </w:r>
      <w:r w:rsidRPr="00D47C1A">
        <w:rPr>
          <w:rFonts w:asciiTheme="minorHAnsi" w:eastAsia="STKaiti" w:hAnsiTheme="minorHAnsi" w:cstheme="minorHAnsi"/>
          <w:lang w:val="zh-CN" w:eastAsia="zh-CN"/>
        </w:rPr>
        <w:t>以及所有运作工作计划的相关风险。目前，在电信发展局内，所有运作规划都是与区域和地区小组协调制定的。跨区域项目由总部管理，每个国家</w:t>
      </w:r>
      <w:r w:rsidRPr="00D47C1A">
        <w:rPr>
          <w:rFonts w:asciiTheme="minorHAnsi" w:eastAsia="STKaiti" w:hAnsiTheme="minorHAnsi" w:cstheme="minorHAnsi"/>
          <w:lang w:val="zh-CN" w:eastAsia="zh-CN"/>
        </w:rPr>
        <w:t>/</w:t>
      </w:r>
      <w:r w:rsidRPr="00D47C1A">
        <w:rPr>
          <w:rFonts w:asciiTheme="minorHAnsi" w:eastAsia="STKaiti" w:hAnsiTheme="minorHAnsi" w:cstheme="minorHAnsi"/>
          <w:lang w:val="zh-CN" w:eastAsia="zh-CN"/>
        </w:rPr>
        <w:t>区域的具体项目在区域层面进行管理。项目的治理结构包括一个指导委员会，负责审查整个项目组合。</w:t>
      </w:r>
    </w:p>
    <w:p w14:paraId="00CFF507" w14:textId="77777777" w:rsidR="00F912F4" w:rsidRPr="00D47C1A" w:rsidRDefault="00F912F4" w:rsidP="00D47C1A">
      <w:pPr>
        <w:rPr>
          <w:rFonts w:asciiTheme="minorHAnsi" w:eastAsia="SimSun" w:hAnsiTheme="minorHAnsi" w:cstheme="minorHAnsi"/>
          <w:lang w:eastAsia="zh-CN"/>
        </w:rPr>
      </w:pPr>
      <w:r w:rsidRPr="00D47C1A">
        <w:rPr>
          <w:rFonts w:asciiTheme="minorHAnsi" w:eastAsia="SimSun" w:hAnsiTheme="minorHAnsi" w:cstheme="minorHAnsi"/>
          <w:b/>
          <w:bCs/>
          <w:lang w:val="zh-CN" w:eastAsia="zh-CN"/>
        </w:rPr>
        <w:t>3.24</w:t>
      </w:r>
      <w:r w:rsidRPr="00D47C1A">
        <w:rPr>
          <w:rFonts w:asciiTheme="minorHAnsi" w:eastAsia="SimSun" w:hAnsiTheme="minorHAnsi" w:cstheme="minorHAnsi"/>
          <w:lang w:val="zh-CN" w:eastAsia="zh-CN"/>
        </w:rPr>
        <w:tab/>
      </w:r>
      <w:r w:rsidRPr="00D47C1A">
        <w:rPr>
          <w:rFonts w:asciiTheme="minorHAnsi" w:eastAsia="SimSun" w:hAnsiTheme="minorHAnsi" w:cstheme="minorHAnsi"/>
          <w:lang w:val="zh-CN" w:eastAsia="zh-CN"/>
        </w:rPr>
        <w:t>通过在更广泛的第</w:t>
      </w:r>
      <w:r w:rsidRPr="00D47C1A">
        <w:rPr>
          <w:rFonts w:asciiTheme="minorHAnsi" w:eastAsia="SimSun" w:hAnsiTheme="minorHAnsi" w:cstheme="minorHAnsi"/>
          <w:lang w:val="zh-CN" w:eastAsia="zh-CN"/>
        </w:rPr>
        <w:t>25</w:t>
      </w:r>
      <w:r w:rsidRPr="00D47C1A">
        <w:rPr>
          <w:rFonts w:asciiTheme="minorHAnsi" w:eastAsia="SimSun" w:hAnsiTheme="minorHAnsi" w:cstheme="minorHAnsi"/>
          <w:lang w:val="zh-CN" w:eastAsia="zh-CN"/>
        </w:rPr>
        <w:t>号决议审查进程中同步推进这些优先事项，国际电联能够更好地展现其对问责制、透明度以及通过强化和有弹性的区域代表处实现其战略目标的承诺。</w:t>
      </w:r>
    </w:p>
    <w:p w14:paraId="6D9CBABA" w14:textId="77777777" w:rsidR="00F912F4" w:rsidRDefault="00F912F4">
      <w:pPr>
        <w:tabs>
          <w:tab w:val="clear" w:pos="567"/>
          <w:tab w:val="clear" w:pos="1134"/>
          <w:tab w:val="clear" w:pos="1701"/>
          <w:tab w:val="clear" w:pos="2268"/>
          <w:tab w:val="clear" w:pos="2835"/>
        </w:tabs>
        <w:overflowPunct/>
        <w:autoSpaceDE/>
        <w:autoSpaceDN/>
        <w:adjustRightInd/>
        <w:spacing w:before="0"/>
        <w:textAlignment w:val="auto"/>
        <w:rPr>
          <w:sz w:val="56"/>
          <w:szCs w:val="56"/>
          <w:lang w:eastAsia="zh-CN"/>
        </w:rPr>
      </w:pPr>
      <w:r>
        <w:rPr>
          <w:sz w:val="56"/>
          <w:szCs w:val="56"/>
          <w:lang w:eastAsia="zh-CN"/>
        </w:rPr>
        <w:br w:type="page"/>
      </w:r>
    </w:p>
    <w:p w14:paraId="14C56517" w14:textId="7E967894" w:rsidR="003D7FF0" w:rsidRPr="00767BEB" w:rsidRDefault="00AE2033" w:rsidP="00EB3C26">
      <w:pPr>
        <w:pStyle w:val="Heading1"/>
        <w:rPr>
          <w:sz w:val="56"/>
          <w:szCs w:val="56"/>
          <w:lang w:eastAsia="zh-CN"/>
        </w:rPr>
      </w:pPr>
      <w:bookmarkStart w:id="56" w:name="_Toc200718082"/>
      <w:r>
        <w:rPr>
          <w:rFonts w:hint="eastAsia"/>
          <w:sz w:val="56"/>
          <w:szCs w:val="56"/>
          <w:lang w:eastAsia="zh-CN"/>
        </w:rPr>
        <w:lastRenderedPageBreak/>
        <w:t>第四部分</w:t>
      </w:r>
      <w:bookmarkEnd w:id="56"/>
    </w:p>
    <w:p w14:paraId="73C3DECF" w14:textId="0B8005F5" w:rsidR="003D7FF0" w:rsidRPr="00767BEB" w:rsidRDefault="00AE2033" w:rsidP="00DB313C">
      <w:pPr>
        <w:pStyle w:val="Heading2"/>
        <w:spacing w:before="720"/>
        <w:rPr>
          <w:b w:val="0"/>
          <w:bCs/>
          <w:sz w:val="40"/>
          <w:szCs w:val="40"/>
          <w:lang w:eastAsia="zh-CN"/>
        </w:rPr>
      </w:pPr>
      <w:bookmarkStart w:id="57" w:name="_Toc200718083"/>
      <w:r>
        <w:rPr>
          <w:rFonts w:hint="eastAsia"/>
          <w:b w:val="0"/>
          <w:bCs/>
          <w:sz w:val="40"/>
          <w:szCs w:val="40"/>
          <w:lang w:eastAsia="zh-CN"/>
        </w:rPr>
        <w:t>以往建议</w:t>
      </w:r>
      <w:bookmarkEnd w:id="57"/>
    </w:p>
    <w:p w14:paraId="3C479D47" w14:textId="645E5089" w:rsidR="003D7FF0" w:rsidRDefault="003D7FF0" w:rsidP="00E21452">
      <w:pPr>
        <w:tabs>
          <w:tab w:val="left" w:pos="774"/>
        </w:tabs>
        <w:jc w:val="both"/>
        <w:rPr>
          <w:lang w:eastAsia="zh-CN"/>
        </w:rPr>
      </w:pPr>
      <w:r>
        <w:rPr>
          <w:b/>
          <w:lang w:eastAsia="zh-CN"/>
        </w:rPr>
        <w:t>4.1</w:t>
      </w:r>
      <w:r>
        <w:rPr>
          <w:b/>
          <w:lang w:eastAsia="zh-CN"/>
        </w:rPr>
        <w:tab/>
      </w:r>
      <w:r w:rsidR="00AE2033" w:rsidRPr="00AE2033">
        <w:rPr>
          <w:rFonts w:hint="eastAsia"/>
          <w:lang w:eastAsia="zh-CN"/>
        </w:rPr>
        <w:t>2024</w:t>
      </w:r>
      <w:r w:rsidR="00AE2033" w:rsidRPr="00AE2033">
        <w:rPr>
          <w:rFonts w:hint="eastAsia"/>
          <w:lang w:eastAsia="zh-CN"/>
        </w:rPr>
        <w:t>年</w:t>
      </w:r>
      <w:r w:rsidR="00AE2033" w:rsidRPr="00AE2033">
        <w:rPr>
          <w:rFonts w:hint="eastAsia"/>
          <w:lang w:eastAsia="zh-CN"/>
        </w:rPr>
        <w:t>5</w:t>
      </w:r>
      <w:r w:rsidR="00AE2033" w:rsidRPr="00AE2033">
        <w:rPr>
          <w:rFonts w:hint="eastAsia"/>
          <w:lang w:eastAsia="zh-CN"/>
        </w:rPr>
        <w:t>月，秘书长责成国际电联流程负责人和相关管理人员对尚未落实的建议进行全面审查。</w:t>
      </w:r>
      <w:r w:rsidR="00DE07F1">
        <w:rPr>
          <w:rFonts w:hint="eastAsia"/>
          <w:lang w:eastAsia="zh-CN"/>
        </w:rPr>
        <w:t>管理层有责任</w:t>
      </w:r>
      <w:r w:rsidR="00AE2033" w:rsidRPr="00AE2033">
        <w:rPr>
          <w:rFonts w:hint="eastAsia"/>
          <w:lang w:eastAsia="zh-CN"/>
        </w:rPr>
        <w:t>对外部审计员提出的建议做出回应并予以跟进，</w:t>
      </w:r>
      <w:r w:rsidR="00DE07F1" w:rsidRPr="00DE07F1">
        <w:rPr>
          <w:rFonts w:hint="eastAsia"/>
          <w:lang w:eastAsia="zh-CN"/>
        </w:rPr>
        <w:t>而我方报告将</w:t>
      </w:r>
      <w:r w:rsidR="00072A2B" w:rsidRPr="00DE07F1">
        <w:rPr>
          <w:rFonts w:hint="eastAsia"/>
          <w:lang w:eastAsia="zh-CN"/>
        </w:rPr>
        <w:t>验证相关状态</w:t>
      </w:r>
      <w:r w:rsidR="00072A2B">
        <w:rPr>
          <w:rFonts w:hint="eastAsia"/>
          <w:lang w:eastAsia="zh-CN"/>
        </w:rPr>
        <w:t>，</w:t>
      </w:r>
      <w:r w:rsidR="00DE07F1" w:rsidRPr="00DE07F1">
        <w:rPr>
          <w:rFonts w:hint="eastAsia"/>
          <w:lang w:eastAsia="zh-CN"/>
        </w:rPr>
        <w:t>作为记录</w:t>
      </w:r>
      <w:r w:rsidR="00072A2B">
        <w:rPr>
          <w:rFonts w:hint="eastAsia"/>
          <w:lang w:eastAsia="zh-CN"/>
        </w:rPr>
        <w:t>提供给各</w:t>
      </w:r>
      <w:r w:rsidR="00DE07F1" w:rsidRPr="00DE07F1">
        <w:rPr>
          <w:rFonts w:hint="eastAsia"/>
          <w:lang w:eastAsia="zh-CN"/>
        </w:rPr>
        <w:t>成员</w:t>
      </w:r>
      <w:r w:rsidR="00DE07F1">
        <w:rPr>
          <w:rFonts w:hint="eastAsia"/>
          <w:lang w:eastAsia="zh-CN"/>
        </w:rPr>
        <w:t>。</w:t>
      </w:r>
    </w:p>
    <w:p w14:paraId="22698895" w14:textId="60A57A3C" w:rsidR="003D7FF0" w:rsidRPr="00E06BC7" w:rsidRDefault="003D7FF0" w:rsidP="00E21452">
      <w:pPr>
        <w:tabs>
          <w:tab w:val="left" w:pos="774"/>
        </w:tabs>
        <w:jc w:val="both"/>
        <w:rPr>
          <w:lang w:eastAsia="zh-CN"/>
        </w:rPr>
      </w:pPr>
      <w:r w:rsidRPr="00E06BC7">
        <w:rPr>
          <w:b/>
          <w:lang w:eastAsia="zh-CN"/>
        </w:rPr>
        <w:t>4.2</w:t>
      </w:r>
      <w:r w:rsidRPr="00E06BC7">
        <w:rPr>
          <w:b/>
          <w:lang w:eastAsia="zh-CN"/>
        </w:rPr>
        <w:tab/>
      </w:r>
      <w:r w:rsidR="00AE2033" w:rsidRPr="00AE2033">
        <w:rPr>
          <w:rFonts w:hint="eastAsia"/>
          <w:lang w:eastAsia="zh-CN"/>
        </w:rPr>
        <w:t>自开始履职以来，我们在提交理事会的报告中提出了</w:t>
      </w:r>
      <w:r w:rsidR="00AE2033" w:rsidRPr="00AE2033">
        <w:rPr>
          <w:rFonts w:hint="eastAsia"/>
          <w:lang w:eastAsia="zh-CN"/>
        </w:rPr>
        <w:t>21</w:t>
      </w:r>
      <w:r w:rsidR="00AE2033" w:rsidRPr="00AE2033">
        <w:rPr>
          <w:rFonts w:hint="eastAsia"/>
          <w:lang w:eastAsia="zh-CN"/>
        </w:rPr>
        <w:t>项建议。</w:t>
      </w:r>
      <w:r w:rsidR="00DE07F1">
        <w:rPr>
          <w:rFonts w:hint="eastAsia"/>
          <w:lang w:eastAsia="zh-CN"/>
        </w:rPr>
        <w:t>其中</w:t>
      </w:r>
      <w:r w:rsidR="00DE07F1" w:rsidRPr="00AE2033">
        <w:rPr>
          <w:rFonts w:hint="eastAsia"/>
          <w:lang w:eastAsia="zh-CN"/>
        </w:rPr>
        <w:t>五项建议</w:t>
      </w:r>
      <w:r w:rsidR="00DE07F1">
        <w:rPr>
          <w:rFonts w:hint="eastAsia"/>
          <w:lang w:eastAsia="zh-CN"/>
        </w:rPr>
        <w:t>已于</w:t>
      </w:r>
      <w:r w:rsidR="00AE2033" w:rsidRPr="00AE2033">
        <w:rPr>
          <w:rFonts w:hint="eastAsia"/>
          <w:lang w:eastAsia="zh-CN"/>
        </w:rPr>
        <w:t>去年完成。在</w:t>
      </w:r>
      <w:r w:rsidR="00DE07F1">
        <w:rPr>
          <w:rFonts w:hint="eastAsia"/>
          <w:lang w:eastAsia="zh-CN"/>
        </w:rPr>
        <w:t>剩余</w:t>
      </w:r>
      <w:r w:rsidR="00AE2033" w:rsidRPr="00AE2033">
        <w:rPr>
          <w:rFonts w:hint="eastAsia"/>
          <w:lang w:eastAsia="zh-CN"/>
        </w:rPr>
        <w:t>十六项建议中，国际电联已实施了四项建议，我们</w:t>
      </w:r>
      <w:r w:rsidR="00DE07F1">
        <w:rPr>
          <w:rFonts w:hint="eastAsia"/>
          <w:lang w:eastAsia="zh-CN"/>
        </w:rPr>
        <w:t>关闭了</w:t>
      </w:r>
      <w:r w:rsidR="00AE2033" w:rsidRPr="00AE2033">
        <w:rPr>
          <w:rFonts w:hint="eastAsia"/>
          <w:lang w:eastAsia="zh-CN"/>
        </w:rPr>
        <w:t>另一项未实施的</w:t>
      </w:r>
      <w:r w:rsidR="00AE2033" w:rsidRPr="00AE2033">
        <w:rPr>
          <w:rFonts w:hint="eastAsia"/>
          <w:lang w:eastAsia="zh-CN"/>
        </w:rPr>
        <w:t>UNSMIS</w:t>
      </w:r>
      <w:r w:rsidR="00AE2033" w:rsidRPr="00AE2033">
        <w:rPr>
          <w:rFonts w:hint="eastAsia"/>
          <w:lang w:eastAsia="zh-CN"/>
        </w:rPr>
        <w:t>建议（</w:t>
      </w:r>
      <w:r w:rsidR="00AE2033" w:rsidRPr="00AE2033">
        <w:rPr>
          <w:rFonts w:hint="eastAsia"/>
          <w:lang w:eastAsia="zh-CN"/>
        </w:rPr>
        <w:t>2022</w:t>
      </w:r>
      <w:r w:rsidR="0020298D">
        <w:rPr>
          <w:rFonts w:hint="eastAsia"/>
          <w:lang w:eastAsia="zh-CN"/>
        </w:rPr>
        <w:t>年</w:t>
      </w:r>
      <w:r w:rsidR="00AE2033" w:rsidRPr="00AE2033">
        <w:rPr>
          <w:rFonts w:hint="eastAsia"/>
          <w:lang w:eastAsia="zh-CN"/>
        </w:rPr>
        <w:t>R#9</w:t>
      </w:r>
      <w:r w:rsidR="00AE2033" w:rsidRPr="00AE2033">
        <w:rPr>
          <w:rFonts w:hint="eastAsia"/>
          <w:lang w:eastAsia="zh-CN"/>
        </w:rPr>
        <w:t>）。九项建议正在</w:t>
      </w:r>
      <w:r w:rsidR="0020298D">
        <w:rPr>
          <w:rFonts w:hint="eastAsia"/>
          <w:lang w:eastAsia="zh-CN"/>
        </w:rPr>
        <w:t>实施</w:t>
      </w:r>
      <w:r w:rsidR="00AE2033" w:rsidRPr="00AE2033">
        <w:rPr>
          <w:rFonts w:hint="eastAsia"/>
          <w:lang w:eastAsia="zh-CN"/>
        </w:rPr>
        <w:t>中，另外两项关于新办公楼项目的建议，我们认为尚未实施，仍</w:t>
      </w:r>
      <w:r w:rsidR="0020298D">
        <w:rPr>
          <w:rFonts w:hint="eastAsia"/>
          <w:lang w:eastAsia="zh-CN"/>
        </w:rPr>
        <w:t>保持</w:t>
      </w:r>
      <w:r w:rsidR="00072A2B">
        <w:rPr>
          <w:rFonts w:hint="eastAsia"/>
          <w:lang w:eastAsia="zh-CN"/>
        </w:rPr>
        <w:t>未落实</w:t>
      </w:r>
      <w:r w:rsidR="0020298D">
        <w:rPr>
          <w:rFonts w:hint="eastAsia"/>
          <w:lang w:eastAsia="zh-CN"/>
        </w:rPr>
        <w:t>状态</w:t>
      </w:r>
      <w:r w:rsidR="00AE2033" w:rsidRPr="00AE2033">
        <w:rPr>
          <w:rFonts w:hint="eastAsia"/>
          <w:lang w:eastAsia="zh-CN"/>
        </w:rPr>
        <w:t>。</w:t>
      </w:r>
      <w:r w:rsidR="0020298D" w:rsidRPr="0020298D">
        <w:rPr>
          <w:rFonts w:hint="eastAsia"/>
          <w:lang w:eastAsia="zh-CN"/>
        </w:rPr>
        <w:t>附录一提供了对我们先前建议落实情况的更详细审查。</w:t>
      </w:r>
    </w:p>
    <w:p w14:paraId="45A98329" w14:textId="0BEDBBF2" w:rsidR="003D7FF0" w:rsidRPr="00B52FEB" w:rsidRDefault="003D7FF0" w:rsidP="00E21452">
      <w:pPr>
        <w:tabs>
          <w:tab w:val="left" w:pos="774"/>
        </w:tabs>
        <w:jc w:val="both"/>
        <w:rPr>
          <w:lang w:eastAsia="zh-CN"/>
        </w:rPr>
      </w:pPr>
      <w:r w:rsidRPr="00B52FEB">
        <w:rPr>
          <w:b/>
          <w:lang w:eastAsia="zh-CN"/>
        </w:rPr>
        <w:t>4.3</w:t>
      </w:r>
      <w:r w:rsidRPr="00B52FEB">
        <w:rPr>
          <w:b/>
          <w:lang w:eastAsia="zh-CN"/>
        </w:rPr>
        <w:tab/>
      </w:r>
      <w:r w:rsidR="00AE2033" w:rsidRPr="00AE2033">
        <w:rPr>
          <w:rFonts w:hint="eastAsia"/>
          <w:lang w:eastAsia="zh-CN"/>
        </w:rPr>
        <w:t>作为秘书长工作的一部分，管理层重新审议了前任</w:t>
      </w:r>
      <w:r w:rsidR="00041CF5">
        <w:rPr>
          <w:rFonts w:hint="eastAsia"/>
          <w:lang w:eastAsia="zh-CN"/>
        </w:rPr>
        <w:t>审计员提出但尚未落实</w:t>
      </w:r>
      <w:r w:rsidR="00AE2033" w:rsidRPr="00AE2033">
        <w:rPr>
          <w:rFonts w:hint="eastAsia"/>
          <w:lang w:eastAsia="zh-CN"/>
        </w:rPr>
        <w:t>的建议。在我们开始履职时，我们继承了</w:t>
      </w:r>
      <w:r w:rsidR="00041CF5" w:rsidRPr="00AE2033">
        <w:rPr>
          <w:rFonts w:hint="eastAsia"/>
          <w:lang w:eastAsia="zh-CN"/>
        </w:rPr>
        <w:t>约</w:t>
      </w:r>
      <w:r w:rsidR="00041CF5" w:rsidRPr="00AE2033">
        <w:rPr>
          <w:rFonts w:hint="eastAsia"/>
          <w:lang w:eastAsia="zh-CN"/>
        </w:rPr>
        <w:t>121</w:t>
      </w:r>
      <w:r w:rsidR="00041CF5" w:rsidRPr="00AE2033">
        <w:rPr>
          <w:rFonts w:hint="eastAsia"/>
          <w:lang w:eastAsia="zh-CN"/>
        </w:rPr>
        <w:t>项未</w:t>
      </w:r>
      <w:r w:rsidR="00041CF5">
        <w:rPr>
          <w:rFonts w:hint="eastAsia"/>
          <w:lang w:eastAsia="zh-CN"/>
        </w:rPr>
        <w:t>落实</w:t>
      </w:r>
      <w:r w:rsidR="00041CF5" w:rsidRPr="00AE2033">
        <w:rPr>
          <w:rFonts w:hint="eastAsia"/>
          <w:lang w:eastAsia="zh-CN"/>
        </w:rPr>
        <w:t>建议</w:t>
      </w:r>
      <w:r w:rsidR="00041CF5">
        <w:rPr>
          <w:rFonts w:hint="eastAsia"/>
          <w:lang w:eastAsia="zh-CN"/>
        </w:rPr>
        <w:t>，并在我们</w:t>
      </w:r>
      <w:r w:rsidR="00AE2033" w:rsidRPr="00AE2033">
        <w:rPr>
          <w:rFonts w:hint="eastAsia"/>
          <w:lang w:eastAsia="zh-CN"/>
        </w:rPr>
        <w:t>2023</w:t>
      </w:r>
      <w:r w:rsidR="00AE2033" w:rsidRPr="00AE2033">
        <w:rPr>
          <w:rFonts w:hint="eastAsia"/>
          <w:lang w:eastAsia="zh-CN"/>
        </w:rPr>
        <w:t>年</w:t>
      </w:r>
      <w:r w:rsidR="00AE2033" w:rsidRPr="00AE2033">
        <w:rPr>
          <w:rFonts w:hint="eastAsia"/>
          <w:lang w:eastAsia="zh-CN"/>
        </w:rPr>
        <w:t>6</w:t>
      </w:r>
      <w:r w:rsidR="00AE2033" w:rsidRPr="00AE2033">
        <w:rPr>
          <w:rFonts w:hint="eastAsia"/>
          <w:lang w:eastAsia="zh-CN"/>
        </w:rPr>
        <w:t>月</w:t>
      </w:r>
      <w:r w:rsidR="00041CF5">
        <w:rPr>
          <w:rFonts w:hint="eastAsia"/>
          <w:lang w:eastAsia="zh-CN"/>
        </w:rPr>
        <w:t>的</w:t>
      </w:r>
      <w:r w:rsidR="00AE2033" w:rsidRPr="00AE2033">
        <w:rPr>
          <w:rFonts w:hint="eastAsia"/>
          <w:lang w:eastAsia="zh-CN"/>
        </w:rPr>
        <w:t>报告中</w:t>
      </w:r>
      <w:r w:rsidR="00041CF5">
        <w:rPr>
          <w:rFonts w:hint="eastAsia"/>
          <w:lang w:eastAsia="zh-CN"/>
        </w:rPr>
        <w:t>进行了</w:t>
      </w:r>
      <w:r w:rsidR="00AE2033" w:rsidRPr="00AE2033">
        <w:rPr>
          <w:rFonts w:hint="eastAsia"/>
          <w:lang w:eastAsia="zh-CN"/>
        </w:rPr>
        <w:t>讨论。国际电联此前已开发了一个合规性跟踪系统和信息概览，作为</w:t>
      </w:r>
      <w:r w:rsidR="00041CF5" w:rsidRPr="00AE2033">
        <w:rPr>
          <w:rFonts w:hint="eastAsia"/>
          <w:lang w:eastAsia="zh-CN"/>
        </w:rPr>
        <w:t>中央存储库</w:t>
      </w:r>
      <w:r w:rsidR="00041CF5">
        <w:rPr>
          <w:rFonts w:hint="eastAsia"/>
          <w:lang w:eastAsia="zh-CN"/>
        </w:rPr>
        <w:t>存储</w:t>
      </w:r>
      <w:r w:rsidR="00AE2033" w:rsidRPr="00AE2033">
        <w:rPr>
          <w:rFonts w:hint="eastAsia"/>
          <w:lang w:eastAsia="zh-CN"/>
        </w:rPr>
        <w:t>内部和外部监督机构</w:t>
      </w:r>
      <w:r w:rsidR="00041CF5">
        <w:rPr>
          <w:rFonts w:hint="eastAsia"/>
          <w:lang w:eastAsia="zh-CN"/>
        </w:rPr>
        <w:t>提出的</w:t>
      </w:r>
      <w:r w:rsidR="00AE2033" w:rsidRPr="00AE2033">
        <w:rPr>
          <w:rFonts w:hint="eastAsia"/>
          <w:lang w:eastAsia="zh-CN"/>
        </w:rPr>
        <w:t>所有建议。实施信息概览是为了跟踪对建议实施情况的</w:t>
      </w:r>
      <w:r w:rsidR="00041CF5">
        <w:rPr>
          <w:rFonts w:hint="eastAsia"/>
          <w:lang w:eastAsia="zh-CN"/>
        </w:rPr>
        <w:t>回应</w:t>
      </w:r>
      <w:r w:rsidR="00AE2033" w:rsidRPr="00AE2033">
        <w:rPr>
          <w:rFonts w:hint="eastAsia"/>
          <w:lang w:eastAsia="zh-CN"/>
        </w:rPr>
        <w:t>和</w:t>
      </w:r>
      <w:r w:rsidR="00041CF5">
        <w:rPr>
          <w:rFonts w:hint="eastAsia"/>
          <w:lang w:eastAsia="zh-CN"/>
        </w:rPr>
        <w:t>开展后续</w:t>
      </w:r>
      <w:r w:rsidR="00AE2033" w:rsidRPr="00AE2033">
        <w:rPr>
          <w:rFonts w:hint="eastAsia"/>
          <w:lang w:eastAsia="zh-CN"/>
        </w:rPr>
        <w:t>跟进。</w:t>
      </w:r>
      <w:r w:rsidR="00AE2033" w:rsidRPr="00AE2033">
        <w:rPr>
          <w:rFonts w:hint="eastAsia"/>
          <w:lang w:eastAsia="zh-CN"/>
        </w:rPr>
        <w:t>2025</w:t>
      </w:r>
      <w:r w:rsidR="00AE2033" w:rsidRPr="00AE2033">
        <w:rPr>
          <w:rFonts w:hint="eastAsia"/>
          <w:lang w:eastAsia="zh-CN"/>
        </w:rPr>
        <w:t>年</w:t>
      </w:r>
      <w:r w:rsidR="00AE2033" w:rsidRPr="00AE2033">
        <w:rPr>
          <w:rFonts w:hint="eastAsia"/>
          <w:lang w:eastAsia="zh-CN"/>
        </w:rPr>
        <w:t>5</w:t>
      </w:r>
      <w:r w:rsidR="00AE2033" w:rsidRPr="00AE2033">
        <w:rPr>
          <w:rFonts w:hint="eastAsia"/>
          <w:lang w:eastAsia="zh-CN"/>
        </w:rPr>
        <w:t>月，</w:t>
      </w:r>
      <w:r w:rsidR="00041CF5" w:rsidRPr="00041CF5">
        <w:rPr>
          <w:rFonts w:hint="eastAsia"/>
          <w:lang w:eastAsia="zh-CN"/>
        </w:rPr>
        <w:t>秘书处</w:t>
      </w:r>
      <w:r w:rsidR="00041CF5">
        <w:rPr>
          <w:rFonts w:hint="eastAsia"/>
          <w:lang w:eastAsia="zh-CN"/>
        </w:rPr>
        <w:t>在</w:t>
      </w:r>
      <w:r w:rsidR="00041CF5" w:rsidRPr="00041CF5">
        <w:rPr>
          <w:rFonts w:hint="eastAsia"/>
          <w:lang w:eastAsia="zh-CN"/>
        </w:rPr>
        <w:t>线下记录</w:t>
      </w:r>
      <w:r w:rsidR="00041CF5">
        <w:rPr>
          <w:rFonts w:hint="eastAsia"/>
          <w:lang w:eastAsia="zh-CN"/>
        </w:rPr>
        <w:t>中更新了</w:t>
      </w:r>
      <w:r w:rsidR="00041CF5" w:rsidRPr="00041CF5">
        <w:rPr>
          <w:rFonts w:hint="eastAsia"/>
          <w:lang w:eastAsia="zh-CN"/>
        </w:rPr>
        <w:t>其认</w:t>
      </w:r>
      <w:r w:rsidR="00041CF5">
        <w:rPr>
          <w:rFonts w:hint="eastAsia"/>
          <w:lang w:eastAsia="zh-CN"/>
        </w:rPr>
        <w:t>为</w:t>
      </w:r>
      <w:r w:rsidR="00041CF5" w:rsidRPr="00041CF5">
        <w:rPr>
          <w:rFonts w:hint="eastAsia"/>
          <w:lang w:eastAsia="zh-CN"/>
        </w:rPr>
        <w:t>已</w:t>
      </w:r>
      <w:r w:rsidR="00041CF5">
        <w:rPr>
          <w:rFonts w:hint="eastAsia"/>
          <w:lang w:eastAsia="zh-CN"/>
        </w:rPr>
        <w:t>实施</w:t>
      </w:r>
      <w:r w:rsidR="00041CF5" w:rsidRPr="00041CF5">
        <w:rPr>
          <w:rFonts w:hint="eastAsia"/>
          <w:lang w:eastAsia="zh-CN"/>
        </w:rPr>
        <w:t>的建议。</w:t>
      </w:r>
    </w:p>
    <w:p w14:paraId="13199D3B" w14:textId="6F19A3F5" w:rsidR="003D7FF0" w:rsidRPr="00D635E0" w:rsidRDefault="003D7FF0" w:rsidP="00E21452">
      <w:pPr>
        <w:tabs>
          <w:tab w:val="left" w:pos="774"/>
        </w:tabs>
        <w:jc w:val="both"/>
        <w:rPr>
          <w:lang w:val="en-US" w:eastAsia="zh-CN"/>
        </w:rPr>
      </w:pPr>
      <w:r>
        <w:rPr>
          <w:b/>
          <w:lang w:eastAsia="zh-CN"/>
        </w:rPr>
        <w:t>4.4</w:t>
      </w:r>
      <w:r>
        <w:rPr>
          <w:b/>
          <w:lang w:eastAsia="zh-CN"/>
        </w:rPr>
        <w:tab/>
      </w:r>
      <w:r w:rsidR="00AE2033" w:rsidRPr="00AE2033">
        <w:rPr>
          <w:rFonts w:hint="eastAsia"/>
          <w:lang w:eastAsia="zh-CN"/>
        </w:rPr>
        <w:t>我们注意到，前任</w:t>
      </w:r>
      <w:r w:rsidR="00041CF5">
        <w:rPr>
          <w:rFonts w:hint="eastAsia"/>
          <w:lang w:eastAsia="zh-CN"/>
        </w:rPr>
        <w:t>审计员</w:t>
      </w:r>
      <w:r w:rsidR="00AE2033" w:rsidRPr="00AE2033">
        <w:rPr>
          <w:rFonts w:hint="eastAsia"/>
          <w:lang w:eastAsia="zh-CN"/>
        </w:rPr>
        <w:t>的两份“特别”报告</w:t>
      </w:r>
      <w:r w:rsidR="00041CF5">
        <w:rPr>
          <w:rFonts w:hint="eastAsia"/>
          <w:lang w:eastAsia="zh-CN"/>
        </w:rPr>
        <w:t>提出</w:t>
      </w:r>
      <w:r w:rsidR="00AE2033" w:rsidRPr="00AE2033">
        <w:rPr>
          <w:rFonts w:hint="eastAsia"/>
          <w:lang w:eastAsia="zh-CN"/>
        </w:rPr>
        <w:t>的建议</w:t>
      </w:r>
      <w:r w:rsidR="005F1325" w:rsidRPr="00AE2033">
        <w:rPr>
          <w:rFonts w:hint="eastAsia"/>
          <w:lang w:eastAsia="zh-CN"/>
        </w:rPr>
        <w:t>未被纳入合规</w:t>
      </w:r>
      <w:r w:rsidR="005F1325">
        <w:rPr>
          <w:rFonts w:hint="eastAsia"/>
          <w:lang w:eastAsia="zh-CN"/>
        </w:rPr>
        <w:t>性</w:t>
      </w:r>
      <w:r w:rsidR="005F1325" w:rsidRPr="00AE2033">
        <w:rPr>
          <w:rFonts w:hint="eastAsia"/>
          <w:lang w:eastAsia="zh-CN"/>
        </w:rPr>
        <w:t>跟踪系统或</w:t>
      </w:r>
      <w:r w:rsidR="005F1325">
        <w:rPr>
          <w:rFonts w:hint="eastAsia"/>
          <w:lang w:eastAsia="zh-CN"/>
        </w:rPr>
        <w:t>线下</w:t>
      </w:r>
      <w:r w:rsidR="005F1325" w:rsidRPr="00AE2033">
        <w:rPr>
          <w:rFonts w:hint="eastAsia"/>
          <w:lang w:eastAsia="zh-CN"/>
        </w:rPr>
        <w:t>记录，因此，在前任</w:t>
      </w:r>
      <w:r w:rsidR="005F1325">
        <w:rPr>
          <w:rFonts w:hint="eastAsia"/>
          <w:lang w:eastAsia="zh-CN"/>
        </w:rPr>
        <w:t>审计员</w:t>
      </w:r>
      <w:r w:rsidR="005F1325" w:rsidRPr="00AE2033">
        <w:rPr>
          <w:rFonts w:hint="eastAsia"/>
          <w:lang w:eastAsia="zh-CN"/>
        </w:rPr>
        <w:t>任期结束时，相关的</w:t>
      </w:r>
      <w:r w:rsidR="005F1325" w:rsidRPr="00AE2033">
        <w:rPr>
          <w:rFonts w:hint="eastAsia"/>
          <w:lang w:eastAsia="zh-CN"/>
        </w:rPr>
        <w:t>24</w:t>
      </w:r>
      <w:r w:rsidR="005F1325" w:rsidRPr="00AE2033">
        <w:rPr>
          <w:rFonts w:hint="eastAsia"/>
          <w:lang w:eastAsia="zh-CN"/>
        </w:rPr>
        <w:t>项未</w:t>
      </w:r>
      <w:r w:rsidR="005F1325">
        <w:rPr>
          <w:rFonts w:hint="eastAsia"/>
          <w:lang w:eastAsia="zh-CN"/>
        </w:rPr>
        <w:t>落实</w:t>
      </w:r>
      <w:r w:rsidR="005F1325" w:rsidRPr="00AE2033">
        <w:rPr>
          <w:rFonts w:hint="eastAsia"/>
          <w:lang w:eastAsia="zh-CN"/>
        </w:rPr>
        <w:t>建议没有得到国际电联秘书处的积极审议，实际上已经消失在人们的视野中。</w:t>
      </w:r>
      <w:r w:rsidR="005F1325">
        <w:rPr>
          <w:rFonts w:hint="eastAsia"/>
          <w:lang w:eastAsia="zh-CN"/>
        </w:rPr>
        <w:t>这两份报告是《</w:t>
      </w:r>
      <w:r w:rsidR="00AE2033" w:rsidRPr="00AE2033">
        <w:rPr>
          <w:rFonts w:hint="eastAsia"/>
          <w:lang w:eastAsia="zh-CN"/>
        </w:rPr>
        <w:t>加强区域代表处的作用</w:t>
      </w:r>
      <w:r w:rsidR="005F1325">
        <w:rPr>
          <w:rFonts w:hint="eastAsia"/>
          <w:lang w:eastAsia="zh-CN"/>
        </w:rPr>
        <w:t>》</w:t>
      </w:r>
      <w:r w:rsidR="00AE2033" w:rsidRPr="00AE2033">
        <w:rPr>
          <w:rFonts w:hint="eastAsia"/>
          <w:lang w:eastAsia="zh-CN"/>
        </w:rPr>
        <w:t>报告（</w:t>
      </w:r>
      <w:hyperlink r:id="rId19" w:history="1">
        <w:r w:rsidR="005F1325" w:rsidRPr="00E976AA">
          <w:rPr>
            <w:rStyle w:val="Hyperlink"/>
            <w:lang w:eastAsia="zh-CN"/>
          </w:rPr>
          <w:t>C18/125</w:t>
        </w:r>
      </w:hyperlink>
      <w:r w:rsidR="00AE2033" w:rsidRPr="00AE2033">
        <w:rPr>
          <w:rFonts w:hint="eastAsia"/>
          <w:lang w:eastAsia="zh-CN"/>
        </w:rPr>
        <w:t>号文件：</w:t>
      </w:r>
      <w:r w:rsidR="00AE2033" w:rsidRPr="00AE2033">
        <w:rPr>
          <w:rFonts w:hint="eastAsia"/>
          <w:lang w:eastAsia="zh-CN"/>
        </w:rPr>
        <w:t>2018</w:t>
      </w:r>
      <w:r w:rsidR="00AE2033" w:rsidRPr="00AE2033">
        <w:rPr>
          <w:rFonts w:hint="eastAsia"/>
          <w:lang w:eastAsia="zh-CN"/>
        </w:rPr>
        <w:t>年</w:t>
      </w:r>
      <w:r w:rsidR="00AE2033" w:rsidRPr="00AE2033">
        <w:rPr>
          <w:rFonts w:hint="eastAsia"/>
          <w:lang w:eastAsia="zh-CN"/>
        </w:rPr>
        <w:t>10</w:t>
      </w:r>
      <w:r w:rsidR="00AE2033" w:rsidRPr="00AE2033">
        <w:rPr>
          <w:rFonts w:hint="eastAsia"/>
          <w:lang w:eastAsia="zh-CN"/>
        </w:rPr>
        <w:t>月</w:t>
      </w:r>
      <w:r w:rsidR="00AE2033" w:rsidRPr="00AE2033">
        <w:rPr>
          <w:rFonts w:hint="eastAsia"/>
          <w:lang w:eastAsia="zh-CN"/>
        </w:rPr>
        <w:t>9</w:t>
      </w:r>
      <w:r w:rsidR="00AE2033" w:rsidRPr="00AE2033">
        <w:rPr>
          <w:rFonts w:hint="eastAsia"/>
          <w:lang w:eastAsia="zh-CN"/>
        </w:rPr>
        <w:t>日）</w:t>
      </w:r>
      <w:r w:rsidR="005F1325">
        <w:rPr>
          <w:rFonts w:hint="eastAsia"/>
          <w:lang w:eastAsia="zh-CN"/>
        </w:rPr>
        <w:t>和《</w:t>
      </w:r>
      <w:r w:rsidR="00AE2033" w:rsidRPr="00AE2033">
        <w:rPr>
          <w:rFonts w:hint="eastAsia"/>
          <w:lang w:eastAsia="zh-CN"/>
        </w:rPr>
        <w:t>解决</w:t>
      </w:r>
      <w:r w:rsidR="005F1325">
        <w:rPr>
          <w:rFonts w:hint="eastAsia"/>
          <w:lang w:val="en-US" w:eastAsia="zh-CN"/>
        </w:rPr>
        <w:t>发生在</w:t>
      </w:r>
      <w:r w:rsidR="00AE2033" w:rsidRPr="00AE2033">
        <w:rPr>
          <w:rFonts w:hint="eastAsia"/>
          <w:lang w:eastAsia="zh-CN"/>
        </w:rPr>
        <w:t>国际电联</w:t>
      </w:r>
      <w:r w:rsidR="005F1325">
        <w:rPr>
          <w:rFonts w:hint="eastAsia"/>
          <w:lang w:eastAsia="zh-CN"/>
        </w:rPr>
        <w:t>的</w:t>
      </w:r>
      <w:r w:rsidR="00AE2033" w:rsidRPr="00AE2033">
        <w:rPr>
          <w:rFonts w:hint="eastAsia"/>
          <w:lang w:eastAsia="zh-CN"/>
        </w:rPr>
        <w:t>欺诈</w:t>
      </w:r>
      <w:r w:rsidR="005F1325">
        <w:rPr>
          <w:rFonts w:hint="eastAsia"/>
          <w:lang w:eastAsia="zh-CN"/>
        </w:rPr>
        <w:t>行为》</w:t>
      </w:r>
      <w:r w:rsidR="00AE2033" w:rsidRPr="00AE2033">
        <w:rPr>
          <w:rFonts w:hint="eastAsia"/>
          <w:lang w:eastAsia="zh-CN"/>
        </w:rPr>
        <w:t>特别报告（</w:t>
      </w:r>
      <w:hyperlink r:id="rId20" w:history="1">
        <w:r w:rsidR="005F1325" w:rsidRPr="00E976AA">
          <w:rPr>
            <w:rStyle w:val="Hyperlink"/>
            <w:lang w:eastAsia="zh-CN"/>
          </w:rPr>
          <w:t>C19/106</w:t>
        </w:r>
      </w:hyperlink>
      <w:r w:rsidR="00AE2033" w:rsidRPr="00AE2033">
        <w:rPr>
          <w:rFonts w:hint="eastAsia"/>
          <w:lang w:eastAsia="zh-CN"/>
        </w:rPr>
        <w:t>号文件：</w:t>
      </w:r>
      <w:r w:rsidR="00AE2033" w:rsidRPr="00AE2033">
        <w:rPr>
          <w:rFonts w:hint="eastAsia"/>
          <w:lang w:eastAsia="zh-CN"/>
        </w:rPr>
        <w:t>2019</w:t>
      </w:r>
      <w:r w:rsidR="00AE2033" w:rsidRPr="00AE2033">
        <w:rPr>
          <w:rFonts w:hint="eastAsia"/>
          <w:lang w:eastAsia="zh-CN"/>
        </w:rPr>
        <w:t>年</w:t>
      </w:r>
      <w:r w:rsidR="00AE2033" w:rsidRPr="00AE2033">
        <w:rPr>
          <w:rFonts w:hint="eastAsia"/>
          <w:lang w:eastAsia="zh-CN"/>
        </w:rPr>
        <w:t>6</w:t>
      </w:r>
      <w:r w:rsidR="00AE2033" w:rsidRPr="00AE2033">
        <w:rPr>
          <w:rFonts w:hint="eastAsia"/>
          <w:lang w:eastAsia="zh-CN"/>
        </w:rPr>
        <w:t>月</w:t>
      </w:r>
      <w:r w:rsidR="00AE2033" w:rsidRPr="00AE2033">
        <w:rPr>
          <w:rFonts w:hint="eastAsia"/>
          <w:lang w:eastAsia="zh-CN"/>
        </w:rPr>
        <w:t>10</w:t>
      </w:r>
      <w:r w:rsidR="00AE2033" w:rsidRPr="00AE2033">
        <w:rPr>
          <w:rFonts w:hint="eastAsia"/>
          <w:lang w:eastAsia="zh-CN"/>
        </w:rPr>
        <w:t>日）</w:t>
      </w:r>
      <w:r w:rsidR="005F1325">
        <w:rPr>
          <w:rFonts w:hint="eastAsia"/>
          <w:lang w:eastAsia="zh-CN"/>
        </w:rPr>
        <w:t>。</w:t>
      </w:r>
    </w:p>
    <w:p w14:paraId="58B19209" w14:textId="0F05B702" w:rsidR="003D7FF0" w:rsidRDefault="003D7FF0" w:rsidP="00E21452">
      <w:pPr>
        <w:tabs>
          <w:tab w:val="left" w:pos="774"/>
        </w:tabs>
        <w:jc w:val="both"/>
        <w:rPr>
          <w:lang w:eastAsia="zh-CN"/>
        </w:rPr>
      </w:pPr>
      <w:r>
        <w:rPr>
          <w:b/>
          <w:lang w:eastAsia="zh-CN"/>
        </w:rPr>
        <w:t>4.5</w:t>
      </w:r>
      <w:r>
        <w:rPr>
          <w:b/>
          <w:lang w:eastAsia="zh-CN"/>
        </w:rPr>
        <w:tab/>
      </w:r>
      <w:r w:rsidR="00D635E0">
        <w:rPr>
          <w:rFonts w:hint="eastAsia"/>
          <w:lang w:eastAsia="zh-CN"/>
        </w:rPr>
        <w:t>经过</w:t>
      </w:r>
      <w:r w:rsidR="00AE2033" w:rsidRPr="00AE2033">
        <w:rPr>
          <w:rFonts w:hint="eastAsia"/>
          <w:lang w:eastAsia="zh-CN"/>
        </w:rPr>
        <w:t>我们的</w:t>
      </w:r>
      <w:r w:rsidR="00D635E0">
        <w:rPr>
          <w:rFonts w:hint="eastAsia"/>
          <w:lang w:eastAsia="zh-CN"/>
        </w:rPr>
        <w:t>干预</w:t>
      </w:r>
      <w:r w:rsidR="00AE2033" w:rsidRPr="00AE2033">
        <w:rPr>
          <w:rFonts w:hint="eastAsia"/>
          <w:lang w:eastAsia="zh-CN"/>
        </w:rPr>
        <w:t>，提供了最新情况，并纳入附录二。</w:t>
      </w:r>
      <w:r w:rsidR="00D635E0">
        <w:rPr>
          <w:rFonts w:hint="eastAsia"/>
          <w:lang w:eastAsia="zh-CN"/>
        </w:rPr>
        <w:t>《</w:t>
      </w:r>
      <w:r w:rsidR="00AE2033" w:rsidRPr="00AE2033">
        <w:rPr>
          <w:rFonts w:hint="eastAsia"/>
          <w:lang w:eastAsia="zh-CN"/>
        </w:rPr>
        <w:t>解决</w:t>
      </w:r>
      <w:r w:rsidR="00D635E0">
        <w:rPr>
          <w:rFonts w:hint="eastAsia"/>
          <w:lang w:eastAsia="zh-CN"/>
        </w:rPr>
        <w:t>发生在</w:t>
      </w:r>
      <w:r w:rsidR="00AE2033" w:rsidRPr="00AE2033">
        <w:rPr>
          <w:rFonts w:hint="eastAsia"/>
          <w:lang w:eastAsia="zh-CN"/>
        </w:rPr>
        <w:t>国际电联</w:t>
      </w:r>
      <w:r w:rsidR="00D635E0">
        <w:rPr>
          <w:rFonts w:hint="eastAsia"/>
          <w:lang w:eastAsia="zh-CN"/>
        </w:rPr>
        <w:t>的</w:t>
      </w:r>
      <w:r w:rsidR="00AE2033" w:rsidRPr="00AE2033">
        <w:rPr>
          <w:rFonts w:hint="eastAsia"/>
          <w:lang w:eastAsia="zh-CN"/>
        </w:rPr>
        <w:t>欺诈</w:t>
      </w:r>
      <w:r w:rsidR="00D635E0">
        <w:rPr>
          <w:rFonts w:hint="eastAsia"/>
          <w:lang w:eastAsia="zh-CN"/>
        </w:rPr>
        <w:t>行为》</w:t>
      </w:r>
      <w:r w:rsidR="00AE2033" w:rsidRPr="00AE2033">
        <w:rPr>
          <w:rFonts w:hint="eastAsia"/>
          <w:lang w:eastAsia="zh-CN"/>
        </w:rPr>
        <w:t>报告中的五项建议尚未实施（</w:t>
      </w:r>
      <w:r w:rsidR="00AE2033" w:rsidRPr="00AE2033">
        <w:rPr>
          <w:rFonts w:hint="eastAsia"/>
          <w:lang w:eastAsia="zh-CN"/>
        </w:rPr>
        <w:t>#4</w:t>
      </w:r>
      <w:r w:rsidR="00AE2033" w:rsidRPr="00AE2033">
        <w:rPr>
          <w:rFonts w:hint="eastAsia"/>
          <w:lang w:eastAsia="zh-CN"/>
        </w:rPr>
        <w:t>、</w:t>
      </w:r>
      <w:r w:rsidR="00AE2033" w:rsidRPr="00AE2033">
        <w:rPr>
          <w:rFonts w:hint="eastAsia"/>
          <w:lang w:eastAsia="zh-CN"/>
        </w:rPr>
        <w:t>#5</w:t>
      </w:r>
      <w:r w:rsidR="00AE2033" w:rsidRPr="00AE2033">
        <w:rPr>
          <w:rFonts w:hint="eastAsia"/>
          <w:lang w:eastAsia="zh-CN"/>
        </w:rPr>
        <w:t>、</w:t>
      </w:r>
      <w:r w:rsidR="00AE2033" w:rsidRPr="00AE2033">
        <w:rPr>
          <w:rFonts w:hint="eastAsia"/>
          <w:lang w:eastAsia="zh-CN"/>
        </w:rPr>
        <w:t>#6</w:t>
      </w:r>
      <w:r w:rsidR="00AE2033" w:rsidRPr="00AE2033">
        <w:rPr>
          <w:rFonts w:hint="eastAsia"/>
          <w:lang w:eastAsia="zh-CN"/>
        </w:rPr>
        <w:t>、</w:t>
      </w:r>
      <w:r w:rsidR="00AE2033" w:rsidRPr="00AE2033">
        <w:rPr>
          <w:rFonts w:hint="eastAsia"/>
          <w:lang w:eastAsia="zh-CN"/>
        </w:rPr>
        <w:t>#7</w:t>
      </w:r>
      <w:r w:rsidR="00AE2033" w:rsidRPr="00AE2033">
        <w:rPr>
          <w:rFonts w:hint="eastAsia"/>
          <w:lang w:eastAsia="zh-CN"/>
        </w:rPr>
        <w:t>和</w:t>
      </w:r>
      <w:r w:rsidR="00AE2033" w:rsidRPr="00AE2033">
        <w:rPr>
          <w:rFonts w:hint="eastAsia"/>
          <w:lang w:eastAsia="zh-CN"/>
        </w:rPr>
        <w:t>#16</w:t>
      </w:r>
      <w:r w:rsidR="00AE2033" w:rsidRPr="00AE2033">
        <w:rPr>
          <w:rFonts w:hint="eastAsia"/>
          <w:lang w:eastAsia="zh-CN"/>
        </w:rPr>
        <w:t>），但我们已</w:t>
      </w:r>
      <w:r w:rsidR="00D635E0">
        <w:rPr>
          <w:rFonts w:hint="eastAsia"/>
          <w:lang w:eastAsia="zh-CN"/>
        </w:rPr>
        <w:t>用自己的相应建议替换了</w:t>
      </w:r>
      <w:r w:rsidR="00AE2033" w:rsidRPr="00AE2033">
        <w:rPr>
          <w:rFonts w:hint="eastAsia"/>
          <w:lang w:eastAsia="zh-CN"/>
        </w:rPr>
        <w:t>其中三项，</w:t>
      </w:r>
      <w:r w:rsidR="00D635E0">
        <w:rPr>
          <w:rFonts w:hint="eastAsia"/>
          <w:lang w:eastAsia="zh-CN"/>
        </w:rPr>
        <w:t>以</w:t>
      </w:r>
      <w:r w:rsidR="00AE2033" w:rsidRPr="00AE2033">
        <w:rPr>
          <w:rFonts w:hint="eastAsia"/>
          <w:lang w:eastAsia="zh-CN"/>
        </w:rPr>
        <w:t>反映自前任</w:t>
      </w:r>
      <w:r w:rsidR="00D635E0">
        <w:rPr>
          <w:rFonts w:hint="eastAsia"/>
          <w:lang w:eastAsia="zh-CN"/>
        </w:rPr>
        <w:t>审计员</w:t>
      </w:r>
      <w:r w:rsidR="00AE2033" w:rsidRPr="00AE2033">
        <w:rPr>
          <w:rFonts w:hint="eastAsia"/>
          <w:lang w:eastAsia="zh-CN"/>
        </w:rPr>
        <w:t>报告以来所发生的变化。在落实</w:t>
      </w:r>
      <w:r w:rsidR="00AE2033" w:rsidRPr="00AE2033">
        <w:rPr>
          <w:rFonts w:hint="eastAsia"/>
          <w:lang w:eastAsia="zh-CN"/>
        </w:rPr>
        <w:t>2018</w:t>
      </w:r>
      <w:r w:rsidR="00AE2033" w:rsidRPr="00AE2033">
        <w:rPr>
          <w:rFonts w:hint="eastAsia"/>
          <w:lang w:eastAsia="zh-CN"/>
        </w:rPr>
        <w:t>年关于“加强区域代表处</w:t>
      </w:r>
      <w:r w:rsidR="00D635E0">
        <w:rPr>
          <w:rFonts w:hint="eastAsia"/>
          <w:lang w:eastAsia="zh-CN"/>
        </w:rPr>
        <w:t>的</w:t>
      </w:r>
      <w:r w:rsidR="00AE2033" w:rsidRPr="00AE2033">
        <w:rPr>
          <w:rFonts w:hint="eastAsia"/>
          <w:lang w:eastAsia="zh-CN"/>
        </w:rPr>
        <w:t>作用”的建议方面</w:t>
      </w:r>
      <w:r w:rsidR="00D635E0">
        <w:rPr>
          <w:rFonts w:hint="eastAsia"/>
          <w:lang w:eastAsia="zh-CN"/>
        </w:rPr>
        <w:t>，</w:t>
      </w:r>
      <w:r w:rsidR="00D635E0" w:rsidRPr="00AE2033">
        <w:rPr>
          <w:rFonts w:hint="eastAsia"/>
          <w:lang w:eastAsia="zh-CN"/>
        </w:rPr>
        <w:t>国际电联</w:t>
      </w:r>
      <w:r w:rsidR="00D635E0">
        <w:rPr>
          <w:rFonts w:hint="eastAsia"/>
          <w:lang w:eastAsia="zh-CN"/>
        </w:rPr>
        <w:t>取得的</w:t>
      </w:r>
      <w:r w:rsidR="00AE2033" w:rsidRPr="00AE2033">
        <w:rPr>
          <w:rFonts w:hint="eastAsia"/>
          <w:lang w:eastAsia="zh-CN"/>
        </w:rPr>
        <w:t>进展较少，其中八项建议仍未落实，我们在访问亚太区域代表处期间发现的许多问题与前任</w:t>
      </w:r>
      <w:r w:rsidR="00D635E0">
        <w:rPr>
          <w:rFonts w:hint="eastAsia"/>
          <w:lang w:eastAsia="zh-CN"/>
        </w:rPr>
        <w:t>审计员</w:t>
      </w:r>
      <w:r w:rsidR="00AE2033" w:rsidRPr="00AE2033">
        <w:rPr>
          <w:rFonts w:hint="eastAsia"/>
          <w:lang w:eastAsia="zh-CN"/>
        </w:rPr>
        <w:t>所</w:t>
      </w:r>
      <w:r w:rsidR="00D635E0">
        <w:rPr>
          <w:rFonts w:hint="eastAsia"/>
          <w:lang w:eastAsia="zh-CN"/>
        </w:rPr>
        <w:t>确定</w:t>
      </w:r>
      <w:r w:rsidR="00AE2033" w:rsidRPr="00AE2033">
        <w:rPr>
          <w:rFonts w:hint="eastAsia"/>
          <w:lang w:eastAsia="zh-CN"/>
        </w:rPr>
        <w:t>的主题是一致的。</w:t>
      </w:r>
    </w:p>
    <w:p w14:paraId="2F3C468D" w14:textId="0D3A0FF5" w:rsidR="003D7FF0" w:rsidRDefault="003D7FF0" w:rsidP="00E21452">
      <w:pPr>
        <w:tabs>
          <w:tab w:val="left" w:pos="774"/>
        </w:tabs>
        <w:jc w:val="both"/>
        <w:rPr>
          <w:lang w:eastAsia="zh-CN"/>
        </w:rPr>
      </w:pPr>
      <w:r>
        <w:rPr>
          <w:b/>
          <w:lang w:eastAsia="zh-CN"/>
        </w:rPr>
        <w:t>4.6</w:t>
      </w:r>
      <w:r>
        <w:rPr>
          <w:b/>
          <w:lang w:eastAsia="zh-CN"/>
        </w:rPr>
        <w:tab/>
      </w:r>
      <w:r w:rsidR="00AE2033" w:rsidRPr="00AE2033">
        <w:rPr>
          <w:rFonts w:hint="eastAsia"/>
          <w:lang w:eastAsia="zh-CN"/>
        </w:rPr>
        <w:t>关于前任</w:t>
      </w:r>
      <w:r w:rsidR="00D635E0">
        <w:rPr>
          <w:rFonts w:hint="eastAsia"/>
          <w:lang w:eastAsia="zh-CN"/>
        </w:rPr>
        <w:t>审计员</w:t>
      </w:r>
      <w:r w:rsidR="00AE2033" w:rsidRPr="00AE2033">
        <w:rPr>
          <w:rFonts w:hint="eastAsia"/>
          <w:lang w:eastAsia="zh-CN"/>
        </w:rPr>
        <w:t>的“特别”报告</w:t>
      </w:r>
      <w:r w:rsidR="00D635E0">
        <w:rPr>
          <w:rFonts w:hint="eastAsia"/>
          <w:lang w:eastAsia="zh-CN"/>
        </w:rPr>
        <w:t>《</w:t>
      </w:r>
      <w:r w:rsidR="00AE2033" w:rsidRPr="00AE2033">
        <w:rPr>
          <w:rFonts w:hint="eastAsia"/>
          <w:lang w:eastAsia="zh-CN"/>
        </w:rPr>
        <w:t>美洲区域代表处</w:t>
      </w:r>
      <w:r w:rsidR="00D635E0">
        <w:rPr>
          <w:rFonts w:hint="eastAsia"/>
          <w:lang w:eastAsia="zh-CN"/>
        </w:rPr>
        <w:t>》</w:t>
      </w:r>
      <w:r w:rsidR="00AE2033" w:rsidRPr="00AE2033">
        <w:rPr>
          <w:rFonts w:hint="eastAsia"/>
          <w:lang w:eastAsia="zh-CN"/>
        </w:rPr>
        <w:t>（</w:t>
      </w:r>
      <w:hyperlink r:id="rId21" w:history="1">
        <w:proofErr w:type="spellStart"/>
        <w:r w:rsidR="00D635E0" w:rsidRPr="00E976AA">
          <w:rPr>
            <w:rStyle w:val="Hyperlink"/>
            <w:lang w:eastAsia="zh-CN"/>
          </w:rPr>
          <w:t>C22</w:t>
        </w:r>
        <w:proofErr w:type="spellEnd"/>
        <w:r w:rsidR="00D635E0" w:rsidRPr="00E976AA">
          <w:rPr>
            <w:rStyle w:val="Hyperlink"/>
            <w:lang w:eastAsia="zh-CN"/>
          </w:rPr>
          <w:t>/104</w:t>
        </w:r>
      </w:hyperlink>
      <w:r w:rsidR="00AE2033" w:rsidRPr="00AE2033">
        <w:rPr>
          <w:rFonts w:hint="eastAsia"/>
          <w:lang w:eastAsia="zh-CN"/>
        </w:rPr>
        <w:t>号文件：</w:t>
      </w:r>
      <w:r w:rsidR="00AE2033" w:rsidRPr="00AE2033">
        <w:rPr>
          <w:rFonts w:hint="eastAsia"/>
          <w:lang w:eastAsia="zh-CN"/>
        </w:rPr>
        <w:t>2022</w:t>
      </w:r>
      <w:r w:rsidR="00AE2033" w:rsidRPr="00AE2033">
        <w:rPr>
          <w:rFonts w:hint="eastAsia"/>
          <w:lang w:eastAsia="zh-CN"/>
        </w:rPr>
        <w:t>年</w:t>
      </w:r>
      <w:r w:rsidR="00AE2033" w:rsidRPr="00AE2033">
        <w:rPr>
          <w:rFonts w:hint="eastAsia"/>
          <w:lang w:eastAsia="zh-CN"/>
        </w:rPr>
        <w:t>9</w:t>
      </w:r>
      <w:r w:rsidR="00AE2033" w:rsidRPr="00AE2033">
        <w:rPr>
          <w:rFonts w:hint="eastAsia"/>
          <w:lang w:eastAsia="zh-CN"/>
        </w:rPr>
        <w:t>月</w:t>
      </w:r>
      <w:r w:rsidR="00AE2033" w:rsidRPr="00AE2033">
        <w:rPr>
          <w:rFonts w:hint="eastAsia"/>
          <w:lang w:eastAsia="zh-CN"/>
        </w:rPr>
        <w:t>6</w:t>
      </w:r>
      <w:r w:rsidR="00AE2033" w:rsidRPr="00AE2033">
        <w:rPr>
          <w:rFonts w:hint="eastAsia"/>
          <w:lang w:eastAsia="zh-CN"/>
        </w:rPr>
        <w:t>日），国际电联已完成</w:t>
      </w:r>
      <w:r w:rsidR="00D635E0">
        <w:rPr>
          <w:rFonts w:hint="eastAsia"/>
          <w:lang w:eastAsia="zh-CN"/>
        </w:rPr>
        <w:t>了</w:t>
      </w:r>
      <w:r w:rsidR="00AE2033" w:rsidRPr="00AE2033">
        <w:rPr>
          <w:rFonts w:hint="eastAsia"/>
          <w:lang w:eastAsia="zh-CN"/>
        </w:rPr>
        <w:t>四</w:t>
      </w:r>
      <w:r w:rsidR="00D635E0">
        <w:rPr>
          <w:rFonts w:hint="eastAsia"/>
          <w:lang w:eastAsia="zh-CN"/>
        </w:rPr>
        <w:t>项</w:t>
      </w:r>
      <w:r w:rsidR="00AE2033" w:rsidRPr="00AE2033">
        <w:rPr>
          <w:rFonts w:hint="eastAsia"/>
          <w:lang w:eastAsia="zh-CN"/>
        </w:rPr>
        <w:t>未</w:t>
      </w:r>
      <w:r w:rsidR="00D635E0">
        <w:rPr>
          <w:rFonts w:hint="eastAsia"/>
          <w:lang w:eastAsia="zh-CN"/>
        </w:rPr>
        <w:t>落实的</w:t>
      </w:r>
      <w:r w:rsidR="00AE2033" w:rsidRPr="00AE2033">
        <w:rPr>
          <w:rFonts w:hint="eastAsia"/>
          <w:lang w:eastAsia="zh-CN"/>
        </w:rPr>
        <w:t>建议，还有八</w:t>
      </w:r>
      <w:r w:rsidR="00D635E0">
        <w:rPr>
          <w:rFonts w:hint="eastAsia"/>
          <w:lang w:eastAsia="zh-CN"/>
        </w:rPr>
        <w:t>项</w:t>
      </w:r>
      <w:r w:rsidR="00AE2033" w:rsidRPr="00AE2033">
        <w:rPr>
          <w:rFonts w:hint="eastAsia"/>
          <w:lang w:eastAsia="zh-CN"/>
        </w:rPr>
        <w:t>建议正在</w:t>
      </w:r>
      <w:r w:rsidR="00D635E0">
        <w:rPr>
          <w:rFonts w:hint="eastAsia"/>
          <w:lang w:eastAsia="zh-CN"/>
        </w:rPr>
        <w:t>实施</w:t>
      </w:r>
      <w:r w:rsidR="00AE2033" w:rsidRPr="00AE2033">
        <w:rPr>
          <w:rFonts w:hint="eastAsia"/>
          <w:lang w:eastAsia="zh-CN"/>
        </w:rPr>
        <w:t>中。</w:t>
      </w:r>
    </w:p>
    <w:p w14:paraId="366B5C8D" w14:textId="484CC6B7" w:rsidR="003D7FF0" w:rsidRDefault="003D7FF0" w:rsidP="00E21452">
      <w:pPr>
        <w:tabs>
          <w:tab w:val="left" w:pos="774"/>
        </w:tabs>
        <w:jc w:val="both"/>
        <w:rPr>
          <w:lang w:eastAsia="zh-CN"/>
        </w:rPr>
      </w:pPr>
      <w:r>
        <w:rPr>
          <w:b/>
          <w:lang w:eastAsia="zh-CN"/>
        </w:rPr>
        <w:t>4.7</w:t>
      </w:r>
      <w:r>
        <w:rPr>
          <w:b/>
          <w:lang w:eastAsia="zh-CN"/>
        </w:rPr>
        <w:tab/>
      </w:r>
      <w:r w:rsidR="00AE2033" w:rsidRPr="00AE2033">
        <w:rPr>
          <w:rFonts w:hint="eastAsia"/>
          <w:lang w:eastAsia="zh-CN"/>
        </w:rPr>
        <w:t>前任</w:t>
      </w:r>
      <w:r w:rsidR="00D635E0">
        <w:rPr>
          <w:rFonts w:hint="eastAsia"/>
          <w:lang w:eastAsia="zh-CN"/>
        </w:rPr>
        <w:t>审计员</w:t>
      </w:r>
      <w:r w:rsidR="00AE2033" w:rsidRPr="00AE2033">
        <w:rPr>
          <w:rFonts w:hint="eastAsia"/>
          <w:lang w:eastAsia="zh-CN"/>
        </w:rPr>
        <w:t>有关</w:t>
      </w:r>
      <w:r w:rsidR="00AE2033" w:rsidRPr="00AE2033">
        <w:rPr>
          <w:rFonts w:hint="eastAsia"/>
          <w:lang w:eastAsia="zh-CN"/>
        </w:rPr>
        <w:t>2021</w:t>
      </w:r>
      <w:r w:rsidR="00AE2033" w:rsidRPr="00AE2033">
        <w:rPr>
          <w:rFonts w:hint="eastAsia"/>
          <w:lang w:eastAsia="zh-CN"/>
        </w:rPr>
        <w:t>年财务报表的报告（</w:t>
      </w:r>
      <w:r w:rsidR="00D635E0">
        <w:fldChar w:fldCharType="begin"/>
      </w:r>
      <w:r w:rsidR="00D635E0">
        <w:rPr>
          <w:lang w:eastAsia="zh-CN"/>
        </w:rPr>
        <w:instrText>HYPERLINK "https://www.itu.int/md/S22-CL-C-0101/en"</w:instrText>
      </w:r>
      <w:r w:rsidR="00D635E0">
        <w:fldChar w:fldCharType="separate"/>
      </w:r>
      <w:proofErr w:type="spellStart"/>
      <w:r w:rsidR="00D635E0" w:rsidRPr="00E976AA">
        <w:rPr>
          <w:rStyle w:val="Hyperlink"/>
          <w:lang w:eastAsia="zh-CN"/>
        </w:rPr>
        <w:t>C22</w:t>
      </w:r>
      <w:proofErr w:type="spellEnd"/>
      <w:r w:rsidR="00D635E0" w:rsidRPr="00E976AA">
        <w:rPr>
          <w:rStyle w:val="Hyperlink"/>
          <w:lang w:eastAsia="zh-CN"/>
        </w:rPr>
        <w:t>/101</w:t>
      </w:r>
      <w:r w:rsidR="00D635E0">
        <w:fldChar w:fldCharType="end"/>
      </w:r>
      <w:r w:rsidR="00AE2033" w:rsidRPr="00AE2033">
        <w:rPr>
          <w:rFonts w:hint="eastAsia"/>
          <w:lang w:eastAsia="zh-CN"/>
        </w:rPr>
        <w:t>号文件：</w:t>
      </w:r>
      <w:r w:rsidR="00AE2033" w:rsidRPr="00AE2033">
        <w:rPr>
          <w:rFonts w:hint="eastAsia"/>
          <w:lang w:eastAsia="zh-CN"/>
        </w:rPr>
        <w:t>2022</w:t>
      </w:r>
      <w:r w:rsidR="00AE2033" w:rsidRPr="00AE2033">
        <w:rPr>
          <w:rFonts w:hint="eastAsia"/>
          <w:lang w:eastAsia="zh-CN"/>
        </w:rPr>
        <w:t>年</w:t>
      </w:r>
      <w:r w:rsidR="00AE2033" w:rsidRPr="00AE2033">
        <w:rPr>
          <w:rFonts w:hint="eastAsia"/>
          <w:lang w:eastAsia="zh-CN"/>
        </w:rPr>
        <w:t>9</w:t>
      </w:r>
      <w:r w:rsidR="00AE2033" w:rsidRPr="00AE2033">
        <w:rPr>
          <w:rFonts w:hint="eastAsia"/>
          <w:lang w:eastAsia="zh-CN"/>
        </w:rPr>
        <w:t>月</w:t>
      </w:r>
      <w:r w:rsidR="00AE2033" w:rsidRPr="00AE2033">
        <w:rPr>
          <w:rFonts w:hint="eastAsia"/>
          <w:lang w:eastAsia="zh-CN"/>
        </w:rPr>
        <w:t>6</w:t>
      </w:r>
      <w:r w:rsidR="00AE2033" w:rsidRPr="00AE2033">
        <w:rPr>
          <w:rFonts w:hint="eastAsia"/>
          <w:lang w:eastAsia="zh-CN"/>
        </w:rPr>
        <w:t>日）包含</w:t>
      </w:r>
      <w:r w:rsidR="00AE2033" w:rsidRPr="00AE2033">
        <w:rPr>
          <w:rFonts w:hint="eastAsia"/>
          <w:lang w:eastAsia="zh-CN"/>
        </w:rPr>
        <w:t>48</w:t>
      </w:r>
      <w:r w:rsidR="00D635E0">
        <w:rPr>
          <w:rFonts w:hint="eastAsia"/>
          <w:lang w:eastAsia="zh-CN"/>
        </w:rPr>
        <w:t>项</w:t>
      </w:r>
      <w:r w:rsidR="00AE2033" w:rsidRPr="00AE2033">
        <w:rPr>
          <w:rFonts w:hint="eastAsia"/>
          <w:lang w:eastAsia="zh-CN"/>
        </w:rPr>
        <w:t>建议。我们在</w:t>
      </w:r>
      <w:r w:rsidR="00AE2033" w:rsidRPr="00AE2033">
        <w:rPr>
          <w:rFonts w:hint="eastAsia"/>
          <w:lang w:eastAsia="zh-CN"/>
        </w:rPr>
        <w:t>2022</w:t>
      </w:r>
      <w:r w:rsidR="00AE2033" w:rsidRPr="00AE2033">
        <w:rPr>
          <w:rFonts w:hint="eastAsia"/>
          <w:lang w:eastAsia="zh-CN"/>
        </w:rPr>
        <w:t>年的报告中</w:t>
      </w:r>
      <w:r w:rsidR="00BC169E">
        <w:rPr>
          <w:rFonts w:hint="eastAsia"/>
          <w:lang w:eastAsia="zh-CN"/>
        </w:rPr>
        <w:t>指出</w:t>
      </w:r>
      <w:r w:rsidR="00AE2033" w:rsidRPr="00AE2033">
        <w:rPr>
          <w:rFonts w:hint="eastAsia"/>
          <w:lang w:eastAsia="zh-CN"/>
        </w:rPr>
        <w:t>，秘书处已完成了其中</w:t>
      </w:r>
      <w:r w:rsidR="00AE2033" w:rsidRPr="00AE2033">
        <w:rPr>
          <w:rFonts w:hint="eastAsia"/>
          <w:lang w:eastAsia="zh-CN"/>
        </w:rPr>
        <w:t>9</w:t>
      </w:r>
      <w:r w:rsidR="00AE2033" w:rsidRPr="00AE2033">
        <w:rPr>
          <w:rFonts w:hint="eastAsia"/>
          <w:lang w:eastAsia="zh-CN"/>
        </w:rPr>
        <w:t>项，在剩余</w:t>
      </w:r>
      <w:r w:rsidR="00AE2033" w:rsidRPr="00AE2033">
        <w:rPr>
          <w:rFonts w:hint="eastAsia"/>
          <w:lang w:eastAsia="zh-CN"/>
        </w:rPr>
        <w:t>39</w:t>
      </w:r>
      <w:r w:rsidR="00AE2033" w:rsidRPr="00AE2033">
        <w:rPr>
          <w:rFonts w:hint="eastAsia"/>
          <w:lang w:eastAsia="zh-CN"/>
        </w:rPr>
        <w:t>项建议中，有</w:t>
      </w:r>
      <w:r w:rsidR="00AE2033" w:rsidRPr="00AE2033">
        <w:rPr>
          <w:rFonts w:hint="eastAsia"/>
          <w:lang w:eastAsia="zh-CN"/>
        </w:rPr>
        <w:t>32</w:t>
      </w:r>
      <w:r w:rsidR="00AE2033" w:rsidRPr="00AE2033">
        <w:rPr>
          <w:rFonts w:hint="eastAsia"/>
          <w:lang w:eastAsia="zh-CN"/>
        </w:rPr>
        <w:t>项现已被认为已</w:t>
      </w:r>
      <w:r w:rsidR="00BC169E">
        <w:rPr>
          <w:rFonts w:hint="eastAsia"/>
          <w:lang w:eastAsia="zh-CN"/>
        </w:rPr>
        <w:t>实施</w:t>
      </w:r>
      <w:r w:rsidR="00AE2033" w:rsidRPr="00AE2033">
        <w:rPr>
          <w:rFonts w:hint="eastAsia"/>
          <w:lang w:eastAsia="zh-CN"/>
        </w:rPr>
        <w:t>，还剩</w:t>
      </w:r>
      <w:r w:rsidR="00AE2033" w:rsidRPr="00AE2033">
        <w:rPr>
          <w:rFonts w:hint="eastAsia"/>
          <w:lang w:eastAsia="zh-CN"/>
        </w:rPr>
        <w:t>7</w:t>
      </w:r>
      <w:r w:rsidR="00AE2033" w:rsidRPr="00AE2033">
        <w:rPr>
          <w:rFonts w:hint="eastAsia"/>
          <w:lang w:eastAsia="zh-CN"/>
        </w:rPr>
        <w:t>项建议未</w:t>
      </w:r>
      <w:r w:rsidR="00BC169E">
        <w:rPr>
          <w:rFonts w:hint="eastAsia"/>
          <w:lang w:eastAsia="zh-CN"/>
        </w:rPr>
        <w:t>落实</w:t>
      </w:r>
      <w:r w:rsidR="00AE2033" w:rsidRPr="00AE2033">
        <w:rPr>
          <w:rFonts w:hint="eastAsia"/>
          <w:lang w:eastAsia="zh-CN"/>
        </w:rPr>
        <w:t>或正在</w:t>
      </w:r>
      <w:r w:rsidR="00BC169E">
        <w:rPr>
          <w:rFonts w:hint="eastAsia"/>
          <w:lang w:eastAsia="zh-CN"/>
        </w:rPr>
        <w:t>实施</w:t>
      </w:r>
      <w:r w:rsidR="00AE2033" w:rsidRPr="00AE2033">
        <w:rPr>
          <w:rFonts w:hint="eastAsia"/>
          <w:lang w:eastAsia="zh-CN"/>
        </w:rPr>
        <w:t>中。</w:t>
      </w:r>
    </w:p>
    <w:p w14:paraId="4FCA5215" w14:textId="43BB5E6A" w:rsidR="003D7FF0" w:rsidRPr="00512FB2" w:rsidRDefault="003D7FF0" w:rsidP="00010966">
      <w:pPr>
        <w:tabs>
          <w:tab w:val="left" w:pos="774"/>
        </w:tabs>
        <w:jc w:val="both"/>
        <w:rPr>
          <w:lang w:eastAsia="zh-CN"/>
        </w:rPr>
      </w:pPr>
      <w:r w:rsidRPr="00512FB2">
        <w:rPr>
          <w:b/>
          <w:lang w:eastAsia="zh-CN"/>
        </w:rPr>
        <w:t>4.8</w:t>
      </w:r>
      <w:r w:rsidRPr="00512FB2">
        <w:rPr>
          <w:b/>
          <w:lang w:eastAsia="zh-CN"/>
        </w:rPr>
        <w:tab/>
      </w:r>
      <w:r w:rsidR="00AE2033" w:rsidRPr="00AE2033">
        <w:rPr>
          <w:rFonts w:hint="eastAsia"/>
          <w:lang w:eastAsia="zh-CN"/>
        </w:rPr>
        <w:t>前任</w:t>
      </w:r>
      <w:r w:rsidR="00BC169E">
        <w:rPr>
          <w:rFonts w:hint="eastAsia"/>
          <w:lang w:eastAsia="zh-CN"/>
        </w:rPr>
        <w:t>审计员</w:t>
      </w:r>
      <w:r w:rsidR="00AE2033" w:rsidRPr="00AE2033">
        <w:rPr>
          <w:rFonts w:hint="eastAsia"/>
          <w:lang w:eastAsia="zh-CN"/>
        </w:rPr>
        <w:t>有关财务报表的早期报告中还有</w:t>
      </w:r>
      <w:r w:rsidR="00AE2033" w:rsidRPr="00AE2033">
        <w:rPr>
          <w:rFonts w:hint="eastAsia"/>
          <w:lang w:eastAsia="zh-CN"/>
        </w:rPr>
        <w:t>11</w:t>
      </w:r>
      <w:r w:rsidR="00BC169E">
        <w:rPr>
          <w:rFonts w:hint="eastAsia"/>
          <w:lang w:eastAsia="zh-CN"/>
        </w:rPr>
        <w:t>项</w:t>
      </w:r>
      <w:r w:rsidR="00AE2033" w:rsidRPr="00AE2033">
        <w:rPr>
          <w:rFonts w:hint="eastAsia"/>
          <w:lang w:eastAsia="zh-CN"/>
        </w:rPr>
        <w:t>建议</w:t>
      </w:r>
      <w:r w:rsidR="00BC169E" w:rsidRPr="00AE2033">
        <w:rPr>
          <w:rFonts w:hint="eastAsia"/>
          <w:lang w:eastAsia="zh-CN"/>
        </w:rPr>
        <w:t>未</w:t>
      </w:r>
      <w:r w:rsidR="00BC169E">
        <w:rPr>
          <w:rFonts w:hint="eastAsia"/>
          <w:lang w:eastAsia="zh-CN"/>
        </w:rPr>
        <w:t>落实</w:t>
      </w:r>
      <w:r w:rsidR="00AE2033" w:rsidRPr="00AE2033">
        <w:rPr>
          <w:rFonts w:hint="eastAsia"/>
          <w:lang w:eastAsia="zh-CN"/>
        </w:rPr>
        <w:t>。其中，八</w:t>
      </w:r>
      <w:r w:rsidR="00BC169E">
        <w:rPr>
          <w:rFonts w:hint="eastAsia"/>
          <w:lang w:eastAsia="zh-CN"/>
        </w:rPr>
        <w:t>项</w:t>
      </w:r>
      <w:r w:rsidR="00AE2033" w:rsidRPr="00AE2033">
        <w:rPr>
          <w:rFonts w:hint="eastAsia"/>
          <w:lang w:eastAsia="zh-CN"/>
        </w:rPr>
        <w:t>已</w:t>
      </w:r>
      <w:r w:rsidR="00BD4C44">
        <w:rPr>
          <w:rFonts w:hint="eastAsia"/>
          <w:lang w:eastAsia="zh-CN"/>
        </w:rPr>
        <w:t>完成</w:t>
      </w:r>
      <w:r w:rsidR="00AE2033" w:rsidRPr="00AE2033">
        <w:rPr>
          <w:rFonts w:hint="eastAsia"/>
          <w:lang w:eastAsia="zh-CN"/>
        </w:rPr>
        <w:t>，三</w:t>
      </w:r>
      <w:r w:rsidR="00BC169E">
        <w:rPr>
          <w:rFonts w:hint="eastAsia"/>
          <w:lang w:eastAsia="zh-CN"/>
        </w:rPr>
        <w:t>项</w:t>
      </w:r>
      <w:r w:rsidR="00AE2033" w:rsidRPr="00AE2033">
        <w:rPr>
          <w:rFonts w:hint="eastAsia"/>
          <w:lang w:eastAsia="zh-CN"/>
        </w:rPr>
        <w:t>仍</w:t>
      </w:r>
      <w:r w:rsidR="00BC169E">
        <w:rPr>
          <w:rFonts w:hint="eastAsia"/>
          <w:lang w:eastAsia="zh-CN"/>
        </w:rPr>
        <w:t>未落实</w:t>
      </w:r>
      <w:r w:rsidR="00AE2033" w:rsidRPr="00AE2033">
        <w:rPr>
          <w:rFonts w:hint="eastAsia"/>
          <w:lang w:eastAsia="zh-CN"/>
        </w:rPr>
        <w:t>。附录二</w:t>
      </w:r>
      <w:r w:rsidR="00BC169E" w:rsidRPr="00BC169E">
        <w:rPr>
          <w:rFonts w:hint="eastAsia"/>
          <w:lang w:eastAsia="zh-CN"/>
        </w:rPr>
        <w:t>提供了对</w:t>
      </w:r>
      <w:r w:rsidR="00BC169E">
        <w:rPr>
          <w:rFonts w:hint="eastAsia"/>
          <w:lang w:eastAsia="zh-CN"/>
        </w:rPr>
        <w:t>前任审计员</w:t>
      </w:r>
      <w:r w:rsidR="00BC169E" w:rsidRPr="00BC169E">
        <w:rPr>
          <w:rFonts w:hint="eastAsia"/>
          <w:lang w:eastAsia="zh-CN"/>
        </w:rPr>
        <w:t>建议落实情况的更详细审查</w:t>
      </w:r>
      <w:r w:rsidR="00AE2033" w:rsidRPr="00AE2033">
        <w:rPr>
          <w:rFonts w:hint="eastAsia"/>
          <w:lang w:eastAsia="zh-CN"/>
        </w:rPr>
        <w:t>。</w:t>
      </w:r>
    </w:p>
    <w:p w14:paraId="1FBBC6B3" w14:textId="51064635" w:rsidR="003D7FF0" w:rsidRPr="00933B61" w:rsidRDefault="003D7FF0" w:rsidP="00010966">
      <w:pPr>
        <w:keepLines/>
        <w:tabs>
          <w:tab w:val="left" w:pos="774"/>
        </w:tabs>
        <w:jc w:val="both"/>
        <w:rPr>
          <w:lang w:eastAsia="zh-CN"/>
        </w:rPr>
      </w:pPr>
      <w:r w:rsidRPr="00933B61">
        <w:rPr>
          <w:b/>
          <w:lang w:eastAsia="zh-CN"/>
        </w:rPr>
        <w:lastRenderedPageBreak/>
        <w:t>4.9</w:t>
      </w:r>
      <w:r w:rsidRPr="00933B61">
        <w:rPr>
          <w:b/>
          <w:lang w:eastAsia="zh-CN"/>
        </w:rPr>
        <w:tab/>
      </w:r>
      <w:r w:rsidR="00AE2033" w:rsidRPr="00AE2033">
        <w:rPr>
          <w:rFonts w:hint="eastAsia"/>
          <w:lang w:eastAsia="zh-CN"/>
        </w:rPr>
        <w:t>虽然合规信息概览是管理层和</w:t>
      </w:r>
      <w:r w:rsidR="00AE2033" w:rsidRPr="00AE2033">
        <w:rPr>
          <w:rFonts w:hint="eastAsia"/>
          <w:lang w:eastAsia="zh-CN"/>
        </w:rPr>
        <w:t>IMAC</w:t>
      </w:r>
      <w:r w:rsidR="00AE2033" w:rsidRPr="00AE2033">
        <w:rPr>
          <w:rFonts w:hint="eastAsia"/>
          <w:lang w:eastAsia="zh-CN"/>
        </w:rPr>
        <w:t>的有用工具，但由于其并不完</w:t>
      </w:r>
      <w:r w:rsidR="00BC169E">
        <w:rPr>
          <w:rFonts w:hint="eastAsia"/>
          <w:lang w:eastAsia="zh-CN"/>
        </w:rPr>
        <w:t>备</w:t>
      </w:r>
      <w:r w:rsidR="00AE2033" w:rsidRPr="00AE2033">
        <w:rPr>
          <w:rFonts w:hint="eastAsia"/>
          <w:lang w:eastAsia="zh-CN"/>
        </w:rPr>
        <w:t>或未作为报告建议</w:t>
      </w:r>
      <w:r w:rsidR="00BD4C44">
        <w:rPr>
          <w:rFonts w:hint="eastAsia"/>
          <w:lang w:eastAsia="zh-CN"/>
        </w:rPr>
        <w:t>实施</w:t>
      </w:r>
      <w:r w:rsidR="00AE2033" w:rsidRPr="00AE2033">
        <w:rPr>
          <w:rFonts w:hint="eastAsia"/>
          <w:lang w:eastAsia="zh-CN"/>
        </w:rPr>
        <w:t>进展的唯一存储库，其效用大大削弱。此外，我们</w:t>
      </w:r>
      <w:r w:rsidR="00BD4C44">
        <w:rPr>
          <w:rFonts w:hint="eastAsia"/>
          <w:lang w:eastAsia="zh-CN"/>
        </w:rPr>
        <w:t>还</w:t>
      </w:r>
      <w:r w:rsidR="00AE2033" w:rsidRPr="00AE2033">
        <w:rPr>
          <w:rFonts w:hint="eastAsia"/>
          <w:lang w:eastAsia="zh-CN"/>
        </w:rPr>
        <w:t>发现缺乏系统的流程和治理</w:t>
      </w:r>
      <w:r w:rsidR="00BD4C44">
        <w:rPr>
          <w:rFonts w:hint="eastAsia"/>
          <w:lang w:eastAsia="zh-CN"/>
        </w:rPr>
        <w:t>措施</w:t>
      </w:r>
      <w:r w:rsidR="00AE2033" w:rsidRPr="00AE2033">
        <w:rPr>
          <w:rFonts w:hint="eastAsia"/>
          <w:lang w:eastAsia="zh-CN"/>
        </w:rPr>
        <w:t>来跟踪进展和审查未</w:t>
      </w:r>
      <w:r w:rsidR="00BC169E">
        <w:rPr>
          <w:rFonts w:hint="eastAsia"/>
          <w:lang w:eastAsia="zh-CN"/>
        </w:rPr>
        <w:t>落实</w:t>
      </w:r>
      <w:r w:rsidR="00AE2033" w:rsidRPr="00AE2033">
        <w:rPr>
          <w:rFonts w:hint="eastAsia"/>
          <w:lang w:eastAsia="zh-CN"/>
        </w:rPr>
        <w:t>建议的进展情况。我们认为，国际电联没有充分</w:t>
      </w:r>
      <w:r w:rsidR="00BC169E">
        <w:rPr>
          <w:rFonts w:hint="eastAsia"/>
          <w:lang w:eastAsia="zh-CN"/>
        </w:rPr>
        <w:t>重视</w:t>
      </w:r>
      <w:r w:rsidR="00AE2033" w:rsidRPr="00AE2033">
        <w:rPr>
          <w:rFonts w:hint="eastAsia"/>
          <w:lang w:eastAsia="zh-CN"/>
        </w:rPr>
        <w:t>外部审计</w:t>
      </w:r>
      <w:r w:rsidR="00BC169E">
        <w:rPr>
          <w:rFonts w:hint="eastAsia"/>
          <w:lang w:eastAsia="zh-CN"/>
        </w:rPr>
        <w:t>先前提出</w:t>
      </w:r>
      <w:r w:rsidR="00AE2033" w:rsidRPr="00AE2033">
        <w:rPr>
          <w:rFonts w:hint="eastAsia"/>
          <w:lang w:eastAsia="zh-CN"/>
        </w:rPr>
        <w:t>的</w:t>
      </w:r>
      <w:r w:rsidR="00BC169E">
        <w:rPr>
          <w:rFonts w:hint="eastAsia"/>
          <w:lang w:eastAsia="zh-CN"/>
        </w:rPr>
        <w:t>意见</w:t>
      </w:r>
      <w:r w:rsidR="00AE2033" w:rsidRPr="00AE2033">
        <w:rPr>
          <w:rFonts w:hint="eastAsia"/>
          <w:lang w:eastAsia="zh-CN"/>
        </w:rPr>
        <w:t>。</w:t>
      </w:r>
    </w:p>
    <w:p w14:paraId="01C2770E" w14:textId="1ECB84BF" w:rsidR="003D7FF0" w:rsidRDefault="00AE2033" w:rsidP="003D7FF0">
      <w:pPr>
        <w:rPr>
          <w:rStyle w:val="Bold"/>
          <w:lang w:eastAsia="zh-CN"/>
        </w:rPr>
      </w:pPr>
      <w:r w:rsidRPr="00AE2033">
        <w:rPr>
          <w:rStyle w:val="Bold"/>
          <w:rFonts w:hint="eastAsia"/>
          <w:lang w:eastAsia="zh-CN"/>
        </w:rPr>
        <w:t>国际电联应：</w:t>
      </w:r>
    </w:p>
    <w:p w14:paraId="1C5E0624" w14:textId="38A91B5D" w:rsidR="003D7FF0" w:rsidRDefault="003D7FF0" w:rsidP="00E21452">
      <w:pPr>
        <w:jc w:val="both"/>
        <w:rPr>
          <w:rStyle w:val="Bold"/>
          <w:lang w:eastAsia="zh-CN"/>
        </w:rPr>
      </w:pPr>
      <w:r>
        <w:rPr>
          <w:rStyle w:val="Bold"/>
          <w:lang w:eastAsia="zh-CN"/>
        </w:rPr>
        <w:t>R17</w:t>
      </w:r>
      <w:r w:rsidR="00EA598F">
        <w:rPr>
          <w:rStyle w:val="Bold"/>
          <w:rFonts w:hint="eastAsia"/>
          <w:lang w:eastAsia="zh-CN"/>
        </w:rPr>
        <w:t>：</w:t>
      </w:r>
      <w:r w:rsidR="00AE2033" w:rsidRPr="00AE2033">
        <w:rPr>
          <w:rStyle w:val="Bold"/>
          <w:rFonts w:hint="eastAsia"/>
          <w:lang w:eastAsia="zh-CN"/>
        </w:rPr>
        <w:t>建议国际电联秘书处利用现有工具建立</w:t>
      </w:r>
      <w:r w:rsidR="00EA598F" w:rsidRPr="00AE2033">
        <w:rPr>
          <w:rStyle w:val="Bold"/>
          <w:rFonts w:hint="eastAsia"/>
          <w:lang w:eastAsia="zh-CN"/>
        </w:rPr>
        <w:t>系统流程</w:t>
      </w:r>
      <w:r w:rsidR="00EA598F">
        <w:rPr>
          <w:rStyle w:val="Bold"/>
          <w:rFonts w:hint="eastAsia"/>
          <w:lang w:eastAsia="zh-CN"/>
        </w:rPr>
        <w:t>，</w:t>
      </w:r>
      <w:r w:rsidR="00AE2033" w:rsidRPr="00AE2033">
        <w:rPr>
          <w:rStyle w:val="Bold"/>
          <w:rFonts w:hint="eastAsia"/>
          <w:lang w:eastAsia="zh-CN"/>
        </w:rPr>
        <w:t>跟进</w:t>
      </w:r>
      <w:r w:rsidR="00EA598F">
        <w:rPr>
          <w:rStyle w:val="Bold"/>
          <w:rFonts w:hint="eastAsia"/>
          <w:lang w:eastAsia="zh-CN"/>
        </w:rPr>
        <w:t>未落实</w:t>
      </w:r>
      <w:r w:rsidR="00AE2033" w:rsidRPr="00AE2033">
        <w:rPr>
          <w:rStyle w:val="Bold"/>
          <w:rFonts w:hint="eastAsia"/>
          <w:lang w:eastAsia="zh-CN"/>
        </w:rPr>
        <w:t>建议的</w:t>
      </w:r>
      <w:r w:rsidR="00EA598F">
        <w:rPr>
          <w:rStyle w:val="Bold"/>
          <w:rFonts w:hint="eastAsia"/>
          <w:lang w:eastAsia="zh-CN"/>
        </w:rPr>
        <w:t>落实情况</w:t>
      </w:r>
      <w:r w:rsidR="00AE2033" w:rsidRPr="00AE2033">
        <w:rPr>
          <w:rStyle w:val="Bold"/>
          <w:rFonts w:hint="eastAsia"/>
          <w:lang w:eastAsia="zh-CN"/>
        </w:rPr>
        <w:t>。</w:t>
      </w:r>
    </w:p>
    <w:p w14:paraId="5E1E5371" w14:textId="454FFDA3" w:rsidR="003D7FF0" w:rsidRPr="00831C6A" w:rsidRDefault="003D7FF0" w:rsidP="00E21452">
      <w:pPr>
        <w:jc w:val="both"/>
        <w:rPr>
          <w:rStyle w:val="Bold"/>
          <w:lang w:eastAsia="zh-CN"/>
        </w:rPr>
      </w:pPr>
      <w:r>
        <w:rPr>
          <w:rStyle w:val="Bold"/>
          <w:lang w:eastAsia="zh-CN"/>
        </w:rPr>
        <w:t>R18</w:t>
      </w:r>
      <w:r w:rsidR="00EA598F">
        <w:rPr>
          <w:rStyle w:val="Bold"/>
          <w:rFonts w:hint="eastAsia"/>
          <w:lang w:eastAsia="zh-CN"/>
        </w:rPr>
        <w:t>：</w:t>
      </w:r>
      <w:r w:rsidR="00AE2033" w:rsidRPr="00AE2033">
        <w:rPr>
          <w:rStyle w:val="Bold"/>
          <w:rFonts w:hint="eastAsia"/>
          <w:lang w:eastAsia="zh-CN"/>
        </w:rPr>
        <w:t>此外，秘书处应与</w:t>
      </w:r>
      <w:r w:rsidR="00AE2033" w:rsidRPr="00AE2033">
        <w:rPr>
          <w:rStyle w:val="Bold"/>
          <w:rFonts w:hint="eastAsia"/>
          <w:lang w:eastAsia="zh-CN"/>
        </w:rPr>
        <w:t>IMAC</w:t>
      </w:r>
      <w:r w:rsidR="00BD4C44">
        <w:rPr>
          <w:rStyle w:val="Bold"/>
          <w:rFonts w:hint="eastAsia"/>
          <w:lang w:eastAsia="zh-CN"/>
        </w:rPr>
        <w:t>沟通交流</w:t>
      </w:r>
      <w:r w:rsidR="00AE2033" w:rsidRPr="00AE2033">
        <w:rPr>
          <w:rStyle w:val="Bold"/>
          <w:rFonts w:hint="eastAsia"/>
          <w:lang w:eastAsia="zh-CN"/>
        </w:rPr>
        <w:t>，定期报告进展情况。</w:t>
      </w:r>
    </w:p>
    <w:p w14:paraId="4C740804" w14:textId="0EDB48AD" w:rsidR="003D7FF0" w:rsidRPr="00F57721" w:rsidRDefault="00AE2033" w:rsidP="00AE2033">
      <w:pPr>
        <w:jc w:val="both"/>
        <w:rPr>
          <w:rStyle w:val="Italic"/>
          <w:i w:val="0"/>
          <w:iCs w:val="0"/>
          <w:lang w:eastAsia="zh-CN"/>
        </w:rPr>
      </w:pPr>
      <w:r w:rsidRPr="00EA598F">
        <w:rPr>
          <w:rStyle w:val="Italic"/>
          <w:rFonts w:ascii="STKaiti" w:eastAsia="STKaiti" w:hAnsi="STKaiti" w:hint="eastAsia"/>
          <w:i w:val="0"/>
          <w:iCs w:val="0"/>
          <w:lang w:eastAsia="zh-CN"/>
        </w:rPr>
        <w:t>国际电联管理层的意见：国际电联已</w:t>
      </w:r>
      <w:r w:rsidR="00EA598F">
        <w:rPr>
          <w:rStyle w:val="Italic"/>
          <w:rFonts w:ascii="STKaiti" w:eastAsia="STKaiti" w:hAnsi="STKaiti" w:hint="eastAsia"/>
          <w:i w:val="0"/>
          <w:iCs w:val="0"/>
          <w:lang w:eastAsia="zh-CN"/>
        </w:rPr>
        <w:t>将此</w:t>
      </w:r>
      <w:r w:rsidRPr="00EA598F">
        <w:rPr>
          <w:rStyle w:val="Italic"/>
          <w:rFonts w:ascii="STKaiti" w:eastAsia="STKaiti" w:hAnsi="STKaiti" w:hint="eastAsia"/>
          <w:i w:val="0"/>
          <w:iCs w:val="0"/>
          <w:lang w:eastAsia="zh-CN"/>
        </w:rPr>
        <w:t>建议</w:t>
      </w:r>
      <w:r w:rsidR="00EA598F">
        <w:rPr>
          <w:rStyle w:val="Italic"/>
          <w:rFonts w:ascii="STKaiti" w:eastAsia="STKaiti" w:hAnsi="STKaiti" w:hint="eastAsia"/>
          <w:i w:val="0"/>
          <w:iCs w:val="0"/>
          <w:lang w:eastAsia="zh-CN"/>
        </w:rPr>
        <w:t>记录在案</w:t>
      </w:r>
      <w:r w:rsidRPr="00EA598F">
        <w:rPr>
          <w:rStyle w:val="Italic"/>
          <w:rFonts w:ascii="STKaiti" w:eastAsia="STKaiti" w:hAnsi="STKaiti" w:hint="eastAsia"/>
          <w:i w:val="0"/>
          <w:iCs w:val="0"/>
          <w:lang w:eastAsia="zh-CN"/>
        </w:rPr>
        <w:t>。国际电联将强</w:t>
      </w:r>
      <w:r w:rsidR="00EA598F">
        <w:rPr>
          <w:rStyle w:val="Italic"/>
          <w:rFonts w:ascii="STKaiti" w:eastAsia="STKaiti" w:hAnsi="STKaiti" w:hint="eastAsia"/>
          <w:i w:val="0"/>
          <w:iCs w:val="0"/>
          <w:lang w:eastAsia="zh-CN"/>
        </w:rPr>
        <w:t>化</w:t>
      </w:r>
      <w:r w:rsidRPr="00EA598F">
        <w:rPr>
          <w:rStyle w:val="Italic"/>
          <w:rFonts w:ascii="STKaiti" w:eastAsia="STKaiti" w:hAnsi="STKaiti" w:hint="eastAsia"/>
          <w:i w:val="0"/>
          <w:iCs w:val="0"/>
          <w:lang w:eastAsia="zh-CN"/>
        </w:rPr>
        <w:t>合规信息概览，并确保采用结构化和一致的流程来监控所有未</w:t>
      </w:r>
      <w:r w:rsidR="00EA598F">
        <w:rPr>
          <w:rStyle w:val="Italic"/>
          <w:rFonts w:ascii="STKaiti" w:eastAsia="STKaiti" w:hAnsi="STKaiti" w:hint="eastAsia"/>
          <w:i w:val="0"/>
          <w:iCs w:val="0"/>
          <w:lang w:eastAsia="zh-CN"/>
        </w:rPr>
        <w:t>落实</w:t>
      </w:r>
      <w:r w:rsidRPr="00EA598F">
        <w:rPr>
          <w:rStyle w:val="Italic"/>
          <w:rFonts w:ascii="STKaiti" w:eastAsia="STKaiti" w:hAnsi="STKaiti" w:hint="eastAsia"/>
          <w:i w:val="0"/>
          <w:iCs w:val="0"/>
          <w:lang w:eastAsia="zh-CN"/>
        </w:rPr>
        <w:t>建议的状态。将利用现有工具（国际电联合规</w:t>
      </w:r>
      <w:r w:rsidR="00EA598F">
        <w:rPr>
          <w:rStyle w:val="Italic"/>
          <w:rFonts w:ascii="STKaiti" w:eastAsia="STKaiti" w:hAnsi="STKaiti" w:hint="eastAsia"/>
          <w:i w:val="0"/>
          <w:iCs w:val="0"/>
          <w:lang w:eastAsia="zh-CN"/>
        </w:rPr>
        <w:t>性</w:t>
      </w:r>
      <w:r w:rsidRPr="00EA598F">
        <w:rPr>
          <w:rStyle w:val="Italic"/>
          <w:rFonts w:ascii="STKaiti" w:eastAsia="STKaiti" w:hAnsi="STKaiti" w:hint="eastAsia"/>
          <w:i w:val="0"/>
          <w:iCs w:val="0"/>
          <w:lang w:eastAsia="zh-CN"/>
        </w:rPr>
        <w:t>跟踪系统和信息概览）</w:t>
      </w:r>
      <w:r w:rsidR="00EA598F">
        <w:rPr>
          <w:rStyle w:val="Italic"/>
          <w:rFonts w:ascii="STKaiti" w:eastAsia="STKaiti" w:hAnsi="STKaiti" w:hint="eastAsia"/>
          <w:i w:val="0"/>
          <w:iCs w:val="0"/>
          <w:lang w:eastAsia="zh-CN"/>
        </w:rPr>
        <w:t>保障</w:t>
      </w:r>
      <w:r w:rsidRPr="00EA598F">
        <w:rPr>
          <w:rStyle w:val="Italic"/>
          <w:rFonts w:ascii="STKaiti" w:eastAsia="STKaiti" w:hAnsi="STKaiti" w:hint="eastAsia"/>
          <w:i w:val="0"/>
          <w:iCs w:val="0"/>
          <w:lang w:eastAsia="zh-CN"/>
        </w:rPr>
        <w:t>透明度、及时性和问责制。将</w:t>
      </w:r>
      <w:r w:rsidR="00CE5592" w:rsidRPr="00EA598F">
        <w:rPr>
          <w:rStyle w:val="Italic"/>
          <w:rFonts w:ascii="STKaiti" w:eastAsia="STKaiti" w:hAnsi="STKaiti" w:hint="eastAsia"/>
          <w:i w:val="0"/>
          <w:iCs w:val="0"/>
          <w:lang w:eastAsia="zh-CN"/>
        </w:rPr>
        <w:t>明确</w:t>
      </w:r>
      <w:r w:rsidRPr="00EA598F">
        <w:rPr>
          <w:rStyle w:val="Italic"/>
          <w:rFonts w:ascii="STKaiti" w:eastAsia="STKaiti" w:hAnsi="STKaiti" w:hint="eastAsia"/>
          <w:i w:val="0"/>
          <w:iCs w:val="0"/>
          <w:lang w:eastAsia="zh-CN"/>
        </w:rPr>
        <w:t>分配</w:t>
      </w:r>
      <w:r w:rsidR="00CE5592" w:rsidRPr="00EA598F">
        <w:rPr>
          <w:rStyle w:val="Italic"/>
          <w:rFonts w:ascii="STKaiti" w:eastAsia="STKaiti" w:hAnsi="STKaiti" w:hint="eastAsia"/>
          <w:i w:val="0"/>
          <w:iCs w:val="0"/>
          <w:lang w:eastAsia="zh-CN"/>
        </w:rPr>
        <w:t>各部门联系人</w:t>
      </w:r>
      <w:r w:rsidRPr="00EA598F">
        <w:rPr>
          <w:rStyle w:val="Italic"/>
          <w:rFonts w:ascii="STKaiti" w:eastAsia="STKaiti" w:hAnsi="STKaiti" w:hint="eastAsia"/>
          <w:i w:val="0"/>
          <w:iCs w:val="0"/>
          <w:lang w:eastAsia="zh-CN"/>
        </w:rPr>
        <w:t>的职责，</w:t>
      </w:r>
      <w:r w:rsidR="00EA598F">
        <w:rPr>
          <w:rStyle w:val="Italic"/>
          <w:rFonts w:ascii="STKaiti" w:eastAsia="STKaiti" w:hAnsi="STKaiti" w:hint="eastAsia"/>
          <w:i w:val="0"/>
          <w:iCs w:val="0"/>
          <w:lang w:eastAsia="zh-CN"/>
        </w:rPr>
        <w:t>并把</w:t>
      </w:r>
      <w:r w:rsidRPr="00EA598F">
        <w:rPr>
          <w:rStyle w:val="Italic"/>
          <w:rFonts w:ascii="STKaiti" w:eastAsia="STKaiti" w:hAnsi="STKaiti" w:hint="eastAsia"/>
          <w:i w:val="0"/>
          <w:iCs w:val="0"/>
          <w:lang w:eastAsia="zh-CN"/>
        </w:rPr>
        <w:t>定期更新纳入我们的内部报告周期。</w:t>
      </w:r>
    </w:p>
    <w:p w14:paraId="1A6465DC" w14:textId="0C88209E" w:rsidR="003D7FF0" w:rsidRPr="00F57721" w:rsidRDefault="00AE2033" w:rsidP="00E21452">
      <w:pPr>
        <w:jc w:val="both"/>
        <w:rPr>
          <w:rStyle w:val="Italic"/>
          <w:i w:val="0"/>
          <w:iCs w:val="0"/>
          <w:lang w:eastAsia="zh-CN"/>
        </w:rPr>
      </w:pPr>
      <w:r w:rsidRPr="00EA598F">
        <w:rPr>
          <w:rStyle w:val="Italic"/>
          <w:rFonts w:ascii="STKaiti" w:eastAsia="STKaiti" w:hAnsi="STKaiti" w:hint="eastAsia"/>
          <w:i w:val="0"/>
          <w:iCs w:val="0"/>
          <w:lang w:eastAsia="zh-CN"/>
        </w:rPr>
        <w:t>秘书处同意，与独立管理顾问委员会（</w:t>
      </w:r>
      <w:r w:rsidRPr="00EA598F">
        <w:rPr>
          <w:rStyle w:val="Italic"/>
          <w:rFonts w:eastAsia="STKaiti" w:cs="Calibri"/>
          <w:i w:val="0"/>
          <w:iCs w:val="0"/>
          <w:lang w:eastAsia="zh-CN"/>
        </w:rPr>
        <w:t>IMAC</w:t>
      </w:r>
      <w:r w:rsidRPr="00EA598F">
        <w:rPr>
          <w:rStyle w:val="Italic"/>
          <w:rFonts w:ascii="STKaiti" w:eastAsia="STKaiti" w:hAnsi="STKaiti" w:hint="eastAsia"/>
          <w:i w:val="0"/>
          <w:iCs w:val="0"/>
          <w:lang w:eastAsia="zh-CN"/>
        </w:rPr>
        <w:t>）定期</w:t>
      </w:r>
      <w:r w:rsidR="00BD4C44">
        <w:rPr>
          <w:rStyle w:val="Italic"/>
          <w:rFonts w:ascii="STKaiti" w:eastAsia="STKaiti" w:hAnsi="STKaiti" w:hint="eastAsia"/>
          <w:i w:val="0"/>
          <w:iCs w:val="0"/>
          <w:lang w:eastAsia="zh-CN"/>
        </w:rPr>
        <w:t>沟通交流</w:t>
      </w:r>
      <w:r w:rsidRPr="00EA598F">
        <w:rPr>
          <w:rStyle w:val="Italic"/>
          <w:rFonts w:ascii="STKaiti" w:eastAsia="STKaiti" w:hAnsi="STKaiti" w:hint="eastAsia"/>
          <w:i w:val="0"/>
          <w:iCs w:val="0"/>
          <w:lang w:eastAsia="zh-CN"/>
        </w:rPr>
        <w:t>对于加强监督至关重要。我们将在</w:t>
      </w:r>
      <w:r w:rsidRPr="00CE5592">
        <w:rPr>
          <w:rStyle w:val="Italic"/>
          <w:rFonts w:eastAsia="STKaiti" w:cs="Calibri"/>
          <w:i w:val="0"/>
          <w:iCs w:val="0"/>
          <w:lang w:eastAsia="zh-CN"/>
        </w:rPr>
        <w:t>IMAC</w:t>
      </w:r>
      <w:r w:rsidRPr="00EA598F">
        <w:rPr>
          <w:rStyle w:val="Italic"/>
          <w:rFonts w:ascii="STKaiti" w:eastAsia="STKaiti" w:hAnsi="STKaiti" w:hint="eastAsia"/>
          <w:i w:val="0"/>
          <w:iCs w:val="0"/>
          <w:lang w:eastAsia="zh-CN"/>
        </w:rPr>
        <w:t>会议上设立一个常设议项，报告</w:t>
      </w:r>
      <w:r w:rsidR="00CE5592">
        <w:rPr>
          <w:rStyle w:val="Italic"/>
          <w:rFonts w:ascii="STKaiti" w:eastAsia="STKaiti" w:hAnsi="STKaiti" w:hint="eastAsia"/>
          <w:i w:val="0"/>
          <w:iCs w:val="0"/>
          <w:lang w:eastAsia="zh-CN"/>
        </w:rPr>
        <w:t>实施状态，从而开展</w:t>
      </w:r>
      <w:r w:rsidRPr="00EA598F">
        <w:rPr>
          <w:rStyle w:val="Italic"/>
          <w:rFonts w:ascii="STKaiti" w:eastAsia="STKaiti" w:hAnsi="STKaiti" w:hint="eastAsia"/>
          <w:i w:val="0"/>
          <w:iCs w:val="0"/>
          <w:lang w:eastAsia="zh-CN"/>
        </w:rPr>
        <w:t>建设性对话</w:t>
      </w:r>
      <w:r w:rsidR="00CE5592">
        <w:rPr>
          <w:rStyle w:val="Italic"/>
          <w:rFonts w:ascii="STKaiti" w:eastAsia="STKaiti" w:hAnsi="STKaiti" w:hint="eastAsia"/>
          <w:i w:val="0"/>
          <w:iCs w:val="0"/>
          <w:lang w:eastAsia="zh-CN"/>
        </w:rPr>
        <w:t>、</w:t>
      </w:r>
      <w:r w:rsidRPr="00EA598F">
        <w:rPr>
          <w:rStyle w:val="Italic"/>
          <w:rFonts w:ascii="STKaiti" w:eastAsia="STKaiti" w:hAnsi="STKaiti" w:hint="eastAsia"/>
          <w:i w:val="0"/>
          <w:iCs w:val="0"/>
          <w:lang w:eastAsia="zh-CN"/>
        </w:rPr>
        <w:t>加强风险管理，并支持整个组织的持续改进。</w:t>
      </w:r>
    </w:p>
    <w:p w14:paraId="37A2BFB4" w14:textId="77777777" w:rsidR="00F741EE" w:rsidRPr="00E16D3F" w:rsidRDefault="00F741EE" w:rsidP="00E16D3F">
      <w:pPr>
        <w:rPr>
          <w:lang w:eastAsia="zh-CN"/>
        </w:rPr>
      </w:pPr>
      <w:bookmarkStart w:id="58" w:name="_Toc137224234"/>
      <w:r>
        <w:rPr>
          <w:bCs/>
          <w:sz w:val="40"/>
          <w:szCs w:val="40"/>
          <w:lang w:eastAsia="zh-CN"/>
        </w:rPr>
        <w:br w:type="page"/>
      </w:r>
    </w:p>
    <w:p w14:paraId="76C3EC57" w14:textId="6EBA1F40" w:rsidR="003D7FF0" w:rsidRPr="00767BEB" w:rsidRDefault="0020298D" w:rsidP="00EB3C26">
      <w:pPr>
        <w:pStyle w:val="Heading2"/>
        <w:rPr>
          <w:b w:val="0"/>
          <w:bCs/>
          <w:sz w:val="40"/>
          <w:szCs w:val="40"/>
          <w:lang w:eastAsia="zh-CN"/>
        </w:rPr>
      </w:pPr>
      <w:bookmarkStart w:id="59" w:name="_Toc200718084"/>
      <w:bookmarkEnd w:id="58"/>
      <w:r>
        <w:rPr>
          <w:rFonts w:hint="eastAsia"/>
          <w:b w:val="0"/>
          <w:bCs/>
          <w:sz w:val="40"/>
          <w:szCs w:val="40"/>
          <w:lang w:eastAsia="zh-CN"/>
        </w:rPr>
        <w:lastRenderedPageBreak/>
        <w:t>致谢</w:t>
      </w:r>
      <w:bookmarkEnd w:id="59"/>
    </w:p>
    <w:p w14:paraId="554EC8A7" w14:textId="26B5D0BB" w:rsidR="003D7FF0" w:rsidRPr="008500AF" w:rsidRDefault="003D7FF0" w:rsidP="00E21452">
      <w:pPr>
        <w:tabs>
          <w:tab w:val="left" w:pos="774"/>
        </w:tabs>
        <w:jc w:val="both"/>
        <w:rPr>
          <w:lang w:eastAsia="zh-CN"/>
        </w:rPr>
      </w:pPr>
      <w:bookmarkStart w:id="60" w:name="SW0023"/>
      <w:r w:rsidRPr="008500AF">
        <w:rPr>
          <w:b/>
          <w:lang w:eastAsia="zh-CN"/>
        </w:rPr>
        <w:t>4.10</w:t>
      </w:r>
      <w:r w:rsidRPr="008500AF">
        <w:rPr>
          <w:b/>
          <w:lang w:eastAsia="zh-CN"/>
        </w:rPr>
        <w:tab/>
      </w:r>
      <w:r w:rsidR="00AE2033" w:rsidRPr="00AE2033">
        <w:rPr>
          <w:rFonts w:hint="eastAsia"/>
          <w:lang w:eastAsia="zh-CN"/>
        </w:rPr>
        <w:t>谨</w:t>
      </w:r>
      <w:r w:rsidR="0020298D">
        <w:rPr>
          <w:rFonts w:hint="eastAsia"/>
          <w:lang w:eastAsia="zh-CN"/>
        </w:rPr>
        <w:t>此</w:t>
      </w:r>
      <w:r w:rsidR="00AE2033" w:rsidRPr="00AE2033">
        <w:rPr>
          <w:rFonts w:hint="eastAsia"/>
          <w:lang w:eastAsia="zh-CN"/>
        </w:rPr>
        <w:t>感谢秘书长及</w:t>
      </w:r>
      <w:r w:rsidR="00AE2033">
        <w:rPr>
          <w:rFonts w:hint="eastAsia"/>
          <w:lang w:eastAsia="zh-CN"/>
        </w:rPr>
        <w:t>其工作人</w:t>
      </w:r>
      <w:r w:rsidR="00AE2033" w:rsidRPr="00AE2033">
        <w:rPr>
          <w:rFonts w:hint="eastAsia"/>
          <w:lang w:eastAsia="zh-CN"/>
        </w:rPr>
        <w:t>员</w:t>
      </w:r>
      <w:r w:rsidR="0020298D">
        <w:rPr>
          <w:rFonts w:hint="eastAsia"/>
          <w:lang w:eastAsia="zh-CN"/>
        </w:rPr>
        <w:t>持续给予</w:t>
      </w:r>
      <w:r w:rsidR="00AE2033">
        <w:rPr>
          <w:rFonts w:hint="eastAsia"/>
          <w:lang w:eastAsia="zh-CN"/>
        </w:rPr>
        <w:t>的</w:t>
      </w:r>
      <w:r w:rsidR="00AE2033" w:rsidRPr="00AE2033">
        <w:rPr>
          <w:rFonts w:hint="eastAsia"/>
          <w:lang w:eastAsia="zh-CN"/>
        </w:rPr>
        <w:t>合作</w:t>
      </w:r>
      <w:r w:rsidR="00AE2033">
        <w:rPr>
          <w:rFonts w:hint="eastAsia"/>
          <w:lang w:eastAsia="zh-CN"/>
        </w:rPr>
        <w:t>，</w:t>
      </w:r>
      <w:r w:rsidR="00AE2033" w:rsidRPr="00AE2033">
        <w:rPr>
          <w:rFonts w:hint="eastAsia"/>
          <w:lang w:eastAsia="zh-CN"/>
        </w:rPr>
        <w:t>并与我们共同</w:t>
      </w:r>
      <w:r w:rsidR="00AE2033">
        <w:rPr>
          <w:rFonts w:hint="eastAsia"/>
          <w:lang w:eastAsia="zh-CN"/>
        </w:rPr>
        <w:t>努力，</w:t>
      </w:r>
      <w:r w:rsidR="0020298D">
        <w:rPr>
          <w:rFonts w:hint="eastAsia"/>
          <w:lang w:eastAsia="zh-CN"/>
        </w:rPr>
        <w:t>恢复</w:t>
      </w:r>
      <w:r w:rsidR="00AE2033">
        <w:rPr>
          <w:rFonts w:hint="eastAsia"/>
          <w:lang w:eastAsia="zh-CN"/>
        </w:rPr>
        <w:t>正常</w:t>
      </w:r>
      <w:r w:rsidR="00AE2033" w:rsidRPr="00AE2033">
        <w:rPr>
          <w:rFonts w:hint="eastAsia"/>
          <w:lang w:eastAsia="zh-CN"/>
        </w:rPr>
        <w:t>报告和</w:t>
      </w:r>
      <w:r w:rsidR="0020298D">
        <w:rPr>
          <w:rFonts w:hint="eastAsia"/>
          <w:lang w:eastAsia="zh-CN"/>
        </w:rPr>
        <w:t>审计</w:t>
      </w:r>
      <w:r w:rsidR="00AE2033" w:rsidRPr="00AE2033">
        <w:rPr>
          <w:rFonts w:hint="eastAsia"/>
          <w:lang w:eastAsia="zh-CN"/>
        </w:rPr>
        <w:t>周期。</w:t>
      </w:r>
    </w:p>
    <w:p w14:paraId="3478223D" w14:textId="58C48CE0" w:rsidR="003D7FF0" w:rsidRPr="00D11485" w:rsidRDefault="00AE2033" w:rsidP="00F741EE">
      <w:pPr>
        <w:pStyle w:val="Normalaftertitle"/>
        <w:spacing w:before="480" w:after="600"/>
        <w:rPr>
          <w:rStyle w:val="Bold"/>
          <w:rFonts w:ascii="STKaiti" w:eastAsia="STKaiti" w:hAnsi="STKaiti"/>
          <w:lang w:eastAsia="zh-CN"/>
        </w:rPr>
      </w:pPr>
      <w:r w:rsidRPr="00D11485">
        <w:rPr>
          <w:rFonts w:ascii="STKaiti" w:eastAsia="STKaiti" w:hAnsi="STKaiti" w:hint="eastAsia"/>
          <w:lang w:eastAsia="zh-CN"/>
        </w:rPr>
        <w:t>原件已签</w:t>
      </w:r>
    </w:p>
    <w:p w14:paraId="2D1A62DE" w14:textId="4FB3A3F7" w:rsidR="00F741EE" w:rsidRPr="00041CF5" w:rsidRDefault="00AE2033" w:rsidP="00F741EE">
      <w:pPr>
        <w:pStyle w:val="Normalaftertitle"/>
        <w:spacing w:after="120"/>
        <w:rPr>
          <w:b/>
          <w:bCs/>
          <w:szCs w:val="24"/>
          <w:lang w:val="en-US" w:eastAsia="zh-CN"/>
        </w:rPr>
      </w:pPr>
      <w:r w:rsidRPr="00320C64">
        <w:rPr>
          <w:rFonts w:hint="eastAsia"/>
          <w:b/>
          <w:bCs/>
          <w:lang w:eastAsia="zh-CN"/>
        </w:rPr>
        <w:t>英国</w:t>
      </w:r>
      <w:r w:rsidRPr="00AE2033">
        <w:rPr>
          <w:rFonts w:hint="eastAsia"/>
          <w:b/>
          <w:bCs/>
          <w:lang w:eastAsia="zh-CN"/>
        </w:rPr>
        <w:t>国家审计署</w:t>
      </w:r>
      <w:r w:rsidRPr="00320C64">
        <w:rPr>
          <w:rFonts w:hint="eastAsia"/>
          <w:b/>
          <w:bCs/>
          <w:lang w:eastAsia="zh-CN"/>
        </w:rPr>
        <w:t>审计主任兼审计长</w:t>
      </w:r>
      <w:r w:rsidRPr="00320C64">
        <w:rPr>
          <w:b/>
          <w:bCs/>
          <w:lang w:eastAsia="zh-CN"/>
        </w:rPr>
        <w:t xml:space="preserve"> – </w:t>
      </w:r>
      <w:r w:rsidRPr="00320C64">
        <w:rPr>
          <w:rFonts w:hint="eastAsia"/>
          <w:b/>
          <w:bCs/>
          <w:lang w:eastAsia="zh-CN"/>
        </w:rPr>
        <w:t>外部审计员</w:t>
      </w:r>
    </w:p>
    <w:p w14:paraId="3588BC47" w14:textId="2BAD9A03" w:rsidR="003D7FF0" w:rsidRPr="00DB313C" w:rsidRDefault="00AE2033" w:rsidP="00F741EE">
      <w:pPr>
        <w:pStyle w:val="Normalaftertitle"/>
        <w:spacing w:before="120" w:after="120"/>
        <w:rPr>
          <w:b/>
          <w:bCs/>
          <w:szCs w:val="24"/>
          <w:lang w:eastAsia="zh-CN"/>
        </w:rPr>
      </w:pPr>
      <w:r w:rsidRPr="00DB313C">
        <w:rPr>
          <w:b/>
          <w:bCs/>
          <w:szCs w:val="24"/>
          <w:lang w:eastAsia="zh-CN"/>
        </w:rPr>
        <w:t>Gareth Davies</w:t>
      </w:r>
    </w:p>
    <w:p w14:paraId="41E18F20" w14:textId="6F717F68" w:rsidR="003D7FF0" w:rsidRPr="00DB313C" w:rsidRDefault="003D7FF0" w:rsidP="00F741EE">
      <w:pPr>
        <w:pStyle w:val="Normalaftertitle"/>
        <w:spacing w:before="120"/>
        <w:rPr>
          <w:b/>
          <w:bCs/>
          <w:szCs w:val="24"/>
        </w:rPr>
      </w:pPr>
      <w:r w:rsidRPr="00DB313C">
        <w:rPr>
          <w:b/>
          <w:bCs/>
          <w:szCs w:val="24"/>
        </w:rPr>
        <w:t>202</w:t>
      </w:r>
      <w:bookmarkEnd w:id="60"/>
      <w:r w:rsidRPr="00DB313C">
        <w:rPr>
          <w:b/>
          <w:bCs/>
          <w:szCs w:val="24"/>
        </w:rPr>
        <w:t>5</w:t>
      </w:r>
      <w:r w:rsidR="00AE2033">
        <w:rPr>
          <w:rFonts w:hint="eastAsia"/>
          <w:b/>
          <w:bCs/>
          <w:szCs w:val="24"/>
          <w:lang w:eastAsia="zh-CN"/>
        </w:rPr>
        <w:t>年</w:t>
      </w:r>
      <w:r w:rsidR="00AE2033">
        <w:rPr>
          <w:rFonts w:hint="eastAsia"/>
          <w:b/>
          <w:bCs/>
          <w:szCs w:val="24"/>
          <w:lang w:eastAsia="zh-CN"/>
        </w:rPr>
        <w:t>5</w:t>
      </w:r>
      <w:r w:rsidR="00AE2033">
        <w:rPr>
          <w:rFonts w:hint="eastAsia"/>
          <w:b/>
          <w:bCs/>
          <w:szCs w:val="24"/>
          <w:lang w:eastAsia="zh-CN"/>
        </w:rPr>
        <w:t>月</w:t>
      </w:r>
      <w:r w:rsidR="00AE2033">
        <w:rPr>
          <w:rFonts w:hint="eastAsia"/>
          <w:b/>
          <w:bCs/>
          <w:szCs w:val="24"/>
          <w:lang w:eastAsia="zh-CN"/>
        </w:rPr>
        <w:t>30</w:t>
      </w:r>
      <w:r w:rsidR="00AE2033">
        <w:rPr>
          <w:rFonts w:hint="eastAsia"/>
          <w:b/>
          <w:bCs/>
          <w:szCs w:val="24"/>
          <w:lang w:eastAsia="zh-CN"/>
        </w:rPr>
        <w:t>日</w:t>
      </w:r>
    </w:p>
    <w:p w14:paraId="49F9FAA4" w14:textId="77777777" w:rsidR="003D7FF0" w:rsidRDefault="003D7FF0" w:rsidP="003D7FF0">
      <w:pPr>
        <w:sectPr w:rsidR="003D7FF0" w:rsidSect="00C64DF0">
          <w:headerReference w:type="default" r:id="rId22"/>
          <w:headerReference w:type="first" r:id="rId23"/>
          <w:footerReference w:type="first" r:id="rId24"/>
          <w:pgSz w:w="11907" w:h="16834"/>
          <w:pgMar w:top="1418" w:right="1418" w:bottom="1418" w:left="1418" w:header="720" w:footer="720" w:gutter="0"/>
          <w:paperSrc w:first="286" w:other="286"/>
          <w:cols w:space="720"/>
          <w:titlePg/>
          <w:docGrid w:linePitch="326"/>
        </w:sectPr>
      </w:pPr>
    </w:p>
    <w:p w14:paraId="3C2A79C5" w14:textId="49C0A6E3" w:rsidR="003D7FF0" w:rsidRPr="00767BEB" w:rsidRDefault="00AE2033" w:rsidP="00DC0D7F">
      <w:pPr>
        <w:pStyle w:val="Heading1"/>
        <w:spacing w:after="360"/>
        <w:rPr>
          <w:sz w:val="56"/>
          <w:szCs w:val="56"/>
          <w:lang w:eastAsia="zh-CN"/>
        </w:rPr>
      </w:pPr>
      <w:bookmarkStart w:id="61" w:name="_Toc200718085"/>
      <w:r>
        <w:rPr>
          <w:rFonts w:hint="eastAsia"/>
          <w:sz w:val="56"/>
          <w:szCs w:val="56"/>
          <w:lang w:eastAsia="zh-CN"/>
        </w:rPr>
        <w:lastRenderedPageBreak/>
        <w:t>附录一：上一年度的建议</w:t>
      </w:r>
      <w:bookmarkEnd w:id="61"/>
    </w:p>
    <w:tbl>
      <w:tblPr>
        <w:tblW w:w="5000" w:type="pct"/>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815"/>
        <w:gridCol w:w="4034"/>
        <w:gridCol w:w="4874"/>
        <w:gridCol w:w="2914"/>
        <w:gridCol w:w="1361"/>
      </w:tblGrid>
      <w:tr w:rsidR="003D7FF0" w:rsidRPr="00010966" w14:paraId="24909CB6" w14:textId="77777777" w:rsidTr="00E6035E">
        <w:tc>
          <w:tcPr>
            <w:tcW w:w="5000" w:type="pct"/>
            <w:gridSpan w:val="5"/>
            <w:tcBorders>
              <w:bottom w:val="single" w:sz="6" w:space="0" w:color="008000"/>
            </w:tcBorders>
            <w:shd w:val="clear" w:color="auto" w:fill="auto"/>
          </w:tcPr>
          <w:p w14:paraId="448E5CF3" w14:textId="7B8ACEA2" w:rsidR="003D7FF0" w:rsidRPr="00010966" w:rsidRDefault="003D7FF0" w:rsidP="00786ECB">
            <w:pPr>
              <w:pStyle w:val="Tabletitle"/>
              <w:spacing w:before="60" w:after="40"/>
              <w:jc w:val="left"/>
              <w:rPr>
                <w:b w:val="0"/>
                <w:bCs/>
                <w:sz w:val="28"/>
                <w:szCs w:val="28"/>
              </w:rPr>
            </w:pPr>
            <w:r w:rsidRPr="00010966">
              <w:rPr>
                <w:b w:val="0"/>
                <w:bCs/>
                <w:sz w:val="28"/>
                <w:szCs w:val="28"/>
              </w:rPr>
              <w:t>NAO</w:t>
            </w:r>
            <w:r w:rsidR="00F520EB" w:rsidRPr="00010966">
              <w:rPr>
                <w:rFonts w:hint="eastAsia"/>
                <w:b w:val="0"/>
                <w:bCs/>
                <w:sz w:val="28"/>
                <w:szCs w:val="28"/>
                <w:lang w:eastAsia="zh-CN"/>
              </w:rPr>
              <w:t>的以往建议</w:t>
            </w:r>
          </w:p>
        </w:tc>
      </w:tr>
      <w:tr w:rsidR="00D43F01" w:rsidRPr="00010966" w14:paraId="2EA4332C" w14:textId="77777777" w:rsidTr="00E6035E">
        <w:tc>
          <w:tcPr>
            <w:tcW w:w="291" w:type="pct"/>
            <w:tcBorders>
              <w:top w:val="single" w:sz="6" w:space="0" w:color="008000"/>
            </w:tcBorders>
            <w:shd w:val="clear" w:color="auto" w:fill="auto"/>
          </w:tcPr>
          <w:p w14:paraId="5AD8C210" w14:textId="104D39B9" w:rsidR="003D7FF0" w:rsidRPr="00010966" w:rsidRDefault="00F520EB" w:rsidP="00786ECB">
            <w:pPr>
              <w:pStyle w:val="Tablehead"/>
              <w:spacing w:before="60"/>
              <w:rPr>
                <w:sz w:val="20"/>
              </w:rPr>
            </w:pPr>
            <w:r w:rsidRPr="00010966">
              <w:rPr>
                <w:rFonts w:hint="eastAsia"/>
                <w:sz w:val="20"/>
                <w:lang w:eastAsia="zh-CN"/>
              </w:rPr>
              <w:t>出处</w:t>
            </w:r>
          </w:p>
        </w:tc>
        <w:tc>
          <w:tcPr>
            <w:tcW w:w="1441" w:type="pct"/>
            <w:tcBorders>
              <w:top w:val="single" w:sz="6" w:space="0" w:color="008000"/>
            </w:tcBorders>
            <w:shd w:val="clear" w:color="auto" w:fill="auto"/>
          </w:tcPr>
          <w:p w14:paraId="4899D8BF" w14:textId="7427356A" w:rsidR="003D7FF0" w:rsidRPr="00010966" w:rsidRDefault="00F520EB" w:rsidP="00786ECB">
            <w:pPr>
              <w:pStyle w:val="Tablehead"/>
              <w:spacing w:before="60"/>
              <w:rPr>
                <w:sz w:val="20"/>
              </w:rPr>
            </w:pPr>
            <w:r w:rsidRPr="00010966">
              <w:rPr>
                <w:rFonts w:hint="eastAsia"/>
                <w:sz w:val="20"/>
                <w:lang w:eastAsia="zh-CN"/>
              </w:rPr>
              <w:t>建议</w:t>
            </w:r>
          </w:p>
        </w:tc>
        <w:tc>
          <w:tcPr>
            <w:tcW w:w="1741" w:type="pct"/>
            <w:tcBorders>
              <w:top w:val="single" w:sz="6" w:space="0" w:color="008000"/>
            </w:tcBorders>
            <w:shd w:val="clear" w:color="auto" w:fill="auto"/>
          </w:tcPr>
          <w:p w14:paraId="511CF7AB" w14:textId="103BA3C3" w:rsidR="003D7FF0" w:rsidRPr="00010966" w:rsidRDefault="00F520EB" w:rsidP="00786ECB">
            <w:pPr>
              <w:pStyle w:val="Tablehead"/>
              <w:spacing w:before="60"/>
              <w:rPr>
                <w:sz w:val="20"/>
              </w:rPr>
            </w:pPr>
            <w:r w:rsidRPr="00010966">
              <w:rPr>
                <w:rFonts w:hint="eastAsia"/>
                <w:sz w:val="20"/>
                <w:lang w:eastAsia="zh-CN"/>
              </w:rPr>
              <w:t>管理层的回应</w:t>
            </w:r>
          </w:p>
        </w:tc>
        <w:tc>
          <w:tcPr>
            <w:tcW w:w="1041" w:type="pct"/>
            <w:tcBorders>
              <w:top w:val="single" w:sz="6" w:space="0" w:color="008000"/>
            </w:tcBorders>
            <w:shd w:val="clear" w:color="auto" w:fill="auto"/>
          </w:tcPr>
          <w:p w14:paraId="5F56449E" w14:textId="65C4AA0B" w:rsidR="003D7FF0" w:rsidRPr="00010966" w:rsidRDefault="00F520EB" w:rsidP="00786ECB">
            <w:pPr>
              <w:pStyle w:val="Tablehead"/>
              <w:spacing w:before="60"/>
              <w:rPr>
                <w:sz w:val="20"/>
              </w:rPr>
            </w:pPr>
            <w:r w:rsidRPr="00010966">
              <w:rPr>
                <w:rFonts w:hint="eastAsia"/>
                <w:sz w:val="20"/>
                <w:lang w:eastAsia="zh-CN"/>
              </w:rPr>
              <w:t>外部审计员的意见</w:t>
            </w:r>
          </w:p>
        </w:tc>
        <w:tc>
          <w:tcPr>
            <w:tcW w:w="487" w:type="pct"/>
            <w:tcBorders>
              <w:top w:val="single" w:sz="6" w:space="0" w:color="008000"/>
            </w:tcBorders>
            <w:shd w:val="clear" w:color="auto" w:fill="auto"/>
          </w:tcPr>
          <w:p w14:paraId="0B935803" w14:textId="0924BB2B" w:rsidR="003D7FF0" w:rsidRPr="00010966" w:rsidRDefault="00F520EB" w:rsidP="00786ECB">
            <w:pPr>
              <w:pStyle w:val="Tablehead"/>
              <w:spacing w:before="60"/>
              <w:rPr>
                <w:sz w:val="20"/>
              </w:rPr>
            </w:pPr>
            <w:r w:rsidRPr="00010966">
              <w:rPr>
                <w:rFonts w:hint="eastAsia"/>
                <w:sz w:val="20"/>
                <w:lang w:eastAsia="zh-CN"/>
              </w:rPr>
              <w:t>状态</w:t>
            </w:r>
          </w:p>
        </w:tc>
      </w:tr>
      <w:tr w:rsidR="00D43F01" w:rsidRPr="00010966" w14:paraId="3754FEA0" w14:textId="77777777" w:rsidTr="00E6035E">
        <w:tc>
          <w:tcPr>
            <w:tcW w:w="291" w:type="pct"/>
            <w:shd w:val="clear" w:color="auto" w:fill="auto"/>
          </w:tcPr>
          <w:p w14:paraId="6C4BEEC8" w14:textId="16B58D7A" w:rsidR="003D7FF0" w:rsidRPr="00010966" w:rsidRDefault="003D7FF0" w:rsidP="00786ECB">
            <w:pPr>
              <w:pStyle w:val="Tabletext"/>
              <w:spacing w:before="60"/>
              <w:rPr>
                <w:sz w:val="20"/>
              </w:rPr>
            </w:pPr>
            <w:r w:rsidRPr="00010966">
              <w:rPr>
                <w:sz w:val="20"/>
              </w:rPr>
              <w:t>2022</w:t>
            </w:r>
            <w:proofErr w:type="spellStart"/>
            <w:r w:rsidR="00F520EB" w:rsidRPr="00010966">
              <w:rPr>
                <w:rFonts w:hint="eastAsia"/>
                <w:sz w:val="20"/>
              </w:rPr>
              <w:t>年中期报告</w:t>
            </w:r>
            <w:proofErr w:type="spellEnd"/>
            <w:r w:rsidR="00F520EB" w:rsidRPr="00010966">
              <w:rPr>
                <w:rFonts w:hint="eastAsia"/>
                <w:sz w:val="20"/>
                <w:lang w:eastAsia="zh-CN"/>
              </w:rPr>
              <w:t xml:space="preserve"> </w:t>
            </w:r>
            <w:proofErr w:type="spellStart"/>
            <w:r w:rsidRPr="00010966">
              <w:rPr>
                <w:sz w:val="20"/>
              </w:rPr>
              <w:t>R2</w:t>
            </w:r>
            <w:proofErr w:type="spellEnd"/>
          </w:p>
        </w:tc>
        <w:tc>
          <w:tcPr>
            <w:tcW w:w="1441" w:type="pct"/>
            <w:shd w:val="clear" w:color="auto" w:fill="auto"/>
          </w:tcPr>
          <w:p w14:paraId="381459A8" w14:textId="08B0F471" w:rsidR="003D7FF0" w:rsidRPr="00010966" w:rsidRDefault="00EE6EAF" w:rsidP="00EE6EAF">
            <w:pPr>
              <w:pStyle w:val="Tabletext"/>
              <w:spacing w:before="60"/>
              <w:rPr>
                <w:sz w:val="20"/>
                <w:lang w:eastAsia="zh-CN"/>
              </w:rPr>
            </w:pPr>
            <w:r w:rsidRPr="00010966">
              <w:rPr>
                <w:rFonts w:hint="eastAsia"/>
                <w:sz w:val="20"/>
                <w:lang w:eastAsia="zh-CN"/>
              </w:rPr>
              <w:t>制定</w:t>
            </w:r>
            <w:r w:rsidRPr="00010966">
              <w:rPr>
                <w:rFonts w:hint="eastAsia"/>
                <w:sz w:val="20"/>
                <w:lang w:eastAsia="zh-CN"/>
              </w:rPr>
              <w:t>IPSAS</w:t>
            </w:r>
            <w:r w:rsidRPr="00010966">
              <w:rPr>
                <w:rFonts w:hint="eastAsia"/>
                <w:sz w:val="20"/>
                <w:lang w:eastAsia="zh-CN"/>
              </w:rPr>
              <w:t>会计手册，详细说明所采用的各项会计政策并向职员提供应计会计方面的指导，以确保国际电联为成员国编制可靠且准确的财务报表。</w:t>
            </w:r>
          </w:p>
        </w:tc>
        <w:tc>
          <w:tcPr>
            <w:tcW w:w="1741" w:type="pct"/>
            <w:shd w:val="clear" w:color="auto" w:fill="auto"/>
          </w:tcPr>
          <w:p w14:paraId="7FC04430" w14:textId="24028EBC" w:rsidR="003D7FF0" w:rsidRPr="00010966" w:rsidRDefault="00985762" w:rsidP="00786ECB">
            <w:pPr>
              <w:pStyle w:val="Tabletext"/>
              <w:spacing w:before="60"/>
              <w:rPr>
                <w:sz w:val="20"/>
                <w:lang w:eastAsia="zh-CN"/>
              </w:rPr>
            </w:pPr>
            <w:r w:rsidRPr="00010966">
              <w:rPr>
                <w:rFonts w:hint="eastAsia"/>
                <w:sz w:val="20"/>
                <w:lang w:eastAsia="zh-CN"/>
              </w:rPr>
              <w:t>现</w:t>
            </w:r>
            <w:r w:rsidR="00FC2DCB" w:rsidRPr="00010966">
              <w:rPr>
                <w:rFonts w:hint="eastAsia"/>
                <w:sz w:val="20"/>
                <w:lang w:eastAsia="zh-CN"/>
              </w:rPr>
              <w:t>已根据适用于国际电联主要会计业务的关键准则，</w:t>
            </w:r>
            <w:r w:rsidR="00D43F01" w:rsidRPr="00010966">
              <w:rPr>
                <w:rFonts w:hint="eastAsia"/>
                <w:sz w:val="20"/>
                <w:lang w:eastAsia="zh-CN"/>
              </w:rPr>
              <w:t>制定</w:t>
            </w:r>
            <w:r w:rsidR="00D43F01" w:rsidRPr="00010966">
              <w:rPr>
                <w:rFonts w:hint="eastAsia"/>
                <w:sz w:val="20"/>
                <w:lang w:eastAsia="zh-CN"/>
              </w:rPr>
              <w:t>IPSAS</w:t>
            </w:r>
            <w:r w:rsidR="00D43F01" w:rsidRPr="00010966">
              <w:rPr>
                <w:rFonts w:hint="eastAsia"/>
                <w:sz w:val="20"/>
                <w:lang w:eastAsia="zh-CN"/>
              </w:rPr>
              <w:t>会计文件。因此，国际电联能够从</w:t>
            </w:r>
            <w:r w:rsidR="00D43F01" w:rsidRPr="00010966">
              <w:rPr>
                <w:rFonts w:hint="eastAsia"/>
                <w:sz w:val="20"/>
                <w:lang w:eastAsia="zh-CN"/>
              </w:rPr>
              <w:t>2024</w:t>
            </w:r>
            <w:r w:rsidR="00D43F01" w:rsidRPr="00010966">
              <w:rPr>
                <w:rFonts w:hint="eastAsia"/>
                <w:sz w:val="20"/>
                <w:lang w:eastAsia="zh-CN"/>
              </w:rPr>
              <w:t>年开始制定更高质量的财务报表。随着新的</w:t>
            </w:r>
            <w:r w:rsidR="00D43F01" w:rsidRPr="00010966">
              <w:rPr>
                <w:rFonts w:hint="eastAsia"/>
                <w:sz w:val="20"/>
                <w:lang w:eastAsia="zh-CN"/>
              </w:rPr>
              <w:t>IPSAS</w:t>
            </w:r>
            <w:r w:rsidRPr="00010966">
              <w:rPr>
                <w:rFonts w:hint="eastAsia"/>
                <w:sz w:val="20"/>
                <w:lang w:eastAsia="zh-CN"/>
              </w:rPr>
              <w:t>准则</w:t>
            </w:r>
            <w:r w:rsidR="00D43F01" w:rsidRPr="00010966">
              <w:rPr>
                <w:rFonts w:hint="eastAsia"/>
                <w:sz w:val="20"/>
                <w:lang w:eastAsia="zh-CN"/>
              </w:rPr>
              <w:t>的</w:t>
            </w:r>
            <w:r w:rsidRPr="00010966">
              <w:rPr>
                <w:rFonts w:hint="eastAsia"/>
                <w:sz w:val="20"/>
                <w:lang w:eastAsia="zh-CN"/>
              </w:rPr>
              <w:t>发</w:t>
            </w:r>
            <w:r w:rsidR="00D43F01" w:rsidRPr="00010966">
              <w:rPr>
                <w:rFonts w:hint="eastAsia"/>
                <w:sz w:val="20"/>
                <w:lang w:eastAsia="zh-CN"/>
              </w:rPr>
              <w:t>布，需</w:t>
            </w:r>
            <w:r w:rsidR="00E877E4" w:rsidRPr="00010966">
              <w:rPr>
                <w:rFonts w:hint="eastAsia"/>
                <w:sz w:val="20"/>
                <w:lang w:eastAsia="zh-CN"/>
              </w:rPr>
              <w:t>进行</w:t>
            </w:r>
            <w:r w:rsidR="00D43F01" w:rsidRPr="00010966">
              <w:rPr>
                <w:rFonts w:hint="eastAsia"/>
                <w:sz w:val="20"/>
                <w:lang w:eastAsia="zh-CN"/>
              </w:rPr>
              <w:t>进一步完善。</w:t>
            </w:r>
          </w:p>
        </w:tc>
        <w:tc>
          <w:tcPr>
            <w:tcW w:w="1041" w:type="pct"/>
            <w:shd w:val="clear" w:color="auto" w:fill="auto"/>
          </w:tcPr>
          <w:p w14:paraId="0E04F48E" w14:textId="18E6C900" w:rsidR="003D7FF0" w:rsidRPr="00010966" w:rsidRDefault="00D43F01" w:rsidP="00786ECB">
            <w:pPr>
              <w:pStyle w:val="Tabletext"/>
              <w:spacing w:before="60"/>
              <w:rPr>
                <w:sz w:val="20"/>
                <w:lang w:eastAsia="zh-CN"/>
              </w:rPr>
            </w:pPr>
            <w:r w:rsidRPr="00010966">
              <w:rPr>
                <w:rFonts w:hint="eastAsia"/>
                <w:sz w:val="20"/>
                <w:lang w:eastAsia="zh-CN"/>
              </w:rPr>
              <w:t>我们注意到管理层的回应，而且根据审计结果，我们认为国际电联会计文件的质量正在成熟。我们重申，有必要将指南整合到单一参考文件中。国际电联需要为即将在未来几年内实施的新的和正在出现的</w:t>
            </w:r>
            <w:r w:rsidRPr="00010966">
              <w:rPr>
                <w:rFonts w:hint="eastAsia"/>
                <w:sz w:val="20"/>
                <w:lang w:eastAsia="zh-CN"/>
              </w:rPr>
              <w:t>IPSAS</w:t>
            </w:r>
            <w:r w:rsidRPr="00010966">
              <w:rPr>
                <w:rFonts w:hint="eastAsia"/>
                <w:sz w:val="20"/>
                <w:lang w:eastAsia="zh-CN"/>
              </w:rPr>
              <w:t>准则制定会计政策文件，并在实施前就这些拟议政策征求</w:t>
            </w:r>
            <w:r w:rsidRPr="00010966">
              <w:rPr>
                <w:rFonts w:hint="eastAsia"/>
                <w:sz w:val="20"/>
                <w:lang w:eastAsia="zh-CN"/>
              </w:rPr>
              <w:t>IMAC</w:t>
            </w:r>
            <w:r w:rsidRPr="00010966">
              <w:rPr>
                <w:rFonts w:hint="eastAsia"/>
                <w:sz w:val="20"/>
                <w:lang w:eastAsia="zh-CN"/>
              </w:rPr>
              <w:t>的意见。</w:t>
            </w:r>
          </w:p>
        </w:tc>
        <w:tc>
          <w:tcPr>
            <w:tcW w:w="487" w:type="pct"/>
            <w:shd w:val="clear" w:color="auto" w:fill="auto"/>
          </w:tcPr>
          <w:p w14:paraId="6F269CA9" w14:textId="389E6BE4" w:rsidR="003D7FF0" w:rsidRPr="00010966" w:rsidRDefault="00F520EB" w:rsidP="00786ECB">
            <w:pPr>
              <w:pStyle w:val="Tabletext"/>
              <w:spacing w:before="60"/>
              <w:rPr>
                <w:sz w:val="20"/>
              </w:rPr>
            </w:pPr>
            <w:r w:rsidRPr="00010966">
              <w:rPr>
                <w:rFonts w:hint="eastAsia"/>
                <w:sz w:val="20"/>
                <w:lang w:eastAsia="zh-CN"/>
              </w:rPr>
              <w:t>正在实施。</w:t>
            </w:r>
          </w:p>
        </w:tc>
      </w:tr>
      <w:tr w:rsidR="00D43F01" w:rsidRPr="00010966" w14:paraId="12A7146B" w14:textId="77777777" w:rsidTr="00E6035E">
        <w:tc>
          <w:tcPr>
            <w:tcW w:w="291" w:type="pct"/>
            <w:shd w:val="clear" w:color="auto" w:fill="auto"/>
          </w:tcPr>
          <w:p w14:paraId="52B90416" w14:textId="66CB0CC3" w:rsidR="003D7FF0" w:rsidRPr="00010966" w:rsidRDefault="003D7FF0" w:rsidP="00786ECB">
            <w:pPr>
              <w:pStyle w:val="Tabletext"/>
              <w:spacing w:before="60"/>
              <w:rPr>
                <w:sz w:val="20"/>
              </w:rPr>
            </w:pPr>
            <w:r w:rsidRPr="00010966">
              <w:rPr>
                <w:sz w:val="20"/>
              </w:rPr>
              <w:t>2022</w:t>
            </w:r>
            <w:proofErr w:type="spellStart"/>
            <w:r w:rsidR="00F520EB" w:rsidRPr="00010966">
              <w:rPr>
                <w:rFonts w:hint="eastAsia"/>
                <w:sz w:val="20"/>
              </w:rPr>
              <w:t>年中期报告</w:t>
            </w:r>
            <w:proofErr w:type="spellEnd"/>
            <w:r w:rsidRPr="00010966">
              <w:rPr>
                <w:sz w:val="20"/>
              </w:rPr>
              <w:t xml:space="preserve"> </w:t>
            </w:r>
            <w:proofErr w:type="spellStart"/>
            <w:r w:rsidRPr="00010966">
              <w:rPr>
                <w:sz w:val="20"/>
              </w:rPr>
              <w:t>R4</w:t>
            </w:r>
            <w:proofErr w:type="spellEnd"/>
          </w:p>
        </w:tc>
        <w:tc>
          <w:tcPr>
            <w:tcW w:w="1441" w:type="pct"/>
            <w:shd w:val="clear" w:color="auto" w:fill="auto"/>
          </w:tcPr>
          <w:p w14:paraId="1EDE902B" w14:textId="150CE5DC" w:rsidR="003D7FF0" w:rsidRPr="00010966" w:rsidRDefault="00D43F01" w:rsidP="00786ECB">
            <w:pPr>
              <w:pStyle w:val="Tabletext"/>
              <w:spacing w:before="60"/>
              <w:rPr>
                <w:sz w:val="20"/>
                <w:lang w:eastAsia="zh-CN"/>
              </w:rPr>
            </w:pPr>
            <w:r w:rsidRPr="00010966">
              <w:rPr>
                <w:rFonts w:hint="eastAsia"/>
                <w:sz w:val="20"/>
                <w:lang w:eastAsia="zh-CN"/>
              </w:rPr>
              <w:t>审查造成所发现问题的根本原因，并考虑充分满足其财务报告要求所需的技能和能力，以支持编制可靠且准确的财务报表。</w:t>
            </w:r>
          </w:p>
        </w:tc>
        <w:tc>
          <w:tcPr>
            <w:tcW w:w="1741" w:type="pct"/>
            <w:shd w:val="clear" w:color="auto" w:fill="auto"/>
          </w:tcPr>
          <w:p w14:paraId="5B4D82BC" w14:textId="75FDF77E" w:rsidR="003D7FF0" w:rsidRPr="00010966" w:rsidRDefault="00D43F01" w:rsidP="00786ECB">
            <w:pPr>
              <w:pStyle w:val="Tabletext"/>
              <w:spacing w:before="60"/>
              <w:rPr>
                <w:sz w:val="20"/>
                <w:lang w:eastAsia="zh-CN"/>
              </w:rPr>
            </w:pPr>
            <w:r w:rsidRPr="00010966">
              <w:rPr>
                <w:rFonts w:hint="eastAsia"/>
                <w:sz w:val="20"/>
                <w:lang w:eastAsia="zh-CN"/>
              </w:rPr>
              <w:t>国际电联加大了对发布高质量财务报表的支持力度。</w:t>
            </w:r>
            <w:r w:rsidR="00FC2DCB" w:rsidRPr="00010966">
              <w:rPr>
                <w:rFonts w:hint="eastAsia"/>
                <w:sz w:val="20"/>
                <w:lang w:eastAsia="zh-CN"/>
              </w:rPr>
              <w:t>因此</w:t>
            </w:r>
            <w:r w:rsidRPr="00010966">
              <w:rPr>
                <w:rFonts w:hint="eastAsia"/>
                <w:sz w:val="20"/>
                <w:lang w:eastAsia="zh-CN"/>
              </w:rPr>
              <w:t>，账务处的能力得到了加强，这将为今后的报告和相关程序提供连续性。</w:t>
            </w:r>
            <w:r w:rsidRPr="00010966">
              <w:rPr>
                <w:rFonts w:hint="eastAsia"/>
                <w:sz w:val="20"/>
                <w:lang w:eastAsia="zh-CN"/>
              </w:rPr>
              <w:t>FRMD</w:t>
            </w:r>
            <w:r w:rsidRPr="00010966">
              <w:rPr>
                <w:rFonts w:hint="eastAsia"/>
                <w:sz w:val="20"/>
                <w:lang w:eastAsia="zh-CN"/>
              </w:rPr>
              <w:t>将进一步调整</w:t>
            </w:r>
            <w:r w:rsidR="00FC2DCB" w:rsidRPr="00010966">
              <w:rPr>
                <w:rFonts w:hint="eastAsia"/>
                <w:sz w:val="20"/>
                <w:lang w:eastAsia="zh-CN"/>
              </w:rPr>
              <w:t>结构</w:t>
            </w:r>
            <w:r w:rsidRPr="00010966">
              <w:rPr>
                <w:rFonts w:hint="eastAsia"/>
                <w:sz w:val="20"/>
                <w:lang w:eastAsia="zh-CN"/>
              </w:rPr>
              <w:t>，确保</w:t>
            </w:r>
            <w:r w:rsidR="008B0223" w:rsidRPr="00010966">
              <w:rPr>
                <w:rFonts w:hint="eastAsia"/>
                <w:sz w:val="20"/>
                <w:lang w:eastAsia="zh-CN"/>
              </w:rPr>
              <w:t>未来</w:t>
            </w:r>
            <w:r w:rsidR="00FC2DCB" w:rsidRPr="00010966">
              <w:rPr>
                <w:rFonts w:hint="eastAsia"/>
                <w:sz w:val="20"/>
                <w:lang w:eastAsia="zh-CN"/>
              </w:rPr>
              <w:t>各</w:t>
            </w:r>
            <w:r w:rsidRPr="00010966">
              <w:rPr>
                <w:rFonts w:hint="eastAsia"/>
                <w:sz w:val="20"/>
                <w:lang w:eastAsia="zh-CN"/>
              </w:rPr>
              <w:t>方面都适</w:t>
            </w:r>
            <w:r w:rsidR="008B0223" w:rsidRPr="00010966">
              <w:rPr>
                <w:rFonts w:hint="eastAsia"/>
                <w:sz w:val="20"/>
                <w:lang w:eastAsia="zh-CN"/>
              </w:rPr>
              <w:t>用</w:t>
            </w:r>
            <w:r w:rsidRPr="00010966">
              <w:rPr>
                <w:rFonts w:hint="eastAsia"/>
                <w:sz w:val="20"/>
                <w:lang w:eastAsia="zh-CN"/>
              </w:rPr>
              <w:t>。</w:t>
            </w:r>
          </w:p>
        </w:tc>
        <w:tc>
          <w:tcPr>
            <w:tcW w:w="1041" w:type="pct"/>
            <w:shd w:val="clear" w:color="auto" w:fill="auto"/>
          </w:tcPr>
          <w:p w14:paraId="479D3A37" w14:textId="03FCBE2E" w:rsidR="003D7FF0" w:rsidRPr="00010966" w:rsidRDefault="00D43F01" w:rsidP="00786ECB">
            <w:pPr>
              <w:pStyle w:val="Tabletext"/>
              <w:spacing w:before="60"/>
              <w:rPr>
                <w:sz w:val="20"/>
                <w:lang w:eastAsia="zh-CN"/>
              </w:rPr>
            </w:pPr>
            <w:r w:rsidRPr="00010966">
              <w:rPr>
                <w:rFonts w:hint="eastAsia"/>
                <w:sz w:val="20"/>
                <w:lang w:eastAsia="zh-CN"/>
              </w:rPr>
              <w:t>我们注意到管理层的</w:t>
            </w:r>
            <w:r w:rsidR="008B0223" w:rsidRPr="00010966">
              <w:rPr>
                <w:rFonts w:hint="eastAsia"/>
                <w:sz w:val="20"/>
                <w:lang w:eastAsia="zh-CN"/>
              </w:rPr>
              <w:t>回应</w:t>
            </w:r>
            <w:r w:rsidRPr="00010966">
              <w:rPr>
                <w:rFonts w:hint="eastAsia"/>
                <w:sz w:val="20"/>
                <w:lang w:eastAsia="zh-CN"/>
              </w:rPr>
              <w:t>，并根据审计结果认为该建议已</w:t>
            </w:r>
            <w:r w:rsidR="008B0223" w:rsidRPr="00010966">
              <w:rPr>
                <w:rFonts w:hint="eastAsia"/>
                <w:sz w:val="20"/>
                <w:lang w:eastAsia="zh-CN"/>
              </w:rPr>
              <w:t>完成</w:t>
            </w:r>
            <w:r w:rsidRPr="00010966">
              <w:rPr>
                <w:rFonts w:hint="eastAsia"/>
                <w:sz w:val="20"/>
                <w:lang w:eastAsia="zh-CN"/>
              </w:rPr>
              <w:t>。</w:t>
            </w:r>
          </w:p>
        </w:tc>
        <w:tc>
          <w:tcPr>
            <w:tcW w:w="487" w:type="pct"/>
            <w:shd w:val="clear" w:color="auto" w:fill="auto"/>
          </w:tcPr>
          <w:p w14:paraId="75CF3A9A" w14:textId="23529E58" w:rsidR="003D7FF0" w:rsidRPr="00010966" w:rsidRDefault="00F520EB" w:rsidP="00786ECB">
            <w:pPr>
              <w:pStyle w:val="Tabletext"/>
              <w:spacing w:before="60"/>
              <w:rPr>
                <w:sz w:val="20"/>
                <w:lang w:eastAsia="zh-CN"/>
              </w:rPr>
            </w:pPr>
            <w:r w:rsidRPr="00010966">
              <w:rPr>
                <w:rFonts w:hint="eastAsia"/>
                <w:sz w:val="20"/>
                <w:lang w:eastAsia="zh-CN"/>
              </w:rPr>
              <w:t>已实施。</w:t>
            </w:r>
          </w:p>
          <w:p w14:paraId="2A0811FE" w14:textId="14C28C43" w:rsidR="003D7FF0" w:rsidRPr="00010966" w:rsidRDefault="00A62A5A" w:rsidP="00786ECB">
            <w:pPr>
              <w:pStyle w:val="Tabletext"/>
              <w:spacing w:before="60"/>
              <w:rPr>
                <w:sz w:val="20"/>
              </w:rPr>
            </w:pPr>
            <w:r>
              <w:rPr>
                <w:rFonts w:hint="eastAsia"/>
                <w:sz w:val="20"/>
                <w:lang w:eastAsia="zh-CN"/>
              </w:rPr>
              <w:t>已关闭。</w:t>
            </w:r>
          </w:p>
        </w:tc>
      </w:tr>
      <w:tr w:rsidR="00D43F01" w:rsidRPr="00010966" w14:paraId="0F1BC883" w14:textId="77777777" w:rsidTr="00E6035E">
        <w:tc>
          <w:tcPr>
            <w:tcW w:w="291" w:type="pct"/>
            <w:shd w:val="clear" w:color="auto" w:fill="auto"/>
          </w:tcPr>
          <w:p w14:paraId="2EC709DD" w14:textId="39604BC6" w:rsidR="003D7FF0" w:rsidRPr="00010966" w:rsidRDefault="003D7FF0" w:rsidP="00786ECB">
            <w:pPr>
              <w:pStyle w:val="Tabletext"/>
              <w:spacing w:before="60"/>
              <w:rPr>
                <w:sz w:val="20"/>
              </w:rPr>
            </w:pPr>
            <w:r w:rsidRPr="00010966">
              <w:rPr>
                <w:sz w:val="20"/>
              </w:rPr>
              <w:t>2022</w:t>
            </w:r>
            <w:proofErr w:type="spellStart"/>
            <w:r w:rsidR="00F520EB" w:rsidRPr="00010966">
              <w:rPr>
                <w:rFonts w:hint="eastAsia"/>
                <w:sz w:val="20"/>
              </w:rPr>
              <w:t>年中期报告</w:t>
            </w:r>
            <w:proofErr w:type="spellEnd"/>
            <w:r w:rsidRPr="00010966">
              <w:rPr>
                <w:sz w:val="20"/>
              </w:rPr>
              <w:t xml:space="preserve"> </w:t>
            </w:r>
            <w:proofErr w:type="spellStart"/>
            <w:r w:rsidRPr="00010966">
              <w:rPr>
                <w:sz w:val="20"/>
              </w:rPr>
              <w:t>R5</w:t>
            </w:r>
            <w:proofErr w:type="spellEnd"/>
          </w:p>
        </w:tc>
        <w:tc>
          <w:tcPr>
            <w:tcW w:w="1441" w:type="pct"/>
            <w:shd w:val="clear" w:color="auto" w:fill="auto"/>
          </w:tcPr>
          <w:p w14:paraId="24D23795" w14:textId="5C7B57C1" w:rsidR="003D7FF0" w:rsidRPr="00010966" w:rsidRDefault="003D7FF0" w:rsidP="00786ECB">
            <w:pPr>
              <w:pStyle w:val="Tabletext"/>
              <w:spacing w:before="60"/>
              <w:rPr>
                <w:sz w:val="20"/>
                <w:lang w:eastAsia="zh-CN"/>
              </w:rPr>
            </w:pPr>
            <w:r w:rsidRPr="00010966">
              <w:rPr>
                <w:sz w:val="20"/>
                <w:lang w:eastAsia="zh-CN"/>
              </w:rPr>
              <w:t xml:space="preserve">a) </w:t>
            </w:r>
            <w:r w:rsidR="00D43F01" w:rsidRPr="00010966">
              <w:rPr>
                <w:rFonts w:hint="eastAsia"/>
                <w:sz w:val="20"/>
                <w:lang w:eastAsia="zh-CN"/>
              </w:rPr>
              <w:t>审查频率、职责范围和用于在高级管理层会议上为决策提供信息的数据，以及</w:t>
            </w:r>
            <w:r w:rsidR="004314F3">
              <w:rPr>
                <w:sz w:val="20"/>
                <w:lang w:val="en-US" w:eastAsia="zh-CN"/>
              </w:rPr>
              <w:br/>
            </w:r>
            <w:r w:rsidR="00D43F01" w:rsidRPr="00010966">
              <w:rPr>
                <w:rFonts w:hint="eastAsia"/>
                <w:sz w:val="20"/>
                <w:lang w:eastAsia="zh-CN"/>
              </w:rPr>
              <w:t xml:space="preserve">b) </w:t>
            </w:r>
            <w:r w:rsidR="00D43F01" w:rsidRPr="00010966">
              <w:rPr>
                <w:rFonts w:hint="eastAsia"/>
                <w:sz w:val="20"/>
                <w:lang w:eastAsia="zh-CN"/>
              </w:rPr>
              <w:t>创建一套系统的报告机制。这将提供更好的监督证据，并产生有记录的后续行动，更好地证明国际电联的集体式管理监督。</w:t>
            </w:r>
          </w:p>
        </w:tc>
        <w:tc>
          <w:tcPr>
            <w:tcW w:w="1741" w:type="pct"/>
            <w:shd w:val="clear" w:color="auto" w:fill="auto"/>
          </w:tcPr>
          <w:p w14:paraId="2FAB0FDE" w14:textId="047F5547" w:rsidR="003D7FF0" w:rsidRPr="00010966" w:rsidRDefault="00D43F01" w:rsidP="00786ECB">
            <w:pPr>
              <w:pStyle w:val="Tabletext"/>
              <w:spacing w:before="60"/>
              <w:rPr>
                <w:sz w:val="20"/>
                <w:lang w:eastAsia="zh-CN"/>
              </w:rPr>
            </w:pPr>
            <w:r w:rsidRPr="00010966">
              <w:rPr>
                <w:rFonts w:hint="eastAsia"/>
                <w:sz w:val="20"/>
                <w:lang w:eastAsia="zh-CN"/>
              </w:rPr>
              <w:t>国际电联已就该建议采取了行动，并已取得有意义的进展。正式的高级管理层会议</w:t>
            </w:r>
            <w:r w:rsidR="00257228" w:rsidRPr="00010966">
              <w:rPr>
                <w:rFonts w:hint="eastAsia"/>
                <w:sz w:val="20"/>
                <w:lang w:eastAsia="zh-CN"/>
              </w:rPr>
              <w:t xml:space="preserve"> </w:t>
            </w:r>
            <w:r w:rsidRPr="00010966">
              <w:rPr>
                <w:rFonts w:hint="eastAsia"/>
                <w:sz w:val="20"/>
                <w:lang w:eastAsia="zh-CN"/>
              </w:rPr>
              <w:t>-</w:t>
            </w:r>
            <w:r w:rsidR="00257228" w:rsidRPr="00010966">
              <w:rPr>
                <w:rFonts w:hint="eastAsia"/>
                <w:sz w:val="20"/>
                <w:lang w:eastAsia="zh-CN"/>
              </w:rPr>
              <w:t xml:space="preserve"> </w:t>
            </w:r>
            <w:r w:rsidRPr="00010966">
              <w:rPr>
                <w:rFonts w:hint="eastAsia"/>
                <w:sz w:val="20"/>
                <w:lang w:eastAsia="zh-CN"/>
              </w:rPr>
              <w:t>包括协调委员会（</w:t>
            </w:r>
            <w:proofErr w:type="spellStart"/>
            <w:r w:rsidRPr="00010966">
              <w:rPr>
                <w:rFonts w:hint="eastAsia"/>
                <w:sz w:val="20"/>
                <w:lang w:eastAsia="zh-CN"/>
              </w:rPr>
              <w:t>CoCo</w:t>
            </w:r>
            <w:proofErr w:type="spellEnd"/>
            <w:r w:rsidRPr="00010966">
              <w:rPr>
                <w:rFonts w:hint="eastAsia"/>
                <w:sz w:val="20"/>
                <w:lang w:eastAsia="zh-CN"/>
              </w:rPr>
              <w:t>）、管理协调组（</w:t>
            </w:r>
            <w:r w:rsidRPr="00010966">
              <w:rPr>
                <w:rFonts w:hint="eastAsia"/>
                <w:sz w:val="20"/>
                <w:lang w:eastAsia="zh-CN"/>
              </w:rPr>
              <w:t>MCG</w:t>
            </w:r>
            <w:r w:rsidRPr="00010966">
              <w:rPr>
                <w:rFonts w:hint="eastAsia"/>
                <w:sz w:val="20"/>
                <w:lang w:eastAsia="zh-CN"/>
              </w:rPr>
              <w:t>）和管理协调组</w:t>
            </w:r>
            <w:r w:rsidR="00257228" w:rsidRPr="00010966">
              <w:rPr>
                <w:rFonts w:hint="eastAsia"/>
                <w:sz w:val="20"/>
                <w:lang w:eastAsia="zh-CN"/>
              </w:rPr>
              <w:t>扩大</w:t>
            </w:r>
            <w:r w:rsidRPr="00010966">
              <w:rPr>
                <w:rFonts w:hint="eastAsia"/>
                <w:sz w:val="20"/>
                <w:lang w:eastAsia="zh-CN"/>
              </w:rPr>
              <w:t>组（</w:t>
            </w:r>
            <w:r w:rsidRPr="00010966">
              <w:rPr>
                <w:rFonts w:hint="eastAsia"/>
                <w:sz w:val="20"/>
                <w:lang w:eastAsia="zh-CN"/>
              </w:rPr>
              <w:t>MCG Plus</w:t>
            </w:r>
            <w:r w:rsidRPr="00010966">
              <w:rPr>
                <w:rFonts w:hint="eastAsia"/>
                <w:sz w:val="20"/>
                <w:lang w:eastAsia="zh-CN"/>
              </w:rPr>
              <w:t>）（包括区域代表处主任）</w:t>
            </w:r>
            <w:r w:rsidRPr="00010966">
              <w:rPr>
                <w:rFonts w:hint="eastAsia"/>
                <w:sz w:val="20"/>
                <w:lang w:eastAsia="zh-CN"/>
              </w:rPr>
              <w:t>-</w:t>
            </w:r>
            <w:r w:rsidR="00257228" w:rsidRPr="00010966">
              <w:rPr>
                <w:rFonts w:hint="eastAsia"/>
                <w:sz w:val="20"/>
                <w:lang w:eastAsia="zh-CN"/>
              </w:rPr>
              <w:t xml:space="preserve"> </w:t>
            </w:r>
            <w:r w:rsidRPr="00010966">
              <w:rPr>
                <w:rFonts w:hint="eastAsia"/>
                <w:sz w:val="20"/>
                <w:lang w:eastAsia="zh-CN"/>
              </w:rPr>
              <w:t>至少每月举行一次。当特定议题需要高级管理层额外关注时，</w:t>
            </w:r>
            <w:proofErr w:type="spellStart"/>
            <w:r w:rsidRPr="00010966">
              <w:rPr>
                <w:rFonts w:hint="eastAsia"/>
                <w:sz w:val="20"/>
                <w:lang w:eastAsia="zh-CN"/>
              </w:rPr>
              <w:t>CoCo</w:t>
            </w:r>
            <w:proofErr w:type="spellEnd"/>
            <w:r w:rsidRPr="00010966">
              <w:rPr>
                <w:rFonts w:hint="eastAsia"/>
                <w:sz w:val="20"/>
                <w:lang w:eastAsia="zh-CN"/>
              </w:rPr>
              <w:t>会更频繁地召开会议。</w:t>
            </w:r>
          </w:p>
          <w:p w14:paraId="508C8F17" w14:textId="03AF735B" w:rsidR="003D7FF0" w:rsidRPr="00010966" w:rsidRDefault="00D43F01" w:rsidP="00786ECB">
            <w:pPr>
              <w:pStyle w:val="Tabletext"/>
              <w:spacing w:before="60"/>
              <w:rPr>
                <w:sz w:val="20"/>
                <w:lang w:eastAsia="zh-CN"/>
              </w:rPr>
            </w:pPr>
            <w:r w:rsidRPr="00010966">
              <w:rPr>
                <w:rFonts w:hint="eastAsia"/>
                <w:sz w:val="20"/>
                <w:lang w:eastAsia="zh-CN"/>
              </w:rPr>
              <w:lastRenderedPageBreak/>
              <w:t>高级管理层务虚会还为</w:t>
            </w:r>
            <w:r w:rsidR="00666993" w:rsidRPr="00010966">
              <w:rPr>
                <w:rFonts w:hint="eastAsia"/>
                <w:sz w:val="20"/>
                <w:lang w:eastAsia="zh-CN"/>
              </w:rPr>
              <w:t>达成共识</w:t>
            </w:r>
            <w:r w:rsidRPr="00010966">
              <w:rPr>
                <w:rFonts w:hint="eastAsia"/>
                <w:sz w:val="20"/>
                <w:lang w:eastAsia="zh-CN"/>
              </w:rPr>
              <w:t>和确定组织</w:t>
            </w:r>
            <w:r w:rsidR="00666993" w:rsidRPr="00010966">
              <w:rPr>
                <w:rFonts w:hint="eastAsia"/>
                <w:sz w:val="20"/>
                <w:lang w:eastAsia="zh-CN"/>
              </w:rPr>
              <w:t>优先事项</w:t>
            </w:r>
            <w:r w:rsidRPr="00010966">
              <w:rPr>
                <w:rFonts w:hint="eastAsia"/>
                <w:sz w:val="20"/>
                <w:lang w:eastAsia="zh-CN"/>
              </w:rPr>
              <w:t>提供了框架。这一</w:t>
            </w:r>
            <w:r w:rsidR="008C2E06" w:rsidRPr="00010966">
              <w:rPr>
                <w:rFonts w:hint="eastAsia"/>
                <w:sz w:val="20"/>
                <w:lang w:eastAsia="zh-CN"/>
              </w:rPr>
              <w:t>流</w:t>
            </w:r>
            <w:r w:rsidR="00666993" w:rsidRPr="00010966">
              <w:rPr>
                <w:rFonts w:hint="eastAsia"/>
                <w:sz w:val="20"/>
                <w:lang w:eastAsia="zh-CN"/>
              </w:rPr>
              <w:t>程</w:t>
            </w:r>
            <w:r w:rsidRPr="00010966">
              <w:rPr>
                <w:rFonts w:hint="eastAsia"/>
                <w:sz w:val="20"/>
                <w:lang w:eastAsia="zh-CN"/>
              </w:rPr>
              <w:t>还</w:t>
            </w:r>
            <w:r w:rsidR="00666993" w:rsidRPr="00010966">
              <w:rPr>
                <w:rFonts w:hint="eastAsia"/>
                <w:sz w:val="20"/>
                <w:lang w:eastAsia="zh-CN"/>
              </w:rPr>
              <w:t>促成</w:t>
            </w:r>
            <w:r w:rsidRPr="00010966">
              <w:rPr>
                <w:rFonts w:hint="eastAsia"/>
                <w:sz w:val="20"/>
                <w:lang w:eastAsia="zh-CN"/>
              </w:rPr>
              <w:t>了适应性领导力计划的启动，涉及所有</w:t>
            </w:r>
            <w:r w:rsidRPr="00010966">
              <w:rPr>
                <w:rFonts w:hint="eastAsia"/>
                <w:sz w:val="20"/>
                <w:lang w:eastAsia="zh-CN"/>
              </w:rPr>
              <w:t>P5</w:t>
            </w:r>
            <w:r w:rsidRPr="00010966">
              <w:rPr>
                <w:rFonts w:hint="eastAsia"/>
                <w:sz w:val="20"/>
                <w:lang w:eastAsia="zh-CN"/>
              </w:rPr>
              <w:t>及以上级别的管理人员。</w:t>
            </w:r>
          </w:p>
          <w:p w14:paraId="3B5A3E39" w14:textId="6AF4142F" w:rsidR="003D7FF0" w:rsidRPr="00010966" w:rsidRDefault="00D43F01" w:rsidP="00786ECB">
            <w:pPr>
              <w:pStyle w:val="Tabletext"/>
              <w:spacing w:before="60"/>
              <w:rPr>
                <w:sz w:val="20"/>
                <w:lang w:eastAsia="zh-CN"/>
              </w:rPr>
            </w:pPr>
            <w:r w:rsidRPr="00010966">
              <w:rPr>
                <w:rFonts w:hint="eastAsia"/>
                <w:sz w:val="20"/>
                <w:lang w:eastAsia="zh-CN"/>
              </w:rPr>
              <w:t>通过</w:t>
            </w:r>
            <w:r w:rsidR="000324D8" w:rsidRPr="00010966">
              <w:rPr>
                <w:rFonts w:hint="eastAsia"/>
                <w:sz w:val="20"/>
                <w:lang w:eastAsia="zh-CN"/>
              </w:rPr>
              <w:t>编制</w:t>
            </w:r>
            <w:r w:rsidRPr="00010966">
              <w:rPr>
                <w:rFonts w:hint="eastAsia"/>
                <w:sz w:val="20"/>
                <w:lang w:eastAsia="zh-CN"/>
              </w:rPr>
              <w:t>报告和信息概览，报告和信息的质量不断提高。现在，</w:t>
            </w:r>
            <w:r w:rsidR="000324D8" w:rsidRPr="00010966">
              <w:rPr>
                <w:rFonts w:hint="eastAsia"/>
                <w:sz w:val="20"/>
                <w:lang w:eastAsia="zh-CN"/>
              </w:rPr>
              <w:t>使用</w:t>
            </w:r>
            <w:proofErr w:type="spellStart"/>
            <w:r w:rsidR="000324D8" w:rsidRPr="00010966">
              <w:rPr>
                <w:rFonts w:hint="eastAsia"/>
                <w:sz w:val="20"/>
                <w:lang w:eastAsia="zh-CN"/>
              </w:rPr>
              <w:t>CoCo</w:t>
            </w:r>
            <w:proofErr w:type="spellEnd"/>
            <w:r w:rsidR="000324D8" w:rsidRPr="00010966">
              <w:rPr>
                <w:rFonts w:hint="eastAsia"/>
                <w:sz w:val="20"/>
                <w:lang w:eastAsia="zh-CN"/>
              </w:rPr>
              <w:t>决定和</w:t>
            </w:r>
            <w:r w:rsidR="000324D8" w:rsidRPr="00010966">
              <w:rPr>
                <w:rFonts w:hint="eastAsia"/>
                <w:sz w:val="20"/>
                <w:lang w:eastAsia="zh-CN"/>
              </w:rPr>
              <w:t>MCG</w:t>
            </w:r>
            <w:r w:rsidR="000324D8" w:rsidRPr="00010966">
              <w:rPr>
                <w:rFonts w:hint="eastAsia"/>
                <w:sz w:val="20"/>
                <w:lang w:eastAsia="zh-CN"/>
              </w:rPr>
              <w:t>后续行动跟踪系统对</w:t>
            </w:r>
            <w:r w:rsidRPr="00010966">
              <w:rPr>
                <w:rFonts w:hint="eastAsia"/>
                <w:sz w:val="20"/>
                <w:lang w:eastAsia="zh-CN"/>
              </w:rPr>
              <w:t>高级管理层会议的后续行动进行更严格的跟踪，从而加强了文件</w:t>
            </w:r>
            <w:r w:rsidR="000324D8" w:rsidRPr="00010966">
              <w:rPr>
                <w:rFonts w:hint="eastAsia"/>
                <w:sz w:val="20"/>
                <w:lang w:eastAsia="zh-CN"/>
              </w:rPr>
              <w:t>制作</w:t>
            </w:r>
            <w:r w:rsidRPr="00010966">
              <w:rPr>
                <w:rFonts w:hint="eastAsia"/>
                <w:sz w:val="20"/>
                <w:lang w:eastAsia="zh-CN"/>
              </w:rPr>
              <w:t>和监督</w:t>
            </w:r>
            <w:r w:rsidR="000324D8" w:rsidRPr="00010966">
              <w:rPr>
                <w:rFonts w:hint="eastAsia"/>
                <w:sz w:val="20"/>
                <w:lang w:eastAsia="zh-CN"/>
              </w:rPr>
              <w:t>工作</w:t>
            </w:r>
            <w:r w:rsidRPr="00010966">
              <w:rPr>
                <w:rFonts w:hint="eastAsia"/>
                <w:sz w:val="20"/>
                <w:lang w:eastAsia="zh-CN"/>
              </w:rPr>
              <w:t>。</w:t>
            </w:r>
          </w:p>
          <w:p w14:paraId="1011D485" w14:textId="37E566FA" w:rsidR="003D7FF0" w:rsidRPr="00010966" w:rsidRDefault="00D43F01" w:rsidP="00786ECB">
            <w:pPr>
              <w:pStyle w:val="Tabletext"/>
              <w:spacing w:before="60"/>
              <w:rPr>
                <w:sz w:val="20"/>
                <w:lang w:eastAsia="zh-CN"/>
              </w:rPr>
            </w:pPr>
            <w:r w:rsidRPr="00010966">
              <w:rPr>
                <w:rFonts w:hint="eastAsia"/>
                <w:sz w:val="20"/>
                <w:lang w:eastAsia="zh-CN"/>
              </w:rPr>
              <w:t>随着转型路线图的推进，更系统的报告</w:t>
            </w:r>
            <w:r w:rsidR="000324D8" w:rsidRPr="00010966">
              <w:rPr>
                <w:rFonts w:hint="eastAsia"/>
                <w:sz w:val="20"/>
                <w:lang w:eastAsia="zh-CN"/>
              </w:rPr>
              <w:t>机制</w:t>
            </w:r>
            <w:r w:rsidRPr="00010966">
              <w:rPr>
                <w:rFonts w:hint="eastAsia"/>
                <w:sz w:val="20"/>
                <w:lang w:eastAsia="zh-CN"/>
              </w:rPr>
              <w:t>将进一步加强整个组织的决策。</w:t>
            </w:r>
          </w:p>
        </w:tc>
        <w:tc>
          <w:tcPr>
            <w:tcW w:w="1041" w:type="pct"/>
            <w:shd w:val="clear" w:color="auto" w:fill="auto"/>
          </w:tcPr>
          <w:p w14:paraId="1712B48E" w14:textId="2EE7373E" w:rsidR="003D7FF0" w:rsidRPr="00010966" w:rsidRDefault="00D43F01" w:rsidP="00786ECB">
            <w:pPr>
              <w:pStyle w:val="Tabletext"/>
              <w:spacing w:before="60"/>
              <w:rPr>
                <w:sz w:val="20"/>
                <w:lang w:val="en-US" w:eastAsia="zh-CN"/>
              </w:rPr>
            </w:pPr>
            <w:r w:rsidRPr="00010966">
              <w:rPr>
                <w:rFonts w:hint="eastAsia"/>
                <w:sz w:val="20"/>
                <w:lang w:eastAsia="zh-CN"/>
              </w:rPr>
              <w:lastRenderedPageBreak/>
              <w:t>我们注意到管理层的回应，</w:t>
            </w:r>
            <w:r w:rsidR="008B0223" w:rsidRPr="00010966">
              <w:rPr>
                <w:rFonts w:hint="eastAsia"/>
                <w:sz w:val="20"/>
                <w:lang w:eastAsia="zh-CN"/>
              </w:rPr>
              <w:t>同时已在</w:t>
            </w:r>
            <w:r w:rsidR="008B0223" w:rsidRPr="00010966">
              <w:rPr>
                <w:rFonts w:hint="eastAsia"/>
                <w:sz w:val="20"/>
                <w:lang w:eastAsia="zh-CN"/>
              </w:rPr>
              <w:t>2024</w:t>
            </w:r>
            <w:r w:rsidR="008B0223" w:rsidRPr="00010966">
              <w:rPr>
                <w:rFonts w:hint="eastAsia"/>
                <w:sz w:val="20"/>
                <w:lang w:eastAsia="zh-CN"/>
              </w:rPr>
              <w:t>年审计期间</w:t>
            </w:r>
            <w:r w:rsidRPr="00010966">
              <w:rPr>
                <w:rFonts w:hint="eastAsia"/>
                <w:sz w:val="20"/>
                <w:lang w:eastAsia="zh-CN"/>
              </w:rPr>
              <w:t>注意到报告</w:t>
            </w:r>
            <w:r w:rsidR="008B0223" w:rsidRPr="00010966">
              <w:rPr>
                <w:rFonts w:hint="eastAsia"/>
                <w:sz w:val="20"/>
                <w:lang w:eastAsia="zh-CN"/>
              </w:rPr>
              <w:t>方式得到加强</w:t>
            </w:r>
            <w:r w:rsidRPr="00010966">
              <w:rPr>
                <w:rFonts w:hint="eastAsia"/>
                <w:sz w:val="20"/>
                <w:lang w:eastAsia="zh-CN"/>
              </w:rPr>
              <w:t>。</w:t>
            </w:r>
          </w:p>
        </w:tc>
        <w:tc>
          <w:tcPr>
            <w:tcW w:w="487" w:type="pct"/>
            <w:shd w:val="clear" w:color="auto" w:fill="auto"/>
          </w:tcPr>
          <w:p w14:paraId="43A574F1" w14:textId="3E4AEBE4" w:rsidR="003D7FF0" w:rsidRPr="00010966" w:rsidRDefault="00F520EB" w:rsidP="00786ECB">
            <w:pPr>
              <w:pStyle w:val="Tabletext"/>
              <w:spacing w:before="60"/>
              <w:rPr>
                <w:sz w:val="20"/>
              </w:rPr>
            </w:pPr>
            <w:r w:rsidRPr="00010966">
              <w:rPr>
                <w:rFonts w:hint="eastAsia"/>
                <w:sz w:val="20"/>
                <w:lang w:eastAsia="zh-CN"/>
              </w:rPr>
              <w:t>已实施。</w:t>
            </w:r>
          </w:p>
          <w:p w14:paraId="3D8414B9" w14:textId="34E934FA" w:rsidR="003D7FF0" w:rsidRPr="00010966" w:rsidRDefault="00A62A5A" w:rsidP="00786ECB">
            <w:pPr>
              <w:pStyle w:val="Tabletext"/>
              <w:spacing w:before="60"/>
              <w:rPr>
                <w:sz w:val="20"/>
              </w:rPr>
            </w:pPr>
            <w:r>
              <w:rPr>
                <w:rFonts w:hint="eastAsia"/>
                <w:sz w:val="20"/>
                <w:lang w:eastAsia="zh-CN"/>
              </w:rPr>
              <w:t>已关闭。</w:t>
            </w:r>
          </w:p>
        </w:tc>
      </w:tr>
      <w:tr w:rsidR="00D43F01" w:rsidRPr="00010966" w14:paraId="47C72A74" w14:textId="77777777" w:rsidTr="00E6035E">
        <w:tc>
          <w:tcPr>
            <w:tcW w:w="291" w:type="pct"/>
            <w:shd w:val="clear" w:color="auto" w:fill="auto"/>
          </w:tcPr>
          <w:p w14:paraId="37E8121F" w14:textId="7C67A027" w:rsidR="003D7FF0" w:rsidRPr="00010966" w:rsidRDefault="003D7FF0" w:rsidP="00786ECB">
            <w:pPr>
              <w:pStyle w:val="Tabletext"/>
              <w:spacing w:before="60"/>
              <w:rPr>
                <w:sz w:val="20"/>
              </w:rPr>
            </w:pPr>
            <w:r w:rsidRPr="00010966">
              <w:rPr>
                <w:sz w:val="20"/>
              </w:rPr>
              <w:t>2022</w:t>
            </w:r>
            <w:proofErr w:type="spellStart"/>
            <w:r w:rsidR="00F520EB" w:rsidRPr="00010966">
              <w:rPr>
                <w:rFonts w:hint="eastAsia"/>
                <w:sz w:val="20"/>
              </w:rPr>
              <w:t>年中期报告</w:t>
            </w:r>
            <w:proofErr w:type="spellEnd"/>
            <w:r w:rsidRPr="00010966">
              <w:rPr>
                <w:sz w:val="20"/>
              </w:rPr>
              <w:t xml:space="preserve"> </w:t>
            </w:r>
            <w:proofErr w:type="spellStart"/>
            <w:r w:rsidRPr="00010966">
              <w:rPr>
                <w:sz w:val="20"/>
              </w:rPr>
              <w:t>R6</w:t>
            </w:r>
            <w:proofErr w:type="spellEnd"/>
          </w:p>
        </w:tc>
        <w:tc>
          <w:tcPr>
            <w:tcW w:w="1441" w:type="pct"/>
            <w:shd w:val="clear" w:color="auto" w:fill="auto"/>
          </w:tcPr>
          <w:p w14:paraId="5D0C0281" w14:textId="4819C6F7" w:rsidR="003D7FF0" w:rsidRPr="00010966" w:rsidRDefault="00D43F01" w:rsidP="00786ECB">
            <w:pPr>
              <w:pStyle w:val="Tabletext"/>
              <w:spacing w:before="60"/>
              <w:rPr>
                <w:sz w:val="20"/>
                <w:lang w:eastAsia="zh-CN"/>
              </w:rPr>
            </w:pPr>
            <w:r w:rsidRPr="00010966">
              <w:rPr>
                <w:rFonts w:hint="eastAsia"/>
                <w:sz w:val="20"/>
                <w:lang w:eastAsia="zh-CN"/>
              </w:rPr>
              <w:t>为问责框架的全面实施和嵌入制定路线图，以确保建立提供循证保证的流程，并利用每年的《内部控制说明》向成员提供清晰的发展情况。</w:t>
            </w:r>
          </w:p>
        </w:tc>
        <w:tc>
          <w:tcPr>
            <w:tcW w:w="1741" w:type="pct"/>
            <w:shd w:val="clear" w:color="auto" w:fill="auto"/>
          </w:tcPr>
          <w:p w14:paraId="30C90780" w14:textId="3658A37E" w:rsidR="003D7FF0" w:rsidRPr="00010966" w:rsidRDefault="00D6049E" w:rsidP="00786ECB">
            <w:pPr>
              <w:pStyle w:val="Tabletext"/>
              <w:spacing w:before="60"/>
              <w:rPr>
                <w:sz w:val="20"/>
                <w:lang w:eastAsia="zh-CN"/>
              </w:rPr>
            </w:pPr>
            <w:r w:rsidRPr="00010966">
              <w:rPr>
                <w:rFonts w:hint="eastAsia"/>
                <w:sz w:val="20"/>
                <w:lang w:eastAsia="zh-CN"/>
              </w:rPr>
              <w:t>在</w:t>
            </w:r>
            <w:r w:rsidR="00666993" w:rsidRPr="00010966">
              <w:rPr>
                <w:rFonts w:hint="eastAsia"/>
                <w:sz w:val="20"/>
                <w:lang w:eastAsia="zh-CN"/>
              </w:rPr>
              <w:t>20</w:t>
            </w:r>
            <w:r w:rsidRPr="00010966">
              <w:rPr>
                <w:rFonts w:hint="eastAsia"/>
                <w:sz w:val="20"/>
                <w:lang w:eastAsia="zh-CN"/>
              </w:rPr>
              <w:t>24</w:t>
            </w:r>
            <w:r w:rsidRPr="00010966">
              <w:rPr>
                <w:rFonts w:hint="eastAsia"/>
                <w:sz w:val="20"/>
                <w:lang w:eastAsia="zh-CN"/>
              </w:rPr>
              <w:t>财年，我们努力提供书面证据来支持</w:t>
            </w:r>
            <w:r w:rsidR="0029210D" w:rsidRPr="00010966">
              <w:rPr>
                <w:rFonts w:hint="eastAsia"/>
                <w:sz w:val="20"/>
                <w:lang w:eastAsia="zh-CN"/>
              </w:rPr>
              <w:t>《</w:t>
            </w:r>
            <w:r w:rsidRPr="00010966">
              <w:rPr>
                <w:rFonts w:hint="eastAsia"/>
                <w:sz w:val="20"/>
                <w:lang w:eastAsia="zh-CN"/>
              </w:rPr>
              <w:t>内部控制声明</w:t>
            </w:r>
            <w:r w:rsidR="0029210D" w:rsidRPr="00010966">
              <w:rPr>
                <w:rFonts w:hint="eastAsia"/>
                <w:sz w:val="20"/>
                <w:lang w:eastAsia="zh-CN"/>
              </w:rPr>
              <w:t>》</w:t>
            </w:r>
            <w:r w:rsidR="001564A4" w:rsidRPr="00010966">
              <w:rPr>
                <w:rFonts w:hint="eastAsia"/>
                <w:sz w:val="20"/>
                <w:lang w:eastAsia="zh-CN"/>
              </w:rPr>
              <w:t>所</w:t>
            </w:r>
            <w:r w:rsidRPr="00010966">
              <w:rPr>
                <w:rFonts w:hint="eastAsia"/>
                <w:sz w:val="20"/>
                <w:lang w:eastAsia="zh-CN"/>
              </w:rPr>
              <w:t>包含的信息。这包括通过《</w:t>
            </w:r>
            <w:r w:rsidR="001564A4" w:rsidRPr="00010966">
              <w:rPr>
                <w:rFonts w:hint="eastAsia"/>
                <w:sz w:val="20"/>
                <w:lang w:eastAsia="zh-CN"/>
              </w:rPr>
              <w:t>审计客户声明书</w:t>
            </w:r>
            <w:r w:rsidRPr="00010966">
              <w:rPr>
                <w:rFonts w:hint="eastAsia"/>
                <w:sz w:val="20"/>
                <w:lang w:eastAsia="zh-CN"/>
              </w:rPr>
              <w:t>》工作向管理人员</w:t>
            </w:r>
            <w:r w:rsidR="001564A4" w:rsidRPr="00010966">
              <w:rPr>
                <w:rFonts w:hint="eastAsia"/>
                <w:sz w:val="20"/>
                <w:lang w:eastAsia="zh-CN"/>
              </w:rPr>
              <w:t>征询、被</w:t>
            </w:r>
            <w:r w:rsidRPr="00010966">
              <w:rPr>
                <w:rFonts w:hint="eastAsia"/>
                <w:sz w:val="20"/>
                <w:lang w:eastAsia="zh-CN"/>
              </w:rPr>
              <w:t>纳入《内部控制声明》</w:t>
            </w:r>
            <w:r w:rsidR="001564A4" w:rsidRPr="00010966">
              <w:rPr>
                <w:rFonts w:hint="eastAsia"/>
                <w:sz w:val="20"/>
                <w:lang w:eastAsia="zh-CN"/>
              </w:rPr>
              <w:t>的信息</w:t>
            </w:r>
            <w:r w:rsidRPr="00010966">
              <w:rPr>
                <w:rFonts w:hint="eastAsia"/>
                <w:sz w:val="20"/>
                <w:lang w:eastAsia="zh-CN"/>
              </w:rPr>
              <w:t>，</w:t>
            </w:r>
            <w:r w:rsidR="001564A4" w:rsidRPr="00010966">
              <w:rPr>
                <w:rFonts w:hint="eastAsia"/>
                <w:sz w:val="20"/>
                <w:lang w:eastAsia="zh-CN"/>
              </w:rPr>
              <w:t>《审计客户声明书》</w:t>
            </w:r>
            <w:r w:rsidRPr="00010966">
              <w:rPr>
                <w:rFonts w:hint="eastAsia"/>
                <w:sz w:val="20"/>
                <w:lang w:eastAsia="zh-CN"/>
              </w:rPr>
              <w:t>扩大到包括内部控制自我评估部分（基于</w:t>
            </w:r>
            <w:r w:rsidRPr="00010966">
              <w:rPr>
                <w:rFonts w:hint="eastAsia"/>
                <w:sz w:val="20"/>
                <w:lang w:eastAsia="zh-CN"/>
              </w:rPr>
              <w:t>COSO</w:t>
            </w:r>
            <w:r w:rsidRPr="00010966">
              <w:rPr>
                <w:rFonts w:hint="eastAsia"/>
                <w:sz w:val="20"/>
                <w:lang w:eastAsia="zh-CN"/>
              </w:rPr>
              <w:t>框架）。虽然</w:t>
            </w:r>
            <w:r w:rsidR="001564A4" w:rsidRPr="00010966">
              <w:rPr>
                <w:rFonts w:hint="eastAsia"/>
                <w:sz w:val="20"/>
                <w:lang w:eastAsia="zh-CN"/>
              </w:rPr>
              <w:t>评估</w:t>
            </w:r>
            <w:r w:rsidRPr="00010966">
              <w:rPr>
                <w:rFonts w:hint="eastAsia"/>
                <w:sz w:val="20"/>
                <w:lang w:eastAsia="zh-CN"/>
              </w:rPr>
              <w:t>结果提供了</w:t>
            </w:r>
            <w:r w:rsidR="001564A4" w:rsidRPr="00010966">
              <w:rPr>
                <w:rFonts w:hint="eastAsia"/>
                <w:sz w:val="20"/>
                <w:lang w:eastAsia="zh-CN"/>
              </w:rPr>
              <w:t>重要见解</w:t>
            </w:r>
            <w:r w:rsidRPr="00010966">
              <w:rPr>
                <w:rFonts w:hint="eastAsia"/>
                <w:sz w:val="20"/>
                <w:lang w:eastAsia="zh-CN"/>
              </w:rPr>
              <w:t>，但这项工作未能抓住关键弱点，特别是在权力下放方面。这在一定程度上是由于许多管理人员对自己在内部控制系统中的</w:t>
            </w:r>
            <w:r w:rsidR="004C038B" w:rsidRPr="00010966">
              <w:rPr>
                <w:rFonts w:hint="eastAsia"/>
                <w:sz w:val="20"/>
                <w:lang w:eastAsia="zh-CN"/>
              </w:rPr>
              <w:t>角色</w:t>
            </w:r>
            <w:r w:rsidRPr="00010966">
              <w:rPr>
                <w:rFonts w:hint="eastAsia"/>
                <w:sz w:val="20"/>
                <w:lang w:eastAsia="zh-CN"/>
              </w:rPr>
              <w:t>和职责以及这项工作本身的自我评估部分的理解参差不齐</w:t>
            </w:r>
            <w:r w:rsidR="009C20D5" w:rsidRPr="00010966">
              <w:rPr>
                <w:rFonts w:hint="eastAsia"/>
                <w:sz w:val="20"/>
                <w:lang w:eastAsia="zh-CN"/>
              </w:rPr>
              <w:t>所致</w:t>
            </w:r>
            <w:r w:rsidRPr="00010966">
              <w:rPr>
                <w:rFonts w:hint="eastAsia"/>
                <w:sz w:val="20"/>
                <w:lang w:eastAsia="zh-CN"/>
              </w:rPr>
              <w:t>。这些结果</w:t>
            </w:r>
            <w:r w:rsidR="009C20D5" w:rsidRPr="00010966">
              <w:rPr>
                <w:rFonts w:hint="eastAsia"/>
                <w:sz w:val="20"/>
                <w:lang w:eastAsia="zh-CN"/>
              </w:rPr>
              <w:t>表</w:t>
            </w:r>
            <w:r w:rsidRPr="00010966">
              <w:rPr>
                <w:rFonts w:hint="eastAsia"/>
                <w:sz w:val="20"/>
                <w:lang w:eastAsia="zh-CN"/>
              </w:rPr>
              <w:t>明，</w:t>
            </w:r>
            <w:r w:rsidR="009C20D5" w:rsidRPr="00010966">
              <w:rPr>
                <w:rFonts w:hint="eastAsia"/>
                <w:sz w:val="20"/>
                <w:lang w:eastAsia="zh-CN"/>
              </w:rPr>
              <w:t>有必要与管理层进行更充分的准备性沟通，重点阐明其</w:t>
            </w:r>
            <w:r w:rsidR="004C038B" w:rsidRPr="00010966">
              <w:rPr>
                <w:rFonts w:hint="eastAsia"/>
                <w:sz w:val="20"/>
                <w:lang w:eastAsia="zh-CN"/>
              </w:rPr>
              <w:t>角色</w:t>
            </w:r>
            <w:r w:rsidR="009C20D5" w:rsidRPr="00010966">
              <w:rPr>
                <w:rFonts w:hint="eastAsia"/>
                <w:sz w:val="20"/>
                <w:lang w:eastAsia="zh-CN"/>
              </w:rPr>
              <w:t>和职责，以帮助进一步嵌入我们的问责框架，特别是通过确定薄弱环节和改进方面。对于</w:t>
            </w:r>
            <w:r w:rsidRPr="00010966">
              <w:rPr>
                <w:rFonts w:hint="eastAsia"/>
                <w:sz w:val="20"/>
                <w:lang w:eastAsia="zh-CN"/>
              </w:rPr>
              <w:t>我们正在制定的路线图</w:t>
            </w:r>
            <w:r w:rsidR="009C20D5" w:rsidRPr="00010966">
              <w:rPr>
                <w:rFonts w:hint="eastAsia"/>
                <w:sz w:val="20"/>
                <w:lang w:eastAsia="zh-CN"/>
              </w:rPr>
              <w:t>而言，</w:t>
            </w:r>
            <w:r w:rsidRPr="00010966">
              <w:rPr>
                <w:rFonts w:hint="eastAsia"/>
                <w:sz w:val="20"/>
                <w:lang w:eastAsia="zh-CN"/>
              </w:rPr>
              <w:t>关键是必须努力确保现有的</w:t>
            </w:r>
            <w:r w:rsidRPr="00010966">
              <w:rPr>
                <w:rFonts w:hint="eastAsia"/>
                <w:sz w:val="20"/>
                <w:lang w:eastAsia="zh-CN"/>
              </w:rPr>
              <w:t>SIC</w:t>
            </w:r>
            <w:r w:rsidRPr="00010966">
              <w:rPr>
                <w:rFonts w:hint="eastAsia"/>
                <w:sz w:val="20"/>
                <w:lang w:eastAsia="zh-CN"/>
              </w:rPr>
              <w:t>流程不仅仅是</w:t>
            </w:r>
            <w:r w:rsidR="009C20D5" w:rsidRPr="00010966">
              <w:rPr>
                <w:rFonts w:hint="eastAsia"/>
                <w:sz w:val="20"/>
                <w:lang w:eastAsia="zh-CN"/>
              </w:rPr>
              <w:t>流于形式的</w:t>
            </w:r>
            <w:r w:rsidRPr="00010966">
              <w:rPr>
                <w:rFonts w:hint="eastAsia"/>
                <w:sz w:val="20"/>
                <w:lang w:eastAsia="zh-CN"/>
              </w:rPr>
              <w:t>打勾，而是适当反映全年在</w:t>
            </w:r>
            <w:r w:rsidR="009C20D5" w:rsidRPr="00010966">
              <w:rPr>
                <w:rFonts w:hint="eastAsia"/>
                <w:sz w:val="20"/>
                <w:lang w:eastAsia="zh-CN"/>
              </w:rPr>
              <w:t>确定</w:t>
            </w:r>
            <w:r w:rsidRPr="00010966">
              <w:rPr>
                <w:rFonts w:hint="eastAsia"/>
                <w:sz w:val="20"/>
                <w:lang w:eastAsia="zh-CN"/>
              </w:rPr>
              <w:t>弱点和改善内部控制方面所做的努力。我们还在考虑将风险管理活动纳入另一个现有的</w:t>
            </w:r>
            <w:r w:rsidR="000444CC" w:rsidRPr="00010966">
              <w:rPr>
                <w:rFonts w:hint="eastAsia"/>
                <w:sz w:val="20"/>
                <w:lang w:eastAsia="zh-CN"/>
              </w:rPr>
              <w:t>强制性流</w:t>
            </w:r>
            <w:r w:rsidRPr="00010966">
              <w:rPr>
                <w:rFonts w:hint="eastAsia"/>
                <w:sz w:val="20"/>
                <w:lang w:eastAsia="zh-CN"/>
              </w:rPr>
              <w:t>程，即每年更新滚动式运作规划，而不是单独开展这些活动，这将使我们更接近于实施组织风险管理。此外，监督处目前正在进行一项以问责制框架为重点的审计工作，我们希望这将为我们提供有价值的意见，以进一步嵌入该框架。</w:t>
            </w:r>
          </w:p>
        </w:tc>
        <w:tc>
          <w:tcPr>
            <w:tcW w:w="1041" w:type="pct"/>
            <w:shd w:val="clear" w:color="auto" w:fill="auto"/>
          </w:tcPr>
          <w:p w14:paraId="2B317DE9" w14:textId="6C55BC02" w:rsidR="003D7FF0" w:rsidRPr="00010966" w:rsidRDefault="00D6049E" w:rsidP="00786ECB">
            <w:pPr>
              <w:pStyle w:val="Tabletext"/>
              <w:spacing w:before="60"/>
              <w:rPr>
                <w:sz w:val="20"/>
                <w:lang w:val="en-US" w:eastAsia="zh-CN"/>
              </w:rPr>
            </w:pPr>
            <w:r w:rsidRPr="00010966">
              <w:rPr>
                <w:rFonts w:hint="eastAsia"/>
                <w:sz w:val="20"/>
                <w:lang w:eastAsia="zh-CN"/>
              </w:rPr>
              <w:t>我们注意到管理层的回应，并对今年报告中的</w:t>
            </w:r>
            <w:r w:rsidR="00AB7B4D" w:rsidRPr="00010966">
              <w:rPr>
                <w:rFonts w:hint="eastAsia"/>
                <w:sz w:val="20"/>
                <w:lang w:eastAsia="zh-CN"/>
              </w:rPr>
              <w:t>《</w:t>
            </w:r>
            <w:r w:rsidRPr="00010966">
              <w:rPr>
                <w:rFonts w:hint="eastAsia"/>
                <w:sz w:val="20"/>
                <w:lang w:eastAsia="zh-CN"/>
              </w:rPr>
              <w:t>内部控制声明</w:t>
            </w:r>
            <w:r w:rsidR="00AB7B4D" w:rsidRPr="00010966">
              <w:rPr>
                <w:rFonts w:hint="eastAsia"/>
                <w:sz w:val="20"/>
                <w:lang w:eastAsia="zh-CN"/>
              </w:rPr>
              <w:t>》</w:t>
            </w:r>
            <w:r w:rsidRPr="00010966">
              <w:rPr>
                <w:rFonts w:hint="eastAsia"/>
                <w:sz w:val="20"/>
                <w:lang w:eastAsia="zh-CN"/>
              </w:rPr>
              <w:t>进一步发表了意见。正如回复中强调的，国际电联仍需为全面实施和嵌入问责制框架制定路线图。</w:t>
            </w:r>
          </w:p>
        </w:tc>
        <w:tc>
          <w:tcPr>
            <w:tcW w:w="487" w:type="pct"/>
            <w:shd w:val="clear" w:color="auto" w:fill="auto"/>
          </w:tcPr>
          <w:p w14:paraId="24B82744" w14:textId="7EBCAAB8" w:rsidR="003D7FF0" w:rsidRPr="00010966" w:rsidRDefault="00F520EB" w:rsidP="00786ECB">
            <w:pPr>
              <w:pStyle w:val="Tabletext"/>
              <w:spacing w:before="60"/>
              <w:rPr>
                <w:sz w:val="20"/>
              </w:rPr>
            </w:pPr>
            <w:r w:rsidRPr="00010966">
              <w:rPr>
                <w:rFonts w:hint="eastAsia"/>
                <w:sz w:val="20"/>
                <w:lang w:eastAsia="zh-CN"/>
              </w:rPr>
              <w:t>正在实施。</w:t>
            </w:r>
          </w:p>
        </w:tc>
      </w:tr>
      <w:tr w:rsidR="00D43F01" w:rsidRPr="00010966" w14:paraId="54967708" w14:textId="77777777" w:rsidTr="00E6035E">
        <w:tc>
          <w:tcPr>
            <w:tcW w:w="291" w:type="pct"/>
            <w:shd w:val="clear" w:color="auto" w:fill="auto"/>
          </w:tcPr>
          <w:p w14:paraId="3EB47A4F" w14:textId="2E554520" w:rsidR="003D7FF0" w:rsidRPr="00010966" w:rsidRDefault="003D7FF0" w:rsidP="00D11485">
            <w:pPr>
              <w:pStyle w:val="Tabletext"/>
              <w:keepNext/>
              <w:keepLines/>
              <w:spacing w:before="60"/>
              <w:rPr>
                <w:sz w:val="20"/>
              </w:rPr>
            </w:pPr>
            <w:r w:rsidRPr="00010966">
              <w:rPr>
                <w:sz w:val="20"/>
              </w:rPr>
              <w:lastRenderedPageBreak/>
              <w:t>2022</w:t>
            </w:r>
            <w:proofErr w:type="spellStart"/>
            <w:r w:rsidR="00F520EB" w:rsidRPr="00010966">
              <w:rPr>
                <w:rFonts w:hint="eastAsia"/>
                <w:sz w:val="20"/>
              </w:rPr>
              <w:t>年中期报告</w:t>
            </w:r>
            <w:proofErr w:type="spellEnd"/>
            <w:r w:rsidRPr="00010966">
              <w:rPr>
                <w:sz w:val="20"/>
              </w:rPr>
              <w:t xml:space="preserve"> </w:t>
            </w:r>
            <w:proofErr w:type="spellStart"/>
            <w:r w:rsidRPr="00010966">
              <w:rPr>
                <w:sz w:val="20"/>
              </w:rPr>
              <w:t>R7</w:t>
            </w:r>
            <w:proofErr w:type="spellEnd"/>
          </w:p>
        </w:tc>
        <w:tc>
          <w:tcPr>
            <w:tcW w:w="1441" w:type="pct"/>
            <w:shd w:val="clear" w:color="auto" w:fill="auto"/>
          </w:tcPr>
          <w:p w14:paraId="2CC4FE32" w14:textId="744E1413" w:rsidR="003D7FF0" w:rsidRPr="00010966" w:rsidRDefault="00D43F01" w:rsidP="00D11485">
            <w:pPr>
              <w:pStyle w:val="Tabletext"/>
              <w:keepNext/>
              <w:keepLines/>
              <w:spacing w:before="60"/>
              <w:rPr>
                <w:sz w:val="20"/>
                <w:lang w:eastAsia="zh-CN"/>
              </w:rPr>
            </w:pPr>
            <w:r w:rsidRPr="00010966">
              <w:rPr>
                <w:rFonts w:hint="eastAsia"/>
                <w:sz w:val="20"/>
                <w:lang w:eastAsia="zh-CN"/>
              </w:rPr>
              <w:t>确保任何变革方案都得到方案管理办公室的充分支持，以减轻已确定的变革议程风险，确保该办公室获得适当的资源和正确的技能，以顺利交付变革方案。</w:t>
            </w:r>
          </w:p>
        </w:tc>
        <w:tc>
          <w:tcPr>
            <w:tcW w:w="1741" w:type="pct"/>
            <w:shd w:val="clear" w:color="auto" w:fill="auto"/>
          </w:tcPr>
          <w:p w14:paraId="1C58814F" w14:textId="79925EB5" w:rsidR="003D7FF0" w:rsidRPr="00010966" w:rsidRDefault="00D6049E" w:rsidP="00D11485">
            <w:pPr>
              <w:pStyle w:val="Tabletext"/>
              <w:keepNext/>
              <w:keepLines/>
              <w:spacing w:before="60"/>
              <w:rPr>
                <w:sz w:val="20"/>
                <w:lang w:eastAsia="zh-CN"/>
              </w:rPr>
            </w:pPr>
            <w:r w:rsidRPr="00010966">
              <w:rPr>
                <w:rFonts w:hint="eastAsia"/>
                <w:sz w:val="20"/>
                <w:lang w:eastAsia="zh-CN"/>
              </w:rPr>
              <w:t>自</w:t>
            </w:r>
            <w:r w:rsidRPr="00010966">
              <w:rPr>
                <w:rFonts w:hint="eastAsia"/>
                <w:sz w:val="20"/>
                <w:lang w:eastAsia="zh-CN"/>
              </w:rPr>
              <w:t>2024</w:t>
            </w:r>
            <w:r w:rsidRPr="00010966">
              <w:rPr>
                <w:rFonts w:hint="eastAsia"/>
                <w:sz w:val="20"/>
                <w:lang w:eastAsia="zh-CN"/>
              </w:rPr>
              <w:t>年</w:t>
            </w:r>
            <w:r w:rsidRPr="00010966">
              <w:rPr>
                <w:rFonts w:hint="eastAsia"/>
                <w:sz w:val="20"/>
                <w:lang w:eastAsia="zh-CN"/>
              </w:rPr>
              <w:t>11</w:t>
            </w:r>
            <w:r w:rsidRPr="00010966">
              <w:rPr>
                <w:rFonts w:hint="eastAsia"/>
                <w:sz w:val="20"/>
                <w:lang w:eastAsia="zh-CN"/>
              </w:rPr>
              <w:t>月以来，转型团队负责人在标准项目组合管理（</w:t>
            </w:r>
            <w:r w:rsidRPr="00010966">
              <w:rPr>
                <w:rFonts w:hint="eastAsia"/>
                <w:sz w:val="20"/>
                <w:lang w:eastAsia="zh-CN"/>
              </w:rPr>
              <w:t>PPM</w:t>
            </w:r>
            <w:r w:rsidRPr="00010966">
              <w:rPr>
                <w:rFonts w:hint="eastAsia"/>
                <w:sz w:val="20"/>
                <w:lang w:eastAsia="zh-CN"/>
              </w:rPr>
              <w:t>）框架的指导下，启动成立转型项目组合和转型项目组合办公室。为了加强这项工作，自</w:t>
            </w:r>
            <w:r w:rsidRPr="00010966">
              <w:rPr>
                <w:rFonts w:hint="eastAsia"/>
                <w:sz w:val="20"/>
                <w:lang w:eastAsia="zh-CN"/>
              </w:rPr>
              <w:t>2025</w:t>
            </w:r>
            <w:r w:rsidRPr="00010966">
              <w:rPr>
                <w:rFonts w:hint="eastAsia"/>
                <w:sz w:val="20"/>
                <w:lang w:eastAsia="zh-CN"/>
              </w:rPr>
              <w:t>年</w:t>
            </w:r>
            <w:r w:rsidRPr="00010966">
              <w:rPr>
                <w:rFonts w:hint="eastAsia"/>
                <w:sz w:val="20"/>
                <w:lang w:eastAsia="zh-CN"/>
              </w:rPr>
              <w:t>4</w:t>
            </w:r>
            <w:r w:rsidRPr="00010966">
              <w:rPr>
                <w:rFonts w:hint="eastAsia"/>
                <w:sz w:val="20"/>
                <w:lang w:eastAsia="zh-CN"/>
              </w:rPr>
              <w:t>月</w:t>
            </w:r>
            <w:r w:rsidRPr="00010966">
              <w:rPr>
                <w:rFonts w:hint="eastAsia"/>
                <w:sz w:val="20"/>
                <w:lang w:eastAsia="zh-CN"/>
              </w:rPr>
              <w:t>1</w:t>
            </w:r>
            <w:r w:rsidRPr="00010966">
              <w:rPr>
                <w:rFonts w:hint="eastAsia"/>
                <w:sz w:val="20"/>
                <w:lang w:eastAsia="zh-CN"/>
              </w:rPr>
              <w:t>日起，一名</w:t>
            </w:r>
            <w:r w:rsidRPr="00010966">
              <w:rPr>
                <w:rFonts w:hint="eastAsia"/>
                <w:sz w:val="20"/>
                <w:lang w:eastAsia="zh-CN"/>
              </w:rPr>
              <w:t>P4</w:t>
            </w:r>
            <w:r w:rsidRPr="00010966">
              <w:rPr>
                <w:rFonts w:hint="eastAsia"/>
                <w:sz w:val="20"/>
                <w:lang w:eastAsia="zh-CN"/>
              </w:rPr>
              <w:t>级转型项目经理加入了该团队，支持负责人开发框架、流程和工具，并</w:t>
            </w:r>
            <w:r w:rsidR="000444CC" w:rsidRPr="00010966">
              <w:rPr>
                <w:rFonts w:hint="eastAsia"/>
                <w:sz w:val="20"/>
                <w:lang w:eastAsia="zh-CN"/>
              </w:rPr>
              <w:t>协助召开</w:t>
            </w:r>
            <w:r w:rsidRPr="00010966">
              <w:rPr>
                <w:rFonts w:hint="eastAsia"/>
                <w:sz w:val="20"/>
                <w:lang w:eastAsia="zh-CN"/>
              </w:rPr>
              <w:t>转型项目经理小组定期会议和更新转型项目组合状态</w:t>
            </w:r>
            <w:r w:rsidR="000444CC" w:rsidRPr="00010966">
              <w:rPr>
                <w:rFonts w:hint="eastAsia"/>
                <w:sz w:val="20"/>
                <w:lang w:eastAsia="zh-CN"/>
              </w:rPr>
              <w:t>与信息概览</w:t>
            </w:r>
            <w:r w:rsidRPr="00010966">
              <w:rPr>
                <w:rFonts w:hint="eastAsia"/>
                <w:sz w:val="20"/>
                <w:lang w:eastAsia="zh-CN"/>
              </w:rPr>
              <w:t>。转型项目组合信息概览的最初版本于</w:t>
            </w:r>
            <w:r w:rsidRPr="00010966">
              <w:rPr>
                <w:rFonts w:hint="eastAsia"/>
                <w:sz w:val="20"/>
                <w:lang w:eastAsia="zh-CN"/>
              </w:rPr>
              <w:t>2025</w:t>
            </w:r>
            <w:r w:rsidRPr="00010966">
              <w:rPr>
                <w:rFonts w:hint="eastAsia"/>
                <w:sz w:val="20"/>
                <w:lang w:eastAsia="zh-CN"/>
              </w:rPr>
              <w:t>年</w:t>
            </w:r>
            <w:r w:rsidRPr="00010966">
              <w:rPr>
                <w:rFonts w:hint="eastAsia"/>
                <w:sz w:val="20"/>
                <w:lang w:eastAsia="zh-CN"/>
              </w:rPr>
              <w:t>2</w:t>
            </w:r>
            <w:r w:rsidRPr="00010966">
              <w:rPr>
                <w:rFonts w:hint="eastAsia"/>
                <w:sz w:val="20"/>
                <w:lang w:eastAsia="zh-CN"/>
              </w:rPr>
              <w:t>月首次提供给</w:t>
            </w:r>
            <w:r w:rsidRPr="00010966">
              <w:rPr>
                <w:rFonts w:hint="eastAsia"/>
                <w:sz w:val="20"/>
                <w:lang w:eastAsia="zh-CN"/>
              </w:rPr>
              <w:t>CWG</w:t>
            </w:r>
            <w:r w:rsidRPr="00010966">
              <w:rPr>
                <w:rFonts w:hint="eastAsia"/>
                <w:sz w:val="20"/>
                <w:lang w:eastAsia="zh-CN"/>
              </w:rPr>
              <w:t>。</w:t>
            </w:r>
          </w:p>
          <w:p w14:paraId="0A656F92" w14:textId="7B34D41F" w:rsidR="003D7FF0" w:rsidRPr="00010966" w:rsidRDefault="00D6049E" w:rsidP="00D11485">
            <w:pPr>
              <w:pStyle w:val="Tabletext"/>
              <w:keepNext/>
              <w:keepLines/>
              <w:spacing w:before="60"/>
              <w:rPr>
                <w:sz w:val="20"/>
                <w:lang w:eastAsia="zh-CN"/>
              </w:rPr>
            </w:pPr>
            <w:r w:rsidRPr="00010966">
              <w:rPr>
                <w:rFonts w:hint="eastAsia"/>
                <w:sz w:val="20"/>
                <w:lang w:eastAsia="zh-CN"/>
              </w:rPr>
              <w:t>转型团队还与</w:t>
            </w:r>
            <w:r w:rsidRPr="00010966">
              <w:rPr>
                <w:rFonts w:hint="eastAsia"/>
                <w:sz w:val="20"/>
                <w:lang w:eastAsia="zh-CN"/>
              </w:rPr>
              <w:t>HRMD</w:t>
            </w:r>
            <w:r w:rsidRPr="00010966">
              <w:rPr>
                <w:rFonts w:hint="eastAsia"/>
                <w:sz w:val="20"/>
                <w:lang w:eastAsia="zh-CN"/>
              </w:rPr>
              <w:t>合作，安排了关于</w:t>
            </w:r>
            <w:r w:rsidRPr="00010966">
              <w:rPr>
                <w:rFonts w:hint="eastAsia"/>
                <w:sz w:val="20"/>
                <w:lang w:eastAsia="zh-CN"/>
              </w:rPr>
              <w:t>PRINCE2</w:t>
            </w:r>
            <w:r w:rsidRPr="00010966">
              <w:rPr>
                <w:rFonts w:hint="eastAsia"/>
                <w:sz w:val="20"/>
                <w:lang w:eastAsia="zh-CN"/>
              </w:rPr>
              <w:t>敏捷项目管理方法的培训。该培训针对</w:t>
            </w:r>
            <w:r w:rsidR="001D7E35" w:rsidRPr="00010966">
              <w:rPr>
                <w:rFonts w:hint="eastAsia"/>
                <w:sz w:val="20"/>
                <w:lang w:eastAsia="zh-CN"/>
              </w:rPr>
              <w:t>的是</w:t>
            </w:r>
            <w:r w:rsidRPr="00010966">
              <w:rPr>
                <w:rFonts w:hint="eastAsia"/>
                <w:sz w:val="20"/>
                <w:lang w:eastAsia="zh-CN"/>
              </w:rPr>
              <w:t>转型项目经理和其他相关</w:t>
            </w:r>
            <w:r w:rsidR="001D7E35" w:rsidRPr="00010966">
              <w:rPr>
                <w:rFonts w:hint="eastAsia"/>
                <w:sz w:val="20"/>
                <w:lang w:eastAsia="zh-CN"/>
              </w:rPr>
              <w:t>职员</w:t>
            </w:r>
            <w:r w:rsidRPr="00010966">
              <w:rPr>
                <w:rFonts w:hint="eastAsia"/>
                <w:sz w:val="20"/>
                <w:lang w:eastAsia="zh-CN"/>
              </w:rPr>
              <w:t>，</w:t>
            </w:r>
            <w:r w:rsidR="001D7E35" w:rsidRPr="00010966">
              <w:rPr>
                <w:rFonts w:hint="eastAsia"/>
                <w:sz w:val="20"/>
                <w:lang w:eastAsia="zh-CN"/>
              </w:rPr>
              <w:t>在此之前需先</w:t>
            </w:r>
            <w:r w:rsidRPr="00010966">
              <w:rPr>
                <w:rFonts w:hint="eastAsia"/>
                <w:sz w:val="20"/>
                <w:lang w:eastAsia="zh-CN"/>
              </w:rPr>
              <w:t>对国际电联目前使用的各种项目管理方法进行内部评估。</w:t>
            </w:r>
          </w:p>
          <w:p w14:paraId="7075EC88" w14:textId="6FDE35EE" w:rsidR="003D7FF0" w:rsidRPr="00010966" w:rsidRDefault="00D6049E" w:rsidP="00D11485">
            <w:pPr>
              <w:pStyle w:val="Tabletext"/>
              <w:keepNext/>
              <w:keepLines/>
              <w:spacing w:before="60"/>
              <w:rPr>
                <w:sz w:val="20"/>
                <w:lang w:eastAsia="zh-CN"/>
              </w:rPr>
            </w:pPr>
            <w:r w:rsidRPr="00010966">
              <w:rPr>
                <w:rFonts w:hint="eastAsia"/>
                <w:sz w:val="20"/>
                <w:lang w:eastAsia="zh-CN"/>
              </w:rPr>
              <w:t>此外，根据对可用工具的审查，转型团队正在标准化</w:t>
            </w:r>
            <w:r w:rsidRPr="00010966">
              <w:rPr>
                <w:rFonts w:hint="eastAsia"/>
                <w:sz w:val="20"/>
                <w:lang w:eastAsia="zh-CN"/>
              </w:rPr>
              <w:t>Microsoft Planner</w:t>
            </w:r>
            <w:r w:rsidRPr="00010966">
              <w:rPr>
                <w:rFonts w:hint="eastAsia"/>
                <w:sz w:val="20"/>
                <w:lang w:eastAsia="zh-CN"/>
              </w:rPr>
              <w:t>、</w:t>
            </w:r>
            <w:r w:rsidRPr="00010966">
              <w:rPr>
                <w:rFonts w:hint="eastAsia"/>
                <w:sz w:val="20"/>
                <w:lang w:eastAsia="zh-CN"/>
              </w:rPr>
              <w:t>Microsoft Project</w:t>
            </w:r>
            <w:r w:rsidRPr="00010966">
              <w:rPr>
                <w:rFonts w:hint="eastAsia"/>
                <w:sz w:val="20"/>
                <w:lang w:eastAsia="zh-CN"/>
              </w:rPr>
              <w:t>和</w:t>
            </w:r>
            <w:r w:rsidRPr="00010966">
              <w:rPr>
                <w:rFonts w:hint="eastAsia"/>
                <w:sz w:val="20"/>
                <w:lang w:eastAsia="zh-CN"/>
              </w:rPr>
              <w:t>Microsoft Teams</w:t>
            </w:r>
            <w:r w:rsidRPr="00010966">
              <w:rPr>
                <w:rFonts w:hint="eastAsia"/>
                <w:sz w:val="20"/>
                <w:lang w:eastAsia="zh-CN"/>
              </w:rPr>
              <w:t>的使用，</w:t>
            </w:r>
            <w:r w:rsidR="00455544" w:rsidRPr="00010966">
              <w:rPr>
                <w:rFonts w:hint="eastAsia"/>
                <w:sz w:val="20"/>
                <w:lang w:eastAsia="zh-CN"/>
              </w:rPr>
              <w:t>将它们</w:t>
            </w:r>
            <w:r w:rsidRPr="00010966">
              <w:rPr>
                <w:rFonts w:hint="eastAsia"/>
                <w:sz w:val="20"/>
                <w:lang w:eastAsia="zh-CN"/>
              </w:rPr>
              <w:t>作为</w:t>
            </w:r>
            <w:r w:rsidR="00455544" w:rsidRPr="00010966">
              <w:rPr>
                <w:rFonts w:hint="eastAsia"/>
                <w:sz w:val="20"/>
                <w:lang w:eastAsia="zh-CN"/>
              </w:rPr>
              <w:t>实现</w:t>
            </w:r>
            <w:r w:rsidRPr="00010966">
              <w:rPr>
                <w:rFonts w:hint="eastAsia"/>
                <w:sz w:val="20"/>
                <w:lang w:eastAsia="zh-CN"/>
              </w:rPr>
              <w:t>项目组合管理和协作的官方平台</w:t>
            </w:r>
            <w:r w:rsidR="00D11485" w:rsidRPr="00010966">
              <w:rPr>
                <w:rFonts w:hint="eastAsia"/>
                <w:sz w:val="20"/>
                <w:lang w:eastAsia="zh-CN"/>
              </w:rPr>
              <w:t>。</w:t>
            </w:r>
          </w:p>
          <w:p w14:paraId="77001BF5" w14:textId="45720288" w:rsidR="003D7FF0" w:rsidRPr="00010966" w:rsidRDefault="00D6049E" w:rsidP="00D11485">
            <w:pPr>
              <w:pStyle w:val="Tabletext"/>
              <w:keepNext/>
              <w:keepLines/>
              <w:spacing w:before="60"/>
              <w:rPr>
                <w:sz w:val="20"/>
                <w:lang w:eastAsia="zh-CN"/>
              </w:rPr>
            </w:pPr>
            <w:r w:rsidRPr="00010966">
              <w:rPr>
                <w:rFonts w:hint="eastAsia"/>
                <w:sz w:val="20"/>
                <w:lang w:eastAsia="zh-CN"/>
              </w:rPr>
              <w:t>转型项目组合日趋成熟，</w:t>
            </w:r>
          </w:p>
        </w:tc>
        <w:tc>
          <w:tcPr>
            <w:tcW w:w="1041" w:type="pct"/>
            <w:shd w:val="clear" w:color="auto" w:fill="auto"/>
          </w:tcPr>
          <w:p w14:paraId="5A3D7E43" w14:textId="4782C42E" w:rsidR="003D7FF0" w:rsidRPr="00010966" w:rsidRDefault="00D6049E" w:rsidP="00D11485">
            <w:pPr>
              <w:pStyle w:val="Tabletext"/>
              <w:keepNext/>
              <w:keepLines/>
              <w:spacing w:before="60"/>
              <w:rPr>
                <w:sz w:val="20"/>
                <w:lang w:eastAsia="zh-CN"/>
              </w:rPr>
            </w:pPr>
            <w:r w:rsidRPr="00010966">
              <w:rPr>
                <w:rFonts w:hint="eastAsia"/>
                <w:sz w:val="20"/>
                <w:lang w:eastAsia="zh-CN"/>
              </w:rPr>
              <w:t>我们注意到管理层的</w:t>
            </w:r>
            <w:r w:rsidR="000444CC" w:rsidRPr="00010966">
              <w:rPr>
                <w:rFonts w:hint="eastAsia"/>
                <w:sz w:val="20"/>
                <w:lang w:eastAsia="zh-CN"/>
              </w:rPr>
              <w:t>回应</w:t>
            </w:r>
            <w:r w:rsidRPr="00010966">
              <w:rPr>
                <w:rFonts w:hint="eastAsia"/>
                <w:sz w:val="20"/>
                <w:lang w:eastAsia="zh-CN"/>
              </w:rPr>
              <w:t>，并已做出项目管理安排。国际电联的转型尚处于初期阶段，我们在今年的报告中对相关安排作了进一步评论。这些安排的运作有效性将在明年的报告中进一步审议。</w:t>
            </w:r>
          </w:p>
        </w:tc>
        <w:tc>
          <w:tcPr>
            <w:tcW w:w="487" w:type="pct"/>
            <w:shd w:val="clear" w:color="auto" w:fill="auto"/>
          </w:tcPr>
          <w:p w14:paraId="0421BEB7" w14:textId="7049C43D" w:rsidR="003D7FF0" w:rsidRPr="00010966" w:rsidRDefault="00F520EB" w:rsidP="00786ECB">
            <w:pPr>
              <w:pStyle w:val="Tabletext"/>
              <w:spacing w:before="60"/>
              <w:rPr>
                <w:sz w:val="20"/>
              </w:rPr>
            </w:pPr>
            <w:r w:rsidRPr="00010966">
              <w:rPr>
                <w:rFonts w:hint="eastAsia"/>
                <w:sz w:val="20"/>
                <w:lang w:eastAsia="zh-CN"/>
              </w:rPr>
              <w:t>已实施。</w:t>
            </w:r>
          </w:p>
          <w:p w14:paraId="1D9E14F3" w14:textId="76AE4A5B" w:rsidR="003D7FF0" w:rsidRPr="00010966" w:rsidRDefault="00A62A5A" w:rsidP="00786ECB">
            <w:pPr>
              <w:pStyle w:val="Tabletext"/>
              <w:spacing w:before="60"/>
              <w:rPr>
                <w:sz w:val="20"/>
              </w:rPr>
            </w:pPr>
            <w:r>
              <w:rPr>
                <w:rFonts w:hint="eastAsia"/>
                <w:sz w:val="20"/>
                <w:lang w:eastAsia="zh-CN"/>
              </w:rPr>
              <w:t>已关闭。</w:t>
            </w:r>
          </w:p>
        </w:tc>
      </w:tr>
      <w:tr w:rsidR="00D43F01" w:rsidRPr="00010966" w14:paraId="41549766" w14:textId="77777777" w:rsidTr="00E6035E">
        <w:tc>
          <w:tcPr>
            <w:tcW w:w="291" w:type="pct"/>
            <w:shd w:val="clear" w:color="auto" w:fill="auto"/>
          </w:tcPr>
          <w:p w14:paraId="2B61560F" w14:textId="2290B282" w:rsidR="003D7FF0" w:rsidRPr="00010966" w:rsidRDefault="003D7FF0" w:rsidP="00786ECB">
            <w:pPr>
              <w:pStyle w:val="Tabletext"/>
              <w:spacing w:before="60"/>
              <w:rPr>
                <w:sz w:val="20"/>
              </w:rPr>
            </w:pPr>
            <w:r w:rsidRPr="00010966">
              <w:rPr>
                <w:sz w:val="20"/>
              </w:rPr>
              <w:t>2022</w:t>
            </w:r>
            <w:bookmarkStart w:id="62" w:name="OLE_LINK8"/>
            <w:proofErr w:type="spellStart"/>
            <w:r w:rsidR="00F520EB" w:rsidRPr="00010966">
              <w:rPr>
                <w:rFonts w:hint="eastAsia"/>
                <w:sz w:val="20"/>
              </w:rPr>
              <w:t>年中期报告</w:t>
            </w:r>
            <w:bookmarkEnd w:id="62"/>
            <w:proofErr w:type="spellEnd"/>
            <w:r w:rsidRPr="00010966">
              <w:rPr>
                <w:sz w:val="20"/>
              </w:rPr>
              <w:t xml:space="preserve"> </w:t>
            </w:r>
            <w:proofErr w:type="spellStart"/>
            <w:r w:rsidRPr="00010966">
              <w:rPr>
                <w:sz w:val="20"/>
              </w:rPr>
              <w:t>R8</w:t>
            </w:r>
            <w:proofErr w:type="spellEnd"/>
          </w:p>
        </w:tc>
        <w:tc>
          <w:tcPr>
            <w:tcW w:w="1441" w:type="pct"/>
            <w:shd w:val="clear" w:color="auto" w:fill="auto"/>
          </w:tcPr>
          <w:p w14:paraId="502F435B" w14:textId="71108AD6" w:rsidR="003D7FF0" w:rsidRPr="00010966" w:rsidRDefault="00D43F01" w:rsidP="00786ECB">
            <w:pPr>
              <w:pStyle w:val="Tabletext"/>
              <w:spacing w:before="60"/>
              <w:rPr>
                <w:sz w:val="20"/>
                <w:lang w:eastAsia="zh-CN"/>
              </w:rPr>
            </w:pPr>
            <w:r w:rsidRPr="00010966">
              <w:rPr>
                <w:rFonts w:hint="eastAsia"/>
                <w:sz w:val="20"/>
                <w:lang w:eastAsia="zh-CN"/>
              </w:rPr>
              <w:t>审查治理和保证安排，并定期确认项目是否得到适当管理、资源配备和执行，从而确保查明和减轻重要资本项目的风险。</w:t>
            </w:r>
          </w:p>
        </w:tc>
        <w:tc>
          <w:tcPr>
            <w:tcW w:w="1741" w:type="pct"/>
            <w:shd w:val="clear" w:color="auto" w:fill="auto"/>
          </w:tcPr>
          <w:p w14:paraId="4037E5F5" w14:textId="6CBC43B0" w:rsidR="003D7FF0" w:rsidRPr="00010966" w:rsidRDefault="0087465A" w:rsidP="00786ECB">
            <w:pPr>
              <w:pStyle w:val="Tabletext"/>
              <w:spacing w:before="60"/>
              <w:rPr>
                <w:sz w:val="20"/>
                <w:lang w:eastAsia="zh-CN"/>
              </w:rPr>
            </w:pPr>
            <w:r w:rsidRPr="00010966">
              <w:rPr>
                <w:rFonts w:hint="eastAsia"/>
                <w:sz w:val="20"/>
                <w:lang w:eastAsia="zh-CN"/>
              </w:rPr>
              <w:t>随着</w:t>
            </w:r>
            <w:proofErr w:type="spellStart"/>
            <w:r w:rsidRPr="00010966">
              <w:rPr>
                <w:rFonts w:cs="Calibri"/>
                <w:sz w:val="20"/>
                <w:lang w:eastAsia="zh-CN"/>
              </w:rPr>
              <w:t>Varembé</w:t>
            </w:r>
            <w:proofErr w:type="spellEnd"/>
            <w:r w:rsidRPr="00010966">
              <w:rPr>
                <w:rFonts w:hint="eastAsia"/>
                <w:sz w:val="20"/>
                <w:lang w:eastAsia="zh-CN"/>
              </w:rPr>
              <w:t>办公楼项目</w:t>
            </w:r>
            <w:r w:rsidR="00DF517E" w:rsidRPr="00010966">
              <w:rPr>
                <w:rFonts w:hint="eastAsia"/>
                <w:sz w:val="20"/>
                <w:lang w:eastAsia="zh-CN"/>
              </w:rPr>
              <w:t>有了</w:t>
            </w:r>
            <w:r w:rsidRPr="00010966">
              <w:rPr>
                <w:rFonts w:hint="eastAsia"/>
                <w:sz w:val="20"/>
                <w:lang w:eastAsia="zh-CN"/>
              </w:rPr>
              <w:t>新设计</w:t>
            </w:r>
            <w:r w:rsidR="00DF517E" w:rsidRPr="00010966">
              <w:rPr>
                <w:rFonts w:hint="eastAsia"/>
                <w:sz w:val="20"/>
                <w:lang w:eastAsia="zh-CN"/>
              </w:rPr>
              <w:t>方案</w:t>
            </w:r>
            <w:r w:rsidRPr="00010966">
              <w:rPr>
                <w:rFonts w:hint="eastAsia"/>
                <w:sz w:val="20"/>
                <w:lang w:eastAsia="zh-CN"/>
              </w:rPr>
              <w:t>，项目</w:t>
            </w:r>
            <w:r w:rsidR="0001675D" w:rsidRPr="00010966">
              <w:rPr>
                <w:rFonts w:hint="eastAsia"/>
                <w:sz w:val="20"/>
                <w:lang w:eastAsia="zh-CN"/>
              </w:rPr>
              <w:t>管</w:t>
            </w:r>
            <w:r w:rsidRPr="00010966">
              <w:rPr>
                <w:rFonts w:hint="eastAsia"/>
                <w:sz w:val="20"/>
                <w:lang w:eastAsia="zh-CN"/>
              </w:rPr>
              <w:t>理框架得到了更新，目前正由国际电联管理层审查和批准。该框架概述了办公楼项目的</w:t>
            </w:r>
            <w:r w:rsidR="0001675D" w:rsidRPr="00010966">
              <w:rPr>
                <w:rFonts w:hint="eastAsia"/>
                <w:sz w:val="20"/>
                <w:lang w:eastAsia="zh-CN"/>
              </w:rPr>
              <w:t>管</w:t>
            </w:r>
            <w:r w:rsidRPr="00010966">
              <w:rPr>
                <w:rFonts w:hint="eastAsia"/>
                <w:sz w:val="20"/>
                <w:lang w:eastAsia="zh-CN"/>
              </w:rPr>
              <w:t>理和保障安排，旨在简化决策</w:t>
            </w:r>
            <w:r w:rsidR="00D768BB" w:rsidRPr="00010966">
              <w:rPr>
                <w:rFonts w:hint="eastAsia"/>
                <w:sz w:val="20"/>
                <w:lang w:eastAsia="zh-CN"/>
              </w:rPr>
              <w:t>流程</w:t>
            </w:r>
            <w:r w:rsidRPr="00010966">
              <w:rPr>
                <w:rFonts w:hint="eastAsia"/>
                <w:sz w:val="20"/>
                <w:lang w:eastAsia="zh-CN"/>
              </w:rPr>
              <w:t>，同时确保战略一致性、利用资源</w:t>
            </w:r>
            <w:r w:rsidR="00D768BB" w:rsidRPr="00010966">
              <w:rPr>
                <w:rFonts w:hint="eastAsia"/>
                <w:sz w:val="20"/>
                <w:lang w:eastAsia="zh-CN"/>
              </w:rPr>
              <w:t>有效性</w:t>
            </w:r>
            <w:r w:rsidRPr="00010966">
              <w:rPr>
                <w:rFonts w:hint="eastAsia"/>
                <w:sz w:val="20"/>
                <w:lang w:eastAsia="zh-CN"/>
              </w:rPr>
              <w:t>和</w:t>
            </w:r>
            <w:r w:rsidR="00D768BB" w:rsidRPr="00010966">
              <w:rPr>
                <w:rFonts w:hint="eastAsia"/>
                <w:sz w:val="20"/>
                <w:lang w:eastAsia="zh-CN"/>
              </w:rPr>
              <w:t>稳健</w:t>
            </w:r>
            <w:r w:rsidRPr="00010966">
              <w:rPr>
                <w:rFonts w:hint="eastAsia"/>
                <w:sz w:val="20"/>
                <w:lang w:eastAsia="zh-CN"/>
              </w:rPr>
              <w:t>的风险管理。新办公楼项目的专用风险登记册由办公楼项目和设施管理处负责维护，并得到了一家外部项目管理公司的支持。</w:t>
            </w:r>
            <w:r w:rsidR="00D768BB" w:rsidRPr="00010966">
              <w:rPr>
                <w:rFonts w:hint="eastAsia"/>
                <w:sz w:val="20"/>
                <w:lang w:eastAsia="zh-CN"/>
              </w:rPr>
              <w:t>该公司</w:t>
            </w:r>
            <w:r w:rsidR="005B12C9" w:rsidRPr="00010966">
              <w:rPr>
                <w:rFonts w:hint="eastAsia"/>
                <w:sz w:val="20"/>
                <w:lang w:eastAsia="zh-CN"/>
              </w:rPr>
              <w:t>受聘负责总结过往经验教训，研究同类项目和风险管理支持的最佳做法。</w:t>
            </w:r>
            <w:r w:rsidRPr="00010966">
              <w:rPr>
                <w:rFonts w:hint="eastAsia"/>
                <w:sz w:val="20"/>
                <w:lang w:eastAsia="zh-CN"/>
              </w:rPr>
              <w:t>成员国顾问组（</w:t>
            </w:r>
            <w:r w:rsidRPr="00010966">
              <w:rPr>
                <w:rFonts w:hint="eastAsia"/>
                <w:sz w:val="20"/>
                <w:lang w:eastAsia="zh-CN"/>
              </w:rPr>
              <w:t>MSAG</w:t>
            </w:r>
            <w:r w:rsidRPr="00010966">
              <w:rPr>
                <w:rFonts w:hint="eastAsia"/>
                <w:sz w:val="20"/>
                <w:lang w:eastAsia="zh-CN"/>
              </w:rPr>
              <w:t>）负责监督项目，</w:t>
            </w:r>
            <w:r w:rsidR="0001675D" w:rsidRPr="00010966">
              <w:rPr>
                <w:rFonts w:hint="eastAsia"/>
                <w:sz w:val="20"/>
                <w:lang w:eastAsia="zh-CN"/>
              </w:rPr>
              <w:t>其中</w:t>
            </w:r>
            <w:r w:rsidRPr="00010966">
              <w:rPr>
                <w:rFonts w:hint="eastAsia"/>
                <w:sz w:val="20"/>
                <w:lang w:eastAsia="zh-CN"/>
              </w:rPr>
              <w:t>还包括德国政府提供的一名技术专家，财务报告定期与东道国分享，东道国</w:t>
            </w:r>
            <w:r w:rsidR="0001675D" w:rsidRPr="00010966">
              <w:rPr>
                <w:rFonts w:hint="eastAsia"/>
                <w:sz w:val="20"/>
                <w:lang w:eastAsia="zh-CN"/>
              </w:rPr>
              <w:t>亦</w:t>
            </w:r>
            <w:r w:rsidRPr="00010966">
              <w:rPr>
                <w:rFonts w:hint="eastAsia"/>
                <w:sz w:val="20"/>
                <w:lang w:eastAsia="zh-CN"/>
              </w:rPr>
              <w:t>就项目实施提供外部审查和建议。最后，亦由指导委员会提供</w:t>
            </w:r>
            <w:r w:rsidR="00DF517E" w:rsidRPr="00010966">
              <w:rPr>
                <w:rFonts w:hint="eastAsia"/>
                <w:sz w:val="20"/>
                <w:lang w:eastAsia="zh-CN"/>
              </w:rPr>
              <w:t>项目管理</w:t>
            </w:r>
            <w:r w:rsidRPr="00010966">
              <w:rPr>
                <w:rFonts w:hint="eastAsia"/>
                <w:sz w:val="20"/>
                <w:lang w:eastAsia="zh-CN"/>
              </w:rPr>
              <w:t>。</w:t>
            </w:r>
          </w:p>
          <w:p w14:paraId="3B7DB10F" w14:textId="3AC7F135" w:rsidR="003D7FF0" w:rsidRPr="00010966" w:rsidRDefault="0087465A" w:rsidP="00786ECB">
            <w:pPr>
              <w:pStyle w:val="Tabletext"/>
              <w:spacing w:before="60"/>
              <w:rPr>
                <w:sz w:val="20"/>
                <w:lang w:eastAsia="zh-CN"/>
              </w:rPr>
            </w:pPr>
            <w:r w:rsidRPr="00010966">
              <w:rPr>
                <w:rFonts w:hint="eastAsia"/>
                <w:sz w:val="20"/>
                <w:lang w:eastAsia="zh-CN"/>
              </w:rPr>
              <w:lastRenderedPageBreak/>
              <w:t>项目</w:t>
            </w:r>
            <w:r w:rsidR="0001675D" w:rsidRPr="00010966">
              <w:rPr>
                <w:rFonts w:hint="eastAsia"/>
                <w:sz w:val="20"/>
                <w:lang w:eastAsia="zh-CN"/>
              </w:rPr>
              <w:t>管理</w:t>
            </w:r>
            <w:r w:rsidRPr="00010966">
              <w:rPr>
                <w:rFonts w:hint="eastAsia"/>
                <w:sz w:val="20"/>
                <w:lang w:eastAsia="zh-CN"/>
              </w:rPr>
              <w:t>框架</w:t>
            </w:r>
            <w:r w:rsidR="0001675D" w:rsidRPr="00010966">
              <w:rPr>
                <w:rFonts w:hint="eastAsia"/>
                <w:sz w:val="20"/>
                <w:lang w:eastAsia="zh-CN"/>
              </w:rPr>
              <w:t>已修订</w:t>
            </w:r>
            <w:r w:rsidRPr="00010966">
              <w:rPr>
                <w:rFonts w:hint="eastAsia"/>
                <w:sz w:val="20"/>
                <w:lang w:eastAsia="zh-CN"/>
              </w:rPr>
              <w:t>，一旦收到</w:t>
            </w:r>
            <w:r w:rsidRPr="00010966">
              <w:rPr>
                <w:rFonts w:hint="eastAsia"/>
                <w:sz w:val="20"/>
                <w:lang w:eastAsia="zh-CN"/>
              </w:rPr>
              <w:t>IMAC</w:t>
            </w:r>
            <w:r w:rsidRPr="00010966">
              <w:rPr>
                <w:rFonts w:hint="eastAsia"/>
                <w:sz w:val="20"/>
                <w:lang w:eastAsia="zh-CN"/>
              </w:rPr>
              <w:t>和外部审计的反馈，</w:t>
            </w:r>
            <w:proofErr w:type="spellStart"/>
            <w:r w:rsidRPr="00010966">
              <w:rPr>
                <w:rFonts w:hint="eastAsia"/>
                <w:sz w:val="20"/>
                <w:lang w:eastAsia="zh-CN"/>
              </w:rPr>
              <w:t>CoCo</w:t>
            </w:r>
            <w:proofErr w:type="spellEnd"/>
            <w:r w:rsidRPr="00010966">
              <w:rPr>
                <w:rFonts w:hint="eastAsia"/>
                <w:sz w:val="20"/>
                <w:lang w:eastAsia="zh-CN"/>
              </w:rPr>
              <w:t>将予以通过（</w:t>
            </w:r>
            <w:r w:rsidRPr="00010966">
              <w:rPr>
                <w:rFonts w:hint="eastAsia"/>
                <w:sz w:val="20"/>
                <w:lang w:eastAsia="zh-CN"/>
              </w:rPr>
              <w:t>MSAG</w:t>
            </w:r>
            <w:r w:rsidRPr="00010966">
              <w:rPr>
                <w:rFonts w:hint="eastAsia"/>
                <w:sz w:val="20"/>
                <w:lang w:eastAsia="zh-CN"/>
              </w:rPr>
              <w:t>已经审查了新的</w:t>
            </w:r>
            <w:r w:rsidR="0001675D" w:rsidRPr="00010966">
              <w:rPr>
                <w:rFonts w:hint="eastAsia"/>
                <w:sz w:val="20"/>
                <w:lang w:eastAsia="zh-CN"/>
              </w:rPr>
              <w:t>管理</w:t>
            </w:r>
            <w:r w:rsidRPr="00010966">
              <w:rPr>
                <w:rFonts w:hint="eastAsia"/>
                <w:sz w:val="20"/>
                <w:lang w:eastAsia="zh-CN"/>
              </w:rPr>
              <w:t>框架）。</w:t>
            </w:r>
          </w:p>
        </w:tc>
        <w:tc>
          <w:tcPr>
            <w:tcW w:w="1041" w:type="pct"/>
            <w:shd w:val="clear" w:color="auto" w:fill="auto"/>
          </w:tcPr>
          <w:p w14:paraId="5FFE6A1C" w14:textId="5110BD9C" w:rsidR="003D7FF0" w:rsidRPr="00010966" w:rsidRDefault="0087465A" w:rsidP="00786ECB">
            <w:pPr>
              <w:pStyle w:val="Tabletext"/>
              <w:spacing w:before="60"/>
              <w:rPr>
                <w:sz w:val="20"/>
                <w:lang w:eastAsia="zh-CN"/>
              </w:rPr>
            </w:pPr>
            <w:r w:rsidRPr="00010966">
              <w:rPr>
                <w:rFonts w:hint="eastAsia"/>
                <w:sz w:val="20"/>
                <w:lang w:eastAsia="zh-CN"/>
              </w:rPr>
              <w:lastRenderedPageBreak/>
              <w:t>我们注意到管理层的回应，并进一步强调了为重大项目建立适当的</w:t>
            </w:r>
            <w:r w:rsidR="0001675D" w:rsidRPr="00010966">
              <w:rPr>
                <w:rFonts w:hint="eastAsia"/>
                <w:sz w:val="20"/>
                <w:lang w:eastAsia="zh-CN"/>
              </w:rPr>
              <w:t>管理</w:t>
            </w:r>
            <w:r w:rsidRPr="00010966">
              <w:rPr>
                <w:rFonts w:hint="eastAsia"/>
                <w:sz w:val="20"/>
                <w:lang w:eastAsia="zh-CN"/>
              </w:rPr>
              <w:t>和保障机制的重要性。</w:t>
            </w:r>
          </w:p>
        </w:tc>
        <w:tc>
          <w:tcPr>
            <w:tcW w:w="487" w:type="pct"/>
            <w:shd w:val="clear" w:color="auto" w:fill="auto"/>
          </w:tcPr>
          <w:p w14:paraId="3E398FF6" w14:textId="0124C2A1" w:rsidR="003D7FF0" w:rsidRPr="00010966" w:rsidRDefault="00F520EB" w:rsidP="00786ECB">
            <w:pPr>
              <w:pStyle w:val="Tabletext"/>
              <w:spacing w:before="60"/>
              <w:rPr>
                <w:sz w:val="20"/>
              </w:rPr>
            </w:pPr>
            <w:r w:rsidRPr="00010966">
              <w:rPr>
                <w:rFonts w:hint="eastAsia"/>
                <w:sz w:val="20"/>
                <w:lang w:eastAsia="zh-CN"/>
              </w:rPr>
              <w:t>未实施。</w:t>
            </w:r>
          </w:p>
        </w:tc>
      </w:tr>
      <w:tr w:rsidR="00D43F01" w:rsidRPr="00010966" w14:paraId="539350A7" w14:textId="77777777" w:rsidTr="00E6035E">
        <w:tc>
          <w:tcPr>
            <w:tcW w:w="291" w:type="pct"/>
            <w:shd w:val="clear" w:color="auto" w:fill="auto"/>
          </w:tcPr>
          <w:p w14:paraId="65410562" w14:textId="11455810" w:rsidR="003D7FF0" w:rsidRPr="00010966" w:rsidRDefault="003D7FF0" w:rsidP="00786ECB">
            <w:pPr>
              <w:pStyle w:val="Tabletext"/>
              <w:spacing w:before="60"/>
              <w:rPr>
                <w:sz w:val="20"/>
              </w:rPr>
            </w:pPr>
            <w:r w:rsidRPr="00010966">
              <w:rPr>
                <w:sz w:val="20"/>
              </w:rPr>
              <w:t>2022</w:t>
            </w:r>
            <w:proofErr w:type="spellStart"/>
            <w:r w:rsidR="00B05D61" w:rsidRPr="00010966">
              <w:rPr>
                <w:rFonts w:hint="eastAsia"/>
                <w:sz w:val="20"/>
              </w:rPr>
              <w:t>年中期报告</w:t>
            </w:r>
            <w:proofErr w:type="spellEnd"/>
            <w:r w:rsidRPr="00010966">
              <w:rPr>
                <w:sz w:val="20"/>
              </w:rPr>
              <w:t xml:space="preserve"> </w:t>
            </w:r>
            <w:proofErr w:type="spellStart"/>
            <w:r w:rsidRPr="00010966">
              <w:rPr>
                <w:sz w:val="20"/>
              </w:rPr>
              <w:t>R9</w:t>
            </w:r>
            <w:proofErr w:type="spellEnd"/>
          </w:p>
        </w:tc>
        <w:tc>
          <w:tcPr>
            <w:tcW w:w="1441" w:type="pct"/>
            <w:shd w:val="clear" w:color="auto" w:fill="auto"/>
          </w:tcPr>
          <w:p w14:paraId="0A787EEF" w14:textId="6F6844CE" w:rsidR="003D7FF0" w:rsidRPr="00010966" w:rsidRDefault="00D43F01" w:rsidP="00786ECB">
            <w:pPr>
              <w:pStyle w:val="Tabletext"/>
              <w:spacing w:before="60"/>
              <w:rPr>
                <w:sz w:val="20"/>
                <w:lang w:eastAsia="zh-CN"/>
              </w:rPr>
            </w:pPr>
            <w:r w:rsidRPr="00010966">
              <w:rPr>
                <w:rFonts w:hint="eastAsia"/>
                <w:sz w:val="20"/>
                <w:lang w:eastAsia="zh-CN"/>
              </w:rPr>
              <w:t>制定明确的发展需求和</w:t>
            </w:r>
            <w:r w:rsidR="003634DC" w:rsidRPr="00010966">
              <w:rPr>
                <w:rFonts w:hint="eastAsia"/>
                <w:sz w:val="20"/>
                <w:lang w:eastAsia="zh-CN"/>
              </w:rPr>
              <w:t>收益</w:t>
            </w:r>
            <w:r w:rsidRPr="00010966">
              <w:rPr>
                <w:rFonts w:hint="eastAsia"/>
                <w:sz w:val="20"/>
                <w:lang w:eastAsia="zh-CN"/>
              </w:rPr>
              <w:t>说明，使国际电联能够有效评估和实现投资的资金价值。</w:t>
            </w:r>
          </w:p>
        </w:tc>
        <w:tc>
          <w:tcPr>
            <w:tcW w:w="1741" w:type="pct"/>
            <w:shd w:val="clear" w:color="auto" w:fill="auto"/>
          </w:tcPr>
          <w:p w14:paraId="4BAA53BE" w14:textId="2A7A76BE" w:rsidR="003D7FF0" w:rsidRPr="00010966" w:rsidRDefault="0087465A" w:rsidP="00786ECB">
            <w:pPr>
              <w:pStyle w:val="Tabletext"/>
              <w:spacing w:before="60"/>
              <w:rPr>
                <w:sz w:val="20"/>
                <w:lang w:eastAsia="zh-CN"/>
              </w:rPr>
            </w:pPr>
            <w:r w:rsidRPr="00010966">
              <w:rPr>
                <w:rFonts w:hint="eastAsia"/>
                <w:sz w:val="20"/>
                <w:lang w:eastAsia="zh-CN"/>
              </w:rPr>
              <w:t>该建议是在最初设计</w:t>
            </w:r>
            <w:r w:rsidR="00015E82" w:rsidRPr="00010966">
              <w:rPr>
                <w:rFonts w:hint="eastAsia"/>
                <w:sz w:val="20"/>
                <w:lang w:eastAsia="zh-CN"/>
              </w:rPr>
              <w:t>的</w:t>
            </w:r>
            <w:r w:rsidR="007D0CB5" w:rsidRPr="00010966">
              <w:rPr>
                <w:rFonts w:hint="eastAsia"/>
                <w:sz w:val="20"/>
                <w:lang w:eastAsia="zh-CN"/>
              </w:rPr>
              <w:t>建设</w:t>
            </w:r>
            <w:r w:rsidRPr="00010966">
              <w:rPr>
                <w:rFonts w:hint="eastAsia"/>
                <w:sz w:val="20"/>
                <w:lang w:eastAsia="zh-CN"/>
              </w:rPr>
              <w:t>报价超过可用预算时提出的。当时，国际电联寻求</w:t>
            </w:r>
            <w:r w:rsidR="00015E82" w:rsidRPr="00010966">
              <w:rPr>
                <w:rFonts w:hint="eastAsia"/>
                <w:sz w:val="20"/>
                <w:lang w:eastAsia="zh-CN"/>
              </w:rPr>
              <w:t>了</w:t>
            </w:r>
            <w:r w:rsidRPr="00010966">
              <w:rPr>
                <w:rFonts w:hint="eastAsia"/>
                <w:sz w:val="20"/>
                <w:lang w:eastAsia="zh-CN"/>
              </w:rPr>
              <w:t>独立的第三方专家评估，就可能的前进方向提出建议。在对需求进行重新评估后，提出了一个备选项目</w:t>
            </w:r>
            <w:r w:rsidR="00015E82" w:rsidRPr="00010966">
              <w:rPr>
                <w:rFonts w:hint="eastAsia"/>
                <w:sz w:val="20"/>
                <w:lang w:eastAsia="zh-CN"/>
              </w:rPr>
              <w:t>提案</w:t>
            </w:r>
            <w:r w:rsidRPr="00010966">
              <w:rPr>
                <w:rFonts w:hint="eastAsia"/>
                <w:sz w:val="20"/>
                <w:lang w:eastAsia="zh-CN"/>
              </w:rPr>
              <w:t>，明确说明了需求和如何应对这些需求。</w:t>
            </w:r>
            <w:r w:rsidRPr="00010966">
              <w:rPr>
                <w:rFonts w:hint="eastAsia"/>
                <w:sz w:val="20"/>
                <w:lang w:eastAsia="zh-CN"/>
              </w:rPr>
              <w:t>2024</w:t>
            </w:r>
            <w:r w:rsidRPr="00010966">
              <w:rPr>
                <w:rFonts w:hint="eastAsia"/>
                <w:sz w:val="20"/>
                <w:lang w:eastAsia="zh-CN"/>
              </w:rPr>
              <w:t>年</w:t>
            </w:r>
            <w:r w:rsidRPr="00010966">
              <w:rPr>
                <w:rFonts w:hint="eastAsia"/>
                <w:sz w:val="20"/>
                <w:lang w:eastAsia="zh-CN"/>
              </w:rPr>
              <w:t>6</w:t>
            </w:r>
            <w:r w:rsidRPr="00010966">
              <w:rPr>
                <w:rFonts w:hint="eastAsia"/>
                <w:sz w:val="20"/>
                <w:lang w:eastAsia="zh-CN"/>
              </w:rPr>
              <w:t>月，国际电联理事会决定取消</w:t>
            </w:r>
            <w:r w:rsidR="00F754A1" w:rsidRPr="00010966">
              <w:rPr>
                <w:rFonts w:hint="eastAsia"/>
                <w:sz w:val="20"/>
                <w:lang w:eastAsia="zh-CN"/>
              </w:rPr>
              <w:t>最初</w:t>
            </w:r>
            <w:r w:rsidRPr="00010966">
              <w:rPr>
                <w:rFonts w:hint="eastAsia"/>
                <w:sz w:val="20"/>
                <w:lang w:eastAsia="zh-CN"/>
              </w:rPr>
              <w:t>设计，在可用预算上限</w:t>
            </w:r>
            <w:r w:rsidR="00F754A1" w:rsidRPr="00010966">
              <w:rPr>
                <w:rFonts w:hint="eastAsia"/>
                <w:sz w:val="20"/>
                <w:lang w:eastAsia="zh-CN"/>
              </w:rPr>
              <w:t>和可满足需求的重新评估新范围</w:t>
            </w:r>
            <w:r w:rsidRPr="00010966">
              <w:rPr>
                <w:rFonts w:hint="eastAsia"/>
                <w:sz w:val="20"/>
                <w:lang w:eastAsia="zh-CN"/>
              </w:rPr>
              <w:t>内批准</w:t>
            </w:r>
            <w:r w:rsidR="00F754A1" w:rsidRPr="00010966">
              <w:rPr>
                <w:rFonts w:hint="eastAsia"/>
                <w:sz w:val="20"/>
                <w:lang w:eastAsia="zh-CN"/>
              </w:rPr>
              <w:t>备选</w:t>
            </w:r>
            <w:r w:rsidRPr="00010966">
              <w:rPr>
                <w:rFonts w:hint="eastAsia"/>
                <w:sz w:val="20"/>
                <w:lang w:eastAsia="zh-CN"/>
              </w:rPr>
              <w:t>项目</w:t>
            </w:r>
            <w:r w:rsidR="00F754A1" w:rsidRPr="00010966">
              <w:rPr>
                <w:rFonts w:hint="eastAsia"/>
                <w:sz w:val="20"/>
                <w:lang w:eastAsia="zh-CN"/>
              </w:rPr>
              <w:t>方案</w:t>
            </w:r>
            <w:r w:rsidRPr="00010966">
              <w:rPr>
                <w:rFonts w:hint="eastAsia"/>
                <w:sz w:val="20"/>
                <w:lang w:eastAsia="zh-CN"/>
              </w:rPr>
              <w:t>。为确保物有所值，已通过竞争性招标程序</w:t>
            </w:r>
            <w:r w:rsidR="00F754A1" w:rsidRPr="00010966">
              <w:rPr>
                <w:rFonts w:hint="eastAsia"/>
                <w:sz w:val="20"/>
                <w:lang w:eastAsia="zh-CN"/>
              </w:rPr>
              <w:t>挑选</w:t>
            </w:r>
            <w:r w:rsidRPr="00010966">
              <w:rPr>
                <w:rFonts w:hint="eastAsia"/>
                <w:sz w:val="20"/>
                <w:lang w:eastAsia="zh-CN"/>
              </w:rPr>
              <w:t>总规划师（一家综合</w:t>
            </w:r>
            <w:r w:rsidR="00F754A1" w:rsidRPr="00010966">
              <w:rPr>
                <w:rFonts w:hint="eastAsia"/>
                <w:sz w:val="20"/>
                <w:lang w:eastAsia="zh-CN"/>
              </w:rPr>
              <w:t>性</w:t>
            </w:r>
            <w:r w:rsidRPr="00010966">
              <w:rPr>
                <w:rFonts w:hint="eastAsia"/>
                <w:sz w:val="20"/>
                <w:lang w:eastAsia="zh-CN"/>
              </w:rPr>
              <w:t>建筑和工程公司），合同目前正在最后敲定中。</w:t>
            </w:r>
          </w:p>
        </w:tc>
        <w:tc>
          <w:tcPr>
            <w:tcW w:w="1041" w:type="pct"/>
            <w:shd w:val="clear" w:color="auto" w:fill="auto"/>
          </w:tcPr>
          <w:p w14:paraId="605B6D59" w14:textId="4C97536B" w:rsidR="003D7FF0" w:rsidRPr="00010966" w:rsidRDefault="0087465A" w:rsidP="00786ECB">
            <w:pPr>
              <w:pStyle w:val="Tabletext"/>
              <w:spacing w:before="60"/>
              <w:rPr>
                <w:sz w:val="20"/>
                <w:lang w:eastAsia="zh-CN"/>
              </w:rPr>
            </w:pPr>
            <w:r w:rsidRPr="00010966">
              <w:rPr>
                <w:rFonts w:hint="eastAsia"/>
                <w:sz w:val="20"/>
                <w:lang w:eastAsia="zh-CN"/>
              </w:rPr>
              <w:t>我们注意到管理层的回应，但我们认为，</w:t>
            </w:r>
            <w:r w:rsidR="007D0CB5" w:rsidRPr="00010966">
              <w:rPr>
                <w:rFonts w:hint="eastAsia"/>
                <w:sz w:val="20"/>
                <w:lang w:eastAsia="zh-CN"/>
              </w:rPr>
              <w:t>尚未</w:t>
            </w:r>
            <w:r w:rsidRPr="00010966">
              <w:rPr>
                <w:rFonts w:hint="eastAsia"/>
                <w:sz w:val="20"/>
                <w:lang w:eastAsia="zh-CN"/>
              </w:rPr>
              <w:t>看到一个明确而全面的需</w:t>
            </w:r>
            <w:r w:rsidR="007D0CB5" w:rsidRPr="00010966">
              <w:rPr>
                <w:rFonts w:hint="eastAsia"/>
                <w:sz w:val="20"/>
                <w:lang w:eastAsia="zh-CN"/>
              </w:rPr>
              <w:t>求</w:t>
            </w:r>
            <w:r w:rsidRPr="00010966">
              <w:rPr>
                <w:rFonts w:hint="eastAsia"/>
                <w:sz w:val="20"/>
                <w:lang w:eastAsia="zh-CN"/>
              </w:rPr>
              <w:t>说明以及新办公楼项目所带来的</w:t>
            </w:r>
            <w:r w:rsidR="007D0CB5" w:rsidRPr="00010966">
              <w:rPr>
                <w:rFonts w:hint="eastAsia"/>
                <w:sz w:val="20"/>
                <w:lang w:eastAsia="zh-CN"/>
              </w:rPr>
              <w:t>收</w:t>
            </w:r>
            <w:r w:rsidRPr="00010966">
              <w:rPr>
                <w:rFonts w:hint="eastAsia"/>
                <w:sz w:val="20"/>
                <w:lang w:eastAsia="zh-CN"/>
              </w:rPr>
              <w:t>益，以使国际电联能够有效评估和实现投资的资金价值。</w:t>
            </w:r>
          </w:p>
        </w:tc>
        <w:tc>
          <w:tcPr>
            <w:tcW w:w="487" w:type="pct"/>
            <w:shd w:val="clear" w:color="auto" w:fill="auto"/>
          </w:tcPr>
          <w:p w14:paraId="2E7EDA8E" w14:textId="3925BA0E" w:rsidR="003D7FF0" w:rsidRPr="00010966" w:rsidRDefault="00F520EB" w:rsidP="00786ECB">
            <w:pPr>
              <w:pStyle w:val="Tabletext"/>
              <w:spacing w:before="60"/>
              <w:rPr>
                <w:sz w:val="20"/>
              </w:rPr>
            </w:pPr>
            <w:r w:rsidRPr="00010966">
              <w:rPr>
                <w:rFonts w:hint="eastAsia"/>
                <w:sz w:val="20"/>
                <w:lang w:eastAsia="zh-CN"/>
              </w:rPr>
              <w:t>未实施。</w:t>
            </w:r>
          </w:p>
        </w:tc>
      </w:tr>
      <w:tr w:rsidR="00D43F01" w:rsidRPr="00010966" w14:paraId="72A5B7EA" w14:textId="77777777" w:rsidTr="00E6035E">
        <w:tc>
          <w:tcPr>
            <w:tcW w:w="291" w:type="pct"/>
            <w:shd w:val="clear" w:color="auto" w:fill="auto"/>
          </w:tcPr>
          <w:p w14:paraId="5589F30E" w14:textId="1FC1D6E7" w:rsidR="003D7FF0" w:rsidRPr="00010966" w:rsidRDefault="003D7FF0" w:rsidP="00786ECB">
            <w:pPr>
              <w:pStyle w:val="Tabletext"/>
              <w:spacing w:before="60"/>
              <w:rPr>
                <w:sz w:val="20"/>
              </w:rPr>
            </w:pPr>
            <w:r w:rsidRPr="00010966">
              <w:rPr>
                <w:sz w:val="20"/>
              </w:rPr>
              <w:t>2022</w:t>
            </w:r>
            <w:r w:rsidR="00D43F01" w:rsidRPr="00010966">
              <w:rPr>
                <w:rFonts w:hint="eastAsia"/>
                <w:sz w:val="20"/>
                <w:lang w:eastAsia="zh-CN"/>
              </w:rPr>
              <w:t>年最后报告</w:t>
            </w:r>
            <w:r w:rsidR="00D43F01" w:rsidRPr="00010966">
              <w:rPr>
                <w:rFonts w:hint="eastAsia"/>
                <w:sz w:val="20"/>
                <w:lang w:eastAsia="zh-CN"/>
              </w:rPr>
              <w:t xml:space="preserve"> </w:t>
            </w:r>
            <w:r w:rsidRPr="00010966">
              <w:rPr>
                <w:sz w:val="20"/>
              </w:rPr>
              <w:t>R4</w:t>
            </w:r>
          </w:p>
        </w:tc>
        <w:tc>
          <w:tcPr>
            <w:tcW w:w="1441" w:type="pct"/>
            <w:shd w:val="clear" w:color="auto" w:fill="auto"/>
          </w:tcPr>
          <w:p w14:paraId="283E3881" w14:textId="775F8E23" w:rsidR="003D7FF0" w:rsidRPr="00010966" w:rsidRDefault="00EE6EAF" w:rsidP="00786ECB">
            <w:pPr>
              <w:pStyle w:val="Tabletext"/>
              <w:spacing w:before="60"/>
              <w:rPr>
                <w:sz w:val="20"/>
                <w:lang w:eastAsia="zh-CN"/>
              </w:rPr>
            </w:pPr>
            <w:r w:rsidRPr="00010966">
              <w:rPr>
                <w:rFonts w:hint="eastAsia"/>
                <w:sz w:val="20"/>
                <w:lang w:eastAsia="zh-CN"/>
              </w:rPr>
              <w:t>审查其投资政策和程序，确保它们反映最佳做法，并在商定的风险承受范围内使现金资源获得最佳回报，这应参考外部基准和专业知识。</w:t>
            </w:r>
          </w:p>
        </w:tc>
        <w:tc>
          <w:tcPr>
            <w:tcW w:w="1741" w:type="pct"/>
            <w:shd w:val="clear" w:color="auto" w:fill="auto"/>
          </w:tcPr>
          <w:p w14:paraId="760A6D39" w14:textId="3B03DBE1" w:rsidR="003D7FF0" w:rsidRPr="00010966" w:rsidRDefault="0087465A" w:rsidP="00786ECB">
            <w:pPr>
              <w:pStyle w:val="Tabletext"/>
              <w:spacing w:before="60"/>
              <w:rPr>
                <w:sz w:val="20"/>
                <w:lang w:eastAsia="zh-CN"/>
              </w:rPr>
            </w:pPr>
            <w:r w:rsidRPr="00010966">
              <w:rPr>
                <w:rFonts w:hint="eastAsia"/>
                <w:sz w:val="20"/>
                <w:lang w:eastAsia="zh-CN"/>
              </w:rPr>
              <w:t>国际电联修订了《财务规则和财务细则》。其中一个重要方面是批准了两项关于成立</w:t>
            </w:r>
            <w:r w:rsidR="00C410F8" w:rsidRPr="00010966">
              <w:rPr>
                <w:rFonts w:hint="eastAsia"/>
                <w:sz w:val="20"/>
                <w:lang w:eastAsia="zh-CN"/>
              </w:rPr>
              <w:t>财务</w:t>
            </w:r>
            <w:r w:rsidRPr="00010966">
              <w:rPr>
                <w:rFonts w:hint="eastAsia"/>
                <w:sz w:val="20"/>
                <w:lang w:eastAsia="zh-CN"/>
              </w:rPr>
              <w:t>委员会</w:t>
            </w:r>
            <w:r w:rsidR="00C410F8" w:rsidRPr="00010966">
              <w:rPr>
                <w:rFonts w:hint="eastAsia"/>
                <w:sz w:val="20"/>
                <w:lang w:eastAsia="zh-CN"/>
              </w:rPr>
              <w:t>的重要行政规定</w:t>
            </w:r>
            <w:r w:rsidRPr="00010966">
              <w:rPr>
                <w:rFonts w:hint="eastAsia"/>
                <w:sz w:val="20"/>
                <w:lang w:eastAsia="zh-CN"/>
              </w:rPr>
              <w:t>和相关投资政策。这些</w:t>
            </w:r>
            <w:r w:rsidR="00C410F8" w:rsidRPr="00010966">
              <w:rPr>
                <w:rFonts w:hint="eastAsia"/>
                <w:sz w:val="20"/>
                <w:lang w:eastAsia="zh-CN"/>
              </w:rPr>
              <w:t>工作</w:t>
            </w:r>
            <w:r w:rsidRPr="00010966">
              <w:rPr>
                <w:rFonts w:hint="eastAsia"/>
                <w:sz w:val="20"/>
                <w:lang w:eastAsia="zh-CN"/>
              </w:rPr>
              <w:t>已于</w:t>
            </w:r>
            <w:r w:rsidRPr="00010966">
              <w:rPr>
                <w:rFonts w:hint="eastAsia"/>
                <w:sz w:val="20"/>
                <w:lang w:eastAsia="zh-CN"/>
              </w:rPr>
              <w:t>2025</w:t>
            </w:r>
            <w:r w:rsidRPr="00010966">
              <w:rPr>
                <w:rFonts w:hint="eastAsia"/>
                <w:sz w:val="20"/>
                <w:lang w:eastAsia="zh-CN"/>
              </w:rPr>
              <w:t>年到位，并设定了国际电联投资</w:t>
            </w:r>
            <w:r w:rsidR="00D02DDA" w:rsidRPr="00010966">
              <w:rPr>
                <w:rFonts w:hint="eastAsia"/>
                <w:sz w:val="20"/>
                <w:lang w:eastAsia="zh-CN"/>
              </w:rPr>
              <w:t>活动</w:t>
            </w:r>
            <w:r w:rsidRPr="00010966">
              <w:rPr>
                <w:rFonts w:hint="eastAsia"/>
                <w:sz w:val="20"/>
                <w:lang w:eastAsia="zh-CN"/>
              </w:rPr>
              <w:t>的</w:t>
            </w:r>
            <w:r w:rsidR="00D02DDA" w:rsidRPr="00010966">
              <w:rPr>
                <w:rFonts w:hint="eastAsia"/>
                <w:sz w:val="20"/>
                <w:lang w:eastAsia="zh-CN"/>
              </w:rPr>
              <w:t>各项</w:t>
            </w:r>
            <w:r w:rsidRPr="00010966">
              <w:rPr>
                <w:rFonts w:hint="eastAsia"/>
                <w:sz w:val="20"/>
                <w:lang w:eastAsia="zh-CN"/>
              </w:rPr>
              <w:t>参数</w:t>
            </w:r>
            <w:r w:rsidR="00D02DDA" w:rsidRPr="00010966">
              <w:rPr>
                <w:rFonts w:hint="eastAsia"/>
                <w:sz w:val="20"/>
                <w:lang w:eastAsia="zh-CN"/>
              </w:rPr>
              <w:t>标准</w:t>
            </w:r>
            <w:r w:rsidRPr="00010966">
              <w:rPr>
                <w:rFonts w:hint="eastAsia"/>
                <w:sz w:val="20"/>
                <w:lang w:eastAsia="zh-CN"/>
              </w:rPr>
              <w:t>（包括货币对冲、短期和长期投资的风险状况</w:t>
            </w:r>
            <w:r w:rsidR="00D02DDA" w:rsidRPr="00010966">
              <w:rPr>
                <w:rFonts w:hint="eastAsia"/>
                <w:sz w:val="20"/>
                <w:lang w:eastAsia="zh-CN"/>
              </w:rPr>
              <w:t>等</w:t>
            </w:r>
            <w:r w:rsidRPr="00010966">
              <w:rPr>
                <w:rFonts w:hint="eastAsia"/>
                <w:sz w:val="20"/>
                <w:lang w:eastAsia="zh-CN"/>
              </w:rPr>
              <w:t>）。</w:t>
            </w:r>
          </w:p>
        </w:tc>
        <w:tc>
          <w:tcPr>
            <w:tcW w:w="1041" w:type="pct"/>
            <w:shd w:val="clear" w:color="auto" w:fill="auto"/>
          </w:tcPr>
          <w:p w14:paraId="090D2509" w14:textId="281E6EE7" w:rsidR="003D7FF0" w:rsidRPr="00010966" w:rsidRDefault="0087465A" w:rsidP="00786ECB">
            <w:pPr>
              <w:pStyle w:val="Tabletext"/>
              <w:spacing w:before="60"/>
              <w:rPr>
                <w:sz w:val="20"/>
                <w:lang w:eastAsia="zh-CN"/>
              </w:rPr>
            </w:pPr>
            <w:r w:rsidRPr="00010966">
              <w:rPr>
                <w:rFonts w:hint="eastAsia"/>
                <w:sz w:val="20"/>
                <w:lang w:eastAsia="zh-CN"/>
              </w:rPr>
              <w:t>我们注意到管理层的回应，并将考虑作为我们</w:t>
            </w:r>
            <w:r w:rsidRPr="00010966">
              <w:rPr>
                <w:rFonts w:hint="eastAsia"/>
                <w:sz w:val="20"/>
                <w:lang w:eastAsia="zh-CN"/>
              </w:rPr>
              <w:t>2025</w:t>
            </w:r>
            <w:r w:rsidRPr="00010966">
              <w:rPr>
                <w:rFonts w:hint="eastAsia"/>
                <w:sz w:val="20"/>
                <w:lang w:eastAsia="zh-CN"/>
              </w:rPr>
              <w:t>年审计的一部分。</w:t>
            </w:r>
          </w:p>
        </w:tc>
        <w:tc>
          <w:tcPr>
            <w:tcW w:w="487" w:type="pct"/>
            <w:shd w:val="clear" w:color="auto" w:fill="auto"/>
          </w:tcPr>
          <w:p w14:paraId="58529186" w14:textId="18260249" w:rsidR="003D7FF0" w:rsidRPr="00010966" w:rsidRDefault="00F520EB" w:rsidP="00786ECB">
            <w:pPr>
              <w:pStyle w:val="Tabletext"/>
              <w:spacing w:before="60"/>
              <w:rPr>
                <w:sz w:val="20"/>
              </w:rPr>
            </w:pPr>
            <w:r w:rsidRPr="00010966">
              <w:rPr>
                <w:rFonts w:hint="eastAsia"/>
                <w:sz w:val="20"/>
                <w:lang w:eastAsia="zh-CN"/>
              </w:rPr>
              <w:t>正在实施。</w:t>
            </w:r>
          </w:p>
        </w:tc>
      </w:tr>
      <w:tr w:rsidR="00D43F01" w:rsidRPr="00010966" w14:paraId="7485665A" w14:textId="77777777" w:rsidTr="00E6035E">
        <w:tc>
          <w:tcPr>
            <w:tcW w:w="291" w:type="pct"/>
            <w:shd w:val="clear" w:color="auto" w:fill="auto"/>
          </w:tcPr>
          <w:p w14:paraId="5A8D7DF9" w14:textId="0B8BD4D2" w:rsidR="003D7FF0" w:rsidRPr="00010966" w:rsidRDefault="003D7FF0" w:rsidP="00786ECB">
            <w:pPr>
              <w:pStyle w:val="Tabletext"/>
              <w:spacing w:before="60"/>
              <w:rPr>
                <w:sz w:val="20"/>
              </w:rPr>
            </w:pPr>
            <w:r w:rsidRPr="00010966">
              <w:rPr>
                <w:sz w:val="20"/>
              </w:rPr>
              <w:t>2022</w:t>
            </w:r>
            <w:proofErr w:type="spellStart"/>
            <w:r w:rsidR="00D43F01" w:rsidRPr="00010966">
              <w:rPr>
                <w:rFonts w:hint="eastAsia"/>
                <w:sz w:val="20"/>
              </w:rPr>
              <w:t>年最后报告</w:t>
            </w:r>
            <w:proofErr w:type="spellEnd"/>
            <w:r w:rsidRPr="00010966">
              <w:rPr>
                <w:sz w:val="20"/>
              </w:rPr>
              <w:t xml:space="preserve"> </w:t>
            </w:r>
            <w:proofErr w:type="spellStart"/>
            <w:r w:rsidRPr="00010966">
              <w:rPr>
                <w:sz w:val="20"/>
              </w:rPr>
              <w:t>R5</w:t>
            </w:r>
            <w:proofErr w:type="spellEnd"/>
          </w:p>
        </w:tc>
        <w:tc>
          <w:tcPr>
            <w:tcW w:w="1441" w:type="pct"/>
            <w:shd w:val="clear" w:color="auto" w:fill="auto"/>
          </w:tcPr>
          <w:p w14:paraId="01269DF1" w14:textId="070E015F" w:rsidR="003D7FF0" w:rsidRPr="00010966" w:rsidRDefault="00EE6EAF" w:rsidP="00786ECB">
            <w:pPr>
              <w:pStyle w:val="Tabletext"/>
              <w:spacing w:before="60"/>
              <w:rPr>
                <w:sz w:val="20"/>
                <w:lang w:eastAsia="zh-CN"/>
              </w:rPr>
            </w:pPr>
            <w:r w:rsidRPr="00010966">
              <w:rPr>
                <w:rFonts w:hint="eastAsia"/>
                <w:sz w:val="20"/>
                <w:lang w:eastAsia="zh-CN"/>
              </w:rPr>
              <w:t>审查其债务方管理程序，以确保采取更积极的后续行动和回收行动。</w:t>
            </w:r>
          </w:p>
        </w:tc>
        <w:tc>
          <w:tcPr>
            <w:tcW w:w="1741" w:type="pct"/>
            <w:shd w:val="clear" w:color="auto" w:fill="auto"/>
          </w:tcPr>
          <w:p w14:paraId="4185C9EB" w14:textId="4816C990" w:rsidR="003D7FF0" w:rsidRPr="00010966" w:rsidRDefault="0087465A" w:rsidP="00786ECB">
            <w:pPr>
              <w:pStyle w:val="Tabletext"/>
              <w:spacing w:before="60"/>
              <w:rPr>
                <w:sz w:val="20"/>
                <w:lang w:eastAsia="zh-CN"/>
              </w:rPr>
            </w:pPr>
            <w:r w:rsidRPr="00010966">
              <w:rPr>
                <w:rFonts w:hint="eastAsia"/>
                <w:sz w:val="20"/>
                <w:lang w:eastAsia="zh-CN"/>
              </w:rPr>
              <w:t>国际电联通过上述措施跟进了我们的债务方。在某些情况下，应收账款</w:t>
            </w:r>
            <w:r w:rsidR="00D02DDA" w:rsidRPr="00010966">
              <w:rPr>
                <w:rFonts w:hint="eastAsia"/>
                <w:sz w:val="20"/>
                <w:lang w:eastAsia="zh-CN"/>
              </w:rPr>
              <w:t>回收工作取得</w:t>
            </w:r>
            <w:r w:rsidRPr="00010966">
              <w:rPr>
                <w:rFonts w:hint="eastAsia"/>
                <w:sz w:val="20"/>
                <w:lang w:eastAsia="zh-CN"/>
              </w:rPr>
              <w:t>了积极结果。但是，也</w:t>
            </w:r>
            <w:r w:rsidR="00D02DDA" w:rsidRPr="00010966">
              <w:rPr>
                <w:rFonts w:hint="eastAsia"/>
                <w:sz w:val="20"/>
                <w:lang w:eastAsia="zh-CN"/>
              </w:rPr>
              <w:t>存在</w:t>
            </w:r>
            <w:r w:rsidRPr="00010966">
              <w:rPr>
                <w:rFonts w:hint="eastAsia"/>
                <w:sz w:val="20"/>
                <w:lang w:eastAsia="zh-CN"/>
              </w:rPr>
              <w:t>一些</w:t>
            </w:r>
            <w:r w:rsidR="00D02DDA" w:rsidRPr="00010966">
              <w:rPr>
                <w:rFonts w:hint="eastAsia"/>
                <w:sz w:val="20"/>
                <w:lang w:eastAsia="zh-CN"/>
              </w:rPr>
              <w:t>成</w:t>
            </w:r>
            <w:r w:rsidRPr="00010966">
              <w:rPr>
                <w:rFonts w:hint="eastAsia"/>
                <w:sz w:val="20"/>
                <w:lang w:eastAsia="zh-CN"/>
              </w:rPr>
              <w:t>员国</w:t>
            </w:r>
            <w:r w:rsidR="00D02DDA" w:rsidRPr="00010966">
              <w:rPr>
                <w:rFonts w:hint="eastAsia"/>
                <w:sz w:val="20"/>
                <w:lang w:eastAsia="zh-CN"/>
              </w:rPr>
              <w:t>无法缴纳</w:t>
            </w:r>
            <w:r w:rsidRPr="00010966">
              <w:rPr>
                <w:rFonts w:hint="eastAsia"/>
                <w:sz w:val="20"/>
                <w:lang w:eastAsia="zh-CN"/>
              </w:rPr>
              <w:t>正常预算摊款的情况。国际电联将根据其《财务规则和财务细则》进行审查，以确定收取陈旧应收账款的可选方案。</w:t>
            </w:r>
          </w:p>
        </w:tc>
        <w:tc>
          <w:tcPr>
            <w:tcW w:w="1041" w:type="pct"/>
            <w:shd w:val="clear" w:color="auto" w:fill="auto"/>
          </w:tcPr>
          <w:p w14:paraId="44A00C05" w14:textId="6C898CEE" w:rsidR="003D7FF0" w:rsidRPr="00010966" w:rsidRDefault="0087465A" w:rsidP="00786ECB">
            <w:pPr>
              <w:pStyle w:val="Tabletext"/>
              <w:spacing w:before="60"/>
              <w:rPr>
                <w:sz w:val="20"/>
                <w:lang w:eastAsia="zh-CN"/>
              </w:rPr>
            </w:pPr>
            <w:r w:rsidRPr="00010966">
              <w:rPr>
                <w:rFonts w:hint="eastAsia"/>
                <w:sz w:val="20"/>
                <w:lang w:eastAsia="zh-CN"/>
              </w:rPr>
              <w:t>我们注意到管理层的回应和进行进一步审查的意图，因此，我们将在</w:t>
            </w:r>
            <w:r w:rsidRPr="00010966">
              <w:rPr>
                <w:rFonts w:hint="eastAsia"/>
                <w:sz w:val="20"/>
                <w:lang w:eastAsia="zh-CN"/>
              </w:rPr>
              <w:t>2025</w:t>
            </w:r>
            <w:r w:rsidRPr="00010966">
              <w:rPr>
                <w:rFonts w:hint="eastAsia"/>
                <w:sz w:val="20"/>
                <w:lang w:eastAsia="zh-CN"/>
              </w:rPr>
              <w:t>年审计中再次审</w:t>
            </w:r>
            <w:r w:rsidR="00DF517E" w:rsidRPr="00010966">
              <w:rPr>
                <w:rFonts w:hint="eastAsia"/>
                <w:sz w:val="20"/>
                <w:lang w:eastAsia="zh-CN"/>
              </w:rPr>
              <w:t>查</w:t>
            </w:r>
            <w:r w:rsidRPr="00010966">
              <w:rPr>
                <w:rFonts w:hint="eastAsia"/>
                <w:sz w:val="20"/>
                <w:lang w:eastAsia="zh-CN"/>
              </w:rPr>
              <w:t>。</w:t>
            </w:r>
          </w:p>
        </w:tc>
        <w:tc>
          <w:tcPr>
            <w:tcW w:w="487" w:type="pct"/>
            <w:shd w:val="clear" w:color="auto" w:fill="auto"/>
          </w:tcPr>
          <w:p w14:paraId="4AFA0457" w14:textId="15B891DF" w:rsidR="003D7FF0" w:rsidRPr="00010966" w:rsidRDefault="00F520EB" w:rsidP="00786ECB">
            <w:pPr>
              <w:pStyle w:val="Tabletext"/>
              <w:spacing w:before="60"/>
              <w:rPr>
                <w:sz w:val="20"/>
              </w:rPr>
            </w:pPr>
            <w:r w:rsidRPr="00010966">
              <w:rPr>
                <w:rFonts w:hint="eastAsia"/>
                <w:sz w:val="20"/>
                <w:lang w:eastAsia="zh-CN"/>
              </w:rPr>
              <w:t>正在实施。</w:t>
            </w:r>
          </w:p>
        </w:tc>
      </w:tr>
      <w:tr w:rsidR="00D43F01" w:rsidRPr="00010966" w14:paraId="5DE1687C" w14:textId="77777777" w:rsidTr="00E6035E">
        <w:tc>
          <w:tcPr>
            <w:tcW w:w="291" w:type="pct"/>
            <w:shd w:val="clear" w:color="auto" w:fill="auto"/>
          </w:tcPr>
          <w:p w14:paraId="3CB4885A" w14:textId="6F6FBC47" w:rsidR="003D7FF0" w:rsidRPr="00010966" w:rsidRDefault="003D7FF0" w:rsidP="00786ECB">
            <w:pPr>
              <w:pStyle w:val="Tabletext"/>
              <w:spacing w:before="60"/>
              <w:rPr>
                <w:sz w:val="20"/>
              </w:rPr>
            </w:pPr>
            <w:r w:rsidRPr="00010966">
              <w:rPr>
                <w:sz w:val="20"/>
              </w:rPr>
              <w:t>2022</w:t>
            </w:r>
            <w:r w:rsidR="00D43F01" w:rsidRPr="00010966">
              <w:rPr>
                <w:rFonts w:hint="eastAsia"/>
                <w:sz w:val="20"/>
                <w:lang w:eastAsia="zh-CN"/>
              </w:rPr>
              <w:t>年最后报告</w:t>
            </w:r>
            <w:r w:rsidRPr="00010966">
              <w:rPr>
                <w:sz w:val="20"/>
              </w:rPr>
              <w:t xml:space="preserve"> R6</w:t>
            </w:r>
          </w:p>
        </w:tc>
        <w:tc>
          <w:tcPr>
            <w:tcW w:w="1441" w:type="pct"/>
            <w:shd w:val="clear" w:color="auto" w:fill="auto"/>
          </w:tcPr>
          <w:p w14:paraId="74DFAFB2" w14:textId="5575F3F3" w:rsidR="003D7FF0" w:rsidRPr="00010966" w:rsidRDefault="00EE6EAF" w:rsidP="00786ECB">
            <w:pPr>
              <w:pStyle w:val="Tabletext"/>
              <w:spacing w:before="60"/>
              <w:rPr>
                <w:sz w:val="20"/>
                <w:lang w:eastAsia="zh-CN"/>
              </w:rPr>
            </w:pPr>
            <w:r w:rsidRPr="00010966">
              <w:rPr>
                <w:rFonts w:hint="eastAsia"/>
                <w:sz w:val="20"/>
                <w:lang w:eastAsia="zh-CN"/>
              </w:rPr>
              <w:t>还要确保预算分配和财务决策根据历史趋势考虑到现金流的实际时间安排，以尽量减少超支风险。</w:t>
            </w:r>
          </w:p>
        </w:tc>
        <w:tc>
          <w:tcPr>
            <w:tcW w:w="1741" w:type="pct"/>
            <w:shd w:val="clear" w:color="auto" w:fill="auto"/>
          </w:tcPr>
          <w:p w14:paraId="4464390C" w14:textId="5F0C3E26" w:rsidR="003D7FF0" w:rsidRPr="00010966" w:rsidRDefault="0087465A" w:rsidP="00786ECB">
            <w:pPr>
              <w:pStyle w:val="Tabletext"/>
              <w:spacing w:before="60"/>
              <w:rPr>
                <w:sz w:val="20"/>
                <w:lang w:eastAsia="zh-CN"/>
              </w:rPr>
            </w:pPr>
            <w:r w:rsidRPr="00010966">
              <w:rPr>
                <w:rFonts w:hint="eastAsia"/>
                <w:spacing w:val="-2"/>
                <w:sz w:val="20"/>
                <w:lang w:eastAsia="zh-CN"/>
              </w:rPr>
              <w:t>国际电联审议了其预算分配政策</w:t>
            </w:r>
            <w:r w:rsidR="00B65FE2" w:rsidRPr="00010966">
              <w:rPr>
                <w:rFonts w:hint="eastAsia"/>
                <w:spacing w:val="-2"/>
                <w:sz w:val="20"/>
                <w:lang w:eastAsia="zh-CN"/>
              </w:rPr>
              <w:t>，</w:t>
            </w:r>
            <w:r w:rsidRPr="00010966">
              <w:rPr>
                <w:rFonts w:hint="eastAsia"/>
                <w:spacing w:val="-2"/>
                <w:sz w:val="20"/>
                <w:lang w:eastAsia="zh-CN"/>
              </w:rPr>
              <w:t>并向高级管理层分发了有关向</w:t>
            </w:r>
            <w:r w:rsidR="00B65FE2" w:rsidRPr="00010966">
              <w:rPr>
                <w:rFonts w:hint="eastAsia"/>
                <w:spacing w:val="-2"/>
                <w:sz w:val="20"/>
                <w:lang w:eastAsia="zh-CN"/>
              </w:rPr>
              <w:t>分配</w:t>
            </w:r>
            <w:r w:rsidR="00BB4D76" w:rsidRPr="00010966">
              <w:rPr>
                <w:rFonts w:hint="eastAsia"/>
                <w:spacing w:val="-2"/>
                <w:sz w:val="20"/>
                <w:lang w:eastAsia="zh-CN"/>
              </w:rPr>
              <w:t>预算</w:t>
            </w:r>
            <w:r w:rsidRPr="00010966">
              <w:rPr>
                <w:rFonts w:hint="eastAsia"/>
                <w:spacing w:val="-2"/>
                <w:sz w:val="20"/>
                <w:lang w:eastAsia="zh-CN"/>
              </w:rPr>
              <w:t>机制过渡的文件草案，以</w:t>
            </w:r>
            <w:r w:rsidR="00B65FE2" w:rsidRPr="00010966">
              <w:rPr>
                <w:rFonts w:hint="eastAsia"/>
                <w:spacing w:val="-2"/>
                <w:sz w:val="20"/>
                <w:lang w:eastAsia="zh-CN"/>
              </w:rPr>
              <w:t>应对</w:t>
            </w:r>
            <w:r w:rsidRPr="00010966">
              <w:rPr>
                <w:rFonts w:hint="eastAsia"/>
                <w:spacing w:val="-2"/>
                <w:sz w:val="20"/>
                <w:lang w:eastAsia="zh-CN"/>
              </w:rPr>
              <w:t>国际电联收入</w:t>
            </w:r>
            <w:r w:rsidR="00B65FE2" w:rsidRPr="00010966">
              <w:rPr>
                <w:rFonts w:hint="eastAsia"/>
                <w:spacing w:val="-2"/>
                <w:sz w:val="20"/>
                <w:lang w:eastAsia="zh-CN"/>
              </w:rPr>
              <w:t>与</w:t>
            </w:r>
            <w:r w:rsidRPr="00010966">
              <w:rPr>
                <w:rFonts w:hint="eastAsia"/>
                <w:spacing w:val="-2"/>
                <w:sz w:val="20"/>
                <w:lang w:eastAsia="zh-CN"/>
              </w:rPr>
              <w:t>预算</w:t>
            </w:r>
            <w:r w:rsidR="00B65FE2" w:rsidRPr="00010966">
              <w:rPr>
                <w:rFonts w:hint="eastAsia"/>
                <w:spacing w:val="-2"/>
                <w:sz w:val="20"/>
                <w:lang w:eastAsia="zh-CN"/>
              </w:rPr>
              <w:t>不符</w:t>
            </w:r>
            <w:r w:rsidRPr="00010966">
              <w:rPr>
                <w:rFonts w:hint="eastAsia"/>
                <w:spacing w:val="-2"/>
                <w:sz w:val="20"/>
                <w:lang w:eastAsia="zh-CN"/>
              </w:rPr>
              <w:t>的情况。过去</w:t>
            </w:r>
            <w:r w:rsidRPr="00010966">
              <w:rPr>
                <w:rFonts w:hint="eastAsia"/>
                <w:spacing w:val="-2"/>
                <w:sz w:val="20"/>
                <w:lang w:eastAsia="zh-CN"/>
              </w:rPr>
              <w:t>4</w:t>
            </w:r>
            <w:r w:rsidRPr="00010966">
              <w:rPr>
                <w:rFonts w:hint="eastAsia"/>
                <w:spacing w:val="-2"/>
                <w:sz w:val="20"/>
                <w:lang w:eastAsia="zh-CN"/>
              </w:rPr>
              <w:t>年来，这一直是一个令人关切的问题，因为收入水平在过去</w:t>
            </w:r>
            <w:r w:rsidRPr="00010966">
              <w:rPr>
                <w:rFonts w:hint="eastAsia"/>
                <w:spacing w:val="-2"/>
                <w:sz w:val="20"/>
                <w:lang w:eastAsia="zh-CN"/>
              </w:rPr>
              <w:t>4</w:t>
            </w:r>
            <w:r w:rsidRPr="00010966">
              <w:rPr>
                <w:rFonts w:hint="eastAsia"/>
                <w:spacing w:val="-2"/>
                <w:sz w:val="20"/>
                <w:lang w:eastAsia="zh-CN"/>
              </w:rPr>
              <w:t>年中一直没有达到批准的预算水平。</w:t>
            </w:r>
          </w:p>
        </w:tc>
        <w:tc>
          <w:tcPr>
            <w:tcW w:w="1041" w:type="pct"/>
            <w:shd w:val="clear" w:color="auto" w:fill="auto"/>
          </w:tcPr>
          <w:p w14:paraId="53ED6517" w14:textId="03F45CCF" w:rsidR="003D7FF0" w:rsidRPr="00010966" w:rsidRDefault="0087465A" w:rsidP="00786ECB">
            <w:pPr>
              <w:pStyle w:val="Tabletext"/>
              <w:spacing w:before="60"/>
              <w:rPr>
                <w:sz w:val="20"/>
                <w:lang w:eastAsia="zh-CN"/>
              </w:rPr>
            </w:pPr>
            <w:r w:rsidRPr="00010966">
              <w:rPr>
                <w:rFonts w:hint="eastAsia"/>
                <w:sz w:val="20"/>
                <w:lang w:eastAsia="zh-CN"/>
              </w:rPr>
              <w:t>我们注意到管理层的回应，并将</w:t>
            </w:r>
            <w:r w:rsidR="00BB5982" w:rsidRPr="00010966">
              <w:rPr>
                <w:rFonts w:hint="eastAsia"/>
                <w:sz w:val="20"/>
                <w:lang w:eastAsia="zh-CN"/>
              </w:rPr>
              <w:t>在我们的</w:t>
            </w:r>
            <w:r w:rsidR="00BB5982" w:rsidRPr="00010966">
              <w:rPr>
                <w:rFonts w:hint="eastAsia"/>
                <w:sz w:val="20"/>
                <w:lang w:eastAsia="zh-CN"/>
              </w:rPr>
              <w:t>2025</w:t>
            </w:r>
            <w:r w:rsidR="00BB5982" w:rsidRPr="00010966">
              <w:rPr>
                <w:rFonts w:hint="eastAsia"/>
                <w:sz w:val="20"/>
                <w:lang w:eastAsia="zh-CN"/>
              </w:rPr>
              <w:t>年审计中</w:t>
            </w:r>
            <w:r w:rsidRPr="00010966">
              <w:rPr>
                <w:rFonts w:hint="eastAsia"/>
                <w:sz w:val="20"/>
                <w:lang w:eastAsia="zh-CN"/>
              </w:rPr>
              <w:t>更详细地审议预算流程。</w:t>
            </w:r>
          </w:p>
        </w:tc>
        <w:tc>
          <w:tcPr>
            <w:tcW w:w="487" w:type="pct"/>
            <w:shd w:val="clear" w:color="auto" w:fill="auto"/>
          </w:tcPr>
          <w:p w14:paraId="554BF421" w14:textId="6D78B8FA" w:rsidR="003D7FF0" w:rsidRPr="00010966" w:rsidRDefault="00F520EB" w:rsidP="00786ECB">
            <w:pPr>
              <w:pStyle w:val="Tabletext"/>
              <w:spacing w:before="60"/>
              <w:rPr>
                <w:sz w:val="20"/>
              </w:rPr>
            </w:pPr>
            <w:r w:rsidRPr="00010966">
              <w:rPr>
                <w:rFonts w:hint="eastAsia"/>
                <w:sz w:val="20"/>
                <w:lang w:eastAsia="zh-CN"/>
              </w:rPr>
              <w:t>正在实施。</w:t>
            </w:r>
          </w:p>
        </w:tc>
      </w:tr>
      <w:tr w:rsidR="00D43F01" w:rsidRPr="00010966" w14:paraId="40F09368" w14:textId="77777777" w:rsidTr="00536D01">
        <w:trPr>
          <w:trHeight w:val="1138"/>
        </w:trPr>
        <w:tc>
          <w:tcPr>
            <w:tcW w:w="291" w:type="pct"/>
            <w:shd w:val="clear" w:color="auto" w:fill="auto"/>
          </w:tcPr>
          <w:p w14:paraId="2B72365D" w14:textId="5E21D3A4" w:rsidR="003D7FF0" w:rsidRPr="00010966" w:rsidRDefault="003D7FF0" w:rsidP="00786ECB">
            <w:pPr>
              <w:pStyle w:val="Tabletext"/>
              <w:spacing w:before="60"/>
              <w:rPr>
                <w:sz w:val="20"/>
              </w:rPr>
            </w:pPr>
            <w:r w:rsidRPr="00010966">
              <w:rPr>
                <w:sz w:val="20"/>
              </w:rPr>
              <w:lastRenderedPageBreak/>
              <w:t>2022</w:t>
            </w:r>
            <w:r w:rsidR="00D43F01" w:rsidRPr="00010966">
              <w:rPr>
                <w:rFonts w:hint="eastAsia"/>
                <w:sz w:val="20"/>
                <w:lang w:eastAsia="zh-CN"/>
              </w:rPr>
              <w:t>年最后报告</w:t>
            </w:r>
            <w:r w:rsidR="00D43F01" w:rsidRPr="00010966">
              <w:rPr>
                <w:rFonts w:hint="eastAsia"/>
                <w:sz w:val="20"/>
                <w:lang w:eastAsia="zh-CN"/>
              </w:rPr>
              <w:t xml:space="preserve"> </w:t>
            </w:r>
            <w:r w:rsidRPr="00010966">
              <w:rPr>
                <w:sz w:val="20"/>
              </w:rPr>
              <w:t>R7</w:t>
            </w:r>
          </w:p>
        </w:tc>
        <w:tc>
          <w:tcPr>
            <w:tcW w:w="1441" w:type="pct"/>
            <w:shd w:val="clear" w:color="auto" w:fill="auto"/>
          </w:tcPr>
          <w:p w14:paraId="579C550A" w14:textId="1D12D2BF" w:rsidR="003D7FF0" w:rsidRPr="00010966" w:rsidRDefault="00EE6EAF" w:rsidP="00786ECB">
            <w:pPr>
              <w:pStyle w:val="Tabletext"/>
              <w:spacing w:before="60"/>
              <w:rPr>
                <w:sz w:val="20"/>
                <w:lang w:eastAsia="zh-CN"/>
              </w:rPr>
            </w:pPr>
            <w:r w:rsidRPr="00010966">
              <w:rPr>
                <w:rFonts w:hint="eastAsia"/>
                <w:sz w:val="20"/>
                <w:lang w:eastAsia="zh-CN"/>
              </w:rPr>
              <w:t>定期进行医疗报销费用研究，以支持其职员福利负债的估值，并制定政策在两次全面研究之间更新这些假设。</w:t>
            </w:r>
          </w:p>
        </w:tc>
        <w:tc>
          <w:tcPr>
            <w:tcW w:w="1741" w:type="pct"/>
            <w:shd w:val="clear" w:color="auto" w:fill="auto"/>
          </w:tcPr>
          <w:p w14:paraId="237756DF" w14:textId="49AB64AF" w:rsidR="003D7FF0" w:rsidRPr="00010966" w:rsidRDefault="0087465A" w:rsidP="00786ECB">
            <w:pPr>
              <w:pStyle w:val="Tabletext"/>
              <w:spacing w:before="60"/>
              <w:rPr>
                <w:sz w:val="20"/>
                <w:lang w:eastAsia="zh-CN"/>
              </w:rPr>
            </w:pPr>
            <w:r w:rsidRPr="00010966">
              <w:rPr>
                <w:rFonts w:hint="eastAsia"/>
                <w:sz w:val="20"/>
                <w:lang w:eastAsia="zh-CN"/>
              </w:rPr>
              <w:t>国际电联已与</w:t>
            </w:r>
            <w:r w:rsidRPr="00010966">
              <w:rPr>
                <w:rFonts w:hint="eastAsia"/>
                <w:sz w:val="20"/>
                <w:lang w:eastAsia="zh-CN"/>
              </w:rPr>
              <w:t>UNSMIS</w:t>
            </w:r>
            <w:r w:rsidRPr="00010966">
              <w:rPr>
                <w:rFonts w:hint="eastAsia"/>
                <w:sz w:val="20"/>
                <w:lang w:eastAsia="zh-CN"/>
              </w:rPr>
              <w:t>和</w:t>
            </w:r>
            <w:r w:rsidR="00B65FE2" w:rsidRPr="00010966">
              <w:rPr>
                <w:rFonts w:hint="eastAsia"/>
                <w:sz w:val="20"/>
                <w:lang w:eastAsia="zh-CN"/>
              </w:rPr>
              <w:t>怡安合作</w:t>
            </w:r>
            <w:r w:rsidRPr="00010966">
              <w:rPr>
                <w:rFonts w:hint="eastAsia"/>
                <w:sz w:val="20"/>
                <w:lang w:eastAsia="zh-CN"/>
              </w:rPr>
              <w:t>，在</w:t>
            </w:r>
            <w:r w:rsidRPr="00010966">
              <w:rPr>
                <w:rFonts w:hint="eastAsia"/>
                <w:sz w:val="20"/>
                <w:lang w:eastAsia="zh-CN"/>
              </w:rPr>
              <w:t>2024</w:t>
            </w:r>
            <w:r w:rsidRPr="00010966">
              <w:rPr>
                <w:rFonts w:hint="eastAsia"/>
                <w:sz w:val="20"/>
                <w:lang w:eastAsia="zh-CN"/>
              </w:rPr>
              <w:t>年下半年开展了一项医疗报销研究。此项研究更新了之前</w:t>
            </w:r>
            <w:r w:rsidR="00B65FE2" w:rsidRPr="00010966">
              <w:rPr>
                <w:rFonts w:hint="eastAsia"/>
                <w:sz w:val="20"/>
                <w:lang w:eastAsia="zh-CN"/>
              </w:rPr>
              <w:t>采</w:t>
            </w:r>
            <w:r w:rsidRPr="00010966">
              <w:rPr>
                <w:rFonts w:hint="eastAsia"/>
                <w:sz w:val="20"/>
                <w:lang w:eastAsia="zh-CN"/>
              </w:rPr>
              <w:t>用的假设。</w:t>
            </w:r>
            <w:r w:rsidR="00B65FE2" w:rsidRPr="00010966">
              <w:rPr>
                <w:rFonts w:hint="eastAsia"/>
                <w:sz w:val="20"/>
                <w:lang w:eastAsia="zh-CN"/>
              </w:rPr>
              <w:t>未来，</w:t>
            </w:r>
            <w:r w:rsidRPr="00010966">
              <w:rPr>
                <w:rFonts w:hint="eastAsia"/>
                <w:sz w:val="20"/>
                <w:lang w:eastAsia="zh-CN"/>
              </w:rPr>
              <w:t>这种做法将每</w:t>
            </w:r>
            <w:r w:rsidRPr="00010966">
              <w:rPr>
                <w:rFonts w:hint="eastAsia"/>
                <w:sz w:val="20"/>
                <w:lang w:eastAsia="zh-CN"/>
              </w:rPr>
              <w:t>3</w:t>
            </w:r>
            <w:r w:rsidRPr="00010966">
              <w:rPr>
                <w:rFonts w:hint="eastAsia"/>
                <w:sz w:val="20"/>
                <w:lang w:eastAsia="zh-CN"/>
              </w:rPr>
              <w:t>年进行一次。</w:t>
            </w:r>
          </w:p>
        </w:tc>
        <w:tc>
          <w:tcPr>
            <w:tcW w:w="1041" w:type="pct"/>
            <w:shd w:val="clear" w:color="auto" w:fill="auto"/>
          </w:tcPr>
          <w:p w14:paraId="344C749E" w14:textId="05C7C9F1" w:rsidR="003D7FF0" w:rsidRPr="00010966" w:rsidRDefault="0087465A" w:rsidP="00786ECB">
            <w:pPr>
              <w:pStyle w:val="Tabletext"/>
              <w:spacing w:before="60"/>
              <w:rPr>
                <w:sz w:val="20"/>
                <w:lang w:eastAsia="zh-CN"/>
              </w:rPr>
            </w:pPr>
            <w:r w:rsidRPr="00010966">
              <w:rPr>
                <w:rFonts w:hint="eastAsia"/>
                <w:sz w:val="20"/>
                <w:lang w:eastAsia="zh-CN"/>
              </w:rPr>
              <w:t>2024</w:t>
            </w:r>
            <w:r w:rsidRPr="00010966">
              <w:rPr>
                <w:rFonts w:hint="eastAsia"/>
                <w:sz w:val="20"/>
                <w:lang w:eastAsia="zh-CN"/>
              </w:rPr>
              <w:t>年，国际电联开展了详细的医疗报销研究。今年的报告对此做</w:t>
            </w:r>
            <w:r w:rsidR="00B65FE2" w:rsidRPr="00010966">
              <w:rPr>
                <w:rFonts w:hint="eastAsia"/>
                <w:sz w:val="20"/>
                <w:lang w:eastAsia="zh-CN"/>
              </w:rPr>
              <w:t>了</w:t>
            </w:r>
            <w:r w:rsidRPr="00010966">
              <w:rPr>
                <w:rFonts w:hint="eastAsia"/>
                <w:sz w:val="20"/>
                <w:lang w:eastAsia="zh-CN"/>
              </w:rPr>
              <w:t>进一步讨论。</w:t>
            </w:r>
          </w:p>
        </w:tc>
        <w:tc>
          <w:tcPr>
            <w:tcW w:w="487" w:type="pct"/>
            <w:shd w:val="clear" w:color="auto" w:fill="auto"/>
          </w:tcPr>
          <w:p w14:paraId="74228F70" w14:textId="27DCD9DD" w:rsidR="003D7FF0" w:rsidRPr="00010966" w:rsidRDefault="00F520EB" w:rsidP="00786ECB">
            <w:pPr>
              <w:pStyle w:val="Tabletext"/>
              <w:spacing w:before="60"/>
              <w:rPr>
                <w:sz w:val="20"/>
              </w:rPr>
            </w:pPr>
            <w:r w:rsidRPr="00010966">
              <w:rPr>
                <w:rFonts w:hint="eastAsia"/>
                <w:sz w:val="20"/>
                <w:lang w:eastAsia="zh-CN"/>
              </w:rPr>
              <w:t>已实施。</w:t>
            </w:r>
          </w:p>
          <w:p w14:paraId="6CE5A4CF" w14:textId="79CC28F2" w:rsidR="003D7FF0" w:rsidRPr="00010966" w:rsidRDefault="00A62A5A" w:rsidP="00786ECB">
            <w:pPr>
              <w:pStyle w:val="Tabletext"/>
              <w:spacing w:before="60"/>
              <w:rPr>
                <w:sz w:val="20"/>
              </w:rPr>
            </w:pPr>
            <w:r>
              <w:rPr>
                <w:rFonts w:hint="eastAsia"/>
                <w:sz w:val="20"/>
                <w:lang w:eastAsia="zh-CN"/>
              </w:rPr>
              <w:t>已关闭。</w:t>
            </w:r>
          </w:p>
        </w:tc>
      </w:tr>
      <w:tr w:rsidR="00D43F01" w:rsidRPr="00010966" w14:paraId="06A953C0" w14:textId="77777777" w:rsidTr="00E6035E">
        <w:tc>
          <w:tcPr>
            <w:tcW w:w="291" w:type="pct"/>
            <w:shd w:val="clear" w:color="auto" w:fill="auto"/>
          </w:tcPr>
          <w:p w14:paraId="6853E082" w14:textId="6BC6DCAD" w:rsidR="003D7FF0" w:rsidRPr="00010966" w:rsidRDefault="003D7FF0" w:rsidP="00D11485">
            <w:pPr>
              <w:pStyle w:val="Tabletext"/>
              <w:keepNext/>
              <w:keepLines/>
              <w:spacing w:before="60"/>
              <w:rPr>
                <w:sz w:val="20"/>
              </w:rPr>
            </w:pPr>
            <w:r w:rsidRPr="00010966">
              <w:rPr>
                <w:sz w:val="20"/>
              </w:rPr>
              <w:t>2022</w:t>
            </w:r>
            <w:r w:rsidR="00D43F01" w:rsidRPr="00010966">
              <w:rPr>
                <w:rFonts w:hint="eastAsia"/>
                <w:sz w:val="20"/>
                <w:lang w:eastAsia="zh-CN"/>
              </w:rPr>
              <w:t>年最后报告</w:t>
            </w:r>
            <w:r w:rsidRPr="00010966">
              <w:rPr>
                <w:sz w:val="20"/>
              </w:rPr>
              <w:t xml:space="preserve"> R8</w:t>
            </w:r>
          </w:p>
        </w:tc>
        <w:tc>
          <w:tcPr>
            <w:tcW w:w="1441" w:type="pct"/>
            <w:shd w:val="clear" w:color="auto" w:fill="auto"/>
          </w:tcPr>
          <w:p w14:paraId="74D8D25C" w14:textId="59CDC64A" w:rsidR="003D7FF0" w:rsidRPr="00010966" w:rsidRDefault="003634DC" w:rsidP="00D11485">
            <w:pPr>
              <w:pStyle w:val="Tabletext"/>
              <w:keepNext/>
              <w:keepLines/>
              <w:spacing w:before="60"/>
              <w:rPr>
                <w:sz w:val="20"/>
                <w:lang w:eastAsia="zh-CN"/>
              </w:rPr>
            </w:pPr>
            <w:r w:rsidRPr="00010966">
              <w:rPr>
                <w:rFonts w:hint="eastAsia"/>
                <w:sz w:val="20"/>
                <w:lang w:eastAsia="zh-CN"/>
              </w:rPr>
              <w:t>确保用于职员福利负债估值的所有第三方数据都经过适当验证。</w:t>
            </w:r>
          </w:p>
        </w:tc>
        <w:tc>
          <w:tcPr>
            <w:tcW w:w="1741" w:type="pct"/>
            <w:shd w:val="clear" w:color="auto" w:fill="auto"/>
          </w:tcPr>
          <w:p w14:paraId="3D0B0C48" w14:textId="286BD5A2" w:rsidR="003D7FF0" w:rsidRPr="00010966" w:rsidRDefault="0087465A" w:rsidP="00D11485">
            <w:pPr>
              <w:pStyle w:val="Tabletext"/>
              <w:keepNext/>
              <w:keepLines/>
              <w:spacing w:before="60"/>
              <w:rPr>
                <w:sz w:val="20"/>
                <w:lang w:eastAsia="zh-CN"/>
              </w:rPr>
            </w:pPr>
            <w:r w:rsidRPr="00010966">
              <w:rPr>
                <w:rFonts w:hint="eastAsia"/>
                <w:sz w:val="20"/>
                <w:lang w:eastAsia="zh-CN"/>
              </w:rPr>
              <w:t>国际电联已</w:t>
            </w:r>
            <w:r w:rsidR="00C10B16" w:rsidRPr="00010966">
              <w:rPr>
                <w:rFonts w:hint="eastAsia"/>
                <w:sz w:val="20"/>
                <w:lang w:eastAsia="zh-CN"/>
              </w:rPr>
              <w:t>制定</w:t>
            </w:r>
            <w:r w:rsidRPr="00010966">
              <w:rPr>
                <w:rFonts w:hint="eastAsia"/>
                <w:sz w:val="20"/>
                <w:lang w:eastAsia="zh-CN"/>
              </w:rPr>
              <w:t>了</w:t>
            </w:r>
            <w:r w:rsidR="00C10B16" w:rsidRPr="00010966">
              <w:rPr>
                <w:rFonts w:hint="eastAsia"/>
                <w:sz w:val="20"/>
                <w:lang w:eastAsia="zh-CN"/>
              </w:rPr>
              <w:t>用于</w:t>
            </w:r>
            <w:r w:rsidRPr="00010966">
              <w:rPr>
                <w:rFonts w:hint="eastAsia"/>
                <w:sz w:val="20"/>
                <w:lang w:eastAsia="zh-CN"/>
              </w:rPr>
              <w:t>验证第三方</w:t>
            </w:r>
            <w:r w:rsidR="00C10B16" w:rsidRPr="00010966">
              <w:rPr>
                <w:rFonts w:hint="eastAsia"/>
                <w:sz w:val="20"/>
                <w:lang w:eastAsia="zh-CN"/>
              </w:rPr>
              <w:t>职员福利</w:t>
            </w:r>
            <w:r w:rsidRPr="00010966">
              <w:rPr>
                <w:rFonts w:hint="eastAsia"/>
                <w:sz w:val="20"/>
                <w:lang w:eastAsia="zh-CN"/>
              </w:rPr>
              <w:t>数据</w:t>
            </w:r>
            <w:r w:rsidR="00C10B16" w:rsidRPr="00010966">
              <w:rPr>
                <w:rFonts w:hint="eastAsia"/>
                <w:sz w:val="20"/>
                <w:lang w:eastAsia="zh-CN"/>
              </w:rPr>
              <w:t>的年终程序</w:t>
            </w:r>
            <w:r w:rsidRPr="00010966">
              <w:rPr>
                <w:rFonts w:hint="eastAsia"/>
                <w:sz w:val="20"/>
                <w:lang w:eastAsia="zh-CN"/>
              </w:rPr>
              <w:t>。</w:t>
            </w:r>
            <w:r w:rsidRPr="00010966">
              <w:rPr>
                <w:rFonts w:hint="eastAsia"/>
                <w:sz w:val="20"/>
                <w:lang w:eastAsia="zh-CN"/>
              </w:rPr>
              <w:t>HRMD</w:t>
            </w:r>
            <w:r w:rsidRPr="00010966">
              <w:rPr>
                <w:rFonts w:hint="eastAsia"/>
                <w:sz w:val="20"/>
                <w:lang w:eastAsia="zh-CN"/>
              </w:rPr>
              <w:t>和内部审计部门已对此进行了</w:t>
            </w:r>
            <w:r w:rsidR="00C10B16" w:rsidRPr="00010966">
              <w:rPr>
                <w:rFonts w:hint="eastAsia"/>
                <w:sz w:val="20"/>
                <w:lang w:eastAsia="zh-CN"/>
              </w:rPr>
              <w:t>核验</w:t>
            </w:r>
            <w:r w:rsidRPr="00010966">
              <w:rPr>
                <w:rFonts w:hint="eastAsia"/>
                <w:sz w:val="20"/>
                <w:lang w:eastAsia="zh-CN"/>
              </w:rPr>
              <w:t>，确保数据完整准确，符合年终流程的目的。</w:t>
            </w:r>
          </w:p>
        </w:tc>
        <w:tc>
          <w:tcPr>
            <w:tcW w:w="1041" w:type="pct"/>
            <w:shd w:val="clear" w:color="auto" w:fill="auto"/>
          </w:tcPr>
          <w:p w14:paraId="6BE2FF8B" w14:textId="614E8B76" w:rsidR="003D7FF0" w:rsidRPr="00010966" w:rsidRDefault="0087465A" w:rsidP="00D11485">
            <w:pPr>
              <w:pStyle w:val="Tabletext"/>
              <w:keepNext/>
              <w:keepLines/>
              <w:spacing w:before="60"/>
              <w:rPr>
                <w:sz w:val="20"/>
                <w:lang w:eastAsia="zh-CN"/>
              </w:rPr>
            </w:pPr>
            <w:r w:rsidRPr="00010966">
              <w:rPr>
                <w:rFonts w:hint="eastAsia"/>
                <w:sz w:val="20"/>
                <w:lang w:eastAsia="zh-CN"/>
              </w:rPr>
              <w:t>我们注意到管理层的回应，今年的报告</w:t>
            </w:r>
            <w:r w:rsidR="00C10B16" w:rsidRPr="00010966">
              <w:rPr>
                <w:rFonts w:hint="eastAsia"/>
                <w:sz w:val="20"/>
                <w:lang w:eastAsia="zh-CN"/>
              </w:rPr>
              <w:t>对此问题</w:t>
            </w:r>
            <w:r w:rsidR="009E59D7" w:rsidRPr="00010966">
              <w:rPr>
                <w:rFonts w:hint="eastAsia"/>
                <w:sz w:val="20"/>
                <w:lang w:eastAsia="zh-CN"/>
              </w:rPr>
              <w:t>作</w:t>
            </w:r>
            <w:r w:rsidR="00C10B16" w:rsidRPr="00010966">
              <w:rPr>
                <w:rFonts w:hint="eastAsia"/>
                <w:sz w:val="20"/>
                <w:lang w:eastAsia="zh-CN"/>
              </w:rPr>
              <w:t>了</w:t>
            </w:r>
            <w:r w:rsidRPr="00010966">
              <w:rPr>
                <w:rFonts w:hint="eastAsia"/>
                <w:sz w:val="20"/>
                <w:lang w:eastAsia="zh-CN"/>
              </w:rPr>
              <w:t>进一步探讨。</w:t>
            </w:r>
          </w:p>
        </w:tc>
        <w:tc>
          <w:tcPr>
            <w:tcW w:w="487" w:type="pct"/>
            <w:shd w:val="clear" w:color="auto" w:fill="auto"/>
          </w:tcPr>
          <w:p w14:paraId="7E726C15" w14:textId="1CB901FD" w:rsidR="003D7FF0" w:rsidRPr="00010966" w:rsidRDefault="00F520EB" w:rsidP="00786ECB">
            <w:pPr>
              <w:pStyle w:val="Tabletext"/>
              <w:spacing w:before="60"/>
              <w:rPr>
                <w:sz w:val="20"/>
              </w:rPr>
            </w:pPr>
            <w:r w:rsidRPr="00010966">
              <w:rPr>
                <w:rFonts w:hint="eastAsia"/>
                <w:sz w:val="20"/>
                <w:lang w:eastAsia="zh-CN"/>
              </w:rPr>
              <w:t>正在实施。</w:t>
            </w:r>
          </w:p>
        </w:tc>
      </w:tr>
      <w:tr w:rsidR="00D43F01" w:rsidRPr="00010966" w14:paraId="2850F783" w14:textId="77777777" w:rsidTr="00E6035E">
        <w:tc>
          <w:tcPr>
            <w:tcW w:w="291" w:type="pct"/>
            <w:shd w:val="clear" w:color="auto" w:fill="auto"/>
          </w:tcPr>
          <w:p w14:paraId="28FE9271" w14:textId="0A9B0232" w:rsidR="003D7FF0" w:rsidRPr="00010966" w:rsidRDefault="003D7FF0" w:rsidP="00786ECB">
            <w:pPr>
              <w:pStyle w:val="Tabletext"/>
              <w:spacing w:before="60"/>
              <w:rPr>
                <w:sz w:val="20"/>
              </w:rPr>
            </w:pPr>
            <w:r w:rsidRPr="00010966">
              <w:rPr>
                <w:sz w:val="20"/>
              </w:rPr>
              <w:t>2022</w:t>
            </w:r>
            <w:r w:rsidR="00D43F01" w:rsidRPr="00010966">
              <w:rPr>
                <w:rFonts w:hint="eastAsia"/>
                <w:sz w:val="20"/>
                <w:lang w:eastAsia="zh-CN"/>
              </w:rPr>
              <w:t>年最后报告</w:t>
            </w:r>
            <w:r w:rsidRPr="00010966">
              <w:rPr>
                <w:sz w:val="20"/>
              </w:rPr>
              <w:t xml:space="preserve"> R9</w:t>
            </w:r>
          </w:p>
        </w:tc>
        <w:tc>
          <w:tcPr>
            <w:tcW w:w="1441" w:type="pct"/>
            <w:shd w:val="clear" w:color="auto" w:fill="auto"/>
          </w:tcPr>
          <w:p w14:paraId="4944BA8A" w14:textId="71FC5195" w:rsidR="003D7FF0" w:rsidRPr="00010966" w:rsidRDefault="00EE6EAF" w:rsidP="00786ECB">
            <w:pPr>
              <w:pStyle w:val="Tabletext"/>
              <w:spacing w:before="60"/>
              <w:rPr>
                <w:sz w:val="20"/>
                <w:lang w:eastAsia="zh-CN"/>
              </w:rPr>
            </w:pPr>
            <w:r w:rsidRPr="00010966">
              <w:rPr>
                <w:rFonts w:hint="eastAsia"/>
                <w:sz w:val="20"/>
                <w:lang w:eastAsia="zh-CN"/>
              </w:rPr>
              <w:t>重新审议其加入</w:t>
            </w:r>
            <w:r w:rsidRPr="00010966">
              <w:rPr>
                <w:rFonts w:hint="eastAsia"/>
                <w:sz w:val="20"/>
                <w:lang w:eastAsia="zh-CN"/>
              </w:rPr>
              <w:t>UNSMIS</w:t>
            </w:r>
            <w:r w:rsidRPr="00010966">
              <w:rPr>
                <w:rFonts w:hint="eastAsia"/>
                <w:sz w:val="20"/>
                <w:lang w:eastAsia="zh-CN"/>
              </w:rPr>
              <w:t>的最初商业案例并向理事会报告这一重大投资决定给国际电联带来的相关成本和收益。</w:t>
            </w:r>
          </w:p>
        </w:tc>
        <w:tc>
          <w:tcPr>
            <w:tcW w:w="1741" w:type="pct"/>
            <w:shd w:val="clear" w:color="auto" w:fill="auto"/>
          </w:tcPr>
          <w:p w14:paraId="0F3BD72E" w14:textId="1DB8F616" w:rsidR="000F2C69" w:rsidRPr="00010966" w:rsidRDefault="0087465A" w:rsidP="000F2C69">
            <w:pPr>
              <w:pStyle w:val="Tabletext"/>
              <w:spacing w:before="60"/>
              <w:rPr>
                <w:sz w:val="20"/>
                <w:lang w:eastAsia="zh-CN"/>
              </w:rPr>
            </w:pPr>
            <w:r w:rsidRPr="00010966">
              <w:rPr>
                <w:rFonts w:hint="eastAsia"/>
                <w:sz w:val="20"/>
                <w:lang w:eastAsia="zh-CN"/>
              </w:rPr>
              <w:t>管理层接受这一建议，并将与其他联合国机构合作，确保为退休和在职职员提供的健康保险</w:t>
            </w:r>
            <w:r w:rsidR="004233F5" w:rsidRPr="00010966">
              <w:rPr>
                <w:rFonts w:hint="eastAsia"/>
                <w:sz w:val="20"/>
                <w:lang w:eastAsia="zh-CN"/>
              </w:rPr>
              <w:t>保障</w:t>
            </w:r>
            <w:r w:rsidRPr="00010966">
              <w:rPr>
                <w:rFonts w:hint="eastAsia"/>
                <w:sz w:val="20"/>
                <w:lang w:eastAsia="zh-CN"/>
              </w:rPr>
              <w:t>水平</w:t>
            </w:r>
            <w:r w:rsidR="004233F5" w:rsidRPr="00010966">
              <w:rPr>
                <w:rFonts w:hint="eastAsia"/>
                <w:sz w:val="20"/>
                <w:lang w:eastAsia="zh-CN"/>
              </w:rPr>
              <w:t>达到</w:t>
            </w:r>
            <w:r w:rsidRPr="00010966">
              <w:rPr>
                <w:rFonts w:hint="eastAsia"/>
                <w:sz w:val="20"/>
                <w:lang w:eastAsia="zh-CN"/>
              </w:rPr>
              <w:t>基准。</w:t>
            </w:r>
            <w:r w:rsidRPr="00010966">
              <w:rPr>
                <w:rFonts w:hint="eastAsia"/>
                <w:sz w:val="20"/>
                <w:lang w:eastAsia="zh-CN"/>
              </w:rPr>
              <w:t>2019-2020</w:t>
            </w:r>
            <w:r w:rsidRPr="00010966">
              <w:rPr>
                <w:rFonts w:hint="eastAsia"/>
                <w:sz w:val="20"/>
                <w:lang w:eastAsia="zh-CN"/>
              </w:rPr>
              <w:t>年，通过多种渠道向理事会通报了国际电联与</w:t>
            </w:r>
            <w:r w:rsidRPr="00010966">
              <w:rPr>
                <w:rFonts w:hint="eastAsia"/>
                <w:sz w:val="20"/>
                <w:lang w:eastAsia="zh-CN"/>
              </w:rPr>
              <w:t>UNSMIS</w:t>
            </w:r>
            <w:r w:rsidRPr="00010966">
              <w:rPr>
                <w:rFonts w:hint="eastAsia"/>
                <w:sz w:val="20"/>
                <w:lang w:eastAsia="zh-CN"/>
              </w:rPr>
              <w:t>达成协议的理由和程序。这主要反映在以下文件中：向理事会提供的信息</w:t>
            </w:r>
            <w:r w:rsidRPr="00010966">
              <w:rPr>
                <w:rFonts w:hint="eastAsia"/>
                <w:sz w:val="20"/>
                <w:lang w:eastAsia="zh-CN"/>
              </w:rPr>
              <w:t xml:space="preserve"> </w:t>
            </w:r>
            <w:r w:rsidRPr="00010966">
              <w:rPr>
                <w:rFonts w:asciiTheme="minorHAnsi" w:hAnsiTheme="minorHAnsi" w:cstheme="minorHAnsi"/>
                <w:sz w:val="20"/>
                <w:lang w:eastAsia="zh-CN"/>
              </w:rPr>
              <w:t>•</w:t>
            </w:r>
            <w:r w:rsidRPr="00010966">
              <w:rPr>
                <w:rFonts w:hint="eastAsia"/>
                <w:sz w:val="20"/>
                <w:lang w:eastAsia="zh-CN"/>
              </w:rPr>
              <w:t xml:space="preserve"> 2019</w:t>
            </w:r>
            <w:r w:rsidRPr="00010966">
              <w:rPr>
                <w:rFonts w:hint="eastAsia"/>
                <w:sz w:val="20"/>
                <w:lang w:eastAsia="zh-CN"/>
              </w:rPr>
              <w:t>年（</w:t>
            </w:r>
            <w:r w:rsidR="004233F5">
              <w:fldChar w:fldCharType="begin"/>
            </w:r>
            <w:r w:rsidR="004233F5">
              <w:rPr>
                <w:lang w:eastAsia="zh-CN"/>
              </w:rPr>
              <w:instrText>HYPERLINK "https://www.itu.int/md/S20-CL-C-0042/en"</w:instrText>
            </w:r>
            <w:r w:rsidR="004233F5">
              <w:fldChar w:fldCharType="separate"/>
            </w:r>
            <w:proofErr w:type="spellStart"/>
            <w:r w:rsidR="004233F5" w:rsidRPr="00010966">
              <w:rPr>
                <w:rStyle w:val="Hyperlink"/>
                <w:sz w:val="20"/>
                <w:lang w:eastAsia="zh-CN"/>
              </w:rPr>
              <w:t>C20</w:t>
            </w:r>
            <w:proofErr w:type="spellEnd"/>
            <w:r w:rsidR="004233F5" w:rsidRPr="00010966">
              <w:rPr>
                <w:rStyle w:val="Hyperlink"/>
                <w:sz w:val="20"/>
                <w:lang w:eastAsia="zh-CN"/>
              </w:rPr>
              <w:t>/42(</w:t>
            </w:r>
            <w:proofErr w:type="spellStart"/>
            <w:r w:rsidR="004233F5" w:rsidRPr="00010966">
              <w:rPr>
                <w:rStyle w:val="Hyperlink"/>
                <w:sz w:val="20"/>
                <w:lang w:eastAsia="zh-CN"/>
              </w:rPr>
              <w:t>Rev.1</w:t>
            </w:r>
            <w:proofErr w:type="spellEnd"/>
            <w:r w:rsidR="004233F5" w:rsidRPr="00010966">
              <w:rPr>
                <w:rStyle w:val="Hyperlink"/>
                <w:sz w:val="20"/>
                <w:lang w:eastAsia="zh-CN"/>
              </w:rPr>
              <w:t>)</w:t>
            </w:r>
            <w:r w:rsidR="004233F5">
              <w:fldChar w:fldCharType="end"/>
            </w:r>
            <w:r w:rsidRPr="00010966">
              <w:rPr>
                <w:rFonts w:hint="eastAsia"/>
                <w:sz w:val="20"/>
                <w:lang w:eastAsia="zh-CN"/>
              </w:rPr>
              <w:t>）和</w:t>
            </w:r>
            <w:r w:rsidRPr="00010966">
              <w:rPr>
                <w:rFonts w:hint="eastAsia"/>
                <w:sz w:val="20"/>
                <w:lang w:eastAsia="zh-CN"/>
              </w:rPr>
              <w:t>2020</w:t>
            </w:r>
            <w:r w:rsidRPr="00010966">
              <w:rPr>
                <w:rFonts w:hint="eastAsia"/>
                <w:sz w:val="20"/>
                <w:lang w:eastAsia="zh-CN"/>
              </w:rPr>
              <w:t>年（</w:t>
            </w:r>
            <w:r>
              <w:fldChar w:fldCharType="begin"/>
            </w:r>
            <w:r>
              <w:rPr>
                <w:lang w:eastAsia="zh-CN"/>
              </w:rPr>
              <w:instrText>HYPERLINK "https://www.itu.int/md/S21-CL-C-0042/en"</w:instrText>
            </w:r>
            <w:r>
              <w:fldChar w:fldCharType="separate"/>
            </w:r>
            <w:proofErr w:type="spellStart"/>
            <w:r w:rsidRPr="00010966">
              <w:rPr>
                <w:rStyle w:val="Hyperlink"/>
                <w:rFonts w:hint="eastAsia"/>
                <w:sz w:val="20"/>
                <w:lang w:eastAsia="zh-CN"/>
              </w:rPr>
              <w:t>C21</w:t>
            </w:r>
            <w:proofErr w:type="spellEnd"/>
            <w:r w:rsidRPr="00010966">
              <w:rPr>
                <w:rStyle w:val="Hyperlink"/>
                <w:rFonts w:hint="eastAsia"/>
                <w:sz w:val="20"/>
                <w:lang w:eastAsia="zh-CN"/>
              </w:rPr>
              <w:t>/42</w:t>
            </w:r>
            <w:r>
              <w:fldChar w:fldCharType="end"/>
            </w:r>
            <w:r w:rsidRPr="00010966">
              <w:rPr>
                <w:rFonts w:hint="eastAsia"/>
                <w:sz w:val="20"/>
                <w:lang w:eastAsia="zh-CN"/>
              </w:rPr>
              <w:t>）</w:t>
            </w:r>
            <w:r w:rsidR="004233F5" w:rsidRPr="00010966">
              <w:rPr>
                <w:rFonts w:hint="eastAsia"/>
                <w:sz w:val="20"/>
                <w:lang w:eastAsia="zh-CN"/>
              </w:rPr>
              <w:t>《</w:t>
            </w:r>
            <w:r w:rsidRPr="00010966">
              <w:rPr>
                <w:rFonts w:hint="eastAsia"/>
                <w:sz w:val="20"/>
                <w:lang w:eastAsia="zh-CN"/>
              </w:rPr>
              <w:t>财务工作报告</w:t>
            </w:r>
            <w:r w:rsidR="004233F5" w:rsidRPr="00010966">
              <w:rPr>
                <w:rFonts w:hint="eastAsia"/>
                <w:sz w:val="20"/>
                <w:lang w:eastAsia="zh-CN"/>
              </w:rPr>
              <w:t>》；</w:t>
            </w:r>
            <w:r w:rsidR="00010966" w:rsidRPr="00010966">
              <w:rPr>
                <w:rFonts w:asciiTheme="minorHAnsi" w:hAnsiTheme="minorHAnsi" w:cstheme="minorHAnsi"/>
                <w:sz w:val="20"/>
                <w:lang w:eastAsia="zh-CN"/>
              </w:rPr>
              <w:t>•</w:t>
            </w:r>
            <w:r w:rsidRPr="00010966">
              <w:rPr>
                <w:rFonts w:hint="eastAsia"/>
                <w:sz w:val="20"/>
                <w:lang w:eastAsia="zh-CN"/>
              </w:rPr>
              <w:t xml:space="preserve"> </w:t>
            </w:r>
            <w:r w:rsidR="00EF1C9D" w:rsidRPr="00010966">
              <w:rPr>
                <w:rFonts w:hint="eastAsia"/>
                <w:sz w:val="20"/>
                <w:lang w:eastAsia="zh-CN"/>
              </w:rPr>
              <w:t>《</w:t>
            </w:r>
            <w:r w:rsidRPr="00010966">
              <w:rPr>
                <w:rFonts w:hint="eastAsia"/>
                <w:sz w:val="20"/>
                <w:lang w:eastAsia="zh-CN"/>
              </w:rPr>
              <w:t>秘书长</w:t>
            </w:r>
            <w:r w:rsidR="00EF1C9D" w:rsidRPr="00010966">
              <w:rPr>
                <w:rFonts w:hint="eastAsia"/>
                <w:sz w:val="20"/>
                <w:lang w:eastAsia="zh-CN"/>
              </w:rPr>
              <w:t>有</w:t>
            </w:r>
            <w:r w:rsidRPr="00010966">
              <w:rPr>
                <w:rFonts w:hint="eastAsia"/>
                <w:sz w:val="20"/>
                <w:lang w:eastAsia="zh-CN"/>
              </w:rPr>
              <w:t>关落实人力资源战略规划和第</w:t>
            </w:r>
            <w:r w:rsidRPr="00010966">
              <w:rPr>
                <w:rFonts w:hint="eastAsia"/>
                <w:sz w:val="20"/>
                <w:lang w:eastAsia="zh-CN"/>
              </w:rPr>
              <w:t>48</w:t>
            </w:r>
            <w:r w:rsidRPr="00010966">
              <w:rPr>
                <w:rFonts w:hint="eastAsia"/>
                <w:sz w:val="20"/>
                <w:lang w:eastAsia="zh-CN"/>
              </w:rPr>
              <w:t>号决议的进展报告</w:t>
            </w:r>
            <w:r w:rsidR="00EF1C9D" w:rsidRPr="00010966">
              <w:rPr>
                <w:rFonts w:hint="eastAsia"/>
                <w:sz w:val="20"/>
                <w:lang w:eastAsia="zh-CN"/>
              </w:rPr>
              <w:t>》（</w:t>
            </w:r>
            <w:hyperlink r:id="rId25" w:history="1">
              <w:proofErr w:type="spellStart"/>
              <w:r w:rsidR="00EF1C9D" w:rsidRPr="00010966">
                <w:rPr>
                  <w:rStyle w:val="Hyperlink"/>
                  <w:rFonts w:hint="eastAsia"/>
                  <w:sz w:val="20"/>
                  <w:lang w:eastAsia="zh-CN"/>
                </w:rPr>
                <w:t>C20</w:t>
              </w:r>
              <w:proofErr w:type="spellEnd"/>
              <w:r w:rsidR="00EF1C9D" w:rsidRPr="00010966">
                <w:rPr>
                  <w:rStyle w:val="Hyperlink"/>
                  <w:rFonts w:hint="eastAsia"/>
                  <w:sz w:val="20"/>
                  <w:lang w:eastAsia="zh-CN"/>
                </w:rPr>
                <w:t>/54</w:t>
              </w:r>
            </w:hyperlink>
            <w:r w:rsidR="00EF1C9D" w:rsidRPr="00010966">
              <w:rPr>
                <w:rFonts w:hint="eastAsia"/>
                <w:sz w:val="20"/>
                <w:lang w:eastAsia="zh-CN"/>
              </w:rPr>
              <w:t>）；</w:t>
            </w:r>
            <w:r w:rsidR="00010966" w:rsidRPr="00010966">
              <w:rPr>
                <w:rFonts w:asciiTheme="minorHAnsi" w:hAnsiTheme="minorHAnsi" w:cstheme="minorHAnsi"/>
                <w:sz w:val="20"/>
                <w:lang w:eastAsia="zh-CN"/>
              </w:rPr>
              <w:t>•</w:t>
            </w:r>
            <w:r w:rsidRPr="00010966">
              <w:rPr>
                <w:rFonts w:hint="eastAsia"/>
                <w:sz w:val="20"/>
                <w:lang w:eastAsia="zh-CN"/>
              </w:rPr>
              <w:t xml:space="preserve"> 2019</w:t>
            </w:r>
            <w:r w:rsidRPr="00010966">
              <w:rPr>
                <w:rFonts w:hint="eastAsia"/>
                <w:sz w:val="20"/>
                <w:lang w:eastAsia="zh-CN"/>
              </w:rPr>
              <w:t>年</w:t>
            </w:r>
            <w:r w:rsidR="00EF1C9D" w:rsidRPr="00010966">
              <w:rPr>
                <w:rFonts w:hint="eastAsia"/>
                <w:sz w:val="20"/>
                <w:lang w:eastAsia="zh-CN"/>
              </w:rPr>
              <w:t>《</w:t>
            </w:r>
            <w:r w:rsidRPr="00010966">
              <w:rPr>
                <w:rFonts w:hint="eastAsia"/>
                <w:sz w:val="20"/>
                <w:lang w:eastAsia="zh-CN"/>
              </w:rPr>
              <w:t>外部审计</w:t>
            </w:r>
            <w:r w:rsidR="00EF1C9D" w:rsidRPr="00010966">
              <w:rPr>
                <w:rFonts w:hint="eastAsia"/>
                <w:sz w:val="20"/>
                <w:lang w:eastAsia="zh-CN"/>
              </w:rPr>
              <w:t>》</w:t>
            </w:r>
            <w:r w:rsidRPr="00010966">
              <w:rPr>
                <w:rFonts w:hint="eastAsia"/>
                <w:sz w:val="20"/>
                <w:lang w:eastAsia="zh-CN"/>
              </w:rPr>
              <w:t>报告（</w:t>
            </w:r>
            <w:hyperlink r:id="rId26" w:history="1">
              <w:proofErr w:type="spellStart"/>
              <w:r w:rsidRPr="00010966">
                <w:rPr>
                  <w:rStyle w:val="Hyperlink"/>
                  <w:rFonts w:hint="eastAsia"/>
                  <w:sz w:val="20"/>
                  <w:lang w:eastAsia="zh-CN"/>
                </w:rPr>
                <w:t>C20</w:t>
              </w:r>
              <w:proofErr w:type="spellEnd"/>
              <w:r w:rsidRPr="00010966">
                <w:rPr>
                  <w:rStyle w:val="Hyperlink"/>
                  <w:rFonts w:hint="eastAsia"/>
                  <w:sz w:val="20"/>
                  <w:lang w:eastAsia="zh-CN"/>
                </w:rPr>
                <w:t>/40</w:t>
              </w:r>
            </w:hyperlink>
            <w:r w:rsidRPr="00010966">
              <w:rPr>
                <w:rFonts w:hint="eastAsia"/>
                <w:sz w:val="20"/>
                <w:lang w:eastAsia="zh-CN"/>
              </w:rPr>
              <w:t>）</w:t>
            </w:r>
            <w:r w:rsidR="00EF1C9D" w:rsidRPr="00010966">
              <w:rPr>
                <w:rFonts w:hint="eastAsia"/>
                <w:sz w:val="20"/>
                <w:lang w:eastAsia="zh-CN"/>
              </w:rPr>
              <w:t>；</w:t>
            </w:r>
            <w:r w:rsidR="00010966" w:rsidRPr="00010966">
              <w:rPr>
                <w:rFonts w:asciiTheme="minorHAnsi" w:hAnsiTheme="minorHAnsi" w:cstheme="minorHAnsi"/>
                <w:sz w:val="20"/>
                <w:lang w:eastAsia="zh-CN"/>
              </w:rPr>
              <w:t>•</w:t>
            </w:r>
            <w:r w:rsidRPr="00010966">
              <w:rPr>
                <w:rFonts w:hint="eastAsia"/>
                <w:sz w:val="20"/>
                <w:lang w:eastAsia="zh-CN"/>
              </w:rPr>
              <w:t xml:space="preserve"> </w:t>
            </w:r>
            <w:r w:rsidRPr="00010966">
              <w:rPr>
                <w:rFonts w:hint="eastAsia"/>
                <w:sz w:val="20"/>
                <w:lang w:eastAsia="zh-CN"/>
              </w:rPr>
              <w:t>秘书长关于</w:t>
            </w:r>
            <w:r w:rsidRPr="00010966">
              <w:rPr>
                <w:rFonts w:hint="eastAsia"/>
                <w:sz w:val="20"/>
                <w:lang w:eastAsia="zh-CN"/>
              </w:rPr>
              <w:t>2020</w:t>
            </w:r>
            <w:r w:rsidRPr="00010966">
              <w:rPr>
                <w:rFonts w:hint="eastAsia"/>
                <w:sz w:val="20"/>
                <w:lang w:eastAsia="zh-CN"/>
              </w:rPr>
              <w:t>年（</w:t>
            </w:r>
            <w:r w:rsidR="00EF1C9D">
              <w:fldChar w:fldCharType="begin"/>
            </w:r>
            <w:r w:rsidR="00EF1C9D">
              <w:rPr>
                <w:lang w:eastAsia="zh-CN"/>
              </w:rPr>
              <w:instrText>HYPERLINK "https://www.itu.int/md/S20-CL-C-0046/en"</w:instrText>
            </w:r>
            <w:r w:rsidR="00EF1C9D">
              <w:fldChar w:fldCharType="separate"/>
            </w:r>
            <w:proofErr w:type="spellStart"/>
            <w:r w:rsidR="00EF1C9D" w:rsidRPr="00010966">
              <w:rPr>
                <w:rStyle w:val="Hyperlink"/>
                <w:sz w:val="20"/>
                <w:lang w:eastAsia="zh-CN"/>
              </w:rPr>
              <w:t>C20</w:t>
            </w:r>
            <w:proofErr w:type="spellEnd"/>
            <w:r w:rsidR="00EF1C9D" w:rsidRPr="00010966">
              <w:rPr>
                <w:rStyle w:val="Hyperlink"/>
                <w:sz w:val="20"/>
                <w:lang w:eastAsia="zh-CN"/>
              </w:rPr>
              <w:t>/46(</w:t>
            </w:r>
            <w:proofErr w:type="spellStart"/>
            <w:r w:rsidR="00EF1C9D" w:rsidRPr="00010966">
              <w:rPr>
                <w:rStyle w:val="Hyperlink"/>
                <w:sz w:val="20"/>
                <w:lang w:eastAsia="zh-CN"/>
              </w:rPr>
              <w:t>Rev.1</w:t>
            </w:r>
            <w:proofErr w:type="spellEnd"/>
            <w:r w:rsidR="00EF1C9D" w:rsidRPr="00010966">
              <w:rPr>
                <w:rStyle w:val="Hyperlink"/>
                <w:sz w:val="20"/>
                <w:lang w:eastAsia="zh-CN"/>
              </w:rPr>
              <w:t>)</w:t>
            </w:r>
            <w:r w:rsidR="00EF1C9D">
              <w:fldChar w:fldCharType="end"/>
            </w:r>
            <w:r w:rsidRPr="00010966">
              <w:rPr>
                <w:rFonts w:hint="eastAsia"/>
                <w:sz w:val="20"/>
                <w:lang w:eastAsia="zh-CN"/>
              </w:rPr>
              <w:t>）和</w:t>
            </w:r>
            <w:r w:rsidRPr="00010966">
              <w:rPr>
                <w:rFonts w:hint="eastAsia"/>
                <w:sz w:val="20"/>
                <w:lang w:eastAsia="zh-CN"/>
              </w:rPr>
              <w:t>2021</w:t>
            </w:r>
            <w:r w:rsidRPr="00010966">
              <w:rPr>
                <w:rFonts w:hint="eastAsia"/>
                <w:sz w:val="20"/>
                <w:lang w:eastAsia="zh-CN"/>
              </w:rPr>
              <w:t>年（</w:t>
            </w:r>
            <w:r w:rsidR="00EF1C9D">
              <w:fldChar w:fldCharType="begin"/>
            </w:r>
            <w:r w:rsidR="00EF1C9D">
              <w:rPr>
                <w:lang w:eastAsia="zh-CN"/>
              </w:rPr>
              <w:instrText>HYPERLINK "https://www.itu.int/md/S21-CL-C-0046/en"</w:instrText>
            </w:r>
            <w:r w:rsidR="00EF1C9D">
              <w:fldChar w:fldCharType="separate"/>
            </w:r>
            <w:proofErr w:type="spellStart"/>
            <w:r w:rsidR="00EF1C9D" w:rsidRPr="00010966">
              <w:rPr>
                <w:rStyle w:val="Hyperlink"/>
                <w:sz w:val="20"/>
                <w:lang w:eastAsia="zh-CN"/>
              </w:rPr>
              <w:t>C21</w:t>
            </w:r>
            <w:proofErr w:type="spellEnd"/>
            <w:r w:rsidR="00EF1C9D" w:rsidRPr="00010966">
              <w:rPr>
                <w:rStyle w:val="Hyperlink"/>
                <w:sz w:val="20"/>
                <w:lang w:eastAsia="zh-CN"/>
              </w:rPr>
              <w:t>/46</w:t>
            </w:r>
            <w:r w:rsidR="00EF1C9D">
              <w:fldChar w:fldCharType="end"/>
            </w:r>
            <w:r w:rsidRPr="00010966">
              <w:rPr>
                <w:rFonts w:hint="eastAsia"/>
                <w:sz w:val="20"/>
                <w:lang w:eastAsia="zh-CN"/>
              </w:rPr>
              <w:t>）离职后健康保险（</w:t>
            </w:r>
            <w:r w:rsidRPr="00010966">
              <w:rPr>
                <w:rFonts w:hint="eastAsia"/>
                <w:sz w:val="20"/>
                <w:lang w:eastAsia="zh-CN"/>
              </w:rPr>
              <w:t>ASHI</w:t>
            </w:r>
            <w:r w:rsidRPr="00010966">
              <w:rPr>
                <w:rFonts w:hint="eastAsia"/>
                <w:sz w:val="20"/>
                <w:lang w:eastAsia="zh-CN"/>
              </w:rPr>
              <w:t>）负债的报告。以下</w:t>
            </w:r>
            <w:r w:rsidR="00EF1C9D" w:rsidRPr="00010966">
              <w:rPr>
                <w:rFonts w:hint="eastAsia"/>
                <w:sz w:val="20"/>
                <w:lang w:eastAsia="zh-CN"/>
              </w:rPr>
              <w:t>摘录了</w:t>
            </w:r>
            <w:r w:rsidRPr="00010966">
              <w:rPr>
                <w:rFonts w:hint="eastAsia"/>
                <w:sz w:val="20"/>
                <w:lang w:eastAsia="zh-CN"/>
              </w:rPr>
              <w:t>这些文件的相关</w:t>
            </w:r>
            <w:r w:rsidR="00EF1C9D" w:rsidRPr="00010966">
              <w:rPr>
                <w:rFonts w:hint="eastAsia"/>
                <w:sz w:val="20"/>
                <w:lang w:eastAsia="zh-CN"/>
              </w:rPr>
              <w:t>内容</w:t>
            </w:r>
            <w:r w:rsidRPr="00010966">
              <w:rPr>
                <w:rFonts w:hint="eastAsia"/>
                <w:sz w:val="20"/>
                <w:lang w:eastAsia="zh-CN"/>
              </w:rPr>
              <w:t>。这些报告没有记录理事会的</w:t>
            </w:r>
            <w:r w:rsidR="000F2C69" w:rsidRPr="00010966">
              <w:rPr>
                <w:rFonts w:hint="eastAsia"/>
                <w:sz w:val="20"/>
                <w:lang w:eastAsia="zh-CN"/>
              </w:rPr>
              <w:t>任何</w:t>
            </w:r>
            <w:r w:rsidRPr="00010966">
              <w:rPr>
                <w:rFonts w:hint="eastAsia"/>
                <w:sz w:val="20"/>
                <w:lang w:eastAsia="zh-CN"/>
              </w:rPr>
              <w:t>反对意见或要求进一步讨论</w:t>
            </w:r>
            <w:r w:rsidRPr="00010966">
              <w:rPr>
                <w:rFonts w:hint="eastAsia"/>
                <w:sz w:val="20"/>
                <w:lang w:eastAsia="zh-CN"/>
              </w:rPr>
              <w:t>UNSMIS</w:t>
            </w:r>
            <w:r w:rsidRPr="00010966">
              <w:rPr>
                <w:rFonts w:hint="eastAsia"/>
                <w:sz w:val="20"/>
                <w:lang w:eastAsia="zh-CN"/>
              </w:rPr>
              <w:t>合同的请求。</w:t>
            </w:r>
            <w:r w:rsidRPr="00010966">
              <w:rPr>
                <w:rFonts w:hint="eastAsia"/>
                <w:sz w:val="20"/>
                <w:lang w:eastAsia="zh-CN"/>
              </w:rPr>
              <w:t>IMAC</w:t>
            </w:r>
            <w:r w:rsidRPr="00010966">
              <w:rPr>
                <w:rFonts w:hint="eastAsia"/>
                <w:sz w:val="20"/>
                <w:lang w:eastAsia="zh-CN"/>
              </w:rPr>
              <w:t>也得到了口头通报。独立精算分析。独立精算专家确认，鉴于国际电联的人口风险状况，</w:t>
            </w:r>
            <w:r w:rsidRPr="00010966">
              <w:rPr>
                <w:rFonts w:hint="eastAsia"/>
                <w:sz w:val="20"/>
                <w:lang w:eastAsia="zh-CN"/>
              </w:rPr>
              <w:t>UNSMIS</w:t>
            </w:r>
            <w:r w:rsidRPr="00010966">
              <w:rPr>
                <w:rFonts w:hint="eastAsia"/>
                <w:sz w:val="20"/>
                <w:lang w:eastAsia="zh-CN"/>
              </w:rPr>
              <w:t>的提议是有利的，</w:t>
            </w:r>
            <w:r w:rsidR="000F2C69" w:rsidRPr="00010966">
              <w:rPr>
                <w:rFonts w:hint="eastAsia"/>
                <w:sz w:val="20"/>
                <w:lang w:eastAsia="zh-CN"/>
              </w:rPr>
              <w:t>对国际电联及其职员来说，</w:t>
            </w:r>
            <w:r w:rsidRPr="00010966">
              <w:rPr>
                <w:rFonts w:hint="eastAsia"/>
                <w:sz w:val="20"/>
                <w:lang w:eastAsia="zh-CN"/>
              </w:rPr>
              <w:t>它比运行一个单独的计划更具可持续性。</w:t>
            </w:r>
            <w:r w:rsidR="000F2C69" w:rsidRPr="00010966">
              <w:rPr>
                <w:rFonts w:hint="eastAsia"/>
                <w:sz w:val="20"/>
                <w:lang w:eastAsia="zh-CN"/>
              </w:rPr>
              <w:t>怡安</w:t>
            </w:r>
            <w:r w:rsidRPr="00010966">
              <w:rPr>
                <w:rFonts w:hint="eastAsia"/>
                <w:sz w:val="20"/>
                <w:lang w:eastAsia="zh-CN"/>
              </w:rPr>
              <w:t>的结论是“</w:t>
            </w:r>
            <w:r w:rsidR="000F2C69" w:rsidRPr="00010966">
              <w:rPr>
                <w:rFonts w:hint="eastAsia"/>
                <w:sz w:val="20"/>
                <w:lang w:eastAsia="zh-CN"/>
              </w:rPr>
              <w:t>总而言之，</w:t>
            </w:r>
            <w:r w:rsidR="00194C92" w:rsidRPr="00010966">
              <w:rPr>
                <w:rFonts w:hint="eastAsia"/>
                <w:sz w:val="20"/>
                <w:lang w:eastAsia="zh-CN"/>
              </w:rPr>
              <w:t>可以认为，</w:t>
            </w:r>
            <w:r w:rsidR="000F2C69" w:rsidRPr="00010966">
              <w:rPr>
                <w:rFonts w:hint="eastAsia"/>
                <w:sz w:val="20"/>
                <w:lang w:eastAsia="zh-CN"/>
              </w:rPr>
              <w:t>未来均等化的一次性付款金额范围在</w:t>
            </w:r>
            <w:r w:rsidR="000F2C69" w:rsidRPr="00010966">
              <w:rPr>
                <w:rFonts w:hint="eastAsia"/>
                <w:sz w:val="20"/>
                <w:lang w:eastAsia="zh-CN"/>
              </w:rPr>
              <w:t>1</w:t>
            </w:r>
            <w:r w:rsidR="009449F5">
              <w:rPr>
                <w:sz w:val="20"/>
                <w:lang w:eastAsia="zh-CN"/>
              </w:rPr>
              <w:t> </w:t>
            </w:r>
            <w:r w:rsidR="000F2C69" w:rsidRPr="00010966">
              <w:rPr>
                <w:rFonts w:hint="eastAsia"/>
                <w:sz w:val="20"/>
                <w:lang w:eastAsia="zh-CN"/>
              </w:rPr>
              <w:t>300</w:t>
            </w:r>
            <w:r w:rsidR="000F2C69" w:rsidRPr="00010966">
              <w:rPr>
                <w:rFonts w:hint="eastAsia"/>
                <w:sz w:val="20"/>
                <w:lang w:eastAsia="zh-CN"/>
              </w:rPr>
              <w:t>万到</w:t>
            </w:r>
            <w:r w:rsidR="000F2C69" w:rsidRPr="00010966">
              <w:rPr>
                <w:rFonts w:hint="eastAsia"/>
                <w:sz w:val="20"/>
                <w:lang w:eastAsia="zh-CN"/>
              </w:rPr>
              <w:t>5</w:t>
            </w:r>
            <w:r w:rsidR="009449F5">
              <w:rPr>
                <w:sz w:val="20"/>
                <w:lang w:eastAsia="zh-CN"/>
              </w:rPr>
              <w:t> </w:t>
            </w:r>
            <w:r w:rsidR="000F2C69" w:rsidRPr="00010966">
              <w:rPr>
                <w:rFonts w:hint="eastAsia"/>
                <w:sz w:val="20"/>
                <w:lang w:eastAsia="zh-CN"/>
              </w:rPr>
              <w:t>100</w:t>
            </w:r>
            <w:r w:rsidR="000F2C69" w:rsidRPr="00010966">
              <w:rPr>
                <w:rFonts w:hint="eastAsia"/>
                <w:sz w:val="20"/>
                <w:lang w:eastAsia="zh-CN"/>
              </w:rPr>
              <w:t>万之间，因此</w:t>
            </w:r>
            <w:r w:rsidR="000F2C69" w:rsidRPr="00010966">
              <w:rPr>
                <w:rFonts w:hint="eastAsia"/>
                <w:sz w:val="20"/>
                <w:lang w:eastAsia="zh-CN"/>
              </w:rPr>
              <w:t>1</w:t>
            </w:r>
            <w:r w:rsidR="009449F5">
              <w:rPr>
                <w:sz w:val="20"/>
                <w:lang w:eastAsia="zh-CN"/>
              </w:rPr>
              <w:t> </w:t>
            </w:r>
            <w:r w:rsidR="000F2C69" w:rsidRPr="00010966">
              <w:rPr>
                <w:rFonts w:hint="eastAsia"/>
                <w:sz w:val="20"/>
                <w:lang w:eastAsia="zh-CN"/>
              </w:rPr>
              <w:t>300</w:t>
            </w:r>
            <w:r w:rsidR="000F2C69" w:rsidRPr="00010966">
              <w:rPr>
                <w:rFonts w:hint="eastAsia"/>
                <w:sz w:val="20"/>
                <w:lang w:eastAsia="zh-CN"/>
              </w:rPr>
              <w:t>万可视作一种“乐观”情况。所以，我们认为</w:t>
            </w:r>
            <w:r w:rsidR="000F2C69" w:rsidRPr="00010966">
              <w:rPr>
                <w:rFonts w:hint="eastAsia"/>
                <w:sz w:val="20"/>
                <w:lang w:eastAsia="zh-CN"/>
              </w:rPr>
              <w:t>UNSMIS</w:t>
            </w:r>
            <w:r w:rsidR="000F2C69" w:rsidRPr="00010966">
              <w:rPr>
                <w:rFonts w:hint="eastAsia"/>
                <w:sz w:val="20"/>
                <w:lang w:eastAsia="zh-CN"/>
              </w:rPr>
              <w:t>提出的</w:t>
            </w:r>
            <w:r w:rsidR="000F2C69" w:rsidRPr="00010966">
              <w:rPr>
                <w:rFonts w:hint="eastAsia"/>
                <w:sz w:val="20"/>
                <w:lang w:eastAsia="zh-CN"/>
              </w:rPr>
              <w:t>2</w:t>
            </w:r>
            <w:r w:rsidR="009449F5">
              <w:rPr>
                <w:sz w:val="20"/>
                <w:lang w:eastAsia="zh-CN"/>
              </w:rPr>
              <w:t> </w:t>
            </w:r>
            <w:r w:rsidR="000F2C69" w:rsidRPr="00010966">
              <w:rPr>
                <w:rFonts w:hint="eastAsia"/>
                <w:sz w:val="20"/>
                <w:lang w:eastAsia="zh-CN"/>
              </w:rPr>
              <w:t>100</w:t>
            </w:r>
            <w:r w:rsidR="000F2C69" w:rsidRPr="00010966">
              <w:rPr>
                <w:rFonts w:hint="eastAsia"/>
                <w:sz w:val="20"/>
                <w:lang w:eastAsia="zh-CN"/>
              </w:rPr>
              <w:t>万瑞郎的财务方案似乎是一种合理建议。以往基于算术计算的结果还曾得到</w:t>
            </w:r>
            <w:r w:rsidR="000F2C69" w:rsidRPr="00010966">
              <w:rPr>
                <w:rFonts w:hint="eastAsia"/>
                <w:sz w:val="20"/>
                <w:lang w:eastAsia="zh-CN"/>
              </w:rPr>
              <w:t>1</w:t>
            </w:r>
            <w:r w:rsidR="009449F5">
              <w:rPr>
                <w:sz w:val="20"/>
                <w:lang w:eastAsia="zh-CN"/>
              </w:rPr>
              <w:t> </w:t>
            </w:r>
            <w:r w:rsidR="000F2C69" w:rsidRPr="00010966">
              <w:rPr>
                <w:rFonts w:hint="eastAsia"/>
                <w:sz w:val="20"/>
                <w:lang w:eastAsia="zh-CN"/>
              </w:rPr>
              <w:t>900</w:t>
            </w:r>
            <w:r w:rsidR="000F2C69" w:rsidRPr="00010966">
              <w:rPr>
                <w:rFonts w:hint="eastAsia"/>
                <w:sz w:val="20"/>
                <w:lang w:eastAsia="zh-CN"/>
              </w:rPr>
              <w:t>万瑞郎的均等化值。</w:t>
            </w:r>
          </w:p>
          <w:p w14:paraId="5B51A827" w14:textId="05514372" w:rsidR="003D7FF0" w:rsidRPr="00010966" w:rsidRDefault="0087465A" w:rsidP="00786ECB">
            <w:pPr>
              <w:pStyle w:val="Tabletext"/>
              <w:spacing w:before="60"/>
              <w:rPr>
                <w:sz w:val="20"/>
                <w:lang w:eastAsia="zh-CN"/>
              </w:rPr>
            </w:pPr>
            <w:r w:rsidRPr="00010966">
              <w:rPr>
                <w:rFonts w:hint="eastAsia"/>
                <w:sz w:val="20"/>
                <w:lang w:eastAsia="zh-CN"/>
              </w:rPr>
              <w:t>管理层审议了</w:t>
            </w:r>
            <w:r w:rsidR="004233F5" w:rsidRPr="00010966">
              <w:rPr>
                <w:rFonts w:hint="eastAsia"/>
                <w:sz w:val="20"/>
                <w:lang w:eastAsia="zh-CN"/>
              </w:rPr>
              <w:t>此回应，</w:t>
            </w:r>
            <w:r w:rsidRPr="00010966">
              <w:rPr>
                <w:rFonts w:hint="eastAsia"/>
                <w:sz w:val="20"/>
                <w:lang w:eastAsia="zh-CN"/>
              </w:rPr>
              <w:t>并认为该事项已</w:t>
            </w:r>
            <w:r w:rsidR="00194C92" w:rsidRPr="00010966">
              <w:rPr>
                <w:rFonts w:hint="eastAsia"/>
                <w:sz w:val="20"/>
                <w:lang w:eastAsia="zh-CN"/>
              </w:rPr>
              <w:t>完成</w:t>
            </w:r>
            <w:r w:rsidRPr="00010966">
              <w:rPr>
                <w:rFonts w:hint="eastAsia"/>
                <w:sz w:val="20"/>
                <w:lang w:eastAsia="zh-CN"/>
              </w:rPr>
              <w:t>。</w:t>
            </w:r>
          </w:p>
        </w:tc>
        <w:tc>
          <w:tcPr>
            <w:tcW w:w="1041" w:type="pct"/>
            <w:shd w:val="clear" w:color="auto" w:fill="auto"/>
          </w:tcPr>
          <w:p w14:paraId="66ACCBFD" w14:textId="0E97B73A" w:rsidR="003D7FF0" w:rsidRPr="00010966" w:rsidRDefault="0087465A" w:rsidP="00786ECB">
            <w:pPr>
              <w:pStyle w:val="Tabletext"/>
              <w:spacing w:before="60"/>
              <w:rPr>
                <w:sz w:val="20"/>
                <w:lang w:eastAsia="zh-CN"/>
              </w:rPr>
            </w:pPr>
            <w:r w:rsidRPr="00010966">
              <w:rPr>
                <w:rFonts w:hint="eastAsia"/>
                <w:sz w:val="20"/>
                <w:lang w:eastAsia="zh-CN"/>
              </w:rPr>
              <w:t>我们注意到管理层的回应，他们认为</w:t>
            </w:r>
            <w:r w:rsidR="004233F5" w:rsidRPr="00010966">
              <w:rPr>
                <w:rFonts w:hint="eastAsia"/>
                <w:sz w:val="20"/>
                <w:lang w:eastAsia="zh-CN"/>
              </w:rPr>
              <w:t>此</w:t>
            </w:r>
            <w:r w:rsidRPr="00010966">
              <w:rPr>
                <w:rFonts w:hint="eastAsia"/>
                <w:sz w:val="20"/>
                <w:lang w:eastAsia="zh-CN"/>
              </w:rPr>
              <w:t>问题已</w:t>
            </w:r>
            <w:r w:rsidR="00194C92" w:rsidRPr="00010966">
              <w:rPr>
                <w:rFonts w:hint="eastAsia"/>
                <w:sz w:val="20"/>
                <w:lang w:eastAsia="zh-CN"/>
              </w:rPr>
              <w:t>完成</w:t>
            </w:r>
            <w:r w:rsidRPr="00010966">
              <w:rPr>
                <w:rFonts w:hint="eastAsia"/>
                <w:sz w:val="20"/>
                <w:lang w:eastAsia="zh-CN"/>
              </w:rPr>
              <w:t>。</w:t>
            </w:r>
          </w:p>
          <w:p w14:paraId="0E1A915D" w14:textId="4E862067" w:rsidR="003D7FF0" w:rsidRPr="00010966" w:rsidRDefault="0087465A" w:rsidP="00786ECB">
            <w:pPr>
              <w:pStyle w:val="Tabletext"/>
              <w:spacing w:before="60"/>
              <w:rPr>
                <w:sz w:val="20"/>
                <w:lang w:eastAsia="zh-CN"/>
              </w:rPr>
            </w:pPr>
            <w:r w:rsidRPr="00010966">
              <w:rPr>
                <w:rFonts w:hint="eastAsia"/>
                <w:sz w:val="20"/>
                <w:lang w:eastAsia="zh-CN"/>
              </w:rPr>
              <w:t>我们认为，</w:t>
            </w:r>
            <w:r w:rsidR="00194C92" w:rsidRPr="00010966">
              <w:rPr>
                <w:rFonts w:hint="eastAsia"/>
                <w:sz w:val="20"/>
                <w:lang w:eastAsia="zh-CN"/>
              </w:rPr>
              <w:t>对</w:t>
            </w:r>
            <w:r w:rsidRPr="00010966">
              <w:rPr>
                <w:rFonts w:hint="eastAsia"/>
                <w:sz w:val="20"/>
                <w:lang w:eastAsia="zh-CN"/>
              </w:rPr>
              <w:t>加入</w:t>
            </w:r>
            <w:r w:rsidRPr="00010966">
              <w:rPr>
                <w:rFonts w:hint="eastAsia"/>
                <w:sz w:val="20"/>
                <w:lang w:eastAsia="zh-CN"/>
              </w:rPr>
              <w:t>UNSMIS</w:t>
            </w:r>
            <w:r w:rsidRPr="00010966">
              <w:rPr>
                <w:rFonts w:hint="eastAsia"/>
                <w:sz w:val="20"/>
                <w:lang w:eastAsia="zh-CN"/>
              </w:rPr>
              <w:t>与备选安排的成本和收益</w:t>
            </w:r>
            <w:r w:rsidR="00194C92" w:rsidRPr="00010966">
              <w:rPr>
                <w:rFonts w:hint="eastAsia"/>
                <w:sz w:val="20"/>
                <w:lang w:eastAsia="zh-CN"/>
              </w:rPr>
              <w:t>考虑不充分</w:t>
            </w:r>
            <w:r w:rsidRPr="00010966">
              <w:rPr>
                <w:rFonts w:hint="eastAsia"/>
                <w:sz w:val="20"/>
                <w:lang w:eastAsia="zh-CN"/>
              </w:rPr>
              <w:t>，</w:t>
            </w:r>
            <w:r w:rsidR="00194C92" w:rsidRPr="00010966">
              <w:rPr>
                <w:rFonts w:hint="eastAsia"/>
                <w:sz w:val="20"/>
                <w:lang w:eastAsia="zh-CN"/>
              </w:rPr>
              <w:t>并且先</w:t>
            </w:r>
            <w:r w:rsidRPr="00010966">
              <w:rPr>
                <w:rFonts w:hint="eastAsia"/>
                <w:sz w:val="20"/>
                <w:lang w:eastAsia="zh-CN"/>
              </w:rPr>
              <w:t>前提交给理事会的</w:t>
            </w:r>
            <w:r w:rsidR="00194C92" w:rsidRPr="00010966">
              <w:rPr>
                <w:rFonts w:hint="eastAsia"/>
                <w:sz w:val="20"/>
                <w:lang w:eastAsia="zh-CN"/>
              </w:rPr>
              <w:t>备选方案</w:t>
            </w:r>
            <w:r w:rsidRPr="00010966">
              <w:rPr>
                <w:rFonts w:hint="eastAsia"/>
                <w:sz w:val="20"/>
                <w:lang w:eastAsia="zh-CN"/>
              </w:rPr>
              <w:t>没有为决策提供适当基础。</w:t>
            </w:r>
          </w:p>
          <w:p w14:paraId="2C475834" w14:textId="5E9EC495" w:rsidR="003D7FF0" w:rsidRPr="00010966" w:rsidRDefault="0087465A" w:rsidP="00786ECB">
            <w:pPr>
              <w:pStyle w:val="Tabletext"/>
              <w:spacing w:before="60"/>
              <w:rPr>
                <w:sz w:val="20"/>
                <w:lang w:eastAsia="zh-CN"/>
              </w:rPr>
            </w:pPr>
            <w:r w:rsidRPr="00010966">
              <w:rPr>
                <w:rFonts w:hint="eastAsia"/>
                <w:sz w:val="20"/>
                <w:lang w:eastAsia="zh-CN"/>
              </w:rPr>
              <w:t>鉴于时间推移，我们</w:t>
            </w:r>
            <w:r w:rsidR="001140E7" w:rsidRPr="00010966">
              <w:rPr>
                <w:rFonts w:hint="eastAsia"/>
                <w:sz w:val="20"/>
                <w:lang w:eastAsia="zh-CN"/>
              </w:rPr>
              <w:t>关闭</w:t>
            </w:r>
            <w:r w:rsidRPr="00010966">
              <w:rPr>
                <w:rFonts w:hint="eastAsia"/>
                <w:sz w:val="20"/>
                <w:lang w:eastAsia="zh-CN"/>
              </w:rPr>
              <w:t>了这项建议，但我们敦促秘书处定期报告维持现有</w:t>
            </w:r>
            <w:r w:rsidRPr="00010966">
              <w:rPr>
                <w:rFonts w:hint="eastAsia"/>
                <w:sz w:val="20"/>
                <w:lang w:eastAsia="zh-CN"/>
              </w:rPr>
              <w:t>ASHI</w:t>
            </w:r>
            <w:r w:rsidRPr="00010966">
              <w:rPr>
                <w:rFonts w:hint="eastAsia"/>
                <w:sz w:val="20"/>
                <w:lang w:eastAsia="zh-CN"/>
              </w:rPr>
              <w:t>安排的</w:t>
            </w:r>
            <w:r w:rsidR="00194C92" w:rsidRPr="00010966">
              <w:rPr>
                <w:rFonts w:hint="eastAsia"/>
                <w:sz w:val="20"/>
                <w:lang w:eastAsia="zh-CN"/>
              </w:rPr>
              <w:t>成本</w:t>
            </w:r>
            <w:r w:rsidRPr="00010966">
              <w:rPr>
                <w:rFonts w:hint="eastAsia"/>
                <w:sz w:val="20"/>
                <w:lang w:eastAsia="zh-CN"/>
              </w:rPr>
              <w:t>。</w:t>
            </w:r>
          </w:p>
        </w:tc>
        <w:tc>
          <w:tcPr>
            <w:tcW w:w="487" w:type="pct"/>
            <w:shd w:val="clear" w:color="auto" w:fill="auto"/>
          </w:tcPr>
          <w:p w14:paraId="480F9E4E" w14:textId="2DF98483" w:rsidR="003D7FF0" w:rsidRPr="00010966" w:rsidRDefault="00F520EB" w:rsidP="00786ECB">
            <w:pPr>
              <w:pStyle w:val="Tabletext"/>
              <w:spacing w:before="60"/>
              <w:rPr>
                <w:sz w:val="20"/>
              </w:rPr>
            </w:pPr>
            <w:r w:rsidRPr="00010966">
              <w:rPr>
                <w:rFonts w:hint="eastAsia"/>
                <w:sz w:val="20"/>
                <w:lang w:eastAsia="zh-CN"/>
              </w:rPr>
              <w:t>未实施。</w:t>
            </w:r>
          </w:p>
          <w:p w14:paraId="13185A68" w14:textId="7D589E6F" w:rsidR="003D7FF0" w:rsidRPr="00010966" w:rsidRDefault="00A62A5A" w:rsidP="00786ECB">
            <w:pPr>
              <w:pStyle w:val="Tabletext"/>
              <w:spacing w:before="60"/>
              <w:rPr>
                <w:sz w:val="20"/>
              </w:rPr>
            </w:pPr>
            <w:r>
              <w:rPr>
                <w:rFonts w:hint="eastAsia"/>
                <w:sz w:val="20"/>
                <w:lang w:eastAsia="zh-CN"/>
              </w:rPr>
              <w:t>已关闭。</w:t>
            </w:r>
          </w:p>
        </w:tc>
      </w:tr>
      <w:tr w:rsidR="00D43F01" w:rsidRPr="00010966" w14:paraId="5BAD5D9E" w14:textId="77777777" w:rsidTr="00E6035E">
        <w:tc>
          <w:tcPr>
            <w:tcW w:w="291" w:type="pct"/>
            <w:shd w:val="clear" w:color="auto" w:fill="auto"/>
          </w:tcPr>
          <w:p w14:paraId="45342B1D" w14:textId="2BC9663E" w:rsidR="003D7FF0" w:rsidRPr="00010966" w:rsidRDefault="003D7FF0" w:rsidP="00D11485">
            <w:pPr>
              <w:pStyle w:val="Tabletext"/>
              <w:keepNext/>
              <w:keepLines/>
              <w:spacing w:before="60"/>
              <w:rPr>
                <w:sz w:val="20"/>
              </w:rPr>
            </w:pPr>
            <w:r w:rsidRPr="00010966">
              <w:rPr>
                <w:sz w:val="20"/>
              </w:rPr>
              <w:lastRenderedPageBreak/>
              <w:t>2022</w:t>
            </w:r>
            <w:r w:rsidR="00D43F01" w:rsidRPr="00010966">
              <w:rPr>
                <w:rFonts w:hint="eastAsia"/>
                <w:sz w:val="20"/>
                <w:lang w:eastAsia="zh-CN"/>
              </w:rPr>
              <w:t>年最后报告</w:t>
            </w:r>
            <w:r w:rsidR="00D43F01" w:rsidRPr="00010966">
              <w:rPr>
                <w:rFonts w:hint="eastAsia"/>
                <w:sz w:val="20"/>
                <w:lang w:eastAsia="zh-CN"/>
              </w:rPr>
              <w:t xml:space="preserve"> </w:t>
            </w:r>
            <w:r w:rsidRPr="00010966">
              <w:rPr>
                <w:sz w:val="20"/>
              </w:rPr>
              <w:t>R10</w:t>
            </w:r>
          </w:p>
        </w:tc>
        <w:tc>
          <w:tcPr>
            <w:tcW w:w="1441" w:type="pct"/>
            <w:shd w:val="clear" w:color="auto" w:fill="auto"/>
          </w:tcPr>
          <w:p w14:paraId="7D66DF28" w14:textId="235FC867" w:rsidR="003D7FF0" w:rsidRPr="00010966" w:rsidRDefault="00EE6EAF" w:rsidP="00D11485">
            <w:pPr>
              <w:pStyle w:val="Tabletext"/>
              <w:keepNext/>
              <w:keepLines/>
              <w:spacing w:before="60"/>
              <w:rPr>
                <w:sz w:val="20"/>
                <w:lang w:eastAsia="zh-CN"/>
              </w:rPr>
            </w:pPr>
            <w:r w:rsidRPr="00010966">
              <w:rPr>
                <w:rFonts w:hint="eastAsia"/>
                <w:sz w:val="20"/>
                <w:lang w:eastAsia="zh-CN"/>
              </w:rPr>
              <w:t>审查其目前所有的基金和储备金余额，以及合理化和简化的范围，审查余额是否仍与国际电联的财务规划相关。这项工作应在维持储备金和基金的总体战略背景下进行，并与国际电联的战略规划保持一致。</w:t>
            </w:r>
          </w:p>
        </w:tc>
        <w:tc>
          <w:tcPr>
            <w:tcW w:w="1741" w:type="pct"/>
            <w:shd w:val="clear" w:color="auto" w:fill="auto"/>
          </w:tcPr>
          <w:p w14:paraId="6E8C09C0" w14:textId="7D1F3D9C" w:rsidR="003D7FF0" w:rsidRPr="00010966" w:rsidRDefault="0087465A" w:rsidP="00D11485">
            <w:pPr>
              <w:pStyle w:val="Tabletext"/>
              <w:keepNext/>
              <w:keepLines/>
              <w:spacing w:before="60"/>
              <w:rPr>
                <w:sz w:val="20"/>
                <w:lang w:eastAsia="zh-CN"/>
              </w:rPr>
            </w:pPr>
            <w:r w:rsidRPr="00010966">
              <w:rPr>
                <w:rFonts w:hint="eastAsia"/>
                <w:sz w:val="20"/>
                <w:lang w:eastAsia="zh-CN"/>
              </w:rPr>
              <w:t>国际电联审查了其基金和储备金余额。它在</w:t>
            </w:r>
            <w:r w:rsidRPr="00010966">
              <w:rPr>
                <w:rFonts w:hint="eastAsia"/>
                <w:sz w:val="20"/>
                <w:lang w:eastAsia="zh-CN"/>
              </w:rPr>
              <w:t>2024</w:t>
            </w:r>
            <w:r w:rsidRPr="00010966">
              <w:rPr>
                <w:rFonts w:hint="eastAsia"/>
                <w:sz w:val="20"/>
                <w:lang w:eastAsia="zh-CN"/>
              </w:rPr>
              <w:t>年清理了一些。但是，仍需</w:t>
            </w:r>
            <w:r w:rsidR="001D7B54" w:rsidRPr="00010966">
              <w:rPr>
                <w:rFonts w:hint="eastAsia"/>
                <w:sz w:val="20"/>
                <w:lang w:eastAsia="zh-CN"/>
              </w:rPr>
              <w:t>开展</w:t>
            </w:r>
            <w:r w:rsidRPr="00010966">
              <w:rPr>
                <w:rFonts w:hint="eastAsia"/>
                <w:sz w:val="20"/>
                <w:lang w:eastAsia="zh-CN"/>
              </w:rPr>
              <w:t>进一步</w:t>
            </w:r>
            <w:r w:rsidR="001D7B54" w:rsidRPr="00010966">
              <w:rPr>
                <w:rFonts w:hint="eastAsia"/>
                <w:sz w:val="20"/>
                <w:lang w:eastAsia="zh-CN"/>
              </w:rPr>
              <w:t>工作</w:t>
            </w:r>
            <w:r w:rsidRPr="00010966">
              <w:rPr>
                <w:rFonts w:hint="eastAsia"/>
                <w:sz w:val="20"/>
                <w:lang w:eastAsia="zh-CN"/>
              </w:rPr>
              <w:t>，更新剩余</w:t>
            </w:r>
            <w:r w:rsidR="001D7B54" w:rsidRPr="00010966">
              <w:rPr>
                <w:rFonts w:hint="eastAsia"/>
                <w:sz w:val="20"/>
                <w:lang w:eastAsia="zh-CN"/>
              </w:rPr>
              <w:t>账目</w:t>
            </w:r>
            <w:r w:rsidRPr="00010966">
              <w:rPr>
                <w:rFonts w:hint="eastAsia"/>
                <w:sz w:val="20"/>
                <w:lang w:eastAsia="zh-CN"/>
              </w:rPr>
              <w:t>并在</w:t>
            </w:r>
            <w:r w:rsidRPr="00010966">
              <w:rPr>
                <w:rFonts w:hint="eastAsia"/>
                <w:sz w:val="20"/>
                <w:lang w:eastAsia="zh-CN"/>
              </w:rPr>
              <w:t>2025</w:t>
            </w:r>
            <w:r w:rsidRPr="00010966">
              <w:rPr>
                <w:rFonts w:hint="eastAsia"/>
                <w:sz w:val="20"/>
                <w:lang w:eastAsia="zh-CN"/>
              </w:rPr>
              <w:t>年进一步合并。</w:t>
            </w:r>
          </w:p>
        </w:tc>
        <w:tc>
          <w:tcPr>
            <w:tcW w:w="1041" w:type="pct"/>
            <w:shd w:val="clear" w:color="auto" w:fill="auto"/>
          </w:tcPr>
          <w:p w14:paraId="0D5EED49" w14:textId="328B7D70" w:rsidR="003D7FF0" w:rsidRPr="00010966" w:rsidRDefault="0087465A" w:rsidP="00D11485">
            <w:pPr>
              <w:pStyle w:val="Tabletext"/>
              <w:keepNext/>
              <w:keepLines/>
              <w:spacing w:before="60"/>
              <w:rPr>
                <w:sz w:val="20"/>
                <w:lang w:eastAsia="zh-CN"/>
              </w:rPr>
            </w:pPr>
            <w:r w:rsidRPr="00010966">
              <w:rPr>
                <w:rFonts w:hint="eastAsia"/>
                <w:sz w:val="20"/>
                <w:lang w:eastAsia="zh-CN"/>
              </w:rPr>
              <w:t>我们注意到管理层的回应，并将考虑作为我们</w:t>
            </w:r>
            <w:r w:rsidRPr="00010966">
              <w:rPr>
                <w:rFonts w:hint="eastAsia"/>
                <w:sz w:val="20"/>
                <w:lang w:eastAsia="zh-CN"/>
              </w:rPr>
              <w:t>2025</w:t>
            </w:r>
            <w:r w:rsidRPr="00010966">
              <w:rPr>
                <w:rFonts w:hint="eastAsia"/>
                <w:sz w:val="20"/>
                <w:lang w:eastAsia="zh-CN"/>
              </w:rPr>
              <w:t>年审计的一部分。</w:t>
            </w:r>
          </w:p>
        </w:tc>
        <w:tc>
          <w:tcPr>
            <w:tcW w:w="487" w:type="pct"/>
            <w:shd w:val="clear" w:color="auto" w:fill="auto"/>
          </w:tcPr>
          <w:p w14:paraId="0DC1B79B" w14:textId="3CAD9CD6" w:rsidR="003D7FF0" w:rsidRPr="00010966" w:rsidRDefault="00F520EB" w:rsidP="00786ECB">
            <w:pPr>
              <w:pStyle w:val="Tabletext"/>
              <w:spacing w:before="60"/>
              <w:rPr>
                <w:sz w:val="20"/>
              </w:rPr>
            </w:pPr>
            <w:r w:rsidRPr="00010966">
              <w:rPr>
                <w:rFonts w:hint="eastAsia"/>
                <w:sz w:val="20"/>
                <w:lang w:eastAsia="zh-CN"/>
              </w:rPr>
              <w:t>正在实施。</w:t>
            </w:r>
          </w:p>
        </w:tc>
      </w:tr>
      <w:tr w:rsidR="00D43F01" w:rsidRPr="00010966" w14:paraId="7E447C99" w14:textId="77777777" w:rsidTr="00E6035E">
        <w:tc>
          <w:tcPr>
            <w:tcW w:w="291" w:type="pct"/>
            <w:shd w:val="clear" w:color="auto" w:fill="auto"/>
          </w:tcPr>
          <w:p w14:paraId="24ED6BF7" w14:textId="43B34476" w:rsidR="003D7FF0" w:rsidRPr="00010966" w:rsidRDefault="003D7FF0" w:rsidP="00786ECB">
            <w:pPr>
              <w:pStyle w:val="Tabletext"/>
              <w:spacing w:before="60"/>
              <w:rPr>
                <w:sz w:val="20"/>
              </w:rPr>
            </w:pPr>
            <w:r w:rsidRPr="00010966">
              <w:rPr>
                <w:sz w:val="20"/>
              </w:rPr>
              <w:t>2023</w:t>
            </w:r>
            <w:r w:rsidR="00D43F01" w:rsidRPr="00010966">
              <w:rPr>
                <w:rFonts w:hint="eastAsia"/>
                <w:sz w:val="20"/>
                <w:lang w:eastAsia="zh-CN"/>
              </w:rPr>
              <w:t>年报告</w:t>
            </w:r>
            <w:r w:rsidR="00D43F01" w:rsidRPr="00010966">
              <w:rPr>
                <w:rFonts w:hint="eastAsia"/>
                <w:sz w:val="20"/>
                <w:lang w:eastAsia="zh-CN"/>
              </w:rPr>
              <w:t xml:space="preserve"> </w:t>
            </w:r>
            <w:r w:rsidRPr="00010966">
              <w:rPr>
                <w:sz w:val="20"/>
              </w:rPr>
              <w:t>R1</w:t>
            </w:r>
          </w:p>
        </w:tc>
        <w:tc>
          <w:tcPr>
            <w:tcW w:w="1441" w:type="pct"/>
            <w:shd w:val="clear" w:color="auto" w:fill="auto"/>
          </w:tcPr>
          <w:p w14:paraId="435395FB" w14:textId="2C57FD97" w:rsidR="003D7FF0" w:rsidRPr="00010966" w:rsidRDefault="003634DC" w:rsidP="003634DC">
            <w:pPr>
              <w:pStyle w:val="Tabletext"/>
              <w:spacing w:before="60"/>
              <w:rPr>
                <w:sz w:val="20"/>
                <w:lang w:eastAsia="zh-CN"/>
              </w:rPr>
            </w:pPr>
            <w:r w:rsidRPr="00010966">
              <w:rPr>
                <w:rFonts w:hint="eastAsia"/>
                <w:sz w:val="20"/>
                <w:lang w:eastAsia="zh-CN"/>
              </w:rPr>
              <w:t>对整个国际电联所面临的欺诈风险进行新的系统评估，并考虑当前的控制活动是否足够集中，以减轻已确定的风险。</w:t>
            </w:r>
          </w:p>
        </w:tc>
        <w:tc>
          <w:tcPr>
            <w:tcW w:w="1741" w:type="pct"/>
            <w:shd w:val="clear" w:color="auto" w:fill="auto"/>
          </w:tcPr>
          <w:p w14:paraId="78ADA150" w14:textId="30680CF9" w:rsidR="003D7FF0" w:rsidRPr="00010966" w:rsidRDefault="0087465A" w:rsidP="00786ECB">
            <w:pPr>
              <w:pStyle w:val="Tabletext"/>
              <w:spacing w:before="60"/>
              <w:rPr>
                <w:sz w:val="20"/>
                <w:lang w:eastAsia="zh-CN"/>
              </w:rPr>
            </w:pPr>
            <w:r w:rsidRPr="00010966">
              <w:rPr>
                <w:rFonts w:hint="eastAsia"/>
                <w:sz w:val="20"/>
                <w:lang w:eastAsia="zh-CN"/>
              </w:rPr>
              <w:t>国际电联接受这一建议，并将其纳入</w:t>
            </w:r>
            <w:r w:rsidRPr="00010966">
              <w:rPr>
                <w:rFonts w:hint="eastAsia"/>
                <w:sz w:val="20"/>
                <w:lang w:eastAsia="zh-CN"/>
              </w:rPr>
              <w:t>2025</w:t>
            </w:r>
            <w:r w:rsidRPr="00010966">
              <w:rPr>
                <w:rFonts w:hint="eastAsia"/>
                <w:sz w:val="20"/>
                <w:lang w:eastAsia="zh-CN"/>
              </w:rPr>
              <w:t>年监督规划。</w:t>
            </w:r>
          </w:p>
        </w:tc>
        <w:tc>
          <w:tcPr>
            <w:tcW w:w="1041" w:type="pct"/>
            <w:shd w:val="clear" w:color="auto" w:fill="auto"/>
          </w:tcPr>
          <w:p w14:paraId="38125FD1" w14:textId="45085535" w:rsidR="003D7FF0" w:rsidRPr="00010966" w:rsidRDefault="0087465A" w:rsidP="00786ECB">
            <w:pPr>
              <w:pStyle w:val="Tabletext"/>
              <w:spacing w:before="60"/>
              <w:rPr>
                <w:sz w:val="20"/>
                <w:lang w:eastAsia="zh-CN"/>
              </w:rPr>
            </w:pPr>
            <w:r w:rsidRPr="00010966">
              <w:rPr>
                <w:rFonts w:hint="eastAsia"/>
                <w:sz w:val="20"/>
                <w:lang w:eastAsia="zh-CN"/>
              </w:rPr>
              <w:t>我们注意到管理层的回应，并将考虑作为我们</w:t>
            </w:r>
            <w:r w:rsidRPr="00010966">
              <w:rPr>
                <w:rFonts w:hint="eastAsia"/>
                <w:sz w:val="20"/>
                <w:lang w:eastAsia="zh-CN"/>
              </w:rPr>
              <w:t>2025</w:t>
            </w:r>
            <w:r w:rsidRPr="00010966">
              <w:rPr>
                <w:rFonts w:hint="eastAsia"/>
                <w:sz w:val="20"/>
                <w:lang w:eastAsia="zh-CN"/>
              </w:rPr>
              <w:t>年审计的一部分。</w:t>
            </w:r>
          </w:p>
        </w:tc>
        <w:tc>
          <w:tcPr>
            <w:tcW w:w="487" w:type="pct"/>
            <w:shd w:val="clear" w:color="auto" w:fill="auto"/>
          </w:tcPr>
          <w:p w14:paraId="33F2A22E" w14:textId="3ED1323A" w:rsidR="003D7FF0" w:rsidRPr="00010966" w:rsidRDefault="00F520EB" w:rsidP="00786ECB">
            <w:pPr>
              <w:pStyle w:val="Tabletext"/>
              <w:spacing w:before="60"/>
              <w:rPr>
                <w:sz w:val="20"/>
              </w:rPr>
            </w:pPr>
            <w:r w:rsidRPr="00010966">
              <w:rPr>
                <w:rFonts w:hint="eastAsia"/>
                <w:sz w:val="20"/>
                <w:lang w:eastAsia="zh-CN"/>
              </w:rPr>
              <w:t>正在实施。</w:t>
            </w:r>
          </w:p>
        </w:tc>
      </w:tr>
      <w:tr w:rsidR="00D43F01" w:rsidRPr="00010966" w14:paraId="7F6F207C" w14:textId="77777777" w:rsidTr="00E6035E">
        <w:tc>
          <w:tcPr>
            <w:tcW w:w="291" w:type="pct"/>
            <w:shd w:val="clear" w:color="auto" w:fill="auto"/>
          </w:tcPr>
          <w:p w14:paraId="246CFB23" w14:textId="5892E382" w:rsidR="003D7FF0" w:rsidRPr="00010966" w:rsidRDefault="003D7FF0" w:rsidP="00786ECB">
            <w:pPr>
              <w:pStyle w:val="Tabletext"/>
              <w:spacing w:before="60"/>
              <w:rPr>
                <w:sz w:val="20"/>
              </w:rPr>
            </w:pPr>
            <w:r w:rsidRPr="00010966">
              <w:rPr>
                <w:sz w:val="20"/>
              </w:rPr>
              <w:t>2023</w:t>
            </w:r>
            <w:r w:rsidR="00D43F01" w:rsidRPr="00010966">
              <w:rPr>
                <w:rFonts w:hint="eastAsia"/>
                <w:sz w:val="20"/>
                <w:lang w:eastAsia="zh-CN"/>
              </w:rPr>
              <w:t>年报告</w:t>
            </w:r>
            <w:r w:rsidR="00D43F01" w:rsidRPr="00010966">
              <w:rPr>
                <w:rFonts w:hint="eastAsia"/>
                <w:sz w:val="20"/>
                <w:lang w:eastAsia="zh-CN"/>
              </w:rPr>
              <w:t xml:space="preserve"> </w:t>
            </w:r>
            <w:r w:rsidRPr="00010966">
              <w:rPr>
                <w:sz w:val="20"/>
              </w:rPr>
              <w:t>R2</w:t>
            </w:r>
          </w:p>
        </w:tc>
        <w:tc>
          <w:tcPr>
            <w:tcW w:w="1441" w:type="pct"/>
            <w:shd w:val="clear" w:color="auto" w:fill="auto"/>
          </w:tcPr>
          <w:p w14:paraId="4DB58007" w14:textId="419BC729" w:rsidR="00B73BD1" w:rsidRPr="00010966" w:rsidRDefault="003D7FF0" w:rsidP="00F43DFE">
            <w:pPr>
              <w:pStyle w:val="Tabletext"/>
              <w:tabs>
                <w:tab w:val="clear" w:pos="284"/>
                <w:tab w:val="clear" w:pos="425"/>
                <w:tab w:val="left" w:pos="356"/>
              </w:tabs>
              <w:spacing w:before="60"/>
              <w:ind w:left="356" w:hanging="356"/>
              <w:rPr>
                <w:sz w:val="20"/>
                <w:lang w:eastAsia="zh-CN"/>
              </w:rPr>
            </w:pPr>
            <w:r w:rsidRPr="00010966">
              <w:rPr>
                <w:sz w:val="20"/>
                <w:lang w:eastAsia="zh-CN"/>
              </w:rPr>
              <w:t>a)</w:t>
            </w:r>
            <w:r w:rsidR="00EB3C26" w:rsidRPr="00010966">
              <w:rPr>
                <w:sz w:val="20"/>
                <w:lang w:eastAsia="zh-CN"/>
              </w:rPr>
              <w:tab/>
            </w:r>
            <w:r w:rsidR="003634DC" w:rsidRPr="00010966">
              <w:rPr>
                <w:rFonts w:hint="eastAsia"/>
                <w:sz w:val="20"/>
                <w:lang w:eastAsia="zh-CN"/>
              </w:rPr>
              <w:t>确保其目前对反欺诈和打击报复政策的审查是根据最佳做法进行评估的，并接受</w:t>
            </w:r>
            <w:r w:rsidR="003634DC" w:rsidRPr="00010966">
              <w:rPr>
                <w:rFonts w:hint="eastAsia"/>
                <w:sz w:val="20"/>
                <w:lang w:eastAsia="zh-CN"/>
              </w:rPr>
              <w:t>IMAC</w:t>
            </w:r>
            <w:r w:rsidR="003634DC" w:rsidRPr="00010966">
              <w:rPr>
                <w:rFonts w:hint="eastAsia"/>
                <w:sz w:val="20"/>
                <w:lang w:eastAsia="zh-CN"/>
              </w:rPr>
              <w:t>的审查；和</w:t>
            </w:r>
          </w:p>
          <w:p w14:paraId="03EB2371" w14:textId="79E44B6C" w:rsidR="003D7FF0" w:rsidRPr="00010966" w:rsidRDefault="003D7FF0" w:rsidP="00F43DFE">
            <w:pPr>
              <w:pStyle w:val="Tabletext"/>
              <w:tabs>
                <w:tab w:val="clear" w:pos="284"/>
                <w:tab w:val="clear" w:pos="425"/>
                <w:tab w:val="left" w:pos="356"/>
              </w:tabs>
              <w:spacing w:before="60"/>
              <w:ind w:left="356" w:hanging="356"/>
              <w:rPr>
                <w:sz w:val="20"/>
                <w:lang w:eastAsia="zh-CN"/>
              </w:rPr>
            </w:pPr>
            <w:r w:rsidRPr="00010966">
              <w:rPr>
                <w:sz w:val="20"/>
                <w:lang w:eastAsia="zh-CN"/>
              </w:rPr>
              <w:t>b)</w:t>
            </w:r>
            <w:r w:rsidR="00B73BD1" w:rsidRPr="00010966">
              <w:rPr>
                <w:sz w:val="20"/>
                <w:lang w:eastAsia="zh-CN"/>
              </w:rPr>
              <w:tab/>
            </w:r>
            <w:r w:rsidR="0087465A" w:rsidRPr="00010966">
              <w:rPr>
                <w:rFonts w:hint="eastAsia"/>
                <w:sz w:val="20"/>
                <w:lang w:eastAsia="zh-CN"/>
              </w:rPr>
              <w:t>通过引入适当的独立监察程序加强其内部司法安排</w:t>
            </w:r>
          </w:p>
        </w:tc>
        <w:tc>
          <w:tcPr>
            <w:tcW w:w="1741" w:type="pct"/>
            <w:shd w:val="clear" w:color="auto" w:fill="auto"/>
          </w:tcPr>
          <w:p w14:paraId="6EBB6297" w14:textId="080C516B" w:rsidR="003D7FF0" w:rsidRPr="00010966" w:rsidRDefault="003D7FF0" w:rsidP="00F43DFE">
            <w:pPr>
              <w:pStyle w:val="Tabletext"/>
              <w:tabs>
                <w:tab w:val="clear" w:pos="284"/>
                <w:tab w:val="clear" w:pos="425"/>
                <w:tab w:val="left" w:pos="356"/>
              </w:tabs>
              <w:spacing w:before="60"/>
              <w:ind w:left="356" w:hanging="356"/>
              <w:rPr>
                <w:sz w:val="20"/>
                <w:lang w:eastAsia="zh-CN"/>
              </w:rPr>
            </w:pPr>
            <w:r w:rsidRPr="00010966">
              <w:rPr>
                <w:sz w:val="20"/>
                <w:lang w:eastAsia="zh-CN"/>
              </w:rPr>
              <w:t>a)</w:t>
            </w:r>
            <w:r w:rsidR="00EB3C26" w:rsidRPr="00010966">
              <w:rPr>
                <w:sz w:val="20"/>
                <w:lang w:eastAsia="zh-CN"/>
              </w:rPr>
              <w:tab/>
            </w:r>
            <w:r w:rsidR="0087465A" w:rsidRPr="00010966">
              <w:rPr>
                <w:rFonts w:hint="eastAsia"/>
                <w:sz w:val="20"/>
                <w:lang w:eastAsia="zh-CN"/>
              </w:rPr>
              <w:t>已根据最佳做法</w:t>
            </w:r>
            <w:r w:rsidR="0077261B" w:rsidRPr="00010966">
              <w:rPr>
                <w:rFonts w:hint="eastAsia"/>
                <w:sz w:val="20"/>
                <w:lang w:eastAsia="zh-CN"/>
              </w:rPr>
              <w:t>对该政策进行了</w:t>
            </w:r>
            <w:r w:rsidR="0087465A" w:rsidRPr="00010966">
              <w:rPr>
                <w:rFonts w:hint="eastAsia"/>
                <w:sz w:val="20"/>
                <w:lang w:eastAsia="zh-CN"/>
              </w:rPr>
              <w:t>审议和更新，并已提交</w:t>
            </w:r>
            <w:r w:rsidR="0087465A" w:rsidRPr="00010966">
              <w:rPr>
                <w:rFonts w:hint="eastAsia"/>
                <w:sz w:val="20"/>
                <w:lang w:eastAsia="zh-CN"/>
              </w:rPr>
              <w:t>IMAC</w:t>
            </w:r>
            <w:r w:rsidR="0087465A" w:rsidRPr="00010966">
              <w:rPr>
                <w:rFonts w:hint="eastAsia"/>
                <w:sz w:val="20"/>
                <w:lang w:eastAsia="zh-CN"/>
              </w:rPr>
              <w:t>审议。目前正在</w:t>
            </w:r>
            <w:r w:rsidR="0077261B" w:rsidRPr="00010966">
              <w:rPr>
                <w:rFonts w:hint="eastAsia"/>
                <w:sz w:val="20"/>
                <w:lang w:eastAsia="zh-CN"/>
              </w:rPr>
              <w:t>最后敲定</w:t>
            </w:r>
            <w:r w:rsidR="0087465A" w:rsidRPr="00010966">
              <w:rPr>
                <w:rFonts w:hint="eastAsia"/>
                <w:sz w:val="20"/>
                <w:lang w:eastAsia="zh-CN"/>
              </w:rPr>
              <w:t>，同时考虑到</w:t>
            </w:r>
            <w:r w:rsidR="0087465A" w:rsidRPr="00010966">
              <w:rPr>
                <w:rFonts w:hint="eastAsia"/>
                <w:sz w:val="20"/>
                <w:lang w:eastAsia="zh-CN"/>
              </w:rPr>
              <w:t>IMAC</w:t>
            </w:r>
            <w:r w:rsidR="0087465A" w:rsidRPr="00010966">
              <w:rPr>
                <w:rFonts w:hint="eastAsia"/>
                <w:sz w:val="20"/>
                <w:lang w:eastAsia="zh-CN"/>
              </w:rPr>
              <w:t>、</w:t>
            </w:r>
            <w:r w:rsidR="0087465A" w:rsidRPr="00010966">
              <w:rPr>
                <w:rFonts w:hint="eastAsia"/>
                <w:sz w:val="20"/>
                <w:lang w:eastAsia="zh-CN"/>
              </w:rPr>
              <w:t>JAC</w:t>
            </w:r>
            <w:r w:rsidR="0087465A" w:rsidRPr="00010966">
              <w:rPr>
                <w:rFonts w:hint="eastAsia"/>
                <w:sz w:val="20"/>
                <w:lang w:eastAsia="zh-CN"/>
              </w:rPr>
              <w:t>和职工委员会的意见。</w:t>
            </w:r>
          </w:p>
          <w:p w14:paraId="26078FB8" w14:textId="67CA65BB" w:rsidR="003D7FF0" w:rsidRPr="00010966" w:rsidRDefault="003D7FF0" w:rsidP="00F43DFE">
            <w:pPr>
              <w:pStyle w:val="Tabletext"/>
              <w:tabs>
                <w:tab w:val="clear" w:pos="284"/>
                <w:tab w:val="clear" w:pos="425"/>
                <w:tab w:val="left" w:pos="356"/>
              </w:tabs>
              <w:spacing w:before="60"/>
              <w:ind w:left="356" w:hanging="356"/>
              <w:rPr>
                <w:sz w:val="20"/>
                <w:lang w:eastAsia="zh-CN"/>
              </w:rPr>
            </w:pPr>
            <w:r w:rsidRPr="00010966">
              <w:rPr>
                <w:sz w:val="20"/>
                <w:lang w:eastAsia="zh-CN"/>
              </w:rPr>
              <w:t>b)</w:t>
            </w:r>
            <w:r w:rsidR="00EB3C26" w:rsidRPr="00010966">
              <w:rPr>
                <w:sz w:val="20"/>
                <w:lang w:eastAsia="zh-CN"/>
              </w:rPr>
              <w:tab/>
            </w:r>
            <w:r w:rsidR="0087465A" w:rsidRPr="00010966">
              <w:rPr>
                <w:rFonts w:hint="eastAsia"/>
                <w:sz w:val="20"/>
                <w:lang w:eastAsia="zh-CN"/>
              </w:rPr>
              <w:t>国际电联、知识产权组织和</w:t>
            </w:r>
            <w:r w:rsidR="0077261B" w:rsidRPr="00010966">
              <w:rPr>
                <w:rFonts w:hint="eastAsia"/>
                <w:sz w:val="20"/>
                <w:lang w:eastAsia="zh-CN"/>
              </w:rPr>
              <w:t>联合国监察员和调解事务办公室（</w:t>
            </w:r>
            <w:r w:rsidR="0077261B" w:rsidRPr="00010966">
              <w:rPr>
                <w:rFonts w:hint="eastAsia"/>
                <w:sz w:val="20"/>
                <w:lang w:eastAsia="zh-CN"/>
              </w:rPr>
              <w:t>UNOMS</w:t>
            </w:r>
            <w:r w:rsidR="0077261B" w:rsidRPr="00010966">
              <w:rPr>
                <w:rFonts w:hint="eastAsia"/>
                <w:sz w:val="20"/>
                <w:lang w:eastAsia="zh-CN"/>
              </w:rPr>
              <w:t>）</w:t>
            </w:r>
            <w:r w:rsidR="0087465A" w:rsidRPr="00010966">
              <w:rPr>
                <w:rFonts w:hint="eastAsia"/>
                <w:sz w:val="20"/>
                <w:lang w:eastAsia="zh-CN"/>
              </w:rPr>
              <w:t>于</w:t>
            </w:r>
            <w:r w:rsidR="0087465A" w:rsidRPr="00010966">
              <w:rPr>
                <w:rFonts w:hint="eastAsia"/>
                <w:sz w:val="20"/>
                <w:lang w:eastAsia="zh-CN"/>
              </w:rPr>
              <w:t>2024</w:t>
            </w:r>
            <w:r w:rsidR="0087465A" w:rsidRPr="00010966">
              <w:rPr>
                <w:rFonts w:hint="eastAsia"/>
                <w:sz w:val="20"/>
                <w:lang w:eastAsia="zh-CN"/>
              </w:rPr>
              <w:t>年</w:t>
            </w:r>
            <w:r w:rsidR="0087465A" w:rsidRPr="00010966">
              <w:rPr>
                <w:rFonts w:hint="eastAsia"/>
                <w:sz w:val="20"/>
                <w:lang w:eastAsia="zh-CN"/>
              </w:rPr>
              <w:t>11</w:t>
            </w:r>
            <w:r w:rsidR="0087465A" w:rsidRPr="00010966">
              <w:rPr>
                <w:rFonts w:hint="eastAsia"/>
                <w:sz w:val="20"/>
                <w:lang w:eastAsia="zh-CN"/>
              </w:rPr>
              <w:t>月签署了将监察员职能外包给</w:t>
            </w:r>
            <w:r w:rsidR="0077261B" w:rsidRPr="00010966">
              <w:rPr>
                <w:rFonts w:hint="eastAsia"/>
                <w:sz w:val="20"/>
                <w:lang w:eastAsia="zh-CN"/>
              </w:rPr>
              <w:t>UNOMS</w:t>
            </w:r>
            <w:r w:rsidR="0087465A" w:rsidRPr="00010966">
              <w:rPr>
                <w:rFonts w:hint="eastAsia"/>
                <w:sz w:val="20"/>
                <w:lang w:eastAsia="zh-CN"/>
              </w:rPr>
              <w:t>的谅解备忘录。通过与</w:t>
            </w:r>
            <w:r w:rsidR="0087465A" w:rsidRPr="00010966">
              <w:rPr>
                <w:rFonts w:hint="eastAsia"/>
                <w:sz w:val="20"/>
                <w:lang w:eastAsia="zh-CN"/>
              </w:rPr>
              <w:t>WIPO</w:t>
            </w:r>
            <w:r w:rsidR="0087465A" w:rsidRPr="00010966">
              <w:rPr>
                <w:rFonts w:hint="eastAsia"/>
                <w:sz w:val="20"/>
                <w:lang w:eastAsia="zh-CN"/>
              </w:rPr>
              <w:t>共享这一服务，国际电联</w:t>
            </w:r>
            <w:r w:rsidR="0077261B" w:rsidRPr="00010966">
              <w:rPr>
                <w:rFonts w:hint="eastAsia"/>
                <w:sz w:val="20"/>
                <w:lang w:eastAsia="zh-CN"/>
              </w:rPr>
              <w:t>在</w:t>
            </w:r>
            <w:r w:rsidR="0087465A" w:rsidRPr="00010966">
              <w:rPr>
                <w:rFonts w:hint="eastAsia"/>
                <w:sz w:val="20"/>
                <w:lang w:eastAsia="zh-CN"/>
              </w:rPr>
              <w:t>确保</w:t>
            </w:r>
            <w:r w:rsidR="0077261B" w:rsidRPr="00010966">
              <w:rPr>
                <w:rFonts w:hint="eastAsia"/>
                <w:sz w:val="20"/>
                <w:lang w:eastAsia="zh-CN"/>
              </w:rPr>
              <w:t>持</w:t>
            </w:r>
            <w:r w:rsidR="0087465A" w:rsidRPr="00010966">
              <w:rPr>
                <w:rFonts w:hint="eastAsia"/>
                <w:sz w:val="20"/>
                <w:lang w:eastAsia="zh-CN"/>
              </w:rPr>
              <w:t>续获得独立专业</w:t>
            </w:r>
            <w:r w:rsidR="0077261B" w:rsidRPr="00010966">
              <w:rPr>
                <w:rFonts w:hint="eastAsia"/>
                <w:sz w:val="20"/>
                <w:lang w:eastAsia="zh-CN"/>
              </w:rPr>
              <w:t>的</w:t>
            </w:r>
            <w:r w:rsidR="0087465A" w:rsidRPr="00010966">
              <w:rPr>
                <w:rFonts w:hint="eastAsia"/>
                <w:sz w:val="20"/>
                <w:lang w:eastAsia="zh-CN"/>
              </w:rPr>
              <w:t>监察员和调解服务</w:t>
            </w:r>
            <w:r w:rsidR="0077261B" w:rsidRPr="00010966">
              <w:rPr>
                <w:rFonts w:hint="eastAsia"/>
                <w:sz w:val="20"/>
                <w:lang w:eastAsia="zh-CN"/>
              </w:rPr>
              <w:t>的同时，节省了内部资源需求</w:t>
            </w:r>
            <w:r w:rsidR="0087465A" w:rsidRPr="00010966">
              <w:rPr>
                <w:rFonts w:hint="eastAsia"/>
                <w:sz w:val="20"/>
                <w:lang w:eastAsia="zh-CN"/>
              </w:rPr>
              <w:t>。</w:t>
            </w:r>
          </w:p>
          <w:p w14:paraId="0B213BA5" w14:textId="39831D55" w:rsidR="003D7FF0" w:rsidRPr="00010966" w:rsidRDefault="0087465A" w:rsidP="00786ECB">
            <w:pPr>
              <w:pStyle w:val="Tabletext"/>
              <w:spacing w:before="60"/>
              <w:rPr>
                <w:sz w:val="20"/>
                <w:lang w:eastAsia="zh-CN"/>
              </w:rPr>
            </w:pPr>
            <w:r w:rsidRPr="00010966">
              <w:rPr>
                <w:rFonts w:hint="eastAsia"/>
                <w:sz w:val="20"/>
                <w:lang w:eastAsia="zh-CN"/>
              </w:rPr>
              <w:t>关于在国际电联设立监察员职能的行政规定已</w:t>
            </w:r>
            <w:r w:rsidR="0077261B" w:rsidRPr="00010966">
              <w:rPr>
                <w:rFonts w:hint="eastAsia"/>
                <w:sz w:val="20"/>
                <w:lang w:eastAsia="zh-CN"/>
              </w:rPr>
              <w:t>获</w:t>
            </w:r>
            <w:r w:rsidRPr="00010966">
              <w:rPr>
                <w:rFonts w:hint="eastAsia"/>
                <w:sz w:val="20"/>
                <w:lang w:eastAsia="zh-CN"/>
              </w:rPr>
              <w:t>批准，并将在现任者于</w:t>
            </w:r>
            <w:r w:rsidRPr="00010966">
              <w:rPr>
                <w:rFonts w:hint="eastAsia"/>
                <w:sz w:val="20"/>
                <w:lang w:eastAsia="zh-CN"/>
              </w:rPr>
              <w:t>2025</w:t>
            </w:r>
            <w:r w:rsidRPr="00010966">
              <w:rPr>
                <w:rFonts w:hint="eastAsia"/>
                <w:sz w:val="20"/>
                <w:lang w:eastAsia="zh-CN"/>
              </w:rPr>
              <w:t>年上任后发布。</w:t>
            </w:r>
          </w:p>
        </w:tc>
        <w:tc>
          <w:tcPr>
            <w:tcW w:w="1041" w:type="pct"/>
            <w:shd w:val="clear" w:color="auto" w:fill="auto"/>
          </w:tcPr>
          <w:p w14:paraId="14F9EC74" w14:textId="6BB9A785" w:rsidR="003D7FF0" w:rsidRPr="00010966" w:rsidRDefault="0087465A" w:rsidP="00786ECB">
            <w:pPr>
              <w:pStyle w:val="Tabletext"/>
              <w:spacing w:before="60"/>
              <w:rPr>
                <w:sz w:val="20"/>
                <w:lang w:eastAsia="zh-CN"/>
              </w:rPr>
            </w:pPr>
            <w:r w:rsidRPr="00010966">
              <w:rPr>
                <w:rFonts w:hint="eastAsia"/>
                <w:sz w:val="20"/>
                <w:lang w:eastAsia="zh-CN"/>
              </w:rPr>
              <w:t>我们注意到管理层的回应，并将考虑作为我们</w:t>
            </w:r>
            <w:r w:rsidRPr="00010966">
              <w:rPr>
                <w:rFonts w:hint="eastAsia"/>
                <w:sz w:val="20"/>
                <w:lang w:eastAsia="zh-CN"/>
              </w:rPr>
              <w:t>2025</w:t>
            </w:r>
            <w:r w:rsidRPr="00010966">
              <w:rPr>
                <w:rFonts w:hint="eastAsia"/>
                <w:sz w:val="20"/>
                <w:lang w:eastAsia="zh-CN"/>
              </w:rPr>
              <w:t>年审计的一部分。</w:t>
            </w:r>
          </w:p>
        </w:tc>
        <w:tc>
          <w:tcPr>
            <w:tcW w:w="487" w:type="pct"/>
            <w:shd w:val="clear" w:color="auto" w:fill="auto"/>
          </w:tcPr>
          <w:p w14:paraId="52F0EADE" w14:textId="1B410114" w:rsidR="003D7FF0" w:rsidRPr="00010966" w:rsidRDefault="00F520EB" w:rsidP="00786ECB">
            <w:pPr>
              <w:pStyle w:val="Tabletext"/>
              <w:spacing w:before="60"/>
              <w:rPr>
                <w:sz w:val="20"/>
              </w:rPr>
            </w:pPr>
            <w:r w:rsidRPr="00010966">
              <w:rPr>
                <w:rFonts w:hint="eastAsia"/>
                <w:sz w:val="20"/>
                <w:lang w:eastAsia="zh-CN"/>
              </w:rPr>
              <w:t>正在实施。</w:t>
            </w:r>
          </w:p>
        </w:tc>
      </w:tr>
    </w:tbl>
    <w:p w14:paraId="6957555A" w14:textId="77777777" w:rsidR="003D7FF0" w:rsidRPr="00E6035E" w:rsidRDefault="003D7FF0">
      <w:pPr>
        <w:tabs>
          <w:tab w:val="clear" w:pos="567"/>
          <w:tab w:val="clear" w:pos="1134"/>
          <w:tab w:val="clear" w:pos="1701"/>
          <w:tab w:val="clear" w:pos="2268"/>
          <w:tab w:val="clear" w:pos="2835"/>
        </w:tabs>
        <w:overflowPunct/>
        <w:autoSpaceDE/>
        <w:autoSpaceDN/>
        <w:adjustRightInd/>
        <w:spacing w:before="0"/>
        <w:textAlignment w:val="auto"/>
        <w:rPr>
          <w:b/>
          <w:sz w:val="10"/>
          <w:szCs w:val="10"/>
          <w:lang w:val="it-IT"/>
        </w:rPr>
      </w:pPr>
      <w:r w:rsidRPr="00E6035E">
        <w:rPr>
          <w:sz w:val="10"/>
          <w:szCs w:val="10"/>
          <w:lang w:val="it-IT"/>
        </w:rPr>
        <w:br w:type="page"/>
      </w:r>
    </w:p>
    <w:p w14:paraId="72457330" w14:textId="3603BB0A" w:rsidR="003D7FF0" w:rsidRPr="00767BEB" w:rsidRDefault="00D43F01" w:rsidP="00DC0D7F">
      <w:pPr>
        <w:pStyle w:val="Heading1"/>
        <w:spacing w:before="0" w:after="360"/>
        <w:rPr>
          <w:sz w:val="56"/>
          <w:szCs w:val="56"/>
          <w:lang w:val="it-IT" w:eastAsia="zh-CN"/>
        </w:rPr>
      </w:pPr>
      <w:bookmarkStart w:id="63" w:name="_Toc200718086"/>
      <w:r>
        <w:rPr>
          <w:rFonts w:hint="eastAsia"/>
          <w:sz w:val="56"/>
          <w:szCs w:val="56"/>
          <w:lang w:val="it-IT" w:eastAsia="zh-CN"/>
        </w:rPr>
        <w:lastRenderedPageBreak/>
        <w:t>附录二：</w:t>
      </w:r>
      <w:r w:rsidR="0087465A">
        <w:rPr>
          <w:rFonts w:hint="eastAsia"/>
          <w:sz w:val="56"/>
          <w:szCs w:val="56"/>
          <w:lang w:val="it-IT" w:eastAsia="zh-CN"/>
        </w:rPr>
        <w:t>未落实的意大利审计院建议</w:t>
      </w:r>
      <w:bookmarkEnd w:id="63"/>
    </w:p>
    <w:tbl>
      <w:tblPr>
        <w:tblW w:w="5000" w:type="pct"/>
        <w:tblBorders>
          <w:top w:val="single" w:sz="12" w:space="0" w:color="008000"/>
          <w:left w:val="nil"/>
          <w:bottom w:val="single" w:sz="12" w:space="0" w:color="008000"/>
          <w:right w:val="nil"/>
          <w:insideH w:val="nil"/>
          <w:insideV w:val="nil"/>
        </w:tblBorders>
        <w:tblLayout w:type="fixed"/>
        <w:tblCellMar>
          <w:left w:w="28" w:type="dxa"/>
          <w:right w:w="28" w:type="dxa"/>
        </w:tblCellMar>
        <w:tblLook w:val="00A0" w:firstRow="1" w:lastRow="0" w:firstColumn="1" w:lastColumn="0" w:noHBand="0" w:noVBand="0"/>
      </w:tblPr>
      <w:tblGrid>
        <w:gridCol w:w="840"/>
        <w:gridCol w:w="4059"/>
        <w:gridCol w:w="4899"/>
        <w:gridCol w:w="2940"/>
        <w:gridCol w:w="1260"/>
      </w:tblGrid>
      <w:tr w:rsidR="003D7FF0" w:rsidRPr="00D95718" w14:paraId="3AF62B7F" w14:textId="77777777" w:rsidTr="00E6035E">
        <w:tc>
          <w:tcPr>
            <w:tcW w:w="5000" w:type="pct"/>
            <w:gridSpan w:val="5"/>
            <w:tcBorders>
              <w:bottom w:val="single" w:sz="6" w:space="0" w:color="008000"/>
            </w:tcBorders>
            <w:shd w:val="clear" w:color="auto" w:fill="auto"/>
          </w:tcPr>
          <w:p w14:paraId="6D60F078" w14:textId="1283F9AB" w:rsidR="003D7FF0" w:rsidRPr="00536D01" w:rsidRDefault="0087465A" w:rsidP="00786ECB">
            <w:pPr>
              <w:pStyle w:val="Tabletitle"/>
              <w:spacing w:before="40" w:after="40"/>
              <w:jc w:val="left"/>
              <w:rPr>
                <w:b w:val="0"/>
                <w:bCs/>
                <w:sz w:val="28"/>
                <w:szCs w:val="28"/>
                <w:lang w:val="it-IT" w:eastAsia="zh-CN"/>
              </w:rPr>
            </w:pPr>
            <w:r>
              <w:rPr>
                <w:rFonts w:hint="eastAsia"/>
                <w:b w:val="0"/>
                <w:bCs/>
                <w:sz w:val="28"/>
                <w:szCs w:val="28"/>
                <w:lang w:val="it-IT" w:eastAsia="zh-CN"/>
              </w:rPr>
              <w:t>意大利审计院的以往建议</w:t>
            </w:r>
          </w:p>
        </w:tc>
      </w:tr>
      <w:tr w:rsidR="003D7FF0" w:rsidRPr="00536D01" w14:paraId="1E825175" w14:textId="77777777" w:rsidTr="00E6035E">
        <w:tc>
          <w:tcPr>
            <w:tcW w:w="300" w:type="pct"/>
            <w:tcBorders>
              <w:top w:val="single" w:sz="6" w:space="0" w:color="008000"/>
            </w:tcBorders>
            <w:shd w:val="clear" w:color="auto" w:fill="auto"/>
          </w:tcPr>
          <w:p w14:paraId="10EF8360" w14:textId="593C763B" w:rsidR="003D7FF0" w:rsidRPr="00536D01" w:rsidRDefault="0087465A" w:rsidP="00786ECB">
            <w:pPr>
              <w:pStyle w:val="Tablehead"/>
              <w:rPr>
                <w:sz w:val="20"/>
              </w:rPr>
            </w:pPr>
            <w:r>
              <w:rPr>
                <w:rFonts w:hint="eastAsia"/>
                <w:sz w:val="20"/>
                <w:lang w:eastAsia="zh-CN"/>
              </w:rPr>
              <w:t>出处</w:t>
            </w:r>
          </w:p>
        </w:tc>
        <w:tc>
          <w:tcPr>
            <w:tcW w:w="1450" w:type="pct"/>
            <w:tcBorders>
              <w:top w:val="single" w:sz="6" w:space="0" w:color="008000"/>
            </w:tcBorders>
            <w:shd w:val="clear" w:color="auto" w:fill="auto"/>
          </w:tcPr>
          <w:p w14:paraId="4F8FC45A" w14:textId="208B6178" w:rsidR="003D7FF0" w:rsidRPr="00536D01" w:rsidRDefault="0087465A" w:rsidP="00786ECB">
            <w:pPr>
              <w:pStyle w:val="Tablehead"/>
              <w:rPr>
                <w:sz w:val="20"/>
              </w:rPr>
            </w:pPr>
            <w:r>
              <w:rPr>
                <w:rFonts w:hint="eastAsia"/>
                <w:sz w:val="20"/>
                <w:lang w:eastAsia="zh-CN"/>
              </w:rPr>
              <w:t>建议</w:t>
            </w:r>
          </w:p>
        </w:tc>
        <w:tc>
          <w:tcPr>
            <w:tcW w:w="1750" w:type="pct"/>
            <w:tcBorders>
              <w:top w:val="single" w:sz="6" w:space="0" w:color="008000"/>
            </w:tcBorders>
            <w:shd w:val="clear" w:color="auto" w:fill="auto"/>
          </w:tcPr>
          <w:p w14:paraId="596C9FAA" w14:textId="136FB9BF" w:rsidR="003D7FF0" w:rsidRPr="00536D01" w:rsidRDefault="0087465A" w:rsidP="00786ECB">
            <w:pPr>
              <w:pStyle w:val="Tablehead"/>
              <w:rPr>
                <w:sz w:val="20"/>
              </w:rPr>
            </w:pPr>
            <w:r>
              <w:rPr>
                <w:rFonts w:hint="eastAsia"/>
                <w:sz w:val="20"/>
                <w:lang w:eastAsia="zh-CN"/>
              </w:rPr>
              <w:t>管理层的回应</w:t>
            </w:r>
          </w:p>
        </w:tc>
        <w:tc>
          <w:tcPr>
            <w:tcW w:w="1050" w:type="pct"/>
            <w:tcBorders>
              <w:top w:val="single" w:sz="6" w:space="0" w:color="008000"/>
            </w:tcBorders>
            <w:shd w:val="clear" w:color="auto" w:fill="auto"/>
          </w:tcPr>
          <w:p w14:paraId="373616F9" w14:textId="15E38273" w:rsidR="003D7FF0" w:rsidRPr="00536D01" w:rsidRDefault="0087465A" w:rsidP="00786ECB">
            <w:pPr>
              <w:pStyle w:val="Tablehead"/>
              <w:rPr>
                <w:sz w:val="20"/>
              </w:rPr>
            </w:pPr>
            <w:r>
              <w:rPr>
                <w:rFonts w:hint="eastAsia"/>
                <w:sz w:val="20"/>
                <w:lang w:eastAsia="zh-CN"/>
              </w:rPr>
              <w:t>外部审计员的意见</w:t>
            </w:r>
          </w:p>
        </w:tc>
        <w:tc>
          <w:tcPr>
            <w:tcW w:w="450" w:type="pct"/>
            <w:tcBorders>
              <w:top w:val="single" w:sz="6" w:space="0" w:color="008000"/>
            </w:tcBorders>
            <w:shd w:val="clear" w:color="auto" w:fill="auto"/>
          </w:tcPr>
          <w:p w14:paraId="311C1C9C" w14:textId="1CF0C0F8" w:rsidR="003D7FF0" w:rsidRPr="00536D01" w:rsidRDefault="0087465A" w:rsidP="00786ECB">
            <w:pPr>
              <w:pStyle w:val="Tablehead"/>
              <w:rPr>
                <w:sz w:val="20"/>
              </w:rPr>
            </w:pPr>
            <w:r>
              <w:rPr>
                <w:rFonts w:hint="eastAsia"/>
                <w:sz w:val="20"/>
                <w:lang w:eastAsia="zh-CN"/>
              </w:rPr>
              <w:t>状态</w:t>
            </w:r>
          </w:p>
        </w:tc>
      </w:tr>
      <w:tr w:rsidR="003D7FF0" w:rsidRPr="00536D01" w14:paraId="26218FA3" w14:textId="77777777" w:rsidTr="00E6035E">
        <w:tc>
          <w:tcPr>
            <w:tcW w:w="300" w:type="pct"/>
            <w:shd w:val="clear" w:color="auto" w:fill="auto"/>
          </w:tcPr>
          <w:p w14:paraId="087BC59B" w14:textId="77777777" w:rsidR="003D7FF0" w:rsidRPr="00536D01" w:rsidRDefault="003D7FF0" w:rsidP="00786ECB">
            <w:pPr>
              <w:pStyle w:val="Tabletext"/>
              <w:rPr>
                <w:sz w:val="20"/>
              </w:rPr>
            </w:pPr>
            <w:r w:rsidRPr="00536D01">
              <w:rPr>
                <w:sz w:val="20"/>
              </w:rPr>
              <w:t>2021 R#1</w:t>
            </w:r>
          </w:p>
        </w:tc>
        <w:tc>
          <w:tcPr>
            <w:tcW w:w="1450" w:type="pct"/>
            <w:shd w:val="clear" w:color="auto" w:fill="auto"/>
          </w:tcPr>
          <w:p w14:paraId="0F588575" w14:textId="081412F9" w:rsidR="003D7FF0" w:rsidRPr="00536D01" w:rsidRDefault="003634DC" w:rsidP="003634DC">
            <w:pPr>
              <w:pStyle w:val="Tabletext"/>
              <w:rPr>
                <w:sz w:val="20"/>
                <w:lang w:eastAsia="zh-CN"/>
              </w:rPr>
            </w:pPr>
            <w:r w:rsidRPr="003634DC">
              <w:rPr>
                <w:rFonts w:hint="eastAsia"/>
                <w:sz w:val="20"/>
                <w:lang w:eastAsia="zh-CN"/>
              </w:rPr>
              <w:t>持续、准确地监控这一搬迁过程，以提高资产登记的准确性和完整性，保护国际电联的资产。</w:t>
            </w:r>
          </w:p>
        </w:tc>
        <w:tc>
          <w:tcPr>
            <w:tcW w:w="1750" w:type="pct"/>
            <w:shd w:val="clear" w:color="auto" w:fill="auto"/>
          </w:tcPr>
          <w:p w14:paraId="52048B2E" w14:textId="5023E964" w:rsidR="003D7FF0" w:rsidRPr="00536D01" w:rsidRDefault="003C4D9B" w:rsidP="00786ECB">
            <w:pPr>
              <w:pStyle w:val="Tabletext"/>
              <w:rPr>
                <w:sz w:val="20"/>
                <w:lang w:eastAsia="zh-CN"/>
              </w:rPr>
            </w:pPr>
            <w:r w:rsidRPr="003C4D9B">
              <w:rPr>
                <w:rFonts w:hint="eastAsia"/>
                <w:sz w:val="20"/>
                <w:lang w:eastAsia="zh-CN"/>
              </w:rPr>
              <w:t>截至</w:t>
            </w:r>
            <w:r w:rsidRPr="003C4D9B">
              <w:rPr>
                <w:rFonts w:hint="eastAsia"/>
                <w:sz w:val="20"/>
                <w:lang w:eastAsia="zh-CN"/>
              </w:rPr>
              <w:t>2025</w:t>
            </w:r>
            <w:r w:rsidRPr="003C4D9B">
              <w:rPr>
                <w:rFonts w:hint="eastAsia"/>
                <w:sz w:val="20"/>
                <w:lang w:eastAsia="zh-CN"/>
              </w:rPr>
              <w:t>年</w:t>
            </w:r>
            <w:r w:rsidRPr="003C4D9B">
              <w:rPr>
                <w:rFonts w:hint="eastAsia"/>
                <w:sz w:val="20"/>
                <w:lang w:eastAsia="zh-CN"/>
              </w:rPr>
              <w:t>5</w:t>
            </w:r>
            <w:r w:rsidRPr="003C4D9B">
              <w:rPr>
                <w:rFonts w:hint="eastAsia"/>
                <w:sz w:val="20"/>
                <w:lang w:eastAsia="zh-CN"/>
              </w:rPr>
              <w:t>月的最新进展：国际电联一直在监控这些项目。每年都会进行一次实物盘点。本建议中确定的资产由单一业务使用，即</w:t>
            </w:r>
            <w:r w:rsidR="00C56C62">
              <w:rPr>
                <w:rFonts w:hint="eastAsia"/>
                <w:sz w:val="20"/>
                <w:lang w:eastAsia="zh-CN"/>
              </w:rPr>
              <w:t>宣传处</w:t>
            </w:r>
            <w:r w:rsidRPr="003C4D9B">
              <w:rPr>
                <w:rFonts w:hint="eastAsia"/>
                <w:sz w:val="20"/>
                <w:lang w:eastAsia="zh-CN"/>
              </w:rPr>
              <w:t>。如我们之前的评论所述，很难给这些资产贴</w:t>
            </w:r>
            <w:r w:rsidR="00C56C62">
              <w:rPr>
                <w:rFonts w:hint="eastAsia"/>
                <w:sz w:val="20"/>
                <w:lang w:eastAsia="zh-CN"/>
              </w:rPr>
              <w:t>上</w:t>
            </w:r>
            <w:r w:rsidRPr="003C4D9B">
              <w:rPr>
                <w:rFonts w:hint="eastAsia"/>
                <w:sz w:val="20"/>
                <w:lang w:eastAsia="zh-CN"/>
              </w:rPr>
              <w:t>“标签”。国际电联知晓这些资产是</w:t>
            </w:r>
            <w:r w:rsidR="00C56C62">
              <w:rPr>
                <w:rFonts w:hint="eastAsia"/>
                <w:sz w:val="20"/>
                <w:lang w:eastAsia="zh-CN"/>
              </w:rPr>
              <w:t>该处</w:t>
            </w:r>
            <w:r w:rsidRPr="003C4D9B">
              <w:rPr>
                <w:rFonts w:hint="eastAsia"/>
                <w:sz w:val="20"/>
                <w:lang w:eastAsia="zh-CN"/>
              </w:rPr>
              <w:t>的责任。</w:t>
            </w:r>
            <w:r w:rsidRPr="003C4D9B">
              <w:rPr>
                <w:rFonts w:hint="eastAsia"/>
                <w:sz w:val="20"/>
                <w:lang w:eastAsia="zh-CN"/>
              </w:rPr>
              <w:t>FRMD</w:t>
            </w:r>
            <w:r w:rsidRPr="003C4D9B">
              <w:rPr>
                <w:rFonts w:hint="eastAsia"/>
                <w:sz w:val="20"/>
                <w:lang w:eastAsia="zh-CN"/>
              </w:rPr>
              <w:t>建议</w:t>
            </w:r>
            <w:r w:rsidR="00705585">
              <w:rPr>
                <w:rFonts w:hint="eastAsia"/>
                <w:sz w:val="20"/>
                <w:lang w:eastAsia="zh-CN"/>
              </w:rPr>
              <w:t>结束</w:t>
            </w:r>
            <w:r w:rsidRPr="003C4D9B">
              <w:rPr>
                <w:rFonts w:hint="eastAsia"/>
                <w:sz w:val="20"/>
                <w:lang w:eastAsia="zh-CN"/>
              </w:rPr>
              <w:t>这项建议。</w:t>
            </w:r>
          </w:p>
        </w:tc>
        <w:tc>
          <w:tcPr>
            <w:tcW w:w="1050" w:type="pct"/>
            <w:shd w:val="clear" w:color="auto" w:fill="auto"/>
          </w:tcPr>
          <w:p w14:paraId="135C4DF6" w14:textId="50B2D3C1" w:rsidR="003D7FF0" w:rsidRPr="00536D01" w:rsidRDefault="003C4D9B" w:rsidP="00786ECB">
            <w:pPr>
              <w:pStyle w:val="Tabletext"/>
              <w:rPr>
                <w:sz w:val="20"/>
                <w:lang w:eastAsia="zh-CN"/>
              </w:rPr>
            </w:pPr>
            <w:r w:rsidRPr="003C4D9B">
              <w:rPr>
                <w:rFonts w:hint="eastAsia"/>
                <w:sz w:val="20"/>
                <w:lang w:eastAsia="zh-CN"/>
              </w:rPr>
              <w:t>注意到最新回应</w:t>
            </w:r>
            <w:r w:rsidR="00C56C62">
              <w:rPr>
                <w:rFonts w:hint="eastAsia"/>
                <w:sz w:val="20"/>
                <w:lang w:eastAsia="zh-CN"/>
              </w:rPr>
              <w:t>，</w:t>
            </w:r>
            <w:r w:rsidRPr="003C4D9B">
              <w:rPr>
                <w:rFonts w:hint="eastAsia"/>
                <w:sz w:val="20"/>
                <w:lang w:eastAsia="zh-CN"/>
              </w:rPr>
              <w:t>并认为是合理的。该建议已</w:t>
            </w:r>
            <w:r w:rsidR="00C56C62">
              <w:rPr>
                <w:rFonts w:hint="eastAsia"/>
                <w:sz w:val="20"/>
                <w:lang w:eastAsia="zh-CN"/>
              </w:rPr>
              <w:t>完成</w:t>
            </w:r>
            <w:r w:rsidRPr="003C4D9B">
              <w:rPr>
                <w:rFonts w:hint="eastAsia"/>
                <w:sz w:val="20"/>
                <w:lang w:eastAsia="zh-CN"/>
              </w:rPr>
              <w:t>。</w:t>
            </w:r>
          </w:p>
        </w:tc>
        <w:tc>
          <w:tcPr>
            <w:tcW w:w="450" w:type="pct"/>
            <w:shd w:val="clear" w:color="auto" w:fill="auto"/>
          </w:tcPr>
          <w:p w14:paraId="57279F92" w14:textId="3C96D9C1" w:rsidR="003D7FF0" w:rsidRPr="00536D01" w:rsidRDefault="00347A11" w:rsidP="00786ECB">
            <w:pPr>
              <w:pStyle w:val="Tabletext"/>
              <w:rPr>
                <w:sz w:val="20"/>
                <w:lang w:eastAsia="zh-CN"/>
              </w:rPr>
            </w:pPr>
            <w:r>
              <w:rPr>
                <w:rFonts w:ascii="SimSun" w:eastAsia="SimSun" w:hAnsi="SimSun" w:cs="SimSun" w:hint="eastAsia"/>
                <w:color w:val="000000"/>
                <w:sz w:val="20"/>
                <w:lang w:eastAsia="zh-CN"/>
              </w:rPr>
              <w:t>已关闭。</w:t>
            </w:r>
          </w:p>
        </w:tc>
      </w:tr>
      <w:tr w:rsidR="003D7FF0" w:rsidRPr="00536D01" w14:paraId="54CCB560" w14:textId="77777777" w:rsidTr="00E6035E">
        <w:tc>
          <w:tcPr>
            <w:tcW w:w="300" w:type="pct"/>
            <w:shd w:val="clear" w:color="auto" w:fill="auto"/>
          </w:tcPr>
          <w:p w14:paraId="709033C2" w14:textId="77777777" w:rsidR="003D7FF0" w:rsidRPr="00536D01" w:rsidRDefault="003D7FF0" w:rsidP="00786ECB">
            <w:pPr>
              <w:pStyle w:val="Tabletext"/>
              <w:rPr>
                <w:sz w:val="20"/>
              </w:rPr>
            </w:pPr>
            <w:r w:rsidRPr="00536D01">
              <w:rPr>
                <w:sz w:val="20"/>
              </w:rPr>
              <w:t>2021 R#2</w:t>
            </w:r>
          </w:p>
        </w:tc>
        <w:tc>
          <w:tcPr>
            <w:tcW w:w="1450" w:type="pct"/>
            <w:shd w:val="clear" w:color="auto" w:fill="auto"/>
          </w:tcPr>
          <w:p w14:paraId="671E879E" w14:textId="088C8A15" w:rsidR="003D7FF0" w:rsidRPr="00536D01" w:rsidRDefault="003C4D9B" w:rsidP="007E4420">
            <w:pPr>
              <w:pStyle w:val="Tabletext"/>
              <w:rPr>
                <w:sz w:val="20"/>
                <w:lang w:eastAsia="zh-CN"/>
              </w:rPr>
            </w:pPr>
            <w:r w:rsidRPr="003C4D9B">
              <w:rPr>
                <w:rFonts w:hint="eastAsia"/>
                <w:sz w:val="20"/>
                <w:lang w:eastAsia="zh-CN"/>
              </w:rPr>
              <w:t>1</w:t>
            </w:r>
            <w:r w:rsidR="007E4420">
              <w:rPr>
                <w:rFonts w:hint="eastAsia"/>
                <w:sz w:val="20"/>
                <w:lang w:eastAsia="zh-CN"/>
              </w:rPr>
              <w:t>)</w:t>
            </w:r>
            <w:r w:rsidRPr="003C4D9B">
              <w:rPr>
                <w:rFonts w:hint="eastAsia"/>
                <w:sz w:val="20"/>
                <w:lang w:eastAsia="zh-CN"/>
              </w:rPr>
              <w:t xml:space="preserve"> </w:t>
            </w:r>
            <w:r w:rsidR="007E4420" w:rsidRPr="007E4420">
              <w:rPr>
                <w:rFonts w:hint="eastAsia"/>
                <w:sz w:val="20"/>
                <w:lang w:eastAsia="zh-CN"/>
              </w:rPr>
              <w:t>加强对资产的使用寿命、残值和</w:t>
            </w:r>
            <w:r w:rsidR="007E4420" w:rsidRPr="007E4420">
              <w:rPr>
                <w:rFonts w:hint="eastAsia"/>
                <w:sz w:val="20"/>
                <w:lang w:eastAsia="zh-CN"/>
              </w:rPr>
              <w:t>/</w:t>
            </w:r>
            <w:r w:rsidR="007E4420" w:rsidRPr="007E4420">
              <w:rPr>
                <w:rFonts w:hint="eastAsia"/>
                <w:sz w:val="20"/>
                <w:lang w:eastAsia="zh-CN"/>
              </w:rPr>
              <w:t>或减值损失等状况的监督；</w:t>
            </w:r>
            <w:r w:rsidR="007E4420" w:rsidRPr="007E4420">
              <w:rPr>
                <w:rFonts w:hint="eastAsia"/>
                <w:sz w:val="20"/>
                <w:lang w:eastAsia="zh-CN"/>
              </w:rPr>
              <w:t xml:space="preserve">2) </w:t>
            </w:r>
            <w:r w:rsidR="007E4420" w:rsidRPr="007E4420">
              <w:rPr>
                <w:rFonts w:hint="eastAsia"/>
                <w:sz w:val="20"/>
                <w:lang w:eastAsia="zh-CN"/>
              </w:rPr>
              <w:t>在决定核销之前，通过专门的委员会评估它们的实际过时情况；此外，该委员会应具备技术能力，由在资产使用寿命期间不负责其购置和管理的职员组成；</w:t>
            </w:r>
            <w:r w:rsidR="00F43DFE">
              <w:rPr>
                <w:sz w:val="20"/>
                <w:lang w:eastAsia="zh-CN"/>
              </w:rPr>
              <w:br/>
            </w:r>
            <w:r w:rsidR="007E4420" w:rsidRPr="007E4420">
              <w:rPr>
                <w:rFonts w:hint="eastAsia"/>
                <w:sz w:val="20"/>
                <w:lang w:eastAsia="zh-CN"/>
              </w:rPr>
              <w:t xml:space="preserve">3) </w:t>
            </w:r>
            <w:r w:rsidR="007E4420" w:rsidRPr="007E4420">
              <w:rPr>
                <w:rFonts w:hint="eastAsia"/>
                <w:sz w:val="20"/>
                <w:lang w:eastAsia="zh-CN"/>
              </w:rPr>
              <w:t>执行由上述物品评估委员会制定的更严格程序，特别是在向员工出售资产的情况下。</w:t>
            </w:r>
          </w:p>
        </w:tc>
        <w:tc>
          <w:tcPr>
            <w:tcW w:w="1750" w:type="pct"/>
            <w:shd w:val="clear" w:color="auto" w:fill="auto"/>
          </w:tcPr>
          <w:p w14:paraId="22DEBC96" w14:textId="25ADCD3F" w:rsidR="003D7FF0" w:rsidRPr="00536D01" w:rsidRDefault="003C4D9B" w:rsidP="00786ECB">
            <w:pPr>
              <w:pStyle w:val="Tabletext"/>
              <w:rPr>
                <w:sz w:val="20"/>
                <w:lang w:eastAsia="zh-CN"/>
              </w:rPr>
            </w:pPr>
            <w:r w:rsidRPr="003C4D9B">
              <w:rPr>
                <w:rFonts w:hint="eastAsia"/>
                <w:sz w:val="20"/>
                <w:lang w:eastAsia="zh-CN"/>
              </w:rPr>
              <w:t>截至</w:t>
            </w:r>
            <w:r w:rsidRPr="003C4D9B">
              <w:rPr>
                <w:rFonts w:hint="eastAsia"/>
                <w:sz w:val="20"/>
                <w:lang w:eastAsia="zh-CN"/>
              </w:rPr>
              <w:t>2025</w:t>
            </w:r>
            <w:r w:rsidRPr="003C4D9B">
              <w:rPr>
                <w:rFonts w:hint="eastAsia"/>
                <w:sz w:val="20"/>
                <w:lang w:eastAsia="zh-CN"/>
              </w:rPr>
              <w:t>年</w:t>
            </w:r>
            <w:r w:rsidRPr="003C4D9B">
              <w:rPr>
                <w:rFonts w:hint="eastAsia"/>
                <w:sz w:val="20"/>
                <w:lang w:eastAsia="zh-CN"/>
              </w:rPr>
              <w:t>5</w:t>
            </w:r>
            <w:r w:rsidRPr="003C4D9B">
              <w:rPr>
                <w:rFonts w:hint="eastAsia"/>
                <w:sz w:val="20"/>
                <w:lang w:eastAsia="zh-CN"/>
              </w:rPr>
              <w:t>月的最新进展：向员工出售设备有严格的程序。第</w:t>
            </w:r>
            <w:r w:rsidRPr="003C4D9B">
              <w:rPr>
                <w:rFonts w:hint="eastAsia"/>
                <w:sz w:val="20"/>
                <w:lang w:eastAsia="zh-CN"/>
              </w:rPr>
              <w:t>21/09</w:t>
            </w:r>
            <w:r w:rsidRPr="003C4D9B">
              <w:rPr>
                <w:rFonts w:hint="eastAsia"/>
                <w:sz w:val="20"/>
                <w:lang w:eastAsia="zh-CN"/>
              </w:rPr>
              <w:t>号行政规定</w:t>
            </w:r>
            <w:r w:rsidR="00C56C62">
              <w:rPr>
                <w:rFonts w:hint="eastAsia"/>
                <w:sz w:val="20"/>
                <w:lang w:eastAsia="zh-CN"/>
              </w:rPr>
              <w:t>《</w:t>
            </w:r>
            <w:r w:rsidRPr="003C4D9B">
              <w:rPr>
                <w:rFonts w:hint="eastAsia"/>
                <w:sz w:val="20"/>
                <w:lang w:eastAsia="zh-CN"/>
              </w:rPr>
              <w:t>IT</w:t>
            </w:r>
            <w:r w:rsidRPr="003C4D9B">
              <w:rPr>
                <w:rFonts w:hint="eastAsia"/>
                <w:sz w:val="20"/>
                <w:lang w:eastAsia="zh-CN"/>
              </w:rPr>
              <w:t>设备采购程序</w:t>
            </w:r>
            <w:r w:rsidR="00C56C62">
              <w:rPr>
                <w:rFonts w:hint="eastAsia"/>
                <w:sz w:val="20"/>
                <w:lang w:eastAsia="zh-CN"/>
              </w:rPr>
              <w:t>》对此程序作了</w:t>
            </w:r>
            <w:r w:rsidRPr="003C4D9B">
              <w:rPr>
                <w:rFonts w:hint="eastAsia"/>
                <w:sz w:val="20"/>
                <w:lang w:eastAsia="zh-CN"/>
              </w:rPr>
              <w:t>规定</w:t>
            </w:r>
            <w:r w:rsidR="00C56C62">
              <w:rPr>
                <w:rFonts w:hint="eastAsia"/>
                <w:sz w:val="20"/>
                <w:lang w:eastAsia="zh-CN"/>
              </w:rPr>
              <w:t>，</w:t>
            </w:r>
            <w:r w:rsidRPr="003C4D9B">
              <w:rPr>
                <w:rFonts w:hint="eastAsia"/>
                <w:sz w:val="20"/>
                <w:lang w:eastAsia="zh-CN"/>
              </w:rPr>
              <w:t>详细说明了该设备的</w:t>
            </w:r>
            <w:r w:rsidR="00C56C62">
              <w:rPr>
                <w:rFonts w:hint="eastAsia"/>
                <w:sz w:val="20"/>
                <w:lang w:eastAsia="zh-CN"/>
              </w:rPr>
              <w:t>出</w:t>
            </w:r>
            <w:r w:rsidRPr="003C4D9B">
              <w:rPr>
                <w:rFonts w:hint="eastAsia"/>
                <w:sz w:val="20"/>
                <w:lang w:eastAsia="zh-CN"/>
              </w:rPr>
              <w:t>售条件。</w:t>
            </w:r>
          </w:p>
        </w:tc>
        <w:tc>
          <w:tcPr>
            <w:tcW w:w="1050" w:type="pct"/>
            <w:shd w:val="clear" w:color="auto" w:fill="auto"/>
          </w:tcPr>
          <w:p w14:paraId="55F57EEA" w14:textId="0C792127" w:rsidR="003D7FF0" w:rsidRPr="00536D01" w:rsidRDefault="003C4D9B" w:rsidP="00786ECB">
            <w:pPr>
              <w:pStyle w:val="Tabletext"/>
              <w:rPr>
                <w:spacing w:val="-2"/>
                <w:sz w:val="20"/>
                <w:lang w:eastAsia="zh-CN"/>
              </w:rPr>
            </w:pPr>
            <w:r w:rsidRPr="003C4D9B">
              <w:rPr>
                <w:rStyle w:val="Bold"/>
                <w:rFonts w:hint="eastAsia"/>
                <w:b w:val="0"/>
                <w:bCs w:val="0"/>
                <w:spacing w:val="-2"/>
                <w:sz w:val="20"/>
                <w:lang w:eastAsia="zh-CN"/>
              </w:rPr>
              <w:t>我们注意到管理层的</w:t>
            </w:r>
            <w:r w:rsidR="00C56C62">
              <w:rPr>
                <w:rStyle w:val="Bold"/>
                <w:rFonts w:hint="eastAsia"/>
                <w:b w:val="0"/>
                <w:bCs w:val="0"/>
                <w:spacing w:val="-2"/>
                <w:sz w:val="20"/>
                <w:lang w:eastAsia="zh-CN"/>
              </w:rPr>
              <w:t>回应</w:t>
            </w:r>
            <w:r w:rsidRPr="003C4D9B">
              <w:rPr>
                <w:rStyle w:val="Bold"/>
                <w:rFonts w:hint="eastAsia"/>
                <w:b w:val="0"/>
                <w:bCs w:val="0"/>
                <w:spacing w:val="-2"/>
                <w:sz w:val="20"/>
                <w:lang w:eastAsia="zh-CN"/>
              </w:rPr>
              <w:t>，他们已在成本效益基础上接受了风险。</w:t>
            </w:r>
            <w:r w:rsidRPr="003C4D9B">
              <w:rPr>
                <w:rStyle w:val="Bold"/>
                <w:rFonts w:hint="eastAsia"/>
                <w:spacing w:val="-2"/>
                <w:sz w:val="20"/>
                <w:lang w:eastAsia="zh-CN"/>
              </w:rPr>
              <w:t>应审议并改进第</w:t>
            </w:r>
            <w:r w:rsidRPr="003C4D9B">
              <w:rPr>
                <w:rStyle w:val="Bold"/>
                <w:rFonts w:hint="eastAsia"/>
                <w:spacing w:val="-2"/>
                <w:sz w:val="20"/>
                <w:lang w:eastAsia="zh-CN"/>
              </w:rPr>
              <w:t>21/09</w:t>
            </w:r>
            <w:r w:rsidRPr="003C4D9B">
              <w:rPr>
                <w:rStyle w:val="Bold"/>
                <w:rFonts w:hint="eastAsia"/>
                <w:spacing w:val="-2"/>
                <w:sz w:val="20"/>
                <w:lang w:eastAsia="zh-CN"/>
              </w:rPr>
              <w:t>号行政规定，特别是关于职员提出购买国际电联信息系统资产的要求。我们认为，只有当国际电联认为设备过时或过剩时，才应启动处置行动，</w:t>
            </w:r>
            <w:r w:rsidR="00A76FAE">
              <w:rPr>
                <w:rStyle w:val="Bold"/>
                <w:rFonts w:hint="eastAsia"/>
                <w:spacing w:val="-2"/>
                <w:sz w:val="20"/>
                <w:lang w:eastAsia="zh-CN"/>
              </w:rPr>
              <w:t>且该决策应源于</w:t>
            </w:r>
            <w:r w:rsidRPr="003C4D9B">
              <w:rPr>
                <w:rStyle w:val="Bold"/>
                <w:rFonts w:hint="eastAsia"/>
                <w:spacing w:val="-2"/>
                <w:sz w:val="20"/>
                <w:lang w:eastAsia="zh-CN"/>
              </w:rPr>
              <w:t>例行和定期</w:t>
            </w:r>
            <w:r w:rsidR="00A76FAE">
              <w:rPr>
                <w:rStyle w:val="Bold"/>
                <w:rFonts w:hint="eastAsia"/>
                <w:spacing w:val="-2"/>
                <w:sz w:val="20"/>
                <w:lang w:eastAsia="zh-CN"/>
              </w:rPr>
              <w:t>开展</w:t>
            </w:r>
            <w:r w:rsidRPr="003C4D9B">
              <w:rPr>
                <w:rStyle w:val="Bold"/>
                <w:rFonts w:hint="eastAsia"/>
                <w:spacing w:val="-2"/>
                <w:sz w:val="20"/>
                <w:lang w:eastAsia="zh-CN"/>
              </w:rPr>
              <w:t>的资产减值行动。</w:t>
            </w:r>
          </w:p>
        </w:tc>
        <w:tc>
          <w:tcPr>
            <w:tcW w:w="450" w:type="pct"/>
            <w:shd w:val="clear" w:color="auto" w:fill="auto"/>
          </w:tcPr>
          <w:p w14:paraId="4612A83B" w14:textId="45CBF8AA" w:rsidR="003D7FF0" w:rsidRPr="00536D01" w:rsidRDefault="00347A11" w:rsidP="00786ECB">
            <w:pPr>
              <w:pStyle w:val="Tabletext"/>
              <w:rPr>
                <w:sz w:val="20"/>
                <w:lang w:eastAsia="zh-CN"/>
              </w:rPr>
            </w:pPr>
            <w:r>
              <w:rPr>
                <w:rFonts w:ascii="SimSun" w:eastAsia="SimSun" w:hAnsi="SimSun" w:cs="SimSun" w:hint="eastAsia"/>
                <w:color w:val="000000"/>
                <w:sz w:val="20"/>
                <w:lang w:eastAsia="zh-CN"/>
              </w:rPr>
              <w:t>已关闭</w:t>
            </w:r>
            <w:r w:rsidR="003C4D9B">
              <w:rPr>
                <w:rFonts w:hint="eastAsia"/>
                <w:sz w:val="20"/>
                <w:lang w:eastAsia="zh-CN"/>
              </w:rPr>
              <w:t>，</w:t>
            </w:r>
            <w:r w:rsidR="00A76FAE">
              <w:rPr>
                <w:rFonts w:hint="eastAsia"/>
                <w:sz w:val="20"/>
                <w:lang w:eastAsia="zh-CN"/>
              </w:rPr>
              <w:t>但附保留意见</w:t>
            </w:r>
            <w:r w:rsidR="003C4D9B">
              <w:rPr>
                <w:rFonts w:hint="eastAsia"/>
                <w:sz w:val="20"/>
                <w:lang w:eastAsia="zh-CN"/>
              </w:rPr>
              <w:t>。</w:t>
            </w:r>
          </w:p>
        </w:tc>
      </w:tr>
      <w:tr w:rsidR="003D7FF0" w:rsidRPr="00536D01" w14:paraId="0D9AA662" w14:textId="77777777" w:rsidTr="00E6035E">
        <w:tc>
          <w:tcPr>
            <w:tcW w:w="300" w:type="pct"/>
            <w:shd w:val="clear" w:color="auto" w:fill="auto"/>
          </w:tcPr>
          <w:p w14:paraId="4C570AD3" w14:textId="77777777" w:rsidR="003D7FF0" w:rsidRPr="00536D01" w:rsidRDefault="003D7FF0" w:rsidP="00786ECB">
            <w:pPr>
              <w:pStyle w:val="Tabletext"/>
              <w:rPr>
                <w:sz w:val="20"/>
              </w:rPr>
            </w:pPr>
            <w:r w:rsidRPr="00536D01">
              <w:rPr>
                <w:sz w:val="20"/>
              </w:rPr>
              <w:t>2021 R#3</w:t>
            </w:r>
          </w:p>
        </w:tc>
        <w:tc>
          <w:tcPr>
            <w:tcW w:w="1450" w:type="pct"/>
            <w:shd w:val="clear" w:color="auto" w:fill="auto"/>
          </w:tcPr>
          <w:p w14:paraId="42473085" w14:textId="71865F6F" w:rsidR="003D7FF0" w:rsidRPr="007E4420"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a)</w:t>
            </w:r>
            <w:r w:rsidR="00A4363A" w:rsidRPr="00536D01">
              <w:rPr>
                <w:sz w:val="20"/>
                <w:lang w:eastAsia="zh-CN"/>
              </w:rPr>
              <w:tab/>
            </w:r>
            <w:r w:rsidR="007E4420" w:rsidRPr="007E4420">
              <w:rPr>
                <w:rFonts w:hint="eastAsia"/>
                <w:sz w:val="20"/>
                <w:lang w:eastAsia="zh-CN"/>
              </w:rPr>
              <w:t>管理层通过对直接从银行收集的信息（例如，确认函或其他替代证明文件）进行有效评估，加强对与余额有关的确认函的内部验证，特别是在当地开立的现金账户。特别是对于我们</w:t>
            </w:r>
            <w:r w:rsidR="007E4420" w:rsidRPr="007E4420">
              <w:rPr>
                <w:rFonts w:hint="eastAsia"/>
                <w:sz w:val="20"/>
                <w:lang w:eastAsia="zh-CN"/>
              </w:rPr>
              <w:t>10</w:t>
            </w:r>
            <w:r w:rsidR="007E4420" w:rsidRPr="007E4420">
              <w:rPr>
                <w:rFonts w:hint="eastAsia"/>
                <w:sz w:val="20"/>
                <w:lang w:eastAsia="zh-CN"/>
              </w:rPr>
              <w:t>年来未收到确认函，以及收到比例较低的的账户</w:t>
            </w:r>
            <w:r w:rsidR="007E4420">
              <w:rPr>
                <w:rFonts w:hint="eastAsia"/>
                <w:sz w:val="20"/>
                <w:lang w:eastAsia="zh-CN"/>
              </w:rPr>
              <w:t>。</w:t>
            </w:r>
          </w:p>
          <w:p w14:paraId="3D16FBA9" w14:textId="5CC4BD61" w:rsidR="003D7FF0" w:rsidRPr="00536D01"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b)</w:t>
            </w:r>
            <w:r w:rsidR="00A4363A" w:rsidRPr="00536D01">
              <w:rPr>
                <w:sz w:val="20"/>
                <w:lang w:eastAsia="zh-CN"/>
              </w:rPr>
              <w:tab/>
            </w:r>
            <w:r w:rsidR="007E4420" w:rsidRPr="007E4420">
              <w:rPr>
                <w:rFonts w:hint="eastAsia"/>
                <w:sz w:val="20"/>
                <w:lang w:eastAsia="zh-CN"/>
              </w:rPr>
              <w:t>由独立于当地领导班子的单位进行审查；或者最好由直接操作账户的工作人员以外的其他人立即对这些账户进行尽职调查，以确保其签批权的正确性，并寻找潜在的</w:t>
            </w:r>
            <w:r w:rsidR="007E4420" w:rsidRPr="007E4420">
              <w:rPr>
                <w:rFonts w:hint="eastAsia"/>
                <w:sz w:val="20"/>
                <w:lang w:eastAsia="zh-CN"/>
              </w:rPr>
              <w:lastRenderedPageBreak/>
              <w:t>未登记负债。由日常管理人员以外的其他人开展的这项工作的成果，不仅可以提高现场财务管理的内部控制水平，还可降低与欺诈风险，特别是与驻地一级欺诈风险相关的声誉风险水平。然而，必要时，同样的原则也应在总部一级实施。</w:t>
            </w:r>
          </w:p>
          <w:p w14:paraId="35C14BAD" w14:textId="7145F5F5" w:rsidR="003D7FF0" w:rsidRPr="00536D01"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c)</w:t>
            </w:r>
            <w:r w:rsidR="00A4363A" w:rsidRPr="00536D01">
              <w:rPr>
                <w:sz w:val="20"/>
                <w:lang w:eastAsia="zh-CN"/>
              </w:rPr>
              <w:tab/>
            </w:r>
            <w:r w:rsidR="007E4420" w:rsidRPr="007E4420">
              <w:rPr>
                <w:rFonts w:hint="eastAsia"/>
                <w:sz w:val="20"/>
                <w:lang w:eastAsia="zh-CN"/>
              </w:rPr>
              <w:t>如果其中一些从未收到直接确认的账户可能产生不可接受的风险，探讨关闭其中一些账户的可能性和</w:t>
            </w:r>
            <w:r w:rsidR="007E4420" w:rsidRPr="007E4420">
              <w:rPr>
                <w:rFonts w:hint="eastAsia"/>
                <w:sz w:val="20"/>
                <w:lang w:eastAsia="zh-CN"/>
              </w:rPr>
              <w:t>/</w:t>
            </w:r>
            <w:r w:rsidR="007E4420" w:rsidRPr="007E4420">
              <w:rPr>
                <w:rFonts w:hint="eastAsia"/>
                <w:sz w:val="20"/>
                <w:lang w:eastAsia="zh-CN"/>
              </w:rPr>
              <w:t>或评估使用联合国系统（例如联合国开发计划署）或在该领域运作的其他机构提供的替代方案的机会，如果认为这些方案有效且可靠的话。</w:t>
            </w:r>
          </w:p>
        </w:tc>
        <w:tc>
          <w:tcPr>
            <w:tcW w:w="1750" w:type="pct"/>
            <w:shd w:val="clear" w:color="auto" w:fill="auto"/>
          </w:tcPr>
          <w:p w14:paraId="15B8DA26" w14:textId="6D3DC2A8" w:rsidR="003D7FF0" w:rsidRPr="00536D01" w:rsidRDefault="003C4D9B" w:rsidP="00786ECB">
            <w:pPr>
              <w:pStyle w:val="Tabletext"/>
              <w:rPr>
                <w:sz w:val="20"/>
                <w:lang w:eastAsia="zh-CN"/>
              </w:rPr>
            </w:pPr>
            <w:r w:rsidRPr="003C4D9B">
              <w:rPr>
                <w:rFonts w:hint="eastAsia"/>
                <w:sz w:val="20"/>
                <w:lang w:eastAsia="zh-CN"/>
              </w:rPr>
              <w:lastRenderedPageBreak/>
              <w:t>截至</w:t>
            </w:r>
            <w:r w:rsidRPr="003C4D9B">
              <w:rPr>
                <w:rFonts w:hint="eastAsia"/>
                <w:sz w:val="20"/>
                <w:lang w:eastAsia="zh-CN"/>
              </w:rPr>
              <w:t>2024</w:t>
            </w:r>
            <w:r w:rsidRPr="003C4D9B">
              <w:rPr>
                <w:rFonts w:hint="eastAsia"/>
                <w:sz w:val="20"/>
                <w:lang w:eastAsia="zh-CN"/>
              </w:rPr>
              <w:t>年</w:t>
            </w:r>
            <w:r w:rsidRPr="003C4D9B">
              <w:rPr>
                <w:rFonts w:hint="eastAsia"/>
                <w:sz w:val="20"/>
                <w:lang w:eastAsia="zh-CN"/>
              </w:rPr>
              <w:t>5</w:t>
            </w:r>
            <w:r w:rsidRPr="003C4D9B">
              <w:rPr>
                <w:rFonts w:hint="eastAsia"/>
                <w:sz w:val="20"/>
                <w:lang w:eastAsia="zh-CN"/>
              </w:rPr>
              <w:t>月的最新进展：</w:t>
            </w:r>
            <w:r w:rsidR="008F1949" w:rsidRPr="008F1949">
              <w:rPr>
                <w:rFonts w:hint="eastAsia"/>
                <w:sz w:val="20"/>
                <w:lang w:eastAsia="zh-CN"/>
              </w:rPr>
              <w:t>该建议可</w:t>
            </w:r>
            <w:r w:rsidR="008F1949">
              <w:rPr>
                <w:rFonts w:hint="eastAsia"/>
                <w:sz w:val="20"/>
                <w:lang w:eastAsia="zh-CN"/>
              </w:rPr>
              <w:t>被</w:t>
            </w:r>
            <w:r w:rsidR="008F1949" w:rsidRPr="008F1949">
              <w:rPr>
                <w:rFonts w:hint="eastAsia"/>
                <w:sz w:val="20"/>
                <w:lang w:eastAsia="zh-CN"/>
              </w:rPr>
              <w:t>视为一项持续</w:t>
            </w:r>
            <w:r w:rsidR="008F1949">
              <w:rPr>
                <w:rFonts w:hint="eastAsia"/>
                <w:sz w:val="20"/>
                <w:lang w:eastAsia="zh-CN"/>
              </w:rPr>
              <w:t>实施</w:t>
            </w:r>
            <w:r w:rsidR="008F1949" w:rsidRPr="008F1949">
              <w:rPr>
                <w:rFonts w:hint="eastAsia"/>
                <w:sz w:val="20"/>
                <w:lang w:eastAsia="zh-CN"/>
              </w:rPr>
              <w:t>的进程，其具体实施将</w:t>
            </w:r>
            <w:r w:rsidR="008F1949">
              <w:rPr>
                <w:rFonts w:hint="eastAsia"/>
                <w:sz w:val="20"/>
                <w:lang w:eastAsia="zh-CN"/>
              </w:rPr>
              <w:t>以职员</w:t>
            </w:r>
            <w:r w:rsidR="008F1949" w:rsidRPr="008F1949">
              <w:rPr>
                <w:rFonts w:hint="eastAsia"/>
                <w:sz w:val="20"/>
                <w:lang w:eastAsia="zh-CN"/>
              </w:rPr>
              <w:t>及银行状况的变化</w:t>
            </w:r>
            <w:r w:rsidR="008F1949">
              <w:rPr>
                <w:rFonts w:hint="eastAsia"/>
                <w:sz w:val="20"/>
                <w:lang w:eastAsia="zh-CN"/>
              </w:rPr>
              <w:t>为基础</w:t>
            </w:r>
            <w:r w:rsidR="008F1949" w:rsidRPr="008F1949">
              <w:rPr>
                <w:rFonts w:hint="eastAsia"/>
                <w:sz w:val="20"/>
                <w:lang w:eastAsia="zh-CN"/>
              </w:rPr>
              <w:t>。</w:t>
            </w:r>
          </w:p>
        </w:tc>
        <w:tc>
          <w:tcPr>
            <w:tcW w:w="1050" w:type="pct"/>
            <w:shd w:val="clear" w:color="auto" w:fill="auto"/>
          </w:tcPr>
          <w:p w14:paraId="6F95ABF5" w14:textId="2B3F08FF" w:rsidR="003D7FF0" w:rsidRPr="00536D01" w:rsidRDefault="003C4D9B" w:rsidP="00786ECB">
            <w:pPr>
              <w:pStyle w:val="Tabletext"/>
              <w:rPr>
                <w:sz w:val="20"/>
                <w:lang w:eastAsia="zh-CN"/>
              </w:rPr>
            </w:pPr>
            <w:r w:rsidRPr="003C4D9B">
              <w:rPr>
                <w:rFonts w:hint="eastAsia"/>
                <w:sz w:val="20"/>
                <w:lang w:eastAsia="zh-CN"/>
              </w:rPr>
              <w:t>如今年提交管理层和</w:t>
            </w:r>
            <w:r w:rsidRPr="003C4D9B">
              <w:rPr>
                <w:rFonts w:hint="eastAsia"/>
                <w:sz w:val="20"/>
                <w:lang w:eastAsia="zh-CN"/>
              </w:rPr>
              <w:t>IMAC</w:t>
            </w:r>
            <w:r w:rsidRPr="003C4D9B">
              <w:rPr>
                <w:rFonts w:hint="eastAsia"/>
                <w:sz w:val="20"/>
                <w:lang w:eastAsia="zh-CN"/>
              </w:rPr>
              <w:t>的审计完成报告所述，</w:t>
            </w:r>
            <w:r w:rsidRPr="00EE6229">
              <w:rPr>
                <w:rFonts w:hint="eastAsia"/>
                <w:b/>
                <w:bCs/>
                <w:sz w:val="20"/>
                <w:lang w:eastAsia="zh-CN"/>
              </w:rPr>
              <w:t>我们发现</w:t>
            </w:r>
            <w:r w:rsidR="00EE6229">
              <w:rPr>
                <w:rFonts w:hint="eastAsia"/>
                <w:b/>
                <w:bCs/>
                <w:sz w:val="20"/>
                <w:lang w:eastAsia="zh-CN"/>
              </w:rPr>
              <w:t>若干</w:t>
            </w:r>
            <w:r w:rsidRPr="00EE6229">
              <w:rPr>
                <w:rFonts w:hint="eastAsia"/>
                <w:b/>
                <w:bCs/>
                <w:sz w:val="20"/>
                <w:lang w:eastAsia="zh-CN"/>
              </w:rPr>
              <w:t>与“授权银行签字人”有关的严重</w:t>
            </w:r>
            <w:r w:rsidR="00EE6229">
              <w:rPr>
                <w:rFonts w:hint="eastAsia"/>
                <w:b/>
                <w:bCs/>
                <w:sz w:val="20"/>
                <w:lang w:eastAsia="zh-CN"/>
              </w:rPr>
              <w:t>的</w:t>
            </w:r>
            <w:r w:rsidRPr="00EE6229">
              <w:rPr>
                <w:rFonts w:hint="eastAsia"/>
                <w:b/>
                <w:bCs/>
                <w:sz w:val="20"/>
                <w:lang w:eastAsia="zh-CN"/>
              </w:rPr>
              <w:t>控制薄弱环节，因此，我们向管理层提出</w:t>
            </w:r>
            <w:r w:rsidR="00EE6229">
              <w:rPr>
                <w:rFonts w:hint="eastAsia"/>
                <w:b/>
                <w:bCs/>
                <w:sz w:val="20"/>
                <w:lang w:eastAsia="zh-CN"/>
              </w:rPr>
              <w:t>了</w:t>
            </w:r>
            <w:r w:rsidRPr="00EE6229">
              <w:rPr>
                <w:rFonts w:hint="eastAsia"/>
                <w:b/>
                <w:bCs/>
                <w:sz w:val="20"/>
                <w:lang w:eastAsia="zh-CN"/>
              </w:rPr>
              <w:t>解决这些薄弱环节的建议。</w:t>
            </w:r>
          </w:p>
        </w:tc>
        <w:tc>
          <w:tcPr>
            <w:tcW w:w="450" w:type="pct"/>
            <w:shd w:val="clear" w:color="auto" w:fill="auto"/>
          </w:tcPr>
          <w:p w14:paraId="5BF2D322" w14:textId="2B6E29B8" w:rsidR="003D7FF0" w:rsidRPr="00536D01" w:rsidRDefault="00347A11" w:rsidP="00786ECB">
            <w:pPr>
              <w:pStyle w:val="Tabletext"/>
              <w:rPr>
                <w:sz w:val="20"/>
                <w:lang w:eastAsia="zh-CN"/>
              </w:rPr>
            </w:pPr>
            <w:r>
              <w:rPr>
                <w:rFonts w:ascii="SimSun" w:eastAsia="SimSun" w:hAnsi="SimSun" w:cs="SimSun" w:hint="eastAsia"/>
                <w:color w:val="000000"/>
                <w:sz w:val="20"/>
                <w:lang w:eastAsia="zh-CN"/>
              </w:rPr>
              <w:t>已关闭</w:t>
            </w:r>
            <w:r w:rsidR="003C4D9B" w:rsidRPr="003C4D9B">
              <w:rPr>
                <w:rFonts w:hint="eastAsia"/>
                <w:sz w:val="20"/>
                <w:lang w:eastAsia="zh-CN"/>
              </w:rPr>
              <w:t>，</w:t>
            </w:r>
            <w:r w:rsidR="00A76FAE">
              <w:rPr>
                <w:rFonts w:hint="eastAsia"/>
                <w:sz w:val="20"/>
                <w:lang w:eastAsia="zh-CN"/>
              </w:rPr>
              <w:t>但附保留意见</w:t>
            </w:r>
            <w:r w:rsidR="003C4D9B" w:rsidRPr="003C4D9B">
              <w:rPr>
                <w:rFonts w:hint="eastAsia"/>
                <w:sz w:val="20"/>
                <w:lang w:eastAsia="zh-CN"/>
              </w:rPr>
              <w:t>。</w:t>
            </w:r>
          </w:p>
        </w:tc>
      </w:tr>
      <w:tr w:rsidR="00D34AE6" w:rsidRPr="00536D01" w14:paraId="31C7AEEA" w14:textId="77777777" w:rsidTr="00E6035E">
        <w:tc>
          <w:tcPr>
            <w:tcW w:w="300" w:type="pct"/>
            <w:shd w:val="clear" w:color="auto" w:fill="auto"/>
          </w:tcPr>
          <w:p w14:paraId="00EDA7B7" w14:textId="77777777" w:rsidR="00D34AE6" w:rsidRPr="00536D01" w:rsidRDefault="00D34AE6" w:rsidP="00D34AE6">
            <w:pPr>
              <w:pStyle w:val="Tabletext"/>
              <w:rPr>
                <w:sz w:val="20"/>
              </w:rPr>
            </w:pPr>
            <w:r w:rsidRPr="00536D01">
              <w:rPr>
                <w:sz w:val="20"/>
              </w:rPr>
              <w:t>2021 R#4</w:t>
            </w:r>
          </w:p>
        </w:tc>
        <w:tc>
          <w:tcPr>
            <w:tcW w:w="1450" w:type="pct"/>
            <w:shd w:val="clear" w:color="auto" w:fill="auto"/>
          </w:tcPr>
          <w:p w14:paraId="3847CE1B" w14:textId="57C4729D" w:rsidR="00D34AE6" w:rsidRPr="00536D01" w:rsidRDefault="00D34AE6" w:rsidP="00D34AE6">
            <w:pPr>
              <w:pStyle w:val="Tabletext"/>
              <w:rPr>
                <w:sz w:val="20"/>
                <w:lang w:eastAsia="zh-CN"/>
              </w:rPr>
            </w:pPr>
            <w:r w:rsidRPr="007E4420">
              <w:rPr>
                <w:rFonts w:hint="eastAsia"/>
                <w:sz w:val="20"/>
                <w:lang w:eastAsia="zh-CN"/>
              </w:rPr>
              <w:t>降低此最低金额，或者为了将风险降至最低，考虑取消该最低金额，仅在保证双重签名的情况下才授权银行转移资金。</w:t>
            </w:r>
          </w:p>
        </w:tc>
        <w:tc>
          <w:tcPr>
            <w:tcW w:w="1750" w:type="pct"/>
            <w:shd w:val="clear" w:color="auto" w:fill="auto"/>
          </w:tcPr>
          <w:p w14:paraId="5462331C" w14:textId="079EB42F" w:rsidR="00D34AE6" w:rsidRPr="00536D01" w:rsidRDefault="00D34AE6" w:rsidP="00D34AE6">
            <w:pPr>
              <w:pStyle w:val="Tabletext"/>
              <w:rPr>
                <w:sz w:val="20"/>
                <w:lang w:eastAsia="zh-CN"/>
              </w:rPr>
            </w:pPr>
            <w:r w:rsidRPr="003C4D9B">
              <w:rPr>
                <w:rFonts w:hint="eastAsia"/>
                <w:sz w:val="20"/>
                <w:lang w:eastAsia="zh-CN"/>
              </w:rPr>
              <w:t>截至</w:t>
            </w:r>
            <w:r w:rsidRPr="003C4D9B">
              <w:rPr>
                <w:rFonts w:hint="eastAsia"/>
                <w:sz w:val="20"/>
                <w:lang w:eastAsia="zh-CN"/>
              </w:rPr>
              <w:t>2025</w:t>
            </w:r>
            <w:r w:rsidRPr="003C4D9B">
              <w:rPr>
                <w:rFonts w:hint="eastAsia"/>
                <w:sz w:val="20"/>
                <w:lang w:eastAsia="zh-CN"/>
              </w:rPr>
              <w:t>年</w:t>
            </w:r>
            <w:r w:rsidRPr="003C4D9B">
              <w:rPr>
                <w:rFonts w:hint="eastAsia"/>
                <w:sz w:val="20"/>
                <w:lang w:eastAsia="zh-CN"/>
              </w:rPr>
              <w:t>5</w:t>
            </w:r>
            <w:r w:rsidRPr="003C4D9B">
              <w:rPr>
                <w:rFonts w:hint="eastAsia"/>
                <w:sz w:val="20"/>
                <w:lang w:eastAsia="zh-CN"/>
              </w:rPr>
              <w:t>月的最新进展：此建议可能难以实施。</w:t>
            </w:r>
            <w:r>
              <w:rPr>
                <w:rFonts w:hint="eastAsia"/>
                <w:sz w:val="20"/>
                <w:lang w:eastAsia="zh-CN"/>
              </w:rPr>
              <w:t>某</w:t>
            </w:r>
            <w:r w:rsidRPr="003C4D9B">
              <w:rPr>
                <w:rFonts w:hint="eastAsia"/>
                <w:sz w:val="20"/>
                <w:lang w:eastAsia="zh-CN"/>
              </w:rPr>
              <w:t>些办公室可能只有一名专业</w:t>
            </w:r>
            <w:r>
              <w:rPr>
                <w:rFonts w:hint="eastAsia"/>
                <w:sz w:val="20"/>
                <w:lang w:eastAsia="zh-CN"/>
              </w:rPr>
              <w:t>类职员</w:t>
            </w:r>
            <w:r w:rsidRPr="003C4D9B">
              <w:rPr>
                <w:rFonts w:hint="eastAsia"/>
                <w:sz w:val="20"/>
                <w:lang w:eastAsia="zh-CN"/>
              </w:rPr>
              <w:t>。</w:t>
            </w:r>
            <w:r>
              <w:rPr>
                <w:rFonts w:hint="eastAsia"/>
                <w:sz w:val="20"/>
                <w:lang w:eastAsia="zh-CN"/>
              </w:rPr>
              <w:t>若此</w:t>
            </w:r>
            <w:r w:rsidRPr="003C4D9B">
              <w:rPr>
                <w:rFonts w:hint="eastAsia"/>
                <w:sz w:val="20"/>
                <w:lang w:eastAsia="zh-CN"/>
              </w:rPr>
              <w:t>建议得到系统化实施，</w:t>
            </w:r>
            <w:r>
              <w:rPr>
                <w:rFonts w:hint="eastAsia"/>
                <w:sz w:val="20"/>
                <w:lang w:eastAsia="zh-CN"/>
              </w:rPr>
              <w:t>则</w:t>
            </w:r>
            <w:r w:rsidRPr="003C4D9B">
              <w:rPr>
                <w:rFonts w:hint="eastAsia"/>
                <w:sz w:val="20"/>
                <w:lang w:eastAsia="zh-CN"/>
              </w:rPr>
              <w:t>存在</w:t>
            </w:r>
            <w:r>
              <w:rPr>
                <w:rFonts w:hint="eastAsia"/>
                <w:sz w:val="20"/>
                <w:lang w:eastAsia="zh-CN"/>
              </w:rPr>
              <w:t>使</w:t>
            </w:r>
            <w:r w:rsidRPr="003C4D9B">
              <w:rPr>
                <w:rFonts w:hint="eastAsia"/>
                <w:sz w:val="20"/>
                <w:lang w:eastAsia="zh-CN"/>
              </w:rPr>
              <w:t>办公室运作</w:t>
            </w:r>
            <w:r>
              <w:rPr>
                <w:rFonts w:hint="eastAsia"/>
                <w:sz w:val="20"/>
                <w:lang w:eastAsia="zh-CN"/>
              </w:rPr>
              <w:t>处于严重不利地位</w:t>
            </w:r>
            <w:r w:rsidRPr="003C4D9B">
              <w:rPr>
                <w:rFonts w:hint="eastAsia"/>
                <w:sz w:val="20"/>
                <w:lang w:eastAsia="zh-CN"/>
              </w:rPr>
              <w:t>的风险。出现此类情况时，须</w:t>
            </w:r>
            <w:r>
              <w:rPr>
                <w:rFonts w:hint="eastAsia"/>
                <w:sz w:val="20"/>
                <w:lang w:eastAsia="zh-CN"/>
              </w:rPr>
              <w:t>暂</w:t>
            </w:r>
            <w:r w:rsidRPr="003C4D9B">
              <w:rPr>
                <w:rFonts w:hint="eastAsia"/>
                <w:sz w:val="20"/>
                <w:lang w:eastAsia="zh-CN"/>
              </w:rPr>
              <w:t>时</w:t>
            </w:r>
            <w:r>
              <w:rPr>
                <w:rFonts w:hint="eastAsia"/>
                <w:sz w:val="20"/>
                <w:lang w:eastAsia="zh-CN"/>
              </w:rPr>
              <w:t>保障</w:t>
            </w:r>
            <w:r w:rsidRPr="003C4D9B">
              <w:rPr>
                <w:rFonts w:hint="eastAsia"/>
                <w:sz w:val="20"/>
                <w:lang w:eastAsia="zh-CN"/>
              </w:rPr>
              <w:t>灵活性。</w:t>
            </w:r>
          </w:p>
        </w:tc>
        <w:tc>
          <w:tcPr>
            <w:tcW w:w="1050" w:type="pct"/>
            <w:shd w:val="clear" w:color="auto" w:fill="auto"/>
          </w:tcPr>
          <w:p w14:paraId="564F8F1D" w14:textId="777267DB" w:rsidR="00D34AE6" w:rsidRPr="00536D01" w:rsidRDefault="00D34AE6" w:rsidP="00D34AE6">
            <w:pPr>
              <w:pStyle w:val="Tabletext"/>
              <w:rPr>
                <w:sz w:val="20"/>
              </w:rPr>
            </w:pPr>
            <w:r w:rsidRPr="003C4D9B">
              <w:rPr>
                <w:rFonts w:hint="eastAsia"/>
                <w:sz w:val="20"/>
                <w:lang w:eastAsia="zh-CN"/>
              </w:rPr>
              <w:t>注意到最新回应</w:t>
            </w:r>
            <w:r>
              <w:rPr>
                <w:rFonts w:hint="eastAsia"/>
                <w:sz w:val="20"/>
                <w:lang w:eastAsia="zh-CN"/>
              </w:rPr>
              <w:t>，</w:t>
            </w:r>
            <w:r w:rsidRPr="003C4D9B">
              <w:rPr>
                <w:rFonts w:hint="eastAsia"/>
                <w:sz w:val="20"/>
                <w:lang w:eastAsia="zh-CN"/>
              </w:rPr>
              <w:t>并认为是合理的。该建议已</w:t>
            </w:r>
            <w:r>
              <w:rPr>
                <w:rFonts w:hint="eastAsia"/>
                <w:sz w:val="20"/>
                <w:lang w:eastAsia="zh-CN"/>
              </w:rPr>
              <w:t>完成</w:t>
            </w:r>
            <w:r w:rsidRPr="003C4D9B">
              <w:rPr>
                <w:rFonts w:hint="eastAsia"/>
                <w:sz w:val="20"/>
              </w:rPr>
              <w:t>。</w:t>
            </w:r>
          </w:p>
        </w:tc>
        <w:tc>
          <w:tcPr>
            <w:tcW w:w="450" w:type="pct"/>
            <w:shd w:val="clear" w:color="auto" w:fill="auto"/>
          </w:tcPr>
          <w:p w14:paraId="4532327D" w14:textId="1CF7E82B" w:rsidR="00D34AE6" w:rsidRPr="00536D01" w:rsidRDefault="00D34AE6" w:rsidP="00D34AE6">
            <w:pPr>
              <w:pStyle w:val="Tabletext"/>
              <w:rPr>
                <w:sz w:val="20"/>
              </w:rPr>
            </w:pPr>
            <w:r>
              <w:rPr>
                <w:rFonts w:ascii="SimSun" w:eastAsia="SimSun" w:hAnsi="SimSun" w:cs="SimSun" w:hint="eastAsia"/>
                <w:color w:val="000000"/>
                <w:sz w:val="20"/>
                <w:lang w:eastAsia="zh-CN"/>
              </w:rPr>
              <w:t>已关闭。</w:t>
            </w:r>
          </w:p>
        </w:tc>
      </w:tr>
      <w:tr w:rsidR="003D7FF0" w:rsidRPr="00536D01" w14:paraId="3CD9E79B" w14:textId="77777777" w:rsidTr="00E6035E">
        <w:tc>
          <w:tcPr>
            <w:tcW w:w="300" w:type="pct"/>
            <w:shd w:val="clear" w:color="auto" w:fill="auto"/>
          </w:tcPr>
          <w:p w14:paraId="548E281D" w14:textId="77777777" w:rsidR="003D7FF0" w:rsidRPr="00536D01" w:rsidRDefault="003D7FF0" w:rsidP="00786ECB">
            <w:pPr>
              <w:pStyle w:val="Tabletext"/>
              <w:rPr>
                <w:sz w:val="20"/>
              </w:rPr>
            </w:pPr>
            <w:r w:rsidRPr="00536D01">
              <w:rPr>
                <w:sz w:val="20"/>
              </w:rPr>
              <w:t>2021 R#5</w:t>
            </w:r>
          </w:p>
        </w:tc>
        <w:tc>
          <w:tcPr>
            <w:tcW w:w="1450" w:type="pct"/>
            <w:shd w:val="clear" w:color="auto" w:fill="auto"/>
          </w:tcPr>
          <w:p w14:paraId="6CA5C9F5" w14:textId="4A52ADDD" w:rsidR="003D7FF0" w:rsidRPr="00536D01" w:rsidRDefault="007E4420" w:rsidP="007E4420">
            <w:pPr>
              <w:pStyle w:val="Tabletext"/>
              <w:rPr>
                <w:sz w:val="20"/>
                <w:lang w:eastAsia="zh-CN"/>
              </w:rPr>
            </w:pPr>
            <w:r w:rsidRPr="007E4420">
              <w:rPr>
                <w:rFonts w:hint="eastAsia"/>
                <w:sz w:val="20"/>
                <w:lang w:eastAsia="zh-CN"/>
              </w:rPr>
              <w:t>应对建筑物进行新的评估，以核实账目中显示的价值是否仍然适当。</w:t>
            </w:r>
          </w:p>
        </w:tc>
        <w:tc>
          <w:tcPr>
            <w:tcW w:w="1750" w:type="pct"/>
            <w:shd w:val="clear" w:color="auto" w:fill="auto"/>
          </w:tcPr>
          <w:p w14:paraId="2F41ABA6" w14:textId="6B87E1B2" w:rsidR="003D7FF0" w:rsidRPr="00536D01" w:rsidRDefault="003C4D9B" w:rsidP="00786ECB">
            <w:pPr>
              <w:pStyle w:val="Tabletext"/>
              <w:rPr>
                <w:sz w:val="20"/>
                <w:lang w:eastAsia="zh-CN"/>
              </w:rPr>
            </w:pPr>
            <w:r w:rsidRPr="003C4D9B">
              <w:rPr>
                <w:rFonts w:hint="eastAsia"/>
                <w:sz w:val="20"/>
                <w:lang w:eastAsia="zh-CN"/>
              </w:rPr>
              <w:t>国际电联管理层认为，在启动塔楼出售程序之前，应暂时搁置这一工作。</w:t>
            </w:r>
          </w:p>
        </w:tc>
        <w:tc>
          <w:tcPr>
            <w:tcW w:w="1050" w:type="pct"/>
            <w:shd w:val="clear" w:color="auto" w:fill="auto"/>
          </w:tcPr>
          <w:p w14:paraId="0562CBA9" w14:textId="3DDD5045" w:rsidR="003D7FF0" w:rsidRPr="00536D01" w:rsidRDefault="003C4D9B" w:rsidP="00786ECB">
            <w:pPr>
              <w:pStyle w:val="Tabletext"/>
              <w:rPr>
                <w:sz w:val="20"/>
                <w:lang w:eastAsia="zh-CN"/>
              </w:rPr>
            </w:pPr>
            <w:r w:rsidRPr="003C4D9B">
              <w:rPr>
                <w:rFonts w:hint="eastAsia"/>
                <w:sz w:val="20"/>
                <w:lang w:eastAsia="zh-CN"/>
              </w:rPr>
              <w:t>我们认为，在</w:t>
            </w:r>
            <w:r w:rsidR="0088328C" w:rsidRPr="003C4D9B">
              <w:rPr>
                <w:rFonts w:hint="eastAsia"/>
                <w:sz w:val="20"/>
                <w:lang w:eastAsia="zh-CN"/>
              </w:rPr>
              <w:t>现有办公楼</w:t>
            </w:r>
            <w:r w:rsidRPr="003C4D9B">
              <w:rPr>
                <w:rFonts w:hint="eastAsia"/>
                <w:sz w:val="20"/>
                <w:lang w:eastAsia="zh-CN"/>
              </w:rPr>
              <w:t>继续使用</w:t>
            </w:r>
            <w:r w:rsidR="0088328C">
              <w:rPr>
                <w:rFonts w:hint="eastAsia"/>
                <w:sz w:val="20"/>
                <w:lang w:eastAsia="zh-CN"/>
              </w:rPr>
              <w:t>期间</w:t>
            </w:r>
            <w:r w:rsidRPr="003C4D9B">
              <w:rPr>
                <w:rFonts w:hint="eastAsia"/>
                <w:sz w:val="20"/>
                <w:lang w:eastAsia="zh-CN"/>
              </w:rPr>
              <w:t>，根据</w:t>
            </w:r>
            <w:r w:rsidRPr="003C4D9B">
              <w:rPr>
                <w:rFonts w:hint="eastAsia"/>
                <w:sz w:val="20"/>
                <w:lang w:eastAsia="zh-CN"/>
              </w:rPr>
              <w:t>IPSAS</w:t>
            </w:r>
            <w:r w:rsidRPr="003C4D9B">
              <w:rPr>
                <w:rFonts w:hint="eastAsia"/>
                <w:sz w:val="20"/>
                <w:lang w:eastAsia="zh-CN"/>
              </w:rPr>
              <w:t>和国际电联</w:t>
            </w:r>
            <w:r w:rsidR="0088328C">
              <w:rPr>
                <w:rFonts w:hint="eastAsia"/>
                <w:sz w:val="20"/>
                <w:lang w:eastAsia="zh-CN"/>
              </w:rPr>
              <w:t>公布</w:t>
            </w:r>
            <w:r w:rsidRPr="003C4D9B">
              <w:rPr>
                <w:rFonts w:hint="eastAsia"/>
                <w:sz w:val="20"/>
                <w:lang w:eastAsia="zh-CN"/>
              </w:rPr>
              <w:t>的会计政策，按历史成本</w:t>
            </w:r>
            <w:r w:rsidR="0088328C">
              <w:rPr>
                <w:rFonts w:hint="eastAsia"/>
                <w:sz w:val="20"/>
                <w:lang w:eastAsia="zh-CN"/>
              </w:rPr>
              <w:t>计量其价值</w:t>
            </w:r>
            <w:r w:rsidRPr="003C4D9B">
              <w:rPr>
                <w:rFonts w:hint="eastAsia"/>
                <w:sz w:val="20"/>
                <w:lang w:eastAsia="zh-CN"/>
              </w:rPr>
              <w:t>是正确的。我们已就未来“新”办公楼成本的确认问题向管理层提出了详细建议。</w:t>
            </w:r>
          </w:p>
        </w:tc>
        <w:tc>
          <w:tcPr>
            <w:tcW w:w="450" w:type="pct"/>
            <w:shd w:val="clear" w:color="auto" w:fill="auto"/>
          </w:tcPr>
          <w:p w14:paraId="3A2BC965" w14:textId="2FE80592" w:rsidR="003D7FF0" w:rsidRPr="00536D01" w:rsidRDefault="00347A11" w:rsidP="00786ECB">
            <w:pPr>
              <w:pStyle w:val="Tabletext"/>
              <w:rPr>
                <w:sz w:val="20"/>
              </w:rPr>
            </w:pPr>
            <w:r>
              <w:rPr>
                <w:rFonts w:ascii="SimSun" w:eastAsia="SimSun" w:hAnsi="SimSun" w:cs="SimSun" w:hint="eastAsia"/>
                <w:color w:val="000000"/>
                <w:sz w:val="20"/>
                <w:lang w:eastAsia="zh-CN"/>
              </w:rPr>
              <w:t>已关闭。</w:t>
            </w:r>
          </w:p>
        </w:tc>
      </w:tr>
      <w:tr w:rsidR="003D7FF0" w:rsidRPr="00536D01" w14:paraId="66DBB77E" w14:textId="77777777" w:rsidTr="00E6035E">
        <w:tc>
          <w:tcPr>
            <w:tcW w:w="300" w:type="pct"/>
            <w:shd w:val="clear" w:color="auto" w:fill="auto"/>
          </w:tcPr>
          <w:p w14:paraId="0E96FCD4" w14:textId="77777777" w:rsidR="003D7FF0" w:rsidRPr="00536D01" w:rsidRDefault="003D7FF0" w:rsidP="00786ECB">
            <w:pPr>
              <w:pStyle w:val="Tabletext"/>
              <w:rPr>
                <w:sz w:val="20"/>
              </w:rPr>
            </w:pPr>
            <w:r w:rsidRPr="00536D01">
              <w:rPr>
                <w:sz w:val="20"/>
              </w:rPr>
              <w:t>2021 R#6</w:t>
            </w:r>
          </w:p>
        </w:tc>
        <w:tc>
          <w:tcPr>
            <w:tcW w:w="1450" w:type="pct"/>
            <w:shd w:val="clear" w:color="auto" w:fill="auto"/>
          </w:tcPr>
          <w:p w14:paraId="516E0A7C" w14:textId="64013C45" w:rsidR="003D7FF0" w:rsidRPr="00536D01" w:rsidRDefault="003C4D9B" w:rsidP="006B4219">
            <w:pPr>
              <w:pStyle w:val="Tabletext"/>
              <w:rPr>
                <w:sz w:val="20"/>
                <w:lang w:eastAsia="zh-CN"/>
              </w:rPr>
            </w:pPr>
            <w:r w:rsidRPr="003C4D9B">
              <w:rPr>
                <w:rFonts w:hint="eastAsia"/>
                <w:sz w:val="20"/>
                <w:lang w:eastAsia="zh-CN"/>
              </w:rPr>
              <w:t>国际电联管理层</w:t>
            </w:r>
            <w:r w:rsidR="006B4219">
              <w:rPr>
                <w:rFonts w:hint="eastAsia"/>
                <w:sz w:val="20"/>
                <w:lang w:eastAsia="zh-CN"/>
              </w:rPr>
              <w:t>立即</w:t>
            </w:r>
            <w:r w:rsidRPr="003C4D9B">
              <w:rPr>
                <w:rFonts w:hint="eastAsia"/>
                <w:sz w:val="20"/>
                <w:lang w:eastAsia="zh-CN"/>
              </w:rPr>
              <w:t>：</w:t>
            </w:r>
            <w:r w:rsidRPr="003C4D9B">
              <w:rPr>
                <w:rFonts w:hint="eastAsia"/>
                <w:sz w:val="20"/>
                <w:lang w:eastAsia="zh-CN"/>
              </w:rPr>
              <w:t>a</w:t>
            </w:r>
            <w:r w:rsidR="006B4219">
              <w:rPr>
                <w:rFonts w:hint="eastAsia"/>
                <w:sz w:val="20"/>
                <w:lang w:eastAsia="zh-CN"/>
              </w:rPr>
              <w:t>)</w:t>
            </w:r>
            <w:r w:rsidRPr="003C4D9B">
              <w:rPr>
                <w:rFonts w:hint="eastAsia"/>
                <w:sz w:val="20"/>
                <w:lang w:eastAsia="zh-CN"/>
              </w:rPr>
              <w:t xml:space="preserve"> </w:t>
            </w:r>
            <w:r w:rsidR="006B4219" w:rsidRPr="006B4219">
              <w:rPr>
                <w:rFonts w:hint="eastAsia"/>
                <w:sz w:val="20"/>
                <w:lang w:eastAsia="zh-CN"/>
              </w:rPr>
              <w:t>向理事会提交一份人力资源计划，说明如何重新分配“国际电联和电信展览部职员的工作时间”以及如何将其重新分配给国际电联的核心活动；</w:t>
            </w:r>
            <w:r w:rsidRPr="003C4D9B">
              <w:rPr>
                <w:rFonts w:hint="eastAsia"/>
                <w:sz w:val="20"/>
                <w:lang w:eastAsia="zh-CN"/>
              </w:rPr>
              <w:t>b</w:t>
            </w:r>
            <w:r w:rsidR="006B4219">
              <w:rPr>
                <w:rFonts w:hint="eastAsia"/>
                <w:sz w:val="20"/>
                <w:lang w:eastAsia="zh-CN"/>
              </w:rPr>
              <w:t>)</w:t>
            </w:r>
            <w:r w:rsidRPr="003C4D9B">
              <w:rPr>
                <w:rFonts w:hint="eastAsia"/>
                <w:sz w:val="20"/>
                <w:lang w:eastAsia="zh-CN"/>
              </w:rPr>
              <w:t xml:space="preserve"> </w:t>
            </w:r>
            <w:r w:rsidR="006B4219" w:rsidRPr="006B4219">
              <w:rPr>
                <w:rFonts w:hint="eastAsia"/>
                <w:sz w:val="20"/>
                <w:lang w:eastAsia="zh-CN"/>
              </w:rPr>
              <w:t>为重新安排的所有电信展览部职员提出明确且可衡量的目标，并在其参与国际电联的活动之后，考虑应如何在不中断国际电联的核心业务的前提下，在必要时参与电信展览部未来的活动；</w:t>
            </w:r>
            <w:r w:rsidR="00F43DFE">
              <w:rPr>
                <w:sz w:val="20"/>
                <w:lang w:eastAsia="zh-CN"/>
              </w:rPr>
              <w:br/>
            </w:r>
            <w:r w:rsidRPr="003C4D9B">
              <w:rPr>
                <w:rFonts w:hint="eastAsia"/>
                <w:sz w:val="20"/>
                <w:lang w:eastAsia="zh-CN"/>
              </w:rPr>
              <w:t>c</w:t>
            </w:r>
            <w:r w:rsidR="006B4219">
              <w:rPr>
                <w:rFonts w:hint="eastAsia"/>
                <w:sz w:val="20"/>
                <w:lang w:eastAsia="zh-CN"/>
              </w:rPr>
              <w:t>)</w:t>
            </w:r>
            <w:r w:rsidRPr="003C4D9B">
              <w:rPr>
                <w:rFonts w:hint="eastAsia"/>
                <w:sz w:val="20"/>
                <w:lang w:eastAsia="zh-CN"/>
              </w:rPr>
              <w:t xml:space="preserve"> </w:t>
            </w:r>
            <w:r w:rsidR="006B4219" w:rsidRPr="006B4219">
              <w:rPr>
                <w:rFonts w:hint="eastAsia"/>
                <w:sz w:val="20"/>
                <w:lang w:eastAsia="zh-CN"/>
              </w:rPr>
              <w:t>如果国际电联职员和电信展览部职员在从</w:t>
            </w:r>
            <w:r w:rsidR="006B4219" w:rsidRPr="006B4219">
              <w:rPr>
                <w:rFonts w:hint="eastAsia"/>
                <w:sz w:val="20"/>
                <w:lang w:eastAsia="zh-CN"/>
              </w:rPr>
              <w:lastRenderedPageBreak/>
              <w:t>电信展览部的活动过渡到实现国际电联其他目标的过程中，存在工作不充分或工作不饱满和</w:t>
            </w:r>
            <w:r w:rsidR="006B4219" w:rsidRPr="006B4219">
              <w:rPr>
                <w:rFonts w:hint="eastAsia"/>
                <w:sz w:val="20"/>
                <w:lang w:eastAsia="zh-CN"/>
              </w:rPr>
              <w:t>/</w:t>
            </w:r>
            <w:r w:rsidR="006B4219" w:rsidRPr="006B4219">
              <w:rPr>
                <w:rFonts w:hint="eastAsia"/>
                <w:sz w:val="20"/>
                <w:lang w:eastAsia="zh-CN"/>
              </w:rPr>
              <w:t>或未得到管理层的充分支持的情况，则应启动内部独立评估，以完成电信展览部未完成的（兼职或全职）工作。在工作不充分的情况下，应评估是否存在管理责任；</w:t>
            </w:r>
            <w:r w:rsidRPr="003C4D9B">
              <w:rPr>
                <w:rFonts w:hint="eastAsia"/>
                <w:sz w:val="20"/>
                <w:lang w:eastAsia="zh-CN"/>
              </w:rPr>
              <w:t>d</w:t>
            </w:r>
            <w:r w:rsidR="006B4219">
              <w:rPr>
                <w:rFonts w:hint="eastAsia"/>
                <w:sz w:val="20"/>
                <w:lang w:eastAsia="zh-CN"/>
              </w:rPr>
              <w:t>)</w:t>
            </w:r>
            <w:r w:rsidRPr="003C4D9B">
              <w:rPr>
                <w:rFonts w:hint="eastAsia"/>
                <w:sz w:val="20"/>
                <w:lang w:eastAsia="zh-CN"/>
              </w:rPr>
              <w:t xml:space="preserve"> </w:t>
            </w:r>
            <w:r w:rsidR="006B4219" w:rsidRPr="006B4219">
              <w:rPr>
                <w:rFonts w:hint="eastAsia"/>
                <w:sz w:val="20"/>
                <w:lang w:eastAsia="zh-CN"/>
              </w:rPr>
              <w:t>评估过去签署的（仍然有效的）以及将来有望签署的电信展览部职员合同，是否足以实现电信展览部目标：例如，如果电信展是一项年度活动，则职员的聘用期可能不会超过一年等。评估之后，我们还建议管理层保证展会的时间表得到遵守和正确实施。</w:t>
            </w:r>
          </w:p>
        </w:tc>
        <w:tc>
          <w:tcPr>
            <w:tcW w:w="1750" w:type="pct"/>
            <w:shd w:val="clear" w:color="auto" w:fill="auto"/>
          </w:tcPr>
          <w:p w14:paraId="05951D1A" w14:textId="1DCA88BC" w:rsidR="003D7FF0" w:rsidRPr="00536D01" w:rsidRDefault="003C4D9B" w:rsidP="00786ECB">
            <w:pPr>
              <w:pStyle w:val="Tabletext"/>
              <w:rPr>
                <w:sz w:val="20"/>
                <w:lang w:eastAsia="zh-CN"/>
              </w:rPr>
            </w:pPr>
            <w:r w:rsidRPr="003C4D9B">
              <w:rPr>
                <w:rFonts w:hint="eastAsia"/>
                <w:sz w:val="20"/>
                <w:lang w:eastAsia="zh-CN"/>
              </w:rPr>
              <w:lastRenderedPageBreak/>
              <w:t>截至</w:t>
            </w:r>
            <w:r w:rsidRPr="003C4D9B">
              <w:rPr>
                <w:rFonts w:hint="eastAsia"/>
                <w:sz w:val="20"/>
                <w:lang w:eastAsia="zh-CN"/>
              </w:rPr>
              <w:t>2025</w:t>
            </w:r>
            <w:r w:rsidRPr="003C4D9B">
              <w:rPr>
                <w:rFonts w:hint="eastAsia"/>
                <w:sz w:val="20"/>
                <w:lang w:eastAsia="zh-CN"/>
              </w:rPr>
              <w:t>年</w:t>
            </w:r>
            <w:r w:rsidRPr="003C4D9B">
              <w:rPr>
                <w:rFonts w:hint="eastAsia"/>
                <w:sz w:val="20"/>
                <w:lang w:eastAsia="zh-CN"/>
              </w:rPr>
              <w:t>2</w:t>
            </w:r>
            <w:r w:rsidRPr="003C4D9B">
              <w:rPr>
                <w:rFonts w:hint="eastAsia"/>
                <w:sz w:val="20"/>
                <w:lang w:eastAsia="zh-CN"/>
              </w:rPr>
              <w:t>月的最新进展：理事会</w:t>
            </w:r>
            <w:r w:rsidRPr="003C4D9B">
              <w:rPr>
                <w:rFonts w:hint="eastAsia"/>
                <w:sz w:val="20"/>
                <w:lang w:eastAsia="zh-CN"/>
              </w:rPr>
              <w:t>2022</w:t>
            </w:r>
            <w:r w:rsidRPr="003C4D9B">
              <w:rPr>
                <w:rFonts w:hint="eastAsia"/>
                <w:sz w:val="20"/>
                <w:lang w:eastAsia="zh-CN"/>
              </w:rPr>
              <w:t>年会议</w:t>
            </w:r>
            <w:r w:rsidR="00EE00F7">
              <w:rPr>
                <w:rFonts w:hint="eastAsia"/>
                <w:sz w:val="20"/>
                <w:lang w:eastAsia="zh-CN"/>
              </w:rPr>
              <w:t>《</w:t>
            </w:r>
            <w:r w:rsidRPr="003C4D9B">
              <w:rPr>
                <w:rFonts w:hint="eastAsia"/>
                <w:sz w:val="20"/>
                <w:lang w:eastAsia="zh-CN"/>
              </w:rPr>
              <w:t>行政和管理常设委员会主席</w:t>
            </w:r>
            <w:r w:rsidR="00EE00F7">
              <w:rPr>
                <w:rFonts w:hint="eastAsia"/>
                <w:sz w:val="20"/>
                <w:lang w:eastAsia="zh-CN"/>
              </w:rPr>
              <w:t>的</w:t>
            </w:r>
            <w:r w:rsidRPr="003C4D9B">
              <w:rPr>
                <w:rFonts w:hint="eastAsia"/>
                <w:sz w:val="20"/>
                <w:lang w:eastAsia="zh-CN"/>
              </w:rPr>
              <w:t>报告</w:t>
            </w:r>
            <w:r w:rsidR="00EE00F7">
              <w:rPr>
                <w:rFonts w:hint="eastAsia"/>
                <w:sz w:val="20"/>
                <w:lang w:eastAsia="zh-CN"/>
              </w:rPr>
              <w:t>》</w:t>
            </w:r>
            <w:r w:rsidRPr="003C4D9B">
              <w:rPr>
                <w:rFonts w:hint="eastAsia"/>
                <w:sz w:val="20"/>
                <w:lang w:eastAsia="zh-CN"/>
              </w:rPr>
              <w:t>（</w:t>
            </w:r>
            <w:hyperlink r:id="rId27" w:history="1">
              <w:r w:rsidRPr="00EE00F7">
                <w:rPr>
                  <w:rStyle w:val="Hyperlink"/>
                  <w:rFonts w:hint="eastAsia"/>
                  <w:sz w:val="20"/>
                  <w:lang w:eastAsia="zh-CN"/>
                </w:rPr>
                <w:t>C22/88</w:t>
              </w:r>
            </w:hyperlink>
            <w:r w:rsidRPr="003C4D9B">
              <w:rPr>
                <w:rFonts w:hint="eastAsia"/>
                <w:sz w:val="20"/>
                <w:lang w:eastAsia="zh-CN"/>
              </w:rPr>
              <w:t>）</w:t>
            </w:r>
            <w:r w:rsidR="00EE00F7">
              <w:rPr>
                <w:rFonts w:hint="eastAsia"/>
                <w:sz w:val="20"/>
                <w:lang w:eastAsia="zh-CN"/>
              </w:rPr>
              <w:t>讨论</w:t>
            </w:r>
            <w:r w:rsidRPr="003C4D9B">
              <w:rPr>
                <w:rFonts w:hint="eastAsia"/>
                <w:sz w:val="20"/>
                <w:lang w:eastAsia="zh-CN"/>
              </w:rPr>
              <w:t>了</w:t>
            </w:r>
            <w:r w:rsidR="00EE00F7" w:rsidRPr="003C4D9B">
              <w:rPr>
                <w:rFonts w:hint="eastAsia"/>
                <w:sz w:val="20"/>
                <w:lang w:eastAsia="zh-CN"/>
              </w:rPr>
              <w:t>新冠肺炎疫情对电信展活动的影响</w:t>
            </w:r>
            <w:r w:rsidRPr="003C4D9B">
              <w:rPr>
                <w:rFonts w:hint="eastAsia"/>
                <w:sz w:val="20"/>
                <w:lang w:eastAsia="zh-CN"/>
              </w:rPr>
              <w:t>（基于</w:t>
            </w:r>
            <w:r w:rsidR="00EE00F7">
              <w:rPr>
                <w:rFonts w:hint="eastAsia"/>
                <w:sz w:val="20"/>
                <w:lang w:eastAsia="zh-CN"/>
              </w:rPr>
              <w:t>《</w:t>
            </w:r>
            <w:r w:rsidRPr="003C4D9B">
              <w:rPr>
                <w:rFonts w:hint="eastAsia"/>
                <w:sz w:val="20"/>
                <w:lang w:eastAsia="zh-CN"/>
              </w:rPr>
              <w:t>2020</w:t>
            </w:r>
            <w:r w:rsidRPr="003C4D9B">
              <w:rPr>
                <w:rFonts w:hint="eastAsia"/>
                <w:sz w:val="20"/>
                <w:lang w:eastAsia="zh-CN"/>
              </w:rPr>
              <w:t>年财务工作报告</w:t>
            </w:r>
            <w:r w:rsidR="00EE00F7">
              <w:rPr>
                <w:rFonts w:hint="eastAsia"/>
                <w:sz w:val="20"/>
                <w:lang w:eastAsia="zh-CN"/>
              </w:rPr>
              <w:t>》</w:t>
            </w:r>
            <w:r w:rsidRPr="003C4D9B">
              <w:rPr>
                <w:rFonts w:hint="eastAsia"/>
                <w:sz w:val="20"/>
                <w:lang w:eastAsia="zh-CN"/>
              </w:rPr>
              <w:t>（</w:t>
            </w:r>
            <w:hyperlink r:id="rId28" w:history="1">
              <w:r w:rsidRPr="00EE00F7">
                <w:rPr>
                  <w:rStyle w:val="Hyperlink"/>
                  <w:rFonts w:hint="eastAsia"/>
                  <w:sz w:val="20"/>
                  <w:lang w:eastAsia="zh-CN"/>
                </w:rPr>
                <w:t>C22/42</w:t>
              </w:r>
            </w:hyperlink>
            <w:r w:rsidRPr="003C4D9B">
              <w:rPr>
                <w:rFonts w:hint="eastAsia"/>
                <w:sz w:val="20"/>
                <w:lang w:eastAsia="zh-CN"/>
              </w:rPr>
              <w:t>）提供的详细</w:t>
            </w:r>
            <w:r w:rsidR="00EE00F7">
              <w:rPr>
                <w:rFonts w:hint="eastAsia"/>
                <w:sz w:val="20"/>
                <w:lang w:eastAsia="zh-CN"/>
              </w:rPr>
              <w:t>信息</w:t>
            </w:r>
            <w:r w:rsidRPr="003C4D9B">
              <w:rPr>
                <w:rFonts w:hint="eastAsia"/>
                <w:sz w:val="20"/>
                <w:lang w:eastAsia="zh-CN"/>
              </w:rPr>
              <w:t>）。该报告特别包括有关国际电联</w:t>
            </w:r>
            <w:r w:rsidRPr="003C4D9B">
              <w:rPr>
                <w:rFonts w:hint="eastAsia"/>
                <w:sz w:val="20"/>
                <w:lang w:eastAsia="zh-CN"/>
              </w:rPr>
              <w:t>2020</w:t>
            </w:r>
            <w:r w:rsidRPr="003C4D9B">
              <w:rPr>
                <w:rFonts w:hint="eastAsia"/>
                <w:sz w:val="20"/>
                <w:lang w:eastAsia="zh-CN"/>
              </w:rPr>
              <w:t>年和</w:t>
            </w:r>
            <w:r w:rsidRPr="003C4D9B">
              <w:rPr>
                <w:rFonts w:hint="eastAsia"/>
                <w:sz w:val="20"/>
                <w:lang w:eastAsia="zh-CN"/>
              </w:rPr>
              <w:t>2021</w:t>
            </w:r>
            <w:r w:rsidRPr="003C4D9B">
              <w:rPr>
                <w:rFonts w:hint="eastAsia"/>
                <w:sz w:val="20"/>
                <w:lang w:eastAsia="zh-CN"/>
              </w:rPr>
              <w:t>年</w:t>
            </w:r>
            <w:r w:rsidR="009B4D1F" w:rsidRPr="003C4D9B">
              <w:rPr>
                <w:rFonts w:hint="eastAsia"/>
                <w:sz w:val="20"/>
                <w:lang w:eastAsia="zh-CN"/>
              </w:rPr>
              <w:t>小规模</w:t>
            </w:r>
            <w:r w:rsidRPr="003C4D9B">
              <w:rPr>
                <w:rFonts w:hint="eastAsia"/>
                <w:sz w:val="20"/>
                <w:lang w:eastAsia="zh-CN"/>
              </w:rPr>
              <w:t>数字世界展的详细信息，包括人员管理（如</w:t>
            </w:r>
            <w:r w:rsidR="009B4D1F">
              <w:rPr>
                <w:rFonts w:hint="eastAsia"/>
                <w:sz w:val="20"/>
                <w:lang w:eastAsia="zh-CN"/>
              </w:rPr>
              <w:t>再分</w:t>
            </w:r>
            <w:r w:rsidRPr="003C4D9B">
              <w:rPr>
                <w:rFonts w:hint="eastAsia"/>
                <w:sz w:val="20"/>
                <w:lang w:eastAsia="zh-CN"/>
              </w:rPr>
              <w:t>配、各部门之间的重新调配）以及相关费用。</w:t>
            </w:r>
          </w:p>
          <w:p w14:paraId="448A310E" w14:textId="480C2E96" w:rsidR="003D7FF0" w:rsidRPr="00536D01" w:rsidRDefault="003C4D9B" w:rsidP="00786ECB">
            <w:pPr>
              <w:pStyle w:val="Tabletext"/>
              <w:rPr>
                <w:sz w:val="20"/>
                <w:lang w:eastAsia="zh-CN"/>
              </w:rPr>
            </w:pPr>
            <w:r w:rsidRPr="003C4D9B">
              <w:rPr>
                <w:rFonts w:hint="eastAsia"/>
                <w:sz w:val="20"/>
                <w:lang w:eastAsia="zh-CN"/>
              </w:rPr>
              <w:t>国际电联</w:t>
            </w:r>
            <w:r w:rsidR="009B4D1F">
              <w:rPr>
                <w:rFonts w:hint="eastAsia"/>
                <w:sz w:val="20"/>
                <w:lang w:eastAsia="zh-CN"/>
              </w:rPr>
              <w:t>建议关闭本建议，</w:t>
            </w:r>
            <w:r w:rsidR="00CC794D">
              <w:rPr>
                <w:rFonts w:hint="eastAsia"/>
                <w:sz w:val="20"/>
                <w:lang w:eastAsia="zh-CN"/>
              </w:rPr>
              <w:t>主要</w:t>
            </w:r>
            <w:r w:rsidR="009B4D1F">
              <w:rPr>
                <w:rFonts w:hint="eastAsia"/>
                <w:sz w:val="20"/>
                <w:lang w:eastAsia="zh-CN"/>
              </w:rPr>
              <w:t>因为</w:t>
            </w:r>
            <w:r w:rsidRPr="003C4D9B">
              <w:rPr>
                <w:rFonts w:hint="eastAsia"/>
                <w:sz w:val="20"/>
                <w:lang w:eastAsia="zh-CN"/>
              </w:rPr>
              <w:t>电信展活动</w:t>
            </w:r>
            <w:r w:rsidR="009B4D1F">
              <w:rPr>
                <w:rFonts w:hint="eastAsia"/>
                <w:sz w:val="20"/>
                <w:lang w:eastAsia="zh-CN"/>
              </w:rPr>
              <w:t>已停止</w:t>
            </w:r>
            <w:r>
              <w:rPr>
                <w:rFonts w:hint="eastAsia"/>
                <w:sz w:val="20"/>
                <w:lang w:eastAsia="zh-CN"/>
              </w:rPr>
              <w:t>。</w:t>
            </w:r>
          </w:p>
          <w:p w14:paraId="371B8E2B" w14:textId="3203F2F3" w:rsidR="003D7FF0" w:rsidRPr="00536D01" w:rsidRDefault="003C4D9B" w:rsidP="00786ECB">
            <w:pPr>
              <w:pStyle w:val="Tabletext"/>
              <w:rPr>
                <w:sz w:val="20"/>
                <w:lang w:eastAsia="zh-CN"/>
              </w:rPr>
            </w:pPr>
            <w:r w:rsidRPr="003C4D9B">
              <w:rPr>
                <w:rFonts w:hint="eastAsia"/>
                <w:sz w:val="20"/>
                <w:lang w:eastAsia="zh-CN"/>
              </w:rPr>
              <w:lastRenderedPageBreak/>
              <w:t>PP-22</w:t>
            </w:r>
            <w:r w:rsidRPr="003C4D9B">
              <w:rPr>
                <w:rFonts w:hint="eastAsia"/>
                <w:sz w:val="20"/>
                <w:lang w:eastAsia="zh-CN"/>
              </w:rPr>
              <w:t>通过的第</w:t>
            </w:r>
            <w:r w:rsidRPr="003C4D9B">
              <w:rPr>
                <w:rFonts w:hint="eastAsia"/>
                <w:sz w:val="20"/>
                <w:lang w:eastAsia="zh-CN"/>
              </w:rPr>
              <w:t>11</w:t>
            </w:r>
            <w:r w:rsidRPr="003C4D9B">
              <w:rPr>
                <w:rFonts w:hint="eastAsia"/>
                <w:sz w:val="20"/>
                <w:lang w:eastAsia="zh-CN"/>
              </w:rPr>
              <w:t>号决议废除了电信展活动。此建议已不再相关。</w:t>
            </w:r>
          </w:p>
        </w:tc>
        <w:tc>
          <w:tcPr>
            <w:tcW w:w="1050" w:type="pct"/>
            <w:shd w:val="clear" w:color="auto" w:fill="auto"/>
          </w:tcPr>
          <w:p w14:paraId="3729E4E8" w14:textId="1CB91EB9" w:rsidR="003D7FF0" w:rsidRPr="00536D01" w:rsidRDefault="003C4D9B" w:rsidP="00786ECB">
            <w:pPr>
              <w:pStyle w:val="Tabletext"/>
              <w:rPr>
                <w:sz w:val="20"/>
                <w:lang w:eastAsia="zh-CN"/>
              </w:rPr>
            </w:pPr>
            <w:r w:rsidRPr="003C4D9B">
              <w:rPr>
                <w:rFonts w:hint="eastAsia"/>
                <w:sz w:val="20"/>
                <w:lang w:eastAsia="zh-CN"/>
              </w:rPr>
              <w:lastRenderedPageBreak/>
              <w:t>考虑到</w:t>
            </w:r>
            <w:r w:rsidR="009B4D1F">
              <w:rPr>
                <w:rFonts w:hint="eastAsia"/>
                <w:sz w:val="20"/>
                <w:lang w:eastAsia="zh-CN"/>
              </w:rPr>
              <w:t>此</w:t>
            </w:r>
            <w:r w:rsidRPr="003C4D9B">
              <w:rPr>
                <w:rFonts w:hint="eastAsia"/>
                <w:sz w:val="20"/>
                <w:lang w:eastAsia="zh-CN"/>
              </w:rPr>
              <w:t>建议与电信展活动相关，而这些活动</w:t>
            </w:r>
            <w:r w:rsidR="00951185">
              <w:rPr>
                <w:rFonts w:hint="eastAsia"/>
                <w:sz w:val="20"/>
                <w:lang w:eastAsia="zh-CN"/>
              </w:rPr>
              <w:t>业</w:t>
            </w:r>
            <w:r w:rsidRPr="003C4D9B">
              <w:rPr>
                <w:rFonts w:hint="eastAsia"/>
                <w:sz w:val="20"/>
                <w:lang w:eastAsia="zh-CN"/>
              </w:rPr>
              <w:t>已停止，因此</w:t>
            </w:r>
            <w:r w:rsidR="009B4D1F">
              <w:rPr>
                <w:rFonts w:hint="eastAsia"/>
                <w:sz w:val="20"/>
                <w:lang w:eastAsia="zh-CN"/>
              </w:rPr>
              <w:t>关闭此</w:t>
            </w:r>
            <w:r w:rsidRPr="003C4D9B">
              <w:rPr>
                <w:rFonts w:hint="eastAsia"/>
                <w:sz w:val="20"/>
                <w:lang w:eastAsia="zh-CN"/>
              </w:rPr>
              <w:t>建议是合理的。</w:t>
            </w:r>
          </w:p>
        </w:tc>
        <w:tc>
          <w:tcPr>
            <w:tcW w:w="450" w:type="pct"/>
            <w:shd w:val="clear" w:color="auto" w:fill="auto"/>
          </w:tcPr>
          <w:p w14:paraId="5D3F7797" w14:textId="3DFDD9AF" w:rsidR="003D7FF0" w:rsidRPr="00536D01" w:rsidRDefault="00347A11" w:rsidP="00786ECB">
            <w:pPr>
              <w:pStyle w:val="Tabletext"/>
              <w:rPr>
                <w:sz w:val="20"/>
              </w:rPr>
            </w:pPr>
            <w:r>
              <w:rPr>
                <w:rFonts w:ascii="SimSun" w:eastAsia="SimSun" w:hAnsi="SimSun" w:cs="SimSun" w:hint="eastAsia"/>
                <w:color w:val="000000"/>
                <w:sz w:val="20"/>
                <w:lang w:eastAsia="zh-CN"/>
              </w:rPr>
              <w:t>已关闭。</w:t>
            </w:r>
          </w:p>
        </w:tc>
      </w:tr>
      <w:tr w:rsidR="003D7FF0" w:rsidRPr="00536D01" w14:paraId="7B80393C" w14:textId="77777777" w:rsidTr="00E6035E">
        <w:tc>
          <w:tcPr>
            <w:tcW w:w="300" w:type="pct"/>
            <w:shd w:val="clear" w:color="auto" w:fill="auto"/>
          </w:tcPr>
          <w:p w14:paraId="161B3C3C" w14:textId="77777777" w:rsidR="003D7FF0" w:rsidRPr="00536D01" w:rsidRDefault="003D7FF0" w:rsidP="00786ECB">
            <w:pPr>
              <w:pStyle w:val="Tabletext"/>
              <w:rPr>
                <w:sz w:val="20"/>
              </w:rPr>
            </w:pPr>
            <w:r w:rsidRPr="00536D01">
              <w:rPr>
                <w:sz w:val="20"/>
              </w:rPr>
              <w:t>2021 R#7</w:t>
            </w:r>
          </w:p>
        </w:tc>
        <w:tc>
          <w:tcPr>
            <w:tcW w:w="1450" w:type="pct"/>
            <w:shd w:val="clear" w:color="auto" w:fill="auto"/>
          </w:tcPr>
          <w:p w14:paraId="2DE28D02" w14:textId="173C4C0E" w:rsidR="003D7FF0" w:rsidRPr="00536D01" w:rsidRDefault="006B4219" w:rsidP="006B4219">
            <w:pPr>
              <w:pStyle w:val="Tabletext"/>
              <w:rPr>
                <w:sz w:val="20"/>
                <w:lang w:eastAsia="zh-CN"/>
              </w:rPr>
            </w:pPr>
            <w:r w:rsidRPr="006B4219">
              <w:rPr>
                <w:rFonts w:hint="eastAsia"/>
                <w:sz w:val="20"/>
                <w:lang w:eastAsia="zh-CN"/>
              </w:rPr>
              <w:t>国际电联尽快开始独立的内部评估，以确定向数字世界展收取的这些费用是否不合理，如果不合理，是否存在管理责任。</w:t>
            </w:r>
          </w:p>
        </w:tc>
        <w:tc>
          <w:tcPr>
            <w:tcW w:w="1750" w:type="pct"/>
            <w:shd w:val="clear" w:color="auto" w:fill="auto"/>
          </w:tcPr>
          <w:p w14:paraId="67485CF1" w14:textId="4DACF87E" w:rsidR="003D7FF0" w:rsidRPr="00536D01" w:rsidRDefault="003C4D9B" w:rsidP="00786ECB">
            <w:pPr>
              <w:pStyle w:val="Tabletext"/>
              <w:rPr>
                <w:sz w:val="20"/>
                <w:lang w:eastAsia="zh-CN"/>
              </w:rPr>
            </w:pPr>
            <w:r w:rsidRPr="003C4D9B">
              <w:rPr>
                <w:rFonts w:hint="eastAsia"/>
                <w:sz w:val="20"/>
                <w:lang w:eastAsia="zh-CN"/>
              </w:rPr>
              <w:t>截至</w:t>
            </w:r>
            <w:r w:rsidRPr="003C4D9B">
              <w:rPr>
                <w:rFonts w:hint="eastAsia"/>
                <w:sz w:val="20"/>
                <w:lang w:eastAsia="zh-CN"/>
              </w:rPr>
              <w:t>2024</w:t>
            </w:r>
            <w:r w:rsidRPr="003C4D9B">
              <w:rPr>
                <w:rFonts w:hint="eastAsia"/>
                <w:sz w:val="20"/>
                <w:lang w:eastAsia="zh-CN"/>
              </w:rPr>
              <w:t>年</w:t>
            </w:r>
            <w:r w:rsidRPr="003C4D9B">
              <w:rPr>
                <w:rFonts w:hint="eastAsia"/>
                <w:sz w:val="20"/>
                <w:lang w:eastAsia="zh-CN"/>
              </w:rPr>
              <w:t>5</w:t>
            </w:r>
            <w:r w:rsidRPr="003C4D9B">
              <w:rPr>
                <w:rFonts w:hint="eastAsia"/>
                <w:sz w:val="20"/>
                <w:lang w:eastAsia="zh-CN"/>
              </w:rPr>
              <w:t>月的最新进展：</w:t>
            </w:r>
            <w:r w:rsidRPr="003C4D9B">
              <w:rPr>
                <w:rFonts w:hint="eastAsia"/>
                <w:sz w:val="20"/>
                <w:lang w:eastAsia="zh-CN"/>
              </w:rPr>
              <w:t>FRMD</w:t>
            </w:r>
            <w:r w:rsidR="00CC794D" w:rsidRPr="003C4D9B">
              <w:rPr>
                <w:rFonts w:hint="eastAsia"/>
                <w:sz w:val="20"/>
                <w:lang w:eastAsia="zh-CN"/>
              </w:rPr>
              <w:t>建议</w:t>
            </w:r>
            <w:r w:rsidR="00CC794D">
              <w:rPr>
                <w:rFonts w:hint="eastAsia"/>
                <w:sz w:val="20"/>
                <w:lang w:eastAsia="zh-CN"/>
              </w:rPr>
              <w:t>关闭</w:t>
            </w:r>
            <w:r w:rsidR="00CC794D" w:rsidRPr="003C4D9B">
              <w:rPr>
                <w:rFonts w:hint="eastAsia"/>
                <w:sz w:val="20"/>
                <w:lang w:eastAsia="zh-CN"/>
              </w:rPr>
              <w:t>本建议</w:t>
            </w:r>
            <w:r w:rsidR="00CC794D">
              <w:rPr>
                <w:rFonts w:hint="eastAsia"/>
                <w:sz w:val="20"/>
                <w:lang w:eastAsia="zh-CN"/>
              </w:rPr>
              <w:t>，</w:t>
            </w:r>
            <w:r w:rsidRPr="003C4D9B">
              <w:rPr>
                <w:rFonts w:hint="eastAsia"/>
                <w:sz w:val="20"/>
                <w:lang w:eastAsia="zh-CN"/>
              </w:rPr>
              <w:t>主要</w:t>
            </w:r>
            <w:r w:rsidR="00CC794D">
              <w:rPr>
                <w:rFonts w:hint="eastAsia"/>
                <w:sz w:val="20"/>
                <w:lang w:eastAsia="zh-CN"/>
              </w:rPr>
              <w:t>因为</w:t>
            </w:r>
            <w:r w:rsidRPr="003C4D9B">
              <w:rPr>
                <w:rFonts w:hint="eastAsia"/>
                <w:sz w:val="20"/>
                <w:lang w:eastAsia="zh-CN"/>
              </w:rPr>
              <w:t>电信展活动</w:t>
            </w:r>
            <w:r w:rsidR="00CC794D">
              <w:rPr>
                <w:rFonts w:hint="eastAsia"/>
                <w:sz w:val="20"/>
                <w:lang w:eastAsia="zh-CN"/>
              </w:rPr>
              <w:t>已</w:t>
            </w:r>
            <w:r w:rsidRPr="003C4D9B">
              <w:rPr>
                <w:rFonts w:hint="eastAsia"/>
                <w:sz w:val="20"/>
                <w:lang w:eastAsia="zh-CN"/>
              </w:rPr>
              <w:t>停止。</w:t>
            </w:r>
          </w:p>
          <w:p w14:paraId="5E2273DF" w14:textId="6592E5D7" w:rsidR="003D7FF0" w:rsidRPr="00536D01" w:rsidRDefault="003C4D9B" w:rsidP="00786ECB">
            <w:pPr>
              <w:pStyle w:val="Tabletext"/>
              <w:rPr>
                <w:sz w:val="20"/>
                <w:lang w:eastAsia="zh-CN"/>
              </w:rPr>
            </w:pPr>
            <w:r w:rsidRPr="003C4D9B">
              <w:rPr>
                <w:rFonts w:hint="eastAsia"/>
                <w:sz w:val="20"/>
                <w:lang w:eastAsia="zh-CN"/>
              </w:rPr>
              <w:t>PP-22</w:t>
            </w:r>
            <w:r w:rsidRPr="003C4D9B">
              <w:rPr>
                <w:rFonts w:hint="eastAsia"/>
                <w:sz w:val="20"/>
                <w:lang w:eastAsia="zh-CN"/>
              </w:rPr>
              <w:t>通过的第</w:t>
            </w:r>
            <w:r w:rsidRPr="003C4D9B">
              <w:rPr>
                <w:rFonts w:hint="eastAsia"/>
                <w:sz w:val="20"/>
                <w:lang w:eastAsia="zh-CN"/>
              </w:rPr>
              <w:t>11</w:t>
            </w:r>
            <w:r w:rsidRPr="003C4D9B">
              <w:rPr>
                <w:rFonts w:hint="eastAsia"/>
                <w:sz w:val="20"/>
                <w:lang w:eastAsia="zh-CN"/>
              </w:rPr>
              <w:t>号决议废除了电信展活动。此建议已不再相关。</w:t>
            </w:r>
          </w:p>
        </w:tc>
        <w:tc>
          <w:tcPr>
            <w:tcW w:w="1050" w:type="pct"/>
            <w:shd w:val="clear" w:color="auto" w:fill="auto"/>
          </w:tcPr>
          <w:p w14:paraId="6AC4288C" w14:textId="459AD683" w:rsidR="003D7FF0" w:rsidRPr="00536D01" w:rsidRDefault="003C4D9B" w:rsidP="00786ECB">
            <w:pPr>
              <w:pStyle w:val="Tabletext"/>
              <w:rPr>
                <w:sz w:val="20"/>
                <w:lang w:eastAsia="zh-CN"/>
              </w:rPr>
            </w:pPr>
            <w:r w:rsidRPr="003C4D9B">
              <w:rPr>
                <w:rFonts w:hint="eastAsia"/>
                <w:sz w:val="20"/>
                <w:lang w:eastAsia="zh-CN"/>
              </w:rPr>
              <w:t>考虑到</w:t>
            </w:r>
            <w:r w:rsidR="00CC794D">
              <w:rPr>
                <w:rFonts w:hint="eastAsia"/>
                <w:sz w:val="20"/>
                <w:lang w:eastAsia="zh-CN"/>
              </w:rPr>
              <w:t>此</w:t>
            </w:r>
            <w:r w:rsidRPr="003C4D9B">
              <w:rPr>
                <w:rFonts w:hint="eastAsia"/>
                <w:sz w:val="20"/>
                <w:lang w:eastAsia="zh-CN"/>
              </w:rPr>
              <w:t>建议与电信展活动相关，而这些活动</w:t>
            </w:r>
            <w:r w:rsidR="00951185">
              <w:rPr>
                <w:rFonts w:hint="eastAsia"/>
                <w:sz w:val="20"/>
                <w:lang w:eastAsia="zh-CN"/>
              </w:rPr>
              <w:t>业</w:t>
            </w:r>
            <w:r w:rsidRPr="003C4D9B">
              <w:rPr>
                <w:rFonts w:hint="eastAsia"/>
                <w:sz w:val="20"/>
                <w:lang w:eastAsia="zh-CN"/>
              </w:rPr>
              <w:t>已停止，因此</w:t>
            </w:r>
            <w:r w:rsidR="00CC794D">
              <w:rPr>
                <w:rFonts w:hint="eastAsia"/>
                <w:sz w:val="20"/>
                <w:lang w:eastAsia="zh-CN"/>
              </w:rPr>
              <w:t>关闭此</w:t>
            </w:r>
            <w:r w:rsidRPr="003C4D9B">
              <w:rPr>
                <w:rFonts w:hint="eastAsia"/>
                <w:sz w:val="20"/>
                <w:lang w:eastAsia="zh-CN"/>
              </w:rPr>
              <w:t>建议是合理的。</w:t>
            </w:r>
          </w:p>
        </w:tc>
        <w:tc>
          <w:tcPr>
            <w:tcW w:w="450" w:type="pct"/>
            <w:shd w:val="clear" w:color="auto" w:fill="auto"/>
          </w:tcPr>
          <w:p w14:paraId="02546A57" w14:textId="412C419D" w:rsidR="003D7FF0" w:rsidRPr="00536D01" w:rsidRDefault="00347A11" w:rsidP="00786ECB">
            <w:pPr>
              <w:pStyle w:val="Tabletext"/>
              <w:rPr>
                <w:sz w:val="20"/>
              </w:rPr>
            </w:pPr>
            <w:r>
              <w:rPr>
                <w:rFonts w:ascii="SimSun" w:eastAsia="SimSun" w:hAnsi="SimSun" w:cs="SimSun" w:hint="eastAsia"/>
                <w:color w:val="000000"/>
                <w:sz w:val="20"/>
                <w:lang w:eastAsia="zh-CN"/>
              </w:rPr>
              <w:t>已关闭。</w:t>
            </w:r>
          </w:p>
        </w:tc>
      </w:tr>
      <w:tr w:rsidR="003D7FF0" w:rsidRPr="00536D01" w14:paraId="09D3D0CE" w14:textId="77777777" w:rsidTr="00E6035E">
        <w:tc>
          <w:tcPr>
            <w:tcW w:w="300" w:type="pct"/>
            <w:shd w:val="clear" w:color="auto" w:fill="auto"/>
          </w:tcPr>
          <w:p w14:paraId="0120A465" w14:textId="77777777" w:rsidR="003D7FF0" w:rsidRPr="00536D01" w:rsidRDefault="003D7FF0" w:rsidP="00786ECB">
            <w:pPr>
              <w:pStyle w:val="Tabletext"/>
              <w:rPr>
                <w:sz w:val="20"/>
              </w:rPr>
            </w:pPr>
            <w:r w:rsidRPr="00536D01">
              <w:rPr>
                <w:sz w:val="20"/>
              </w:rPr>
              <w:t>2021 R#8</w:t>
            </w:r>
          </w:p>
        </w:tc>
        <w:tc>
          <w:tcPr>
            <w:tcW w:w="1450" w:type="pct"/>
            <w:shd w:val="clear" w:color="auto" w:fill="auto"/>
          </w:tcPr>
          <w:p w14:paraId="27B20B18" w14:textId="1E06CCB1" w:rsidR="00A4363A" w:rsidRPr="00536D01" w:rsidRDefault="006B4219" w:rsidP="006B4219">
            <w:pPr>
              <w:pStyle w:val="Tabletext"/>
              <w:rPr>
                <w:sz w:val="20"/>
                <w:lang w:eastAsia="zh-CN"/>
              </w:rPr>
            </w:pPr>
            <w:r w:rsidRPr="006B4219">
              <w:rPr>
                <w:rFonts w:hint="eastAsia"/>
                <w:sz w:val="20"/>
                <w:lang w:eastAsia="zh-CN"/>
              </w:rPr>
              <w:t>国际电联，根据平台的所有权以及法律和合同框架，评估东道国提供的这一平台是否可被视为“实物捐助”。如果情况并非如此，我们还建议通过内部资源独立评估以下方面是否存在管理职责：</w:t>
            </w:r>
          </w:p>
          <w:p w14:paraId="6D7AC75C" w14:textId="5E270625" w:rsidR="003D7FF0" w:rsidRPr="00536D01"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a)</w:t>
            </w:r>
            <w:r w:rsidR="00A4363A" w:rsidRPr="00536D01">
              <w:rPr>
                <w:sz w:val="20"/>
                <w:lang w:eastAsia="zh-CN"/>
              </w:rPr>
              <w:tab/>
            </w:r>
            <w:r w:rsidR="006B4219" w:rsidRPr="006B4219">
              <w:rPr>
                <w:rFonts w:hint="eastAsia"/>
                <w:sz w:val="20"/>
                <w:lang w:eastAsia="zh-CN"/>
              </w:rPr>
              <w:t>未及时向秘书长提供充足且可靠的信息，造成秘书长破例批准某些活动，且如果不开展这些活动，将使国际电联的资源得到保障。这些资源本可以分配给更紧迫的、适用于整个国际电联的方案措施。</w:t>
            </w:r>
          </w:p>
          <w:p w14:paraId="1A3F14DA" w14:textId="1EF22AE1" w:rsidR="003D7FF0" w:rsidRPr="00536D01"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b)</w:t>
            </w:r>
            <w:r w:rsidR="00A4363A" w:rsidRPr="00536D01">
              <w:rPr>
                <w:sz w:val="20"/>
                <w:lang w:eastAsia="zh-CN"/>
              </w:rPr>
              <w:tab/>
            </w:r>
            <w:r w:rsidR="006B4219" w:rsidRPr="006B4219">
              <w:rPr>
                <w:rFonts w:hint="eastAsia"/>
                <w:sz w:val="20"/>
                <w:lang w:eastAsia="zh-CN"/>
              </w:rPr>
              <w:t>在知晓东道国不会签署</w:t>
            </w:r>
            <w:r w:rsidR="006B4219" w:rsidRPr="006B4219">
              <w:rPr>
                <w:rFonts w:hint="eastAsia"/>
                <w:sz w:val="20"/>
                <w:lang w:eastAsia="zh-CN"/>
              </w:rPr>
              <w:t>2021</w:t>
            </w:r>
            <w:r w:rsidR="006B4219" w:rsidRPr="006B4219">
              <w:rPr>
                <w:rFonts w:hint="eastAsia"/>
                <w:sz w:val="20"/>
                <w:lang w:eastAsia="zh-CN"/>
              </w:rPr>
              <w:t>年补充《东道国协议》的情况下，决定继续开展数字世界展的工作，增加了国际电联财务报表中的直接和间接成本。</w:t>
            </w:r>
          </w:p>
        </w:tc>
        <w:tc>
          <w:tcPr>
            <w:tcW w:w="1750" w:type="pct"/>
            <w:shd w:val="clear" w:color="auto" w:fill="auto"/>
          </w:tcPr>
          <w:p w14:paraId="010FAF90" w14:textId="660AB29B" w:rsidR="003D7FF0" w:rsidRPr="00536D01" w:rsidRDefault="003C4D9B" w:rsidP="00786ECB">
            <w:pPr>
              <w:pStyle w:val="Tabletext"/>
              <w:rPr>
                <w:sz w:val="20"/>
                <w:lang w:eastAsia="zh-CN"/>
              </w:rPr>
            </w:pPr>
            <w:r w:rsidRPr="003C4D9B">
              <w:rPr>
                <w:rFonts w:hint="eastAsia"/>
                <w:sz w:val="20"/>
                <w:lang w:eastAsia="zh-CN"/>
              </w:rPr>
              <w:t>截至</w:t>
            </w:r>
            <w:r w:rsidRPr="003C4D9B">
              <w:rPr>
                <w:rFonts w:hint="eastAsia"/>
                <w:sz w:val="20"/>
                <w:lang w:eastAsia="zh-CN"/>
              </w:rPr>
              <w:t>2024</w:t>
            </w:r>
            <w:r w:rsidRPr="003C4D9B">
              <w:rPr>
                <w:rFonts w:hint="eastAsia"/>
                <w:sz w:val="20"/>
                <w:lang w:eastAsia="zh-CN"/>
              </w:rPr>
              <w:t>年</w:t>
            </w:r>
            <w:r w:rsidRPr="003C4D9B">
              <w:rPr>
                <w:rFonts w:hint="eastAsia"/>
                <w:sz w:val="20"/>
                <w:lang w:eastAsia="zh-CN"/>
              </w:rPr>
              <w:t>5</w:t>
            </w:r>
            <w:r w:rsidRPr="003C4D9B">
              <w:rPr>
                <w:rFonts w:hint="eastAsia"/>
                <w:sz w:val="20"/>
                <w:lang w:eastAsia="zh-CN"/>
              </w:rPr>
              <w:t>月的最新进展：</w:t>
            </w:r>
            <w:r w:rsidRPr="003C4D9B">
              <w:rPr>
                <w:rFonts w:hint="eastAsia"/>
                <w:sz w:val="20"/>
                <w:lang w:eastAsia="zh-CN"/>
              </w:rPr>
              <w:t>FRMD</w:t>
            </w:r>
            <w:r w:rsidR="00CC794D" w:rsidRPr="003C4D9B">
              <w:rPr>
                <w:rFonts w:hint="eastAsia"/>
                <w:sz w:val="20"/>
                <w:lang w:eastAsia="zh-CN"/>
              </w:rPr>
              <w:t>建议</w:t>
            </w:r>
            <w:r w:rsidR="00CC794D">
              <w:rPr>
                <w:rFonts w:hint="eastAsia"/>
                <w:sz w:val="20"/>
                <w:lang w:eastAsia="zh-CN"/>
              </w:rPr>
              <w:t>关闭</w:t>
            </w:r>
            <w:r w:rsidR="00CC794D" w:rsidRPr="003C4D9B">
              <w:rPr>
                <w:rFonts w:hint="eastAsia"/>
                <w:sz w:val="20"/>
                <w:lang w:eastAsia="zh-CN"/>
              </w:rPr>
              <w:t>本建议</w:t>
            </w:r>
            <w:r w:rsidR="00CC794D">
              <w:rPr>
                <w:rFonts w:hint="eastAsia"/>
                <w:sz w:val="20"/>
                <w:lang w:eastAsia="zh-CN"/>
              </w:rPr>
              <w:t>，</w:t>
            </w:r>
            <w:r w:rsidRPr="003C4D9B">
              <w:rPr>
                <w:rFonts w:hint="eastAsia"/>
                <w:sz w:val="20"/>
                <w:lang w:eastAsia="zh-CN"/>
              </w:rPr>
              <w:t>主要</w:t>
            </w:r>
            <w:r w:rsidR="00CC794D">
              <w:rPr>
                <w:rFonts w:hint="eastAsia"/>
                <w:sz w:val="20"/>
                <w:lang w:eastAsia="zh-CN"/>
              </w:rPr>
              <w:t>因为</w:t>
            </w:r>
            <w:r w:rsidRPr="003C4D9B">
              <w:rPr>
                <w:rFonts w:hint="eastAsia"/>
                <w:sz w:val="20"/>
                <w:lang w:eastAsia="zh-CN"/>
              </w:rPr>
              <w:t>电信展活动</w:t>
            </w:r>
            <w:r w:rsidR="00CC794D">
              <w:rPr>
                <w:rFonts w:hint="eastAsia"/>
                <w:sz w:val="20"/>
                <w:lang w:eastAsia="zh-CN"/>
              </w:rPr>
              <w:t>已</w:t>
            </w:r>
            <w:r w:rsidRPr="003C4D9B">
              <w:rPr>
                <w:rFonts w:hint="eastAsia"/>
                <w:sz w:val="20"/>
                <w:lang w:eastAsia="zh-CN"/>
              </w:rPr>
              <w:t>停止。</w:t>
            </w:r>
          </w:p>
          <w:p w14:paraId="51CEDBE9" w14:textId="19BBD039" w:rsidR="003D7FF0" w:rsidRPr="00536D01" w:rsidRDefault="003C4D9B" w:rsidP="00786ECB">
            <w:pPr>
              <w:pStyle w:val="Tabletext"/>
              <w:rPr>
                <w:sz w:val="20"/>
                <w:lang w:eastAsia="zh-CN"/>
              </w:rPr>
            </w:pPr>
            <w:r w:rsidRPr="003C4D9B">
              <w:rPr>
                <w:rFonts w:hint="eastAsia"/>
                <w:sz w:val="20"/>
                <w:lang w:eastAsia="zh-CN"/>
              </w:rPr>
              <w:t>PP-22</w:t>
            </w:r>
            <w:r w:rsidRPr="003C4D9B">
              <w:rPr>
                <w:rFonts w:hint="eastAsia"/>
                <w:sz w:val="20"/>
                <w:lang w:eastAsia="zh-CN"/>
              </w:rPr>
              <w:t>通过的第</w:t>
            </w:r>
            <w:r w:rsidRPr="003C4D9B">
              <w:rPr>
                <w:rFonts w:hint="eastAsia"/>
                <w:sz w:val="20"/>
                <w:lang w:eastAsia="zh-CN"/>
              </w:rPr>
              <w:t>11</w:t>
            </w:r>
            <w:r w:rsidRPr="003C4D9B">
              <w:rPr>
                <w:rFonts w:hint="eastAsia"/>
                <w:sz w:val="20"/>
                <w:lang w:eastAsia="zh-CN"/>
              </w:rPr>
              <w:t>号决议废除了电信展活动。此建议已不再相关。</w:t>
            </w:r>
          </w:p>
        </w:tc>
        <w:tc>
          <w:tcPr>
            <w:tcW w:w="1050" w:type="pct"/>
            <w:shd w:val="clear" w:color="auto" w:fill="auto"/>
          </w:tcPr>
          <w:p w14:paraId="07D7671F" w14:textId="20662876" w:rsidR="003D7FF0" w:rsidRPr="00536D01" w:rsidRDefault="003C4D9B" w:rsidP="00786ECB">
            <w:pPr>
              <w:pStyle w:val="Tabletext"/>
              <w:rPr>
                <w:sz w:val="20"/>
                <w:lang w:eastAsia="zh-CN"/>
              </w:rPr>
            </w:pPr>
            <w:r w:rsidRPr="003C4D9B">
              <w:rPr>
                <w:rFonts w:hint="eastAsia"/>
                <w:sz w:val="20"/>
                <w:lang w:eastAsia="zh-CN"/>
              </w:rPr>
              <w:t>考虑到</w:t>
            </w:r>
            <w:r w:rsidR="00CC794D">
              <w:rPr>
                <w:rFonts w:hint="eastAsia"/>
                <w:sz w:val="20"/>
                <w:lang w:eastAsia="zh-CN"/>
              </w:rPr>
              <w:t>此</w:t>
            </w:r>
            <w:r w:rsidRPr="003C4D9B">
              <w:rPr>
                <w:rFonts w:hint="eastAsia"/>
                <w:sz w:val="20"/>
                <w:lang w:eastAsia="zh-CN"/>
              </w:rPr>
              <w:t>建议与电信展活动相关，而这些活动</w:t>
            </w:r>
            <w:r w:rsidR="00951185">
              <w:rPr>
                <w:rFonts w:hint="eastAsia"/>
                <w:sz w:val="20"/>
                <w:lang w:eastAsia="zh-CN"/>
              </w:rPr>
              <w:t>业</w:t>
            </w:r>
            <w:r w:rsidRPr="003C4D9B">
              <w:rPr>
                <w:rFonts w:hint="eastAsia"/>
                <w:sz w:val="20"/>
                <w:lang w:eastAsia="zh-CN"/>
              </w:rPr>
              <w:t>已停止，因此</w:t>
            </w:r>
            <w:r w:rsidR="00CC794D">
              <w:rPr>
                <w:rFonts w:hint="eastAsia"/>
                <w:sz w:val="20"/>
                <w:lang w:eastAsia="zh-CN"/>
              </w:rPr>
              <w:t>关闭此</w:t>
            </w:r>
            <w:r w:rsidRPr="003C4D9B">
              <w:rPr>
                <w:rFonts w:hint="eastAsia"/>
                <w:sz w:val="20"/>
                <w:lang w:eastAsia="zh-CN"/>
              </w:rPr>
              <w:t>建议是合理的。</w:t>
            </w:r>
          </w:p>
        </w:tc>
        <w:tc>
          <w:tcPr>
            <w:tcW w:w="450" w:type="pct"/>
            <w:shd w:val="clear" w:color="auto" w:fill="auto"/>
          </w:tcPr>
          <w:p w14:paraId="6D9BB74C" w14:textId="31816D28" w:rsidR="003D7FF0" w:rsidRPr="00536D01" w:rsidRDefault="00347A11" w:rsidP="00786ECB">
            <w:pPr>
              <w:pStyle w:val="Tabletext"/>
              <w:rPr>
                <w:sz w:val="20"/>
              </w:rPr>
            </w:pPr>
            <w:r>
              <w:rPr>
                <w:rFonts w:ascii="SimSun" w:eastAsia="SimSun" w:hAnsi="SimSun" w:cs="SimSun" w:hint="eastAsia"/>
                <w:color w:val="000000"/>
                <w:sz w:val="20"/>
                <w:lang w:eastAsia="zh-CN"/>
              </w:rPr>
              <w:t>已关闭。</w:t>
            </w:r>
          </w:p>
        </w:tc>
      </w:tr>
      <w:tr w:rsidR="003D7FF0" w:rsidRPr="00536D01" w14:paraId="6DA053FF" w14:textId="77777777" w:rsidTr="00E6035E">
        <w:tc>
          <w:tcPr>
            <w:tcW w:w="300" w:type="pct"/>
            <w:shd w:val="clear" w:color="auto" w:fill="auto"/>
          </w:tcPr>
          <w:p w14:paraId="1DFE1B6C" w14:textId="77777777" w:rsidR="003D7FF0" w:rsidRPr="00536D01" w:rsidRDefault="003D7FF0" w:rsidP="00D11485">
            <w:pPr>
              <w:pStyle w:val="Tabletext"/>
              <w:keepNext/>
              <w:keepLines/>
              <w:rPr>
                <w:sz w:val="20"/>
              </w:rPr>
            </w:pPr>
            <w:r w:rsidRPr="00536D01">
              <w:rPr>
                <w:sz w:val="20"/>
              </w:rPr>
              <w:lastRenderedPageBreak/>
              <w:t>2021 R#9</w:t>
            </w:r>
          </w:p>
        </w:tc>
        <w:tc>
          <w:tcPr>
            <w:tcW w:w="1450" w:type="pct"/>
            <w:shd w:val="clear" w:color="auto" w:fill="auto"/>
          </w:tcPr>
          <w:p w14:paraId="386EB4A2" w14:textId="3498A800" w:rsidR="003D7FF0" w:rsidRPr="00536D01" w:rsidRDefault="006B4219" w:rsidP="00D11485">
            <w:pPr>
              <w:pStyle w:val="Tabletext"/>
              <w:keepNext/>
              <w:keepLines/>
              <w:rPr>
                <w:sz w:val="20"/>
                <w:lang w:eastAsia="zh-CN"/>
              </w:rPr>
            </w:pPr>
            <w:r w:rsidRPr="006B4219">
              <w:rPr>
                <w:rFonts w:hint="eastAsia"/>
                <w:sz w:val="20"/>
                <w:lang w:eastAsia="zh-CN"/>
              </w:rPr>
              <w:t>扩大《国际电联项目管理手册》以及《采购手册》和《财务规则和财务细则》关于“自愿捐款和信托基金的规则、程序和财务规定”的附件二，以防止各种类型的利益冲突。这种法律审查具有必要性和紧迫性，它不仅是为建立一个适当的监管框架，亦是为设计并实施有效的内部控制体系提供法律依据，特别是为了避免以下情况：</w:t>
            </w:r>
            <w:proofErr w:type="spellStart"/>
            <w:r w:rsidRPr="006B4219">
              <w:rPr>
                <w:rFonts w:hint="eastAsia"/>
                <w:sz w:val="20"/>
                <w:lang w:eastAsia="zh-CN"/>
              </w:rPr>
              <w:t>i</w:t>
            </w:r>
            <w:proofErr w:type="spellEnd"/>
            <w:r w:rsidRPr="006B4219">
              <w:rPr>
                <w:rFonts w:hint="eastAsia"/>
                <w:sz w:val="20"/>
                <w:lang w:eastAsia="zh-CN"/>
              </w:rPr>
              <w:t xml:space="preserve">) </w:t>
            </w:r>
            <w:r w:rsidRPr="006B4219">
              <w:rPr>
                <w:rFonts w:hint="eastAsia"/>
                <w:sz w:val="20"/>
                <w:lang w:eastAsia="zh-CN"/>
              </w:rPr>
              <w:t>出资伙伴是国际电联援助的接受者，以及</w:t>
            </w:r>
            <w:r w:rsidRPr="006B4219">
              <w:rPr>
                <w:rFonts w:hint="eastAsia"/>
                <w:sz w:val="20"/>
                <w:lang w:eastAsia="zh-CN"/>
              </w:rPr>
              <w:t xml:space="preserve">ii) </w:t>
            </w:r>
            <w:r w:rsidRPr="006B4219">
              <w:rPr>
                <w:rFonts w:hint="eastAsia"/>
                <w:sz w:val="20"/>
                <w:lang w:eastAsia="zh-CN"/>
              </w:rPr>
              <w:t>捐助方和受益方都希望使用某一特定供应商，而非最具成本效益的供应商。</w:t>
            </w:r>
          </w:p>
        </w:tc>
        <w:tc>
          <w:tcPr>
            <w:tcW w:w="1750" w:type="pct"/>
            <w:shd w:val="clear" w:color="auto" w:fill="auto"/>
          </w:tcPr>
          <w:p w14:paraId="0A147FC0" w14:textId="2F1DF625" w:rsidR="003D7FF0" w:rsidRPr="00536D01" w:rsidRDefault="003C4D9B" w:rsidP="00D11485">
            <w:pPr>
              <w:pStyle w:val="Tabletext"/>
              <w:keepNext/>
              <w:keepLines/>
              <w:rPr>
                <w:sz w:val="20"/>
                <w:lang w:eastAsia="zh-CN"/>
              </w:rPr>
            </w:pPr>
            <w:r w:rsidRPr="003C4D9B">
              <w:rPr>
                <w:rFonts w:hint="eastAsia"/>
                <w:sz w:val="20"/>
                <w:lang w:eastAsia="zh-CN"/>
              </w:rPr>
              <w:t>截至</w:t>
            </w:r>
            <w:r w:rsidRPr="003C4D9B">
              <w:rPr>
                <w:rFonts w:hint="eastAsia"/>
                <w:sz w:val="20"/>
                <w:lang w:eastAsia="zh-CN"/>
              </w:rPr>
              <w:t>2025</w:t>
            </w:r>
            <w:r w:rsidRPr="003C4D9B">
              <w:rPr>
                <w:rFonts w:hint="eastAsia"/>
                <w:sz w:val="20"/>
                <w:lang w:eastAsia="zh-CN"/>
              </w:rPr>
              <w:t>年</w:t>
            </w:r>
            <w:r w:rsidRPr="003C4D9B">
              <w:rPr>
                <w:rFonts w:hint="eastAsia"/>
                <w:sz w:val="20"/>
                <w:lang w:eastAsia="zh-CN"/>
              </w:rPr>
              <w:t>2</w:t>
            </w:r>
            <w:r w:rsidRPr="003C4D9B">
              <w:rPr>
                <w:rFonts w:hint="eastAsia"/>
                <w:sz w:val="20"/>
                <w:lang w:eastAsia="zh-CN"/>
              </w:rPr>
              <w:t>月的最新进展：根据第</w:t>
            </w:r>
            <w:r w:rsidRPr="003C4D9B">
              <w:rPr>
                <w:rFonts w:hint="eastAsia"/>
                <w:sz w:val="20"/>
                <w:lang w:eastAsia="zh-CN"/>
              </w:rPr>
              <w:t>24/16</w:t>
            </w:r>
            <w:r w:rsidRPr="003C4D9B">
              <w:rPr>
                <w:rFonts w:hint="eastAsia"/>
                <w:sz w:val="20"/>
                <w:lang w:eastAsia="zh-CN"/>
              </w:rPr>
              <w:t>号行政规定</w:t>
            </w:r>
            <w:r w:rsidR="00D04ABE">
              <w:rPr>
                <w:rFonts w:hint="eastAsia"/>
                <w:sz w:val="20"/>
                <w:lang w:eastAsia="zh-CN"/>
              </w:rPr>
              <w:t>《</w:t>
            </w:r>
            <w:r w:rsidRPr="003C4D9B">
              <w:rPr>
                <w:rFonts w:hint="eastAsia"/>
                <w:sz w:val="20"/>
                <w:lang w:eastAsia="zh-CN"/>
              </w:rPr>
              <w:t>国际电联利益申报政策</w:t>
            </w:r>
            <w:r w:rsidR="00D04ABE">
              <w:rPr>
                <w:rFonts w:hint="eastAsia"/>
                <w:sz w:val="20"/>
                <w:lang w:eastAsia="zh-CN"/>
              </w:rPr>
              <w:t>》</w:t>
            </w:r>
            <w:r w:rsidRPr="003C4D9B">
              <w:rPr>
                <w:rFonts w:hint="eastAsia"/>
                <w:sz w:val="20"/>
                <w:lang w:eastAsia="zh-CN"/>
              </w:rPr>
              <w:t>，国际电联职员须完成年度利益申报工作，并且必须申报任何实际、潜在或明显的利益冲突，包括与国际电联项目有关的利益冲突</w:t>
            </w:r>
            <w:r w:rsidR="00D04ABE">
              <w:rPr>
                <w:rFonts w:hint="eastAsia"/>
                <w:sz w:val="20"/>
                <w:lang w:eastAsia="zh-CN"/>
              </w:rPr>
              <w:t>。</w:t>
            </w:r>
            <w:r w:rsidR="00D04ABE" w:rsidRPr="00536D01">
              <w:rPr>
                <w:sz w:val="20"/>
                <w:lang w:eastAsia="zh-CN"/>
              </w:rPr>
              <w:t>[…]</w:t>
            </w:r>
          </w:p>
          <w:p w14:paraId="4F759482" w14:textId="180CEB87" w:rsidR="003D7FF0" w:rsidRPr="00536D01" w:rsidRDefault="003C4D9B" w:rsidP="00D11485">
            <w:pPr>
              <w:pStyle w:val="Tabletext"/>
              <w:keepNext/>
              <w:keepLines/>
              <w:rPr>
                <w:sz w:val="20"/>
              </w:rPr>
            </w:pPr>
            <w:proofErr w:type="spellStart"/>
            <w:r w:rsidRPr="003C4D9B">
              <w:rPr>
                <w:rFonts w:hint="eastAsia"/>
                <w:sz w:val="20"/>
              </w:rPr>
              <w:t>建议</w:t>
            </w:r>
            <w:proofErr w:type="spellEnd"/>
            <w:r w:rsidR="004F0C40">
              <w:rPr>
                <w:rFonts w:hint="eastAsia"/>
                <w:sz w:val="20"/>
                <w:lang w:eastAsia="zh-CN"/>
              </w:rPr>
              <w:t>结束</w:t>
            </w:r>
            <w:r w:rsidR="00E22C9B">
              <w:rPr>
                <w:rFonts w:hint="eastAsia"/>
                <w:sz w:val="20"/>
                <w:lang w:eastAsia="zh-CN"/>
              </w:rPr>
              <w:t>此</w:t>
            </w:r>
            <w:proofErr w:type="spellStart"/>
            <w:r w:rsidRPr="003C4D9B">
              <w:rPr>
                <w:rFonts w:hint="eastAsia"/>
                <w:sz w:val="20"/>
              </w:rPr>
              <w:t>建议</w:t>
            </w:r>
            <w:proofErr w:type="spellEnd"/>
            <w:r w:rsidRPr="003C4D9B">
              <w:rPr>
                <w:rFonts w:hint="eastAsia"/>
                <w:sz w:val="20"/>
              </w:rPr>
              <w:t>。</w:t>
            </w:r>
          </w:p>
        </w:tc>
        <w:tc>
          <w:tcPr>
            <w:tcW w:w="1050" w:type="pct"/>
            <w:shd w:val="clear" w:color="auto" w:fill="auto"/>
          </w:tcPr>
          <w:p w14:paraId="6CCF1C0F" w14:textId="7B07271A" w:rsidR="003D7FF0" w:rsidRPr="00536D01" w:rsidRDefault="003C4D9B" w:rsidP="00D11485">
            <w:pPr>
              <w:pStyle w:val="Tabletext"/>
              <w:keepNext/>
              <w:keepLines/>
              <w:rPr>
                <w:sz w:val="20"/>
              </w:rPr>
            </w:pPr>
            <w:r w:rsidRPr="003C4D9B">
              <w:rPr>
                <w:rFonts w:hint="eastAsia"/>
                <w:sz w:val="20"/>
                <w:lang w:eastAsia="zh-CN"/>
              </w:rPr>
              <w:t>注意到最新回应</w:t>
            </w:r>
            <w:r w:rsidR="00E22C9B">
              <w:rPr>
                <w:rFonts w:hint="eastAsia"/>
                <w:sz w:val="20"/>
                <w:lang w:eastAsia="zh-CN"/>
              </w:rPr>
              <w:t>，</w:t>
            </w:r>
            <w:r w:rsidRPr="003C4D9B">
              <w:rPr>
                <w:rFonts w:hint="eastAsia"/>
                <w:sz w:val="20"/>
                <w:lang w:eastAsia="zh-CN"/>
              </w:rPr>
              <w:t>并认为是合理的。该建议已</w:t>
            </w:r>
            <w:r w:rsidR="00E22C9B">
              <w:rPr>
                <w:rFonts w:hint="eastAsia"/>
                <w:sz w:val="20"/>
                <w:lang w:eastAsia="zh-CN"/>
              </w:rPr>
              <w:t>完成</w:t>
            </w:r>
            <w:r w:rsidRPr="003C4D9B">
              <w:rPr>
                <w:rFonts w:hint="eastAsia"/>
                <w:sz w:val="20"/>
              </w:rPr>
              <w:t>。</w:t>
            </w:r>
          </w:p>
        </w:tc>
        <w:tc>
          <w:tcPr>
            <w:tcW w:w="450" w:type="pct"/>
            <w:shd w:val="clear" w:color="auto" w:fill="auto"/>
          </w:tcPr>
          <w:p w14:paraId="60746DAC" w14:textId="7929FD10" w:rsidR="003D7FF0" w:rsidRPr="00536D01" w:rsidRDefault="00347A11" w:rsidP="00786ECB">
            <w:pPr>
              <w:pStyle w:val="Tabletext"/>
              <w:rPr>
                <w:sz w:val="20"/>
              </w:rPr>
            </w:pPr>
            <w:r>
              <w:rPr>
                <w:rFonts w:ascii="SimSun" w:eastAsia="SimSun" w:hAnsi="SimSun" w:cs="SimSun" w:hint="eastAsia"/>
                <w:color w:val="000000"/>
                <w:sz w:val="20"/>
                <w:lang w:eastAsia="zh-CN"/>
              </w:rPr>
              <w:t>已关闭。</w:t>
            </w:r>
          </w:p>
        </w:tc>
      </w:tr>
      <w:tr w:rsidR="003D7FF0" w:rsidRPr="00536D01" w14:paraId="11E377A3" w14:textId="77777777" w:rsidTr="00E6035E">
        <w:tc>
          <w:tcPr>
            <w:tcW w:w="300" w:type="pct"/>
            <w:shd w:val="clear" w:color="auto" w:fill="auto"/>
          </w:tcPr>
          <w:p w14:paraId="3AC348C9" w14:textId="77777777" w:rsidR="003D7FF0" w:rsidRPr="00536D01" w:rsidRDefault="003D7FF0" w:rsidP="00786ECB">
            <w:pPr>
              <w:pStyle w:val="Tabletext"/>
              <w:rPr>
                <w:sz w:val="20"/>
              </w:rPr>
            </w:pPr>
            <w:r w:rsidRPr="00536D01">
              <w:rPr>
                <w:sz w:val="20"/>
              </w:rPr>
              <w:t>2021 R#10</w:t>
            </w:r>
          </w:p>
        </w:tc>
        <w:tc>
          <w:tcPr>
            <w:tcW w:w="1450" w:type="pct"/>
            <w:shd w:val="clear" w:color="auto" w:fill="auto"/>
          </w:tcPr>
          <w:p w14:paraId="70CC1744" w14:textId="74DDB4E2" w:rsidR="003D7FF0" w:rsidRPr="00536D01" w:rsidRDefault="006B4219" w:rsidP="00786ECB">
            <w:pPr>
              <w:pStyle w:val="Tabletext"/>
              <w:rPr>
                <w:sz w:val="20"/>
                <w:lang w:eastAsia="zh-CN"/>
              </w:rPr>
            </w:pPr>
            <w:r>
              <w:rPr>
                <w:rFonts w:hint="eastAsia"/>
                <w:sz w:val="20"/>
                <w:lang w:eastAsia="zh-CN"/>
              </w:rPr>
              <w:t>建议：</w:t>
            </w:r>
          </w:p>
          <w:p w14:paraId="60A57A25" w14:textId="589E9BAF" w:rsidR="003D7FF0" w:rsidRPr="00536D01" w:rsidRDefault="003D7FF0" w:rsidP="00F43DFE">
            <w:pPr>
              <w:pStyle w:val="Tabletext"/>
              <w:tabs>
                <w:tab w:val="clear" w:pos="284"/>
                <w:tab w:val="clear" w:pos="425"/>
                <w:tab w:val="left" w:pos="356"/>
              </w:tabs>
              <w:spacing w:before="60"/>
              <w:ind w:left="356" w:hanging="356"/>
              <w:rPr>
                <w:sz w:val="20"/>
                <w:lang w:eastAsia="zh-CN"/>
              </w:rPr>
            </w:pPr>
            <w:proofErr w:type="spellStart"/>
            <w:r w:rsidRPr="00536D01">
              <w:rPr>
                <w:sz w:val="20"/>
                <w:lang w:eastAsia="zh-CN"/>
              </w:rPr>
              <w:t>i</w:t>
            </w:r>
            <w:proofErr w:type="spellEnd"/>
            <w:r w:rsidRPr="00536D01">
              <w:rPr>
                <w:sz w:val="20"/>
                <w:lang w:eastAsia="zh-CN"/>
              </w:rPr>
              <w:t>)</w:t>
            </w:r>
            <w:r w:rsidR="00A4363A" w:rsidRPr="00536D01">
              <w:rPr>
                <w:sz w:val="20"/>
                <w:lang w:eastAsia="zh-CN"/>
              </w:rPr>
              <w:tab/>
            </w:r>
            <w:r w:rsidR="006B4219" w:rsidRPr="006B4219">
              <w:rPr>
                <w:rFonts w:hint="eastAsia"/>
                <w:sz w:val="20"/>
                <w:lang w:eastAsia="zh-CN"/>
              </w:rPr>
              <w:t>紧急启动相应分析，以确定与潜在利益冲突和欺诈风险有关的风险指标，并由独立专家进行审查；</w:t>
            </w:r>
          </w:p>
          <w:p w14:paraId="474BD3C1" w14:textId="73D581AB" w:rsidR="003D7FF0" w:rsidRPr="00536D01"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ii)</w:t>
            </w:r>
            <w:r w:rsidR="00A4363A" w:rsidRPr="00536D01">
              <w:rPr>
                <w:sz w:val="20"/>
                <w:lang w:eastAsia="zh-CN"/>
              </w:rPr>
              <w:tab/>
            </w:r>
            <w:r w:rsidR="006B4219" w:rsidRPr="006B4219">
              <w:rPr>
                <w:rFonts w:hint="eastAsia"/>
                <w:lang w:eastAsia="zh-CN"/>
              </w:rPr>
              <w:t>对正在进行的项目开展审查，以核实是否存在上述潜在或既有利益冲突的情况；</w:t>
            </w:r>
          </w:p>
          <w:p w14:paraId="0DD4CADC" w14:textId="42190640" w:rsidR="003D7FF0" w:rsidRPr="00536D01"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iii)</w:t>
            </w:r>
            <w:r w:rsidR="00A4363A" w:rsidRPr="00536D01">
              <w:rPr>
                <w:sz w:val="20"/>
                <w:lang w:eastAsia="zh-CN"/>
              </w:rPr>
              <w:tab/>
            </w:r>
            <w:r w:rsidR="006B4219" w:rsidRPr="006B4219">
              <w:rPr>
                <w:rFonts w:hint="eastAsia"/>
                <w:sz w:val="20"/>
                <w:lang w:eastAsia="zh-CN"/>
              </w:rPr>
              <w:t>如果复审（在上述条款范围内）表明存在利益冲突、欺诈、违规的风险，则应暂停正在评估的新项目以及现行项目的付款，且在任何情况下，都应等到适当的控制框架和流程（如上所述）生效为止。</w:t>
            </w:r>
          </w:p>
        </w:tc>
        <w:tc>
          <w:tcPr>
            <w:tcW w:w="1750" w:type="pct"/>
            <w:shd w:val="clear" w:color="auto" w:fill="auto"/>
          </w:tcPr>
          <w:p w14:paraId="37771D0F" w14:textId="2CC579E4" w:rsidR="003D7FF0" w:rsidRPr="00536D01" w:rsidRDefault="003C4D9B" w:rsidP="00786ECB">
            <w:pPr>
              <w:pStyle w:val="Tabletext"/>
              <w:rPr>
                <w:sz w:val="20"/>
                <w:lang w:eastAsia="zh-CN"/>
              </w:rPr>
            </w:pPr>
            <w:r w:rsidRPr="003C4D9B">
              <w:rPr>
                <w:rFonts w:hint="eastAsia"/>
                <w:sz w:val="20"/>
                <w:lang w:eastAsia="zh-CN"/>
              </w:rPr>
              <w:t>截至</w:t>
            </w:r>
            <w:r w:rsidRPr="003C4D9B">
              <w:rPr>
                <w:rFonts w:hint="eastAsia"/>
                <w:sz w:val="20"/>
                <w:lang w:eastAsia="zh-CN"/>
              </w:rPr>
              <w:t>2025</w:t>
            </w:r>
            <w:r w:rsidRPr="003C4D9B">
              <w:rPr>
                <w:rFonts w:hint="eastAsia"/>
                <w:sz w:val="20"/>
                <w:lang w:eastAsia="zh-CN"/>
              </w:rPr>
              <w:t>年</w:t>
            </w:r>
            <w:r w:rsidRPr="003C4D9B">
              <w:rPr>
                <w:rFonts w:hint="eastAsia"/>
                <w:sz w:val="20"/>
                <w:lang w:eastAsia="zh-CN"/>
              </w:rPr>
              <w:t>2</w:t>
            </w:r>
            <w:r w:rsidRPr="003C4D9B">
              <w:rPr>
                <w:rFonts w:hint="eastAsia"/>
                <w:sz w:val="20"/>
                <w:lang w:eastAsia="zh-CN"/>
              </w:rPr>
              <w:t>月的最新进展：</w:t>
            </w:r>
            <w:r w:rsidRPr="003C4D9B">
              <w:rPr>
                <w:rFonts w:hint="eastAsia"/>
                <w:sz w:val="20"/>
                <w:lang w:eastAsia="zh-CN"/>
              </w:rPr>
              <w:t>2022</w:t>
            </w:r>
            <w:r w:rsidRPr="003C4D9B">
              <w:rPr>
                <w:rFonts w:hint="eastAsia"/>
                <w:sz w:val="20"/>
                <w:lang w:eastAsia="zh-CN"/>
              </w:rPr>
              <w:t>年，国际电联聘请了一名外部审计和风险顾问，对国际电联主要</w:t>
            </w:r>
            <w:r w:rsidR="003A5506">
              <w:rPr>
                <w:rFonts w:hint="eastAsia"/>
                <w:sz w:val="20"/>
                <w:lang w:eastAsia="zh-CN"/>
              </w:rPr>
              <w:t>的</w:t>
            </w:r>
            <w:r w:rsidRPr="003C4D9B">
              <w:rPr>
                <w:rFonts w:hint="eastAsia"/>
                <w:sz w:val="20"/>
                <w:lang w:eastAsia="zh-CN"/>
              </w:rPr>
              <w:t>财务、欺诈和声誉风险进行评估。评估</w:t>
            </w:r>
            <w:r w:rsidR="003A5506">
              <w:rPr>
                <w:rFonts w:hint="eastAsia"/>
                <w:sz w:val="20"/>
                <w:lang w:eastAsia="zh-CN"/>
              </w:rPr>
              <w:t>指出</w:t>
            </w:r>
            <w:r w:rsidRPr="003C4D9B">
              <w:rPr>
                <w:rFonts w:hint="eastAsia"/>
                <w:sz w:val="20"/>
                <w:lang w:eastAsia="zh-CN"/>
              </w:rPr>
              <w:t>，在曼谷案例之后，国际电联采取了广泛的措施来加强治理和内部控制。</w:t>
            </w:r>
            <w:r w:rsidR="003A5506">
              <w:rPr>
                <w:rFonts w:hint="eastAsia"/>
                <w:sz w:val="20"/>
                <w:lang w:val="en-US" w:eastAsia="zh-CN"/>
              </w:rPr>
              <w:t>针对</w:t>
            </w:r>
            <w:r w:rsidRPr="003C4D9B">
              <w:rPr>
                <w:rFonts w:hint="eastAsia"/>
                <w:sz w:val="20"/>
                <w:lang w:eastAsia="zh-CN"/>
              </w:rPr>
              <w:t>潜在的系统漏洞，</w:t>
            </w:r>
            <w:r w:rsidRPr="003C4D9B">
              <w:rPr>
                <w:rFonts w:hint="eastAsia"/>
                <w:sz w:val="20"/>
                <w:lang w:eastAsia="zh-CN"/>
              </w:rPr>
              <w:t>2023</w:t>
            </w:r>
            <w:r w:rsidRPr="003C4D9B">
              <w:rPr>
                <w:rFonts w:hint="eastAsia"/>
                <w:sz w:val="20"/>
                <w:lang w:eastAsia="zh-CN"/>
              </w:rPr>
              <w:t>年，</w:t>
            </w:r>
            <w:r w:rsidRPr="003C4D9B">
              <w:rPr>
                <w:rFonts w:hint="eastAsia"/>
                <w:sz w:val="20"/>
                <w:lang w:eastAsia="zh-CN"/>
              </w:rPr>
              <w:t>ISD</w:t>
            </w:r>
            <w:r w:rsidRPr="003C4D9B">
              <w:rPr>
                <w:rFonts w:hint="eastAsia"/>
                <w:sz w:val="20"/>
                <w:lang w:eastAsia="zh-CN"/>
              </w:rPr>
              <w:t>聘请了一家外部专家公司来评估国际电联的</w:t>
            </w:r>
            <w:r w:rsidR="009F03EE">
              <w:rPr>
                <w:rFonts w:hint="eastAsia"/>
                <w:sz w:val="20"/>
                <w:lang w:eastAsia="zh-CN"/>
              </w:rPr>
              <w:t>企业资源规划系统（</w:t>
            </w:r>
            <w:r w:rsidRPr="003C4D9B">
              <w:rPr>
                <w:rFonts w:hint="eastAsia"/>
                <w:sz w:val="20"/>
                <w:lang w:eastAsia="zh-CN"/>
              </w:rPr>
              <w:t>ERP</w:t>
            </w:r>
            <w:r w:rsidR="009F03EE">
              <w:rPr>
                <w:rFonts w:hint="eastAsia"/>
                <w:sz w:val="20"/>
                <w:lang w:eastAsia="zh-CN"/>
              </w:rPr>
              <w:t>）</w:t>
            </w:r>
            <w:r w:rsidRPr="003C4D9B">
              <w:rPr>
                <w:rFonts w:hint="eastAsia"/>
                <w:sz w:val="20"/>
                <w:lang w:eastAsia="zh-CN"/>
              </w:rPr>
              <w:t>，重点关注访问权</w:t>
            </w:r>
            <w:r w:rsidR="003A5506">
              <w:rPr>
                <w:rFonts w:hint="eastAsia"/>
                <w:sz w:val="20"/>
                <w:lang w:eastAsia="zh-CN"/>
              </w:rPr>
              <w:t>限，</w:t>
            </w:r>
            <w:r w:rsidRPr="003C4D9B">
              <w:rPr>
                <w:rFonts w:hint="eastAsia"/>
                <w:sz w:val="20"/>
                <w:lang w:eastAsia="zh-CN"/>
              </w:rPr>
              <w:t>职责分离冲突规则</w:t>
            </w:r>
            <w:r w:rsidR="003A5506">
              <w:rPr>
                <w:rFonts w:hint="eastAsia"/>
                <w:sz w:val="20"/>
                <w:lang w:eastAsia="zh-CN"/>
              </w:rPr>
              <w:t>，</w:t>
            </w:r>
            <w:r w:rsidRPr="003C4D9B">
              <w:rPr>
                <w:rFonts w:hint="eastAsia"/>
                <w:sz w:val="20"/>
                <w:lang w:eastAsia="zh-CN"/>
              </w:rPr>
              <w:t>以及可能</w:t>
            </w:r>
            <w:r w:rsidR="003A5506">
              <w:rPr>
                <w:rFonts w:hint="eastAsia"/>
                <w:sz w:val="20"/>
                <w:lang w:eastAsia="zh-CN"/>
              </w:rPr>
              <w:t>引发</w:t>
            </w:r>
            <w:r w:rsidRPr="003C4D9B">
              <w:rPr>
                <w:rFonts w:hint="eastAsia"/>
                <w:sz w:val="20"/>
                <w:lang w:eastAsia="zh-CN"/>
              </w:rPr>
              <w:t>欺诈活动</w:t>
            </w:r>
            <w:r w:rsidR="003A5506">
              <w:rPr>
                <w:rFonts w:hint="eastAsia"/>
                <w:sz w:val="20"/>
                <w:lang w:eastAsia="zh-CN"/>
              </w:rPr>
              <w:t>、违反</w:t>
            </w:r>
            <w:r w:rsidRPr="003C4D9B">
              <w:rPr>
                <w:rFonts w:hint="eastAsia"/>
                <w:sz w:val="20"/>
                <w:lang w:eastAsia="zh-CN"/>
              </w:rPr>
              <w:t>关键活动</w:t>
            </w:r>
            <w:r w:rsidRPr="003C4D9B">
              <w:rPr>
                <w:rFonts w:hint="eastAsia"/>
                <w:sz w:val="20"/>
                <w:lang w:eastAsia="zh-CN"/>
              </w:rPr>
              <w:t>/</w:t>
            </w:r>
            <w:r w:rsidRPr="003C4D9B">
              <w:rPr>
                <w:rFonts w:hint="eastAsia"/>
                <w:sz w:val="20"/>
                <w:lang w:eastAsia="zh-CN"/>
              </w:rPr>
              <w:t>子流程</w:t>
            </w:r>
            <w:r w:rsidR="003A5506">
              <w:rPr>
                <w:rFonts w:hint="eastAsia"/>
                <w:sz w:val="20"/>
                <w:lang w:eastAsia="zh-CN"/>
              </w:rPr>
              <w:t>的行为</w:t>
            </w:r>
            <w:r w:rsidRPr="003C4D9B">
              <w:rPr>
                <w:rFonts w:hint="eastAsia"/>
                <w:sz w:val="20"/>
                <w:lang w:eastAsia="zh-CN"/>
              </w:rPr>
              <w:t>。关于利益冲突（</w:t>
            </w:r>
            <w:r w:rsidRPr="003C4D9B">
              <w:rPr>
                <w:rFonts w:hint="eastAsia"/>
                <w:sz w:val="20"/>
                <w:lang w:eastAsia="zh-CN"/>
              </w:rPr>
              <w:t>COI</w:t>
            </w:r>
            <w:r w:rsidRPr="003C4D9B">
              <w:rPr>
                <w:rFonts w:hint="eastAsia"/>
                <w:sz w:val="20"/>
                <w:lang w:eastAsia="zh-CN"/>
              </w:rPr>
              <w:t>），国际电联职员和顾问（</w:t>
            </w:r>
            <w:r w:rsidRPr="003C4D9B">
              <w:rPr>
                <w:rFonts w:hint="eastAsia"/>
                <w:sz w:val="20"/>
                <w:lang w:eastAsia="zh-CN"/>
              </w:rPr>
              <w:t>SSA</w:t>
            </w:r>
            <w:r w:rsidRPr="003C4D9B">
              <w:rPr>
                <w:rFonts w:hint="eastAsia"/>
                <w:sz w:val="20"/>
                <w:lang w:eastAsia="zh-CN"/>
              </w:rPr>
              <w:t>）须根据第</w:t>
            </w:r>
            <w:r w:rsidRPr="003C4D9B">
              <w:rPr>
                <w:rFonts w:hint="eastAsia"/>
                <w:sz w:val="20"/>
                <w:lang w:eastAsia="zh-CN"/>
              </w:rPr>
              <w:t>24/16</w:t>
            </w:r>
            <w:r w:rsidRPr="003C4D9B">
              <w:rPr>
                <w:rFonts w:hint="eastAsia"/>
                <w:sz w:val="20"/>
                <w:lang w:eastAsia="zh-CN"/>
              </w:rPr>
              <w:t>号行政规定</w:t>
            </w:r>
            <w:r w:rsidR="003A5506">
              <w:rPr>
                <w:rFonts w:hint="eastAsia"/>
                <w:sz w:val="20"/>
                <w:lang w:eastAsia="zh-CN"/>
              </w:rPr>
              <w:t>《</w:t>
            </w:r>
            <w:r w:rsidRPr="003C4D9B">
              <w:rPr>
                <w:rFonts w:hint="eastAsia"/>
                <w:sz w:val="20"/>
                <w:lang w:eastAsia="zh-CN"/>
              </w:rPr>
              <w:t>国际电联利益申报政策</w:t>
            </w:r>
            <w:r w:rsidR="003A5506">
              <w:rPr>
                <w:rFonts w:hint="eastAsia"/>
                <w:sz w:val="20"/>
                <w:lang w:eastAsia="zh-CN"/>
              </w:rPr>
              <w:t>》</w:t>
            </w:r>
            <w:r w:rsidRPr="003C4D9B">
              <w:rPr>
                <w:rFonts w:hint="eastAsia"/>
                <w:sz w:val="20"/>
                <w:lang w:eastAsia="zh-CN"/>
              </w:rPr>
              <w:t>完成年度利益申报，并且须申报任何实际的、潜在的或明显的利益冲突，包括与国际电联项目有关的</w:t>
            </w:r>
            <w:r w:rsidR="003A5506">
              <w:rPr>
                <w:rFonts w:hint="eastAsia"/>
                <w:sz w:val="20"/>
                <w:lang w:eastAsia="zh-CN"/>
              </w:rPr>
              <w:t>利益冲突</w:t>
            </w:r>
            <w:r w:rsidRPr="003C4D9B">
              <w:rPr>
                <w:rFonts w:hint="eastAsia"/>
                <w:sz w:val="20"/>
                <w:lang w:eastAsia="zh-CN"/>
              </w:rPr>
              <w:t>。作为这项工作的一部分，</w:t>
            </w:r>
            <w:r w:rsidR="004F0C40">
              <w:rPr>
                <w:rFonts w:hint="eastAsia"/>
                <w:sz w:val="20"/>
                <w:lang w:eastAsia="zh-CN"/>
              </w:rPr>
              <w:t>职员</w:t>
            </w:r>
            <w:r w:rsidRPr="003C4D9B">
              <w:rPr>
                <w:rFonts w:hint="eastAsia"/>
                <w:sz w:val="20"/>
                <w:lang w:eastAsia="zh-CN"/>
              </w:rPr>
              <w:t>还须审查国际电联</w:t>
            </w:r>
            <w:r w:rsidR="004F0C40">
              <w:rPr>
                <w:rFonts w:hint="eastAsia"/>
                <w:sz w:val="20"/>
                <w:lang w:eastAsia="zh-CN"/>
              </w:rPr>
              <w:t>销售</w:t>
            </w:r>
            <w:r w:rsidRPr="003C4D9B">
              <w:rPr>
                <w:rFonts w:hint="eastAsia"/>
                <w:sz w:val="20"/>
                <w:lang w:eastAsia="zh-CN"/>
              </w:rPr>
              <w:t>商</w:t>
            </w:r>
            <w:r w:rsidRPr="003C4D9B">
              <w:rPr>
                <w:rFonts w:hint="eastAsia"/>
                <w:sz w:val="20"/>
                <w:lang w:eastAsia="zh-CN"/>
              </w:rPr>
              <w:t>/</w:t>
            </w:r>
            <w:r w:rsidRPr="003C4D9B">
              <w:rPr>
                <w:rFonts w:hint="eastAsia"/>
                <w:sz w:val="20"/>
                <w:lang w:eastAsia="zh-CN"/>
              </w:rPr>
              <w:t>供应商名单，并</w:t>
            </w:r>
            <w:r w:rsidR="009F03EE">
              <w:rPr>
                <w:rFonts w:hint="eastAsia"/>
                <w:sz w:val="20"/>
                <w:lang w:eastAsia="zh-CN"/>
              </w:rPr>
              <w:t>声明</w:t>
            </w:r>
            <w:r w:rsidRPr="003C4D9B">
              <w:rPr>
                <w:rFonts w:hint="eastAsia"/>
                <w:sz w:val="20"/>
                <w:lang w:eastAsia="zh-CN"/>
              </w:rPr>
              <w:t>他们是否</w:t>
            </w:r>
            <w:r w:rsidR="009F03EE">
              <w:rPr>
                <w:rFonts w:hint="eastAsia"/>
                <w:sz w:val="20"/>
                <w:lang w:eastAsia="zh-CN"/>
              </w:rPr>
              <w:t>与</w:t>
            </w:r>
            <w:r w:rsidRPr="003C4D9B">
              <w:rPr>
                <w:rFonts w:hint="eastAsia"/>
                <w:sz w:val="20"/>
                <w:lang w:eastAsia="zh-CN"/>
              </w:rPr>
              <w:t>所列实体</w:t>
            </w:r>
            <w:r w:rsidR="004F0C40">
              <w:rPr>
                <w:rFonts w:hint="eastAsia"/>
                <w:sz w:val="20"/>
                <w:lang w:eastAsia="zh-CN"/>
              </w:rPr>
              <w:t>存在</w:t>
            </w:r>
            <w:r w:rsidRPr="003C4D9B">
              <w:rPr>
                <w:rFonts w:hint="eastAsia"/>
                <w:sz w:val="20"/>
                <w:lang w:eastAsia="zh-CN"/>
              </w:rPr>
              <w:t>任何</w:t>
            </w:r>
            <w:r w:rsidR="004F0C40">
              <w:rPr>
                <w:rFonts w:hint="eastAsia"/>
                <w:sz w:val="20"/>
                <w:lang w:eastAsia="zh-CN"/>
              </w:rPr>
              <w:t>利益</w:t>
            </w:r>
            <w:r w:rsidRPr="003C4D9B">
              <w:rPr>
                <w:rFonts w:hint="eastAsia"/>
                <w:sz w:val="20"/>
                <w:lang w:eastAsia="zh-CN"/>
              </w:rPr>
              <w:t>或关系。道德规范办公室</w:t>
            </w:r>
            <w:r w:rsidR="004F0C40">
              <w:rPr>
                <w:rFonts w:hint="eastAsia"/>
                <w:sz w:val="20"/>
                <w:lang w:eastAsia="zh-CN"/>
              </w:rPr>
              <w:t>负责</w:t>
            </w:r>
            <w:r w:rsidRPr="003C4D9B">
              <w:rPr>
                <w:rFonts w:hint="eastAsia"/>
                <w:sz w:val="20"/>
                <w:lang w:eastAsia="zh-CN"/>
              </w:rPr>
              <w:t>审查所有</w:t>
            </w:r>
            <w:r w:rsidR="004F0C40">
              <w:rPr>
                <w:rFonts w:hint="eastAsia"/>
                <w:sz w:val="20"/>
                <w:lang w:eastAsia="zh-CN"/>
              </w:rPr>
              <w:t>申报</w:t>
            </w:r>
            <w:r w:rsidRPr="003C4D9B">
              <w:rPr>
                <w:rFonts w:hint="eastAsia"/>
                <w:sz w:val="20"/>
                <w:lang w:eastAsia="zh-CN"/>
              </w:rPr>
              <w:t>。此外，</w:t>
            </w:r>
            <w:r w:rsidR="004F0C40">
              <w:rPr>
                <w:rFonts w:hint="eastAsia"/>
                <w:sz w:val="20"/>
                <w:lang w:eastAsia="zh-CN"/>
              </w:rPr>
              <w:t>针对</w:t>
            </w:r>
            <w:r w:rsidRPr="003C4D9B">
              <w:rPr>
                <w:rFonts w:hint="eastAsia"/>
                <w:sz w:val="20"/>
                <w:lang w:eastAsia="zh-CN"/>
              </w:rPr>
              <w:t>项目中</w:t>
            </w:r>
            <w:r w:rsidR="004F0C40">
              <w:rPr>
                <w:rFonts w:hint="eastAsia"/>
                <w:sz w:val="20"/>
                <w:lang w:eastAsia="zh-CN"/>
              </w:rPr>
              <w:t>可能</w:t>
            </w:r>
            <w:r w:rsidRPr="003C4D9B">
              <w:rPr>
                <w:rFonts w:hint="eastAsia"/>
                <w:sz w:val="20"/>
                <w:lang w:eastAsia="zh-CN"/>
              </w:rPr>
              <w:t>发现</w:t>
            </w:r>
            <w:r w:rsidR="004F0C40">
              <w:rPr>
                <w:rFonts w:hint="eastAsia"/>
                <w:sz w:val="20"/>
                <w:lang w:eastAsia="zh-CN"/>
              </w:rPr>
              <w:t>的</w:t>
            </w:r>
            <w:r w:rsidRPr="003C4D9B">
              <w:rPr>
                <w:rFonts w:hint="eastAsia"/>
                <w:sz w:val="20"/>
                <w:lang w:eastAsia="zh-CN"/>
              </w:rPr>
              <w:t>COI</w:t>
            </w:r>
            <w:r w:rsidRPr="003C4D9B">
              <w:rPr>
                <w:rFonts w:hint="eastAsia"/>
                <w:sz w:val="20"/>
                <w:lang w:eastAsia="zh-CN"/>
              </w:rPr>
              <w:t>或其他违规行为（如</w:t>
            </w:r>
            <w:r w:rsidR="004F0C40">
              <w:rPr>
                <w:rFonts w:hint="eastAsia"/>
                <w:sz w:val="20"/>
                <w:lang w:eastAsia="zh-CN"/>
              </w:rPr>
              <w:t>违反</w:t>
            </w:r>
            <w:r w:rsidRPr="003C4D9B">
              <w:rPr>
                <w:rFonts w:hint="eastAsia"/>
                <w:sz w:val="20"/>
                <w:lang w:eastAsia="zh-CN"/>
              </w:rPr>
              <w:t>第</w:t>
            </w:r>
            <w:r w:rsidRPr="003C4D9B">
              <w:rPr>
                <w:rFonts w:hint="eastAsia"/>
                <w:sz w:val="20"/>
                <w:lang w:eastAsia="zh-CN"/>
              </w:rPr>
              <w:t>24/16</w:t>
            </w:r>
            <w:r w:rsidRPr="003C4D9B">
              <w:rPr>
                <w:rFonts w:hint="eastAsia"/>
                <w:sz w:val="20"/>
                <w:lang w:eastAsia="zh-CN"/>
              </w:rPr>
              <w:t>号行政规定），</w:t>
            </w:r>
            <w:r w:rsidR="004F0C40">
              <w:rPr>
                <w:rFonts w:hint="eastAsia"/>
                <w:sz w:val="20"/>
                <w:lang w:eastAsia="zh-CN"/>
              </w:rPr>
              <w:t>已制定相关方案</w:t>
            </w:r>
            <w:r w:rsidRPr="003C4D9B">
              <w:rPr>
                <w:rFonts w:hint="eastAsia"/>
                <w:sz w:val="20"/>
                <w:lang w:eastAsia="zh-CN"/>
              </w:rPr>
              <w:t>，并</w:t>
            </w:r>
            <w:r w:rsidR="004F0C40">
              <w:rPr>
                <w:rFonts w:hint="eastAsia"/>
                <w:sz w:val="20"/>
                <w:lang w:eastAsia="zh-CN"/>
              </w:rPr>
              <w:t>将</w:t>
            </w:r>
            <w:r w:rsidRPr="003C4D9B">
              <w:rPr>
                <w:rFonts w:hint="eastAsia"/>
                <w:sz w:val="20"/>
                <w:lang w:eastAsia="zh-CN"/>
              </w:rPr>
              <w:t>采取适当的缓解措施。道德规范办公室</w:t>
            </w:r>
            <w:r w:rsidR="00BB6348">
              <w:rPr>
                <w:rFonts w:hint="eastAsia"/>
                <w:sz w:val="20"/>
                <w:lang w:eastAsia="zh-CN"/>
              </w:rPr>
              <w:t>还提供了</w:t>
            </w:r>
            <w:r w:rsidRPr="003C4D9B">
              <w:rPr>
                <w:rFonts w:hint="eastAsia"/>
                <w:sz w:val="20"/>
                <w:lang w:eastAsia="zh-CN"/>
              </w:rPr>
              <w:t>一项强制性培训</w:t>
            </w:r>
            <w:r w:rsidR="00BB6348">
              <w:rPr>
                <w:rFonts w:hint="eastAsia"/>
                <w:sz w:val="20"/>
                <w:lang w:eastAsia="zh-CN"/>
              </w:rPr>
              <w:t>，</w:t>
            </w:r>
            <w:r w:rsidRPr="003C4D9B">
              <w:rPr>
                <w:rFonts w:hint="eastAsia"/>
                <w:sz w:val="20"/>
                <w:lang w:eastAsia="zh-CN"/>
              </w:rPr>
              <w:t>涉及</w:t>
            </w:r>
            <w:r w:rsidR="00BB6348">
              <w:rPr>
                <w:rFonts w:hint="eastAsia"/>
                <w:sz w:val="20"/>
                <w:lang w:eastAsia="zh-CN"/>
              </w:rPr>
              <w:t>提高对</w:t>
            </w:r>
            <w:r w:rsidRPr="003C4D9B">
              <w:rPr>
                <w:rFonts w:hint="eastAsia"/>
                <w:sz w:val="20"/>
                <w:lang w:eastAsia="zh-CN"/>
              </w:rPr>
              <w:t>COI</w:t>
            </w:r>
            <w:r w:rsidRPr="003C4D9B">
              <w:rPr>
                <w:rFonts w:hint="eastAsia"/>
                <w:sz w:val="20"/>
                <w:lang w:eastAsia="zh-CN"/>
              </w:rPr>
              <w:t>和欺诈的认识，</w:t>
            </w:r>
            <w:r w:rsidR="00BB6348">
              <w:rPr>
                <w:rFonts w:hint="eastAsia"/>
                <w:sz w:val="20"/>
                <w:lang w:eastAsia="zh-CN"/>
              </w:rPr>
              <w:t>并重点强调举报机制</w:t>
            </w:r>
            <w:r w:rsidRPr="003C4D9B">
              <w:rPr>
                <w:rFonts w:hint="eastAsia"/>
                <w:sz w:val="20"/>
                <w:lang w:eastAsia="zh-CN"/>
              </w:rPr>
              <w:t>，</w:t>
            </w:r>
            <w:r w:rsidR="00BB6348">
              <w:rPr>
                <w:rFonts w:hint="eastAsia"/>
                <w:sz w:val="20"/>
                <w:lang w:eastAsia="zh-CN"/>
              </w:rPr>
              <w:t>因为</w:t>
            </w:r>
            <w:r w:rsidRPr="003C4D9B">
              <w:rPr>
                <w:rFonts w:hint="eastAsia"/>
                <w:sz w:val="20"/>
                <w:lang w:eastAsia="zh-CN"/>
              </w:rPr>
              <w:t>根据</w:t>
            </w:r>
            <w:r w:rsidR="002F0959">
              <w:rPr>
                <w:rFonts w:hint="eastAsia"/>
                <w:sz w:val="20"/>
                <w:lang w:eastAsia="zh-CN"/>
              </w:rPr>
              <w:t>注册舞弊审查师（</w:t>
            </w:r>
            <w:r w:rsidRPr="003C4D9B">
              <w:rPr>
                <w:rFonts w:hint="eastAsia"/>
                <w:sz w:val="20"/>
                <w:lang w:eastAsia="zh-CN"/>
              </w:rPr>
              <w:t>CFE</w:t>
            </w:r>
            <w:r w:rsidR="002F0959">
              <w:rPr>
                <w:rFonts w:hint="eastAsia"/>
                <w:sz w:val="20"/>
                <w:lang w:eastAsia="zh-CN"/>
              </w:rPr>
              <w:t>）</w:t>
            </w:r>
            <w:r w:rsidRPr="003C4D9B">
              <w:rPr>
                <w:rFonts w:hint="eastAsia"/>
                <w:sz w:val="20"/>
                <w:lang w:eastAsia="zh-CN"/>
              </w:rPr>
              <w:t>的说法，</w:t>
            </w:r>
            <w:r w:rsidRPr="003C4D9B">
              <w:rPr>
                <w:rFonts w:hint="eastAsia"/>
                <w:sz w:val="20"/>
                <w:lang w:eastAsia="zh-CN"/>
              </w:rPr>
              <w:t>70%</w:t>
            </w:r>
            <w:r w:rsidRPr="003C4D9B">
              <w:rPr>
                <w:rFonts w:hint="eastAsia"/>
                <w:sz w:val="20"/>
                <w:lang w:eastAsia="zh-CN"/>
              </w:rPr>
              <w:t>以上的欺诈事件由职员内部</w:t>
            </w:r>
            <w:r w:rsidR="00BB6348">
              <w:rPr>
                <w:rFonts w:hint="eastAsia"/>
                <w:sz w:val="20"/>
                <w:lang w:eastAsia="zh-CN"/>
              </w:rPr>
              <w:t>举报</w:t>
            </w:r>
            <w:r w:rsidRPr="003C4D9B">
              <w:rPr>
                <w:rFonts w:hint="eastAsia"/>
                <w:sz w:val="20"/>
                <w:lang w:eastAsia="zh-CN"/>
              </w:rPr>
              <w:t>。涉嫌欺诈和其他不当行为的</w:t>
            </w:r>
            <w:r w:rsidR="00BB6348">
              <w:rPr>
                <w:rFonts w:hint="eastAsia"/>
                <w:sz w:val="20"/>
                <w:lang w:eastAsia="zh-CN"/>
              </w:rPr>
              <w:t>举报</w:t>
            </w:r>
            <w:r w:rsidRPr="003C4D9B">
              <w:rPr>
                <w:rFonts w:hint="eastAsia"/>
                <w:sz w:val="20"/>
                <w:lang w:eastAsia="zh-CN"/>
              </w:rPr>
              <w:t>和调查框</w:t>
            </w:r>
            <w:r w:rsidRPr="003C4D9B">
              <w:rPr>
                <w:rFonts w:hint="eastAsia"/>
                <w:sz w:val="20"/>
                <w:lang w:eastAsia="zh-CN"/>
              </w:rPr>
              <w:lastRenderedPageBreak/>
              <w:t>架已通过</w:t>
            </w:r>
            <w:r w:rsidRPr="003C4D9B">
              <w:rPr>
                <w:rFonts w:hint="eastAsia"/>
                <w:sz w:val="20"/>
                <w:lang w:eastAsia="zh-CN"/>
              </w:rPr>
              <w:t>2024</w:t>
            </w:r>
            <w:r w:rsidRPr="003C4D9B">
              <w:rPr>
                <w:rFonts w:hint="eastAsia"/>
                <w:sz w:val="20"/>
                <w:lang w:eastAsia="zh-CN"/>
              </w:rPr>
              <w:t>年</w:t>
            </w:r>
            <w:r w:rsidR="00BB6348" w:rsidRPr="003C4D9B">
              <w:rPr>
                <w:rFonts w:hint="eastAsia"/>
                <w:sz w:val="20"/>
                <w:lang w:eastAsia="zh-CN"/>
              </w:rPr>
              <w:t>新的</w:t>
            </w:r>
            <w:r w:rsidR="00BB6348">
              <w:rPr>
                <w:rFonts w:hint="eastAsia"/>
                <w:sz w:val="20"/>
                <w:lang w:eastAsia="zh-CN"/>
              </w:rPr>
              <w:t>《</w:t>
            </w:r>
            <w:r w:rsidRPr="003C4D9B">
              <w:rPr>
                <w:rFonts w:hint="eastAsia"/>
                <w:sz w:val="20"/>
                <w:lang w:eastAsia="zh-CN"/>
              </w:rPr>
              <w:t>监督章程</w:t>
            </w:r>
            <w:r w:rsidR="00BB6348">
              <w:rPr>
                <w:rFonts w:hint="eastAsia"/>
                <w:sz w:val="20"/>
                <w:lang w:eastAsia="zh-CN"/>
              </w:rPr>
              <w:t>》</w:t>
            </w:r>
            <w:r w:rsidRPr="003C4D9B">
              <w:rPr>
                <w:rFonts w:hint="eastAsia"/>
                <w:sz w:val="20"/>
                <w:lang w:eastAsia="zh-CN"/>
              </w:rPr>
              <w:t>更新。新任监督处</w:t>
            </w:r>
            <w:r w:rsidR="00BB6348">
              <w:rPr>
                <w:rFonts w:hint="eastAsia"/>
                <w:sz w:val="20"/>
                <w:lang w:eastAsia="zh-CN"/>
              </w:rPr>
              <w:t>处长</w:t>
            </w:r>
            <w:r w:rsidRPr="003C4D9B">
              <w:rPr>
                <w:rFonts w:hint="eastAsia"/>
                <w:sz w:val="20"/>
                <w:lang w:eastAsia="zh-CN"/>
              </w:rPr>
              <w:t>于</w:t>
            </w:r>
            <w:r w:rsidRPr="003C4D9B">
              <w:rPr>
                <w:rFonts w:hint="eastAsia"/>
                <w:sz w:val="20"/>
                <w:lang w:eastAsia="zh-CN"/>
              </w:rPr>
              <w:t>2024</w:t>
            </w:r>
            <w:r w:rsidRPr="003C4D9B">
              <w:rPr>
                <w:rFonts w:hint="eastAsia"/>
                <w:sz w:val="20"/>
                <w:lang w:eastAsia="zh-CN"/>
              </w:rPr>
              <w:t>年加入国际电联。</w:t>
            </w:r>
          </w:p>
          <w:p w14:paraId="6FA298B2" w14:textId="380810B7" w:rsidR="003D7FF0" w:rsidRPr="00536D01" w:rsidRDefault="003C4D9B" w:rsidP="00786ECB">
            <w:pPr>
              <w:pStyle w:val="Tabletext"/>
              <w:rPr>
                <w:sz w:val="20"/>
                <w:lang w:eastAsia="zh-CN"/>
              </w:rPr>
            </w:pPr>
            <w:r w:rsidRPr="003C4D9B">
              <w:rPr>
                <w:rFonts w:hint="eastAsia"/>
                <w:sz w:val="20"/>
                <w:lang w:eastAsia="zh-CN"/>
              </w:rPr>
              <w:t>截至</w:t>
            </w:r>
            <w:r w:rsidRPr="003C4D9B">
              <w:rPr>
                <w:rFonts w:hint="eastAsia"/>
                <w:sz w:val="20"/>
                <w:lang w:eastAsia="zh-CN"/>
              </w:rPr>
              <w:t>2025</w:t>
            </w:r>
            <w:r w:rsidRPr="003C4D9B">
              <w:rPr>
                <w:rFonts w:hint="eastAsia"/>
                <w:sz w:val="20"/>
                <w:lang w:eastAsia="zh-CN"/>
              </w:rPr>
              <w:t>年</w:t>
            </w:r>
            <w:r w:rsidRPr="003C4D9B">
              <w:rPr>
                <w:rFonts w:hint="eastAsia"/>
                <w:sz w:val="20"/>
                <w:lang w:eastAsia="zh-CN"/>
              </w:rPr>
              <w:t>5</w:t>
            </w:r>
            <w:r w:rsidRPr="003C4D9B">
              <w:rPr>
                <w:rFonts w:hint="eastAsia"/>
                <w:sz w:val="20"/>
                <w:lang w:eastAsia="zh-CN"/>
              </w:rPr>
              <w:t>月的最新进展：监督处正计划在</w:t>
            </w:r>
            <w:r w:rsidRPr="003C4D9B">
              <w:rPr>
                <w:rFonts w:hint="eastAsia"/>
                <w:sz w:val="20"/>
                <w:lang w:eastAsia="zh-CN"/>
              </w:rPr>
              <w:t>2025</w:t>
            </w:r>
            <w:r w:rsidRPr="003C4D9B">
              <w:rPr>
                <w:rFonts w:hint="eastAsia"/>
                <w:sz w:val="20"/>
                <w:lang w:eastAsia="zh-CN"/>
              </w:rPr>
              <w:t>年由一家外部专家公司</w:t>
            </w:r>
            <w:r w:rsidR="002F0959">
              <w:rPr>
                <w:rFonts w:hint="eastAsia"/>
                <w:sz w:val="20"/>
                <w:lang w:eastAsia="zh-CN"/>
              </w:rPr>
              <w:t>开展</w:t>
            </w:r>
            <w:r w:rsidRPr="003C4D9B">
              <w:rPr>
                <w:rFonts w:hint="eastAsia"/>
                <w:sz w:val="20"/>
                <w:lang w:eastAsia="zh-CN"/>
              </w:rPr>
              <w:t>组织欺诈风险评估，评估结果可能有助于进一步落实本建议，包括定期以职能为重点的二线欺诈风险评估。</w:t>
            </w:r>
          </w:p>
          <w:p w14:paraId="7257A91E" w14:textId="13C1C711" w:rsidR="003D7FF0" w:rsidRPr="00536D01" w:rsidRDefault="003C4D9B" w:rsidP="00786ECB">
            <w:pPr>
              <w:pStyle w:val="Tabletext"/>
              <w:rPr>
                <w:sz w:val="20"/>
                <w:lang w:eastAsia="zh-CN"/>
              </w:rPr>
            </w:pPr>
            <w:r w:rsidRPr="003C4D9B">
              <w:rPr>
                <w:rFonts w:hint="eastAsia"/>
                <w:sz w:val="20"/>
                <w:lang w:eastAsia="zh-CN"/>
              </w:rPr>
              <w:t>国际电联认为实施工作正在进行中。</w:t>
            </w:r>
          </w:p>
        </w:tc>
        <w:tc>
          <w:tcPr>
            <w:tcW w:w="1050" w:type="pct"/>
            <w:shd w:val="clear" w:color="auto" w:fill="auto"/>
          </w:tcPr>
          <w:p w14:paraId="27FFDCD6" w14:textId="589FDA75" w:rsidR="003D7FF0" w:rsidRPr="003A5506" w:rsidRDefault="003C4D9B" w:rsidP="00786ECB">
            <w:pPr>
              <w:pStyle w:val="Tabletext"/>
              <w:rPr>
                <w:sz w:val="20"/>
                <w:lang w:val="en-US" w:eastAsia="zh-CN"/>
              </w:rPr>
            </w:pPr>
            <w:r w:rsidRPr="003C4D9B">
              <w:rPr>
                <w:rFonts w:hint="eastAsia"/>
                <w:sz w:val="20"/>
                <w:lang w:eastAsia="zh-CN"/>
              </w:rPr>
              <w:lastRenderedPageBreak/>
              <w:t>我们注意到最新回应。我们将更详细地审</w:t>
            </w:r>
            <w:r w:rsidR="002F0959">
              <w:rPr>
                <w:rFonts w:hint="eastAsia"/>
                <w:sz w:val="20"/>
                <w:lang w:eastAsia="zh-CN"/>
              </w:rPr>
              <w:t>查</w:t>
            </w:r>
            <w:r w:rsidRPr="003C4D9B">
              <w:rPr>
                <w:rFonts w:hint="eastAsia"/>
                <w:sz w:val="20"/>
                <w:lang w:eastAsia="zh-CN"/>
              </w:rPr>
              <w:t>道德规范办公室做出的安排，作为明年审计工作的一部分。</w:t>
            </w:r>
          </w:p>
        </w:tc>
        <w:tc>
          <w:tcPr>
            <w:tcW w:w="450" w:type="pct"/>
            <w:shd w:val="clear" w:color="auto" w:fill="auto"/>
          </w:tcPr>
          <w:p w14:paraId="1DC7B7D0" w14:textId="79CD93A8" w:rsidR="003D7FF0" w:rsidRPr="00536D01" w:rsidRDefault="00347A11" w:rsidP="00786ECB">
            <w:pPr>
              <w:pStyle w:val="Tabletext"/>
              <w:rPr>
                <w:sz w:val="20"/>
              </w:rPr>
            </w:pPr>
            <w:r>
              <w:rPr>
                <w:rFonts w:hint="eastAsia"/>
                <w:sz w:val="20"/>
                <w:lang w:eastAsia="zh-CN"/>
              </w:rPr>
              <w:t>落实中。</w:t>
            </w:r>
          </w:p>
        </w:tc>
      </w:tr>
      <w:tr w:rsidR="003D7FF0" w:rsidRPr="00536D01" w14:paraId="2627AFDE" w14:textId="77777777" w:rsidTr="00E6035E">
        <w:tc>
          <w:tcPr>
            <w:tcW w:w="300" w:type="pct"/>
            <w:shd w:val="clear" w:color="auto" w:fill="auto"/>
          </w:tcPr>
          <w:p w14:paraId="5E717038" w14:textId="77777777" w:rsidR="003D7FF0" w:rsidRPr="00536D01" w:rsidRDefault="003D7FF0" w:rsidP="00786ECB">
            <w:pPr>
              <w:pStyle w:val="Tabletext"/>
              <w:rPr>
                <w:sz w:val="20"/>
              </w:rPr>
            </w:pPr>
            <w:r w:rsidRPr="00536D01">
              <w:rPr>
                <w:sz w:val="20"/>
              </w:rPr>
              <w:t>2021 R#11</w:t>
            </w:r>
          </w:p>
        </w:tc>
        <w:tc>
          <w:tcPr>
            <w:tcW w:w="1450" w:type="pct"/>
            <w:shd w:val="clear" w:color="auto" w:fill="auto"/>
          </w:tcPr>
          <w:p w14:paraId="40EB038A" w14:textId="4877CD15" w:rsidR="003D7FF0" w:rsidRPr="00536D01" w:rsidRDefault="006B4219" w:rsidP="006B4219">
            <w:pPr>
              <w:pStyle w:val="Tabletext"/>
              <w:rPr>
                <w:sz w:val="20"/>
                <w:lang w:eastAsia="zh-CN"/>
              </w:rPr>
            </w:pPr>
            <w:r w:rsidRPr="006B4219">
              <w:rPr>
                <w:rFonts w:hint="eastAsia"/>
                <w:sz w:val="20"/>
                <w:lang w:eastAsia="zh-CN"/>
              </w:rPr>
              <w:t>关于</w:t>
            </w:r>
            <w:r w:rsidRPr="006B4219">
              <w:rPr>
                <w:rFonts w:hint="eastAsia"/>
                <w:sz w:val="20"/>
                <w:lang w:eastAsia="zh-CN"/>
              </w:rPr>
              <w:t>IAU</w:t>
            </w:r>
            <w:r w:rsidRPr="006B4219">
              <w:rPr>
                <w:rFonts w:hint="eastAsia"/>
                <w:sz w:val="20"/>
                <w:lang w:eastAsia="zh-CN"/>
              </w:rPr>
              <w:t>于</w:t>
            </w:r>
            <w:r w:rsidRPr="006B4219">
              <w:rPr>
                <w:rFonts w:hint="eastAsia"/>
                <w:sz w:val="20"/>
                <w:lang w:eastAsia="zh-CN"/>
              </w:rPr>
              <w:t>2021</w:t>
            </w:r>
            <w:r w:rsidRPr="006B4219">
              <w:rPr>
                <w:rFonts w:hint="eastAsia"/>
                <w:sz w:val="20"/>
                <w:lang w:eastAsia="zh-CN"/>
              </w:rPr>
              <w:t>年</w:t>
            </w:r>
            <w:r w:rsidRPr="006B4219">
              <w:rPr>
                <w:rFonts w:hint="eastAsia"/>
                <w:sz w:val="20"/>
                <w:lang w:eastAsia="zh-CN"/>
              </w:rPr>
              <w:t>9</w:t>
            </w:r>
            <w:r w:rsidRPr="006B4219">
              <w:rPr>
                <w:rFonts w:hint="eastAsia"/>
                <w:sz w:val="20"/>
                <w:lang w:eastAsia="zh-CN"/>
              </w:rPr>
              <w:t>月</w:t>
            </w:r>
            <w:r w:rsidRPr="006B4219">
              <w:rPr>
                <w:rFonts w:hint="eastAsia"/>
                <w:sz w:val="20"/>
                <w:lang w:eastAsia="zh-CN"/>
              </w:rPr>
              <w:t>30</w:t>
            </w:r>
            <w:r w:rsidRPr="006B4219">
              <w:rPr>
                <w:rFonts w:hint="eastAsia"/>
                <w:sz w:val="20"/>
                <w:lang w:eastAsia="zh-CN"/>
              </w:rPr>
              <w:t>日出具的“对自愿捐款和信托基金资助的计划、项目和补充活动（</w:t>
            </w:r>
            <w:r w:rsidRPr="006B4219">
              <w:rPr>
                <w:rFonts w:hint="eastAsia"/>
                <w:sz w:val="20"/>
                <w:lang w:eastAsia="zh-CN"/>
              </w:rPr>
              <w:t>PPSA</w:t>
            </w:r>
            <w:r w:rsidRPr="006B4219">
              <w:rPr>
                <w:rFonts w:hint="eastAsia"/>
                <w:sz w:val="20"/>
                <w:lang w:eastAsia="zh-CN"/>
              </w:rPr>
              <w:t>）的审计”，我们认可其建议，并建议管理层及时落实这些建议，</w:t>
            </w:r>
            <w:r w:rsidRPr="006B4219">
              <w:rPr>
                <w:rFonts w:hint="eastAsia"/>
                <w:sz w:val="20"/>
                <w:lang w:eastAsia="zh-CN"/>
              </w:rPr>
              <w:t>IAU</w:t>
            </w:r>
            <w:r w:rsidRPr="006B4219">
              <w:rPr>
                <w:rFonts w:hint="eastAsia"/>
                <w:sz w:val="20"/>
                <w:lang w:eastAsia="zh-CN"/>
              </w:rPr>
              <w:t>应跟进建议落实情况。</w:t>
            </w:r>
          </w:p>
        </w:tc>
        <w:tc>
          <w:tcPr>
            <w:tcW w:w="1750" w:type="pct"/>
            <w:shd w:val="clear" w:color="auto" w:fill="auto"/>
          </w:tcPr>
          <w:p w14:paraId="12F38DE4" w14:textId="3B2467A0" w:rsidR="003D7FF0" w:rsidRPr="00536D01"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1)</w:t>
            </w:r>
            <w:r w:rsidR="00A4363A" w:rsidRPr="00536D01">
              <w:rPr>
                <w:sz w:val="20"/>
                <w:lang w:eastAsia="zh-CN"/>
              </w:rPr>
              <w:tab/>
            </w:r>
            <w:r w:rsidR="002F0959" w:rsidRPr="003C4D9B">
              <w:rPr>
                <w:rFonts w:hint="eastAsia"/>
                <w:sz w:val="20"/>
                <w:lang w:eastAsia="zh-CN"/>
              </w:rPr>
              <w:t>修订</w:t>
            </w:r>
            <w:r w:rsidR="002F0959">
              <w:rPr>
                <w:rFonts w:hint="eastAsia"/>
                <w:sz w:val="20"/>
                <w:lang w:eastAsia="zh-CN"/>
              </w:rPr>
              <w:t>了</w:t>
            </w:r>
            <w:r w:rsidR="002C0A4F">
              <w:rPr>
                <w:rFonts w:hint="eastAsia"/>
                <w:sz w:val="20"/>
                <w:lang w:eastAsia="zh-CN"/>
              </w:rPr>
              <w:t>《</w:t>
            </w:r>
            <w:r w:rsidR="003C4D9B" w:rsidRPr="003C4D9B">
              <w:rPr>
                <w:rFonts w:hint="eastAsia"/>
                <w:sz w:val="20"/>
                <w:lang w:eastAsia="zh-CN"/>
              </w:rPr>
              <w:t>项目实施情况报告</w:t>
            </w:r>
            <w:r w:rsidR="002C0A4F">
              <w:rPr>
                <w:rFonts w:hint="eastAsia"/>
                <w:sz w:val="20"/>
                <w:lang w:eastAsia="zh-CN"/>
              </w:rPr>
              <w:t>》</w:t>
            </w:r>
            <w:r w:rsidR="003C4D9B" w:rsidRPr="003C4D9B">
              <w:rPr>
                <w:rFonts w:hint="eastAsia"/>
                <w:sz w:val="20"/>
                <w:lang w:eastAsia="zh-CN"/>
              </w:rPr>
              <w:t>（</w:t>
            </w:r>
            <w:r w:rsidR="003C4D9B" w:rsidRPr="003C4D9B">
              <w:rPr>
                <w:rFonts w:hint="eastAsia"/>
                <w:sz w:val="20"/>
                <w:lang w:eastAsia="zh-CN"/>
              </w:rPr>
              <w:t>PISR</w:t>
            </w:r>
            <w:r w:rsidR="003C4D9B" w:rsidRPr="003C4D9B">
              <w:rPr>
                <w:rFonts w:hint="eastAsia"/>
                <w:sz w:val="20"/>
                <w:lang w:eastAsia="zh-CN"/>
              </w:rPr>
              <w:t>）文件，方便项目联系人进行更新</w:t>
            </w:r>
            <w:r w:rsidR="002C0A4F">
              <w:rPr>
                <w:rFonts w:hint="eastAsia"/>
                <w:sz w:val="20"/>
                <w:lang w:eastAsia="zh-CN"/>
              </w:rPr>
              <w:t>；</w:t>
            </w:r>
          </w:p>
          <w:p w14:paraId="2497259E" w14:textId="3C8FD07D" w:rsidR="003D7FF0" w:rsidRPr="00536D01"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2)</w:t>
            </w:r>
            <w:r w:rsidR="00A4363A" w:rsidRPr="00536D01">
              <w:rPr>
                <w:sz w:val="20"/>
                <w:lang w:eastAsia="zh-CN"/>
              </w:rPr>
              <w:tab/>
            </w:r>
            <w:r w:rsidR="003C4D9B" w:rsidRPr="003C4D9B">
              <w:rPr>
                <w:rFonts w:hint="eastAsia"/>
                <w:sz w:val="20"/>
                <w:lang w:eastAsia="zh-CN"/>
              </w:rPr>
              <w:t>每两个月向无线电通信局管理层提交一份项目进展报告，重点关注相关问题和解决方案</w:t>
            </w:r>
            <w:r w:rsidR="004969C6">
              <w:rPr>
                <w:rFonts w:hint="eastAsia"/>
                <w:sz w:val="20"/>
                <w:lang w:eastAsia="zh-CN"/>
              </w:rPr>
              <w:t>；</w:t>
            </w:r>
          </w:p>
          <w:p w14:paraId="558AE44E" w14:textId="149BDCE7" w:rsidR="003D7FF0" w:rsidRPr="00536D01"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3)</w:t>
            </w:r>
            <w:r w:rsidR="00A4363A" w:rsidRPr="00536D01">
              <w:rPr>
                <w:sz w:val="20"/>
                <w:lang w:eastAsia="zh-CN"/>
              </w:rPr>
              <w:tab/>
            </w:r>
            <w:r w:rsidR="004969C6" w:rsidRPr="00F43DFE">
              <w:rPr>
                <w:rFonts w:hint="eastAsia"/>
                <w:sz w:val="20"/>
                <w:lang w:eastAsia="zh-CN"/>
              </w:rPr>
              <w:t>《</w:t>
            </w:r>
            <w:r w:rsidR="003C4D9B" w:rsidRPr="00F43DFE">
              <w:rPr>
                <w:rFonts w:hint="eastAsia"/>
                <w:sz w:val="20"/>
                <w:lang w:eastAsia="zh-CN"/>
              </w:rPr>
              <w:t>项目章程</w:t>
            </w:r>
            <w:r w:rsidR="004969C6" w:rsidRPr="00F43DFE">
              <w:rPr>
                <w:rFonts w:hint="eastAsia"/>
                <w:sz w:val="20"/>
                <w:lang w:eastAsia="zh-CN"/>
              </w:rPr>
              <w:t>》</w:t>
            </w:r>
            <w:r w:rsidR="003C4D9B" w:rsidRPr="004969C6">
              <w:rPr>
                <w:rFonts w:hint="eastAsia"/>
                <w:sz w:val="20"/>
                <w:lang w:eastAsia="zh-CN"/>
              </w:rPr>
              <w:t>文件已修订，并将用于</w:t>
            </w:r>
            <w:r w:rsidR="003C4D9B" w:rsidRPr="004969C6">
              <w:rPr>
                <w:rFonts w:hint="eastAsia"/>
                <w:sz w:val="20"/>
                <w:lang w:eastAsia="zh-CN"/>
              </w:rPr>
              <w:t>BR</w:t>
            </w:r>
            <w:r w:rsidR="004969C6">
              <w:rPr>
                <w:rFonts w:hint="eastAsia"/>
                <w:sz w:val="20"/>
                <w:lang w:eastAsia="zh-CN"/>
              </w:rPr>
              <w:t>新</w:t>
            </w:r>
            <w:r w:rsidR="003C4D9B" w:rsidRPr="004969C6">
              <w:rPr>
                <w:rFonts w:hint="eastAsia"/>
                <w:sz w:val="20"/>
                <w:lang w:eastAsia="zh-CN"/>
              </w:rPr>
              <w:t>项目</w:t>
            </w:r>
            <w:r w:rsidR="004969C6">
              <w:rPr>
                <w:rFonts w:hint="eastAsia"/>
                <w:sz w:val="20"/>
                <w:lang w:eastAsia="zh-CN"/>
              </w:rPr>
              <w:t>；</w:t>
            </w:r>
          </w:p>
          <w:p w14:paraId="4C65703B" w14:textId="1595DE0E" w:rsidR="003D7FF0" w:rsidRPr="00536D01"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4)</w:t>
            </w:r>
            <w:r w:rsidR="00A4363A" w:rsidRPr="00536D01">
              <w:rPr>
                <w:sz w:val="20"/>
                <w:lang w:eastAsia="zh-CN"/>
              </w:rPr>
              <w:tab/>
            </w:r>
            <w:r w:rsidR="003C4D9B" w:rsidRPr="003C4D9B">
              <w:rPr>
                <w:rFonts w:hint="eastAsia"/>
                <w:sz w:val="20"/>
                <w:lang w:eastAsia="zh-CN"/>
              </w:rPr>
              <w:t>已起草</w:t>
            </w:r>
            <w:r w:rsidR="004969C6">
              <w:rPr>
                <w:rFonts w:hint="eastAsia"/>
                <w:sz w:val="20"/>
                <w:lang w:eastAsia="zh-CN"/>
              </w:rPr>
              <w:t>《</w:t>
            </w:r>
            <w:r w:rsidR="003C4D9B" w:rsidRPr="003C4D9B">
              <w:rPr>
                <w:rFonts w:hint="eastAsia"/>
                <w:sz w:val="20"/>
                <w:lang w:eastAsia="zh-CN"/>
              </w:rPr>
              <w:t>项目工作计划</w:t>
            </w:r>
            <w:r w:rsidR="004969C6">
              <w:rPr>
                <w:rFonts w:hint="eastAsia"/>
                <w:sz w:val="20"/>
                <w:lang w:eastAsia="zh-CN"/>
              </w:rPr>
              <w:t>》</w:t>
            </w:r>
            <w:r w:rsidR="003C4D9B" w:rsidRPr="003C4D9B">
              <w:rPr>
                <w:rFonts w:hint="eastAsia"/>
                <w:sz w:val="20"/>
                <w:lang w:eastAsia="zh-CN"/>
              </w:rPr>
              <w:t>、</w:t>
            </w:r>
            <w:r w:rsidR="004969C6">
              <w:rPr>
                <w:rFonts w:hint="eastAsia"/>
                <w:sz w:val="20"/>
                <w:lang w:eastAsia="zh-CN"/>
              </w:rPr>
              <w:t>《</w:t>
            </w:r>
            <w:r w:rsidR="003C4D9B" w:rsidRPr="003C4D9B">
              <w:rPr>
                <w:rFonts w:hint="eastAsia"/>
                <w:sz w:val="20"/>
                <w:lang w:eastAsia="zh-CN"/>
              </w:rPr>
              <w:t>项目要求</w:t>
            </w:r>
            <w:r w:rsidR="004969C6">
              <w:rPr>
                <w:rFonts w:hint="eastAsia"/>
                <w:sz w:val="20"/>
                <w:lang w:eastAsia="zh-CN"/>
              </w:rPr>
              <w:t>》</w:t>
            </w:r>
            <w:r w:rsidR="003C4D9B" w:rsidRPr="003C4D9B">
              <w:rPr>
                <w:rFonts w:hint="eastAsia"/>
                <w:sz w:val="20"/>
                <w:lang w:eastAsia="zh-CN"/>
              </w:rPr>
              <w:t>和</w:t>
            </w:r>
            <w:r w:rsidR="004969C6">
              <w:rPr>
                <w:rFonts w:hint="eastAsia"/>
                <w:sz w:val="20"/>
                <w:lang w:eastAsia="zh-CN"/>
              </w:rPr>
              <w:t>《</w:t>
            </w:r>
            <w:r w:rsidR="003C4D9B" w:rsidRPr="003C4D9B">
              <w:rPr>
                <w:rFonts w:hint="eastAsia"/>
                <w:sz w:val="20"/>
                <w:lang w:eastAsia="zh-CN"/>
              </w:rPr>
              <w:t>项目结束</w:t>
            </w:r>
            <w:r w:rsidR="004969C6">
              <w:rPr>
                <w:rFonts w:hint="eastAsia"/>
                <w:sz w:val="20"/>
                <w:lang w:eastAsia="zh-CN"/>
              </w:rPr>
              <w:t>》</w:t>
            </w:r>
            <w:r w:rsidR="003C4D9B" w:rsidRPr="003C4D9B">
              <w:rPr>
                <w:rFonts w:hint="eastAsia"/>
                <w:sz w:val="20"/>
                <w:lang w:eastAsia="zh-CN"/>
              </w:rPr>
              <w:t>文件，并提交</w:t>
            </w:r>
            <w:r w:rsidR="003C4D9B" w:rsidRPr="003C4D9B">
              <w:rPr>
                <w:rFonts w:hint="eastAsia"/>
                <w:sz w:val="20"/>
                <w:lang w:eastAsia="zh-CN"/>
              </w:rPr>
              <w:t>BR</w:t>
            </w:r>
            <w:r w:rsidR="003C4D9B" w:rsidRPr="003C4D9B">
              <w:rPr>
                <w:rFonts w:hint="eastAsia"/>
                <w:sz w:val="20"/>
                <w:lang w:eastAsia="zh-CN"/>
              </w:rPr>
              <w:t>项目联系人</w:t>
            </w:r>
            <w:r w:rsidR="004969C6">
              <w:rPr>
                <w:rFonts w:hint="eastAsia"/>
                <w:sz w:val="20"/>
                <w:lang w:eastAsia="zh-CN"/>
              </w:rPr>
              <w:t>；</w:t>
            </w:r>
          </w:p>
          <w:p w14:paraId="6A8F76DA" w14:textId="664AE9F3" w:rsidR="003D7FF0" w:rsidRPr="00536D01"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5)</w:t>
            </w:r>
            <w:r w:rsidR="00A4363A" w:rsidRPr="00536D01">
              <w:rPr>
                <w:sz w:val="20"/>
                <w:lang w:eastAsia="zh-CN"/>
              </w:rPr>
              <w:tab/>
            </w:r>
            <w:r w:rsidR="003C4D9B" w:rsidRPr="003C4D9B">
              <w:rPr>
                <w:rFonts w:hint="eastAsia"/>
                <w:sz w:val="20"/>
                <w:lang w:eastAsia="zh-CN"/>
              </w:rPr>
              <w:t>已提</w:t>
            </w:r>
            <w:r w:rsidR="004969C6">
              <w:rPr>
                <w:rFonts w:hint="eastAsia"/>
                <w:sz w:val="20"/>
                <w:lang w:eastAsia="zh-CN"/>
              </w:rPr>
              <w:t>交</w:t>
            </w:r>
            <w:r w:rsidR="003C4D9B" w:rsidRPr="003C4D9B">
              <w:rPr>
                <w:rFonts w:hint="eastAsia"/>
                <w:sz w:val="20"/>
                <w:lang w:eastAsia="zh-CN"/>
              </w:rPr>
              <w:t>项目文件</w:t>
            </w:r>
            <w:r w:rsidR="004969C6">
              <w:rPr>
                <w:rFonts w:hint="eastAsia"/>
                <w:sz w:val="20"/>
                <w:lang w:eastAsia="zh-CN"/>
              </w:rPr>
              <w:t>制作</w:t>
            </w:r>
            <w:r w:rsidR="003C4D9B" w:rsidRPr="003C4D9B">
              <w:rPr>
                <w:rFonts w:hint="eastAsia"/>
                <w:sz w:val="20"/>
                <w:lang w:eastAsia="zh-CN"/>
              </w:rPr>
              <w:t>程序</w:t>
            </w:r>
            <w:r w:rsidR="004969C6">
              <w:rPr>
                <w:rFonts w:hint="eastAsia"/>
                <w:sz w:val="20"/>
                <w:lang w:eastAsia="zh-CN"/>
              </w:rPr>
              <w:t>规范</w:t>
            </w:r>
            <w:r w:rsidR="003C4D9B" w:rsidRPr="003C4D9B">
              <w:rPr>
                <w:rFonts w:hint="eastAsia"/>
                <w:sz w:val="20"/>
                <w:lang w:eastAsia="zh-CN"/>
              </w:rPr>
              <w:t>化草案，</w:t>
            </w:r>
            <w:r w:rsidR="004969C6">
              <w:rPr>
                <w:rFonts w:hint="eastAsia"/>
                <w:sz w:val="20"/>
                <w:lang w:eastAsia="zh-CN"/>
              </w:rPr>
              <w:t>目前正在整合</w:t>
            </w:r>
            <w:r w:rsidR="003C4D9B" w:rsidRPr="003C4D9B">
              <w:rPr>
                <w:rFonts w:hint="eastAsia"/>
                <w:sz w:val="20"/>
                <w:lang w:eastAsia="zh-CN"/>
              </w:rPr>
              <w:t>成为《</w:t>
            </w:r>
            <w:r w:rsidR="004969C6">
              <w:rPr>
                <w:rFonts w:hint="eastAsia"/>
                <w:sz w:val="20"/>
                <w:lang w:eastAsia="zh-CN"/>
              </w:rPr>
              <w:t>BR</w:t>
            </w:r>
            <w:r w:rsidR="003C4D9B" w:rsidRPr="003C4D9B">
              <w:rPr>
                <w:rFonts w:hint="eastAsia"/>
                <w:sz w:val="20"/>
                <w:lang w:eastAsia="zh-CN"/>
              </w:rPr>
              <w:t>项目管理手册》</w:t>
            </w:r>
            <w:r w:rsidR="004969C6">
              <w:rPr>
                <w:rFonts w:hint="eastAsia"/>
                <w:sz w:val="20"/>
                <w:lang w:eastAsia="zh-CN"/>
              </w:rPr>
              <w:t>蓝本</w:t>
            </w:r>
            <w:r w:rsidR="003C4D9B" w:rsidRPr="003C4D9B">
              <w:rPr>
                <w:rFonts w:hint="eastAsia"/>
                <w:sz w:val="20"/>
                <w:lang w:eastAsia="zh-CN"/>
              </w:rPr>
              <w:t>。</w:t>
            </w:r>
          </w:p>
          <w:p w14:paraId="1CCF66DC" w14:textId="29D112AF" w:rsidR="003D7FF0" w:rsidRPr="00536D01" w:rsidRDefault="003C4D9B" w:rsidP="00786ECB">
            <w:pPr>
              <w:pStyle w:val="Tabletext"/>
              <w:rPr>
                <w:sz w:val="20"/>
                <w:lang w:eastAsia="zh-CN"/>
              </w:rPr>
            </w:pPr>
            <w:r w:rsidRPr="003C4D9B">
              <w:rPr>
                <w:rFonts w:hint="eastAsia"/>
                <w:sz w:val="20"/>
                <w:lang w:eastAsia="zh-CN"/>
              </w:rPr>
              <w:t>截止日期：</w:t>
            </w:r>
            <w:r w:rsidRPr="003C4D9B">
              <w:rPr>
                <w:rFonts w:hint="eastAsia"/>
                <w:sz w:val="20"/>
                <w:lang w:eastAsia="zh-CN"/>
              </w:rPr>
              <w:t>2025</w:t>
            </w:r>
            <w:r w:rsidRPr="003C4D9B">
              <w:rPr>
                <w:rFonts w:hint="eastAsia"/>
                <w:sz w:val="20"/>
                <w:lang w:eastAsia="zh-CN"/>
              </w:rPr>
              <w:t>年</w:t>
            </w:r>
            <w:r w:rsidRPr="003C4D9B">
              <w:rPr>
                <w:rFonts w:hint="eastAsia"/>
                <w:sz w:val="20"/>
                <w:lang w:eastAsia="zh-CN"/>
              </w:rPr>
              <w:t>6</w:t>
            </w:r>
            <w:r w:rsidRPr="003C4D9B">
              <w:rPr>
                <w:rFonts w:hint="eastAsia"/>
                <w:sz w:val="20"/>
                <w:lang w:eastAsia="zh-CN"/>
              </w:rPr>
              <w:t>月</w:t>
            </w:r>
            <w:r w:rsidRPr="003C4D9B">
              <w:rPr>
                <w:rFonts w:hint="eastAsia"/>
                <w:sz w:val="20"/>
                <w:lang w:eastAsia="zh-CN"/>
              </w:rPr>
              <w:t>30</w:t>
            </w:r>
            <w:r w:rsidRPr="003C4D9B">
              <w:rPr>
                <w:rFonts w:hint="eastAsia"/>
                <w:sz w:val="20"/>
                <w:lang w:eastAsia="zh-CN"/>
              </w:rPr>
              <w:t>日</w:t>
            </w:r>
          </w:p>
          <w:p w14:paraId="5BA9BB58" w14:textId="6197A86E" w:rsidR="003D7FF0" w:rsidRPr="00536D01" w:rsidRDefault="003C4D9B" w:rsidP="00786ECB">
            <w:pPr>
              <w:pStyle w:val="Tabletext"/>
              <w:rPr>
                <w:sz w:val="20"/>
                <w:lang w:eastAsia="zh-CN"/>
              </w:rPr>
            </w:pPr>
            <w:r w:rsidRPr="003C4D9B">
              <w:rPr>
                <w:rFonts w:hint="eastAsia"/>
                <w:sz w:val="20"/>
                <w:lang w:eastAsia="zh-CN"/>
              </w:rPr>
              <w:t>国际电联认为实施工作正在进行中。</w:t>
            </w:r>
          </w:p>
        </w:tc>
        <w:tc>
          <w:tcPr>
            <w:tcW w:w="1050" w:type="pct"/>
            <w:shd w:val="clear" w:color="auto" w:fill="auto"/>
          </w:tcPr>
          <w:p w14:paraId="19850C5E" w14:textId="4F863A94" w:rsidR="003D7FF0" w:rsidRPr="00536D01" w:rsidRDefault="003C4D9B" w:rsidP="00786ECB">
            <w:pPr>
              <w:pStyle w:val="Tabletext"/>
              <w:rPr>
                <w:sz w:val="20"/>
                <w:lang w:eastAsia="zh-CN"/>
              </w:rPr>
            </w:pPr>
            <w:r w:rsidRPr="003C4D9B">
              <w:rPr>
                <w:rFonts w:hint="eastAsia"/>
                <w:sz w:val="20"/>
                <w:lang w:eastAsia="zh-CN"/>
              </w:rPr>
              <w:t>注意到最新回应</w:t>
            </w:r>
            <w:r w:rsidR="002C0A4F">
              <w:rPr>
                <w:rFonts w:hint="eastAsia"/>
                <w:sz w:val="20"/>
                <w:lang w:eastAsia="zh-CN"/>
              </w:rPr>
              <w:t>，</w:t>
            </w:r>
            <w:r w:rsidRPr="003C4D9B">
              <w:rPr>
                <w:rFonts w:hint="eastAsia"/>
                <w:sz w:val="20"/>
                <w:lang w:eastAsia="zh-CN"/>
              </w:rPr>
              <w:t>并认为是合理的。考虑到</w:t>
            </w:r>
            <w:r w:rsidR="004969C6">
              <w:rPr>
                <w:rFonts w:hint="eastAsia"/>
                <w:sz w:val="20"/>
                <w:lang w:eastAsia="zh-CN"/>
              </w:rPr>
              <w:t>应由</w:t>
            </w:r>
            <w:r w:rsidRPr="003C4D9B">
              <w:rPr>
                <w:rFonts w:hint="eastAsia"/>
                <w:sz w:val="20"/>
                <w:lang w:eastAsia="zh-CN"/>
              </w:rPr>
              <w:t>监督处跟进其建议细节</w:t>
            </w:r>
            <w:r w:rsidR="002C0A4F">
              <w:rPr>
                <w:rFonts w:hint="eastAsia"/>
                <w:sz w:val="20"/>
                <w:lang w:eastAsia="zh-CN"/>
              </w:rPr>
              <w:t>的实施</w:t>
            </w:r>
            <w:r w:rsidR="004969C6">
              <w:rPr>
                <w:rFonts w:hint="eastAsia"/>
                <w:sz w:val="20"/>
                <w:lang w:eastAsia="zh-CN"/>
              </w:rPr>
              <w:t>情况</w:t>
            </w:r>
            <w:r w:rsidRPr="003C4D9B">
              <w:rPr>
                <w:rFonts w:hint="eastAsia"/>
                <w:sz w:val="20"/>
                <w:lang w:eastAsia="zh-CN"/>
              </w:rPr>
              <w:t>，这项相关外部审计建议已</w:t>
            </w:r>
            <w:r w:rsidR="002F0959">
              <w:rPr>
                <w:rFonts w:hint="eastAsia"/>
                <w:sz w:val="20"/>
                <w:lang w:eastAsia="zh-CN"/>
              </w:rPr>
              <w:t>完成</w:t>
            </w:r>
            <w:r w:rsidRPr="003C4D9B">
              <w:rPr>
                <w:rFonts w:hint="eastAsia"/>
                <w:sz w:val="20"/>
                <w:lang w:eastAsia="zh-CN"/>
              </w:rPr>
              <w:t>。</w:t>
            </w:r>
          </w:p>
        </w:tc>
        <w:tc>
          <w:tcPr>
            <w:tcW w:w="450" w:type="pct"/>
            <w:shd w:val="clear" w:color="auto" w:fill="auto"/>
          </w:tcPr>
          <w:p w14:paraId="20382D1F" w14:textId="1E4D9568" w:rsidR="003D7FF0" w:rsidRPr="00536D01" w:rsidRDefault="00347A11" w:rsidP="00786ECB">
            <w:pPr>
              <w:pStyle w:val="Tabletext"/>
              <w:rPr>
                <w:sz w:val="20"/>
              </w:rPr>
            </w:pPr>
            <w:r>
              <w:rPr>
                <w:rFonts w:ascii="SimSun" w:eastAsia="SimSun" w:hAnsi="SimSun" w:cs="SimSun" w:hint="eastAsia"/>
                <w:color w:val="000000"/>
                <w:sz w:val="20"/>
                <w:lang w:eastAsia="zh-CN"/>
              </w:rPr>
              <w:t>已关闭。</w:t>
            </w:r>
          </w:p>
        </w:tc>
      </w:tr>
      <w:tr w:rsidR="003D7FF0" w:rsidRPr="00536D01" w14:paraId="3BCE27DA" w14:textId="77777777" w:rsidTr="00E6035E">
        <w:tc>
          <w:tcPr>
            <w:tcW w:w="300" w:type="pct"/>
            <w:shd w:val="clear" w:color="auto" w:fill="auto"/>
          </w:tcPr>
          <w:p w14:paraId="5B929490" w14:textId="77777777" w:rsidR="003D7FF0" w:rsidRPr="00536D01" w:rsidRDefault="003D7FF0" w:rsidP="00786ECB">
            <w:pPr>
              <w:pStyle w:val="Tabletext"/>
              <w:rPr>
                <w:sz w:val="20"/>
              </w:rPr>
            </w:pPr>
            <w:r w:rsidRPr="00536D01">
              <w:rPr>
                <w:sz w:val="20"/>
              </w:rPr>
              <w:t>2021 R#12</w:t>
            </w:r>
          </w:p>
        </w:tc>
        <w:tc>
          <w:tcPr>
            <w:tcW w:w="1450" w:type="pct"/>
            <w:shd w:val="clear" w:color="auto" w:fill="auto"/>
          </w:tcPr>
          <w:p w14:paraId="215A4C01" w14:textId="3CE9CC7E" w:rsidR="003D7FF0" w:rsidRPr="00536D01" w:rsidRDefault="003C4D9B" w:rsidP="00786ECB">
            <w:pPr>
              <w:pStyle w:val="Tabletext"/>
              <w:rPr>
                <w:sz w:val="20"/>
                <w:lang w:eastAsia="zh-CN"/>
              </w:rPr>
            </w:pPr>
            <w:r w:rsidRPr="003C4D9B">
              <w:rPr>
                <w:rFonts w:hint="eastAsia"/>
                <w:sz w:val="20"/>
                <w:lang w:eastAsia="zh-CN"/>
              </w:rPr>
              <w:t>管理层紧急：</w:t>
            </w:r>
          </w:p>
          <w:p w14:paraId="2022873A" w14:textId="4BC150B7" w:rsidR="003D7FF0" w:rsidRPr="006B4219" w:rsidRDefault="003D7FF0" w:rsidP="00F43DFE">
            <w:pPr>
              <w:pStyle w:val="Tabletext"/>
              <w:tabs>
                <w:tab w:val="clear" w:pos="284"/>
                <w:tab w:val="clear" w:pos="425"/>
                <w:tab w:val="left" w:pos="356"/>
              </w:tabs>
              <w:spacing w:before="60"/>
              <w:ind w:left="356" w:hanging="356"/>
              <w:rPr>
                <w:lang w:eastAsia="zh-CN"/>
              </w:rPr>
            </w:pPr>
            <w:proofErr w:type="spellStart"/>
            <w:r w:rsidRPr="00536D01">
              <w:rPr>
                <w:sz w:val="20"/>
                <w:lang w:eastAsia="zh-CN"/>
              </w:rPr>
              <w:t>i</w:t>
            </w:r>
            <w:proofErr w:type="spellEnd"/>
            <w:r w:rsidRPr="00536D01">
              <w:rPr>
                <w:sz w:val="20"/>
                <w:lang w:eastAsia="zh-CN"/>
              </w:rPr>
              <w:t>)</w:t>
            </w:r>
            <w:r w:rsidR="00A4363A" w:rsidRPr="00536D01">
              <w:rPr>
                <w:sz w:val="20"/>
                <w:lang w:eastAsia="zh-CN"/>
              </w:rPr>
              <w:tab/>
            </w:r>
            <w:r w:rsidR="006B4219" w:rsidRPr="001960DD">
              <w:rPr>
                <w:rFonts w:hint="eastAsia"/>
                <w:sz w:val="20"/>
                <w:szCs w:val="16"/>
                <w:lang w:eastAsia="zh-CN"/>
              </w:rPr>
              <w:t>继续就国际电联现有的所有做法和指南在全国际电联范围内组织培训，特别是针对</w:t>
            </w:r>
            <w:r w:rsidR="006B4219" w:rsidRPr="001960DD">
              <w:rPr>
                <w:rFonts w:hint="eastAsia"/>
                <w:sz w:val="20"/>
                <w:szCs w:val="16"/>
                <w:lang w:eastAsia="zh-CN"/>
              </w:rPr>
              <w:t>BR</w:t>
            </w:r>
            <w:r w:rsidR="006B4219" w:rsidRPr="001960DD">
              <w:rPr>
                <w:rFonts w:hint="eastAsia"/>
                <w:sz w:val="20"/>
                <w:szCs w:val="16"/>
                <w:lang w:eastAsia="zh-CN"/>
              </w:rPr>
              <w:t>和</w:t>
            </w:r>
            <w:r w:rsidR="006B4219" w:rsidRPr="001960DD">
              <w:rPr>
                <w:rFonts w:hint="eastAsia"/>
                <w:sz w:val="20"/>
                <w:szCs w:val="16"/>
                <w:lang w:eastAsia="zh-CN"/>
              </w:rPr>
              <w:t>TSB</w:t>
            </w:r>
            <w:r w:rsidR="006B4219" w:rsidRPr="001960DD">
              <w:rPr>
                <w:rFonts w:hint="eastAsia"/>
                <w:sz w:val="20"/>
                <w:szCs w:val="16"/>
                <w:lang w:eastAsia="zh-CN"/>
              </w:rPr>
              <w:t>的培训；</w:t>
            </w:r>
          </w:p>
          <w:p w14:paraId="67AA6CC6" w14:textId="2C57E97C" w:rsidR="003D7FF0" w:rsidRPr="006B4219"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ii)</w:t>
            </w:r>
            <w:r w:rsidR="00A4363A" w:rsidRPr="00536D01">
              <w:rPr>
                <w:sz w:val="20"/>
                <w:lang w:eastAsia="zh-CN"/>
              </w:rPr>
              <w:tab/>
            </w:r>
            <w:r w:rsidR="006B4219" w:rsidRPr="006B4219">
              <w:rPr>
                <w:rFonts w:hint="eastAsia"/>
                <w:sz w:val="20"/>
                <w:lang w:eastAsia="zh-CN"/>
              </w:rPr>
              <w:t>通过基于源自法律框架（利益冲突管理、欺诈等）的准确控制步骤创建核对清单改进内部控制，还包括具体、一致和有效的欺诈风险和过失指标，可以帮助监督机构和</w:t>
            </w:r>
            <w:r w:rsidR="006B4219" w:rsidRPr="006B4219">
              <w:rPr>
                <w:rFonts w:hint="eastAsia"/>
                <w:sz w:val="20"/>
                <w:lang w:eastAsia="zh-CN"/>
              </w:rPr>
              <w:t>/</w:t>
            </w:r>
            <w:r w:rsidR="006B4219" w:rsidRPr="006B4219">
              <w:rPr>
                <w:rFonts w:hint="eastAsia"/>
                <w:sz w:val="20"/>
                <w:lang w:eastAsia="zh-CN"/>
              </w:rPr>
              <w:t>或独立评估人员监控和加强内部控制。这些核对清单应在所有各局中统一应用，开展审计试验，让监督人可以监督项</w:t>
            </w:r>
            <w:r w:rsidR="006B4219" w:rsidRPr="006B4219">
              <w:rPr>
                <w:rFonts w:hint="eastAsia"/>
                <w:sz w:val="20"/>
                <w:lang w:eastAsia="zh-CN"/>
              </w:rPr>
              <w:lastRenderedPageBreak/>
              <w:t>目经理的工作。如上所述，每一步控制都将有助于加强有效的内部控制系统。</w:t>
            </w:r>
          </w:p>
        </w:tc>
        <w:tc>
          <w:tcPr>
            <w:tcW w:w="1750" w:type="pct"/>
            <w:shd w:val="clear" w:color="auto" w:fill="auto"/>
          </w:tcPr>
          <w:p w14:paraId="101BC452" w14:textId="3B2419B9" w:rsidR="003D7FF0" w:rsidRPr="00536D01" w:rsidRDefault="003C4D9B" w:rsidP="00786ECB">
            <w:pPr>
              <w:pStyle w:val="Tabletext"/>
              <w:rPr>
                <w:sz w:val="20"/>
                <w:lang w:eastAsia="zh-CN"/>
              </w:rPr>
            </w:pPr>
            <w:r w:rsidRPr="003C4D9B">
              <w:rPr>
                <w:rFonts w:hint="eastAsia"/>
                <w:sz w:val="20"/>
                <w:lang w:eastAsia="zh-CN"/>
              </w:rPr>
              <w:lastRenderedPageBreak/>
              <w:t>截至</w:t>
            </w:r>
            <w:r w:rsidRPr="003C4D9B">
              <w:rPr>
                <w:rFonts w:hint="eastAsia"/>
                <w:sz w:val="20"/>
                <w:lang w:eastAsia="zh-CN"/>
              </w:rPr>
              <w:t>2024</w:t>
            </w:r>
            <w:r w:rsidRPr="003C4D9B">
              <w:rPr>
                <w:rFonts w:hint="eastAsia"/>
                <w:sz w:val="20"/>
                <w:lang w:eastAsia="zh-CN"/>
              </w:rPr>
              <w:t>年</w:t>
            </w:r>
            <w:r w:rsidRPr="003C4D9B">
              <w:rPr>
                <w:rFonts w:hint="eastAsia"/>
                <w:sz w:val="20"/>
                <w:lang w:eastAsia="zh-CN"/>
              </w:rPr>
              <w:t>5</w:t>
            </w:r>
            <w:r w:rsidRPr="003C4D9B">
              <w:rPr>
                <w:rFonts w:hint="eastAsia"/>
                <w:sz w:val="20"/>
                <w:lang w:eastAsia="zh-CN"/>
              </w:rPr>
              <w:t>月的最新进展：国际电联通过广泛的活动加强了所有</w:t>
            </w:r>
            <w:r w:rsidRPr="003C4D9B">
              <w:rPr>
                <w:rFonts w:hint="eastAsia"/>
                <w:sz w:val="20"/>
                <w:lang w:eastAsia="zh-CN"/>
              </w:rPr>
              <w:t>BDT</w:t>
            </w:r>
            <w:r w:rsidRPr="003C4D9B">
              <w:rPr>
                <w:rFonts w:hint="eastAsia"/>
                <w:sz w:val="20"/>
                <w:lang w:eastAsia="zh-CN"/>
              </w:rPr>
              <w:t>项目的项目治理。以下总结了自</w:t>
            </w:r>
            <w:r w:rsidRPr="003C4D9B">
              <w:rPr>
                <w:rFonts w:hint="eastAsia"/>
                <w:sz w:val="20"/>
                <w:lang w:eastAsia="zh-CN"/>
              </w:rPr>
              <w:t>2021</w:t>
            </w:r>
            <w:r w:rsidRPr="003C4D9B">
              <w:rPr>
                <w:rFonts w:hint="eastAsia"/>
                <w:sz w:val="20"/>
                <w:lang w:eastAsia="zh-CN"/>
              </w:rPr>
              <w:t>年以来</w:t>
            </w:r>
            <w:r w:rsidR="006D4BB6">
              <w:rPr>
                <w:rFonts w:hint="eastAsia"/>
                <w:sz w:val="20"/>
                <w:lang w:eastAsia="zh-CN"/>
              </w:rPr>
              <w:t>的</w:t>
            </w:r>
            <w:r w:rsidRPr="003C4D9B">
              <w:rPr>
                <w:rFonts w:hint="eastAsia"/>
                <w:sz w:val="20"/>
                <w:lang w:eastAsia="zh-CN"/>
              </w:rPr>
              <w:t>[</w:t>
            </w:r>
            <w:r w:rsidRPr="003C4D9B">
              <w:rPr>
                <w:rFonts w:hint="eastAsia"/>
                <w:sz w:val="20"/>
                <w:lang w:eastAsia="zh-CN"/>
              </w:rPr>
              <w:t>那些</w:t>
            </w:r>
            <w:r w:rsidRPr="003C4D9B">
              <w:rPr>
                <w:rFonts w:hint="eastAsia"/>
                <w:sz w:val="20"/>
                <w:lang w:eastAsia="zh-CN"/>
              </w:rPr>
              <w:t>]</w:t>
            </w:r>
            <w:r w:rsidRPr="003C4D9B">
              <w:rPr>
                <w:rFonts w:hint="eastAsia"/>
                <w:sz w:val="20"/>
                <w:lang w:eastAsia="zh-CN"/>
              </w:rPr>
              <w:t>活动</w:t>
            </w:r>
            <w:r w:rsidR="006D4BB6" w:rsidRPr="00536D01">
              <w:rPr>
                <w:sz w:val="20"/>
                <w:lang w:eastAsia="zh-CN"/>
              </w:rPr>
              <w:t>[…]</w:t>
            </w:r>
            <w:r w:rsidRPr="003C4D9B">
              <w:rPr>
                <w:rFonts w:hint="eastAsia"/>
                <w:sz w:val="20"/>
                <w:lang w:eastAsia="zh-CN"/>
              </w:rPr>
              <w:t>：</w:t>
            </w:r>
          </w:p>
          <w:p w14:paraId="14472FD8" w14:textId="0F823B19" w:rsidR="003D7FF0" w:rsidRPr="00536D01" w:rsidRDefault="00A4363A" w:rsidP="00F43DFE">
            <w:pPr>
              <w:pStyle w:val="Tabletext"/>
              <w:tabs>
                <w:tab w:val="clear" w:pos="284"/>
                <w:tab w:val="clear" w:pos="425"/>
                <w:tab w:val="left" w:pos="356"/>
              </w:tabs>
              <w:spacing w:before="60"/>
              <w:ind w:left="356" w:hanging="356"/>
              <w:rPr>
                <w:sz w:val="20"/>
                <w:lang w:eastAsia="zh-CN"/>
              </w:rPr>
            </w:pPr>
            <w:r w:rsidRPr="00536D01">
              <w:rPr>
                <w:sz w:val="20"/>
                <w:lang w:eastAsia="zh-CN"/>
              </w:rPr>
              <w:t>–</w:t>
            </w:r>
            <w:r w:rsidRPr="00536D01">
              <w:rPr>
                <w:sz w:val="20"/>
                <w:lang w:eastAsia="zh-CN"/>
              </w:rPr>
              <w:tab/>
            </w:r>
            <w:r w:rsidR="003C4D9B" w:rsidRPr="003C4D9B">
              <w:rPr>
                <w:rFonts w:hint="eastAsia"/>
                <w:sz w:val="20"/>
                <w:lang w:eastAsia="zh-CN"/>
              </w:rPr>
              <w:t>成立</w:t>
            </w:r>
            <w:r w:rsidR="00B831D0">
              <w:rPr>
                <w:rFonts w:hint="eastAsia"/>
                <w:sz w:val="20"/>
                <w:lang w:eastAsia="zh-CN"/>
              </w:rPr>
              <w:t>BDT</w:t>
            </w:r>
            <w:r w:rsidR="003C4D9B" w:rsidRPr="003C4D9B">
              <w:rPr>
                <w:rFonts w:hint="eastAsia"/>
                <w:sz w:val="20"/>
                <w:lang w:eastAsia="zh-CN"/>
              </w:rPr>
              <w:t>项目委员会：</w:t>
            </w:r>
            <w:r w:rsidR="00B831D0">
              <w:rPr>
                <w:rFonts w:hint="eastAsia"/>
                <w:sz w:val="20"/>
                <w:lang w:eastAsia="zh-CN"/>
              </w:rPr>
              <w:t>BDT</w:t>
            </w:r>
            <w:r w:rsidR="003C4D9B" w:rsidRPr="003C4D9B">
              <w:rPr>
                <w:rFonts w:hint="eastAsia"/>
                <w:sz w:val="20"/>
                <w:lang w:eastAsia="zh-CN"/>
              </w:rPr>
              <w:t>项目委员会继续定期召开会议，在项目提案演变为项目之前</w:t>
            </w:r>
            <w:r w:rsidR="00682B8D">
              <w:rPr>
                <w:rFonts w:hint="eastAsia"/>
                <w:sz w:val="20"/>
                <w:lang w:eastAsia="zh-CN"/>
              </w:rPr>
              <w:t>，</w:t>
            </w:r>
            <w:r w:rsidR="003C4D9B" w:rsidRPr="003C4D9B">
              <w:rPr>
                <w:rFonts w:hint="eastAsia"/>
                <w:sz w:val="20"/>
                <w:lang w:eastAsia="zh-CN"/>
              </w:rPr>
              <w:t>评估</w:t>
            </w:r>
            <w:r w:rsidR="00B831D0">
              <w:rPr>
                <w:rFonts w:hint="eastAsia"/>
                <w:sz w:val="20"/>
                <w:lang w:eastAsia="zh-CN"/>
              </w:rPr>
              <w:t>和评价</w:t>
            </w:r>
            <w:r w:rsidR="003C4D9B" w:rsidRPr="003C4D9B">
              <w:rPr>
                <w:rFonts w:hint="eastAsia"/>
                <w:sz w:val="20"/>
                <w:lang w:eastAsia="zh-CN"/>
              </w:rPr>
              <w:t>项目的可行性和相关性，在与合作伙伴达成一致之前</w:t>
            </w:r>
            <w:r w:rsidR="00682B8D">
              <w:rPr>
                <w:rFonts w:hint="eastAsia"/>
                <w:sz w:val="20"/>
                <w:lang w:eastAsia="zh-CN"/>
              </w:rPr>
              <w:t>，</w:t>
            </w:r>
            <w:r w:rsidR="003C4D9B" w:rsidRPr="003C4D9B">
              <w:rPr>
                <w:rFonts w:hint="eastAsia"/>
                <w:sz w:val="20"/>
                <w:lang w:eastAsia="zh-CN"/>
              </w:rPr>
              <w:t>审查和批准项目，</w:t>
            </w:r>
            <w:r w:rsidR="001960DD" w:rsidRPr="003C4D9B">
              <w:rPr>
                <w:rFonts w:hint="eastAsia"/>
                <w:sz w:val="20"/>
                <w:lang w:eastAsia="zh-CN"/>
              </w:rPr>
              <w:t>监督项目实施</w:t>
            </w:r>
            <w:r w:rsidR="001960DD">
              <w:rPr>
                <w:rFonts w:hint="eastAsia"/>
                <w:sz w:val="20"/>
                <w:lang w:eastAsia="zh-CN"/>
              </w:rPr>
              <w:t>，</w:t>
            </w:r>
            <w:r w:rsidR="003C4D9B" w:rsidRPr="003C4D9B">
              <w:rPr>
                <w:rFonts w:hint="eastAsia"/>
                <w:sz w:val="20"/>
                <w:lang w:eastAsia="zh-CN"/>
              </w:rPr>
              <w:t>并在出现问题时结束</w:t>
            </w:r>
            <w:r w:rsidR="001960DD">
              <w:rPr>
                <w:rFonts w:hint="eastAsia"/>
                <w:sz w:val="20"/>
                <w:lang w:eastAsia="zh-CN"/>
              </w:rPr>
              <w:t>项目</w:t>
            </w:r>
            <w:r w:rsidR="003C4D9B" w:rsidRPr="003C4D9B">
              <w:rPr>
                <w:rFonts w:hint="eastAsia"/>
                <w:sz w:val="20"/>
                <w:lang w:eastAsia="zh-CN"/>
              </w:rPr>
              <w:t>。项目支持处定期跟进</w:t>
            </w:r>
            <w:r w:rsidR="001960DD">
              <w:rPr>
                <w:rFonts w:hint="eastAsia"/>
                <w:sz w:val="20"/>
                <w:lang w:eastAsia="zh-CN"/>
              </w:rPr>
              <w:t>委员</w:t>
            </w:r>
            <w:r w:rsidR="003C4D9B" w:rsidRPr="003C4D9B">
              <w:rPr>
                <w:rFonts w:hint="eastAsia"/>
                <w:sz w:val="20"/>
                <w:lang w:eastAsia="zh-CN"/>
              </w:rPr>
              <w:t>会的决定并向项目委员会汇报。</w:t>
            </w:r>
          </w:p>
          <w:p w14:paraId="0A0331D6" w14:textId="3559967A" w:rsidR="003D7FF0" w:rsidRPr="00536D01" w:rsidRDefault="00A4363A" w:rsidP="00F43DFE">
            <w:pPr>
              <w:pStyle w:val="Tabletext"/>
              <w:tabs>
                <w:tab w:val="clear" w:pos="284"/>
                <w:tab w:val="clear" w:pos="425"/>
                <w:tab w:val="left" w:pos="356"/>
              </w:tabs>
              <w:spacing w:before="60"/>
              <w:ind w:left="356" w:hanging="356"/>
              <w:rPr>
                <w:sz w:val="20"/>
                <w:lang w:eastAsia="zh-CN"/>
              </w:rPr>
            </w:pPr>
            <w:r w:rsidRPr="00536D01">
              <w:rPr>
                <w:sz w:val="20"/>
                <w:lang w:eastAsia="zh-CN"/>
              </w:rPr>
              <w:t>–</w:t>
            </w:r>
            <w:r w:rsidRPr="00536D01">
              <w:rPr>
                <w:sz w:val="20"/>
                <w:lang w:eastAsia="zh-CN"/>
              </w:rPr>
              <w:tab/>
            </w:r>
            <w:r w:rsidR="003C4D9B" w:rsidRPr="003C4D9B">
              <w:rPr>
                <w:rFonts w:hint="eastAsia"/>
                <w:sz w:val="20"/>
                <w:lang w:eastAsia="zh-CN"/>
              </w:rPr>
              <w:t>设立新的“特别监督项目”</w:t>
            </w:r>
            <w:r w:rsidR="004F3994" w:rsidRPr="003C4D9B">
              <w:rPr>
                <w:rFonts w:hint="eastAsia"/>
                <w:sz w:val="20"/>
                <w:lang w:eastAsia="zh-CN"/>
              </w:rPr>
              <w:t>组</w:t>
            </w:r>
            <w:r w:rsidR="003C4D9B" w:rsidRPr="003C4D9B">
              <w:rPr>
                <w:rFonts w:hint="eastAsia"/>
                <w:sz w:val="20"/>
                <w:lang w:eastAsia="zh-CN"/>
              </w:rPr>
              <w:t>：即</w:t>
            </w:r>
            <w:r w:rsidR="004F3994">
              <w:rPr>
                <w:rFonts w:hint="eastAsia"/>
                <w:sz w:val="20"/>
                <w:lang w:eastAsia="zh-CN"/>
              </w:rPr>
              <w:t>BDT</w:t>
            </w:r>
            <w:r w:rsidR="003C4D9B" w:rsidRPr="003C4D9B">
              <w:rPr>
                <w:rFonts w:hint="eastAsia"/>
                <w:sz w:val="20"/>
                <w:lang w:eastAsia="zh-CN"/>
              </w:rPr>
              <w:t>项目委员会引入了一项机制，为面临长期</w:t>
            </w:r>
            <w:r w:rsidR="004F3994">
              <w:rPr>
                <w:rFonts w:hint="eastAsia"/>
                <w:sz w:val="20"/>
                <w:lang w:eastAsia="zh-CN"/>
              </w:rPr>
              <w:t>实施</w:t>
            </w:r>
            <w:r w:rsidR="003C4D9B" w:rsidRPr="003C4D9B">
              <w:rPr>
                <w:rFonts w:hint="eastAsia"/>
                <w:sz w:val="20"/>
                <w:lang w:eastAsia="zh-CN"/>
              </w:rPr>
              <w:t>挑战的项目提供</w:t>
            </w:r>
            <w:r w:rsidR="003C4D9B" w:rsidRPr="003C4D9B">
              <w:rPr>
                <w:rFonts w:hint="eastAsia"/>
                <w:sz w:val="20"/>
                <w:lang w:eastAsia="zh-CN"/>
              </w:rPr>
              <w:lastRenderedPageBreak/>
              <w:t>额外监督。</w:t>
            </w:r>
            <w:r w:rsidR="004F3994" w:rsidRPr="003C4D9B">
              <w:rPr>
                <w:rFonts w:hint="eastAsia"/>
                <w:sz w:val="20"/>
                <w:lang w:eastAsia="zh-CN"/>
              </w:rPr>
              <w:t>每周</w:t>
            </w:r>
            <w:r w:rsidR="004F3994">
              <w:rPr>
                <w:rFonts w:hint="eastAsia"/>
                <w:sz w:val="20"/>
                <w:lang w:eastAsia="zh-CN"/>
              </w:rPr>
              <w:t>对</w:t>
            </w:r>
            <w:r w:rsidR="003C4D9B" w:rsidRPr="003C4D9B">
              <w:rPr>
                <w:rFonts w:hint="eastAsia"/>
                <w:sz w:val="20"/>
                <w:lang w:eastAsia="zh-CN"/>
              </w:rPr>
              <w:t>该组</w:t>
            </w:r>
            <w:r w:rsidR="004F3994">
              <w:rPr>
                <w:rFonts w:hint="eastAsia"/>
                <w:sz w:val="20"/>
                <w:lang w:eastAsia="zh-CN"/>
              </w:rPr>
              <w:t>所含</w:t>
            </w:r>
            <w:r w:rsidR="003C4D9B" w:rsidRPr="003C4D9B">
              <w:rPr>
                <w:rFonts w:hint="eastAsia"/>
                <w:sz w:val="20"/>
                <w:lang w:eastAsia="zh-CN"/>
              </w:rPr>
              <w:t>项目</w:t>
            </w:r>
            <w:r w:rsidR="004F3994">
              <w:rPr>
                <w:rFonts w:hint="eastAsia"/>
                <w:sz w:val="20"/>
                <w:lang w:eastAsia="zh-CN"/>
              </w:rPr>
              <w:t>进行一次监督</w:t>
            </w:r>
            <w:r w:rsidR="003C4D9B" w:rsidRPr="003C4D9B">
              <w:rPr>
                <w:rFonts w:hint="eastAsia"/>
                <w:sz w:val="20"/>
                <w:lang w:eastAsia="zh-CN"/>
              </w:rPr>
              <w:t>，</w:t>
            </w:r>
            <w:r w:rsidR="004F3994">
              <w:rPr>
                <w:rFonts w:hint="eastAsia"/>
                <w:sz w:val="20"/>
                <w:lang w:eastAsia="zh-CN"/>
              </w:rPr>
              <w:t>并</w:t>
            </w:r>
            <w:r w:rsidR="003C4D9B" w:rsidRPr="003C4D9B">
              <w:rPr>
                <w:rFonts w:hint="eastAsia"/>
                <w:sz w:val="20"/>
                <w:lang w:eastAsia="zh-CN"/>
              </w:rPr>
              <w:t>每周向</w:t>
            </w:r>
            <w:r w:rsidR="004F3994">
              <w:rPr>
                <w:rFonts w:hint="eastAsia"/>
                <w:sz w:val="20"/>
                <w:lang w:eastAsia="zh-CN"/>
              </w:rPr>
              <w:t>BDT</w:t>
            </w:r>
            <w:r w:rsidR="003C4D9B" w:rsidRPr="003C4D9B">
              <w:rPr>
                <w:rFonts w:hint="eastAsia"/>
                <w:sz w:val="20"/>
                <w:lang w:eastAsia="zh-CN"/>
              </w:rPr>
              <w:t>主任提交一份报告，供其审议和进一步指导。在实施回到正轨之前，项目将一直处于特别监督之下。</w:t>
            </w:r>
          </w:p>
          <w:p w14:paraId="379B9358" w14:textId="649F62C2" w:rsidR="003D7FF0" w:rsidRPr="00536D01" w:rsidRDefault="00A4363A" w:rsidP="00F43DFE">
            <w:pPr>
              <w:pStyle w:val="Tabletext"/>
              <w:tabs>
                <w:tab w:val="clear" w:pos="284"/>
                <w:tab w:val="clear" w:pos="425"/>
                <w:tab w:val="left" w:pos="356"/>
              </w:tabs>
              <w:spacing w:before="60"/>
              <w:ind w:left="356" w:hanging="356"/>
              <w:rPr>
                <w:sz w:val="20"/>
                <w:lang w:eastAsia="zh-CN"/>
              </w:rPr>
            </w:pPr>
            <w:r w:rsidRPr="00536D01">
              <w:rPr>
                <w:sz w:val="20"/>
                <w:lang w:eastAsia="zh-CN"/>
              </w:rPr>
              <w:t>–</w:t>
            </w:r>
            <w:r w:rsidRPr="00536D01">
              <w:rPr>
                <w:sz w:val="20"/>
                <w:lang w:eastAsia="zh-CN"/>
              </w:rPr>
              <w:tab/>
            </w:r>
            <w:r w:rsidR="003C4D9B" w:rsidRPr="003C4D9B">
              <w:rPr>
                <w:rFonts w:hint="eastAsia"/>
                <w:sz w:val="20"/>
                <w:lang w:eastAsia="zh-CN"/>
              </w:rPr>
              <w:t>加强向合作伙伴的报告：</w:t>
            </w:r>
            <w:r w:rsidR="004F3994">
              <w:rPr>
                <w:rFonts w:hint="eastAsia"/>
                <w:sz w:val="20"/>
                <w:lang w:eastAsia="zh-CN"/>
              </w:rPr>
              <w:t>BDT</w:t>
            </w:r>
            <w:r w:rsidR="004F3994">
              <w:rPr>
                <w:rFonts w:hint="eastAsia"/>
                <w:sz w:val="20"/>
                <w:lang w:eastAsia="zh-CN"/>
              </w:rPr>
              <w:t>出台</w:t>
            </w:r>
            <w:r w:rsidR="003C4D9B" w:rsidRPr="003C4D9B">
              <w:rPr>
                <w:rFonts w:hint="eastAsia"/>
                <w:sz w:val="20"/>
                <w:lang w:eastAsia="zh-CN"/>
              </w:rPr>
              <w:t>了一项新政策，确保所有项目合作伙伴至少每六（</w:t>
            </w:r>
            <w:r w:rsidR="003C4D9B" w:rsidRPr="003C4D9B">
              <w:rPr>
                <w:rFonts w:hint="eastAsia"/>
                <w:sz w:val="20"/>
                <w:lang w:eastAsia="zh-CN"/>
              </w:rPr>
              <w:t>6</w:t>
            </w:r>
            <w:r w:rsidR="003C4D9B" w:rsidRPr="003C4D9B">
              <w:rPr>
                <w:rFonts w:hint="eastAsia"/>
                <w:sz w:val="20"/>
                <w:lang w:eastAsia="zh-CN"/>
              </w:rPr>
              <w:t>）个月收到一次定期报告，其中包括其资助项目所取得的详细</w:t>
            </w:r>
            <w:r w:rsidR="00D67D35" w:rsidRPr="003C4D9B">
              <w:rPr>
                <w:rFonts w:hint="eastAsia"/>
                <w:sz w:val="20"/>
                <w:lang w:eastAsia="zh-CN"/>
              </w:rPr>
              <w:t>成果</w:t>
            </w:r>
            <w:r w:rsidR="003C4D9B" w:rsidRPr="003C4D9B">
              <w:rPr>
                <w:rFonts w:hint="eastAsia"/>
                <w:sz w:val="20"/>
                <w:lang w:eastAsia="zh-CN"/>
              </w:rPr>
              <w:t>信息以及财务细节。这项措施是在收到</w:t>
            </w:r>
            <w:r w:rsidR="003C4D9B" w:rsidRPr="003C4D9B">
              <w:rPr>
                <w:rFonts w:hint="eastAsia"/>
                <w:sz w:val="20"/>
                <w:lang w:eastAsia="zh-CN"/>
              </w:rPr>
              <w:t>TDAG</w:t>
            </w:r>
            <w:r w:rsidR="003C4D9B" w:rsidRPr="003C4D9B">
              <w:rPr>
                <w:rFonts w:hint="eastAsia"/>
                <w:sz w:val="20"/>
                <w:lang w:eastAsia="zh-CN"/>
              </w:rPr>
              <w:t>的反馈意见后推出的。这些</w:t>
            </w:r>
            <w:r w:rsidR="00D67D35">
              <w:rPr>
                <w:rFonts w:hint="eastAsia"/>
                <w:sz w:val="20"/>
                <w:lang w:eastAsia="zh-CN"/>
              </w:rPr>
              <w:t>提供给</w:t>
            </w:r>
            <w:r w:rsidR="003C4D9B" w:rsidRPr="003C4D9B">
              <w:rPr>
                <w:rFonts w:hint="eastAsia"/>
                <w:sz w:val="20"/>
                <w:lang w:eastAsia="zh-CN"/>
              </w:rPr>
              <w:t>捐助方</w:t>
            </w:r>
            <w:r w:rsidR="00D67D35">
              <w:rPr>
                <w:rFonts w:hint="eastAsia"/>
                <w:sz w:val="20"/>
                <w:lang w:eastAsia="zh-CN"/>
              </w:rPr>
              <w:t>的</w:t>
            </w:r>
            <w:r w:rsidR="003C4D9B" w:rsidRPr="003C4D9B">
              <w:rPr>
                <w:rFonts w:hint="eastAsia"/>
                <w:sz w:val="20"/>
                <w:lang w:eastAsia="zh-CN"/>
              </w:rPr>
              <w:t>报告</w:t>
            </w:r>
            <w:r w:rsidR="00D67D35">
              <w:rPr>
                <w:rFonts w:hint="eastAsia"/>
                <w:sz w:val="20"/>
                <w:lang w:eastAsia="zh-CN"/>
              </w:rPr>
              <w:t>并非</w:t>
            </w:r>
            <w:r w:rsidR="003C4D9B" w:rsidRPr="003C4D9B">
              <w:rPr>
                <w:rFonts w:hint="eastAsia"/>
                <w:sz w:val="20"/>
                <w:lang w:eastAsia="zh-CN"/>
              </w:rPr>
              <w:t>应捐助方的要求提供的，而是为了</w:t>
            </w:r>
            <w:r w:rsidR="00D67D35">
              <w:rPr>
                <w:rFonts w:hint="eastAsia"/>
                <w:sz w:val="20"/>
                <w:lang w:eastAsia="zh-CN"/>
              </w:rPr>
              <w:t>保障</w:t>
            </w:r>
            <w:r w:rsidR="003C4D9B" w:rsidRPr="003C4D9B">
              <w:rPr>
                <w:rFonts w:hint="eastAsia"/>
                <w:sz w:val="20"/>
                <w:lang w:eastAsia="zh-CN"/>
              </w:rPr>
              <w:t>透明度和更好、更及时的报告。</w:t>
            </w:r>
          </w:p>
          <w:p w14:paraId="66705E13" w14:textId="460A7C23" w:rsidR="003D7FF0" w:rsidRPr="00536D01" w:rsidRDefault="00A4363A" w:rsidP="00F43DFE">
            <w:pPr>
              <w:pStyle w:val="Tabletext"/>
              <w:tabs>
                <w:tab w:val="clear" w:pos="284"/>
                <w:tab w:val="clear" w:pos="425"/>
                <w:tab w:val="left" w:pos="356"/>
              </w:tabs>
              <w:spacing w:before="60"/>
              <w:ind w:left="356" w:hanging="356"/>
              <w:rPr>
                <w:sz w:val="20"/>
                <w:lang w:eastAsia="zh-CN"/>
              </w:rPr>
            </w:pPr>
            <w:r w:rsidRPr="00536D01">
              <w:rPr>
                <w:sz w:val="20"/>
                <w:lang w:eastAsia="zh-CN"/>
              </w:rPr>
              <w:t>–</w:t>
            </w:r>
            <w:r w:rsidRPr="00536D01">
              <w:rPr>
                <w:sz w:val="20"/>
                <w:lang w:eastAsia="zh-CN"/>
              </w:rPr>
              <w:tab/>
            </w:r>
            <w:r w:rsidR="00D67D35">
              <w:rPr>
                <w:rFonts w:hint="eastAsia"/>
                <w:sz w:val="20"/>
                <w:lang w:eastAsia="zh-CN"/>
              </w:rPr>
              <w:t>面向</w:t>
            </w:r>
            <w:r w:rsidR="003C4D9B" w:rsidRPr="003C4D9B">
              <w:rPr>
                <w:rFonts w:hint="eastAsia"/>
                <w:sz w:val="20"/>
                <w:lang w:eastAsia="zh-CN"/>
              </w:rPr>
              <w:t>国际电联成员国的新项目</w:t>
            </w:r>
            <w:r w:rsidR="00D67D35">
              <w:rPr>
                <w:rFonts w:hint="eastAsia"/>
                <w:sz w:val="20"/>
                <w:lang w:eastAsia="zh-CN"/>
              </w:rPr>
              <w:t>信息概览</w:t>
            </w:r>
            <w:r w:rsidR="003C4D9B" w:rsidRPr="003C4D9B">
              <w:rPr>
                <w:rFonts w:hint="eastAsia"/>
                <w:sz w:val="20"/>
                <w:lang w:eastAsia="zh-CN"/>
              </w:rPr>
              <w:t>：根据收到</w:t>
            </w:r>
            <w:r w:rsidR="00D67D35">
              <w:rPr>
                <w:rFonts w:hint="eastAsia"/>
                <w:sz w:val="20"/>
                <w:lang w:eastAsia="zh-CN"/>
              </w:rPr>
              <w:t>的</w:t>
            </w:r>
            <w:r w:rsidR="003C4D9B" w:rsidRPr="003C4D9B">
              <w:rPr>
                <w:rFonts w:hint="eastAsia"/>
                <w:sz w:val="20"/>
                <w:lang w:eastAsia="zh-CN"/>
              </w:rPr>
              <w:t>TDAG</w:t>
            </w:r>
            <w:r w:rsidR="003C4D9B" w:rsidRPr="003C4D9B">
              <w:rPr>
                <w:rFonts w:hint="eastAsia"/>
                <w:sz w:val="20"/>
                <w:lang w:eastAsia="zh-CN"/>
              </w:rPr>
              <w:t>反馈</w:t>
            </w:r>
            <w:r w:rsidR="00D67D35">
              <w:rPr>
                <w:rFonts w:hint="eastAsia"/>
                <w:sz w:val="20"/>
                <w:lang w:eastAsia="zh-CN"/>
              </w:rPr>
              <w:t>意见</w:t>
            </w:r>
            <w:r w:rsidR="003C4D9B" w:rsidRPr="003C4D9B">
              <w:rPr>
                <w:rFonts w:hint="eastAsia"/>
                <w:sz w:val="20"/>
                <w:lang w:eastAsia="zh-CN"/>
              </w:rPr>
              <w:t>，国际电联推出了新的交互式项目</w:t>
            </w:r>
            <w:r w:rsidR="00D67D35">
              <w:rPr>
                <w:rFonts w:hint="eastAsia"/>
                <w:sz w:val="20"/>
                <w:lang w:eastAsia="zh-CN"/>
              </w:rPr>
              <w:t>信息概览</w:t>
            </w:r>
            <w:r w:rsidR="003C4D9B" w:rsidRPr="003C4D9B">
              <w:rPr>
                <w:rFonts w:hint="eastAsia"/>
                <w:sz w:val="20"/>
                <w:lang w:eastAsia="zh-CN"/>
              </w:rPr>
              <w:t>，向国际电联成员提供有关</w:t>
            </w:r>
            <w:r w:rsidR="00D67D35">
              <w:rPr>
                <w:rFonts w:hint="eastAsia"/>
                <w:sz w:val="20"/>
                <w:lang w:eastAsia="zh-CN"/>
              </w:rPr>
              <w:t>ITU</w:t>
            </w:r>
            <w:r w:rsidR="003C4D9B" w:rsidRPr="003C4D9B">
              <w:rPr>
                <w:rFonts w:hint="eastAsia"/>
                <w:sz w:val="20"/>
                <w:lang w:eastAsia="zh-CN"/>
              </w:rPr>
              <w:t>-D</w:t>
            </w:r>
            <w:r w:rsidR="003C4D9B" w:rsidRPr="003C4D9B">
              <w:rPr>
                <w:rFonts w:hint="eastAsia"/>
                <w:sz w:val="20"/>
                <w:lang w:eastAsia="zh-CN"/>
              </w:rPr>
              <w:t>项目组合状况的更多信息。新的信息概览可供在</w:t>
            </w:r>
            <w:r w:rsidR="003C4D9B" w:rsidRPr="003C4D9B">
              <w:rPr>
                <w:rFonts w:hint="eastAsia"/>
                <w:sz w:val="20"/>
                <w:lang w:eastAsia="zh-CN"/>
              </w:rPr>
              <w:t>BDT</w:t>
            </w:r>
            <w:r w:rsidR="003C4D9B" w:rsidRPr="003C4D9B">
              <w:rPr>
                <w:rFonts w:hint="eastAsia"/>
                <w:sz w:val="20"/>
                <w:lang w:eastAsia="zh-CN"/>
              </w:rPr>
              <w:t>项目门户网站中拥有</w:t>
            </w:r>
            <w:r w:rsidR="003C4D9B" w:rsidRPr="003C4D9B">
              <w:rPr>
                <w:rFonts w:hint="eastAsia"/>
                <w:sz w:val="20"/>
                <w:lang w:eastAsia="zh-CN"/>
              </w:rPr>
              <w:t>TIES</w:t>
            </w:r>
            <w:r w:rsidR="003C4D9B" w:rsidRPr="003C4D9B">
              <w:rPr>
                <w:rFonts w:hint="eastAsia"/>
                <w:sz w:val="20"/>
                <w:lang w:eastAsia="zh-CN"/>
              </w:rPr>
              <w:t>访问权限的国际电联用户账户持有人使用。</w:t>
            </w:r>
          </w:p>
          <w:p w14:paraId="7FD5E733" w14:textId="1C21DC40" w:rsidR="003D7FF0" w:rsidRPr="00536D01" w:rsidRDefault="003C4D9B" w:rsidP="00786ECB">
            <w:pPr>
              <w:pStyle w:val="Tabletext"/>
              <w:rPr>
                <w:sz w:val="20"/>
                <w:lang w:eastAsia="zh-CN"/>
              </w:rPr>
            </w:pPr>
            <w:r w:rsidRPr="003C4D9B">
              <w:rPr>
                <w:rFonts w:hint="eastAsia"/>
                <w:sz w:val="20"/>
                <w:lang w:eastAsia="zh-CN"/>
              </w:rPr>
              <w:t>关于顾问的遴选和管理，国际电联</w:t>
            </w:r>
            <w:r w:rsidR="00D67D35">
              <w:rPr>
                <w:rFonts w:hint="eastAsia"/>
                <w:sz w:val="20"/>
                <w:lang w:eastAsia="zh-CN"/>
              </w:rPr>
              <w:t>推出</w:t>
            </w:r>
            <w:r w:rsidRPr="003C4D9B">
              <w:rPr>
                <w:rFonts w:hint="eastAsia"/>
                <w:sz w:val="20"/>
                <w:lang w:eastAsia="zh-CN"/>
              </w:rPr>
              <w:t>了新的机制</w:t>
            </w:r>
            <w:r w:rsidR="00D67D35">
              <w:rPr>
                <w:rFonts w:hint="eastAsia"/>
                <w:sz w:val="20"/>
                <w:lang w:eastAsia="zh-CN"/>
              </w:rPr>
              <w:t>来</w:t>
            </w:r>
            <w:r w:rsidRPr="003C4D9B">
              <w:rPr>
                <w:rFonts w:hint="eastAsia"/>
                <w:sz w:val="20"/>
                <w:lang w:eastAsia="zh-CN"/>
              </w:rPr>
              <w:t>加强国际电联所有</w:t>
            </w:r>
            <w:r w:rsidR="005B6A2B">
              <w:rPr>
                <w:rFonts w:hint="eastAsia"/>
                <w:sz w:val="20"/>
                <w:lang w:eastAsia="zh-CN"/>
              </w:rPr>
              <w:t>招聘</w:t>
            </w:r>
            <w:r w:rsidRPr="003C4D9B">
              <w:rPr>
                <w:rFonts w:hint="eastAsia"/>
                <w:sz w:val="20"/>
                <w:lang w:eastAsia="zh-CN"/>
              </w:rPr>
              <w:t>职位的透明度和竞争</w:t>
            </w:r>
            <w:r w:rsidR="00D67D35">
              <w:rPr>
                <w:rFonts w:hint="eastAsia"/>
                <w:sz w:val="20"/>
                <w:lang w:eastAsia="zh-CN"/>
              </w:rPr>
              <w:t>力</w:t>
            </w:r>
            <w:r w:rsidRPr="003C4D9B">
              <w:rPr>
                <w:rFonts w:hint="eastAsia"/>
                <w:sz w:val="20"/>
                <w:lang w:eastAsia="zh-CN"/>
              </w:rPr>
              <w:t>。某些情况下，这些导致了招聘延误，影响了</w:t>
            </w:r>
            <w:r w:rsidRPr="003C4D9B">
              <w:rPr>
                <w:rFonts w:hint="eastAsia"/>
                <w:sz w:val="20"/>
                <w:lang w:eastAsia="zh-CN"/>
              </w:rPr>
              <w:t>PPSA</w:t>
            </w:r>
            <w:r w:rsidRPr="003C4D9B">
              <w:rPr>
                <w:rFonts w:hint="eastAsia"/>
                <w:sz w:val="20"/>
                <w:lang w:eastAsia="zh-CN"/>
              </w:rPr>
              <w:t>的实施时间表。展望下一步工作，国际电联管理层正在审查为缩短</w:t>
            </w:r>
            <w:r w:rsidR="005B6A2B">
              <w:rPr>
                <w:rFonts w:hint="eastAsia"/>
                <w:sz w:val="20"/>
                <w:lang w:eastAsia="zh-CN"/>
              </w:rPr>
              <w:t>流程</w:t>
            </w:r>
            <w:r w:rsidRPr="003C4D9B">
              <w:rPr>
                <w:rFonts w:hint="eastAsia"/>
                <w:sz w:val="20"/>
                <w:lang w:eastAsia="zh-CN"/>
              </w:rPr>
              <w:t>和</w:t>
            </w:r>
            <w:r w:rsidR="005B6A2B">
              <w:rPr>
                <w:rFonts w:hint="eastAsia"/>
                <w:sz w:val="20"/>
                <w:lang w:eastAsia="zh-CN"/>
              </w:rPr>
              <w:t>降低</w:t>
            </w:r>
            <w:r w:rsidRPr="003C4D9B">
              <w:rPr>
                <w:rFonts w:hint="eastAsia"/>
                <w:sz w:val="20"/>
                <w:lang w:eastAsia="zh-CN"/>
              </w:rPr>
              <w:t>复杂性而采取的改进措施，以便更及时地招聘专家和</w:t>
            </w:r>
            <w:r w:rsidR="005B6A2B">
              <w:rPr>
                <w:rFonts w:hint="eastAsia"/>
                <w:sz w:val="20"/>
                <w:lang w:eastAsia="zh-CN"/>
              </w:rPr>
              <w:t>职</w:t>
            </w:r>
            <w:r w:rsidRPr="003C4D9B">
              <w:rPr>
                <w:rFonts w:hint="eastAsia"/>
                <w:sz w:val="20"/>
                <w:lang w:eastAsia="zh-CN"/>
              </w:rPr>
              <w:t>员。</w:t>
            </w:r>
          </w:p>
          <w:p w14:paraId="4C1389BC" w14:textId="7EC52B3F" w:rsidR="003D7FF0" w:rsidRPr="00536D01" w:rsidRDefault="003C4D9B" w:rsidP="00786ECB">
            <w:pPr>
              <w:pStyle w:val="Tabletext"/>
              <w:rPr>
                <w:sz w:val="20"/>
                <w:lang w:eastAsia="zh-CN"/>
              </w:rPr>
            </w:pPr>
            <w:r w:rsidRPr="003C4D9B">
              <w:rPr>
                <w:rFonts w:hint="eastAsia"/>
                <w:sz w:val="20"/>
                <w:lang w:eastAsia="zh-CN"/>
              </w:rPr>
              <w:t>考虑到整个国际电联都在实施</w:t>
            </w:r>
            <w:r w:rsidRPr="003C4D9B">
              <w:rPr>
                <w:rFonts w:hint="eastAsia"/>
                <w:sz w:val="20"/>
                <w:lang w:eastAsia="zh-CN"/>
              </w:rPr>
              <w:t>PPSA</w:t>
            </w:r>
            <w:r w:rsidRPr="003C4D9B">
              <w:rPr>
                <w:rFonts w:hint="eastAsia"/>
                <w:sz w:val="20"/>
                <w:lang w:eastAsia="zh-CN"/>
              </w:rPr>
              <w:t>，</w:t>
            </w:r>
            <w:r w:rsidR="00443416">
              <w:rPr>
                <w:rFonts w:hint="eastAsia"/>
                <w:sz w:val="20"/>
                <w:lang w:eastAsia="zh-CN"/>
              </w:rPr>
              <w:t>BDT</w:t>
            </w:r>
            <w:r w:rsidRPr="003C4D9B">
              <w:rPr>
                <w:rFonts w:hint="eastAsia"/>
                <w:sz w:val="20"/>
                <w:lang w:eastAsia="zh-CN"/>
              </w:rPr>
              <w:t>制定和实施的上述方法和机制可推广至其他局和</w:t>
            </w:r>
            <w:r w:rsidR="00443416">
              <w:rPr>
                <w:rFonts w:hint="eastAsia"/>
                <w:sz w:val="20"/>
                <w:lang w:eastAsia="zh-CN"/>
              </w:rPr>
              <w:t>GA</w:t>
            </w:r>
            <w:r w:rsidRPr="003C4D9B">
              <w:rPr>
                <w:rFonts w:hint="eastAsia"/>
                <w:sz w:val="20"/>
                <w:lang w:eastAsia="zh-CN"/>
              </w:rPr>
              <w:t>。</w:t>
            </w:r>
          </w:p>
          <w:p w14:paraId="6FD43E50" w14:textId="777D7972" w:rsidR="003D7FF0" w:rsidRPr="00536D01" w:rsidRDefault="00443416" w:rsidP="00786ECB">
            <w:pPr>
              <w:pStyle w:val="Tabletext"/>
              <w:rPr>
                <w:sz w:val="20"/>
                <w:lang w:eastAsia="zh-CN"/>
              </w:rPr>
            </w:pPr>
            <w:r w:rsidRPr="00443416">
              <w:rPr>
                <w:rFonts w:hint="eastAsia"/>
                <w:sz w:val="20"/>
                <w:lang w:eastAsia="zh-CN"/>
              </w:rPr>
              <w:t>对于</w:t>
            </w:r>
            <w:r>
              <w:rPr>
                <w:rFonts w:hint="eastAsia"/>
                <w:spacing w:val="-2"/>
                <w:sz w:val="20"/>
                <w:lang w:eastAsia="zh-CN"/>
              </w:rPr>
              <w:t>BDT</w:t>
            </w:r>
            <w:r w:rsidRPr="003C4D9B">
              <w:rPr>
                <w:rFonts w:hint="eastAsia"/>
                <w:spacing w:val="-2"/>
                <w:sz w:val="20"/>
                <w:lang w:eastAsia="zh-CN"/>
              </w:rPr>
              <w:t>管理的</w:t>
            </w:r>
            <w:r w:rsidRPr="003C4D9B">
              <w:rPr>
                <w:rFonts w:hint="eastAsia"/>
                <w:spacing w:val="-2"/>
                <w:sz w:val="20"/>
                <w:lang w:eastAsia="zh-CN"/>
              </w:rPr>
              <w:t>PPSA</w:t>
            </w:r>
            <w:r>
              <w:rPr>
                <w:rFonts w:hint="eastAsia"/>
                <w:spacing w:val="-2"/>
                <w:sz w:val="20"/>
                <w:lang w:eastAsia="zh-CN"/>
              </w:rPr>
              <w:t>，</w:t>
            </w:r>
            <w:r w:rsidR="003C4D9B" w:rsidRPr="003C4D9B">
              <w:rPr>
                <w:rFonts w:hint="eastAsia"/>
                <w:spacing w:val="-2"/>
                <w:sz w:val="20"/>
                <w:lang w:eastAsia="zh-CN"/>
              </w:rPr>
              <w:t>该建议可被视为</w:t>
            </w:r>
            <w:r>
              <w:rPr>
                <w:rFonts w:hint="eastAsia"/>
                <w:spacing w:val="-2"/>
                <w:sz w:val="20"/>
                <w:lang w:eastAsia="zh-CN"/>
              </w:rPr>
              <w:t>得到</w:t>
            </w:r>
            <w:r w:rsidR="003C4D9B" w:rsidRPr="003C4D9B">
              <w:rPr>
                <w:rFonts w:hint="eastAsia"/>
                <w:spacing w:val="-2"/>
                <w:sz w:val="20"/>
                <w:lang w:eastAsia="zh-CN"/>
              </w:rPr>
              <w:t>部分实施，其余各局和总秘书处仍在继续开展。</w:t>
            </w:r>
          </w:p>
        </w:tc>
        <w:tc>
          <w:tcPr>
            <w:tcW w:w="1050" w:type="pct"/>
            <w:shd w:val="clear" w:color="auto" w:fill="auto"/>
          </w:tcPr>
          <w:p w14:paraId="3C677BEC" w14:textId="403960B2" w:rsidR="003D7FF0" w:rsidRPr="00536D01" w:rsidRDefault="003758D8" w:rsidP="00786ECB">
            <w:pPr>
              <w:pStyle w:val="Tabletext"/>
              <w:rPr>
                <w:sz w:val="20"/>
                <w:lang w:eastAsia="zh-CN"/>
              </w:rPr>
            </w:pPr>
            <w:r w:rsidRPr="003758D8">
              <w:rPr>
                <w:rFonts w:hint="eastAsia"/>
                <w:sz w:val="20"/>
                <w:lang w:eastAsia="zh-CN"/>
              </w:rPr>
              <w:lastRenderedPageBreak/>
              <w:t>注意到</w:t>
            </w:r>
            <w:r w:rsidR="003C4D9B" w:rsidRPr="003C4D9B">
              <w:rPr>
                <w:rFonts w:hint="eastAsia"/>
                <w:sz w:val="20"/>
                <w:lang w:eastAsia="zh-CN"/>
              </w:rPr>
              <w:t>最新</w:t>
            </w:r>
            <w:r>
              <w:rPr>
                <w:rFonts w:hint="eastAsia"/>
                <w:sz w:val="20"/>
                <w:lang w:eastAsia="zh-CN"/>
              </w:rPr>
              <w:t>回</w:t>
            </w:r>
            <w:r w:rsidR="003C4D9B" w:rsidRPr="003C4D9B">
              <w:rPr>
                <w:rFonts w:hint="eastAsia"/>
                <w:sz w:val="20"/>
                <w:lang w:eastAsia="zh-CN"/>
              </w:rPr>
              <w:t>应</w:t>
            </w:r>
            <w:r>
              <w:rPr>
                <w:rFonts w:hint="eastAsia"/>
                <w:sz w:val="20"/>
                <w:lang w:eastAsia="zh-CN"/>
              </w:rPr>
              <w:t>。</w:t>
            </w:r>
            <w:r w:rsidR="003C4D9B" w:rsidRPr="003C4D9B">
              <w:rPr>
                <w:rFonts w:hint="eastAsia"/>
                <w:sz w:val="20"/>
                <w:lang w:eastAsia="zh-CN"/>
              </w:rPr>
              <w:t>考虑到我们今年关于项目活动的调查结果，以及本报告中关于控制环境的更广泛的调查结果，本建议仍在</w:t>
            </w:r>
            <w:r>
              <w:rPr>
                <w:rFonts w:hint="eastAsia"/>
                <w:sz w:val="20"/>
                <w:lang w:eastAsia="zh-CN"/>
              </w:rPr>
              <w:t>实施</w:t>
            </w:r>
            <w:r w:rsidR="003C4D9B" w:rsidRPr="003C4D9B">
              <w:rPr>
                <w:rFonts w:hint="eastAsia"/>
                <w:sz w:val="20"/>
                <w:lang w:eastAsia="zh-CN"/>
              </w:rPr>
              <w:t>中。</w:t>
            </w:r>
          </w:p>
        </w:tc>
        <w:tc>
          <w:tcPr>
            <w:tcW w:w="450" w:type="pct"/>
            <w:shd w:val="clear" w:color="auto" w:fill="auto"/>
          </w:tcPr>
          <w:p w14:paraId="6909E61F" w14:textId="0281679A" w:rsidR="003D7FF0" w:rsidRPr="00536D01" w:rsidRDefault="00142B16" w:rsidP="00786ECB">
            <w:pPr>
              <w:pStyle w:val="Tabletext"/>
              <w:rPr>
                <w:sz w:val="20"/>
              </w:rPr>
            </w:pPr>
            <w:r>
              <w:rPr>
                <w:rFonts w:hint="eastAsia"/>
                <w:sz w:val="20"/>
                <w:lang w:eastAsia="zh-CN"/>
              </w:rPr>
              <w:t>落实中。</w:t>
            </w:r>
          </w:p>
        </w:tc>
      </w:tr>
      <w:tr w:rsidR="003D7FF0" w:rsidRPr="00536D01" w14:paraId="2AB2C4C9" w14:textId="77777777" w:rsidTr="00E6035E">
        <w:tc>
          <w:tcPr>
            <w:tcW w:w="300" w:type="pct"/>
            <w:shd w:val="clear" w:color="auto" w:fill="auto"/>
          </w:tcPr>
          <w:p w14:paraId="6EDBA1F2" w14:textId="77777777" w:rsidR="003D7FF0" w:rsidRPr="00536D01" w:rsidRDefault="003D7FF0" w:rsidP="00602DBB">
            <w:pPr>
              <w:pStyle w:val="Tabletext"/>
              <w:keepNext/>
              <w:keepLines/>
              <w:rPr>
                <w:sz w:val="20"/>
              </w:rPr>
            </w:pPr>
            <w:r w:rsidRPr="00536D01">
              <w:rPr>
                <w:sz w:val="20"/>
              </w:rPr>
              <w:lastRenderedPageBreak/>
              <w:t>2021 R#13</w:t>
            </w:r>
          </w:p>
        </w:tc>
        <w:tc>
          <w:tcPr>
            <w:tcW w:w="1450" w:type="pct"/>
            <w:shd w:val="clear" w:color="auto" w:fill="auto"/>
          </w:tcPr>
          <w:p w14:paraId="7AE0B340" w14:textId="63A38038" w:rsidR="003D7FF0" w:rsidRPr="00536D01" w:rsidRDefault="003D7FF0" w:rsidP="00602DBB">
            <w:pPr>
              <w:pStyle w:val="Tabletext"/>
              <w:keepNext/>
              <w:keepLines/>
              <w:tabs>
                <w:tab w:val="clear" w:pos="284"/>
                <w:tab w:val="clear" w:pos="425"/>
                <w:tab w:val="left" w:pos="356"/>
              </w:tabs>
              <w:spacing w:before="60"/>
              <w:ind w:left="356" w:hanging="356"/>
              <w:rPr>
                <w:sz w:val="20"/>
                <w:lang w:eastAsia="zh-CN"/>
              </w:rPr>
            </w:pPr>
            <w:r w:rsidRPr="00536D01">
              <w:rPr>
                <w:sz w:val="20"/>
                <w:lang w:eastAsia="zh-CN"/>
              </w:rPr>
              <w:t>a)</w:t>
            </w:r>
            <w:r w:rsidR="00A4363A" w:rsidRPr="00536D01">
              <w:rPr>
                <w:sz w:val="20"/>
                <w:lang w:eastAsia="zh-CN"/>
              </w:rPr>
              <w:tab/>
            </w:r>
            <w:r w:rsidR="006B4219" w:rsidRPr="006B4219">
              <w:rPr>
                <w:rFonts w:hint="eastAsia"/>
                <w:sz w:val="20"/>
                <w:lang w:eastAsia="zh-CN"/>
              </w:rPr>
              <w:t>在监督支出的同时还审查当前的规则框架，以便在服务结束时正确安排工作时间和假期积存</w:t>
            </w:r>
            <w:r w:rsidR="00553ECA">
              <w:rPr>
                <w:rFonts w:hint="eastAsia"/>
                <w:sz w:val="20"/>
                <w:lang w:eastAsia="zh-CN"/>
              </w:rPr>
              <w:t>，以及</w:t>
            </w:r>
          </w:p>
          <w:p w14:paraId="1949A5A6" w14:textId="14BD2D75" w:rsidR="003D7FF0" w:rsidRPr="00536D01" w:rsidRDefault="003D7FF0" w:rsidP="00602DBB">
            <w:pPr>
              <w:pStyle w:val="Tabletext"/>
              <w:keepNext/>
              <w:keepLines/>
              <w:tabs>
                <w:tab w:val="clear" w:pos="284"/>
                <w:tab w:val="clear" w:pos="425"/>
                <w:tab w:val="left" w:pos="356"/>
              </w:tabs>
              <w:spacing w:before="60"/>
              <w:ind w:left="356" w:hanging="356"/>
              <w:rPr>
                <w:sz w:val="20"/>
                <w:lang w:eastAsia="zh-CN"/>
              </w:rPr>
            </w:pPr>
            <w:r w:rsidRPr="00536D01">
              <w:rPr>
                <w:sz w:val="20"/>
                <w:lang w:eastAsia="zh-CN"/>
              </w:rPr>
              <w:t>b)</w:t>
            </w:r>
            <w:r w:rsidR="00A4363A" w:rsidRPr="00536D01">
              <w:rPr>
                <w:sz w:val="20"/>
                <w:lang w:eastAsia="zh-CN"/>
              </w:rPr>
              <w:tab/>
            </w:r>
            <w:r w:rsidR="00553ECA" w:rsidRPr="00553ECA">
              <w:rPr>
                <w:rFonts w:hint="eastAsia"/>
                <w:sz w:val="20"/>
                <w:lang w:eastAsia="zh-CN"/>
              </w:rPr>
              <w:t>审查和加强职员在离开组织之前积存休假天数的规则。</w:t>
            </w:r>
          </w:p>
        </w:tc>
        <w:tc>
          <w:tcPr>
            <w:tcW w:w="1750" w:type="pct"/>
            <w:shd w:val="clear" w:color="auto" w:fill="auto"/>
          </w:tcPr>
          <w:p w14:paraId="39648D79" w14:textId="27AD643F" w:rsidR="003D7FF0" w:rsidRPr="00536D01" w:rsidRDefault="00D424A4" w:rsidP="00602DBB">
            <w:pPr>
              <w:pStyle w:val="Tabletext"/>
              <w:keepNext/>
              <w:keepLines/>
              <w:rPr>
                <w:sz w:val="20"/>
                <w:lang w:eastAsia="zh-CN"/>
              </w:rPr>
            </w:pPr>
            <w:r w:rsidRPr="00D424A4">
              <w:rPr>
                <w:rFonts w:hint="eastAsia"/>
                <w:sz w:val="20"/>
                <w:lang w:eastAsia="zh-CN"/>
              </w:rPr>
              <w:t>截至</w:t>
            </w:r>
            <w:r w:rsidRPr="00D424A4">
              <w:rPr>
                <w:rFonts w:hint="eastAsia"/>
                <w:sz w:val="20"/>
                <w:lang w:eastAsia="zh-CN"/>
              </w:rPr>
              <w:t>2024</w:t>
            </w:r>
            <w:r w:rsidRPr="00D424A4">
              <w:rPr>
                <w:rFonts w:hint="eastAsia"/>
                <w:sz w:val="20"/>
                <w:lang w:eastAsia="zh-CN"/>
              </w:rPr>
              <w:t>年</w:t>
            </w:r>
            <w:r w:rsidRPr="00D424A4">
              <w:rPr>
                <w:rFonts w:hint="eastAsia"/>
                <w:sz w:val="20"/>
                <w:lang w:eastAsia="zh-CN"/>
              </w:rPr>
              <w:t>5</w:t>
            </w:r>
            <w:r w:rsidRPr="00D424A4">
              <w:rPr>
                <w:rFonts w:hint="eastAsia"/>
                <w:sz w:val="20"/>
                <w:lang w:eastAsia="zh-CN"/>
              </w:rPr>
              <w:t>月的最新进展：已制定“</w:t>
            </w:r>
            <w:r w:rsidR="00443416">
              <w:rPr>
                <w:rFonts w:hint="eastAsia"/>
                <w:sz w:val="20"/>
                <w:lang w:eastAsia="zh-CN"/>
              </w:rPr>
              <w:t>离职</w:t>
            </w:r>
            <w:r w:rsidRPr="00D424A4">
              <w:rPr>
                <w:rFonts w:hint="eastAsia"/>
                <w:sz w:val="20"/>
                <w:lang w:eastAsia="zh-CN"/>
              </w:rPr>
              <w:t>”核对清单。本建议应标</w:t>
            </w:r>
            <w:r w:rsidR="00443416">
              <w:rPr>
                <w:rFonts w:hint="eastAsia"/>
                <w:sz w:val="20"/>
                <w:lang w:eastAsia="zh-CN"/>
              </w:rPr>
              <w:t>记</w:t>
            </w:r>
            <w:r w:rsidRPr="00D424A4">
              <w:rPr>
                <w:rFonts w:hint="eastAsia"/>
                <w:sz w:val="20"/>
                <w:lang w:eastAsia="zh-CN"/>
              </w:rPr>
              <w:t>为已实施。</w:t>
            </w:r>
          </w:p>
          <w:p w14:paraId="61942F53" w14:textId="4154B78E" w:rsidR="003D7FF0" w:rsidRPr="00536D01" w:rsidRDefault="00D424A4" w:rsidP="00602DBB">
            <w:pPr>
              <w:pStyle w:val="Tabletext"/>
              <w:keepNext/>
              <w:keepLines/>
              <w:rPr>
                <w:sz w:val="20"/>
                <w:lang w:eastAsia="zh-CN"/>
              </w:rPr>
            </w:pPr>
            <w:r w:rsidRPr="00D424A4">
              <w:rPr>
                <w:rFonts w:hint="eastAsia"/>
                <w:sz w:val="20"/>
                <w:lang w:eastAsia="zh-CN"/>
              </w:rPr>
              <w:t>国际电联认为该建议已得到实施。</w:t>
            </w:r>
          </w:p>
        </w:tc>
        <w:tc>
          <w:tcPr>
            <w:tcW w:w="1050" w:type="pct"/>
            <w:shd w:val="clear" w:color="auto" w:fill="auto"/>
          </w:tcPr>
          <w:p w14:paraId="0CE8713A" w14:textId="27300197" w:rsidR="003D7FF0" w:rsidRPr="00536D01" w:rsidRDefault="00D424A4" w:rsidP="00602DBB">
            <w:pPr>
              <w:pStyle w:val="Tabletext"/>
              <w:keepNext/>
              <w:keepLines/>
              <w:rPr>
                <w:sz w:val="20"/>
                <w:lang w:eastAsia="zh-CN"/>
              </w:rPr>
            </w:pPr>
            <w:r w:rsidRPr="00D424A4">
              <w:rPr>
                <w:rFonts w:hint="eastAsia"/>
                <w:sz w:val="20"/>
                <w:lang w:eastAsia="zh-CN"/>
              </w:rPr>
              <w:t>注意到最新回应</w:t>
            </w:r>
            <w:r w:rsidR="00436742">
              <w:rPr>
                <w:rFonts w:hint="eastAsia"/>
                <w:sz w:val="20"/>
                <w:lang w:eastAsia="zh-CN"/>
              </w:rPr>
              <w:t>，</w:t>
            </w:r>
            <w:r w:rsidRPr="00D424A4">
              <w:rPr>
                <w:rFonts w:hint="eastAsia"/>
                <w:sz w:val="20"/>
                <w:lang w:eastAsia="zh-CN"/>
              </w:rPr>
              <w:t>并认为是合理的。该建议已</w:t>
            </w:r>
            <w:r w:rsidR="00436742">
              <w:rPr>
                <w:rFonts w:hint="eastAsia"/>
                <w:sz w:val="20"/>
                <w:lang w:eastAsia="zh-CN"/>
              </w:rPr>
              <w:t>完成</w:t>
            </w:r>
            <w:r w:rsidRPr="00D424A4">
              <w:rPr>
                <w:rFonts w:hint="eastAsia"/>
                <w:sz w:val="20"/>
                <w:lang w:eastAsia="zh-CN"/>
              </w:rPr>
              <w:t>。</w:t>
            </w:r>
          </w:p>
        </w:tc>
        <w:tc>
          <w:tcPr>
            <w:tcW w:w="450" w:type="pct"/>
            <w:shd w:val="clear" w:color="auto" w:fill="auto"/>
          </w:tcPr>
          <w:p w14:paraId="4C4C6B07" w14:textId="148F9057" w:rsidR="003D7FF0" w:rsidRPr="00536D01" w:rsidRDefault="00A62A5A" w:rsidP="00602DBB">
            <w:pPr>
              <w:pStyle w:val="Tabletext"/>
              <w:keepNext/>
              <w:keepLines/>
              <w:rPr>
                <w:sz w:val="20"/>
              </w:rPr>
            </w:pPr>
            <w:r>
              <w:rPr>
                <w:rFonts w:ascii="SimSun" w:eastAsia="SimSun" w:hAnsi="SimSun" w:cs="SimSun" w:hint="eastAsia"/>
                <w:color w:val="000000"/>
                <w:sz w:val="20"/>
                <w:lang w:eastAsia="zh-CN"/>
              </w:rPr>
              <w:t>已关闭。</w:t>
            </w:r>
          </w:p>
        </w:tc>
      </w:tr>
      <w:tr w:rsidR="003D7FF0" w:rsidRPr="00536D01" w14:paraId="1378AD5C" w14:textId="77777777" w:rsidTr="00E6035E">
        <w:tc>
          <w:tcPr>
            <w:tcW w:w="300" w:type="pct"/>
            <w:shd w:val="clear" w:color="auto" w:fill="auto"/>
          </w:tcPr>
          <w:p w14:paraId="2734134F" w14:textId="77777777" w:rsidR="003D7FF0" w:rsidRPr="00536D01" w:rsidRDefault="003D7FF0" w:rsidP="00786ECB">
            <w:pPr>
              <w:pStyle w:val="Tabletext"/>
              <w:rPr>
                <w:sz w:val="20"/>
              </w:rPr>
            </w:pPr>
            <w:r w:rsidRPr="00536D01">
              <w:rPr>
                <w:sz w:val="20"/>
              </w:rPr>
              <w:t>2021 R#14</w:t>
            </w:r>
          </w:p>
        </w:tc>
        <w:tc>
          <w:tcPr>
            <w:tcW w:w="1450" w:type="pct"/>
            <w:shd w:val="clear" w:color="auto" w:fill="auto"/>
          </w:tcPr>
          <w:p w14:paraId="13D591B2" w14:textId="498F9243" w:rsidR="003D7FF0" w:rsidRPr="00536D01" w:rsidRDefault="00D424A4" w:rsidP="00786ECB">
            <w:pPr>
              <w:pStyle w:val="Tabletext"/>
              <w:rPr>
                <w:sz w:val="20"/>
                <w:lang w:eastAsia="zh-CN"/>
              </w:rPr>
            </w:pPr>
            <w:r w:rsidRPr="00D424A4">
              <w:rPr>
                <w:rFonts w:hint="eastAsia"/>
                <w:sz w:val="20"/>
                <w:lang w:eastAsia="zh-CN"/>
              </w:rPr>
              <w:t>及时有效地落实流动</w:t>
            </w:r>
            <w:r w:rsidR="00553ECA">
              <w:rPr>
                <w:rFonts w:hint="eastAsia"/>
                <w:sz w:val="20"/>
                <w:lang w:eastAsia="zh-CN"/>
              </w:rPr>
              <w:t>性</w:t>
            </w:r>
            <w:r w:rsidRPr="00D424A4">
              <w:rPr>
                <w:rFonts w:hint="eastAsia"/>
                <w:sz w:val="20"/>
                <w:lang w:eastAsia="zh-CN"/>
              </w:rPr>
              <w:t>政策。</w:t>
            </w:r>
          </w:p>
        </w:tc>
        <w:tc>
          <w:tcPr>
            <w:tcW w:w="1750" w:type="pct"/>
            <w:shd w:val="clear" w:color="auto" w:fill="auto"/>
          </w:tcPr>
          <w:p w14:paraId="034324E5" w14:textId="108249C5" w:rsidR="003D7FF0" w:rsidRPr="00536D01" w:rsidRDefault="00D424A4" w:rsidP="00786ECB">
            <w:pPr>
              <w:pStyle w:val="Tabletext"/>
              <w:rPr>
                <w:sz w:val="20"/>
                <w:lang w:eastAsia="zh-CN"/>
              </w:rPr>
            </w:pPr>
            <w:r w:rsidRPr="00D424A4">
              <w:rPr>
                <w:rFonts w:hint="eastAsia"/>
                <w:sz w:val="20"/>
                <w:lang w:eastAsia="zh-CN"/>
              </w:rPr>
              <w:t>截至</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5</w:t>
            </w:r>
            <w:r w:rsidRPr="00D424A4">
              <w:rPr>
                <w:rFonts w:hint="eastAsia"/>
                <w:sz w:val="20"/>
                <w:lang w:eastAsia="zh-CN"/>
              </w:rPr>
              <w:t>月的最新进展：</w:t>
            </w:r>
            <w:r w:rsidR="00E954FC" w:rsidRPr="00D424A4">
              <w:rPr>
                <w:rFonts w:hint="eastAsia"/>
                <w:sz w:val="20"/>
                <w:lang w:eastAsia="zh-CN"/>
              </w:rPr>
              <w:t>正在一</w:t>
            </w:r>
            <w:r w:rsidR="00E954FC">
              <w:rPr>
                <w:rFonts w:hint="eastAsia"/>
                <w:sz w:val="20"/>
                <w:lang w:eastAsia="zh-CN"/>
              </w:rPr>
              <w:t>同</w:t>
            </w:r>
            <w:r w:rsidR="00E954FC" w:rsidRPr="00D424A4">
              <w:rPr>
                <w:rFonts w:hint="eastAsia"/>
                <w:sz w:val="20"/>
                <w:lang w:eastAsia="zh-CN"/>
              </w:rPr>
              <w:t>处理</w:t>
            </w:r>
            <w:r w:rsidR="00E954FC">
              <w:rPr>
                <w:rFonts w:hint="eastAsia"/>
                <w:sz w:val="20"/>
                <w:lang w:eastAsia="zh-CN"/>
              </w:rPr>
              <w:t>此</w:t>
            </w:r>
            <w:r w:rsidRPr="00D424A4">
              <w:rPr>
                <w:rFonts w:hint="eastAsia"/>
                <w:sz w:val="20"/>
                <w:lang w:eastAsia="zh-CN"/>
              </w:rPr>
              <w:t>项建议以及</w:t>
            </w:r>
            <w:r w:rsidRPr="00D424A4">
              <w:rPr>
                <w:rFonts w:hint="eastAsia"/>
                <w:sz w:val="20"/>
                <w:lang w:eastAsia="zh-CN"/>
              </w:rPr>
              <w:t>2022</w:t>
            </w:r>
            <w:r w:rsidRPr="00D424A4">
              <w:rPr>
                <w:rFonts w:hint="eastAsia"/>
                <w:sz w:val="20"/>
                <w:lang w:eastAsia="zh-CN"/>
              </w:rPr>
              <w:t>年</w:t>
            </w:r>
            <w:r w:rsidR="00443416">
              <w:rPr>
                <w:rFonts w:hint="eastAsia"/>
                <w:sz w:val="20"/>
                <w:lang w:eastAsia="zh-CN"/>
              </w:rPr>
              <w:t>针对</w:t>
            </w:r>
            <w:r w:rsidR="00443416" w:rsidRPr="00D424A4">
              <w:rPr>
                <w:rFonts w:hint="eastAsia"/>
                <w:sz w:val="20"/>
                <w:lang w:eastAsia="zh-CN"/>
              </w:rPr>
              <w:t>美洲区域代表处</w:t>
            </w:r>
            <w:r w:rsidR="00443416">
              <w:rPr>
                <w:rFonts w:hint="eastAsia"/>
                <w:sz w:val="20"/>
                <w:lang w:eastAsia="zh-CN"/>
              </w:rPr>
              <w:t>的</w:t>
            </w:r>
            <w:r w:rsidRPr="00D424A4">
              <w:rPr>
                <w:rFonts w:hint="eastAsia"/>
                <w:sz w:val="20"/>
                <w:lang w:eastAsia="zh-CN"/>
              </w:rPr>
              <w:t>特别报告中</w:t>
            </w:r>
            <w:r w:rsidR="00443416">
              <w:rPr>
                <w:rFonts w:hint="eastAsia"/>
                <w:sz w:val="20"/>
                <w:lang w:eastAsia="zh-CN"/>
              </w:rPr>
              <w:t>有关职员</w:t>
            </w:r>
            <w:r w:rsidRPr="00D424A4">
              <w:rPr>
                <w:rFonts w:hint="eastAsia"/>
                <w:sz w:val="20"/>
                <w:lang w:eastAsia="zh-CN"/>
              </w:rPr>
              <w:t>轮换和流动的的建议</w:t>
            </w:r>
            <w:r w:rsidRPr="00D424A4">
              <w:rPr>
                <w:rFonts w:hint="eastAsia"/>
                <w:sz w:val="20"/>
                <w:lang w:eastAsia="zh-CN"/>
              </w:rPr>
              <w:t>17</w:t>
            </w:r>
            <w:r w:rsidRPr="00D424A4">
              <w:rPr>
                <w:rFonts w:hint="eastAsia"/>
                <w:sz w:val="20"/>
                <w:lang w:eastAsia="zh-CN"/>
              </w:rPr>
              <w:t>和</w:t>
            </w:r>
            <w:r w:rsidRPr="00D424A4">
              <w:rPr>
                <w:rFonts w:hint="eastAsia"/>
                <w:sz w:val="20"/>
                <w:lang w:eastAsia="zh-CN"/>
              </w:rPr>
              <w:t>18</w:t>
            </w:r>
            <w:r w:rsidRPr="00D424A4">
              <w:rPr>
                <w:rFonts w:hint="eastAsia"/>
                <w:sz w:val="20"/>
                <w:lang w:eastAsia="zh-CN"/>
              </w:rPr>
              <w:t>。</w:t>
            </w:r>
          </w:p>
          <w:p w14:paraId="41EB26C1" w14:textId="4F3D98D7" w:rsidR="003D7FF0" w:rsidRPr="00536D01" w:rsidRDefault="00D424A4" w:rsidP="00786ECB">
            <w:pPr>
              <w:pStyle w:val="Tabletext"/>
              <w:rPr>
                <w:sz w:val="20"/>
                <w:lang w:eastAsia="zh-CN"/>
              </w:rPr>
            </w:pPr>
            <w:r w:rsidRPr="00D424A4">
              <w:rPr>
                <w:rFonts w:hint="eastAsia"/>
                <w:sz w:val="20"/>
                <w:lang w:eastAsia="zh-CN"/>
              </w:rPr>
              <w:t>国际电联认为实施工作正在进行中。</w:t>
            </w:r>
          </w:p>
        </w:tc>
        <w:tc>
          <w:tcPr>
            <w:tcW w:w="1050" w:type="pct"/>
            <w:shd w:val="clear" w:color="auto" w:fill="auto"/>
          </w:tcPr>
          <w:p w14:paraId="753A917B" w14:textId="681034EE" w:rsidR="003D7FF0" w:rsidRPr="00536D01" w:rsidRDefault="00436742" w:rsidP="00786ECB">
            <w:pPr>
              <w:pStyle w:val="Tabletext"/>
              <w:rPr>
                <w:sz w:val="20"/>
                <w:lang w:eastAsia="zh-CN"/>
              </w:rPr>
            </w:pPr>
            <w:r w:rsidRPr="00436742">
              <w:rPr>
                <w:rFonts w:hint="eastAsia"/>
                <w:sz w:val="20"/>
                <w:lang w:eastAsia="zh-CN"/>
              </w:rPr>
              <w:t>注意到最新回应</w:t>
            </w:r>
            <w:r w:rsidR="00D424A4" w:rsidRPr="00436742">
              <w:rPr>
                <w:rFonts w:hint="eastAsia"/>
                <w:sz w:val="20"/>
                <w:lang w:eastAsia="zh-CN"/>
              </w:rPr>
              <w:t>。</w:t>
            </w:r>
            <w:r w:rsidR="00D424A4" w:rsidRPr="00D424A4">
              <w:rPr>
                <w:rFonts w:hint="eastAsia"/>
                <w:sz w:val="20"/>
                <w:lang w:eastAsia="zh-CN"/>
              </w:rPr>
              <w:t>该建议仍在</w:t>
            </w:r>
            <w:r>
              <w:rPr>
                <w:rFonts w:hint="eastAsia"/>
                <w:sz w:val="20"/>
                <w:lang w:eastAsia="zh-CN"/>
              </w:rPr>
              <w:t>实施</w:t>
            </w:r>
            <w:r w:rsidR="00D424A4" w:rsidRPr="00D424A4">
              <w:rPr>
                <w:rFonts w:hint="eastAsia"/>
                <w:sz w:val="20"/>
                <w:lang w:eastAsia="zh-CN"/>
              </w:rPr>
              <w:t>中。</w:t>
            </w:r>
          </w:p>
        </w:tc>
        <w:tc>
          <w:tcPr>
            <w:tcW w:w="450" w:type="pct"/>
            <w:shd w:val="clear" w:color="auto" w:fill="auto"/>
          </w:tcPr>
          <w:p w14:paraId="62EC0495" w14:textId="6B196B81" w:rsidR="003D7FF0" w:rsidRPr="00536D01" w:rsidRDefault="004264B1" w:rsidP="00786ECB">
            <w:pPr>
              <w:pStyle w:val="Tabletext"/>
              <w:rPr>
                <w:sz w:val="20"/>
              </w:rPr>
            </w:pPr>
            <w:r>
              <w:rPr>
                <w:rFonts w:hint="eastAsia"/>
                <w:sz w:val="20"/>
                <w:lang w:eastAsia="zh-CN"/>
              </w:rPr>
              <w:t>落实中。</w:t>
            </w:r>
          </w:p>
        </w:tc>
      </w:tr>
      <w:tr w:rsidR="003D7FF0" w:rsidRPr="00536D01" w14:paraId="72256ACD" w14:textId="77777777" w:rsidTr="00E6035E">
        <w:tc>
          <w:tcPr>
            <w:tcW w:w="300" w:type="pct"/>
            <w:shd w:val="clear" w:color="auto" w:fill="auto"/>
          </w:tcPr>
          <w:p w14:paraId="179F651C" w14:textId="77777777" w:rsidR="003D7FF0" w:rsidRPr="00536D01" w:rsidRDefault="003D7FF0" w:rsidP="00786ECB">
            <w:pPr>
              <w:pStyle w:val="Tabletext"/>
              <w:rPr>
                <w:sz w:val="20"/>
              </w:rPr>
            </w:pPr>
            <w:r w:rsidRPr="00536D01">
              <w:rPr>
                <w:sz w:val="20"/>
              </w:rPr>
              <w:t>2021 R#15</w:t>
            </w:r>
          </w:p>
        </w:tc>
        <w:tc>
          <w:tcPr>
            <w:tcW w:w="1450" w:type="pct"/>
            <w:shd w:val="clear" w:color="auto" w:fill="auto"/>
          </w:tcPr>
          <w:p w14:paraId="58F6AFF9" w14:textId="5D6A2FD0" w:rsidR="003D7FF0" w:rsidRPr="00536D01" w:rsidRDefault="00553ECA" w:rsidP="00553ECA">
            <w:pPr>
              <w:pStyle w:val="Tabletext"/>
              <w:rPr>
                <w:sz w:val="20"/>
                <w:lang w:eastAsia="zh-CN"/>
              </w:rPr>
            </w:pPr>
            <w:r w:rsidRPr="00553ECA">
              <w:rPr>
                <w:rFonts w:hint="eastAsia"/>
                <w:sz w:val="20"/>
                <w:lang w:eastAsia="zh-CN"/>
              </w:rPr>
              <w:t>采用一种系统，至少可以将与</w:t>
            </w:r>
            <w:r w:rsidRPr="00553ECA">
              <w:rPr>
                <w:rFonts w:hint="eastAsia"/>
                <w:sz w:val="20"/>
                <w:lang w:eastAsia="zh-CN"/>
              </w:rPr>
              <w:t>SSA</w:t>
            </w:r>
            <w:r w:rsidRPr="00553ECA">
              <w:rPr>
                <w:rFonts w:hint="eastAsia"/>
                <w:sz w:val="20"/>
                <w:lang w:eastAsia="zh-CN"/>
              </w:rPr>
              <w:t>雇用关系有关的文件完整和详尽地归档，以便长期查阅。</w:t>
            </w:r>
          </w:p>
        </w:tc>
        <w:tc>
          <w:tcPr>
            <w:tcW w:w="1750" w:type="pct"/>
            <w:shd w:val="clear" w:color="auto" w:fill="auto"/>
          </w:tcPr>
          <w:p w14:paraId="0AC9C445" w14:textId="01473407" w:rsidR="003D7FF0" w:rsidRPr="00536D01" w:rsidRDefault="00D424A4" w:rsidP="00786ECB">
            <w:pPr>
              <w:pStyle w:val="Tabletext"/>
              <w:rPr>
                <w:sz w:val="20"/>
                <w:lang w:eastAsia="zh-CN"/>
              </w:rPr>
            </w:pPr>
            <w:r w:rsidRPr="00D424A4">
              <w:rPr>
                <w:rFonts w:hint="eastAsia"/>
                <w:sz w:val="20"/>
                <w:lang w:eastAsia="zh-CN"/>
              </w:rPr>
              <w:t>截至</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2</w:t>
            </w:r>
            <w:r w:rsidRPr="00D424A4">
              <w:rPr>
                <w:rFonts w:hint="eastAsia"/>
                <w:sz w:val="20"/>
                <w:lang w:eastAsia="zh-CN"/>
              </w:rPr>
              <w:t>月的最新进展：</w:t>
            </w:r>
            <w:r w:rsidR="00FA4E27">
              <w:rPr>
                <w:rFonts w:hint="eastAsia"/>
                <w:sz w:val="20"/>
                <w:lang w:eastAsia="zh-CN"/>
              </w:rPr>
              <w:t>出台</w:t>
            </w:r>
            <w:r w:rsidRPr="00D424A4">
              <w:rPr>
                <w:rFonts w:hint="eastAsia"/>
                <w:sz w:val="20"/>
                <w:lang w:eastAsia="zh-CN"/>
              </w:rPr>
              <w:t>了控制措施，如</w:t>
            </w:r>
            <w:r w:rsidR="00FA4E27">
              <w:rPr>
                <w:rFonts w:hint="eastAsia"/>
                <w:sz w:val="20"/>
                <w:lang w:eastAsia="zh-CN"/>
              </w:rPr>
              <w:t>制定了</w:t>
            </w:r>
            <w:r w:rsidRPr="00D424A4">
              <w:rPr>
                <w:rFonts w:hint="eastAsia"/>
                <w:sz w:val="20"/>
                <w:lang w:eastAsia="zh-CN"/>
              </w:rPr>
              <w:t>关于</w:t>
            </w:r>
            <w:r w:rsidRPr="00D424A4">
              <w:rPr>
                <w:rFonts w:hint="eastAsia"/>
                <w:sz w:val="20"/>
                <w:lang w:eastAsia="zh-CN"/>
              </w:rPr>
              <w:t>SSA</w:t>
            </w:r>
            <w:r w:rsidRPr="00D424A4">
              <w:rPr>
                <w:rFonts w:hint="eastAsia"/>
                <w:sz w:val="20"/>
                <w:lang w:eastAsia="zh-CN"/>
              </w:rPr>
              <w:t>支付的标准</w:t>
            </w:r>
            <w:r w:rsidR="00FA4E27">
              <w:rPr>
                <w:rFonts w:hint="eastAsia"/>
                <w:sz w:val="20"/>
                <w:lang w:eastAsia="zh-CN"/>
              </w:rPr>
              <w:t>操</w:t>
            </w:r>
            <w:r w:rsidRPr="00D424A4">
              <w:rPr>
                <w:rFonts w:hint="eastAsia"/>
                <w:sz w:val="20"/>
                <w:lang w:eastAsia="zh-CN"/>
              </w:rPr>
              <w:t>作程序（</w:t>
            </w:r>
            <w:r w:rsidRPr="00D424A4">
              <w:rPr>
                <w:rFonts w:hint="eastAsia"/>
                <w:sz w:val="20"/>
                <w:lang w:eastAsia="zh-CN"/>
              </w:rPr>
              <w:t>SOP</w:t>
            </w:r>
            <w:r w:rsidRPr="00D424A4">
              <w:rPr>
                <w:rFonts w:hint="eastAsia"/>
                <w:sz w:val="20"/>
                <w:lang w:eastAsia="zh-CN"/>
              </w:rPr>
              <w:t>），旨在确保</w:t>
            </w:r>
            <w:r w:rsidR="00FA4E27" w:rsidRPr="00D424A4">
              <w:rPr>
                <w:rFonts w:hint="eastAsia"/>
                <w:sz w:val="20"/>
                <w:lang w:eastAsia="zh-CN"/>
              </w:rPr>
              <w:t>合同</w:t>
            </w:r>
            <w:r w:rsidR="00FA4E27">
              <w:rPr>
                <w:rFonts w:hint="eastAsia"/>
                <w:sz w:val="20"/>
                <w:lang w:eastAsia="zh-CN"/>
              </w:rPr>
              <w:t>的</w:t>
            </w:r>
            <w:r w:rsidR="00F03B9C">
              <w:rPr>
                <w:rFonts w:hint="eastAsia"/>
                <w:sz w:val="20"/>
                <w:lang w:eastAsia="zh-CN"/>
              </w:rPr>
              <w:t>按</w:t>
            </w:r>
            <w:r w:rsidRPr="00D424A4">
              <w:rPr>
                <w:rFonts w:hint="eastAsia"/>
                <w:sz w:val="20"/>
                <w:lang w:eastAsia="zh-CN"/>
              </w:rPr>
              <w:t>时完成，其中包括管理人员</w:t>
            </w:r>
            <w:r w:rsidR="00FA4E27">
              <w:rPr>
                <w:rFonts w:hint="eastAsia"/>
                <w:sz w:val="20"/>
                <w:lang w:eastAsia="zh-CN"/>
              </w:rPr>
              <w:t>确认输出成果已</w:t>
            </w:r>
            <w:r w:rsidRPr="00D424A4">
              <w:rPr>
                <w:rFonts w:hint="eastAsia"/>
                <w:sz w:val="20"/>
                <w:lang w:eastAsia="zh-CN"/>
              </w:rPr>
              <w:t>成功</w:t>
            </w:r>
            <w:r w:rsidR="00FA4E27">
              <w:rPr>
                <w:rFonts w:hint="eastAsia"/>
                <w:sz w:val="20"/>
                <w:lang w:eastAsia="zh-CN"/>
              </w:rPr>
              <w:t>完成</w:t>
            </w:r>
            <w:r w:rsidRPr="00D424A4">
              <w:rPr>
                <w:rFonts w:hint="eastAsia"/>
                <w:sz w:val="20"/>
                <w:lang w:eastAsia="zh-CN"/>
              </w:rPr>
              <w:t>的认证。自</w:t>
            </w:r>
            <w:r w:rsidRPr="00D424A4">
              <w:rPr>
                <w:rFonts w:hint="eastAsia"/>
                <w:sz w:val="20"/>
                <w:lang w:eastAsia="zh-CN"/>
              </w:rPr>
              <w:t>2024</w:t>
            </w:r>
            <w:r w:rsidRPr="00D424A4">
              <w:rPr>
                <w:rFonts w:hint="eastAsia"/>
                <w:sz w:val="20"/>
                <w:lang w:eastAsia="zh-CN"/>
              </w:rPr>
              <w:t>年</w:t>
            </w:r>
            <w:r w:rsidRPr="00D424A4">
              <w:rPr>
                <w:rFonts w:hint="eastAsia"/>
                <w:sz w:val="20"/>
                <w:lang w:eastAsia="zh-CN"/>
              </w:rPr>
              <w:t>8</w:t>
            </w:r>
            <w:r w:rsidRPr="00D424A4">
              <w:rPr>
                <w:rFonts w:hint="eastAsia"/>
                <w:sz w:val="20"/>
                <w:lang w:eastAsia="zh-CN"/>
              </w:rPr>
              <w:t>月以来，</w:t>
            </w:r>
            <w:r w:rsidRPr="00D424A4">
              <w:rPr>
                <w:rFonts w:hint="eastAsia"/>
                <w:sz w:val="20"/>
                <w:lang w:eastAsia="zh-CN"/>
              </w:rPr>
              <w:t>HRMD/SAS</w:t>
            </w:r>
            <w:r w:rsidRPr="00D424A4">
              <w:rPr>
                <w:rFonts w:hint="eastAsia"/>
                <w:sz w:val="20"/>
                <w:lang w:eastAsia="zh-CN"/>
              </w:rPr>
              <w:t>要求所有招聘管理人员在全额和最终付款之前</w:t>
            </w:r>
            <w:r w:rsidR="00FA4E27">
              <w:rPr>
                <w:rFonts w:hint="eastAsia"/>
                <w:sz w:val="20"/>
                <w:lang w:eastAsia="zh-CN"/>
              </w:rPr>
              <w:t>，保证</w:t>
            </w:r>
            <w:r w:rsidRPr="00D424A4">
              <w:rPr>
                <w:rFonts w:hint="eastAsia"/>
                <w:sz w:val="20"/>
                <w:lang w:eastAsia="zh-CN"/>
              </w:rPr>
              <w:t>职责范围所列所有输出成果</w:t>
            </w:r>
            <w:r w:rsidR="00FA4E27">
              <w:rPr>
                <w:rFonts w:hint="eastAsia"/>
                <w:sz w:val="20"/>
                <w:lang w:eastAsia="zh-CN"/>
              </w:rPr>
              <w:t>已</w:t>
            </w:r>
            <w:r w:rsidRPr="00D424A4">
              <w:rPr>
                <w:rFonts w:hint="eastAsia"/>
                <w:sz w:val="20"/>
                <w:lang w:eastAsia="zh-CN"/>
              </w:rPr>
              <w:t>交付。从</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1</w:t>
            </w:r>
            <w:r w:rsidRPr="00D424A4">
              <w:rPr>
                <w:rFonts w:hint="eastAsia"/>
                <w:sz w:val="20"/>
                <w:lang w:eastAsia="zh-CN"/>
              </w:rPr>
              <w:t>月开始，需要将</w:t>
            </w:r>
            <w:r w:rsidR="00FA4E27">
              <w:rPr>
                <w:rFonts w:hint="eastAsia"/>
                <w:sz w:val="20"/>
                <w:lang w:eastAsia="zh-CN"/>
              </w:rPr>
              <w:t>证明</w:t>
            </w:r>
            <w:r w:rsidRPr="00D424A4">
              <w:rPr>
                <w:rFonts w:hint="eastAsia"/>
                <w:sz w:val="20"/>
                <w:lang w:eastAsia="zh-CN"/>
              </w:rPr>
              <w:t>副本上传到</w:t>
            </w:r>
            <w:r w:rsidRPr="00D424A4">
              <w:rPr>
                <w:rFonts w:hint="eastAsia"/>
                <w:sz w:val="20"/>
                <w:lang w:eastAsia="zh-CN"/>
              </w:rPr>
              <w:t>SAP</w:t>
            </w:r>
            <w:r w:rsidRPr="00D424A4">
              <w:rPr>
                <w:rFonts w:hint="eastAsia"/>
                <w:sz w:val="20"/>
                <w:lang w:eastAsia="zh-CN"/>
              </w:rPr>
              <w:t>。制定了新的</w:t>
            </w:r>
            <w:r w:rsidR="00FA4E27">
              <w:rPr>
                <w:rFonts w:hint="eastAsia"/>
                <w:sz w:val="20"/>
                <w:lang w:eastAsia="zh-CN"/>
              </w:rPr>
              <w:t>《</w:t>
            </w:r>
            <w:r w:rsidRPr="00D424A4">
              <w:rPr>
                <w:rFonts w:hint="eastAsia"/>
                <w:sz w:val="20"/>
                <w:lang w:eastAsia="zh-CN"/>
              </w:rPr>
              <w:t>SSA</w:t>
            </w:r>
            <w:r w:rsidRPr="00D424A4">
              <w:rPr>
                <w:rFonts w:hint="eastAsia"/>
                <w:sz w:val="20"/>
                <w:lang w:eastAsia="zh-CN"/>
              </w:rPr>
              <w:t>利益冲突指南</w:t>
            </w:r>
            <w:r w:rsidR="00FA4E27">
              <w:rPr>
                <w:rFonts w:hint="eastAsia"/>
                <w:sz w:val="20"/>
                <w:lang w:eastAsia="zh-CN"/>
              </w:rPr>
              <w:t>》</w:t>
            </w:r>
            <w:r w:rsidRPr="00D424A4">
              <w:rPr>
                <w:rFonts w:hint="eastAsia"/>
                <w:sz w:val="20"/>
                <w:lang w:eastAsia="zh-CN"/>
              </w:rPr>
              <w:t>，</w:t>
            </w:r>
            <w:r w:rsidR="00FA4E27">
              <w:rPr>
                <w:rFonts w:hint="eastAsia"/>
                <w:sz w:val="20"/>
                <w:lang w:eastAsia="zh-CN"/>
              </w:rPr>
              <w:t>推动</w:t>
            </w:r>
            <w:r w:rsidRPr="00D424A4">
              <w:rPr>
                <w:rFonts w:hint="eastAsia"/>
                <w:sz w:val="20"/>
                <w:lang w:eastAsia="zh-CN"/>
              </w:rPr>
              <w:t>SSA</w:t>
            </w:r>
            <w:r w:rsidRPr="00D424A4">
              <w:rPr>
                <w:rFonts w:hint="eastAsia"/>
                <w:sz w:val="20"/>
                <w:lang w:eastAsia="zh-CN"/>
              </w:rPr>
              <w:t>实际或潜在冲突的强制性申报和</w:t>
            </w:r>
            <w:r w:rsidR="00FA4E27">
              <w:rPr>
                <w:rFonts w:hint="eastAsia"/>
                <w:sz w:val="20"/>
                <w:lang w:eastAsia="zh-CN"/>
              </w:rPr>
              <w:t>监控</w:t>
            </w:r>
            <w:r w:rsidRPr="00D424A4">
              <w:rPr>
                <w:rFonts w:hint="eastAsia"/>
                <w:sz w:val="20"/>
                <w:lang w:eastAsia="zh-CN"/>
              </w:rPr>
              <w:t>。在线强制性</w:t>
            </w:r>
            <w:r w:rsidR="00FA4E27">
              <w:rPr>
                <w:rFonts w:hint="eastAsia"/>
                <w:sz w:val="20"/>
                <w:lang w:eastAsia="zh-CN"/>
              </w:rPr>
              <w:t>申报</w:t>
            </w:r>
            <w:r w:rsidRPr="00D424A4">
              <w:rPr>
                <w:rFonts w:hint="eastAsia"/>
                <w:sz w:val="20"/>
                <w:lang w:eastAsia="zh-CN"/>
              </w:rPr>
              <w:t>会自动发送至道德规范办公室和</w:t>
            </w:r>
            <w:r w:rsidRPr="00D424A4">
              <w:rPr>
                <w:rFonts w:hint="eastAsia"/>
                <w:sz w:val="20"/>
                <w:lang w:eastAsia="zh-CN"/>
              </w:rPr>
              <w:t>HRMD</w:t>
            </w:r>
            <w:r w:rsidRPr="00D424A4">
              <w:rPr>
                <w:rFonts w:hint="eastAsia"/>
                <w:sz w:val="20"/>
                <w:lang w:eastAsia="zh-CN"/>
              </w:rPr>
              <w:t>。此外，目前正在审查</w:t>
            </w:r>
            <w:r w:rsidRPr="00D424A4">
              <w:rPr>
                <w:rFonts w:hint="eastAsia"/>
                <w:sz w:val="20"/>
                <w:lang w:eastAsia="zh-CN"/>
              </w:rPr>
              <w:t>SSA</w:t>
            </w:r>
            <w:r w:rsidRPr="00D424A4">
              <w:rPr>
                <w:rFonts w:hint="eastAsia"/>
                <w:sz w:val="20"/>
                <w:lang w:eastAsia="zh-CN"/>
              </w:rPr>
              <w:t>政策</w:t>
            </w:r>
            <w:r w:rsidR="00FA4E27">
              <w:rPr>
                <w:rFonts w:hint="eastAsia"/>
                <w:sz w:val="20"/>
                <w:lang w:eastAsia="zh-CN"/>
              </w:rPr>
              <w:t>，</w:t>
            </w:r>
            <w:r w:rsidR="00FA4E27" w:rsidRPr="00D424A4">
              <w:rPr>
                <w:rFonts w:hint="eastAsia"/>
                <w:sz w:val="20"/>
                <w:lang w:eastAsia="zh-CN"/>
              </w:rPr>
              <w:t>包括</w:t>
            </w:r>
            <w:r w:rsidR="00FA4E27" w:rsidRPr="00D424A4">
              <w:rPr>
                <w:rFonts w:hint="eastAsia"/>
                <w:sz w:val="20"/>
                <w:lang w:eastAsia="zh-CN"/>
              </w:rPr>
              <w:t>SSA</w:t>
            </w:r>
            <w:r w:rsidR="00FA4E27" w:rsidRPr="00D424A4">
              <w:rPr>
                <w:rFonts w:hint="eastAsia"/>
                <w:sz w:val="20"/>
                <w:lang w:eastAsia="zh-CN"/>
              </w:rPr>
              <w:t>薪酬审查</w:t>
            </w:r>
            <w:r w:rsidRPr="00D424A4">
              <w:rPr>
                <w:rFonts w:hint="eastAsia"/>
                <w:sz w:val="20"/>
                <w:lang w:eastAsia="zh-CN"/>
              </w:rPr>
              <w:t>（最近一次更新于</w:t>
            </w:r>
            <w:r w:rsidRPr="00D424A4">
              <w:rPr>
                <w:rFonts w:hint="eastAsia"/>
                <w:sz w:val="20"/>
                <w:lang w:eastAsia="zh-CN"/>
              </w:rPr>
              <w:t>2010</w:t>
            </w:r>
            <w:r w:rsidRPr="00D424A4">
              <w:rPr>
                <w:rFonts w:hint="eastAsia"/>
                <w:sz w:val="20"/>
                <w:lang w:eastAsia="zh-CN"/>
              </w:rPr>
              <w:t>年），并将于</w:t>
            </w:r>
            <w:r w:rsidRPr="00D424A4">
              <w:rPr>
                <w:rFonts w:hint="eastAsia"/>
                <w:sz w:val="20"/>
                <w:lang w:eastAsia="zh-CN"/>
              </w:rPr>
              <w:t>2025</w:t>
            </w:r>
            <w:r w:rsidRPr="00D424A4">
              <w:rPr>
                <w:rFonts w:hint="eastAsia"/>
                <w:sz w:val="20"/>
                <w:lang w:eastAsia="zh-CN"/>
              </w:rPr>
              <w:t>年第二季度发布。新政策将为</w:t>
            </w:r>
            <w:r w:rsidR="00FA4E27">
              <w:rPr>
                <w:rFonts w:hint="eastAsia"/>
                <w:sz w:val="20"/>
                <w:lang w:eastAsia="zh-CN"/>
              </w:rPr>
              <w:t>顾问</w:t>
            </w:r>
            <w:r w:rsidRPr="00D424A4">
              <w:rPr>
                <w:rFonts w:hint="eastAsia"/>
                <w:sz w:val="20"/>
                <w:lang w:eastAsia="zh-CN"/>
              </w:rPr>
              <w:t>合同的使用和限制提供更</w:t>
            </w:r>
            <w:r w:rsidR="00FA4E27">
              <w:rPr>
                <w:rFonts w:hint="eastAsia"/>
                <w:sz w:val="20"/>
                <w:lang w:eastAsia="zh-CN"/>
              </w:rPr>
              <w:t>加</w:t>
            </w:r>
            <w:r w:rsidRPr="00D424A4">
              <w:rPr>
                <w:rFonts w:hint="eastAsia"/>
                <w:sz w:val="20"/>
                <w:lang w:eastAsia="zh-CN"/>
              </w:rPr>
              <w:t>明确的导则</w:t>
            </w:r>
            <w:r w:rsidR="004B1C82" w:rsidRPr="00D424A4">
              <w:rPr>
                <w:rFonts w:hint="eastAsia"/>
                <w:sz w:val="20"/>
                <w:lang w:eastAsia="zh-CN"/>
              </w:rPr>
              <w:t>（如，</w:t>
            </w:r>
            <w:r w:rsidR="004B1C82">
              <w:rPr>
                <w:rFonts w:hint="eastAsia"/>
                <w:sz w:val="20"/>
                <w:lang w:eastAsia="zh-CN"/>
              </w:rPr>
              <w:t>一次</w:t>
            </w:r>
            <w:r w:rsidR="004B1C82" w:rsidRPr="00D424A4">
              <w:rPr>
                <w:rFonts w:hint="eastAsia"/>
                <w:sz w:val="20"/>
                <w:lang w:eastAsia="zh-CN"/>
              </w:rPr>
              <w:t>与国际电联签订一份</w:t>
            </w:r>
            <w:r w:rsidR="004B1C82">
              <w:rPr>
                <w:rFonts w:hint="eastAsia"/>
                <w:sz w:val="20"/>
                <w:lang w:eastAsia="zh-CN"/>
              </w:rPr>
              <w:t>顾问</w:t>
            </w:r>
            <w:r w:rsidR="004B1C82" w:rsidRPr="00D424A4">
              <w:rPr>
                <w:rFonts w:hint="eastAsia"/>
                <w:sz w:val="20"/>
                <w:lang w:eastAsia="zh-CN"/>
              </w:rPr>
              <w:t>合同）</w:t>
            </w:r>
            <w:r w:rsidRPr="00D424A4">
              <w:rPr>
                <w:rFonts w:hint="eastAsia"/>
                <w:sz w:val="20"/>
                <w:lang w:eastAsia="zh-CN"/>
              </w:rPr>
              <w:t>。</w:t>
            </w:r>
          </w:p>
          <w:p w14:paraId="797B3240" w14:textId="42C1C510" w:rsidR="003D7FF0" w:rsidRPr="00536D01" w:rsidRDefault="00D424A4" w:rsidP="00786ECB">
            <w:pPr>
              <w:pStyle w:val="Tabletext"/>
              <w:rPr>
                <w:sz w:val="20"/>
                <w:lang w:eastAsia="zh-CN"/>
              </w:rPr>
            </w:pPr>
            <w:r w:rsidRPr="00D424A4">
              <w:rPr>
                <w:rFonts w:hint="eastAsia"/>
                <w:sz w:val="20"/>
                <w:lang w:eastAsia="zh-CN"/>
              </w:rPr>
              <w:t>国际电联建议结束本</w:t>
            </w:r>
            <w:r w:rsidR="00A92B51">
              <w:rPr>
                <w:rFonts w:hint="eastAsia"/>
                <w:sz w:val="20"/>
                <w:lang w:eastAsia="zh-CN"/>
              </w:rPr>
              <w:t>建议</w:t>
            </w:r>
            <w:r w:rsidRPr="00D424A4">
              <w:rPr>
                <w:rFonts w:hint="eastAsia"/>
                <w:sz w:val="20"/>
                <w:lang w:eastAsia="zh-CN"/>
              </w:rPr>
              <w:t>。</w:t>
            </w:r>
          </w:p>
        </w:tc>
        <w:tc>
          <w:tcPr>
            <w:tcW w:w="1050" w:type="pct"/>
            <w:shd w:val="clear" w:color="auto" w:fill="auto"/>
          </w:tcPr>
          <w:p w14:paraId="0643C162" w14:textId="7E8B3FEB" w:rsidR="003D7FF0" w:rsidRPr="00536D01" w:rsidRDefault="00D424A4" w:rsidP="00786ECB">
            <w:pPr>
              <w:pStyle w:val="Tabletext"/>
              <w:rPr>
                <w:sz w:val="20"/>
              </w:rPr>
            </w:pPr>
            <w:r w:rsidRPr="00D424A4">
              <w:rPr>
                <w:rFonts w:hint="eastAsia"/>
                <w:sz w:val="20"/>
                <w:lang w:eastAsia="zh-CN"/>
              </w:rPr>
              <w:t>注意到最新回应</w:t>
            </w:r>
            <w:r w:rsidR="00436742">
              <w:rPr>
                <w:rFonts w:hint="eastAsia"/>
                <w:sz w:val="20"/>
                <w:lang w:eastAsia="zh-CN"/>
              </w:rPr>
              <w:t>，</w:t>
            </w:r>
            <w:r w:rsidRPr="00D424A4">
              <w:rPr>
                <w:rFonts w:hint="eastAsia"/>
                <w:sz w:val="20"/>
                <w:lang w:eastAsia="zh-CN"/>
              </w:rPr>
              <w:t>并认为是合理的。该建议已</w:t>
            </w:r>
            <w:r w:rsidR="00436742">
              <w:rPr>
                <w:rFonts w:hint="eastAsia"/>
                <w:sz w:val="20"/>
                <w:lang w:eastAsia="zh-CN"/>
              </w:rPr>
              <w:t>完成</w:t>
            </w:r>
            <w:r w:rsidRPr="00D424A4">
              <w:rPr>
                <w:rFonts w:hint="eastAsia"/>
                <w:sz w:val="20"/>
              </w:rPr>
              <w:t>。</w:t>
            </w:r>
          </w:p>
        </w:tc>
        <w:tc>
          <w:tcPr>
            <w:tcW w:w="450" w:type="pct"/>
            <w:shd w:val="clear" w:color="auto" w:fill="auto"/>
          </w:tcPr>
          <w:p w14:paraId="705E7117" w14:textId="5AE6A91D" w:rsidR="003D7FF0" w:rsidRPr="00536D01" w:rsidRDefault="00A62A5A" w:rsidP="00786ECB">
            <w:pPr>
              <w:pStyle w:val="Tabletext"/>
              <w:rPr>
                <w:sz w:val="20"/>
              </w:rPr>
            </w:pPr>
            <w:r>
              <w:rPr>
                <w:rFonts w:ascii="SimSun" w:eastAsia="SimSun" w:hAnsi="SimSun" w:cs="SimSun" w:hint="eastAsia"/>
                <w:color w:val="000000"/>
                <w:sz w:val="20"/>
                <w:lang w:eastAsia="zh-CN"/>
              </w:rPr>
              <w:t>已关闭。</w:t>
            </w:r>
          </w:p>
        </w:tc>
      </w:tr>
      <w:tr w:rsidR="003D7FF0" w:rsidRPr="00536D01" w14:paraId="68361634" w14:textId="77777777" w:rsidTr="00E6035E">
        <w:tc>
          <w:tcPr>
            <w:tcW w:w="300" w:type="pct"/>
            <w:shd w:val="clear" w:color="auto" w:fill="auto"/>
          </w:tcPr>
          <w:p w14:paraId="207F2699" w14:textId="77777777" w:rsidR="003D7FF0" w:rsidRPr="00536D01" w:rsidRDefault="003D7FF0" w:rsidP="009449F5">
            <w:pPr>
              <w:pStyle w:val="Tabletext"/>
              <w:rPr>
                <w:sz w:val="20"/>
              </w:rPr>
            </w:pPr>
            <w:r w:rsidRPr="00536D01">
              <w:rPr>
                <w:sz w:val="20"/>
              </w:rPr>
              <w:t>2021 R#16</w:t>
            </w:r>
          </w:p>
        </w:tc>
        <w:tc>
          <w:tcPr>
            <w:tcW w:w="1450" w:type="pct"/>
            <w:shd w:val="clear" w:color="auto" w:fill="auto"/>
          </w:tcPr>
          <w:p w14:paraId="48F87341" w14:textId="135DE473" w:rsidR="003D7FF0" w:rsidRPr="00536D01" w:rsidRDefault="003D7FF0" w:rsidP="009449F5">
            <w:pPr>
              <w:pStyle w:val="Tabletext"/>
              <w:tabs>
                <w:tab w:val="clear" w:pos="284"/>
                <w:tab w:val="clear" w:pos="425"/>
                <w:tab w:val="left" w:pos="356"/>
              </w:tabs>
              <w:spacing w:before="60"/>
              <w:ind w:left="356" w:hanging="356"/>
              <w:rPr>
                <w:sz w:val="20"/>
                <w:lang w:eastAsia="zh-CN"/>
              </w:rPr>
            </w:pPr>
            <w:r w:rsidRPr="00536D01">
              <w:rPr>
                <w:sz w:val="20"/>
                <w:lang w:eastAsia="zh-CN"/>
              </w:rPr>
              <w:t>a)</w:t>
            </w:r>
            <w:r w:rsidR="00A4363A" w:rsidRPr="00536D01">
              <w:rPr>
                <w:sz w:val="20"/>
                <w:lang w:eastAsia="zh-CN"/>
              </w:rPr>
              <w:tab/>
            </w:r>
            <w:r w:rsidR="00553ECA" w:rsidRPr="00553ECA">
              <w:rPr>
                <w:rFonts w:hint="eastAsia"/>
                <w:sz w:val="20"/>
                <w:lang w:eastAsia="zh-CN"/>
              </w:rPr>
              <w:t>审查所有缺少</w:t>
            </w:r>
            <w:r w:rsidR="00553ECA" w:rsidRPr="00553ECA">
              <w:rPr>
                <w:rFonts w:hint="eastAsia"/>
                <w:sz w:val="20"/>
                <w:lang w:eastAsia="zh-CN"/>
              </w:rPr>
              <w:t>SSA</w:t>
            </w:r>
            <w:r w:rsidR="00553ECA" w:rsidRPr="00553ECA">
              <w:rPr>
                <w:rFonts w:hint="eastAsia"/>
                <w:sz w:val="20"/>
                <w:lang w:eastAsia="zh-CN"/>
              </w:rPr>
              <w:t>承包商签署的无利益冲突声明的现有合同；</w:t>
            </w:r>
          </w:p>
          <w:p w14:paraId="7E6A5CE0" w14:textId="5DCD0624" w:rsidR="003D7FF0" w:rsidRPr="00536D01" w:rsidRDefault="003D7FF0" w:rsidP="009449F5">
            <w:pPr>
              <w:pStyle w:val="Tabletext"/>
              <w:tabs>
                <w:tab w:val="clear" w:pos="284"/>
                <w:tab w:val="clear" w:pos="425"/>
                <w:tab w:val="left" w:pos="356"/>
              </w:tabs>
              <w:spacing w:before="60"/>
              <w:ind w:left="356" w:hanging="356"/>
              <w:rPr>
                <w:sz w:val="20"/>
                <w:lang w:eastAsia="zh-CN"/>
              </w:rPr>
            </w:pPr>
            <w:r w:rsidRPr="00536D01">
              <w:rPr>
                <w:sz w:val="20"/>
                <w:lang w:eastAsia="zh-CN"/>
              </w:rPr>
              <w:t>b)</w:t>
            </w:r>
            <w:r w:rsidR="00A4363A" w:rsidRPr="00536D01">
              <w:rPr>
                <w:sz w:val="20"/>
                <w:lang w:eastAsia="zh-CN"/>
              </w:rPr>
              <w:tab/>
            </w:r>
            <w:r w:rsidR="00D424A4" w:rsidRPr="00D424A4">
              <w:rPr>
                <w:rFonts w:hint="eastAsia"/>
                <w:sz w:val="20"/>
                <w:lang w:eastAsia="zh-CN"/>
              </w:rPr>
              <w:t>道德规范干事</w:t>
            </w:r>
            <w:r w:rsidR="00553ECA" w:rsidRPr="00553ECA">
              <w:rPr>
                <w:rFonts w:hint="eastAsia"/>
                <w:sz w:val="20"/>
                <w:lang w:eastAsia="zh-CN"/>
              </w:rPr>
              <w:t>参与监控此类</w:t>
            </w:r>
            <w:r w:rsidR="00553ECA" w:rsidRPr="00553ECA">
              <w:rPr>
                <w:rFonts w:hint="eastAsia"/>
                <w:sz w:val="20"/>
                <w:lang w:eastAsia="zh-CN"/>
              </w:rPr>
              <w:t>SSA</w:t>
            </w:r>
            <w:r w:rsidR="00553ECA" w:rsidRPr="00553ECA">
              <w:rPr>
                <w:rFonts w:hint="eastAsia"/>
                <w:sz w:val="20"/>
                <w:lang w:eastAsia="zh-CN"/>
              </w:rPr>
              <w:t>声明。</w:t>
            </w:r>
          </w:p>
        </w:tc>
        <w:tc>
          <w:tcPr>
            <w:tcW w:w="1750" w:type="pct"/>
            <w:shd w:val="clear" w:color="auto" w:fill="auto"/>
          </w:tcPr>
          <w:p w14:paraId="5179FC87" w14:textId="0E89DA7A" w:rsidR="003D7FF0" w:rsidRPr="00536D01" w:rsidRDefault="00D424A4" w:rsidP="009449F5">
            <w:pPr>
              <w:pStyle w:val="Tabletext"/>
              <w:rPr>
                <w:sz w:val="20"/>
                <w:lang w:eastAsia="zh-CN"/>
              </w:rPr>
            </w:pPr>
            <w:r w:rsidRPr="00D424A4">
              <w:rPr>
                <w:rFonts w:hint="eastAsia"/>
                <w:sz w:val="20"/>
                <w:lang w:eastAsia="zh-CN"/>
              </w:rPr>
              <w:t>截至</w:t>
            </w:r>
            <w:r w:rsidRPr="00D424A4">
              <w:rPr>
                <w:rFonts w:hint="eastAsia"/>
                <w:sz w:val="20"/>
                <w:lang w:eastAsia="zh-CN"/>
              </w:rPr>
              <w:t>2023</w:t>
            </w:r>
            <w:r w:rsidRPr="00D424A4">
              <w:rPr>
                <w:rFonts w:hint="eastAsia"/>
                <w:sz w:val="20"/>
                <w:lang w:eastAsia="zh-CN"/>
              </w:rPr>
              <w:t>年</w:t>
            </w:r>
            <w:r w:rsidRPr="00D424A4">
              <w:rPr>
                <w:rFonts w:hint="eastAsia"/>
                <w:sz w:val="20"/>
                <w:lang w:eastAsia="zh-CN"/>
              </w:rPr>
              <w:t>12</w:t>
            </w:r>
            <w:r w:rsidRPr="00D424A4">
              <w:rPr>
                <w:rFonts w:hint="eastAsia"/>
                <w:sz w:val="20"/>
                <w:lang w:eastAsia="zh-CN"/>
              </w:rPr>
              <w:t>月的最新进展：</w:t>
            </w:r>
            <w:r w:rsidR="004B1C82">
              <w:rPr>
                <w:rFonts w:hint="eastAsia"/>
                <w:sz w:val="20"/>
                <w:lang w:eastAsia="zh-CN"/>
              </w:rPr>
              <w:t>要求所有</w:t>
            </w:r>
            <w:r w:rsidRPr="00D424A4">
              <w:rPr>
                <w:rFonts w:hint="eastAsia"/>
                <w:sz w:val="20"/>
                <w:lang w:eastAsia="zh-CN"/>
              </w:rPr>
              <w:t>现有合同填写新的电子表格。道德规范干事将全面参与对这些声明的监</w:t>
            </w:r>
            <w:r w:rsidR="004B1C82">
              <w:rPr>
                <w:rFonts w:hint="eastAsia"/>
                <w:sz w:val="20"/>
                <w:lang w:eastAsia="zh-CN"/>
              </w:rPr>
              <w:t>控</w:t>
            </w:r>
            <w:r w:rsidRPr="00D424A4">
              <w:rPr>
                <w:rFonts w:hint="eastAsia"/>
                <w:sz w:val="20"/>
                <w:lang w:eastAsia="zh-CN"/>
              </w:rPr>
              <w:t>。</w:t>
            </w:r>
            <w:proofErr w:type="spellStart"/>
            <w:r w:rsidR="004B1C82" w:rsidRPr="00D424A4">
              <w:rPr>
                <w:rFonts w:hint="eastAsia"/>
                <w:sz w:val="20"/>
                <w:lang w:eastAsia="zh-CN"/>
              </w:rPr>
              <w:t>CoCo</w:t>
            </w:r>
            <w:proofErr w:type="spellEnd"/>
            <w:r w:rsidR="004B1C82">
              <w:rPr>
                <w:rFonts w:hint="eastAsia"/>
                <w:sz w:val="20"/>
                <w:lang w:eastAsia="zh-CN"/>
              </w:rPr>
              <w:t>已</w:t>
            </w:r>
            <w:r w:rsidR="004B1C82" w:rsidRPr="00D424A4">
              <w:rPr>
                <w:rFonts w:hint="eastAsia"/>
                <w:sz w:val="20"/>
                <w:lang w:eastAsia="zh-CN"/>
              </w:rPr>
              <w:t>批准</w:t>
            </w:r>
            <w:r w:rsidR="004B1C82">
              <w:rPr>
                <w:rFonts w:hint="eastAsia"/>
                <w:sz w:val="20"/>
                <w:lang w:eastAsia="zh-CN"/>
              </w:rPr>
              <w:t>覆盖</w:t>
            </w:r>
            <w:r w:rsidRPr="00D424A4">
              <w:rPr>
                <w:rFonts w:hint="eastAsia"/>
                <w:sz w:val="20"/>
                <w:lang w:eastAsia="zh-CN"/>
              </w:rPr>
              <w:t>专家</w:t>
            </w:r>
            <w:r w:rsidRPr="00D424A4">
              <w:rPr>
                <w:rFonts w:hint="eastAsia"/>
                <w:sz w:val="20"/>
                <w:lang w:eastAsia="zh-CN"/>
              </w:rPr>
              <w:t>/</w:t>
            </w:r>
            <w:r w:rsidRPr="00D424A4">
              <w:rPr>
                <w:rFonts w:hint="eastAsia"/>
                <w:sz w:val="20"/>
                <w:lang w:eastAsia="zh-CN"/>
              </w:rPr>
              <w:t>顾问招聘监督和控制</w:t>
            </w:r>
            <w:r w:rsidR="004B1C82">
              <w:rPr>
                <w:rFonts w:hint="eastAsia"/>
                <w:sz w:val="20"/>
                <w:lang w:eastAsia="zh-CN"/>
              </w:rPr>
              <w:t>工作</w:t>
            </w:r>
            <w:r w:rsidRPr="00D424A4">
              <w:rPr>
                <w:rFonts w:hint="eastAsia"/>
                <w:sz w:val="20"/>
                <w:lang w:eastAsia="zh-CN"/>
              </w:rPr>
              <w:t>的全面招聘导则</w:t>
            </w:r>
            <w:r w:rsidR="004B1C82">
              <w:rPr>
                <w:rFonts w:hint="eastAsia"/>
                <w:sz w:val="20"/>
                <w:lang w:eastAsia="zh-CN"/>
              </w:rPr>
              <w:t>，</w:t>
            </w:r>
            <w:r w:rsidRPr="00D424A4">
              <w:rPr>
                <w:rFonts w:hint="eastAsia"/>
                <w:sz w:val="20"/>
                <w:lang w:eastAsia="zh-CN"/>
              </w:rPr>
              <w:t>并在内联网上公布。已推出涵盖专家</w:t>
            </w:r>
            <w:r w:rsidRPr="00D424A4">
              <w:rPr>
                <w:rFonts w:hint="eastAsia"/>
                <w:sz w:val="20"/>
                <w:lang w:eastAsia="zh-CN"/>
              </w:rPr>
              <w:t>/</w:t>
            </w:r>
            <w:r w:rsidRPr="00D424A4">
              <w:rPr>
                <w:rFonts w:hint="eastAsia"/>
                <w:sz w:val="20"/>
                <w:lang w:eastAsia="zh-CN"/>
              </w:rPr>
              <w:t>顾问</w:t>
            </w:r>
            <w:r w:rsidR="004B1C82">
              <w:rPr>
                <w:rFonts w:hint="eastAsia"/>
                <w:sz w:val="20"/>
                <w:lang w:eastAsia="zh-CN"/>
              </w:rPr>
              <w:t>整个</w:t>
            </w:r>
            <w:r w:rsidRPr="00D424A4">
              <w:rPr>
                <w:rFonts w:hint="eastAsia"/>
                <w:sz w:val="20"/>
                <w:lang w:eastAsia="zh-CN"/>
              </w:rPr>
              <w:t>招聘程序的招聘管理系统，其中包括完整的系统和控制流程。</w:t>
            </w:r>
          </w:p>
          <w:p w14:paraId="4FD9AA53" w14:textId="5FD0CDD0" w:rsidR="003D7FF0" w:rsidRPr="00536D01" w:rsidRDefault="00D424A4" w:rsidP="009449F5">
            <w:pPr>
              <w:pStyle w:val="Tabletext"/>
              <w:rPr>
                <w:sz w:val="20"/>
                <w:lang w:eastAsia="zh-CN"/>
              </w:rPr>
            </w:pPr>
            <w:r w:rsidRPr="00D424A4">
              <w:rPr>
                <w:rFonts w:hint="eastAsia"/>
                <w:sz w:val="20"/>
                <w:lang w:eastAsia="zh-CN"/>
              </w:rPr>
              <w:lastRenderedPageBreak/>
              <w:t>截至</w:t>
            </w:r>
            <w:r w:rsidRPr="00D424A4">
              <w:rPr>
                <w:rFonts w:hint="eastAsia"/>
                <w:sz w:val="20"/>
                <w:lang w:eastAsia="zh-CN"/>
              </w:rPr>
              <w:t>2024</w:t>
            </w:r>
            <w:r w:rsidRPr="00D424A4">
              <w:rPr>
                <w:rFonts w:hint="eastAsia"/>
                <w:sz w:val="20"/>
                <w:lang w:eastAsia="zh-CN"/>
              </w:rPr>
              <w:t>年</w:t>
            </w:r>
            <w:r w:rsidRPr="00D424A4">
              <w:rPr>
                <w:rFonts w:hint="eastAsia"/>
                <w:sz w:val="20"/>
                <w:lang w:eastAsia="zh-CN"/>
              </w:rPr>
              <w:t>2</w:t>
            </w:r>
            <w:r w:rsidRPr="00D424A4">
              <w:rPr>
                <w:rFonts w:hint="eastAsia"/>
                <w:sz w:val="20"/>
                <w:lang w:eastAsia="zh-CN"/>
              </w:rPr>
              <w:t>月的最新进展：根据第</w:t>
            </w:r>
            <w:r w:rsidRPr="00D424A4">
              <w:rPr>
                <w:rFonts w:hint="eastAsia"/>
                <w:sz w:val="20"/>
                <w:lang w:eastAsia="zh-CN"/>
              </w:rPr>
              <w:t>22/02</w:t>
            </w:r>
            <w:r w:rsidRPr="00D424A4">
              <w:rPr>
                <w:rFonts w:hint="eastAsia"/>
                <w:sz w:val="20"/>
                <w:lang w:eastAsia="zh-CN"/>
              </w:rPr>
              <w:t>号行政规定</w:t>
            </w:r>
            <w:r w:rsidR="00F03B9C">
              <w:rPr>
                <w:rFonts w:hint="eastAsia"/>
                <w:sz w:val="20"/>
                <w:lang w:eastAsia="zh-CN"/>
              </w:rPr>
              <w:t>《</w:t>
            </w:r>
            <w:r w:rsidRPr="00D424A4">
              <w:rPr>
                <w:rFonts w:hint="eastAsia"/>
                <w:sz w:val="20"/>
                <w:lang w:eastAsia="zh-CN"/>
              </w:rPr>
              <w:t>国际电联利益申报政策</w:t>
            </w:r>
            <w:r w:rsidR="00F03B9C">
              <w:rPr>
                <w:rFonts w:hint="eastAsia"/>
                <w:sz w:val="20"/>
                <w:lang w:eastAsia="zh-CN"/>
              </w:rPr>
              <w:t>》</w:t>
            </w:r>
            <w:r w:rsidRPr="00D424A4">
              <w:rPr>
                <w:rFonts w:hint="eastAsia"/>
                <w:sz w:val="20"/>
                <w:lang w:eastAsia="zh-CN"/>
              </w:rPr>
              <w:t>（以及第</w:t>
            </w:r>
            <w:r w:rsidRPr="00D424A4">
              <w:rPr>
                <w:rFonts w:hint="eastAsia"/>
                <w:sz w:val="20"/>
                <w:lang w:eastAsia="zh-CN"/>
              </w:rPr>
              <w:t>24/16</w:t>
            </w:r>
            <w:r w:rsidRPr="00D424A4">
              <w:rPr>
                <w:rFonts w:hint="eastAsia"/>
                <w:sz w:val="20"/>
                <w:lang w:eastAsia="zh-CN"/>
              </w:rPr>
              <w:t>号行政规定），年度强制性利益申报现适用于顾问和</w:t>
            </w:r>
            <w:r w:rsidRPr="00D424A4">
              <w:rPr>
                <w:rFonts w:hint="eastAsia"/>
                <w:sz w:val="20"/>
                <w:lang w:eastAsia="zh-CN"/>
              </w:rPr>
              <w:t>SSA</w:t>
            </w:r>
            <w:r w:rsidRPr="00D424A4">
              <w:rPr>
                <w:rFonts w:hint="eastAsia"/>
                <w:sz w:val="20"/>
                <w:lang w:eastAsia="zh-CN"/>
              </w:rPr>
              <w:t>合同持有</w:t>
            </w:r>
            <w:r w:rsidR="00F03B9C">
              <w:rPr>
                <w:rFonts w:hint="eastAsia"/>
                <w:sz w:val="20"/>
                <w:lang w:eastAsia="zh-CN"/>
              </w:rPr>
              <w:t>者</w:t>
            </w:r>
            <w:r>
              <w:rPr>
                <w:rFonts w:hint="eastAsia"/>
                <w:sz w:val="20"/>
                <w:lang w:eastAsia="zh-CN"/>
              </w:rPr>
              <w:t>。</w:t>
            </w:r>
          </w:p>
          <w:p w14:paraId="6C67FF7A" w14:textId="39F8E93E" w:rsidR="003D7FF0" w:rsidRPr="00536D01" w:rsidRDefault="00F03B9C" w:rsidP="009449F5">
            <w:pPr>
              <w:pStyle w:val="Tabletext"/>
              <w:rPr>
                <w:sz w:val="20"/>
                <w:lang w:eastAsia="zh-CN"/>
              </w:rPr>
            </w:pPr>
            <w:r w:rsidRPr="00F03B9C">
              <w:rPr>
                <w:rFonts w:hint="eastAsia"/>
                <w:sz w:val="20"/>
                <w:lang w:eastAsia="zh-CN"/>
              </w:rPr>
              <w:t>截至</w:t>
            </w:r>
            <w:r w:rsidR="00D424A4" w:rsidRPr="00D424A4">
              <w:rPr>
                <w:rFonts w:hint="eastAsia"/>
                <w:sz w:val="20"/>
                <w:lang w:eastAsia="zh-CN"/>
              </w:rPr>
              <w:t>2025</w:t>
            </w:r>
            <w:r w:rsidR="00D424A4" w:rsidRPr="00D424A4">
              <w:rPr>
                <w:rFonts w:hint="eastAsia"/>
                <w:sz w:val="20"/>
                <w:lang w:eastAsia="zh-CN"/>
              </w:rPr>
              <w:t>年</w:t>
            </w:r>
            <w:r w:rsidR="00D424A4" w:rsidRPr="00D424A4">
              <w:rPr>
                <w:rFonts w:hint="eastAsia"/>
                <w:sz w:val="20"/>
                <w:lang w:eastAsia="zh-CN"/>
              </w:rPr>
              <w:t>2</w:t>
            </w:r>
            <w:r w:rsidR="00D424A4" w:rsidRPr="00D424A4">
              <w:rPr>
                <w:rFonts w:hint="eastAsia"/>
                <w:sz w:val="20"/>
                <w:lang w:eastAsia="zh-CN"/>
              </w:rPr>
              <w:t>月</w:t>
            </w:r>
            <w:r>
              <w:rPr>
                <w:rFonts w:hint="eastAsia"/>
                <w:sz w:val="20"/>
                <w:lang w:eastAsia="zh-CN"/>
              </w:rPr>
              <w:t>的</w:t>
            </w:r>
            <w:r w:rsidR="00D424A4" w:rsidRPr="00D424A4">
              <w:rPr>
                <w:rFonts w:hint="eastAsia"/>
                <w:sz w:val="20"/>
                <w:lang w:eastAsia="zh-CN"/>
              </w:rPr>
              <w:t>最新</w:t>
            </w:r>
            <w:r>
              <w:rPr>
                <w:rFonts w:hint="eastAsia"/>
                <w:sz w:val="20"/>
                <w:lang w:eastAsia="zh-CN"/>
              </w:rPr>
              <w:t>进展</w:t>
            </w:r>
            <w:r w:rsidR="00D424A4" w:rsidRPr="00D424A4">
              <w:rPr>
                <w:rFonts w:hint="eastAsia"/>
                <w:sz w:val="20"/>
                <w:lang w:eastAsia="zh-CN"/>
              </w:rPr>
              <w:t>：引入</w:t>
            </w:r>
            <w:r>
              <w:rPr>
                <w:rFonts w:hint="eastAsia"/>
                <w:sz w:val="20"/>
                <w:lang w:eastAsia="zh-CN"/>
              </w:rPr>
              <w:t>了</w:t>
            </w:r>
            <w:r w:rsidR="00D424A4" w:rsidRPr="00D424A4">
              <w:rPr>
                <w:rFonts w:hint="eastAsia"/>
                <w:sz w:val="20"/>
                <w:lang w:eastAsia="zh-CN"/>
              </w:rPr>
              <w:t>控制措施以加强合规性，特别是</w:t>
            </w:r>
            <w:r>
              <w:rPr>
                <w:rFonts w:hint="eastAsia"/>
                <w:sz w:val="20"/>
                <w:lang w:eastAsia="zh-CN"/>
              </w:rPr>
              <w:t>针对</w:t>
            </w:r>
            <w:r w:rsidR="00D424A4" w:rsidRPr="00D424A4">
              <w:rPr>
                <w:rFonts w:hint="eastAsia"/>
                <w:sz w:val="20"/>
                <w:lang w:eastAsia="zh-CN"/>
              </w:rPr>
              <w:t>SSA</w:t>
            </w:r>
            <w:r w:rsidR="00D424A4" w:rsidRPr="00D424A4">
              <w:rPr>
                <w:rFonts w:hint="eastAsia"/>
                <w:sz w:val="20"/>
                <w:lang w:eastAsia="zh-CN"/>
              </w:rPr>
              <w:t>支付</w:t>
            </w:r>
            <w:r>
              <w:rPr>
                <w:rFonts w:hint="eastAsia"/>
                <w:sz w:val="20"/>
                <w:lang w:eastAsia="zh-CN"/>
              </w:rPr>
              <w:t>和合同按时结束</w:t>
            </w:r>
            <w:r w:rsidR="00D424A4" w:rsidRPr="00D424A4">
              <w:rPr>
                <w:rFonts w:hint="eastAsia"/>
                <w:sz w:val="20"/>
                <w:lang w:eastAsia="zh-CN"/>
              </w:rPr>
              <w:t>的标准</w:t>
            </w:r>
            <w:r>
              <w:rPr>
                <w:rFonts w:hint="eastAsia"/>
                <w:sz w:val="20"/>
                <w:lang w:eastAsia="zh-CN"/>
              </w:rPr>
              <w:t>操</w:t>
            </w:r>
            <w:r w:rsidR="00D424A4" w:rsidRPr="00D424A4">
              <w:rPr>
                <w:rFonts w:hint="eastAsia"/>
                <w:sz w:val="20"/>
                <w:lang w:eastAsia="zh-CN"/>
              </w:rPr>
              <w:t>作程序，</w:t>
            </w:r>
            <w:r>
              <w:rPr>
                <w:rFonts w:hint="eastAsia"/>
                <w:sz w:val="20"/>
                <w:lang w:eastAsia="zh-CN"/>
              </w:rPr>
              <w:t>并要求</w:t>
            </w:r>
            <w:r w:rsidR="00D424A4" w:rsidRPr="00D424A4">
              <w:rPr>
                <w:rFonts w:hint="eastAsia"/>
                <w:sz w:val="20"/>
                <w:lang w:eastAsia="zh-CN"/>
              </w:rPr>
              <w:t>管理人员证明</w:t>
            </w:r>
            <w:r>
              <w:rPr>
                <w:rFonts w:hint="eastAsia"/>
                <w:sz w:val="20"/>
                <w:lang w:eastAsia="zh-CN"/>
              </w:rPr>
              <w:t>输出成果</w:t>
            </w:r>
            <w:r w:rsidR="00D424A4" w:rsidRPr="00D424A4">
              <w:rPr>
                <w:rFonts w:hint="eastAsia"/>
                <w:sz w:val="20"/>
                <w:lang w:eastAsia="zh-CN"/>
              </w:rPr>
              <w:t>已</w:t>
            </w:r>
            <w:r>
              <w:rPr>
                <w:rFonts w:hint="eastAsia"/>
                <w:sz w:val="20"/>
                <w:lang w:eastAsia="zh-CN"/>
              </w:rPr>
              <w:t>完成</w:t>
            </w:r>
            <w:r w:rsidR="00D424A4" w:rsidRPr="00D424A4">
              <w:rPr>
                <w:rFonts w:hint="eastAsia"/>
                <w:sz w:val="20"/>
                <w:lang w:eastAsia="zh-CN"/>
              </w:rPr>
              <w:t>。此外，还制定了适用于所有</w:t>
            </w:r>
            <w:r w:rsidR="00D424A4" w:rsidRPr="00D424A4">
              <w:rPr>
                <w:rFonts w:hint="eastAsia"/>
                <w:sz w:val="20"/>
                <w:lang w:eastAsia="zh-CN"/>
              </w:rPr>
              <w:t>SSA</w:t>
            </w:r>
            <w:r w:rsidR="00D424A4" w:rsidRPr="00D424A4">
              <w:rPr>
                <w:rFonts w:hint="eastAsia"/>
                <w:sz w:val="20"/>
                <w:lang w:eastAsia="zh-CN"/>
              </w:rPr>
              <w:t>持有者的新</w:t>
            </w:r>
            <w:r>
              <w:rPr>
                <w:rFonts w:hint="eastAsia"/>
                <w:sz w:val="20"/>
                <w:lang w:eastAsia="zh-CN"/>
              </w:rPr>
              <w:t>的</w:t>
            </w:r>
            <w:r w:rsidR="00D424A4" w:rsidRPr="00D424A4">
              <w:rPr>
                <w:rFonts w:hint="eastAsia"/>
                <w:sz w:val="20"/>
                <w:lang w:eastAsia="zh-CN"/>
              </w:rPr>
              <w:t>《</w:t>
            </w:r>
            <w:r w:rsidR="00D424A4" w:rsidRPr="00D424A4">
              <w:rPr>
                <w:rFonts w:hint="eastAsia"/>
                <w:sz w:val="20"/>
                <w:lang w:eastAsia="zh-CN"/>
              </w:rPr>
              <w:t>SSA</w:t>
            </w:r>
            <w:r w:rsidR="00D424A4" w:rsidRPr="00D424A4">
              <w:rPr>
                <w:rFonts w:hint="eastAsia"/>
                <w:sz w:val="20"/>
                <w:lang w:eastAsia="zh-CN"/>
              </w:rPr>
              <w:t>利益冲突</w:t>
            </w:r>
            <w:r>
              <w:rPr>
                <w:rFonts w:hint="eastAsia"/>
                <w:sz w:val="20"/>
                <w:lang w:eastAsia="zh-CN"/>
              </w:rPr>
              <w:t>指南</w:t>
            </w:r>
            <w:r w:rsidR="00D424A4" w:rsidRPr="00D424A4">
              <w:rPr>
                <w:rFonts w:hint="eastAsia"/>
                <w:sz w:val="20"/>
                <w:lang w:eastAsia="zh-CN"/>
              </w:rPr>
              <w:t>》，以</w:t>
            </w:r>
            <w:r>
              <w:rPr>
                <w:rFonts w:hint="eastAsia"/>
                <w:sz w:val="20"/>
                <w:lang w:eastAsia="zh-CN"/>
              </w:rPr>
              <w:t>推动</w:t>
            </w:r>
            <w:r w:rsidR="00D424A4" w:rsidRPr="00D424A4">
              <w:rPr>
                <w:rFonts w:hint="eastAsia"/>
                <w:sz w:val="20"/>
                <w:lang w:eastAsia="zh-CN"/>
              </w:rPr>
              <w:t>对实际或潜在冲突进行强制性申报和监</w:t>
            </w:r>
            <w:r>
              <w:rPr>
                <w:rFonts w:hint="eastAsia"/>
                <w:sz w:val="20"/>
                <w:lang w:eastAsia="zh-CN"/>
              </w:rPr>
              <w:t>控</w:t>
            </w:r>
            <w:r w:rsidR="00D424A4" w:rsidRPr="00D424A4">
              <w:rPr>
                <w:rFonts w:hint="eastAsia"/>
                <w:sz w:val="20"/>
                <w:lang w:eastAsia="zh-CN"/>
              </w:rPr>
              <w:t>。强制性申报在</w:t>
            </w:r>
            <w:r>
              <w:rPr>
                <w:rFonts w:hint="eastAsia"/>
                <w:sz w:val="20"/>
                <w:lang w:eastAsia="zh-CN"/>
              </w:rPr>
              <w:t>线</w:t>
            </w:r>
            <w:r w:rsidR="00D424A4" w:rsidRPr="00D424A4">
              <w:rPr>
                <w:rFonts w:hint="eastAsia"/>
                <w:sz w:val="20"/>
                <w:lang w:eastAsia="zh-CN"/>
              </w:rPr>
              <w:t>上进行，副本</w:t>
            </w:r>
            <w:r>
              <w:rPr>
                <w:rFonts w:hint="eastAsia"/>
                <w:sz w:val="20"/>
                <w:lang w:eastAsia="zh-CN"/>
              </w:rPr>
              <w:t>将</w:t>
            </w:r>
            <w:r w:rsidR="00D424A4" w:rsidRPr="00D424A4">
              <w:rPr>
                <w:rFonts w:hint="eastAsia"/>
                <w:sz w:val="20"/>
                <w:lang w:eastAsia="zh-CN"/>
              </w:rPr>
              <w:t>自动发送至道德规范办公室和</w:t>
            </w:r>
            <w:r w:rsidR="00D424A4" w:rsidRPr="00D424A4">
              <w:rPr>
                <w:rFonts w:hint="eastAsia"/>
                <w:sz w:val="20"/>
                <w:lang w:eastAsia="zh-CN"/>
              </w:rPr>
              <w:t>HRMD</w:t>
            </w:r>
            <w:r w:rsidR="00D424A4" w:rsidRPr="00D424A4">
              <w:rPr>
                <w:rFonts w:hint="eastAsia"/>
                <w:sz w:val="20"/>
                <w:lang w:eastAsia="zh-CN"/>
              </w:rPr>
              <w:t>。目前正在更新</w:t>
            </w:r>
            <w:r w:rsidR="00D424A4" w:rsidRPr="00D424A4">
              <w:rPr>
                <w:rFonts w:hint="eastAsia"/>
                <w:sz w:val="20"/>
                <w:lang w:eastAsia="zh-CN"/>
              </w:rPr>
              <w:t>2010</w:t>
            </w:r>
            <w:r w:rsidR="00D424A4" w:rsidRPr="00D424A4">
              <w:rPr>
                <w:rFonts w:hint="eastAsia"/>
                <w:sz w:val="20"/>
                <w:lang w:eastAsia="zh-CN"/>
              </w:rPr>
              <w:t>年</w:t>
            </w:r>
            <w:r>
              <w:rPr>
                <w:rFonts w:hint="eastAsia"/>
                <w:sz w:val="20"/>
                <w:lang w:eastAsia="zh-CN"/>
              </w:rPr>
              <w:t>版</w:t>
            </w:r>
            <w:r w:rsidR="00D424A4" w:rsidRPr="00D424A4">
              <w:rPr>
                <w:rFonts w:hint="eastAsia"/>
                <w:sz w:val="20"/>
                <w:lang w:eastAsia="zh-CN"/>
              </w:rPr>
              <w:t>SSA</w:t>
            </w:r>
            <w:r w:rsidR="00D424A4" w:rsidRPr="00D424A4">
              <w:rPr>
                <w:rFonts w:hint="eastAsia"/>
                <w:sz w:val="20"/>
                <w:lang w:eastAsia="zh-CN"/>
              </w:rPr>
              <w:t>政策（包括</w:t>
            </w:r>
            <w:r>
              <w:rPr>
                <w:rFonts w:hint="eastAsia"/>
                <w:sz w:val="20"/>
                <w:lang w:eastAsia="zh-CN"/>
              </w:rPr>
              <w:t>适用于</w:t>
            </w:r>
            <w:r w:rsidR="00D424A4" w:rsidRPr="00D424A4">
              <w:rPr>
                <w:rFonts w:hint="eastAsia"/>
                <w:sz w:val="20"/>
                <w:lang w:eastAsia="zh-CN"/>
              </w:rPr>
              <w:t>薪酬表的政策）。</w:t>
            </w:r>
            <w:r>
              <w:rPr>
                <w:rFonts w:hint="eastAsia"/>
                <w:sz w:val="20"/>
                <w:lang w:eastAsia="zh-CN"/>
              </w:rPr>
              <w:t>更新后的政策</w:t>
            </w:r>
            <w:r w:rsidR="00D424A4" w:rsidRPr="00D424A4">
              <w:rPr>
                <w:rFonts w:hint="eastAsia"/>
                <w:sz w:val="20"/>
                <w:lang w:eastAsia="zh-CN"/>
              </w:rPr>
              <w:t>将于</w:t>
            </w:r>
            <w:r w:rsidR="00D424A4" w:rsidRPr="00D424A4">
              <w:rPr>
                <w:rFonts w:hint="eastAsia"/>
                <w:sz w:val="20"/>
                <w:lang w:eastAsia="zh-CN"/>
              </w:rPr>
              <w:t>2025</w:t>
            </w:r>
            <w:r w:rsidR="00D424A4" w:rsidRPr="00D424A4">
              <w:rPr>
                <w:rFonts w:hint="eastAsia"/>
                <w:sz w:val="20"/>
                <w:lang w:eastAsia="zh-CN"/>
              </w:rPr>
              <w:t>年第二季度发布，为</w:t>
            </w:r>
            <w:r>
              <w:rPr>
                <w:rFonts w:hint="eastAsia"/>
                <w:sz w:val="20"/>
                <w:lang w:eastAsia="zh-CN"/>
              </w:rPr>
              <w:t>顾问</w:t>
            </w:r>
            <w:r w:rsidR="00D424A4" w:rsidRPr="00D424A4">
              <w:rPr>
                <w:rFonts w:hint="eastAsia"/>
                <w:sz w:val="20"/>
                <w:lang w:eastAsia="zh-CN"/>
              </w:rPr>
              <w:t>合同的使用和限制提供更明确的</w:t>
            </w:r>
            <w:r>
              <w:rPr>
                <w:rFonts w:hint="eastAsia"/>
                <w:sz w:val="20"/>
                <w:lang w:eastAsia="zh-CN"/>
              </w:rPr>
              <w:t>导则</w:t>
            </w:r>
            <w:r w:rsidR="00D424A4" w:rsidRPr="00D424A4">
              <w:rPr>
                <w:rFonts w:hint="eastAsia"/>
                <w:sz w:val="20"/>
                <w:lang w:eastAsia="zh-CN"/>
              </w:rPr>
              <w:t>（例如，每人</w:t>
            </w:r>
            <w:r>
              <w:rPr>
                <w:rFonts w:hint="eastAsia"/>
                <w:sz w:val="20"/>
                <w:lang w:eastAsia="zh-CN"/>
              </w:rPr>
              <w:t>一次</w:t>
            </w:r>
            <w:r w:rsidR="00D424A4" w:rsidRPr="00D424A4">
              <w:rPr>
                <w:rFonts w:hint="eastAsia"/>
                <w:sz w:val="20"/>
                <w:lang w:eastAsia="zh-CN"/>
              </w:rPr>
              <w:t>只能与国际电联签订一份合同）。</w:t>
            </w:r>
          </w:p>
          <w:p w14:paraId="6CC0D68A" w14:textId="4CFE6669" w:rsidR="003D7FF0" w:rsidRPr="00536D01" w:rsidRDefault="00D424A4" w:rsidP="009449F5">
            <w:pPr>
              <w:pStyle w:val="Tabletext"/>
              <w:rPr>
                <w:sz w:val="20"/>
                <w:lang w:eastAsia="zh-CN"/>
              </w:rPr>
            </w:pPr>
            <w:r w:rsidRPr="00D424A4">
              <w:rPr>
                <w:rFonts w:hint="eastAsia"/>
                <w:sz w:val="20"/>
                <w:lang w:eastAsia="zh-CN"/>
              </w:rPr>
              <w:t>国际电联认为该建议已得到实施。</w:t>
            </w:r>
          </w:p>
        </w:tc>
        <w:tc>
          <w:tcPr>
            <w:tcW w:w="1050" w:type="pct"/>
            <w:shd w:val="clear" w:color="auto" w:fill="auto"/>
          </w:tcPr>
          <w:p w14:paraId="3CF369A3" w14:textId="7520AF0A" w:rsidR="003D7FF0" w:rsidRPr="00536D01" w:rsidRDefault="00D424A4" w:rsidP="009449F5">
            <w:pPr>
              <w:pStyle w:val="Tabletext"/>
              <w:rPr>
                <w:sz w:val="20"/>
              </w:rPr>
            </w:pPr>
            <w:r w:rsidRPr="00D424A4">
              <w:rPr>
                <w:rFonts w:hint="eastAsia"/>
                <w:sz w:val="20"/>
                <w:lang w:eastAsia="zh-CN"/>
              </w:rPr>
              <w:lastRenderedPageBreak/>
              <w:t>注意到最新回应</w:t>
            </w:r>
            <w:r w:rsidR="00436742">
              <w:rPr>
                <w:rFonts w:hint="eastAsia"/>
                <w:sz w:val="20"/>
                <w:lang w:eastAsia="zh-CN"/>
              </w:rPr>
              <w:t>，</w:t>
            </w:r>
            <w:r w:rsidRPr="00D424A4">
              <w:rPr>
                <w:rFonts w:hint="eastAsia"/>
                <w:sz w:val="20"/>
                <w:lang w:eastAsia="zh-CN"/>
              </w:rPr>
              <w:t>并认为是合理的。该建议已</w:t>
            </w:r>
            <w:r w:rsidR="00436742">
              <w:rPr>
                <w:rFonts w:hint="eastAsia"/>
                <w:sz w:val="20"/>
                <w:lang w:eastAsia="zh-CN"/>
              </w:rPr>
              <w:t>完成</w:t>
            </w:r>
            <w:r w:rsidRPr="00D424A4">
              <w:rPr>
                <w:rFonts w:hint="eastAsia"/>
                <w:sz w:val="20"/>
              </w:rPr>
              <w:t>。</w:t>
            </w:r>
          </w:p>
        </w:tc>
        <w:tc>
          <w:tcPr>
            <w:tcW w:w="450" w:type="pct"/>
            <w:shd w:val="clear" w:color="auto" w:fill="auto"/>
          </w:tcPr>
          <w:p w14:paraId="612875A5" w14:textId="412CD273" w:rsidR="003D7FF0" w:rsidRPr="00536D01" w:rsidRDefault="00A62A5A" w:rsidP="009449F5">
            <w:pPr>
              <w:pStyle w:val="Tabletext"/>
              <w:rPr>
                <w:sz w:val="20"/>
              </w:rPr>
            </w:pPr>
            <w:r>
              <w:rPr>
                <w:rFonts w:ascii="SimSun" w:eastAsia="SimSun" w:hAnsi="SimSun" w:cs="SimSun" w:hint="eastAsia"/>
                <w:color w:val="000000"/>
                <w:sz w:val="20"/>
                <w:lang w:eastAsia="zh-CN"/>
              </w:rPr>
              <w:t>已关闭。</w:t>
            </w:r>
          </w:p>
        </w:tc>
      </w:tr>
      <w:tr w:rsidR="003D7FF0" w:rsidRPr="00536D01" w14:paraId="14F36F5B" w14:textId="77777777" w:rsidTr="00E6035E">
        <w:tc>
          <w:tcPr>
            <w:tcW w:w="300" w:type="pct"/>
            <w:shd w:val="clear" w:color="auto" w:fill="auto"/>
          </w:tcPr>
          <w:p w14:paraId="7DFEABDE" w14:textId="77777777" w:rsidR="003D7FF0" w:rsidRPr="00536D01" w:rsidRDefault="003D7FF0" w:rsidP="00786ECB">
            <w:pPr>
              <w:pStyle w:val="Tabletext"/>
              <w:rPr>
                <w:sz w:val="20"/>
              </w:rPr>
            </w:pPr>
            <w:r w:rsidRPr="00536D01">
              <w:rPr>
                <w:sz w:val="20"/>
              </w:rPr>
              <w:t>2021 R#17</w:t>
            </w:r>
          </w:p>
        </w:tc>
        <w:tc>
          <w:tcPr>
            <w:tcW w:w="1450" w:type="pct"/>
            <w:shd w:val="clear" w:color="auto" w:fill="auto"/>
          </w:tcPr>
          <w:p w14:paraId="2E1461D4" w14:textId="5D016794" w:rsidR="003D7FF0" w:rsidRPr="00536D01" w:rsidRDefault="00D424A4" w:rsidP="00553ECA">
            <w:pPr>
              <w:pStyle w:val="Tabletext"/>
              <w:rPr>
                <w:sz w:val="20"/>
                <w:lang w:eastAsia="zh-CN"/>
              </w:rPr>
            </w:pPr>
            <w:r w:rsidRPr="00D424A4">
              <w:rPr>
                <w:rFonts w:hint="eastAsia"/>
                <w:sz w:val="20"/>
                <w:lang w:eastAsia="zh-CN"/>
              </w:rPr>
              <w:t>管理层继续努力：</w:t>
            </w:r>
            <w:proofErr w:type="spellStart"/>
            <w:r w:rsidR="00553ECA" w:rsidRPr="00553ECA">
              <w:rPr>
                <w:rFonts w:hint="eastAsia"/>
                <w:sz w:val="20"/>
                <w:lang w:eastAsia="zh-CN"/>
              </w:rPr>
              <w:t>i</w:t>
            </w:r>
            <w:proofErr w:type="spellEnd"/>
            <w:r w:rsidR="00553ECA" w:rsidRPr="00553ECA">
              <w:rPr>
                <w:rFonts w:hint="eastAsia"/>
                <w:sz w:val="20"/>
                <w:lang w:eastAsia="zh-CN"/>
              </w:rPr>
              <w:t xml:space="preserve">) </w:t>
            </w:r>
            <w:r w:rsidR="00553ECA" w:rsidRPr="00553ECA">
              <w:rPr>
                <w:rFonts w:hint="eastAsia"/>
                <w:sz w:val="20"/>
                <w:lang w:eastAsia="zh-CN"/>
              </w:rPr>
              <w:t>追回被欺诈的金额，与地方当局达成协议以试图追回这些金额；</w:t>
            </w:r>
            <w:r w:rsidR="009449F5">
              <w:rPr>
                <w:sz w:val="20"/>
                <w:lang w:val="en-US" w:eastAsia="zh-CN"/>
              </w:rPr>
              <w:br/>
            </w:r>
            <w:r w:rsidR="00553ECA" w:rsidRPr="00553ECA">
              <w:rPr>
                <w:rFonts w:hint="eastAsia"/>
                <w:sz w:val="20"/>
                <w:lang w:eastAsia="zh-CN"/>
              </w:rPr>
              <w:t xml:space="preserve">ii) </w:t>
            </w:r>
            <w:r w:rsidR="00553ECA" w:rsidRPr="00553ECA">
              <w:rPr>
                <w:rFonts w:hint="eastAsia"/>
                <w:sz w:val="20"/>
                <w:lang w:eastAsia="zh-CN"/>
              </w:rPr>
              <w:t>同时与捐助成员国达成事前协议，以帮助建立法律和合同框架，更好地起诉损害国际电联或捐助方的欺诈行为。</w:t>
            </w:r>
          </w:p>
        </w:tc>
        <w:tc>
          <w:tcPr>
            <w:tcW w:w="1750" w:type="pct"/>
            <w:shd w:val="clear" w:color="auto" w:fill="auto"/>
          </w:tcPr>
          <w:p w14:paraId="5EF9D75B" w14:textId="79B0ADB9" w:rsidR="003D7FF0" w:rsidRPr="00536D01" w:rsidRDefault="00D424A4" w:rsidP="00786ECB">
            <w:pPr>
              <w:pStyle w:val="Tabletext"/>
              <w:rPr>
                <w:sz w:val="20"/>
                <w:lang w:eastAsia="zh-CN"/>
              </w:rPr>
            </w:pPr>
            <w:r w:rsidRPr="00D424A4">
              <w:rPr>
                <w:rFonts w:hint="eastAsia"/>
                <w:sz w:val="20"/>
                <w:lang w:eastAsia="zh-CN"/>
              </w:rPr>
              <w:t>在国际电联提出</w:t>
            </w:r>
            <w:r w:rsidR="00F33D55">
              <w:rPr>
                <w:rFonts w:hint="eastAsia"/>
                <w:sz w:val="20"/>
                <w:lang w:eastAsia="zh-CN"/>
              </w:rPr>
              <w:t>控告</w:t>
            </w:r>
            <w:r w:rsidRPr="00D424A4">
              <w:rPr>
                <w:rFonts w:hint="eastAsia"/>
                <w:sz w:val="20"/>
                <w:lang w:eastAsia="zh-CN"/>
              </w:rPr>
              <w:t>后，泰国反腐败机构目前正在对</w:t>
            </w:r>
            <w:r w:rsidR="00F33D55">
              <w:rPr>
                <w:rFonts w:hint="eastAsia"/>
                <w:sz w:val="20"/>
                <w:lang w:eastAsia="zh-CN"/>
              </w:rPr>
              <w:t>犯罪</w:t>
            </w:r>
            <w:r w:rsidRPr="00D424A4">
              <w:rPr>
                <w:rFonts w:hint="eastAsia"/>
                <w:sz w:val="20"/>
                <w:lang w:eastAsia="zh-CN"/>
              </w:rPr>
              <w:t>者进行调查。国际电联秘书处正在应泰国当局要求提供必要证据。该案正在</w:t>
            </w:r>
            <w:r w:rsidR="00F33D55" w:rsidRPr="00D424A4">
              <w:rPr>
                <w:rFonts w:hint="eastAsia"/>
                <w:sz w:val="20"/>
                <w:lang w:eastAsia="zh-CN"/>
              </w:rPr>
              <w:t>泰国</w:t>
            </w:r>
            <w:r w:rsidRPr="00D424A4">
              <w:rPr>
                <w:rFonts w:hint="eastAsia"/>
                <w:sz w:val="20"/>
                <w:lang w:eastAsia="zh-CN"/>
              </w:rPr>
              <w:t>审理中。此外，与捐助方达成的所有协议现在</w:t>
            </w:r>
            <w:r w:rsidR="00F33D55">
              <w:rPr>
                <w:rFonts w:hint="eastAsia"/>
                <w:sz w:val="20"/>
                <w:lang w:eastAsia="zh-CN"/>
              </w:rPr>
              <w:t>均</w:t>
            </w:r>
            <w:r w:rsidRPr="00D424A4">
              <w:rPr>
                <w:rFonts w:hint="eastAsia"/>
                <w:sz w:val="20"/>
                <w:lang w:eastAsia="zh-CN"/>
              </w:rPr>
              <w:t>包</w:t>
            </w:r>
            <w:r w:rsidR="00F33D55">
              <w:rPr>
                <w:rFonts w:hint="eastAsia"/>
                <w:sz w:val="20"/>
                <w:lang w:eastAsia="zh-CN"/>
              </w:rPr>
              <w:t>含</w:t>
            </w:r>
            <w:r w:rsidRPr="00D424A4">
              <w:rPr>
                <w:rFonts w:hint="eastAsia"/>
                <w:sz w:val="20"/>
                <w:lang w:eastAsia="zh-CN"/>
              </w:rPr>
              <w:t>审计和调查条款。</w:t>
            </w:r>
          </w:p>
          <w:p w14:paraId="31C7B9FE" w14:textId="682D0613" w:rsidR="003D7FF0" w:rsidRPr="00536D01" w:rsidRDefault="00D424A4" w:rsidP="00786ECB">
            <w:pPr>
              <w:pStyle w:val="Tabletext"/>
              <w:rPr>
                <w:sz w:val="20"/>
                <w:lang w:eastAsia="zh-CN"/>
              </w:rPr>
            </w:pPr>
            <w:r w:rsidRPr="00D424A4">
              <w:rPr>
                <w:rFonts w:hint="eastAsia"/>
                <w:sz w:val="20"/>
                <w:lang w:eastAsia="zh-CN"/>
              </w:rPr>
              <w:t>国际电联建议结束本</w:t>
            </w:r>
            <w:r w:rsidR="00A92B51">
              <w:rPr>
                <w:rFonts w:hint="eastAsia"/>
                <w:sz w:val="20"/>
                <w:lang w:eastAsia="zh-CN"/>
              </w:rPr>
              <w:t>建议</w:t>
            </w:r>
            <w:r w:rsidRPr="00D424A4">
              <w:rPr>
                <w:rFonts w:hint="eastAsia"/>
                <w:sz w:val="20"/>
                <w:lang w:eastAsia="zh-CN"/>
              </w:rPr>
              <w:t>。</w:t>
            </w:r>
          </w:p>
        </w:tc>
        <w:tc>
          <w:tcPr>
            <w:tcW w:w="1050" w:type="pct"/>
            <w:shd w:val="clear" w:color="auto" w:fill="auto"/>
          </w:tcPr>
          <w:p w14:paraId="56370962" w14:textId="3042687D" w:rsidR="003D7FF0" w:rsidRPr="00536D01" w:rsidRDefault="00D424A4" w:rsidP="00786ECB">
            <w:pPr>
              <w:pStyle w:val="Tabletext"/>
              <w:rPr>
                <w:sz w:val="20"/>
                <w:lang w:eastAsia="zh-CN"/>
              </w:rPr>
            </w:pPr>
            <w:r w:rsidRPr="00D424A4">
              <w:rPr>
                <w:rFonts w:hint="eastAsia"/>
                <w:sz w:val="20"/>
                <w:lang w:eastAsia="zh-CN"/>
              </w:rPr>
              <w:t>注意到最新回应</w:t>
            </w:r>
            <w:r w:rsidR="004F0C40">
              <w:rPr>
                <w:rFonts w:hint="eastAsia"/>
                <w:sz w:val="20"/>
                <w:lang w:eastAsia="zh-CN"/>
              </w:rPr>
              <w:t>，</w:t>
            </w:r>
            <w:r w:rsidRPr="00D424A4">
              <w:rPr>
                <w:rFonts w:hint="eastAsia"/>
                <w:sz w:val="20"/>
                <w:lang w:eastAsia="zh-CN"/>
              </w:rPr>
              <w:t>并认为是合理的。该建议已</w:t>
            </w:r>
            <w:r w:rsidR="00F33D55">
              <w:rPr>
                <w:rFonts w:hint="eastAsia"/>
                <w:sz w:val="20"/>
                <w:lang w:eastAsia="zh-CN"/>
              </w:rPr>
              <w:t>完成</w:t>
            </w:r>
            <w:r w:rsidRPr="00D424A4">
              <w:rPr>
                <w:rFonts w:hint="eastAsia"/>
                <w:sz w:val="20"/>
                <w:lang w:eastAsia="zh-CN"/>
              </w:rPr>
              <w:t>。</w:t>
            </w:r>
          </w:p>
        </w:tc>
        <w:tc>
          <w:tcPr>
            <w:tcW w:w="450" w:type="pct"/>
            <w:shd w:val="clear" w:color="auto" w:fill="auto"/>
          </w:tcPr>
          <w:p w14:paraId="186FD2B7" w14:textId="5C5FAE19" w:rsidR="003D7FF0" w:rsidRPr="00536D01" w:rsidRDefault="00A62A5A" w:rsidP="00786ECB">
            <w:pPr>
              <w:pStyle w:val="Tabletext"/>
              <w:rPr>
                <w:sz w:val="20"/>
              </w:rPr>
            </w:pPr>
            <w:r>
              <w:rPr>
                <w:rFonts w:ascii="SimSun" w:eastAsia="SimSun" w:hAnsi="SimSun" w:cs="SimSun" w:hint="eastAsia"/>
                <w:color w:val="000000"/>
                <w:sz w:val="20"/>
                <w:lang w:eastAsia="zh-CN"/>
              </w:rPr>
              <w:t>已关闭。</w:t>
            </w:r>
          </w:p>
        </w:tc>
      </w:tr>
      <w:tr w:rsidR="003D7FF0" w:rsidRPr="00536D01" w14:paraId="03831BF9" w14:textId="77777777" w:rsidTr="00E6035E">
        <w:tc>
          <w:tcPr>
            <w:tcW w:w="300" w:type="pct"/>
            <w:shd w:val="clear" w:color="auto" w:fill="auto"/>
          </w:tcPr>
          <w:p w14:paraId="5A03A45D" w14:textId="77777777" w:rsidR="003D7FF0" w:rsidRPr="00536D01" w:rsidRDefault="003D7FF0" w:rsidP="009449F5">
            <w:pPr>
              <w:pStyle w:val="Tabletext"/>
              <w:rPr>
                <w:sz w:val="20"/>
              </w:rPr>
            </w:pPr>
            <w:r w:rsidRPr="00536D01">
              <w:rPr>
                <w:sz w:val="20"/>
              </w:rPr>
              <w:t>2021 R#18</w:t>
            </w:r>
          </w:p>
        </w:tc>
        <w:tc>
          <w:tcPr>
            <w:tcW w:w="1450" w:type="pct"/>
            <w:shd w:val="clear" w:color="auto" w:fill="auto"/>
          </w:tcPr>
          <w:p w14:paraId="58C5675D" w14:textId="7979BE71" w:rsidR="003D7FF0" w:rsidRPr="006A12C4" w:rsidRDefault="00553ECA" w:rsidP="009449F5">
            <w:pPr>
              <w:pStyle w:val="Tabletext"/>
              <w:rPr>
                <w:sz w:val="20"/>
                <w:lang w:eastAsia="zh-CN"/>
              </w:rPr>
            </w:pPr>
            <w:r w:rsidRPr="006A12C4">
              <w:rPr>
                <w:rFonts w:hint="eastAsia"/>
                <w:sz w:val="20"/>
                <w:lang w:eastAsia="zh-CN"/>
              </w:rPr>
              <w:t>考虑到外部评估员就曼谷欺诈案发布的报告结果，我们因此建议通过健全的行政程序对其进行跟进。</w:t>
            </w:r>
          </w:p>
        </w:tc>
        <w:tc>
          <w:tcPr>
            <w:tcW w:w="1750" w:type="pct"/>
            <w:shd w:val="clear" w:color="auto" w:fill="auto"/>
          </w:tcPr>
          <w:p w14:paraId="281B43FC" w14:textId="642B0F6A" w:rsidR="003D7FF0" w:rsidRPr="00536D01" w:rsidRDefault="00D424A4" w:rsidP="009449F5">
            <w:pPr>
              <w:pStyle w:val="Tabletext"/>
              <w:rPr>
                <w:sz w:val="20"/>
                <w:lang w:eastAsia="zh-CN"/>
              </w:rPr>
            </w:pPr>
            <w:r w:rsidRPr="00D424A4">
              <w:rPr>
                <w:rFonts w:hint="eastAsia"/>
                <w:sz w:val="20"/>
                <w:lang w:eastAsia="zh-CN"/>
              </w:rPr>
              <w:t>现已对欺诈责任人采取行动。</w:t>
            </w:r>
            <w:r w:rsidR="006A12C4">
              <w:rPr>
                <w:rFonts w:hint="eastAsia"/>
                <w:sz w:val="20"/>
                <w:lang w:eastAsia="zh-CN"/>
              </w:rPr>
              <w:t>犯罪</w:t>
            </w:r>
            <w:r w:rsidRPr="00D424A4">
              <w:rPr>
                <w:rFonts w:hint="eastAsia"/>
                <w:sz w:val="20"/>
                <w:lang w:eastAsia="zh-CN"/>
              </w:rPr>
              <w:t>者</w:t>
            </w:r>
            <w:r w:rsidR="006A12C4">
              <w:rPr>
                <w:rFonts w:hint="eastAsia"/>
                <w:sz w:val="20"/>
                <w:lang w:eastAsia="zh-CN"/>
              </w:rPr>
              <w:t>已</w:t>
            </w:r>
            <w:r w:rsidRPr="00D424A4">
              <w:rPr>
                <w:rFonts w:hint="eastAsia"/>
                <w:sz w:val="20"/>
                <w:lang w:eastAsia="zh-CN"/>
              </w:rPr>
              <w:t>被解雇，并向泰国反腐败机构提出正式</w:t>
            </w:r>
            <w:r w:rsidR="006A12C4">
              <w:rPr>
                <w:rFonts w:hint="eastAsia"/>
                <w:sz w:val="20"/>
                <w:lang w:eastAsia="zh-CN"/>
              </w:rPr>
              <w:t>控告</w:t>
            </w:r>
            <w:r w:rsidRPr="00D424A4">
              <w:rPr>
                <w:rFonts w:hint="eastAsia"/>
                <w:sz w:val="20"/>
                <w:lang w:eastAsia="zh-CN"/>
              </w:rPr>
              <w:t>。国际电联正在应要求向泰国反腐败机构提供证据，协助泰国</w:t>
            </w:r>
            <w:r w:rsidR="006A12C4">
              <w:rPr>
                <w:rFonts w:hint="eastAsia"/>
                <w:sz w:val="20"/>
                <w:lang w:eastAsia="zh-CN"/>
              </w:rPr>
              <w:t>处理此</w:t>
            </w:r>
            <w:r w:rsidRPr="00D424A4">
              <w:rPr>
                <w:rFonts w:hint="eastAsia"/>
                <w:sz w:val="20"/>
                <w:lang w:eastAsia="zh-CN"/>
              </w:rPr>
              <w:t>案件。还对</w:t>
            </w:r>
            <w:r w:rsidR="006A12C4">
              <w:rPr>
                <w:rFonts w:hint="eastAsia"/>
                <w:sz w:val="20"/>
                <w:lang w:eastAsia="zh-CN"/>
              </w:rPr>
              <w:t>涉事职员</w:t>
            </w:r>
            <w:r w:rsidRPr="00D424A4">
              <w:rPr>
                <w:rFonts w:hint="eastAsia"/>
                <w:sz w:val="20"/>
                <w:lang w:eastAsia="zh-CN"/>
              </w:rPr>
              <w:t>采取了内部纪律行动。</w:t>
            </w:r>
          </w:p>
          <w:p w14:paraId="390BF549" w14:textId="19EF8839" w:rsidR="003D7FF0" w:rsidRPr="00536D01" w:rsidRDefault="00D424A4" w:rsidP="009449F5">
            <w:pPr>
              <w:pStyle w:val="Tabletext"/>
              <w:rPr>
                <w:sz w:val="20"/>
                <w:lang w:eastAsia="zh-CN"/>
              </w:rPr>
            </w:pPr>
            <w:r w:rsidRPr="00D424A4">
              <w:rPr>
                <w:rFonts w:hint="eastAsia"/>
                <w:sz w:val="20"/>
                <w:lang w:eastAsia="zh-CN"/>
              </w:rPr>
              <w:t>国际电联建议结束本</w:t>
            </w:r>
            <w:r w:rsidR="00A92B51">
              <w:rPr>
                <w:rFonts w:hint="eastAsia"/>
                <w:sz w:val="20"/>
                <w:lang w:eastAsia="zh-CN"/>
              </w:rPr>
              <w:t>建议</w:t>
            </w:r>
            <w:r w:rsidRPr="00D424A4">
              <w:rPr>
                <w:rFonts w:hint="eastAsia"/>
                <w:sz w:val="20"/>
                <w:lang w:eastAsia="zh-CN"/>
              </w:rPr>
              <w:t>。</w:t>
            </w:r>
          </w:p>
        </w:tc>
        <w:tc>
          <w:tcPr>
            <w:tcW w:w="1050" w:type="pct"/>
            <w:shd w:val="clear" w:color="auto" w:fill="auto"/>
          </w:tcPr>
          <w:p w14:paraId="1ACDCA16" w14:textId="25E1B9E0" w:rsidR="003D7FF0" w:rsidRPr="00536D01" w:rsidRDefault="00D424A4" w:rsidP="009449F5">
            <w:pPr>
              <w:pStyle w:val="Tabletext"/>
              <w:rPr>
                <w:sz w:val="20"/>
                <w:lang w:eastAsia="zh-CN"/>
              </w:rPr>
            </w:pPr>
            <w:r w:rsidRPr="00D424A4">
              <w:rPr>
                <w:rFonts w:hint="eastAsia"/>
                <w:sz w:val="20"/>
                <w:lang w:eastAsia="zh-CN"/>
              </w:rPr>
              <w:t>注意到最新回应</w:t>
            </w:r>
            <w:r w:rsidR="00436742">
              <w:rPr>
                <w:rFonts w:hint="eastAsia"/>
                <w:sz w:val="20"/>
                <w:lang w:eastAsia="zh-CN"/>
              </w:rPr>
              <w:t>，</w:t>
            </w:r>
            <w:r w:rsidRPr="00D424A4">
              <w:rPr>
                <w:rFonts w:hint="eastAsia"/>
                <w:sz w:val="20"/>
                <w:lang w:eastAsia="zh-CN"/>
              </w:rPr>
              <w:t>并认为是合理的。该建议已</w:t>
            </w:r>
            <w:r w:rsidR="00436742">
              <w:rPr>
                <w:rFonts w:hint="eastAsia"/>
                <w:sz w:val="20"/>
                <w:lang w:eastAsia="zh-CN"/>
              </w:rPr>
              <w:t>完成</w:t>
            </w:r>
            <w:r w:rsidRPr="00D424A4">
              <w:rPr>
                <w:rFonts w:hint="eastAsia"/>
                <w:sz w:val="20"/>
                <w:lang w:eastAsia="zh-CN"/>
              </w:rPr>
              <w:t>。</w:t>
            </w:r>
          </w:p>
        </w:tc>
        <w:tc>
          <w:tcPr>
            <w:tcW w:w="450" w:type="pct"/>
            <w:shd w:val="clear" w:color="auto" w:fill="auto"/>
          </w:tcPr>
          <w:p w14:paraId="63CE7C4A" w14:textId="634046B3" w:rsidR="003D7FF0" w:rsidRPr="00536D01" w:rsidRDefault="00A62A5A" w:rsidP="009449F5">
            <w:pPr>
              <w:pStyle w:val="Tabletext"/>
              <w:rPr>
                <w:sz w:val="20"/>
              </w:rPr>
            </w:pPr>
            <w:r>
              <w:rPr>
                <w:rFonts w:ascii="SimSun" w:eastAsia="SimSun" w:hAnsi="SimSun" w:cs="SimSun" w:hint="eastAsia"/>
                <w:color w:val="000000"/>
                <w:sz w:val="20"/>
                <w:lang w:eastAsia="zh-CN"/>
              </w:rPr>
              <w:t>已关闭。</w:t>
            </w:r>
          </w:p>
        </w:tc>
      </w:tr>
      <w:tr w:rsidR="003D7FF0" w:rsidRPr="00536D01" w14:paraId="51B4ACAA" w14:textId="77777777" w:rsidTr="00E6035E">
        <w:tc>
          <w:tcPr>
            <w:tcW w:w="300" w:type="pct"/>
            <w:shd w:val="clear" w:color="auto" w:fill="auto"/>
          </w:tcPr>
          <w:p w14:paraId="57D4C0F3" w14:textId="77777777" w:rsidR="003D7FF0" w:rsidRPr="00536D01" w:rsidRDefault="003D7FF0" w:rsidP="001B3DBE">
            <w:pPr>
              <w:pStyle w:val="Tabletext"/>
              <w:rPr>
                <w:sz w:val="20"/>
              </w:rPr>
            </w:pPr>
            <w:r w:rsidRPr="00536D01">
              <w:rPr>
                <w:sz w:val="20"/>
              </w:rPr>
              <w:t>2021 R#19</w:t>
            </w:r>
          </w:p>
        </w:tc>
        <w:tc>
          <w:tcPr>
            <w:tcW w:w="1450" w:type="pct"/>
            <w:shd w:val="clear" w:color="auto" w:fill="auto"/>
          </w:tcPr>
          <w:p w14:paraId="17FB0B89" w14:textId="5BE306C2" w:rsidR="003D7FF0" w:rsidRPr="006A12C4" w:rsidRDefault="00553ECA" w:rsidP="001B3DBE">
            <w:pPr>
              <w:pStyle w:val="Tabletext"/>
              <w:rPr>
                <w:sz w:val="20"/>
                <w:lang w:eastAsia="zh-CN"/>
              </w:rPr>
            </w:pPr>
            <w:r w:rsidRPr="006A12C4">
              <w:rPr>
                <w:rFonts w:hint="eastAsia"/>
                <w:sz w:val="20"/>
                <w:lang w:eastAsia="zh-CN"/>
              </w:rPr>
              <w:t>管理层开展一项彻底和全面的活动，以确定更有效的行动，特别是在高风险领域。</w:t>
            </w:r>
          </w:p>
        </w:tc>
        <w:tc>
          <w:tcPr>
            <w:tcW w:w="1750" w:type="pct"/>
            <w:shd w:val="clear" w:color="auto" w:fill="auto"/>
          </w:tcPr>
          <w:p w14:paraId="14F657C5" w14:textId="0B7C7DEE" w:rsidR="003D7FF0" w:rsidRPr="00536D01" w:rsidRDefault="00D424A4" w:rsidP="001B3DBE">
            <w:pPr>
              <w:pStyle w:val="Tabletext"/>
              <w:rPr>
                <w:sz w:val="20"/>
                <w:lang w:eastAsia="zh-CN"/>
              </w:rPr>
            </w:pPr>
            <w:r w:rsidRPr="00D424A4">
              <w:rPr>
                <w:rFonts w:hint="eastAsia"/>
                <w:sz w:val="20"/>
                <w:lang w:eastAsia="zh-CN"/>
              </w:rPr>
              <w:t>截至</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5</w:t>
            </w:r>
            <w:r w:rsidRPr="00D424A4">
              <w:rPr>
                <w:rFonts w:hint="eastAsia"/>
                <w:sz w:val="20"/>
                <w:lang w:eastAsia="zh-CN"/>
              </w:rPr>
              <w:t>月的最新进展：近年来，</w:t>
            </w:r>
            <w:r w:rsidR="00E87C53">
              <w:rPr>
                <w:rFonts w:hint="eastAsia"/>
                <w:sz w:val="20"/>
                <w:lang w:eastAsia="zh-CN"/>
              </w:rPr>
              <w:t>BDT</w:t>
            </w:r>
            <w:r w:rsidRPr="00D424A4">
              <w:rPr>
                <w:rFonts w:hint="eastAsia"/>
                <w:sz w:val="20"/>
                <w:lang w:eastAsia="zh-CN"/>
              </w:rPr>
              <w:t>通过</w:t>
            </w:r>
            <w:r w:rsidR="00E87C53">
              <w:rPr>
                <w:rFonts w:hint="eastAsia"/>
                <w:sz w:val="20"/>
                <w:lang w:eastAsia="zh-CN"/>
              </w:rPr>
              <w:t>BDT</w:t>
            </w:r>
            <w:r w:rsidRPr="00D424A4">
              <w:rPr>
                <w:rFonts w:hint="eastAsia"/>
                <w:sz w:val="20"/>
                <w:lang w:eastAsia="zh-CN"/>
              </w:rPr>
              <w:t>管理执行委员会加强了对差旅的控制</w:t>
            </w:r>
            <w:r w:rsidR="00E87C53">
              <w:rPr>
                <w:rFonts w:hint="eastAsia"/>
                <w:sz w:val="20"/>
                <w:lang w:eastAsia="zh-CN"/>
              </w:rPr>
              <w:t>；</w:t>
            </w:r>
            <w:r w:rsidRPr="00D424A4">
              <w:rPr>
                <w:rFonts w:hint="eastAsia"/>
                <w:sz w:val="20"/>
                <w:lang w:eastAsia="zh-CN"/>
              </w:rPr>
              <w:t>通过</w:t>
            </w:r>
            <w:r w:rsidR="00254275">
              <w:rPr>
                <w:rFonts w:hint="eastAsia"/>
                <w:sz w:val="20"/>
                <w:lang w:eastAsia="zh-CN"/>
              </w:rPr>
              <w:t>我们基于结果的管理方式（</w:t>
            </w:r>
            <w:proofErr w:type="spellStart"/>
            <w:r w:rsidRPr="00D424A4">
              <w:rPr>
                <w:rFonts w:hint="eastAsia"/>
                <w:sz w:val="20"/>
                <w:lang w:eastAsia="zh-CN"/>
              </w:rPr>
              <w:t>RBM</w:t>
            </w:r>
            <w:proofErr w:type="spellEnd"/>
            <w:r w:rsidR="00254275">
              <w:rPr>
                <w:rFonts w:hint="eastAsia"/>
                <w:sz w:val="20"/>
                <w:lang w:eastAsia="zh-CN"/>
              </w:rPr>
              <w:t>）</w:t>
            </w:r>
            <w:r w:rsidRPr="00D424A4">
              <w:rPr>
                <w:rFonts w:hint="eastAsia"/>
                <w:sz w:val="20"/>
                <w:lang w:eastAsia="zh-CN"/>
              </w:rPr>
              <w:t>加强</w:t>
            </w:r>
            <w:r w:rsidR="00E87C53">
              <w:rPr>
                <w:rFonts w:hint="eastAsia"/>
                <w:sz w:val="20"/>
                <w:lang w:eastAsia="zh-CN"/>
              </w:rPr>
              <w:t>了</w:t>
            </w:r>
            <w:r w:rsidRPr="00D424A4">
              <w:rPr>
                <w:rFonts w:hint="eastAsia"/>
                <w:sz w:val="20"/>
                <w:lang w:eastAsia="zh-CN"/>
              </w:rPr>
              <w:t>对支出的监督，包括在区域代表处和地区办事处的支出监督</w:t>
            </w:r>
            <w:r w:rsidR="00E87C53">
              <w:rPr>
                <w:rFonts w:hint="eastAsia"/>
                <w:sz w:val="20"/>
                <w:lang w:eastAsia="zh-CN"/>
              </w:rPr>
              <w:t>；</w:t>
            </w:r>
            <w:r w:rsidRPr="00D424A4">
              <w:rPr>
                <w:rFonts w:hint="eastAsia"/>
                <w:sz w:val="20"/>
                <w:lang w:eastAsia="zh-CN"/>
              </w:rPr>
              <w:t>与</w:t>
            </w:r>
            <w:proofErr w:type="spellStart"/>
            <w:r w:rsidRPr="00D424A4">
              <w:rPr>
                <w:rFonts w:hint="eastAsia"/>
                <w:sz w:val="20"/>
                <w:lang w:eastAsia="zh-CN"/>
              </w:rPr>
              <w:t>ISD</w:t>
            </w:r>
            <w:proofErr w:type="spellEnd"/>
            <w:r w:rsidRPr="00D424A4">
              <w:rPr>
                <w:rFonts w:hint="eastAsia"/>
                <w:sz w:val="20"/>
                <w:lang w:eastAsia="zh-CN"/>
              </w:rPr>
              <w:t>合作，加强</w:t>
            </w:r>
            <w:r w:rsidR="00E87C53">
              <w:rPr>
                <w:rFonts w:hint="eastAsia"/>
                <w:sz w:val="20"/>
                <w:lang w:eastAsia="zh-CN"/>
              </w:rPr>
              <w:t>了</w:t>
            </w:r>
            <w:r w:rsidRPr="00D424A4">
              <w:rPr>
                <w:rFonts w:hint="eastAsia"/>
                <w:sz w:val="20"/>
                <w:lang w:eastAsia="zh-CN"/>
              </w:rPr>
              <w:t>区域代表处和地区办事处的人身安全和安保以及</w:t>
            </w:r>
            <w:r w:rsidRPr="00D424A4">
              <w:rPr>
                <w:rFonts w:hint="eastAsia"/>
                <w:sz w:val="20"/>
                <w:lang w:eastAsia="zh-CN"/>
              </w:rPr>
              <w:t>IT</w:t>
            </w:r>
            <w:r w:rsidRPr="00D424A4">
              <w:rPr>
                <w:rFonts w:hint="eastAsia"/>
                <w:sz w:val="20"/>
                <w:lang w:eastAsia="zh-CN"/>
              </w:rPr>
              <w:t>安全</w:t>
            </w:r>
            <w:r w:rsidR="00E87C53">
              <w:rPr>
                <w:rFonts w:hint="eastAsia"/>
                <w:sz w:val="20"/>
                <w:lang w:eastAsia="zh-CN"/>
              </w:rPr>
              <w:t>相关</w:t>
            </w:r>
            <w:r w:rsidRPr="00D424A4">
              <w:rPr>
                <w:rFonts w:hint="eastAsia"/>
                <w:sz w:val="20"/>
                <w:lang w:eastAsia="zh-CN"/>
              </w:rPr>
              <w:t>控制</w:t>
            </w:r>
            <w:r w:rsidR="00E87C53">
              <w:rPr>
                <w:rFonts w:hint="eastAsia"/>
                <w:sz w:val="20"/>
                <w:lang w:eastAsia="zh-CN"/>
              </w:rPr>
              <w:t>；</w:t>
            </w:r>
            <w:r w:rsidRPr="00D424A4">
              <w:rPr>
                <w:rFonts w:hint="eastAsia"/>
                <w:sz w:val="20"/>
                <w:lang w:eastAsia="zh-CN"/>
              </w:rPr>
              <w:t>并致力于实施</w:t>
            </w:r>
            <w:r w:rsidR="00EE128C">
              <w:rPr>
                <w:rFonts w:hint="eastAsia"/>
                <w:sz w:val="20"/>
                <w:lang w:eastAsia="zh-CN"/>
              </w:rPr>
              <w:t>权力下放（</w:t>
            </w:r>
            <w:proofErr w:type="spellStart"/>
            <w:r w:rsidRPr="00D424A4">
              <w:rPr>
                <w:rFonts w:hint="eastAsia"/>
                <w:sz w:val="20"/>
                <w:lang w:eastAsia="zh-CN"/>
              </w:rPr>
              <w:t>DoA</w:t>
            </w:r>
            <w:proofErr w:type="spellEnd"/>
            <w:r w:rsidR="00EE128C">
              <w:rPr>
                <w:rFonts w:hint="eastAsia"/>
                <w:sz w:val="20"/>
                <w:lang w:eastAsia="zh-CN"/>
              </w:rPr>
              <w:t>）</w:t>
            </w:r>
            <w:r w:rsidRPr="00D424A4">
              <w:rPr>
                <w:rFonts w:hint="eastAsia"/>
                <w:sz w:val="20"/>
                <w:lang w:eastAsia="zh-CN"/>
              </w:rPr>
              <w:t>框架。</w:t>
            </w:r>
            <w:r w:rsidR="00E87C53">
              <w:rPr>
                <w:rFonts w:hint="eastAsia"/>
                <w:sz w:val="20"/>
                <w:lang w:eastAsia="zh-CN"/>
              </w:rPr>
              <w:t>BDT</w:t>
            </w:r>
            <w:r w:rsidRPr="00D424A4">
              <w:rPr>
                <w:rFonts w:hint="eastAsia"/>
                <w:sz w:val="20"/>
                <w:lang w:eastAsia="zh-CN"/>
              </w:rPr>
              <w:t>有</w:t>
            </w:r>
            <w:r w:rsidRPr="00D424A4">
              <w:rPr>
                <w:rFonts w:hint="eastAsia"/>
                <w:sz w:val="20"/>
                <w:lang w:eastAsia="zh-CN"/>
              </w:rPr>
              <w:lastRenderedPageBreak/>
              <w:t>意将重点放在其他高风险领域，包括那些可能通过计划今年开展的组织欺诈风险评估确定的领域。</w:t>
            </w:r>
          </w:p>
          <w:p w14:paraId="4991E19B" w14:textId="562C2C15" w:rsidR="003D7FF0" w:rsidRPr="00536D01" w:rsidRDefault="00D424A4" w:rsidP="001B3DBE">
            <w:pPr>
              <w:pStyle w:val="Tabletext"/>
              <w:rPr>
                <w:sz w:val="20"/>
                <w:lang w:eastAsia="zh-CN"/>
              </w:rPr>
            </w:pPr>
            <w:r w:rsidRPr="00D424A4">
              <w:rPr>
                <w:rFonts w:hint="eastAsia"/>
                <w:sz w:val="20"/>
                <w:lang w:eastAsia="zh-CN"/>
              </w:rPr>
              <w:t>BDT</w:t>
            </w:r>
            <w:r w:rsidRPr="00D424A4">
              <w:rPr>
                <w:rFonts w:hint="eastAsia"/>
                <w:sz w:val="20"/>
                <w:lang w:eastAsia="zh-CN"/>
              </w:rPr>
              <w:t>认为实施工作正在进行中</w:t>
            </w:r>
          </w:p>
        </w:tc>
        <w:tc>
          <w:tcPr>
            <w:tcW w:w="1050" w:type="pct"/>
            <w:shd w:val="clear" w:color="auto" w:fill="auto"/>
          </w:tcPr>
          <w:p w14:paraId="7C88C442" w14:textId="6B032234" w:rsidR="003D7FF0" w:rsidRPr="00536D01" w:rsidRDefault="004F0C40" w:rsidP="001B3DBE">
            <w:pPr>
              <w:pStyle w:val="Tabletext"/>
              <w:rPr>
                <w:sz w:val="20"/>
                <w:lang w:eastAsia="zh-CN"/>
              </w:rPr>
            </w:pPr>
            <w:r w:rsidRPr="004F0C40">
              <w:rPr>
                <w:rFonts w:hint="eastAsia"/>
                <w:sz w:val="20"/>
                <w:szCs w:val="16"/>
                <w:lang w:eastAsia="zh-CN"/>
              </w:rPr>
              <w:lastRenderedPageBreak/>
              <w:t>注意到</w:t>
            </w:r>
            <w:r w:rsidR="00D424A4" w:rsidRPr="00D424A4">
              <w:rPr>
                <w:rFonts w:hint="eastAsia"/>
                <w:sz w:val="20"/>
                <w:lang w:eastAsia="zh-CN"/>
              </w:rPr>
              <w:t>最新</w:t>
            </w:r>
            <w:r>
              <w:rPr>
                <w:rFonts w:hint="eastAsia"/>
                <w:sz w:val="20"/>
                <w:lang w:eastAsia="zh-CN"/>
              </w:rPr>
              <w:t>回</w:t>
            </w:r>
            <w:r w:rsidR="00D424A4" w:rsidRPr="00D424A4">
              <w:rPr>
                <w:rFonts w:hint="eastAsia"/>
                <w:sz w:val="20"/>
                <w:lang w:eastAsia="zh-CN"/>
              </w:rPr>
              <w:t>应。该建议仍在</w:t>
            </w:r>
            <w:r>
              <w:rPr>
                <w:rFonts w:hint="eastAsia"/>
                <w:sz w:val="20"/>
                <w:lang w:eastAsia="zh-CN"/>
              </w:rPr>
              <w:t>实施</w:t>
            </w:r>
            <w:r w:rsidR="00D424A4" w:rsidRPr="00D424A4">
              <w:rPr>
                <w:rFonts w:hint="eastAsia"/>
                <w:sz w:val="20"/>
                <w:lang w:eastAsia="zh-CN"/>
              </w:rPr>
              <w:t>中。</w:t>
            </w:r>
          </w:p>
        </w:tc>
        <w:tc>
          <w:tcPr>
            <w:tcW w:w="450" w:type="pct"/>
            <w:shd w:val="clear" w:color="auto" w:fill="auto"/>
          </w:tcPr>
          <w:p w14:paraId="25DE06B9" w14:textId="7268E19B" w:rsidR="003D7FF0" w:rsidRPr="00536D01" w:rsidRDefault="004264B1" w:rsidP="001B3DBE">
            <w:pPr>
              <w:pStyle w:val="Tabletext"/>
              <w:rPr>
                <w:sz w:val="20"/>
              </w:rPr>
            </w:pPr>
            <w:r>
              <w:rPr>
                <w:rFonts w:hint="eastAsia"/>
                <w:sz w:val="20"/>
                <w:lang w:eastAsia="zh-CN"/>
              </w:rPr>
              <w:t>落实中。</w:t>
            </w:r>
          </w:p>
        </w:tc>
      </w:tr>
      <w:tr w:rsidR="003D7FF0" w:rsidRPr="00536D01" w14:paraId="06AEFC4F" w14:textId="77777777" w:rsidTr="00E6035E">
        <w:tc>
          <w:tcPr>
            <w:tcW w:w="300" w:type="pct"/>
            <w:shd w:val="clear" w:color="auto" w:fill="auto"/>
          </w:tcPr>
          <w:p w14:paraId="1B50DE36" w14:textId="77777777" w:rsidR="003D7FF0" w:rsidRPr="00536D01" w:rsidRDefault="003D7FF0" w:rsidP="00786ECB">
            <w:pPr>
              <w:pStyle w:val="Tabletext"/>
              <w:rPr>
                <w:sz w:val="20"/>
              </w:rPr>
            </w:pPr>
            <w:r w:rsidRPr="00536D01">
              <w:rPr>
                <w:sz w:val="20"/>
              </w:rPr>
              <w:t>2021 R#20</w:t>
            </w:r>
          </w:p>
        </w:tc>
        <w:tc>
          <w:tcPr>
            <w:tcW w:w="1450" w:type="pct"/>
            <w:shd w:val="clear" w:color="auto" w:fill="auto"/>
          </w:tcPr>
          <w:p w14:paraId="0869790A" w14:textId="476BDD53" w:rsidR="003D7FF0" w:rsidRPr="00536D01" w:rsidRDefault="00553ECA" w:rsidP="00553ECA">
            <w:pPr>
              <w:pStyle w:val="Tabletext"/>
              <w:rPr>
                <w:sz w:val="20"/>
                <w:lang w:eastAsia="zh-CN"/>
              </w:rPr>
            </w:pPr>
            <w:r w:rsidRPr="00553ECA">
              <w:rPr>
                <w:rFonts w:hint="eastAsia"/>
                <w:sz w:val="20"/>
                <w:lang w:eastAsia="zh-CN"/>
              </w:rPr>
              <w:t>至少针对区域代表处和</w:t>
            </w:r>
            <w:r w:rsidRPr="00553ECA">
              <w:rPr>
                <w:rFonts w:hint="eastAsia"/>
                <w:sz w:val="20"/>
                <w:lang w:eastAsia="zh-CN"/>
              </w:rPr>
              <w:t>/</w:t>
            </w:r>
            <w:r w:rsidRPr="00553ECA">
              <w:rPr>
                <w:rFonts w:hint="eastAsia"/>
                <w:sz w:val="20"/>
                <w:lang w:eastAsia="zh-CN"/>
              </w:rPr>
              <w:t>或目前发现的高风险领域（例如</w:t>
            </w:r>
            <w:r w:rsidRPr="00553ECA">
              <w:rPr>
                <w:rFonts w:hint="eastAsia"/>
                <w:sz w:val="20"/>
                <w:lang w:eastAsia="zh-CN"/>
              </w:rPr>
              <w:t>SSA</w:t>
            </w:r>
            <w:r w:rsidRPr="00553ECA">
              <w:rPr>
                <w:rFonts w:hint="eastAsia"/>
                <w:sz w:val="20"/>
                <w:lang w:eastAsia="zh-CN"/>
              </w:rPr>
              <w:t>和项目管理），评估国际电联是否需要由一名独立控制人员进行持续监控（在要求“第二道防线”时的</w:t>
            </w:r>
            <w:r w:rsidRPr="00553ECA">
              <w:rPr>
                <w:rFonts w:hint="eastAsia"/>
                <w:sz w:val="20"/>
                <w:lang w:eastAsia="zh-CN"/>
              </w:rPr>
              <w:t>COSO</w:t>
            </w:r>
            <w:r w:rsidRPr="00553ECA">
              <w:rPr>
                <w:rFonts w:hint="eastAsia"/>
                <w:sz w:val="20"/>
                <w:lang w:eastAsia="zh-CN"/>
              </w:rPr>
              <w:t>框架）。</w:t>
            </w:r>
          </w:p>
        </w:tc>
        <w:tc>
          <w:tcPr>
            <w:tcW w:w="1750" w:type="pct"/>
            <w:shd w:val="clear" w:color="auto" w:fill="auto"/>
          </w:tcPr>
          <w:p w14:paraId="515529AE" w14:textId="6067CD22" w:rsidR="003D7FF0" w:rsidRPr="00536D01" w:rsidRDefault="00D424A4" w:rsidP="00786ECB">
            <w:pPr>
              <w:pStyle w:val="Tabletext"/>
              <w:rPr>
                <w:sz w:val="20"/>
                <w:lang w:eastAsia="zh-CN"/>
              </w:rPr>
            </w:pPr>
            <w:r w:rsidRPr="00D424A4">
              <w:rPr>
                <w:rFonts w:hint="eastAsia"/>
                <w:sz w:val="20"/>
                <w:lang w:eastAsia="zh-CN"/>
              </w:rPr>
              <w:t>截至</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5</w:t>
            </w:r>
            <w:r w:rsidRPr="00D424A4">
              <w:rPr>
                <w:rFonts w:hint="eastAsia"/>
                <w:sz w:val="20"/>
                <w:lang w:eastAsia="zh-CN"/>
              </w:rPr>
              <w:t>月的最新进展：在</w:t>
            </w:r>
            <w:r w:rsidR="00E87C53" w:rsidRPr="00D424A4">
              <w:rPr>
                <w:rFonts w:hint="eastAsia"/>
                <w:sz w:val="20"/>
                <w:lang w:eastAsia="zh-CN"/>
              </w:rPr>
              <w:t>区域</w:t>
            </w:r>
            <w:r w:rsidR="00E87C53">
              <w:rPr>
                <w:rFonts w:hint="eastAsia"/>
                <w:sz w:val="20"/>
                <w:lang w:eastAsia="zh-CN"/>
              </w:rPr>
              <w:t>代表处</w:t>
            </w:r>
            <w:r w:rsidR="00E87C53" w:rsidRPr="00D424A4">
              <w:rPr>
                <w:rFonts w:hint="eastAsia"/>
                <w:sz w:val="20"/>
                <w:lang w:eastAsia="zh-CN"/>
              </w:rPr>
              <w:t>和地区办事处的</w:t>
            </w:r>
            <w:r w:rsidR="00E87C53">
              <w:rPr>
                <w:rFonts w:hint="eastAsia"/>
                <w:sz w:val="20"/>
                <w:lang w:eastAsia="zh-CN"/>
              </w:rPr>
              <w:t>第二道防线支持方面，</w:t>
            </w:r>
            <w:r w:rsidRPr="00D424A4">
              <w:rPr>
                <w:rFonts w:hint="eastAsia"/>
                <w:sz w:val="20"/>
                <w:lang w:eastAsia="zh-CN"/>
              </w:rPr>
              <w:t>与</w:t>
            </w:r>
            <w:r w:rsidRPr="00D424A4">
              <w:rPr>
                <w:rFonts w:hint="eastAsia"/>
                <w:sz w:val="20"/>
                <w:lang w:eastAsia="zh-CN"/>
              </w:rPr>
              <w:t>ISD</w:t>
            </w:r>
            <w:r w:rsidRPr="00D424A4">
              <w:rPr>
                <w:rFonts w:hint="eastAsia"/>
                <w:sz w:val="20"/>
                <w:lang w:eastAsia="zh-CN"/>
              </w:rPr>
              <w:t>密切合作</w:t>
            </w:r>
            <w:r w:rsidR="00E87C53">
              <w:rPr>
                <w:rFonts w:hint="eastAsia"/>
                <w:sz w:val="20"/>
                <w:lang w:eastAsia="zh-CN"/>
              </w:rPr>
              <w:t>，</w:t>
            </w:r>
            <w:r w:rsidRPr="00D424A4">
              <w:rPr>
                <w:rFonts w:hint="eastAsia"/>
                <w:sz w:val="20"/>
                <w:lang w:eastAsia="zh-CN"/>
              </w:rPr>
              <w:t>近年来的重点一直是业务连续性和复原力、安全和安保</w:t>
            </w:r>
            <w:r w:rsidR="00E87C53">
              <w:rPr>
                <w:rFonts w:hint="eastAsia"/>
                <w:sz w:val="20"/>
                <w:lang w:eastAsia="zh-CN"/>
              </w:rPr>
              <w:t>，</w:t>
            </w:r>
            <w:r w:rsidRPr="00D424A4">
              <w:rPr>
                <w:rFonts w:hint="eastAsia"/>
                <w:sz w:val="20"/>
                <w:lang w:eastAsia="zh-CN"/>
              </w:rPr>
              <w:t>以及我们</w:t>
            </w:r>
            <w:r w:rsidRPr="00D424A4">
              <w:rPr>
                <w:rFonts w:hint="eastAsia"/>
                <w:sz w:val="20"/>
                <w:lang w:eastAsia="zh-CN"/>
              </w:rPr>
              <w:t>IT</w:t>
            </w:r>
            <w:r w:rsidRPr="00D424A4">
              <w:rPr>
                <w:rFonts w:hint="eastAsia"/>
                <w:sz w:val="20"/>
                <w:lang w:eastAsia="zh-CN"/>
              </w:rPr>
              <w:t>系统的安全性。在预算和支出方面，</w:t>
            </w:r>
            <w:r w:rsidR="00E87C53">
              <w:rPr>
                <w:rFonts w:hint="eastAsia"/>
                <w:sz w:val="20"/>
                <w:lang w:eastAsia="zh-CN"/>
              </w:rPr>
              <w:t>由</w:t>
            </w:r>
            <w:r w:rsidRPr="00D424A4">
              <w:rPr>
                <w:rFonts w:hint="eastAsia"/>
                <w:sz w:val="20"/>
                <w:lang w:eastAsia="zh-CN"/>
              </w:rPr>
              <w:t>FRMD</w:t>
            </w:r>
            <w:r w:rsidRPr="00D424A4">
              <w:rPr>
                <w:rFonts w:hint="eastAsia"/>
                <w:sz w:val="20"/>
                <w:lang w:eastAsia="zh-CN"/>
              </w:rPr>
              <w:t>的财务控制人员提供支持。</w:t>
            </w:r>
            <w:r w:rsidR="00E87C53">
              <w:rPr>
                <w:rFonts w:hint="eastAsia"/>
                <w:sz w:val="20"/>
                <w:lang w:eastAsia="zh-CN"/>
              </w:rPr>
              <w:t>BDT</w:t>
            </w:r>
            <w:r w:rsidR="00E87C53">
              <w:rPr>
                <w:rFonts w:hint="eastAsia"/>
                <w:sz w:val="20"/>
                <w:lang w:eastAsia="zh-CN"/>
              </w:rPr>
              <w:t>计划</w:t>
            </w:r>
            <w:r w:rsidRPr="00D424A4">
              <w:rPr>
                <w:rFonts w:hint="eastAsia"/>
                <w:sz w:val="20"/>
                <w:lang w:eastAsia="zh-CN"/>
              </w:rPr>
              <w:t>继续关注并寻求对高风险领域的支持，包括那些可能通过计划于今年开展的组织欺诈风险评估确定的领域</w:t>
            </w:r>
            <w:r w:rsidR="00E87C53">
              <w:rPr>
                <w:rFonts w:hint="eastAsia"/>
                <w:sz w:val="20"/>
                <w:lang w:eastAsia="zh-CN"/>
              </w:rPr>
              <w:t>。</w:t>
            </w:r>
          </w:p>
          <w:p w14:paraId="4B2CE921" w14:textId="36A1A652" w:rsidR="003D7FF0" w:rsidRPr="00536D01" w:rsidRDefault="00D424A4" w:rsidP="00786ECB">
            <w:pPr>
              <w:pStyle w:val="Tabletext"/>
              <w:rPr>
                <w:sz w:val="20"/>
                <w:lang w:eastAsia="zh-CN"/>
              </w:rPr>
            </w:pPr>
            <w:r w:rsidRPr="00D424A4">
              <w:rPr>
                <w:rFonts w:hint="eastAsia"/>
                <w:sz w:val="20"/>
                <w:lang w:eastAsia="zh-CN"/>
              </w:rPr>
              <w:t>国际电联认为实施工作正在进行中。</w:t>
            </w:r>
          </w:p>
        </w:tc>
        <w:tc>
          <w:tcPr>
            <w:tcW w:w="1050" w:type="pct"/>
            <w:shd w:val="clear" w:color="auto" w:fill="auto"/>
          </w:tcPr>
          <w:p w14:paraId="14F86691" w14:textId="6D9286B8" w:rsidR="003D7FF0" w:rsidRPr="00536D01" w:rsidRDefault="00E87C53" w:rsidP="00786ECB">
            <w:pPr>
              <w:pStyle w:val="Tabletext"/>
              <w:rPr>
                <w:sz w:val="20"/>
                <w:lang w:eastAsia="zh-CN"/>
              </w:rPr>
            </w:pPr>
            <w:r>
              <w:rPr>
                <w:rFonts w:hint="eastAsia"/>
                <w:sz w:val="20"/>
                <w:lang w:eastAsia="zh-CN"/>
              </w:rPr>
              <w:t>注意到最新回应</w:t>
            </w:r>
            <w:r w:rsidR="00D424A4" w:rsidRPr="00D424A4">
              <w:rPr>
                <w:rFonts w:hint="eastAsia"/>
                <w:sz w:val="20"/>
                <w:lang w:eastAsia="zh-CN"/>
              </w:rPr>
              <w:t>。考虑到我们今年</w:t>
            </w:r>
            <w:r>
              <w:rPr>
                <w:rFonts w:hint="eastAsia"/>
                <w:sz w:val="20"/>
                <w:lang w:eastAsia="zh-CN"/>
              </w:rPr>
              <w:t>的</w:t>
            </w:r>
            <w:r w:rsidR="00D424A4" w:rsidRPr="00D424A4">
              <w:rPr>
                <w:rFonts w:hint="eastAsia"/>
                <w:sz w:val="20"/>
                <w:lang w:eastAsia="zh-CN"/>
              </w:rPr>
              <w:t>项目活动调查结果以及欺诈风险评估缺乏进展，本建议仍在进行中</w:t>
            </w:r>
            <w:r w:rsidR="00D34AE6">
              <w:rPr>
                <w:rFonts w:hint="eastAsia"/>
                <w:sz w:val="20"/>
                <w:lang w:eastAsia="zh-CN"/>
              </w:rPr>
              <w:t>。</w:t>
            </w:r>
          </w:p>
        </w:tc>
        <w:tc>
          <w:tcPr>
            <w:tcW w:w="450" w:type="pct"/>
            <w:shd w:val="clear" w:color="auto" w:fill="auto"/>
          </w:tcPr>
          <w:p w14:paraId="18837868" w14:textId="5ED30A6F" w:rsidR="003D7FF0" w:rsidRPr="00536D01" w:rsidRDefault="00D34AE6" w:rsidP="00786ECB">
            <w:pPr>
              <w:pStyle w:val="Tabletext"/>
              <w:rPr>
                <w:sz w:val="20"/>
              </w:rPr>
            </w:pPr>
            <w:r>
              <w:rPr>
                <w:rFonts w:hint="eastAsia"/>
                <w:sz w:val="20"/>
                <w:lang w:eastAsia="zh-CN"/>
              </w:rPr>
              <w:t>落实中。</w:t>
            </w:r>
          </w:p>
        </w:tc>
      </w:tr>
      <w:tr w:rsidR="003D7FF0" w:rsidRPr="00536D01" w14:paraId="52ED859D" w14:textId="77777777" w:rsidTr="00E6035E">
        <w:tc>
          <w:tcPr>
            <w:tcW w:w="300" w:type="pct"/>
            <w:shd w:val="clear" w:color="auto" w:fill="auto"/>
          </w:tcPr>
          <w:p w14:paraId="021223F7" w14:textId="77777777" w:rsidR="003D7FF0" w:rsidRPr="00536D01" w:rsidRDefault="003D7FF0" w:rsidP="009449F5">
            <w:pPr>
              <w:pStyle w:val="Tabletext"/>
              <w:keepNext/>
              <w:keepLines/>
              <w:rPr>
                <w:sz w:val="20"/>
              </w:rPr>
            </w:pPr>
            <w:r w:rsidRPr="00536D01">
              <w:rPr>
                <w:sz w:val="20"/>
              </w:rPr>
              <w:t>2021 R#21</w:t>
            </w:r>
          </w:p>
        </w:tc>
        <w:tc>
          <w:tcPr>
            <w:tcW w:w="1450" w:type="pct"/>
            <w:shd w:val="clear" w:color="auto" w:fill="auto"/>
          </w:tcPr>
          <w:p w14:paraId="0CFA763A" w14:textId="75DE4A63" w:rsidR="003D7FF0" w:rsidRPr="00536D01" w:rsidRDefault="00553ECA" w:rsidP="009449F5">
            <w:pPr>
              <w:pStyle w:val="Tabletext"/>
              <w:keepNext/>
              <w:keepLines/>
              <w:rPr>
                <w:sz w:val="20"/>
                <w:lang w:eastAsia="zh-CN"/>
              </w:rPr>
            </w:pPr>
            <w:r w:rsidRPr="00553ECA">
              <w:rPr>
                <w:rFonts w:hint="eastAsia"/>
                <w:sz w:val="20"/>
                <w:lang w:eastAsia="zh-CN"/>
              </w:rPr>
              <w:t>立刻审查《内部审计章程》及其监管框架。</w:t>
            </w:r>
          </w:p>
        </w:tc>
        <w:tc>
          <w:tcPr>
            <w:tcW w:w="1750" w:type="pct"/>
            <w:shd w:val="clear" w:color="auto" w:fill="auto"/>
          </w:tcPr>
          <w:p w14:paraId="7F964B16" w14:textId="65224351" w:rsidR="003D7FF0" w:rsidRPr="00536D01" w:rsidRDefault="00D424A4" w:rsidP="009449F5">
            <w:pPr>
              <w:pStyle w:val="Tabletext"/>
              <w:keepNext/>
              <w:keepLines/>
              <w:rPr>
                <w:sz w:val="20"/>
                <w:lang w:eastAsia="zh-CN"/>
              </w:rPr>
            </w:pPr>
            <w:r w:rsidRPr="00D424A4">
              <w:rPr>
                <w:rFonts w:hint="eastAsia"/>
                <w:sz w:val="20"/>
                <w:lang w:eastAsia="zh-CN"/>
              </w:rPr>
              <w:t>截至</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1</w:t>
            </w:r>
            <w:r w:rsidRPr="00D424A4">
              <w:rPr>
                <w:rFonts w:hint="eastAsia"/>
                <w:sz w:val="20"/>
                <w:lang w:eastAsia="zh-CN"/>
              </w:rPr>
              <w:t>月的最新进展：</w:t>
            </w:r>
            <w:r w:rsidRPr="00D424A4">
              <w:rPr>
                <w:rFonts w:hint="eastAsia"/>
                <w:sz w:val="20"/>
                <w:lang w:eastAsia="zh-CN"/>
              </w:rPr>
              <w:t>2024</w:t>
            </w:r>
            <w:r w:rsidRPr="00D424A4">
              <w:rPr>
                <w:rFonts w:hint="eastAsia"/>
                <w:sz w:val="20"/>
                <w:lang w:eastAsia="zh-CN"/>
              </w:rPr>
              <w:t>年</w:t>
            </w:r>
            <w:r w:rsidRPr="00D424A4">
              <w:rPr>
                <w:rFonts w:hint="eastAsia"/>
                <w:sz w:val="20"/>
                <w:lang w:eastAsia="zh-CN"/>
              </w:rPr>
              <w:t>9</w:t>
            </w:r>
            <w:r w:rsidRPr="00D424A4">
              <w:rPr>
                <w:rFonts w:hint="eastAsia"/>
                <w:sz w:val="20"/>
                <w:lang w:eastAsia="zh-CN"/>
              </w:rPr>
              <w:t>月，</w:t>
            </w:r>
            <w:r w:rsidR="003D7E37">
              <w:rPr>
                <w:rFonts w:hint="eastAsia"/>
                <w:sz w:val="20"/>
                <w:lang w:eastAsia="zh-CN"/>
              </w:rPr>
              <w:t>经</w:t>
            </w:r>
            <w:r w:rsidRPr="00D424A4">
              <w:rPr>
                <w:rFonts w:hint="eastAsia"/>
                <w:sz w:val="20"/>
                <w:lang w:eastAsia="zh-CN"/>
              </w:rPr>
              <w:t>第</w:t>
            </w:r>
            <w:r w:rsidRPr="00D424A4">
              <w:rPr>
                <w:rFonts w:hint="eastAsia"/>
                <w:sz w:val="20"/>
                <w:lang w:eastAsia="zh-CN"/>
              </w:rPr>
              <w:t>24/09</w:t>
            </w:r>
            <w:r w:rsidRPr="00D424A4">
              <w:rPr>
                <w:rFonts w:hint="eastAsia"/>
                <w:sz w:val="20"/>
                <w:lang w:eastAsia="zh-CN"/>
              </w:rPr>
              <w:t>号行政规定</w:t>
            </w:r>
            <w:r w:rsidR="001F781D">
              <w:rPr>
                <w:rFonts w:hint="eastAsia"/>
                <w:sz w:val="20"/>
                <w:lang w:eastAsia="zh-CN"/>
              </w:rPr>
              <w:t>《</w:t>
            </w:r>
            <w:r w:rsidR="001F781D" w:rsidRPr="00D424A4">
              <w:rPr>
                <w:rFonts w:hint="eastAsia"/>
                <w:sz w:val="20"/>
                <w:lang w:eastAsia="zh-CN"/>
              </w:rPr>
              <w:t>通过国际电联监督章程和澄清</w:t>
            </w:r>
            <w:r w:rsidR="001F781D">
              <w:rPr>
                <w:rFonts w:hint="eastAsia"/>
                <w:sz w:val="20"/>
                <w:lang w:eastAsia="zh-CN"/>
              </w:rPr>
              <w:t>》</w:t>
            </w:r>
            <w:r w:rsidRPr="00D424A4">
              <w:rPr>
                <w:rFonts w:hint="eastAsia"/>
                <w:sz w:val="20"/>
                <w:lang w:eastAsia="zh-CN"/>
              </w:rPr>
              <w:t>引入了新的</w:t>
            </w:r>
            <w:r w:rsidR="001F781D">
              <w:rPr>
                <w:rFonts w:hint="eastAsia"/>
                <w:sz w:val="20"/>
                <w:lang w:eastAsia="zh-CN"/>
              </w:rPr>
              <w:t>《</w:t>
            </w:r>
            <w:r w:rsidRPr="00D424A4">
              <w:rPr>
                <w:rFonts w:hint="eastAsia"/>
                <w:sz w:val="20"/>
                <w:lang w:eastAsia="zh-CN"/>
              </w:rPr>
              <w:t>监督章程</w:t>
            </w:r>
            <w:r w:rsidR="001F781D">
              <w:rPr>
                <w:rFonts w:hint="eastAsia"/>
                <w:sz w:val="20"/>
                <w:lang w:eastAsia="zh-CN"/>
              </w:rPr>
              <w:t>》</w:t>
            </w:r>
            <w:r w:rsidRPr="00D424A4">
              <w:rPr>
                <w:rFonts w:hint="eastAsia"/>
                <w:sz w:val="20"/>
                <w:lang w:eastAsia="zh-CN"/>
              </w:rPr>
              <w:t>，规定内部审计职能</w:t>
            </w:r>
            <w:r w:rsidR="001F781D">
              <w:rPr>
                <w:rFonts w:hint="eastAsia"/>
                <w:sz w:val="20"/>
                <w:lang w:eastAsia="zh-CN"/>
              </w:rPr>
              <w:t>（</w:t>
            </w:r>
            <w:r w:rsidRPr="00D424A4">
              <w:rPr>
                <w:rFonts w:hint="eastAsia"/>
                <w:sz w:val="20"/>
                <w:lang w:eastAsia="zh-CN"/>
              </w:rPr>
              <w:t>包括其独立性</w:t>
            </w:r>
            <w:r w:rsidR="001F781D">
              <w:rPr>
                <w:rFonts w:hint="eastAsia"/>
                <w:sz w:val="20"/>
                <w:lang w:eastAsia="zh-CN"/>
              </w:rPr>
              <w:t>）是一项</w:t>
            </w:r>
            <w:r w:rsidRPr="00D424A4">
              <w:rPr>
                <w:rFonts w:hint="eastAsia"/>
                <w:sz w:val="20"/>
                <w:lang w:eastAsia="zh-CN"/>
              </w:rPr>
              <w:t>独立于调查的单独职能。</w:t>
            </w:r>
            <w:r w:rsidR="001F781D">
              <w:rPr>
                <w:rFonts w:hint="eastAsia"/>
                <w:sz w:val="20"/>
                <w:lang w:eastAsia="zh-CN"/>
              </w:rPr>
              <w:t>该行政规定系</w:t>
            </w:r>
            <w:r w:rsidR="003D7E37">
              <w:rPr>
                <w:rFonts w:hint="eastAsia"/>
                <w:sz w:val="20"/>
                <w:lang w:eastAsia="zh-CN"/>
              </w:rPr>
              <w:t>依据</w:t>
            </w:r>
            <w:r w:rsidRPr="00D424A4">
              <w:rPr>
                <w:rFonts w:hint="eastAsia"/>
                <w:sz w:val="20"/>
                <w:lang w:eastAsia="zh-CN"/>
              </w:rPr>
              <w:t>理事会</w:t>
            </w:r>
            <w:r w:rsidRPr="00D424A4">
              <w:rPr>
                <w:rFonts w:hint="eastAsia"/>
                <w:sz w:val="20"/>
                <w:lang w:eastAsia="zh-CN"/>
              </w:rPr>
              <w:t>2024</w:t>
            </w:r>
            <w:r w:rsidRPr="00D424A4">
              <w:rPr>
                <w:rFonts w:hint="eastAsia"/>
                <w:sz w:val="20"/>
                <w:lang w:eastAsia="zh-CN"/>
              </w:rPr>
              <w:t>年会议通过</w:t>
            </w:r>
            <w:r w:rsidR="003D7E37">
              <w:rPr>
                <w:rFonts w:hint="eastAsia"/>
                <w:sz w:val="20"/>
                <w:lang w:eastAsia="zh-CN"/>
              </w:rPr>
              <w:t>的</w:t>
            </w:r>
            <w:r w:rsidRPr="00D424A4">
              <w:rPr>
                <w:rFonts w:hint="eastAsia"/>
                <w:sz w:val="20"/>
                <w:lang w:eastAsia="zh-CN"/>
              </w:rPr>
              <w:t>《</w:t>
            </w:r>
            <w:r w:rsidR="001F781D">
              <w:rPr>
                <w:rFonts w:hint="eastAsia"/>
                <w:sz w:val="20"/>
                <w:lang w:eastAsia="zh-CN"/>
              </w:rPr>
              <w:t>章程</w:t>
            </w:r>
            <w:r w:rsidRPr="00D424A4">
              <w:rPr>
                <w:rFonts w:hint="eastAsia"/>
                <w:sz w:val="20"/>
                <w:lang w:eastAsia="zh-CN"/>
              </w:rPr>
              <w:t>》</w:t>
            </w:r>
            <w:r w:rsidR="003D7E37">
              <w:rPr>
                <w:rFonts w:hint="eastAsia"/>
                <w:sz w:val="20"/>
                <w:lang w:eastAsia="zh-CN"/>
              </w:rPr>
              <w:t>出台</w:t>
            </w:r>
            <w:r w:rsidRPr="00D424A4">
              <w:rPr>
                <w:rFonts w:hint="eastAsia"/>
                <w:sz w:val="20"/>
                <w:lang w:eastAsia="zh-CN"/>
              </w:rPr>
              <w:t>的，</w:t>
            </w:r>
            <w:r w:rsidR="003D7E37">
              <w:rPr>
                <w:rFonts w:hint="eastAsia"/>
                <w:sz w:val="20"/>
                <w:lang w:eastAsia="zh-CN"/>
              </w:rPr>
              <w:t>《章程》</w:t>
            </w:r>
            <w:r w:rsidRPr="00D424A4">
              <w:rPr>
                <w:rFonts w:hint="eastAsia"/>
                <w:sz w:val="20"/>
                <w:lang w:eastAsia="zh-CN"/>
              </w:rPr>
              <w:t>第七节规定，至少每五年对其进行一次</w:t>
            </w:r>
            <w:r w:rsidR="001F6DCA">
              <w:rPr>
                <w:rFonts w:hint="eastAsia"/>
                <w:sz w:val="20"/>
                <w:lang w:eastAsia="zh-CN"/>
              </w:rPr>
              <w:t>审议</w:t>
            </w:r>
            <w:r w:rsidRPr="00D424A4">
              <w:rPr>
                <w:rFonts w:hint="eastAsia"/>
                <w:sz w:val="20"/>
                <w:lang w:eastAsia="zh-CN"/>
              </w:rPr>
              <w:t>，</w:t>
            </w:r>
            <w:r w:rsidR="003D7E37">
              <w:rPr>
                <w:rFonts w:hint="eastAsia"/>
                <w:sz w:val="20"/>
                <w:lang w:eastAsia="zh-CN"/>
              </w:rPr>
              <w:t>由</w:t>
            </w:r>
            <w:r w:rsidRPr="00D424A4">
              <w:rPr>
                <w:rFonts w:hint="eastAsia"/>
                <w:sz w:val="20"/>
                <w:lang w:eastAsia="zh-CN"/>
              </w:rPr>
              <w:t>秘书长向理事会提出修改建议。《章程》还提到</w:t>
            </w:r>
            <w:r w:rsidR="003D7E37">
              <w:rPr>
                <w:rFonts w:hint="eastAsia"/>
                <w:sz w:val="20"/>
                <w:lang w:eastAsia="zh-CN"/>
              </w:rPr>
              <w:t>，</w:t>
            </w:r>
            <w:r w:rsidRPr="00D424A4">
              <w:rPr>
                <w:rFonts w:hint="eastAsia"/>
                <w:sz w:val="20"/>
                <w:lang w:eastAsia="zh-CN"/>
              </w:rPr>
              <w:t>审计职能应“遵守”</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1</w:t>
            </w:r>
            <w:r w:rsidRPr="00D424A4">
              <w:rPr>
                <w:rFonts w:hint="eastAsia"/>
                <w:sz w:val="20"/>
                <w:lang w:eastAsia="zh-CN"/>
              </w:rPr>
              <w:t>月生效的</w:t>
            </w:r>
            <w:r w:rsidRPr="00D424A4">
              <w:rPr>
                <w:rFonts w:hint="eastAsia"/>
                <w:sz w:val="20"/>
                <w:lang w:eastAsia="zh-CN"/>
              </w:rPr>
              <w:t>IIA</w:t>
            </w:r>
            <w:r w:rsidRPr="00D424A4">
              <w:rPr>
                <w:rFonts w:hint="eastAsia"/>
                <w:sz w:val="20"/>
                <w:lang w:eastAsia="zh-CN"/>
              </w:rPr>
              <w:t>新</w:t>
            </w:r>
            <w:r w:rsidR="003D7E37">
              <w:rPr>
                <w:rFonts w:hint="eastAsia"/>
                <w:sz w:val="20"/>
                <w:lang w:eastAsia="zh-CN"/>
              </w:rPr>
              <w:t>版《</w:t>
            </w:r>
            <w:r w:rsidRPr="00D424A4">
              <w:rPr>
                <w:rFonts w:hint="eastAsia"/>
                <w:sz w:val="20"/>
                <w:lang w:eastAsia="zh-CN"/>
              </w:rPr>
              <w:t>全球内部审计</w:t>
            </w:r>
            <w:r w:rsidR="003D7E37">
              <w:rPr>
                <w:rFonts w:hint="eastAsia"/>
                <w:sz w:val="20"/>
                <w:lang w:eastAsia="zh-CN"/>
              </w:rPr>
              <w:t>准则》</w:t>
            </w:r>
            <w:r w:rsidRPr="00D424A4">
              <w:rPr>
                <w:rFonts w:hint="eastAsia"/>
                <w:sz w:val="20"/>
                <w:lang w:eastAsia="zh-CN"/>
              </w:rPr>
              <w:t>（</w:t>
            </w:r>
            <w:r w:rsidRPr="00D424A4">
              <w:rPr>
                <w:rFonts w:hint="eastAsia"/>
                <w:sz w:val="20"/>
                <w:lang w:eastAsia="zh-CN"/>
              </w:rPr>
              <w:t>GIAS</w:t>
            </w:r>
            <w:r w:rsidRPr="00D424A4">
              <w:rPr>
                <w:rFonts w:hint="eastAsia"/>
                <w:sz w:val="20"/>
                <w:lang w:eastAsia="zh-CN"/>
              </w:rPr>
              <w:t>）。《章程》第</w:t>
            </w:r>
            <w:r w:rsidR="003D7E37">
              <w:rPr>
                <w:rFonts w:hint="eastAsia"/>
                <w:sz w:val="20"/>
                <w:lang w:eastAsia="zh-CN"/>
              </w:rPr>
              <w:t>六节第</w:t>
            </w:r>
            <w:r w:rsidRPr="00D424A4">
              <w:rPr>
                <w:rFonts w:hint="eastAsia"/>
                <w:sz w:val="20"/>
                <w:lang w:eastAsia="zh-CN"/>
              </w:rPr>
              <w:t>32</w:t>
            </w:r>
            <w:r w:rsidR="003D7E37">
              <w:rPr>
                <w:rFonts w:hint="eastAsia"/>
                <w:sz w:val="20"/>
                <w:lang w:eastAsia="zh-CN"/>
              </w:rPr>
              <w:t>(</w:t>
            </w:r>
            <w:r w:rsidRPr="00D424A4">
              <w:rPr>
                <w:rFonts w:hint="eastAsia"/>
                <w:sz w:val="20"/>
                <w:lang w:eastAsia="zh-CN"/>
              </w:rPr>
              <w:t>h</w:t>
            </w:r>
            <w:r w:rsidR="003D7E37">
              <w:rPr>
                <w:rFonts w:hint="eastAsia"/>
                <w:sz w:val="20"/>
                <w:lang w:eastAsia="zh-CN"/>
              </w:rPr>
              <w:t>)</w:t>
            </w:r>
            <w:r w:rsidR="003D7E37">
              <w:rPr>
                <w:rFonts w:hint="eastAsia"/>
                <w:sz w:val="20"/>
                <w:lang w:eastAsia="zh-CN"/>
              </w:rPr>
              <w:t>款</w:t>
            </w:r>
            <w:r w:rsidRPr="00D424A4">
              <w:rPr>
                <w:rFonts w:hint="eastAsia"/>
                <w:sz w:val="20"/>
                <w:lang w:eastAsia="zh-CN"/>
              </w:rPr>
              <w:t>规定</w:t>
            </w:r>
            <w:r w:rsidR="003D7E37">
              <w:rPr>
                <w:rFonts w:hint="eastAsia"/>
                <w:sz w:val="20"/>
                <w:lang w:eastAsia="zh-CN"/>
              </w:rPr>
              <w:t>，</w:t>
            </w:r>
            <w:r w:rsidRPr="00D424A4">
              <w:rPr>
                <w:rFonts w:hint="eastAsia"/>
                <w:sz w:val="20"/>
                <w:lang w:eastAsia="zh-CN"/>
              </w:rPr>
              <w:t>定期审查审计职能是否符合公认准</w:t>
            </w:r>
            <w:r w:rsidR="003D7E37">
              <w:rPr>
                <w:rFonts w:hint="eastAsia"/>
                <w:sz w:val="20"/>
                <w:lang w:eastAsia="zh-CN"/>
              </w:rPr>
              <w:t>则</w:t>
            </w:r>
            <w:r w:rsidRPr="00D424A4">
              <w:rPr>
                <w:rFonts w:hint="eastAsia"/>
                <w:sz w:val="20"/>
                <w:lang w:eastAsia="zh-CN"/>
              </w:rPr>
              <w:t>，</w:t>
            </w:r>
            <w:r w:rsidR="003D7E37">
              <w:rPr>
                <w:rFonts w:hint="eastAsia"/>
                <w:sz w:val="20"/>
                <w:lang w:eastAsia="zh-CN"/>
              </w:rPr>
              <w:t>这些准则</w:t>
            </w:r>
            <w:r w:rsidRPr="00D424A4">
              <w:rPr>
                <w:rFonts w:hint="eastAsia"/>
                <w:sz w:val="20"/>
                <w:lang w:eastAsia="zh-CN"/>
              </w:rPr>
              <w:t>可能</w:t>
            </w:r>
            <w:r w:rsidR="003D7E37">
              <w:rPr>
                <w:rFonts w:hint="eastAsia"/>
                <w:sz w:val="20"/>
                <w:lang w:eastAsia="zh-CN"/>
              </w:rPr>
              <w:t>引起</w:t>
            </w:r>
            <w:r w:rsidRPr="00D424A4">
              <w:rPr>
                <w:rFonts w:hint="eastAsia"/>
                <w:sz w:val="20"/>
                <w:lang w:eastAsia="zh-CN"/>
              </w:rPr>
              <w:t>运作和监管方面的变化。</w:t>
            </w:r>
          </w:p>
          <w:p w14:paraId="43CB8EC8" w14:textId="7B923309" w:rsidR="003D7FF0" w:rsidRPr="00536D01" w:rsidRDefault="00D424A4" w:rsidP="009449F5">
            <w:pPr>
              <w:pStyle w:val="Tabletext"/>
              <w:keepNext/>
              <w:keepLines/>
              <w:rPr>
                <w:sz w:val="20"/>
                <w:lang w:eastAsia="zh-CN"/>
              </w:rPr>
            </w:pPr>
            <w:r w:rsidRPr="00D424A4">
              <w:rPr>
                <w:rFonts w:hint="eastAsia"/>
                <w:sz w:val="20"/>
                <w:lang w:eastAsia="zh-CN"/>
              </w:rPr>
              <w:t>监督处建议结束这项建议。</w:t>
            </w:r>
          </w:p>
        </w:tc>
        <w:tc>
          <w:tcPr>
            <w:tcW w:w="1050" w:type="pct"/>
            <w:shd w:val="clear" w:color="auto" w:fill="auto"/>
          </w:tcPr>
          <w:p w14:paraId="73316CB0" w14:textId="1F0FF849" w:rsidR="003D7FF0" w:rsidRPr="00536D01" w:rsidRDefault="00D424A4" w:rsidP="009449F5">
            <w:pPr>
              <w:pStyle w:val="Tabletext"/>
              <w:keepNext/>
              <w:keepLines/>
              <w:rPr>
                <w:sz w:val="20"/>
              </w:rPr>
            </w:pPr>
            <w:r w:rsidRPr="00D424A4">
              <w:rPr>
                <w:rFonts w:hint="eastAsia"/>
                <w:sz w:val="20"/>
                <w:lang w:eastAsia="zh-CN"/>
              </w:rPr>
              <w:t>注意到最新回应</w:t>
            </w:r>
            <w:r w:rsidR="00436742">
              <w:rPr>
                <w:rFonts w:hint="eastAsia"/>
                <w:sz w:val="20"/>
                <w:lang w:eastAsia="zh-CN"/>
              </w:rPr>
              <w:t>，</w:t>
            </w:r>
            <w:r w:rsidRPr="00D424A4">
              <w:rPr>
                <w:rFonts w:hint="eastAsia"/>
                <w:sz w:val="20"/>
                <w:lang w:eastAsia="zh-CN"/>
              </w:rPr>
              <w:t>并认为是合理的。该建议已</w:t>
            </w:r>
            <w:r w:rsidR="00436742">
              <w:rPr>
                <w:rFonts w:hint="eastAsia"/>
                <w:sz w:val="20"/>
                <w:lang w:eastAsia="zh-CN"/>
              </w:rPr>
              <w:t>完成</w:t>
            </w:r>
            <w:r w:rsidRPr="00D424A4">
              <w:rPr>
                <w:rFonts w:hint="eastAsia"/>
                <w:sz w:val="20"/>
              </w:rPr>
              <w:t>。</w:t>
            </w:r>
          </w:p>
        </w:tc>
        <w:tc>
          <w:tcPr>
            <w:tcW w:w="450" w:type="pct"/>
            <w:shd w:val="clear" w:color="auto" w:fill="auto"/>
          </w:tcPr>
          <w:p w14:paraId="4A239A91" w14:textId="77A0842E" w:rsidR="003D7FF0" w:rsidRPr="00536D01" w:rsidRDefault="00A62A5A" w:rsidP="009449F5">
            <w:pPr>
              <w:pStyle w:val="Tabletext"/>
              <w:keepNext/>
              <w:keepLines/>
              <w:rPr>
                <w:sz w:val="20"/>
              </w:rPr>
            </w:pPr>
            <w:r>
              <w:rPr>
                <w:rFonts w:ascii="SimSun" w:eastAsia="SimSun" w:hAnsi="SimSun" w:cs="SimSun" w:hint="eastAsia"/>
                <w:color w:val="000000"/>
                <w:sz w:val="20"/>
                <w:lang w:eastAsia="zh-CN"/>
              </w:rPr>
              <w:t>已关闭。</w:t>
            </w:r>
          </w:p>
        </w:tc>
      </w:tr>
      <w:tr w:rsidR="003D7FF0" w:rsidRPr="00536D01" w14:paraId="5BD3AE86" w14:textId="77777777" w:rsidTr="00E6035E">
        <w:tc>
          <w:tcPr>
            <w:tcW w:w="300" w:type="pct"/>
            <w:shd w:val="clear" w:color="auto" w:fill="auto"/>
          </w:tcPr>
          <w:p w14:paraId="7D2BC92C" w14:textId="77777777" w:rsidR="003D7FF0" w:rsidRPr="00536D01" w:rsidRDefault="003D7FF0" w:rsidP="00786ECB">
            <w:pPr>
              <w:pStyle w:val="Tabletext"/>
              <w:rPr>
                <w:sz w:val="20"/>
              </w:rPr>
            </w:pPr>
            <w:r w:rsidRPr="00536D01">
              <w:rPr>
                <w:sz w:val="20"/>
              </w:rPr>
              <w:t>2021 R#22</w:t>
            </w:r>
          </w:p>
        </w:tc>
        <w:tc>
          <w:tcPr>
            <w:tcW w:w="1450" w:type="pct"/>
            <w:shd w:val="clear" w:color="auto" w:fill="auto"/>
          </w:tcPr>
          <w:p w14:paraId="13D1A7D4" w14:textId="373233EE" w:rsidR="003D7FF0" w:rsidRPr="00553ECA" w:rsidRDefault="00553ECA" w:rsidP="00553ECA">
            <w:pPr>
              <w:pStyle w:val="Tabletext"/>
              <w:rPr>
                <w:sz w:val="20"/>
                <w:lang w:eastAsia="zh-CN"/>
              </w:rPr>
            </w:pPr>
            <w:r w:rsidRPr="00553ECA">
              <w:rPr>
                <w:rFonts w:hint="eastAsia"/>
                <w:sz w:val="20"/>
                <w:lang w:eastAsia="zh-CN"/>
              </w:rPr>
              <w:t>修改监管框架，设想由</w:t>
            </w:r>
            <w:r w:rsidRPr="00553ECA">
              <w:rPr>
                <w:rFonts w:hint="eastAsia"/>
                <w:sz w:val="20"/>
                <w:lang w:eastAsia="zh-CN"/>
              </w:rPr>
              <w:t>IAU</w:t>
            </w:r>
            <w:r w:rsidRPr="00553ECA">
              <w:rPr>
                <w:rFonts w:hint="eastAsia"/>
                <w:sz w:val="20"/>
                <w:lang w:eastAsia="zh-CN"/>
              </w:rPr>
              <w:t>处长向</w:t>
            </w:r>
            <w:r w:rsidRPr="00553ECA">
              <w:rPr>
                <w:rFonts w:hint="eastAsia"/>
                <w:sz w:val="20"/>
                <w:lang w:eastAsia="zh-CN"/>
              </w:rPr>
              <w:t>IMAC</w:t>
            </w:r>
            <w:r w:rsidRPr="00553ECA">
              <w:rPr>
                <w:rFonts w:hint="eastAsia"/>
                <w:sz w:val="20"/>
                <w:lang w:eastAsia="zh-CN"/>
              </w:rPr>
              <w:t>提交《内部审计章程》，经评估后，由秘书长和理事会批准。</w:t>
            </w:r>
          </w:p>
        </w:tc>
        <w:tc>
          <w:tcPr>
            <w:tcW w:w="1750" w:type="pct"/>
            <w:shd w:val="clear" w:color="auto" w:fill="auto"/>
          </w:tcPr>
          <w:p w14:paraId="6D2039D1" w14:textId="5BF94523" w:rsidR="003D7FF0" w:rsidRPr="00536D01" w:rsidRDefault="00D424A4" w:rsidP="00786ECB">
            <w:pPr>
              <w:pStyle w:val="Tabletext"/>
              <w:rPr>
                <w:sz w:val="20"/>
                <w:lang w:eastAsia="zh-CN"/>
              </w:rPr>
            </w:pPr>
            <w:r w:rsidRPr="00D424A4">
              <w:rPr>
                <w:rFonts w:hint="eastAsia"/>
                <w:sz w:val="20"/>
                <w:lang w:eastAsia="zh-CN"/>
              </w:rPr>
              <w:t>截至</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1</w:t>
            </w:r>
            <w:r w:rsidRPr="00D424A4">
              <w:rPr>
                <w:rFonts w:hint="eastAsia"/>
                <w:sz w:val="20"/>
                <w:lang w:eastAsia="zh-CN"/>
              </w:rPr>
              <w:t>月的最新进展：</w:t>
            </w:r>
            <w:r w:rsidRPr="00D424A4">
              <w:rPr>
                <w:rFonts w:hint="eastAsia"/>
                <w:sz w:val="20"/>
                <w:lang w:eastAsia="zh-CN"/>
              </w:rPr>
              <w:t>2024</w:t>
            </w:r>
            <w:r w:rsidRPr="00D424A4">
              <w:rPr>
                <w:rFonts w:hint="eastAsia"/>
                <w:sz w:val="20"/>
                <w:lang w:eastAsia="zh-CN"/>
              </w:rPr>
              <w:t>年</w:t>
            </w:r>
            <w:r w:rsidRPr="00D424A4">
              <w:rPr>
                <w:rFonts w:hint="eastAsia"/>
                <w:sz w:val="20"/>
                <w:lang w:eastAsia="zh-CN"/>
              </w:rPr>
              <w:t>9</w:t>
            </w:r>
            <w:r w:rsidRPr="00D424A4">
              <w:rPr>
                <w:rFonts w:hint="eastAsia"/>
                <w:sz w:val="20"/>
                <w:lang w:eastAsia="zh-CN"/>
              </w:rPr>
              <w:t>月，</w:t>
            </w:r>
            <w:r w:rsidR="003D7E37">
              <w:rPr>
                <w:rFonts w:hint="eastAsia"/>
                <w:sz w:val="20"/>
                <w:lang w:eastAsia="zh-CN"/>
              </w:rPr>
              <w:t>经</w:t>
            </w:r>
            <w:r w:rsidRPr="00D424A4">
              <w:rPr>
                <w:rFonts w:hint="eastAsia"/>
                <w:sz w:val="20"/>
                <w:lang w:eastAsia="zh-CN"/>
              </w:rPr>
              <w:t>第</w:t>
            </w:r>
            <w:r w:rsidRPr="00D424A4">
              <w:rPr>
                <w:rFonts w:hint="eastAsia"/>
                <w:sz w:val="20"/>
                <w:lang w:eastAsia="zh-CN"/>
              </w:rPr>
              <w:t>24/09</w:t>
            </w:r>
            <w:r w:rsidRPr="00D424A4">
              <w:rPr>
                <w:rFonts w:hint="eastAsia"/>
                <w:sz w:val="20"/>
                <w:lang w:eastAsia="zh-CN"/>
              </w:rPr>
              <w:t>号行政规定</w:t>
            </w:r>
            <w:r w:rsidR="003D7E37">
              <w:rPr>
                <w:rFonts w:hint="eastAsia"/>
                <w:sz w:val="20"/>
                <w:lang w:eastAsia="zh-CN"/>
              </w:rPr>
              <w:t>《</w:t>
            </w:r>
            <w:r w:rsidR="003D7E37" w:rsidRPr="00D424A4">
              <w:rPr>
                <w:rFonts w:hint="eastAsia"/>
                <w:sz w:val="20"/>
                <w:lang w:eastAsia="zh-CN"/>
              </w:rPr>
              <w:t>通过国际电联监督章程和澄清</w:t>
            </w:r>
            <w:r w:rsidR="003D7E37">
              <w:rPr>
                <w:rFonts w:hint="eastAsia"/>
                <w:sz w:val="20"/>
                <w:lang w:eastAsia="zh-CN"/>
              </w:rPr>
              <w:t>》</w:t>
            </w:r>
            <w:r w:rsidRPr="00D424A4">
              <w:rPr>
                <w:rFonts w:hint="eastAsia"/>
                <w:sz w:val="20"/>
                <w:lang w:eastAsia="zh-CN"/>
              </w:rPr>
              <w:t>引入了新的</w:t>
            </w:r>
            <w:r w:rsidR="003D7E37">
              <w:rPr>
                <w:rFonts w:hint="eastAsia"/>
                <w:sz w:val="20"/>
                <w:lang w:eastAsia="zh-CN"/>
              </w:rPr>
              <w:t>《</w:t>
            </w:r>
            <w:r w:rsidRPr="00D424A4">
              <w:rPr>
                <w:rFonts w:hint="eastAsia"/>
                <w:sz w:val="20"/>
                <w:lang w:eastAsia="zh-CN"/>
              </w:rPr>
              <w:t>监督章程</w:t>
            </w:r>
            <w:r w:rsidR="003D7E37">
              <w:rPr>
                <w:rFonts w:hint="eastAsia"/>
                <w:sz w:val="20"/>
                <w:lang w:eastAsia="zh-CN"/>
              </w:rPr>
              <w:t>》</w:t>
            </w:r>
            <w:r w:rsidRPr="00D424A4">
              <w:rPr>
                <w:rFonts w:hint="eastAsia"/>
                <w:sz w:val="20"/>
                <w:lang w:eastAsia="zh-CN"/>
              </w:rPr>
              <w:t>，规</w:t>
            </w:r>
            <w:r w:rsidR="003D7E37">
              <w:rPr>
                <w:rFonts w:hint="eastAsia"/>
                <w:sz w:val="20"/>
                <w:lang w:eastAsia="zh-CN"/>
              </w:rPr>
              <w:t>定了</w:t>
            </w:r>
            <w:r w:rsidRPr="00D424A4">
              <w:rPr>
                <w:rFonts w:hint="eastAsia"/>
                <w:sz w:val="20"/>
                <w:lang w:eastAsia="zh-CN"/>
              </w:rPr>
              <w:t>内部审计职能，包括其独立性。</w:t>
            </w:r>
            <w:r w:rsidR="003D7E37">
              <w:rPr>
                <w:rFonts w:hint="eastAsia"/>
                <w:sz w:val="20"/>
                <w:lang w:eastAsia="zh-CN"/>
              </w:rPr>
              <w:t>该行政规定系依据</w:t>
            </w:r>
            <w:r w:rsidRPr="00D424A4">
              <w:rPr>
                <w:rFonts w:hint="eastAsia"/>
                <w:sz w:val="20"/>
                <w:lang w:eastAsia="zh-CN"/>
              </w:rPr>
              <w:t>理事会</w:t>
            </w:r>
            <w:r w:rsidRPr="00D424A4">
              <w:rPr>
                <w:rFonts w:hint="eastAsia"/>
                <w:sz w:val="20"/>
                <w:lang w:eastAsia="zh-CN"/>
              </w:rPr>
              <w:t>2024</w:t>
            </w:r>
            <w:r w:rsidRPr="00D424A4">
              <w:rPr>
                <w:rFonts w:hint="eastAsia"/>
                <w:sz w:val="20"/>
                <w:lang w:eastAsia="zh-CN"/>
              </w:rPr>
              <w:t>年会议通过</w:t>
            </w:r>
            <w:r w:rsidR="003D7E37">
              <w:rPr>
                <w:rFonts w:hint="eastAsia"/>
                <w:sz w:val="20"/>
                <w:lang w:eastAsia="zh-CN"/>
              </w:rPr>
              <w:t>的《</w:t>
            </w:r>
            <w:r w:rsidRPr="00D424A4">
              <w:rPr>
                <w:rFonts w:hint="eastAsia"/>
                <w:sz w:val="20"/>
                <w:lang w:eastAsia="zh-CN"/>
              </w:rPr>
              <w:t>章程</w:t>
            </w:r>
            <w:r w:rsidR="003D7E37">
              <w:rPr>
                <w:rFonts w:hint="eastAsia"/>
                <w:sz w:val="20"/>
                <w:lang w:eastAsia="zh-CN"/>
              </w:rPr>
              <w:t>》出台</w:t>
            </w:r>
            <w:r w:rsidRPr="00D424A4">
              <w:rPr>
                <w:rFonts w:hint="eastAsia"/>
                <w:sz w:val="20"/>
                <w:lang w:eastAsia="zh-CN"/>
              </w:rPr>
              <w:t>的，该</w:t>
            </w:r>
            <w:r w:rsidR="003D7E37">
              <w:rPr>
                <w:rFonts w:hint="eastAsia"/>
                <w:sz w:val="20"/>
                <w:lang w:eastAsia="zh-CN"/>
              </w:rPr>
              <w:t>《</w:t>
            </w:r>
            <w:r w:rsidRPr="00D424A4">
              <w:rPr>
                <w:rFonts w:hint="eastAsia"/>
                <w:sz w:val="20"/>
                <w:lang w:eastAsia="zh-CN"/>
              </w:rPr>
              <w:t>章程</w:t>
            </w:r>
            <w:r w:rsidR="003D7E37">
              <w:rPr>
                <w:rFonts w:hint="eastAsia"/>
                <w:sz w:val="20"/>
                <w:lang w:eastAsia="zh-CN"/>
              </w:rPr>
              <w:t>》</w:t>
            </w:r>
            <w:r w:rsidRPr="00D424A4">
              <w:rPr>
                <w:rFonts w:hint="eastAsia"/>
                <w:sz w:val="20"/>
                <w:lang w:eastAsia="zh-CN"/>
              </w:rPr>
              <w:t>已经过</w:t>
            </w:r>
            <w:r w:rsidRPr="00D424A4">
              <w:rPr>
                <w:rFonts w:hint="eastAsia"/>
                <w:sz w:val="20"/>
                <w:lang w:eastAsia="zh-CN"/>
              </w:rPr>
              <w:t>IMAC</w:t>
            </w:r>
            <w:r w:rsidRPr="00D424A4">
              <w:rPr>
                <w:rFonts w:hint="eastAsia"/>
                <w:sz w:val="20"/>
                <w:lang w:eastAsia="zh-CN"/>
              </w:rPr>
              <w:t>的审查和评论。新《章</w:t>
            </w:r>
            <w:r w:rsidR="003D7E37">
              <w:rPr>
                <w:rFonts w:hint="eastAsia"/>
                <w:sz w:val="20"/>
                <w:lang w:eastAsia="zh-CN"/>
              </w:rPr>
              <w:t>程</w:t>
            </w:r>
            <w:r w:rsidRPr="00D424A4">
              <w:rPr>
                <w:rFonts w:hint="eastAsia"/>
                <w:sz w:val="20"/>
                <w:lang w:eastAsia="zh-CN"/>
              </w:rPr>
              <w:t>》第七节规定，至少每五年</w:t>
            </w:r>
            <w:r w:rsidR="001F6DCA">
              <w:rPr>
                <w:rFonts w:hint="eastAsia"/>
                <w:sz w:val="20"/>
                <w:lang w:eastAsia="zh-CN"/>
              </w:rPr>
              <w:t>对其</w:t>
            </w:r>
            <w:r w:rsidRPr="00D424A4">
              <w:rPr>
                <w:rFonts w:hint="eastAsia"/>
                <w:sz w:val="20"/>
                <w:lang w:eastAsia="zh-CN"/>
              </w:rPr>
              <w:t>进行一次审议，必要时秘书长可向理事会提出修改建议。</w:t>
            </w:r>
          </w:p>
          <w:p w14:paraId="085703E9" w14:textId="7457BC20" w:rsidR="003D7FF0" w:rsidRPr="00536D01" w:rsidRDefault="00D424A4" w:rsidP="001B3DBE">
            <w:pPr>
              <w:pStyle w:val="Tabletext"/>
              <w:spacing w:after="0"/>
              <w:rPr>
                <w:sz w:val="20"/>
                <w:lang w:eastAsia="zh-CN"/>
              </w:rPr>
            </w:pPr>
            <w:r w:rsidRPr="00D424A4">
              <w:rPr>
                <w:rFonts w:hint="eastAsia"/>
                <w:sz w:val="20"/>
                <w:lang w:eastAsia="zh-CN"/>
              </w:rPr>
              <w:t>国际电联建议结束</w:t>
            </w:r>
            <w:r w:rsidR="00E9083D">
              <w:rPr>
                <w:rFonts w:hint="eastAsia"/>
                <w:sz w:val="20"/>
                <w:lang w:eastAsia="zh-CN"/>
              </w:rPr>
              <w:t>本</w:t>
            </w:r>
            <w:r w:rsidR="00A92B51">
              <w:rPr>
                <w:rFonts w:hint="eastAsia"/>
                <w:sz w:val="20"/>
                <w:lang w:eastAsia="zh-CN"/>
              </w:rPr>
              <w:t>建议</w:t>
            </w:r>
          </w:p>
        </w:tc>
        <w:tc>
          <w:tcPr>
            <w:tcW w:w="1050" w:type="pct"/>
            <w:shd w:val="clear" w:color="auto" w:fill="auto"/>
          </w:tcPr>
          <w:p w14:paraId="0D3DB439" w14:textId="4B542462" w:rsidR="003D7FF0" w:rsidRPr="00536D01" w:rsidRDefault="00D424A4" w:rsidP="00786ECB">
            <w:pPr>
              <w:pStyle w:val="Tabletext"/>
              <w:rPr>
                <w:sz w:val="20"/>
              </w:rPr>
            </w:pPr>
            <w:r w:rsidRPr="00D424A4">
              <w:rPr>
                <w:rFonts w:hint="eastAsia"/>
                <w:sz w:val="20"/>
                <w:lang w:eastAsia="zh-CN"/>
              </w:rPr>
              <w:t>注意到最新回应</w:t>
            </w:r>
            <w:r w:rsidR="00436742">
              <w:rPr>
                <w:rFonts w:hint="eastAsia"/>
                <w:sz w:val="20"/>
                <w:lang w:eastAsia="zh-CN"/>
              </w:rPr>
              <w:t>，</w:t>
            </w:r>
            <w:r w:rsidRPr="00D424A4">
              <w:rPr>
                <w:rFonts w:hint="eastAsia"/>
                <w:sz w:val="20"/>
                <w:lang w:eastAsia="zh-CN"/>
              </w:rPr>
              <w:t>并认为是合理的。该建议已</w:t>
            </w:r>
            <w:r w:rsidR="00436742">
              <w:rPr>
                <w:rFonts w:hint="eastAsia"/>
                <w:sz w:val="20"/>
                <w:lang w:eastAsia="zh-CN"/>
              </w:rPr>
              <w:t>完成</w:t>
            </w:r>
            <w:r w:rsidRPr="00D424A4">
              <w:rPr>
                <w:rFonts w:hint="eastAsia"/>
                <w:sz w:val="20"/>
              </w:rPr>
              <w:t>。</w:t>
            </w:r>
          </w:p>
        </w:tc>
        <w:tc>
          <w:tcPr>
            <w:tcW w:w="450" w:type="pct"/>
            <w:shd w:val="clear" w:color="auto" w:fill="auto"/>
          </w:tcPr>
          <w:p w14:paraId="1337B97D" w14:textId="4D283880" w:rsidR="003D7FF0" w:rsidRPr="00536D01" w:rsidRDefault="00A62A5A" w:rsidP="00786ECB">
            <w:pPr>
              <w:pStyle w:val="Tabletext"/>
              <w:rPr>
                <w:sz w:val="20"/>
              </w:rPr>
            </w:pPr>
            <w:r>
              <w:rPr>
                <w:rFonts w:ascii="SimSun" w:eastAsia="SimSun" w:hAnsi="SimSun" w:cs="SimSun" w:hint="eastAsia"/>
                <w:color w:val="000000"/>
                <w:sz w:val="20"/>
                <w:lang w:eastAsia="zh-CN"/>
              </w:rPr>
              <w:t>已关闭。</w:t>
            </w:r>
          </w:p>
        </w:tc>
      </w:tr>
      <w:tr w:rsidR="003D7FF0" w:rsidRPr="00536D01" w14:paraId="2111972F" w14:textId="77777777" w:rsidTr="00E6035E">
        <w:tc>
          <w:tcPr>
            <w:tcW w:w="300" w:type="pct"/>
            <w:shd w:val="clear" w:color="auto" w:fill="auto"/>
          </w:tcPr>
          <w:p w14:paraId="62DB3AC5" w14:textId="77777777" w:rsidR="003D7FF0" w:rsidRPr="00536D01" w:rsidRDefault="003D7FF0" w:rsidP="00786ECB">
            <w:pPr>
              <w:pStyle w:val="Tabletext"/>
              <w:rPr>
                <w:sz w:val="20"/>
              </w:rPr>
            </w:pPr>
            <w:r w:rsidRPr="00536D01">
              <w:rPr>
                <w:sz w:val="20"/>
              </w:rPr>
              <w:lastRenderedPageBreak/>
              <w:t>2021 R#23</w:t>
            </w:r>
          </w:p>
        </w:tc>
        <w:tc>
          <w:tcPr>
            <w:tcW w:w="1450" w:type="pct"/>
            <w:shd w:val="clear" w:color="auto" w:fill="auto"/>
          </w:tcPr>
          <w:p w14:paraId="0F6A8D95" w14:textId="04756C07" w:rsidR="003D7FF0" w:rsidRPr="00553ECA" w:rsidRDefault="00553ECA" w:rsidP="00553ECA">
            <w:pPr>
              <w:pStyle w:val="Tabletext"/>
              <w:rPr>
                <w:sz w:val="20"/>
                <w:lang w:eastAsia="zh-CN"/>
              </w:rPr>
            </w:pPr>
            <w:r w:rsidRPr="00553ECA">
              <w:rPr>
                <w:rFonts w:hint="eastAsia"/>
                <w:sz w:val="20"/>
                <w:lang w:eastAsia="zh-CN"/>
              </w:rPr>
              <w:t>IAU</w:t>
            </w:r>
            <w:r w:rsidRPr="00553ECA">
              <w:rPr>
                <w:rFonts w:hint="eastAsia"/>
                <w:sz w:val="20"/>
                <w:lang w:eastAsia="zh-CN"/>
              </w:rPr>
              <w:t>处长采用基于风险的多年期审计计划，包括滚动覆盖周期，最大限度地利用内部资源，确保定期覆盖本组织的风险、关键领域和活动。滚动周期的长度（通常为三年）应由</w:t>
            </w:r>
            <w:r w:rsidRPr="00553ECA">
              <w:rPr>
                <w:rFonts w:hint="eastAsia"/>
                <w:sz w:val="20"/>
                <w:lang w:eastAsia="zh-CN"/>
              </w:rPr>
              <w:t>IAU</w:t>
            </w:r>
            <w:r w:rsidRPr="00553ECA">
              <w:rPr>
                <w:rFonts w:hint="eastAsia"/>
                <w:sz w:val="20"/>
                <w:lang w:eastAsia="zh-CN"/>
              </w:rPr>
              <w:t>在考虑到现有资源的情况下决定；例如，应在年度计划末尾的表格中披露将在多年期内审计的领域。</w:t>
            </w:r>
          </w:p>
        </w:tc>
        <w:tc>
          <w:tcPr>
            <w:tcW w:w="1750" w:type="pct"/>
            <w:shd w:val="clear" w:color="auto" w:fill="auto"/>
          </w:tcPr>
          <w:p w14:paraId="05C643D5" w14:textId="2A0A1F8F" w:rsidR="003D7FF0" w:rsidRPr="00536D01" w:rsidRDefault="00D424A4" w:rsidP="00786ECB">
            <w:pPr>
              <w:pStyle w:val="Tabletext"/>
              <w:rPr>
                <w:sz w:val="20"/>
                <w:lang w:eastAsia="zh-CN"/>
              </w:rPr>
            </w:pPr>
            <w:r w:rsidRPr="00D424A4">
              <w:rPr>
                <w:rFonts w:hint="eastAsia"/>
                <w:sz w:val="20"/>
                <w:lang w:eastAsia="zh-CN"/>
              </w:rPr>
              <w:t>截至</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1</w:t>
            </w:r>
            <w:r w:rsidRPr="00D424A4">
              <w:rPr>
                <w:rFonts w:hint="eastAsia"/>
                <w:sz w:val="20"/>
                <w:lang w:eastAsia="zh-CN"/>
              </w:rPr>
              <w:t>月的最新进展：年度内部审计计划始终以风险为基础，每年都提交给</w:t>
            </w:r>
            <w:r w:rsidRPr="00D424A4">
              <w:rPr>
                <w:rFonts w:hint="eastAsia"/>
                <w:sz w:val="20"/>
                <w:lang w:eastAsia="zh-CN"/>
              </w:rPr>
              <w:t>IMAC</w:t>
            </w:r>
            <w:r w:rsidRPr="00D424A4">
              <w:rPr>
                <w:rFonts w:hint="eastAsia"/>
                <w:sz w:val="20"/>
                <w:lang w:eastAsia="zh-CN"/>
              </w:rPr>
              <w:t>征求意见，并包含中期规划项目</w:t>
            </w:r>
            <w:r w:rsidRPr="00D424A4">
              <w:rPr>
                <w:rFonts w:hint="eastAsia"/>
                <w:sz w:val="20"/>
                <w:lang w:eastAsia="zh-CN"/>
              </w:rPr>
              <w:t>/</w:t>
            </w:r>
            <w:r w:rsidRPr="00D424A4">
              <w:rPr>
                <w:rFonts w:hint="eastAsia"/>
                <w:sz w:val="20"/>
                <w:lang w:eastAsia="zh-CN"/>
              </w:rPr>
              <w:t>领域。新的国际电联</w:t>
            </w:r>
            <w:r w:rsidR="00E9083D">
              <w:rPr>
                <w:rFonts w:hint="eastAsia"/>
                <w:sz w:val="20"/>
                <w:lang w:eastAsia="zh-CN"/>
              </w:rPr>
              <w:t>《</w:t>
            </w:r>
            <w:r w:rsidRPr="00D424A4">
              <w:rPr>
                <w:rFonts w:hint="eastAsia"/>
                <w:sz w:val="20"/>
                <w:lang w:eastAsia="zh-CN"/>
              </w:rPr>
              <w:t>监督章程</w:t>
            </w:r>
            <w:r w:rsidR="00E9083D">
              <w:rPr>
                <w:rFonts w:hint="eastAsia"/>
                <w:sz w:val="20"/>
                <w:lang w:eastAsia="zh-CN"/>
              </w:rPr>
              <w:t>》系</w:t>
            </w:r>
            <w:r w:rsidRPr="00D424A4">
              <w:rPr>
                <w:rFonts w:hint="eastAsia"/>
                <w:sz w:val="20"/>
                <w:lang w:eastAsia="zh-CN"/>
              </w:rPr>
              <w:t>根据理事会</w:t>
            </w:r>
            <w:r w:rsidRPr="00D424A4">
              <w:rPr>
                <w:rFonts w:hint="eastAsia"/>
                <w:sz w:val="20"/>
                <w:lang w:eastAsia="zh-CN"/>
              </w:rPr>
              <w:t>2024</w:t>
            </w:r>
            <w:r w:rsidRPr="00D424A4">
              <w:rPr>
                <w:rFonts w:hint="eastAsia"/>
                <w:sz w:val="20"/>
                <w:lang w:eastAsia="zh-CN"/>
              </w:rPr>
              <w:t>年会议通过的</w:t>
            </w:r>
            <w:r w:rsidR="00E9083D">
              <w:rPr>
                <w:rFonts w:hint="eastAsia"/>
                <w:sz w:val="20"/>
                <w:lang w:eastAsia="zh-CN"/>
              </w:rPr>
              <w:t>《监督章程》、经</w:t>
            </w:r>
            <w:r w:rsidR="00E9083D" w:rsidRPr="00D424A4">
              <w:rPr>
                <w:rFonts w:hint="eastAsia"/>
                <w:sz w:val="20"/>
                <w:lang w:eastAsia="zh-CN"/>
              </w:rPr>
              <w:t>第</w:t>
            </w:r>
            <w:r w:rsidR="00E9083D" w:rsidRPr="00D424A4">
              <w:rPr>
                <w:rFonts w:hint="eastAsia"/>
                <w:sz w:val="20"/>
                <w:lang w:eastAsia="zh-CN"/>
              </w:rPr>
              <w:t>24/09</w:t>
            </w:r>
            <w:r w:rsidR="00E9083D" w:rsidRPr="00D424A4">
              <w:rPr>
                <w:rFonts w:hint="eastAsia"/>
                <w:sz w:val="20"/>
                <w:lang w:eastAsia="zh-CN"/>
              </w:rPr>
              <w:t>号行政规定</w:t>
            </w:r>
            <w:r w:rsidRPr="00D424A4">
              <w:rPr>
                <w:rFonts w:hint="eastAsia"/>
                <w:sz w:val="20"/>
                <w:lang w:eastAsia="zh-CN"/>
              </w:rPr>
              <w:t>发布的。《章程》要求制定基于风险的审计计划</w:t>
            </w:r>
            <w:r w:rsidR="00E9083D">
              <w:rPr>
                <w:rFonts w:hint="eastAsia"/>
                <w:sz w:val="20"/>
                <w:lang w:eastAsia="zh-CN"/>
              </w:rPr>
              <w:t>，待</w:t>
            </w:r>
            <w:r w:rsidR="00E9083D" w:rsidRPr="00D424A4">
              <w:rPr>
                <w:rFonts w:hint="eastAsia"/>
                <w:sz w:val="20"/>
                <w:lang w:eastAsia="zh-CN"/>
              </w:rPr>
              <w:t>IMAC</w:t>
            </w:r>
            <w:r w:rsidR="00E9083D" w:rsidRPr="00D424A4">
              <w:rPr>
                <w:rFonts w:hint="eastAsia"/>
                <w:sz w:val="20"/>
                <w:lang w:eastAsia="zh-CN"/>
              </w:rPr>
              <w:t>审议</w:t>
            </w:r>
            <w:r w:rsidR="00E9083D">
              <w:rPr>
                <w:rFonts w:hint="eastAsia"/>
                <w:sz w:val="20"/>
                <w:lang w:eastAsia="zh-CN"/>
              </w:rPr>
              <w:t>和</w:t>
            </w:r>
            <w:r w:rsidR="00E9083D" w:rsidRPr="00D424A4">
              <w:rPr>
                <w:rFonts w:hint="eastAsia"/>
                <w:sz w:val="20"/>
                <w:lang w:eastAsia="zh-CN"/>
              </w:rPr>
              <w:t>秘书长批准</w:t>
            </w:r>
            <w:r w:rsidRPr="00D424A4">
              <w:rPr>
                <w:rFonts w:hint="eastAsia"/>
                <w:sz w:val="20"/>
                <w:lang w:eastAsia="zh-CN"/>
              </w:rPr>
              <w:t>。</w:t>
            </w:r>
          </w:p>
          <w:p w14:paraId="2224E66C" w14:textId="48B69247" w:rsidR="003D7FF0" w:rsidRPr="00536D01" w:rsidRDefault="00D424A4" w:rsidP="00786ECB">
            <w:pPr>
              <w:pStyle w:val="Tabletext"/>
              <w:rPr>
                <w:sz w:val="20"/>
                <w:lang w:eastAsia="zh-CN"/>
              </w:rPr>
            </w:pPr>
            <w:r w:rsidRPr="00D424A4">
              <w:rPr>
                <w:rFonts w:hint="eastAsia"/>
                <w:sz w:val="20"/>
                <w:lang w:eastAsia="zh-CN"/>
              </w:rPr>
              <w:t>国际电联建议结束本</w:t>
            </w:r>
            <w:r w:rsidR="00A92B51">
              <w:rPr>
                <w:rFonts w:hint="eastAsia"/>
                <w:sz w:val="20"/>
                <w:lang w:eastAsia="zh-CN"/>
              </w:rPr>
              <w:t>建议</w:t>
            </w:r>
            <w:r w:rsidRPr="00D424A4">
              <w:rPr>
                <w:rFonts w:hint="eastAsia"/>
                <w:sz w:val="20"/>
                <w:lang w:eastAsia="zh-CN"/>
              </w:rPr>
              <w:t>。</w:t>
            </w:r>
          </w:p>
        </w:tc>
        <w:tc>
          <w:tcPr>
            <w:tcW w:w="1050" w:type="pct"/>
            <w:shd w:val="clear" w:color="auto" w:fill="auto"/>
          </w:tcPr>
          <w:p w14:paraId="7CA87EDE" w14:textId="5488B12D" w:rsidR="003D7FF0" w:rsidRPr="00536D01" w:rsidRDefault="00D424A4" w:rsidP="00786ECB">
            <w:pPr>
              <w:pStyle w:val="Tabletext"/>
              <w:rPr>
                <w:sz w:val="20"/>
                <w:lang w:eastAsia="zh-CN"/>
              </w:rPr>
            </w:pPr>
            <w:r w:rsidRPr="00D424A4">
              <w:rPr>
                <w:rFonts w:hint="eastAsia"/>
                <w:sz w:val="20"/>
                <w:lang w:eastAsia="zh-CN"/>
              </w:rPr>
              <w:t>如今年报告所述，内部审计将由</w:t>
            </w:r>
            <w:r w:rsidR="00E9083D">
              <w:rPr>
                <w:rFonts w:hint="eastAsia"/>
                <w:sz w:val="20"/>
                <w:lang w:eastAsia="zh-CN"/>
              </w:rPr>
              <w:t>国际</w:t>
            </w:r>
            <w:r w:rsidRPr="00D424A4">
              <w:rPr>
                <w:rFonts w:hint="eastAsia"/>
                <w:sz w:val="20"/>
                <w:lang w:eastAsia="zh-CN"/>
              </w:rPr>
              <w:t>内部审计师协会进行</w:t>
            </w:r>
            <w:r w:rsidR="006B30C7">
              <w:rPr>
                <w:rFonts w:hint="eastAsia"/>
                <w:sz w:val="20"/>
                <w:lang w:eastAsia="zh-CN"/>
              </w:rPr>
              <w:t>同行评审</w:t>
            </w:r>
            <w:r w:rsidRPr="00D424A4">
              <w:rPr>
                <w:rFonts w:hint="eastAsia"/>
                <w:sz w:val="20"/>
                <w:lang w:eastAsia="zh-CN"/>
              </w:rPr>
              <w:t>。我们已</w:t>
            </w:r>
            <w:r w:rsidR="00F5164E">
              <w:rPr>
                <w:rFonts w:hint="eastAsia"/>
                <w:sz w:val="20"/>
                <w:lang w:eastAsia="zh-CN"/>
              </w:rPr>
              <w:t>完成</w:t>
            </w:r>
            <w:r w:rsidRPr="00D424A4">
              <w:rPr>
                <w:rFonts w:hint="eastAsia"/>
                <w:sz w:val="20"/>
                <w:lang w:eastAsia="zh-CN"/>
              </w:rPr>
              <w:t>这项关于规划的详细建议，并将审查</w:t>
            </w:r>
            <w:r w:rsidRPr="00D424A4">
              <w:rPr>
                <w:rFonts w:hint="eastAsia"/>
                <w:sz w:val="20"/>
                <w:lang w:eastAsia="zh-CN"/>
              </w:rPr>
              <w:t>IIA</w:t>
            </w:r>
            <w:r w:rsidRPr="00D424A4">
              <w:rPr>
                <w:rFonts w:hint="eastAsia"/>
                <w:sz w:val="20"/>
                <w:lang w:eastAsia="zh-CN"/>
              </w:rPr>
              <w:t>的评估结果，在明年的报告中向理事会通报最新情况。</w:t>
            </w:r>
          </w:p>
        </w:tc>
        <w:tc>
          <w:tcPr>
            <w:tcW w:w="450" w:type="pct"/>
            <w:shd w:val="clear" w:color="auto" w:fill="auto"/>
          </w:tcPr>
          <w:p w14:paraId="67180F58" w14:textId="4423A36D" w:rsidR="003D7FF0" w:rsidRPr="00536D01" w:rsidRDefault="00A62A5A" w:rsidP="00786ECB">
            <w:pPr>
              <w:pStyle w:val="Tabletext"/>
              <w:rPr>
                <w:sz w:val="20"/>
              </w:rPr>
            </w:pPr>
            <w:r>
              <w:rPr>
                <w:rFonts w:ascii="SimSun" w:eastAsia="SimSun" w:hAnsi="SimSun" w:cs="SimSun" w:hint="eastAsia"/>
                <w:color w:val="000000"/>
                <w:sz w:val="20"/>
                <w:lang w:eastAsia="zh-CN"/>
              </w:rPr>
              <w:t>已关闭。</w:t>
            </w:r>
          </w:p>
        </w:tc>
      </w:tr>
      <w:tr w:rsidR="003D7FF0" w:rsidRPr="00536D01" w14:paraId="39F11052" w14:textId="77777777" w:rsidTr="00E6035E">
        <w:tc>
          <w:tcPr>
            <w:tcW w:w="300" w:type="pct"/>
            <w:shd w:val="clear" w:color="auto" w:fill="auto"/>
          </w:tcPr>
          <w:p w14:paraId="3AE1B559" w14:textId="77777777" w:rsidR="003D7FF0" w:rsidRPr="00536D01" w:rsidRDefault="003D7FF0" w:rsidP="009449F5">
            <w:pPr>
              <w:pStyle w:val="Tabletext"/>
              <w:keepNext/>
              <w:keepLines/>
              <w:rPr>
                <w:sz w:val="20"/>
              </w:rPr>
            </w:pPr>
            <w:r w:rsidRPr="00536D01">
              <w:rPr>
                <w:sz w:val="20"/>
              </w:rPr>
              <w:t>2021 R#24</w:t>
            </w:r>
          </w:p>
        </w:tc>
        <w:tc>
          <w:tcPr>
            <w:tcW w:w="1450" w:type="pct"/>
            <w:shd w:val="clear" w:color="auto" w:fill="auto"/>
          </w:tcPr>
          <w:p w14:paraId="7FF6F7E9" w14:textId="504CC0BB" w:rsidR="003D7FF0" w:rsidRPr="00553ECA" w:rsidRDefault="00553ECA" w:rsidP="009449F5">
            <w:pPr>
              <w:pStyle w:val="Tabletext"/>
              <w:keepNext/>
              <w:keepLines/>
              <w:rPr>
                <w:sz w:val="20"/>
                <w:lang w:eastAsia="zh-CN"/>
              </w:rPr>
            </w:pPr>
            <w:proofErr w:type="spellStart"/>
            <w:r w:rsidRPr="00553ECA">
              <w:rPr>
                <w:rFonts w:hint="eastAsia"/>
                <w:sz w:val="20"/>
                <w:lang w:eastAsia="zh-CN"/>
              </w:rPr>
              <w:t>i</w:t>
            </w:r>
            <w:proofErr w:type="spellEnd"/>
            <w:r w:rsidRPr="00553ECA">
              <w:rPr>
                <w:rFonts w:hint="eastAsia"/>
                <w:sz w:val="20"/>
                <w:lang w:eastAsia="zh-CN"/>
              </w:rPr>
              <w:t xml:space="preserve">) </w:t>
            </w:r>
            <w:r w:rsidRPr="00553ECA">
              <w:rPr>
                <w:rFonts w:hint="eastAsia"/>
                <w:sz w:val="20"/>
                <w:lang w:eastAsia="zh-CN"/>
              </w:rPr>
              <w:t>在审查</w:t>
            </w:r>
            <w:r w:rsidRPr="00553ECA">
              <w:rPr>
                <w:rFonts w:hint="eastAsia"/>
                <w:sz w:val="20"/>
                <w:lang w:eastAsia="zh-CN"/>
              </w:rPr>
              <w:t>IAU</w:t>
            </w:r>
            <w:r w:rsidRPr="00553ECA">
              <w:rPr>
                <w:rFonts w:hint="eastAsia"/>
                <w:sz w:val="20"/>
                <w:lang w:eastAsia="zh-CN"/>
              </w:rPr>
              <w:t>《章程》时，应该将评价职能制度化，并确定所需的技能；</w:t>
            </w:r>
            <w:r w:rsidRPr="00553ECA">
              <w:rPr>
                <w:rFonts w:hint="eastAsia"/>
                <w:sz w:val="20"/>
                <w:lang w:eastAsia="zh-CN"/>
              </w:rPr>
              <w:t xml:space="preserve">ii) </w:t>
            </w:r>
            <w:r w:rsidRPr="00553ECA">
              <w:rPr>
                <w:rFonts w:hint="eastAsia"/>
                <w:sz w:val="20"/>
                <w:lang w:eastAsia="zh-CN"/>
              </w:rPr>
              <w:t>应在</w:t>
            </w:r>
            <w:r w:rsidRPr="00553ECA">
              <w:rPr>
                <w:rFonts w:hint="eastAsia"/>
                <w:sz w:val="20"/>
                <w:lang w:eastAsia="zh-CN"/>
              </w:rPr>
              <w:t>IAU</w:t>
            </w:r>
            <w:r w:rsidRPr="00553ECA">
              <w:rPr>
                <w:rFonts w:hint="eastAsia"/>
                <w:sz w:val="20"/>
                <w:lang w:eastAsia="zh-CN"/>
              </w:rPr>
              <w:t>工作计划中定期设计评价活动。</w:t>
            </w:r>
          </w:p>
        </w:tc>
        <w:tc>
          <w:tcPr>
            <w:tcW w:w="1750" w:type="pct"/>
            <w:shd w:val="clear" w:color="auto" w:fill="auto"/>
          </w:tcPr>
          <w:p w14:paraId="4091AB04" w14:textId="75BE7C99" w:rsidR="003D7FF0" w:rsidRPr="00536D01" w:rsidRDefault="00D424A4" w:rsidP="009449F5">
            <w:pPr>
              <w:pStyle w:val="Tabletext"/>
              <w:keepNext/>
              <w:keepLines/>
              <w:rPr>
                <w:sz w:val="20"/>
                <w:lang w:eastAsia="zh-CN"/>
              </w:rPr>
            </w:pPr>
            <w:r w:rsidRPr="00D424A4">
              <w:rPr>
                <w:rFonts w:hint="eastAsia"/>
                <w:sz w:val="20"/>
                <w:lang w:eastAsia="zh-CN"/>
              </w:rPr>
              <w:t>截至</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1</w:t>
            </w:r>
            <w:r w:rsidRPr="00D424A4">
              <w:rPr>
                <w:rFonts w:hint="eastAsia"/>
                <w:sz w:val="20"/>
                <w:lang w:eastAsia="zh-CN"/>
              </w:rPr>
              <w:t>月的最新进展：理事会</w:t>
            </w:r>
            <w:r w:rsidRPr="00D424A4">
              <w:rPr>
                <w:rFonts w:hint="eastAsia"/>
                <w:sz w:val="20"/>
                <w:lang w:eastAsia="zh-CN"/>
              </w:rPr>
              <w:t>2023</w:t>
            </w:r>
            <w:r w:rsidRPr="00D424A4">
              <w:rPr>
                <w:rFonts w:hint="eastAsia"/>
                <w:sz w:val="20"/>
                <w:lang w:eastAsia="zh-CN"/>
              </w:rPr>
              <w:t>年会议批准设立监督处。</w:t>
            </w:r>
            <w:r w:rsidR="00EA3C2D">
              <w:rPr>
                <w:rFonts w:hint="eastAsia"/>
                <w:sz w:val="20"/>
                <w:lang w:eastAsia="zh-CN"/>
              </w:rPr>
              <w:t>《</w:t>
            </w:r>
            <w:r w:rsidR="00EA3C2D" w:rsidRPr="00D424A4">
              <w:rPr>
                <w:rFonts w:hint="eastAsia"/>
                <w:sz w:val="20"/>
                <w:lang w:eastAsia="zh-CN"/>
              </w:rPr>
              <w:t>监督章程</w:t>
            </w:r>
            <w:r w:rsidR="00EA3C2D">
              <w:rPr>
                <w:rFonts w:hint="eastAsia"/>
                <w:sz w:val="20"/>
                <w:lang w:eastAsia="zh-CN"/>
              </w:rPr>
              <w:t>》系在</w:t>
            </w:r>
            <w:r w:rsidR="00EA3C2D" w:rsidRPr="00D424A4">
              <w:rPr>
                <w:rFonts w:hint="eastAsia"/>
                <w:sz w:val="20"/>
                <w:lang w:eastAsia="zh-CN"/>
              </w:rPr>
              <w:t>理事会</w:t>
            </w:r>
            <w:r w:rsidR="00EA3C2D" w:rsidRPr="00D424A4">
              <w:rPr>
                <w:rFonts w:hint="eastAsia"/>
                <w:sz w:val="20"/>
                <w:lang w:eastAsia="zh-CN"/>
              </w:rPr>
              <w:t>2024</w:t>
            </w:r>
            <w:r w:rsidR="00EA3C2D" w:rsidRPr="00D424A4">
              <w:rPr>
                <w:rFonts w:hint="eastAsia"/>
                <w:sz w:val="20"/>
                <w:lang w:eastAsia="zh-CN"/>
              </w:rPr>
              <w:t>年会议通过</w:t>
            </w:r>
            <w:r w:rsidR="00EA3C2D">
              <w:rPr>
                <w:rFonts w:hint="eastAsia"/>
                <w:sz w:val="20"/>
                <w:lang w:eastAsia="zh-CN"/>
              </w:rPr>
              <w:t>《监督章程》之后、经</w:t>
            </w:r>
            <w:r w:rsidR="00EA3C2D" w:rsidRPr="00D424A4">
              <w:rPr>
                <w:rFonts w:hint="eastAsia"/>
                <w:sz w:val="20"/>
                <w:lang w:eastAsia="zh-CN"/>
              </w:rPr>
              <w:t>第</w:t>
            </w:r>
            <w:r w:rsidR="00EA3C2D" w:rsidRPr="00D424A4">
              <w:rPr>
                <w:rFonts w:hint="eastAsia"/>
                <w:sz w:val="20"/>
                <w:lang w:eastAsia="zh-CN"/>
              </w:rPr>
              <w:t>24/09</w:t>
            </w:r>
            <w:r w:rsidR="00EA3C2D" w:rsidRPr="00D424A4">
              <w:rPr>
                <w:rFonts w:hint="eastAsia"/>
                <w:sz w:val="20"/>
                <w:lang w:eastAsia="zh-CN"/>
              </w:rPr>
              <w:t>号行政规定发布的。</w:t>
            </w:r>
            <w:r w:rsidRPr="00D424A4">
              <w:rPr>
                <w:rFonts w:hint="eastAsia"/>
                <w:sz w:val="20"/>
                <w:lang w:eastAsia="zh-CN"/>
              </w:rPr>
              <w:t>该</w:t>
            </w:r>
            <w:r w:rsidR="00EA3C2D">
              <w:rPr>
                <w:rFonts w:hint="eastAsia"/>
                <w:sz w:val="20"/>
                <w:lang w:eastAsia="zh-CN"/>
              </w:rPr>
              <w:t>《</w:t>
            </w:r>
            <w:r w:rsidRPr="00D424A4">
              <w:rPr>
                <w:rFonts w:hint="eastAsia"/>
                <w:sz w:val="20"/>
                <w:lang w:eastAsia="zh-CN"/>
              </w:rPr>
              <w:t>章程</w:t>
            </w:r>
            <w:r w:rsidR="00EA3C2D">
              <w:rPr>
                <w:rFonts w:hint="eastAsia"/>
                <w:sz w:val="20"/>
                <w:lang w:eastAsia="zh-CN"/>
              </w:rPr>
              <w:t>》</w:t>
            </w:r>
            <w:r w:rsidRPr="00D424A4">
              <w:rPr>
                <w:rFonts w:hint="eastAsia"/>
                <w:sz w:val="20"/>
                <w:lang w:eastAsia="zh-CN"/>
              </w:rPr>
              <w:t>涵盖并规</w:t>
            </w:r>
            <w:r w:rsidR="00EA3C2D">
              <w:rPr>
                <w:rFonts w:hint="eastAsia"/>
                <w:sz w:val="20"/>
                <w:lang w:eastAsia="zh-CN"/>
              </w:rPr>
              <w:t>定了</w:t>
            </w:r>
            <w:r w:rsidRPr="00D424A4">
              <w:rPr>
                <w:rFonts w:hint="eastAsia"/>
                <w:sz w:val="20"/>
                <w:lang w:eastAsia="zh-CN"/>
              </w:rPr>
              <w:t>评估职能的责任，该职能正在</w:t>
            </w:r>
            <w:r w:rsidR="00EA3C2D">
              <w:rPr>
                <w:rFonts w:hint="eastAsia"/>
                <w:sz w:val="20"/>
                <w:lang w:eastAsia="zh-CN"/>
              </w:rPr>
              <w:t>建立</w:t>
            </w:r>
            <w:r w:rsidRPr="00D424A4">
              <w:rPr>
                <w:rFonts w:hint="eastAsia"/>
                <w:sz w:val="20"/>
                <w:lang w:eastAsia="zh-CN"/>
              </w:rPr>
              <w:t>过程中。</w:t>
            </w:r>
          </w:p>
          <w:p w14:paraId="2F5A9E95" w14:textId="3C28A87F" w:rsidR="003D7FF0" w:rsidRPr="00536D01" w:rsidRDefault="00D424A4" w:rsidP="009449F5">
            <w:pPr>
              <w:pStyle w:val="Tabletext"/>
              <w:keepNext/>
              <w:keepLines/>
              <w:rPr>
                <w:sz w:val="20"/>
                <w:lang w:eastAsia="zh-CN"/>
              </w:rPr>
            </w:pPr>
            <w:r w:rsidRPr="00D424A4">
              <w:rPr>
                <w:rFonts w:hint="eastAsia"/>
                <w:sz w:val="20"/>
                <w:lang w:eastAsia="zh-CN"/>
              </w:rPr>
              <w:t>国际电联建议结束本</w:t>
            </w:r>
            <w:r w:rsidR="00A92B51">
              <w:rPr>
                <w:rFonts w:hint="eastAsia"/>
                <w:sz w:val="20"/>
                <w:lang w:eastAsia="zh-CN"/>
              </w:rPr>
              <w:t>建议</w:t>
            </w:r>
            <w:r w:rsidRPr="00D424A4">
              <w:rPr>
                <w:rFonts w:hint="eastAsia"/>
                <w:sz w:val="20"/>
                <w:lang w:eastAsia="zh-CN"/>
              </w:rPr>
              <w:t>。</w:t>
            </w:r>
          </w:p>
        </w:tc>
        <w:tc>
          <w:tcPr>
            <w:tcW w:w="1050" w:type="pct"/>
            <w:shd w:val="clear" w:color="auto" w:fill="auto"/>
          </w:tcPr>
          <w:p w14:paraId="428283B5" w14:textId="26C9AC9B" w:rsidR="003D7FF0" w:rsidRPr="00536D01" w:rsidRDefault="00D424A4" w:rsidP="009449F5">
            <w:pPr>
              <w:pStyle w:val="Tabletext"/>
              <w:keepNext/>
              <w:keepLines/>
              <w:rPr>
                <w:sz w:val="20"/>
                <w:lang w:eastAsia="zh-CN"/>
              </w:rPr>
            </w:pPr>
            <w:r w:rsidRPr="00D424A4">
              <w:rPr>
                <w:rFonts w:hint="eastAsia"/>
                <w:sz w:val="20"/>
                <w:lang w:eastAsia="zh-CN"/>
              </w:rPr>
              <w:t>正如今年报告所指出的，虽然评估职能目前属于监督处，但尚未开展任何评估活动。因此，我们已取代</w:t>
            </w:r>
            <w:r w:rsidR="00EA3C2D">
              <w:rPr>
                <w:rFonts w:hint="eastAsia"/>
                <w:sz w:val="20"/>
                <w:lang w:eastAsia="zh-CN"/>
              </w:rPr>
              <w:t>此</w:t>
            </w:r>
            <w:r w:rsidR="00A92B51">
              <w:rPr>
                <w:rFonts w:hint="eastAsia"/>
                <w:sz w:val="20"/>
                <w:lang w:eastAsia="zh-CN"/>
              </w:rPr>
              <w:t>建议</w:t>
            </w:r>
            <w:r w:rsidRPr="00D424A4">
              <w:rPr>
                <w:rFonts w:hint="eastAsia"/>
                <w:sz w:val="20"/>
                <w:lang w:eastAsia="zh-CN"/>
              </w:rPr>
              <w:t>。</w:t>
            </w:r>
          </w:p>
        </w:tc>
        <w:tc>
          <w:tcPr>
            <w:tcW w:w="450" w:type="pct"/>
            <w:shd w:val="clear" w:color="auto" w:fill="auto"/>
          </w:tcPr>
          <w:p w14:paraId="24039ED5" w14:textId="349C5887" w:rsidR="003D7FF0" w:rsidRPr="00536D01" w:rsidRDefault="00A62A5A" w:rsidP="009449F5">
            <w:pPr>
              <w:pStyle w:val="Tabletext"/>
              <w:keepNext/>
              <w:keepLines/>
              <w:rPr>
                <w:sz w:val="20"/>
              </w:rPr>
            </w:pPr>
            <w:r>
              <w:rPr>
                <w:rFonts w:ascii="SimSun" w:eastAsia="SimSun" w:hAnsi="SimSun" w:cs="SimSun" w:hint="eastAsia"/>
                <w:color w:val="000000"/>
                <w:sz w:val="20"/>
                <w:lang w:eastAsia="zh-CN"/>
              </w:rPr>
              <w:t>已关闭。</w:t>
            </w:r>
          </w:p>
        </w:tc>
      </w:tr>
      <w:tr w:rsidR="003D7FF0" w:rsidRPr="00536D01" w14:paraId="6712BC4C" w14:textId="77777777" w:rsidTr="00E6035E">
        <w:tc>
          <w:tcPr>
            <w:tcW w:w="300" w:type="pct"/>
            <w:shd w:val="clear" w:color="auto" w:fill="auto"/>
          </w:tcPr>
          <w:p w14:paraId="700BE371" w14:textId="77777777" w:rsidR="003D7FF0" w:rsidRPr="00536D01" w:rsidRDefault="003D7FF0" w:rsidP="00786ECB">
            <w:pPr>
              <w:pStyle w:val="Tabletext"/>
              <w:rPr>
                <w:sz w:val="20"/>
              </w:rPr>
            </w:pPr>
            <w:r w:rsidRPr="00536D01">
              <w:rPr>
                <w:sz w:val="20"/>
              </w:rPr>
              <w:t>2021 R#25</w:t>
            </w:r>
          </w:p>
        </w:tc>
        <w:tc>
          <w:tcPr>
            <w:tcW w:w="1450" w:type="pct"/>
            <w:shd w:val="clear" w:color="auto" w:fill="auto"/>
          </w:tcPr>
          <w:p w14:paraId="13215519" w14:textId="191590B8" w:rsidR="003D7FF0" w:rsidRPr="00536D01" w:rsidRDefault="00F164E0" w:rsidP="00F164E0">
            <w:pPr>
              <w:pStyle w:val="Tabletext"/>
              <w:rPr>
                <w:sz w:val="20"/>
                <w:lang w:eastAsia="zh-CN"/>
              </w:rPr>
            </w:pPr>
            <w:r w:rsidRPr="00F164E0">
              <w:rPr>
                <w:rFonts w:hint="eastAsia"/>
                <w:sz w:val="20"/>
                <w:lang w:eastAsia="zh-CN"/>
              </w:rPr>
              <w:t>根据年度工作计划制定年度培训方案，以评估是否有足够的专业技能实施该计划。</w:t>
            </w:r>
          </w:p>
        </w:tc>
        <w:tc>
          <w:tcPr>
            <w:tcW w:w="1750" w:type="pct"/>
            <w:shd w:val="clear" w:color="auto" w:fill="auto"/>
          </w:tcPr>
          <w:p w14:paraId="00CA5B0E" w14:textId="4EA70925" w:rsidR="003D7FF0" w:rsidRPr="00536D01" w:rsidRDefault="00D424A4" w:rsidP="00786ECB">
            <w:pPr>
              <w:pStyle w:val="Tabletext"/>
              <w:rPr>
                <w:sz w:val="20"/>
                <w:lang w:eastAsia="zh-CN"/>
              </w:rPr>
            </w:pPr>
            <w:r w:rsidRPr="00D424A4">
              <w:rPr>
                <w:rFonts w:hint="eastAsia"/>
                <w:sz w:val="20"/>
                <w:lang w:eastAsia="zh-CN"/>
              </w:rPr>
              <w:t>截至</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5</w:t>
            </w:r>
            <w:r w:rsidRPr="00D424A4">
              <w:rPr>
                <w:rFonts w:hint="eastAsia"/>
                <w:sz w:val="20"/>
                <w:lang w:eastAsia="zh-CN"/>
              </w:rPr>
              <w:t>月的最新进展：根据</w:t>
            </w:r>
            <w:r w:rsidR="00EA3C2D">
              <w:rPr>
                <w:rFonts w:hint="eastAsia"/>
                <w:sz w:val="20"/>
                <w:lang w:eastAsia="zh-CN"/>
              </w:rPr>
              <w:t>国际</w:t>
            </w:r>
            <w:r w:rsidRPr="00D424A4">
              <w:rPr>
                <w:rFonts w:hint="eastAsia"/>
                <w:sz w:val="20"/>
                <w:lang w:eastAsia="zh-CN"/>
              </w:rPr>
              <w:t>内部审计师协会（</w:t>
            </w:r>
            <w:r w:rsidRPr="00D424A4">
              <w:rPr>
                <w:rFonts w:hint="eastAsia"/>
                <w:sz w:val="20"/>
                <w:lang w:eastAsia="zh-CN"/>
              </w:rPr>
              <w:t>IIA</w:t>
            </w:r>
            <w:r w:rsidRPr="00D424A4">
              <w:rPr>
                <w:rFonts w:hint="eastAsia"/>
                <w:sz w:val="20"/>
                <w:lang w:eastAsia="zh-CN"/>
              </w:rPr>
              <w:t>）</w:t>
            </w:r>
            <w:r w:rsidR="00EA3C2D">
              <w:rPr>
                <w:rFonts w:hint="eastAsia"/>
                <w:sz w:val="20"/>
                <w:lang w:eastAsia="zh-CN"/>
              </w:rPr>
              <w:t>准则</w:t>
            </w:r>
            <w:r w:rsidRPr="00D424A4">
              <w:rPr>
                <w:rFonts w:hint="eastAsia"/>
                <w:sz w:val="20"/>
                <w:lang w:eastAsia="zh-CN"/>
              </w:rPr>
              <w:t>中的质量保证和改进计划（包括自我和外部同行评估），监督处将根据本建议制定培训计划，并在需要时在国际电联的支持下实施。</w:t>
            </w:r>
          </w:p>
          <w:p w14:paraId="6E13D9B0" w14:textId="1674A503" w:rsidR="003D7FF0" w:rsidRPr="00536D01" w:rsidRDefault="00D424A4" w:rsidP="00786ECB">
            <w:pPr>
              <w:pStyle w:val="Tabletext"/>
              <w:rPr>
                <w:sz w:val="20"/>
                <w:lang w:eastAsia="zh-CN"/>
              </w:rPr>
            </w:pPr>
            <w:r w:rsidRPr="00D424A4">
              <w:rPr>
                <w:rFonts w:hint="eastAsia"/>
                <w:sz w:val="20"/>
                <w:lang w:eastAsia="zh-CN"/>
              </w:rPr>
              <w:t>国际电联认为该建议正在</w:t>
            </w:r>
            <w:r w:rsidR="00390A89">
              <w:rPr>
                <w:rFonts w:hint="eastAsia"/>
                <w:sz w:val="20"/>
                <w:lang w:eastAsia="zh-CN"/>
              </w:rPr>
              <w:t>实施</w:t>
            </w:r>
            <w:r w:rsidRPr="00D424A4">
              <w:rPr>
                <w:rFonts w:hint="eastAsia"/>
                <w:sz w:val="20"/>
                <w:lang w:eastAsia="zh-CN"/>
              </w:rPr>
              <w:t>中。</w:t>
            </w:r>
          </w:p>
        </w:tc>
        <w:tc>
          <w:tcPr>
            <w:tcW w:w="1050" w:type="pct"/>
            <w:shd w:val="clear" w:color="auto" w:fill="auto"/>
          </w:tcPr>
          <w:p w14:paraId="0A931839" w14:textId="2D0AB0B0" w:rsidR="003D7FF0" w:rsidRPr="00536D01" w:rsidRDefault="00D424A4" w:rsidP="00786ECB">
            <w:pPr>
              <w:pStyle w:val="Tabletext"/>
              <w:rPr>
                <w:sz w:val="20"/>
                <w:lang w:eastAsia="zh-CN"/>
              </w:rPr>
            </w:pPr>
            <w:r w:rsidRPr="00D424A4">
              <w:rPr>
                <w:rFonts w:hint="eastAsia"/>
                <w:sz w:val="20"/>
                <w:lang w:eastAsia="zh-CN"/>
              </w:rPr>
              <w:t>该建议涉及内部审计人员的专业技能要求和持续的专业发展。</w:t>
            </w:r>
            <w:r w:rsidR="00EA3C2D">
              <w:rPr>
                <w:rFonts w:hint="eastAsia"/>
                <w:sz w:val="20"/>
                <w:lang w:eastAsia="zh-CN"/>
              </w:rPr>
              <w:t>收到的回应</w:t>
            </w:r>
            <w:r w:rsidRPr="00D424A4">
              <w:rPr>
                <w:rFonts w:hint="eastAsia"/>
                <w:sz w:val="20"/>
                <w:lang w:eastAsia="zh-CN"/>
              </w:rPr>
              <w:t>是一般性的国际电联培训规定，并不涉及建议的具体内容。该建议尚未实施，并希望</w:t>
            </w:r>
            <w:r w:rsidR="00EA3C2D">
              <w:rPr>
                <w:rFonts w:hint="eastAsia"/>
                <w:sz w:val="20"/>
                <w:lang w:eastAsia="zh-CN"/>
              </w:rPr>
              <w:t>考虑</w:t>
            </w:r>
            <w:r w:rsidRPr="00D424A4">
              <w:rPr>
                <w:rFonts w:hint="eastAsia"/>
                <w:sz w:val="20"/>
                <w:lang w:eastAsia="zh-CN"/>
              </w:rPr>
              <w:t>将其</w:t>
            </w:r>
            <w:r w:rsidR="006B30C7">
              <w:rPr>
                <w:rFonts w:hint="eastAsia"/>
                <w:sz w:val="20"/>
                <w:lang w:eastAsia="zh-CN"/>
              </w:rPr>
              <w:t>纳入</w:t>
            </w:r>
            <w:r w:rsidRPr="00D424A4">
              <w:rPr>
                <w:rFonts w:hint="eastAsia"/>
                <w:sz w:val="20"/>
                <w:lang w:eastAsia="zh-CN"/>
              </w:rPr>
              <w:t>IIA</w:t>
            </w:r>
            <w:r w:rsidR="006B30C7">
              <w:rPr>
                <w:rFonts w:hint="eastAsia"/>
                <w:sz w:val="20"/>
                <w:lang w:eastAsia="zh-CN"/>
              </w:rPr>
              <w:t>同行评审</w:t>
            </w:r>
            <w:r w:rsidRPr="00D424A4">
              <w:rPr>
                <w:rFonts w:hint="eastAsia"/>
                <w:sz w:val="20"/>
                <w:lang w:eastAsia="zh-CN"/>
              </w:rPr>
              <w:t>的一部分。</w:t>
            </w:r>
          </w:p>
        </w:tc>
        <w:tc>
          <w:tcPr>
            <w:tcW w:w="450" w:type="pct"/>
            <w:shd w:val="clear" w:color="auto" w:fill="auto"/>
          </w:tcPr>
          <w:p w14:paraId="4814F549" w14:textId="36807FC1" w:rsidR="003D7FF0" w:rsidRPr="00536D01" w:rsidRDefault="00347A11" w:rsidP="00786ECB">
            <w:pPr>
              <w:pStyle w:val="Tabletext"/>
              <w:rPr>
                <w:sz w:val="20"/>
              </w:rPr>
            </w:pPr>
            <w:r>
              <w:rPr>
                <w:rFonts w:hint="eastAsia"/>
                <w:sz w:val="20"/>
                <w:lang w:eastAsia="zh-CN"/>
              </w:rPr>
              <w:t>落实中。</w:t>
            </w:r>
          </w:p>
        </w:tc>
      </w:tr>
      <w:tr w:rsidR="003D7FF0" w:rsidRPr="00536D01" w14:paraId="15ED7A69" w14:textId="77777777" w:rsidTr="00E6035E">
        <w:tc>
          <w:tcPr>
            <w:tcW w:w="300" w:type="pct"/>
            <w:shd w:val="clear" w:color="auto" w:fill="auto"/>
          </w:tcPr>
          <w:p w14:paraId="54CE9416" w14:textId="77777777" w:rsidR="003D7FF0" w:rsidRPr="00536D01" w:rsidRDefault="003D7FF0" w:rsidP="001B3DBE">
            <w:pPr>
              <w:pStyle w:val="Tabletext"/>
              <w:rPr>
                <w:sz w:val="20"/>
              </w:rPr>
            </w:pPr>
            <w:r w:rsidRPr="00536D01">
              <w:rPr>
                <w:sz w:val="20"/>
              </w:rPr>
              <w:t>2021 R#26</w:t>
            </w:r>
          </w:p>
        </w:tc>
        <w:tc>
          <w:tcPr>
            <w:tcW w:w="1450" w:type="pct"/>
            <w:shd w:val="clear" w:color="auto" w:fill="auto"/>
          </w:tcPr>
          <w:p w14:paraId="14140017" w14:textId="2487B6A1" w:rsidR="003D7FF0" w:rsidRPr="00536D01" w:rsidRDefault="00F164E0" w:rsidP="001B3DBE">
            <w:pPr>
              <w:pStyle w:val="Tabletext"/>
              <w:rPr>
                <w:sz w:val="20"/>
                <w:lang w:eastAsia="zh-CN"/>
              </w:rPr>
            </w:pPr>
            <w:r w:rsidRPr="00F164E0">
              <w:rPr>
                <w:rFonts w:hint="eastAsia"/>
                <w:sz w:val="20"/>
                <w:lang w:eastAsia="zh-CN"/>
              </w:rPr>
              <w:t>IAU</w:t>
            </w:r>
            <w:r w:rsidRPr="00F164E0">
              <w:rPr>
                <w:rFonts w:hint="eastAsia"/>
                <w:sz w:val="20"/>
                <w:lang w:eastAsia="zh-CN"/>
              </w:rPr>
              <w:t>处长应定期（至少每两年一次）对所有</w:t>
            </w:r>
            <w:r w:rsidRPr="00F164E0">
              <w:rPr>
                <w:rFonts w:hint="eastAsia"/>
                <w:sz w:val="20"/>
                <w:lang w:eastAsia="zh-CN"/>
              </w:rPr>
              <w:t>IIA</w:t>
            </w:r>
            <w:r w:rsidRPr="00F164E0">
              <w:rPr>
                <w:rFonts w:hint="eastAsia"/>
                <w:sz w:val="20"/>
                <w:lang w:eastAsia="zh-CN"/>
              </w:rPr>
              <w:t>标准和三线模型的合规性进行全面的自我评估，以支持</w:t>
            </w:r>
            <w:r w:rsidRPr="00F164E0">
              <w:rPr>
                <w:rFonts w:hint="eastAsia"/>
                <w:sz w:val="20"/>
                <w:lang w:eastAsia="zh-CN"/>
              </w:rPr>
              <w:t>IAU</w:t>
            </w:r>
            <w:r w:rsidRPr="00F164E0">
              <w:rPr>
                <w:rFonts w:hint="eastAsia"/>
                <w:sz w:val="20"/>
                <w:lang w:eastAsia="zh-CN"/>
              </w:rPr>
              <w:t>的定期改进，确定所有需要采取的行动。</w:t>
            </w:r>
          </w:p>
        </w:tc>
        <w:tc>
          <w:tcPr>
            <w:tcW w:w="1750" w:type="pct"/>
            <w:shd w:val="clear" w:color="auto" w:fill="auto"/>
          </w:tcPr>
          <w:p w14:paraId="5E541BA4" w14:textId="5970BBFF" w:rsidR="003D7FF0" w:rsidRPr="00536D01" w:rsidRDefault="00D424A4" w:rsidP="001B3DBE">
            <w:pPr>
              <w:pStyle w:val="Tabletext"/>
              <w:rPr>
                <w:sz w:val="20"/>
                <w:lang w:eastAsia="zh-CN"/>
              </w:rPr>
            </w:pPr>
            <w:r w:rsidRPr="00D424A4">
              <w:rPr>
                <w:rFonts w:hint="eastAsia"/>
                <w:sz w:val="20"/>
                <w:lang w:eastAsia="zh-CN"/>
              </w:rPr>
              <w:t>截至</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1</w:t>
            </w:r>
            <w:r w:rsidRPr="00D424A4">
              <w:rPr>
                <w:rFonts w:hint="eastAsia"/>
                <w:sz w:val="20"/>
                <w:lang w:eastAsia="zh-CN"/>
              </w:rPr>
              <w:t>月的最新进展：每年进行自我评估。</w:t>
            </w:r>
          </w:p>
          <w:p w14:paraId="5BB53FA3" w14:textId="1522DEC4" w:rsidR="003D7FF0" w:rsidRPr="00536D01" w:rsidRDefault="00D424A4" w:rsidP="001B3DBE">
            <w:pPr>
              <w:pStyle w:val="Tabletext"/>
              <w:rPr>
                <w:sz w:val="20"/>
                <w:lang w:eastAsia="zh-CN"/>
              </w:rPr>
            </w:pPr>
            <w:r w:rsidRPr="00D424A4">
              <w:rPr>
                <w:rFonts w:hint="eastAsia"/>
                <w:sz w:val="20"/>
                <w:lang w:eastAsia="zh-CN"/>
              </w:rPr>
              <w:t>国际电联建议</w:t>
            </w:r>
            <w:r w:rsidR="003A5506">
              <w:rPr>
                <w:rFonts w:hint="eastAsia"/>
                <w:sz w:val="20"/>
                <w:lang w:eastAsia="zh-CN"/>
              </w:rPr>
              <w:t>结束</w:t>
            </w:r>
            <w:r w:rsidRPr="00D424A4">
              <w:rPr>
                <w:rFonts w:hint="eastAsia"/>
                <w:sz w:val="20"/>
                <w:lang w:eastAsia="zh-CN"/>
              </w:rPr>
              <w:t>本建议。</w:t>
            </w:r>
          </w:p>
        </w:tc>
        <w:tc>
          <w:tcPr>
            <w:tcW w:w="1050" w:type="pct"/>
            <w:shd w:val="clear" w:color="auto" w:fill="auto"/>
          </w:tcPr>
          <w:p w14:paraId="535740FB" w14:textId="43567064" w:rsidR="003D7FF0" w:rsidRPr="00536D01" w:rsidRDefault="00D424A4" w:rsidP="001B3DBE">
            <w:pPr>
              <w:pStyle w:val="Tabletext"/>
              <w:rPr>
                <w:sz w:val="20"/>
                <w:lang w:eastAsia="zh-CN"/>
              </w:rPr>
            </w:pPr>
            <w:r w:rsidRPr="00D424A4">
              <w:rPr>
                <w:rFonts w:hint="eastAsia"/>
                <w:sz w:val="20"/>
                <w:lang w:eastAsia="zh-CN"/>
              </w:rPr>
              <w:t>如今年报告所述，内部审计将由内部审计师协会进行</w:t>
            </w:r>
            <w:r w:rsidR="006B30C7">
              <w:rPr>
                <w:rFonts w:hint="eastAsia"/>
                <w:sz w:val="20"/>
                <w:lang w:eastAsia="zh-CN"/>
              </w:rPr>
              <w:t>同行评审</w:t>
            </w:r>
            <w:r w:rsidRPr="00D424A4">
              <w:rPr>
                <w:rFonts w:hint="eastAsia"/>
                <w:sz w:val="20"/>
                <w:lang w:eastAsia="zh-CN"/>
              </w:rPr>
              <w:t>。我们已完成这项关于自我评估的详细建议，并将审</w:t>
            </w:r>
            <w:r w:rsidR="002B10C6">
              <w:rPr>
                <w:rFonts w:hint="eastAsia"/>
                <w:sz w:val="20"/>
                <w:lang w:eastAsia="zh-CN"/>
              </w:rPr>
              <w:t>查</w:t>
            </w:r>
            <w:r w:rsidRPr="00D424A4">
              <w:rPr>
                <w:rFonts w:hint="eastAsia"/>
                <w:sz w:val="20"/>
                <w:lang w:eastAsia="zh-CN"/>
              </w:rPr>
              <w:t>IIA</w:t>
            </w:r>
            <w:r w:rsidRPr="00D424A4">
              <w:rPr>
                <w:rFonts w:hint="eastAsia"/>
                <w:sz w:val="20"/>
                <w:lang w:eastAsia="zh-CN"/>
              </w:rPr>
              <w:t>外部评估的结果，在明年的报告中向理事会通报最新情况。</w:t>
            </w:r>
          </w:p>
        </w:tc>
        <w:tc>
          <w:tcPr>
            <w:tcW w:w="450" w:type="pct"/>
            <w:shd w:val="clear" w:color="auto" w:fill="auto"/>
          </w:tcPr>
          <w:p w14:paraId="5564C52F" w14:textId="3F889271" w:rsidR="003D7FF0" w:rsidRPr="00536D01" w:rsidRDefault="00A62A5A" w:rsidP="001B3DBE">
            <w:pPr>
              <w:pStyle w:val="Tabletext"/>
              <w:rPr>
                <w:sz w:val="20"/>
              </w:rPr>
            </w:pPr>
            <w:r>
              <w:rPr>
                <w:rFonts w:ascii="SimSun" w:eastAsia="SimSun" w:hAnsi="SimSun" w:cs="SimSun" w:hint="eastAsia"/>
                <w:color w:val="000000"/>
                <w:sz w:val="20"/>
                <w:lang w:eastAsia="zh-CN"/>
              </w:rPr>
              <w:t>已关闭。</w:t>
            </w:r>
          </w:p>
        </w:tc>
      </w:tr>
      <w:tr w:rsidR="003D7FF0" w:rsidRPr="00536D01" w14:paraId="747A96FC" w14:textId="77777777" w:rsidTr="00E6035E">
        <w:tc>
          <w:tcPr>
            <w:tcW w:w="300" w:type="pct"/>
            <w:shd w:val="clear" w:color="auto" w:fill="auto"/>
          </w:tcPr>
          <w:p w14:paraId="527DDBEB" w14:textId="77777777" w:rsidR="003D7FF0" w:rsidRPr="00536D01" w:rsidRDefault="003D7FF0" w:rsidP="001B3DBE">
            <w:pPr>
              <w:pStyle w:val="Tabletext"/>
              <w:keepNext/>
              <w:keepLines/>
              <w:rPr>
                <w:sz w:val="20"/>
              </w:rPr>
            </w:pPr>
            <w:r w:rsidRPr="00536D01">
              <w:rPr>
                <w:sz w:val="20"/>
              </w:rPr>
              <w:lastRenderedPageBreak/>
              <w:t>2021 R#27</w:t>
            </w:r>
          </w:p>
        </w:tc>
        <w:tc>
          <w:tcPr>
            <w:tcW w:w="1450" w:type="pct"/>
            <w:shd w:val="clear" w:color="auto" w:fill="auto"/>
          </w:tcPr>
          <w:p w14:paraId="416AB50A" w14:textId="0F7DF863" w:rsidR="003D7FF0" w:rsidRPr="00536D01" w:rsidRDefault="00F164E0" w:rsidP="001B3DBE">
            <w:pPr>
              <w:pStyle w:val="Tabletext"/>
              <w:keepNext/>
              <w:keepLines/>
              <w:rPr>
                <w:sz w:val="20"/>
                <w:lang w:eastAsia="zh-CN"/>
              </w:rPr>
            </w:pPr>
            <w:r w:rsidRPr="00F164E0">
              <w:rPr>
                <w:rFonts w:hint="eastAsia"/>
                <w:sz w:val="20"/>
                <w:lang w:eastAsia="zh-CN"/>
              </w:rPr>
              <w:t>修订</w:t>
            </w:r>
            <w:r w:rsidRPr="00F164E0">
              <w:rPr>
                <w:rFonts w:hint="eastAsia"/>
                <w:sz w:val="20"/>
                <w:lang w:eastAsia="zh-CN"/>
              </w:rPr>
              <w:t>IAU</w:t>
            </w:r>
            <w:r w:rsidRPr="00F164E0">
              <w:rPr>
                <w:rFonts w:hint="eastAsia"/>
                <w:sz w:val="20"/>
                <w:lang w:eastAsia="zh-CN"/>
              </w:rPr>
              <w:t>《章程》，表明除非出于紧急情况需要，否则不得要求内部审计处提供咨询服务。在这种紧急情况下，应该明确这种咨询服务的目标，事先说明维护</w:t>
            </w:r>
            <w:r w:rsidRPr="00F164E0">
              <w:rPr>
                <w:rFonts w:hint="eastAsia"/>
                <w:sz w:val="20"/>
                <w:lang w:eastAsia="zh-CN"/>
              </w:rPr>
              <w:t>IAU</w:t>
            </w:r>
            <w:r w:rsidRPr="00F164E0">
              <w:rPr>
                <w:rFonts w:hint="eastAsia"/>
                <w:sz w:val="20"/>
                <w:lang w:eastAsia="zh-CN"/>
              </w:rPr>
              <w:t>独立性的措施。</w:t>
            </w:r>
          </w:p>
        </w:tc>
        <w:tc>
          <w:tcPr>
            <w:tcW w:w="1750" w:type="pct"/>
            <w:shd w:val="clear" w:color="auto" w:fill="auto"/>
          </w:tcPr>
          <w:p w14:paraId="35B02556" w14:textId="6708291C" w:rsidR="003D7FF0" w:rsidRPr="00536D01" w:rsidRDefault="002B10C6" w:rsidP="001B3DBE">
            <w:pPr>
              <w:pStyle w:val="Tabletext"/>
              <w:keepNext/>
              <w:keepLines/>
              <w:rPr>
                <w:sz w:val="20"/>
                <w:lang w:eastAsia="zh-CN"/>
              </w:rPr>
            </w:pPr>
            <w:r w:rsidRPr="002B10C6">
              <w:rPr>
                <w:rFonts w:hint="eastAsia"/>
                <w:sz w:val="20"/>
                <w:lang w:eastAsia="zh-CN"/>
              </w:rPr>
              <w:t>截至</w:t>
            </w:r>
            <w:r w:rsidRPr="002B10C6">
              <w:rPr>
                <w:rFonts w:hint="eastAsia"/>
                <w:sz w:val="20"/>
                <w:lang w:eastAsia="zh-CN"/>
              </w:rPr>
              <w:t>2025</w:t>
            </w:r>
            <w:r w:rsidRPr="002B10C6">
              <w:rPr>
                <w:rFonts w:hint="eastAsia"/>
                <w:sz w:val="20"/>
                <w:lang w:eastAsia="zh-CN"/>
              </w:rPr>
              <w:t>年</w:t>
            </w:r>
            <w:r w:rsidRPr="002B10C6">
              <w:rPr>
                <w:rFonts w:hint="eastAsia"/>
                <w:sz w:val="20"/>
                <w:lang w:eastAsia="zh-CN"/>
              </w:rPr>
              <w:t>1</w:t>
            </w:r>
            <w:r w:rsidRPr="002B10C6">
              <w:rPr>
                <w:rFonts w:hint="eastAsia"/>
                <w:sz w:val="20"/>
                <w:lang w:eastAsia="zh-CN"/>
              </w:rPr>
              <w:t>月的最新进展：</w:t>
            </w:r>
            <w:r w:rsidRPr="002B10C6">
              <w:rPr>
                <w:rFonts w:hint="eastAsia"/>
                <w:sz w:val="20"/>
                <w:lang w:eastAsia="zh-CN"/>
              </w:rPr>
              <w:t>2024</w:t>
            </w:r>
            <w:r w:rsidRPr="002B10C6">
              <w:rPr>
                <w:rFonts w:hint="eastAsia"/>
                <w:sz w:val="20"/>
                <w:lang w:eastAsia="zh-CN"/>
              </w:rPr>
              <w:t>年</w:t>
            </w:r>
            <w:r w:rsidRPr="002B10C6">
              <w:rPr>
                <w:rFonts w:hint="eastAsia"/>
                <w:sz w:val="20"/>
                <w:lang w:eastAsia="zh-CN"/>
              </w:rPr>
              <w:t>9</w:t>
            </w:r>
            <w:r w:rsidRPr="002B10C6">
              <w:rPr>
                <w:rFonts w:hint="eastAsia"/>
                <w:sz w:val="20"/>
                <w:lang w:eastAsia="zh-CN"/>
              </w:rPr>
              <w:t>月，经第</w:t>
            </w:r>
            <w:r w:rsidRPr="002B10C6">
              <w:rPr>
                <w:rFonts w:hint="eastAsia"/>
                <w:sz w:val="20"/>
                <w:lang w:eastAsia="zh-CN"/>
              </w:rPr>
              <w:t>24/09</w:t>
            </w:r>
            <w:r w:rsidRPr="002B10C6">
              <w:rPr>
                <w:rFonts w:hint="eastAsia"/>
                <w:sz w:val="20"/>
                <w:lang w:eastAsia="zh-CN"/>
              </w:rPr>
              <w:t>号行政规定《通过国际电联监督章程和澄清》引入了新的《监督章程》，规定了内部审计职能。该行政规定系依据理事会</w:t>
            </w:r>
            <w:r w:rsidRPr="002B10C6">
              <w:rPr>
                <w:rFonts w:hint="eastAsia"/>
                <w:sz w:val="20"/>
                <w:lang w:eastAsia="zh-CN"/>
              </w:rPr>
              <w:t>2024</w:t>
            </w:r>
            <w:r w:rsidRPr="002B10C6">
              <w:rPr>
                <w:rFonts w:hint="eastAsia"/>
                <w:sz w:val="20"/>
                <w:lang w:eastAsia="zh-CN"/>
              </w:rPr>
              <w:t>年会议通过的《章程》出台的</w:t>
            </w:r>
            <w:r>
              <w:rPr>
                <w:rFonts w:hint="eastAsia"/>
                <w:sz w:val="20"/>
                <w:lang w:eastAsia="zh-CN"/>
              </w:rPr>
              <w:t>，</w:t>
            </w:r>
            <w:r w:rsidRPr="00D424A4">
              <w:rPr>
                <w:rFonts w:hint="eastAsia"/>
                <w:sz w:val="20"/>
                <w:lang w:eastAsia="zh-CN"/>
              </w:rPr>
              <w:t>该</w:t>
            </w:r>
            <w:r>
              <w:rPr>
                <w:rFonts w:hint="eastAsia"/>
                <w:sz w:val="20"/>
                <w:lang w:eastAsia="zh-CN"/>
              </w:rPr>
              <w:t>《</w:t>
            </w:r>
            <w:r w:rsidRPr="00D424A4">
              <w:rPr>
                <w:rFonts w:hint="eastAsia"/>
                <w:sz w:val="20"/>
                <w:lang w:eastAsia="zh-CN"/>
              </w:rPr>
              <w:t>章程</w:t>
            </w:r>
            <w:r>
              <w:rPr>
                <w:rFonts w:hint="eastAsia"/>
                <w:sz w:val="20"/>
                <w:lang w:eastAsia="zh-CN"/>
              </w:rPr>
              <w:t>》</w:t>
            </w:r>
            <w:r w:rsidRPr="00D424A4">
              <w:rPr>
                <w:rFonts w:hint="eastAsia"/>
                <w:sz w:val="20"/>
                <w:lang w:eastAsia="zh-CN"/>
              </w:rPr>
              <w:t>已经过</w:t>
            </w:r>
            <w:r w:rsidRPr="00D424A4">
              <w:rPr>
                <w:rFonts w:hint="eastAsia"/>
                <w:sz w:val="20"/>
                <w:lang w:eastAsia="zh-CN"/>
              </w:rPr>
              <w:t>IMAC</w:t>
            </w:r>
            <w:r w:rsidRPr="00D424A4">
              <w:rPr>
                <w:rFonts w:hint="eastAsia"/>
                <w:sz w:val="20"/>
                <w:lang w:eastAsia="zh-CN"/>
              </w:rPr>
              <w:t>的审查和评论</w:t>
            </w:r>
            <w:r>
              <w:rPr>
                <w:rFonts w:hint="eastAsia"/>
                <w:sz w:val="20"/>
                <w:lang w:eastAsia="zh-CN"/>
              </w:rPr>
              <w:t>。</w:t>
            </w:r>
          </w:p>
          <w:p w14:paraId="419532E0" w14:textId="6001493A" w:rsidR="003D7FF0" w:rsidRPr="00536D01" w:rsidRDefault="00D424A4" w:rsidP="001B3DBE">
            <w:pPr>
              <w:pStyle w:val="Tabletext"/>
              <w:keepNext/>
              <w:keepLines/>
              <w:rPr>
                <w:sz w:val="20"/>
                <w:lang w:eastAsia="zh-CN"/>
              </w:rPr>
            </w:pPr>
            <w:r w:rsidRPr="00D424A4">
              <w:rPr>
                <w:rFonts w:hint="eastAsia"/>
                <w:sz w:val="20"/>
                <w:lang w:eastAsia="zh-CN"/>
              </w:rPr>
              <w:t>国际电联建议结束本</w:t>
            </w:r>
            <w:r w:rsidR="00A92B51">
              <w:rPr>
                <w:rFonts w:hint="eastAsia"/>
                <w:sz w:val="20"/>
                <w:lang w:eastAsia="zh-CN"/>
              </w:rPr>
              <w:t>建议</w:t>
            </w:r>
            <w:r w:rsidRPr="00D424A4">
              <w:rPr>
                <w:rFonts w:hint="eastAsia"/>
                <w:sz w:val="20"/>
                <w:lang w:eastAsia="zh-CN"/>
              </w:rPr>
              <w:t>。</w:t>
            </w:r>
          </w:p>
        </w:tc>
        <w:tc>
          <w:tcPr>
            <w:tcW w:w="1050" w:type="pct"/>
            <w:shd w:val="clear" w:color="auto" w:fill="auto"/>
          </w:tcPr>
          <w:p w14:paraId="13CDA507" w14:textId="6360CC53" w:rsidR="003D7FF0" w:rsidRPr="00536D01" w:rsidRDefault="00D424A4" w:rsidP="001B3DBE">
            <w:pPr>
              <w:pStyle w:val="Tabletext"/>
              <w:keepNext/>
              <w:keepLines/>
              <w:rPr>
                <w:sz w:val="20"/>
              </w:rPr>
            </w:pPr>
            <w:r w:rsidRPr="00D424A4">
              <w:rPr>
                <w:rFonts w:hint="eastAsia"/>
                <w:sz w:val="20"/>
                <w:lang w:eastAsia="zh-CN"/>
              </w:rPr>
              <w:t>注意到最新回应</w:t>
            </w:r>
            <w:r w:rsidR="00436742">
              <w:rPr>
                <w:rFonts w:hint="eastAsia"/>
                <w:sz w:val="20"/>
                <w:lang w:eastAsia="zh-CN"/>
              </w:rPr>
              <w:t>，</w:t>
            </w:r>
            <w:r w:rsidRPr="00D424A4">
              <w:rPr>
                <w:rFonts w:hint="eastAsia"/>
                <w:sz w:val="20"/>
                <w:lang w:eastAsia="zh-CN"/>
              </w:rPr>
              <w:t>并认为是合理的。该建议已</w:t>
            </w:r>
            <w:r w:rsidR="00436742">
              <w:rPr>
                <w:rFonts w:hint="eastAsia"/>
                <w:sz w:val="20"/>
                <w:lang w:eastAsia="zh-CN"/>
              </w:rPr>
              <w:t>完成</w:t>
            </w:r>
            <w:r w:rsidRPr="00D424A4">
              <w:rPr>
                <w:rFonts w:hint="eastAsia"/>
                <w:sz w:val="20"/>
              </w:rPr>
              <w:t>。</w:t>
            </w:r>
          </w:p>
        </w:tc>
        <w:tc>
          <w:tcPr>
            <w:tcW w:w="450" w:type="pct"/>
            <w:shd w:val="clear" w:color="auto" w:fill="auto"/>
          </w:tcPr>
          <w:p w14:paraId="5340B55D" w14:textId="05563F43" w:rsidR="003D7FF0" w:rsidRPr="00536D01" w:rsidRDefault="00A62A5A" w:rsidP="001B3DBE">
            <w:pPr>
              <w:pStyle w:val="Tabletext"/>
              <w:keepNext/>
              <w:keepLines/>
              <w:rPr>
                <w:sz w:val="20"/>
              </w:rPr>
            </w:pPr>
            <w:r>
              <w:rPr>
                <w:rFonts w:ascii="SimSun" w:eastAsia="SimSun" w:hAnsi="SimSun" w:cs="SimSun" w:hint="eastAsia"/>
                <w:color w:val="000000"/>
                <w:sz w:val="20"/>
                <w:lang w:eastAsia="zh-CN"/>
              </w:rPr>
              <w:t>已关闭。</w:t>
            </w:r>
          </w:p>
        </w:tc>
      </w:tr>
      <w:tr w:rsidR="003D7FF0" w:rsidRPr="00536D01" w14:paraId="5245A3C0" w14:textId="77777777" w:rsidTr="00E6035E">
        <w:tc>
          <w:tcPr>
            <w:tcW w:w="300" w:type="pct"/>
            <w:shd w:val="clear" w:color="auto" w:fill="auto"/>
          </w:tcPr>
          <w:p w14:paraId="1DFF3876" w14:textId="77777777" w:rsidR="003D7FF0" w:rsidRPr="00536D01" w:rsidRDefault="003D7FF0" w:rsidP="00786ECB">
            <w:pPr>
              <w:pStyle w:val="Tabletext"/>
              <w:rPr>
                <w:sz w:val="20"/>
              </w:rPr>
            </w:pPr>
            <w:r w:rsidRPr="00536D01">
              <w:rPr>
                <w:sz w:val="20"/>
              </w:rPr>
              <w:t>2021 R#28</w:t>
            </w:r>
          </w:p>
        </w:tc>
        <w:tc>
          <w:tcPr>
            <w:tcW w:w="1450" w:type="pct"/>
            <w:shd w:val="clear" w:color="auto" w:fill="auto"/>
          </w:tcPr>
          <w:p w14:paraId="6325C488" w14:textId="1BB65CCF" w:rsidR="003D7FF0" w:rsidRPr="00536D01" w:rsidRDefault="00F164E0" w:rsidP="00F164E0">
            <w:pPr>
              <w:pStyle w:val="Tabletext"/>
              <w:rPr>
                <w:sz w:val="20"/>
                <w:lang w:eastAsia="zh-CN"/>
              </w:rPr>
            </w:pPr>
            <w:r w:rsidRPr="00F164E0">
              <w:rPr>
                <w:rFonts w:hint="eastAsia"/>
                <w:sz w:val="20"/>
                <w:lang w:eastAsia="zh-CN"/>
              </w:rPr>
              <w:t>修订</w:t>
            </w:r>
            <w:r w:rsidRPr="00F164E0">
              <w:rPr>
                <w:rFonts w:hint="eastAsia"/>
                <w:sz w:val="20"/>
                <w:lang w:eastAsia="zh-CN"/>
              </w:rPr>
              <w:t>IAU</w:t>
            </w:r>
            <w:r w:rsidRPr="00F164E0">
              <w:rPr>
                <w:rFonts w:hint="eastAsia"/>
                <w:sz w:val="20"/>
                <w:lang w:eastAsia="zh-CN"/>
              </w:rPr>
              <w:t>处长的职责范围，将</w:t>
            </w:r>
            <w:r w:rsidRPr="00F164E0">
              <w:rPr>
                <w:rFonts w:hint="eastAsia"/>
                <w:sz w:val="20"/>
                <w:lang w:eastAsia="zh-CN"/>
              </w:rPr>
              <w:t>IAU</w:t>
            </w:r>
            <w:r w:rsidRPr="00F164E0">
              <w:rPr>
                <w:rFonts w:hint="eastAsia"/>
                <w:sz w:val="20"/>
                <w:lang w:eastAsia="zh-CN"/>
              </w:rPr>
              <w:t>处长这一职位的任期设置为五到七年，不可连任，且任期结束后不得在国际电联内部任职。</w:t>
            </w:r>
          </w:p>
        </w:tc>
        <w:tc>
          <w:tcPr>
            <w:tcW w:w="1750" w:type="pct"/>
            <w:shd w:val="clear" w:color="auto" w:fill="auto"/>
          </w:tcPr>
          <w:p w14:paraId="3AF1820E" w14:textId="65419948" w:rsidR="003D7FF0" w:rsidRPr="00536D01" w:rsidRDefault="00D424A4" w:rsidP="00786ECB">
            <w:pPr>
              <w:pStyle w:val="Tabletext"/>
              <w:rPr>
                <w:sz w:val="20"/>
                <w:lang w:eastAsia="zh-CN"/>
              </w:rPr>
            </w:pPr>
            <w:r w:rsidRPr="00D424A4">
              <w:rPr>
                <w:rFonts w:hint="eastAsia"/>
                <w:sz w:val="20"/>
                <w:lang w:eastAsia="zh-CN"/>
              </w:rPr>
              <w:t>截至</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1</w:t>
            </w:r>
            <w:r w:rsidRPr="00D424A4">
              <w:rPr>
                <w:rFonts w:hint="eastAsia"/>
                <w:sz w:val="20"/>
                <w:lang w:eastAsia="zh-CN"/>
              </w:rPr>
              <w:t>月的最新进展：监督</w:t>
            </w:r>
            <w:r w:rsidR="003A5506">
              <w:rPr>
                <w:rFonts w:hint="eastAsia"/>
                <w:sz w:val="20"/>
                <w:lang w:eastAsia="zh-CN"/>
              </w:rPr>
              <w:t>处处长</w:t>
            </w:r>
            <w:r w:rsidRPr="00D424A4">
              <w:rPr>
                <w:rFonts w:hint="eastAsia"/>
                <w:sz w:val="20"/>
                <w:lang w:eastAsia="zh-CN"/>
              </w:rPr>
              <w:t>的任期为</w:t>
            </w:r>
            <w:r w:rsidRPr="00D424A4">
              <w:rPr>
                <w:rFonts w:hint="eastAsia"/>
                <w:sz w:val="20"/>
                <w:lang w:eastAsia="zh-CN"/>
              </w:rPr>
              <w:t>5</w:t>
            </w:r>
            <w:r w:rsidRPr="00D424A4">
              <w:rPr>
                <w:rFonts w:hint="eastAsia"/>
                <w:sz w:val="20"/>
                <w:lang w:eastAsia="zh-CN"/>
              </w:rPr>
              <w:t>年。</w:t>
            </w:r>
          </w:p>
          <w:p w14:paraId="5E171519" w14:textId="35E0FC37" w:rsidR="003D7FF0" w:rsidRPr="00536D01" w:rsidRDefault="00D424A4" w:rsidP="00786ECB">
            <w:pPr>
              <w:pStyle w:val="Tabletext"/>
              <w:rPr>
                <w:sz w:val="20"/>
                <w:lang w:eastAsia="zh-CN"/>
              </w:rPr>
            </w:pPr>
            <w:r w:rsidRPr="00D424A4">
              <w:rPr>
                <w:rFonts w:hint="eastAsia"/>
                <w:sz w:val="20"/>
                <w:lang w:eastAsia="zh-CN"/>
              </w:rPr>
              <w:t>国际电联建议结束本建议。</w:t>
            </w:r>
          </w:p>
        </w:tc>
        <w:tc>
          <w:tcPr>
            <w:tcW w:w="1050" w:type="pct"/>
            <w:shd w:val="clear" w:color="auto" w:fill="auto"/>
          </w:tcPr>
          <w:p w14:paraId="36913AE5" w14:textId="056EDB66" w:rsidR="003D7FF0" w:rsidRPr="00536D01" w:rsidRDefault="00D424A4" w:rsidP="00786ECB">
            <w:pPr>
              <w:pStyle w:val="Tabletext"/>
              <w:rPr>
                <w:sz w:val="20"/>
              </w:rPr>
            </w:pPr>
            <w:r w:rsidRPr="00D424A4">
              <w:rPr>
                <w:rFonts w:hint="eastAsia"/>
                <w:sz w:val="20"/>
                <w:lang w:eastAsia="zh-CN"/>
              </w:rPr>
              <w:t>注意到最新回应</w:t>
            </w:r>
            <w:r w:rsidR="003A5506">
              <w:rPr>
                <w:rFonts w:hint="eastAsia"/>
                <w:sz w:val="20"/>
                <w:lang w:eastAsia="zh-CN"/>
              </w:rPr>
              <w:t>，</w:t>
            </w:r>
            <w:r w:rsidRPr="00D424A4">
              <w:rPr>
                <w:rFonts w:hint="eastAsia"/>
                <w:sz w:val="20"/>
                <w:lang w:eastAsia="zh-CN"/>
              </w:rPr>
              <w:t>并认为是合理的。该建议已</w:t>
            </w:r>
            <w:r w:rsidR="003A5506">
              <w:rPr>
                <w:rFonts w:hint="eastAsia"/>
                <w:sz w:val="20"/>
                <w:lang w:eastAsia="zh-CN"/>
              </w:rPr>
              <w:t>完成</w:t>
            </w:r>
            <w:r w:rsidRPr="00D424A4">
              <w:rPr>
                <w:rFonts w:hint="eastAsia"/>
                <w:sz w:val="20"/>
              </w:rPr>
              <w:t>。</w:t>
            </w:r>
          </w:p>
        </w:tc>
        <w:tc>
          <w:tcPr>
            <w:tcW w:w="450" w:type="pct"/>
            <w:shd w:val="clear" w:color="auto" w:fill="auto"/>
          </w:tcPr>
          <w:p w14:paraId="7C8D42B9" w14:textId="3094C527" w:rsidR="003D7FF0" w:rsidRPr="00536D01" w:rsidRDefault="00A62A5A" w:rsidP="00786ECB">
            <w:pPr>
              <w:pStyle w:val="Tabletext"/>
              <w:rPr>
                <w:sz w:val="20"/>
              </w:rPr>
            </w:pPr>
            <w:r>
              <w:rPr>
                <w:rFonts w:ascii="SimSun" w:eastAsia="SimSun" w:hAnsi="SimSun" w:cs="SimSun" w:hint="eastAsia"/>
                <w:color w:val="000000"/>
                <w:sz w:val="20"/>
                <w:lang w:eastAsia="zh-CN"/>
              </w:rPr>
              <w:t>已关闭。</w:t>
            </w:r>
          </w:p>
        </w:tc>
      </w:tr>
      <w:tr w:rsidR="003D7FF0" w:rsidRPr="00536D01" w14:paraId="4FE57F45" w14:textId="77777777" w:rsidTr="00E6035E">
        <w:tc>
          <w:tcPr>
            <w:tcW w:w="300" w:type="pct"/>
            <w:shd w:val="clear" w:color="auto" w:fill="auto"/>
          </w:tcPr>
          <w:p w14:paraId="54A7CFFF" w14:textId="77777777" w:rsidR="003D7FF0" w:rsidRPr="00536D01" w:rsidRDefault="003D7FF0" w:rsidP="009449F5">
            <w:pPr>
              <w:pStyle w:val="Tabletext"/>
              <w:keepNext/>
              <w:keepLines/>
              <w:rPr>
                <w:sz w:val="20"/>
              </w:rPr>
            </w:pPr>
            <w:r w:rsidRPr="00536D01">
              <w:rPr>
                <w:sz w:val="20"/>
              </w:rPr>
              <w:t>2021 R#29</w:t>
            </w:r>
          </w:p>
        </w:tc>
        <w:tc>
          <w:tcPr>
            <w:tcW w:w="1450" w:type="pct"/>
            <w:shd w:val="clear" w:color="auto" w:fill="auto"/>
          </w:tcPr>
          <w:p w14:paraId="44E33BE8" w14:textId="3D42F733" w:rsidR="003D7FF0" w:rsidRPr="00536D01" w:rsidRDefault="00F164E0" w:rsidP="009449F5">
            <w:pPr>
              <w:pStyle w:val="Tabletext"/>
              <w:keepNext/>
              <w:keepLines/>
              <w:rPr>
                <w:sz w:val="20"/>
                <w:lang w:eastAsia="zh-CN"/>
              </w:rPr>
            </w:pPr>
            <w:r w:rsidRPr="00F164E0">
              <w:rPr>
                <w:rFonts w:hint="eastAsia"/>
                <w:sz w:val="20"/>
                <w:lang w:eastAsia="zh-CN"/>
              </w:rPr>
              <w:t>修订</w:t>
            </w:r>
            <w:r w:rsidRPr="00F164E0">
              <w:rPr>
                <w:rFonts w:hint="eastAsia"/>
                <w:sz w:val="20"/>
                <w:lang w:eastAsia="zh-CN"/>
              </w:rPr>
              <w:t>IAU</w:t>
            </w:r>
            <w:r w:rsidRPr="00F164E0">
              <w:rPr>
                <w:rFonts w:hint="eastAsia"/>
                <w:sz w:val="20"/>
                <w:lang w:eastAsia="zh-CN"/>
              </w:rPr>
              <w:t>《章程》，基于风险的年度审计计划应由</w:t>
            </w:r>
            <w:r w:rsidRPr="00F164E0">
              <w:rPr>
                <w:rFonts w:hint="eastAsia"/>
                <w:sz w:val="20"/>
                <w:lang w:eastAsia="zh-CN"/>
              </w:rPr>
              <w:t>IAU</w:t>
            </w:r>
            <w:r w:rsidRPr="00F164E0">
              <w:rPr>
                <w:rFonts w:hint="eastAsia"/>
                <w:sz w:val="20"/>
                <w:lang w:eastAsia="zh-CN"/>
              </w:rPr>
              <w:t>处长提交独立管理顾问委员会批准，秘书长应根据批准的年度审计计划提供充足的资源。</w:t>
            </w:r>
          </w:p>
        </w:tc>
        <w:tc>
          <w:tcPr>
            <w:tcW w:w="1750" w:type="pct"/>
            <w:shd w:val="clear" w:color="auto" w:fill="auto"/>
          </w:tcPr>
          <w:p w14:paraId="5C7E1E0D" w14:textId="762F5E54" w:rsidR="003D7FF0" w:rsidRPr="00536D01" w:rsidRDefault="00F30688" w:rsidP="009449F5">
            <w:pPr>
              <w:pStyle w:val="Tabletext"/>
              <w:keepNext/>
              <w:keepLines/>
              <w:rPr>
                <w:sz w:val="20"/>
                <w:lang w:eastAsia="zh-CN"/>
              </w:rPr>
            </w:pPr>
            <w:r w:rsidRPr="00F30688">
              <w:rPr>
                <w:rFonts w:hint="eastAsia"/>
                <w:sz w:val="20"/>
                <w:lang w:eastAsia="zh-CN"/>
              </w:rPr>
              <w:t>截至</w:t>
            </w:r>
            <w:r w:rsidRPr="00F30688">
              <w:rPr>
                <w:rFonts w:hint="eastAsia"/>
                <w:sz w:val="20"/>
                <w:lang w:eastAsia="zh-CN"/>
              </w:rPr>
              <w:t>2025</w:t>
            </w:r>
            <w:r w:rsidRPr="00F30688">
              <w:rPr>
                <w:rFonts w:hint="eastAsia"/>
                <w:sz w:val="20"/>
                <w:lang w:eastAsia="zh-CN"/>
              </w:rPr>
              <w:t>年</w:t>
            </w:r>
            <w:r w:rsidRPr="00F30688">
              <w:rPr>
                <w:rFonts w:hint="eastAsia"/>
                <w:sz w:val="20"/>
                <w:lang w:eastAsia="zh-CN"/>
              </w:rPr>
              <w:t>1</w:t>
            </w:r>
            <w:r w:rsidRPr="00F30688">
              <w:rPr>
                <w:rFonts w:hint="eastAsia"/>
                <w:sz w:val="20"/>
                <w:lang w:eastAsia="zh-CN"/>
              </w:rPr>
              <w:t>月的最新进展：</w:t>
            </w:r>
            <w:r w:rsidRPr="00F30688">
              <w:rPr>
                <w:rFonts w:hint="eastAsia"/>
                <w:sz w:val="20"/>
                <w:lang w:eastAsia="zh-CN"/>
              </w:rPr>
              <w:t>2024</w:t>
            </w:r>
            <w:r w:rsidRPr="00F30688">
              <w:rPr>
                <w:rFonts w:hint="eastAsia"/>
                <w:sz w:val="20"/>
                <w:lang w:eastAsia="zh-CN"/>
              </w:rPr>
              <w:t>年</w:t>
            </w:r>
            <w:r w:rsidRPr="00F30688">
              <w:rPr>
                <w:rFonts w:hint="eastAsia"/>
                <w:sz w:val="20"/>
                <w:lang w:eastAsia="zh-CN"/>
              </w:rPr>
              <w:t>9</w:t>
            </w:r>
            <w:r w:rsidRPr="00F30688">
              <w:rPr>
                <w:rFonts w:hint="eastAsia"/>
                <w:sz w:val="20"/>
                <w:lang w:eastAsia="zh-CN"/>
              </w:rPr>
              <w:t>月，经第</w:t>
            </w:r>
            <w:r w:rsidRPr="00F30688">
              <w:rPr>
                <w:rFonts w:hint="eastAsia"/>
                <w:sz w:val="20"/>
                <w:lang w:eastAsia="zh-CN"/>
              </w:rPr>
              <w:t>24/09</w:t>
            </w:r>
            <w:r w:rsidRPr="00F30688">
              <w:rPr>
                <w:rFonts w:hint="eastAsia"/>
                <w:sz w:val="20"/>
                <w:lang w:eastAsia="zh-CN"/>
              </w:rPr>
              <w:t>号行政规定《通过国际电联监督章程和澄清》引入了新的《监督章程》，规定了内部审计职能。该行政规定系依据理事会</w:t>
            </w:r>
            <w:r w:rsidRPr="00F30688">
              <w:rPr>
                <w:rFonts w:hint="eastAsia"/>
                <w:sz w:val="20"/>
                <w:lang w:eastAsia="zh-CN"/>
              </w:rPr>
              <w:t>2024</w:t>
            </w:r>
            <w:r w:rsidRPr="00F30688">
              <w:rPr>
                <w:rFonts w:hint="eastAsia"/>
                <w:sz w:val="20"/>
                <w:lang w:eastAsia="zh-CN"/>
              </w:rPr>
              <w:t>年会议通过的《章程》出台的，</w:t>
            </w:r>
            <w:r>
              <w:rPr>
                <w:rFonts w:hint="eastAsia"/>
                <w:sz w:val="20"/>
                <w:lang w:eastAsia="zh-CN"/>
              </w:rPr>
              <w:t>《章程》第三节第</w:t>
            </w:r>
            <w:r>
              <w:rPr>
                <w:rFonts w:hint="eastAsia"/>
                <w:sz w:val="20"/>
                <w:lang w:eastAsia="zh-CN"/>
              </w:rPr>
              <w:t>8</w:t>
            </w:r>
            <w:r>
              <w:rPr>
                <w:rFonts w:hint="eastAsia"/>
                <w:sz w:val="20"/>
                <w:lang w:eastAsia="zh-CN"/>
              </w:rPr>
              <w:t>和</w:t>
            </w:r>
            <w:r>
              <w:rPr>
                <w:rFonts w:hint="eastAsia"/>
                <w:sz w:val="20"/>
                <w:lang w:eastAsia="zh-CN"/>
              </w:rPr>
              <w:t>9</w:t>
            </w:r>
            <w:r>
              <w:rPr>
                <w:rFonts w:hint="eastAsia"/>
                <w:sz w:val="20"/>
                <w:lang w:eastAsia="zh-CN"/>
              </w:rPr>
              <w:t>款以及第六节第</w:t>
            </w:r>
            <w:r w:rsidRPr="00536D01">
              <w:rPr>
                <w:sz w:val="20"/>
                <w:lang w:eastAsia="zh-CN"/>
              </w:rPr>
              <w:t>32(a)</w:t>
            </w:r>
            <w:r>
              <w:rPr>
                <w:rFonts w:hint="eastAsia"/>
                <w:sz w:val="20"/>
                <w:lang w:eastAsia="zh-CN"/>
              </w:rPr>
              <w:t>款规定了基于风险的审计计划，待</w:t>
            </w:r>
            <w:r>
              <w:rPr>
                <w:rFonts w:hint="eastAsia"/>
                <w:sz w:val="20"/>
                <w:lang w:eastAsia="zh-CN"/>
              </w:rPr>
              <w:t>IMAC</w:t>
            </w:r>
            <w:r>
              <w:rPr>
                <w:rFonts w:hint="eastAsia"/>
                <w:sz w:val="20"/>
                <w:lang w:eastAsia="zh-CN"/>
              </w:rPr>
              <w:t>审议和秘书长批准</w:t>
            </w:r>
            <w:r w:rsidRPr="00F30688">
              <w:rPr>
                <w:rFonts w:hint="eastAsia"/>
                <w:sz w:val="20"/>
                <w:lang w:eastAsia="zh-CN"/>
              </w:rPr>
              <w:t>。</w:t>
            </w:r>
          </w:p>
          <w:p w14:paraId="6D53D2B4" w14:textId="224F89DD" w:rsidR="003D7FF0" w:rsidRPr="00536D01" w:rsidRDefault="00D424A4" w:rsidP="009449F5">
            <w:pPr>
              <w:pStyle w:val="Tabletext"/>
              <w:keepNext/>
              <w:keepLines/>
              <w:rPr>
                <w:sz w:val="20"/>
                <w:lang w:eastAsia="zh-CN"/>
              </w:rPr>
            </w:pPr>
            <w:r w:rsidRPr="00D424A4">
              <w:rPr>
                <w:rFonts w:hint="eastAsia"/>
                <w:sz w:val="20"/>
                <w:lang w:eastAsia="zh-CN"/>
              </w:rPr>
              <w:t>国际电联建议结束本</w:t>
            </w:r>
            <w:r w:rsidR="00A92B51">
              <w:rPr>
                <w:rFonts w:hint="eastAsia"/>
                <w:sz w:val="20"/>
                <w:lang w:eastAsia="zh-CN"/>
              </w:rPr>
              <w:t>建议</w:t>
            </w:r>
          </w:p>
        </w:tc>
        <w:tc>
          <w:tcPr>
            <w:tcW w:w="1050" w:type="pct"/>
            <w:shd w:val="clear" w:color="auto" w:fill="auto"/>
          </w:tcPr>
          <w:p w14:paraId="43C73881" w14:textId="550FA869" w:rsidR="003D7FF0" w:rsidRPr="00536D01" w:rsidRDefault="00F5164E" w:rsidP="009449F5">
            <w:pPr>
              <w:pStyle w:val="Tabletext"/>
              <w:keepNext/>
              <w:keepLines/>
              <w:rPr>
                <w:sz w:val="20"/>
                <w:lang w:eastAsia="zh-CN"/>
              </w:rPr>
            </w:pPr>
            <w:r w:rsidRPr="00D424A4">
              <w:rPr>
                <w:rFonts w:hint="eastAsia"/>
                <w:sz w:val="20"/>
                <w:lang w:eastAsia="zh-CN"/>
              </w:rPr>
              <w:t>如今年报告所述，内部审计将由内部审计师协会进行</w:t>
            </w:r>
            <w:r>
              <w:rPr>
                <w:rFonts w:hint="eastAsia"/>
                <w:sz w:val="20"/>
                <w:lang w:eastAsia="zh-CN"/>
              </w:rPr>
              <w:t>同行评审</w:t>
            </w:r>
            <w:r w:rsidRPr="00D424A4">
              <w:rPr>
                <w:rFonts w:hint="eastAsia"/>
                <w:sz w:val="20"/>
                <w:lang w:eastAsia="zh-CN"/>
              </w:rPr>
              <w:t>。我们已完成这项关于</w:t>
            </w:r>
            <w:r>
              <w:rPr>
                <w:rFonts w:hint="eastAsia"/>
                <w:sz w:val="20"/>
                <w:lang w:eastAsia="zh-CN"/>
              </w:rPr>
              <w:t>规划</w:t>
            </w:r>
            <w:r w:rsidRPr="00D424A4">
              <w:rPr>
                <w:rFonts w:hint="eastAsia"/>
                <w:sz w:val="20"/>
                <w:lang w:eastAsia="zh-CN"/>
              </w:rPr>
              <w:t>的详细建议，并将审</w:t>
            </w:r>
            <w:r>
              <w:rPr>
                <w:rFonts w:hint="eastAsia"/>
                <w:sz w:val="20"/>
                <w:lang w:eastAsia="zh-CN"/>
              </w:rPr>
              <w:t>查</w:t>
            </w:r>
            <w:r w:rsidRPr="00D424A4">
              <w:rPr>
                <w:rFonts w:hint="eastAsia"/>
                <w:sz w:val="20"/>
                <w:lang w:eastAsia="zh-CN"/>
              </w:rPr>
              <w:t>IIA</w:t>
            </w:r>
            <w:r>
              <w:rPr>
                <w:rFonts w:hint="eastAsia"/>
                <w:sz w:val="20"/>
                <w:lang w:eastAsia="zh-CN"/>
              </w:rPr>
              <w:t>的</w:t>
            </w:r>
            <w:r w:rsidRPr="00D424A4">
              <w:rPr>
                <w:rFonts w:hint="eastAsia"/>
                <w:sz w:val="20"/>
                <w:lang w:eastAsia="zh-CN"/>
              </w:rPr>
              <w:t>评估结果，在明年的报告中向理事会通报最新情况。</w:t>
            </w:r>
          </w:p>
        </w:tc>
        <w:tc>
          <w:tcPr>
            <w:tcW w:w="450" w:type="pct"/>
            <w:shd w:val="clear" w:color="auto" w:fill="auto"/>
          </w:tcPr>
          <w:p w14:paraId="4CCF831B" w14:textId="285BE540" w:rsidR="003D7FF0" w:rsidRPr="00536D01" w:rsidRDefault="00A62A5A" w:rsidP="009449F5">
            <w:pPr>
              <w:pStyle w:val="Tabletext"/>
              <w:keepNext/>
              <w:keepLines/>
              <w:rPr>
                <w:sz w:val="20"/>
              </w:rPr>
            </w:pPr>
            <w:r>
              <w:rPr>
                <w:rFonts w:ascii="SimSun" w:eastAsia="SimSun" w:hAnsi="SimSun" w:cs="SimSun" w:hint="eastAsia"/>
                <w:color w:val="000000"/>
                <w:sz w:val="20"/>
                <w:lang w:eastAsia="zh-CN"/>
              </w:rPr>
              <w:t>已关闭。</w:t>
            </w:r>
          </w:p>
        </w:tc>
      </w:tr>
      <w:tr w:rsidR="003D7FF0" w:rsidRPr="00536D01" w14:paraId="7FAA2822" w14:textId="77777777" w:rsidTr="00E6035E">
        <w:tc>
          <w:tcPr>
            <w:tcW w:w="300" w:type="pct"/>
            <w:shd w:val="clear" w:color="auto" w:fill="auto"/>
          </w:tcPr>
          <w:p w14:paraId="32505974" w14:textId="77777777" w:rsidR="003D7FF0" w:rsidRPr="00536D01" w:rsidRDefault="003D7FF0" w:rsidP="00786ECB">
            <w:pPr>
              <w:pStyle w:val="Tabletext"/>
              <w:rPr>
                <w:sz w:val="20"/>
              </w:rPr>
            </w:pPr>
            <w:r w:rsidRPr="00536D01">
              <w:rPr>
                <w:sz w:val="20"/>
              </w:rPr>
              <w:t>2021 R#30</w:t>
            </w:r>
          </w:p>
        </w:tc>
        <w:tc>
          <w:tcPr>
            <w:tcW w:w="1450" w:type="pct"/>
            <w:shd w:val="clear" w:color="auto" w:fill="auto"/>
          </w:tcPr>
          <w:p w14:paraId="4F847362" w14:textId="4949582A" w:rsidR="003D7FF0" w:rsidRPr="00536D01" w:rsidRDefault="00F164E0" w:rsidP="00786ECB">
            <w:pPr>
              <w:pStyle w:val="Tabletext"/>
              <w:rPr>
                <w:sz w:val="20"/>
                <w:lang w:eastAsia="zh-CN"/>
              </w:rPr>
            </w:pPr>
            <w:r>
              <w:rPr>
                <w:rFonts w:hint="eastAsia"/>
                <w:sz w:val="20"/>
                <w:lang w:eastAsia="zh-CN"/>
              </w:rPr>
              <w:t>建议：</w:t>
            </w:r>
          </w:p>
          <w:p w14:paraId="274B51F1" w14:textId="12D5054D" w:rsidR="003D7FF0" w:rsidRPr="00536D01" w:rsidRDefault="003D7FF0" w:rsidP="00F43DFE">
            <w:pPr>
              <w:pStyle w:val="Tabletext"/>
              <w:tabs>
                <w:tab w:val="clear" w:pos="284"/>
                <w:tab w:val="clear" w:pos="425"/>
                <w:tab w:val="left" w:pos="356"/>
              </w:tabs>
              <w:spacing w:before="60"/>
              <w:ind w:left="356" w:hanging="356"/>
              <w:rPr>
                <w:sz w:val="20"/>
                <w:lang w:eastAsia="zh-CN"/>
              </w:rPr>
            </w:pPr>
            <w:proofErr w:type="spellStart"/>
            <w:r w:rsidRPr="00536D01">
              <w:rPr>
                <w:sz w:val="20"/>
                <w:lang w:eastAsia="zh-CN"/>
              </w:rPr>
              <w:t>i</w:t>
            </w:r>
            <w:proofErr w:type="spellEnd"/>
            <w:r w:rsidRPr="00536D01">
              <w:rPr>
                <w:sz w:val="20"/>
                <w:lang w:eastAsia="zh-CN"/>
              </w:rPr>
              <w:t>)</w:t>
            </w:r>
            <w:r w:rsidR="007E3E3C" w:rsidRPr="00536D01">
              <w:rPr>
                <w:sz w:val="20"/>
                <w:lang w:eastAsia="zh-CN"/>
              </w:rPr>
              <w:tab/>
            </w:r>
            <w:r w:rsidR="00F164E0" w:rsidRPr="00F164E0">
              <w:rPr>
                <w:rFonts w:hint="eastAsia"/>
                <w:sz w:val="20"/>
                <w:lang w:eastAsia="zh-CN"/>
              </w:rPr>
              <w:t>由理事会对调查职能设计和批准一个新的监管框架，并在新规则的起草过程中，让</w:t>
            </w:r>
            <w:r w:rsidR="00F164E0" w:rsidRPr="00F164E0">
              <w:rPr>
                <w:rFonts w:hint="eastAsia"/>
                <w:sz w:val="20"/>
                <w:lang w:eastAsia="zh-CN"/>
              </w:rPr>
              <w:t>IMAC</w:t>
            </w:r>
            <w:r w:rsidR="00F164E0" w:rsidRPr="00F164E0">
              <w:rPr>
                <w:rFonts w:hint="eastAsia"/>
                <w:sz w:val="20"/>
                <w:lang w:eastAsia="zh-CN"/>
              </w:rPr>
              <w:t>和调查员都参与进来；</w:t>
            </w:r>
          </w:p>
          <w:p w14:paraId="0F934E24" w14:textId="1243CC20" w:rsidR="003D7FF0" w:rsidRPr="00536D01"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ii)</w:t>
            </w:r>
            <w:r w:rsidR="007E3E3C" w:rsidRPr="00536D01">
              <w:rPr>
                <w:sz w:val="20"/>
                <w:lang w:eastAsia="zh-CN"/>
              </w:rPr>
              <w:tab/>
            </w:r>
            <w:r w:rsidR="00F164E0" w:rsidRPr="00F164E0">
              <w:rPr>
                <w:rFonts w:hint="eastAsia"/>
                <w:sz w:val="20"/>
                <w:lang w:eastAsia="zh-CN"/>
              </w:rPr>
              <w:t>道德规范干事虽然需要与调查员不断协调（例如，作为举报人保护政策的联系人），但不应在新程序中参与调查职能，</w:t>
            </w:r>
          </w:p>
          <w:p w14:paraId="21296869" w14:textId="46F5830F" w:rsidR="003D7FF0" w:rsidRPr="00536D01"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iii)</w:t>
            </w:r>
            <w:r w:rsidR="007E3E3C" w:rsidRPr="00536D01">
              <w:rPr>
                <w:sz w:val="20"/>
                <w:lang w:eastAsia="zh-CN"/>
              </w:rPr>
              <w:tab/>
            </w:r>
            <w:r w:rsidR="00F164E0" w:rsidRPr="00F164E0">
              <w:rPr>
                <w:rFonts w:hint="eastAsia"/>
                <w:sz w:val="20"/>
                <w:lang w:eastAsia="zh-CN"/>
              </w:rPr>
              <w:t>调查员可以在没有获得秘书长授权的情况下决定展开调查。</w:t>
            </w:r>
          </w:p>
        </w:tc>
        <w:tc>
          <w:tcPr>
            <w:tcW w:w="1750" w:type="pct"/>
            <w:shd w:val="clear" w:color="auto" w:fill="auto"/>
          </w:tcPr>
          <w:p w14:paraId="4C9759DD" w14:textId="18250338" w:rsidR="003D7FF0" w:rsidRPr="00536D01" w:rsidRDefault="00D424A4" w:rsidP="00786ECB">
            <w:pPr>
              <w:pStyle w:val="Tabletext"/>
              <w:rPr>
                <w:sz w:val="20"/>
                <w:lang w:eastAsia="zh-CN"/>
              </w:rPr>
            </w:pPr>
            <w:r w:rsidRPr="00D424A4">
              <w:rPr>
                <w:rFonts w:hint="eastAsia"/>
                <w:sz w:val="20"/>
                <w:lang w:eastAsia="zh-CN"/>
              </w:rPr>
              <w:t>截至</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5</w:t>
            </w:r>
            <w:r w:rsidRPr="00D424A4">
              <w:rPr>
                <w:rFonts w:hint="eastAsia"/>
                <w:sz w:val="20"/>
                <w:lang w:eastAsia="zh-CN"/>
              </w:rPr>
              <w:t>月的最新进展：监督处由</w:t>
            </w:r>
            <w:r w:rsidR="00EC78E9">
              <w:rPr>
                <w:rFonts w:hint="eastAsia"/>
                <w:sz w:val="20"/>
                <w:lang w:eastAsia="zh-CN"/>
              </w:rPr>
              <w:t>理事会</w:t>
            </w:r>
            <w:r w:rsidR="00EC78E9">
              <w:rPr>
                <w:rFonts w:hint="eastAsia"/>
                <w:sz w:val="20"/>
                <w:lang w:eastAsia="zh-CN"/>
              </w:rPr>
              <w:t>20</w:t>
            </w:r>
            <w:r w:rsidRPr="00D424A4">
              <w:rPr>
                <w:rFonts w:hint="eastAsia"/>
                <w:sz w:val="20"/>
                <w:lang w:eastAsia="zh-CN"/>
              </w:rPr>
              <w:t>23</w:t>
            </w:r>
            <w:r w:rsidR="00EC78E9">
              <w:rPr>
                <w:rFonts w:hint="eastAsia"/>
                <w:sz w:val="20"/>
                <w:lang w:eastAsia="zh-CN"/>
              </w:rPr>
              <w:t>年会议设立</w:t>
            </w:r>
            <w:r w:rsidRPr="00D424A4">
              <w:rPr>
                <w:rFonts w:hint="eastAsia"/>
                <w:sz w:val="20"/>
                <w:lang w:eastAsia="zh-CN"/>
              </w:rPr>
              <w:t>。</w:t>
            </w:r>
            <w:r w:rsidR="00EC78E9" w:rsidRPr="00EC78E9">
              <w:rPr>
                <w:rFonts w:hint="eastAsia"/>
                <w:sz w:val="20"/>
                <w:lang w:eastAsia="zh-CN"/>
              </w:rPr>
              <w:t>2024</w:t>
            </w:r>
            <w:r w:rsidR="00EC78E9" w:rsidRPr="00EC78E9">
              <w:rPr>
                <w:rFonts w:hint="eastAsia"/>
                <w:sz w:val="20"/>
                <w:lang w:eastAsia="zh-CN"/>
              </w:rPr>
              <w:t>年</w:t>
            </w:r>
            <w:r w:rsidR="00EC78E9" w:rsidRPr="00EC78E9">
              <w:rPr>
                <w:rFonts w:hint="eastAsia"/>
                <w:sz w:val="20"/>
                <w:lang w:eastAsia="zh-CN"/>
              </w:rPr>
              <w:t>9</w:t>
            </w:r>
            <w:r w:rsidR="00EC78E9" w:rsidRPr="00EC78E9">
              <w:rPr>
                <w:rFonts w:hint="eastAsia"/>
                <w:sz w:val="20"/>
                <w:lang w:eastAsia="zh-CN"/>
              </w:rPr>
              <w:t>月，经第</w:t>
            </w:r>
            <w:r w:rsidR="00EC78E9" w:rsidRPr="00EC78E9">
              <w:rPr>
                <w:rFonts w:hint="eastAsia"/>
                <w:sz w:val="20"/>
                <w:lang w:eastAsia="zh-CN"/>
              </w:rPr>
              <w:t>24/09</w:t>
            </w:r>
            <w:r w:rsidR="00EC78E9" w:rsidRPr="00EC78E9">
              <w:rPr>
                <w:rFonts w:hint="eastAsia"/>
                <w:sz w:val="20"/>
                <w:lang w:eastAsia="zh-CN"/>
              </w:rPr>
              <w:t>号行政规定《通过国际电联监督章程和澄清》引入了新的《监督章程》。</w:t>
            </w:r>
            <w:r w:rsidR="00EC78E9">
              <w:rPr>
                <w:rFonts w:hint="eastAsia"/>
                <w:sz w:val="20"/>
                <w:lang w:eastAsia="zh-CN"/>
              </w:rPr>
              <w:t>第</w:t>
            </w:r>
            <w:r w:rsidR="00EC78E9">
              <w:rPr>
                <w:rFonts w:hint="eastAsia"/>
                <w:sz w:val="20"/>
                <w:lang w:eastAsia="zh-CN"/>
              </w:rPr>
              <w:t>24/09</w:t>
            </w:r>
            <w:r w:rsidR="00EC78E9">
              <w:rPr>
                <w:rFonts w:hint="eastAsia"/>
                <w:sz w:val="20"/>
                <w:lang w:eastAsia="zh-CN"/>
              </w:rPr>
              <w:t>号</w:t>
            </w:r>
            <w:r w:rsidR="00EC78E9" w:rsidRPr="00EC78E9">
              <w:rPr>
                <w:rFonts w:hint="eastAsia"/>
                <w:sz w:val="20"/>
                <w:lang w:eastAsia="zh-CN"/>
              </w:rPr>
              <w:t>行政规定系依据理事会</w:t>
            </w:r>
            <w:r w:rsidR="00EC78E9" w:rsidRPr="00EC78E9">
              <w:rPr>
                <w:rFonts w:hint="eastAsia"/>
                <w:sz w:val="20"/>
                <w:lang w:eastAsia="zh-CN"/>
              </w:rPr>
              <w:t>2024</w:t>
            </w:r>
            <w:r w:rsidR="00EC78E9" w:rsidRPr="00EC78E9">
              <w:rPr>
                <w:rFonts w:hint="eastAsia"/>
                <w:sz w:val="20"/>
                <w:lang w:eastAsia="zh-CN"/>
              </w:rPr>
              <w:t>年会议通过的《章程》出台的，该《章程》已经过</w:t>
            </w:r>
            <w:r w:rsidR="00EC78E9" w:rsidRPr="00EC78E9">
              <w:rPr>
                <w:rFonts w:hint="eastAsia"/>
                <w:sz w:val="20"/>
                <w:lang w:eastAsia="zh-CN"/>
              </w:rPr>
              <w:t>IMAC</w:t>
            </w:r>
            <w:r w:rsidR="00EC78E9" w:rsidRPr="00EC78E9">
              <w:rPr>
                <w:rFonts w:hint="eastAsia"/>
                <w:sz w:val="20"/>
                <w:lang w:eastAsia="zh-CN"/>
              </w:rPr>
              <w:t>的审查和评论。</w:t>
            </w:r>
            <w:r w:rsidRPr="00D424A4">
              <w:rPr>
                <w:rFonts w:hint="eastAsia"/>
                <w:sz w:val="20"/>
                <w:lang w:eastAsia="zh-CN"/>
              </w:rPr>
              <w:t>《章程》</w:t>
            </w:r>
            <w:r w:rsidR="00EC78E9">
              <w:rPr>
                <w:rFonts w:hint="eastAsia"/>
                <w:sz w:val="20"/>
                <w:lang w:eastAsia="zh-CN"/>
              </w:rPr>
              <w:t>定义</w:t>
            </w:r>
            <w:r w:rsidRPr="00D424A4">
              <w:rPr>
                <w:rFonts w:hint="eastAsia"/>
                <w:sz w:val="20"/>
                <w:lang w:eastAsia="zh-CN"/>
              </w:rPr>
              <w:t>并界定了独立于管理层的具体调查职能的职责（第</w:t>
            </w:r>
            <w:r w:rsidR="00EC78E9">
              <w:rPr>
                <w:rFonts w:hint="eastAsia"/>
                <w:sz w:val="20"/>
                <w:lang w:eastAsia="zh-CN"/>
              </w:rPr>
              <w:t>一节第</w:t>
            </w:r>
            <w:r w:rsidRPr="00D424A4">
              <w:rPr>
                <w:rFonts w:hint="eastAsia"/>
                <w:sz w:val="20"/>
                <w:lang w:eastAsia="zh-CN"/>
              </w:rPr>
              <w:t>2</w:t>
            </w:r>
            <w:r w:rsidR="00EC78E9">
              <w:rPr>
                <w:rFonts w:hint="eastAsia"/>
                <w:sz w:val="20"/>
                <w:lang w:eastAsia="zh-CN"/>
              </w:rPr>
              <w:t>款</w:t>
            </w:r>
            <w:r w:rsidRPr="00D424A4">
              <w:rPr>
                <w:rFonts w:hint="eastAsia"/>
                <w:sz w:val="20"/>
                <w:lang w:eastAsia="zh-CN"/>
              </w:rPr>
              <w:t>和</w:t>
            </w:r>
            <w:r w:rsidR="00EC78E9">
              <w:rPr>
                <w:rFonts w:hint="eastAsia"/>
                <w:sz w:val="20"/>
                <w:lang w:eastAsia="zh-CN"/>
              </w:rPr>
              <w:t>第四</w:t>
            </w:r>
            <w:r w:rsidRPr="00D424A4">
              <w:rPr>
                <w:rFonts w:hint="eastAsia"/>
                <w:sz w:val="20"/>
                <w:lang w:eastAsia="zh-CN"/>
              </w:rPr>
              <w:t>节），与内部审计职能的职责</w:t>
            </w:r>
            <w:r w:rsidR="00EC78E9">
              <w:rPr>
                <w:rFonts w:hint="eastAsia"/>
                <w:sz w:val="20"/>
                <w:lang w:eastAsia="zh-CN"/>
              </w:rPr>
              <w:t>相分离</w:t>
            </w:r>
            <w:r w:rsidRPr="00D424A4">
              <w:rPr>
                <w:rFonts w:hint="eastAsia"/>
                <w:sz w:val="20"/>
                <w:lang w:eastAsia="zh-CN"/>
              </w:rPr>
              <w:t>。这包括监督处独立评估收到的指控，并在必要时决定启动正式调查（</w:t>
            </w:r>
            <w:r w:rsidR="00EC78E9">
              <w:rPr>
                <w:rFonts w:hint="eastAsia"/>
                <w:sz w:val="20"/>
                <w:lang w:eastAsia="zh-CN"/>
              </w:rPr>
              <w:t>第三节</w:t>
            </w:r>
            <w:r w:rsidRPr="00D424A4">
              <w:rPr>
                <w:rFonts w:hint="eastAsia"/>
                <w:sz w:val="20"/>
                <w:lang w:eastAsia="zh-CN"/>
              </w:rPr>
              <w:t>B.10</w:t>
            </w:r>
            <w:r w:rsidR="00EC78E9">
              <w:rPr>
                <w:rFonts w:hint="eastAsia"/>
                <w:sz w:val="20"/>
                <w:lang w:eastAsia="zh-CN"/>
              </w:rPr>
              <w:t>款</w:t>
            </w:r>
            <w:r w:rsidRPr="00D424A4">
              <w:rPr>
                <w:rFonts w:hint="eastAsia"/>
                <w:sz w:val="20"/>
                <w:lang w:eastAsia="zh-CN"/>
              </w:rPr>
              <w:t>）。</w:t>
            </w:r>
            <w:r w:rsidR="00EC78E9">
              <w:rPr>
                <w:rFonts w:hint="eastAsia"/>
                <w:sz w:val="20"/>
                <w:lang w:eastAsia="zh-CN"/>
              </w:rPr>
              <w:t>还</w:t>
            </w:r>
            <w:r w:rsidRPr="00D424A4">
              <w:rPr>
                <w:rFonts w:hint="eastAsia"/>
                <w:sz w:val="20"/>
                <w:lang w:eastAsia="zh-CN"/>
              </w:rPr>
              <w:t>将发布新的</w:t>
            </w:r>
            <w:r w:rsidR="00EC78E9">
              <w:rPr>
                <w:rFonts w:hint="eastAsia"/>
                <w:sz w:val="20"/>
                <w:lang w:eastAsia="zh-CN"/>
              </w:rPr>
              <w:t>行政规定</w:t>
            </w:r>
            <w:r w:rsidRPr="00D424A4">
              <w:rPr>
                <w:rFonts w:hint="eastAsia"/>
                <w:sz w:val="20"/>
                <w:lang w:eastAsia="zh-CN"/>
              </w:rPr>
              <w:t>，其中</w:t>
            </w:r>
            <w:r w:rsidR="00EC78E9">
              <w:rPr>
                <w:rFonts w:hint="eastAsia"/>
                <w:sz w:val="20"/>
                <w:lang w:eastAsia="zh-CN"/>
              </w:rPr>
              <w:t>包括</w:t>
            </w:r>
            <w:r w:rsidRPr="00D424A4">
              <w:rPr>
                <w:rFonts w:hint="eastAsia"/>
                <w:sz w:val="20"/>
                <w:lang w:eastAsia="zh-CN"/>
              </w:rPr>
              <w:t>调查</w:t>
            </w:r>
            <w:r w:rsidR="00EC78E9">
              <w:rPr>
                <w:rFonts w:hint="eastAsia"/>
                <w:sz w:val="20"/>
                <w:lang w:eastAsia="zh-CN"/>
              </w:rPr>
              <w:t>导则和</w:t>
            </w:r>
            <w:r w:rsidRPr="00D424A4">
              <w:rPr>
                <w:rFonts w:hint="eastAsia"/>
                <w:sz w:val="20"/>
                <w:lang w:eastAsia="zh-CN"/>
              </w:rPr>
              <w:t>相关</w:t>
            </w:r>
            <w:r w:rsidR="00EC78E9">
              <w:rPr>
                <w:rFonts w:hint="eastAsia"/>
                <w:sz w:val="20"/>
                <w:lang w:eastAsia="zh-CN"/>
              </w:rPr>
              <w:t>行政规定的更新，</w:t>
            </w:r>
            <w:r w:rsidRPr="00D424A4">
              <w:rPr>
                <w:rFonts w:hint="eastAsia"/>
                <w:sz w:val="20"/>
                <w:lang w:eastAsia="zh-CN"/>
              </w:rPr>
              <w:t>以</w:t>
            </w:r>
            <w:r w:rsidR="00A44173">
              <w:rPr>
                <w:rFonts w:hint="eastAsia"/>
                <w:sz w:val="20"/>
                <w:lang w:eastAsia="zh-CN"/>
              </w:rPr>
              <w:t>体现</w:t>
            </w:r>
            <w:r w:rsidR="000D3AE3">
              <w:rPr>
                <w:rFonts w:hint="eastAsia"/>
                <w:sz w:val="20"/>
                <w:lang w:eastAsia="zh-CN"/>
              </w:rPr>
              <w:t>监督处（</w:t>
            </w:r>
            <w:r w:rsidRPr="00D424A4">
              <w:rPr>
                <w:rFonts w:hint="eastAsia"/>
                <w:sz w:val="20"/>
                <w:lang w:eastAsia="zh-CN"/>
              </w:rPr>
              <w:t>OU</w:t>
            </w:r>
            <w:r w:rsidR="000D3AE3">
              <w:rPr>
                <w:rFonts w:hint="eastAsia"/>
                <w:sz w:val="20"/>
                <w:lang w:eastAsia="zh-CN"/>
              </w:rPr>
              <w:t>）的《</w:t>
            </w:r>
            <w:r w:rsidRPr="00D424A4">
              <w:rPr>
                <w:rFonts w:hint="eastAsia"/>
                <w:sz w:val="20"/>
                <w:lang w:eastAsia="zh-CN"/>
              </w:rPr>
              <w:t>章程</w:t>
            </w:r>
            <w:r w:rsidR="000D3AE3">
              <w:rPr>
                <w:rFonts w:hint="eastAsia"/>
                <w:sz w:val="20"/>
                <w:lang w:eastAsia="zh-CN"/>
              </w:rPr>
              <w:t>》</w:t>
            </w:r>
            <w:r w:rsidRPr="00D424A4">
              <w:rPr>
                <w:rFonts w:hint="eastAsia"/>
                <w:sz w:val="20"/>
                <w:lang w:eastAsia="zh-CN"/>
              </w:rPr>
              <w:t>。特别是</w:t>
            </w:r>
            <w:r w:rsidR="00EC78E9">
              <w:rPr>
                <w:rFonts w:hint="eastAsia"/>
                <w:sz w:val="20"/>
                <w:lang w:eastAsia="zh-CN"/>
              </w:rPr>
              <w:t>，</w:t>
            </w:r>
            <w:r w:rsidRPr="00D424A4">
              <w:rPr>
                <w:rFonts w:hint="eastAsia"/>
                <w:sz w:val="20"/>
                <w:lang w:eastAsia="zh-CN"/>
              </w:rPr>
              <w:t>向</w:t>
            </w:r>
            <w:r w:rsidRPr="00D424A4">
              <w:rPr>
                <w:rFonts w:hint="eastAsia"/>
                <w:sz w:val="20"/>
                <w:lang w:eastAsia="zh-CN"/>
              </w:rPr>
              <w:t>OU</w:t>
            </w:r>
            <w:r w:rsidRPr="00D424A4">
              <w:rPr>
                <w:rFonts w:hint="eastAsia"/>
                <w:sz w:val="20"/>
                <w:lang w:eastAsia="zh-CN"/>
              </w:rPr>
              <w:t>提交不当行为报告，并且</w:t>
            </w:r>
            <w:r w:rsidR="00A44173">
              <w:rPr>
                <w:rFonts w:hint="eastAsia"/>
                <w:sz w:val="20"/>
                <w:lang w:eastAsia="zh-CN"/>
              </w:rPr>
              <w:t>由</w:t>
            </w:r>
            <w:r w:rsidRPr="00D424A4">
              <w:rPr>
                <w:rFonts w:hint="eastAsia"/>
                <w:sz w:val="20"/>
                <w:lang w:eastAsia="zh-CN"/>
              </w:rPr>
              <w:t>OU</w:t>
            </w:r>
            <w:r w:rsidRPr="00D424A4">
              <w:rPr>
                <w:rFonts w:hint="eastAsia"/>
                <w:sz w:val="20"/>
                <w:lang w:eastAsia="zh-CN"/>
              </w:rPr>
              <w:t>承担</w:t>
            </w:r>
            <w:r w:rsidRPr="00D424A4">
              <w:rPr>
                <w:rFonts w:hint="eastAsia"/>
                <w:sz w:val="20"/>
                <w:lang w:eastAsia="zh-CN"/>
              </w:rPr>
              <w:t>PA</w:t>
            </w:r>
            <w:r w:rsidR="00A44173">
              <w:rPr>
                <w:rFonts w:hint="eastAsia"/>
                <w:sz w:val="20"/>
                <w:lang w:eastAsia="zh-CN"/>
              </w:rPr>
              <w:t>工作</w:t>
            </w:r>
            <w:r w:rsidRPr="00D424A4">
              <w:rPr>
                <w:rFonts w:hint="eastAsia"/>
                <w:sz w:val="20"/>
                <w:lang w:eastAsia="zh-CN"/>
              </w:rPr>
              <w:t>。</w:t>
            </w:r>
            <w:r w:rsidR="00A44173">
              <w:rPr>
                <w:rFonts w:hint="eastAsia"/>
                <w:sz w:val="20"/>
                <w:lang w:eastAsia="zh-CN"/>
              </w:rPr>
              <w:t>我们</w:t>
            </w:r>
            <w:r w:rsidRPr="00D424A4">
              <w:rPr>
                <w:rFonts w:hint="eastAsia"/>
                <w:sz w:val="20"/>
                <w:lang w:eastAsia="zh-CN"/>
              </w:rPr>
              <w:t>注意到，起草过程中征求了</w:t>
            </w:r>
            <w:r w:rsidRPr="00D424A4">
              <w:rPr>
                <w:rFonts w:hint="eastAsia"/>
                <w:sz w:val="20"/>
                <w:lang w:eastAsia="zh-CN"/>
              </w:rPr>
              <w:t>IMAC</w:t>
            </w:r>
            <w:r w:rsidRPr="00D424A4">
              <w:rPr>
                <w:rFonts w:hint="eastAsia"/>
                <w:sz w:val="20"/>
                <w:lang w:eastAsia="zh-CN"/>
              </w:rPr>
              <w:t>的意见。</w:t>
            </w:r>
          </w:p>
          <w:p w14:paraId="655F4554" w14:textId="71F30006" w:rsidR="003D7FF0" w:rsidRPr="00536D01" w:rsidRDefault="00D424A4" w:rsidP="00786ECB">
            <w:pPr>
              <w:pStyle w:val="Tabletext"/>
              <w:rPr>
                <w:sz w:val="20"/>
                <w:lang w:eastAsia="zh-CN"/>
              </w:rPr>
            </w:pPr>
            <w:r w:rsidRPr="00D424A4">
              <w:rPr>
                <w:rFonts w:hint="eastAsia"/>
                <w:sz w:val="20"/>
                <w:lang w:eastAsia="zh-CN"/>
              </w:rPr>
              <w:t>国际电联建议结束本</w:t>
            </w:r>
            <w:r w:rsidR="00A92B51">
              <w:rPr>
                <w:rFonts w:hint="eastAsia"/>
                <w:sz w:val="20"/>
                <w:lang w:eastAsia="zh-CN"/>
              </w:rPr>
              <w:t>建议</w:t>
            </w:r>
            <w:r w:rsidRPr="00D424A4">
              <w:rPr>
                <w:rFonts w:hint="eastAsia"/>
                <w:sz w:val="20"/>
                <w:lang w:eastAsia="zh-CN"/>
              </w:rPr>
              <w:t>。</w:t>
            </w:r>
          </w:p>
        </w:tc>
        <w:tc>
          <w:tcPr>
            <w:tcW w:w="1050" w:type="pct"/>
            <w:shd w:val="clear" w:color="auto" w:fill="auto"/>
          </w:tcPr>
          <w:p w14:paraId="12F3A3C0" w14:textId="5CE9C9EA" w:rsidR="003D7FF0" w:rsidRPr="00536D01" w:rsidRDefault="00D424A4" w:rsidP="00786ECB">
            <w:pPr>
              <w:pStyle w:val="Tabletext"/>
              <w:rPr>
                <w:sz w:val="20"/>
                <w:highlight w:val="yellow"/>
                <w:lang w:eastAsia="zh-CN"/>
              </w:rPr>
            </w:pPr>
            <w:r w:rsidRPr="00D424A4">
              <w:rPr>
                <w:rFonts w:hint="eastAsia"/>
                <w:sz w:val="20"/>
                <w:lang w:eastAsia="zh-CN"/>
              </w:rPr>
              <w:t>注意到最新回应</w:t>
            </w:r>
            <w:r w:rsidR="00A44173">
              <w:rPr>
                <w:rFonts w:hint="eastAsia"/>
                <w:sz w:val="20"/>
                <w:lang w:eastAsia="zh-CN"/>
              </w:rPr>
              <w:t>，</w:t>
            </w:r>
            <w:r w:rsidRPr="00D424A4">
              <w:rPr>
                <w:rFonts w:hint="eastAsia"/>
                <w:sz w:val="20"/>
                <w:lang w:eastAsia="zh-CN"/>
              </w:rPr>
              <w:t>并认为是合理的。监督处的设立解决了建议中的</w:t>
            </w:r>
            <w:r w:rsidR="00A44173">
              <w:rPr>
                <w:rFonts w:hint="eastAsia"/>
                <w:sz w:val="20"/>
                <w:lang w:eastAsia="zh-CN"/>
              </w:rPr>
              <w:t>第</w:t>
            </w:r>
            <w:proofErr w:type="spellStart"/>
            <w:r w:rsidRPr="00D424A4">
              <w:rPr>
                <w:rFonts w:hint="eastAsia"/>
                <w:sz w:val="20"/>
                <w:lang w:eastAsia="zh-CN"/>
              </w:rPr>
              <w:t>i</w:t>
            </w:r>
            <w:proofErr w:type="spellEnd"/>
            <w:r w:rsidR="00A44173">
              <w:rPr>
                <w:rFonts w:hint="eastAsia"/>
                <w:sz w:val="20"/>
                <w:lang w:eastAsia="zh-CN"/>
              </w:rPr>
              <w:t>)</w:t>
            </w:r>
            <w:r w:rsidRPr="00D424A4">
              <w:rPr>
                <w:rFonts w:hint="eastAsia"/>
                <w:sz w:val="20"/>
                <w:lang w:eastAsia="zh-CN"/>
              </w:rPr>
              <w:t>和</w:t>
            </w:r>
            <w:r w:rsidRPr="00D424A4">
              <w:rPr>
                <w:rFonts w:hint="eastAsia"/>
                <w:sz w:val="20"/>
                <w:lang w:eastAsia="zh-CN"/>
              </w:rPr>
              <w:t>ii</w:t>
            </w:r>
            <w:r w:rsidR="00A44173">
              <w:rPr>
                <w:rFonts w:hint="eastAsia"/>
                <w:sz w:val="20"/>
                <w:lang w:eastAsia="zh-CN"/>
              </w:rPr>
              <w:t>)</w:t>
            </w:r>
            <w:r w:rsidRPr="00D424A4">
              <w:rPr>
                <w:rFonts w:hint="eastAsia"/>
                <w:sz w:val="20"/>
                <w:lang w:eastAsia="zh-CN"/>
              </w:rPr>
              <w:t>点。关于</w:t>
            </w:r>
            <w:r w:rsidR="00A44173">
              <w:rPr>
                <w:rFonts w:hint="eastAsia"/>
                <w:sz w:val="20"/>
                <w:lang w:eastAsia="zh-CN"/>
              </w:rPr>
              <w:t>《</w:t>
            </w:r>
            <w:r w:rsidRPr="00D424A4">
              <w:rPr>
                <w:rFonts w:hint="eastAsia"/>
                <w:sz w:val="20"/>
                <w:lang w:eastAsia="zh-CN"/>
              </w:rPr>
              <w:t>国际电联调查导则</w:t>
            </w:r>
            <w:r w:rsidR="00A44173">
              <w:rPr>
                <w:rFonts w:hint="eastAsia"/>
                <w:sz w:val="20"/>
                <w:lang w:eastAsia="zh-CN"/>
              </w:rPr>
              <w:t>》</w:t>
            </w:r>
            <w:r w:rsidRPr="00D424A4">
              <w:rPr>
                <w:rFonts w:hint="eastAsia"/>
                <w:sz w:val="20"/>
                <w:lang w:eastAsia="zh-CN"/>
              </w:rPr>
              <w:t>的新行政规定</w:t>
            </w:r>
            <w:r w:rsidR="00A44173">
              <w:rPr>
                <w:rFonts w:hint="eastAsia"/>
                <w:sz w:val="20"/>
                <w:lang w:eastAsia="zh-CN"/>
              </w:rPr>
              <w:t>解决了第</w:t>
            </w:r>
            <w:r w:rsidR="00A44173">
              <w:rPr>
                <w:rFonts w:hint="eastAsia"/>
                <w:sz w:val="20"/>
                <w:lang w:eastAsia="zh-CN"/>
              </w:rPr>
              <w:t>iii)</w:t>
            </w:r>
            <w:r w:rsidR="00A44173">
              <w:rPr>
                <w:rFonts w:hint="eastAsia"/>
                <w:sz w:val="20"/>
                <w:lang w:eastAsia="zh-CN"/>
              </w:rPr>
              <w:t>点</w:t>
            </w:r>
            <w:r w:rsidRPr="00D424A4">
              <w:rPr>
                <w:rFonts w:hint="eastAsia"/>
                <w:sz w:val="20"/>
                <w:lang w:eastAsia="zh-CN"/>
              </w:rPr>
              <w:t>。我们将在明年的审计中</w:t>
            </w:r>
            <w:r w:rsidR="00A44173">
              <w:rPr>
                <w:rFonts w:hint="eastAsia"/>
                <w:sz w:val="20"/>
                <w:lang w:eastAsia="zh-CN"/>
              </w:rPr>
              <w:t>审议</w:t>
            </w:r>
            <w:r w:rsidRPr="00D424A4">
              <w:rPr>
                <w:rFonts w:hint="eastAsia"/>
                <w:sz w:val="20"/>
                <w:lang w:eastAsia="zh-CN"/>
              </w:rPr>
              <w:t>新的内部司法程序的运作。</w:t>
            </w:r>
          </w:p>
        </w:tc>
        <w:tc>
          <w:tcPr>
            <w:tcW w:w="450" w:type="pct"/>
            <w:shd w:val="clear" w:color="auto" w:fill="auto"/>
          </w:tcPr>
          <w:p w14:paraId="27DDB65F" w14:textId="28AE2F9E" w:rsidR="003D7FF0" w:rsidRPr="00536D01" w:rsidRDefault="00A62A5A" w:rsidP="00786ECB">
            <w:pPr>
              <w:pStyle w:val="Tabletext"/>
              <w:rPr>
                <w:sz w:val="20"/>
              </w:rPr>
            </w:pPr>
            <w:r>
              <w:rPr>
                <w:rFonts w:ascii="SimSun" w:eastAsia="SimSun" w:hAnsi="SimSun" w:cs="SimSun" w:hint="eastAsia"/>
                <w:color w:val="000000"/>
                <w:sz w:val="20"/>
                <w:lang w:eastAsia="zh-CN"/>
              </w:rPr>
              <w:t>已关闭。</w:t>
            </w:r>
          </w:p>
        </w:tc>
      </w:tr>
      <w:tr w:rsidR="003D7FF0" w:rsidRPr="00536D01" w14:paraId="58FCF780" w14:textId="77777777" w:rsidTr="00D11485">
        <w:trPr>
          <w:trHeight w:val="2699"/>
        </w:trPr>
        <w:tc>
          <w:tcPr>
            <w:tcW w:w="300" w:type="pct"/>
            <w:shd w:val="clear" w:color="auto" w:fill="auto"/>
          </w:tcPr>
          <w:p w14:paraId="3DD2A773" w14:textId="77777777" w:rsidR="003D7FF0" w:rsidRPr="00536D01" w:rsidRDefault="003D7FF0" w:rsidP="00786ECB">
            <w:pPr>
              <w:pStyle w:val="Tabletext"/>
              <w:rPr>
                <w:sz w:val="20"/>
              </w:rPr>
            </w:pPr>
            <w:r w:rsidRPr="00536D01">
              <w:rPr>
                <w:sz w:val="20"/>
              </w:rPr>
              <w:lastRenderedPageBreak/>
              <w:t>2021 R#31</w:t>
            </w:r>
          </w:p>
        </w:tc>
        <w:tc>
          <w:tcPr>
            <w:tcW w:w="1450" w:type="pct"/>
            <w:shd w:val="clear" w:color="auto" w:fill="auto"/>
          </w:tcPr>
          <w:p w14:paraId="556EAD6F" w14:textId="1C30612E" w:rsidR="003D7FF0" w:rsidRPr="00536D01" w:rsidRDefault="00F164E0" w:rsidP="00786ECB">
            <w:pPr>
              <w:pStyle w:val="Tabletext"/>
              <w:rPr>
                <w:sz w:val="20"/>
                <w:lang w:eastAsia="zh-CN"/>
              </w:rPr>
            </w:pPr>
            <w:r>
              <w:rPr>
                <w:rFonts w:hint="eastAsia"/>
                <w:sz w:val="20"/>
                <w:lang w:eastAsia="zh-CN"/>
              </w:rPr>
              <w:t>建议：</w:t>
            </w:r>
          </w:p>
          <w:p w14:paraId="1200602E" w14:textId="1B4D97C1" w:rsidR="003D7FF0" w:rsidRPr="00536D01" w:rsidRDefault="003D7FF0" w:rsidP="00F43DFE">
            <w:pPr>
              <w:pStyle w:val="Tabletext"/>
              <w:tabs>
                <w:tab w:val="clear" w:pos="284"/>
                <w:tab w:val="clear" w:pos="425"/>
                <w:tab w:val="left" w:pos="356"/>
              </w:tabs>
              <w:spacing w:before="60"/>
              <w:ind w:left="356" w:hanging="356"/>
              <w:rPr>
                <w:sz w:val="20"/>
                <w:lang w:eastAsia="zh-CN"/>
              </w:rPr>
            </w:pPr>
            <w:proofErr w:type="spellStart"/>
            <w:r w:rsidRPr="00536D01">
              <w:rPr>
                <w:sz w:val="20"/>
                <w:lang w:eastAsia="zh-CN"/>
              </w:rPr>
              <w:t>i</w:t>
            </w:r>
            <w:proofErr w:type="spellEnd"/>
            <w:r w:rsidRPr="00536D01">
              <w:rPr>
                <w:sz w:val="20"/>
                <w:lang w:eastAsia="zh-CN"/>
              </w:rPr>
              <w:t>)</w:t>
            </w:r>
            <w:r w:rsidR="007E3E3C" w:rsidRPr="00536D01">
              <w:rPr>
                <w:sz w:val="20"/>
                <w:lang w:eastAsia="zh-CN"/>
              </w:rPr>
              <w:tab/>
            </w:r>
            <w:r w:rsidR="00F164E0" w:rsidRPr="00F164E0">
              <w:rPr>
                <w:rFonts w:hint="eastAsia"/>
                <w:sz w:val="20"/>
                <w:lang w:eastAsia="zh-CN"/>
              </w:rPr>
              <w:t>秘书长向该办公室提供充足的资源，既包括财务资源</w:t>
            </w:r>
            <w:r w:rsidR="00F164E0" w:rsidRPr="00F164E0">
              <w:rPr>
                <w:rFonts w:hint="eastAsia"/>
                <w:sz w:val="20"/>
                <w:lang w:eastAsia="zh-CN"/>
              </w:rPr>
              <w:t xml:space="preserve"> </w:t>
            </w:r>
            <w:r w:rsidR="00F164E0" w:rsidRPr="009449F5">
              <w:rPr>
                <w:rFonts w:asciiTheme="minorHAnsi" w:hAnsiTheme="minorHAnsi" w:cstheme="minorHAnsi"/>
                <w:sz w:val="20"/>
                <w:lang w:eastAsia="zh-CN"/>
              </w:rPr>
              <w:t>–</w:t>
            </w:r>
            <w:r w:rsidR="00F164E0" w:rsidRPr="00F164E0">
              <w:rPr>
                <w:rFonts w:hint="eastAsia"/>
                <w:sz w:val="20"/>
                <w:lang w:eastAsia="zh-CN"/>
              </w:rPr>
              <w:t xml:space="preserve"> </w:t>
            </w:r>
            <w:r w:rsidR="00F164E0" w:rsidRPr="00F164E0">
              <w:rPr>
                <w:rFonts w:hint="eastAsia"/>
                <w:sz w:val="20"/>
                <w:lang w:eastAsia="zh-CN"/>
              </w:rPr>
              <w:t>在适当和有效的情况下</w:t>
            </w:r>
            <w:r w:rsidR="00F164E0" w:rsidRPr="00F164E0">
              <w:rPr>
                <w:rFonts w:hint="eastAsia"/>
                <w:sz w:val="20"/>
                <w:lang w:eastAsia="zh-CN"/>
              </w:rPr>
              <w:t xml:space="preserve"> </w:t>
            </w:r>
            <w:r w:rsidR="00F164E0" w:rsidRPr="009449F5">
              <w:rPr>
                <w:rFonts w:asciiTheme="minorHAnsi" w:hAnsiTheme="minorHAnsi" w:cstheme="minorHAnsi"/>
                <w:sz w:val="20"/>
                <w:lang w:eastAsia="zh-CN"/>
              </w:rPr>
              <w:t>–</w:t>
            </w:r>
            <w:r w:rsidR="00F164E0" w:rsidRPr="00F164E0">
              <w:rPr>
                <w:rFonts w:hint="eastAsia"/>
                <w:sz w:val="20"/>
                <w:lang w:eastAsia="zh-CN"/>
              </w:rPr>
              <w:t xml:space="preserve"> </w:t>
            </w:r>
            <w:r w:rsidR="00F164E0" w:rsidRPr="00F164E0">
              <w:rPr>
                <w:rFonts w:hint="eastAsia"/>
                <w:sz w:val="20"/>
                <w:lang w:eastAsia="zh-CN"/>
              </w:rPr>
              <w:t>也包括人力资源；</w:t>
            </w:r>
          </w:p>
          <w:p w14:paraId="33768AEB" w14:textId="4EF7AB8A" w:rsidR="003D7FF0" w:rsidRPr="00536D01" w:rsidRDefault="003D7FF0" w:rsidP="00F43DFE">
            <w:pPr>
              <w:pStyle w:val="Tabletext"/>
              <w:tabs>
                <w:tab w:val="clear" w:pos="284"/>
                <w:tab w:val="clear" w:pos="425"/>
                <w:tab w:val="left" w:pos="356"/>
              </w:tabs>
              <w:spacing w:before="60"/>
              <w:ind w:left="356" w:hanging="356"/>
              <w:rPr>
                <w:sz w:val="20"/>
                <w:lang w:eastAsia="zh-CN"/>
              </w:rPr>
            </w:pPr>
            <w:r w:rsidRPr="00536D01">
              <w:rPr>
                <w:sz w:val="20"/>
                <w:lang w:eastAsia="zh-CN"/>
              </w:rPr>
              <w:t>ii)</w:t>
            </w:r>
            <w:r w:rsidR="007E3E3C" w:rsidRPr="00536D01">
              <w:rPr>
                <w:sz w:val="20"/>
                <w:lang w:eastAsia="zh-CN"/>
              </w:rPr>
              <w:tab/>
            </w:r>
            <w:r w:rsidR="00F164E0" w:rsidRPr="00F164E0">
              <w:rPr>
                <w:rFonts w:hint="eastAsia"/>
                <w:sz w:val="20"/>
                <w:lang w:eastAsia="zh-CN"/>
              </w:rPr>
              <w:t>调查员研究并与</w:t>
            </w:r>
            <w:r w:rsidR="00F164E0" w:rsidRPr="00F164E0">
              <w:rPr>
                <w:rFonts w:hint="eastAsia"/>
                <w:sz w:val="20"/>
                <w:lang w:eastAsia="zh-CN"/>
              </w:rPr>
              <w:t>OIOS</w:t>
            </w:r>
            <w:r w:rsidR="00F164E0" w:rsidRPr="00F164E0">
              <w:rPr>
                <w:rFonts w:hint="eastAsia"/>
                <w:sz w:val="20"/>
                <w:lang w:eastAsia="zh-CN"/>
              </w:rPr>
              <w:t>或联合国某个调查机构签署协议，开展所有必要的调查，也包括在调查员技能不足和</w:t>
            </w:r>
            <w:r w:rsidR="00F164E0" w:rsidRPr="00F164E0">
              <w:rPr>
                <w:rFonts w:hint="eastAsia"/>
                <w:sz w:val="20"/>
                <w:lang w:eastAsia="zh-CN"/>
              </w:rPr>
              <w:t>/</w:t>
            </w:r>
            <w:r w:rsidR="00F164E0" w:rsidRPr="00F164E0">
              <w:rPr>
                <w:rFonts w:hint="eastAsia"/>
                <w:sz w:val="20"/>
                <w:lang w:eastAsia="zh-CN"/>
              </w:rPr>
              <w:t>或办公室工作人员数量不足以开展工作的领域。</w:t>
            </w:r>
          </w:p>
        </w:tc>
        <w:tc>
          <w:tcPr>
            <w:tcW w:w="1750" w:type="pct"/>
            <w:shd w:val="clear" w:color="auto" w:fill="auto"/>
          </w:tcPr>
          <w:p w14:paraId="6D79673A" w14:textId="22C63C3D" w:rsidR="003D7FF0" w:rsidRPr="00536D01" w:rsidRDefault="00D424A4" w:rsidP="00786ECB">
            <w:pPr>
              <w:pStyle w:val="Tabletext"/>
              <w:rPr>
                <w:sz w:val="20"/>
              </w:rPr>
            </w:pPr>
            <w:r w:rsidRPr="00D424A4">
              <w:rPr>
                <w:rFonts w:hint="eastAsia"/>
                <w:sz w:val="20"/>
                <w:lang w:eastAsia="zh-CN"/>
              </w:rPr>
              <w:t>截至</w:t>
            </w:r>
            <w:r w:rsidRPr="00D424A4">
              <w:rPr>
                <w:rFonts w:hint="eastAsia"/>
                <w:sz w:val="20"/>
                <w:lang w:eastAsia="zh-CN"/>
              </w:rPr>
              <w:t>2025</w:t>
            </w:r>
            <w:r w:rsidRPr="00D424A4">
              <w:rPr>
                <w:rFonts w:hint="eastAsia"/>
                <w:sz w:val="20"/>
                <w:lang w:eastAsia="zh-CN"/>
              </w:rPr>
              <w:t>年</w:t>
            </w:r>
            <w:r w:rsidRPr="00D424A4">
              <w:rPr>
                <w:rFonts w:hint="eastAsia"/>
                <w:sz w:val="20"/>
                <w:lang w:eastAsia="zh-CN"/>
              </w:rPr>
              <w:t>5</w:t>
            </w:r>
            <w:r w:rsidRPr="00D424A4">
              <w:rPr>
                <w:rFonts w:hint="eastAsia"/>
                <w:sz w:val="20"/>
                <w:lang w:eastAsia="zh-CN"/>
              </w:rPr>
              <w:t>月的最新进展：</w:t>
            </w:r>
            <w:r w:rsidR="00670C3C">
              <w:rPr>
                <w:rFonts w:hint="eastAsia"/>
                <w:sz w:val="20"/>
                <w:lang w:eastAsia="zh-CN"/>
              </w:rPr>
              <w:t>已加强</w:t>
            </w:r>
            <w:r w:rsidRPr="00D424A4">
              <w:rPr>
                <w:rFonts w:hint="eastAsia"/>
                <w:sz w:val="20"/>
                <w:lang w:eastAsia="zh-CN"/>
              </w:rPr>
              <w:t>新框架和开展调查活动的内部能力，包括承诺提供更多资源。</w:t>
            </w:r>
            <w:r w:rsidR="00670C3C">
              <w:rPr>
                <w:rFonts w:hint="eastAsia"/>
                <w:sz w:val="20"/>
                <w:lang w:eastAsia="zh-CN"/>
              </w:rPr>
              <w:t>特别</w:t>
            </w:r>
            <w:r w:rsidRPr="00D424A4">
              <w:rPr>
                <w:rFonts w:hint="eastAsia"/>
                <w:sz w:val="20"/>
                <w:lang w:eastAsia="zh-CN"/>
              </w:rPr>
              <w:t>是，理事会</w:t>
            </w:r>
            <w:r w:rsidRPr="00D424A4">
              <w:rPr>
                <w:rFonts w:hint="eastAsia"/>
                <w:sz w:val="20"/>
                <w:lang w:eastAsia="zh-CN"/>
              </w:rPr>
              <w:t>2023</w:t>
            </w:r>
            <w:r w:rsidRPr="00D424A4">
              <w:rPr>
                <w:rFonts w:hint="eastAsia"/>
                <w:sz w:val="20"/>
                <w:lang w:eastAsia="zh-CN"/>
              </w:rPr>
              <w:t>年会议批准设立监督处（</w:t>
            </w:r>
            <w:r w:rsidRPr="00D424A4">
              <w:rPr>
                <w:rFonts w:hint="eastAsia"/>
                <w:sz w:val="20"/>
                <w:lang w:eastAsia="zh-CN"/>
              </w:rPr>
              <w:t>C23/53</w:t>
            </w:r>
            <w:r w:rsidRPr="00D424A4">
              <w:rPr>
                <w:rFonts w:hint="eastAsia"/>
                <w:sz w:val="20"/>
                <w:lang w:eastAsia="zh-CN"/>
              </w:rPr>
              <w:t>），</w:t>
            </w:r>
            <w:r w:rsidR="00670C3C">
              <w:rPr>
                <w:rFonts w:hint="eastAsia"/>
                <w:sz w:val="20"/>
                <w:lang w:eastAsia="zh-CN"/>
              </w:rPr>
              <w:t>该处</w:t>
            </w:r>
            <w:r w:rsidRPr="00D424A4">
              <w:rPr>
                <w:rFonts w:hint="eastAsia"/>
                <w:sz w:val="20"/>
                <w:lang w:eastAsia="zh-CN"/>
              </w:rPr>
              <w:t>包括一项调查职能。理事会</w:t>
            </w:r>
            <w:r w:rsidRPr="00D424A4">
              <w:rPr>
                <w:rFonts w:hint="eastAsia"/>
                <w:sz w:val="20"/>
                <w:lang w:eastAsia="zh-CN"/>
              </w:rPr>
              <w:t>2024</w:t>
            </w:r>
            <w:r w:rsidRPr="00D424A4">
              <w:rPr>
                <w:rFonts w:hint="eastAsia"/>
                <w:sz w:val="20"/>
                <w:lang w:eastAsia="zh-CN"/>
              </w:rPr>
              <w:t>年会议还通过了</w:t>
            </w:r>
            <w:r w:rsidR="00670C3C">
              <w:rPr>
                <w:rFonts w:hint="eastAsia"/>
                <w:sz w:val="20"/>
                <w:lang w:eastAsia="zh-CN"/>
              </w:rPr>
              <w:t>经</w:t>
            </w:r>
            <w:r w:rsidR="00670C3C" w:rsidRPr="00D424A4">
              <w:rPr>
                <w:rFonts w:hint="eastAsia"/>
                <w:sz w:val="20"/>
                <w:lang w:eastAsia="zh-CN"/>
              </w:rPr>
              <w:t>第</w:t>
            </w:r>
            <w:r w:rsidR="00670C3C" w:rsidRPr="00D424A4">
              <w:rPr>
                <w:rFonts w:hint="eastAsia"/>
                <w:sz w:val="20"/>
                <w:lang w:eastAsia="zh-CN"/>
              </w:rPr>
              <w:t>24/09</w:t>
            </w:r>
            <w:r w:rsidR="00670C3C" w:rsidRPr="00D424A4">
              <w:rPr>
                <w:rFonts w:hint="eastAsia"/>
                <w:sz w:val="20"/>
                <w:lang w:eastAsia="zh-CN"/>
              </w:rPr>
              <w:t>号行政规定</w:t>
            </w:r>
            <w:r w:rsidR="00670C3C">
              <w:rPr>
                <w:rFonts w:hint="eastAsia"/>
                <w:sz w:val="20"/>
                <w:lang w:eastAsia="zh-CN"/>
              </w:rPr>
              <w:t>《</w:t>
            </w:r>
            <w:r w:rsidR="00670C3C" w:rsidRPr="00D424A4">
              <w:rPr>
                <w:rFonts w:hint="eastAsia"/>
                <w:sz w:val="20"/>
                <w:lang w:eastAsia="zh-CN"/>
              </w:rPr>
              <w:t>通过国际电联监督章程和澄清</w:t>
            </w:r>
            <w:r w:rsidR="00670C3C">
              <w:rPr>
                <w:rFonts w:hint="eastAsia"/>
                <w:sz w:val="20"/>
                <w:lang w:eastAsia="zh-CN"/>
              </w:rPr>
              <w:t>》出台</w:t>
            </w:r>
            <w:r w:rsidR="00670C3C" w:rsidRPr="00D424A4">
              <w:rPr>
                <w:rFonts w:hint="eastAsia"/>
                <w:sz w:val="20"/>
                <w:lang w:eastAsia="zh-CN"/>
              </w:rPr>
              <w:t>的</w:t>
            </w:r>
            <w:r w:rsidRPr="00D424A4">
              <w:rPr>
                <w:rFonts w:hint="eastAsia"/>
                <w:sz w:val="20"/>
                <w:lang w:eastAsia="zh-CN"/>
              </w:rPr>
              <w:t>《监督章程》。监督处</w:t>
            </w:r>
            <w:r w:rsidR="00670C3C">
              <w:rPr>
                <w:rFonts w:hint="eastAsia"/>
                <w:sz w:val="20"/>
                <w:lang w:eastAsia="zh-CN"/>
              </w:rPr>
              <w:t>现</w:t>
            </w:r>
            <w:r w:rsidRPr="00D424A4">
              <w:rPr>
                <w:rFonts w:hint="eastAsia"/>
                <w:sz w:val="20"/>
                <w:lang w:eastAsia="zh-CN"/>
              </w:rPr>
              <w:t>已成立，并配备了充足的资源。最近设立的</w:t>
            </w:r>
            <w:r w:rsidRPr="00D424A4">
              <w:rPr>
                <w:rFonts w:hint="eastAsia"/>
                <w:sz w:val="20"/>
                <w:lang w:eastAsia="zh-CN"/>
              </w:rPr>
              <w:t>D1</w:t>
            </w:r>
            <w:r w:rsidRPr="00D424A4">
              <w:rPr>
                <w:rFonts w:hint="eastAsia"/>
                <w:sz w:val="20"/>
                <w:lang w:eastAsia="zh-CN"/>
              </w:rPr>
              <w:t>级监督处</w:t>
            </w:r>
            <w:r w:rsidR="00670C3C">
              <w:rPr>
                <w:rFonts w:hint="eastAsia"/>
                <w:sz w:val="20"/>
                <w:lang w:eastAsia="zh-CN"/>
              </w:rPr>
              <w:t>处长一</w:t>
            </w:r>
            <w:r w:rsidRPr="00D424A4">
              <w:rPr>
                <w:rFonts w:hint="eastAsia"/>
                <w:sz w:val="20"/>
                <w:lang w:eastAsia="zh-CN"/>
              </w:rPr>
              <w:t>职</w:t>
            </w:r>
            <w:r w:rsidR="00670C3C">
              <w:rPr>
                <w:rFonts w:hint="eastAsia"/>
                <w:sz w:val="20"/>
                <w:lang w:eastAsia="zh-CN"/>
              </w:rPr>
              <w:t>已</w:t>
            </w:r>
            <w:r w:rsidRPr="00D424A4">
              <w:rPr>
                <w:rFonts w:hint="eastAsia"/>
                <w:sz w:val="20"/>
                <w:lang w:eastAsia="zh-CN"/>
              </w:rPr>
              <w:t>于</w:t>
            </w:r>
            <w:r w:rsidRPr="00D424A4">
              <w:rPr>
                <w:rFonts w:hint="eastAsia"/>
                <w:sz w:val="20"/>
                <w:lang w:eastAsia="zh-CN"/>
              </w:rPr>
              <w:t>2024</w:t>
            </w:r>
            <w:r w:rsidRPr="00D424A4">
              <w:rPr>
                <w:rFonts w:hint="eastAsia"/>
                <w:sz w:val="20"/>
                <w:lang w:eastAsia="zh-CN"/>
              </w:rPr>
              <w:t>年下半年填补。此外，根据适用的调查规则和</w:t>
            </w:r>
            <w:r w:rsidR="00670C3C">
              <w:rPr>
                <w:rFonts w:hint="eastAsia"/>
                <w:sz w:val="20"/>
                <w:lang w:eastAsia="zh-CN"/>
              </w:rPr>
              <w:t>导</w:t>
            </w:r>
            <w:r w:rsidRPr="00D424A4">
              <w:rPr>
                <w:rFonts w:hint="eastAsia"/>
                <w:sz w:val="20"/>
                <w:lang w:eastAsia="zh-CN"/>
              </w:rPr>
              <w:t>则，监督处可在必要时请求</w:t>
            </w:r>
            <w:r w:rsidR="00670C3C">
              <w:rPr>
                <w:rFonts w:hint="eastAsia"/>
                <w:sz w:val="20"/>
                <w:lang w:eastAsia="zh-CN"/>
              </w:rPr>
              <w:t>和聘请</w:t>
            </w:r>
            <w:r w:rsidRPr="00D424A4">
              <w:rPr>
                <w:rFonts w:hint="eastAsia"/>
                <w:sz w:val="20"/>
                <w:lang w:eastAsia="zh-CN"/>
              </w:rPr>
              <w:t>外部调查支持。国际电联正在与</w:t>
            </w:r>
            <w:r w:rsidRPr="00D424A4">
              <w:rPr>
                <w:rFonts w:hint="eastAsia"/>
                <w:sz w:val="20"/>
                <w:lang w:eastAsia="zh-CN"/>
              </w:rPr>
              <w:t>OIOS</w:t>
            </w:r>
            <w:r w:rsidRPr="00D424A4">
              <w:rPr>
                <w:rFonts w:hint="eastAsia"/>
                <w:sz w:val="20"/>
                <w:lang w:eastAsia="zh-CN"/>
              </w:rPr>
              <w:t>达成协议。</w:t>
            </w:r>
          </w:p>
        </w:tc>
        <w:tc>
          <w:tcPr>
            <w:tcW w:w="1050" w:type="pct"/>
            <w:shd w:val="clear" w:color="auto" w:fill="auto"/>
          </w:tcPr>
          <w:p w14:paraId="657A1022" w14:textId="102CE0A5" w:rsidR="003D7FF0" w:rsidRPr="00536D01" w:rsidRDefault="00670C3C" w:rsidP="00786ECB">
            <w:pPr>
              <w:pStyle w:val="Tabletext"/>
              <w:rPr>
                <w:sz w:val="20"/>
                <w:highlight w:val="yellow"/>
                <w:lang w:eastAsia="zh-CN"/>
              </w:rPr>
            </w:pPr>
            <w:r w:rsidRPr="00144664">
              <w:rPr>
                <w:rFonts w:hint="eastAsia"/>
                <w:sz w:val="20"/>
                <w:lang w:eastAsia="zh-CN"/>
              </w:rPr>
              <w:t>注意到</w:t>
            </w:r>
            <w:r w:rsidR="00D424A4" w:rsidRPr="00D424A4">
              <w:rPr>
                <w:rFonts w:hint="eastAsia"/>
                <w:sz w:val="20"/>
                <w:lang w:eastAsia="zh-CN"/>
              </w:rPr>
              <w:t>最新</w:t>
            </w:r>
            <w:r>
              <w:rPr>
                <w:rFonts w:hint="eastAsia"/>
                <w:sz w:val="20"/>
                <w:lang w:eastAsia="zh-CN"/>
              </w:rPr>
              <w:t>回</w:t>
            </w:r>
            <w:r w:rsidR="00D424A4" w:rsidRPr="00D424A4">
              <w:rPr>
                <w:rFonts w:hint="eastAsia"/>
                <w:sz w:val="20"/>
                <w:lang w:eastAsia="zh-CN"/>
              </w:rPr>
              <w:t>应。正如本报告第</w:t>
            </w:r>
            <w:r w:rsidR="00D424A4" w:rsidRPr="00D424A4">
              <w:rPr>
                <w:rFonts w:hint="eastAsia"/>
                <w:sz w:val="20"/>
                <w:lang w:eastAsia="zh-CN"/>
              </w:rPr>
              <w:t>2</w:t>
            </w:r>
            <w:r w:rsidR="00D424A4" w:rsidRPr="00D424A4">
              <w:rPr>
                <w:rFonts w:hint="eastAsia"/>
                <w:sz w:val="20"/>
                <w:lang w:eastAsia="zh-CN"/>
              </w:rPr>
              <w:t>部分所强调，修订</w:t>
            </w:r>
            <w:r>
              <w:rPr>
                <w:rFonts w:hint="eastAsia"/>
                <w:sz w:val="20"/>
                <w:lang w:eastAsia="zh-CN"/>
              </w:rPr>
              <w:t>后</w:t>
            </w:r>
            <w:r w:rsidR="00D424A4" w:rsidRPr="00D424A4">
              <w:rPr>
                <w:rFonts w:hint="eastAsia"/>
                <w:sz w:val="20"/>
                <w:lang w:eastAsia="zh-CN"/>
              </w:rPr>
              <w:t>的监督安排尚处于起步阶段，我们注意到这些安排尚没有得到充足的资源。因此，该</w:t>
            </w:r>
            <w:r w:rsidR="00A92B51">
              <w:rPr>
                <w:rFonts w:hint="eastAsia"/>
                <w:sz w:val="20"/>
                <w:lang w:eastAsia="zh-CN"/>
              </w:rPr>
              <w:t>建议</w:t>
            </w:r>
            <w:r w:rsidR="00D424A4" w:rsidRPr="00D424A4">
              <w:rPr>
                <w:rFonts w:hint="eastAsia"/>
                <w:sz w:val="20"/>
                <w:lang w:eastAsia="zh-CN"/>
              </w:rPr>
              <w:t>仍未得到</w:t>
            </w:r>
            <w:r>
              <w:rPr>
                <w:rFonts w:hint="eastAsia"/>
                <w:sz w:val="20"/>
                <w:lang w:eastAsia="zh-CN"/>
              </w:rPr>
              <w:t>落实</w:t>
            </w:r>
            <w:r w:rsidR="00D424A4" w:rsidRPr="00D424A4">
              <w:rPr>
                <w:rFonts w:hint="eastAsia"/>
                <w:sz w:val="20"/>
                <w:lang w:eastAsia="zh-CN"/>
              </w:rPr>
              <w:t>。</w:t>
            </w:r>
          </w:p>
        </w:tc>
        <w:tc>
          <w:tcPr>
            <w:tcW w:w="450" w:type="pct"/>
            <w:shd w:val="clear" w:color="auto" w:fill="auto"/>
          </w:tcPr>
          <w:p w14:paraId="16C9DBAB" w14:textId="79864C78" w:rsidR="003D7FF0" w:rsidRPr="00536D01" w:rsidRDefault="004264B1" w:rsidP="00786ECB">
            <w:pPr>
              <w:pStyle w:val="Tabletext"/>
              <w:rPr>
                <w:sz w:val="20"/>
              </w:rPr>
            </w:pPr>
            <w:r>
              <w:rPr>
                <w:rFonts w:hint="eastAsia"/>
                <w:sz w:val="20"/>
                <w:lang w:eastAsia="zh-CN"/>
              </w:rPr>
              <w:t>落实中。</w:t>
            </w:r>
          </w:p>
        </w:tc>
      </w:tr>
      <w:tr w:rsidR="003D7FF0" w:rsidRPr="00536D01" w14:paraId="1FB5D03E" w14:textId="77777777" w:rsidTr="00E6035E">
        <w:tc>
          <w:tcPr>
            <w:tcW w:w="300" w:type="pct"/>
            <w:shd w:val="clear" w:color="auto" w:fill="auto"/>
          </w:tcPr>
          <w:p w14:paraId="7BAFD52B" w14:textId="77777777" w:rsidR="003D7FF0" w:rsidRPr="00536D01" w:rsidRDefault="003D7FF0" w:rsidP="00786ECB">
            <w:pPr>
              <w:pStyle w:val="Tabletext"/>
              <w:rPr>
                <w:sz w:val="20"/>
              </w:rPr>
            </w:pPr>
            <w:r w:rsidRPr="00536D01">
              <w:rPr>
                <w:sz w:val="20"/>
              </w:rPr>
              <w:t>2021 R#32</w:t>
            </w:r>
          </w:p>
        </w:tc>
        <w:tc>
          <w:tcPr>
            <w:tcW w:w="1450" w:type="pct"/>
            <w:shd w:val="clear" w:color="auto" w:fill="auto"/>
          </w:tcPr>
          <w:p w14:paraId="2391D380" w14:textId="60EB673F" w:rsidR="003D7FF0" w:rsidRPr="00536D01" w:rsidRDefault="00F164E0" w:rsidP="00786ECB">
            <w:pPr>
              <w:pStyle w:val="Tabletext"/>
              <w:rPr>
                <w:sz w:val="20"/>
                <w:lang w:eastAsia="zh-CN"/>
              </w:rPr>
            </w:pPr>
            <w:r w:rsidRPr="00F164E0">
              <w:rPr>
                <w:rFonts w:hint="eastAsia"/>
                <w:sz w:val="20"/>
                <w:lang w:eastAsia="zh-CN"/>
              </w:rPr>
              <w:t>让不同的人员参与变更管理进程的各个主要阶段，以尊重职责分离的原则，避免将未经事先</w:t>
            </w:r>
            <w:r w:rsidR="003F21EE" w:rsidRPr="003F21EE">
              <w:rPr>
                <w:rFonts w:hint="eastAsia"/>
                <w:sz w:val="20"/>
                <w:lang w:eastAsia="zh-CN"/>
              </w:rPr>
              <w:t>授权和验证的变更</w:t>
            </w:r>
            <w:r w:rsidR="00FA3E53">
              <w:rPr>
                <w:rFonts w:hint="eastAsia"/>
                <w:sz w:val="20"/>
                <w:lang w:eastAsia="zh-CN"/>
              </w:rPr>
              <w:t>加</w:t>
            </w:r>
            <w:r w:rsidR="003F21EE" w:rsidRPr="003F21EE">
              <w:rPr>
                <w:rFonts w:hint="eastAsia"/>
                <w:sz w:val="20"/>
                <w:lang w:eastAsia="zh-CN"/>
              </w:rPr>
              <w:t>入</w:t>
            </w:r>
            <w:r w:rsidR="00FA3E53" w:rsidRPr="00FA3E53">
              <w:rPr>
                <w:rFonts w:hint="eastAsia"/>
                <w:sz w:val="20"/>
                <w:lang w:eastAsia="zh-CN"/>
              </w:rPr>
              <w:t>到制作过程中</w:t>
            </w:r>
            <w:r w:rsidR="003F21EE" w:rsidRPr="003F21EE">
              <w:rPr>
                <w:rFonts w:hint="eastAsia"/>
                <w:sz w:val="20"/>
                <w:lang w:eastAsia="zh-CN"/>
              </w:rPr>
              <w:t>的相关风险。</w:t>
            </w:r>
          </w:p>
        </w:tc>
        <w:tc>
          <w:tcPr>
            <w:tcW w:w="1750" w:type="pct"/>
            <w:shd w:val="clear" w:color="auto" w:fill="auto"/>
          </w:tcPr>
          <w:p w14:paraId="2C6B9929" w14:textId="0E264D4F" w:rsidR="003D7FF0" w:rsidRPr="00536D01" w:rsidRDefault="003F21EE" w:rsidP="00786ECB">
            <w:pPr>
              <w:pStyle w:val="Tabletext"/>
              <w:rPr>
                <w:sz w:val="20"/>
                <w:lang w:eastAsia="zh-CN"/>
              </w:rPr>
            </w:pPr>
            <w:r w:rsidRPr="003F21EE">
              <w:rPr>
                <w:rFonts w:hint="eastAsia"/>
                <w:sz w:val="20"/>
                <w:lang w:eastAsia="zh-CN"/>
              </w:rPr>
              <w:t>作为加强治理和监督的整体机制，已成立</w:t>
            </w:r>
            <w:r w:rsidRPr="003F21EE">
              <w:rPr>
                <w:rFonts w:hint="eastAsia"/>
                <w:sz w:val="20"/>
                <w:lang w:eastAsia="zh-CN"/>
              </w:rPr>
              <w:t>ICT</w:t>
            </w:r>
            <w:r w:rsidRPr="003F21EE">
              <w:rPr>
                <w:rFonts w:hint="eastAsia"/>
                <w:sz w:val="20"/>
                <w:lang w:eastAsia="zh-CN"/>
              </w:rPr>
              <w:t>治理委员会，确保在重大</w:t>
            </w:r>
            <w:r w:rsidR="0005089F">
              <w:rPr>
                <w:rFonts w:hint="eastAsia"/>
                <w:sz w:val="20"/>
                <w:lang w:eastAsia="zh-CN"/>
              </w:rPr>
              <w:t>IT</w:t>
            </w:r>
            <w:r w:rsidRPr="003F21EE">
              <w:rPr>
                <w:rFonts w:hint="eastAsia"/>
                <w:sz w:val="20"/>
                <w:lang w:eastAsia="zh-CN"/>
              </w:rPr>
              <w:t>项目的不同阶段进行适当的风险管理</w:t>
            </w:r>
            <w:r w:rsidR="0005089F">
              <w:rPr>
                <w:rFonts w:hint="eastAsia"/>
                <w:sz w:val="20"/>
                <w:lang w:eastAsia="zh-CN"/>
              </w:rPr>
              <w:t>并</w:t>
            </w:r>
            <w:r w:rsidRPr="003F21EE">
              <w:rPr>
                <w:rFonts w:hint="eastAsia"/>
                <w:sz w:val="20"/>
                <w:lang w:eastAsia="zh-CN"/>
              </w:rPr>
              <w:t>实施</w:t>
            </w:r>
            <w:r w:rsidR="0005089F">
              <w:rPr>
                <w:rFonts w:hint="eastAsia"/>
                <w:sz w:val="20"/>
                <w:lang w:eastAsia="zh-CN"/>
              </w:rPr>
              <w:t>控制</w:t>
            </w:r>
            <w:r w:rsidRPr="003F21EE">
              <w:rPr>
                <w:rFonts w:hint="eastAsia"/>
                <w:sz w:val="20"/>
                <w:lang w:eastAsia="zh-CN"/>
              </w:rPr>
              <w:t>，如适当</w:t>
            </w:r>
            <w:r w:rsidR="0005089F">
              <w:rPr>
                <w:rFonts w:hint="eastAsia"/>
                <w:sz w:val="20"/>
                <w:lang w:eastAsia="zh-CN"/>
              </w:rPr>
              <w:t>的职责分离</w:t>
            </w:r>
            <w:r w:rsidRPr="003F21EE">
              <w:rPr>
                <w:rFonts w:hint="eastAsia"/>
                <w:sz w:val="20"/>
                <w:lang w:eastAsia="zh-CN"/>
              </w:rPr>
              <w:t>。</w:t>
            </w:r>
          </w:p>
          <w:p w14:paraId="36DF948F" w14:textId="2D9F9A4A" w:rsidR="003D7FF0" w:rsidRPr="00536D01" w:rsidRDefault="003F21EE" w:rsidP="00786ECB">
            <w:pPr>
              <w:pStyle w:val="Tabletext"/>
              <w:rPr>
                <w:sz w:val="20"/>
                <w:lang w:eastAsia="zh-CN"/>
              </w:rPr>
            </w:pPr>
            <w:r w:rsidRPr="003F21EE">
              <w:rPr>
                <w:rFonts w:hint="eastAsia"/>
                <w:sz w:val="20"/>
                <w:lang w:eastAsia="zh-CN"/>
              </w:rPr>
              <w:t>环境隔离和用户对环境的访问</w:t>
            </w:r>
            <w:r w:rsidR="00A92B51">
              <w:rPr>
                <w:rFonts w:hint="eastAsia"/>
                <w:sz w:val="20"/>
                <w:lang w:eastAsia="zh-CN"/>
              </w:rPr>
              <w:t>权限控制</w:t>
            </w:r>
            <w:r w:rsidRPr="003F21EE">
              <w:rPr>
                <w:rFonts w:hint="eastAsia"/>
                <w:sz w:val="20"/>
                <w:lang w:eastAsia="zh-CN"/>
              </w:rPr>
              <w:t>已到位。</w:t>
            </w:r>
            <w:r w:rsidRPr="003F21EE">
              <w:rPr>
                <w:rFonts w:hint="eastAsia"/>
                <w:sz w:val="20"/>
                <w:lang w:eastAsia="zh-CN"/>
              </w:rPr>
              <w:t>UAT</w:t>
            </w:r>
            <w:r w:rsidRPr="003F21EE">
              <w:rPr>
                <w:rFonts w:hint="eastAsia"/>
                <w:sz w:val="20"/>
                <w:lang w:eastAsia="zh-CN"/>
              </w:rPr>
              <w:t>表格和指南根据</w:t>
            </w:r>
            <w:r w:rsidRPr="003F21EE">
              <w:rPr>
                <w:rFonts w:hint="eastAsia"/>
                <w:sz w:val="20"/>
                <w:lang w:eastAsia="zh-CN"/>
              </w:rPr>
              <w:t>ERP</w:t>
            </w:r>
            <w:r w:rsidRPr="003F21EE">
              <w:rPr>
                <w:rFonts w:hint="eastAsia"/>
                <w:sz w:val="20"/>
                <w:lang w:eastAsia="zh-CN"/>
              </w:rPr>
              <w:t>和</w:t>
            </w:r>
            <w:r w:rsidRPr="003F21EE">
              <w:rPr>
                <w:rFonts w:hint="eastAsia"/>
                <w:sz w:val="20"/>
                <w:lang w:eastAsia="zh-CN"/>
              </w:rPr>
              <w:t>CRM</w:t>
            </w:r>
            <w:r w:rsidRPr="003F21EE">
              <w:rPr>
                <w:rFonts w:hint="eastAsia"/>
                <w:sz w:val="20"/>
                <w:lang w:eastAsia="zh-CN"/>
              </w:rPr>
              <w:t>系统中的每个版本进行调整。</w:t>
            </w:r>
          </w:p>
          <w:p w14:paraId="3A53038C" w14:textId="4CA1887D" w:rsidR="003D7FF0" w:rsidRPr="00536D01" w:rsidRDefault="003F21EE" w:rsidP="00786ECB">
            <w:pPr>
              <w:pStyle w:val="Tabletext"/>
              <w:rPr>
                <w:sz w:val="20"/>
                <w:lang w:eastAsia="zh-CN"/>
              </w:rPr>
            </w:pPr>
            <w:r w:rsidRPr="003F21EE">
              <w:rPr>
                <w:rFonts w:hint="eastAsia"/>
                <w:sz w:val="20"/>
                <w:lang w:eastAsia="zh-CN"/>
              </w:rPr>
              <w:t>国际电联建议结束本建议。</w:t>
            </w:r>
          </w:p>
        </w:tc>
        <w:tc>
          <w:tcPr>
            <w:tcW w:w="1050" w:type="pct"/>
            <w:shd w:val="clear" w:color="auto" w:fill="auto"/>
          </w:tcPr>
          <w:p w14:paraId="1DBBE448" w14:textId="41A6BADF" w:rsidR="003D7FF0" w:rsidRPr="00536D01" w:rsidRDefault="003F21EE" w:rsidP="00786ECB">
            <w:pPr>
              <w:pStyle w:val="Tabletext"/>
              <w:rPr>
                <w:sz w:val="20"/>
                <w:lang w:eastAsia="zh-CN"/>
              </w:rPr>
            </w:pPr>
            <w:r w:rsidRPr="003F21EE">
              <w:rPr>
                <w:rFonts w:hint="eastAsia"/>
                <w:sz w:val="20"/>
                <w:lang w:eastAsia="zh-CN"/>
              </w:rPr>
              <w:t>注意到最新回应</w:t>
            </w:r>
            <w:r w:rsidR="0005089F">
              <w:rPr>
                <w:rFonts w:hint="eastAsia"/>
                <w:sz w:val="20"/>
                <w:lang w:eastAsia="zh-CN"/>
              </w:rPr>
              <w:t>，</w:t>
            </w:r>
            <w:r w:rsidRPr="003F21EE">
              <w:rPr>
                <w:rFonts w:hint="eastAsia"/>
                <w:sz w:val="20"/>
                <w:lang w:eastAsia="zh-CN"/>
              </w:rPr>
              <w:t>并认为是合理的。正如本报告第</w:t>
            </w:r>
            <w:r w:rsidRPr="003F21EE">
              <w:rPr>
                <w:rFonts w:hint="eastAsia"/>
                <w:sz w:val="20"/>
                <w:lang w:eastAsia="zh-CN"/>
              </w:rPr>
              <w:t>2</w:t>
            </w:r>
            <w:r w:rsidRPr="003F21EE">
              <w:rPr>
                <w:rFonts w:hint="eastAsia"/>
                <w:sz w:val="20"/>
                <w:lang w:eastAsia="zh-CN"/>
              </w:rPr>
              <w:t>部分所强调，我们考虑了管理层为确保其</w:t>
            </w:r>
            <w:r w:rsidRPr="003F21EE">
              <w:rPr>
                <w:rFonts w:hint="eastAsia"/>
                <w:sz w:val="20"/>
                <w:lang w:eastAsia="zh-CN"/>
              </w:rPr>
              <w:t>IT</w:t>
            </w:r>
            <w:r w:rsidRPr="003F21EE">
              <w:rPr>
                <w:rFonts w:hint="eastAsia"/>
                <w:sz w:val="20"/>
                <w:lang w:eastAsia="zh-CN"/>
              </w:rPr>
              <w:t>环境所做的总体安排，并在本报告中提出了相关新建议。</w:t>
            </w:r>
          </w:p>
        </w:tc>
        <w:tc>
          <w:tcPr>
            <w:tcW w:w="450" w:type="pct"/>
            <w:shd w:val="clear" w:color="auto" w:fill="auto"/>
          </w:tcPr>
          <w:p w14:paraId="4C317081" w14:textId="7B8AC278" w:rsidR="003D7FF0" w:rsidRPr="00536D01" w:rsidRDefault="00A62A5A" w:rsidP="00786ECB">
            <w:pPr>
              <w:pStyle w:val="Tabletext"/>
              <w:rPr>
                <w:sz w:val="20"/>
              </w:rPr>
            </w:pPr>
            <w:r>
              <w:rPr>
                <w:rFonts w:ascii="SimSun" w:eastAsia="SimSun" w:hAnsi="SimSun" w:cs="SimSun" w:hint="eastAsia"/>
                <w:color w:val="000000"/>
                <w:sz w:val="20"/>
                <w:lang w:eastAsia="zh-CN"/>
              </w:rPr>
              <w:t>已关闭。</w:t>
            </w:r>
          </w:p>
        </w:tc>
      </w:tr>
      <w:tr w:rsidR="003D7FF0" w:rsidRPr="00536D01" w14:paraId="2DDE74A6" w14:textId="77777777" w:rsidTr="00E6035E">
        <w:tc>
          <w:tcPr>
            <w:tcW w:w="300" w:type="pct"/>
            <w:shd w:val="clear" w:color="auto" w:fill="auto"/>
          </w:tcPr>
          <w:p w14:paraId="1D02AA06" w14:textId="77777777" w:rsidR="003D7FF0" w:rsidRPr="00536D01" w:rsidRDefault="003D7FF0" w:rsidP="00786ECB">
            <w:pPr>
              <w:pStyle w:val="Tabletext"/>
              <w:rPr>
                <w:sz w:val="20"/>
              </w:rPr>
            </w:pPr>
            <w:r w:rsidRPr="00536D01">
              <w:rPr>
                <w:sz w:val="20"/>
              </w:rPr>
              <w:t>2021 R#33</w:t>
            </w:r>
          </w:p>
        </w:tc>
        <w:tc>
          <w:tcPr>
            <w:tcW w:w="1450" w:type="pct"/>
            <w:shd w:val="clear" w:color="auto" w:fill="auto"/>
          </w:tcPr>
          <w:p w14:paraId="0A41774F" w14:textId="645BA4D2" w:rsidR="003D7FF0" w:rsidRPr="00536D01" w:rsidRDefault="00FA3E53" w:rsidP="00786ECB">
            <w:pPr>
              <w:pStyle w:val="Tabletext"/>
              <w:rPr>
                <w:sz w:val="20"/>
                <w:lang w:eastAsia="zh-CN"/>
              </w:rPr>
            </w:pPr>
            <w:r w:rsidRPr="00FA3E53">
              <w:rPr>
                <w:rFonts w:hint="eastAsia"/>
                <w:sz w:val="20"/>
                <w:lang w:eastAsia="zh-CN"/>
              </w:rPr>
              <w:t>记录用户验收测试（</w:t>
            </w:r>
            <w:r w:rsidRPr="00FA3E53">
              <w:rPr>
                <w:rFonts w:hint="eastAsia"/>
                <w:sz w:val="20"/>
                <w:lang w:eastAsia="zh-CN"/>
              </w:rPr>
              <w:t>UAT</w:t>
            </w:r>
            <w:r w:rsidRPr="00FA3E53">
              <w:rPr>
                <w:rFonts w:hint="eastAsia"/>
                <w:sz w:val="20"/>
                <w:lang w:eastAsia="zh-CN"/>
              </w:rPr>
              <w:t>）或系统测试，以避免将未经事先验证的变更加入到制作过程中。</w:t>
            </w:r>
          </w:p>
        </w:tc>
        <w:tc>
          <w:tcPr>
            <w:tcW w:w="1750" w:type="pct"/>
            <w:shd w:val="clear" w:color="auto" w:fill="auto"/>
          </w:tcPr>
          <w:p w14:paraId="0C8ABDFC" w14:textId="3DE80A0F" w:rsidR="003D7FF0" w:rsidRPr="00536D01" w:rsidRDefault="003F21EE" w:rsidP="00786ECB">
            <w:pPr>
              <w:pStyle w:val="Tabletext"/>
              <w:rPr>
                <w:sz w:val="20"/>
                <w:lang w:eastAsia="zh-CN"/>
              </w:rPr>
            </w:pPr>
            <w:r w:rsidRPr="003F21EE">
              <w:rPr>
                <w:rFonts w:hint="eastAsia"/>
                <w:sz w:val="20"/>
                <w:lang w:eastAsia="zh-CN"/>
              </w:rPr>
              <w:t>截至</w:t>
            </w:r>
            <w:r w:rsidRPr="003F21EE">
              <w:rPr>
                <w:rFonts w:hint="eastAsia"/>
                <w:sz w:val="20"/>
                <w:lang w:eastAsia="zh-CN"/>
              </w:rPr>
              <w:t>2025</w:t>
            </w:r>
            <w:r w:rsidRPr="003F21EE">
              <w:rPr>
                <w:rFonts w:hint="eastAsia"/>
                <w:sz w:val="20"/>
                <w:lang w:eastAsia="zh-CN"/>
              </w:rPr>
              <w:t>年</w:t>
            </w:r>
            <w:r w:rsidRPr="003F21EE">
              <w:rPr>
                <w:rFonts w:hint="eastAsia"/>
                <w:sz w:val="20"/>
                <w:lang w:eastAsia="zh-CN"/>
              </w:rPr>
              <w:t>5</w:t>
            </w:r>
            <w:r w:rsidRPr="003F21EE">
              <w:rPr>
                <w:rFonts w:hint="eastAsia"/>
                <w:sz w:val="20"/>
                <w:lang w:eastAsia="zh-CN"/>
              </w:rPr>
              <w:t>月的最新进展：作为加强治理和监督的整体机制，已成立</w:t>
            </w:r>
            <w:r w:rsidRPr="003F21EE">
              <w:rPr>
                <w:rFonts w:hint="eastAsia"/>
                <w:sz w:val="20"/>
                <w:lang w:eastAsia="zh-CN"/>
              </w:rPr>
              <w:t>ICT</w:t>
            </w:r>
            <w:r w:rsidRPr="003F21EE">
              <w:rPr>
                <w:rFonts w:hint="eastAsia"/>
                <w:sz w:val="20"/>
                <w:lang w:eastAsia="zh-CN"/>
              </w:rPr>
              <w:t>治理委员会，确保在重大</w:t>
            </w:r>
            <w:r w:rsidRPr="003F21EE">
              <w:rPr>
                <w:rFonts w:hint="eastAsia"/>
                <w:sz w:val="20"/>
                <w:lang w:eastAsia="zh-CN"/>
              </w:rPr>
              <w:t>IT</w:t>
            </w:r>
            <w:r w:rsidRPr="003F21EE">
              <w:rPr>
                <w:rFonts w:hint="eastAsia"/>
                <w:sz w:val="20"/>
                <w:lang w:eastAsia="zh-CN"/>
              </w:rPr>
              <w:t>项目的不同阶段进行适当的风险管理和控制实施，如适当</w:t>
            </w:r>
            <w:r w:rsidR="0005089F">
              <w:rPr>
                <w:rFonts w:hint="eastAsia"/>
                <w:sz w:val="20"/>
                <w:lang w:eastAsia="zh-CN"/>
              </w:rPr>
              <w:t>的</w:t>
            </w:r>
            <w:r w:rsidRPr="003F21EE">
              <w:rPr>
                <w:rFonts w:hint="eastAsia"/>
                <w:sz w:val="20"/>
                <w:lang w:eastAsia="zh-CN"/>
              </w:rPr>
              <w:t>职责</w:t>
            </w:r>
            <w:r w:rsidR="0005089F" w:rsidRPr="003F21EE">
              <w:rPr>
                <w:rFonts w:hint="eastAsia"/>
                <w:sz w:val="20"/>
                <w:lang w:eastAsia="zh-CN"/>
              </w:rPr>
              <w:t>分离</w:t>
            </w:r>
            <w:r w:rsidRPr="003F21EE">
              <w:rPr>
                <w:rFonts w:hint="eastAsia"/>
                <w:sz w:val="20"/>
                <w:lang w:eastAsia="zh-CN"/>
              </w:rPr>
              <w:t>。</w:t>
            </w:r>
          </w:p>
          <w:p w14:paraId="41A72D6F" w14:textId="466FB0FB" w:rsidR="003D7FF0" w:rsidRPr="00536D01" w:rsidRDefault="003F21EE" w:rsidP="00786ECB">
            <w:pPr>
              <w:pStyle w:val="Tabletext"/>
              <w:rPr>
                <w:sz w:val="20"/>
                <w:lang w:eastAsia="zh-CN"/>
              </w:rPr>
            </w:pPr>
            <w:r w:rsidRPr="003F21EE">
              <w:rPr>
                <w:rFonts w:hint="eastAsia"/>
                <w:sz w:val="20"/>
                <w:lang w:eastAsia="zh-CN"/>
              </w:rPr>
              <w:t>UAT</w:t>
            </w:r>
            <w:r w:rsidRPr="003F21EE">
              <w:rPr>
                <w:rFonts w:hint="eastAsia"/>
                <w:sz w:val="20"/>
                <w:lang w:eastAsia="zh-CN"/>
              </w:rPr>
              <w:t>文档和签名表</w:t>
            </w:r>
            <w:r w:rsidR="0005089F">
              <w:rPr>
                <w:rFonts w:hint="eastAsia"/>
                <w:sz w:val="20"/>
                <w:lang w:eastAsia="zh-CN"/>
              </w:rPr>
              <w:t>属于</w:t>
            </w:r>
            <w:r w:rsidRPr="003F21EE">
              <w:rPr>
                <w:rFonts w:hint="eastAsia"/>
                <w:sz w:val="20"/>
                <w:lang w:eastAsia="zh-CN"/>
              </w:rPr>
              <w:t>在</w:t>
            </w:r>
            <w:r w:rsidRPr="003F21EE">
              <w:rPr>
                <w:rFonts w:hint="eastAsia"/>
                <w:sz w:val="20"/>
                <w:lang w:eastAsia="zh-CN"/>
              </w:rPr>
              <w:t>ERP</w:t>
            </w:r>
            <w:r w:rsidRPr="003F21EE">
              <w:rPr>
                <w:rFonts w:hint="eastAsia"/>
                <w:sz w:val="20"/>
                <w:lang w:eastAsia="zh-CN"/>
              </w:rPr>
              <w:t>和</w:t>
            </w:r>
            <w:r w:rsidRPr="003F21EE">
              <w:rPr>
                <w:rFonts w:hint="eastAsia"/>
                <w:sz w:val="20"/>
                <w:lang w:eastAsia="zh-CN"/>
              </w:rPr>
              <w:t>CRM</w:t>
            </w:r>
            <w:r w:rsidRPr="003F21EE">
              <w:rPr>
                <w:rFonts w:hint="eastAsia"/>
                <w:sz w:val="20"/>
                <w:lang w:eastAsia="zh-CN"/>
              </w:rPr>
              <w:t>系统发布</w:t>
            </w:r>
            <w:r w:rsidR="0005089F">
              <w:rPr>
                <w:rFonts w:hint="eastAsia"/>
                <w:sz w:val="20"/>
                <w:lang w:eastAsia="zh-CN"/>
              </w:rPr>
              <w:t>变</w:t>
            </w:r>
            <w:r w:rsidRPr="003F21EE">
              <w:rPr>
                <w:rFonts w:hint="eastAsia"/>
                <w:sz w:val="20"/>
                <w:lang w:eastAsia="zh-CN"/>
              </w:rPr>
              <w:t>更的过程。</w:t>
            </w:r>
          </w:p>
          <w:p w14:paraId="4586E0B4" w14:textId="0243B743" w:rsidR="003D7FF0" w:rsidRPr="00536D01" w:rsidRDefault="003F21EE" w:rsidP="00786ECB">
            <w:pPr>
              <w:pStyle w:val="Tabletext"/>
              <w:rPr>
                <w:sz w:val="20"/>
                <w:lang w:eastAsia="zh-CN"/>
              </w:rPr>
            </w:pPr>
            <w:r w:rsidRPr="003F21EE">
              <w:rPr>
                <w:rFonts w:hint="eastAsia"/>
                <w:sz w:val="20"/>
                <w:lang w:eastAsia="zh-CN"/>
              </w:rPr>
              <w:t>国际电联建议结束本建议。</w:t>
            </w:r>
          </w:p>
        </w:tc>
        <w:tc>
          <w:tcPr>
            <w:tcW w:w="1050" w:type="pct"/>
            <w:shd w:val="clear" w:color="auto" w:fill="auto"/>
          </w:tcPr>
          <w:p w14:paraId="62672A03" w14:textId="712E73B7" w:rsidR="003D7FF0" w:rsidRPr="00536D01" w:rsidRDefault="003F21EE" w:rsidP="00786ECB">
            <w:pPr>
              <w:pStyle w:val="Tabletext"/>
              <w:rPr>
                <w:sz w:val="20"/>
                <w:lang w:eastAsia="zh-CN"/>
              </w:rPr>
            </w:pPr>
            <w:r w:rsidRPr="003F21EE">
              <w:rPr>
                <w:rFonts w:hint="eastAsia"/>
                <w:sz w:val="20"/>
                <w:lang w:eastAsia="zh-CN"/>
              </w:rPr>
              <w:t>注意到最新回应</w:t>
            </w:r>
            <w:r w:rsidR="0005089F">
              <w:rPr>
                <w:rFonts w:hint="eastAsia"/>
                <w:sz w:val="20"/>
                <w:lang w:eastAsia="zh-CN"/>
              </w:rPr>
              <w:t>，</w:t>
            </w:r>
            <w:r w:rsidRPr="003F21EE">
              <w:rPr>
                <w:rFonts w:hint="eastAsia"/>
                <w:sz w:val="20"/>
                <w:lang w:eastAsia="zh-CN"/>
              </w:rPr>
              <w:t>并认为是合理的。正如本报告第</w:t>
            </w:r>
            <w:r w:rsidRPr="003F21EE">
              <w:rPr>
                <w:rFonts w:hint="eastAsia"/>
                <w:sz w:val="20"/>
                <w:lang w:eastAsia="zh-CN"/>
              </w:rPr>
              <w:t>2</w:t>
            </w:r>
            <w:r w:rsidRPr="003F21EE">
              <w:rPr>
                <w:rFonts w:hint="eastAsia"/>
                <w:sz w:val="20"/>
                <w:lang w:eastAsia="zh-CN"/>
              </w:rPr>
              <w:t>部分所强调，我们考虑了管理层为确保其</w:t>
            </w:r>
            <w:r w:rsidRPr="003F21EE">
              <w:rPr>
                <w:rFonts w:hint="eastAsia"/>
                <w:sz w:val="20"/>
                <w:lang w:eastAsia="zh-CN"/>
              </w:rPr>
              <w:t>IT</w:t>
            </w:r>
            <w:r w:rsidRPr="003F21EE">
              <w:rPr>
                <w:rFonts w:hint="eastAsia"/>
                <w:sz w:val="20"/>
                <w:lang w:eastAsia="zh-CN"/>
              </w:rPr>
              <w:t>环境所做的总体安排，并在本报告中提出了相关新建议。</w:t>
            </w:r>
          </w:p>
        </w:tc>
        <w:tc>
          <w:tcPr>
            <w:tcW w:w="450" w:type="pct"/>
            <w:shd w:val="clear" w:color="auto" w:fill="auto"/>
          </w:tcPr>
          <w:p w14:paraId="2AC3A004" w14:textId="3E875D19" w:rsidR="003D7FF0" w:rsidRPr="00536D01" w:rsidRDefault="00A62A5A" w:rsidP="00786ECB">
            <w:pPr>
              <w:pStyle w:val="Tabletext"/>
              <w:rPr>
                <w:sz w:val="20"/>
              </w:rPr>
            </w:pPr>
            <w:r>
              <w:rPr>
                <w:rFonts w:ascii="SimSun" w:eastAsia="SimSun" w:hAnsi="SimSun" w:cs="SimSun" w:hint="eastAsia"/>
                <w:color w:val="000000"/>
                <w:sz w:val="20"/>
                <w:lang w:eastAsia="zh-CN"/>
              </w:rPr>
              <w:t>已关闭。</w:t>
            </w:r>
          </w:p>
        </w:tc>
      </w:tr>
      <w:tr w:rsidR="003D7FF0" w:rsidRPr="00536D01" w14:paraId="70F48B47" w14:textId="77777777" w:rsidTr="00E6035E">
        <w:tc>
          <w:tcPr>
            <w:tcW w:w="300" w:type="pct"/>
            <w:shd w:val="clear" w:color="auto" w:fill="auto"/>
          </w:tcPr>
          <w:p w14:paraId="4A2DCAD0" w14:textId="77777777" w:rsidR="003D7FF0" w:rsidRPr="00536D01" w:rsidRDefault="003D7FF0" w:rsidP="00786ECB">
            <w:pPr>
              <w:pStyle w:val="Tabletext"/>
              <w:rPr>
                <w:sz w:val="20"/>
              </w:rPr>
            </w:pPr>
            <w:r w:rsidRPr="00536D01">
              <w:rPr>
                <w:sz w:val="20"/>
              </w:rPr>
              <w:t>2021 R#34</w:t>
            </w:r>
          </w:p>
        </w:tc>
        <w:tc>
          <w:tcPr>
            <w:tcW w:w="1450" w:type="pct"/>
            <w:shd w:val="clear" w:color="auto" w:fill="auto"/>
          </w:tcPr>
          <w:p w14:paraId="59CA647A" w14:textId="74ABBFA1" w:rsidR="003D7FF0" w:rsidRPr="00536D01" w:rsidRDefault="00FA3E53" w:rsidP="00786ECB">
            <w:pPr>
              <w:pStyle w:val="Tabletext"/>
              <w:rPr>
                <w:sz w:val="20"/>
                <w:lang w:eastAsia="zh-CN"/>
              </w:rPr>
            </w:pPr>
            <w:r w:rsidRPr="00FA3E53">
              <w:rPr>
                <w:rFonts w:hint="eastAsia"/>
                <w:sz w:val="20"/>
                <w:lang w:eastAsia="zh-CN"/>
              </w:rPr>
              <w:t>将批准阶段记录下来，以避免将未经事先授权的变更加入到制作过程中的相关风险</w:t>
            </w:r>
            <w:r w:rsidR="003F21EE" w:rsidRPr="003F21EE">
              <w:rPr>
                <w:rFonts w:hint="eastAsia"/>
                <w:sz w:val="20"/>
                <w:lang w:eastAsia="zh-CN"/>
              </w:rPr>
              <w:t>。</w:t>
            </w:r>
          </w:p>
        </w:tc>
        <w:tc>
          <w:tcPr>
            <w:tcW w:w="1750" w:type="pct"/>
            <w:shd w:val="clear" w:color="auto" w:fill="auto"/>
          </w:tcPr>
          <w:p w14:paraId="447D9122" w14:textId="475A2B7C" w:rsidR="003D7FF0" w:rsidRPr="00536D01" w:rsidRDefault="003F21EE" w:rsidP="00786ECB">
            <w:pPr>
              <w:pStyle w:val="Tabletext"/>
              <w:rPr>
                <w:sz w:val="20"/>
                <w:lang w:eastAsia="zh-CN"/>
              </w:rPr>
            </w:pPr>
            <w:r w:rsidRPr="003F21EE">
              <w:rPr>
                <w:rFonts w:hint="eastAsia"/>
                <w:sz w:val="20"/>
                <w:lang w:eastAsia="zh-CN"/>
              </w:rPr>
              <w:t>截至</w:t>
            </w:r>
            <w:r w:rsidRPr="003F21EE">
              <w:rPr>
                <w:rFonts w:hint="eastAsia"/>
                <w:sz w:val="20"/>
                <w:lang w:eastAsia="zh-CN"/>
              </w:rPr>
              <w:t>2025</w:t>
            </w:r>
            <w:r w:rsidRPr="003F21EE">
              <w:rPr>
                <w:rFonts w:hint="eastAsia"/>
                <w:sz w:val="20"/>
                <w:lang w:eastAsia="zh-CN"/>
              </w:rPr>
              <w:t>年</w:t>
            </w:r>
            <w:r w:rsidRPr="003F21EE">
              <w:rPr>
                <w:rFonts w:hint="eastAsia"/>
                <w:sz w:val="20"/>
                <w:lang w:eastAsia="zh-CN"/>
              </w:rPr>
              <w:t>5</w:t>
            </w:r>
            <w:r w:rsidRPr="003F21EE">
              <w:rPr>
                <w:rFonts w:hint="eastAsia"/>
                <w:sz w:val="20"/>
                <w:lang w:eastAsia="zh-CN"/>
              </w:rPr>
              <w:t>月的最新进展：作为加强治理和监督的整体机制，已成立</w:t>
            </w:r>
            <w:r w:rsidRPr="003F21EE">
              <w:rPr>
                <w:rFonts w:hint="eastAsia"/>
                <w:sz w:val="20"/>
                <w:lang w:eastAsia="zh-CN"/>
              </w:rPr>
              <w:t>ICT</w:t>
            </w:r>
            <w:r w:rsidRPr="003F21EE">
              <w:rPr>
                <w:rFonts w:hint="eastAsia"/>
                <w:sz w:val="20"/>
                <w:lang w:eastAsia="zh-CN"/>
              </w:rPr>
              <w:t>治理委员会，确保在重大</w:t>
            </w:r>
            <w:r w:rsidRPr="003F21EE">
              <w:rPr>
                <w:rFonts w:hint="eastAsia"/>
                <w:sz w:val="20"/>
                <w:lang w:eastAsia="zh-CN"/>
              </w:rPr>
              <w:t>IT</w:t>
            </w:r>
            <w:r w:rsidRPr="003F21EE">
              <w:rPr>
                <w:rFonts w:hint="eastAsia"/>
                <w:sz w:val="20"/>
                <w:lang w:eastAsia="zh-CN"/>
              </w:rPr>
              <w:t>项目的不同阶段进行适当的风险管理</w:t>
            </w:r>
            <w:r w:rsidR="00A92B51">
              <w:rPr>
                <w:rFonts w:hint="eastAsia"/>
                <w:sz w:val="20"/>
                <w:lang w:eastAsia="zh-CN"/>
              </w:rPr>
              <w:t>并实施</w:t>
            </w:r>
            <w:r w:rsidRPr="003F21EE">
              <w:rPr>
                <w:rFonts w:hint="eastAsia"/>
                <w:sz w:val="20"/>
                <w:lang w:eastAsia="zh-CN"/>
              </w:rPr>
              <w:t>控制，如适当</w:t>
            </w:r>
            <w:r w:rsidR="0005089F">
              <w:rPr>
                <w:rFonts w:hint="eastAsia"/>
                <w:sz w:val="20"/>
                <w:lang w:eastAsia="zh-CN"/>
              </w:rPr>
              <w:t>的</w:t>
            </w:r>
            <w:r w:rsidRPr="003F21EE">
              <w:rPr>
                <w:rFonts w:hint="eastAsia"/>
                <w:sz w:val="20"/>
                <w:lang w:eastAsia="zh-CN"/>
              </w:rPr>
              <w:t>职责</w:t>
            </w:r>
            <w:r w:rsidR="0005089F" w:rsidRPr="003F21EE">
              <w:rPr>
                <w:rFonts w:hint="eastAsia"/>
                <w:sz w:val="20"/>
                <w:lang w:eastAsia="zh-CN"/>
              </w:rPr>
              <w:t>分离</w:t>
            </w:r>
            <w:r w:rsidRPr="003F21EE">
              <w:rPr>
                <w:rFonts w:hint="eastAsia"/>
                <w:sz w:val="20"/>
                <w:lang w:eastAsia="zh-CN"/>
              </w:rPr>
              <w:t>。</w:t>
            </w:r>
          </w:p>
          <w:p w14:paraId="2035A603" w14:textId="4DA38997" w:rsidR="003D7FF0" w:rsidRPr="00536D01" w:rsidRDefault="003F21EE" w:rsidP="00786ECB">
            <w:pPr>
              <w:pStyle w:val="Tabletext"/>
              <w:rPr>
                <w:sz w:val="20"/>
                <w:lang w:eastAsia="zh-CN"/>
              </w:rPr>
            </w:pPr>
            <w:r w:rsidRPr="003F21EE">
              <w:rPr>
                <w:rFonts w:hint="eastAsia"/>
                <w:sz w:val="20"/>
                <w:lang w:eastAsia="zh-CN"/>
              </w:rPr>
              <w:t>将</w:t>
            </w:r>
            <w:r w:rsidR="0005089F">
              <w:rPr>
                <w:rFonts w:hint="eastAsia"/>
                <w:sz w:val="20"/>
                <w:lang w:eastAsia="zh-CN"/>
              </w:rPr>
              <w:t>变</w:t>
            </w:r>
            <w:r w:rsidRPr="003F21EE">
              <w:rPr>
                <w:rFonts w:hint="eastAsia"/>
                <w:sz w:val="20"/>
                <w:lang w:eastAsia="zh-CN"/>
              </w:rPr>
              <w:t>更移至</w:t>
            </w:r>
            <w:r w:rsidR="00A92B51">
              <w:rPr>
                <w:rFonts w:hint="eastAsia"/>
                <w:sz w:val="20"/>
                <w:lang w:eastAsia="zh-CN"/>
              </w:rPr>
              <w:t>生产</w:t>
            </w:r>
            <w:r w:rsidRPr="003F21EE">
              <w:rPr>
                <w:rFonts w:hint="eastAsia"/>
                <w:sz w:val="20"/>
                <w:lang w:eastAsia="zh-CN"/>
              </w:rPr>
              <w:t>过程遵循用户验收测试程序，该程序包括</w:t>
            </w:r>
            <w:r w:rsidRPr="003F21EE">
              <w:rPr>
                <w:rFonts w:hint="eastAsia"/>
                <w:sz w:val="20"/>
                <w:lang w:eastAsia="zh-CN"/>
              </w:rPr>
              <w:t>UAT</w:t>
            </w:r>
            <w:r w:rsidRPr="003F21EE">
              <w:rPr>
                <w:rFonts w:hint="eastAsia"/>
                <w:sz w:val="20"/>
                <w:lang w:eastAsia="zh-CN"/>
              </w:rPr>
              <w:t>签</w:t>
            </w:r>
            <w:r w:rsidR="0005089F">
              <w:rPr>
                <w:rFonts w:hint="eastAsia"/>
                <w:sz w:val="20"/>
                <w:lang w:eastAsia="zh-CN"/>
              </w:rPr>
              <w:t>名</w:t>
            </w:r>
            <w:r w:rsidRPr="003F21EE">
              <w:rPr>
                <w:rFonts w:hint="eastAsia"/>
                <w:sz w:val="20"/>
                <w:lang w:eastAsia="zh-CN"/>
              </w:rPr>
              <w:t>表单，以确保适当授权。</w:t>
            </w:r>
          </w:p>
          <w:p w14:paraId="452E80B4" w14:textId="18848DD5" w:rsidR="003D7FF0" w:rsidRPr="00536D01" w:rsidRDefault="003F21EE" w:rsidP="00786ECB">
            <w:pPr>
              <w:pStyle w:val="Tabletext"/>
              <w:rPr>
                <w:sz w:val="20"/>
                <w:lang w:eastAsia="zh-CN"/>
              </w:rPr>
            </w:pPr>
            <w:r w:rsidRPr="003F21EE">
              <w:rPr>
                <w:rFonts w:hint="eastAsia"/>
                <w:sz w:val="20"/>
                <w:lang w:eastAsia="zh-CN"/>
              </w:rPr>
              <w:t>国际电联建议结束本建议。</w:t>
            </w:r>
          </w:p>
        </w:tc>
        <w:tc>
          <w:tcPr>
            <w:tcW w:w="1050" w:type="pct"/>
            <w:shd w:val="clear" w:color="auto" w:fill="auto"/>
          </w:tcPr>
          <w:p w14:paraId="240C5B66" w14:textId="22E574EA" w:rsidR="003D7FF0" w:rsidRPr="00536D01" w:rsidRDefault="003F21EE" w:rsidP="00786ECB">
            <w:pPr>
              <w:pStyle w:val="Tabletext"/>
              <w:rPr>
                <w:sz w:val="20"/>
                <w:lang w:eastAsia="zh-CN"/>
              </w:rPr>
            </w:pPr>
            <w:r w:rsidRPr="003F21EE">
              <w:rPr>
                <w:rFonts w:hint="eastAsia"/>
                <w:sz w:val="20"/>
                <w:lang w:eastAsia="zh-CN"/>
              </w:rPr>
              <w:t>注意到最新回应</w:t>
            </w:r>
            <w:r w:rsidR="0005089F">
              <w:rPr>
                <w:rFonts w:hint="eastAsia"/>
                <w:sz w:val="20"/>
                <w:lang w:eastAsia="zh-CN"/>
              </w:rPr>
              <w:t>，</w:t>
            </w:r>
            <w:r w:rsidRPr="003F21EE">
              <w:rPr>
                <w:rFonts w:hint="eastAsia"/>
                <w:sz w:val="20"/>
                <w:lang w:eastAsia="zh-CN"/>
              </w:rPr>
              <w:t>并认为是合理的。正如本报告第</w:t>
            </w:r>
            <w:r w:rsidRPr="003F21EE">
              <w:rPr>
                <w:rFonts w:hint="eastAsia"/>
                <w:sz w:val="20"/>
                <w:lang w:eastAsia="zh-CN"/>
              </w:rPr>
              <w:t>2</w:t>
            </w:r>
            <w:r w:rsidRPr="003F21EE">
              <w:rPr>
                <w:rFonts w:hint="eastAsia"/>
                <w:sz w:val="20"/>
                <w:lang w:eastAsia="zh-CN"/>
              </w:rPr>
              <w:t>部分所强调，我们考虑了管理层为确保其</w:t>
            </w:r>
            <w:r w:rsidRPr="003F21EE">
              <w:rPr>
                <w:rFonts w:hint="eastAsia"/>
                <w:sz w:val="20"/>
                <w:lang w:eastAsia="zh-CN"/>
              </w:rPr>
              <w:t>IT</w:t>
            </w:r>
            <w:r w:rsidRPr="003F21EE">
              <w:rPr>
                <w:rFonts w:hint="eastAsia"/>
                <w:sz w:val="20"/>
                <w:lang w:eastAsia="zh-CN"/>
              </w:rPr>
              <w:t>环境所做的总体安排，并在本报告中提出了相关新建议。</w:t>
            </w:r>
          </w:p>
        </w:tc>
        <w:tc>
          <w:tcPr>
            <w:tcW w:w="450" w:type="pct"/>
            <w:shd w:val="clear" w:color="auto" w:fill="auto"/>
          </w:tcPr>
          <w:p w14:paraId="091B2203" w14:textId="50231EA4" w:rsidR="003D7FF0" w:rsidRPr="00536D01" w:rsidRDefault="00A62A5A" w:rsidP="00786ECB">
            <w:pPr>
              <w:pStyle w:val="Tabletext"/>
              <w:rPr>
                <w:sz w:val="20"/>
              </w:rPr>
            </w:pPr>
            <w:r>
              <w:rPr>
                <w:rFonts w:ascii="SimSun" w:eastAsia="SimSun" w:hAnsi="SimSun" w:cs="SimSun" w:hint="eastAsia"/>
                <w:color w:val="000000"/>
                <w:sz w:val="20"/>
                <w:lang w:eastAsia="zh-CN"/>
              </w:rPr>
              <w:t>已关闭。</w:t>
            </w:r>
          </w:p>
        </w:tc>
      </w:tr>
      <w:tr w:rsidR="003D7FF0" w:rsidRPr="00536D01" w14:paraId="651257D7" w14:textId="77777777" w:rsidTr="00E6035E">
        <w:tc>
          <w:tcPr>
            <w:tcW w:w="300" w:type="pct"/>
            <w:shd w:val="clear" w:color="auto" w:fill="auto"/>
          </w:tcPr>
          <w:p w14:paraId="709019DA" w14:textId="77777777" w:rsidR="003D7FF0" w:rsidRPr="00536D01" w:rsidRDefault="003D7FF0" w:rsidP="00786ECB">
            <w:pPr>
              <w:pStyle w:val="Tabletext"/>
              <w:rPr>
                <w:sz w:val="20"/>
              </w:rPr>
            </w:pPr>
            <w:r w:rsidRPr="00536D01">
              <w:rPr>
                <w:sz w:val="20"/>
              </w:rPr>
              <w:lastRenderedPageBreak/>
              <w:t>2021 R#35</w:t>
            </w:r>
          </w:p>
        </w:tc>
        <w:tc>
          <w:tcPr>
            <w:tcW w:w="1450" w:type="pct"/>
            <w:shd w:val="clear" w:color="auto" w:fill="auto"/>
          </w:tcPr>
          <w:p w14:paraId="633CB229" w14:textId="27260A4D" w:rsidR="003D7FF0" w:rsidRPr="00536D01" w:rsidRDefault="00FA3E53" w:rsidP="00786ECB">
            <w:pPr>
              <w:pStyle w:val="Tabletext"/>
              <w:rPr>
                <w:sz w:val="20"/>
                <w:lang w:eastAsia="zh-CN"/>
              </w:rPr>
            </w:pPr>
            <w:r w:rsidRPr="00FA3E53">
              <w:rPr>
                <w:rFonts w:hint="eastAsia"/>
                <w:sz w:val="20"/>
                <w:lang w:eastAsia="zh-CN"/>
              </w:rPr>
              <w:t>审议和更新变更管理程序，以便准确记录开发、测试和批准制作发布应用程序变更的各个阶段。此外，我们建议准确定义角色和责任，以保证分隔参与变更管理过程的各个利益攸关方。</w:t>
            </w:r>
          </w:p>
        </w:tc>
        <w:tc>
          <w:tcPr>
            <w:tcW w:w="1750" w:type="pct"/>
            <w:shd w:val="clear" w:color="auto" w:fill="auto"/>
          </w:tcPr>
          <w:p w14:paraId="2A8BB360" w14:textId="28DFA540" w:rsidR="003D7FF0" w:rsidRPr="00536D01" w:rsidRDefault="003F21EE" w:rsidP="00786ECB">
            <w:pPr>
              <w:pStyle w:val="Tabletext"/>
              <w:rPr>
                <w:sz w:val="20"/>
                <w:lang w:eastAsia="zh-CN"/>
              </w:rPr>
            </w:pPr>
            <w:r w:rsidRPr="003F21EE">
              <w:rPr>
                <w:rFonts w:hint="eastAsia"/>
                <w:sz w:val="20"/>
                <w:lang w:eastAsia="zh-CN"/>
              </w:rPr>
              <w:t>截至</w:t>
            </w:r>
            <w:r w:rsidRPr="003F21EE">
              <w:rPr>
                <w:rFonts w:hint="eastAsia"/>
                <w:sz w:val="20"/>
                <w:lang w:eastAsia="zh-CN"/>
              </w:rPr>
              <w:t>2025</w:t>
            </w:r>
            <w:r w:rsidRPr="003F21EE">
              <w:rPr>
                <w:rFonts w:hint="eastAsia"/>
                <w:sz w:val="20"/>
                <w:lang w:eastAsia="zh-CN"/>
              </w:rPr>
              <w:t>年</w:t>
            </w:r>
            <w:r w:rsidRPr="003F21EE">
              <w:rPr>
                <w:rFonts w:hint="eastAsia"/>
                <w:sz w:val="20"/>
                <w:lang w:eastAsia="zh-CN"/>
              </w:rPr>
              <w:t>5</w:t>
            </w:r>
            <w:r w:rsidRPr="003F21EE">
              <w:rPr>
                <w:rFonts w:hint="eastAsia"/>
                <w:sz w:val="20"/>
                <w:lang w:eastAsia="zh-CN"/>
              </w:rPr>
              <w:t>月的最新进展：作为加强治理和监督的整体机制，已成立</w:t>
            </w:r>
            <w:r w:rsidRPr="003F21EE">
              <w:rPr>
                <w:rFonts w:hint="eastAsia"/>
                <w:sz w:val="20"/>
                <w:lang w:eastAsia="zh-CN"/>
              </w:rPr>
              <w:t>ICT</w:t>
            </w:r>
            <w:r w:rsidRPr="003F21EE">
              <w:rPr>
                <w:rFonts w:hint="eastAsia"/>
                <w:sz w:val="20"/>
                <w:lang w:eastAsia="zh-CN"/>
              </w:rPr>
              <w:t>治理委员会，确保在重大</w:t>
            </w:r>
            <w:r w:rsidRPr="003F21EE">
              <w:rPr>
                <w:rFonts w:hint="eastAsia"/>
                <w:sz w:val="20"/>
                <w:lang w:eastAsia="zh-CN"/>
              </w:rPr>
              <w:t>IT</w:t>
            </w:r>
            <w:r w:rsidRPr="003F21EE">
              <w:rPr>
                <w:rFonts w:hint="eastAsia"/>
                <w:sz w:val="20"/>
                <w:lang w:eastAsia="zh-CN"/>
              </w:rPr>
              <w:t>项目的不同阶段进行适当的风险管理</w:t>
            </w:r>
            <w:r w:rsidR="00A92B51">
              <w:rPr>
                <w:rFonts w:hint="eastAsia"/>
                <w:sz w:val="20"/>
                <w:lang w:eastAsia="zh-CN"/>
              </w:rPr>
              <w:t>并实施</w:t>
            </w:r>
            <w:r w:rsidRPr="003F21EE">
              <w:rPr>
                <w:rFonts w:hint="eastAsia"/>
                <w:sz w:val="20"/>
                <w:lang w:eastAsia="zh-CN"/>
              </w:rPr>
              <w:t>控制，如适当</w:t>
            </w:r>
            <w:r w:rsidR="00336F34">
              <w:rPr>
                <w:rFonts w:hint="eastAsia"/>
                <w:sz w:val="20"/>
                <w:lang w:eastAsia="zh-CN"/>
              </w:rPr>
              <w:t>的</w:t>
            </w:r>
            <w:r w:rsidRPr="003F21EE">
              <w:rPr>
                <w:rFonts w:hint="eastAsia"/>
                <w:sz w:val="20"/>
                <w:lang w:eastAsia="zh-CN"/>
              </w:rPr>
              <w:t>职责</w:t>
            </w:r>
            <w:r w:rsidR="00336F34" w:rsidRPr="003F21EE">
              <w:rPr>
                <w:rFonts w:hint="eastAsia"/>
                <w:sz w:val="20"/>
                <w:lang w:eastAsia="zh-CN"/>
              </w:rPr>
              <w:t>分离</w:t>
            </w:r>
            <w:r w:rsidRPr="003F21EE">
              <w:rPr>
                <w:rFonts w:hint="eastAsia"/>
                <w:sz w:val="20"/>
                <w:lang w:eastAsia="zh-CN"/>
              </w:rPr>
              <w:t>。</w:t>
            </w:r>
          </w:p>
          <w:p w14:paraId="4C6D339B" w14:textId="259B0B5A" w:rsidR="003D7FF0" w:rsidRPr="00536D01" w:rsidRDefault="003F21EE" w:rsidP="00786ECB">
            <w:pPr>
              <w:pStyle w:val="Tabletext"/>
              <w:rPr>
                <w:sz w:val="20"/>
                <w:lang w:eastAsia="zh-CN"/>
              </w:rPr>
            </w:pPr>
            <w:r w:rsidRPr="003F21EE">
              <w:rPr>
                <w:rFonts w:hint="eastAsia"/>
                <w:sz w:val="20"/>
                <w:lang w:eastAsia="zh-CN"/>
              </w:rPr>
              <w:t>变更管理过程涵盖从记录业务需求、规划开发工作、准备环境、确定用户</w:t>
            </w:r>
            <w:r w:rsidRPr="003F21EE">
              <w:rPr>
                <w:rFonts w:hint="eastAsia"/>
                <w:sz w:val="20"/>
                <w:lang w:eastAsia="zh-CN"/>
              </w:rPr>
              <w:t>/</w:t>
            </w:r>
            <w:r w:rsidRPr="003F21EE">
              <w:rPr>
                <w:rFonts w:hint="eastAsia"/>
                <w:sz w:val="20"/>
                <w:lang w:eastAsia="zh-CN"/>
              </w:rPr>
              <w:t>角色和</w:t>
            </w:r>
            <w:r w:rsidR="0005089F">
              <w:rPr>
                <w:rFonts w:hint="eastAsia"/>
                <w:sz w:val="20"/>
                <w:lang w:eastAsia="zh-CN"/>
              </w:rPr>
              <w:t>职责</w:t>
            </w:r>
            <w:r w:rsidRPr="003F21EE">
              <w:rPr>
                <w:rFonts w:hint="eastAsia"/>
                <w:sz w:val="20"/>
                <w:lang w:eastAsia="zh-CN"/>
              </w:rPr>
              <w:t>以及标准</w:t>
            </w:r>
            <w:r w:rsidR="0005089F">
              <w:rPr>
                <w:rFonts w:hint="eastAsia"/>
                <w:sz w:val="20"/>
                <w:lang w:eastAsia="zh-CN"/>
              </w:rPr>
              <w:t>，</w:t>
            </w:r>
            <w:r w:rsidRPr="003F21EE">
              <w:rPr>
                <w:rFonts w:hint="eastAsia"/>
                <w:sz w:val="20"/>
                <w:lang w:eastAsia="zh-CN"/>
              </w:rPr>
              <w:t>到进入</w:t>
            </w:r>
            <w:r w:rsidR="00A92B51">
              <w:rPr>
                <w:rFonts w:hint="eastAsia"/>
                <w:sz w:val="20"/>
                <w:lang w:eastAsia="zh-CN"/>
              </w:rPr>
              <w:t>生产</w:t>
            </w:r>
            <w:r w:rsidRPr="003F21EE">
              <w:rPr>
                <w:rFonts w:hint="eastAsia"/>
                <w:sz w:val="20"/>
                <w:lang w:eastAsia="zh-CN"/>
              </w:rPr>
              <w:t>。</w:t>
            </w:r>
          </w:p>
          <w:p w14:paraId="146190F6" w14:textId="19451626" w:rsidR="003D7FF0" w:rsidRPr="00536D01" w:rsidRDefault="003F21EE" w:rsidP="00786ECB">
            <w:pPr>
              <w:pStyle w:val="Tabletext"/>
              <w:rPr>
                <w:sz w:val="20"/>
                <w:lang w:eastAsia="zh-CN"/>
              </w:rPr>
            </w:pPr>
            <w:r w:rsidRPr="003F21EE">
              <w:rPr>
                <w:rFonts w:hint="eastAsia"/>
                <w:sz w:val="20"/>
                <w:lang w:eastAsia="zh-CN"/>
              </w:rPr>
              <w:t>国际电联建议结束本建议。</w:t>
            </w:r>
          </w:p>
        </w:tc>
        <w:tc>
          <w:tcPr>
            <w:tcW w:w="1050" w:type="pct"/>
            <w:shd w:val="clear" w:color="auto" w:fill="auto"/>
          </w:tcPr>
          <w:p w14:paraId="7E02E410" w14:textId="38C99325" w:rsidR="003D7FF0" w:rsidRPr="00536D01" w:rsidRDefault="003F21EE" w:rsidP="00786ECB">
            <w:pPr>
              <w:pStyle w:val="Tabletext"/>
              <w:rPr>
                <w:sz w:val="20"/>
                <w:lang w:eastAsia="zh-CN"/>
              </w:rPr>
            </w:pPr>
            <w:r w:rsidRPr="003F21EE">
              <w:rPr>
                <w:rFonts w:hint="eastAsia"/>
                <w:sz w:val="20"/>
                <w:lang w:eastAsia="zh-CN"/>
              </w:rPr>
              <w:t>注意到最新回应</w:t>
            </w:r>
            <w:r w:rsidR="00336F34">
              <w:rPr>
                <w:rFonts w:hint="eastAsia"/>
                <w:sz w:val="20"/>
                <w:lang w:eastAsia="zh-CN"/>
              </w:rPr>
              <w:t>，</w:t>
            </w:r>
            <w:r w:rsidRPr="003F21EE">
              <w:rPr>
                <w:rFonts w:hint="eastAsia"/>
                <w:sz w:val="20"/>
                <w:lang w:eastAsia="zh-CN"/>
              </w:rPr>
              <w:t>并认为是合理的。正如本报告第</w:t>
            </w:r>
            <w:r w:rsidRPr="003F21EE">
              <w:rPr>
                <w:rFonts w:hint="eastAsia"/>
                <w:sz w:val="20"/>
                <w:lang w:eastAsia="zh-CN"/>
              </w:rPr>
              <w:t>2</w:t>
            </w:r>
            <w:r w:rsidRPr="003F21EE">
              <w:rPr>
                <w:rFonts w:hint="eastAsia"/>
                <w:sz w:val="20"/>
                <w:lang w:eastAsia="zh-CN"/>
              </w:rPr>
              <w:t>部分所强调，我们考虑了管理层为确保其</w:t>
            </w:r>
            <w:r w:rsidRPr="003F21EE">
              <w:rPr>
                <w:rFonts w:hint="eastAsia"/>
                <w:sz w:val="20"/>
                <w:lang w:eastAsia="zh-CN"/>
              </w:rPr>
              <w:t>IT</w:t>
            </w:r>
            <w:r w:rsidRPr="003F21EE">
              <w:rPr>
                <w:rFonts w:hint="eastAsia"/>
                <w:sz w:val="20"/>
                <w:lang w:eastAsia="zh-CN"/>
              </w:rPr>
              <w:t>环境所做的总体安排，并在本报告中提出了相关新建议。</w:t>
            </w:r>
          </w:p>
        </w:tc>
        <w:tc>
          <w:tcPr>
            <w:tcW w:w="450" w:type="pct"/>
            <w:shd w:val="clear" w:color="auto" w:fill="auto"/>
          </w:tcPr>
          <w:p w14:paraId="4FF42A94" w14:textId="4162589F" w:rsidR="003D7FF0" w:rsidRPr="00536D01" w:rsidRDefault="00A62A5A" w:rsidP="00786ECB">
            <w:pPr>
              <w:pStyle w:val="Tabletext"/>
              <w:rPr>
                <w:sz w:val="20"/>
              </w:rPr>
            </w:pPr>
            <w:r>
              <w:rPr>
                <w:rFonts w:ascii="SimSun" w:eastAsia="SimSun" w:hAnsi="SimSun" w:cs="SimSun" w:hint="eastAsia"/>
                <w:color w:val="000000"/>
                <w:sz w:val="20"/>
                <w:lang w:eastAsia="zh-CN"/>
              </w:rPr>
              <w:t>已关闭。</w:t>
            </w:r>
          </w:p>
        </w:tc>
      </w:tr>
      <w:tr w:rsidR="003D7FF0" w:rsidRPr="00536D01" w14:paraId="5C52AD31" w14:textId="77777777" w:rsidTr="00E6035E">
        <w:tc>
          <w:tcPr>
            <w:tcW w:w="300" w:type="pct"/>
            <w:shd w:val="clear" w:color="auto" w:fill="auto"/>
          </w:tcPr>
          <w:p w14:paraId="0BC0B869" w14:textId="77777777" w:rsidR="003D7FF0" w:rsidRPr="00536D01" w:rsidRDefault="003D7FF0" w:rsidP="00786ECB">
            <w:pPr>
              <w:pStyle w:val="Tabletext"/>
              <w:rPr>
                <w:sz w:val="20"/>
              </w:rPr>
            </w:pPr>
            <w:r w:rsidRPr="00536D01">
              <w:rPr>
                <w:sz w:val="20"/>
              </w:rPr>
              <w:t>2021 R#36</w:t>
            </w:r>
          </w:p>
        </w:tc>
        <w:tc>
          <w:tcPr>
            <w:tcW w:w="1450" w:type="pct"/>
            <w:shd w:val="clear" w:color="auto" w:fill="auto"/>
          </w:tcPr>
          <w:p w14:paraId="7B6F5DCC" w14:textId="4D5A9849" w:rsidR="003D7FF0" w:rsidRPr="00536D01" w:rsidRDefault="00FA3E53" w:rsidP="00786ECB">
            <w:pPr>
              <w:pStyle w:val="Tabletext"/>
              <w:rPr>
                <w:sz w:val="20"/>
                <w:lang w:eastAsia="zh-CN"/>
              </w:rPr>
            </w:pPr>
            <w:r w:rsidRPr="00FA3E53">
              <w:rPr>
                <w:rFonts w:hint="eastAsia"/>
                <w:sz w:val="20"/>
                <w:lang w:eastAsia="zh-CN"/>
              </w:rPr>
              <w:t>在变更管理过程的主要阶段让不同的人员参与进来，以遵守开发者和所有者之间的职责分离原则。</w:t>
            </w:r>
          </w:p>
        </w:tc>
        <w:tc>
          <w:tcPr>
            <w:tcW w:w="1750" w:type="pct"/>
            <w:shd w:val="clear" w:color="auto" w:fill="auto"/>
          </w:tcPr>
          <w:p w14:paraId="7A6E4A26" w14:textId="53C6BD99" w:rsidR="003D7FF0" w:rsidRPr="00536D01" w:rsidRDefault="003F21EE" w:rsidP="00786ECB">
            <w:pPr>
              <w:pStyle w:val="Tabletext"/>
              <w:rPr>
                <w:sz w:val="20"/>
                <w:lang w:eastAsia="zh-CN"/>
              </w:rPr>
            </w:pPr>
            <w:r w:rsidRPr="003F21EE">
              <w:rPr>
                <w:rFonts w:hint="eastAsia"/>
                <w:sz w:val="20"/>
                <w:lang w:eastAsia="zh-CN"/>
              </w:rPr>
              <w:t>截至</w:t>
            </w:r>
            <w:r w:rsidRPr="003F21EE">
              <w:rPr>
                <w:rFonts w:hint="eastAsia"/>
                <w:sz w:val="20"/>
                <w:lang w:eastAsia="zh-CN"/>
              </w:rPr>
              <w:t>2025</w:t>
            </w:r>
            <w:r w:rsidRPr="003F21EE">
              <w:rPr>
                <w:rFonts w:hint="eastAsia"/>
                <w:sz w:val="20"/>
                <w:lang w:eastAsia="zh-CN"/>
              </w:rPr>
              <w:t>年</w:t>
            </w:r>
            <w:r w:rsidRPr="003F21EE">
              <w:rPr>
                <w:rFonts w:hint="eastAsia"/>
                <w:sz w:val="20"/>
                <w:lang w:eastAsia="zh-CN"/>
              </w:rPr>
              <w:t>5</w:t>
            </w:r>
            <w:r w:rsidRPr="003F21EE">
              <w:rPr>
                <w:rFonts w:hint="eastAsia"/>
                <w:sz w:val="20"/>
                <w:lang w:eastAsia="zh-CN"/>
              </w:rPr>
              <w:t>月的最新进展：作为加强治理和监督的整体机制，已成立</w:t>
            </w:r>
            <w:r w:rsidRPr="003F21EE">
              <w:rPr>
                <w:rFonts w:hint="eastAsia"/>
                <w:sz w:val="20"/>
                <w:lang w:eastAsia="zh-CN"/>
              </w:rPr>
              <w:t>ICT</w:t>
            </w:r>
            <w:r w:rsidRPr="003F21EE">
              <w:rPr>
                <w:rFonts w:hint="eastAsia"/>
                <w:sz w:val="20"/>
                <w:lang w:eastAsia="zh-CN"/>
              </w:rPr>
              <w:t>治理委员会，确保在重大</w:t>
            </w:r>
            <w:r w:rsidRPr="003F21EE">
              <w:rPr>
                <w:rFonts w:hint="eastAsia"/>
                <w:sz w:val="20"/>
                <w:lang w:eastAsia="zh-CN"/>
              </w:rPr>
              <w:t>IT</w:t>
            </w:r>
            <w:r w:rsidRPr="003F21EE">
              <w:rPr>
                <w:rFonts w:hint="eastAsia"/>
                <w:sz w:val="20"/>
                <w:lang w:eastAsia="zh-CN"/>
              </w:rPr>
              <w:t>项目的不同阶段进行适当的风险管理</w:t>
            </w:r>
            <w:r w:rsidR="00A92B51">
              <w:rPr>
                <w:rFonts w:hint="eastAsia"/>
                <w:sz w:val="20"/>
                <w:lang w:eastAsia="zh-CN"/>
              </w:rPr>
              <w:t>并实施</w:t>
            </w:r>
            <w:r w:rsidRPr="003F21EE">
              <w:rPr>
                <w:rFonts w:hint="eastAsia"/>
                <w:sz w:val="20"/>
                <w:lang w:eastAsia="zh-CN"/>
              </w:rPr>
              <w:t>控制，如适当</w:t>
            </w:r>
            <w:r w:rsidR="00336F34">
              <w:rPr>
                <w:rFonts w:hint="eastAsia"/>
                <w:sz w:val="20"/>
                <w:lang w:eastAsia="zh-CN"/>
              </w:rPr>
              <w:t>的</w:t>
            </w:r>
            <w:r w:rsidRPr="003F21EE">
              <w:rPr>
                <w:rFonts w:hint="eastAsia"/>
                <w:sz w:val="20"/>
                <w:lang w:eastAsia="zh-CN"/>
              </w:rPr>
              <w:t>职责</w:t>
            </w:r>
            <w:r w:rsidR="00336F34" w:rsidRPr="003F21EE">
              <w:rPr>
                <w:rFonts w:hint="eastAsia"/>
                <w:sz w:val="20"/>
                <w:lang w:eastAsia="zh-CN"/>
              </w:rPr>
              <w:t>分离</w:t>
            </w:r>
            <w:r>
              <w:rPr>
                <w:rFonts w:hint="eastAsia"/>
                <w:sz w:val="20"/>
                <w:lang w:eastAsia="zh-CN"/>
              </w:rPr>
              <w:t>。</w:t>
            </w:r>
          </w:p>
          <w:p w14:paraId="741F9B7F" w14:textId="0DBECC8D" w:rsidR="003D7FF0" w:rsidRPr="00536D01" w:rsidRDefault="003F21EE" w:rsidP="00786ECB">
            <w:pPr>
              <w:pStyle w:val="Tabletext"/>
              <w:rPr>
                <w:sz w:val="20"/>
                <w:lang w:eastAsia="zh-CN"/>
              </w:rPr>
            </w:pPr>
            <w:r w:rsidRPr="003F21EE">
              <w:rPr>
                <w:rFonts w:hint="eastAsia"/>
                <w:sz w:val="20"/>
                <w:lang w:eastAsia="zh-CN"/>
              </w:rPr>
              <w:t>项目章程描述了项目不同阶段的角色和职责，包括业务部门、开发团队和</w:t>
            </w:r>
            <w:r w:rsidR="0005089F">
              <w:rPr>
                <w:rFonts w:hint="eastAsia"/>
                <w:sz w:val="20"/>
                <w:lang w:eastAsia="zh-CN"/>
              </w:rPr>
              <w:t>投入</w:t>
            </w:r>
            <w:r w:rsidR="00A92B51">
              <w:rPr>
                <w:rFonts w:hint="eastAsia"/>
                <w:sz w:val="20"/>
                <w:lang w:eastAsia="zh-CN"/>
              </w:rPr>
              <w:t>生产</w:t>
            </w:r>
            <w:r w:rsidRPr="003F21EE">
              <w:rPr>
                <w:rFonts w:hint="eastAsia"/>
                <w:sz w:val="20"/>
                <w:lang w:eastAsia="zh-CN"/>
              </w:rPr>
              <w:t>。</w:t>
            </w:r>
          </w:p>
          <w:p w14:paraId="7B9D558A" w14:textId="2E55AC74" w:rsidR="003D7FF0" w:rsidRPr="00536D01" w:rsidRDefault="003F21EE" w:rsidP="00786ECB">
            <w:pPr>
              <w:pStyle w:val="Tabletext"/>
              <w:rPr>
                <w:sz w:val="20"/>
                <w:lang w:eastAsia="zh-CN"/>
              </w:rPr>
            </w:pPr>
            <w:r w:rsidRPr="003F21EE">
              <w:rPr>
                <w:rFonts w:hint="eastAsia"/>
                <w:sz w:val="20"/>
                <w:lang w:eastAsia="zh-CN"/>
              </w:rPr>
              <w:t>国际电联建议结束本建议。</w:t>
            </w:r>
          </w:p>
        </w:tc>
        <w:tc>
          <w:tcPr>
            <w:tcW w:w="1050" w:type="pct"/>
            <w:shd w:val="clear" w:color="auto" w:fill="auto"/>
          </w:tcPr>
          <w:p w14:paraId="5DE77974" w14:textId="7CBE2B7D" w:rsidR="003D7FF0" w:rsidRPr="00536D01" w:rsidRDefault="003F21EE" w:rsidP="00786ECB">
            <w:pPr>
              <w:pStyle w:val="Tabletext"/>
              <w:rPr>
                <w:sz w:val="20"/>
                <w:lang w:eastAsia="zh-CN"/>
              </w:rPr>
            </w:pPr>
            <w:r w:rsidRPr="003F21EE">
              <w:rPr>
                <w:rFonts w:hint="eastAsia"/>
                <w:sz w:val="20"/>
                <w:lang w:eastAsia="zh-CN"/>
              </w:rPr>
              <w:t>注意到最新回应</w:t>
            </w:r>
            <w:r w:rsidR="00336F34">
              <w:rPr>
                <w:rFonts w:hint="eastAsia"/>
                <w:sz w:val="20"/>
                <w:lang w:eastAsia="zh-CN"/>
              </w:rPr>
              <w:t>，</w:t>
            </w:r>
            <w:r w:rsidRPr="003F21EE">
              <w:rPr>
                <w:rFonts w:hint="eastAsia"/>
                <w:sz w:val="20"/>
                <w:lang w:eastAsia="zh-CN"/>
              </w:rPr>
              <w:t>并认为是合理的。正如本报告第</w:t>
            </w:r>
            <w:r w:rsidRPr="003F21EE">
              <w:rPr>
                <w:rFonts w:hint="eastAsia"/>
                <w:sz w:val="20"/>
                <w:lang w:eastAsia="zh-CN"/>
              </w:rPr>
              <w:t>2</w:t>
            </w:r>
            <w:r w:rsidRPr="003F21EE">
              <w:rPr>
                <w:rFonts w:hint="eastAsia"/>
                <w:sz w:val="20"/>
                <w:lang w:eastAsia="zh-CN"/>
              </w:rPr>
              <w:t>部分所强调，我们考虑了管理层为确保其</w:t>
            </w:r>
            <w:r w:rsidRPr="003F21EE">
              <w:rPr>
                <w:rFonts w:hint="eastAsia"/>
                <w:sz w:val="20"/>
                <w:lang w:eastAsia="zh-CN"/>
              </w:rPr>
              <w:t>IT</w:t>
            </w:r>
            <w:r w:rsidRPr="003F21EE">
              <w:rPr>
                <w:rFonts w:hint="eastAsia"/>
                <w:sz w:val="20"/>
                <w:lang w:eastAsia="zh-CN"/>
              </w:rPr>
              <w:t>环境所做的总体安排，并在本报告中提出了相关新建议。</w:t>
            </w:r>
          </w:p>
        </w:tc>
        <w:tc>
          <w:tcPr>
            <w:tcW w:w="450" w:type="pct"/>
            <w:shd w:val="clear" w:color="auto" w:fill="auto"/>
          </w:tcPr>
          <w:p w14:paraId="142B4DC1" w14:textId="7FE6F28C" w:rsidR="003D7FF0" w:rsidRPr="00536D01" w:rsidRDefault="00A62A5A" w:rsidP="00786ECB">
            <w:pPr>
              <w:pStyle w:val="Tabletext"/>
              <w:rPr>
                <w:sz w:val="20"/>
              </w:rPr>
            </w:pPr>
            <w:r>
              <w:rPr>
                <w:rFonts w:ascii="SimSun" w:eastAsia="SimSun" w:hAnsi="SimSun" w:cs="SimSun" w:hint="eastAsia"/>
                <w:color w:val="000000"/>
                <w:sz w:val="20"/>
                <w:lang w:eastAsia="zh-CN"/>
              </w:rPr>
              <w:t>已关闭。</w:t>
            </w:r>
          </w:p>
        </w:tc>
      </w:tr>
      <w:tr w:rsidR="003D7FF0" w:rsidRPr="00536D01" w14:paraId="06240CA6" w14:textId="77777777" w:rsidTr="00E6035E">
        <w:tc>
          <w:tcPr>
            <w:tcW w:w="300" w:type="pct"/>
            <w:shd w:val="clear" w:color="auto" w:fill="auto"/>
          </w:tcPr>
          <w:p w14:paraId="6ACB26F6" w14:textId="77777777" w:rsidR="003D7FF0" w:rsidRPr="00536D01" w:rsidRDefault="003D7FF0" w:rsidP="00786ECB">
            <w:pPr>
              <w:pStyle w:val="Tabletext"/>
              <w:rPr>
                <w:sz w:val="20"/>
              </w:rPr>
            </w:pPr>
            <w:r w:rsidRPr="00536D01">
              <w:rPr>
                <w:sz w:val="20"/>
              </w:rPr>
              <w:t>2021 R#37</w:t>
            </w:r>
          </w:p>
        </w:tc>
        <w:tc>
          <w:tcPr>
            <w:tcW w:w="1450" w:type="pct"/>
            <w:shd w:val="clear" w:color="auto" w:fill="auto"/>
          </w:tcPr>
          <w:p w14:paraId="0EA2965E" w14:textId="231BF8FC" w:rsidR="003D7FF0" w:rsidRPr="00536D01" w:rsidRDefault="00FA3E53" w:rsidP="00786ECB">
            <w:pPr>
              <w:pStyle w:val="Tabletext"/>
              <w:rPr>
                <w:sz w:val="20"/>
                <w:lang w:eastAsia="zh-CN"/>
              </w:rPr>
            </w:pPr>
            <w:r w:rsidRPr="00FA3E53">
              <w:rPr>
                <w:rFonts w:hint="eastAsia"/>
                <w:sz w:val="20"/>
                <w:lang w:eastAsia="zh-CN"/>
              </w:rPr>
              <w:t>定期执行数据库的打补丁程序，以安装供应商发布的更新。</w:t>
            </w:r>
          </w:p>
        </w:tc>
        <w:tc>
          <w:tcPr>
            <w:tcW w:w="1750" w:type="pct"/>
            <w:shd w:val="clear" w:color="auto" w:fill="auto"/>
          </w:tcPr>
          <w:p w14:paraId="0E6F5650" w14:textId="2DA852F1" w:rsidR="003D7FF0" w:rsidRPr="00536D01" w:rsidRDefault="003F21EE" w:rsidP="00786ECB">
            <w:pPr>
              <w:pStyle w:val="Tabletext"/>
              <w:rPr>
                <w:sz w:val="20"/>
                <w:lang w:eastAsia="zh-CN"/>
              </w:rPr>
            </w:pPr>
            <w:r w:rsidRPr="003F21EE">
              <w:rPr>
                <w:rFonts w:hint="eastAsia"/>
                <w:sz w:val="20"/>
                <w:lang w:eastAsia="zh-CN"/>
              </w:rPr>
              <w:t>截至</w:t>
            </w:r>
            <w:r w:rsidRPr="003F21EE">
              <w:rPr>
                <w:rFonts w:hint="eastAsia"/>
                <w:sz w:val="20"/>
                <w:lang w:eastAsia="zh-CN"/>
              </w:rPr>
              <w:t>2025</w:t>
            </w:r>
            <w:r w:rsidRPr="003F21EE">
              <w:rPr>
                <w:rFonts w:hint="eastAsia"/>
                <w:sz w:val="20"/>
                <w:lang w:eastAsia="zh-CN"/>
              </w:rPr>
              <w:t>年</w:t>
            </w:r>
            <w:r w:rsidRPr="003F21EE">
              <w:rPr>
                <w:rFonts w:hint="eastAsia"/>
                <w:sz w:val="20"/>
                <w:lang w:eastAsia="zh-CN"/>
              </w:rPr>
              <w:t>5</w:t>
            </w:r>
            <w:r w:rsidRPr="003F21EE">
              <w:rPr>
                <w:rFonts w:hint="eastAsia"/>
                <w:sz w:val="20"/>
                <w:lang w:eastAsia="zh-CN"/>
              </w:rPr>
              <w:t>月的更新：服务器和数据库环境的修补现在</w:t>
            </w:r>
            <w:r w:rsidR="00336F34">
              <w:rPr>
                <w:rFonts w:hint="eastAsia"/>
                <w:sz w:val="20"/>
                <w:lang w:eastAsia="zh-CN"/>
              </w:rPr>
              <w:t>属于</w:t>
            </w:r>
            <w:r w:rsidRPr="003F21EE">
              <w:rPr>
                <w:rFonts w:hint="eastAsia"/>
                <w:sz w:val="20"/>
                <w:lang w:eastAsia="zh-CN"/>
              </w:rPr>
              <w:t>IS</w:t>
            </w:r>
            <w:r w:rsidRPr="003F21EE">
              <w:rPr>
                <w:rFonts w:hint="eastAsia"/>
                <w:sz w:val="20"/>
                <w:lang w:eastAsia="zh-CN"/>
              </w:rPr>
              <w:t>部</w:t>
            </w:r>
            <w:r w:rsidR="00336F34">
              <w:rPr>
                <w:rFonts w:hint="eastAsia"/>
                <w:sz w:val="20"/>
                <w:lang w:eastAsia="zh-CN"/>
              </w:rPr>
              <w:t>门</w:t>
            </w:r>
            <w:r w:rsidRPr="003F21EE">
              <w:rPr>
                <w:rFonts w:hint="eastAsia"/>
                <w:sz w:val="20"/>
                <w:lang w:eastAsia="zh-CN"/>
              </w:rPr>
              <w:t>自动修补程序的一部分，每月运行一次。</w:t>
            </w:r>
          </w:p>
          <w:p w14:paraId="604EFD73" w14:textId="127CAD1C" w:rsidR="003D7FF0" w:rsidRPr="00536D01" w:rsidRDefault="003F21EE" w:rsidP="00786ECB">
            <w:pPr>
              <w:pStyle w:val="Tabletext"/>
              <w:rPr>
                <w:sz w:val="20"/>
                <w:lang w:eastAsia="zh-CN"/>
              </w:rPr>
            </w:pPr>
            <w:r w:rsidRPr="003F21EE">
              <w:rPr>
                <w:rFonts w:hint="eastAsia"/>
                <w:sz w:val="20"/>
                <w:lang w:eastAsia="zh-CN"/>
              </w:rPr>
              <w:t>国际电联建议结束本建议。</w:t>
            </w:r>
          </w:p>
        </w:tc>
        <w:tc>
          <w:tcPr>
            <w:tcW w:w="1050" w:type="pct"/>
            <w:shd w:val="clear" w:color="auto" w:fill="auto"/>
          </w:tcPr>
          <w:p w14:paraId="515DFC11" w14:textId="375B198D" w:rsidR="003D7FF0" w:rsidRPr="00536D01" w:rsidRDefault="003F21EE" w:rsidP="00786ECB">
            <w:pPr>
              <w:pStyle w:val="Tabletext"/>
              <w:rPr>
                <w:sz w:val="20"/>
                <w:lang w:eastAsia="zh-CN"/>
              </w:rPr>
            </w:pPr>
            <w:r w:rsidRPr="003F21EE">
              <w:rPr>
                <w:rFonts w:hint="eastAsia"/>
                <w:sz w:val="20"/>
                <w:lang w:eastAsia="zh-CN"/>
              </w:rPr>
              <w:t>注意到最新回应</w:t>
            </w:r>
            <w:r w:rsidR="00336F34">
              <w:rPr>
                <w:rFonts w:hint="eastAsia"/>
                <w:sz w:val="20"/>
                <w:lang w:eastAsia="zh-CN"/>
              </w:rPr>
              <w:t>，</w:t>
            </w:r>
            <w:r w:rsidRPr="003F21EE">
              <w:rPr>
                <w:rFonts w:hint="eastAsia"/>
                <w:sz w:val="20"/>
                <w:lang w:eastAsia="zh-CN"/>
              </w:rPr>
              <w:t>并认为是合理的。正如本报告第</w:t>
            </w:r>
            <w:r w:rsidRPr="003F21EE">
              <w:rPr>
                <w:rFonts w:hint="eastAsia"/>
                <w:sz w:val="20"/>
                <w:lang w:eastAsia="zh-CN"/>
              </w:rPr>
              <w:t>2</w:t>
            </w:r>
            <w:r w:rsidRPr="003F21EE">
              <w:rPr>
                <w:rFonts w:hint="eastAsia"/>
                <w:sz w:val="20"/>
                <w:lang w:eastAsia="zh-CN"/>
              </w:rPr>
              <w:t>部分所强调，我们考虑了管理层为确保其</w:t>
            </w:r>
            <w:r w:rsidRPr="003F21EE">
              <w:rPr>
                <w:rFonts w:hint="eastAsia"/>
                <w:sz w:val="20"/>
                <w:lang w:eastAsia="zh-CN"/>
              </w:rPr>
              <w:t>IT</w:t>
            </w:r>
            <w:r w:rsidRPr="003F21EE">
              <w:rPr>
                <w:rFonts w:hint="eastAsia"/>
                <w:sz w:val="20"/>
                <w:lang w:eastAsia="zh-CN"/>
              </w:rPr>
              <w:t>环境所做的总体安排，并在本报告中提出了相关新建议。</w:t>
            </w:r>
          </w:p>
        </w:tc>
        <w:tc>
          <w:tcPr>
            <w:tcW w:w="450" w:type="pct"/>
            <w:shd w:val="clear" w:color="auto" w:fill="auto"/>
          </w:tcPr>
          <w:p w14:paraId="1D9C0978" w14:textId="7DC6DBA0" w:rsidR="003D7FF0" w:rsidRPr="00536D01" w:rsidRDefault="00A62A5A" w:rsidP="00786ECB">
            <w:pPr>
              <w:pStyle w:val="Tabletext"/>
              <w:rPr>
                <w:sz w:val="20"/>
              </w:rPr>
            </w:pPr>
            <w:r>
              <w:rPr>
                <w:rFonts w:ascii="SimSun" w:eastAsia="SimSun" w:hAnsi="SimSun" w:cs="SimSun" w:hint="eastAsia"/>
                <w:color w:val="000000"/>
                <w:sz w:val="20"/>
                <w:lang w:eastAsia="zh-CN"/>
              </w:rPr>
              <w:t>已关闭。</w:t>
            </w:r>
          </w:p>
        </w:tc>
      </w:tr>
      <w:tr w:rsidR="003D7FF0" w:rsidRPr="00536D01" w14:paraId="0A4A4FAA" w14:textId="77777777" w:rsidTr="00E6035E">
        <w:tc>
          <w:tcPr>
            <w:tcW w:w="300" w:type="pct"/>
            <w:shd w:val="clear" w:color="auto" w:fill="auto"/>
          </w:tcPr>
          <w:p w14:paraId="3005FDCB" w14:textId="77777777" w:rsidR="003D7FF0" w:rsidRPr="00E10D31" w:rsidRDefault="003D7FF0" w:rsidP="00786ECB">
            <w:pPr>
              <w:pStyle w:val="Tabletext"/>
              <w:rPr>
                <w:sz w:val="20"/>
              </w:rPr>
            </w:pPr>
            <w:r w:rsidRPr="00E10D31">
              <w:rPr>
                <w:sz w:val="20"/>
              </w:rPr>
              <w:t>2021 R#38</w:t>
            </w:r>
          </w:p>
        </w:tc>
        <w:tc>
          <w:tcPr>
            <w:tcW w:w="1450" w:type="pct"/>
            <w:shd w:val="clear" w:color="auto" w:fill="auto"/>
          </w:tcPr>
          <w:p w14:paraId="70E62524" w14:textId="631CF5C9" w:rsidR="003D7FF0" w:rsidRPr="00E10D31" w:rsidRDefault="00FA3E53" w:rsidP="00786ECB">
            <w:pPr>
              <w:pStyle w:val="Tabletext"/>
              <w:rPr>
                <w:sz w:val="20"/>
                <w:lang w:eastAsia="zh-CN"/>
              </w:rPr>
            </w:pPr>
            <w:r w:rsidRPr="00E10D31">
              <w:rPr>
                <w:rFonts w:hint="eastAsia"/>
                <w:sz w:val="20"/>
                <w:lang w:eastAsia="zh-CN"/>
              </w:rPr>
              <w:t>用户调配过程中的批准阶段应始终记录在案，并遵循该程序，以遵守规定的必要步骤。</w:t>
            </w:r>
          </w:p>
        </w:tc>
        <w:tc>
          <w:tcPr>
            <w:tcW w:w="1750" w:type="pct"/>
            <w:shd w:val="clear" w:color="auto" w:fill="auto"/>
          </w:tcPr>
          <w:p w14:paraId="482BD275" w14:textId="55F7E982" w:rsidR="003D7FF0" w:rsidRPr="00E10D31" w:rsidRDefault="003F21EE" w:rsidP="00786ECB">
            <w:pPr>
              <w:pStyle w:val="Tabletext"/>
              <w:rPr>
                <w:sz w:val="20"/>
                <w:lang w:eastAsia="zh-CN"/>
              </w:rPr>
            </w:pPr>
            <w:r w:rsidRPr="00E10D31">
              <w:rPr>
                <w:rFonts w:hint="eastAsia"/>
                <w:sz w:val="20"/>
                <w:lang w:eastAsia="zh-CN"/>
              </w:rPr>
              <w:t>截至</w:t>
            </w:r>
            <w:r w:rsidRPr="00E10D31">
              <w:rPr>
                <w:rFonts w:hint="eastAsia"/>
                <w:sz w:val="20"/>
                <w:lang w:eastAsia="zh-CN"/>
              </w:rPr>
              <w:t>2025</w:t>
            </w:r>
            <w:r w:rsidRPr="00E10D31">
              <w:rPr>
                <w:rFonts w:hint="eastAsia"/>
                <w:sz w:val="20"/>
                <w:lang w:eastAsia="zh-CN"/>
              </w:rPr>
              <w:t>年</w:t>
            </w:r>
            <w:r w:rsidRPr="00E10D31">
              <w:rPr>
                <w:rFonts w:hint="eastAsia"/>
                <w:sz w:val="20"/>
                <w:lang w:eastAsia="zh-CN"/>
              </w:rPr>
              <w:t>5</w:t>
            </w:r>
            <w:r w:rsidRPr="00E10D31">
              <w:rPr>
                <w:rFonts w:hint="eastAsia"/>
                <w:sz w:val="20"/>
                <w:lang w:eastAsia="zh-CN"/>
              </w:rPr>
              <w:t>月的最新进展：</w:t>
            </w:r>
            <w:r w:rsidR="003A5506" w:rsidRPr="00E10D31">
              <w:rPr>
                <w:rFonts w:hint="eastAsia"/>
                <w:sz w:val="20"/>
                <w:lang w:eastAsia="zh-CN"/>
              </w:rPr>
              <w:t>一直在持续加强该</w:t>
            </w:r>
            <w:r w:rsidRPr="00E10D31">
              <w:rPr>
                <w:rFonts w:hint="eastAsia"/>
                <w:sz w:val="20"/>
                <w:lang w:eastAsia="zh-CN"/>
              </w:rPr>
              <w:t>流程，包括记录提供用户访问的情况。</w:t>
            </w:r>
          </w:p>
          <w:p w14:paraId="5435C06C" w14:textId="0015C476" w:rsidR="003D7FF0" w:rsidRPr="00E10D31" w:rsidRDefault="003F21EE" w:rsidP="00786ECB">
            <w:pPr>
              <w:pStyle w:val="Tabletext"/>
              <w:rPr>
                <w:sz w:val="20"/>
                <w:lang w:eastAsia="zh-CN"/>
              </w:rPr>
            </w:pPr>
            <w:r w:rsidRPr="00E10D31">
              <w:rPr>
                <w:rFonts w:hint="eastAsia"/>
                <w:sz w:val="20"/>
                <w:lang w:eastAsia="zh-CN"/>
              </w:rPr>
              <w:t>国际电联建议结束本建议。</w:t>
            </w:r>
          </w:p>
        </w:tc>
        <w:tc>
          <w:tcPr>
            <w:tcW w:w="1050" w:type="pct"/>
            <w:shd w:val="clear" w:color="auto" w:fill="auto"/>
          </w:tcPr>
          <w:p w14:paraId="2D23DAFC" w14:textId="0B452571" w:rsidR="003D7FF0" w:rsidRPr="00E10D31" w:rsidRDefault="003F21EE" w:rsidP="00786ECB">
            <w:pPr>
              <w:pStyle w:val="Tabletext"/>
              <w:rPr>
                <w:sz w:val="20"/>
                <w:lang w:eastAsia="zh-CN"/>
              </w:rPr>
            </w:pPr>
            <w:r w:rsidRPr="00E10D31">
              <w:rPr>
                <w:rFonts w:hint="eastAsia"/>
                <w:sz w:val="20"/>
                <w:lang w:eastAsia="zh-CN"/>
              </w:rPr>
              <w:t>注意到最新回应</w:t>
            </w:r>
            <w:r w:rsidR="00336F34" w:rsidRPr="00E10D31">
              <w:rPr>
                <w:rFonts w:hint="eastAsia"/>
                <w:sz w:val="20"/>
                <w:lang w:eastAsia="zh-CN"/>
              </w:rPr>
              <w:t>，</w:t>
            </w:r>
            <w:r w:rsidRPr="00E10D31">
              <w:rPr>
                <w:rFonts w:hint="eastAsia"/>
                <w:sz w:val="20"/>
                <w:lang w:eastAsia="zh-CN"/>
              </w:rPr>
              <w:t>并认为是合理的。正如本报告第</w:t>
            </w:r>
            <w:r w:rsidRPr="00E10D31">
              <w:rPr>
                <w:rFonts w:hint="eastAsia"/>
                <w:sz w:val="20"/>
                <w:lang w:eastAsia="zh-CN"/>
              </w:rPr>
              <w:t>2</w:t>
            </w:r>
            <w:r w:rsidRPr="00E10D31">
              <w:rPr>
                <w:rFonts w:hint="eastAsia"/>
                <w:sz w:val="20"/>
                <w:lang w:eastAsia="zh-CN"/>
              </w:rPr>
              <w:t>部分所强调，我们考虑了管理层为确保其</w:t>
            </w:r>
            <w:r w:rsidRPr="00E10D31">
              <w:rPr>
                <w:rFonts w:hint="eastAsia"/>
                <w:sz w:val="20"/>
                <w:lang w:eastAsia="zh-CN"/>
              </w:rPr>
              <w:t>IT</w:t>
            </w:r>
            <w:r w:rsidRPr="00E10D31">
              <w:rPr>
                <w:rFonts w:hint="eastAsia"/>
                <w:sz w:val="20"/>
                <w:lang w:eastAsia="zh-CN"/>
              </w:rPr>
              <w:t>环境所做的总体安排，并在本报告中提出了相关新建议。</w:t>
            </w:r>
          </w:p>
        </w:tc>
        <w:tc>
          <w:tcPr>
            <w:tcW w:w="450" w:type="pct"/>
            <w:shd w:val="clear" w:color="auto" w:fill="auto"/>
          </w:tcPr>
          <w:p w14:paraId="5394B0AA" w14:textId="672AF33A" w:rsidR="003D7FF0" w:rsidRPr="00E10D31" w:rsidRDefault="00A62A5A" w:rsidP="00786ECB">
            <w:pPr>
              <w:pStyle w:val="Tabletext"/>
              <w:rPr>
                <w:sz w:val="20"/>
              </w:rPr>
            </w:pPr>
            <w:r>
              <w:rPr>
                <w:rFonts w:ascii="SimSun" w:eastAsia="SimSun" w:hAnsi="SimSun" w:cs="SimSun" w:hint="eastAsia"/>
                <w:color w:val="000000"/>
                <w:sz w:val="20"/>
                <w:lang w:eastAsia="zh-CN"/>
              </w:rPr>
              <w:t>已关闭。</w:t>
            </w:r>
          </w:p>
        </w:tc>
      </w:tr>
      <w:bookmarkEnd w:id="3"/>
      <w:bookmarkEnd w:id="4"/>
      <w:bookmarkEnd w:id="5"/>
      <w:bookmarkEnd w:id="10"/>
      <w:tr w:rsidR="002F2E4B" w:rsidRPr="00536D01" w14:paraId="562DFCD8" w14:textId="77777777" w:rsidTr="0011737E">
        <w:tc>
          <w:tcPr>
            <w:tcW w:w="300" w:type="pct"/>
            <w:shd w:val="clear" w:color="auto" w:fill="auto"/>
          </w:tcPr>
          <w:p w14:paraId="25BC8BBA" w14:textId="3E7869DB" w:rsidR="002F2E4B" w:rsidRPr="008B1FF1" w:rsidRDefault="002F2E4B" w:rsidP="002F2E4B">
            <w:pPr>
              <w:pStyle w:val="Tabletext"/>
              <w:rPr>
                <w:sz w:val="20"/>
              </w:rPr>
            </w:pPr>
            <w:r w:rsidRPr="008B1FF1">
              <w:rPr>
                <w:rFonts w:asciiTheme="minorHAnsi" w:hAnsiTheme="minorHAnsi" w:cstheme="minorHAnsi"/>
                <w:sz w:val="20"/>
              </w:rPr>
              <w:t>2021 R#39</w:t>
            </w:r>
          </w:p>
        </w:tc>
        <w:tc>
          <w:tcPr>
            <w:tcW w:w="1450" w:type="pct"/>
            <w:shd w:val="clear" w:color="auto" w:fill="auto"/>
          </w:tcPr>
          <w:p w14:paraId="4D491711" w14:textId="0B302A36" w:rsidR="002F2E4B" w:rsidRPr="008B1FF1" w:rsidRDefault="002F2E4B" w:rsidP="002F2E4B">
            <w:pPr>
              <w:pStyle w:val="Tabletext"/>
              <w:rPr>
                <w:sz w:val="20"/>
                <w:lang w:eastAsia="zh-CN"/>
              </w:rPr>
            </w:pPr>
            <w:r w:rsidRPr="008B1FF1">
              <w:rPr>
                <w:rFonts w:asciiTheme="minorHAnsi" w:hAnsiTheme="minorHAnsi" w:cstheme="minorHAnsi"/>
                <w:sz w:val="20"/>
                <w:lang w:eastAsia="zh-CN"/>
              </w:rPr>
              <w:t>至少每年对</w:t>
            </w:r>
            <w:r w:rsidRPr="008B1FF1">
              <w:rPr>
                <w:rFonts w:asciiTheme="minorHAnsi" w:hAnsiTheme="minorHAnsi" w:cstheme="minorHAnsi"/>
                <w:sz w:val="20"/>
                <w:lang w:eastAsia="zh-CN"/>
              </w:rPr>
              <w:t>SAP ERP</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010</w:t>
            </w:r>
            <w:r w:rsidRPr="008B1FF1">
              <w:rPr>
                <w:rFonts w:asciiTheme="minorHAnsi" w:hAnsiTheme="minorHAnsi" w:cstheme="minorHAnsi"/>
                <w:sz w:val="20"/>
                <w:lang w:eastAsia="zh-CN"/>
              </w:rPr>
              <w:t>）上的所有现有用户进行备案的访问权限审查。</w:t>
            </w:r>
          </w:p>
        </w:tc>
        <w:tc>
          <w:tcPr>
            <w:tcW w:w="1750" w:type="pct"/>
            <w:shd w:val="clear" w:color="auto" w:fill="auto"/>
          </w:tcPr>
          <w:p w14:paraId="38C93E67" w14:textId="3512808A"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月的最新进展：这一进程的强化工作一直在持续进行。</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年聘请了一家外部专家公司对我们的</w:t>
            </w:r>
            <w:r w:rsidRPr="008B1FF1">
              <w:rPr>
                <w:rFonts w:asciiTheme="minorHAnsi" w:hAnsiTheme="minorHAnsi" w:cstheme="minorHAnsi"/>
                <w:sz w:val="20"/>
                <w:lang w:eastAsia="zh-CN"/>
              </w:rPr>
              <w:t>ERP</w:t>
            </w:r>
            <w:r w:rsidRPr="008B1FF1">
              <w:rPr>
                <w:rFonts w:asciiTheme="minorHAnsi" w:hAnsiTheme="minorHAnsi" w:cstheme="minorHAnsi"/>
                <w:sz w:val="20"/>
                <w:lang w:eastAsia="zh-CN"/>
              </w:rPr>
              <w:t>系统（包括访问权限）进行最新的深入全面审查。我们计划在</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年进行下一次此类审查。</w:t>
            </w:r>
          </w:p>
          <w:p w14:paraId="05E84AF9" w14:textId="1B6BD973"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3B90F36C" w14:textId="772442D2" w:rsidR="002F2E4B" w:rsidRPr="008B1FF1" w:rsidRDefault="002F2E4B" w:rsidP="002F2E4B">
            <w:pPr>
              <w:pStyle w:val="Tabletext"/>
              <w:rPr>
                <w:sz w:val="20"/>
                <w:lang w:eastAsia="zh-CN"/>
              </w:rPr>
            </w:pPr>
            <w:r w:rsidRPr="008B1FF1">
              <w:rPr>
                <w:rFonts w:asciiTheme="minorHAnsi" w:hAnsiTheme="minorHAnsi" w:cstheme="minorHAnsi"/>
                <w:sz w:val="20"/>
                <w:lang w:eastAsia="zh-CN"/>
              </w:rPr>
              <w:t>注意到最新的回应并认为是合理的。正如本报告第</w:t>
            </w:r>
            <w:r w:rsidRPr="008B1FF1">
              <w:rPr>
                <w:rFonts w:asciiTheme="minorHAnsi" w:hAnsiTheme="minorHAnsi" w:cstheme="minorHAnsi"/>
                <w:sz w:val="20"/>
                <w:lang w:eastAsia="zh-CN"/>
              </w:rPr>
              <w:t>2</w:t>
            </w:r>
            <w:r w:rsidRPr="008B1FF1">
              <w:rPr>
                <w:rFonts w:asciiTheme="minorHAnsi" w:hAnsiTheme="minorHAnsi" w:cstheme="minorHAnsi"/>
                <w:sz w:val="20"/>
                <w:lang w:eastAsia="zh-CN"/>
              </w:rPr>
              <w:t>部分所强调的，我们考虑了管理层为确保其</w:t>
            </w:r>
            <w:r w:rsidRPr="008B1FF1">
              <w:rPr>
                <w:rFonts w:asciiTheme="minorHAnsi" w:hAnsiTheme="minorHAnsi" w:cstheme="minorHAnsi"/>
                <w:sz w:val="20"/>
                <w:lang w:eastAsia="zh-CN"/>
              </w:rPr>
              <w:t>IT</w:t>
            </w:r>
            <w:r w:rsidRPr="008B1FF1">
              <w:rPr>
                <w:rFonts w:asciiTheme="minorHAnsi" w:hAnsiTheme="minorHAnsi" w:cstheme="minorHAnsi"/>
                <w:sz w:val="20"/>
                <w:lang w:eastAsia="zh-CN"/>
              </w:rPr>
              <w:t>环境所做的总体安排，并在本报告中提出了相关的新建议。</w:t>
            </w:r>
          </w:p>
        </w:tc>
        <w:tc>
          <w:tcPr>
            <w:tcW w:w="450" w:type="pct"/>
            <w:shd w:val="clear" w:color="auto" w:fill="auto"/>
          </w:tcPr>
          <w:p w14:paraId="42D73C38" w14:textId="2C5E929D" w:rsidR="002F2E4B" w:rsidRPr="008B1FF1" w:rsidRDefault="00A62A5A" w:rsidP="002F2E4B">
            <w:pPr>
              <w:pStyle w:val="Tabletext"/>
              <w:rPr>
                <w:sz w:val="20"/>
              </w:rPr>
            </w:pPr>
            <w:r>
              <w:rPr>
                <w:rFonts w:ascii="SimSun" w:eastAsia="SimSun" w:hAnsi="SimSun" w:cs="SimSun" w:hint="eastAsia"/>
                <w:color w:val="000000"/>
                <w:sz w:val="20"/>
                <w:lang w:eastAsia="zh-CN"/>
              </w:rPr>
              <w:t>已关闭。</w:t>
            </w:r>
          </w:p>
        </w:tc>
      </w:tr>
      <w:tr w:rsidR="002F2E4B" w:rsidRPr="00536D01" w14:paraId="0E754807" w14:textId="77777777" w:rsidTr="0011737E">
        <w:tc>
          <w:tcPr>
            <w:tcW w:w="300" w:type="pct"/>
            <w:shd w:val="clear" w:color="auto" w:fill="auto"/>
          </w:tcPr>
          <w:p w14:paraId="3D49D5C4" w14:textId="1A0FFAB3" w:rsidR="002F2E4B" w:rsidRPr="008B1FF1" w:rsidRDefault="002F2E4B" w:rsidP="002F2E4B">
            <w:pPr>
              <w:pStyle w:val="Tabletext"/>
              <w:rPr>
                <w:sz w:val="20"/>
              </w:rPr>
            </w:pPr>
            <w:r w:rsidRPr="008B1FF1">
              <w:rPr>
                <w:rFonts w:asciiTheme="minorHAnsi" w:hAnsiTheme="minorHAnsi" w:cstheme="minorHAnsi"/>
                <w:sz w:val="20"/>
              </w:rPr>
              <w:lastRenderedPageBreak/>
              <w:t>2021 R#40</w:t>
            </w:r>
          </w:p>
        </w:tc>
        <w:tc>
          <w:tcPr>
            <w:tcW w:w="1450" w:type="pct"/>
            <w:shd w:val="clear" w:color="auto" w:fill="auto"/>
          </w:tcPr>
          <w:p w14:paraId="549A9E3D" w14:textId="2103E170" w:rsidR="002F2E4B" w:rsidRPr="008B1FF1" w:rsidRDefault="002F2E4B" w:rsidP="002F2E4B">
            <w:pPr>
              <w:pStyle w:val="Tabletext"/>
              <w:rPr>
                <w:sz w:val="20"/>
                <w:lang w:eastAsia="zh-CN"/>
              </w:rPr>
            </w:pPr>
            <w:r w:rsidRPr="008B1FF1">
              <w:rPr>
                <w:rFonts w:asciiTheme="minorHAnsi" w:hAnsiTheme="minorHAnsi" w:cstheme="minorHAnsi"/>
                <w:sz w:val="20"/>
                <w:lang w:eastAsia="zh-CN"/>
              </w:rPr>
              <w:t>通过日志监测，定期在财年内对</w:t>
            </w:r>
            <w:r w:rsidRPr="008B1FF1">
              <w:rPr>
                <w:rFonts w:ascii="SimSun" w:eastAsia="SimSun" w:hAnsi="SimSun" w:cstheme="minorHAnsi"/>
                <w:sz w:val="20"/>
                <w:lang w:eastAsia="zh-CN"/>
              </w:rPr>
              <w:t>“</w:t>
            </w:r>
            <w:r w:rsidRPr="008B1FF1">
              <w:rPr>
                <w:rFonts w:asciiTheme="minorHAnsi" w:hAnsiTheme="minorHAnsi" w:cstheme="minorHAnsi"/>
                <w:sz w:val="20"/>
                <w:lang w:eastAsia="zh-CN"/>
              </w:rPr>
              <w:t>超级用户</w:t>
            </w:r>
            <w:r w:rsidRPr="008B1FF1">
              <w:rPr>
                <w:rFonts w:ascii="SimSun" w:eastAsia="SimSun" w:hAnsi="SimSun" w:cstheme="minorHAnsi"/>
                <w:sz w:val="20"/>
                <w:lang w:eastAsia="zh-CN"/>
              </w:rPr>
              <w:t>”</w:t>
            </w:r>
            <w:r w:rsidRPr="008B1FF1">
              <w:rPr>
                <w:rFonts w:asciiTheme="minorHAnsi" w:hAnsiTheme="minorHAnsi" w:cstheme="minorHAnsi"/>
                <w:sz w:val="20"/>
                <w:lang w:eastAsia="zh-CN"/>
              </w:rPr>
              <w:t>执行的活动进行书面审查。</w:t>
            </w:r>
          </w:p>
        </w:tc>
        <w:tc>
          <w:tcPr>
            <w:tcW w:w="1750" w:type="pct"/>
            <w:shd w:val="clear" w:color="auto" w:fill="auto"/>
          </w:tcPr>
          <w:p w14:paraId="02111B9E" w14:textId="21DA0008"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月的最新进展：这一进程的强化工作一直在持续进行。</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年聘请了一家外部专家公司对我们的</w:t>
            </w:r>
            <w:r w:rsidRPr="008B1FF1">
              <w:rPr>
                <w:rFonts w:asciiTheme="minorHAnsi" w:hAnsiTheme="minorHAnsi" w:cstheme="minorHAnsi"/>
                <w:sz w:val="20"/>
                <w:lang w:eastAsia="zh-CN"/>
              </w:rPr>
              <w:t>ERP</w:t>
            </w:r>
            <w:r w:rsidRPr="008B1FF1">
              <w:rPr>
                <w:rFonts w:asciiTheme="minorHAnsi" w:hAnsiTheme="minorHAnsi" w:cstheme="minorHAnsi"/>
                <w:sz w:val="20"/>
                <w:lang w:eastAsia="zh-CN"/>
              </w:rPr>
              <w:t>系统（包括访问权限）进行最新的深入全面审查。我们计划在</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年进行下一次此类审查。</w:t>
            </w:r>
          </w:p>
          <w:p w14:paraId="2B8DC864" w14:textId="655D2AED"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国际电联建议此项工作正在进行之中。</w:t>
            </w:r>
          </w:p>
        </w:tc>
        <w:tc>
          <w:tcPr>
            <w:tcW w:w="1050" w:type="pct"/>
            <w:shd w:val="clear" w:color="auto" w:fill="auto"/>
          </w:tcPr>
          <w:p w14:paraId="794D612B" w14:textId="62504DF7" w:rsidR="002F2E4B" w:rsidRPr="008B1FF1" w:rsidRDefault="002F2E4B" w:rsidP="002F2E4B">
            <w:pPr>
              <w:pStyle w:val="Tabletext"/>
              <w:rPr>
                <w:sz w:val="20"/>
                <w:lang w:eastAsia="zh-CN"/>
              </w:rPr>
            </w:pPr>
            <w:r w:rsidRPr="008B1FF1">
              <w:rPr>
                <w:rFonts w:asciiTheme="minorHAnsi" w:hAnsiTheme="minorHAnsi" w:cstheme="minorHAnsi"/>
                <w:sz w:val="20"/>
                <w:lang w:eastAsia="zh-CN"/>
              </w:rPr>
              <w:t>注意到最新的回应并认为是合理的。正如本报告第</w:t>
            </w:r>
            <w:r w:rsidRPr="008B1FF1">
              <w:rPr>
                <w:rFonts w:asciiTheme="minorHAnsi" w:hAnsiTheme="minorHAnsi" w:cstheme="minorHAnsi"/>
                <w:sz w:val="20"/>
                <w:lang w:eastAsia="zh-CN"/>
              </w:rPr>
              <w:t>2</w:t>
            </w:r>
            <w:r w:rsidRPr="008B1FF1">
              <w:rPr>
                <w:rFonts w:asciiTheme="minorHAnsi" w:hAnsiTheme="minorHAnsi" w:cstheme="minorHAnsi"/>
                <w:sz w:val="20"/>
                <w:lang w:eastAsia="zh-CN"/>
              </w:rPr>
              <w:t>部分所强调的，我们考虑了管理层为确保其</w:t>
            </w:r>
            <w:r w:rsidRPr="008B1FF1">
              <w:rPr>
                <w:rFonts w:asciiTheme="minorHAnsi" w:hAnsiTheme="minorHAnsi" w:cstheme="minorHAnsi"/>
                <w:sz w:val="20"/>
                <w:lang w:eastAsia="zh-CN"/>
              </w:rPr>
              <w:t>IT</w:t>
            </w:r>
            <w:r w:rsidRPr="008B1FF1">
              <w:rPr>
                <w:rFonts w:asciiTheme="minorHAnsi" w:hAnsiTheme="minorHAnsi" w:cstheme="minorHAnsi"/>
                <w:sz w:val="20"/>
                <w:lang w:eastAsia="zh-CN"/>
              </w:rPr>
              <w:t>环境所做的总体安排，并在本报告中提出了相关的新建议。</w:t>
            </w:r>
          </w:p>
        </w:tc>
        <w:tc>
          <w:tcPr>
            <w:tcW w:w="450" w:type="pct"/>
            <w:shd w:val="clear" w:color="auto" w:fill="auto"/>
          </w:tcPr>
          <w:p w14:paraId="28959B58" w14:textId="711AC2CA" w:rsidR="002F2E4B" w:rsidRPr="008B1FF1" w:rsidRDefault="00A62A5A" w:rsidP="002F2E4B">
            <w:pPr>
              <w:pStyle w:val="Tabletext"/>
              <w:rPr>
                <w:sz w:val="20"/>
              </w:rPr>
            </w:pPr>
            <w:r>
              <w:rPr>
                <w:rFonts w:ascii="SimSun" w:eastAsia="SimSun" w:hAnsi="SimSun" w:cs="SimSun" w:hint="eastAsia"/>
                <w:color w:val="000000"/>
                <w:sz w:val="20"/>
                <w:lang w:eastAsia="zh-CN"/>
              </w:rPr>
              <w:t>已关闭。</w:t>
            </w:r>
          </w:p>
        </w:tc>
      </w:tr>
      <w:tr w:rsidR="002F2E4B" w:rsidRPr="00536D01" w14:paraId="20C108B0" w14:textId="77777777" w:rsidTr="0011737E">
        <w:tc>
          <w:tcPr>
            <w:tcW w:w="300" w:type="pct"/>
            <w:shd w:val="clear" w:color="auto" w:fill="auto"/>
          </w:tcPr>
          <w:p w14:paraId="4458EBD7" w14:textId="5FBB7135" w:rsidR="002F2E4B" w:rsidRPr="008B1FF1" w:rsidRDefault="002F2E4B" w:rsidP="002F2E4B">
            <w:pPr>
              <w:pStyle w:val="Tabletext"/>
              <w:rPr>
                <w:sz w:val="20"/>
              </w:rPr>
            </w:pPr>
            <w:r w:rsidRPr="008B1FF1">
              <w:rPr>
                <w:rFonts w:asciiTheme="minorHAnsi" w:hAnsiTheme="minorHAnsi" w:cstheme="minorHAnsi"/>
                <w:sz w:val="20"/>
              </w:rPr>
              <w:t>2021 R#41</w:t>
            </w:r>
          </w:p>
        </w:tc>
        <w:tc>
          <w:tcPr>
            <w:tcW w:w="1450" w:type="pct"/>
            <w:shd w:val="clear" w:color="auto" w:fill="auto"/>
          </w:tcPr>
          <w:p w14:paraId="225C72E5" w14:textId="64DA110F"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国际电联的业务所有者应至少每年对</w:t>
            </w:r>
            <w:r w:rsidRPr="008B1FF1">
              <w:rPr>
                <w:rFonts w:asciiTheme="minorHAnsi" w:hAnsiTheme="minorHAnsi" w:cstheme="minorHAnsi"/>
                <w:sz w:val="20"/>
                <w:lang w:eastAsia="zh-CN"/>
              </w:rPr>
              <w:t xml:space="preserve">SAP ERP </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010</w:t>
            </w:r>
            <w:r w:rsidRPr="008B1FF1">
              <w:rPr>
                <w:rFonts w:asciiTheme="minorHAnsi" w:hAnsiTheme="minorHAnsi" w:cstheme="minorHAnsi"/>
                <w:sz w:val="20"/>
                <w:lang w:eastAsia="zh-CN"/>
              </w:rPr>
              <w:t>）功能矩阵进行定期备案审查</w:t>
            </w:r>
          </w:p>
        </w:tc>
        <w:tc>
          <w:tcPr>
            <w:tcW w:w="1750" w:type="pct"/>
            <w:shd w:val="clear" w:color="auto" w:fill="auto"/>
          </w:tcPr>
          <w:p w14:paraId="0D782F3E" w14:textId="433FFAD6"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月的最新进展：这一进程的强化工作一直在持续进行。</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年聘请了一家外部专家公司对我们的</w:t>
            </w:r>
            <w:r w:rsidRPr="008B1FF1">
              <w:rPr>
                <w:rFonts w:asciiTheme="minorHAnsi" w:hAnsiTheme="minorHAnsi" w:cstheme="minorHAnsi"/>
                <w:sz w:val="20"/>
                <w:lang w:eastAsia="zh-CN"/>
              </w:rPr>
              <w:t>ERP</w:t>
            </w:r>
            <w:r w:rsidRPr="008B1FF1">
              <w:rPr>
                <w:rFonts w:asciiTheme="minorHAnsi" w:hAnsiTheme="minorHAnsi" w:cstheme="minorHAnsi"/>
                <w:sz w:val="20"/>
                <w:lang w:eastAsia="zh-CN"/>
              </w:rPr>
              <w:t>系统（包括访问权限）进行最新的深入全面审查。我们计划在</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年进行下一次此类审查。</w:t>
            </w:r>
          </w:p>
          <w:p w14:paraId="4180A60A" w14:textId="56B91DBC"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7F6EA598" w14:textId="78723749" w:rsidR="002F2E4B" w:rsidRPr="008B1FF1" w:rsidRDefault="002F2E4B" w:rsidP="002F2E4B">
            <w:pPr>
              <w:pStyle w:val="Tabletext"/>
              <w:rPr>
                <w:sz w:val="20"/>
                <w:lang w:eastAsia="zh-CN"/>
              </w:rPr>
            </w:pPr>
            <w:r w:rsidRPr="008B1FF1">
              <w:rPr>
                <w:rFonts w:asciiTheme="minorHAnsi" w:hAnsiTheme="minorHAnsi" w:cstheme="minorHAnsi"/>
                <w:sz w:val="20"/>
                <w:lang w:eastAsia="zh-CN"/>
              </w:rPr>
              <w:t>注意到最新的回应并认为是合理的。正如本报告第</w:t>
            </w:r>
            <w:r w:rsidRPr="008B1FF1">
              <w:rPr>
                <w:rFonts w:asciiTheme="minorHAnsi" w:hAnsiTheme="minorHAnsi" w:cstheme="minorHAnsi"/>
                <w:sz w:val="20"/>
                <w:lang w:eastAsia="zh-CN"/>
              </w:rPr>
              <w:t>2</w:t>
            </w:r>
            <w:r w:rsidRPr="008B1FF1">
              <w:rPr>
                <w:rFonts w:asciiTheme="minorHAnsi" w:hAnsiTheme="minorHAnsi" w:cstheme="minorHAnsi"/>
                <w:sz w:val="20"/>
                <w:lang w:eastAsia="zh-CN"/>
              </w:rPr>
              <w:t>部分所强调的，我们考虑了管理层为确保其</w:t>
            </w:r>
            <w:r w:rsidRPr="008B1FF1">
              <w:rPr>
                <w:rFonts w:asciiTheme="minorHAnsi" w:hAnsiTheme="minorHAnsi" w:cstheme="minorHAnsi"/>
                <w:sz w:val="20"/>
                <w:lang w:eastAsia="zh-CN"/>
              </w:rPr>
              <w:t>IT</w:t>
            </w:r>
            <w:r w:rsidRPr="008B1FF1">
              <w:rPr>
                <w:rFonts w:asciiTheme="minorHAnsi" w:hAnsiTheme="minorHAnsi" w:cstheme="minorHAnsi"/>
                <w:sz w:val="20"/>
                <w:lang w:eastAsia="zh-CN"/>
              </w:rPr>
              <w:t>环境所做的总体安排，并在本报告中提出了相关的新建议。</w:t>
            </w:r>
          </w:p>
        </w:tc>
        <w:tc>
          <w:tcPr>
            <w:tcW w:w="450" w:type="pct"/>
            <w:shd w:val="clear" w:color="auto" w:fill="auto"/>
          </w:tcPr>
          <w:p w14:paraId="52D3C1DC" w14:textId="3195436A" w:rsidR="002F2E4B" w:rsidRPr="008B1FF1" w:rsidRDefault="00A62A5A" w:rsidP="002F2E4B">
            <w:pPr>
              <w:pStyle w:val="Tabletext"/>
              <w:rPr>
                <w:sz w:val="20"/>
              </w:rPr>
            </w:pPr>
            <w:r>
              <w:rPr>
                <w:rFonts w:ascii="SimSun" w:eastAsia="SimSun" w:hAnsi="SimSun" w:cs="SimSun" w:hint="eastAsia"/>
                <w:color w:val="000000"/>
                <w:sz w:val="20"/>
                <w:lang w:eastAsia="zh-CN"/>
              </w:rPr>
              <w:t>已关闭。</w:t>
            </w:r>
          </w:p>
        </w:tc>
      </w:tr>
      <w:tr w:rsidR="002F2E4B" w:rsidRPr="00536D01" w14:paraId="29C007F2" w14:textId="77777777" w:rsidTr="0011737E">
        <w:tc>
          <w:tcPr>
            <w:tcW w:w="300" w:type="pct"/>
            <w:shd w:val="clear" w:color="auto" w:fill="auto"/>
          </w:tcPr>
          <w:p w14:paraId="287713C4" w14:textId="6F0A1F48" w:rsidR="002F2E4B" w:rsidRPr="008B1FF1" w:rsidRDefault="002F2E4B" w:rsidP="002F2E4B">
            <w:pPr>
              <w:pStyle w:val="Tabletext"/>
              <w:rPr>
                <w:sz w:val="20"/>
              </w:rPr>
            </w:pPr>
            <w:r w:rsidRPr="008B1FF1">
              <w:rPr>
                <w:rFonts w:asciiTheme="minorHAnsi" w:hAnsiTheme="minorHAnsi" w:cstheme="minorHAnsi"/>
                <w:sz w:val="20"/>
              </w:rPr>
              <w:t>2021 R#42</w:t>
            </w:r>
          </w:p>
        </w:tc>
        <w:tc>
          <w:tcPr>
            <w:tcW w:w="1450" w:type="pct"/>
            <w:shd w:val="clear" w:color="auto" w:fill="auto"/>
          </w:tcPr>
          <w:p w14:paraId="7B3E1925" w14:textId="7203012B"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国际电联应定义管理</w:t>
            </w:r>
            <w:r w:rsidRPr="008B1FF1">
              <w:rPr>
                <w:rFonts w:asciiTheme="minorHAnsi" w:hAnsiTheme="minorHAnsi" w:cstheme="minorHAnsi"/>
                <w:sz w:val="20"/>
                <w:lang w:eastAsia="zh-CN"/>
              </w:rPr>
              <w:t>SAP ERP</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010</w:t>
            </w:r>
            <w:r w:rsidRPr="008B1FF1">
              <w:rPr>
                <w:rFonts w:asciiTheme="minorHAnsi" w:hAnsiTheme="minorHAnsi" w:cstheme="minorHAnsi"/>
                <w:sz w:val="20"/>
                <w:lang w:eastAsia="zh-CN"/>
              </w:rPr>
              <w:t>）客户端开放事件的程序，以确定正确的授权流程并处理相关的文件存储。此外，我们建议，在客户端开放事件期间，将参数</w:t>
            </w:r>
            <w:r w:rsidRPr="008B1FF1">
              <w:rPr>
                <w:rFonts w:ascii="SimSun" w:eastAsia="SimSun" w:hAnsi="SimSun" w:cstheme="minorHAnsi"/>
                <w:sz w:val="20"/>
                <w:lang w:eastAsia="zh-CN"/>
              </w:rPr>
              <w:t>“</w:t>
            </w:r>
            <w:r w:rsidRPr="008B1FF1">
              <w:rPr>
                <w:rFonts w:asciiTheme="minorHAnsi" w:hAnsiTheme="minorHAnsi" w:cstheme="minorHAnsi"/>
                <w:sz w:val="20"/>
                <w:lang w:eastAsia="zh-CN"/>
              </w:rPr>
              <w:t>CCCORACTIV</w:t>
            </w:r>
            <w:r w:rsidRPr="008B1FF1">
              <w:rPr>
                <w:rFonts w:ascii="SimSun" w:eastAsia="SimSun" w:hAnsi="SimSun" w:cstheme="minorHAnsi"/>
                <w:sz w:val="20"/>
                <w:lang w:eastAsia="zh-CN"/>
              </w:rPr>
              <w:t>”</w:t>
            </w:r>
            <w:r w:rsidRPr="008B1FF1">
              <w:rPr>
                <w:rFonts w:asciiTheme="minorHAnsi" w:hAnsiTheme="minorHAnsi" w:cstheme="minorHAnsi"/>
                <w:sz w:val="20"/>
                <w:lang w:eastAsia="zh-CN"/>
              </w:rPr>
              <w:t>置为值</w:t>
            </w:r>
            <w:r w:rsidRPr="008B1FF1">
              <w:rPr>
                <w:rFonts w:ascii="SimSun" w:eastAsia="SimSun" w:hAnsi="SimSun" w:cstheme="minorHAnsi"/>
                <w:sz w:val="20"/>
                <w:lang w:eastAsia="zh-CN"/>
              </w:rPr>
              <w:t>“</w:t>
            </w:r>
            <w:r w:rsidRPr="008B1FF1">
              <w:rPr>
                <w:rFonts w:asciiTheme="minorHAnsi" w:hAnsiTheme="minorHAnsi" w:cstheme="minorHAnsi"/>
                <w:sz w:val="20"/>
                <w:lang w:eastAsia="zh-CN"/>
              </w:rPr>
              <w:t>1</w:t>
            </w:r>
            <w:r w:rsidRPr="008B1FF1">
              <w:rPr>
                <w:rFonts w:ascii="SimSun" w:eastAsia="SimSun" w:hAnsi="SimSun" w:cstheme="minorHAnsi"/>
                <w:sz w:val="20"/>
                <w:lang w:eastAsia="zh-CN"/>
              </w:rPr>
              <w:t>”</w:t>
            </w:r>
            <w:r w:rsidRPr="008B1FF1">
              <w:rPr>
                <w:rFonts w:asciiTheme="minorHAnsi" w:hAnsiTheme="minorHAnsi" w:cstheme="minorHAnsi"/>
                <w:sz w:val="20"/>
                <w:lang w:eastAsia="zh-CN"/>
              </w:rPr>
              <w:t>，以便跟踪</w:t>
            </w:r>
            <w:r w:rsidRPr="008B1FF1">
              <w:rPr>
                <w:rFonts w:asciiTheme="minorHAnsi" w:hAnsiTheme="minorHAnsi" w:cstheme="minorHAnsi"/>
                <w:sz w:val="20"/>
                <w:lang w:eastAsia="zh-CN"/>
              </w:rPr>
              <w:t>E070</w:t>
            </w:r>
            <w:r w:rsidRPr="008B1FF1">
              <w:rPr>
                <w:rFonts w:asciiTheme="minorHAnsi" w:hAnsiTheme="minorHAnsi" w:cstheme="minorHAnsi"/>
                <w:sz w:val="20"/>
                <w:lang w:eastAsia="zh-CN"/>
              </w:rPr>
              <w:t>表中的修改。</w:t>
            </w:r>
          </w:p>
        </w:tc>
        <w:tc>
          <w:tcPr>
            <w:tcW w:w="1750" w:type="pct"/>
            <w:shd w:val="clear" w:color="auto" w:fill="auto"/>
          </w:tcPr>
          <w:p w14:paraId="2FF3BF10"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2024</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月的最新进展：开发了手动流程，以加强对此类请求的审查。进一步改进将需要获取</w:t>
            </w:r>
            <w:r w:rsidRPr="008B1FF1">
              <w:rPr>
                <w:rFonts w:asciiTheme="minorHAnsi" w:hAnsiTheme="minorHAnsi" w:cstheme="minorHAnsi"/>
                <w:sz w:val="20"/>
                <w:lang w:eastAsia="zh-CN"/>
              </w:rPr>
              <w:t>GRC SAP</w:t>
            </w:r>
            <w:r w:rsidRPr="008B1FF1">
              <w:rPr>
                <w:rFonts w:asciiTheme="minorHAnsi" w:hAnsiTheme="minorHAnsi" w:cstheme="minorHAnsi"/>
                <w:sz w:val="20"/>
                <w:lang w:eastAsia="zh-CN"/>
              </w:rPr>
              <w:t>模块，从而允许实施自动审查程序</w:t>
            </w:r>
          </w:p>
          <w:p w14:paraId="752AC6B7" w14:textId="34F58C06"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051660E8" w14:textId="4A4EA204" w:rsidR="002F2E4B" w:rsidRPr="008B1FF1" w:rsidRDefault="002F2E4B" w:rsidP="002F2E4B">
            <w:pPr>
              <w:pStyle w:val="Tabletext"/>
              <w:rPr>
                <w:sz w:val="20"/>
              </w:rPr>
            </w:pPr>
            <w:r w:rsidRPr="008B1FF1">
              <w:rPr>
                <w:rFonts w:asciiTheme="minorHAnsi" w:hAnsiTheme="minorHAnsi" w:cstheme="minorHAnsi"/>
                <w:sz w:val="20"/>
                <w:lang w:eastAsia="zh-CN"/>
              </w:rPr>
              <w:t>注意到最新的回应并认为是合理的。</w:t>
            </w:r>
            <w:r w:rsidRPr="008B1FF1">
              <w:rPr>
                <w:rFonts w:asciiTheme="minorHAnsi" w:hAnsiTheme="minorHAnsi" w:cstheme="minorHAnsi" w:hint="eastAsia"/>
                <w:sz w:val="20"/>
                <w:lang w:eastAsia="zh-CN"/>
              </w:rPr>
              <w:t>该建议已完成</w:t>
            </w:r>
            <w:r w:rsidRPr="008B1FF1">
              <w:rPr>
                <w:rFonts w:asciiTheme="minorHAnsi" w:hAnsiTheme="minorHAnsi" w:cstheme="minorHAnsi"/>
                <w:sz w:val="20"/>
              </w:rPr>
              <w:t>。</w:t>
            </w:r>
          </w:p>
        </w:tc>
        <w:tc>
          <w:tcPr>
            <w:tcW w:w="450" w:type="pct"/>
            <w:shd w:val="clear" w:color="auto" w:fill="auto"/>
          </w:tcPr>
          <w:p w14:paraId="469052A9" w14:textId="55B0B3CA" w:rsidR="002F2E4B" w:rsidRPr="008B1FF1" w:rsidRDefault="00A62A5A" w:rsidP="002F2E4B">
            <w:pPr>
              <w:pStyle w:val="Tabletext"/>
              <w:rPr>
                <w:sz w:val="20"/>
              </w:rPr>
            </w:pPr>
            <w:r>
              <w:rPr>
                <w:rFonts w:ascii="SimSun" w:eastAsia="SimSun" w:hAnsi="SimSun" w:cs="SimSun" w:hint="eastAsia"/>
                <w:color w:val="000000"/>
                <w:sz w:val="20"/>
                <w:lang w:eastAsia="zh-CN"/>
              </w:rPr>
              <w:t>已关闭。</w:t>
            </w:r>
          </w:p>
        </w:tc>
      </w:tr>
      <w:tr w:rsidR="002F2E4B" w:rsidRPr="00536D01" w14:paraId="2600FD65" w14:textId="77777777" w:rsidTr="0011737E">
        <w:tc>
          <w:tcPr>
            <w:tcW w:w="300" w:type="pct"/>
            <w:shd w:val="clear" w:color="auto" w:fill="auto"/>
          </w:tcPr>
          <w:p w14:paraId="46FD8DA1" w14:textId="4E3FEBE8" w:rsidR="002F2E4B" w:rsidRPr="008B1FF1" w:rsidRDefault="002F2E4B" w:rsidP="002F2E4B">
            <w:pPr>
              <w:pStyle w:val="Tabletext"/>
              <w:rPr>
                <w:sz w:val="20"/>
              </w:rPr>
            </w:pPr>
            <w:r w:rsidRPr="008B1FF1">
              <w:rPr>
                <w:rFonts w:asciiTheme="minorHAnsi" w:hAnsiTheme="minorHAnsi" w:cstheme="minorHAnsi"/>
                <w:sz w:val="20"/>
              </w:rPr>
              <w:t>2021 R#43</w:t>
            </w:r>
          </w:p>
        </w:tc>
        <w:tc>
          <w:tcPr>
            <w:tcW w:w="1450" w:type="pct"/>
            <w:shd w:val="clear" w:color="auto" w:fill="auto"/>
          </w:tcPr>
          <w:p w14:paraId="053AE083" w14:textId="7850B293"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国际电联应加强</w:t>
            </w:r>
            <w:r w:rsidRPr="008B1FF1">
              <w:rPr>
                <w:rFonts w:asciiTheme="minorHAnsi" w:hAnsiTheme="minorHAnsi" w:cstheme="minorHAnsi"/>
                <w:sz w:val="20"/>
                <w:lang w:eastAsia="zh-CN"/>
              </w:rPr>
              <w:t>SAP ERP</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010</w:t>
            </w:r>
            <w:r w:rsidRPr="008B1FF1">
              <w:rPr>
                <w:rFonts w:asciiTheme="minorHAnsi" w:hAnsiTheme="minorHAnsi" w:cstheme="minorHAnsi"/>
                <w:sz w:val="20"/>
                <w:lang w:eastAsia="zh-CN"/>
              </w:rPr>
              <w:t>）操作系统的安全性，按照</w:t>
            </w:r>
            <w:r w:rsidRPr="008B1FF1">
              <w:rPr>
                <w:rFonts w:asciiTheme="minorHAnsi" w:hAnsiTheme="minorHAnsi" w:cstheme="minorHAnsi"/>
                <w:sz w:val="20"/>
                <w:lang w:eastAsia="zh-CN"/>
              </w:rPr>
              <w:t>IT</w:t>
            </w:r>
            <w:r w:rsidRPr="008B1FF1">
              <w:rPr>
                <w:rFonts w:asciiTheme="minorHAnsi" w:hAnsiTheme="minorHAnsi" w:cstheme="minorHAnsi"/>
                <w:sz w:val="20"/>
                <w:lang w:eastAsia="zh-CN"/>
              </w:rPr>
              <w:t>最佳做法设置以下参数：</w:t>
            </w:r>
          </w:p>
          <w:p w14:paraId="3EC3B0A5" w14:textId="1AF90885"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lang w:eastAsia="zh-CN"/>
              </w:rPr>
            </w:pPr>
            <w:r w:rsidRPr="008B1FF1">
              <w:rPr>
                <w:rFonts w:asciiTheme="minorHAnsi" w:hAnsiTheme="minorHAnsi" w:cstheme="minorHAnsi"/>
                <w:sz w:val="20"/>
                <w:lang w:eastAsia="zh-CN"/>
              </w:rPr>
              <w:t>1</w:t>
            </w:r>
            <w:r w:rsidR="008B1FF1" w:rsidRPr="008B1FF1">
              <w:rPr>
                <w:rFonts w:asciiTheme="minorHAnsi" w:hAnsiTheme="minorHAnsi" w:cstheme="minorHAnsi" w:hint="eastAsia"/>
                <w:sz w:val="20"/>
                <w:lang w:eastAsia="zh-CN"/>
              </w:rPr>
              <w:t>)</w:t>
            </w:r>
            <w:r w:rsidRPr="008B1FF1">
              <w:rPr>
                <w:rFonts w:asciiTheme="minorHAnsi" w:hAnsiTheme="minorHAnsi" w:cstheme="minorHAnsi"/>
                <w:sz w:val="20"/>
                <w:lang w:eastAsia="zh-CN"/>
              </w:rPr>
              <w:tab/>
            </w:r>
            <w:r w:rsidRPr="008B1FF1">
              <w:rPr>
                <w:rFonts w:asciiTheme="minorHAnsi" w:hAnsiTheme="minorHAnsi" w:cstheme="minorHAnsi"/>
                <w:sz w:val="20"/>
                <w:lang w:eastAsia="zh-CN"/>
              </w:rPr>
              <w:t>最大</w:t>
            </w:r>
            <w:r w:rsidRPr="008B1FF1">
              <w:rPr>
                <w:sz w:val="20"/>
                <w:lang w:eastAsia="zh-CN"/>
              </w:rPr>
              <w:t>密码</w:t>
            </w:r>
            <w:r w:rsidRPr="008B1FF1">
              <w:rPr>
                <w:rFonts w:asciiTheme="minorHAnsi" w:hAnsiTheme="minorHAnsi" w:cstheme="minorHAnsi"/>
                <w:sz w:val="20"/>
                <w:lang w:eastAsia="zh-CN"/>
              </w:rPr>
              <w:t>期限（</w:t>
            </w:r>
            <w:r w:rsidRPr="008B1FF1">
              <w:rPr>
                <w:rFonts w:asciiTheme="minorHAnsi" w:hAnsiTheme="minorHAnsi" w:cstheme="minorHAnsi"/>
                <w:sz w:val="20"/>
                <w:lang w:eastAsia="zh-CN"/>
              </w:rPr>
              <w:t>BP</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90</w:t>
            </w:r>
            <w:r w:rsidRPr="008B1FF1">
              <w:rPr>
                <w:rFonts w:asciiTheme="minorHAnsi" w:hAnsiTheme="minorHAnsi" w:cstheme="minorHAnsi"/>
                <w:sz w:val="20"/>
                <w:lang w:eastAsia="zh-CN"/>
              </w:rPr>
              <w:t>或更短</w:t>
            </w:r>
            <w:r w:rsidR="009A6D8F">
              <w:rPr>
                <w:rFonts w:asciiTheme="minorHAnsi" w:hAnsiTheme="minorHAnsi" w:cstheme="minorHAnsi" w:hint="eastAsia"/>
                <w:sz w:val="20"/>
                <w:lang w:eastAsia="zh-CN"/>
              </w:rPr>
              <w:t>；</w:t>
            </w:r>
            <w:r w:rsidRPr="008B1FF1">
              <w:rPr>
                <w:rFonts w:asciiTheme="minorHAnsi" w:hAnsiTheme="minorHAnsi" w:cstheme="minorHAnsi"/>
                <w:sz w:val="20"/>
                <w:lang w:eastAsia="zh-CN"/>
              </w:rPr>
              <w:t>为用户类别</w:t>
            </w:r>
            <w:r w:rsidRPr="008B1FF1">
              <w:rPr>
                <w:rFonts w:ascii="SimSun" w:eastAsia="SimSun" w:hAnsi="SimSun" w:cstheme="minorHAnsi"/>
                <w:sz w:val="20"/>
                <w:lang w:eastAsia="zh-CN"/>
              </w:rPr>
              <w:t>“</w:t>
            </w:r>
            <w:r w:rsidRPr="008B1FF1">
              <w:rPr>
                <w:rFonts w:asciiTheme="minorHAnsi" w:hAnsiTheme="minorHAnsi" w:cstheme="minorHAnsi"/>
                <w:sz w:val="20"/>
                <w:lang w:eastAsia="zh-CN"/>
              </w:rPr>
              <w:t>所有用户</w:t>
            </w:r>
            <w:r w:rsidRPr="008B1FF1">
              <w:rPr>
                <w:rFonts w:ascii="SimSun" w:eastAsia="SimSun" w:hAnsi="SimSun" w:cstheme="minorHAnsi"/>
                <w:sz w:val="20"/>
                <w:lang w:eastAsia="zh-CN"/>
              </w:rPr>
              <w:t>”</w:t>
            </w:r>
            <w:r w:rsidRPr="008B1FF1">
              <w:rPr>
                <w:rFonts w:asciiTheme="minorHAnsi" w:hAnsiTheme="minorHAnsi" w:cstheme="minorHAnsi"/>
                <w:sz w:val="20"/>
                <w:lang w:eastAsia="zh-CN"/>
              </w:rPr>
              <w:t>设置）。</w:t>
            </w:r>
          </w:p>
          <w:p w14:paraId="745C867A" w14:textId="52AAD0C2"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lang w:eastAsia="zh-CN"/>
              </w:rPr>
            </w:pPr>
            <w:r w:rsidRPr="008B1FF1">
              <w:rPr>
                <w:rFonts w:asciiTheme="minorHAnsi" w:hAnsiTheme="minorHAnsi" w:cstheme="minorHAnsi"/>
                <w:sz w:val="20"/>
                <w:lang w:eastAsia="zh-CN"/>
              </w:rPr>
              <w:t>2</w:t>
            </w:r>
            <w:r w:rsidR="008B1FF1" w:rsidRPr="008B1FF1">
              <w:rPr>
                <w:rFonts w:asciiTheme="minorHAnsi" w:hAnsiTheme="minorHAnsi" w:cstheme="minorHAnsi" w:hint="eastAsia"/>
                <w:sz w:val="20"/>
                <w:lang w:eastAsia="zh-CN"/>
              </w:rPr>
              <w:t>)</w:t>
            </w:r>
            <w:r w:rsidRPr="008B1FF1">
              <w:rPr>
                <w:rFonts w:asciiTheme="minorHAnsi" w:hAnsiTheme="minorHAnsi" w:cstheme="minorHAnsi"/>
                <w:sz w:val="20"/>
                <w:lang w:eastAsia="zh-CN"/>
              </w:rPr>
              <w:tab/>
            </w:r>
            <w:r w:rsidRPr="008B1FF1">
              <w:rPr>
                <w:rFonts w:asciiTheme="minorHAnsi" w:hAnsiTheme="minorHAnsi" w:cstheme="minorHAnsi"/>
                <w:sz w:val="20"/>
                <w:lang w:eastAsia="zh-CN"/>
              </w:rPr>
              <w:t>密码最低有效期（</w:t>
            </w:r>
            <w:r w:rsidRPr="008B1FF1">
              <w:rPr>
                <w:rFonts w:asciiTheme="minorHAnsi" w:hAnsiTheme="minorHAnsi" w:cstheme="minorHAnsi"/>
                <w:sz w:val="20"/>
                <w:lang w:eastAsia="zh-CN"/>
              </w:rPr>
              <w:t>BP</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1</w:t>
            </w:r>
            <w:r w:rsidRPr="008B1FF1">
              <w:rPr>
                <w:rFonts w:asciiTheme="minorHAnsi" w:hAnsiTheme="minorHAnsi" w:cstheme="minorHAnsi"/>
                <w:sz w:val="20"/>
                <w:lang w:eastAsia="zh-CN"/>
              </w:rPr>
              <w:t>或更高</w:t>
            </w:r>
            <w:r w:rsidR="009A6D8F">
              <w:rPr>
                <w:rFonts w:asciiTheme="minorHAnsi" w:hAnsiTheme="minorHAnsi" w:cstheme="minorHAnsi" w:hint="eastAsia"/>
                <w:sz w:val="20"/>
                <w:lang w:eastAsia="zh-CN"/>
              </w:rPr>
              <w:t>；</w:t>
            </w:r>
            <w:r w:rsidRPr="008B1FF1">
              <w:rPr>
                <w:rFonts w:asciiTheme="minorHAnsi" w:hAnsiTheme="minorHAnsi" w:cstheme="minorHAnsi"/>
                <w:sz w:val="20"/>
                <w:lang w:eastAsia="zh-CN"/>
              </w:rPr>
              <w:t>为用户类别</w:t>
            </w:r>
            <w:r w:rsidRPr="008B1FF1">
              <w:rPr>
                <w:rFonts w:ascii="SimSun" w:eastAsia="SimSun" w:hAnsi="SimSun" w:cstheme="minorHAnsi"/>
                <w:sz w:val="20"/>
                <w:lang w:eastAsia="zh-CN"/>
              </w:rPr>
              <w:t>“</w:t>
            </w:r>
            <w:r w:rsidRPr="008B1FF1">
              <w:rPr>
                <w:rFonts w:asciiTheme="minorHAnsi" w:hAnsiTheme="minorHAnsi" w:cstheme="minorHAnsi"/>
                <w:sz w:val="20"/>
                <w:lang w:eastAsia="zh-CN"/>
              </w:rPr>
              <w:t>所有用户</w:t>
            </w:r>
            <w:r w:rsidRPr="008B1FF1">
              <w:rPr>
                <w:rFonts w:ascii="SimSun" w:eastAsia="SimSun" w:hAnsi="SimSun" w:cstheme="minorHAnsi"/>
                <w:sz w:val="20"/>
                <w:lang w:eastAsia="zh-CN"/>
              </w:rPr>
              <w:t>”</w:t>
            </w:r>
            <w:r w:rsidRPr="008B1FF1">
              <w:rPr>
                <w:rFonts w:asciiTheme="minorHAnsi" w:hAnsiTheme="minorHAnsi" w:cstheme="minorHAnsi"/>
                <w:sz w:val="20"/>
                <w:lang w:eastAsia="zh-CN"/>
              </w:rPr>
              <w:t>设置）。</w:t>
            </w:r>
          </w:p>
          <w:p w14:paraId="1C9FDCAD" w14:textId="6487D26D"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lang w:eastAsia="zh-CN"/>
              </w:rPr>
            </w:pPr>
            <w:r w:rsidRPr="008B1FF1">
              <w:rPr>
                <w:rFonts w:asciiTheme="minorHAnsi" w:hAnsiTheme="minorHAnsi" w:cstheme="minorHAnsi"/>
                <w:sz w:val="20"/>
                <w:lang w:eastAsia="zh-CN"/>
              </w:rPr>
              <w:t>3</w:t>
            </w:r>
            <w:r w:rsidR="008B1FF1" w:rsidRPr="008B1FF1">
              <w:rPr>
                <w:rFonts w:asciiTheme="minorHAnsi" w:hAnsiTheme="minorHAnsi" w:cstheme="minorHAnsi" w:hint="eastAsia"/>
                <w:sz w:val="20"/>
                <w:lang w:eastAsia="zh-CN"/>
              </w:rPr>
              <w:t>)</w:t>
            </w:r>
            <w:r w:rsidRPr="008B1FF1">
              <w:rPr>
                <w:rFonts w:asciiTheme="minorHAnsi" w:hAnsiTheme="minorHAnsi" w:cstheme="minorHAnsi"/>
                <w:sz w:val="20"/>
                <w:lang w:eastAsia="zh-CN"/>
              </w:rPr>
              <w:tab/>
            </w:r>
            <w:r w:rsidRPr="008B1FF1">
              <w:rPr>
                <w:sz w:val="20"/>
                <w:lang w:eastAsia="zh-CN"/>
              </w:rPr>
              <w:t>账户</w:t>
            </w:r>
            <w:r w:rsidRPr="008B1FF1">
              <w:rPr>
                <w:rFonts w:asciiTheme="minorHAnsi" w:hAnsiTheme="minorHAnsi" w:cstheme="minorHAnsi"/>
                <w:sz w:val="20"/>
                <w:lang w:eastAsia="zh-CN"/>
              </w:rPr>
              <w:t>锁定门限（</w:t>
            </w:r>
            <w:r w:rsidRPr="008B1FF1">
              <w:rPr>
                <w:rFonts w:asciiTheme="minorHAnsi" w:hAnsiTheme="minorHAnsi" w:cstheme="minorHAnsi"/>
                <w:sz w:val="20"/>
                <w:lang w:eastAsia="zh-CN"/>
              </w:rPr>
              <w:t>BP</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3 - 5</w:t>
            </w:r>
            <w:r w:rsidRPr="008B1FF1">
              <w:rPr>
                <w:rFonts w:asciiTheme="minorHAnsi" w:hAnsiTheme="minorHAnsi" w:cstheme="minorHAnsi"/>
                <w:sz w:val="20"/>
                <w:lang w:eastAsia="zh-CN"/>
              </w:rPr>
              <w:t>次登录尝试</w:t>
            </w:r>
            <w:r w:rsidR="009A6D8F">
              <w:rPr>
                <w:rFonts w:asciiTheme="minorHAnsi" w:hAnsiTheme="minorHAnsi" w:cstheme="minorHAnsi" w:hint="eastAsia"/>
                <w:sz w:val="20"/>
                <w:lang w:eastAsia="zh-CN"/>
              </w:rPr>
              <w:t>；</w:t>
            </w:r>
            <w:r w:rsidRPr="008B1FF1">
              <w:rPr>
                <w:rFonts w:asciiTheme="minorHAnsi" w:hAnsiTheme="minorHAnsi" w:cstheme="minorHAnsi"/>
                <w:sz w:val="20"/>
                <w:lang w:eastAsia="zh-CN"/>
              </w:rPr>
              <w:t>为用户类别</w:t>
            </w:r>
            <w:r w:rsidRPr="008B1FF1">
              <w:rPr>
                <w:rFonts w:ascii="SimSun" w:eastAsia="SimSun" w:hAnsi="SimSun" w:cstheme="minorHAnsi"/>
                <w:sz w:val="20"/>
                <w:lang w:eastAsia="zh-CN"/>
              </w:rPr>
              <w:t>“</w:t>
            </w:r>
            <w:r w:rsidRPr="008B1FF1">
              <w:rPr>
                <w:rFonts w:asciiTheme="minorHAnsi" w:hAnsiTheme="minorHAnsi" w:cstheme="minorHAnsi"/>
                <w:sz w:val="20"/>
                <w:lang w:eastAsia="zh-CN"/>
              </w:rPr>
              <w:t>管理员</w:t>
            </w:r>
            <w:r w:rsidRPr="008B1FF1">
              <w:rPr>
                <w:rFonts w:ascii="SimSun" w:eastAsia="SimSun" w:hAnsi="SimSun" w:cstheme="minorHAnsi"/>
                <w:sz w:val="20"/>
                <w:lang w:eastAsia="zh-CN"/>
              </w:rPr>
              <w:t>”</w:t>
            </w:r>
            <w:r w:rsidRPr="008B1FF1">
              <w:rPr>
                <w:rFonts w:asciiTheme="minorHAnsi" w:hAnsiTheme="minorHAnsi" w:cstheme="minorHAnsi"/>
                <w:sz w:val="20"/>
                <w:lang w:eastAsia="zh-CN"/>
              </w:rPr>
              <w:t>和</w:t>
            </w:r>
            <w:r w:rsidRPr="008B1FF1">
              <w:rPr>
                <w:rFonts w:ascii="SimSun" w:eastAsia="SimSun" w:hAnsi="SimSun" w:cstheme="minorHAnsi"/>
                <w:sz w:val="20"/>
                <w:lang w:eastAsia="zh-CN"/>
              </w:rPr>
              <w:t>“</w:t>
            </w:r>
            <w:r w:rsidRPr="008B1FF1">
              <w:rPr>
                <w:rFonts w:asciiTheme="minorHAnsi" w:hAnsiTheme="minorHAnsi" w:cstheme="minorHAnsi"/>
                <w:sz w:val="20"/>
                <w:lang w:eastAsia="zh-CN"/>
              </w:rPr>
              <w:t>所有用户</w:t>
            </w:r>
            <w:r w:rsidRPr="008B1FF1">
              <w:rPr>
                <w:rFonts w:ascii="SimSun" w:eastAsia="SimSun" w:hAnsi="SimSun" w:cstheme="minorHAnsi"/>
                <w:sz w:val="20"/>
                <w:lang w:eastAsia="zh-CN"/>
              </w:rPr>
              <w:t>”</w:t>
            </w:r>
            <w:r w:rsidRPr="008B1FF1">
              <w:rPr>
                <w:rFonts w:asciiTheme="minorHAnsi" w:hAnsiTheme="minorHAnsi" w:cstheme="minorHAnsi"/>
                <w:sz w:val="20"/>
                <w:lang w:eastAsia="zh-CN"/>
              </w:rPr>
              <w:t>同时设置）。</w:t>
            </w:r>
          </w:p>
          <w:p w14:paraId="3BE1911F" w14:textId="2E13A076"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lang w:eastAsia="zh-CN"/>
              </w:rPr>
            </w:pPr>
            <w:r w:rsidRPr="008B1FF1">
              <w:rPr>
                <w:rFonts w:asciiTheme="minorHAnsi" w:hAnsiTheme="minorHAnsi" w:cstheme="minorHAnsi"/>
                <w:sz w:val="20"/>
                <w:lang w:eastAsia="zh-CN"/>
              </w:rPr>
              <w:t>4</w:t>
            </w:r>
            <w:r w:rsidR="008B1FF1" w:rsidRPr="008B1FF1">
              <w:rPr>
                <w:rFonts w:asciiTheme="minorHAnsi" w:hAnsiTheme="minorHAnsi" w:cstheme="minorHAnsi" w:hint="eastAsia"/>
                <w:sz w:val="20"/>
                <w:lang w:eastAsia="zh-CN"/>
              </w:rPr>
              <w:t>)</w:t>
            </w:r>
            <w:r w:rsidRPr="008B1FF1">
              <w:rPr>
                <w:rFonts w:asciiTheme="minorHAnsi" w:hAnsiTheme="minorHAnsi" w:cstheme="minorHAnsi"/>
                <w:sz w:val="20"/>
                <w:lang w:eastAsia="zh-CN"/>
              </w:rPr>
              <w:tab/>
            </w:r>
            <w:r w:rsidRPr="008B1FF1">
              <w:rPr>
                <w:sz w:val="20"/>
                <w:lang w:eastAsia="zh-CN"/>
              </w:rPr>
              <w:t>账户</w:t>
            </w:r>
            <w:r w:rsidRPr="008B1FF1">
              <w:rPr>
                <w:rFonts w:asciiTheme="minorHAnsi" w:hAnsiTheme="minorHAnsi" w:cstheme="minorHAnsi"/>
                <w:sz w:val="20"/>
                <w:lang w:eastAsia="zh-CN"/>
              </w:rPr>
              <w:t>锁定观察结果（</w:t>
            </w:r>
            <w:r w:rsidRPr="008B1FF1">
              <w:rPr>
                <w:rFonts w:asciiTheme="minorHAnsi" w:hAnsiTheme="minorHAnsi" w:cstheme="minorHAnsi"/>
                <w:sz w:val="20"/>
                <w:lang w:eastAsia="zh-CN"/>
              </w:rPr>
              <w:t>BP</w:t>
            </w:r>
            <w:r w:rsidRPr="008B1FF1">
              <w:rPr>
                <w:rFonts w:asciiTheme="minorHAnsi" w:hAnsiTheme="minorHAnsi" w:cstheme="minorHAnsi"/>
                <w:sz w:val="20"/>
                <w:lang w:eastAsia="zh-CN"/>
              </w:rPr>
              <w:t>：为用户类别</w:t>
            </w:r>
            <w:r w:rsidRPr="008B1FF1">
              <w:rPr>
                <w:rFonts w:ascii="SimSun" w:eastAsia="SimSun" w:hAnsi="SimSun" w:cstheme="minorHAnsi"/>
                <w:sz w:val="20"/>
                <w:lang w:eastAsia="zh-CN"/>
              </w:rPr>
              <w:t>“</w:t>
            </w:r>
            <w:r w:rsidRPr="008B1FF1">
              <w:rPr>
                <w:rFonts w:asciiTheme="minorHAnsi" w:hAnsiTheme="minorHAnsi" w:cstheme="minorHAnsi"/>
                <w:sz w:val="20"/>
                <w:lang w:eastAsia="zh-CN"/>
              </w:rPr>
              <w:t>管理员</w:t>
            </w:r>
            <w:r w:rsidRPr="008B1FF1">
              <w:rPr>
                <w:rFonts w:ascii="SimSun" w:eastAsia="SimSun" w:hAnsi="SimSun" w:cstheme="minorHAnsi"/>
                <w:sz w:val="20"/>
                <w:lang w:eastAsia="zh-CN"/>
              </w:rPr>
              <w:t>”</w:t>
            </w:r>
            <w:r w:rsidRPr="008B1FF1">
              <w:rPr>
                <w:rFonts w:asciiTheme="minorHAnsi" w:hAnsiTheme="minorHAnsi" w:cstheme="minorHAnsi"/>
                <w:sz w:val="20"/>
                <w:lang w:eastAsia="zh-CN"/>
              </w:rPr>
              <w:t>和</w:t>
            </w:r>
            <w:r w:rsidRPr="008B1FF1">
              <w:rPr>
                <w:rFonts w:ascii="SimSun" w:eastAsia="SimSun" w:hAnsi="SimSun" w:cstheme="minorHAnsi"/>
                <w:sz w:val="20"/>
                <w:lang w:eastAsia="zh-CN"/>
              </w:rPr>
              <w:t>“</w:t>
            </w:r>
            <w:r w:rsidRPr="008B1FF1">
              <w:rPr>
                <w:rFonts w:asciiTheme="minorHAnsi" w:hAnsiTheme="minorHAnsi" w:cstheme="minorHAnsi"/>
                <w:sz w:val="20"/>
                <w:lang w:eastAsia="zh-CN"/>
              </w:rPr>
              <w:t>所有用户</w:t>
            </w:r>
            <w:r w:rsidRPr="008B1FF1">
              <w:rPr>
                <w:rFonts w:ascii="SimSun" w:eastAsia="SimSun" w:hAnsi="SimSun" w:cstheme="minorHAnsi"/>
                <w:sz w:val="20"/>
                <w:lang w:eastAsia="zh-CN"/>
              </w:rPr>
              <w:t>”</w:t>
            </w:r>
            <w:r w:rsidRPr="008B1FF1">
              <w:rPr>
                <w:rFonts w:asciiTheme="minorHAnsi" w:hAnsiTheme="minorHAnsi" w:cstheme="minorHAnsi"/>
                <w:sz w:val="20"/>
                <w:lang w:eastAsia="zh-CN"/>
              </w:rPr>
              <w:t>设置为</w:t>
            </w:r>
            <w:r w:rsidRPr="008B1FF1">
              <w:rPr>
                <w:rFonts w:asciiTheme="minorHAnsi" w:hAnsiTheme="minorHAnsi" w:cstheme="minorHAnsi"/>
                <w:sz w:val="20"/>
                <w:lang w:eastAsia="zh-CN"/>
              </w:rPr>
              <w:t>0</w:t>
            </w:r>
            <w:r w:rsidRPr="008B1FF1">
              <w:rPr>
                <w:rFonts w:ascii="SimSun" w:eastAsia="SimSun" w:hAnsi="SimSun" w:cstheme="minorHAnsi"/>
                <w:sz w:val="20"/>
                <w:lang w:eastAsia="zh-CN"/>
              </w:rPr>
              <w:t>“</w:t>
            </w:r>
            <w:r w:rsidRPr="008B1FF1">
              <w:rPr>
                <w:rFonts w:asciiTheme="minorHAnsi" w:hAnsiTheme="minorHAnsi" w:cstheme="minorHAnsi"/>
                <w:sz w:val="20"/>
                <w:lang w:eastAsia="zh-CN"/>
              </w:rPr>
              <w:t>零</w:t>
            </w:r>
            <w:r w:rsidRPr="008B1FF1">
              <w:rPr>
                <w:rFonts w:ascii="SimSun" w:eastAsia="SimSun" w:hAnsi="SimSun" w:cstheme="minorHAnsi"/>
                <w:sz w:val="20"/>
                <w:lang w:eastAsia="zh-CN"/>
              </w:rPr>
              <w:t>”</w:t>
            </w:r>
            <w:r w:rsidRPr="008B1FF1">
              <w:rPr>
                <w:rFonts w:asciiTheme="minorHAnsi" w:hAnsiTheme="minorHAnsi" w:cstheme="minorHAnsi"/>
                <w:sz w:val="20"/>
                <w:lang w:eastAsia="zh-CN"/>
              </w:rPr>
              <w:t>）。</w:t>
            </w:r>
          </w:p>
          <w:p w14:paraId="20A29B2F" w14:textId="1B65EE4C" w:rsidR="002F2E4B" w:rsidRPr="008B1FF1" w:rsidRDefault="002F2E4B" w:rsidP="008B1FF1">
            <w:pPr>
              <w:pStyle w:val="Tabletext"/>
              <w:tabs>
                <w:tab w:val="clear" w:pos="284"/>
                <w:tab w:val="clear" w:pos="425"/>
                <w:tab w:val="left" w:pos="356"/>
              </w:tabs>
              <w:spacing w:before="60"/>
              <w:ind w:left="356" w:hanging="356"/>
              <w:rPr>
                <w:sz w:val="20"/>
                <w:lang w:eastAsia="zh-CN"/>
              </w:rPr>
            </w:pPr>
            <w:r w:rsidRPr="008B1FF1">
              <w:rPr>
                <w:rFonts w:asciiTheme="minorHAnsi" w:hAnsiTheme="minorHAnsi" w:cstheme="minorHAnsi"/>
                <w:sz w:val="20"/>
                <w:lang w:eastAsia="zh-CN"/>
              </w:rPr>
              <w:t>5</w:t>
            </w:r>
            <w:r w:rsidR="008B1FF1" w:rsidRPr="008B1FF1">
              <w:rPr>
                <w:rFonts w:asciiTheme="minorHAnsi" w:hAnsiTheme="minorHAnsi" w:cstheme="minorHAnsi" w:hint="eastAsia"/>
                <w:sz w:val="20"/>
                <w:lang w:eastAsia="zh-CN"/>
              </w:rPr>
              <w:t>)</w:t>
            </w:r>
            <w:r w:rsidRPr="008B1FF1">
              <w:rPr>
                <w:rFonts w:asciiTheme="minorHAnsi" w:hAnsiTheme="minorHAnsi" w:cstheme="minorHAnsi"/>
                <w:sz w:val="20"/>
                <w:lang w:eastAsia="zh-CN"/>
              </w:rPr>
              <w:tab/>
            </w:r>
            <w:r w:rsidRPr="008B1FF1">
              <w:rPr>
                <w:sz w:val="20"/>
                <w:lang w:eastAsia="zh-CN"/>
              </w:rPr>
              <w:t>空闲</w:t>
            </w:r>
            <w:r w:rsidRPr="008B1FF1">
              <w:rPr>
                <w:rFonts w:asciiTheme="minorHAnsi" w:hAnsiTheme="minorHAnsi" w:cstheme="minorHAnsi"/>
                <w:sz w:val="20"/>
                <w:lang w:eastAsia="zh-CN"/>
              </w:rPr>
              <w:t>会话超时（</w:t>
            </w:r>
            <w:r w:rsidRPr="008B1FF1">
              <w:rPr>
                <w:rFonts w:asciiTheme="minorHAnsi" w:hAnsiTheme="minorHAnsi" w:cstheme="minorHAnsi"/>
                <w:sz w:val="20"/>
                <w:lang w:eastAsia="zh-CN"/>
              </w:rPr>
              <w:t>BP</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15</w:t>
            </w:r>
            <w:r w:rsidRPr="008B1FF1">
              <w:rPr>
                <w:rFonts w:asciiTheme="minorHAnsi" w:hAnsiTheme="minorHAnsi" w:cstheme="minorHAnsi"/>
                <w:sz w:val="20"/>
                <w:lang w:eastAsia="zh-CN"/>
              </w:rPr>
              <w:t>分钟</w:t>
            </w:r>
            <w:r w:rsidR="009A6D8F">
              <w:rPr>
                <w:rFonts w:asciiTheme="minorHAnsi" w:hAnsiTheme="minorHAnsi" w:cstheme="minorHAnsi" w:hint="eastAsia"/>
                <w:sz w:val="20"/>
                <w:lang w:eastAsia="zh-CN"/>
              </w:rPr>
              <w:t>；</w:t>
            </w:r>
            <w:r w:rsidRPr="008B1FF1">
              <w:rPr>
                <w:rFonts w:asciiTheme="minorHAnsi" w:hAnsiTheme="minorHAnsi" w:cstheme="minorHAnsi"/>
                <w:sz w:val="20"/>
                <w:lang w:eastAsia="zh-CN"/>
              </w:rPr>
              <w:t>为用户类别</w:t>
            </w:r>
            <w:r w:rsidRPr="008B1FF1">
              <w:rPr>
                <w:rFonts w:ascii="SimSun" w:eastAsia="SimSun" w:hAnsi="SimSun" w:cstheme="minorHAnsi"/>
                <w:sz w:val="20"/>
                <w:lang w:eastAsia="zh-CN"/>
              </w:rPr>
              <w:t>“</w:t>
            </w:r>
            <w:r w:rsidRPr="008B1FF1">
              <w:rPr>
                <w:rFonts w:asciiTheme="minorHAnsi" w:hAnsiTheme="minorHAnsi" w:cstheme="minorHAnsi"/>
                <w:sz w:val="20"/>
                <w:lang w:eastAsia="zh-CN"/>
              </w:rPr>
              <w:t>管理员</w:t>
            </w:r>
            <w:r w:rsidRPr="008B1FF1">
              <w:rPr>
                <w:rFonts w:ascii="SimSun" w:eastAsia="SimSun" w:hAnsi="SimSun" w:cstheme="minorHAnsi"/>
                <w:sz w:val="20"/>
                <w:lang w:eastAsia="zh-CN"/>
              </w:rPr>
              <w:t>”</w:t>
            </w:r>
            <w:r w:rsidRPr="008B1FF1">
              <w:rPr>
                <w:rFonts w:asciiTheme="minorHAnsi" w:hAnsiTheme="minorHAnsi" w:cstheme="minorHAnsi"/>
                <w:sz w:val="20"/>
                <w:lang w:eastAsia="zh-CN"/>
              </w:rPr>
              <w:t>和</w:t>
            </w:r>
            <w:r w:rsidRPr="008B1FF1">
              <w:rPr>
                <w:rFonts w:ascii="SimSun" w:eastAsia="SimSun" w:hAnsi="SimSun" w:cstheme="minorHAnsi"/>
                <w:sz w:val="20"/>
                <w:lang w:eastAsia="zh-CN"/>
              </w:rPr>
              <w:t>“</w:t>
            </w:r>
            <w:r w:rsidRPr="008B1FF1">
              <w:rPr>
                <w:rFonts w:asciiTheme="minorHAnsi" w:hAnsiTheme="minorHAnsi" w:cstheme="minorHAnsi"/>
                <w:sz w:val="20"/>
                <w:lang w:eastAsia="zh-CN"/>
              </w:rPr>
              <w:t>所有用户</w:t>
            </w:r>
            <w:r w:rsidRPr="008B1FF1">
              <w:rPr>
                <w:rFonts w:ascii="SimSun" w:eastAsia="SimSun" w:hAnsi="SimSun" w:cstheme="minorHAnsi"/>
                <w:sz w:val="20"/>
                <w:lang w:eastAsia="zh-CN"/>
              </w:rPr>
              <w:t>”</w:t>
            </w:r>
            <w:r w:rsidRPr="008B1FF1">
              <w:rPr>
                <w:rFonts w:asciiTheme="minorHAnsi" w:hAnsiTheme="minorHAnsi" w:cstheme="minorHAnsi"/>
                <w:sz w:val="20"/>
                <w:lang w:eastAsia="zh-CN"/>
              </w:rPr>
              <w:t>进行设置）。</w:t>
            </w:r>
          </w:p>
        </w:tc>
        <w:tc>
          <w:tcPr>
            <w:tcW w:w="1750" w:type="pct"/>
            <w:shd w:val="clear" w:color="auto" w:fill="auto"/>
          </w:tcPr>
          <w:p w14:paraId="16B2DE33" w14:textId="0C4E4DE5"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1</w:t>
            </w:r>
            <w:r w:rsidRPr="008B1FF1">
              <w:rPr>
                <w:rFonts w:asciiTheme="minorHAnsi" w:hAnsiTheme="minorHAnsi" w:cstheme="minorHAnsi"/>
                <w:sz w:val="20"/>
                <w:lang w:eastAsia="zh-CN"/>
              </w:rPr>
              <w:t>月的最新进展：正在测试和开发环境中实施测试。在取得积极成果并确保服务的连续性后，将在生产环境中予以执行。</w:t>
            </w:r>
          </w:p>
          <w:p w14:paraId="30B0CAFE" w14:textId="67031B13"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国际电联认为实施工作正在进行中。</w:t>
            </w:r>
          </w:p>
        </w:tc>
        <w:tc>
          <w:tcPr>
            <w:tcW w:w="1050" w:type="pct"/>
            <w:shd w:val="clear" w:color="auto" w:fill="auto"/>
          </w:tcPr>
          <w:p w14:paraId="09682ED2" w14:textId="172C363D" w:rsidR="002F2E4B" w:rsidRPr="008B1FF1" w:rsidRDefault="002F2E4B" w:rsidP="002F2E4B">
            <w:pPr>
              <w:pStyle w:val="Tabletext"/>
              <w:rPr>
                <w:sz w:val="20"/>
                <w:lang w:eastAsia="zh-CN"/>
              </w:rPr>
            </w:pPr>
            <w:r w:rsidRPr="008B1FF1">
              <w:rPr>
                <w:rFonts w:asciiTheme="minorHAnsi" w:hAnsiTheme="minorHAnsi" w:cstheme="minorHAnsi"/>
                <w:sz w:val="20"/>
                <w:lang w:eastAsia="zh-CN"/>
              </w:rPr>
              <w:t>将最新回应记录在案。</w:t>
            </w:r>
          </w:p>
        </w:tc>
        <w:tc>
          <w:tcPr>
            <w:tcW w:w="450" w:type="pct"/>
            <w:shd w:val="clear" w:color="auto" w:fill="auto"/>
          </w:tcPr>
          <w:p w14:paraId="7CD8D8C5" w14:textId="03B6198D" w:rsidR="002F2E4B" w:rsidRPr="008B1FF1" w:rsidRDefault="004264B1" w:rsidP="002F2E4B">
            <w:pPr>
              <w:pStyle w:val="Tabletext"/>
              <w:rPr>
                <w:sz w:val="20"/>
                <w:lang w:eastAsia="zh-CN"/>
              </w:rPr>
            </w:pPr>
            <w:r>
              <w:rPr>
                <w:rFonts w:asciiTheme="minorHAnsi" w:hAnsiTheme="minorHAnsi" w:cstheme="minorHAnsi" w:hint="eastAsia"/>
                <w:sz w:val="20"/>
                <w:lang w:eastAsia="zh-CN"/>
              </w:rPr>
              <w:t>落实中。</w:t>
            </w:r>
          </w:p>
        </w:tc>
      </w:tr>
      <w:tr w:rsidR="002F2E4B" w:rsidRPr="00536D01" w14:paraId="41562F8B" w14:textId="77777777" w:rsidTr="0011737E">
        <w:tc>
          <w:tcPr>
            <w:tcW w:w="300" w:type="pct"/>
            <w:shd w:val="clear" w:color="auto" w:fill="auto"/>
          </w:tcPr>
          <w:p w14:paraId="0F05E10A" w14:textId="7AC33279" w:rsidR="002F2E4B" w:rsidRPr="008B1FF1" w:rsidRDefault="002F2E4B" w:rsidP="002F2E4B">
            <w:pPr>
              <w:pStyle w:val="Tabletext"/>
              <w:rPr>
                <w:sz w:val="20"/>
              </w:rPr>
            </w:pPr>
            <w:r w:rsidRPr="008B1FF1">
              <w:rPr>
                <w:rFonts w:asciiTheme="minorHAnsi" w:hAnsiTheme="minorHAnsi" w:cstheme="minorHAnsi"/>
                <w:sz w:val="20"/>
              </w:rPr>
              <w:lastRenderedPageBreak/>
              <w:t>2021 R#44</w:t>
            </w:r>
          </w:p>
        </w:tc>
        <w:tc>
          <w:tcPr>
            <w:tcW w:w="1450" w:type="pct"/>
            <w:shd w:val="clear" w:color="auto" w:fill="auto"/>
          </w:tcPr>
          <w:p w14:paraId="5FCEA755" w14:textId="293DA95A"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国际电联应加强</w:t>
            </w:r>
            <w:r w:rsidRPr="008B1FF1">
              <w:rPr>
                <w:rFonts w:asciiTheme="minorHAnsi" w:hAnsiTheme="minorHAnsi" w:cstheme="minorHAnsi"/>
                <w:sz w:val="20"/>
                <w:lang w:eastAsia="zh-CN"/>
              </w:rPr>
              <w:t>SAP ERP</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010</w:t>
            </w:r>
            <w:r w:rsidRPr="008B1FF1">
              <w:rPr>
                <w:rFonts w:asciiTheme="minorHAnsi" w:hAnsiTheme="minorHAnsi" w:cstheme="minorHAnsi"/>
                <w:sz w:val="20"/>
                <w:lang w:eastAsia="zh-CN"/>
              </w:rPr>
              <w:t>）操作系统加固设置的安全性，按照</w:t>
            </w:r>
            <w:r w:rsidRPr="008B1FF1">
              <w:rPr>
                <w:rFonts w:asciiTheme="minorHAnsi" w:hAnsiTheme="minorHAnsi" w:cstheme="minorHAnsi"/>
                <w:sz w:val="20"/>
                <w:lang w:eastAsia="zh-CN"/>
              </w:rPr>
              <w:t>IT</w:t>
            </w:r>
            <w:r w:rsidRPr="008B1FF1">
              <w:rPr>
                <w:rFonts w:asciiTheme="minorHAnsi" w:hAnsiTheme="minorHAnsi" w:cstheme="minorHAnsi"/>
                <w:sz w:val="20"/>
                <w:lang w:eastAsia="zh-CN"/>
              </w:rPr>
              <w:t>最佳做法设置以下参数：</w:t>
            </w:r>
          </w:p>
          <w:p w14:paraId="15F64F6F" w14:textId="0886CBF9"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lang w:eastAsia="zh-CN"/>
              </w:rPr>
            </w:pPr>
            <w:r w:rsidRPr="008B1FF1">
              <w:rPr>
                <w:rFonts w:asciiTheme="minorHAnsi" w:hAnsiTheme="minorHAnsi" w:cstheme="minorHAnsi"/>
                <w:sz w:val="20"/>
                <w:lang w:eastAsia="zh-CN"/>
              </w:rPr>
              <w:t>1</w:t>
            </w:r>
            <w:r w:rsidR="008B1FF1" w:rsidRPr="008B1FF1">
              <w:rPr>
                <w:rFonts w:asciiTheme="minorHAnsi" w:hAnsiTheme="minorHAnsi" w:cstheme="minorHAnsi" w:hint="eastAsia"/>
                <w:sz w:val="20"/>
                <w:lang w:eastAsia="zh-CN"/>
              </w:rPr>
              <w:t>)</w:t>
            </w:r>
            <w:r w:rsidRPr="008B1FF1">
              <w:rPr>
                <w:rFonts w:asciiTheme="minorHAnsi" w:hAnsiTheme="minorHAnsi" w:cstheme="minorHAnsi"/>
                <w:sz w:val="20"/>
                <w:lang w:eastAsia="zh-CN"/>
              </w:rPr>
              <w:tab/>
            </w:r>
            <w:r w:rsidRPr="008B1FF1">
              <w:rPr>
                <w:sz w:val="20"/>
                <w:lang w:eastAsia="zh-CN"/>
              </w:rPr>
              <w:t>审计</w:t>
            </w:r>
            <w:r w:rsidRPr="008B1FF1">
              <w:rPr>
                <w:rFonts w:asciiTheme="minorHAnsi" w:hAnsiTheme="minorHAnsi" w:cstheme="minorHAnsi"/>
                <w:sz w:val="20"/>
                <w:lang w:eastAsia="zh-CN"/>
              </w:rPr>
              <w:t>帐户登录事件（</w:t>
            </w:r>
            <w:r w:rsidRPr="008B1FF1">
              <w:rPr>
                <w:rFonts w:asciiTheme="minorHAnsi" w:hAnsiTheme="minorHAnsi" w:cstheme="minorHAnsi"/>
                <w:sz w:val="20"/>
                <w:lang w:eastAsia="zh-CN"/>
              </w:rPr>
              <w:t>BP</w:t>
            </w:r>
            <w:r w:rsidRPr="008B1FF1">
              <w:rPr>
                <w:rFonts w:asciiTheme="minorHAnsi" w:hAnsiTheme="minorHAnsi" w:cstheme="minorHAnsi"/>
                <w:sz w:val="20"/>
                <w:lang w:eastAsia="zh-CN"/>
              </w:rPr>
              <w:t>：成功和失败）</w:t>
            </w:r>
          </w:p>
          <w:p w14:paraId="255209DA" w14:textId="364BB5F9"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lang w:eastAsia="zh-CN"/>
              </w:rPr>
            </w:pPr>
            <w:r w:rsidRPr="008B1FF1">
              <w:rPr>
                <w:rFonts w:asciiTheme="minorHAnsi" w:hAnsiTheme="minorHAnsi" w:cstheme="minorHAnsi"/>
                <w:sz w:val="20"/>
                <w:lang w:eastAsia="zh-CN"/>
              </w:rPr>
              <w:t>2</w:t>
            </w:r>
            <w:r w:rsidR="008B1FF1" w:rsidRPr="008B1FF1">
              <w:rPr>
                <w:rFonts w:asciiTheme="minorHAnsi" w:hAnsiTheme="minorHAnsi" w:cstheme="minorHAnsi" w:hint="eastAsia"/>
                <w:sz w:val="20"/>
                <w:lang w:eastAsia="zh-CN"/>
              </w:rPr>
              <w:t>)</w:t>
            </w:r>
            <w:r w:rsidRPr="008B1FF1">
              <w:rPr>
                <w:rFonts w:asciiTheme="minorHAnsi" w:hAnsiTheme="minorHAnsi" w:cstheme="minorHAnsi"/>
                <w:sz w:val="20"/>
                <w:lang w:eastAsia="zh-CN"/>
              </w:rPr>
              <w:tab/>
            </w:r>
            <w:r w:rsidRPr="008B1FF1">
              <w:rPr>
                <w:sz w:val="20"/>
                <w:lang w:eastAsia="zh-CN"/>
              </w:rPr>
              <w:t>审计</w:t>
            </w:r>
            <w:r w:rsidRPr="008B1FF1">
              <w:rPr>
                <w:rFonts w:asciiTheme="minorHAnsi" w:hAnsiTheme="minorHAnsi" w:cstheme="minorHAnsi"/>
                <w:sz w:val="20"/>
                <w:lang w:eastAsia="zh-CN"/>
              </w:rPr>
              <w:t>目录服务访问（</w:t>
            </w:r>
            <w:r w:rsidRPr="008B1FF1">
              <w:rPr>
                <w:rFonts w:asciiTheme="minorHAnsi" w:hAnsiTheme="minorHAnsi" w:cstheme="minorHAnsi"/>
                <w:sz w:val="20"/>
                <w:lang w:eastAsia="zh-CN"/>
              </w:rPr>
              <w:t>BP</w:t>
            </w:r>
            <w:r w:rsidRPr="008B1FF1">
              <w:rPr>
                <w:rFonts w:asciiTheme="minorHAnsi" w:hAnsiTheme="minorHAnsi" w:cstheme="minorHAnsi"/>
                <w:sz w:val="20"/>
                <w:lang w:eastAsia="zh-CN"/>
              </w:rPr>
              <w:t>：失败）</w:t>
            </w:r>
          </w:p>
          <w:p w14:paraId="5750B055" w14:textId="1190D2DF"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lang w:eastAsia="zh-CN"/>
              </w:rPr>
            </w:pPr>
            <w:r w:rsidRPr="008B1FF1">
              <w:rPr>
                <w:rFonts w:asciiTheme="minorHAnsi" w:hAnsiTheme="minorHAnsi" w:cstheme="minorHAnsi"/>
                <w:sz w:val="20"/>
                <w:lang w:eastAsia="zh-CN"/>
              </w:rPr>
              <w:t>3</w:t>
            </w:r>
            <w:r w:rsidR="008B1FF1" w:rsidRPr="008B1FF1">
              <w:rPr>
                <w:rFonts w:asciiTheme="minorHAnsi" w:hAnsiTheme="minorHAnsi" w:cstheme="minorHAnsi" w:hint="eastAsia"/>
                <w:sz w:val="20"/>
                <w:lang w:eastAsia="zh-CN"/>
              </w:rPr>
              <w:t>)</w:t>
            </w:r>
            <w:r w:rsidRPr="008B1FF1">
              <w:rPr>
                <w:rFonts w:asciiTheme="minorHAnsi" w:hAnsiTheme="minorHAnsi" w:cstheme="minorHAnsi"/>
                <w:sz w:val="20"/>
                <w:lang w:eastAsia="zh-CN"/>
              </w:rPr>
              <w:tab/>
            </w:r>
            <w:r w:rsidRPr="008B1FF1">
              <w:rPr>
                <w:sz w:val="20"/>
                <w:lang w:eastAsia="zh-CN"/>
              </w:rPr>
              <w:t>审计</w:t>
            </w:r>
            <w:r w:rsidRPr="008B1FF1">
              <w:rPr>
                <w:rFonts w:asciiTheme="minorHAnsi" w:hAnsiTheme="minorHAnsi" w:cstheme="minorHAnsi"/>
                <w:sz w:val="20"/>
                <w:lang w:eastAsia="zh-CN"/>
              </w:rPr>
              <w:t>对象访问（</w:t>
            </w:r>
            <w:r w:rsidRPr="008B1FF1">
              <w:rPr>
                <w:rFonts w:asciiTheme="minorHAnsi" w:hAnsiTheme="minorHAnsi" w:cstheme="minorHAnsi"/>
                <w:sz w:val="20"/>
                <w:lang w:eastAsia="zh-CN"/>
              </w:rPr>
              <w:t>BP</w:t>
            </w:r>
            <w:r w:rsidRPr="008B1FF1">
              <w:rPr>
                <w:rFonts w:asciiTheme="minorHAnsi" w:hAnsiTheme="minorHAnsi" w:cstheme="minorHAnsi"/>
                <w:sz w:val="20"/>
                <w:lang w:eastAsia="zh-CN"/>
              </w:rPr>
              <w:t>：失败）</w:t>
            </w:r>
          </w:p>
          <w:p w14:paraId="4D89994D" w14:textId="7BF67E70"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lang w:eastAsia="zh-CN"/>
              </w:rPr>
            </w:pPr>
            <w:r w:rsidRPr="008B1FF1">
              <w:rPr>
                <w:rFonts w:asciiTheme="minorHAnsi" w:hAnsiTheme="minorHAnsi" w:cstheme="minorHAnsi"/>
                <w:sz w:val="20"/>
                <w:lang w:eastAsia="zh-CN"/>
              </w:rPr>
              <w:t>4</w:t>
            </w:r>
            <w:r w:rsidR="008B1FF1" w:rsidRPr="008B1FF1">
              <w:rPr>
                <w:rFonts w:asciiTheme="minorHAnsi" w:hAnsiTheme="minorHAnsi" w:cstheme="minorHAnsi" w:hint="eastAsia"/>
                <w:sz w:val="20"/>
                <w:lang w:eastAsia="zh-CN"/>
              </w:rPr>
              <w:t>)</w:t>
            </w:r>
            <w:r w:rsidRPr="008B1FF1">
              <w:rPr>
                <w:rFonts w:asciiTheme="minorHAnsi" w:hAnsiTheme="minorHAnsi" w:cstheme="minorHAnsi"/>
                <w:sz w:val="20"/>
                <w:lang w:eastAsia="zh-CN"/>
              </w:rPr>
              <w:tab/>
            </w:r>
            <w:r w:rsidRPr="008B1FF1">
              <w:rPr>
                <w:sz w:val="20"/>
                <w:lang w:eastAsia="zh-CN"/>
              </w:rPr>
              <w:t>审计</w:t>
            </w:r>
            <w:r w:rsidRPr="008B1FF1">
              <w:rPr>
                <w:rFonts w:asciiTheme="minorHAnsi" w:hAnsiTheme="minorHAnsi" w:cstheme="minorHAnsi"/>
                <w:sz w:val="20"/>
                <w:lang w:eastAsia="zh-CN"/>
              </w:rPr>
              <w:t>权限的使用（</w:t>
            </w:r>
            <w:r w:rsidRPr="008B1FF1">
              <w:rPr>
                <w:rFonts w:asciiTheme="minorHAnsi" w:hAnsiTheme="minorHAnsi" w:cstheme="minorHAnsi"/>
                <w:sz w:val="20"/>
                <w:lang w:eastAsia="zh-CN"/>
              </w:rPr>
              <w:t>BP</w:t>
            </w:r>
            <w:r w:rsidRPr="008B1FF1">
              <w:rPr>
                <w:rFonts w:asciiTheme="minorHAnsi" w:hAnsiTheme="minorHAnsi" w:cstheme="minorHAnsi"/>
                <w:sz w:val="20"/>
                <w:lang w:eastAsia="zh-CN"/>
              </w:rPr>
              <w:t>：失败）</w:t>
            </w:r>
          </w:p>
          <w:p w14:paraId="37FC398A" w14:textId="3B050297" w:rsidR="002F2E4B" w:rsidRPr="008B1FF1" w:rsidRDefault="002F2E4B" w:rsidP="008B1FF1">
            <w:pPr>
              <w:pStyle w:val="Tabletext"/>
              <w:tabs>
                <w:tab w:val="clear" w:pos="284"/>
                <w:tab w:val="clear" w:pos="425"/>
                <w:tab w:val="left" w:pos="356"/>
              </w:tabs>
              <w:spacing w:before="60"/>
              <w:ind w:left="356" w:hanging="356"/>
              <w:rPr>
                <w:sz w:val="20"/>
                <w:lang w:eastAsia="zh-CN"/>
              </w:rPr>
            </w:pPr>
            <w:r w:rsidRPr="008B1FF1">
              <w:rPr>
                <w:rFonts w:asciiTheme="minorHAnsi" w:hAnsiTheme="minorHAnsi" w:cstheme="minorHAnsi"/>
                <w:sz w:val="20"/>
                <w:lang w:eastAsia="zh-CN"/>
              </w:rPr>
              <w:t>5</w:t>
            </w:r>
            <w:r w:rsidR="008B1FF1" w:rsidRPr="008B1FF1">
              <w:rPr>
                <w:rFonts w:asciiTheme="minorHAnsi" w:hAnsiTheme="minorHAnsi" w:cstheme="minorHAnsi" w:hint="eastAsia"/>
                <w:sz w:val="20"/>
                <w:lang w:eastAsia="zh-CN"/>
              </w:rPr>
              <w:t>)</w:t>
            </w:r>
            <w:r w:rsidRPr="008B1FF1">
              <w:rPr>
                <w:rFonts w:asciiTheme="minorHAnsi" w:hAnsiTheme="minorHAnsi" w:cstheme="minorHAnsi"/>
                <w:sz w:val="20"/>
                <w:lang w:eastAsia="zh-CN"/>
              </w:rPr>
              <w:tab/>
            </w:r>
            <w:r w:rsidRPr="008B1FF1">
              <w:rPr>
                <w:sz w:val="20"/>
                <w:lang w:eastAsia="zh-CN"/>
              </w:rPr>
              <w:t>审计</w:t>
            </w:r>
            <w:r w:rsidRPr="008B1FF1">
              <w:rPr>
                <w:rFonts w:asciiTheme="minorHAnsi" w:hAnsiTheme="minorHAnsi" w:cstheme="minorHAnsi"/>
                <w:sz w:val="20"/>
                <w:lang w:eastAsia="zh-CN"/>
              </w:rPr>
              <w:t>系统事件（</w:t>
            </w:r>
            <w:r w:rsidRPr="008B1FF1">
              <w:rPr>
                <w:rFonts w:asciiTheme="minorHAnsi" w:hAnsiTheme="minorHAnsi" w:cstheme="minorHAnsi"/>
                <w:sz w:val="20"/>
                <w:lang w:eastAsia="zh-CN"/>
              </w:rPr>
              <w:t>BP</w:t>
            </w:r>
            <w:r w:rsidRPr="008B1FF1">
              <w:rPr>
                <w:rFonts w:asciiTheme="minorHAnsi" w:hAnsiTheme="minorHAnsi" w:cstheme="minorHAnsi"/>
                <w:sz w:val="20"/>
                <w:lang w:eastAsia="zh-CN"/>
              </w:rPr>
              <w:t>：失效）</w:t>
            </w:r>
          </w:p>
        </w:tc>
        <w:tc>
          <w:tcPr>
            <w:tcW w:w="1750" w:type="pct"/>
            <w:shd w:val="clear" w:color="auto" w:fill="auto"/>
          </w:tcPr>
          <w:p w14:paraId="6238296A" w14:textId="26B24F7B" w:rsidR="002F2E4B" w:rsidRPr="008B1FF1" w:rsidRDefault="002F2E4B" w:rsidP="002F2E4B">
            <w:pPr>
              <w:pStyle w:val="Tabletext"/>
              <w:rPr>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2024</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9</w:t>
            </w:r>
            <w:r w:rsidRPr="008B1FF1">
              <w:rPr>
                <w:rFonts w:asciiTheme="minorHAnsi" w:hAnsiTheme="minorHAnsi" w:cstheme="minorHAnsi"/>
                <w:sz w:val="20"/>
                <w:lang w:eastAsia="zh-CN"/>
              </w:rPr>
              <w:t>月的最新进展：实施了新的</w:t>
            </w:r>
            <w:r w:rsidRPr="008B1FF1">
              <w:rPr>
                <w:rFonts w:asciiTheme="minorHAnsi" w:hAnsiTheme="minorHAnsi" w:cstheme="minorHAnsi"/>
                <w:sz w:val="20"/>
                <w:lang w:eastAsia="zh-CN"/>
              </w:rPr>
              <w:t>SOC</w:t>
            </w:r>
            <w:r w:rsidRPr="008B1FF1">
              <w:rPr>
                <w:rFonts w:asciiTheme="minorHAnsi" w:hAnsiTheme="minorHAnsi" w:cstheme="minorHAnsi"/>
                <w:sz w:val="20"/>
                <w:lang w:eastAsia="zh-CN"/>
              </w:rPr>
              <w:t>。它包括所有</w:t>
            </w:r>
            <w:r w:rsidRPr="008B1FF1">
              <w:rPr>
                <w:rFonts w:asciiTheme="minorHAnsi" w:hAnsiTheme="minorHAnsi" w:cstheme="minorHAnsi"/>
                <w:sz w:val="20"/>
                <w:lang w:eastAsia="zh-CN"/>
              </w:rPr>
              <w:t>SAP</w:t>
            </w:r>
            <w:r w:rsidRPr="008B1FF1">
              <w:rPr>
                <w:rFonts w:asciiTheme="minorHAnsi" w:hAnsiTheme="minorHAnsi" w:cstheme="minorHAnsi"/>
                <w:sz w:val="20"/>
                <w:lang w:eastAsia="zh-CN"/>
              </w:rPr>
              <w:t>生态系统服务器。已出台的审计政策涵盖了建议中提到的要素。</w:t>
            </w:r>
            <w:r w:rsidRPr="008B1FF1">
              <w:rPr>
                <w:rFonts w:asciiTheme="minorHAnsi" w:hAnsiTheme="minorHAnsi" w:cstheme="minorHAnsi"/>
                <w:sz w:val="20"/>
                <w:lang w:eastAsia="zh-CN"/>
              </w:rPr>
              <w:t>SOC</w:t>
            </w:r>
            <w:r w:rsidRPr="008B1FF1">
              <w:rPr>
                <w:rFonts w:asciiTheme="minorHAnsi" w:hAnsiTheme="minorHAnsi" w:cstheme="minorHAnsi"/>
                <w:sz w:val="20"/>
                <w:lang w:eastAsia="zh-CN"/>
              </w:rPr>
              <w:t>在</w:t>
            </w:r>
            <w:r w:rsidRPr="008B1FF1">
              <w:rPr>
                <w:rFonts w:asciiTheme="minorHAnsi" w:hAnsiTheme="minorHAnsi" w:cstheme="minorHAnsi"/>
                <w:sz w:val="20"/>
                <w:lang w:eastAsia="zh-CN"/>
              </w:rPr>
              <w:t>24/7</w:t>
            </w:r>
            <w:r w:rsidRPr="008B1FF1">
              <w:rPr>
                <w:rFonts w:asciiTheme="minorHAnsi" w:hAnsiTheme="minorHAnsi" w:cstheme="minorHAnsi"/>
                <w:sz w:val="20"/>
                <w:lang w:eastAsia="zh-CN"/>
              </w:rPr>
              <w:t>的基础上运行。</w:t>
            </w:r>
          </w:p>
        </w:tc>
        <w:tc>
          <w:tcPr>
            <w:tcW w:w="1050" w:type="pct"/>
            <w:shd w:val="clear" w:color="auto" w:fill="auto"/>
          </w:tcPr>
          <w:p w14:paraId="1F99AFE3" w14:textId="10BD9E26" w:rsidR="002F2E4B" w:rsidRPr="008B1FF1" w:rsidRDefault="002F2E4B" w:rsidP="002F2E4B">
            <w:pPr>
              <w:pStyle w:val="Tabletext"/>
              <w:rPr>
                <w:sz w:val="20"/>
              </w:rPr>
            </w:pPr>
            <w:r w:rsidRPr="008B1FF1">
              <w:rPr>
                <w:rFonts w:asciiTheme="minorHAnsi" w:hAnsiTheme="minorHAnsi" w:cstheme="minorHAnsi"/>
                <w:sz w:val="20"/>
                <w:lang w:eastAsia="zh-CN"/>
              </w:rPr>
              <w:t>注意到最新的回应并认为是合理的。</w:t>
            </w:r>
            <w:r w:rsidRPr="008B1FF1">
              <w:rPr>
                <w:rFonts w:asciiTheme="minorHAnsi" w:hAnsiTheme="minorHAnsi" w:cstheme="minorHAnsi" w:hint="eastAsia"/>
                <w:sz w:val="20"/>
                <w:lang w:eastAsia="zh-CN"/>
              </w:rPr>
              <w:t>该建议已完成</w:t>
            </w:r>
            <w:r w:rsidRPr="008B1FF1">
              <w:rPr>
                <w:rFonts w:asciiTheme="minorHAnsi" w:hAnsiTheme="minorHAnsi" w:cstheme="minorHAnsi"/>
                <w:sz w:val="20"/>
              </w:rPr>
              <w:t>。</w:t>
            </w:r>
          </w:p>
        </w:tc>
        <w:tc>
          <w:tcPr>
            <w:tcW w:w="450" w:type="pct"/>
            <w:shd w:val="clear" w:color="auto" w:fill="auto"/>
          </w:tcPr>
          <w:p w14:paraId="65FD4BEA" w14:textId="29068CD6" w:rsidR="002F2E4B" w:rsidRPr="008B1FF1" w:rsidRDefault="00A62A5A" w:rsidP="002F2E4B">
            <w:pPr>
              <w:pStyle w:val="Tabletext"/>
              <w:rPr>
                <w:sz w:val="20"/>
              </w:rPr>
            </w:pPr>
            <w:r>
              <w:rPr>
                <w:rFonts w:ascii="SimSun" w:eastAsia="SimSun" w:hAnsi="SimSun" w:cs="SimSun" w:hint="eastAsia"/>
                <w:color w:val="000000"/>
                <w:sz w:val="20"/>
                <w:lang w:eastAsia="zh-CN"/>
              </w:rPr>
              <w:t>已关闭。</w:t>
            </w:r>
          </w:p>
        </w:tc>
      </w:tr>
      <w:tr w:rsidR="002F2E4B" w:rsidRPr="00536D01" w14:paraId="4312E95D" w14:textId="77777777" w:rsidTr="0011737E">
        <w:tc>
          <w:tcPr>
            <w:tcW w:w="300" w:type="pct"/>
            <w:shd w:val="clear" w:color="auto" w:fill="auto"/>
          </w:tcPr>
          <w:p w14:paraId="226AB1AD" w14:textId="3B18726C" w:rsidR="002F2E4B" w:rsidRPr="008B1FF1" w:rsidRDefault="002F2E4B" w:rsidP="002F2E4B">
            <w:pPr>
              <w:pStyle w:val="Tabletext"/>
              <w:rPr>
                <w:sz w:val="20"/>
              </w:rPr>
            </w:pPr>
            <w:r w:rsidRPr="008B1FF1">
              <w:rPr>
                <w:rFonts w:asciiTheme="minorHAnsi" w:hAnsiTheme="minorHAnsi" w:cstheme="minorHAnsi"/>
                <w:sz w:val="20"/>
              </w:rPr>
              <w:t>2021 R#45</w:t>
            </w:r>
          </w:p>
        </w:tc>
        <w:tc>
          <w:tcPr>
            <w:tcW w:w="1450" w:type="pct"/>
            <w:shd w:val="clear" w:color="auto" w:fill="auto"/>
          </w:tcPr>
          <w:p w14:paraId="722F0CF1" w14:textId="4389FA5E" w:rsidR="002F2E4B" w:rsidRPr="008B1FF1" w:rsidRDefault="002F2E4B" w:rsidP="002F2E4B">
            <w:pPr>
              <w:pStyle w:val="Tabletext"/>
              <w:rPr>
                <w:sz w:val="20"/>
                <w:lang w:eastAsia="zh-CN"/>
              </w:rPr>
            </w:pPr>
            <w:r w:rsidRPr="008B1FF1">
              <w:rPr>
                <w:rFonts w:asciiTheme="minorHAnsi" w:hAnsiTheme="minorHAnsi" w:cstheme="minorHAnsi"/>
                <w:sz w:val="20"/>
                <w:lang w:eastAsia="zh-CN"/>
              </w:rPr>
              <w:t>至少每年对</w:t>
            </w:r>
            <w:r w:rsidRPr="008B1FF1">
              <w:rPr>
                <w:rFonts w:asciiTheme="minorHAnsi" w:hAnsiTheme="minorHAnsi" w:cstheme="minorHAnsi"/>
                <w:sz w:val="20"/>
                <w:lang w:eastAsia="zh-CN"/>
              </w:rPr>
              <w:t xml:space="preserve">SAP ERP </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010</w:t>
            </w:r>
            <w:r w:rsidRPr="008B1FF1">
              <w:rPr>
                <w:rFonts w:asciiTheme="minorHAnsi" w:hAnsiTheme="minorHAnsi" w:cstheme="minorHAnsi"/>
                <w:sz w:val="20"/>
                <w:lang w:eastAsia="zh-CN"/>
              </w:rPr>
              <w:t>）操作系统上的所有现有用户进行备案的访问权限审查</w:t>
            </w:r>
          </w:p>
        </w:tc>
        <w:tc>
          <w:tcPr>
            <w:tcW w:w="1750" w:type="pct"/>
            <w:shd w:val="clear" w:color="auto" w:fill="auto"/>
          </w:tcPr>
          <w:p w14:paraId="600C052E" w14:textId="3D969D90"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月的最新进展：这一进程的强化工作一直在持续进行。</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年聘请了一家外部专家公司对我们的</w:t>
            </w:r>
            <w:r w:rsidRPr="008B1FF1">
              <w:rPr>
                <w:rFonts w:asciiTheme="minorHAnsi" w:hAnsiTheme="minorHAnsi" w:cstheme="minorHAnsi"/>
                <w:sz w:val="20"/>
                <w:lang w:eastAsia="zh-CN"/>
              </w:rPr>
              <w:t>ERP</w:t>
            </w:r>
            <w:r w:rsidRPr="008B1FF1">
              <w:rPr>
                <w:rFonts w:asciiTheme="minorHAnsi" w:hAnsiTheme="minorHAnsi" w:cstheme="minorHAnsi"/>
                <w:sz w:val="20"/>
                <w:lang w:eastAsia="zh-CN"/>
              </w:rPr>
              <w:t>系统（包括访问权限）进行最新的深入全面审查。我们计划在</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年进行下一次此类审查。</w:t>
            </w:r>
          </w:p>
          <w:p w14:paraId="19E2B7E7" w14:textId="482FB11E"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29B5EBCA" w14:textId="7693AA98" w:rsidR="002F2E4B" w:rsidRPr="008B1FF1" w:rsidRDefault="002F2E4B" w:rsidP="002F2E4B">
            <w:pPr>
              <w:pStyle w:val="Tabletext"/>
              <w:rPr>
                <w:sz w:val="20"/>
                <w:lang w:eastAsia="zh-CN"/>
              </w:rPr>
            </w:pPr>
            <w:r w:rsidRPr="008B1FF1">
              <w:rPr>
                <w:rFonts w:asciiTheme="minorHAnsi" w:hAnsiTheme="minorHAnsi" w:cstheme="minorHAnsi"/>
                <w:sz w:val="20"/>
                <w:lang w:eastAsia="zh-CN"/>
              </w:rPr>
              <w:t>注意到最新的回应并认为是合理的。正如本报告第</w:t>
            </w:r>
            <w:r w:rsidRPr="008B1FF1">
              <w:rPr>
                <w:rFonts w:asciiTheme="minorHAnsi" w:hAnsiTheme="minorHAnsi" w:cstheme="minorHAnsi"/>
                <w:sz w:val="20"/>
                <w:lang w:eastAsia="zh-CN"/>
              </w:rPr>
              <w:t>2</w:t>
            </w:r>
            <w:r w:rsidRPr="008B1FF1">
              <w:rPr>
                <w:rFonts w:asciiTheme="minorHAnsi" w:hAnsiTheme="minorHAnsi" w:cstheme="minorHAnsi"/>
                <w:sz w:val="20"/>
                <w:lang w:eastAsia="zh-CN"/>
              </w:rPr>
              <w:t>部分所强调的，我们考虑了管理层为确保其</w:t>
            </w:r>
            <w:r w:rsidRPr="008B1FF1">
              <w:rPr>
                <w:rFonts w:asciiTheme="minorHAnsi" w:hAnsiTheme="minorHAnsi" w:cstheme="minorHAnsi"/>
                <w:sz w:val="20"/>
                <w:lang w:eastAsia="zh-CN"/>
              </w:rPr>
              <w:t>IT</w:t>
            </w:r>
            <w:r w:rsidRPr="008B1FF1">
              <w:rPr>
                <w:rFonts w:asciiTheme="minorHAnsi" w:hAnsiTheme="minorHAnsi" w:cstheme="minorHAnsi"/>
                <w:sz w:val="20"/>
                <w:lang w:eastAsia="zh-CN"/>
              </w:rPr>
              <w:t>环境所做的总体安排，并在本报告中提出了相关的新建议。</w:t>
            </w:r>
          </w:p>
        </w:tc>
        <w:tc>
          <w:tcPr>
            <w:tcW w:w="450" w:type="pct"/>
            <w:shd w:val="clear" w:color="auto" w:fill="auto"/>
          </w:tcPr>
          <w:p w14:paraId="43237A2D" w14:textId="25046EBC" w:rsidR="002F2E4B" w:rsidRPr="008B1FF1" w:rsidRDefault="00A62A5A" w:rsidP="002F2E4B">
            <w:pPr>
              <w:pStyle w:val="Tabletext"/>
              <w:rPr>
                <w:sz w:val="20"/>
              </w:rPr>
            </w:pPr>
            <w:r>
              <w:rPr>
                <w:rFonts w:ascii="SimSun" w:eastAsia="SimSun" w:hAnsi="SimSun" w:cs="SimSun" w:hint="eastAsia"/>
                <w:color w:val="000000"/>
                <w:sz w:val="20"/>
                <w:lang w:eastAsia="zh-CN"/>
              </w:rPr>
              <w:t>已关闭。</w:t>
            </w:r>
          </w:p>
        </w:tc>
      </w:tr>
      <w:tr w:rsidR="002F2E4B" w:rsidRPr="00536D01" w14:paraId="6EF560AC" w14:textId="77777777" w:rsidTr="0011737E">
        <w:tc>
          <w:tcPr>
            <w:tcW w:w="300" w:type="pct"/>
            <w:shd w:val="clear" w:color="auto" w:fill="auto"/>
          </w:tcPr>
          <w:p w14:paraId="478F6688" w14:textId="31ABE237" w:rsidR="002F2E4B" w:rsidRPr="008B1FF1" w:rsidRDefault="002F2E4B" w:rsidP="002F2E4B">
            <w:pPr>
              <w:pStyle w:val="Tabletext"/>
              <w:rPr>
                <w:sz w:val="20"/>
              </w:rPr>
            </w:pPr>
            <w:r w:rsidRPr="008B1FF1">
              <w:rPr>
                <w:rFonts w:asciiTheme="minorHAnsi" w:hAnsiTheme="minorHAnsi" w:cstheme="minorHAnsi"/>
                <w:sz w:val="20"/>
              </w:rPr>
              <w:t>2021 R#46</w:t>
            </w:r>
          </w:p>
        </w:tc>
        <w:tc>
          <w:tcPr>
            <w:tcW w:w="1450" w:type="pct"/>
            <w:shd w:val="clear" w:color="auto" w:fill="auto"/>
          </w:tcPr>
          <w:p w14:paraId="12AA2988" w14:textId="56277C2C"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国际电联应加强</w:t>
            </w:r>
            <w:r w:rsidRPr="008B1FF1">
              <w:rPr>
                <w:rFonts w:asciiTheme="minorHAnsi" w:hAnsiTheme="minorHAnsi" w:cstheme="minorHAnsi"/>
                <w:sz w:val="20"/>
                <w:lang w:eastAsia="zh-CN"/>
              </w:rPr>
              <w:t>SAP ERP</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010</w:t>
            </w:r>
            <w:r w:rsidRPr="008B1FF1">
              <w:rPr>
                <w:rFonts w:asciiTheme="minorHAnsi" w:hAnsiTheme="minorHAnsi" w:cstheme="minorHAnsi"/>
                <w:sz w:val="20"/>
                <w:lang w:eastAsia="zh-CN"/>
              </w:rPr>
              <w:t>）数据库的安全性，根据最佳做法设置以下参数：</w:t>
            </w:r>
          </w:p>
          <w:p w14:paraId="2507F982" w14:textId="3A5D8F31"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1</w:t>
            </w:r>
            <w:r w:rsidR="008B1FF1" w:rsidRPr="008B1FF1">
              <w:rPr>
                <w:rFonts w:asciiTheme="minorHAnsi" w:hAnsiTheme="minorHAnsi" w:cstheme="minorHAnsi" w:hint="eastAsia"/>
                <w:sz w:val="20"/>
                <w:lang w:eastAsia="zh-CN"/>
              </w:rPr>
              <w:t>)</w:t>
            </w:r>
            <w:r w:rsidRPr="008B1FF1">
              <w:rPr>
                <w:rFonts w:asciiTheme="minorHAnsi" w:hAnsiTheme="minorHAnsi" w:cstheme="minorHAnsi"/>
                <w:sz w:val="20"/>
                <w:lang w:eastAsia="zh-CN"/>
              </w:rPr>
              <w:tab/>
            </w:r>
            <w:r w:rsidRPr="008B1FF1">
              <w:rPr>
                <w:rFonts w:asciiTheme="minorHAnsi" w:hAnsiTheme="minorHAnsi" w:cstheme="minorHAnsi"/>
                <w:sz w:val="20"/>
                <w:lang w:eastAsia="zh-CN"/>
              </w:rPr>
              <w:t>最小密码长度（</w:t>
            </w:r>
            <w:r w:rsidRPr="008B1FF1">
              <w:rPr>
                <w:rFonts w:asciiTheme="minorHAnsi" w:hAnsiTheme="minorHAnsi" w:cstheme="minorHAnsi"/>
                <w:sz w:val="20"/>
                <w:lang w:eastAsia="zh-CN"/>
              </w:rPr>
              <w:t>BP</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8</w:t>
            </w:r>
            <w:r w:rsidRPr="008B1FF1">
              <w:rPr>
                <w:rFonts w:asciiTheme="minorHAnsi" w:hAnsiTheme="minorHAnsi" w:cstheme="minorHAnsi"/>
                <w:sz w:val="20"/>
                <w:lang w:eastAsia="zh-CN"/>
              </w:rPr>
              <w:t>）。</w:t>
            </w:r>
          </w:p>
          <w:p w14:paraId="3DFBC56C" w14:textId="43D37C2D"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2</w:t>
            </w:r>
            <w:r w:rsidR="008B1FF1" w:rsidRPr="008B1FF1">
              <w:rPr>
                <w:rFonts w:asciiTheme="minorHAnsi" w:hAnsiTheme="minorHAnsi" w:cstheme="minorHAnsi" w:hint="eastAsia"/>
                <w:sz w:val="20"/>
                <w:lang w:eastAsia="zh-CN"/>
              </w:rPr>
              <w:t>)</w:t>
            </w:r>
            <w:r w:rsidRPr="008B1FF1">
              <w:rPr>
                <w:rFonts w:asciiTheme="minorHAnsi" w:hAnsiTheme="minorHAnsi" w:cstheme="minorHAnsi"/>
                <w:sz w:val="20"/>
                <w:lang w:eastAsia="zh-CN"/>
              </w:rPr>
              <w:tab/>
            </w:r>
            <w:r w:rsidRPr="008B1FF1">
              <w:rPr>
                <w:rFonts w:asciiTheme="minorHAnsi" w:hAnsiTheme="minorHAnsi" w:cstheme="minorHAnsi"/>
                <w:sz w:val="20"/>
                <w:lang w:eastAsia="zh-CN"/>
              </w:rPr>
              <w:t>帐户锁定阈值（</w:t>
            </w:r>
            <w:r w:rsidRPr="008B1FF1">
              <w:rPr>
                <w:rFonts w:asciiTheme="minorHAnsi" w:hAnsiTheme="minorHAnsi" w:cstheme="minorHAnsi"/>
                <w:sz w:val="20"/>
                <w:lang w:eastAsia="zh-CN"/>
              </w:rPr>
              <w:t>BP</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3 - 5</w:t>
            </w:r>
            <w:r w:rsidRPr="008B1FF1">
              <w:rPr>
                <w:rFonts w:asciiTheme="minorHAnsi" w:hAnsiTheme="minorHAnsi" w:cstheme="minorHAnsi"/>
                <w:sz w:val="20"/>
                <w:lang w:eastAsia="zh-CN"/>
              </w:rPr>
              <w:t>次登录尝试）。</w:t>
            </w:r>
          </w:p>
          <w:p w14:paraId="1A152379" w14:textId="06553830" w:rsidR="002F2E4B" w:rsidRPr="008B1FF1" w:rsidRDefault="002F2E4B" w:rsidP="002F2E4B">
            <w:pPr>
              <w:pStyle w:val="Tabletext"/>
              <w:rPr>
                <w:sz w:val="20"/>
                <w:lang w:eastAsia="zh-CN"/>
              </w:rPr>
            </w:pPr>
            <w:r w:rsidRPr="008B1FF1">
              <w:rPr>
                <w:rFonts w:asciiTheme="minorHAnsi" w:hAnsiTheme="minorHAnsi" w:cstheme="minorHAnsi"/>
                <w:sz w:val="20"/>
                <w:lang w:eastAsia="zh-CN"/>
              </w:rPr>
              <w:t>3</w:t>
            </w:r>
            <w:r w:rsidR="008B1FF1" w:rsidRPr="008B1FF1">
              <w:rPr>
                <w:rFonts w:asciiTheme="minorHAnsi" w:hAnsiTheme="minorHAnsi" w:cstheme="minorHAnsi" w:hint="eastAsia"/>
                <w:sz w:val="20"/>
                <w:lang w:eastAsia="zh-CN"/>
              </w:rPr>
              <w:t>)</w:t>
            </w:r>
            <w:r w:rsidRPr="008B1FF1">
              <w:rPr>
                <w:rFonts w:asciiTheme="minorHAnsi" w:hAnsiTheme="minorHAnsi" w:cstheme="minorHAnsi"/>
                <w:sz w:val="20"/>
                <w:lang w:eastAsia="zh-CN"/>
              </w:rPr>
              <w:tab/>
            </w:r>
            <w:r w:rsidRPr="008B1FF1">
              <w:rPr>
                <w:rFonts w:asciiTheme="minorHAnsi" w:hAnsiTheme="minorHAnsi" w:cstheme="minorHAnsi"/>
                <w:sz w:val="20"/>
                <w:lang w:eastAsia="zh-CN"/>
              </w:rPr>
              <w:t>密码必须满足复杂度要求（</w:t>
            </w:r>
            <w:r w:rsidRPr="008B1FF1">
              <w:rPr>
                <w:rFonts w:asciiTheme="minorHAnsi" w:hAnsiTheme="minorHAnsi" w:cstheme="minorHAnsi"/>
                <w:sz w:val="20"/>
                <w:lang w:eastAsia="zh-CN"/>
              </w:rPr>
              <w:t>BP</w:t>
            </w:r>
            <w:r w:rsidRPr="008B1FF1">
              <w:rPr>
                <w:rFonts w:asciiTheme="minorHAnsi" w:hAnsiTheme="minorHAnsi" w:cstheme="minorHAnsi"/>
                <w:sz w:val="20"/>
                <w:lang w:eastAsia="zh-CN"/>
              </w:rPr>
              <w:t>：启用）</w:t>
            </w:r>
          </w:p>
        </w:tc>
        <w:tc>
          <w:tcPr>
            <w:tcW w:w="1750" w:type="pct"/>
            <w:shd w:val="clear" w:color="auto" w:fill="auto"/>
          </w:tcPr>
          <w:p w14:paraId="4D7D096F"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1</w:t>
            </w:r>
            <w:r w:rsidRPr="008B1FF1">
              <w:rPr>
                <w:rFonts w:asciiTheme="minorHAnsi" w:hAnsiTheme="minorHAnsi" w:cstheme="minorHAnsi"/>
                <w:sz w:val="20"/>
                <w:lang w:eastAsia="zh-CN"/>
              </w:rPr>
              <w:t>月的最新进展：根据该建议，已在</w:t>
            </w:r>
            <w:r w:rsidRPr="008B1FF1">
              <w:rPr>
                <w:rFonts w:asciiTheme="minorHAnsi" w:hAnsiTheme="minorHAnsi" w:cstheme="minorHAnsi"/>
                <w:sz w:val="20"/>
                <w:lang w:eastAsia="zh-CN"/>
              </w:rPr>
              <w:t>SAP</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ERP</w:t>
            </w:r>
            <w:r w:rsidRPr="008B1FF1">
              <w:rPr>
                <w:rFonts w:asciiTheme="minorHAnsi" w:hAnsiTheme="minorHAnsi" w:cstheme="minorHAnsi"/>
                <w:sz w:val="20"/>
                <w:lang w:eastAsia="zh-CN"/>
              </w:rPr>
              <w:t>）中设置了以下参数：</w:t>
            </w:r>
          </w:p>
          <w:p w14:paraId="50DFD492" w14:textId="77777777"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rPr>
            </w:pPr>
            <w:r w:rsidRPr="008B1FF1">
              <w:rPr>
                <w:rFonts w:asciiTheme="minorHAnsi" w:hAnsiTheme="minorHAnsi" w:cstheme="minorHAnsi"/>
                <w:sz w:val="20"/>
              </w:rPr>
              <w:t>–</w:t>
            </w:r>
            <w:r w:rsidRPr="008B1FF1">
              <w:rPr>
                <w:rFonts w:asciiTheme="minorHAnsi" w:hAnsiTheme="minorHAnsi" w:cstheme="minorHAnsi"/>
                <w:sz w:val="20"/>
              </w:rPr>
              <w:tab/>
              <w:t>login/</w:t>
            </w:r>
            <w:proofErr w:type="spellStart"/>
            <w:r w:rsidRPr="008B1FF1">
              <w:rPr>
                <w:rFonts w:asciiTheme="minorHAnsi" w:hAnsiTheme="minorHAnsi" w:cstheme="minorHAnsi"/>
                <w:sz w:val="20"/>
              </w:rPr>
              <w:t>min_password_lng</w:t>
            </w:r>
            <w:proofErr w:type="spellEnd"/>
            <w:r w:rsidRPr="008B1FF1">
              <w:rPr>
                <w:rFonts w:asciiTheme="minorHAnsi" w:hAnsiTheme="minorHAnsi" w:cstheme="minorHAnsi"/>
                <w:sz w:val="20"/>
              </w:rPr>
              <w:t xml:space="preserve"> = 8</w:t>
            </w:r>
          </w:p>
          <w:p w14:paraId="35EAB86F" w14:textId="77777777"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rPr>
            </w:pPr>
            <w:r w:rsidRPr="008B1FF1">
              <w:rPr>
                <w:rFonts w:asciiTheme="minorHAnsi" w:hAnsiTheme="minorHAnsi" w:cstheme="minorHAnsi"/>
                <w:sz w:val="20"/>
              </w:rPr>
              <w:t>–</w:t>
            </w:r>
            <w:r w:rsidRPr="008B1FF1">
              <w:rPr>
                <w:rFonts w:asciiTheme="minorHAnsi" w:hAnsiTheme="minorHAnsi" w:cstheme="minorHAnsi"/>
                <w:sz w:val="20"/>
              </w:rPr>
              <w:tab/>
              <w:t>login/</w:t>
            </w:r>
            <w:proofErr w:type="spellStart"/>
            <w:r w:rsidRPr="008B1FF1">
              <w:rPr>
                <w:rFonts w:asciiTheme="minorHAnsi" w:hAnsiTheme="minorHAnsi" w:cstheme="minorHAnsi"/>
                <w:sz w:val="20"/>
              </w:rPr>
              <w:t>min_password_upper</w:t>
            </w:r>
            <w:proofErr w:type="spellEnd"/>
            <w:r w:rsidRPr="008B1FF1">
              <w:rPr>
                <w:rFonts w:asciiTheme="minorHAnsi" w:hAnsiTheme="minorHAnsi" w:cstheme="minorHAnsi"/>
                <w:sz w:val="20"/>
              </w:rPr>
              <w:t>/lower case = 1</w:t>
            </w:r>
          </w:p>
          <w:p w14:paraId="08B25A89" w14:textId="77777777"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rPr>
            </w:pPr>
            <w:r w:rsidRPr="008B1FF1">
              <w:rPr>
                <w:rFonts w:asciiTheme="minorHAnsi" w:hAnsiTheme="minorHAnsi" w:cstheme="minorHAnsi"/>
                <w:sz w:val="20"/>
              </w:rPr>
              <w:t>–</w:t>
            </w:r>
            <w:r w:rsidRPr="008B1FF1">
              <w:rPr>
                <w:rFonts w:asciiTheme="minorHAnsi" w:hAnsiTheme="minorHAnsi" w:cstheme="minorHAnsi"/>
                <w:sz w:val="20"/>
              </w:rPr>
              <w:tab/>
              <w:t>login/</w:t>
            </w:r>
            <w:proofErr w:type="spellStart"/>
            <w:r w:rsidRPr="008B1FF1">
              <w:rPr>
                <w:rFonts w:asciiTheme="minorHAnsi" w:hAnsiTheme="minorHAnsi" w:cstheme="minorHAnsi"/>
                <w:sz w:val="20"/>
              </w:rPr>
              <w:t>min_password_diff</w:t>
            </w:r>
            <w:proofErr w:type="spellEnd"/>
            <w:r w:rsidRPr="008B1FF1">
              <w:rPr>
                <w:rFonts w:asciiTheme="minorHAnsi" w:hAnsiTheme="minorHAnsi" w:cstheme="minorHAnsi"/>
                <w:sz w:val="20"/>
              </w:rPr>
              <w:t xml:space="preserve"> = 2</w:t>
            </w:r>
          </w:p>
          <w:p w14:paraId="3D47F5F0" w14:textId="77777777"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rPr>
            </w:pPr>
            <w:r w:rsidRPr="008B1FF1">
              <w:rPr>
                <w:rFonts w:asciiTheme="minorHAnsi" w:hAnsiTheme="minorHAnsi" w:cstheme="minorHAnsi"/>
                <w:sz w:val="20"/>
              </w:rPr>
              <w:t>–</w:t>
            </w:r>
            <w:r w:rsidRPr="008B1FF1">
              <w:rPr>
                <w:rFonts w:asciiTheme="minorHAnsi" w:hAnsiTheme="minorHAnsi" w:cstheme="minorHAnsi"/>
                <w:sz w:val="20"/>
              </w:rPr>
              <w:tab/>
              <w:t>login/</w:t>
            </w:r>
            <w:proofErr w:type="spellStart"/>
            <w:r w:rsidRPr="008B1FF1">
              <w:rPr>
                <w:rFonts w:asciiTheme="minorHAnsi" w:hAnsiTheme="minorHAnsi" w:cstheme="minorHAnsi"/>
                <w:sz w:val="20"/>
              </w:rPr>
              <w:t>min_password_digits</w:t>
            </w:r>
            <w:proofErr w:type="spellEnd"/>
            <w:r w:rsidRPr="008B1FF1">
              <w:rPr>
                <w:rFonts w:asciiTheme="minorHAnsi" w:hAnsiTheme="minorHAnsi" w:cstheme="minorHAnsi"/>
                <w:sz w:val="20"/>
              </w:rPr>
              <w:t xml:space="preserve"> = 1</w:t>
            </w:r>
          </w:p>
          <w:p w14:paraId="0CB2CC8F" w14:textId="77777777"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lang w:val="nl-NL"/>
              </w:rPr>
            </w:pPr>
            <w:r w:rsidRPr="008B1FF1">
              <w:rPr>
                <w:rFonts w:asciiTheme="minorHAnsi" w:hAnsiTheme="minorHAnsi" w:cstheme="minorHAnsi"/>
                <w:sz w:val="20"/>
                <w:lang w:val="nl-NL"/>
              </w:rPr>
              <w:t>–</w:t>
            </w:r>
            <w:r w:rsidRPr="008B1FF1">
              <w:rPr>
                <w:rFonts w:asciiTheme="minorHAnsi" w:hAnsiTheme="minorHAnsi" w:cstheme="minorHAnsi"/>
                <w:sz w:val="20"/>
                <w:lang w:val="nl-NL"/>
              </w:rPr>
              <w:tab/>
              <w:t>login/min_password_letters = 1</w:t>
            </w:r>
          </w:p>
          <w:p w14:paraId="425E51A8" w14:textId="77777777"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lang w:val="nl-NL"/>
              </w:rPr>
            </w:pPr>
            <w:r w:rsidRPr="008B1FF1">
              <w:rPr>
                <w:rFonts w:asciiTheme="minorHAnsi" w:hAnsiTheme="minorHAnsi" w:cstheme="minorHAnsi"/>
                <w:sz w:val="20"/>
                <w:lang w:val="nl-NL"/>
              </w:rPr>
              <w:t>–</w:t>
            </w:r>
            <w:r w:rsidRPr="008B1FF1">
              <w:rPr>
                <w:rFonts w:asciiTheme="minorHAnsi" w:hAnsiTheme="minorHAnsi" w:cstheme="minorHAnsi"/>
                <w:sz w:val="20"/>
                <w:lang w:val="nl-NL"/>
              </w:rPr>
              <w:tab/>
              <w:t>login/min_password_specials = 1</w:t>
            </w:r>
          </w:p>
          <w:p w14:paraId="376F6D5A" w14:textId="77777777"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rPr>
            </w:pPr>
            <w:r w:rsidRPr="008B1FF1">
              <w:rPr>
                <w:rFonts w:asciiTheme="minorHAnsi" w:hAnsiTheme="minorHAnsi" w:cstheme="minorHAnsi"/>
                <w:sz w:val="20"/>
              </w:rPr>
              <w:t>–</w:t>
            </w:r>
            <w:r w:rsidRPr="008B1FF1">
              <w:rPr>
                <w:rFonts w:asciiTheme="minorHAnsi" w:hAnsiTheme="minorHAnsi" w:cstheme="minorHAnsi"/>
                <w:sz w:val="20"/>
              </w:rPr>
              <w:tab/>
              <w:t>login/</w:t>
            </w:r>
            <w:proofErr w:type="spellStart"/>
            <w:r w:rsidRPr="008B1FF1">
              <w:rPr>
                <w:rFonts w:asciiTheme="minorHAnsi" w:hAnsiTheme="minorHAnsi" w:cstheme="minorHAnsi"/>
                <w:sz w:val="20"/>
              </w:rPr>
              <w:t>fails_to_user_lock</w:t>
            </w:r>
            <w:proofErr w:type="spellEnd"/>
            <w:r w:rsidRPr="008B1FF1">
              <w:rPr>
                <w:rFonts w:asciiTheme="minorHAnsi" w:hAnsiTheme="minorHAnsi" w:cstheme="minorHAnsi"/>
                <w:sz w:val="20"/>
              </w:rPr>
              <w:t xml:space="preserve"> = 5</w:t>
            </w:r>
          </w:p>
          <w:p w14:paraId="48C2EEEF" w14:textId="77777777"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rPr>
            </w:pPr>
            <w:r w:rsidRPr="008B1FF1">
              <w:rPr>
                <w:rFonts w:asciiTheme="minorHAnsi" w:hAnsiTheme="minorHAnsi" w:cstheme="minorHAnsi"/>
                <w:sz w:val="20"/>
              </w:rPr>
              <w:t>–</w:t>
            </w:r>
            <w:r w:rsidRPr="008B1FF1">
              <w:rPr>
                <w:rFonts w:asciiTheme="minorHAnsi" w:hAnsiTheme="minorHAnsi" w:cstheme="minorHAnsi"/>
                <w:sz w:val="20"/>
              </w:rPr>
              <w:tab/>
              <w:t>login/</w:t>
            </w:r>
            <w:proofErr w:type="spellStart"/>
            <w:r w:rsidRPr="008B1FF1">
              <w:rPr>
                <w:rFonts w:asciiTheme="minorHAnsi" w:hAnsiTheme="minorHAnsi" w:cstheme="minorHAnsi"/>
                <w:sz w:val="20"/>
              </w:rPr>
              <w:t>password_max_idle_initial</w:t>
            </w:r>
            <w:proofErr w:type="spellEnd"/>
            <w:r w:rsidRPr="008B1FF1">
              <w:rPr>
                <w:rFonts w:asciiTheme="minorHAnsi" w:hAnsiTheme="minorHAnsi" w:cstheme="minorHAnsi"/>
                <w:sz w:val="20"/>
              </w:rPr>
              <w:t xml:space="preserve"> = 13</w:t>
            </w:r>
          </w:p>
          <w:p w14:paraId="79552D79" w14:textId="77777777"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lang w:val="nl-NL"/>
              </w:rPr>
            </w:pPr>
            <w:r w:rsidRPr="008B1FF1">
              <w:rPr>
                <w:rFonts w:asciiTheme="minorHAnsi" w:hAnsiTheme="minorHAnsi" w:cstheme="minorHAnsi"/>
                <w:sz w:val="20"/>
              </w:rPr>
              <w:t>–</w:t>
            </w:r>
            <w:r w:rsidRPr="008B1FF1">
              <w:rPr>
                <w:rFonts w:asciiTheme="minorHAnsi" w:hAnsiTheme="minorHAnsi" w:cstheme="minorHAnsi"/>
                <w:sz w:val="20"/>
              </w:rPr>
              <w:tab/>
              <w:t>login/</w:t>
            </w:r>
            <w:proofErr w:type="spellStart"/>
            <w:r w:rsidRPr="008B1FF1">
              <w:rPr>
                <w:rFonts w:asciiTheme="minorHAnsi" w:hAnsiTheme="minorHAnsi" w:cstheme="minorHAnsi"/>
                <w:sz w:val="20"/>
              </w:rPr>
              <w:t>password_max_idle_productive</w:t>
            </w:r>
            <w:proofErr w:type="spellEnd"/>
            <w:r w:rsidRPr="008B1FF1">
              <w:rPr>
                <w:rFonts w:asciiTheme="minorHAnsi" w:hAnsiTheme="minorHAnsi" w:cstheme="minorHAnsi"/>
                <w:sz w:val="20"/>
              </w:rPr>
              <w:t xml:space="preserve"> = 90</w:t>
            </w:r>
          </w:p>
          <w:p w14:paraId="7254C973" w14:textId="53BE7550" w:rsidR="002F2E4B" w:rsidRPr="008B1FF1" w:rsidRDefault="002F2E4B" w:rsidP="002F2E4B">
            <w:pPr>
              <w:pStyle w:val="Tabletext"/>
              <w:rPr>
                <w:sz w:val="20"/>
              </w:rPr>
            </w:pPr>
            <w:r w:rsidRPr="008B1FF1">
              <w:rPr>
                <w:rFonts w:asciiTheme="minorHAnsi" w:hAnsiTheme="minorHAnsi" w:cstheme="minorHAnsi"/>
                <w:sz w:val="20"/>
                <w:lang w:val="nl-NL"/>
              </w:rPr>
              <w:t>ISD</w:t>
            </w:r>
            <w:proofErr w:type="spellStart"/>
            <w:r w:rsidRPr="008B1FF1">
              <w:rPr>
                <w:rFonts w:asciiTheme="minorHAnsi" w:hAnsiTheme="minorHAnsi" w:cstheme="minorHAnsi"/>
                <w:sz w:val="20"/>
              </w:rPr>
              <w:t>认为该建议已得到落实</w:t>
            </w:r>
            <w:proofErr w:type="spellEnd"/>
            <w:r w:rsidRPr="008B1FF1">
              <w:rPr>
                <w:rFonts w:asciiTheme="minorHAnsi" w:hAnsiTheme="minorHAnsi" w:cstheme="minorHAnsi"/>
                <w:sz w:val="20"/>
                <w:lang w:eastAsia="zh-CN"/>
              </w:rPr>
              <w:t>。</w:t>
            </w:r>
          </w:p>
        </w:tc>
        <w:tc>
          <w:tcPr>
            <w:tcW w:w="1050" w:type="pct"/>
            <w:shd w:val="clear" w:color="auto" w:fill="auto"/>
          </w:tcPr>
          <w:p w14:paraId="39C1451A" w14:textId="4E762177" w:rsidR="002F2E4B" w:rsidRPr="008B1FF1" w:rsidRDefault="002F2E4B" w:rsidP="002F2E4B">
            <w:pPr>
              <w:pStyle w:val="Tabletext"/>
              <w:rPr>
                <w:sz w:val="20"/>
              </w:rPr>
            </w:pPr>
            <w:r w:rsidRPr="008B1FF1">
              <w:rPr>
                <w:rFonts w:asciiTheme="minorHAnsi" w:hAnsiTheme="minorHAnsi" w:cstheme="minorHAnsi"/>
                <w:sz w:val="20"/>
                <w:lang w:eastAsia="zh-CN"/>
              </w:rPr>
              <w:t>注意到最新的回应并认为是合理的。该建议已完成。</w:t>
            </w:r>
          </w:p>
        </w:tc>
        <w:tc>
          <w:tcPr>
            <w:tcW w:w="450" w:type="pct"/>
            <w:shd w:val="clear" w:color="auto" w:fill="auto"/>
          </w:tcPr>
          <w:p w14:paraId="4684C7E4" w14:textId="73604C7E" w:rsidR="002F2E4B" w:rsidRPr="008B1FF1" w:rsidRDefault="00A62A5A" w:rsidP="002F2E4B">
            <w:pPr>
              <w:pStyle w:val="Tabletext"/>
              <w:rPr>
                <w:sz w:val="20"/>
              </w:rPr>
            </w:pPr>
            <w:r>
              <w:rPr>
                <w:rFonts w:ascii="SimSun" w:eastAsia="SimSun" w:hAnsi="SimSun" w:cs="SimSun" w:hint="eastAsia"/>
                <w:color w:val="000000"/>
                <w:sz w:val="20"/>
                <w:lang w:eastAsia="zh-CN"/>
              </w:rPr>
              <w:t>已关闭。</w:t>
            </w:r>
          </w:p>
        </w:tc>
      </w:tr>
      <w:tr w:rsidR="002F2E4B" w:rsidRPr="00536D01" w14:paraId="377213E3" w14:textId="77777777" w:rsidTr="0011737E">
        <w:tc>
          <w:tcPr>
            <w:tcW w:w="300" w:type="pct"/>
            <w:shd w:val="clear" w:color="auto" w:fill="auto"/>
          </w:tcPr>
          <w:p w14:paraId="568AA76F" w14:textId="0DDF1630" w:rsidR="002F2E4B" w:rsidRPr="008B1FF1" w:rsidRDefault="002F2E4B" w:rsidP="009A6D8F">
            <w:pPr>
              <w:pStyle w:val="Tabletext"/>
              <w:keepLines/>
              <w:rPr>
                <w:sz w:val="20"/>
              </w:rPr>
            </w:pPr>
            <w:r w:rsidRPr="008B1FF1">
              <w:rPr>
                <w:rFonts w:asciiTheme="minorHAnsi" w:hAnsiTheme="minorHAnsi" w:cstheme="minorHAnsi"/>
                <w:sz w:val="20"/>
              </w:rPr>
              <w:lastRenderedPageBreak/>
              <w:t>2021 R#47</w:t>
            </w:r>
          </w:p>
        </w:tc>
        <w:tc>
          <w:tcPr>
            <w:tcW w:w="1450" w:type="pct"/>
            <w:shd w:val="clear" w:color="auto" w:fill="auto"/>
          </w:tcPr>
          <w:p w14:paraId="20463E65" w14:textId="234F9C2C" w:rsidR="002F2E4B" w:rsidRPr="008B1FF1" w:rsidRDefault="002F2E4B" w:rsidP="009A6D8F">
            <w:pPr>
              <w:pStyle w:val="Tabletext"/>
              <w:keepLines/>
              <w:rPr>
                <w:sz w:val="20"/>
                <w:lang w:eastAsia="zh-CN"/>
              </w:rPr>
            </w:pPr>
            <w:r w:rsidRPr="008B1FF1">
              <w:rPr>
                <w:rFonts w:asciiTheme="minorHAnsi" w:hAnsiTheme="minorHAnsi" w:cstheme="minorHAnsi"/>
                <w:sz w:val="20"/>
                <w:lang w:eastAsia="zh-CN"/>
              </w:rPr>
              <w:t>至少每年对</w:t>
            </w:r>
            <w:r w:rsidRPr="008B1FF1">
              <w:rPr>
                <w:rFonts w:asciiTheme="minorHAnsi" w:hAnsiTheme="minorHAnsi" w:cstheme="minorHAnsi"/>
                <w:sz w:val="20"/>
                <w:lang w:eastAsia="zh-CN"/>
              </w:rPr>
              <w:t>SAP ERP</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010</w:t>
            </w:r>
            <w:r w:rsidRPr="008B1FF1">
              <w:rPr>
                <w:rFonts w:asciiTheme="minorHAnsi" w:hAnsiTheme="minorHAnsi" w:cstheme="minorHAnsi"/>
                <w:sz w:val="20"/>
                <w:lang w:eastAsia="zh-CN"/>
              </w:rPr>
              <w:t>）数据库中的所有现有用户进行有案可查的访问权限审查。</w:t>
            </w:r>
          </w:p>
        </w:tc>
        <w:tc>
          <w:tcPr>
            <w:tcW w:w="1750" w:type="pct"/>
            <w:shd w:val="clear" w:color="auto" w:fill="auto"/>
          </w:tcPr>
          <w:p w14:paraId="2CDB3F05" w14:textId="69C0BFF3" w:rsidR="002F2E4B" w:rsidRPr="008B1FF1" w:rsidRDefault="002F2E4B" w:rsidP="009A6D8F">
            <w:pPr>
              <w:pStyle w:val="Tabletext"/>
              <w:keepLines/>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月的最新进展：这一进程的强化工作一直在持续进行。</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年聘请了一家外部专家公司对我们的</w:t>
            </w:r>
            <w:r w:rsidRPr="008B1FF1">
              <w:rPr>
                <w:rFonts w:asciiTheme="minorHAnsi" w:hAnsiTheme="minorHAnsi" w:cstheme="minorHAnsi"/>
                <w:sz w:val="20"/>
                <w:lang w:eastAsia="zh-CN"/>
              </w:rPr>
              <w:t>ERP</w:t>
            </w:r>
            <w:r w:rsidRPr="008B1FF1">
              <w:rPr>
                <w:rFonts w:asciiTheme="minorHAnsi" w:hAnsiTheme="minorHAnsi" w:cstheme="minorHAnsi"/>
                <w:sz w:val="20"/>
                <w:lang w:eastAsia="zh-CN"/>
              </w:rPr>
              <w:t>系统（包括访问权限）进行最新的深入全面审查。我们计划在</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年进行下一次此类审查。</w:t>
            </w:r>
          </w:p>
          <w:p w14:paraId="0B6D88F6" w14:textId="720D7070" w:rsidR="002F2E4B" w:rsidRPr="008B1FF1" w:rsidRDefault="002F2E4B" w:rsidP="009A6D8F">
            <w:pPr>
              <w:pStyle w:val="Tabletext"/>
              <w:keepLines/>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042BEE48" w14:textId="69F608AD" w:rsidR="002F2E4B" w:rsidRPr="008B1FF1" w:rsidRDefault="002F2E4B" w:rsidP="009A6D8F">
            <w:pPr>
              <w:pStyle w:val="Tabletext"/>
              <w:keepLines/>
              <w:rPr>
                <w:sz w:val="20"/>
                <w:lang w:eastAsia="zh-CN"/>
              </w:rPr>
            </w:pPr>
            <w:r w:rsidRPr="008B1FF1">
              <w:rPr>
                <w:rFonts w:asciiTheme="minorHAnsi" w:hAnsiTheme="minorHAnsi" w:cstheme="minorHAnsi"/>
                <w:sz w:val="20"/>
                <w:lang w:eastAsia="zh-CN"/>
              </w:rPr>
              <w:t>注意到最新的回应并认为是合理的。正如本报告第</w:t>
            </w:r>
            <w:r w:rsidRPr="008B1FF1">
              <w:rPr>
                <w:rFonts w:asciiTheme="minorHAnsi" w:hAnsiTheme="minorHAnsi" w:cstheme="minorHAnsi"/>
                <w:sz w:val="20"/>
                <w:lang w:eastAsia="zh-CN"/>
              </w:rPr>
              <w:t>2</w:t>
            </w:r>
            <w:r w:rsidRPr="008B1FF1">
              <w:rPr>
                <w:rFonts w:asciiTheme="minorHAnsi" w:hAnsiTheme="minorHAnsi" w:cstheme="minorHAnsi"/>
                <w:sz w:val="20"/>
                <w:lang w:eastAsia="zh-CN"/>
              </w:rPr>
              <w:t>部分所强调的，我们考虑了管理层为确保其</w:t>
            </w:r>
            <w:r w:rsidRPr="008B1FF1">
              <w:rPr>
                <w:rFonts w:asciiTheme="minorHAnsi" w:hAnsiTheme="minorHAnsi" w:cstheme="minorHAnsi"/>
                <w:sz w:val="20"/>
                <w:lang w:eastAsia="zh-CN"/>
              </w:rPr>
              <w:t>IT</w:t>
            </w:r>
            <w:r w:rsidRPr="008B1FF1">
              <w:rPr>
                <w:rFonts w:asciiTheme="minorHAnsi" w:hAnsiTheme="minorHAnsi" w:cstheme="minorHAnsi"/>
                <w:sz w:val="20"/>
                <w:lang w:eastAsia="zh-CN"/>
              </w:rPr>
              <w:t>环境所做的总体安排，并在本报告中提出了相关的新建议。</w:t>
            </w:r>
          </w:p>
        </w:tc>
        <w:tc>
          <w:tcPr>
            <w:tcW w:w="450" w:type="pct"/>
            <w:shd w:val="clear" w:color="auto" w:fill="auto"/>
          </w:tcPr>
          <w:p w14:paraId="2460FA61" w14:textId="1399F4EF" w:rsidR="002F2E4B" w:rsidRPr="008B1FF1" w:rsidRDefault="00A62A5A" w:rsidP="009A6D8F">
            <w:pPr>
              <w:pStyle w:val="Tabletext"/>
              <w:keepLines/>
              <w:rPr>
                <w:sz w:val="20"/>
              </w:rPr>
            </w:pPr>
            <w:r>
              <w:rPr>
                <w:rFonts w:ascii="SimSun" w:eastAsia="SimSun" w:hAnsi="SimSun" w:cs="SimSun" w:hint="eastAsia"/>
                <w:color w:val="000000"/>
                <w:sz w:val="20"/>
                <w:lang w:eastAsia="zh-CN"/>
              </w:rPr>
              <w:t>已关闭。</w:t>
            </w:r>
          </w:p>
        </w:tc>
      </w:tr>
      <w:tr w:rsidR="002F2E4B" w:rsidRPr="00536D01" w14:paraId="7E92570E" w14:textId="77777777" w:rsidTr="0011737E">
        <w:tc>
          <w:tcPr>
            <w:tcW w:w="300" w:type="pct"/>
            <w:shd w:val="clear" w:color="auto" w:fill="auto"/>
          </w:tcPr>
          <w:p w14:paraId="2E71AB3B" w14:textId="101F32D9" w:rsidR="002F2E4B" w:rsidRPr="008B1FF1" w:rsidRDefault="002F2E4B" w:rsidP="002F2E4B">
            <w:pPr>
              <w:pStyle w:val="Tabletext"/>
              <w:rPr>
                <w:sz w:val="20"/>
              </w:rPr>
            </w:pPr>
            <w:r w:rsidRPr="008B1FF1">
              <w:rPr>
                <w:rFonts w:asciiTheme="minorHAnsi" w:hAnsiTheme="minorHAnsi" w:cstheme="minorHAnsi"/>
                <w:sz w:val="20"/>
              </w:rPr>
              <w:t>2021 R#48</w:t>
            </w:r>
          </w:p>
        </w:tc>
        <w:tc>
          <w:tcPr>
            <w:tcW w:w="1450" w:type="pct"/>
            <w:shd w:val="clear" w:color="auto" w:fill="auto"/>
          </w:tcPr>
          <w:p w14:paraId="59C2C003" w14:textId="300A5931" w:rsidR="002F2E4B" w:rsidRPr="008B1FF1" w:rsidRDefault="002F2E4B" w:rsidP="002F2E4B">
            <w:pPr>
              <w:pStyle w:val="Tabletext"/>
              <w:rPr>
                <w:sz w:val="20"/>
                <w:lang w:eastAsia="zh-CN"/>
              </w:rPr>
            </w:pPr>
            <w:r w:rsidRPr="008B1FF1">
              <w:rPr>
                <w:rFonts w:asciiTheme="minorHAnsi" w:hAnsiTheme="minorHAnsi" w:cstheme="minorHAnsi"/>
                <w:sz w:val="20"/>
                <w:lang w:eastAsia="zh-CN"/>
              </w:rPr>
              <w:t>妥善保存与访问数据中心授权流程相关的所有文件（</w:t>
            </w:r>
            <w:r w:rsidRPr="008B1FF1">
              <w:rPr>
                <w:rFonts w:asciiTheme="minorHAnsi" w:hAnsiTheme="minorHAnsi" w:cstheme="minorHAnsi"/>
                <w:sz w:val="20"/>
                <w:lang w:eastAsia="zh-CN"/>
              </w:rPr>
              <w:t>MO7</w:t>
            </w:r>
            <w:r w:rsidRPr="008B1FF1">
              <w:rPr>
                <w:rFonts w:asciiTheme="minorHAnsi" w:hAnsiTheme="minorHAnsi" w:cstheme="minorHAnsi"/>
                <w:sz w:val="20"/>
                <w:lang w:eastAsia="zh-CN"/>
              </w:rPr>
              <w:t>）。</w:t>
            </w:r>
          </w:p>
        </w:tc>
        <w:tc>
          <w:tcPr>
            <w:tcW w:w="1750" w:type="pct"/>
            <w:shd w:val="clear" w:color="auto" w:fill="auto"/>
          </w:tcPr>
          <w:p w14:paraId="2FEA1D8A"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月的最新进展：已创建</w:t>
            </w:r>
            <w:r w:rsidRPr="008B1FF1">
              <w:rPr>
                <w:rFonts w:asciiTheme="minorHAnsi" w:hAnsiTheme="minorHAnsi" w:cstheme="minorHAnsi"/>
                <w:sz w:val="20"/>
                <w:lang w:eastAsia="zh-CN"/>
              </w:rPr>
              <w:t>SOP</w:t>
            </w:r>
            <w:r w:rsidRPr="008B1FF1">
              <w:rPr>
                <w:rFonts w:asciiTheme="minorHAnsi" w:hAnsiTheme="minorHAnsi" w:cstheme="minorHAnsi"/>
                <w:sz w:val="20"/>
                <w:lang w:eastAsia="zh-CN"/>
              </w:rPr>
              <w:t>并已实施访问权限。</w:t>
            </w:r>
          </w:p>
          <w:p w14:paraId="6C17FF8F" w14:textId="437C1565"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6FB400F7" w14:textId="5BC71CED" w:rsidR="002F2E4B" w:rsidRPr="008B1FF1" w:rsidRDefault="002F2E4B" w:rsidP="002F2E4B">
            <w:pPr>
              <w:pStyle w:val="Tabletext"/>
              <w:rPr>
                <w:sz w:val="20"/>
                <w:lang w:eastAsia="zh-CN"/>
              </w:rPr>
            </w:pPr>
            <w:r w:rsidRPr="008B1FF1">
              <w:rPr>
                <w:rFonts w:asciiTheme="minorHAnsi" w:hAnsiTheme="minorHAnsi" w:cstheme="minorHAnsi"/>
                <w:sz w:val="20"/>
                <w:lang w:eastAsia="zh-CN"/>
              </w:rPr>
              <w:t>注意到最新的回应并认为是合理的。正如本报告第</w:t>
            </w:r>
            <w:r w:rsidRPr="008B1FF1">
              <w:rPr>
                <w:rFonts w:asciiTheme="minorHAnsi" w:hAnsiTheme="minorHAnsi" w:cstheme="minorHAnsi"/>
                <w:sz w:val="20"/>
                <w:lang w:eastAsia="zh-CN"/>
              </w:rPr>
              <w:t>2</w:t>
            </w:r>
            <w:r w:rsidRPr="008B1FF1">
              <w:rPr>
                <w:rFonts w:asciiTheme="minorHAnsi" w:hAnsiTheme="minorHAnsi" w:cstheme="minorHAnsi"/>
                <w:sz w:val="20"/>
                <w:lang w:eastAsia="zh-CN"/>
              </w:rPr>
              <w:t>部分所强调的，我们考虑了管理层为确保其</w:t>
            </w:r>
            <w:r w:rsidRPr="008B1FF1">
              <w:rPr>
                <w:rFonts w:asciiTheme="minorHAnsi" w:hAnsiTheme="minorHAnsi" w:cstheme="minorHAnsi"/>
                <w:sz w:val="20"/>
                <w:lang w:eastAsia="zh-CN"/>
              </w:rPr>
              <w:t>IT</w:t>
            </w:r>
            <w:r w:rsidRPr="008B1FF1">
              <w:rPr>
                <w:rFonts w:asciiTheme="minorHAnsi" w:hAnsiTheme="minorHAnsi" w:cstheme="minorHAnsi"/>
                <w:sz w:val="20"/>
                <w:lang w:eastAsia="zh-CN"/>
              </w:rPr>
              <w:t>环境所做的总体安排，并在本报告中提出了相关的新建议。</w:t>
            </w:r>
          </w:p>
        </w:tc>
        <w:tc>
          <w:tcPr>
            <w:tcW w:w="450" w:type="pct"/>
            <w:shd w:val="clear" w:color="auto" w:fill="auto"/>
          </w:tcPr>
          <w:p w14:paraId="6795F2D9" w14:textId="481E461A" w:rsidR="002F2E4B" w:rsidRPr="008B1FF1" w:rsidRDefault="00A62A5A" w:rsidP="002F2E4B">
            <w:pPr>
              <w:pStyle w:val="Tabletext"/>
              <w:rPr>
                <w:sz w:val="20"/>
              </w:rPr>
            </w:pPr>
            <w:r>
              <w:rPr>
                <w:rFonts w:ascii="SimSun" w:eastAsia="SimSun" w:hAnsi="SimSun" w:cs="SimSun" w:hint="eastAsia"/>
                <w:color w:val="000000"/>
                <w:sz w:val="20"/>
                <w:lang w:eastAsia="zh-CN"/>
              </w:rPr>
              <w:t>已关闭。</w:t>
            </w:r>
          </w:p>
        </w:tc>
      </w:tr>
      <w:tr w:rsidR="002F2E4B" w:rsidRPr="00536D01" w14:paraId="7F7A0313" w14:textId="77777777" w:rsidTr="0011737E">
        <w:tc>
          <w:tcPr>
            <w:tcW w:w="5000" w:type="pct"/>
            <w:gridSpan w:val="5"/>
            <w:shd w:val="clear" w:color="auto" w:fill="auto"/>
          </w:tcPr>
          <w:p w14:paraId="4F22A753" w14:textId="77777777" w:rsidR="002F2E4B" w:rsidRPr="008B1FF1" w:rsidRDefault="002F2E4B" w:rsidP="0011737E">
            <w:pPr>
              <w:pStyle w:val="Tabletext"/>
              <w:rPr>
                <w:sz w:val="20"/>
              </w:rPr>
            </w:pPr>
          </w:p>
        </w:tc>
      </w:tr>
      <w:tr w:rsidR="002F2E4B" w:rsidRPr="00536D01" w14:paraId="151547ED" w14:textId="77777777" w:rsidTr="0011737E">
        <w:tc>
          <w:tcPr>
            <w:tcW w:w="300" w:type="pct"/>
            <w:shd w:val="clear" w:color="auto" w:fill="auto"/>
          </w:tcPr>
          <w:p w14:paraId="780177FA" w14:textId="77777777" w:rsidR="002F2E4B" w:rsidRPr="008B1FF1" w:rsidRDefault="002F2E4B" w:rsidP="002F2E4B">
            <w:pPr>
              <w:pStyle w:val="Tabletext"/>
              <w:rPr>
                <w:rFonts w:asciiTheme="minorHAnsi" w:hAnsiTheme="minorHAnsi" w:cstheme="minorHAnsi"/>
                <w:sz w:val="20"/>
              </w:rPr>
            </w:pPr>
            <w:r w:rsidRPr="008B1FF1">
              <w:rPr>
                <w:rFonts w:asciiTheme="minorHAnsi" w:hAnsiTheme="minorHAnsi" w:cstheme="minorHAnsi"/>
                <w:sz w:val="20"/>
              </w:rPr>
              <w:t>Rec#</w:t>
            </w:r>
          </w:p>
          <w:p w14:paraId="31AD31E6" w14:textId="6B64A129" w:rsidR="002F2E4B" w:rsidRPr="008B1FF1" w:rsidRDefault="002F2E4B" w:rsidP="002F2E4B">
            <w:pPr>
              <w:pStyle w:val="Tabletext"/>
              <w:rPr>
                <w:sz w:val="20"/>
              </w:rPr>
            </w:pPr>
            <w:r w:rsidRPr="008B1FF1">
              <w:rPr>
                <w:rFonts w:asciiTheme="minorHAnsi" w:hAnsiTheme="minorHAnsi" w:cstheme="minorHAnsi"/>
                <w:sz w:val="20"/>
              </w:rPr>
              <w:t>1/2020</w:t>
            </w:r>
          </w:p>
        </w:tc>
        <w:tc>
          <w:tcPr>
            <w:tcW w:w="1450" w:type="pct"/>
            <w:shd w:val="clear" w:color="auto" w:fill="auto"/>
          </w:tcPr>
          <w:p w14:paraId="03EF7001" w14:textId="2290C923"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lang w:eastAsia="zh-CN"/>
              </w:rPr>
            </w:pPr>
            <w:r w:rsidRPr="008B1FF1">
              <w:rPr>
                <w:rFonts w:asciiTheme="minorHAnsi" w:hAnsiTheme="minorHAnsi" w:cstheme="minorHAnsi"/>
                <w:sz w:val="20"/>
                <w:lang w:eastAsia="zh-CN"/>
              </w:rPr>
              <w:t>a)</w:t>
            </w:r>
            <w:r w:rsidRPr="008B1FF1">
              <w:rPr>
                <w:rFonts w:asciiTheme="minorHAnsi" w:hAnsiTheme="minorHAnsi" w:cstheme="minorHAnsi"/>
                <w:sz w:val="20"/>
                <w:lang w:eastAsia="zh-CN"/>
              </w:rPr>
              <w:tab/>
              <w:t>PROC</w:t>
            </w:r>
            <w:r w:rsidRPr="008B1FF1">
              <w:rPr>
                <w:rFonts w:asciiTheme="minorHAnsi" w:hAnsiTheme="minorHAnsi" w:cstheme="minorHAnsi"/>
                <w:sz w:val="20"/>
                <w:lang w:eastAsia="zh-CN"/>
              </w:rPr>
              <w:t>应仔细监督低价值采购，以避免其被用来规避竞争程序。如果这种监测的结果将确定这种滥用行为。</w:t>
            </w:r>
          </w:p>
          <w:p w14:paraId="6DE28137" w14:textId="13A89BC0" w:rsidR="002F2E4B" w:rsidRPr="008B1FF1" w:rsidRDefault="002F2E4B" w:rsidP="008B1FF1">
            <w:pPr>
              <w:pStyle w:val="Tabletext"/>
              <w:tabs>
                <w:tab w:val="clear" w:pos="284"/>
                <w:tab w:val="clear" w:pos="425"/>
                <w:tab w:val="left" w:pos="356"/>
              </w:tabs>
              <w:spacing w:before="60"/>
              <w:ind w:left="356" w:hanging="356"/>
              <w:rPr>
                <w:sz w:val="20"/>
                <w:lang w:eastAsia="zh-CN"/>
              </w:rPr>
            </w:pPr>
            <w:r w:rsidRPr="008B1FF1">
              <w:rPr>
                <w:rFonts w:asciiTheme="minorHAnsi" w:hAnsiTheme="minorHAnsi" w:cstheme="minorHAnsi"/>
                <w:sz w:val="20"/>
                <w:lang w:eastAsia="zh-CN"/>
              </w:rPr>
              <w:t>b)</w:t>
            </w:r>
            <w:r w:rsidRPr="008B1FF1">
              <w:rPr>
                <w:rFonts w:asciiTheme="minorHAnsi" w:hAnsiTheme="minorHAnsi" w:cstheme="minorHAnsi"/>
                <w:sz w:val="20"/>
                <w:lang w:eastAsia="zh-CN"/>
              </w:rPr>
              <w:tab/>
            </w:r>
            <w:r w:rsidRPr="008B1FF1">
              <w:rPr>
                <w:rFonts w:asciiTheme="minorHAnsi" w:hAnsiTheme="minorHAnsi" w:cstheme="minorHAnsi"/>
                <w:sz w:val="20"/>
                <w:lang w:eastAsia="zh-CN"/>
              </w:rPr>
              <w:t>管理层甚至考虑避免</w:t>
            </w:r>
            <w:r w:rsidRPr="008B1FF1">
              <w:rPr>
                <w:rFonts w:ascii="SimSun" w:eastAsia="SimSun" w:hAnsi="SimSun" w:cstheme="minorHAnsi"/>
                <w:sz w:val="20"/>
                <w:lang w:eastAsia="zh-CN"/>
              </w:rPr>
              <w:t>“</w:t>
            </w:r>
            <w:r w:rsidRPr="008B1FF1">
              <w:rPr>
                <w:rFonts w:asciiTheme="minorHAnsi" w:hAnsiTheme="minorHAnsi" w:cstheme="minorHAnsi"/>
                <w:sz w:val="20"/>
                <w:lang w:eastAsia="zh-CN"/>
              </w:rPr>
              <w:t>低价值采购</w:t>
            </w:r>
            <w:r w:rsidRPr="008B1FF1">
              <w:rPr>
                <w:rFonts w:ascii="SimSun" w:eastAsia="SimSun" w:hAnsi="SimSun" w:cstheme="minorHAnsi"/>
                <w:sz w:val="20"/>
                <w:lang w:eastAsia="zh-CN"/>
              </w:rPr>
              <w:t>”</w:t>
            </w:r>
            <w:r w:rsidRPr="008B1FF1">
              <w:rPr>
                <w:rFonts w:asciiTheme="minorHAnsi" w:hAnsiTheme="minorHAnsi" w:cstheme="minorHAnsi"/>
                <w:sz w:val="20"/>
                <w:lang w:eastAsia="zh-CN"/>
              </w:rPr>
              <w:t>，也包括通过实施《采购手册》中的新导则或降低《采购手册》承认的门槛（</w:t>
            </w:r>
            <w:r w:rsidRPr="008B1FF1">
              <w:rPr>
                <w:rFonts w:asciiTheme="minorHAnsi" w:hAnsiTheme="minorHAnsi" w:cstheme="minorHAnsi"/>
                <w:sz w:val="20"/>
                <w:lang w:eastAsia="zh-CN"/>
              </w:rPr>
              <w:t>5k</w:t>
            </w:r>
            <w:r w:rsidRPr="008B1FF1">
              <w:rPr>
                <w:rFonts w:asciiTheme="minorHAnsi" w:hAnsiTheme="minorHAnsi" w:cstheme="minorHAnsi"/>
                <w:sz w:val="20"/>
                <w:lang w:eastAsia="zh-CN"/>
              </w:rPr>
              <w:t>和</w:t>
            </w:r>
            <w:r w:rsidRPr="008B1FF1">
              <w:rPr>
                <w:rFonts w:asciiTheme="minorHAnsi" w:hAnsiTheme="minorHAnsi" w:cstheme="minorHAnsi"/>
                <w:sz w:val="20"/>
                <w:lang w:eastAsia="zh-CN"/>
              </w:rPr>
              <w:t>20k</w:t>
            </w:r>
            <w:r w:rsidRPr="008B1FF1">
              <w:rPr>
                <w:rFonts w:asciiTheme="minorHAnsi" w:hAnsiTheme="minorHAnsi" w:cstheme="minorHAnsi"/>
                <w:sz w:val="20"/>
                <w:lang w:eastAsia="zh-CN"/>
              </w:rPr>
              <w:t>），即在没有任何竞争的情况下，仅将采购授予一个供应商。</w:t>
            </w:r>
          </w:p>
        </w:tc>
        <w:tc>
          <w:tcPr>
            <w:tcW w:w="1750" w:type="pct"/>
            <w:shd w:val="clear" w:color="auto" w:fill="auto"/>
          </w:tcPr>
          <w:p w14:paraId="31125D8D"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该建议于</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2</w:t>
            </w:r>
            <w:r w:rsidRPr="008B1FF1">
              <w:rPr>
                <w:rFonts w:asciiTheme="minorHAnsi" w:hAnsiTheme="minorHAnsi" w:cstheme="minorHAnsi"/>
                <w:sz w:val="20"/>
                <w:lang w:eastAsia="zh-CN"/>
              </w:rPr>
              <w:t>月</w:t>
            </w:r>
            <w:r w:rsidRPr="008B1FF1">
              <w:rPr>
                <w:rFonts w:asciiTheme="minorHAnsi" w:hAnsiTheme="minorHAnsi" w:cstheme="minorHAnsi"/>
                <w:sz w:val="20"/>
                <w:lang w:eastAsia="zh-CN"/>
              </w:rPr>
              <w:t>4</w:t>
            </w:r>
            <w:r w:rsidRPr="008B1FF1">
              <w:rPr>
                <w:rFonts w:asciiTheme="minorHAnsi" w:hAnsiTheme="minorHAnsi" w:cstheme="minorHAnsi"/>
                <w:sz w:val="20"/>
                <w:lang w:eastAsia="zh-CN"/>
              </w:rPr>
              <w:t>日在</w:t>
            </w:r>
            <w:r w:rsidRPr="008B1FF1">
              <w:rPr>
                <w:rFonts w:asciiTheme="minorHAnsi" w:hAnsiTheme="minorHAnsi" w:cstheme="minorHAnsi"/>
                <w:sz w:val="20"/>
                <w:lang w:eastAsia="zh-CN"/>
              </w:rPr>
              <w:t>ERP</w:t>
            </w:r>
            <w:r w:rsidRPr="008B1FF1">
              <w:rPr>
                <w:rFonts w:asciiTheme="minorHAnsi" w:hAnsiTheme="minorHAnsi" w:cstheme="minorHAnsi"/>
                <w:sz w:val="20"/>
                <w:lang w:eastAsia="zh-CN"/>
              </w:rPr>
              <w:t>系统中实施，并被纳入《采购手册》</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年修订版。</w:t>
            </w:r>
          </w:p>
          <w:p w14:paraId="563F20D3" w14:textId="289BC543"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4EDB2B99" w14:textId="3437EBB0" w:rsidR="002F2E4B" w:rsidRPr="008B1FF1" w:rsidRDefault="002F2E4B" w:rsidP="002F2E4B">
            <w:pPr>
              <w:pStyle w:val="Tabletext"/>
              <w:rPr>
                <w:sz w:val="20"/>
              </w:rPr>
            </w:pPr>
            <w:r w:rsidRPr="008B1FF1">
              <w:rPr>
                <w:rFonts w:asciiTheme="minorHAnsi" w:hAnsiTheme="minorHAnsi" w:cstheme="minorHAnsi"/>
                <w:sz w:val="20"/>
                <w:lang w:eastAsia="zh-CN"/>
              </w:rPr>
              <w:t>注意到最新的回应并认为是合理的。</w:t>
            </w:r>
            <w:r w:rsidRPr="008B1FF1">
              <w:rPr>
                <w:rFonts w:asciiTheme="minorHAnsi" w:hAnsiTheme="minorHAnsi" w:cstheme="minorHAnsi" w:hint="eastAsia"/>
                <w:sz w:val="20"/>
                <w:lang w:eastAsia="zh-CN"/>
              </w:rPr>
              <w:t>该建议已完成</w:t>
            </w:r>
            <w:r w:rsidRPr="008B1FF1">
              <w:rPr>
                <w:rFonts w:asciiTheme="minorHAnsi" w:hAnsiTheme="minorHAnsi" w:cstheme="minorHAnsi"/>
                <w:sz w:val="20"/>
              </w:rPr>
              <w:t>。</w:t>
            </w:r>
          </w:p>
        </w:tc>
        <w:tc>
          <w:tcPr>
            <w:tcW w:w="450" w:type="pct"/>
            <w:shd w:val="clear" w:color="auto" w:fill="auto"/>
          </w:tcPr>
          <w:p w14:paraId="49246A78" w14:textId="20253941" w:rsidR="002F2E4B" w:rsidRPr="008B1FF1" w:rsidRDefault="00A62A5A" w:rsidP="002F2E4B">
            <w:pPr>
              <w:pStyle w:val="Tabletext"/>
              <w:rPr>
                <w:sz w:val="20"/>
              </w:rPr>
            </w:pPr>
            <w:r>
              <w:rPr>
                <w:rFonts w:ascii="SimSun" w:eastAsia="SimSun" w:hAnsi="SimSun" w:cs="SimSun" w:hint="eastAsia"/>
                <w:color w:val="000000"/>
                <w:sz w:val="20"/>
                <w:lang w:eastAsia="zh-CN"/>
              </w:rPr>
              <w:t>已关闭。</w:t>
            </w:r>
          </w:p>
        </w:tc>
      </w:tr>
      <w:tr w:rsidR="002F2E4B" w:rsidRPr="00536D01" w14:paraId="66821EF8" w14:textId="77777777" w:rsidTr="0011737E">
        <w:tc>
          <w:tcPr>
            <w:tcW w:w="300" w:type="pct"/>
            <w:shd w:val="clear" w:color="auto" w:fill="auto"/>
          </w:tcPr>
          <w:p w14:paraId="033E807C" w14:textId="77777777" w:rsidR="002F2E4B" w:rsidRPr="008B1FF1" w:rsidRDefault="002F2E4B" w:rsidP="002F2E4B">
            <w:pPr>
              <w:pStyle w:val="Tabletext"/>
              <w:rPr>
                <w:rFonts w:asciiTheme="minorHAnsi" w:hAnsiTheme="minorHAnsi" w:cstheme="minorHAnsi"/>
                <w:sz w:val="20"/>
              </w:rPr>
            </w:pPr>
            <w:r w:rsidRPr="008B1FF1">
              <w:rPr>
                <w:rFonts w:asciiTheme="minorHAnsi" w:hAnsiTheme="minorHAnsi" w:cstheme="minorHAnsi"/>
                <w:sz w:val="20"/>
              </w:rPr>
              <w:t>Rec#</w:t>
            </w:r>
          </w:p>
          <w:p w14:paraId="610486A8" w14:textId="0FD3D8DC" w:rsidR="002F2E4B" w:rsidRPr="008B1FF1" w:rsidRDefault="002F2E4B" w:rsidP="002F2E4B">
            <w:pPr>
              <w:pStyle w:val="Tabletext"/>
              <w:rPr>
                <w:sz w:val="20"/>
              </w:rPr>
            </w:pPr>
            <w:r w:rsidRPr="008B1FF1">
              <w:rPr>
                <w:rFonts w:asciiTheme="minorHAnsi" w:hAnsiTheme="minorHAnsi" w:cstheme="minorHAnsi"/>
                <w:sz w:val="20"/>
              </w:rPr>
              <w:t xml:space="preserve">3/2020 </w:t>
            </w:r>
          </w:p>
        </w:tc>
        <w:tc>
          <w:tcPr>
            <w:tcW w:w="1450" w:type="pct"/>
            <w:shd w:val="clear" w:color="auto" w:fill="auto"/>
          </w:tcPr>
          <w:p w14:paraId="05AECEF3" w14:textId="40182F41" w:rsidR="002F2E4B" w:rsidRPr="008B1FF1" w:rsidRDefault="002F2E4B" w:rsidP="002F2E4B">
            <w:pPr>
              <w:pStyle w:val="Tabletext"/>
              <w:rPr>
                <w:sz w:val="20"/>
                <w:lang w:eastAsia="zh-CN"/>
              </w:rPr>
            </w:pPr>
            <w:r w:rsidRPr="008B1FF1">
              <w:rPr>
                <w:rFonts w:asciiTheme="minorHAnsi" w:hAnsiTheme="minorHAnsi" w:cstheme="minorHAnsi"/>
                <w:sz w:val="20"/>
                <w:lang w:eastAsia="zh-CN"/>
              </w:rPr>
              <w:t>PROC</w:t>
            </w:r>
            <w:r w:rsidRPr="008B1FF1">
              <w:rPr>
                <w:rFonts w:asciiTheme="minorHAnsi" w:hAnsiTheme="minorHAnsi" w:cstheme="minorHAnsi"/>
                <w:sz w:val="20"/>
                <w:lang w:eastAsia="zh-CN"/>
              </w:rPr>
              <w:t>为低价值采购（第</w:t>
            </w:r>
            <w:r w:rsidRPr="008B1FF1">
              <w:rPr>
                <w:rFonts w:asciiTheme="minorHAnsi" w:hAnsiTheme="minorHAnsi" w:cstheme="minorHAnsi"/>
                <w:sz w:val="20"/>
                <w:lang w:eastAsia="zh-CN"/>
              </w:rPr>
              <w:t>6.7.1</w:t>
            </w:r>
            <w:r w:rsidRPr="008B1FF1">
              <w:rPr>
                <w:rFonts w:asciiTheme="minorHAnsi" w:hAnsiTheme="minorHAnsi" w:cstheme="minorHAnsi"/>
                <w:sz w:val="20"/>
                <w:lang w:eastAsia="zh-CN"/>
              </w:rPr>
              <w:t>条）和极低价值采购（第</w:t>
            </w:r>
            <w:r w:rsidRPr="008B1FF1">
              <w:rPr>
                <w:rFonts w:asciiTheme="minorHAnsi" w:hAnsiTheme="minorHAnsi" w:cstheme="minorHAnsi"/>
                <w:sz w:val="20"/>
                <w:lang w:eastAsia="zh-CN"/>
              </w:rPr>
              <w:t>6.7.5</w:t>
            </w:r>
            <w:r w:rsidRPr="008B1FF1">
              <w:rPr>
                <w:rFonts w:asciiTheme="minorHAnsi" w:hAnsiTheme="minorHAnsi" w:cstheme="minorHAnsi"/>
                <w:sz w:val="20"/>
                <w:lang w:eastAsia="zh-CN"/>
              </w:rPr>
              <w:t>条）起草预期程序（或其他特殊程序），或在不需要此类程序或此类程序可能被旨在避免</w:t>
            </w:r>
            <w:r w:rsidRPr="008B1FF1">
              <w:rPr>
                <w:rFonts w:ascii="SimSun" w:eastAsia="SimSun" w:hAnsi="SimSun" w:cstheme="minorHAnsi"/>
                <w:sz w:val="20"/>
                <w:lang w:eastAsia="zh-CN"/>
              </w:rPr>
              <w:t>“</w:t>
            </w:r>
            <w:r w:rsidRPr="008B1FF1">
              <w:rPr>
                <w:rFonts w:asciiTheme="minorHAnsi" w:hAnsiTheme="minorHAnsi" w:cstheme="minorHAnsi"/>
                <w:sz w:val="20"/>
                <w:lang w:eastAsia="zh-CN"/>
              </w:rPr>
              <w:t>直接授予</w:t>
            </w:r>
            <w:r w:rsidRPr="008B1FF1">
              <w:rPr>
                <w:rFonts w:ascii="SimSun" w:eastAsia="SimSun" w:hAnsi="SimSun" w:cstheme="minorHAnsi"/>
                <w:sz w:val="20"/>
                <w:lang w:eastAsia="zh-CN"/>
              </w:rPr>
              <w:t>”</w:t>
            </w:r>
            <w:r w:rsidRPr="008B1FF1">
              <w:rPr>
                <w:rFonts w:asciiTheme="minorHAnsi" w:hAnsiTheme="minorHAnsi" w:cstheme="minorHAnsi"/>
                <w:sz w:val="20"/>
                <w:lang w:eastAsia="zh-CN"/>
              </w:rPr>
              <w:t>的新导则的实施所取代的情况下，对《采购手册》进行修改。</w:t>
            </w:r>
          </w:p>
        </w:tc>
        <w:tc>
          <w:tcPr>
            <w:tcW w:w="1750" w:type="pct"/>
            <w:shd w:val="clear" w:color="auto" w:fill="auto"/>
          </w:tcPr>
          <w:p w14:paraId="091150F9"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月的最新进展：起草了《采购手册》的修订版，由合同委员会审查，并转交法律事务处审查。最终版本将送回合同委员会进行最后审议。</w:t>
            </w:r>
          </w:p>
          <w:p w14:paraId="7CA224E9" w14:textId="785C28E9"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736F0284" w14:textId="782C780F" w:rsidR="002F2E4B" w:rsidRPr="008B1FF1" w:rsidRDefault="002F2E4B" w:rsidP="002F2E4B">
            <w:pPr>
              <w:pStyle w:val="Tabletext"/>
              <w:rPr>
                <w:sz w:val="20"/>
                <w:highlight w:val="yellow"/>
                <w:lang w:eastAsia="zh-CN"/>
              </w:rPr>
            </w:pPr>
            <w:r w:rsidRPr="008B1FF1">
              <w:rPr>
                <w:rFonts w:asciiTheme="minorHAnsi" w:hAnsiTheme="minorHAnsi" w:cstheme="minorHAnsi" w:hint="eastAsia"/>
                <w:sz w:val="20"/>
                <w:lang w:eastAsia="zh-CN"/>
              </w:rPr>
              <w:t>注意到最新的回应并认为是合理的。该建议已完成。</w:t>
            </w:r>
          </w:p>
        </w:tc>
        <w:tc>
          <w:tcPr>
            <w:tcW w:w="450" w:type="pct"/>
            <w:shd w:val="clear" w:color="auto" w:fill="auto"/>
          </w:tcPr>
          <w:p w14:paraId="04C0762C" w14:textId="0876D912" w:rsidR="002F2E4B" w:rsidRPr="008B1FF1" w:rsidRDefault="00A62A5A" w:rsidP="002F2E4B">
            <w:pPr>
              <w:pStyle w:val="Tabletext"/>
              <w:rPr>
                <w:sz w:val="20"/>
                <w:highlight w:val="yellow"/>
                <w:lang w:eastAsia="zh-CN"/>
              </w:rPr>
            </w:pPr>
            <w:r>
              <w:rPr>
                <w:rFonts w:ascii="SimSun" w:eastAsia="SimSun" w:hAnsi="SimSun" w:cs="SimSun" w:hint="eastAsia"/>
                <w:color w:val="000000"/>
                <w:sz w:val="20"/>
                <w:lang w:eastAsia="zh-CN"/>
              </w:rPr>
              <w:t>已关闭。</w:t>
            </w:r>
          </w:p>
        </w:tc>
      </w:tr>
      <w:tr w:rsidR="002F2E4B" w:rsidRPr="00536D01" w14:paraId="1D670C25" w14:textId="77777777" w:rsidTr="0011737E">
        <w:tc>
          <w:tcPr>
            <w:tcW w:w="300" w:type="pct"/>
            <w:shd w:val="clear" w:color="auto" w:fill="auto"/>
          </w:tcPr>
          <w:p w14:paraId="64D96AE5" w14:textId="77777777" w:rsidR="002F2E4B" w:rsidRPr="008B1FF1" w:rsidRDefault="002F2E4B" w:rsidP="002F2E4B">
            <w:pPr>
              <w:pStyle w:val="Tabletext"/>
              <w:rPr>
                <w:rFonts w:asciiTheme="minorHAnsi" w:hAnsiTheme="minorHAnsi" w:cstheme="minorHAnsi"/>
                <w:sz w:val="20"/>
              </w:rPr>
            </w:pPr>
            <w:r w:rsidRPr="008B1FF1">
              <w:rPr>
                <w:rFonts w:asciiTheme="minorHAnsi" w:hAnsiTheme="minorHAnsi" w:cstheme="minorHAnsi"/>
                <w:sz w:val="20"/>
              </w:rPr>
              <w:t>Rec#</w:t>
            </w:r>
          </w:p>
          <w:p w14:paraId="592B4FD4" w14:textId="03E6B7C0" w:rsidR="002F2E4B" w:rsidRPr="008B1FF1" w:rsidRDefault="002F2E4B" w:rsidP="002F2E4B">
            <w:pPr>
              <w:pStyle w:val="Tabletext"/>
              <w:rPr>
                <w:sz w:val="20"/>
              </w:rPr>
            </w:pPr>
            <w:r w:rsidRPr="008B1FF1">
              <w:rPr>
                <w:rFonts w:asciiTheme="minorHAnsi" w:hAnsiTheme="minorHAnsi" w:cstheme="minorHAnsi"/>
                <w:sz w:val="20"/>
              </w:rPr>
              <w:t xml:space="preserve">5/2020 </w:t>
            </w:r>
          </w:p>
        </w:tc>
        <w:tc>
          <w:tcPr>
            <w:tcW w:w="1450" w:type="pct"/>
            <w:shd w:val="clear" w:color="auto" w:fill="auto"/>
          </w:tcPr>
          <w:p w14:paraId="6DA25E84" w14:textId="0DFE7686" w:rsidR="002F2E4B" w:rsidRPr="008B1FF1" w:rsidRDefault="002F2E4B" w:rsidP="002F2E4B">
            <w:pPr>
              <w:pStyle w:val="Tabletext"/>
              <w:rPr>
                <w:sz w:val="20"/>
                <w:lang w:eastAsia="zh-CN"/>
              </w:rPr>
            </w:pPr>
            <w:r w:rsidRPr="008B1FF1">
              <w:rPr>
                <w:rFonts w:asciiTheme="minorHAnsi" w:hAnsiTheme="minorHAnsi" w:cstheme="minorHAnsi"/>
                <w:sz w:val="20"/>
                <w:lang w:eastAsia="zh-CN"/>
              </w:rPr>
              <w:t>在所有采购程序中实施双封包系统，以避免在评审收到的标书时受到价格的任何影响，非常简单的程序（通过</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不通过标准）和</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或低价值采购除外。</w:t>
            </w:r>
          </w:p>
        </w:tc>
        <w:tc>
          <w:tcPr>
            <w:tcW w:w="1750" w:type="pct"/>
            <w:shd w:val="clear" w:color="auto" w:fill="auto"/>
          </w:tcPr>
          <w:p w14:paraId="381E17FF"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月的最新进展：国际电联的意见保持不变。招标方法（</w:t>
            </w:r>
            <w:r w:rsidRPr="008B1FF1">
              <w:rPr>
                <w:rFonts w:asciiTheme="minorHAnsi" w:hAnsiTheme="minorHAnsi" w:cstheme="minorHAnsi"/>
                <w:sz w:val="20"/>
                <w:lang w:eastAsia="zh-CN"/>
              </w:rPr>
              <w:t>RFQ</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ITB</w:t>
            </w:r>
            <w:r w:rsidRPr="008B1FF1">
              <w:rPr>
                <w:rFonts w:asciiTheme="minorHAnsi" w:hAnsiTheme="minorHAnsi" w:cstheme="minorHAnsi"/>
                <w:sz w:val="20"/>
                <w:lang w:eastAsia="zh-CN"/>
              </w:rPr>
              <w:t>和</w:t>
            </w:r>
            <w:r w:rsidRPr="008B1FF1">
              <w:rPr>
                <w:rFonts w:asciiTheme="minorHAnsi" w:hAnsiTheme="minorHAnsi" w:cstheme="minorHAnsi"/>
                <w:sz w:val="20"/>
                <w:lang w:eastAsia="zh-CN"/>
              </w:rPr>
              <w:t>RFP</w:t>
            </w:r>
            <w:r w:rsidRPr="008B1FF1">
              <w:rPr>
                <w:rFonts w:asciiTheme="minorHAnsi" w:hAnsiTheme="minorHAnsi" w:cstheme="minorHAnsi"/>
                <w:sz w:val="20"/>
                <w:lang w:eastAsia="zh-CN"/>
              </w:rPr>
              <w:t>）被联合国组织广泛和普遍实施和使用。在所有采购程序中实施双封包系统将偏离国际电联《采购手册》和联合国采购程序。</w:t>
            </w:r>
          </w:p>
          <w:p w14:paraId="6696686B" w14:textId="758B652E"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3330BF04" w14:textId="719042FF" w:rsidR="002F2E4B" w:rsidRPr="008B1FF1" w:rsidRDefault="002F2E4B" w:rsidP="002F2E4B">
            <w:pPr>
              <w:pStyle w:val="Tabletext"/>
              <w:rPr>
                <w:sz w:val="20"/>
                <w:lang w:eastAsia="zh-CN"/>
              </w:rPr>
            </w:pPr>
            <w:r w:rsidRPr="008B1FF1">
              <w:rPr>
                <w:rFonts w:asciiTheme="minorHAnsi" w:hAnsiTheme="minorHAnsi" w:cstheme="minorHAnsi" w:hint="eastAsia"/>
                <w:sz w:val="20"/>
                <w:lang w:eastAsia="zh-CN"/>
              </w:rPr>
              <w:t>注意到最新的回应并认为是合理的。该建议已完成。</w:t>
            </w:r>
          </w:p>
        </w:tc>
        <w:tc>
          <w:tcPr>
            <w:tcW w:w="450" w:type="pct"/>
            <w:shd w:val="clear" w:color="auto" w:fill="auto"/>
          </w:tcPr>
          <w:p w14:paraId="701CD6BD" w14:textId="4D83F470" w:rsidR="002F2E4B" w:rsidRPr="008B1FF1" w:rsidRDefault="00A62A5A" w:rsidP="002F2E4B">
            <w:pPr>
              <w:pStyle w:val="Tabletext"/>
              <w:rPr>
                <w:sz w:val="20"/>
                <w:lang w:eastAsia="zh-CN"/>
              </w:rPr>
            </w:pPr>
            <w:r>
              <w:rPr>
                <w:rFonts w:ascii="SimSun" w:eastAsia="SimSun" w:hAnsi="SimSun" w:cs="SimSun" w:hint="eastAsia"/>
                <w:color w:val="000000"/>
                <w:sz w:val="20"/>
                <w:lang w:eastAsia="zh-CN"/>
              </w:rPr>
              <w:t>已关闭。</w:t>
            </w:r>
          </w:p>
        </w:tc>
      </w:tr>
      <w:tr w:rsidR="002F2E4B" w:rsidRPr="00536D01" w14:paraId="7C9C76A2" w14:textId="77777777" w:rsidTr="0011737E">
        <w:tc>
          <w:tcPr>
            <w:tcW w:w="300" w:type="pct"/>
            <w:shd w:val="clear" w:color="auto" w:fill="auto"/>
          </w:tcPr>
          <w:p w14:paraId="182B032B" w14:textId="77777777" w:rsidR="002F2E4B" w:rsidRPr="008B1FF1" w:rsidRDefault="002F2E4B" w:rsidP="002F2E4B">
            <w:pPr>
              <w:pStyle w:val="Tabletext"/>
              <w:rPr>
                <w:rFonts w:asciiTheme="minorHAnsi" w:hAnsiTheme="minorHAnsi" w:cstheme="minorHAnsi"/>
                <w:sz w:val="20"/>
              </w:rPr>
            </w:pPr>
            <w:r w:rsidRPr="008B1FF1">
              <w:rPr>
                <w:rFonts w:asciiTheme="minorHAnsi" w:hAnsiTheme="minorHAnsi" w:cstheme="minorHAnsi"/>
                <w:sz w:val="20"/>
              </w:rPr>
              <w:lastRenderedPageBreak/>
              <w:t>Rec#</w:t>
            </w:r>
          </w:p>
          <w:p w14:paraId="45C2E448" w14:textId="45255400" w:rsidR="002F2E4B" w:rsidRPr="008B1FF1" w:rsidRDefault="002F2E4B" w:rsidP="002F2E4B">
            <w:pPr>
              <w:pStyle w:val="Tabletext"/>
              <w:rPr>
                <w:sz w:val="20"/>
              </w:rPr>
            </w:pPr>
            <w:r w:rsidRPr="008B1FF1">
              <w:rPr>
                <w:rFonts w:asciiTheme="minorHAnsi" w:hAnsiTheme="minorHAnsi" w:cstheme="minorHAnsi"/>
                <w:sz w:val="20"/>
              </w:rPr>
              <w:t xml:space="preserve">7/2020 </w:t>
            </w:r>
          </w:p>
        </w:tc>
        <w:tc>
          <w:tcPr>
            <w:tcW w:w="1450" w:type="pct"/>
            <w:shd w:val="clear" w:color="auto" w:fill="auto"/>
          </w:tcPr>
          <w:p w14:paraId="39CCFDE1" w14:textId="5AD4249F" w:rsidR="002F2E4B" w:rsidRPr="008B1FF1" w:rsidRDefault="002F2E4B" w:rsidP="002F2E4B">
            <w:pPr>
              <w:pStyle w:val="Tabletext"/>
              <w:rPr>
                <w:sz w:val="20"/>
                <w:lang w:eastAsia="zh-CN"/>
              </w:rPr>
            </w:pPr>
            <w:r w:rsidRPr="008B1FF1">
              <w:rPr>
                <w:rFonts w:asciiTheme="minorHAnsi" w:hAnsiTheme="minorHAnsi" w:cstheme="minorHAnsi"/>
                <w:sz w:val="20"/>
                <w:lang w:eastAsia="zh-CN"/>
              </w:rPr>
              <w:t>通过由强大的备份和灾害恢复系统支持的全面、有效的人事电子存档系统，结合高效和有效的原始纸质文件分类和存档，加强人事档案的数字化进程。</w:t>
            </w:r>
          </w:p>
        </w:tc>
        <w:tc>
          <w:tcPr>
            <w:tcW w:w="1750" w:type="pct"/>
            <w:shd w:val="clear" w:color="auto" w:fill="auto"/>
          </w:tcPr>
          <w:p w14:paraId="38F4CCD1"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月的最新进展：国际电联利用</w:t>
            </w:r>
            <w:r w:rsidRPr="008B1FF1">
              <w:rPr>
                <w:rFonts w:asciiTheme="minorHAnsi" w:hAnsiTheme="minorHAnsi" w:cstheme="minorHAnsi"/>
                <w:sz w:val="20"/>
                <w:lang w:eastAsia="zh-CN"/>
              </w:rPr>
              <w:t>SharePoint</w:t>
            </w:r>
            <w:r w:rsidRPr="008B1FF1">
              <w:rPr>
                <w:rFonts w:asciiTheme="minorHAnsi" w:hAnsiTheme="minorHAnsi" w:cstheme="minorHAnsi"/>
                <w:sz w:val="20"/>
                <w:lang w:eastAsia="zh-CN"/>
              </w:rPr>
              <w:t>技术在国际电联内网上建立了一个电子存档系统。此时，所有分散在不同驱动器并由不同人力资源团队拥有的信息正在确定迁移到这个通用归档系统中。该系统已经与</w:t>
            </w:r>
            <w:r w:rsidRPr="008B1FF1">
              <w:rPr>
                <w:rFonts w:asciiTheme="minorHAnsi" w:hAnsiTheme="minorHAnsi" w:cstheme="minorHAnsi"/>
                <w:sz w:val="20"/>
                <w:lang w:eastAsia="zh-CN"/>
              </w:rPr>
              <w:t>SAP</w:t>
            </w:r>
            <w:r w:rsidRPr="008B1FF1">
              <w:rPr>
                <w:rFonts w:asciiTheme="minorHAnsi" w:hAnsiTheme="minorHAnsi" w:cstheme="minorHAnsi"/>
                <w:sz w:val="20"/>
                <w:lang w:eastAsia="zh-CN"/>
              </w:rPr>
              <w:t>连接，并自动收到所有人事行动的副本。</w:t>
            </w:r>
          </w:p>
          <w:p w14:paraId="5D4CF418" w14:textId="2262534E"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国际电联认为实施工作正在进行中。</w:t>
            </w:r>
          </w:p>
        </w:tc>
        <w:tc>
          <w:tcPr>
            <w:tcW w:w="1050" w:type="pct"/>
            <w:shd w:val="clear" w:color="auto" w:fill="auto"/>
          </w:tcPr>
          <w:p w14:paraId="6C3D3460" w14:textId="19924CEE" w:rsidR="002F2E4B" w:rsidRPr="008B1FF1" w:rsidRDefault="002F2E4B" w:rsidP="002F2E4B">
            <w:pPr>
              <w:pStyle w:val="Tabletext"/>
              <w:rPr>
                <w:sz w:val="20"/>
                <w:highlight w:val="yellow"/>
                <w:lang w:eastAsia="zh-CN"/>
              </w:rPr>
            </w:pPr>
            <w:r w:rsidRPr="008B1FF1">
              <w:rPr>
                <w:rFonts w:asciiTheme="minorHAnsi" w:hAnsiTheme="minorHAnsi" w:cstheme="minorHAnsi"/>
                <w:sz w:val="20"/>
                <w:lang w:eastAsia="zh-CN"/>
              </w:rPr>
              <w:t>将最新回应记录在案。</w:t>
            </w:r>
          </w:p>
        </w:tc>
        <w:tc>
          <w:tcPr>
            <w:tcW w:w="450" w:type="pct"/>
            <w:shd w:val="clear" w:color="auto" w:fill="auto"/>
          </w:tcPr>
          <w:p w14:paraId="030F4A27" w14:textId="2C990F69" w:rsidR="002F2E4B" w:rsidRPr="008B1FF1" w:rsidRDefault="004264B1" w:rsidP="002F2E4B">
            <w:pPr>
              <w:pStyle w:val="Tabletext"/>
              <w:rPr>
                <w:sz w:val="20"/>
                <w:highlight w:val="yellow"/>
                <w:lang w:eastAsia="zh-CN"/>
              </w:rPr>
            </w:pPr>
            <w:r>
              <w:rPr>
                <w:rFonts w:asciiTheme="minorHAnsi" w:hAnsiTheme="minorHAnsi" w:cstheme="minorHAnsi" w:hint="eastAsia"/>
                <w:sz w:val="20"/>
                <w:lang w:eastAsia="zh-CN"/>
              </w:rPr>
              <w:t>落实中。</w:t>
            </w:r>
          </w:p>
        </w:tc>
      </w:tr>
      <w:tr w:rsidR="002F2E4B" w:rsidRPr="00536D01" w14:paraId="229B2580" w14:textId="77777777" w:rsidTr="0011737E">
        <w:tc>
          <w:tcPr>
            <w:tcW w:w="300" w:type="pct"/>
            <w:shd w:val="clear" w:color="auto" w:fill="auto"/>
          </w:tcPr>
          <w:p w14:paraId="650AE22C" w14:textId="77777777" w:rsidR="002F2E4B" w:rsidRPr="008B1FF1" w:rsidRDefault="002F2E4B" w:rsidP="002F2E4B">
            <w:pPr>
              <w:pStyle w:val="Tabletext"/>
              <w:rPr>
                <w:rFonts w:asciiTheme="minorHAnsi" w:hAnsiTheme="minorHAnsi" w:cstheme="minorHAnsi"/>
                <w:sz w:val="20"/>
              </w:rPr>
            </w:pPr>
            <w:r w:rsidRPr="008B1FF1">
              <w:rPr>
                <w:rFonts w:asciiTheme="minorHAnsi" w:hAnsiTheme="minorHAnsi" w:cstheme="minorHAnsi"/>
                <w:sz w:val="20"/>
              </w:rPr>
              <w:t>Rec#</w:t>
            </w:r>
          </w:p>
          <w:p w14:paraId="61B62E61" w14:textId="6D9392B7" w:rsidR="002F2E4B" w:rsidRPr="008B1FF1" w:rsidRDefault="002F2E4B" w:rsidP="002F2E4B">
            <w:pPr>
              <w:pStyle w:val="Tabletext"/>
              <w:rPr>
                <w:sz w:val="20"/>
              </w:rPr>
            </w:pPr>
            <w:r w:rsidRPr="008B1FF1">
              <w:rPr>
                <w:rFonts w:asciiTheme="minorHAnsi" w:hAnsiTheme="minorHAnsi" w:cstheme="minorHAnsi"/>
                <w:sz w:val="20"/>
              </w:rPr>
              <w:t xml:space="preserve">8/2020 </w:t>
            </w:r>
          </w:p>
        </w:tc>
        <w:tc>
          <w:tcPr>
            <w:tcW w:w="1450" w:type="pct"/>
            <w:shd w:val="clear" w:color="auto" w:fill="auto"/>
          </w:tcPr>
          <w:p w14:paraId="5FA32AA2" w14:textId="77777777" w:rsidR="002F2E4B" w:rsidRPr="008B1FF1" w:rsidRDefault="002F2E4B" w:rsidP="008B1FF1">
            <w:pPr>
              <w:pStyle w:val="Tabletext"/>
              <w:tabs>
                <w:tab w:val="clear" w:pos="284"/>
                <w:tab w:val="clear" w:pos="425"/>
                <w:tab w:val="left" w:pos="356"/>
              </w:tabs>
              <w:spacing w:before="60"/>
              <w:ind w:left="356" w:hanging="356"/>
              <w:rPr>
                <w:rFonts w:asciiTheme="minorHAnsi" w:hAnsiTheme="minorHAnsi" w:cstheme="minorHAnsi"/>
                <w:sz w:val="20"/>
                <w:lang w:eastAsia="zh-CN"/>
              </w:rPr>
            </w:pPr>
            <w:r w:rsidRPr="008B1FF1">
              <w:rPr>
                <w:rFonts w:asciiTheme="minorHAnsi" w:hAnsiTheme="minorHAnsi" w:cstheme="minorHAnsi"/>
                <w:sz w:val="20"/>
                <w:lang w:eastAsia="zh-CN"/>
              </w:rPr>
              <w:t>a)</w:t>
            </w:r>
            <w:r w:rsidRPr="008B1FF1">
              <w:rPr>
                <w:rFonts w:asciiTheme="minorHAnsi" w:hAnsiTheme="minorHAnsi" w:cstheme="minorHAnsi"/>
                <w:sz w:val="20"/>
                <w:lang w:eastAsia="zh-CN"/>
              </w:rPr>
              <w:tab/>
            </w:r>
            <w:r w:rsidRPr="008B1FF1">
              <w:rPr>
                <w:rFonts w:asciiTheme="minorHAnsi" w:hAnsiTheme="minorHAnsi" w:cstheme="minorHAnsi"/>
                <w:sz w:val="20"/>
                <w:lang w:eastAsia="zh-CN"/>
              </w:rPr>
              <w:t>提高纪律处分进程的效率和有效性，制定</w:t>
            </w:r>
            <w:r w:rsidRPr="008B1FF1">
              <w:rPr>
                <w:sz w:val="20"/>
                <w:lang w:eastAsia="zh-CN"/>
              </w:rPr>
              <w:t>能够</w:t>
            </w:r>
            <w:r w:rsidRPr="008B1FF1">
              <w:rPr>
                <w:rFonts w:asciiTheme="minorHAnsi" w:hAnsiTheme="minorHAnsi" w:cstheme="minorHAnsi"/>
                <w:sz w:val="20"/>
                <w:lang w:eastAsia="zh-CN"/>
              </w:rPr>
              <w:t>保护国际电联免受工作人员欺诈行为所产生风险的处罚，尤其是在出现财务损失时。</w:t>
            </w:r>
          </w:p>
          <w:p w14:paraId="13639003" w14:textId="11A7611F" w:rsidR="002F2E4B" w:rsidRPr="008B1FF1" w:rsidRDefault="002F2E4B" w:rsidP="008B1FF1">
            <w:pPr>
              <w:pStyle w:val="Tabletext"/>
              <w:tabs>
                <w:tab w:val="clear" w:pos="284"/>
                <w:tab w:val="clear" w:pos="425"/>
                <w:tab w:val="left" w:pos="356"/>
              </w:tabs>
              <w:spacing w:before="60"/>
              <w:ind w:left="356" w:hanging="356"/>
              <w:rPr>
                <w:sz w:val="20"/>
                <w:lang w:eastAsia="zh-CN"/>
              </w:rPr>
            </w:pPr>
            <w:r w:rsidRPr="008B1FF1">
              <w:rPr>
                <w:rFonts w:asciiTheme="minorHAnsi" w:hAnsiTheme="minorHAnsi" w:cstheme="minorHAnsi"/>
                <w:sz w:val="20"/>
                <w:lang w:eastAsia="zh-CN"/>
              </w:rPr>
              <w:t>b)</w:t>
            </w:r>
            <w:r w:rsidRPr="008B1FF1">
              <w:rPr>
                <w:rFonts w:asciiTheme="minorHAnsi" w:hAnsiTheme="minorHAnsi" w:cstheme="minorHAnsi"/>
                <w:sz w:val="20"/>
                <w:lang w:eastAsia="zh-CN"/>
              </w:rPr>
              <w:tab/>
            </w:r>
            <w:r w:rsidRPr="008B1FF1">
              <w:rPr>
                <w:rFonts w:asciiTheme="minorHAnsi" w:hAnsiTheme="minorHAnsi" w:cstheme="minorHAnsi"/>
                <w:sz w:val="20"/>
                <w:lang w:eastAsia="zh-CN"/>
              </w:rPr>
              <w:t>加强国际电联对工作人员欺诈行为的应对</w:t>
            </w:r>
            <w:r w:rsidRPr="008B1FF1">
              <w:rPr>
                <w:sz w:val="20"/>
                <w:lang w:eastAsia="zh-CN"/>
              </w:rPr>
              <w:t>能力</w:t>
            </w:r>
            <w:r w:rsidRPr="008B1FF1">
              <w:rPr>
                <w:rFonts w:asciiTheme="minorHAnsi" w:hAnsiTheme="minorHAnsi" w:cstheme="minorHAnsi"/>
                <w:sz w:val="20"/>
                <w:lang w:eastAsia="zh-CN"/>
              </w:rPr>
              <w:t>，特别是探索起诉离职后被判有罪的工作人员的可能性，不仅出于追偿目的，还为了在任何现有的共享联合国数据库中插入直接或间接涉及财务损失的人员的相关信息。</w:t>
            </w:r>
          </w:p>
        </w:tc>
        <w:tc>
          <w:tcPr>
            <w:tcW w:w="1750" w:type="pct"/>
            <w:shd w:val="clear" w:color="auto" w:fill="auto"/>
          </w:tcPr>
          <w:p w14:paraId="51660724"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月的最新进展：国际电联提议对纪律程序进行全面审查，其中包括外部审计员提出的所有建议。国际电联已成为联合国</w:t>
            </w:r>
            <w:proofErr w:type="spellStart"/>
            <w:r w:rsidRPr="008B1FF1">
              <w:rPr>
                <w:rFonts w:asciiTheme="minorHAnsi" w:hAnsiTheme="minorHAnsi" w:cstheme="minorHAnsi"/>
                <w:sz w:val="20"/>
                <w:lang w:eastAsia="zh-CN"/>
              </w:rPr>
              <w:t>ClearCheck</w:t>
            </w:r>
            <w:proofErr w:type="spellEnd"/>
            <w:r w:rsidRPr="008B1FF1">
              <w:rPr>
                <w:rFonts w:asciiTheme="minorHAnsi" w:hAnsiTheme="minorHAnsi" w:cstheme="minorHAnsi"/>
                <w:sz w:val="20"/>
                <w:lang w:eastAsia="zh-CN"/>
              </w:rPr>
              <w:t>系统的成员，并已将一个案例纳入数据库。</w:t>
            </w:r>
          </w:p>
          <w:p w14:paraId="0E25FD8C" w14:textId="522CDCCC"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国际电联认为实施工作正在进行中。</w:t>
            </w:r>
          </w:p>
        </w:tc>
        <w:tc>
          <w:tcPr>
            <w:tcW w:w="1050" w:type="pct"/>
            <w:shd w:val="clear" w:color="auto" w:fill="auto"/>
          </w:tcPr>
          <w:p w14:paraId="627CA4F8" w14:textId="36B6D1D5" w:rsidR="002F2E4B" w:rsidRPr="008B1FF1" w:rsidRDefault="002F2E4B" w:rsidP="002F2E4B">
            <w:pPr>
              <w:pStyle w:val="Tabletext"/>
              <w:rPr>
                <w:sz w:val="20"/>
                <w:highlight w:val="yellow"/>
                <w:lang w:eastAsia="zh-CN"/>
              </w:rPr>
            </w:pPr>
            <w:r w:rsidRPr="008B1FF1">
              <w:rPr>
                <w:rFonts w:asciiTheme="minorHAnsi" w:hAnsiTheme="minorHAnsi" w:cstheme="minorHAnsi" w:hint="eastAsia"/>
                <w:sz w:val="20"/>
                <w:lang w:eastAsia="zh-CN"/>
              </w:rPr>
              <w:t>将最新回应记录在案。</w:t>
            </w:r>
          </w:p>
        </w:tc>
        <w:tc>
          <w:tcPr>
            <w:tcW w:w="450" w:type="pct"/>
            <w:shd w:val="clear" w:color="auto" w:fill="auto"/>
          </w:tcPr>
          <w:p w14:paraId="62D1B860" w14:textId="635DB1FB" w:rsidR="002F2E4B" w:rsidRPr="008B1FF1" w:rsidRDefault="004264B1" w:rsidP="002F2E4B">
            <w:pPr>
              <w:pStyle w:val="Tabletext"/>
              <w:rPr>
                <w:sz w:val="20"/>
                <w:highlight w:val="yellow"/>
                <w:lang w:eastAsia="zh-CN"/>
              </w:rPr>
            </w:pPr>
            <w:r>
              <w:rPr>
                <w:rFonts w:asciiTheme="minorHAnsi" w:hAnsiTheme="minorHAnsi" w:cstheme="minorHAnsi" w:hint="eastAsia"/>
                <w:sz w:val="20"/>
                <w:lang w:eastAsia="zh-CN"/>
              </w:rPr>
              <w:t>落实中。</w:t>
            </w:r>
          </w:p>
        </w:tc>
      </w:tr>
      <w:tr w:rsidR="002F2E4B" w:rsidRPr="00536D01" w14:paraId="38F5463A" w14:textId="77777777" w:rsidTr="0011737E">
        <w:tc>
          <w:tcPr>
            <w:tcW w:w="300" w:type="pct"/>
            <w:shd w:val="clear" w:color="auto" w:fill="auto"/>
          </w:tcPr>
          <w:p w14:paraId="69C5D744" w14:textId="77777777" w:rsidR="002F2E4B" w:rsidRPr="008B1FF1" w:rsidRDefault="002F2E4B" w:rsidP="002F2E4B">
            <w:pPr>
              <w:pStyle w:val="Tabletext"/>
              <w:rPr>
                <w:rFonts w:asciiTheme="minorHAnsi" w:hAnsiTheme="minorHAnsi" w:cstheme="minorHAnsi"/>
                <w:sz w:val="20"/>
              </w:rPr>
            </w:pPr>
            <w:r w:rsidRPr="008B1FF1">
              <w:rPr>
                <w:rFonts w:asciiTheme="minorHAnsi" w:hAnsiTheme="minorHAnsi" w:cstheme="minorHAnsi"/>
                <w:sz w:val="20"/>
              </w:rPr>
              <w:t>Rec#</w:t>
            </w:r>
          </w:p>
          <w:p w14:paraId="05089312" w14:textId="65E03B0C" w:rsidR="002F2E4B" w:rsidRPr="008B1FF1" w:rsidRDefault="002F2E4B" w:rsidP="002F2E4B">
            <w:pPr>
              <w:pStyle w:val="Tabletext"/>
              <w:rPr>
                <w:sz w:val="20"/>
              </w:rPr>
            </w:pPr>
            <w:r w:rsidRPr="008B1FF1">
              <w:rPr>
                <w:rFonts w:asciiTheme="minorHAnsi" w:hAnsiTheme="minorHAnsi" w:cstheme="minorHAnsi"/>
                <w:sz w:val="20"/>
              </w:rPr>
              <w:t xml:space="preserve">5/2019 </w:t>
            </w:r>
          </w:p>
        </w:tc>
        <w:tc>
          <w:tcPr>
            <w:tcW w:w="1450" w:type="pct"/>
            <w:shd w:val="clear" w:color="auto" w:fill="auto"/>
          </w:tcPr>
          <w:p w14:paraId="34FEC898" w14:textId="2CA1D4EE" w:rsidR="002F2E4B" w:rsidRPr="008B1FF1" w:rsidRDefault="002F2E4B" w:rsidP="002F2E4B">
            <w:pPr>
              <w:pStyle w:val="Tabletext"/>
              <w:rPr>
                <w:sz w:val="20"/>
                <w:lang w:eastAsia="zh-CN"/>
              </w:rPr>
            </w:pPr>
            <w:r w:rsidRPr="008B1FF1">
              <w:rPr>
                <w:rFonts w:asciiTheme="minorHAnsi" w:hAnsiTheme="minorHAnsi" w:cstheme="minorHAnsi"/>
                <w:sz w:val="20"/>
                <w:lang w:eastAsia="zh-CN"/>
              </w:rPr>
              <w:t>考虑改进电子存档项目，开发和实施一个真正的信息管理系统，包括通过对外部服务进行投资。</w:t>
            </w:r>
          </w:p>
        </w:tc>
        <w:tc>
          <w:tcPr>
            <w:tcW w:w="1750" w:type="pct"/>
            <w:shd w:val="clear" w:color="auto" w:fill="auto"/>
          </w:tcPr>
          <w:p w14:paraId="5D238354"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月的最新进展：国际电联利用</w:t>
            </w:r>
            <w:r w:rsidRPr="008B1FF1">
              <w:rPr>
                <w:rFonts w:asciiTheme="minorHAnsi" w:hAnsiTheme="minorHAnsi" w:cstheme="minorHAnsi"/>
                <w:sz w:val="20"/>
                <w:lang w:eastAsia="zh-CN"/>
              </w:rPr>
              <w:t>SharePoint</w:t>
            </w:r>
            <w:r w:rsidRPr="008B1FF1">
              <w:rPr>
                <w:rFonts w:asciiTheme="minorHAnsi" w:hAnsiTheme="minorHAnsi" w:cstheme="minorHAnsi"/>
                <w:sz w:val="20"/>
                <w:lang w:eastAsia="zh-CN"/>
              </w:rPr>
              <w:t>技术在国际电联内联网上建立了一个电子存档系统。此时，所有分散在不同驱动器并由不同人力资源团队拥有的信息正在确定迁移到这个通用归档系统中。该系统已经与</w:t>
            </w:r>
            <w:r w:rsidRPr="008B1FF1">
              <w:rPr>
                <w:rFonts w:asciiTheme="minorHAnsi" w:hAnsiTheme="minorHAnsi" w:cstheme="minorHAnsi"/>
                <w:sz w:val="20"/>
                <w:lang w:eastAsia="zh-CN"/>
              </w:rPr>
              <w:t>SAP</w:t>
            </w:r>
            <w:r w:rsidRPr="008B1FF1">
              <w:rPr>
                <w:rFonts w:asciiTheme="minorHAnsi" w:hAnsiTheme="minorHAnsi" w:cstheme="minorHAnsi"/>
                <w:sz w:val="20"/>
                <w:lang w:eastAsia="zh-CN"/>
              </w:rPr>
              <w:t>连接，并自动收到所有人事行动的副本。</w:t>
            </w:r>
          </w:p>
          <w:p w14:paraId="2F011177" w14:textId="3672131F"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国际电联认为该建议正在实施过程中。</w:t>
            </w:r>
          </w:p>
        </w:tc>
        <w:tc>
          <w:tcPr>
            <w:tcW w:w="1050" w:type="pct"/>
            <w:shd w:val="clear" w:color="auto" w:fill="auto"/>
          </w:tcPr>
          <w:p w14:paraId="5707E0B7" w14:textId="29DE7329" w:rsidR="002F2E4B" w:rsidRPr="008B1FF1" w:rsidRDefault="002F2E4B" w:rsidP="002F2E4B">
            <w:pPr>
              <w:pStyle w:val="Tabletext"/>
              <w:rPr>
                <w:sz w:val="20"/>
                <w:lang w:eastAsia="zh-CN"/>
              </w:rPr>
            </w:pPr>
            <w:r w:rsidRPr="008B1FF1">
              <w:rPr>
                <w:rFonts w:asciiTheme="minorHAnsi" w:hAnsiTheme="minorHAnsi" w:cstheme="minorHAnsi" w:hint="eastAsia"/>
                <w:sz w:val="20"/>
                <w:lang w:eastAsia="zh-CN"/>
              </w:rPr>
              <w:t>将最新回应记录在案。</w:t>
            </w:r>
          </w:p>
        </w:tc>
        <w:tc>
          <w:tcPr>
            <w:tcW w:w="450" w:type="pct"/>
            <w:shd w:val="clear" w:color="auto" w:fill="auto"/>
          </w:tcPr>
          <w:p w14:paraId="6444A831" w14:textId="3DFB75CB" w:rsidR="002F2E4B" w:rsidRPr="008B1FF1" w:rsidRDefault="004264B1" w:rsidP="002F2E4B">
            <w:pPr>
              <w:pStyle w:val="Tabletext"/>
              <w:rPr>
                <w:sz w:val="20"/>
                <w:lang w:eastAsia="zh-CN"/>
              </w:rPr>
            </w:pPr>
            <w:r>
              <w:rPr>
                <w:rFonts w:asciiTheme="minorHAnsi" w:hAnsiTheme="minorHAnsi" w:cstheme="minorHAnsi" w:hint="eastAsia"/>
                <w:sz w:val="20"/>
                <w:lang w:eastAsia="zh-CN"/>
              </w:rPr>
              <w:t>落实中。</w:t>
            </w:r>
          </w:p>
        </w:tc>
      </w:tr>
      <w:tr w:rsidR="002F2E4B" w:rsidRPr="00536D01" w14:paraId="5CD181EB" w14:textId="77777777" w:rsidTr="0011737E">
        <w:tc>
          <w:tcPr>
            <w:tcW w:w="300" w:type="pct"/>
            <w:shd w:val="clear" w:color="auto" w:fill="auto"/>
          </w:tcPr>
          <w:p w14:paraId="74F08861" w14:textId="77777777" w:rsidR="002F2E4B" w:rsidRPr="008B1FF1" w:rsidRDefault="002F2E4B" w:rsidP="002F2E4B">
            <w:pPr>
              <w:pStyle w:val="Tabletext"/>
              <w:rPr>
                <w:rFonts w:asciiTheme="minorHAnsi" w:hAnsiTheme="minorHAnsi" w:cstheme="minorHAnsi"/>
                <w:sz w:val="20"/>
              </w:rPr>
            </w:pPr>
            <w:r w:rsidRPr="008B1FF1">
              <w:rPr>
                <w:rFonts w:asciiTheme="minorHAnsi" w:hAnsiTheme="minorHAnsi" w:cstheme="minorHAnsi"/>
                <w:sz w:val="20"/>
              </w:rPr>
              <w:t>Rec#</w:t>
            </w:r>
          </w:p>
          <w:p w14:paraId="2D7E6046" w14:textId="4AACE9CC" w:rsidR="002F2E4B" w:rsidRPr="008B1FF1" w:rsidRDefault="002F2E4B" w:rsidP="002F2E4B">
            <w:pPr>
              <w:pStyle w:val="Tabletext"/>
              <w:rPr>
                <w:sz w:val="20"/>
              </w:rPr>
            </w:pPr>
            <w:r w:rsidRPr="008B1FF1">
              <w:rPr>
                <w:rFonts w:asciiTheme="minorHAnsi" w:hAnsiTheme="minorHAnsi" w:cstheme="minorHAnsi"/>
                <w:sz w:val="20"/>
              </w:rPr>
              <w:t xml:space="preserve">6/2019 </w:t>
            </w:r>
          </w:p>
        </w:tc>
        <w:tc>
          <w:tcPr>
            <w:tcW w:w="1450" w:type="pct"/>
            <w:shd w:val="clear" w:color="auto" w:fill="auto"/>
          </w:tcPr>
          <w:p w14:paraId="64401DDE" w14:textId="0E223A9F" w:rsidR="002F2E4B" w:rsidRPr="008B1FF1" w:rsidRDefault="002F2E4B" w:rsidP="002F2E4B">
            <w:pPr>
              <w:pStyle w:val="Tabletext"/>
              <w:rPr>
                <w:sz w:val="20"/>
                <w:lang w:eastAsia="zh-CN"/>
              </w:rPr>
            </w:pPr>
            <w:r w:rsidRPr="008B1FF1">
              <w:rPr>
                <w:rFonts w:asciiTheme="minorHAnsi" w:hAnsiTheme="minorHAnsi" w:cstheme="minorHAnsi"/>
                <w:sz w:val="20"/>
                <w:lang w:eastAsia="zh-CN"/>
              </w:rPr>
              <w:t>通过运作规划和实施规划的时间框架，推动新战略框架的执行。</w:t>
            </w:r>
          </w:p>
        </w:tc>
        <w:tc>
          <w:tcPr>
            <w:tcW w:w="1750" w:type="pct"/>
            <w:shd w:val="clear" w:color="auto" w:fill="auto"/>
          </w:tcPr>
          <w:p w14:paraId="0A806385"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2021</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10</w:t>
            </w:r>
            <w:r w:rsidRPr="008B1FF1">
              <w:rPr>
                <w:rFonts w:asciiTheme="minorHAnsi" w:hAnsiTheme="minorHAnsi" w:cstheme="minorHAnsi"/>
                <w:sz w:val="20"/>
                <w:lang w:eastAsia="zh-CN"/>
              </w:rPr>
              <w:t>月的最新进展：有关</w:t>
            </w:r>
            <w:proofErr w:type="spellStart"/>
            <w:r w:rsidRPr="008B1FF1">
              <w:rPr>
                <w:rFonts w:asciiTheme="minorHAnsi" w:hAnsiTheme="minorHAnsi" w:cstheme="minorHAnsi"/>
                <w:sz w:val="20"/>
                <w:lang w:eastAsia="zh-CN"/>
              </w:rPr>
              <w:t>HRSP</w:t>
            </w:r>
            <w:proofErr w:type="spellEnd"/>
            <w:r w:rsidRPr="008B1FF1">
              <w:rPr>
                <w:rFonts w:asciiTheme="minorHAnsi" w:hAnsiTheme="minorHAnsi" w:cstheme="minorHAnsi"/>
                <w:sz w:val="20"/>
                <w:lang w:eastAsia="zh-CN"/>
              </w:rPr>
              <w:t>的进展已通过</w:t>
            </w:r>
            <w:r>
              <w:fldChar w:fldCharType="begin"/>
            </w:r>
            <w:r>
              <w:rPr>
                <w:lang w:eastAsia="zh-CN"/>
              </w:rPr>
              <w:instrText>HYPERLINK "https://www.itu.int/md/S21-CL-C-0054/en"</w:instrText>
            </w:r>
            <w:r>
              <w:fldChar w:fldCharType="separate"/>
            </w:r>
            <w:proofErr w:type="spellStart"/>
            <w:r w:rsidRPr="008B1FF1">
              <w:rPr>
                <w:rStyle w:val="Hyperlink"/>
                <w:rFonts w:asciiTheme="minorHAnsi" w:hAnsiTheme="minorHAnsi" w:cstheme="minorHAnsi"/>
                <w:sz w:val="20"/>
                <w:lang w:eastAsia="zh-CN"/>
              </w:rPr>
              <w:t>C21</w:t>
            </w:r>
            <w:proofErr w:type="spellEnd"/>
            <w:r w:rsidRPr="008B1FF1">
              <w:rPr>
                <w:rStyle w:val="Hyperlink"/>
                <w:rFonts w:asciiTheme="minorHAnsi" w:hAnsiTheme="minorHAnsi" w:cstheme="minorHAnsi"/>
                <w:sz w:val="20"/>
                <w:lang w:eastAsia="zh-CN"/>
              </w:rPr>
              <w:t>/54</w:t>
            </w:r>
            <w:r>
              <w:fldChar w:fldCharType="end"/>
            </w:r>
            <w:r w:rsidRPr="008B1FF1">
              <w:rPr>
                <w:rFonts w:asciiTheme="minorHAnsi" w:hAnsiTheme="minorHAnsi" w:cstheme="minorHAnsi"/>
                <w:sz w:val="20"/>
                <w:lang w:eastAsia="zh-CN"/>
              </w:rPr>
              <w:t>号文件</w:t>
            </w:r>
            <w:r w:rsidRPr="008B1FF1">
              <w:rPr>
                <w:rFonts w:ascii="SimSun" w:eastAsia="SimSun" w:hAnsi="SimSun" w:cstheme="minorHAnsi"/>
                <w:sz w:val="20"/>
                <w:lang w:eastAsia="zh-CN"/>
              </w:rPr>
              <w:t>“</w:t>
            </w:r>
            <w:r w:rsidRPr="008B1FF1">
              <w:rPr>
                <w:rFonts w:asciiTheme="minorHAnsi" w:hAnsiTheme="minorHAnsi" w:cstheme="minorHAnsi"/>
                <w:sz w:val="20"/>
                <w:lang w:eastAsia="zh-CN"/>
              </w:rPr>
              <w:t>有关落实人力资源战略规划和第</w:t>
            </w:r>
            <w:r w:rsidRPr="008B1FF1">
              <w:rPr>
                <w:rFonts w:asciiTheme="minorHAnsi" w:hAnsiTheme="minorHAnsi" w:cstheme="minorHAnsi"/>
                <w:sz w:val="20"/>
                <w:lang w:eastAsia="zh-CN"/>
              </w:rPr>
              <w:t>48</w:t>
            </w:r>
            <w:r w:rsidRPr="008B1FF1">
              <w:rPr>
                <w:rFonts w:asciiTheme="minorHAnsi" w:hAnsiTheme="minorHAnsi" w:cstheme="minorHAnsi"/>
                <w:sz w:val="20"/>
                <w:lang w:eastAsia="zh-CN"/>
              </w:rPr>
              <w:t>号决议（</w:t>
            </w:r>
            <w:r w:rsidRPr="008B1FF1">
              <w:rPr>
                <w:rFonts w:asciiTheme="minorHAnsi" w:hAnsiTheme="minorHAnsi" w:cstheme="minorHAnsi"/>
                <w:sz w:val="20"/>
                <w:lang w:eastAsia="zh-CN"/>
              </w:rPr>
              <w:t>2018</w:t>
            </w:r>
            <w:r w:rsidRPr="008B1FF1">
              <w:rPr>
                <w:rFonts w:asciiTheme="minorHAnsi" w:hAnsiTheme="minorHAnsi" w:cstheme="minorHAnsi"/>
                <w:sz w:val="20"/>
                <w:lang w:eastAsia="zh-CN"/>
              </w:rPr>
              <w:t>年，迪拜，修订版）的进展报告</w:t>
            </w:r>
            <w:r w:rsidRPr="008B1FF1">
              <w:rPr>
                <w:rFonts w:ascii="SimSun" w:eastAsia="SimSun" w:hAnsi="SimSun" w:cstheme="minorHAnsi"/>
                <w:sz w:val="20"/>
                <w:lang w:eastAsia="zh-CN"/>
              </w:rPr>
              <w:t>”</w:t>
            </w:r>
            <w:r w:rsidRPr="008B1FF1">
              <w:rPr>
                <w:rFonts w:asciiTheme="minorHAnsi" w:hAnsiTheme="minorHAnsi" w:cstheme="minorHAnsi"/>
                <w:sz w:val="20"/>
                <w:lang w:eastAsia="zh-CN"/>
              </w:rPr>
              <w:t>于</w:t>
            </w:r>
            <w:r w:rsidRPr="008B1FF1">
              <w:rPr>
                <w:rFonts w:asciiTheme="minorHAnsi" w:hAnsiTheme="minorHAnsi" w:cstheme="minorHAnsi"/>
                <w:sz w:val="20"/>
                <w:lang w:eastAsia="zh-CN"/>
              </w:rPr>
              <w:t>2021</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月向理事会</w:t>
            </w:r>
            <w:r w:rsidRPr="008B1FF1">
              <w:rPr>
                <w:rFonts w:asciiTheme="minorHAnsi" w:hAnsiTheme="minorHAnsi" w:cstheme="minorHAnsi"/>
                <w:sz w:val="20"/>
                <w:lang w:eastAsia="zh-CN"/>
              </w:rPr>
              <w:t>2021</w:t>
            </w:r>
            <w:r w:rsidRPr="008B1FF1">
              <w:rPr>
                <w:rFonts w:asciiTheme="minorHAnsi" w:hAnsiTheme="minorHAnsi" w:cstheme="minorHAnsi"/>
                <w:sz w:val="20"/>
                <w:lang w:eastAsia="zh-CN"/>
              </w:rPr>
              <w:t>年会议成功汇报。</w:t>
            </w:r>
          </w:p>
          <w:p w14:paraId="7A76A587"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月的最新进展：向</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3</w:t>
            </w:r>
            <w:r w:rsidRPr="008B1FF1">
              <w:rPr>
                <w:rFonts w:asciiTheme="minorHAnsi" w:hAnsiTheme="minorHAnsi" w:cstheme="minorHAnsi"/>
                <w:sz w:val="20"/>
                <w:lang w:eastAsia="zh-CN"/>
              </w:rPr>
              <w:t>月召开的理事会报告了人力资源战略规划的进展情况。</w:t>
            </w:r>
          </w:p>
          <w:p w14:paraId="626D0335" w14:textId="34B91F6F"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0B20FEF2" w14:textId="05DB120A" w:rsidR="002F2E4B" w:rsidRPr="008B1FF1" w:rsidRDefault="002F2E4B" w:rsidP="002F2E4B">
            <w:pPr>
              <w:pStyle w:val="Tabletext"/>
              <w:rPr>
                <w:sz w:val="20"/>
                <w:lang w:eastAsia="zh-CN"/>
              </w:rPr>
            </w:pPr>
            <w:r w:rsidRPr="008B1FF1">
              <w:rPr>
                <w:rFonts w:asciiTheme="minorHAnsi" w:hAnsiTheme="minorHAnsi" w:cstheme="minorHAnsi" w:hint="eastAsia"/>
                <w:sz w:val="20"/>
                <w:lang w:eastAsia="zh-CN"/>
              </w:rPr>
              <w:t>注意到最新的回应并认为是合理的。该建议已完成。</w:t>
            </w:r>
          </w:p>
        </w:tc>
        <w:tc>
          <w:tcPr>
            <w:tcW w:w="450" w:type="pct"/>
            <w:shd w:val="clear" w:color="auto" w:fill="auto"/>
          </w:tcPr>
          <w:p w14:paraId="0BE1499B" w14:textId="2FE30CE1" w:rsidR="002F2E4B" w:rsidRPr="008B1FF1" w:rsidRDefault="00A62A5A" w:rsidP="002F2E4B">
            <w:pPr>
              <w:pStyle w:val="Tabletext"/>
              <w:rPr>
                <w:sz w:val="20"/>
                <w:lang w:eastAsia="zh-CN"/>
              </w:rPr>
            </w:pPr>
            <w:r>
              <w:rPr>
                <w:rFonts w:ascii="SimSun" w:eastAsia="SimSun" w:hAnsi="SimSun" w:cs="SimSun" w:hint="eastAsia"/>
                <w:color w:val="000000"/>
                <w:sz w:val="20"/>
                <w:lang w:eastAsia="zh-CN"/>
              </w:rPr>
              <w:t>已关闭。</w:t>
            </w:r>
          </w:p>
        </w:tc>
      </w:tr>
      <w:tr w:rsidR="002F2E4B" w:rsidRPr="00536D01" w14:paraId="3870B465" w14:textId="77777777" w:rsidTr="0011737E">
        <w:tc>
          <w:tcPr>
            <w:tcW w:w="300" w:type="pct"/>
            <w:shd w:val="clear" w:color="auto" w:fill="auto"/>
          </w:tcPr>
          <w:p w14:paraId="3FBA2FFC" w14:textId="77777777" w:rsidR="002F2E4B" w:rsidRPr="008B1FF1" w:rsidRDefault="002F2E4B" w:rsidP="002F2E4B">
            <w:pPr>
              <w:pStyle w:val="Tabletext"/>
              <w:rPr>
                <w:rFonts w:asciiTheme="minorHAnsi" w:hAnsiTheme="minorHAnsi" w:cstheme="minorHAnsi"/>
                <w:sz w:val="20"/>
              </w:rPr>
            </w:pPr>
            <w:r w:rsidRPr="008B1FF1">
              <w:rPr>
                <w:rFonts w:asciiTheme="minorHAnsi" w:hAnsiTheme="minorHAnsi" w:cstheme="minorHAnsi"/>
                <w:sz w:val="20"/>
              </w:rPr>
              <w:lastRenderedPageBreak/>
              <w:t>Rec#</w:t>
            </w:r>
          </w:p>
          <w:p w14:paraId="6C8C9F9A" w14:textId="64CFBDB9" w:rsidR="002F2E4B" w:rsidRPr="008B1FF1" w:rsidRDefault="002F2E4B" w:rsidP="002F2E4B">
            <w:pPr>
              <w:pStyle w:val="Tabletext"/>
              <w:rPr>
                <w:sz w:val="20"/>
              </w:rPr>
            </w:pPr>
            <w:r w:rsidRPr="008B1FF1">
              <w:rPr>
                <w:rFonts w:asciiTheme="minorHAnsi" w:hAnsiTheme="minorHAnsi" w:cstheme="minorHAnsi"/>
                <w:sz w:val="20"/>
              </w:rPr>
              <w:t>13/2018</w:t>
            </w:r>
          </w:p>
        </w:tc>
        <w:tc>
          <w:tcPr>
            <w:tcW w:w="1450" w:type="pct"/>
            <w:shd w:val="clear" w:color="auto" w:fill="auto"/>
          </w:tcPr>
          <w:p w14:paraId="69D3CA8F" w14:textId="07F1C225" w:rsidR="002F2E4B" w:rsidRPr="008B1FF1" w:rsidRDefault="002F2E4B" w:rsidP="002F2E4B">
            <w:pPr>
              <w:pStyle w:val="Tabletext"/>
              <w:rPr>
                <w:sz w:val="20"/>
                <w:lang w:eastAsia="zh-CN"/>
              </w:rPr>
            </w:pPr>
            <w:r w:rsidRPr="008B1FF1">
              <w:rPr>
                <w:rFonts w:asciiTheme="minorHAnsi" w:hAnsiTheme="minorHAnsi" w:cstheme="minorHAnsi"/>
                <w:sz w:val="20"/>
                <w:lang w:eastAsia="zh-CN"/>
              </w:rPr>
              <w:t>管理层制定一份区域代表处主任可批准或否决的具体和详细支出清单。</w:t>
            </w:r>
          </w:p>
        </w:tc>
        <w:tc>
          <w:tcPr>
            <w:tcW w:w="1750" w:type="pct"/>
            <w:shd w:val="clear" w:color="auto" w:fill="auto"/>
          </w:tcPr>
          <w:p w14:paraId="1F90E435" w14:textId="6094CBA1"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月的最新进展：视为已实施</w:t>
            </w:r>
          </w:p>
          <w:p w14:paraId="148F7A02"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已获授权的支出清单包含在与区域代表处和地区办事处同事共享的小额现金导则中。任何例外情况均将送交</w:t>
            </w:r>
            <w:r w:rsidRPr="008B1FF1">
              <w:rPr>
                <w:rFonts w:asciiTheme="minorHAnsi" w:hAnsiTheme="minorHAnsi" w:cstheme="minorHAnsi"/>
                <w:sz w:val="20"/>
                <w:lang w:eastAsia="zh-CN"/>
              </w:rPr>
              <w:t>FRMD</w:t>
            </w:r>
            <w:r w:rsidRPr="008B1FF1">
              <w:rPr>
                <w:rFonts w:asciiTheme="minorHAnsi" w:hAnsiTheme="minorHAnsi" w:cstheme="minorHAnsi"/>
                <w:sz w:val="20"/>
                <w:lang w:eastAsia="zh-CN"/>
              </w:rPr>
              <w:t>事先批准。</w:t>
            </w:r>
          </w:p>
          <w:p w14:paraId="47E9E751" w14:textId="5F484D68"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735BF8AC" w14:textId="517F02B3" w:rsidR="002F2E4B" w:rsidRPr="008B1FF1" w:rsidRDefault="002F2E4B" w:rsidP="002F2E4B">
            <w:pPr>
              <w:pStyle w:val="Tabletext"/>
              <w:rPr>
                <w:sz w:val="20"/>
                <w:lang w:eastAsia="zh-CN"/>
              </w:rPr>
            </w:pPr>
            <w:r w:rsidRPr="008B1FF1">
              <w:rPr>
                <w:rFonts w:asciiTheme="minorHAnsi" w:hAnsiTheme="minorHAnsi" w:cstheme="minorHAnsi" w:hint="eastAsia"/>
                <w:sz w:val="20"/>
                <w:lang w:eastAsia="zh-CN"/>
              </w:rPr>
              <w:t>注意到最新的回应并认为是合理的。该建议已完成。</w:t>
            </w:r>
          </w:p>
        </w:tc>
        <w:tc>
          <w:tcPr>
            <w:tcW w:w="450" w:type="pct"/>
            <w:shd w:val="clear" w:color="auto" w:fill="auto"/>
          </w:tcPr>
          <w:p w14:paraId="2A5FCE0E" w14:textId="0ECB99F0" w:rsidR="002F2E4B" w:rsidRPr="008B1FF1" w:rsidRDefault="00A62A5A" w:rsidP="002F2E4B">
            <w:pPr>
              <w:pStyle w:val="Tabletext"/>
              <w:rPr>
                <w:sz w:val="20"/>
                <w:lang w:eastAsia="zh-CN"/>
              </w:rPr>
            </w:pPr>
            <w:r>
              <w:rPr>
                <w:rFonts w:ascii="SimSun" w:eastAsia="SimSun" w:hAnsi="SimSun" w:cs="SimSun" w:hint="eastAsia"/>
                <w:color w:val="000000"/>
                <w:sz w:val="20"/>
                <w:lang w:eastAsia="zh-CN"/>
              </w:rPr>
              <w:t>已关闭。</w:t>
            </w:r>
          </w:p>
        </w:tc>
      </w:tr>
      <w:tr w:rsidR="002F2E4B" w:rsidRPr="00536D01" w14:paraId="4A8AE7AB" w14:textId="77777777" w:rsidTr="0011737E">
        <w:tc>
          <w:tcPr>
            <w:tcW w:w="300" w:type="pct"/>
            <w:shd w:val="clear" w:color="auto" w:fill="auto"/>
          </w:tcPr>
          <w:p w14:paraId="1FCD95A5" w14:textId="77777777" w:rsidR="002F2E4B" w:rsidRPr="008B1FF1" w:rsidRDefault="002F2E4B" w:rsidP="002F2E4B">
            <w:pPr>
              <w:pStyle w:val="Tabletext"/>
              <w:rPr>
                <w:rFonts w:asciiTheme="minorHAnsi" w:hAnsiTheme="minorHAnsi" w:cstheme="minorHAnsi"/>
                <w:sz w:val="20"/>
              </w:rPr>
            </w:pPr>
            <w:r w:rsidRPr="008B1FF1">
              <w:rPr>
                <w:rFonts w:asciiTheme="minorHAnsi" w:hAnsiTheme="minorHAnsi" w:cstheme="minorHAnsi"/>
                <w:sz w:val="20"/>
              </w:rPr>
              <w:t>Rec#</w:t>
            </w:r>
          </w:p>
          <w:p w14:paraId="6D2EF1E9" w14:textId="2CF293F7" w:rsidR="002F2E4B" w:rsidRPr="008B1FF1" w:rsidRDefault="002F2E4B" w:rsidP="002F2E4B">
            <w:pPr>
              <w:pStyle w:val="Tabletext"/>
              <w:rPr>
                <w:sz w:val="20"/>
              </w:rPr>
            </w:pPr>
            <w:r w:rsidRPr="008B1FF1">
              <w:rPr>
                <w:rFonts w:asciiTheme="minorHAnsi" w:hAnsiTheme="minorHAnsi" w:cstheme="minorHAnsi"/>
                <w:sz w:val="20"/>
              </w:rPr>
              <w:t>15/2018</w:t>
            </w:r>
          </w:p>
        </w:tc>
        <w:tc>
          <w:tcPr>
            <w:tcW w:w="1450" w:type="pct"/>
            <w:shd w:val="clear" w:color="auto" w:fill="auto"/>
          </w:tcPr>
          <w:p w14:paraId="3D0378AC" w14:textId="6C9AF9CB" w:rsidR="002F2E4B" w:rsidRPr="008B1FF1" w:rsidRDefault="002F2E4B" w:rsidP="002F2E4B">
            <w:pPr>
              <w:pStyle w:val="Tabletext"/>
              <w:rPr>
                <w:sz w:val="20"/>
                <w:lang w:eastAsia="zh-CN"/>
              </w:rPr>
            </w:pPr>
            <w:r w:rsidRPr="008B1FF1">
              <w:rPr>
                <w:rFonts w:asciiTheme="minorHAnsi" w:hAnsiTheme="minorHAnsi" w:cstheme="minorHAnsi"/>
                <w:sz w:val="20"/>
                <w:lang w:eastAsia="zh-CN"/>
              </w:rPr>
              <w:t>通过准确、稳健和一致的绩效指标建立有效的项目和技术监督，以评估相关出差对国际电联是否必要，并可设立一个独立的单位</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机构来评估出差是否实现了其计划目标</w:t>
            </w:r>
          </w:p>
        </w:tc>
        <w:tc>
          <w:tcPr>
            <w:tcW w:w="1750" w:type="pct"/>
            <w:shd w:val="clear" w:color="auto" w:fill="auto"/>
          </w:tcPr>
          <w:p w14:paraId="5F08C24E"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月的最新进展：在运作规划的规划系统内确定了支持</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年运作规划活动的任务，但由于新冠疫情造成的重大不确定性，尚未制定明确的计划。</w:t>
            </w:r>
          </w:p>
          <w:p w14:paraId="6E1302E6"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月的最新进展：必须提交经批准的出差申请表才能获得电子旅行授权。</w:t>
            </w:r>
            <w:r w:rsidRPr="008B1FF1">
              <w:rPr>
                <w:rFonts w:asciiTheme="minorHAnsi" w:hAnsiTheme="minorHAnsi" w:cstheme="minorHAnsi"/>
                <w:sz w:val="20"/>
                <w:lang w:eastAsia="zh-CN"/>
              </w:rPr>
              <w:t>2024</w:t>
            </w:r>
            <w:r w:rsidRPr="008B1FF1">
              <w:rPr>
                <w:rFonts w:asciiTheme="minorHAnsi" w:hAnsiTheme="minorHAnsi" w:cstheme="minorHAnsi"/>
                <w:sz w:val="20"/>
                <w:lang w:eastAsia="zh-CN"/>
              </w:rPr>
              <w:t>年底，引入新程序，所有差旅都要经管理执行委员会（</w:t>
            </w:r>
            <w:r w:rsidRPr="008B1FF1">
              <w:rPr>
                <w:rFonts w:asciiTheme="minorHAnsi" w:hAnsiTheme="minorHAnsi" w:cstheme="minorHAnsi"/>
                <w:sz w:val="20"/>
                <w:lang w:eastAsia="zh-CN"/>
              </w:rPr>
              <w:t>MEC</w:t>
            </w:r>
            <w:r w:rsidRPr="008B1FF1">
              <w:rPr>
                <w:rFonts w:asciiTheme="minorHAnsi" w:hAnsiTheme="minorHAnsi" w:cstheme="minorHAnsi"/>
                <w:sz w:val="20"/>
                <w:lang w:eastAsia="zh-CN"/>
              </w:rPr>
              <w:t>）批准，该委员会将对职员的职能、目的地和旅行的理由进行特别评估。</w:t>
            </w:r>
          </w:p>
          <w:p w14:paraId="64835752" w14:textId="6A632637"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1DB9D39C" w14:textId="2CD804E7" w:rsidR="002F2E4B" w:rsidRPr="008B1FF1" w:rsidRDefault="002F2E4B" w:rsidP="002F2E4B">
            <w:pPr>
              <w:pStyle w:val="Tabletext"/>
              <w:rPr>
                <w:sz w:val="20"/>
                <w:lang w:eastAsia="zh-CN"/>
              </w:rPr>
            </w:pPr>
            <w:r w:rsidRPr="008B1FF1">
              <w:rPr>
                <w:rFonts w:asciiTheme="minorHAnsi" w:hAnsiTheme="minorHAnsi" w:cstheme="minorHAnsi" w:hint="eastAsia"/>
                <w:sz w:val="20"/>
                <w:lang w:eastAsia="zh-CN"/>
              </w:rPr>
              <w:t>注意到最新的回应并认为是合理的。该建议已完成。</w:t>
            </w:r>
          </w:p>
        </w:tc>
        <w:tc>
          <w:tcPr>
            <w:tcW w:w="450" w:type="pct"/>
            <w:shd w:val="clear" w:color="auto" w:fill="auto"/>
          </w:tcPr>
          <w:p w14:paraId="7CF7D3F2" w14:textId="48C95AF9" w:rsidR="002F2E4B" w:rsidRPr="008B1FF1" w:rsidRDefault="00A62A5A" w:rsidP="002F2E4B">
            <w:pPr>
              <w:pStyle w:val="Tabletext"/>
              <w:rPr>
                <w:sz w:val="20"/>
                <w:lang w:eastAsia="zh-CN"/>
              </w:rPr>
            </w:pPr>
            <w:r>
              <w:rPr>
                <w:rFonts w:ascii="SimSun" w:eastAsia="SimSun" w:hAnsi="SimSun" w:cs="SimSun" w:hint="eastAsia"/>
                <w:color w:val="000000"/>
                <w:sz w:val="20"/>
                <w:lang w:eastAsia="zh-CN"/>
              </w:rPr>
              <w:t>已关闭。</w:t>
            </w:r>
          </w:p>
        </w:tc>
      </w:tr>
      <w:tr w:rsidR="002F2E4B" w:rsidRPr="00536D01" w14:paraId="77DDD9B3" w14:textId="77777777" w:rsidTr="0011737E">
        <w:tc>
          <w:tcPr>
            <w:tcW w:w="300" w:type="pct"/>
            <w:shd w:val="clear" w:color="auto" w:fill="auto"/>
          </w:tcPr>
          <w:p w14:paraId="57AAEF0D" w14:textId="77777777" w:rsidR="002F2E4B" w:rsidRPr="008B1FF1" w:rsidRDefault="002F2E4B" w:rsidP="002F2E4B">
            <w:pPr>
              <w:pStyle w:val="Tabletext"/>
              <w:rPr>
                <w:rFonts w:asciiTheme="minorHAnsi" w:hAnsiTheme="minorHAnsi" w:cstheme="minorHAnsi"/>
                <w:sz w:val="20"/>
              </w:rPr>
            </w:pPr>
            <w:r w:rsidRPr="008B1FF1">
              <w:rPr>
                <w:rFonts w:asciiTheme="minorHAnsi" w:hAnsiTheme="minorHAnsi" w:cstheme="minorHAnsi"/>
                <w:sz w:val="20"/>
              </w:rPr>
              <w:t>Rec#</w:t>
            </w:r>
          </w:p>
          <w:p w14:paraId="1D3A2655" w14:textId="53A1AE19" w:rsidR="002F2E4B" w:rsidRPr="008B1FF1" w:rsidRDefault="002F2E4B" w:rsidP="002F2E4B">
            <w:pPr>
              <w:pStyle w:val="Tabletext"/>
              <w:rPr>
                <w:sz w:val="20"/>
              </w:rPr>
            </w:pPr>
            <w:r w:rsidRPr="008B1FF1">
              <w:rPr>
                <w:rFonts w:asciiTheme="minorHAnsi" w:hAnsiTheme="minorHAnsi" w:cstheme="minorHAnsi"/>
                <w:sz w:val="20"/>
              </w:rPr>
              <w:t xml:space="preserve">16/2018 </w:t>
            </w:r>
          </w:p>
        </w:tc>
        <w:tc>
          <w:tcPr>
            <w:tcW w:w="1450" w:type="pct"/>
            <w:shd w:val="clear" w:color="auto" w:fill="auto"/>
          </w:tcPr>
          <w:p w14:paraId="5ADD43C0" w14:textId="405463BA" w:rsidR="002F2E4B" w:rsidRPr="008B1FF1" w:rsidRDefault="002F2E4B" w:rsidP="002F2E4B">
            <w:pPr>
              <w:pStyle w:val="Tabletext"/>
              <w:rPr>
                <w:sz w:val="20"/>
                <w:lang w:eastAsia="zh-CN"/>
              </w:rPr>
            </w:pPr>
            <w:r w:rsidRPr="008B1FF1">
              <w:rPr>
                <w:rFonts w:asciiTheme="minorHAnsi" w:hAnsiTheme="minorHAnsi" w:cstheme="minorHAnsi"/>
                <w:sz w:val="20"/>
                <w:lang w:eastAsia="zh-CN"/>
              </w:rPr>
              <w:t>为避免可能发生的利益冲突，区域代表处主任和总部在派遣职员前往原籍国之前应认真考虑，同时对所有公务旅行进行充分监督。</w:t>
            </w:r>
          </w:p>
        </w:tc>
        <w:tc>
          <w:tcPr>
            <w:tcW w:w="1750" w:type="pct"/>
            <w:shd w:val="clear" w:color="auto" w:fill="auto"/>
          </w:tcPr>
          <w:p w14:paraId="2E6098B8"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月的最新进展：</w:t>
            </w:r>
          </w:p>
          <w:p w14:paraId="4ACF8B0F"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这种情况不可避免，因为</w:t>
            </w:r>
            <w:r w:rsidRPr="008B1FF1">
              <w:rPr>
                <w:rFonts w:asciiTheme="minorHAnsi" w:hAnsiTheme="minorHAnsi" w:cstheme="minorHAnsi"/>
                <w:sz w:val="20"/>
                <w:lang w:eastAsia="zh-CN"/>
              </w:rPr>
              <w:t>BDT</w:t>
            </w:r>
            <w:r w:rsidRPr="008B1FF1">
              <w:rPr>
                <w:rFonts w:asciiTheme="minorHAnsi" w:hAnsiTheme="minorHAnsi" w:cstheme="minorHAnsi"/>
                <w:sz w:val="20"/>
                <w:lang w:eastAsia="zh-CN"/>
              </w:rPr>
              <w:t>在区域代表处的人员规模较小，而且工作人员的工作非常专业，有时需要出差回原籍国。已向区域代表处主任通报了这一关切，并进行了检查，以确保差旅的合理性，同时有关工作人员意识到在前往本国时有义务保持公正。</w:t>
            </w:r>
            <w:r w:rsidRPr="008B1FF1">
              <w:rPr>
                <w:rFonts w:asciiTheme="minorHAnsi" w:hAnsiTheme="minorHAnsi" w:cstheme="minorHAnsi"/>
                <w:sz w:val="20"/>
                <w:lang w:eastAsia="zh-CN"/>
              </w:rPr>
              <w:t>DDR</w:t>
            </w:r>
            <w:r w:rsidRPr="008B1FF1">
              <w:rPr>
                <w:rFonts w:asciiTheme="minorHAnsi" w:hAnsiTheme="minorHAnsi" w:cstheme="minorHAnsi"/>
                <w:sz w:val="20"/>
                <w:lang w:eastAsia="zh-CN"/>
              </w:rPr>
              <w:t>在差旅审批过程中对这些旅行安排进行定期抽查，方式是直接联系区域代表处以确保旅行是必要的，并与有关工作人员交谈，以确保他们了解自己的责任。</w:t>
            </w:r>
          </w:p>
          <w:p w14:paraId="171696FB"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年的最新进展：</w:t>
            </w:r>
            <w:r w:rsidRPr="008B1FF1">
              <w:rPr>
                <w:rFonts w:asciiTheme="minorHAnsi" w:hAnsiTheme="minorHAnsi" w:cstheme="minorHAnsi"/>
                <w:sz w:val="20"/>
                <w:lang w:eastAsia="zh-CN"/>
              </w:rPr>
              <w:t>2024</w:t>
            </w:r>
            <w:r w:rsidRPr="008B1FF1">
              <w:rPr>
                <w:rFonts w:asciiTheme="minorHAnsi" w:hAnsiTheme="minorHAnsi" w:cstheme="minorHAnsi"/>
                <w:sz w:val="20"/>
                <w:lang w:eastAsia="zh-CN"/>
              </w:rPr>
              <w:t>年底，引入了新程序，所有差旅均经管理执行委员会（</w:t>
            </w:r>
            <w:r w:rsidRPr="008B1FF1">
              <w:rPr>
                <w:rFonts w:asciiTheme="minorHAnsi" w:hAnsiTheme="minorHAnsi" w:cstheme="minorHAnsi"/>
                <w:sz w:val="20"/>
                <w:lang w:eastAsia="zh-CN"/>
              </w:rPr>
              <w:t>MEC</w:t>
            </w:r>
            <w:r w:rsidRPr="008B1FF1">
              <w:rPr>
                <w:rFonts w:asciiTheme="minorHAnsi" w:hAnsiTheme="minorHAnsi" w:cstheme="minorHAnsi"/>
                <w:sz w:val="20"/>
                <w:lang w:eastAsia="zh-CN"/>
              </w:rPr>
              <w:t>）批准，该委员会特别评估了职员的职能、目的地和出差的理由。通过这一批准程序，适当考虑了可能出现的利益冲突，包括涉及到需前往原籍国出差的职员的利益冲突。</w:t>
            </w:r>
          </w:p>
          <w:p w14:paraId="312A466E" w14:textId="58AAD2C7"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3DDCBE68" w14:textId="3CBB548D" w:rsidR="002F2E4B" w:rsidRPr="008B1FF1" w:rsidRDefault="002F2E4B" w:rsidP="002F2E4B">
            <w:pPr>
              <w:pStyle w:val="Tabletext"/>
              <w:rPr>
                <w:sz w:val="20"/>
                <w:lang w:eastAsia="zh-CN"/>
              </w:rPr>
            </w:pPr>
            <w:r w:rsidRPr="008B1FF1">
              <w:rPr>
                <w:rFonts w:asciiTheme="minorHAnsi" w:hAnsiTheme="minorHAnsi" w:cstheme="minorHAnsi" w:hint="eastAsia"/>
                <w:sz w:val="20"/>
                <w:lang w:eastAsia="zh-CN"/>
              </w:rPr>
              <w:t>注意到最新的回应并认为是合理的。该建议已完成。</w:t>
            </w:r>
          </w:p>
        </w:tc>
        <w:tc>
          <w:tcPr>
            <w:tcW w:w="450" w:type="pct"/>
            <w:shd w:val="clear" w:color="auto" w:fill="auto"/>
          </w:tcPr>
          <w:p w14:paraId="58816A74" w14:textId="646FE640" w:rsidR="002F2E4B" w:rsidRPr="008B1FF1" w:rsidRDefault="00A62A5A" w:rsidP="002F2E4B">
            <w:pPr>
              <w:pStyle w:val="Tabletext"/>
              <w:rPr>
                <w:sz w:val="20"/>
                <w:lang w:eastAsia="zh-CN"/>
              </w:rPr>
            </w:pPr>
            <w:r>
              <w:rPr>
                <w:rFonts w:ascii="SimSun" w:eastAsia="SimSun" w:hAnsi="SimSun" w:cs="SimSun" w:hint="eastAsia"/>
                <w:color w:val="000000"/>
                <w:sz w:val="20"/>
                <w:lang w:eastAsia="zh-CN"/>
              </w:rPr>
              <w:t>已关闭。</w:t>
            </w:r>
          </w:p>
        </w:tc>
      </w:tr>
      <w:tr w:rsidR="002F2E4B" w:rsidRPr="00536D01" w14:paraId="3AE7A823" w14:textId="77777777" w:rsidTr="0011737E">
        <w:tc>
          <w:tcPr>
            <w:tcW w:w="300" w:type="pct"/>
            <w:shd w:val="clear" w:color="auto" w:fill="auto"/>
          </w:tcPr>
          <w:p w14:paraId="17B28EFD" w14:textId="77777777" w:rsidR="002F2E4B" w:rsidRPr="008B1FF1" w:rsidRDefault="002F2E4B" w:rsidP="002F2E4B">
            <w:pPr>
              <w:pStyle w:val="Tabletext"/>
              <w:rPr>
                <w:rFonts w:asciiTheme="minorHAnsi" w:hAnsiTheme="minorHAnsi" w:cstheme="minorHAnsi"/>
                <w:sz w:val="20"/>
              </w:rPr>
            </w:pPr>
            <w:r w:rsidRPr="008B1FF1">
              <w:rPr>
                <w:rFonts w:asciiTheme="minorHAnsi" w:hAnsiTheme="minorHAnsi" w:cstheme="minorHAnsi"/>
                <w:sz w:val="20"/>
              </w:rPr>
              <w:lastRenderedPageBreak/>
              <w:t>Rec#</w:t>
            </w:r>
          </w:p>
          <w:p w14:paraId="2F3B117F" w14:textId="382442D2" w:rsidR="002F2E4B" w:rsidRPr="008B1FF1" w:rsidRDefault="002F2E4B" w:rsidP="002F2E4B">
            <w:pPr>
              <w:pStyle w:val="Tabletext"/>
              <w:rPr>
                <w:sz w:val="20"/>
              </w:rPr>
            </w:pPr>
            <w:r w:rsidRPr="008B1FF1">
              <w:rPr>
                <w:rFonts w:asciiTheme="minorHAnsi" w:hAnsiTheme="minorHAnsi" w:cstheme="minorHAnsi"/>
                <w:sz w:val="20"/>
              </w:rPr>
              <w:t xml:space="preserve">17/2018 </w:t>
            </w:r>
          </w:p>
        </w:tc>
        <w:tc>
          <w:tcPr>
            <w:tcW w:w="1450" w:type="pct"/>
            <w:shd w:val="clear" w:color="auto" w:fill="auto"/>
          </w:tcPr>
          <w:p w14:paraId="081AF488" w14:textId="26B73215" w:rsidR="002F2E4B" w:rsidRPr="008B1FF1" w:rsidRDefault="002F2E4B" w:rsidP="002F2E4B">
            <w:pPr>
              <w:pStyle w:val="Tabletext"/>
              <w:rPr>
                <w:sz w:val="20"/>
                <w:lang w:eastAsia="zh-CN"/>
              </w:rPr>
            </w:pPr>
            <w:r w:rsidRPr="008B1FF1">
              <w:rPr>
                <w:rFonts w:asciiTheme="minorHAnsi" w:hAnsiTheme="minorHAnsi" w:cstheme="minorHAnsi"/>
                <w:sz w:val="20"/>
                <w:lang w:eastAsia="zh-CN"/>
              </w:rPr>
              <w:t>管理层迫切需要通过一个系统，通过关键业绩指标并通过具体的作手册、导则和核对清单，监督顾问的活动，提高对人力资源的内部控制水平，特别是在聘用顾问方面，以帮助评估聘用顾问的必要性和对顾问进行事后评估。</w:t>
            </w:r>
          </w:p>
        </w:tc>
        <w:tc>
          <w:tcPr>
            <w:tcW w:w="1750" w:type="pct"/>
            <w:shd w:val="clear" w:color="auto" w:fill="auto"/>
          </w:tcPr>
          <w:p w14:paraId="41DC6589"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月的最新进展：</w:t>
            </w:r>
          </w:p>
          <w:p w14:paraId="3F301262"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视为已落实</w:t>
            </w:r>
          </w:p>
          <w:p w14:paraId="263B3EE9" w14:textId="323E1CBC" w:rsidR="002F2E4B" w:rsidRPr="008B1FF1" w:rsidRDefault="002F2E4B" w:rsidP="002F2E4B">
            <w:pPr>
              <w:pStyle w:val="Tabletext"/>
              <w:rPr>
                <w:sz w:val="20"/>
                <w:lang w:eastAsia="zh-CN"/>
              </w:rPr>
            </w:pPr>
            <w:r w:rsidRPr="008B1FF1">
              <w:rPr>
                <w:rFonts w:asciiTheme="minorHAnsi" w:hAnsiTheme="minorHAnsi" w:cstheme="minorHAnsi"/>
                <w:sz w:val="20"/>
                <w:lang w:eastAsia="zh-CN"/>
              </w:rPr>
              <w:t>XSR – 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7</w:t>
            </w:r>
            <w:r w:rsidRPr="008B1FF1">
              <w:rPr>
                <w:rFonts w:asciiTheme="minorHAnsi" w:hAnsiTheme="minorHAnsi" w:cstheme="minorHAnsi"/>
                <w:sz w:val="20"/>
                <w:lang w:eastAsia="zh-CN"/>
              </w:rPr>
              <w:t>月启动了</w:t>
            </w:r>
            <w:r w:rsidRPr="008B1FF1">
              <w:rPr>
                <w:rFonts w:asciiTheme="minorHAnsi" w:hAnsiTheme="minorHAnsi" w:cstheme="minorHAnsi"/>
                <w:sz w:val="20"/>
                <w:lang w:eastAsia="zh-CN"/>
              </w:rPr>
              <w:t>SSA</w:t>
            </w:r>
            <w:r w:rsidRPr="008B1FF1">
              <w:rPr>
                <w:rFonts w:asciiTheme="minorHAnsi" w:hAnsiTheme="minorHAnsi" w:cstheme="minorHAnsi"/>
                <w:sz w:val="20"/>
                <w:lang w:eastAsia="zh-CN"/>
              </w:rPr>
              <w:t>专家招聘系统（仅限差旅费用）。</w:t>
            </w:r>
          </w:p>
        </w:tc>
        <w:tc>
          <w:tcPr>
            <w:tcW w:w="1050" w:type="pct"/>
            <w:shd w:val="clear" w:color="auto" w:fill="auto"/>
          </w:tcPr>
          <w:p w14:paraId="49E9258B" w14:textId="3D56880A" w:rsidR="002F2E4B" w:rsidRPr="008B1FF1" w:rsidRDefault="002F2E4B" w:rsidP="002F2E4B">
            <w:pPr>
              <w:pStyle w:val="Tabletext"/>
              <w:rPr>
                <w:sz w:val="20"/>
                <w:lang w:eastAsia="zh-CN"/>
              </w:rPr>
            </w:pPr>
            <w:r w:rsidRPr="008B1FF1">
              <w:rPr>
                <w:rFonts w:asciiTheme="minorHAnsi" w:hAnsiTheme="minorHAnsi" w:cstheme="minorHAnsi" w:hint="eastAsia"/>
                <w:sz w:val="20"/>
                <w:lang w:eastAsia="zh-CN"/>
              </w:rPr>
              <w:t>注意到最新的回应并认为是合理的。该建议已完成。</w:t>
            </w:r>
          </w:p>
        </w:tc>
        <w:tc>
          <w:tcPr>
            <w:tcW w:w="450" w:type="pct"/>
            <w:shd w:val="clear" w:color="auto" w:fill="auto"/>
          </w:tcPr>
          <w:p w14:paraId="1052287B" w14:textId="5CC04355" w:rsidR="002F2E4B" w:rsidRPr="008B1FF1" w:rsidRDefault="00A62A5A" w:rsidP="002F2E4B">
            <w:pPr>
              <w:pStyle w:val="Tabletext"/>
              <w:rPr>
                <w:sz w:val="20"/>
                <w:lang w:eastAsia="zh-CN"/>
              </w:rPr>
            </w:pPr>
            <w:r>
              <w:rPr>
                <w:rFonts w:ascii="SimSun" w:eastAsia="SimSun" w:hAnsi="SimSun" w:cs="SimSun" w:hint="eastAsia"/>
                <w:color w:val="000000"/>
                <w:sz w:val="20"/>
                <w:lang w:eastAsia="zh-CN"/>
              </w:rPr>
              <w:t>已关闭。</w:t>
            </w:r>
          </w:p>
        </w:tc>
      </w:tr>
      <w:tr w:rsidR="002F2E4B" w:rsidRPr="00536D01" w14:paraId="3E834105" w14:textId="77777777" w:rsidTr="0011737E">
        <w:tc>
          <w:tcPr>
            <w:tcW w:w="5000" w:type="pct"/>
            <w:gridSpan w:val="5"/>
            <w:shd w:val="clear" w:color="auto" w:fill="auto"/>
          </w:tcPr>
          <w:p w14:paraId="642A1C0E" w14:textId="2832B682" w:rsidR="002F2E4B" w:rsidRPr="008B1FF1" w:rsidRDefault="002F2E4B" w:rsidP="002F2E4B">
            <w:pPr>
              <w:pStyle w:val="Tabletitle"/>
              <w:keepLines/>
              <w:spacing w:before="40" w:after="40"/>
              <w:jc w:val="left"/>
              <w:rPr>
                <w:b w:val="0"/>
                <w:sz w:val="20"/>
                <w:lang w:eastAsia="zh-CN"/>
              </w:rPr>
            </w:pPr>
            <w:r w:rsidRPr="008B1FF1">
              <w:rPr>
                <w:rFonts w:asciiTheme="minorHAnsi" w:hAnsiTheme="minorHAnsi" w:cstheme="minorHAnsi"/>
                <w:b w:val="0"/>
                <w:sz w:val="20"/>
                <w:lang w:eastAsia="zh-CN"/>
              </w:rPr>
              <w:t>特别报告</w:t>
            </w:r>
            <w:r w:rsidRPr="008B1FF1">
              <w:rPr>
                <w:rFonts w:ascii="SimSun" w:eastAsia="SimSun" w:hAnsi="SimSun" w:cstheme="minorHAnsi"/>
                <w:b w:val="0"/>
                <w:sz w:val="20"/>
                <w:lang w:eastAsia="zh-CN"/>
              </w:rPr>
              <w:t>“</w:t>
            </w:r>
            <w:r w:rsidRPr="008B1FF1">
              <w:rPr>
                <w:rFonts w:asciiTheme="minorHAnsi" w:hAnsiTheme="minorHAnsi" w:cstheme="minorHAnsi"/>
                <w:b w:val="0"/>
                <w:sz w:val="20"/>
                <w:lang w:eastAsia="zh-CN"/>
              </w:rPr>
              <w:t>美洲区域代表处</w:t>
            </w:r>
            <w:r w:rsidRPr="008B1FF1">
              <w:rPr>
                <w:rFonts w:ascii="SimSun" w:eastAsia="SimSun" w:hAnsi="SimSun" w:cstheme="minorHAnsi"/>
                <w:b w:val="0"/>
                <w:sz w:val="20"/>
                <w:lang w:eastAsia="zh-CN"/>
              </w:rPr>
              <w:t>”</w:t>
            </w:r>
            <w:r w:rsidRPr="008B1FF1">
              <w:rPr>
                <w:rFonts w:asciiTheme="minorHAnsi" w:hAnsiTheme="minorHAnsi" w:cstheme="minorHAnsi"/>
                <w:b w:val="0"/>
                <w:sz w:val="20"/>
                <w:lang w:eastAsia="zh-CN"/>
              </w:rPr>
              <w:t>：</w:t>
            </w:r>
          </w:p>
        </w:tc>
      </w:tr>
      <w:tr w:rsidR="002F2E4B" w:rsidRPr="00536D01" w14:paraId="6D0D6D6D" w14:textId="77777777" w:rsidTr="0011737E">
        <w:tc>
          <w:tcPr>
            <w:tcW w:w="300" w:type="pct"/>
            <w:shd w:val="clear" w:color="auto" w:fill="auto"/>
          </w:tcPr>
          <w:p w14:paraId="4C6220ED" w14:textId="69A085D9" w:rsidR="002F2E4B" w:rsidRPr="008B1FF1" w:rsidRDefault="002F2E4B" w:rsidP="002F2E4B">
            <w:pPr>
              <w:pStyle w:val="Tablehead"/>
              <w:rPr>
                <w:b w:val="0"/>
                <w:bCs/>
                <w:sz w:val="20"/>
              </w:rPr>
            </w:pPr>
            <w:r w:rsidRPr="008B1FF1">
              <w:rPr>
                <w:rFonts w:asciiTheme="minorHAnsi" w:hAnsiTheme="minorHAnsi" w:cstheme="minorHAnsi"/>
                <w:b w:val="0"/>
                <w:bCs/>
                <w:sz w:val="20"/>
                <w:lang w:eastAsia="zh-CN"/>
              </w:rPr>
              <w:t>序列</w:t>
            </w:r>
          </w:p>
        </w:tc>
        <w:tc>
          <w:tcPr>
            <w:tcW w:w="1450" w:type="pct"/>
            <w:shd w:val="clear" w:color="auto" w:fill="auto"/>
          </w:tcPr>
          <w:p w14:paraId="6B960235" w14:textId="65AC412E" w:rsidR="002F2E4B" w:rsidRPr="008B1FF1" w:rsidRDefault="002F2E4B" w:rsidP="002F2E4B">
            <w:pPr>
              <w:pStyle w:val="Tablehead"/>
              <w:rPr>
                <w:b w:val="0"/>
                <w:sz w:val="20"/>
              </w:rPr>
            </w:pPr>
            <w:proofErr w:type="spellStart"/>
            <w:r w:rsidRPr="008B1FF1">
              <w:rPr>
                <w:rFonts w:asciiTheme="minorHAnsi" w:hAnsiTheme="minorHAnsi" w:cstheme="minorHAnsi" w:hint="eastAsia"/>
                <w:b w:val="0"/>
                <w:sz w:val="20"/>
              </w:rPr>
              <w:t>建议</w:t>
            </w:r>
            <w:proofErr w:type="spellEnd"/>
          </w:p>
        </w:tc>
        <w:tc>
          <w:tcPr>
            <w:tcW w:w="1750" w:type="pct"/>
            <w:shd w:val="clear" w:color="auto" w:fill="auto"/>
          </w:tcPr>
          <w:p w14:paraId="74DF8A7C" w14:textId="60CEEA19" w:rsidR="002F2E4B" w:rsidRPr="008B1FF1" w:rsidRDefault="002F2E4B" w:rsidP="002F2E4B">
            <w:pPr>
              <w:pStyle w:val="Tablehead"/>
              <w:rPr>
                <w:b w:val="0"/>
                <w:sz w:val="20"/>
                <w:lang w:eastAsia="zh-CN"/>
              </w:rPr>
            </w:pPr>
            <w:r w:rsidRPr="008B1FF1">
              <w:rPr>
                <w:rFonts w:asciiTheme="minorHAnsi" w:hAnsiTheme="minorHAnsi" w:cstheme="minorHAnsi"/>
                <w:b w:val="0"/>
                <w:sz w:val="20"/>
                <w:lang w:eastAsia="zh-CN"/>
              </w:rPr>
              <w:t>管理层截至</w:t>
            </w:r>
            <w:r w:rsidRPr="008B1FF1">
              <w:rPr>
                <w:rFonts w:asciiTheme="minorHAnsi" w:hAnsiTheme="minorHAnsi" w:cstheme="minorHAnsi"/>
                <w:b w:val="0"/>
                <w:sz w:val="20"/>
                <w:lang w:eastAsia="zh-CN"/>
              </w:rPr>
              <w:t>2023</w:t>
            </w:r>
            <w:r w:rsidRPr="008B1FF1">
              <w:rPr>
                <w:rFonts w:asciiTheme="minorHAnsi" w:hAnsiTheme="minorHAnsi" w:cstheme="minorHAnsi"/>
                <w:b w:val="0"/>
                <w:sz w:val="20"/>
                <w:lang w:eastAsia="zh-CN"/>
              </w:rPr>
              <w:t>年</w:t>
            </w:r>
            <w:r w:rsidRPr="008B1FF1">
              <w:rPr>
                <w:rFonts w:asciiTheme="minorHAnsi" w:hAnsiTheme="minorHAnsi" w:cstheme="minorHAnsi"/>
                <w:b w:val="0"/>
                <w:sz w:val="20"/>
                <w:lang w:eastAsia="zh-CN"/>
              </w:rPr>
              <w:t>6</w:t>
            </w:r>
            <w:r w:rsidRPr="008B1FF1">
              <w:rPr>
                <w:rFonts w:asciiTheme="minorHAnsi" w:hAnsiTheme="minorHAnsi" w:cstheme="minorHAnsi"/>
                <w:b w:val="0"/>
                <w:sz w:val="20"/>
                <w:lang w:eastAsia="zh-CN"/>
              </w:rPr>
              <w:t>月</w:t>
            </w:r>
            <w:r w:rsidRPr="008B1FF1">
              <w:rPr>
                <w:rFonts w:asciiTheme="minorHAnsi" w:hAnsiTheme="minorHAnsi" w:cstheme="minorHAnsi"/>
                <w:b w:val="0"/>
                <w:sz w:val="20"/>
                <w:lang w:eastAsia="zh-CN"/>
              </w:rPr>
              <w:t>12</w:t>
            </w:r>
            <w:r w:rsidRPr="008B1FF1">
              <w:rPr>
                <w:rFonts w:asciiTheme="minorHAnsi" w:hAnsiTheme="minorHAnsi" w:cstheme="minorHAnsi"/>
                <w:b w:val="0"/>
                <w:sz w:val="20"/>
                <w:lang w:eastAsia="zh-CN"/>
              </w:rPr>
              <w:t>日的答复</w:t>
            </w:r>
          </w:p>
        </w:tc>
        <w:tc>
          <w:tcPr>
            <w:tcW w:w="1050" w:type="pct"/>
            <w:shd w:val="clear" w:color="auto" w:fill="auto"/>
          </w:tcPr>
          <w:p w14:paraId="3ED0B228" w14:textId="77777777" w:rsidR="002F2E4B" w:rsidRPr="008B1FF1" w:rsidRDefault="002F2E4B" w:rsidP="002F2E4B">
            <w:pPr>
              <w:pStyle w:val="Tablehead"/>
              <w:rPr>
                <w:sz w:val="20"/>
                <w:lang w:eastAsia="zh-CN"/>
              </w:rPr>
            </w:pPr>
          </w:p>
        </w:tc>
        <w:tc>
          <w:tcPr>
            <w:tcW w:w="450" w:type="pct"/>
            <w:shd w:val="clear" w:color="auto" w:fill="auto"/>
          </w:tcPr>
          <w:p w14:paraId="674F6CCA" w14:textId="77777777" w:rsidR="002F2E4B" w:rsidRPr="008B1FF1" w:rsidRDefault="002F2E4B" w:rsidP="002F2E4B">
            <w:pPr>
              <w:pStyle w:val="Tablehead"/>
              <w:rPr>
                <w:sz w:val="20"/>
                <w:lang w:eastAsia="zh-CN"/>
              </w:rPr>
            </w:pPr>
          </w:p>
        </w:tc>
      </w:tr>
      <w:tr w:rsidR="002F2E4B" w:rsidRPr="00536D01" w14:paraId="37B37BF5" w14:textId="77777777" w:rsidTr="0011737E">
        <w:tc>
          <w:tcPr>
            <w:tcW w:w="300" w:type="pct"/>
            <w:shd w:val="clear" w:color="auto" w:fill="auto"/>
          </w:tcPr>
          <w:p w14:paraId="372BEBF4" w14:textId="4346D2AA" w:rsidR="002F2E4B" w:rsidRPr="008B1FF1" w:rsidRDefault="002F2E4B" w:rsidP="002F2E4B">
            <w:pPr>
              <w:pStyle w:val="Tabletext"/>
              <w:rPr>
                <w:sz w:val="20"/>
              </w:rPr>
            </w:pPr>
            <w:r w:rsidRPr="008B1FF1">
              <w:rPr>
                <w:rFonts w:asciiTheme="minorHAnsi" w:hAnsiTheme="minorHAnsi" w:cstheme="minorHAnsi"/>
                <w:sz w:val="20"/>
              </w:rPr>
              <w:t>R#1</w:t>
            </w:r>
          </w:p>
        </w:tc>
        <w:tc>
          <w:tcPr>
            <w:tcW w:w="1450" w:type="pct"/>
            <w:shd w:val="clear" w:color="auto" w:fill="auto"/>
          </w:tcPr>
          <w:p w14:paraId="2B07C523" w14:textId="708B5952"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国际电联在</w:t>
            </w:r>
            <w:r w:rsidRPr="008B1FF1">
              <w:rPr>
                <w:rFonts w:asciiTheme="minorHAnsi" w:hAnsiTheme="minorHAnsi" w:cstheme="minorHAnsi"/>
                <w:sz w:val="20"/>
                <w:lang w:eastAsia="zh-CN"/>
              </w:rPr>
              <w:t>ANATEL</w:t>
            </w:r>
            <w:r w:rsidRPr="008B1FF1">
              <w:rPr>
                <w:rFonts w:asciiTheme="minorHAnsi" w:hAnsiTheme="minorHAnsi" w:cstheme="minorHAnsi"/>
                <w:sz w:val="20"/>
                <w:lang w:eastAsia="zh-CN"/>
              </w:rPr>
              <w:t>免费提供的办公楼内办公</w:t>
            </w:r>
            <w:r w:rsidRPr="008B1FF1">
              <w:rPr>
                <w:rFonts w:asciiTheme="minorHAnsi" w:hAnsiTheme="minorHAnsi" w:cstheme="minorHAnsi"/>
                <w:sz w:val="20"/>
                <w:lang w:eastAsia="zh-CN"/>
              </w:rPr>
              <w:t xml:space="preserve"> – </w:t>
            </w:r>
            <w:r w:rsidRPr="008B1FF1">
              <w:rPr>
                <w:rFonts w:asciiTheme="minorHAnsi" w:hAnsiTheme="minorHAnsi" w:cstheme="minorHAnsi"/>
                <w:sz w:val="20"/>
                <w:lang w:eastAsia="zh-CN"/>
              </w:rPr>
              <w:t>应明确区别于国家实体，以尊重联合国机构使命的公正性</w:t>
            </w:r>
          </w:p>
        </w:tc>
        <w:tc>
          <w:tcPr>
            <w:tcW w:w="1750" w:type="pct"/>
            <w:shd w:val="clear" w:color="auto" w:fill="auto"/>
          </w:tcPr>
          <w:p w14:paraId="5A4D7CE6"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国际电联已要求在</w:t>
            </w:r>
            <w:r w:rsidRPr="008B1FF1">
              <w:rPr>
                <w:rFonts w:asciiTheme="minorHAnsi" w:hAnsiTheme="minorHAnsi" w:cstheme="minorHAnsi"/>
                <w:sz w:val="20"/>
                <w:lang w:eastAsia="zh-CN"/>
              </w:rPr>
              <w:t>ANATEL</w:t>
            </w:r>
            <w:r w:rsidRPr="008B1FF1">
              <w:rPr>
                <w:rFonts w:asciiTheme="minorHAnsi" w:hAnsiTheme="minorHAnsi" w:cstheme="minorHAnsi"/>
                <w:sz w:val="20"/>
                <w:lang w:eastAsia="zh-CN"/>
              </w:rPr>
              <w:t>大楼内设置反映国际电联业务的外部标牌。</w:t>
            </w:r>
          </w:p>
          <w:p w14:paraId="69BD5AC5"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关于在大楼内部标识国际电联代表处的问题，国际电联正在与</w:t>
            </w:r>
            <w:r w:rsidRPr="008B1FF1">
              <w:rPr>
                <w:rFonts w:asciiTheme="minorHAnsi" w:hAnsiTheme="minorHAnsi" w:cstheme="minorHAnsi"/>
                <w:sz w:val="20"/>
                <w:lang w:eastAsia="zh-CN"/>
              </w:rPr>
              <w:t>ANATEL</w:t>
            </w:r>
            <w:r w:rsidRPr="008B1FF1">
              <w:rPr>
                <w:rFonts w:asciiTheme="minorHAnsi" w:hAnsiTheme="minorHAnsi" w:cstheme="minorHAnsi"/>
                <w:sz w:val="20"/>
                <w:lang w:eastAsia="zh-CN"/>
              </w:rPr>
              <w:t>的代表进行讨论。这是在</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w:t>
            </w:r>
            <w:r w:rsidRPr="008B1FF1">
              <w:rPr>
                <w:rFonts w:asciiTheme="minorHAnsi" w:hAnsiTheme="minorHAnsi" w:cstheme="minorHAnsi"/>
                <w:sz w:val="20"/>
                <w:lang w:eastAsia="zh-CN"/>
              </w:rPr>
              <w:t>10</w:t>
            </w:r>
            <w:r w:rsidRPr="008B1FF1">
              <w:rPr>
                <w:rFonts w:asciiTheme="minorHAnsi" w:hAnsiTheme="minorHAnsi" w:cstheme="minorHAnsi"/>
                <w:sz w:val="20"/>
                <w:lang w:eastAsia="zh-CN"/>
              </w:rPr>
              <w:t>日至</w:t>
            </w:r>
            <w:r w:rsidRPr="008B1FF1">
              <w:rPr>
                <w:rFonts w:asciiTheme="minorHAnsi" w:hAnsiTheme="minorHAnsi" w:cstheme="minorHAnsi"/>
                <w:sz w:val="20"/>
                <w:lang w:eastAsia="zh-CN"/>
              </w:rPr>
              <w:t>12</w:t>
            </w:r>
            <w:r w:rsidRPr="008B1FF1">
              <w:rPr>
                <w:rFonts w:asciiTheme="minorHAnsi" w:hAnsiTheme="minorHAnsi" w:cstheme="minorHAnsi"/>
                <w:sz w:val="20"/>
                <w:lang w:eastAsia="zh-CN"/>
              </w:rPr>
              <w:t>日进行的国际电联复原力考察的调查结果的背景下讨论的。</w:t>
            </w:r>
          </w:p>
          <w:p w14:paraId="205021E4"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月的最新进展：有一个明显的国际电联标志标识了办公场所。此外，</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年，国际电联安全、安保和复原力处（</w:t>
            </w:r>
            <w:r w:rsidRPr="008B1FF1">
              <w:rPr>
                <w:rFonts w:asciiTheme="minorHAnsi" w:hAnsiTheme="minorHAnsi" w:cstheme="minorHAnsi"/>
                <w:sz w:val="20"/>
                <w:lang w:eastAsia="zh-CN"/>
              </w:rPr>
              <w:t>SSRD</w:t>
            </w:r>
            <w:r w:rsidRPr="008B1FF1">
              <w:rPr>
                <w:rFonts w:asciiTheme="minorHAnsi" w:hAnsiTheme="minorHAnsi" w:cstheme="minorHAnsi"/>
                <w:sz w:val="20"/>
                <w:lang w:eastAsia="zh-CN"/>
              </w:rPr>
              <w:t>）对美洲区域代表处进行了安保评估团（</w:t>
            </w:r>
            <w:r w:rsidRPr="008B1FF1">
              <w:rPr>
                <w:rFonts w:asciiTheme="minorHAnsi" w:hAnsiTheme="minorHAnsi" w:cstheme="minorHAnsi"/>
                <w:sz w:val="20"/>
                <w:lang w:eastAsia="zh-CN"/>
              </w:rPr>
              <w:t>SAM</w:t>
            </w:r>
            <w:r w:rsidRPr="008B1FF1">
              <w:rPr>
                <w:rFonts w:asciiTheme="minorHAnsi" w:hAnsiTheme="minorHAnsi" w:cstheme="minorHAnsi"/>
                <w:sz w:val="20"/>
                <w:lang w:eastAsia="zh-CN"/>
              </w:rPr>
              <w:t>）和业务连续性（</w:t>
            </w:r>
            <w:r w:rsidRPr="008B1FF1">
              <w:rPr>
                <w:rFonts w:asciiTheme="minorHAnsi" w:hAnsiTheme="minorHAnsi" w:cstheme="minorHAnsi"/>
                <w:sz w:val="20"/>
                <w:lang w:eastAsia="zh-CN"/>
              </w:rPr>
              <w:t>BC</w:t>
            </w:r>
            <w:r w:rsidRPr="008B1FF1">
              <w:rPr>
                <w:rFonts w:asciiTheme="minorHAnsi" w:hAnsiTheme="minorHAnsi" w:cstheme="minorHAnsi"/>
                <w:sz w:val="20"/>
                <w:lang w:eastAsia="zh-CN"/>
              </w:rPr>
              <w:t>）评估。两份报告的建议均在落实之中。</w:t>
            </w:r>
            <w:r w:rsidRPr="008B1FF1">
              <w:rPr>
                <w:rFonts w:asciiTheme="minorHAnsi" w:hAnsiTheme="minorHAnsi" w:cstheme="minorHAnsi"/>
                <w:sz w:val="20"/>
                <w:lang w:eastAsia="zh-CN"/>
              </w:rPr>
              <w:t>SAM</w:t>
            </w:r>
            <w:r w:rsidRPr="008B1FF1">
              <w:rPr>
                <w:rFonts w:asciiTheme="minorHAnsi" w:hAnsiTheme="minorHAnsi" w:cstheme="minorHAnsi"/>
                <w:sz w:val="20"/>
                <w:lang w:eastAsia="zh-CN"/>
              </w:rPr>
              <w:t>报告提到</w:t>
            </w:r>
            <w:r w:rsidRPr="008B1FF1">
              <w:rPr>
                <w:rFonts w:ascii="SimSun" w:eastAsia="SimSun" w:hAnsi="SimSun" w:cstheme="minorHAnsi"/>
                <w:sz w:val="20"/>
                <w:lang w:eastAsia="zh-CN"/>
              </w:rPr>
              <w:t>“</w:t>
            </w:r>
            <w:r w:rsidRPr="008B1FF1">
              <w:rPr>
                <w:rFonts w:asciiTheme="minorHAnsi" w:hAnsiTheme="minorHAnsi" w:cstheme="minorHAnsi"/>
                <w:sz w:val="20"/>
                <w:lang w:eastAsia="zh-CN"/>
              </w:rPr>
              <w:t>国际电联区域代表处位于</w:t>
            </w:r>
            <w:r w:rsidRPr="008B1FF1">
              <w:rPr>
                <w:rFonts w:asciiTheme="minorHAnsi" w:hAnsiTheme="minorHAnsi" w:cstheme="minorHAnsi"/>
                <w:sz w:val="20"/>
                <w:lang w:eastAsia="zh-CN"/>
              </w:rPr>
              <w:t>10</w:t>
            </w:r>
            <w:r w:rsidRPr="008B1FF1">
              <w:rPr>
                <w:rFonts w:asciiTheme="minorHAnsi" w:hAnsiTheme="minorHAnsi" w:cstheme="minorHAnsi"/>
                <w:sz w:val="20"/>
                <w:lang w:eastAsia="zh-CN"/>
              </w:rPr>
              <w:t>楼（共</w:t>
            </w:r>
            <w:r w:rsidRPr="008B1FF1">
              <w:rPr>
                <w:rFonts w:asciiTheme="minorHAnsi" w:hAnsiTheme="minorHAnsi" w:cstheme="minorHAnsi"/>
                <w:sz w:val="20"/>
                <w:lang w:eastAsia="zh-CN"/>
              </w:rPr>
              <w:t>10</w:t>
            </w:r>
            <w:r w:rsidRPr="008B1FF1">
              <w:rPr>
                <w:rFonts w:asciiTheme="minorHAnsi" w:hAnsiTheme="minorHAnsi" w:cstheme="minorHAnsi"/>
                <w:sz w:val="20"/>
                <w:lang w:eastAsia="zh-CN"/>
              </w:rPr>
              <w:t>层）。该楼层可通过位于大楼中央的</w:t>
            </w:r>
            <w:r w:rsidRPr="008B1FF1">
              <w:rPr>
                <w:rFonts w:asciiTheme="minorHAnsi" w:hAnsiTheme="minorHAnsi" w:cstheme="minorHAnsi"/>
                <w:sz w:val="20"/>
                <w:lang w:eastAsia="zh-CN"/>
              </w:rPr>
              <w:t>4</w:t>
            </w:r>
            <w:r w:rsidRPr="008B1FF1">
              <w:rPr>
                <w:rFonts w:asciiTheme="minorHAnsi" w:hAnsiTheme="minorHAnsi" w:cstheme="minorHAnsi"/>
                <w:sz w:val="20"/>
                <w:lang w:eastAsia="zh-CN"/>
              </w:rPr>
              <w:t>部电梯和第五部电梯进入。从</w:t>
            </w:r>
            <w:r w:rsidRPr="008B1FF1">
              <w:rPr>
                <w:rFonts w:asciiTheme="minorHAnsi" w:hAnsiTheme="minorHAnsi" w:cstheme="minorHAnsi"/>
                <w:sz w:val="20"/>
                <w:lang w:eastAsia="zh-CN"/>
              </w:rPr>
              <w:t>4</w:t>
            </w:r>
            <w:r w:rsidRPr="008B1FF1">
              <w:rPr>
                <w:rFonts w:asciiTheme="minorHAnsi" w:hAnsiTheme="minorHAnsi" w:cstheme="minorHAnsi"/>
                <w:sz w:val="20"/>
                <w:lang w:eastAsia="zh-CN"/>
              </w:rPr>
              <w:t>部主电梯，工作人员通过一扇配有</w:t>
            </w:r>
            <w:r w:rsidRPr="008B1FF1">
              <w:rPr>
                <w:rFonts w:asciiTheme="minorHAnsi" w:hAnsiTheme="minorHAnsi" w:cstheme="minorHAnsi"/>
                <w:sz w:val="20"/>
                <w:lang w:eastAsia="zh-CN"/>
              </w:rPr>
              <w:t>HID</w:t>
            </w:r>
            <w:r w:rsidRPr="008B1FF1">
              <w:rPr>
                <w:rFonts w:asciiTheme="minorHAnsi" w:hAnsiTheme="minorHAnsi" w:cstheme="minorHAnsi"/>
                <w:sz w:val="20"/>
                <w:lang w:eastAsia="zh-CN"/>
              </w:rPr>
              <w:t>阅读器的门进入办公室。该报告还强调，国际电联要想进一步在</w:t>
            </w:r>
            <w:r w:rsidRPr="008B1FF1">
              <w:rPr>
                <w:rFonts w:asciiTheme="minorHAnsi" w:hAnsiTheme="minorHAnsi" w:cstheme="minorHAnsi"/>
                <w:sz w:val="20"/>
                <w:lang w:eastAsia="zh-CN"/>
              </w:rPr>
              <w:t>ANATEL</w:t>
            </w:r>
            <w:r w:rsidRPr="008B1FF1">
              <w:rPr>
                <w:rFonts w:asciiTheme="minorHAnsi" w:hAnsiTheme="minorHAnsi" w:cstheme="minorHAnsi"/>
                <w:sz w:val="20"/>
                <w:lang w:eastAsia="zh-CN"/>
              </w:rPr>
              <w:t>大楼中成为一个独立的领域，这将通过</w:t>
            </w:r>
            <w:r w:rsidRPr="008B1FF1">
              <w:rPr>
                <w:rFonts w:asciiTheme="minorHAnsi" w:hAnsiTheme="minorHAnsi" w:cstheme="minorHAnsi"/>
                <w:sz w:val="20"/>
                <w:lang w:eastAsia="zh-CN"/>
              </w:rPr>
              <w:t>Ubiquiti</w:t>
            </w:r>
            <w:r w:rsidRPr="008B1FF1">
              <w:rPr>
                <w:rFonts w:asciiTheme="minorHAnsi" w:hAnsiTheme="minorHAnsi" w:cstheme="minorHAnsi"/>
                <w:sz w:val="20"/>
                <w:lang w:eastAsia="zh-CN"/>
              </w:rPr>
              <w:t>装置（访问控制和摄像系统，包括服务器机房）来完成，这些装置将在</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w:t>
            </w:r>
            <w:r w:rsidRPr="008B1FF1">
              <w:rPr>
                <w:rFonts w:asciiTheme="minorHAnsi" w:hAnsiTheme="minorHAnsi" w:cstheme="minorHAnsi"/>
                <w:sz w:val="20"/>
                <w:lang w:eastAsia="zh-CN"/>
              </w:rPr>
              <w:t>2</w:t>
            </w:r>
            <w:r w:rsidRPr="008B1FF1">
              <w:rPr>
                <w:rFonts w:asciiTheme="minorHAnsi" w:hAnsiTheme="minorHAnsi" w:cstheme="minorHAnsi"/>
                <w:sz w:val="20"/>
                <w:lang w:eastAsia="zh-CN"/>
              </w:rPr>
              <w:t>日至</w:t>
            </w:r>
            <w:r w:rsidRPr="008B1FF1">
              <w:rPr>
                <w:rFonts w:asciiTheme="minorHAnsi" w:hAnsiTheme="minorHAnsi" w:cstheme="minorHAnsi"/>
                <w:sz w:val="20"/>
                <w:lang w:eastAsia="zh-CN"/>
              </w:rPr>
              <w:t>4</w:t>
            </w:r>
            <w:r w:rsidRPr="008B1FF1">
              <w:rPr>
                <w:rFonts w:asciiTheme="minorHAnsi" w:hAnsiTheme="minorHAnsi" w:cstheme="minorHAnsi"/>
                <w:sz w:val="20"/>
                <w:lang w:eastAsia="zh-CN"/>
              </w:rPr>
              <w:t>日的出差任务期间安装到位（出差任务已经安排和批准）。这是在国际电联大部分日内瓦以外的办事处已经安装的安保设备，总部对其进行监控，不仅识别，而且有效确保国际电联办公场所作为独立实体存在。</w:t>
            </w:r>
          </w:p>
          <w:p w14:paraId="582F7DB6" w14:textId="3D30F800"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国际电联建议该项工作正在进行中。</w:t>
            </w:r>
          </w:p>
        </w:tc>
        <w:tc>
          <w:tcPr>
            <w:tcW w:w="1050" w:type="pct"/>
            <w:shd w:val="clear" w:color="auto" w:fill="auto"/>
          </w:tcPr>
          <w:p w14:paraId="30F6A74E" w14:textId="13A3BF3E" w:rsidR="002F2E4B" w:rsidRPr="008B1FF1" w:rsidRDefault="002F2E4B" w:rsidP="002F2E4B">
            <w:pPr>
              <w:pStyle w:val="Tabletext"/>
              <w:rPr>
                <w:sz w:val="20"/>
                <w:lang w:eastAsia="zh-CN"/>
              </w:rPr>
            </w:pPr>
            <w:r w:rsidRPr="008B1FF1">
              <w:rPr>
                <w:rFonts w:asciiTheme="minorHAnsi" w:hAnsiTheme="minorHAnsi" w:cstheme="minorHAnsi"/>
                <w:sz w:val="20"/>
                <w:lang w:eastAsia="zh-CN"/>
              </w:rPr>
              <w:t>将最新回应记录在案。</w:t>
            </w:r>
          </w:p>
        </w:tc>
        <w:tc>
          <w:tcPr>
            <w:tcW w:w="450" w:type="pct"/>
            <w:shd w:val="clear" w:color="auto" w:fill="auto"/>
          </w:tcPr>
          <w:p w14:paraId="017D1C4E" w14:textId="0167B47A" w:rsidR="002F2E4B" w:rsidRPr="008B1FF1" w:rsidRDefault="004264B1" w:rsidP="002F2E4B">
            <w:pPr>
              <w:pStyle w:val="Tabletext"/>
              <w:rPr>
                <w:sz w:val="20"/>
                <w:lang w:eastAsia="zh-CN"/>
              </w:rPr>
            </w:pPr>
            <w:r>
              <w:rPr>
                <w:rFonts w:asciiTheme="minorHAnsi" w:hAnsiTheme="minorHAnsi" w:cstheme="minorHAnsi" w:hint="eastAsia"/>
                <w:sz w:val="20"/>
                <w:lang w:eastAsia="zh-CN"/>
              </w:rPr>
              <w:t>落实中。</w:t>
            </w:r>
          </w:p>
        </w:tc>
      </w:tr>
      <w:tr w:rsidR="002F2E4B" w:rsidRPr="00536D01" w14:paraId="110B7CA6" w14:textId="77777777" w:rsidTr="0011737E">
        <w:tc>
          <w:tcPr>
            <w:tcW w:w="300" w:type="pct"/>
            <w:shd w:val="clear" w:color="auto" w:fill="auto"/>
          </w:tcPr>
          <w:p w14:paraId="7BA73281" w14:textId="13594E06" w:rsidR="002F2E4B" w:rsidRPr="008B1FF1" w:rsidRDefault="002F2E4B" w:rsidP="002F2E4B">
            <w:pPr>
              <w:pStyle w:val="Tabletext"/>
              <w:rPr>
                <w:sz w:val="20"/>
              </w:rPr>
            </w:pPr>
            <w:r w:rsidRPr="008B1FF1">
              <w:rPr>
                <w:rFonts w:asciiTheme="minorHAnsi" w:hAnsiTheme="minorHAnsi" w:cstheme="minorHAnsi"/>
                <w:sz w:val="20"/>
              </w:rPr>
              <w:lastRenderedPageBreak/>
              <w:t>R#2</w:t>
            </w:r>
          </w:p>
        </w:tc>
        <w:tc>
          <w:tcPr>
            <w:tcW w:w="1450" w:type="pct"/>
            <w:shd w:val="clear" w:color="auto" w:fill="auto"/>
          </w:tcPr>
          <w:p w14:paraId="584975A0" w14:textId="45E84D0C" w:rsidR="002F2E4B" w:rsidRPr="008B1FF1" w:rsidRDefault="002F2E4B" w:rsidP="002F2E4B">
            <w:pPr>
              <w:pStyle w:val="Tabletext"/>
              <w:rPr>
                <w:sz w:val="20"/>
                <w:lang w:eastAsia="zh-CN"/>
              </w:rPr>
            </w:pPr>
            <w:r w:rsidRPr="008B1FF1">
              <w:rPr>
                <w:rFonts w:asciiTheme="minorHAnsi" w:hAnsiTheme="minorHAnsi" w:cstheme="minorHAnsi"/>
                <w:sz w:val="20"/>
                <w:lang w:eastAsia="zh-CN"/>
              </w:rPr>
              <w:t>采取措施，使区域代表处能够拥有管理其场所和通道的有效权力，以便能够了解谁进入了其场所并有权进入办公室，即使工作人员或人员得到以下机构的委派：</w:t>
            </w:r>
          </w:p>
        </w:tc>
        <w:tc>
          <w:tcPr>
            <w:tcW w:w="1750" w:type="pct"/>
            <w:shd w:val="clear" w:color="auto" w:fill="auto"/>
          </w:tcPr>
          <w:p w14:paraId="73FA712E"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w:t>
            </w:r>
            <w:r w:rsidRPr="008B1FF1">
              <w:rPr>
                <w:rFonts w:asciiTheme="minorHAnsi" w:hAnsiTheme="minorHAnsi" w:cstheme="minorHAnsi"/>
                <w:sz w:val="20"/>
                <w:lang w:eastAsia="zh-CN"/>
              </w:rPr>
              <w:t>10</w:t>
            </w:r>
            <w:r w:rsidRPr="008B1FF1">
              <w:rPr>
                <w:rFonts w:asciiTheme="minorHAnsi" w:hAnsiTheme="minorHAnsi" w:cstheme="minorHAnsi"/>
                <w:sz w:val="20"/>
                <w:lang w:eastAsia="zh-CN"/>
              </w:rPr>
              <w:t>日至</w:t>
            </w:r>
            <w:r w:rsidRPr="008B1FF1">
              <w:rPr>
                <w:rFonts w:asciiTheme="minorHAnsi" w:hAnsiTheme="minorHAnsi" w:cstheme="minorHAnsi"/>
                <w:sz w:val="20"/>
                <w:lang w:eastAsia="zh-CN"/>
              </w:rPr>
              <w:t>12</w:t>
            </w:r>
            <w:r w:rsidRPr="008B1FF1">
              <w:rPr>
                <w:rFonts w:asciiTheme="minorHAnsi" w:hAnsiTheme="minorHAnsi" w:cstheme="minorHAnsi"/>
                <w:sz w:val="20"/>
                <w:lang w:eastAsia="zh-CN"/>
              </w:rPr>
              <w:t>日，国际电联开展了复原力检查任务，包括对巴西代表处进行全面安全审查。</w:t>
            </w:r>
          </w:p>
          <w:p w14:paraId="69D4D823"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该出差考察的建议将在与</w:t>
            </w:r>
            <w:r w:rsidRPr="008B1FF1">
              <w:rPr>
                <w:rFonts w:asciiTheme="minorHAnsi" w:hAnsiTheme="minorHAnsi" w:cstheme="minorHAnsi"/>
                <w:sz w:val="20"/>
                <w:lang w:eastAsia="zh-CN"/>
              </w:rPr>
              <w:t>ANATEL</w:t>
            </w:r>
            <w:r w:rsidRPr="008B1FF1">
              <w:rPr>
                <w:rFonts w:asciiTheme="minorHAnsi" w:hAnsiTheme="minorHAnsi" w:cstheme="minorHAnsi"/>
                <w:sz w:val="20"/>
                <w:lang w:eastAsia="zh-CN"/>
              </w:rPr>
              <w:t>代表协调并符合当地政府的内部规定的情况下，予以通过，以落实这一建议。</w:t>
            </w:r>
          </w:p>
          <w:p w14:paraId="25749C3F"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年，国际电联安全、安保和复原力处（</w:t>
            </w:r>
            <w:r w:rsidRPr="008B1FF1">
              <w:rPr>
                <w:rFonts w:asciiTheme="minorHAnsi" w:hAnsiTheme="minorHAnsi" w:cstheme="minorHAnsi"/>
                <w:sz w:val="20"/>
                <w:lang w:eastAsia="zh-CN"/>
              </w:rPr>
              <w:t>SSRD</w:t>
            </w:r>
            <w:r w:rsidRPr="008B1FF1">
              <w:rPr>
                <w:rFonts w:asciiTheme="minorHAnsi" w:hAnsiTheme="minorHAnsi" w:cstheme="minorHAnsi"/>
                <w:sz w:val="20"/>
                <w:lang w:eastAsia="zh-CN"/>
              </w:rPr>
              <w:t>）对美洲区域代表处进行了安保评估团（</w:t>
            </w:r>
            <w:r w:rsidRPr="008B1FF1">
              <w:rPr>
                <w:rFonts w:asciiTheme="minorHAnsi" w:hAnsiTheme="minorHAnsi" w:cstheme="minorHAnsi"/>
                <w:sz w:val="20"/>
                <w:lang w:eastAsia="zh-CN"/>
              </w:rPr>
              <w:t>SAM</w:t>
            </w:r>
            <w:r w:rsidRPr="008B1FF1">
              <w:rPr>
                <w:rFonts w:asciiTheme="minorHAnsi" w:hAnsiTheme="minorHAnsi" w:cstheme="minorHAnsi"/>
                <w:sz w:val="20"/>
                <w:lang w:eastAsia="zh-CN"/>
              </w:rPr>
              <w:t>）和业务连续性（</w:t>
            </w:r>
            <w:r w:rsidRPr="008B1FF1">
              <w:rPr>
                <w:rFonts w:asciiTheme="minorHAnsi" w:hAnsiTheme="minorHAnsi" w:cstheme="minorHAnsi"/>
                <w:sz w:val="20"/>
                <w:lang w:eastAsia="zh-CN"/>
              </w:rPr>
              <w:t>BC</w:t>
            </w:r>
            <w:r w:rsidRPr="008B1FF1">
              <w:rPr>
                <w:rFonts w:asciiTheme="minorHAnsi" w:hAnsiTheme="minorHAnsi" w:cstheme="minorHAnsi"/>
                <w:sz w:val="20"/>
                <w:lang w:eastAsia="zh-CN"/>
              </w:rPr>
              <w:t>）评估。从安全角度来看，</w:t>
            </w:r>
            <w:r w:rsidRPr="008B1FF1">
              <w:rPr>
                <w:rFonts w:asciiTheme="minorHAnsi" w:hAnsiTheme="minorHAnsi" w:cstheme="minorHAnsi"/>
                <w:sz w:val="20"/>
                <w:lang w:eastAsia="zh-CN"/>
              </w:rPr>
              <w:t>SAM</w:t>
            </w:r>
            <w:r w:rsidRPr="008B1FF1">
              <w:rPr>
                <w:rFonts w:asciiTheme="minorHAnsi" w:hAnsiTheme="minorHAnsi" w:cstheme="minorHAnsi"/>
                <w:sz w:val="20"/>
                <w:lang w:eastAsia="zh-CN"/>
              </w:rPr>
              <w:t>报告提到</w:t>
            </w:r>
            <w:r w:rsidRPr="008B1FF1">
              <w:rPr>
                <w:rFonts w:ascii="SimSun" w:eastAsia="SimSun" w:hAnsi="SimSun" w:cstheme="minorHAnsi"/>
                <w:sz w:val="20"/>
                <w:lang w:eastAsia="zh-CN"/>
              </w:rPr>
              <w:t>“</w:t>
            </w:r>
            <w:r w:rsidRPr="008B1FF1">
              <w:rPr>
                <w:rFonts w:asciiTheme="minorHAnsi" w:hAnsiTheme="minorHAnsi" w:cstheme="minorHAnsi"/>
                <w:sz w:val="20"/>
                <w:lang w:eastAsia="zh-CN"/>
              </w:rPr>
              <w:t>国际电联区域代表处位于</w:t>
            </w:r>
            <w:r w:rsidRPr="008B1FF1">
              <w:rPr>
                <w:rFonts w:asciiTheme="minorHAnsi" w:hAnsiTheme="minorHAnsi" w:cstheme="minorHAnsi"/>
                <w:sz w:val="20"/>
                <w:lang w:eastAsia="zh-CN"/>
              </w:rPr>
              <w:t>10</w:t>
            </w:r>
            <w:r w:rsidRPr="008B1FF1">
              <w:rPr>
                <w:rFonts w:asciiTheme="minorHAnsi" w:hAnsiTheme="minorHAnsi" w:cstheme="minorHAnsi"/>
                <w:sz w:val="20"/>
                <w:lang w:eastAsia="zh-CN"/>
              </w:rPr>
              <w:t>楼（共</w:t>
            </w:r>
            <w:r w:rsidRPr="008B1FF1">
              <w:rPr>
                <w:rFonts w:asciiTheme="minorHAnsi" w:hAnsiTheme="minorHAnsi" w:cstheme="minorHAnsi"/>
                <w:sz w:val="20"/>
                <w:lang w:eastAsia="zh-CN"/>
              </w:rPr>
              <w:t>10</w:t>
            </w:r>
            <w:r w:rsidRPr="008B1FF1">
              <w:rPr>
                <w:rFonts w:asciiTheme="minorHAnsi" w:hAnsiTheme="minorHAnsi" w:cstheme="minorHAnsi"/>
                <w:sz w:val="20"/>
                <w:lang w:eastAsia="zh-CN"/>
              </w:rPr>
              <w:t>层）。该楼层可通过位于大楼中央的</w:t>
            </w:r>
            <w:r w:rsidRPr="008B1FF1">
              <w:rPr>
                <w:rFonts w:asciiTheme="minorHAnsi" w:hAnsiTheme="minorHAnsi" w:cstheme="minorHAnsi"/>
                <w:sz w:val="20"/>
                <w:lang w:eastAsia="zh-CN"/>
              </w:rPr>
              <w:t>4</w:t>
            </w:r>
            <w:r w:rsidRPr="008B1FF1">
              <w:rPr>
                <w:rFonts w:asciiTheme="minorHAnsi" w:hAnsiTheme="minorHAnsi" w:cstheme="minorHAnsi"/>
                <w:sz w:val="20"/>
                <w:lang w:eastAsia="zh-CN"/>
              </w:rPr>
              <w:t>部电梯和第五部电梯进入。从</w:t>
            </w:r>
            <w:r w:rsidRPr="008B1FF1">
              <w:rPr>
                <w:rFonts w:asciiTheme="minorHAnsi" w:hAnsiTheme="minorHAnsi" w:cstheme="minorHAnsi"/>
                <w:sz w:val="20"/>
                <w:lang w:eastAsia="zh-CN"/>
              </w:rPr>
              <w:t>4</w:t>
            </w:r>
            <w:r w:rsidRPr="008B1FF1">
              <w:rPr>
                <w:rFonts w:asciiTheme="minorHAnsi" w:hAnsiTheme="minorHAnsi" w:cstheme="minorHAnsi"/>
                <w:sz w:val="20"/>
                <w:lang w:eastAsia="zh-CN"/>
              </w:rPr>
              <w:t>部主电梯，工作人员通过一扇配有</w:t>
            </w:r>
            <w:r w:rsidRPr="008B1FF1">
              <w:rPr>
                <w:rFonts w:asciiTheme="minorHAnsi" w:hAnsiTheme="minorHAnsi" w:cstheme="minorHAnsi"/>
                <w:sz w:val="20"/>
                <w:lang w:eastAsia="zh-CN"/>
              </w:rPr>
              <w:t>HID</w:t>
            </w:r>
            <w:r w:rsidRPr="008B1FF1">
              <w:rPr>
                <w:rFonts w:asciiTheme="minorHAnsi" w:hAnsiTheme="minorHAnsi" w:cstheme="minorHAnsi"/>
                <w:sz w:val="20"/>
                <w:lang w:eastAsia="zh-CN"/>
              </w:rPr>
              <w:t>阅读器的门进入办公室。该系统将升级为</w:t>
            </w:r>
            <w:r w:rsidRPr="008B1FF1">
              <w:rPr>
                <w:rFonts w:asciiTheme="minorHAnsi" w:hAnsiTheme="minorHAnsi" w:cstheme="minorHAnsi"/>
                <w:sz w:val="20"/>
                <w:lang w:eastAsia="zh-CN"/>
              </w:rPr>
              <w:t>Ubiquiti</w:t>
            </w:r>
            <w:r w:rsidRPr="008B1FF1">
              <w:rPr>
                <w:rFonts w:asciiTheme="minorHAnsi" w:hAnsiTheme="minorHAnsi" w:cstheme="minorHAnsi"/>
                <w:sz w:val="20"/>
                <w:lang w:eastAsia="zh-CN"/>
              </w:rPr>
              <w:t>装置（访问控制和摄像系统，包括服务器机房），这些装置将在</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w:t>
            </w:r>
            <w:r w:rsidRPr="008B1FF1">
              <w:rPr>
                <w:rFonts w:asciiTheme="minorHAnsi" w:hAnsiTheme="minorHAnsi" w:cstheme="minorHAnsi"/>
                <w:sz w:val="20"/>
                <w:lang w:eastAsia="zh-CN"/>
              </w:rPr>
              <w:t>2</w:t>
            </w:r>
            <w:r w:rsidRPr="008B1FF1">
              <w:rPr>
                <w:rFonts w:asciiTheme="minorHAnsi" w:hAnsiTheme="minorHAnsi" w:cstheme="minorHAnsi"/>
                <w:sz w:val="20"/>
                <w:lang w:eastAsia="zh-CN"/>
              </w:rPr>
              <w:t>日至</w:t>
            </w:r>
            <w:r w:rsidRPr="008B1FF1">
              <w:rPr>
                <w:rFonts w:asciiTheme="minorHAnsi" w:hAnsiTheme="minorHAnsi" w:cstheme="minorHAnsi"/>
                <w:sz w:val="20"/>
                <w:lang w:eastAsia="zh-CN"/>
              </w:rPr>
              <w:t>4</w:t>
            </w:r>
            <w:r w:rsidRPr="008B1FF1">
              <w:rPr>
                <w:rFonts w:asciiTheme="minorHAnsi" w:hAnsiTheme="minorHAnsi" w:cstheme="minorHAnsi"/>
                <w:sz w:val="20"/>
                <w:lang w:eastAsia="zh-CN"/>
              </w:rPr>
              <w:t>日的出差任务期间安装到位（出差任务已经安排和批准）。这与国际电联多数日内瓦以外的办事处已安装并由总部支持和维护的安全设备和系统相同。</w:t>
            </w:r>
          </w:p>
          <w:p w14:paraId="0937324A" w14:textId="059AD516"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2590FCE7" w14:textId="71EDDE01" w:rsidR="002F2E4B" w:rsidRPr="008B1FF1" w:rsidRDefault="002F2E4B" w:rsidP="002F2E4B">
            <w:pPr>
              <w:pStyle w:val="Tabletext"/>
              <w:rPr>
                <w:sz w:val="20"/>
                <w:lang w:eastAsia="zh-CN"/>
              </w:rPr>
            </w:pPr>
            <w:r w:rsidRPr="008B1FF1">
              <w:rPr>
                <w:rFonts w:asciiTheme="minorHAnsi" w:hAnsiTheme="minorHAnsi" w:cstheme="minorHAnsi" w:hint="eastAsia"/>
                <w:sz w:val="20"/>
                <w:lang w:eastAsia="zh-CN"/>
              </w:rPr>
              <w:t>将最新回复记录在案，我们将确认明年计划考察的成果，并有望完成该建议。</w:t>
            </w:r>
          </w:p>
        </w:tc>
        <w:tc>
          <w:tcPr>
            <w:tcW w:w="450" w:type="pct"/>
            <w:shd w:val="clear" w:color="auto" w:fill="auto"/>
          </w:tcPr>
          <w:p w14:paraId="4642F05A" w14:textId="0685D533" w:rsidR="002F2E4B" w:rsidRPr="008B1FF1" w:rsidRDefault="004264B1" w:rsidP="002F2E4B">
            <w:pPr>
              <w:pStyle w:val="Tabletext"/>
              <w:rPr>
                <w:sz w:val="20"/>
                <w:lang w:eastAsia="zh-CN"/>
              </w:rPr>
            </w:pPr>
            <w:r>
              <w:rPr>
                <w:rFonts w:asciiTheme="minorHAnsi" w:hAnsiTheme="minorHAnsi" w:cstheme="minorHAnsi" w:hint="eastAsia"/>
                <w:sz w:val="20"/>
                <w:lang w:eastAsia="zh-CN"/>
              </w:rPr>
              <w:t>落实中。</w:t>
            </w:r>
          </w:p>
        </w:tc>
      </w:tr>
      <w:tr w:rsidR="002F2E4B" w:rsidRPr="00536D01" w14:paraId="4BB99306" w14:textId="77777777" w:rsidTr="0011737E">
        <w:tc>
          <w:tcPr>
            <w:tcW w:w="300" w:type="pct"/>
            <w:shd w:val="clear" w:color="auto" w:fill="auto"/>
          </w:tcPr>
          <w:p w14:paraId="00B99884" w14:textId="15EFA4F4" w:rsidR="002F2E4B" w:rsidRPr="008B1FF1" w:rsidRDefault="002F2E4B" w:rsidP="002F2E4B">
            <w:pPr>
              <w:pStyle w:val="Tabletext"/>
              <w:rPr>
                <w:sz w:val="20"/>
              </w:rPr>
            </w:pPr>
            <w:r w:rsidRPr="008B1FF1">
              <w:rPr>
                <w:rFonts w:asciiTheme="minorHAnsi" w:hAnsiTheme="minorHAnsi" w:cstheme="minorHAnsi"/>
                <w:sz w:val="20"/>
              </w:rPr>
              <w:t>R#3</w:t>
            </w:r>
          </w:p>
        </w:tc>
        <w:tc>
          <w:tcPr>
            <w:tcW w:w="1450" w:type="pct"/>
            <w:shd w:val="clear" w:color="auto" w:fill="auto"/>
          </w:tcPr>
          <w:p w14:paraId="6B1CB9DF" w14:textId="4D08AB8B" w:rsidR="002F2E4B" w:rsidRPr="008B1FF1" w:rsidRDefault="002F2E4B" w:rsidP="002F2E4B">
            <w:pPr>
              <w:pStyle w:val="Tabletext"/>
              <w:rPr>
                <w:sz w:val="20"/>
                <w:lang w:eastAsia="zh-CN"/>
              </w:rPr>
            </w:pPr>
            <w:r w:rsidRPr="008B1FF1">
              <w:rPr>
                <w:rFonts w:asciiTheme="minorHAnsi" w:hAnsiTheme="minorHAnsi" w:cstheme="minorHAnsi"/>
                <w:sz w:val="20"/>
                <w:lang w:eastAsia="zh-CN"/>
              </w:rPr>
              <w:t>修订东道国协议，详细描述授予国际电联的资产和设施，并透明地说明国际电联在控制和保全这些资产方面的权利和义务，如其维护和重置费用。</w:t>
            </w:r>
          </w:p>
        </w:tc>
        <w:tc>
          <w:tcPr>
            <w:tcW w:w="1750" w:type="pct"/>
            <w:shd w:val="clear" w:color="auto" w:fill="auto"/>
          </w:tcPr>
          <w:p w14:paraId="6FDAAF85"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月的最新进展：根据建议发布时发表的意见，经过审议，我们认为，考虑到国际电联与东道国之间的合作工作关系，重新谈判东道国协议可能会造成破坏，特别是考虑到建议提出的问题时。</w:t>
            </w:r>
          </w:p>
          <w:p w14:paraId="308F4261" w14:textId="338C77B4"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02F24A46" w14:textId="57F83F9F" w:rsidR="002F2E4B" w:rsidRPr="008B1FF1" w:rsidRDefault="002F2E4B" w:rsidP="002F2E4B">
            <w:pPr>
              <w:pStyle w:val="Tabletext"/>
              <w:rPr>
                <w:sz w:val="20"/>
                <w:lang w:eastAsia="zh-CN"/>
              </w:rPr>
            </w:pPr>
            <w:r w:rsidRPr="008B1FF1">
              <w:rPr>
                <w:rFonts w:asciiTheme="minorHAnsi" w:hAnsiTheme="minorHAnsi" w:cstheme="minorHAnsi" w:hint="eastAsia"/>
                <w:sz w:val="20"/>
                <w:lang w:eastAsia="zh-CN"/>
              </w:rPr>
              <w:t>注意到最新的回应并认为是合理的。该建议已完成。</w:t>
            </w:r>
          </w:p>
        </w:tc>
        <w:tc>
          <w:tcPr>
            <w:tcW w:w="450" w:type="pct"/>
            <w:shd w:val="clear" w:color="auto" w:fill="auto"/>
          </w:tcPr>
          <w:p w14:paraId="24181A66" w14:textId="0317A704" w:rsidR="002F2E4B" w:rsidRPr="008B1FF1" w:rsidRDefault="00A62A5A" w:rsidP="002F2E4B">
            <w:pPr>
              <w:pStyle w:val="Tabletext"/>
              <w:rPr>
                <w:sz w:val="20"/>
                <w:lang w:eastAsia="zh-CN"/>
              </w:rPr>
            </w:pPr>
            <w:r>
              <w:rPr>
                <w:rFonts w:ascii="SimSun" w:eastAsia="SimSun" w:hAnsi="SimSun" w:cs="SimSun" w:hint="eastAsia"/>
                <w:color w:val="000000"/>
                <w:sz w:val="20"/>
                <w:lang w:eastAsia="zh-CN"/>
              </w:rPr>
              <w:t>已关闭。</w:t>
            </w:r>
          </w:p>
        </w:tc>
      </w:tr>
      <w:tr w:rsidR="002F2E4B" w:rsidRPr="00536D01" w14:paraId="44BC6ED6" w14:textId="77777777" w:rsidTr="0011737E">
        <w:tc>
          <w:tcPr>
            <w:tcW w:w="300" w:type="pct"/>
            <w:shd w:val="clear" w:color="auto" w:fill="auto"/>
          </w:tcPr>
          <w:p w14:paraId="294A211A" w14:textId="28426A00" w:rsidR="002F2E4B" w:rsidRPr="008B1FF1" w:rsidRDefault="002F2E4B" w:rsidP="002F2E4B">
            <w:pPr>
              <w:pStyle w:val="Tabletext"/>
              <w:rPr>
                <w:sz w:val="20"/>
              </w:rPr>
            </w:pPr>
            <w:r w:rsidRPr="008B1FF1">
              <w:rPr>
                <w:rFonts w:asciiTheme="minorHAnsi" w:hAnsiTheme="minorHAnsi" w:cstheme="minorHAnsi"/>
                <w:sz w:val="20"/>
              </w:rPr>
              <w:t>R#7</w:t>
            </w:r>
          </w:p>
        </w:tc>
        <w:tc>
          <w:tcPr>
            <w:tcW w:w="1450" w:type="pct"/>
            <w:shd w:val="clear" w:color="auto" w:fill="auto"/>
          </w:tcPr>
          <w:p w14:paraId="1BE4A6B5" w14:textId="1163D98E" w:rsidR="002F2E4B" w:rsidRPr="008B1FF1" w:rsidRDefault="002F2E4B" w:rsidP="002F2E4B">
            <w:pPr>
              <w:pStyle w:val="Tabletext"/>
              <w:rPr>
                <w:sz w:val="20"/>
                <w:lang w:eastAsia="zh-CN"/>
              </w:rPr>
            </w:pPr>
            <w:r w:rsidRPr="008B1FF1">
              <w:rPr>
                <w:rFonts w:asciiTheme="minorHAnsi" w:hAnsiTheme="minorHAnsi" w:cstheme="minorHAnsi"/>
                <w:sz w:val="20"/>
                <w:lang w:eastAsia="zh-CN"/>
              </w:rPr>
              <w:t>总部和当地办事机构对篡改风险进行适当评估，国际电联采取适当措施，对其在区域总部的服务器进行全面控制（包括安全实体控制）。</w:t>
            </w:r>
          </w:p>
        </w:tc>
        <w:tc>
          <w:tcPr>
            <w:tcW w:w="1750" w:type="pct"/>
            <w:shd w:val="clear" w:color="auto" w:fill="auto"/>
          </w:tcPr>
          <w:p w14:paraId="4AE71D95"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这项建议将在计划对所有区域代表处和地区办事处信息系统进行的审查中予以考虑，该审查将于</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年开始，并将根据可用预算持续到</w:t>
            </w:r>
            <w:r w:rsidRPr="008B1FF1">
              <w:rPr>
                <w:rFonts w:asciiTheme="minorHAnsi" w:hAnsiTheme="minorHAnsi" w:cstheme="minorHAnsi"/>
                <w:sz w:val="20"/>
                <w:lang w:eastAsia="zh-CN"/>
              </w:rPr>
              <w:t>2024</w:t>
            </w:r>
            <w:r w:rsidRPr="008B1FF1">
              <w:rPr>
                <w:rFonts w:asciiTheme="minorHAnsi" w:hAnsiTheme="minorHAnsi" w:cstheme="minorHAnsi"/>
                <w:sz w:val="20"/>
                <w:lang w:eastAsia="zh-CN"/>
              </w:rPr>
              <w:t>年。</w:t>
            </w:r>
          </w:p>
          <w:p w14:paraId="1F66BE03"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年，国际电联安全、安保和复原力处（</w:t>
            </w:r>
            <w:r w:rsidRPr="008B1FF1">
              <w:rPr>
                <w:rFonts w:asciiTheme="minorHAnsi" w:hAnsiTheme="minorHAnsi" w:cstheme="minorHAnsi"/>
                <w:sz w:val="20"/>
                <w:lang w:eastAsia="zh-CN"/>
              </w:rPr>
              <w:t>SSRD</w:t>
            </w:r>
            <w:r w:rsidRPr="008B1FF1">
              <w:rPr>
                <w:rFonts w:asciiTheme="minorHAnsi" w:hAnsiTheme="minorHAnsi" w:cstheme="minorHAnsi"/>
                <w:sz w:val="20"/>
                <w:lang w:eastAsia="zh-CN"/>
              </w:rPr>
              <w:t>）对美洲区域代表处进行了安保评估团（</w:t>
            </w:r>
            <w:r w:rsidRPr="008B1FF1">
              <w:rPr>
                <w:rFonts w:asciiTheme="minorHAnsi" w:hAnsiTheme="minorHAnsi" w:cstheme="minorHAnsi"/>
                <w:sz w:val="20"/>
                <w:lang w:eastAsia="zh-CN"/>
              </w:rPr>
              <w:t>SAM</w:t>
            </w:r>
            <w:r w:rsidRPr="008B1FF1">
              <w:rPr>
                <w:rFonts w:asciiTheme="minorHAnsi" w:hAnsiTheme="minorHAnsi" w:cstheme="minorHAnsi"/>
                <w:sz w:val="20"/>
                <w:lang w:eastAsia="zh-CN"/>
              </w:rPr>
              <w:t>）和业务连续性（</w:t>
            </w:r>
            <w:r w:rsidRPr="008B1FF1">
              <w:rPr>
                <w:rFonts w:asciiTheme="minorHAnsi" w:hAnsiTheme="minorHAnsi" w:cstheme="minorHAnsi"/>
                <w:sz w:val="20"/>
                <w:lang w:eastAsia="zh-CN"/>
              </w:rPr>
              <w:t>BC</w:t>
            </w:r>
            <w:r w:rsidRPr="008B1FF1">
              <w:rPr>
                <w:rFonts w:asciiTheme="minorHAnsi" w:hAnsiTheme="minorHAnsi" w:cstheme="minorHAnsi"/>
                <w:sz w:val="20"/>
                <w:lang w:eastAsia="zh-CN"/>
              </w:rPr>
              <w:t>）评估。</w:t>
            </w:r>
            <w:r w:rsidRPr="008B1FF1">
              <w:rPr>
                <w:rFonts w:asciiTheme="minorHAnsi" w:hAnsiTheme="minorHAnsi" w:cstheme="minorHAnsi"/>
                <w:sz w:val="20"/>
                <w:lang w:eastAsia="zh-CN"/>
              </w:rPr>
              <w:t>SAM</w:t>
            </w:r>
            <w:r w:rsidRPr="008B1FF1">
              <w:rPr>
                <w:rFonts w:asciiTheme="minorHAnsi" w:hAnsiTheme="minorHAnsi" w:cstheme="minorHAnsi"/>
                <w:sz w:val="20"/>
                <w:lang w:eastAsia="zh-CN"/>
              </w:rPr>
              <w:t>报告对办公场所进行了评估。根据</w:t>
            </w:r>
            <w:r w:rsidRPr="008B1FF1">
              <w:rPr>
                <w:rFonts w:asciiTheme="minorHAnsi" w:hAnsiTheme="minorHAnsi" w:cstheme="minorHAnsi"/>
                <w:sz w:val="20"/>
                <w:lang w:eastAsia="zh-CN"/>
              </w:rPr>
              <w:t>SAM</w:t>
            </w:r>
            <w:r w:rsidRPr="008B1FF1">
              <w:rPr>
                <w:rFonts w:asciiTheme="minorHAnsi" w:hAnsiTheme="minorHAnsi" w:cstheme="minorHAnsi"/>
                <w:sz w:val="20"/>
                <w:lang w:eastAsia="zh-CN"/>
              </w:rPr>
              <w:t>，访问控制和监控系统将升级为</w:t>
            </w:r>
            <w:r w:rsidRPr="008B1FF1">
              <w:rPr>
                <w:rFonts w:asciiTheme="minorHAnsi" w:hAnsiTheme="minorHAnsi" w:cstheme="minorHAnsi"/>
                <w:sz w:val="20"/>
                <w:lang w:eastAsia="zh-CN"/>
              </w:rPr>
              <w:t>Ubiquiti</w:t>
            </w:r>
            <w:r w:rsidRPr="008B1FF1">
              <w:rPr>
                <w:rFonts w:asciiTheme="minorHAnsi" w:hAnsiTheme="minorHAnsi" w:cstheme="minorHAnsi"/>
                <w:sz w:val="20"/>
                <w:lang w:eastAsia="zh-CN"/>
              </w:rPr>
              <w:t>装置（访问控制和摄像系统，包括服务器机房），这些装置将在</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w:t>
            </w:r>
            <w:r w:rsidRPr="008B1FF1">
              <w:rPr>
                <w:rFonts w:asciiTheme="minorHAnsi" w:hAnsiTheme="minorHAnsi" w:cstheme="minorHAnsi"/>
                <w:sz w:val="20"/>
                <w:lang w:eastAsia="zh-CN"/>
              </w:rPr>
              <w:t>2</w:t>
            </w:r>
            <w:r w:rsidRPr="008B1FF1">
              <w:rPr>
                <w:rFonts w:asciiTheme="minorHAnsi" w:hAnsiTheme="minorHAnsi" w:cstheme="minorHAnsi"/>
                <w:sz w:val="20"/>
                <w:lang w:eastAsia="zh-CN"/>
              </w:rPr>
              <w:t>日至</w:t>
            </w:r>
            <w:r w:rsidRPr="008B1FF1">
              <w:rPr>
                <w:rFonts w:asciiTheme="minorHAnsi" w:hAnsiTheme="minorHAnsi" w:cstheme="minorHAnsi"/>
                <w:sz w:val="20"/>
                <w:lang w:eastAsia="zh-CN"/>
              </w:rPr>
              <w:t>4</w:t>
            </w:r>
            <w:r w:rsidRPr="008B1FF1">
              <w:rPr>
                <w:rFonts w:asciiTheme="minorHAnsi" w:hAnsiTheme="minorHAnsi" w:cstheme="minorHAnsi"/>
                <w:sz w:val="20"/>
                <w:lang w:eastAsia="zh-CN"/>
              </w:rPr>
              <w:t>日的出差</w:t>
            </w:r>
            <w:r w:rsidRPr="008B1FF1">
              <w:rPr>
                <w:rFonts w:asciiTheme="minorHAnsi" w:hAnsiTheme="minorHAnsi" w:cstheme="minorHAnsi"/>
                <w:sz w:val="20"/>
                <w:lang w:eastAsia="zh-CN"/>
              </w:rPr>
              <w:lastRenderedPageBreak/>
              <w:t>任务期间安装到位（出差任务已经安排和批准）。这是在国际电联大部分日内瓦以外的办事处已经安装的安保设备，总部对其进行监控，不仅识别，而且有效确保国际电联办公场所作为独立实体存在。在风险评估之后，信息安全处将于</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年评估巴西利亚的</w:t>
            </w:r>
            <w:r w:rsidRPr="008B1FF1">
              <w:rPr>
                <w:rFonts w:asciiTheme="minorHAnsi" w:hAnsiTheme="minorHAnsi" w:cstheme="minorHAnsi"/>
                <w:sz w:val="20"/>
                <w:lang w:eastAsia="zh-CN"/>
              </w:rPr>
              <w:t>Ubiquiti</w:t>
            </w:r>
            <w:r w:rsidRPr="008B1FF1">
              <w:rPr>
                <w:rFonts w:asciiTheme="minorHAnsi" w:hAnsiTheme="minorHAnsi" w:cstheme="minorHAnsi"/>
                <w:sz w:val="20"/>
                <w:lang w:eastAsia="zh-CN"/>
              </w:rPr>
              <w:t>系统，作为其正在进行的全球区域代表处和地区办事处对信息技术和其他系统评估的一部分。</w:t>
            </w:r>
          </w:p>
          <w:p w14:paraId="7B0EB6A0" w14:textId="43944D9C"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国际电联建议不再跟进本建议。</w:t>
            </w:r>
          </w:p>
        </w:tc>
        <w:tc>
          <w:tcPr>
            <w:tcW w:w="1050" w:type="pct"/>
            <w:shd w:val="clear" w:color="auto" w:fill="auto"/>
          </w:tcPr>
          <w:p w14:paraId="7E811B05" w14:textId="568E0181" w:rsidR="002F2E4B" w:rsidRPr="008B1FF1" w:rsidRDefault="002F2E4B" w:rsidP="002F2E4B">
            <w:pPr>
              <w:pStyle w:val="Tabletext"/>
              <w:rPr>
                <w:sz w:val="20"/>
                <w:lang w:eastAsia="zh-CN"/>
              </w:rPr>
            </w:pPr>
            <w:r w:rsidRPr="008B1FF1">
              <w:rPr>
                <w:rFonts w:asciiTheme="minorHAnsi" w:hAnsiTheme="minorHAnsi" w:cstheme="minorHAnsi" w:hint="eastAsia"/>
                <w:sz w:val="20"/>
                <w:lang w:eastAsia="zh-CN"/>
              </w:rPr>
              <w:lastRenderedPageBreak/>
              <w:t>将最新回复记录在案，我们将确认明年计划考察的成果，并有望完成该建议。</w:t>
            </w:r>
          </w:p>
        </w:tc>
        <w:tc>
          <w:tcPr>
            <w:tcW w:w="450" w:type="pct"/>
            <w:shd w:val="clear" w:color="auto" w:fill="auto"/>
          </w:tcPr>
          <w:p w14:paraId="39F69B9B" w14:textId="4CFD3B51" w:rsidR="002F2E4B" w:rsidRPr="008B1FF1" w:rsidRDefault="004264B1" w:rsidP="002F2E4B">
            <w:pPr>
              <w:pStyle w:val="Tabletext"/>
              <w:rPr>
                <w:sz w:val="20"/>
                <w:lang w:eastAsia="zh-CN"/>
              </w:rPr>
            </w:pPr>
            <w:r>
              <w:rPr>
                <w:rFonts w:asciiTheme="minorHAnsi" w:hAnsiTheme="minorHAnsi" w:cstheme="minorHAnsi" w:hint="eastAsia"/>
                <w:sz w:val="20"/>
                <w:lang w:eastAsia="zh-CN"/>
              </w:rPr>
              <w:t>落实中。</w:t>
            </w:r>
          </w:p>
        </w:tc>
      </w:tr>
      <w:tr w:rsidR="002F2E4B" w:rsidRPr="00536D01" w14:paraId="06FF4340" w14:textId="77777777" w:rsidTr="0011737E">
        <w:tc>
          <w:tcPr>
            <w:tcW w:w="300" w:type="pct"/>
            <w:shd w:val="clear" w:color="auto" w:fill="auto"/>
          </w:tcPr>
          <w:p w14:paraId="0BF4E64E" w14:textId="63953685" w:rsidR="002F2E4B" w:rsidRPr="008B1FF1" w:rsidRDefault="002F2E4B" w:rsidP="002F2E4B">
            <w:pPr>
              <w:pStyle w:val="Tabletext"/>
              <w:rPr>
                <w:sz w:val="20"/>
              </w:rPr>
            </w:pPr>
            <w:r w:rsidRPr="008B1FF1">
              <w:rPr>
                <w:rFonts w:asciiTheme="minorHAnsi" w:hAnsiTheme="minorHAnsi" w:cstheme="minorHAnsi"/>
                <w:sz w:val="20"/>
              </w:rPr>
              <w:t>R#8</w:t>
            </w:r>
          </w:p>
        </w:tc>
        <w:tc>
          <w:tcPr>
            <w:tcW w:w="1450" w:type="pct"/>
            <w:shd w:val="clear" w:color="auto" w:fill="auto"/>
          </w:tcPr>
          <w:p w14:paraId="4D33FAA7" w14:textId="79460074"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国际电联管理层加强对当地协议和合同的监督，确保遵守国际电联采购规则和一般优秀做法。</w:t>
            </w:r>
          </w:p>
        </w:tc>
        <w:tc>
          <w:tcPr>
            <w:tcW w:w="1750" w:type="pct"/>
            <w:shd w:val="clear" w:color="auto" w:fill="auto"/>
          </w:tcPr>
          <w:p w14:paraId="5F438917"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根据国际电联的《采购手册》，</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9</w:t>
            </w:r>
            <w:r w:rsidRPr="008B1FF1">
              <w:rPr>
                <w:rFonts w:asciiTheme="minorHAnsi" w:hAnsiTheme="minorHAnsi" w:cstheme="minorHAnsi"/>
                <w:sz w:val="20"/>
                <w:lang w:eastAsia="zh-CN"/>
              </w:rPr>
              <w:t>月</w:t>
            </w:r>
            <w:r w:rsidRPr="008B1FF1">
              <w:rPr>
                <w:rFonts w:asciiTheme="minorHAnsi" w:hAnsiTheme="minorHAnsi" w:cstheme="minorHAnsi"/>
                <w:sz w:val="20"/>
                <w:lang w:eastAsia="zh-CN"/>
              </w:rPr>
              <w:t>30</w:t>
            </w:r>
            <w:r w:rsidRPr="008B1FF1">
              <w:rPr>
                <w:rFonts w:asciiTheme="minorHAnsi" w:hAnsiTheme="minorHAnsi" w:cstheme="minorHAnsi"/>
                <w:sz w:val="20"/>
                <w:lang w:eastAsia="zh-CN"/>
              </w:rPr>
              <w:t>日前将对所有本地服务合同进行全面评估。</w:t>
            </w:r>
          </w:p>
          <w:p w14:paraId="3CEF2C18"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12</w:t>
            </w:r>
            <w:r w:rsidRPr="008B1FF1">
              <w:rPr>
                <w:rFonts w:asciiTheme="minorHAnsi" w:hAnsiTheme="minorHAnsi" w:cstheme="minorHAnsi"/>
                <w:sz w:val="20"/>
                <w:lang w:eastAsia="zh-CN"/>
              </w:rPr>
              <w:t>月的最新进展：根据国际电联的《采购手册》，在</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9</w:t>
            </w:r>
            <w:r w:rsidRPr="008B1FF1">
              <w:rPr>
                <w:rFonts w:asciiTheme="minorHAnsi" w:hAnsiTheme="minorHAnsi" w:cstheme="minorHAnsi"/>
                <w:sz w:val="20"/>
                <w:lang w:eastAsia="zh-CN"/>
              </w:rPr>
              <w:t>月</w:t>
            </w:r>
            <w:r w:rsidRPr="008B1FF1">
              <w:rPr>
                <w:rFonts w:asciiTheme="minorHAnsi" w:hAnsiTheme="minorHAnsi" w:cstheme="minorHAnsi"/>
                <w:sz w:val="20"/>
                <w:lang w:eastAsia="zh-CN"/>
              </w:rPr>
              <w:t>30</w:t>
            </w:r>
            <w:r w:rsidRPr="008B1FF1">
              <w:rPr>
                <w:rFonts w:asciiTheme="minorHAnsi" w:hAnsiTheme="minorHAnsi" w:cstheme="minorHAnsi"/>
                <w:sz w:val="20"/>
                <w:lang w:eastAsia="zh-CN"/>
              </w:rPr>
              <w:t>日前对所有本地服务合同进行了全面评估。已完成总部相关服务合同的评估。正在执行区域代表处的本地服务合同。（前采购主管</w:t>
            </w:r>
            <w:r w:rsidRPr="008B1FF1">
              <w:rPr>
                <w:rFonts w:asciiTheme="minorHAnsi" w:hAnsiTheme="minorHAnsi" w:cstheme="minorHAnsi"/>
                <w:sz w:val="20"/>
                <w:lang w:eastAsia="zh-CN"/>
              </w:rPr>
              <w:t xml:space="preserve">Z. </w:t>
            </w:r>
            <w:proofErr w:type="spellStart"/>
            <w:r w:rsidRPr="008B1FF1">
              <w:rPr>
                <w:rFonts w:asciiTheme="minorHAnsi" w:hAnsiTheme="minorHAnsi" w:cstheme="minorHAnsi"/>
                <w:sz w:val="20"/>
                <w:lang w:eastAsia="zh-CN"/>
              </w:rPr>
              <w:t>Cikic</w:t>
            </w:r>
            <w:proofErr w:type="spellEnd"/>
            <w:r w:rsidRPr="008B1FF1">
              <w:rPr>
                <w:rFonts w:asciiTheme="minorHAnsi" w:hAnsiTheme="minorHAnsi" w:cstheme="minorHAnsi"/>
                <w:sz w:val="20"/>
                <w:lang w:eastAsia="zh-CN"/>
              </w:rPr>
              <w:t>，</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12</w:t>
            </w:r>
            <w:r w:rsidRPr="008B1FF1">
              <w:rPr>
                <w:rFonts w:asciiTheme="minorHAnsi" w:hAnsiTheme="minorHAnsi" w:cstheme="minorHAnsi"/>
                <w:sz w:val="20"/>
                <w:lang w:eastAsia="zh-CN"/>
              </w:rPr>
              <w:t>月</w:t>
            </w:r>
            <w:r w:rsidRPr="008B1FF1">
              <w:rPr>
                <w:rFonts w:asciiTheme="minorHAnsi" w:hAnsiTheme="minorHAnsi" w:cstheme="minorHAnsi"/>
                <w:sz w:val="20"/>
                <w:lang w:eastAsia="zh-CN"/>
              </w:rPr>
              <w:t>13</w:t>
            </w:r>
            <w:r w:rsidRPr="008B1FF1">
              <w:rPr>
                <w:rFonts w:asciiTheme="minorHAnsi" w:hAnsiTheme="minorHAnsi" w:cstheme="minorHAnsi"/>
                <w:sz w:val="20"/>
                <w:lang w:eastAsia="zh-CN"/>
              </w:rPr>
              <w:t>日的电子邮件）：</w:t>
            </w:r>
          </w:p>
          <w:p w14:paraId="00B86C98" w14:textId="3E7B6E69"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3E2AAF0D" w14:textId="70821A5E" w:rsidR="002F2E4B" w:rsidRPr="008B1FF1" w:rsidRDefault="002F2E4B" w:rsidP="002F2E4B">
            <w:pPr>
              <w:pStyle w:val="Tabletext"/>
              <w:rPr>
                <w:sz w:val="20"/>
                <w:highlight w:val="yellow"/>
                <w:lang w:eastAsia="zh-CN"/>
              </w:rPr>
            </w:pPr>
            <w:r w:rsidRPr="008B1FF1">
              <w:rPr>
                <w:rFonts w:asciiTheme="minorHAnsi" w:hAnsiTheme="minorHAnsi" w:cstheme="minorHAnsi" w:hint="eastAsia"/>
                <w:sz w:val="20"/>
                <w:lang w:eastAsia="zh-CN"/>
              </w:rPr>
              <w:t>注意到最新的回应并认为是合理的。该建议已完成。</w:t>
            </w:r>
          </w:p>
        </w:tc>
        <w:tc>
          <w:tcPr>
            <w:tcW w:w="450" w:type="pct"/>
            <w:shd w:val="clear" w:color="auto" w:fill="auto"/>
          </w:tcPr>
          <w:p w14:paraId="068A6988" w14:textId="66DF237A" w:rsidR="002F2E4B" w:rsidRPr="008B1FF1" w:rsidRDefault="00A62A5A" w:rsidP="002F2E4B">
            <w:pPr>
              <w:pStyle w:val="Tabletext"/>
              <w:rPr>
                <w:sz w:val="20"/>
                <w:lang w:eastAsia="zh-CN"/>
              </w:rPr>
            </w:pPr>
            <w:r>
              <w:rPr>
                <w:rFonts w:ascii="SimSun" w:eastAsia="SimSun" w:hAnsi="SimSun" w:cs="SimSun" w:hint="eastAsia"/>
                <w:color w:val="000000"/>
                <w:sz w:val="20"/>
                <w:lang w:eastAsia="zh-CN"/>
              </w:rPr>
              <w:t>已关闭。</w:t>
            </w:r>
          </w:p>
        </w:tc>
      </w:tr>
      <w:tr w:rsidR="002F2E4B" w:rsidRPr="00536D01" w14:paraId="79641A54" w14:textId="77777777" w:rsidTr="0011737E">
        <w:tc>
          <w:tcPr>
            <w:tcW w:w="300" w:type="pct"/>
            <w:shd w:val="clear" w:color="auto" w:fill="auto"/>
          </w:tcPr>
          <w:p w14:paraId="09C3B49C" w14:textId="5A6357AE" w:rsidR="002F2E4B" w:rsidRPr="008B1FF1" w:rsidRDefault="002F2E4B" w:rsidP="002F2E4B">
            <w:pPr>
              <w:pStyle w:val="Tabletext"/>
              <w:rPr>
                <w:sz w:val="20"/>
              </w:rPr>
            </w:pPr>
            <w:r w:rsidRPr="008B1FF1">
              <w:rPr>
                <w:rFonts w:asciiTheme="minorHAnsi" w:hAnsiTheme="minorHAnsi" w:cstheme="minorHAnsi"/>
                <w:sz w:val="20"/>
              </w:rPr>
              <w:t>R#9</w:t>
            </w:r>
          </w:p>
        </w:tc>
        <w:tc>
          <w:tcPr>
            <w:tcW w:w="1450" w:type="pct"/>
            <w:shd w:val="clear" w:color="auto" w:fill="auto"/>
          </w:tcPr>
          <w:p w14:paraId="33F48DA7" w14:textId="7C32D77F" w:rsidR="002F2E4B" w:rsidRPr="008B1FF1" w:rsidRDefault="002F2E4B" w:rsidP="002F2E4B">
            <w:pPr>
              <w:pStyle w:val="Tabletext"/>
              <w:rPr>
                <w:sz w:val="20"/>
                <w:lang w:eastAsia="zh-CN"/>
              </w:rPr>
            </w:pPr>
            <w:r w:rsidRPr="008B1FF1">
              <w:rPr>
                <w:rFonts w:asciiTheme="minorHAnsi" w:hAnsiTheme="minorHAnsi" w:cstheme="minorHAnsi"/>
                <w:sz w:val="20"/>
                <w:lang w:eastAsia="zh-CN"/>
              </w:rPr>
              <w:t>采购部门开始对所有当地合同进行有效监督，特别是与同一供应商谈判达成的金额和各种协议中的金额分割。</w:t>
            </w:r>
          </w:p>
        </w:tc>
        <w:tc>
          <w:tcPr>
            <w:tcW w:w="1750" w:type="pct"/>
            <w:shd w:val="clear" w:color="auto" w:fill="auto"/>
          </w:tcPr>
          <w:p w14:paraId="2CE02EF0" w14:textId="6E4E0578"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更新：国际电联确认有关监督当地合同的审计查询，特别是与同一供应商谈判和分摊多份协议的金额相关的风险。尽管本建议的现状评估可能存在差异，但国际电联将加强其年终审查程序。作为年度代表函程序的一部分，将系统地向区域代表处主任提供相关数据，以确定单一供应商的多种资金来源。这将使他们能够评估相关风险，并确认已采取充分的控制措施来缓解与合同拆分或重复工作有关的潜在问题</w:t>
            </w:r>
            <w:r w:rsidR="00DA4FB1">
              <w:rPr>
                <w:rFonts w:asciiTheme="minorHAnsi" w:hAnsiTheme="minorHAnsi" w:cstheme="minorHAnsi" w:hint="eastAsia"/>
                <w:sz w:val="20"/>
                <w:lang w:eastAsia="zh-CN"/>
              </w:rPr>
              <w:t>。</w:t>
            </w:r>
          </w:p>
          <w:p w14:paraId="20C5A755" w14:textId="2F7571F9"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国际电联认为实施工作正在进行中。</w:t>
            </w:r>
          </w:p>
        </w:tc>
        <w:tc>
          <w:tcPr>
            <w:tcW w:w="1050" w:type="pct"/>
            <w:shd w:val="clear" w:color="auto" w:fill="auto"/>
          </w:tcPr>
          <w:p w14:paraId="59B12E89" w14:textId="33BA8118" w:rsidR="002F2E4B" w:rsidRPr="008B1FF1" w:rsidRDefault="002F2E4B" w:rsidP="002F2E4B">
            <w:pPr>
              <w:pStyle w:val="Tabletext"/>
              <w:rPr>
                <w:sz w:val="20"/>
                <w:highlight w:val="yellow"/>
                <w:lang w:eastAsia="zh-CN"/>
              </w:rPr>
            </w:pPr>
            <w:r w:rsidRPr="008B1FF1">
              <w:rPr>
                <w:rFonts w:asciiTheme="minorHAnsi" w:hAnsiTheme="minorHAnsi" w:cstheme="minorHAnsi" w:hint="eastAsia"/>
                <w:sz w:val="20"/>
                <w:lang w:eastAsia="zh-CN"/>
              </w:rPr>
              <w:t>将最新回应记录在案。</w:t>
            </w:r>
          </w:p>
        </w:tc>
        <w:tc>
          <w:tcPr>
            <w:tcW w:w="450" w:type="pct"/>
            <w:shd w:val="clear" w:color="auto" w:fill="auto"/>
          </w:tcPr>
          <w:p w14:paraId="7D53229F" w14:textId="13EA8C16" w:rsidR="002F2E4B" w:rsidRPr="008B1FF1" w:rsidRDefault="004264B1" w:rsidP="002F2E4B">
            <w:pPr>
              <w:pStyle w:val="Tabletext"/>
              <w:rPr>
                <w:sz w:val="20"/>
                <w:highlight w:val="yellow"/>
                <w:lang w:eastAsia="zh-CN"/>
              </w:rPr>
            </w:pPr>
            <w:r>
              <w:rPr>
                <w:rFonts w:asciiTheme="minorHAnsi" w:hAnsiTheme="minorHAnsi" w:cstheme="minorHAnsi" w:hint="eastAsia"/>
                <w:sz w:val="20"/>
                <w:lang w:eastAsia="zh-CN"/>
              </w:rPr>
              <w:t>落实中。</w:t>
            </w:r>
          </w:p>
        </w:tc>
      </w:tr>
      <w:tr w:rsidR="002F2E4B" w:rsidRPr="00536D01" w14:paraId="0B10A318" w14:textId="77777777" w:rsidTr="0011737E">
        <w:tc>
          <w:tcPr>
            <w:tcW w:w="300" w:type="pct"/>
            <w:shd w:val="clear" w:color="auto" w:fill="auto"/>
          </w:tcPr>
          <w:p w14:paraId="1053105D" w14:textId="6CDEFC99" w:rsidR="002F2E4B" w:rsidRPr="008B1FF1" w:rsidRDefault="002F2E4B" w:rsidP="002F2E4B">
            <w:pPr>
              <w:pStyle w:val="Tabletext"/>
              <w:rPr>
                <w:sz w:val="20"/>
              </w:rPr>
            </w:pPr>
            <w:r w:rsidRPr="008B1FF1">
              <w:rPr>
                <w:rFonts w:asciiTheme="minorHAnsi" w:hAnsiTheme="minorHAnsi" w:cstheme="minorHAnsi"/>
                <w:sz w:val="20"/>
              </w:rPr>
              <w:t>R#10</w:t>
            </w:r>
          </w:p>
        </w:tc>
        <w:tc>
          <w:tcPr>
            <w:tcW w:w="1450" w:type="pct"/>
            <w:shd w:val="clear" w:color="auto" w:fill="auto"/>
          </w:tcPr>
          <w:p w14:paraId="5DA77F66" w14:textId="6B9FC486" w:rsidR="002F2E4B" w:rsidRPr="008B1FF1" w:rsidRDefault="002F2E4B" w:rsidP="002F2E4B">
            <w:pPr>
              <w:pStyle w:val="Tabletext"/>
              <w:rPr>
                <w:sz w:val="20"/>
                <w:lang w:eastAsia="zh-CN"/>
              </w:rPr>
            </w:pPr>
            <w:r w:rsidRPr="008B1FF1">
              <w:rPr>
                <w:rFonts w:asciiTheme="minorHAnsi" w:hAnsiTheme="minorHAnsi" w:cstheme="minorHAnsi"/>
                <w:sz w:val="20"/>
                <w:lang w:eastAsia="zh-CN"/>
              </w:rPr>
              <w:t>任何应在本地签署的协议都应由两人签署，例如，一人来自区域职员，一人来自总部。</w:t>
            </w:r>
          </w:p>
        </w:tc>
        <w:tc>
          <w:tcPr>
            <w:tcW w:w="1750" w:type="pct"/>
            <w:shd w:val="clear" w:color="auto" w:fill="auto"/>
          </w:tcPr>
          <w:p w14:paraId="0F6F7681"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根据普华永道区域代表处审查中关于权力下放的建议的实施情况，正在认真审议这项建议。有关实施该进程的决定将于</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12</w:t>
            </w:r>
            <w:r w:rsidRPr="008B1FF1">
              <w:rPr>
                <w:rFonts w:asciiTheme="minorHAnsi" w:hAnsiTheme="minorHAnsi" w:cstheme="minorHAnsi"/>
                <w:sz w:val="20"/>
                <w:lang w:eastAsia="zh-CN"/>
              </w:rPr>
              <w:t>月</w:t>
            </w:r>
            <w:r w:rsidRPr="008B1FF1">
              <w:rPr>
                <w:rFonts w:asciiTheme="minorHAnsi" w:hAnsiTheme="minorHAnsi" w:cstheme="minorHAnsi"/>
                <w:sz w:val="20"/>
                <w:lang w:eastAsia="zh-CN"/>
              </w:rPr>
              <w:t>31</w:t>
            </w:r>
            <w:r w:rsidRPr="008B1FF1">
              <w:rPr>
                <w:rFonts w:asciiTheme="minorHAnsi" w:hAnsiTheme="minorHAnsi" w:cstheme="minorHAnsi"/>
                <w:sz w:val="20"/>
                <w:lang w:eastAsia="zh-CN"/>
              </w:rPr>
              <w:t>日截止。</w:t>
            </w:r>
          </w:p>
          <w:p w14:paraId="4221ECEF"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月的最新进展：制定并实施了电信发展局职权范围内的运营事项权力下放框架。对于具有财务影</w:t>
            </w:r>
            <w:r w:rsidRPr="008B1FF1">
              <w:rPr>
                <w:rFonts w:asciiTheme="minorHAnsi" w:hAnsiTheme="minorHAnsi" w:cstheme="minorHAnsi"/>
                <w:sz w:val="20"/>
                <w:lang w:eastAsia="zh-CN"/>
              </w:rPr>
              <w:lastRenderedPageBreak/>
              <w:t>响的协议，由总部相关官员根据适用的《财务规则和细则》以及相关行政规定进行管理和批准，并视具体事项的协助需要而定。</w:t>
            </w:r>
          </w:p>
          <w:p w14:paraId="370294D5" w14:textId="2A8B5DE6"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国际电联认为实施工作正在进行中。</w:t>
            </w:r>
          </w:p>
        </w:tc>
        <w:tc>
          <w:tcPr>
            <w:tcW w:w="1050" w:type="pct"/>
            <w:shd w:val="clear" w:color="auto" w:fill="auto"/>
          </w:tcPr>
          <w:p w14:paraId="7914870B" w14:textId="2CBB4525" w:rsidR="002F2E4B" w:rsidRPr="008B1FF1" w:rsidRDefault="002F2E4B" w:rsidP="002F2E4B">
            <w:pPr>
              <w:pStyle w:val="Tabletext"/>
              <w:rPr>
                <w:sz w:val="20"/>
                <w:lang w:eastAsia="zh-CN"/>
              </w:rPr>
            </w:pPr>
            <w:r w:rsidRPr="008B1FF1">
              <w:rPr>
                <w:rFonts w:asciiTheme="minorHAnsi" w:hAnsiTheme="minorHAnsi" w:cstheme="minorHAnsi" w:hint="eastAsia"/>
                <w:sz w:val="20"/>
                <w:lang w:eastAsia="zh-CN"/>
              </w:rPr>
              <w:lastRenderedPageBreak/>
              <w:t>将最新回应记录在案。</w:t>
            </w:r>
          </w:p>
        </w:tc>
        <w:tc>
          <w:tcPr>
            <w:tcW w:w="450" w:type="pct"/>
            <w:shd w:val="clear" w:color="auto" w:fill="auto"/>
          </w:tcPr>
          <w:p w14:paraId="238D9EC5" w14:textId="12744370" w:rsidR="002F2E4B" w:rsidRPr="008B1FF1" w:rsidRDefault="004264B1" w:rsidP="002F2E4B">
            <w:pPr>
              <w:pStyle w:val="Tabletext"/>
              <w:rPr>
                <w:sz w:val="20"/>
                <w:lang w:eastAsia="zh-CN"/>
              </w:rPr>
            </w:pPr>
            <w:r>
              <w:rPr>
                <w:rFonts w:asciiTheme="minorHAnsi" w:hAnsiTheme="minorHAnsi" w:cstheme="minorHAnsi" w:hint="eastAsia"/>
                <w:sz w:val="20"/>
                <w:lang w:eastAsia="zh-CN"/>
              </w:rPr>
              <w:t>落实中。</w:t>
            </w:r>
          </w:p>
        </w:tc>
      </w:tr>
      <w:tr w:rsidR="002F2E4B" w:rsidRPr="00536D01" w14:paraId="3A601A1C" w14:textId="77777777" w:rsidTr="0011737E">
        <w:tc>
          <w:tcPr>
            <w:tcW w:w="300" w:type="pct"/>
            <w:shd w:val="clear" w:color="auto" w:fill="auto"/>
          </w:tcPr>
          <w:p w14:paraId="184D73B0" w14:textId="24B05CC7" w:rsidR="002F2E4B" w:rsidRPr="008B1FF1" w:rsidRDefault="002F2E4B" w:rsidP="002F2E4B">
            <w:pPr>
              <w:pStyle w:val="Tabletext"/>
              <w:rPr>
                <w:sz w:val="20"/>
              </w:rPr>
            </w:pPr>
            <w:r w:rsidRPr="008B1FF1">
              <w:rPr>
                <w:rFonts w:asciiTheme="minorHAnsi" w:hAnsiTheme="minorHAnsi" w:cstheme="minorHAnsi"/>
                <w:sz w:val="20"/>
              </w:rPr>
              <w:t>R#11</w:t>
            </w:r>
          </w:p>
        </w:tc>
        <w:tc>
          <w:tcPr>
            <w:tcW w:w="1450" w:type="pct"/>
            <w:shd w:val="clear" w:color="auto" w:fill="auto"/>
          </w:tcPr>
          <w:p w14:paraId="6E5BE19B" w14:textId="5968FCDC" w:rsidR="002F2E4B" w:rsidRPr="008B1FF1" w:rsidRDefault="00DF3E54" w:rsidP="002F2E4B">
            <w:pPr>
              <w:pStyle w:val="Tabletext"/>
              <w:rPr>
                <w:sz w:val="20"/>
                <w:lang w:eastAsia="zh-CN"/>
              </w:rPr>
            </w:pPr>
            <w:r w:rsidRPr="008B1FF1">
              <w:rPr>
                <w:rFonts w:asciiTheme="minorHAnsi" w:hAnsiTheme="minorHAnsi" w:cstheme="minorHAnsi" w:hint="eastAsia"/>
                <w:sz w:val="20"/>
                <w:lang w:eastAsia="zh-CN"/>
              </w:rPr>
              <w:t>(</w:t>
            </w:r>
            <w:proofErr w:type="spellStart"/>
            <w:r w:rsidR="002F2E4B" w:rsidRPr="008B1FF1">
              <w:rPr>
                <w:rFonts w:asciiTheme="minorHAnsi" w:hAnsiTheme="minorHAnsi" w:cstheme="minorHAnsi"/>
                <w:sz w:val="20"/>
                <w:lang w:eastAsia="zh-CN"/>
              </w:rPr>
              <w:t>i</w:t>
            </w:r>
            <w:proofErr w:type="spellEnd"/>
            <w:r w:rsidRPr="008B1FF1">
              <w:rPr>
                <w:rFonts w:asciiTheme="minorHAnsi" w:hAnsiTheme="minorHAnsi" w:cstheme="minorHAnsi" w:hint="eastAsia"/>
                <w:sz w:val="20"/>
                <w:lang w:eastAsia="zh-CN"/>
              </w:rPr>
              <w:t xml:space="preserve">) </w:t>
            </w:r>
            <w:r w:rsidR="002F2E4B" w:rsidRPr="008B1FF1">
              <w:rPr>
                <w:rFonts w:asciiTheme="minorHAnsi" w:hAnsiTheme="minorHAnsi" w:cstheme="minorHAnsi"/>
                <w:sz w:val="20"/>
                <w:lang w:eastAsia="zh-CN"/>
              </w:rPr>
              <w:t>自用当地语言起草报告的最初阶段起，就让国际电联法律部参与进来，</w:t>
            </w:r>
            <w:r w:rsidRPr="008B1FF1">
              <w:rPr>
                <w:rFonts w:asciiTheme="minorHAnsi" w:hAnsiTheme="minorHAnsi" w:cstheme="minorHAnsi" w:hint="eastAsia"/>
                <w:sz w:val="20"/>
                <w:lang w:eastAsia="zh-CN"/>
              </w:rPr>
              <w:t>(</w:t>
            </w:r>
            <w:r w:rsidR="002F2E4B" w:rsidRPr="008B1FF1">
              <w:rPr>
                <w:rFonts w:asciiTheme="minorHAnsi" w:hAnsiTheme="minorHAnsi" w:cstheme="minorHAnsi"/>
                <w:sz w:val="20"/>
                <w:lang w:eastAsia="zh-CN"/>
              </w:rPr>
              <w:t>ii</w:t>
            </w:r>
            <w:r w:rsidRPr="008B1FF1">
              <w:rPr>
                <w:rFonts w:asciiTheme="minorHAnsi" w:hAnsiTheme="minorHAnsi" w:cstheme="minorHAnsi" w:hint="eastAsia"/>
                <w:sz w:val="20"/>
                <w:lang w:eastAsia="zh-CN"/>
              </w:rPr>
              <w:t xml:space="preserve">) </w:t>
            </w:r>
            <w:r w:rsidR="002F2E4B" w:rsidRPr="008B1FF1">
              <w:rPr>
                <w:rFonts w:asciiTheme="minorHAnsi" w:hAnsiTheme="minorHAnsi" w:cstheme="minorHAnsi"/>
                <w:sz w:val="20"/>
                <w:lang w:eastAsia="zh-CN"/>
              </w:rPr>
              <w:t>让联合国驻成员国代表处参与进来，以获得法律方面的帮助；例如，我们知道在巴西利亚有一个联合国办事处，有固定的工作人员，我们认为国际电联可以向它寻求帮助</w:t>
            </w:r>
          </w:p>
        </w:tc>
        <w:tc>
          <w:tcPr>
            <w:tcW w:w="1750" w:type="pct"/>
            <w:shd w:val="clear" w:color="auto" w:fill="auto"/>
          </w:tcPr>
          <w:p w14:paraId="32BC16EC"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根据普华永道区域代表处审查中关于权力下放的建议的实施情况，正在认真审议这项建议。有关实施该进程的决定将于</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12</w:t>
            </w:r>
            <w:r w:rsidRPr="008B1FF1">
              <w:rPr>
                <w:rFonts w:asciiTheme="minorHAnsi" w:hAnsiTheme="minorHAnsi" w:cstheme="minorHAnsi"/>
                <w:sz w:val="20"/>
                <w:lang w:eastAsia="zh-CN"/>
              </w:rPr>
              <w:t>月</w:t>
            </w:r>
            <w:r w:rsidRPr="008B1FF1">
              <w:rPr>
                <w:rFonts w:asciiTheme="minorHAnsi" w:hAnsiTheme="minorHAnsi" w:cstheme="minorHAnsi"/>
                <w:sz w:val="20"/>
                <w:lang w:eastAsia="zh-CN"/>
              </w:rPr>
              <w:t>31</w:t>
            </w:r>
            <w:r w:rsidRPr="008B1FF1">
              <w:rPr>
                <w:rFonts w:asciiTheme="minorHAnsi" w:hAnsiTheme="minorHAnsi" w:cstheme="minorHAnsi"/>
                <w:sz w:val="20"/>
                <w:lang w:eastAsia="zh-CN"/>
              </w:rPr>
              <w:t>日截止。</w:t>
            </w:r>
          </w:p>
          <w:p w14:paraId="74C81DAB"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月的最新进展：制定并实施了电信发展局职权范围内的运营事项权力下放框架。目前，几乎所有合同（包括小额项目）都在寻求相关总部业务部门的输入意见</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批准。</w:t>
            </w:r>
          </w:p>
          <w:p w14:paraId="7A9D22E0" w14:textId="3C272354"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国际电联认为实施工作正在进行中。</w:t>
            </w:r>
          </w:p>
        </w:tc>
        <w:tc>
          <w:tcPr>
            <w:tcW w:w="1050" w:type="pct"/>
            <w:shd w:val="clear" w:color="auto" w:fill="auto"/>
          </w:tcPr>
          <w:p w14:paraId="794FDC70" w14:textId="78050EA8" w:rsidR="002F2E4B" w:rsidRPr="008B1FF1" w:rsidRDefault="002F2E4B" w:rsidP="002F2E4B">
            <w:pPr>
              <w:pStyle w:val="Tabletext"/>
              <w:rPr>
                <w:sz w:val="20"/>
                <w:lang w:eastAsia="zh-CN"/>
              </w:rPr>
            </w:pPr>
            <w:r w:rsidRPr="008B1FF1">
              <w:rPr>
                <w:rFonts w:asciiTheme="minorHAnsi" w:hAnsiTheme="minorHAnsi" w:cstheme="minorHAnsi" w:hint="eastAsia"/>
                <w:sz w:val="20"/>
                <w:lang w:eastAsia="zh-CN"/>
              </w:rPr>
              <w:t>将最新回应记录在案。</w:t>
            </w:r>
          </w:p>
        </w:tc>
        <w:tc>
          <w:tcPr>
            <w:tcW w:w="450" w:type="pct"/>
            <w:shd w:val="clear" w:color="auto" w:fill="auto"/>
          </w:tcPr>
          <w:p w14:paraId="07C8B8A4" w14:textId="27076BE0" w:rsidR="002F2E4B" w:rsidRPr="008B1FF1" w:rsidRDefault="004264B1" w:rsidP="002F2E4B">
            <w:pPr>
              <w:pStyle w:val="Tabletext"/>
              <w:rPr>
                <w:sz w:val="20"/>
                <w:lang w:eastAsia="zh-CN"/>
              </w:rPr>
            </w:pPr>
            <w:r>
              <w:rPr>
                <w:rFonts w:asciiTheme="minorHAnsi" w:hAnsiTheme="minorHAnsi" w:cstheme="minorHAnsi" w:hint="eastAsia"/>
                <w:sz w:val="20"/>
                <w:lang w:eastAsia="zh-CN"/>
              </w:rPr>
              <w:t>落实中。</w:t>
            </w:r>
          </w:p>
        </w:tc>
      </w:tr>
      <w:tr w:rsidR="002F2E4B" w:rsidRPr="00536D01" w14:paraId="3920A899" w14:textId="77777777" w:rsidTr="0011737E">
        <w:tc>
          <w:tcPr>
            <w:tcW w:w="300" w:type="pct"/>
            <w:shd w:val="clear" w:color="auto" w:fill="auto"/>
          </w:tcPr>
          <w:p w14:paraId="13D6764C" w14:textId="398C01AA" w:rsidR="002F2E4B" w:rsidRPr="008B1FF1" w:rsidRDefault="002F2E4B" w:rsidP="002F2E4B">
            <w:pPr>
              <w:pStyle w:val="Tabletext"/>
              <w:rPr>
                <w:sz w:val="20"/>
              </w:rPr>
            </w:pPr>
            <w:r w:rsidRPr="008B1FF1">
              <w:rPr>
                <w:rFonts w:asciiTheme="minorHAnsi" w:hAnsiTheme="minorHAnsi" w:cstheme="minorHAnsi"/>
                <w:sz w:val="20"/>
              </w:rPr>
              <w:t>R#14</w:t>
            </w:r>
          </w:p>
        </w:tc>
        <w:tc>
          <w:tcPr>
            <w:tcW w:w="1450" w:type="pct"/>
            <w:shd w:val="clear" w:color="auto" w:fill="auto"/>
          </w:tcPr>
          <w:p w14:paraId="2584F816" w14:textId="7059CE4A" w:rsidR="002F2E4B" w:rsidRPr="008B1FF1" w:rsidRDefault="002F2E4B" w:rsidP="002F2E4B">
            <w:pPr>
              <w:pStyle w:val="Tabletext"/>
              <w:rPr>
                <w:sz w:val="20"/>
                <w:lang w:eastAsia="zh-CN"/>
              </w:rPr>
            </w:pPr>
            <w:r w:rsidRPr="008B1FF1">
              <w:rPr>
                <w:rFonts w:asciiTheme="minorHAnsi" w:hAnsiTheme="minorHAnsi" w:cstheme="minorHAnsi"/>
                <w:sz w:val="20"/>
                <w:lang w:eastAsia="zh-CN"/>
              </w:rPr>
              <w:t>加强对远程工作的内部控制，例如使用</w:t>
            </w:r>
            <w:r w:rsidRPr="008B1FF1">
              <w:rPr>
                <w:rFonts w:asciiTheme="minorHAnsi" w:hAnsiTheme="minorHAnsi" w:cstheme="minorHAnsi"/>
                <w:sz w:val="20"/>
                <w:lang w:eastAsia="zh-CN"/>
              </w:rPr>
              <w:t>IT</w:t>
            </w:r>
            <w:r w:rsidRPr="008B1FF1">
              <w:rPr>
                <w:rFonts w:asciiTheme="minorHAnsi" w:hAnsiTheme="minorHAnsi" w:cstheme="minorHAnsi"/>
                <w:sz w:val="20"/>
                <w:lang w:eastAsia="zh-CN"/>
              </w:rPr>
              <w:t>工具。</w:t>
            </w:r>
          </w:p>
        </w:tc>
        <w:tc>
          <w:tcPr>
            <w:tcW w:w="1750" w:type="pct"/>
            <w:shd w:val="clear" w:color="auto" w:fill="auto"/>
          </w:tcPr>
          <w:p w14:paraId="3A800600"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根据联合国管理问题高级别委员会（</w:t>
            </w:r>
            <w:r w:rsidRPr="008B1FF1">
              <w:rPr>
                <w:rFonts w:asciiTheme="minorHAnsi" w:hAnsiTheme="minorHAnsi" w:cstheme="minorHAnsi"/>
                <w:sz w:val="20"/>
                <w:lang w:eastAsia="zh-CN"/>
              </w:rPr>
              <w:t>HLCM</w:t>
            </w:r>
            <w:r w:rsidRPr="008B1FF1">
              <w:rPr>
                <w:rFonts w:asciiTheme="minorHAnsi" w:hAnsiTheme="minorHAnsi" w:cstheme="minorHAnsi"/>
                <w:sz w:val="20"/>
                <w:lang w:eastAsia="zh-CN"/>
              </w:rPr>
              <w:t>）在</w:t>
            </w:r>
            <w:r w:rsidRPr="008B1FF1">
              <w:rPr>
                <w:rFonts w:asciiTheme="minorHAnsi" w:hAnsiTheme="minorHAnsi" w:cstheme="minorHAnsi"/>
                <w:sz w:val="20"/>
                <w:lang w:eastAsia="zh-CN"/>
              </w:rPr>
              <w:t>2018</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10</w:t>
            </w:r>
            <w:r w:rsidRPr="008B1FF1">
              <w:rPr>
                <w:rFonts w:asciiTheme="minorHAnsi" w:hAnsiTheme="minorHAnsi" w:cstheme="minorHAnsi"/>
                <w:sz w:val="20"/>
                <w:lang w:eastAsia="zh-CN"/>
              </w:rPr>
              <w:t>月</w:t>
            </w:r>
            <w:r w:rsidRPr="008B1FF1">
              <w:rPr>
                <w:rFonts w:asciiTheme="minorHAnsi" w:hAnsiTheme="minorHAnsi" w:cstheme="minorHAnsi"/>
                <w:sz w:val="20"/>
                <w:lang w:eastAsia="zh-CN"/>
              </w:rPr>
              <w:t>11</w:t>
            </w:r>
            <w:r w:rsidRPr="008B1FF1">
              <w:rPr>
                <w:rFonts w:asciiTheme="minorHAnsi" w:hAnsiTheme="minorHAnsi" w:cstheme="minorHAnsi"/>
                <w:sz w:val="20"/>
                <w:lang w:eastAsia="zh-CN"/>
              </w:rPr>
              <w:t>日第</w:t>
            </w:r>
            <w:r w:rsidRPr="008B1FF1">
              <w:rPr>
                <w:rFonts w:asciiTheme="minorHAnsi" w:hAnsiTheme="minorHAnsi" w:cstheme="minorHAnsi"/>
                <w:sz w:val="20"/>
                <w:lang w:eastAsia="zh-CN"/>
              </w:rPr>
              <w:t>36</w:t>
            </w:r>
            <w:r w:rsidRPr="008B1FF1">
              <w:rPr>
                <w:rFonts w:asciiTheme="minorHAnsi" w:hAnsiTheme="minorHAnsi" w:cstheme="minorHAnsi"/>
                <w:sz w:val="20"/>
                <w:lang w:eastAsia="zh-CN"/>
              </w:rPr>
              <w:t>次会议上通过的个人数据保护和隐私原则，国际电联发布了第</w:t>
            </w:r>
            <w:r w:rsidRPr="008B1FF1">
              <w:rPr>
                <w:rFonts w:asciiTheme="minorHAnsi" w:hAnsiTheme="minorHAnsi" w:cstheme="minorHAnsi"/>
                <w:sz w:val="20"/>
                <w:lang w:eastAsia="zh-CN"/>
              </w:rPr>
              <w:t>20/10</w:t>
            </w:r>
            <w:r w:rsidRPr="008B1FF1">
              <w:rPr>
                <w:rFonts w:asciiTheme="minorHAnsi" w:hAnsiTheme="minorHAnsi" w:cstheme="minorHAnsi"/>
                <w:sz w:val="20"/>
                <w:lang w:eastAsia="zh-CN"/>
              </w:rPr>
              <w:t>号行政规定</w:t>
            </w:r>
            <w:r w:rsidRPr="008B1FF1">
              <w:rPr>
                <w:rFonts w:ascii="SimSun" w:eastAsia="SimSun" w:hAnsi="SimSun" w:cstheme="minorHAnsi"/>
                <w:sz w:val="20"/>
                <w:lang w:eastAsia="zh-CN"/>
              </w:rPr>
              <w:t>“</w:t>
            </w:r>
            <w:r w:rsidRPr="008B1FF1">
              <w:rPr>
                <w:rFonts w:asciiTheme="minorHAnsi" w:hAnsiTheme="minorHAnsi" w:cstheme="minorHAnsi"/>
                <w:sz w:val="20"/>
                <w:lang w:eastAsia="zh-CN"/>
              </w:rPr>
              <w:t>国际电联总部办公场所的物理门禁控制系统（</w:t>
            </w:r>
            <w:r w:rsidRPr="008B1FF1">
              <w:rPr>
                <w:rFonts w:asciiTheme="minorHAnsi" w:hAnsiTheme="minorHAnsi" w:cstheme="minorHAnsi"/>
                <w:sz w:val="20"/>
                <w:lang w:eastAsia="zh-CN"/>
              </w:rPr>
              <w:t>ACS</w:t>
            </w:r>
            <w:r w:rsidRPr="008B1FF1">
              <w:rPr>
                <w:rFonts w:asciiTheme="minorHAnsi" w:hAnsiTheme="minorHAnsi" w:cstheme="minorHAnsi"/>
                <w:sz w:val="20"/>
                <w:lang w:eastAsia="zh-CN"/>
              </w:rPr>
              <w:t>）</w:t>
            </w:r>
            <w:r w:rsidRPr="008B1FF1">
              <w:rPr>
                <w:rFonts w:ascii="SimSun" w:eastAsia="SimSun" w:hAnsi="SimSun" w:cstheme="minorHAnsi"/>
                <w:sz w:val="20"/>
                <w:lang w:eastAsia="zh-CN"/>
              </w:rPr>
              <w:t>”</w:t>
            </w:r>
            <w:r w:rsidRPr="008B1FF1">
              <w:rPr>
                <w:rFonts w:asciiTheme="minorHAnsi" w:hAnsiTheme="minorHAnsi" w:cstheme="minorHAnsi"/>
                <w:sz w:val="20"/>
                <w:lang w:eastAsia="zh-CN"/>
              </w:rPr>
              <w:t>，其中规定</w:t>
            </w:r>
            <w:r w:rsidRPr="008B1FF1">
              <w:rPr>
                <w:rFonts w:ascii="SimSun" w:eastAsia="SimSun" w:hAnsi="SimSun" w:cstheme="minorHAnsi"/>
                <w:sz w:val="20"/>
                <w:lang w:eastAsia="zh-CN"/>
              </w:rPr>
              <w:t>“</w:t>
            </w:r>
            <w:r w:rsidRPr="008B1FF1">
              <w:rPr>
                <w:rFonts w:asciiTheme="minorHAnsi" w:hAnsiTheme="minorHAnsi" w:cstheme="minorHAnsi"/>
                <w:sz w:val="20"/>
                <w:lang w:eastAsia="zh-CN"/>
              </w:rPr>
              <w:t>ACS</w:t>
            </w:r>
            <w:r w:rsidRPr="008B1FF1">
              <w:rPr>
                <w:rFonts w:asciiTheme="minorHAnsi" w:hAnsiTheme="minorHAnsi" w:cstheme="minorHAnsi"/>
                <w:sz w:val="20"/>
                <w:lang w:eastAsia="zh-CN"/>
              </w:rPr>
              <w:t>既不用于分析或监测工作人员个人、代表或访客的出勤情况，也不用于分析或监控工作人员的出勤情况。</w:t>
            </w:r>
            <w:r w:rsidRPr="008B1FF1">
              <w:rPr>
                <w:rFonts w:ascii="SimSun" w:eastAsia="SimSun" w:hAnsi="SimSun" w:cstheme="minorHAnsi"/>
                <w:sz w:val="20"/>
                <w:lang w:eastAsia="zh-CN"/>
              </w:rPr>
              <w:t>”</w:t>
            </w:r>
            <w:r w:rsidRPr="008B1FF1">
              <w:rPr>
                <w:rFonts w:asciiTheme="minorHAnsi" w:hAnsiTheme="minorHAnsi" w:cstheme="minorHAnsi"/>
                <w:sz w:val="20"/>
                <w:lang w:eastAsia="zh-CN"/>
              </w:rPr>
              <w:t>虽然这一行政规定是针对总部运作发布的，但该原则适用于全球所有国际电联员工、代表或访客。</w:t>
            </w:r>
          </w:p>
          <w:p w14:paraId="5C7301EB"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区域代表处主任和地区代表的任务是，根据国际电联实施的自动化远程工作登记系统，确保工作人员在岗。</w:t>
            </w:r>
          </w:p>
          <w:p w14:paraId="431D7EFF"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2024</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9</w:t>
            </w:r>
            <w:r w:rsidRPr="008B1FF1">
              <w:rPr>
                <w:rFonts w:asciiTheme="minorHAnsi" w:hAnsiTheme="minorHAnsi" w:cstheme="minorHAnsi"/>
                <w:sz w:val="20"/>
                <w:lang w:eastAsia="zh-CN"/>
              </w:rPr>
              <w:t>月的最新进展：自</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年以来，远程工作安排已经到位，并得到专用的</w:t>
            </w:r>
            <w:r w:rsidRPr="008B1FF1">
              <w:rPr>
                <w:rFonts w:asciiTheme="minorHAnsi" w:hAnsiTheme="minorHAnsi" w:cstheme="minorHAnsi"/>
                <w:sz w:val="20"/>
                <w:lang w:eastAsia="zh-CN"/>
              </w:rPr>
              <w:t>ERP</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SAP</w:t>
            </w:r>
            <w:r w:rsidRPr="008B1FF1">
              <w:rPr>
                <w:rFonts w:asciiTheme="minorHAnsi" w:hAnsiTheme="minorHAnsi" w:cstheme="minorHAnsi"/>
                <w:sz w:val="20"/>
                <w:lang w:eastAsia="zh-CN"/>
              </w:rPr>
              <w:t>）</w:t>
            </w:r>
            <w:r w:rsidRPr="008B1FF1">
              <w:rPr>
                <w:rFonts w:ascii="SimSun" w:eastAsia="SimSun" w:hAnsi="SimSun" w:cstheme="minorHAnsi"/>
                <w:sz w:val="20"/>
                <w:lang w:eastAsia="zh-CN"/>
              </w:rPr>
              <w:t>“</w:t>
            </w:r>
            <w:r w:rsidRPr="008B1FF1">
              <w:rPr>
                <w:rFonts w:asciiTheme="minorHAnsi" w:hAnsiTheme="minorHAnsi" w:cstheme="minorHAnsi"/>
                <w:sz w:val="20"/>
                <w:lang w:eastAsia="zh-CN"/>
              </w:rPr>
              <w:t>远程工作申请</w:t>
            </w:r>
            <w:r w:rsidRPr="008B1FF1">
              <w:rPr>
                <w:rFonts w:ascii="SimSun" w:eastAsia="SimSun" w:hAnsi="SimSun" w:cstheme="minorHAnsi"/>
                <w:sz w:val="20"/>
                <w:lang w:eastAsia="zh-CN"/>
              </w:rPr>
              <w:t>”</w:t>
            </w:r>
            <w:r w:rsidRPr="008B1FF1">
              <w:rPr>
                <w:rFonts w:asciiTheme="minorHAnsi" w:hAnsiTheme="minorHAnsi" w:cstheme="minorHAnsi"/>
                <w:sz w:val="20"/>
                <w:lang w:eastAsia="zh-CN"/>
              </w:rPr>
              <w:t>应用程序的支持，该应用程序记录并保留每个员工远程工作日的审计跟踪。</w:t>
            </w:r>
            <w:r w:rsidRPr="008B1FF1">
              <w:rPr>
                <w:rFonts w:asciiTheme="minorHAnsi" w:hAnsiTheme="minorHAnsi" w:cstheme="minorHAnsi"/>
                <w:sz w:val="20"/>
                <w:lang w:eastAsia="zh-CN"/>
              </w:rPr>
              <w:t>2024</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1</w:t>
            </w:r>
            <w:r w:rsidRPr="008B1FF1">
              <w:rPr>
                <w:rFonts w:asciiTheme="minorHAnsi" w:hAnsiTheme="minorHAnsi" w:cstheme="minorHAnsi"/>
                <w:sz w:val="20"/>
                <w:lang w:eastAsia="zh-CN"/>
              </w:rPr>
              <w:t>月发布了有关这一安排的提醒函，并附有详细的相关常见问题解答文件。总部和日内瓦以外办事处远程工作的管理监督框架轮廓主要基于关于访问控制的第</w:t>
            </w:r>
            <w:r w:rsidRPr="008B1FF1">
              <w:rPr>
                <w:rFonts w:asciiTheme="minorHAnsi" w:hAnsiTheme="minorHAnsi" w:cstheme="minorHAnsi"/>
                <w:sz w:val="20"/>
                <w:lang w:eastAsia="zh-CN"/>
              </w:rPr>
              <w:t>20/10</w:t>
            </w:r>
            <w:r w:rsidRPr="008B1FF1">
              <w:rPr>
                <w:rFonts w:asciiTheme="minorHAnsi" w:hAnsiTheme="minorHAnsi" w:cstheme="minorHAnsi"/>
                <w:sz w:val="20"/>
                <w:lang w:eastAsia="zh-CN"/>
              </w:rPr>
              <w:t>号行政规定（在评论中提到），随后又出台了第</w:t>
            </w:r>
            <w:r w:rsidRPr="008B1FF1">
              <w:rPr>
                <w:rFonts w:asciiTheme="minorHAnsi" w:hAnsiTheme="minorHAnsi" w:cstheme="minorHAnsi"/>
                <w:sz w:val="20"/>
                <w:lang w:eastAsia="zh-CN"/>
              </w:rPr>
              <w:t>23/14</w:t>
            </w:r>
            <w:r w:rsidRPr="008B1FF1">
              <w:rPr>
                <w:rFonts w:asciiTheme="minorHAnsi" w:hAnsiTheme="minorHAnsi" w:cstheme="minorHAnsi"/>
                <w:sz w:val="20"/>
                <w:lang w:eastAsia="zh-CN"/>
              </w:rPr>
              <w:t>号行政规定：国际电联数据保护和隐私政策（</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12</w:t>
            </w:r>
            <w:r w:rsidRPr="008B1FF1">
              <w:rPr>
                <w:rFonts w:asciiTheme="minorHAnsi" w:hAnsiTheme="minorHAnsi" w:cstheme="minorHAnsi"/>
                <w:sz w:val="20"/>
                <w:lang w:eastAsia="zh-CN"/>
              </w:rPr>
              <w:t>月）；对于涉嫌违反该</w:t>
            </w:r>
            <w:r w:rsidRPr="008B1FF1">
              <w:rPr>
                <w:rFonts w:asciiTheme="minorHAnsi" w:hAnsiTheme="minorHAnsi" w:cstheme="minorHAnsi"/>
                <w:sz w:val="20"/>
                <w:lang w:eastAsia="zh-CN"/>
              </w:rPr>
              <w:lastRenderedPageBreak/>
              <w:t>安排的情况，第</w:t>
            </w:r>
            <w:r w:rsidRPr="008B1FF1">
              <w:rPr>
                <w:rFonts w:asciiTheme="minorHAnsi" w:hAnsiTheme="minorHAnsi" w:cstheme="minorHAnsi"/>
                <w:sz w:val="20"/>
                <w:lang w:eastAsia="zh-CN"/>
              </w:rPr>
              <w:t>24/09</w:t>
            </w:r>
            <w:r w:rsidRPr="008B1FF1">
              <w:rPr>
                <w:rFonts w:asciiTheme="minorHAnsi" w:hAnsiTheme="minorHAnsi" w:cstheme="minorHAnsi"/>
                <w:sz w:val="20"/>
                <w:lang w:eastAsia="zh-CN"/>
              </w:rPr>
              <w:t>号行政规定：通过了《国际电联监督章程》以及关于不当行为投诉受理和初步评估的澄清（</w:t>
            </w:r>
            <w:r w:rsidRPr="008B1FF1">
              <w:rPr>
                <w:rFonts w:asciiTheme="minorHAnsi" w:hAnsiTheme="minorHAnsi" w:cstheme="minorHAnsi"/>
                <w:sz w:val="20"/>
                <w:lang w:eastAsia="zh-CN"/>
              </w:rPr>
              <w:t>2024</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9</w:t>
            </w:r>
            <w:r w:rsidRPr="008B1FF1">
              <w:rPr>
                <w:rFonts w:asciiTheme="minorHAnsi" w:hAnsiTheme="minorHAnsi" w:cstheme="minorHAnsi"/>
                <w:sz w:val="20"/>
                <w:lang w:eastAsia="zh-CN"/>
              </w:rPr>
              <w:t>月）。</w:t>
            </w:r>
          </w:p>
          <w:p w14:paraId="0760C65E" w14:textId="4234B02C"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国际电联建议结束本建议书</w:t>
            </w:r>
            <w:r w:rsidR="00DA4FB1">
              <w:rPr>
                <w:rFonts w:asciiTheme="minorHAnsi" w:hAnsiTheme="minorHAnsi" w:cstheme="minorHAnsi" w:hint="eastAsia"/>
                <w:sz w:val="20"/>
                <w:lang w:eastAsia="zh-CN"/>
              </w:rPr>
              <w:t>。</w:t>
            </w:r>
          </w:p>
        </w:tc>
        <w:tc>
          <w:tcPr>
            <w:tcW w:w="1050" w:type="pct"/>
            <w:shd w:val="clear" w:color="auto" w:fill="auto"/>
          </w:tcPr>
          <w:p w14:paraId="26A6C078" w14:textId="6522C013" w:rsidR="002F2E4B" w:rsidRPr="008B1FF1" w:rsidRDefault="002F2E4B" w:rsidP="002F2E4B">
            <w:pPr>
              <w:pStyle w:val="Tabletext"/>
              <w:rPr>
                <w:sz w:val="20"/>
                <w:highlight w:val="yellow"/>
                <w:lang w:eastAsia="zh-CN"/>
              </w:rPr>
            </w:pPr>
            <w:r w:rsidRPr="008B1FF1">
              <w:rPr>
                <w:rFonts w:asciiTheme="minorHAnsi" w:hAnsiTheme="minorHAnsi" w:cstheme="minorHAnsi" w:hint="eastAsia"/>
                <w:sz w:val="20"/>
                <w:lang w:eastAsia="zh-CN"/>
              </w:rPr>
              <w:lastRenderedPageBreak/>
              <w:t>注意到最新的回应并认为是合理的。该建议已完成。</w:t>
            </w:r>
          </w:p>
        </w:tc>
        <w:tc>
          <w:tcPr>
            <w:tcW w:w="450" w:type="pct"/>
            <w:shd w:val="clear" w:color="auto" w:fill="auto"/>
          </w:tcPr>
          <w:p w14:paraId="66327789" w14:textId="34F61A5E" w:rsidR="002F2E4B" w:rsidRPr="008B1FF1" w:rsidRDefault="00A62A5A" w:rsidP="002F2E4B">
            <w:pPr>
              <w:pStyle w:val="Tabletext"/>
              <w:rPr>
                <w:sz w:val="20"/>
                <w:lang w:eastAsia="zh-CN"/>
              </w:rPr>
            </w:pPr>
            <w:r>
              <w:rPr>
                <w:rFonts w:ascii="SimSun" w:eastAsia="SimSun" w:hAnsi="SimSun" w:cs="SimSun" w:hint="eastAsia"/>
                <w:color w:val="000000"/>
                <w:sz w:val="20"/>
                <w:lang w:eastAsia="zh-CN"/>
              </w:rPr>
              <w:t>已关闭。</w:t>
            </w:r>
          </w:p>
        </w:tc>
      </w:tr>
      <w:tr w:rsidR="002F2E4B" w:rsidRPr="00536D01" w14:paraId="6FFC8DA6" w14:textId="77777777" w:rsidTr="0011737E">
        <w:tc>
          <w:tcPr>
            <w:tcW w:w="300" w:type="pct"/>
            <w:shd w:val="clear" w:color="auto" w:fill="auto"/>
          </w:tcPr>
          <w:p w14:paraId="34F0C9A7" w14:textId="5F143C1C" w:rsidR="002F2E4B" w:rsidRPr="008B1FF1" w:rsidRDefault="002F2E4B" w:rsidP="002F2E4B">
            <w:pPr>
              <w:pStyle w:val="Tabletext"/>
              <w:rPr>
                <w:sz w:val="20"/>
              </w:rPr>
            </w:pPr>
            <w:r w:rsidRPr="008B1FF1">
              <w:rPr>
                <w:rFonts w:asciiTheme="minorHAnsi" w:hAnsiTheme="minorHAnsi" w:cstheme="minorHAnsi"/>
                <w:sz w:val="20"/>
              </w:rPr>
              <w:t>R#17</w:t>
            </w:r>
          </w:p>
        </w:tc>
        <w:tc>
          <w:tcPr>
            <w:tcW w:w="1450" w:type="pct"/>
            <w:shd w:val="clear" w:color="auto" w:fill="auto"/>
          </w:tcPr>
          <w:p w14:paraId="1474DDDE" w14:textId="574A9DCA" w:rsidR="002F2E4B" w:rsidRPr="008B1FF1" w:rsidRDefault="002F2E4B" w:rsidP="002F2E4B">
            <w:pPr>
              <w:pStyle w:val="Tabletext"/>
              <w:rPr>
                <w:sz w:val="20"/>
                <w:lang w:eastAsia="zh-CN"/>
              </w:rPr>
            </w:pPr>
            <w:r w:rsidRPr="008B1FF1">
              <w:rPr>
                <w:rFonts w:asciiTheme="minorHAnsi" w:hAnsiTheme="minorHAnsi" w:cstheme="minorHAnsi"/>
                <w:sz w:val="20"/>
                <w:lang w:eastAsia="zh-CN"/>
              </w:rPr>
              <w:t>实施轮岗政策，该政策规定了与区域代表性相关的具体监管框架，其中专业类职员和主任应根据国际优秀做法短期轮岗。</w:t>
            </w:r>
          </w:p>
        </w:tc>
        <w:tc>
          <w:tcPr>
            <w:tcW w:w="1750" w:type="pct"/>
            <w:shd w:val="clear" w:color="auto" w:fill="auto"/>
          </w:tcPr>
          <w:p w14:paraId="2305E250"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这被视为国际电联转型举措的一部分</w:t>
            </w:r>
          </w:p>
          <w:p w14:paraId="33C7D4E1"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月的最新进展：这是一个以</w:t>
            </w:r>
            <w:r w:rsidRPr="008B1FF1">
              <w:rPr>
                <w:rFonts w:asciiTheme="minorHAnsi" w:hAnsiTheme="minorHAnsi" w:cstheme="minorHAnsi"/>
                <w:sz w:val="20"/>
                <w:lang w:eastAsia="zh-CN"/>
              </w:rPr>
              <w:t>HRMD</w:t>
            </w:r>
            <w:r w:rsidRPr="008B1FF1">
              <w:rPr>
                <w:rFonts w:asciiTheme="minorHAnsi" w:hAnsiTheme="minorHAnsi" w:cstheme="minorHAnsi"/>
                <w:sz w:val="20"/>
                <w:lang w:eastAsia="zh-CN"/>
              </w:rPr>
              <w:t>为业务所有者的变革者项目，预计将于</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年实施。正在处理相关的第</w:t>
            </w:r>
            <w:r w:rsidRPr="008B1FF1">
              <w:rPr>
                <w:rFonts w:asciiTheme="minorHAnsi" w:hAnsiTheme="minorHAnsi" w:cstheme="minorHAnsi"/>
                <w:sz w:val="20"/>
                <w:lang w:eastAsia="zh-CN"/>
              </w:rPr>
              <w:t>18</w:t>
            </w:r>
            <w:r w:rsidRPr="008B1FF1">
              <w:rPr>
                <w:rFonts w:asciiTheme="minorHAnsi" w:hAnsiTheme="minorHAnsi" w:cstheme="minorHAnsi"/>
                <w:sz w:val="20"/>
                <w:lang w:eastAsia="zh-CN"/>
              </w:rPr>
              <w:t>号建议以及与第</w:t>
            </w:r>
            <w:r w:rsidRPr="008B1FF1">
              <w:rPr>
                <w:rFonts w:asciiTheme="minorHAnsi" w:hAnsiTheme="minorHAnsi" w:cstheme="minorHAnsi"/>
                <w:sz w:val="20"/>
                <w:lang w:eastAsia="zh-CN"/>
              </w:rPr>
              <w:t>20/14</w:t>
            </w:r>
            <w:r w:rsidRPr="008B1FF1">
              <w:rPr>
                <w:rFonts w:asciiTheme="minorHAnsi" w:hAnsiTheme="minorHAnsi" w:cstheme="minorHAnsi"/>
                <w:sz w:val="20"/>
                <w:lang w:eastAsia="zh-CN"/>
              </w:rPr>
              <w:t>号行政规定：移动分配政策有关的财务报表第</w:t>
            </w:r>
            <w:r w:rsidRPr="008B1FF1">
              <w:rPr>
                <w:rFonts w:asciiTheme="minorHAnsi" w:hAnsiTheme="minorHAnsi" w:cstheme="minorHAnsi"/>
                <w:sz w:val="20"/>
                <w:lang w:eastAsia="zh-CN"/>
              </w:rPr>
              <w:t>14/2021</w:t>
            </w:r>
            <w:r w:rsidRPr="008B1FF1">
              <w:rPr>
                <w:rFonts w:asciiTheme="minorHAnsi" w:hAnsiTheme="minorHAnsi" w:cstheme="minorHAnsi"/>
                <w:sz w:val="20"/>
                <w:lang w:eastAsia="zh-CN"/>
              </w:rPr>
              <w:t>号建议。</w:t>
            </w:r>
          </w:p>
          <w:p w14:paraId="01815276" w14:textId="143E8FF6"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国际电联认为实施工作正在进行中。</w:t>
            </w:r>
          </w:p>
        </w:tc>
        <w:tc>
          <w:tcPr>
            <w:tcW w:w="1050" w:type="pct"/>
            <w:shd w:val="clear" w:color="auto" w:fill="auto"/>
          </w:tcPr>
          <w:p w14:paraId="59452C31" w14:textId="1E313C48" w:rsidR="002F2E4B" w:rsidRPr="008B1FF1" w:rsidRDefault="002F2E4B" w:rsidP="002F2E4B">
            <w:pPr>
              <w:pStyle w:val="Tabletext"/>
              <w:rPr>
                <w:sz w:val="20"/>
                <w:lang w:eastAsia="zh-CN"/>
              </w:rPr>
            </w:pPr>
            <w:r w:rsidRPr="008B1FF1">
              <w:rPr>
                <w:rFonts w:asciiTheme="minorHAnsi" w:hAnsiTheme="minorHAnsi" w:cstheme="minorHAnsi"/>
                <w:sz w:val="20"/>
                <w:lang w:eastAsia="zh-CN"/>
              </w:rPr>
              <w:t>将最新回应记录在案。</w:t>
            </w:r>
          </w:p>
        </w:tc>
        <w:tc>
          <w:tcPr>
            <w:tcW w:w="450" w:type="pct"/>
            <w:shd w:val="clear" w:color="auto" w:fill="auto"/>
          </w:tcPr>
          <w:p w14:paraId="4DBD3DE6" w14:textId="52B17122" w:rsidR="002F2E4B" w:rsidRPr="008B1FF1" w:rsidRDefault="004264B1" w:rsidP="002F2E4B">
            <w:pPr>
              <w:pStyle w:val="Tabletext"/>
              <w:rPr>
                <w:sz w:val="20"/>
                <w:lang w:eastAsia="zh-CN"/>
              </w:rPr>
            </w:pPr>
            <w:r>
              <w:rPr>
                <w:rFonts w:asciiTheme="minorHAnsi" w:hAnsiTheme="minorHAnsi" w:cstheme="minorHAnsi" w:hint="eastAsia"/>
                <w:sz w:val="20"/>
                <w:lang w:eastAsia="zh-CN"/>
              </w:rPr>
              <w:t>落实中。</w:t>
            </w:r>
          </w:p>
        </w:tc>
      </w:tr>
      <w:tr w:rsidR="002F2E4B" w:rsidRPr="00536D01" w14:paraId="1B904803" w14:textId="77777777" w:rsidTr="0011737E">
        <w:tc>
          <w:tcPr>
            <w:tcW w:w="300" w:type="pct"/>
            <w:shd w:val="clear" w:color="auto" w:fill="auto"/>
          </w:tcPr>
          <w:p w14:paraId="46D30520" w14:textId="1647981E" w:rsidR="002F2E4B" w:rsidRPr="008B1FF1" w:rsidRDefault="002F2E4B" w:rsidP="002F2E4B">
            <w:pPr>
              <w:pStyle w:val="Tabletext"/>
              <w:rPr>
                <w:sz w:val="20"/>
              </w:rPr>
            </w:pPr>
            <w:r w:rsidRPr="008B1FF1">
              <w:rPr>
                <w:rFonts w:asciiTheme="minorHAnsi" w:hAnsiTheme="minorHAnsi" w:cstheme="minorHAnsi"/>
                <w:sz w:val="20"/>
              </w:rPr>
              <w:t>R#18</w:t>
            </w:r>
          </w:p>
        </w:tc>
        <w:tc>
          <w:tcPr>
            <w:tcW w:w="1450" w:type="pct"/>
            <w:shd w:val="clear" w:color="auto" w:fill="auto"/>
          </w:tcPr>
          <w:p w14:paraId="28788527" w14:textId="69538815" w:rsidR="002F2E4B" w:rsidRPr="008B1FF1" w:rsidRDefault="002F2E4B" w:rsidP="002F2E4B">
            <w:pPr>
              <w:pStyle w:val="Tabletext"/>
              <w:rPr>
                <w:sz w:val="20"/>
                <w:lang w:eastAsia="zh-CN"/>
              </w:rPr>
            </w:pPr>
            <w:r w:rsidRPr="008B1FF1">
              <w:rPr>
                <w:rFonts w:asciiTheme="minorHAnsi" w:hAnsiTheme="minorHAnsi" w:cstheme="minorHAnsi"/>
                <w:sz w:val="20"/>
                <w:lang w:eastAsia="zh-CN"/>
              </w:rPr>
              <w:t>实行有效的人员轮换，以避免</w:t>
            </w:r>
            <w:r w:rsidR="007A47A9">
              <w:rPr>
                <w:rFonts w:asciiTheme="minorHAnsi" w:hAnsiTheme="minorHAnsi" w:cstheme="minorHAnsi" w:hint="eastAsia"/>
                <w:sz w:val="20"/>
                <w:lang w:eastAsia="zh-CN"/>
              </w:rPr>
              <w:t>(</w:t>
            </w:r>
            <w:proofErr w:type="spellStart"/>
            <w:r w:rsidRPr="008B1FF1">
              <w:rPr>
                <w:rFonts w:asciiTheme="minorHAnsi" w:hAnsiTheme="minorHAnsi" w:cstheme="minorHAnsi"/>
                <w:sz w:val="20"/>
                <w:lang w:eastAsia="zh-CN"/>
              </w:rPr>
              <w:t>i</w:t>
            </w:r>
            <w:proofErr w:type="spellEnd"/>
            <w:r w:rsidR="007A47A9">
              <w:rPr>
                <w:rFonts w:asciiTheme="minorHAnsi" w:hAnsiTheme="minorHAnsi" w:cstheme="minorHAnsi" w:hint="eastAsia"/>
                <w:sz w:val="20"/>
                <w:lang w:eastAsia="zh-CN"/>
              </w:rPr>
              <w:t xml:space="preserve">) </w:t>
            </w:r>
            <w:r w:rsidRPr="008B1FF1">
              <w:rPr>
                <w:rFonts w:asciiTheme="minorHAnsi" w:hAnsiTheme="minorHAnsi" w:cstheme="minorHAnsi"/>
                <w:sz w:val="20"/>
                <w:lang w:eastAsia="zh-CN"/>
              </w:rPr>
              <w:t>如顾问（根据</w:t>
            </w:r>
            <w:proofErr w:type="spellStart"/>
            <w:r w:rsidRPr="008B1FF1">
              <w:rPr>
                <w:rFonts w:asciiTheme="minorHAnsi" w:hAnsiTheme="minorHAnsi" w:cstheme="minorHAnsi"/>
                <w:sz w:val="20"/>
                <w:lang w:eastAsia="zh-CN"/>
              </w:rPr>
              <w:t>SSA</w:t>
            </w:r>
            <w:proofErr w:type="spellEnd"/>
            <w:r w:rsidRPr="008B1FF1">
              <w:rPr>
                <w:rFonts w:asciiTheme="minorHAnsi" w:hAnsiTheme="minorHAnsi" w:cstheme="minorHAnsi"/>
                <w:sz w:val="20"/>
                <w:lang w:eastAsia="zh-CN"/>
              </w:rPr>
              <w:t>雇用）与</w:t>
            </w:r>
            <w:r w:rsidRPr="008B1FF1">
              <w:rPr>
                <w:rFonts w:asciiTheme="minorHAnsi" w:hAnsiTheme="minorHAnsi" w:cstheme="minorHAnsi"/>
                <w:sz w:val="20"/>
                <w:lang w:eastAsia="zh-CN"/>
              </w:rPr>
              <w:t>P</w:t>
            </w:r>
            <w:r w:rsidRPr="008B1FF1">
              <w:rPr>
                <w:rFonts w:asciiTheme="minorHAnsi" w:hAnsiTheme="minorHAnsi" w:cstheme="minorHAnsi"/>
                <w:sz w:val="20"/>
                <w:lang w:eastAsia="zh-CN"/>
              </w:rPr>
              <w:t>和</w:t>
            </w:r>
            <w:r w:rsidRPr="008B1FF1">
              <w:rPr>
                <w:rFonts w:asciiTheme="minorHAnsi" w:hAnsiTheme="minorHAnsi" w:cstheme="minorHAnsi"/>
                <w:sz w:val="20"/>
                <w:lang w:eastAsia="zh-CN"/>
              </w:rPr>
              <w:t>D</w:t>
            </w:r>
            <w:r w:rsidRPr="008B1FF1">
              <w:rPr>
                <w:rFonts w:asciiTheme="minorHAnsi" w:hAnsiTheme="minorHAnsi" w:cstheme="minorHAnsi"/>
                <w:sz w:val="20"/>
                <w:lang w:eastAsia="zh-CN"/>
              </w:rPr>
              <w:t>级人员在他们拥有公民身份的同一区域和</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或成员国工作，或以前与捐助方有关系（熟悉、以前的工作等）工作的潜在利益冲突；</w:t>
            </w:r>
            <w:r w:rsidR="007A47A9">
              <w:rPr>
                <w:rFonts w:asciiTheme="minorHAnsi" w:hAnsiTheme="minorHAnsi" w:cstheme="minorHAnsi" w:hint="eastAsia"/>
                <w:sz w:val="20"/>
                <w:lang w:eastAsia="zh-CN"/>
              </w:rPr>
              <w:t>(</w:t>
            </w:r>
            <w:r w:rsidRPr="008B1FF1">
              <w:rPr>
                <w:rFonts w:asciiTheme="minorHAnsi" w:hAnsiTheme="minorHAnsi" w:cstheme="minorHAnsi"/>
                <w:sz w:val="20"/>
                <w:lang w:eastAsia="zh-CN"/>
              </w:rPr>
              <w:t>ii</w:t>
            </w:r>
            <w:r w:rsidR="007A47A9">
              <w:rPr>
                <w:rFonts w:asciiTheme="minorHAnsi" w:hAnsiTheme="minorHAnsi" w:cstheme="minorHAnsi" w:hint="eastAsia"/>
                <w:sz w:val="20"/>
                <w:lang w:eastAsia="zh-CN"/>
              </w:rPr>
              <w:t xml:space="preserve">) </w:t>
            </w:r>
            <w:r w:rsidRPr="008B1FF1">
              <w:rPr>
                <w:rFonts w:asciiTheme="minorHAnsi" w:hAnsiTheme="minorHAnsi" w:cstheme="minorHAnsi"/>
                <w:sz w:val="20"/>
                <w:lang w:eastAsia="zh-CN"/>
              </w:rPr>
              <w:t>他们可能在该地理区域占据一定地位，从而影响一项技术相对于其它技术的选择；</w:t>
            </w:r>
            <w:r w:rsidR="007A47A9">
              <w:rPr>
                <w:rFonts w:asciiTheme="minorHAnsi" w:hAnsiTheme="minorHAnsi" w:cstheme="minorHAnsi" w:hint="eastAsia"/>
                <w:sz w:val="20"/>
                <w:lang w:eastAsia="zh-CN"/>
              </w:rPr>
              <w:t>(</w:t>
            </w:r>
            <w:r w:rsidRPr="008B1FF1">
              <w:rPr>
                <w:rFonts w:asciiTheme="minorHAnsi" w:hAnsiTheme="minorHAnsi" w:cstheme="minorHAnsi"/>
                <w:sz w:val="20"/>
                <w:lang w:eastAsia="zh-CN"/>
              </w:rPr>
              <w:t>iii</w:t>
            </w:r>
            <w:r w:rsidR="007A47A9">
              <w:rPr>
                <w:rFonts w:asciiTheme="minorHAnsi" w:hAnsiTheme="minorHAnsi" w:cstheme="minorHAnsi" w:hint="eastAsia"/>
                <w:sz w:val="20"/>
                <w:lang w:eastAsia="zh-CN"/>
              </w:rPr>
              <w:t xml:space="preserve">) </w:t>
            </w:r>
            <w:r w:rsidRPr="008B1FF1">
              <w:rPr>
                <w:rFonts w:asciiTheme="minorHAnsi" w:hAnsiTheme="minorHAnsi" w:cstheme="minorHAnsi"/>
                <w:sz w:val="20"/>
                <w:lang w:eastAsia="zh-CN"/>
              </w:rPr>
              <w:t>他们可以在原籍国代表国际电联。</w:t>
            </w:r>
          </w:p>
        </w:tc>
        <w:tc>
          <w:tcPr>
            <w:tcW w:w="1750" w:type="pct"/>
            <w:shd w:val="clear" w:color="auto" w:fill="auto"/>
          </w:tcPr>
          <w:p w14:paraId="321F0D15"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这被视为国际电联转型举措的一部分</w:t>
            </w:r>
          </w:p>
          <w:p w14:paraId="6C459AF2"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月的最新进展：这项建议和之前关于轮岗的建议</w:t>
            </w:r>
            <w:r w:rsidRPr="008B1FF1">
              <w:rPr>
                <w:rFonts w:asciiTheme="minorHAnsi" w:hAnsiTheme="minorHAnsi" w:cstheme="minorHAnsi"/>
                <w:sz w:val="20"/>
                <w:lang w:eastAsia="zh-CN"/>
              </w:rPr>
              <w:t>17</w:t>
            </w:r>
            <w:r w:rsidRPr="008B1FF1">
              <w:rPr>
                <w:rFonts w:asciiTheme="minorHAnsi" w:hAnsiTheme="minorHAnsi" w:cstheme="minorHAnsi"/>
                <w:sz w:val="20"/>
                <w:lang w:eastAsia="zh-CN"/>
              </w:rPr>
              <w:t>正在与第</w:t>
            </w:r>
            <w:r w:rsidRPr="008B1FF1">
              <w:rPr>
                <w:rFonts w:asciiTheme="minorHAnsi" w:hAnsiTheme="minorHAnsi" w:cstheme="minorHAnsi"/>
                <w:sz w:val="20"/>
                <w:lang w:eastAsia="zh-CN"/>
              </w:rPr>
              <w:t>20/14</w:t>
            </w:r>
            <w:r w:rsidRPr="008B1FF1">
              <w:rPr>
                <w:rFonts w:asciiTheme="minorHAnsi" w:hAnsiTheme="minorHAnsi" w:cstheme="minorHAnsi"/>
                <w:sz w:val="20"/>
                <w:lang w:eastAsia="zh-CN"/>
              </w:rPr>
              <w:t>号行政规定：移动分配政策有关的财务报表第</w:t>
            </w:r>
            <w:r w:rsidRPr="008B1FF1">
              <w:rPr>
                <w:rFonts w:asciiTheme="minorHAnsi" w:hAnsiTheme="minorHAnsi" w:cstheme="minorHAnsi"/>
                <w:sz w:val="20"/>
                <w:lang w:eastAsia="zh-CN"/>
              </w:rPr>
              <w:t>14/2021</w:t>
            </w:r>
            <w:r w:rsidRPr="008B1FF1">
              <w:rPr>
                <w:rFonts w:asciiTheme="minorHAnsi" w:hAnsiTheme="minorHAnsi" w:cstheme="minorHAnsi"/>
                <w:sz w:val="20"/>
                <w:lang w:eastAsia="zh-CN"/>
              </w:rPr>
              <w:t>号建议一起处理。</w:t>
            </w:r>
          </w:p>
          <w:p w14:paraId="7B96EBAA" w14:textId="45561838"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国际电联认为实施工作正在进行中。</w:t>
            </w:r>
          </w:p>
        </w:tc>
        <w:tc>
          <w:tcPr>
            <w:tcW w:w="1050" w:type="pct"/>
            <w:shd w:val="clear" w:color="auto" w:fill="auto"/>
          </w:tcPr>
          <w:p w14:paraId="67DBCB2C" w14:textId="031C260F" w:rsidR="002F2E4B" w:rsidRPr="008B1FF1" w:rsidRDefault="002F2E4B" w:rsidP="002F2E4B">
            <w:pPr>
              <w:pStyle w:val="Tabletext"/>
              <w:rPr>
                <w:sz w:val="20"/>
                <w:lang w:eastAsia="zh-CN"/>
              </w:rPr>
            </w:pPr>
            <w:r w:rsidRPr="008B1FF1">
              <w:rPr>
                <w:rFonts w:asciiTheme="minorHAnsi" w:hAnsiTheme="minorHAnsi" w:cstheme="minorHAnsi"/>
                <w:sz w:val="20"/>
                <w:lang w:eastAsia="zh-CN"/>
              </w:rPr>
              <w:t>将最新回应记录在案。</w:t>
            </w:r>
          </w:p>
        </w:tc>
        <w:tc>
          <w:tcPr>
            <w:tcW w:w="450" w:type="pct"/>
            <w:shd w:val="clear" w:color="auto" w:fill="auto"/>
          </w:tcPr>
          <w:p w14:paraId="760E3EE8" w14:textId="0E5386FA" w:rsidR="002F2E4B" w:rsidRPr="008B1FF1" w:rsidRDefault="004264B1" w:rsidP="002F2E4B">
            <w:pPr>
              <w:pStyle w:val="Tabletext"/>
              <w:rPr>
                <w:sz w:val="20"/>
                <w:lang w:eastAsia="zh-CN"/>
              </w:rPr>
            </w:pPr>
            <w:r>
              <w:rPr>
                <w:rFonts w:asciiTheme="minorHAnsi" w:hAnsiTheme="minorHAnsi" w:cstheme="minorHAnsi" w:hint="eastAsia"/>
                <w:sz w:val="20"/>
                <w:lang w:eastAsia="zh-CN"/>
              </w:rPr>
              <w:t>落实中。</w:t>
            </w:r>
          </w:p>
        </w:tc>
      </w:tr>
      <w:tr w:rsidR="002F2E4B" w:rsidRPr="00536D01" w14:paraId="5DE3F6ED" w14:textId="77777777" w:rsidTr="0011737E">
        <w:tc>
          <w:tcPr>
            <w:tcW w:w="300" w:type="pct"/>
            <w:shd w:val="clear" w:color="auto" w:fill="auto"/>
          </w:tcPr>
          <w:p w14:paraId="09276D24" w14:textId="30E7ABD8" w:rsidR="002F2E4B" w:rsidRPr="008B1FF1" w:rsidRDefault="002F2E4B" w:rsidP="002F2E4B">
            <w:pPr>
              <w:pStyle w:val="Tabletext"/>
              <w:rPr>
                <w:sz w:val="20"/>
              </w:rPr>
            </w:pPr>
            <w:r w:rsidRPr="008B1FF1">
              <w:rPr>
                <w:rFonts w:asciiTheme="minorHAnsi" w:hAnsiTheme="minorHAnsi" w:cstheme="minorHAnsi"/>
                <w:sz w:val="20"/>
              </w:rPr>
              <w:t>R#19</w:t>
            </w:r>
          </w:p>
        </w:tc>
        <w:tc>
          <w:tcPr>
            <w:tcW w:w="1450" w:type="pct"/>
            <w:shd w:val="clear" w:color="auto" w:fill="auto"/>
          </w:tcPr>
          <w:p w14:paraId="4892AD95" w14:textId="35170214" w:rsidR="002F2E4B" w:rsidRPr="008B1FF1" w:rsidRDefault="002F2E4B" w:rsidP="002F2E4B">
            <w:pPr>
              <w:pStyle w:val="Tabletext"/>
              <w:rPr>
                <w:sz w:val="20"/>
                <w:lang w:eastAsia="zh-CN"/>
              </w:rPr>
            </w:pPr>
            <w:r w:rsidRPr="008B1FF1">
              <w:rPr>
                <w:rFonts w:asciiTheme="minorHAnsi" w:hAnsiTheme="minorHAnsi" w:cstheme="minorHAnsi"/>
                <w:sz w:val="20"/>
                <w:lang w:eastAsia="zh-CN"/>
              </w:rPr>
              <w:t>更新</w:t>
            </w:r>
            <w:r w:rsidRPr="008B1FF1">
              <w:rPr>
                <w:rFonts w:asciiTheme="minorHAnsi" w:hAnsiTheme="minorHAnsi" w:cstheme="minorHAnsi"/>
                <w:sz w:val="20"/>
                <w:lang w:eastAsia="zh-CN"/>
              </w:rPr>
              <w:t>SAP</w:t>
            </w:r>
            <w:r w:rsidRPr="008B1FF1">
              <w:rPr>
                <w:rFonts w:asciiTheme="minorHAnsi" w:hAnsiTheme="minorHAnsi" w:cstheme="minorHAnsi"/>
                <w:sz w:val="20"/>
                <w:lang w:eastAsia="zh-CN"/>
              </w:rPr>
              <w:t>系统或寻找一种能够及时提取每份采购订单信息的解决方案，以便总部能够开始有效监测区域一级的支出水平。</w:t>
            </w:r>
          </w:p>
        </w:tc>
        <w:tc>
          <w:tcPr>
            <w:tcW w:w="1750" w:type="pct"/>
            <w:shd w:val="clear" w:color="auto" w:fill="auto"/>
          </w:tcPr>
          <w:p w14:paraId="7314CA2B"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SAP</w:t>
            </w:r>
            <w:r w:rsidRPr="008B1FF1">
              <w:rPr>
                <w:rFonts w:asciiTheme="minorHAnsi" w:hAnsiTheme="minorHAnsi" w:cstheme="minorHAnsi"/>
                <w:sz w:val="20"/>
                <w:lang w:eastAsia="zh-CN"/>
              </w:rPr>
              <w:t>的更新正在作为国际电联整体转型举措的一部分实施。</w:t>
            </w:r>
          </w:p>
          <w:p w14:paraId="7F9CC8E1"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2024</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9</w:t>
            </w:r>
            <w:r w:rsidRPr="008B1FF1">
              <w:rPr>
                <w:rFonts w:asciiTheme="minorHAnsi" w:hAnsiTheme="minorHAnsi" w:cstheme="minorHAnsi"/>
                <w:sz w:val="20"/>
                <w:lang w:eastAsia="zh-CN"/>
              </w:rPr>
              <w:t>月更新。</w:t>
            </w:r>
            <w:r w:rsidRPr="008B1FF1">
              <w:rPr>
                <w:rFonts w:asciiTheme="minorHAnsi" w:hAnsiTheme="minorHAnsi" w:cstheme="minorHAnsi"/>
                <w:sz w:val="20"/>
                <w:lang w:eastAsia="zh-CN"/>
              </w:rPr>
              <w:t>FRMD</w:t>
            </w:r>
            <w:r w:rsidRPr="008B1FF1">
              <w:rPr>
                <w:rFonts w:asciiTheme="minorHAnsi" w:hAnsiTheme="minorHAnsi" w:cstheme="minorHAnsi"/>
                <w:sz w:val="20"/>
                <w:lang w:eastAsia="zh-CN"/>
              </w:rPr>
              <w:t>开发了一个由</w:t>
            </w:r>
            <w:r w:rsidRPr="008B1FF1">
              <w:rPr>
                <w:rFonts w:asciiTheme="minorHAnsi" w:hAnsiTheme="minorHAnsi" w:cstheme="minorHAnsi"/>
                <w:sz w:val="20"/>
                <w:lang w:eastAsia="zh-CN"/>
              </w:rPr>
              <w:t>SAP</w:t>
            </w:r>
            <w:r w:rsidRPr="008B1FF1">
              <w:rPr>
                <w:rFonts w:asciiTheme="minorHAnsi" w:hAnsiTheme="minorHAnsi" w:cstheme="minorHAnsi"/>
                <w:sz w:val="20"/>
                <w:lang w:eastAsia="zh-CN"/>
              </w:rPr>
              <w:t>实时馈送的国际电联支出信息概览，亦可用于在区域代表处和地区办事处层面监控采购订单。该信息概览已于</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10</w:t>
            </w:r>
            <w:r w:rsidRPr="008B1FF1">
              <w:rPr>
                <w:rFonts w:asciiTheme="minorHAnsi" w:hAnsiTheme="minorHAnsi" w:cstheme="minorHAnsi"/>
                <w:sz w:val="20"/>
                <w:lang w:eastAsia="zh-CN"/>
              </w:rPr>
              <w:t>月</w:t>
            </w:r>
            <w:r w:rsidRPr="008B1FF1">
              <w:rPr>
                <w:rFonts w:asciiTheme="minorHAnsi" w:hAnsiTheme="minorHAnsi" w:cstheme="minorHAnsi"/>
                <w:sz w:val="20"/>
                <w:lang w:eastAsia="zh-CN"/>
              </w:rPr>
              <w:t>12</w:t>
            </w:r>
            <w:r w:rsidRPr="008B1FF1">
              <w:rPr>
                <w:rFonts w:asciiTheme="minorHAnsi" w:hAnsiTheme="minorHAnsi" w:cstheme="minorHAnsi"/>
                <w:sz w:val="20"/>
                <w:lang w:eastAsia="zh-CN"/>
              </w:rPr>
              <w:t>日提交给</w:t>
            </w:r>
            <w:r w:rsidRPr="008B1FF1">
              <w:rPr>
                <w:rFonts w:asciiTheme="minorHAnsi" w:hAnsiTheme="minorHAnsi" w:cstheme="minorHAnsi"/>
                <w:sz w:val="20"/>
                <w:lang w:eastAsia="zh-CN"/>
              </w:rPr>
              <w:t>CWC-FHR</w:t>
            </w:r>
            <w:r w:rsidRPr="008B1FF1">
              <w:rPr>
                <w:rFonts w:asciiTheme="minorHAnsi" w:hAnsiTheme="minorHAnsi" w:cstheme="minorHAnsi"/>
                <w:sz w:val="20"/>
                <w:lang w:eastAsia="zh-CN"/>
              </w:rPr>
              <w:t>（网播从</w:t>
            </w:r>
            <w:r w:rsidRPr="008B1FF1">
              <w:rPr>
                <w:rFonts w:asciiTheme="minorHAnsi" w:hAnsiTheme="minorHAnsi" w:cstheme="minorHAnsi"/>
                <w:sz w:val="20"/>
                <w:lang w:eastAsia="zh-CN"/>
              </w:rPr>
              <w:t>14:30</w:t>
            </w:r>
            <w:r w:rsidRPr="008B1FF1">
              <w:rPr>
                <w:rFonts w:asciiTheme="minorHAnsi" w:hAnsiTheme="minorHAnsi" w:cstheme="minorHAnsi"/>
                <w:sz w:val="20"/>
                <w:lang w:eastAsia="zh-CN"/>
              </w:rPr>
              <w:t>分开始）。目前已有许多其他的</w:t>
            </w:r>
            <w:r w:rsidRPr="008B1FF1">
              <w:rPr>
                <w:rFonts w:asciiTheme="minorHAnsi" w:hAnsiTheme="minorHAnsi" w:cstheme="minorHAnsi"/>
                <w:sz w:val="20"/>
                <w:lang w:eastAsia="zh-CN"/>
              </w:rPr>
              <w:t>BI</w:t>
            </w:r>
            <w:r w:rsidRPr="008B1FF1">
              <w:rPr>
                <w:rFonts w:asciiTheme="minorHAnsi" w:hAnsiTheme="minorHAnsi" w:cstheme="minorHAnsi"/>
                <w:sz w:val="20"/>
                <w:lang w:eastAsia="zh-CN"/>
              </w:rPr>
              <w:t>报告可供使用，而且可以在</w:t>
            </w:r>
            <w:r w:rsidRPr="008B1FF1">
              <w:rPr>
                <w:rFonts w:asciiTheme="minorHAnsi" w:hAnsiTheme="minorHAnsi" w:cstheme="minorHAnsi"/>
                <w:sz w:val="20"/>
                <w:lang w:eastAsia="zh-CN"/>
              </w:rPr>
              <w:t>ISD</w:t>
            </w:r>
            <w:r w:rsidRPr="008B1FF1">
              <w:rPr>
                <w:rFonts w:asciiTheme="minorHAnsi" w:hAnsiTheme="minorHAnsi" w:cstheme="minorHAnsi"/>
                <w:sz w:val="20"/>
                <w:lang w:eastAsia="zh-CN"/>
              </w:rPr>
              <w:t>的协助下制定更多的定制报告，但这必须由业务部门推动。此外，</w:t>
            </w:r>
            <w:r w:rsidRPr="008B1FF1">
              <w:rPr>
                <w:rFonts w:asciiTheme="minorHAnsi" w:hAnsiTheme="minorHAnsi" w:cstheme="minorHAnsi"/>
                <w:sz w:val="20"/>
                <w:lang w:eastAsia="zh-CN"/>
              </w:rPr>
              <w:t>2023</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10</w:t>
            </w:r>
            <w:r w:rsidRPr="008B1FF1">
              <w:rPr>
                <w:rFonts w:asciiTheme="minorHAnsi" w:hAnsiTheme="minorHAnsi" w:cstheme="minorHAnsi"/>
                <w:sz w:val="20"/>
                <w:lang w:eastAsia="zh-CN"/>
              </w:rPr>
              <w:t>月，</w:t>
            </w:r>
            <w:r w:rsidRPr="008B1FF1">
              <w:rPr>
                <w:rFonts w:asciiTheme="minorHAnsi" w:hAnsiTheme="minorHAnsi" w:cstheme="minorHAnsi"/>
                <w:sz w:val="20"/>
                <w:lang w:eastAsia="zh-CN"/>
              </w:rPr>
              <w:t>ISD</w:t>
            </w:r>
            <w:r w:rsidRPr="008B1FF1">
              <w:rPr>
                <w:rFonts w:asciiTheme="minorHAnsi" w:hAnsiTheme="minorHAnsi" w:cstheme="minorHAnsi"/>
                <w:sz w:val="20"/>
                <w:lang w:eastAsia="zh-CN"/>
              </w:rPr>
              <w:t>在与</w:t>
            </w:r>
            <w:r w:rsidRPr="008B1FF1">
              <w:rPr>
                <w:rFonts w:asciiTheme="minorHAnsi" w:hAnsiTheme="minorHAnsi" w:cstheme="minorHAnsi"/>
                <w:sz w:val="20"/>
                <w:lang w:eastAsia="zh-CN"/>
              </w:rPr>
              <w:t>FRMD</w:t>
            </w:r>
            <w:r w:rsidRPr="008B1FF1">
              <w:rPr>
                <w:rFonts w:asciiTheme="minorHAnsi" w:hAnsiTheme="minorHAnsi" w:cstheme="minorHAnsi"/>
                <w:sz w:val="20"/>
                <w:lang w:eastAsia="zh-CN"/>
              </w:rPr>
              <w:t>合作后，实施了</w:t>
            </w:r>
            <w:r w:rsidRPr="008B1FF1">
              <w:rPr>
                <w:rFonts w:asciiTheme="minorHAnsi" w:hAnsiTheme="minorHAnsi" w:cstheme="minorHAnsi"/>
                <w:sz w:val="20"/>
                <w:lang w:eastAsia="zh-CN"/>
              </w:rPr>
              <w:t>SAP</w:t>
            </w:r>
            <w:r w:rsidRPr="008B1FF1">
              <w:rPr>
                <w:rFonts w:asciiTheme="minorHAnsi" w:hAnsiTheme="minorHAnsi" w:cstheme="minorHAnsi"/>
                <w:sz w:val="20"/>
                <w:lang w:eastAsia="zh-CN"/>
              </w:rPr>
              <w:t>自动化三方匹配功能。</w:t>
            </w:r>
          </w:p>
          <w:p w14:paraId="2CFF08A1" w14:textId="3CD36A48"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4EFACF12" w14:textId="6166C2E1" w:rsidR="002F2E4B" w:rsidRPr="008B1FF1" w:rsidRDefault="002F2E4B" w:rsidP="002F2E4B">
            <w:pPr>
              <w:pStyle w:val="Tabletext"/>
              <w:rPr>
                <w:sz w:val="20"/>
                <w:highlight w:val="yellow"/>
                <w:lang w:eastAsia="zh-CN"/>
              </w:rPr>
            </w:pPr>
            <w:r w:rsidRPr="008B1FF1">
              <w:rPr>
                <w:rFonts w:asciiTheme="minorHAnsi" w:hAnsiTheme="minorHAnsi" w:cstheme="minorHAnsi"/>
                <w:sz w:val="20"/>
                <w:lang w:eastAsia="zh-CN"/>
              </w:rPr>
              <w:t>将最新回应记录在案。我们在今年的报告中报告了项目支出的确认情况，并提出了相关的新建议。</w:t>
            </w:r>
          </w:p>
        </w:tc>
        <w:tc>
          <w:tcPr>
            <w:tcW w:w="450" w:type="pct"/>
            <w:shd w:val="clear" w:color="auto" w:fill="auto"/>
          </w:tcPr>
          <w:p w14:paraId="06E6C36E" w14:textId="1E2A2C5F" w:rsidR="002F2E4B" w:rsidRPr="008B1FF1" w:rsidRDefault="00A62A5A" w:rsidP="002F2E4B">
            <w:pPr>
              <w:pStyle w:val="Tabletext"/>
              <w:rPr>
                <w:sz w:val="20"/>
                <w:lang w:eastAsia="zh-CN"/>
              </w:rPr>
            </w:pPr>
            <w:r>
              <w:rPr>
                <w:rFonts w:ascii="SimSun" w:eastAsia="SimSun" w:hAnsi="SimSun" w:cs="SimSun" w:hint="eastAsia"/>
                <w:color w:val="000000"/>
                <w:sz w:val="20"/>
                <w:lang w:eastAsia="zh-CN"/>
              </w:rPr>
              <w:t>已关闭。</w:t>
            </w:r>
          </w:p>
        </w:tc>
      </w:tr>
      <w:tr w:rsidR="002F2E4B" w:rsidRPr="00536D01" w14:paraId="393EAB72" w14:textId="77777777" w:rsidTr="0011737E">
        <w:tc>
          <w:tcPr>
            <w:tcW w:w="5000" w:type="pct"/>
            <w:gridSpan w:val="5"/>
            <w:shd w:val="clear" w:color="auto" w:fill="auto"/>
          </w:tcPr>
          <w:p w14:paraId="0D84C322" w14:textId="6F2A8BF6" w:rsidR="002F2E4B" w:rsidRPr="008B1FF1" w:rsidRDefault="002F2E4B" w:rsidP="002F2E4B">
            <w:pPr>
              <w:pStyle w:val="Tabletitle"/>
              <w:spacing w:before="40" w:after="40"/>
              <w:jc w:val="left"/>
              <w:rPr>
                <w:b w:val="0"/>
                <w:bCs/>
                <w:sz w:val="20"/>
                <w:lang w:eastAsia="zh-CN"/>
              </w:rPr>
            </w:pPr>
            <w:r w:rsidRPr="008B1FF1">
              <w:rPr>
                <w:rFonts w:asciiTheme="minorHAnsi" w:hAnsiTheme="minorHAnsi" w:cstheme="minorHAnsi"/>
                <w:b w:val="0"/>
                <w:bCs/>
                <w:sz w:val="20"/>
                <w:lang w:eastAsia="zh-CN"/>
              </w:rPr>
              <w:lastRenderedPageBreak/>
              <w:t>特别报告：</w:t>
            </w:r>
            <w:r w:rsidRPr="008B1FF1">
              <w:rPr>
                <w:rFonts w:ascii="SimSun" w:eastAsia="SimSun" w:hAnsi="SimSun" w:cstheme="minorHAnsi"/>
                <w:b w:val="0"/>
                <w:bCs/>
                <w:sz w:val="20"/>
                <w:lang w:eastAsia="zh-CN"/>
              </w:rPr>
              <w:t>“</w:t>
            </w:r>
            <w:r w:rsidRPr="008B1FF1">
              <w:rPr>
                <w:rFonts w:asciiTheme="minorHAnsi" w:hAnsiTheme="minorHAnsi" w:cstheme="minorHAnsi"/>
                <w:b w:val="0"/>
                <w:bCs/>
                <w:sz w:val="20"/>
                <w:lang w:eastAsia="zh-CN"/>
              </w:rPr>
              <w:t>解决国际电联一起欺诈案件</w:t>
            </w:r>
            <w:r w:rsidRPr="008B1FF1">
              <w:rPr>
                <w:rFonts w:ascii="SimSun" w:eastAsia="SimSun" w:hAnsi="SimSun" w:cstheme="minorHAnsi"/>
                <w:b w:val="0"/>
                <w:bCs/>
                <w:sz w:val="20"/>
                <w:lang w:eastAsia="zh-CN"/>
              </w:rPr>
              <w:t>”</w:t>
            </w:r>
          </w:p>
        </w:tc>
      </w:tr>
      <w:tr w:rsidR="002F2E4B" w:rsidRPr="00536D01" w14:paraId="79B380B5" w14:textId="77777777" w:rsidTr="0011737E">
        <w:tc>
          <w:tcPr>
            <w:tcW w:w="300" w:type="pct"/>
            <w:shd w:val="clear" w:color="auto" w:fill="auto"/>
          </w:tcPr>
          <w:p w14:paraId="344401D1" w14:textId="58125FEE" w:rsidR="002F2E4B" w:rsidRPr="008B1FF1" w:rsidRDefault="002F2E4B" w:rsidP="002F2E4B">
            <w:pPr>
              <w:pStyle w:val="Tablehead"/>
              <w:rPr>
                <w:b w:val="0"/>
                <w:bCs/>
                <w:sz w:val="20"/>
              </w:rPr>
            </w:pPr>
            <w:r w:rsidRPr="008B1FF1">
              <w:rPr>
                <w:rFonts w:asciiTheme="minorHAnsi" w:hAnsiTheme="minorHAnsi" w:cstheme="minorHAnsi"/>
                <w:b w:val="0"/>
                <w:bCs/>
                <w:sz w:val="20"/>
                <w:lang w:eastAsia="zh-CN"/>
              </w:rPr>
              <w:t>序列</w:t>
            </w:r>
            <w:r w:rsidRPr="008B1FF1">
              <w:rPr>
                <w:rFonts w:asciiTheme="minorHAnsi" w:hAnsiTheme="minorHAnsi" w:cstheme="minorHAnsi"/>
                <w:b w:val="0"/>
                <w:bCs/>
                <w:sz w:val="20"/>
              </w:rPr>
              <w:t>：</w:t>
            </w:r>
          </w:p>
        </w:tc>
        <w:tc>
          <w:tcPr>
            <w:tcW w:w="1450" w:type="pct"/>
            <w:shd w:val="clear" w:color="auto" w:fill="auto"/>
          </w:tcPr>
          <w:p w14:paraId="30067AC1" w14:textId="4A60BE4B" w:rsidR="002F2E4B" w:rsidRPr="008B1FF1" w:rsidRDefault="002F2E4B" w:rsidP="002F2E4B">
            <w:pPr>
              <w:pStyle w:val="Tablehead"/>
              <w:rPr>
                <w:b w:val="0"/>
                <w:bCs/>
                <w:sz w:val="20"/>
              </w:rPr>
            </w:pPr>
            <w:proofErr w:type="spellStart"/>
            <w:r w:rsidRPr="008B1FF1">
              <w:rPr>
                <w:rFonts w:asciiTheme="minorHAnsi" w:hAnsiTheme="minorHAnsi" w:cstheme="minorHAnsi" w:hint="eastAsia"/>
                <w:b w:val="0"/>
                <w:bCs/>
                <w:sz w:val="20"/>
              </w:rPr>
              <w:t>建议</w:t>
            </w:r>
            <w:proofErr w:type="spellEnd"/>
          </w:p>
        </w:tc>
        <w:tc>
          <w:tcPr>
            <w:tcW w:w="1750" w:type="pct"/>
            <w:shd w:val="clear" w:color="auto" w:fill="auto"/>
          </w:tcPr>
          <w:p w14:paraId="03A01110" w14:textId="1D2D475F" w:rsidR="002F2E4B" w:rsidRPr="008B1FF1" w:rsidRDefault="002F2E4B" w:rsidP="002F2E4B">
            <w:pPr>
              <w:pStyle w:val="Tablehead"/>
              <w:rPr>
                <w:b w:val="0"/>
                <w:bCs/>
                <w:sz w:val="20"/>
              </w:rPr>
            </w:pPr>
            <w:proofErr w:type="spellStart"/>
            <w:r w:rsidRPr="008B1FF1">
              <w:rPr>
                <w:rFonts w:asciiTheme="minorHAnsi" w:hAnsiTheme="minorHAnsi" w:cstheme="minorHAnsi" w:hint="eastAsia"/>
                <w:b w:val="0"/>
                <w:bCs/>
                <w:sz w:val="20"/>
              </w:rPr>
              <w:t>管理层的回应</w:t>
            </w:r>
            <w:proofErr w:type="spellEnd"/>
          </w:p>
        </w:tc>
        <w:tc>
          <w:tcPr>
            <w:tcW w:w="1050" w:type="pct"/>
            <w:shd w:val="clear" w:color="auto" w:fill="auto"/>
          </w:tcPr>
          <w:p w14:paraId="2EBB4936" w14:textId="4261CE19" w:rsidR="002F2E4B" w:rsidRPr="008B1FF1" w:rsidRDefault="002F2E4B" w:rsidP="002F2E4B">
            <w:pPr>
              <w:pStyle w:val="Tablehead"/>
              <w:rPr>
                <w:b w:val="0"/>
                <w:bCs/>
                <w:sz w:val="20"/>
              </w:rPr>
            </w:pPr>
            <w:proofErr w:type="spellStart"/>
            <w:r w:rsidRPr="008B1FF1">
              <w:rPr>
                <w:rFonts w:asciiTheme="minorHAnsi" w:hAnsiTheme="minorHAnsi" w:cstheme="minorHAnsi" w:hint="eastAsia"/>
                <w:b w:val="0"/>
                <w:bCs/>
                <w:sz w:val="20"/>
              </w:rPr>
              <w:t>外部审计员的意见</w:t>
            </w:r>
            <w:proofErr w:type="spellEnd"/>
          </w:p>
        </w:tc>
        <w:tc>
          <w:tcPr>
            <w:tcW w:w="450" w:type="pct"/>
            <w:shd w:val="clear" w:color="auto" w:fill="auto"/>
          </w:tcPr>
          <w:p w14:paraId="61F47182" w14:textId="77777777" w:rsidR="002F2E4B" w:rsidRPr="008B1FF1" w:rsidRDefault="002F2E4B" w:rsidP="002F2E4B">
            <w:pPr>
              <w:pStyle w:val="Tablehead"/>
              <w:rPr>
                <w:b w:val="0"/>
                <w:bCs/>
                <w:sz w:val="20"/>
              </w:rPr>
            </w:pPr>
          </w:p>
        </w:tc>
      </w:tr>
      <w:tr w:rsidR="002F2E4B" w:rsidRPr="00536D01" w14:paraId="2204DE84" w14:textId="77777777" w:rsidTr="0011737E">
        <w:tc>
          <w:tcPr>
            <w:tcW w:w="300" w:type="pct"/>
            <w:shd w:val="clear" w:color="auto" w:fill="auto"/>
          </w:tcPr>
          <w:p w14:paraId="765DA2F3" w14:textId="6F150978" w:rsidR="002F2E4B" w:rsidRPr="008B1FF1" w:rsidRDefault="002F2E4B" w:rsidP="002F2E4B">
            <w:pPr>
              <w:pStyle w:val="Tabletext"/>
              <w:rPr>
                <w:sz w:val="20"/>
              </w:rPr>
            </w:pPr>
            <w:r w:rsidRPr="008B1FF1">
              <w:rPr>
                <w:rFonts w:asciiTheme="minorHAnsi" w:hAnsiTheme="minorHAnsi" w:cstheme="minorHAnsi"/>
                <w:sz w:val="20"/>
              </w:rPr>
              <w:t>R#1</w:t>
            </w:r>
          </w:p>
        </w:tc>
        <w:tc>
          <w:tcPr>
            <w:tcW w:w="1450" w:type="pct"/>
            <w:shd w:val="clear" w:color="auto" w:fill="auto"/>
          </w:tcPr>
          <w:p w14:paraId="01414695" w14:textId="039B7216" w:rsidR="002F2E4B" w:rsidRPr="008B1FF1" w:rsidRDefault="002F2E4B" w:rsidP="002F2E4B">
            <w:pPr>
              <w:pStyle w:val="Tabletext"/>
              <w:rPr>
                <w:sz w:val="20"/>
                <w:lang w:eastAsia="zh-CN"/>
              </w:rPr>
            </w:pPr>
            <w:r w:rsidRPr="008B1FF1">
              <w:rPr>
                <w:rFonts w:asciiTheme="minorHAnsi" w:hAnsiTheme="minorHAnsi" w:cstheme="minorHAnsi"/>
                <w:sz w:val="20"/>
                <w:lang w:eastAsia="zh-CN"/>
              </w:rPr>
              <w:t>管理层应详细制定必要的所有时间和程序措施，以防止任何信息泄露，并确保对涉嫌欺诈的案件做出迅速反应，以避免可能的证据被掩盖、洗钱、向可疑供应商不当付款等。</w:t>
            </w:r>
          </w:p>
        </w:tc>
        <w:tc>
          <w:tcPr>
            <w:tcW w:w="1750" w:type="pct"/>
            <w:shd w:val="clear" w:color="auto" w:fill="auto"/>
          </w:tcPr>
          <w:p w14:paraId="75EAD32B"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国际电联注意到第</w:t>
            </w:r>
            <w:r w:rsidRPr="008B1FF1">
              <w:rPr>
                <w:rFonts w:asciiTheme="minorHAnsi" w:hAnsiTheme="minorHAnsi" w:cstheme="minorHAnsi"/>
                <w:sz w:val="20"/>
                <w:lang w:eastAsia="zh-CN"/>
              </w:rPr>
              <w:t>1</w:t>
            </w:r>
            <w:r w:rsidRPr="008B1FF1">
              <w:rPr>
                <w:rFonts w:asciiTheme="minorHAnsi" w:hAnsiTheme="minorHAnsi" w:cstheme="minorHAnsi"/>
                <w:sz w:val="20"/>
                <w:lang w:eastAsia="zh-CN"/>
              </w:rPr>
              <w:t>号建议，该建议已得到落实，将这些方面纳入发布的国际电联调查导则。</w:t>
            </w:r>
          </w:p>
          <w:p w14:paraId="4CB40EEF"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月的最新进展：通过颁布第</w:t>
            </w:r>
            <w:r w:rsidRPr="008B1FF1">
              <w:rPr>
                <w:rFonts w:asciiTheme="minorHAnsi" w:hAnsiTheme="minorHAnsi" w:cstheme="minorHAnsi"/>
                <w:sz w:val="20"/>
                <w:lang w:eastAsia="zh-CN"/>
              </w:rPr>
              <w:t>19/10</w:t>
            </w:r>
            <w:r w:rsidRPr="008B1FF1">
              <w:rPr>
                <w:rFonts w:asciiTheme="minorHAnsi" w:hAnsiTheme="minorHAnsi" w:cstheme="minorHAnsi"/>
                <w:sz w:val="20"/>
                <w:lang w:eastAsia="zh-CN"/>
              </w:rPr>
              <w:t>号行政规定</w:t>
            </w:r>
            <w:r w:rsidRPr="008B1FF1">
              <w:rPr>
                <w:rFonts w:ascii="SimSun" w:eastAsia="SimSun" w:hAnsi="SimSun" w:cstheme="minorHAnsi"/>
                <w:sz w:val="20"/>
                <w:lang w:eastAsia="zh-CN"/>
              </w:rPr>
              <w:t>“</w:t>
            </w:r>
            <w:r w:rsidRPr="008B1FF1">
              <w:rPr>
                <w:rFonts w:asciiTheme="minorHAnsi" w:hAnsiTheme="minorHAnsi" w:cstheme="minorHAnsi"/>
                <w:sz w:val="20"/>
                <w:lang w:eastAsia="zh-CN"/>
              </w:rPr>
              <w:t>国际电联调查导则</w:t>
            </w:r>
            <w:r w:rsidRPr="008B1FF1">
              <w:rPr>
                <w:rFonts w:ascii="SimSun" w:eastAsia="SimSun" w:hAnsi="SimSun" w:cstheme="minorHAnsi"/>
                <w:sz w:val="20"/>
                <w:lang w:eastAsia="zh-CN"/>
              </w:rPr>
              <w:t>”</w:t>
            </w:r>
            <w:r w:rsidRPr="008B1FF1">
              <w:rPr>
                <w:rFonts w:asciiTheme="minorHAnsi" w:hAnsiTheme="minorHAnsi" w:cstheme="minorHAnsi"/>
                <w:sz w:val="20"/>
                <w:lang w:eastAsia="zh-CN"/>
              </w:rPr>
              <w:t>予以了实施。该导则目前正在修订中，以与第</w:t>
            </w:r>
            <w:r w:rsidRPr="008B1FF1">
              <w:rPr>
                <w:rFonts w:asciiTheme="minorHAnsi" w:hAnsiTheme="minorHAnsi" w:cstheme="minorHAnsi"/>
                <w:sz w:val="20"/>
                <w:lang w:eastAsia="zh-CN"/>
              </w:rPr>
              <w:t>24/09</w:t>
            </w:r>
            <w:r w:rsidRPr="008B1FF1">
              <w:rPr>
                <w:rFonts w:asciiTheme="minorHAnsi" w:hAnsiTheme="minorHAnsi" w:cstheme="minorHAnsi"/>
                <w:sz w:val="20"/>
                <w:lang w:eastAsia="zh-CN"/>
              </w:rPr>
              <w:t>号行政规定</w:t>
            </w:r>
            <w:r w:rsidRPr="008B1FF1">
              <w:rPr>
                <w:rFonts w:ascii="SimSun" w:eastAsia="SimSun" w:hAnsi="SimSun" w:cstheme="minorHAnsi"/>
                <w:sz w:val="20"/>
                <w:lang w:eastAsia="zh-CN"/>
              </w:rPr>
              <w:t>“</w:t>
            </w:r>
            <w:r w:rsidRPr="008B1FF1">
              <w:rPr>
                <w:rFonts w:asciiTheme="minorHAnsi" w:hAnsiTheme="minorHAnsi" w:cstheme="minorHAnsi"/>
                <w:sz w:val="20"/>
                <w:lang w:eastAsia="zh-CN"/>
              </w:rPr>
              <w:t>通过国际电联监督章程并澄清不当行为投诉的受理和初步评估（</w:t>
            </w:r>
            <w:r w:rsidRPr="008B1FF1">
              <w:rPr>
                <w:rFonts w:asciiTheme="minorHAnsi" w:hAnsiTheme="minorHAnsi" w:cstheme="minorHAnsi"/>
                <w:sz w:val="20"/>
                <w:lang w:eastAsia="zh-CN"/>
              </w:rPr>
              <w:t>2024</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9</w:t>
            </w:r>
            <w:r w:rsidRPr="008B1FF1">
              <w:rPr>
                <w:rFonts w:asciiTheme="minorHAnsi" w:hAnsiTheme="minorHAnsi" w:cstheme="minorHAnsi"/>
                <w:sz w:val="20"/>
                <w:lang w:eastAsia="zh-CN"/>
              </w:rPr>
              <w:t>月）</w:t>
            </w:r>
            <w:r w:rsidRPr="008B1FF1">
              <w:rPr>
                <w:rFonts w:ascii="SimSun" w:eastAsia="SimSun" w:hAnsi="SimSun" w:cstheme="minorHAnsi"/>
                <w:sz w:val="20"/>
                <w:lang w:eastAsia="zh-CN"/>
              </w:rPr>
              <w:t>”</w:t>
            </w:r>
            <w:r w:rsidRPr="008B1FF1">
              <w:rPr>
                <w:rFonts w:asciiTheme="minorHAnsi" w:hAnsiTheme="minorHAnsi" w:cstheme="minorHAnsi"/>
                <w:sz w:val="20"/>
                <w:lang w:eastAsia="zh-CN"/>
              </w:rPr>
              <w:t>引入的新《监督章程》保持一致。</w:t>
            </w:r>
          </w:p>
          <w:p w14:paraId="59F3E509" w14:textId="32ADB979"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国际电联建议结束本建议。</w:t>
            </w:r>
          </w:p>
        </w:tc>
        <w:tc>
          <w:tcPr>
            <w:tcW w:w="1050" w:type="pct"/>
            <w:shd w:val="clear" w:color="auto" w:fill="auto"/>
          </w:tcPr>
          <w:p w14:paraId="7CA65EDC" w14:textId="1DEC9ED9" w:rsidR="002F2E4B" w:rsidRPr="008B1FF1" w:rsidRDefault="002F2E4B" w:rsidP="002F2E4B">
            <w:pPr>
              <w:pStyle w:val="Tabletext"/>
              <w:rPr>
                <w:sz w:val="20"/>
                <w:lang w:eastAsia="zh-CN"/>
              </w:rPr>
            </w:pPr>
            <w:r w:rsidRPr="008B1FF1">
              <w:rPr>
                <w:rFonts w:asciiTheme="minorHAnsi" w:hAnsiTheme="minorHAnsi" w:cstheme="minorHAnsi"/>
                <w:sz w:val="20"/>
                <w:lang w:eastAsia="zh-CN"/>
              </w:rPr>
              <w:t>由意大利审计院在其最后报告中终结（</w:t>
            </w:r>
            <w:r>
              <w:fldChar w:fldCharType="begin"/>
            </w:r>
            <w:r>
              <w:rPr>
                <w:lang w:eastAsia="zh-CN"/>
              </w:rPr>
              <w:instrText>HYPERLINK "https://www.itu.int/md/S22-CL-C-0101/en"</w:instrText>
            </w:r>
            <w:r>
              <w:fldChar w:fldCharType="separate"/>
            </w:r>
            <w:proofErr w:type="spellStart"/>
            <w:r w:rsidRPr="008B1FF1">
              <w:rPr>
                <w:rStyle w:val="Hyperlink"/>
                <w:rFonts w:asciiTheme="minorHAnsi" w:hAnsiTheme="minorHAnsi" w:cstheme="minorHAnsi"/>
                <w:sz w:val="20"/>
                <w:lang w:eastAsia="zh-CN"/>
              </w:rPr>
              <w:t>C22</w:t>
            </w:r>
            <w:proofErr w:type="spellEnd"/>
            <w:r w:rsidRPr="008B1FF1">
              <w:rPr>
                <w:rStyle w:val="Hyperlink"/>
                <w:rFonts w:asciiTheme="minorHAnsi" w:hAnsiTheme="minorHAnsi" w:cstheme="minorHAnsi"/>
                <w:sz w:val="20"/>
                <w:lang w:eastAsia="zh-CN"/>
              </w:rPr>
              <w:t>/101</w:t>
            </w:r>
            <w:r>
              <w:fldChar w:fldCharType="end"/>
            </w:r>
            <w:r w:rsidRPr="008B1FF1">
              <w:rPr>
                <w:rFonts w:asciiTheme="minorHAnsi" w:hAnsiTheme="minorHAnsi" w:cstheme="minorHAnsi"/>
                <w:sz w:val="20"/>
                <w:lang w:eastAsia="zh-CN"/>
              </w:rPr>
              <w:t>号文件附件</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w:t>
            </w:r>
          </w:p>
        </w:tc>
        <w:tc>
          <w:tcPr>
            <w:tcW w:w="450" w:type="pct"/>
            <w:shd w:val="clear" w:color="auto" w:fill="auto"/>
          </w:tcPr>
          <w:p w14:paraId="159220E6" w14:textId="1B7DDE85" w:rsidR="002F2E4B" w:rsidRPr="008B1FF1" w:rsidRDefault="00A62A5A" w:rsidP="002F2E4B">
            <w:pPr>
              <w:pStyle w:val="Tabletext"/>
              <w:rPr>
                <w:sz w:val="20"/>
              </w:rPr>
            </w:pPr>
            <w:r>
              <w:rPr>
                <w:rFonts w:ascii="SimSun" w:eastAsia="SimSun" w:hAnsi="SimSun" w:cs="SimSun" w:hint="eastAsia"/>
                <w:color w:val="000000"/>
                <w:sz w:val="20"/>
                <w:lang w:eastAsia="zh-CN"/>
              </w:rPr>
              <w:t>已关闭。</w:t>
            </w:r>
          </w:p>
        </w:tc>
      </w:tr>
      <w:tr w:rsidR="002F2E4B" w:rsidRPr="00536D01" w14:paraId="43DC4D14" w14:textId="77777777" w:rsidTr="0011737E">
        <w:tc>
          <w:tcPr>
            <w:tcW w:w="300" w:type="pct"/>
            <w:shd w:val="clear" w:color="auto" w:fill="auto"/>
          </w:tcPr>
          <w:p w14:paraId="2FD921F4" w14:textId="33DEEA05" w:rsidR="002F2E4B" w:rsidRPr="008B1FF1" w:rsidRDefault="002F2E4B" w:rsidP="002F2E4B">
            <w:pPr>
              <w:pStyle w:val="Tabletext"/>
              <w:rPr>
                <w:sz w:val="20"/>
              </w:rPr>
            </w:pPr>
            <w:r w:rsidRPr="008B1FF1">
              <w:rPr>
                <w:rFonts w:asciiTheme="minorHAnsi" w:hAnsiTheme="minorHAnsi" w:cstheme="minorHAnsi"/>
                <w:sz w:val="20"/>
              </w:rPr>
              <w:t>R#2</w:t>
            </w:r>
          </w:p>
        </w:tc>
        <w:tc>
          <w:tcPr>
            <w:tcW w:w="1450" w:type="pct"/>
            <w:shd w:val="clear" w:color="auto" w:fill="auto"/>
          </w:tcPr>
          <w:p w14:paraId="37F869BA" w14:textId="562432BF" w:rsidR="002F2E4B" w:rsidRPr="008B1FF1" w:rsidRDefault="002F2E4B" w:rsidP="002F2E4B">
            <w:pPr>
              <w:pStyle w:val="Tabletext"/>
              <w:rPr>
                <w:sz w:val="20"/>
                <w:lang w:eastAsia="zh-CN"/>
              </w:rPr>
            </w:pPr>
            <w:r w:rsidRPr="008B1FF1">
              <w:rPr>
                <w:rFonts w:asciiTheme="minorHAnsi" w:hAnsiTheme="minorHAnsi" w:cstheme="minorHAnsi"/>
                <w:sz w:val="20"/>
                <w:lang w:eastAsia="zh-CN"/>
              </w:rPr>
              <w:t>管理层应采用全面和详细的程序和</w:t>
            </w:r>
            <w:r w:rsidRPr="008B1FF1">
              <w:rPr>
                <w:rFonts w:asciiTheme="minorHAnsi" w:hAnsiTheme="minorHAnsi" w:cstheme="minorHAnsi"/>
                <w:sz w:val="20"/>
                <w:lang w:eastAsia="zh-CN"/>
              </w:rPr>
              <w:t>/</w:t>
            </w:r>
            <w:r w:rsidRPr="008B1FF1">
              <w:rPr>
                <w:rFonts w:asciiTheme="minorHAnsi" w:hAnsiTheme="minorHAnsi" w:cstheme="minorHAnsi"/>
                <w:sz w:val="20"/>
                <w:lang w:eastAsia="zh-CN"/>
              </w:rPr>
              <w:t>或清单，明确说明应遵循哪些步骤来推进进程，并禁止与欺诈嫌疑人的任何接触（如电话、电子邮件），因为这可能不利于后续的证据收集。</w:t>
            </w:r>
          </w:p>
        </w:tc>
        <w:tc>
          <w:tcPr>
            <w:tcW w:w="1750" w:type="pct"/>
            <w:shd w:val="clear" w:color="auto" w:fill="auto"/>
          </w:tcPr>
          <w:p w14:paraId="4B774DF9"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国际电联注意到第</w:t>
            </w:r>
            <w:r w:rsidRPr="008B1FF1">
              <w:rPr>
                <w:rFonts w:asciiTheme="minorHAnsi" w:hAnsiTheme="minorHAnsi" w:cstheme="minorHAnsi"/>
                <w:sz w:val="20"/>
                <w:lang w:eastAsia="zh-CN"/>
              </w:rPr>
              <w:t>2</w:t>
            </w:r>
            <w:r w:rsidRPr="008B1FF1">
              <w:rPr>
                <w:rFonts w:asciiTheme="minorHAnsi" w:hAnsiTheme="minorHAnsi" w:cstheme="minorHAnsi"/>
                <w:sz w:val="20"/>
                <w:lang w:eastAsia="zh-CN"/>
              </w:rPr>
              <w:t>号建议，该建议已得到落实，将此方面纳入发布的《国际电联调查导则》。</w:t>
            </w:r>
          </w:p>
          <w:p w14:paraId="3AF72B77"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月的最新进展：这些方面已纳入《国际电联调查导则》</w:t>
            </w:r>
          </w:p>
          <w:p w14:paraId="374B3E30"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月的最新进展：通过颁布第</w:t>
            </w:r>
            <w:r w:rsidRPr="008B1FF1">
              <w:rPr>
                <w:rFonts w:asciiTheme="minorHAnsi" w:hAnsiTheme="minorHAnsi" w:cstheme="minorHAnsi"/>
                <w:sz w:val="20"/>
                <w:lang w:eastAsia="zh-CN"/>
              </w:rPr>
              <w:t>19/10</w:t>
            </w:r>
            <w:r w:rsidRPr="008B1FF1">
              <w:rPr>
                <w:rFonts w:asciiTheme="minorHAnsi" w:hAnsiTheme="minorHAnsi" w:cstheme="minorHAnsi"/>
                <w:sz w:val="20"/>
                <w:lang w:eastAsia="zh-CN"/>
              </w:rPr>
              <w:t>号行政规定</w:t>
            </w:r>
            <w:r w:rsidRPr="008B1FF1">
              <w:rPr>
                <w:rFonts w:ascii="SimSun" w:eastAsia="SimSun" w:hAnsi="SimSun" w:cstheme="minorHAnsi"/>
                <w:sz w:val="20"/>
                <w:lang w:eastAsia="zh-CN"/>
              </w:rPr>
              <w:t>“</w:t>
            </w:r>
            <w:r w:rsidRPr="008B1FF1">
              <w:rPr>
                <w:rFonts w:asciiTheme="minorHAnsi" w:hAnsiTheme="minorHAnsi" w:cstheme="minorHAnsi"/>
                <w:sz w:val="20"/>
                <w:lang w:eastAsia="zh-CN"/>
              </w:rPr>
              <w:t>国际电联调查导则</w:t>
            </w:r>
            <w:r w:rsidRPr="008B1FF1">
              <w:rPr>
                <w:rFonts w:ascii="SimSun" w:eastAsia="SimSun" w:hAnsi="SimSun" w:cstheme="minorHAnsi"/>
                <w:sz w:val="20"/>
                <w:lang w:eastAsia="zh-CN"/>
              </w:rPr>
              <w:t>”</w:t>
            </w:r>
            <w:r w:rsidRPr="008B1FF1">
              <w:rPr>
                <w:rFonts w:asciiTheme="minorHAnsi" w:hAnsiTheme="minorHAnsi" w:cstheme="minorHAnsi"/>
                <w:sz w:val="20"/>
                <w:lang w:eastAsia="zh-CN"/>
              </w:rPr>
              <w:t>予以了实施。该导则目前正在修订中，以与第</w:t>
            </w:r>
            <w:r w:rsidRPr="008B1FF1">
              <w:rPr>
                <w:rFonts w:asciiTheme="minorHAnsi" w:hAnsiTheme="minorHAnsi" w:cstheme="minorHAnsi"/>
                <w:sz w:val="20"/>
                <w:lang w:eastAsia="zh-CN"/>
              </w:rPr>
              <w:t>24/09</w:t>
            </w:r>
            <w:r w:rsidRPr="008B1FF1">
              <w:rPr>
                <w:rFonts w:asciiTheme="minorHAnsi" w:hAnsiTheme="minorHAnsi" w:cstheme="minorHAnsi"/>
                <w:sz w:val="20"/>
                <w:lang w:eastAsia="zh-CN"/>
              </w:rPr>
              <w:t>号行政规定</w:t>
            </w:r>
            <w:r w:rsidRPr="008B1FF1">
              <w:rPr>
                <w:rFonts w:ascii="SimSun" w:eastAsia="SimSun" w:hAnsi="SimSun" w:cstheme="minorHAnsi"/>
                <w:sz w:val="20"/>
                <w:lang w:eastAsia="zh-CN"/>
              </w:rPr>
              <w:t>“</w:t>
            </w:r>
            <w:r w:rsidRPr="008B1FF1">
              <w:rPr>
                <w:rFonts w:asciiTheme="minorHAnsi" w:hAnsiTheme="minorHAnsi" w:cstheme="minorHAnsi"/>
                <w:sz w:val="20"/>
                <w:lang w:eastAsia="zh-CN"/>
              </w:rPr>
              <w:t>通过国际电联监督章程并澄清不当行为投诉的受理和初步评估（</w:t>
            </w:r>
            <w:r w:rsidRPr="008B1FF1">
              <w:rPr>
                <w:rFonts w:asciiTheme="minorHAnsi" w:hAnsiTheme="minorHAnsi" w:cstheme="minorHAnsi"/>
                <w:sz w:val="20"/>
                <w:lang w:eastAsia="zh-CN"/>
              </w:rPr>
              <w:t>2024</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9</w:t>
            </w:r>
            <w:r w:rsidRPr="008B1FF1">
              <w:rPr>
                <w:rFonts w:asciiTheme="minorHAnsi" w:hAnsiTheme="minorHAnsi" w:cstheme="minorHAnsi"/>
                <w:sz w:val="20"/>
                <w:lang w:eastAsia="zh-CN"/>
              </w:rPr>
              <w:t>月）</w:t>
            </w:r>
            <w:r w:rsidRPr="008B1FF1">
              <w:rPr>
                <w:rFonts w:ascii="SimSun" w:eastAsia="SimSun" w:hAnsi="SimSun" w:cstheme="minorHAnsi"/>
                <w:sz w:val="20"/>
                <w:lang w:eastAsia="zh-CN"/>
              </w:rPr>
              <w:t>”</w:t>
            </w:r>
            <w:r w:rsidRPr="008B1FF1">
              <w:rPr>
                <w:rFonts w:asciiTheme="minorHAnsi" w:hAnsiTheme="minorHAnsi" w:cstheme="minorHAnsi"/>
                <w:sz w:val="20"/>
                <w:lang w:eastAsia="zh-CN"/>
              </w:rPr>
              <w:t>引入的新《监督章程》保持一致。在正确处理证据的专业调查能力方面，</w:t>
            </w:r>
            <w:r w:rsidRPr="008B1FF1">
              <w:rPr>
                <w:rFonts w:asciiTheme="minorHAnsi" w:hAnsiTheme="minorHAnsi" w:cstheme="minorHAnsi"/>
                <w:sz w:val="20"/>
                <w:lang w:eastAsia="zh-CN"/>
              </w:rPr>
              <w:t>2020</w:t>
            </w:r>
            <w:r w:rsidRPr="008B1FF1">
              <w:rPr>
                <w:rFonts w:asciiTheme="minorHAnsi" w:hAnsiTheme="minorHAnsi" w:cstheme="minorHAnsi"/>
                <w:sz w:val="20"/>
                <w:lang w:eastAsia="zh-CN"/>
              </w:rPr>
              <w:t>年，理事会批准了一个</w:t>
            </w:r>
            <w:r w:rsidRPr="008B1FF1">
              <w:rPr>
                <w:rFonts w:asciiTheme="minorHAnsi" w:hAnsiTheme="minorHAnsi" w:cstheme="minorHAnsi"/>
                <w:sz w:val="20"/>
                <w:lang w:eastAsia="zh-CN"/>
              </w:rPr>
              <w:t>P5</w:t>
            </w:r>
            <w:r w:rsidRPr="008B1FF1">
              <w:rPr>
                <w:rFonts w:asciiTheme="minorHAnsi" w:hAnsiTheme="minorHAnsi" w:cstheme="minorHAnsi"/>
                <w:sz w:val="20"/>
                <w:lang w:eastAsia="zh-CN"/>
              </w:rPr>
              <w:t>调查负责人职位。新任负责人于</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1</w:t>
            </w:r>
            <w:r w:rsidRPr="008B1FF1">
              <w:rPr>
                <w:rFonts w:asciiTheme="minorHAnsi" w:hAnsiTheme="minorHAnsi" w:cstheme="minorHAnsi"/>
                <w:sz w:val="20"/>
                <w:lang w:eastAsia="zh-CN"/>
              </w:rPr>
              <w:t>月入职国际电联。新的《监督章程》还包括一项调查职能，监督处由一名经验丰富的调查员领导。</w:t>
            </w:r>
          </w:p>
          <w:p w14:paraId="3F7C8430" w14:textId="5C9D75A0"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国际电联建议结束本建议。</w:t>
            </w:r>
          </w:p>
        </w:tc>
        <w:tc>
          <w:tcPr>
            <w:tcW w:w="1050" w:type="pct"/>
            <w:shd w:val="clear" w:color="auto" w:fill="auto"/>
          </w:tcPr>
          <w:p w14:paraId="26E7ED25" w14:textId="354766F7" w:rsidR="002F2E4B" w:rsidRPr="008B1FF1" w:rsidRDefault="002F2E4B" w:rsidP="002F2E4B">
            <w:pPr>
              <w:pStyle w:val="Tabletext"/>
              <w:rPr>
                <w:sz w:val="20"/>
                <w:lang w:eastAsia="zh-CN"/>
              </w:rPr>
            </w:pPr>
            <w:r w:rsidRPr="008B1FF1">
              <w:rPr>
                <w:rFonts w:asciiTheme="minorHAnsi" w:hAnsiTheme="minorHAnsi" w:cstheme="minorHAnsi"/>
                <w:sz w:val="20"/>
                <w:lang w:eastAsia="zh-CN"/>
              </w:rPr>
              <w:t>由意大利审计院在其最后报告中结束（</w:t>
            </w:r>
            <w:r>
              <w:fldChar w:fldCharType="begin"/>
            </w:r>
            <w:r>
              <w:rPr>
                <w:lang w:eastAsia="zh-CN"/>
              </w:rPr>
              <w:instrText>HYPERLINK "https://www.itu.int/md/S22-CL-C-0101/en"</w:instrText>
            </w:r>
            <w:r>
              <w:fldChar w:fldCharType="separate"/>
            </w:r>
            <w:proofErr w:type="spellStart"/>
            <w:r w:rsidRPr="008B1FF1">
              <w:rPr>
                <w:rStyle w:val="Hyperlink"/>
                <w:rFonts w:asciiTheme="minorHAnsi" w:hAnsiTheme="minorHAnsi" w:cstheme="minorHAnsi"/>
                <w:sz w:val="20"/>
                <w:lang w:eastAsia="zh-CN"/>
              </w:rPr>
              <w:t>C22</w:t>
            </w:r>
            <w:proofErr w:type="spellEnd"/>
            <w:r w:rsidRPr="008B1FF1">
              <w:rPr>
                <w:rStyle w:val="Hyperlink"/>
                <w:rFonts w:asciiTheme="minorHAnsi" w:hAnsiTheme="minorHAnsi" w:cstheme="minorHAnsi"/>
                <w:sz w:val="20"/>
                <w:lang w:eastAsia="zh-CN"/>
              </w:rPr>
              <w:t>/101</w:t>
            </w:r>
            <w:r>
              <w:fldChar w:fldCharType="end"/>
            </w:r>
            <w:r w:rsidRPr="008B1FF1">
              <w:rPr>
                <w:rFonts w:asciiTheme="minorHAnsi" w:hAnsiTheme="minorHAnsi" w:cstheme="minorHAnsi"/>
                <w:sz w:val="20"/>
                <w:lang w:eastAsia="zh-CN"/>
              </w:rPr>
              <w:t>号文件附件</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w:t>
            </w:r>
          </w:p>
        </w:tc>
        <w:tc>
          <w:tcPr>
            <w:tcW w:w="450" w:type="pct"/>
            <w:shd w:val="clear" w:color="auto" w:fill="auto"/>
          </w:tcPr>
          <w:p w14:paraId="2A8177C3" w14:textId="768A7B8A" w:rsidR="002F2E4B" w:rsidRPr="008B1FF1" w:rsidRDefault="00A62A5A" w:rsidP="002F2E4B">
            <w:pPr>
              <w:pStyle w:val="Tabletext"/>
              <w:rPr>
                <w:sz w:val="20"/>
              </w:rPr>
            </w:pPr>
            <w:r>
              <w:rPr>
                <w:rFonts w:ascii="SimSun" w:eastAsia="SimSun" w:hAnsi="SimSun" w:cs="SimSun" w:hint="eastAsia"/>
                <w:color w:val="000000"/>
                <w:sz w:val="20"/>
                <w:lang w:eastAsia="zh-CN"/>
              </w:rPr>
              <w:t>已关闭。</w:t>
            </w:r>
          </w:p>
        </w:tc>
      </w:tr>
      <w:tr w:rsidR="002F2E4B" w:rsidRPr="00536D01" w14:paraId="4A1EAEAA" w14:textId="77777777" w:rsidTr="0011737E">
        <w:tc>
          <w:tcPr>
            <w:tcW w:w="300" w:type="pct"/>
            <w:shd w:val="clear" w:color="auto" w:fill="auto"/>
          </w:tcPr>
          <w:p w14:paraId="7585DEEA" w14:textId="6239EF2F" w:rsidR="002F2E4B" w:rsidRPr="008B1FF1" w:rsidRDefault="002F2E4B" w:rsidP="00DA4FB1">
            <w:pPr>
              <w:pStyle w:val="Tabletext"/>
              <w:keepLines/>
              <w:rPr>
                <w:sz w:val="20"/>
              </w:rPr>
            </w:pPr>
            <w:r w:rsidRPr="008B1FF1">
              <w:rPr>
                <w:rFonts w:asciiTheme="minorHAnsi" w:hAnsiTheme="minorHAnsi" w:cstheme="minorHAnsi"/>
                <w:sz w:val="20"/>
              </w:rPr>
              <w:lastRenderedPageBreak/>
              <w:t>R#3</w:t>
            </w:r>
          </w:p>
        </w:tc>
        <w:tc>
          <w:tcPr>
            <w:tcW w:w="1450" w:type="pct"/>
            <w:shd w:val="clear" w:color="auto" w:fill="auto"/>
          </w:tcPr>
          <w:p w14:paraId="2BC5B15E" w14:textId="1C7ECEAE" w:rsidR="002F2E4B" w:rsidRPr="008B1FF1" w:rsidRDefault="002F2E4B" w:rsidP="00DA4FB1">
            <w:pPr>
              <w:pStyle w:val="Tabletext"/>
              <w:keepLines/>
              <w:rPr>
                <w:sz w:val="20"/>
                <w:lang w:eastAsia="zh-CN"/>
              </w:rPr>
            </w:pPr>
            <w:r w:rsidRPr="008B1FF1">
              <w:rPr>
                <w:rFonts w:asciiTheme="minorHAnsi" w:hAnsiTheme="minorHAnsi" w:cstheme="minorHAnsi"/>
                <w:sz w:val="20"/>
                <w:lang w:eastAsia="zh-CN"/>
              </w:rPr>
              <w:t>根据国际电联和联合国的法律框架，新程序还应包含具体指导，明确指示调查人员遇到坦白交代的情况或有足够的证据表明欺诈的可能性很高的情况，如何在调查程序完成之前避免可能给机构带来重大财务损失的进一步付款</w:t>
            </w:r>
          </w:p>
        </w:tc>
        <w:tc>
          <w:tcPr>
            <w:tcW w:w="1750" w:type="pct"/>
            <w:shd w:val="clear" w:color="auto" w:fill="auto"/>
          </w:tcPr>
          <w:p w14:paraId="6C4EFAB0" w14:textId="77777777" w:rsidR="002F2E4B" w:rsidRPr="008B1FF1" w:rsidRDefault="002F2E4B" w:rsidP="00DA4FB1">
            <w:pPr>
              <w:pStyle w:val="Tabletext"/>
              <w:keepLines/>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月的最新进展：通过颁布第</w:t>
            </w:r>
            <w:r w:rsidRPr="008B1FF1">
              <w:rPr>
                <w:rFonts w:asciiTheme="minorHAnsi" w:hAnsiTheme="minorHAnsi" w:cstheme="minorHAnsi"/>
                <w:sz w:val="20"/>
                <w:lang w:eastAsia="zh-CN"/>
              </w:rPr>
              <w:t>19/10</w:t>
            </w:r>
            <w:r w:rsidRPr="008B1FF1">
              <w:rPr>
                <w:rFonts w:asciiTheme="minorHAnsi" w:hAnsiTheme="minorHAnsi" w:cstheme="minorHAnsi"/>
                <w:sz w:val="20"/>
                <w:lang w:eastAsia="zh-CN"/>
              </w:rPr>
              <w:t>号行政规定</w:t>
            </w:r>
            <w:r w:rsidRPr="008B1FF1">
              <w:rPr>
                <w:rFonts w:ascii="SimSun" w:eastAsia="SimSun" w:hAnsi="SimSun" w:cstheme="minorHAnsi"/>
                <w:sz w:val="20"/>
                <w:lang w:eastAsia="zh-CN"/>
              </w:rPr>
              <w:t>“</w:t>
            </w:r>
            <w:r w:rsidRPr="008B1FF1">
              <w:rPr>
                <w:rFonts w:asciiTheme="minorHAnsi" w:hAnsiTheme="minorHAnsi" w:cstheme="minorHAnsi"/>
                <w:sz w:val="20"/>
                <w:lang w:eastAsia="zh-CN"/>
              </w:rPr>
              <w:t>国际电联调查导则</w:t>
            </w:r>
            <w:r w:rsidRPr="008B1FF1">
              <w:rPr>
                <w:rFonts w:ascii="SimSun" w:eastAsia="SimSun" w:hAnsi="SimSun" w:cstheme="minorHAnsi"/>
                <w:sz w:val="20"/>
                <w:lang w:eastAsia="zh-CN"/>
              </w:rPr>
              <w:t>”</w:t>
            </w:r>
            <w:r w:rsidRPr="008B1FF1">
              <w:rPr>
                <w:rFonts w:asciiTheme="minorHAnsi" w:hAnsiTheme="minorHAnsi" w:cstheme="minorHAnsi"/>
                <w:sz w:val="20"/>
                <w:lang w:eastAsia="zh-CN"/>
              </w:rPr>
              <w:t>实施。该导则包括可能对调查对象暂时停职等措施，已作进一步修订，以与第</w:t>
            </w:r>
            <w:r w:rsidRPr="008B1FF1">
              <w:rPr>
                <w:rFonts w:asciiTheme="minorHAnsi" w:hAnsiTheme="minorHAnsi" w:cstheme="minorHAnsi"/>
                <w:sz w:val="20"/>
                <w:lang w:eastAsia="zh-CN"/>
              </w:rPr>
              <w:t>24/09</w:t>
            </w:r>
            <w:r w:rsidRPr="008B1FF1">
              <w:rPr>
                <w:rFonts w:asciiTheme="minorHAnsi" w:hAnsiTheme="minorHAnsi" w:cstheme="minorHAnsi"/>
                <w:sz w:val="20"/>
                <w:lang w:eastAsia="zh-CN"/>
              </w:rPr>
              <w:t>号行政规定</w:t>
            </w:r>
            <w:r w:rsidRPr="008B1FF1">
              <w:rPr>
                <w:rFonts w:ascii="SimSun" w:eastAsia="SimSun" w:hAnsi="SimSun" w:cstheme="minorHAnsi"/>
                <w:sz w:val="20"/>
                <w:lang w:eastAsia="zh-CN"/>
              </w:rPr>
              <w:t>“</w:t>
            </w:r>
            <w:r w:rsidRPr="008B1FF1">
              <w:rPr>
                <w:rFonts w:asciiTheme="minorHAnsi" w:hAnsiTheme="minorHAnsi" w:cstheme="minorHAnsi"/>
                <w:sz w:val="20"/>
                <w:lang w:eastAsia="zh-CN"/>
              </w:rPr>
              <w:t>通过国际电联监督章程并澄清不当行为投诉的受理和初步评估（</w:t>
            </w:r>
            <w:r w:rsidRPr="008B1FF1">
              <w:rPr>
                <w:rFonts w:asciiTheme="minorHAnsi" w:hAnsiTheme="minorHAnsi" w:cstheme="minorHAnsi"/>
                <w:sz w:val="20"/>
                <w:lang w:eastAsia="zh-CN"/>
              </w:rPr>
              <w:t>2024</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9</w:t>
            </w:r>
            <w:r w:rsidRPr="008B1FF1">
              <w:rPr>
                <w:rFonts w:asciiTheme="minorHAnsi" w:hAnsiTheme="minorHAnsi" w:cstheme="minorHAnsi"/>
                <w:sz w:val="20"/>
                <w:lang w:eastAsia="zh-CN"/>
              </w:rPr>
              <w:t>月）</w:t>
            </w:r>
            <w:r w:rsidRPr="008B1FF1">
              <w:rPr>
                <w:rFonts w:ascii="SimSun" w:eastAsia="SimSun" w:hAnsi="SimSun" w:cstheme="minorHAnsi"/>
                <w:sz w:val="20"/>
                <w:lang w:eastAsia="zh-CN"/>
              </w:rPr>
              <w:t>”</w:t>
            </w:r>
            <w:r w:rsidRPr="008B1FF1">
              <w:rPr>
                <w:rFonts w:asciiTheme="minorHAnsi" w:hAnsiTheme="minorHAnsi" w:cstheme="minorHAnsi"/>
                <w:sz w:val="20"/>
                <w:lang w:eastAsia="zh-CN"/>
              </w:rPr>
              <w:t>引入的新《监督章程》保持一致。导则的修订提供了更多的临时措施，如人员调岗。</w:t>
            </w:r>
          </w:p>
          <w:p w14:paraId="522CE0AC" w14:textId="2CF4318B" w:rsidR="002F2E4B" w:rsidRPr="008B1FF1" w:rsidRDefault="002F2E4B" w:rsidP="00DA4FB1">
            <w:pPr>
              <w:pStyle w:val="Tabletext"/>
              <w:keepLines/>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1EB3F9BB" w14:textId="15400FE3" w:rsidR="002F2E4B" w:rsidRPr="008B1FF1" w:rsidRDefault="002F2E4B" w:rsidP="00DA4FB1">
            <w:pPr>
              <w:pStyle w:val="Tabletext"/>
              <w:keepLines/>
              <w:rPr>
                <w:sz w:val="20"/>
              </w:rPr>
            </w:pPr>
            <w:r w:rsidRPr="008B1FF1">
              <w:rPr>
                <w:rFonts w:asciiTheme="minorHAnsi" w:hAnsiTheme="minorHAnsi" w:cstheme="minorHAnsi"/>
                <w:sz w:val="20"/>
                <w:lang w:eastAsia="zh-CN"/>
              </w:rPr>
              <w:t>注意到最新的回应并认为是合理的。</w:t>
            </w:r>
            <w:r w:rsidRPr="008B1FF1">
              <w:rPr>
                <w:rFonts w:asciiTheme="minorHAnsi" w:hAnsiTheme="minorHAnsi" w:cstheme="minorHAnsi" w:hint="eastAsia"/>
                <w:sz w:val="20"/>
                <w:lang w:eastAsia="zh-CN"/>
              </w:rPr>
              <w:t>该建议已完成。</w:t>
            </w:r>
          </w:p>
        </w:tc>
        <w:tc>
          <w:tcPr>
            <w:tcW w:w="450" w:type="pct"/>
            <w:shd w:val="clear" w:color="auto" w:fill="auto"/>
          </w:tcPr>
          <w:p w14:paraId="79804D34" w14:textId="090CF0EE" w:rsidR="002F2E4B" w:rsidRPr="008B1FF1" w:rsidRDefault="00A62A5A" w:rsidP="00DA4FB1">
            <w:pPr>
              <w:pStyle w:val="Tabletext"/>
              <w:keepLines/>
              <w:rPr>
                <w:sz w:val="20"/>
              </w:rPr>
            </w:pPr>
            <w:r>
              <w:rPr>
                <w:rFonts w:ascii="SimSun" w:eastAsia="SimSun" w:hAnsi="SimSun" w:cs="SimSun" w:hint="eastAsia"/>
                <w:color w:val="000000"/>
                <w:sz w:val="20"/>
                <w:lang w:eastAsia="zh-CN"/>
              </w:rPr>
              <w:t>已关闭。</w:t>
            </w:r>
          </w:p>
        </w:tc>
      </w:tr>
      <w:tr w:rsidR="002F2E4B" w:rsidRPr="00536D01" w14:paraId="16BDB428" w14:textId="77777777" w:rsidTr="0011737E">
        <w:tc>
          <w:tcPr>
            <w:tcW w:w="300" w:type="pct"/>
            <w:shd w:val="clear" w:color="auto" w:fill="auto"/>
          </w:tcPr>
          <w:p w14:paraId="161F8375" w14:textId="24DD6F6F" w:rsidR="002F2E4B" w:rsidRPr="008B1FF1" w:rsidRDefault="002F2E4B" w:rsidP="002F2E4B">
            <w:pPr>
              <w:pStyle w:val="Tabletext"/>
              <w:rPr>
                <w:sz w:val="20"/>
              </w:rPr>
            </w:pPr>
            <w:r w:rsidRPr="008B1FF1">
              <w:rPr>
                <w:rFonts w:asciiTheme="minorHAnsi" w:hAnsiTheme="minorHAnsi" w:cstheme="minorHAnsi"/>
                <w:sz w:val="20"/>
              </w:rPr>
              <w:t>R#4</w:t>
            </w:r>
          </w:p>
        </w:tc>
        <w:tc>
          <w:tcPr>
            <w:tcW w:w="1450" w:type="pct"/>
            <w:shd w:val="clear" w:color="auto" w:fill="auto"/>
          </w:tcPr>
          <w:p w14:paraId="5202CEDC" w14:textId="10992B9C" w:rsidR="002F2E4B" w:rsidRPr="008B1FF1" w:rsidRDefault="002F2E4B" w:rsidP="002F2E4B">
            <w:pPr>
              <w:pStyle w:val="Tabletext"/>
              <w:rPr>
                <w:sz w:val="20"/>
                <w:lang w:eastAsia="zh-CN"/>
              </w:rPr>
            </w:pPr>
            <w:r w:rsidRPr="008B1FF1">
              <w:rPr>
                <w:rFonts w:asciiTheme="minorHAnsi" w:hAnsiTheme="minorHAnsi" w:cstheme="minorHAnsi"/>
                <w:sz w:val="20"/>
                <w:lang w:eastAsia="zh-CN"/>
              </w:rPr>
              <w:t>在新的反欺诈程序框架内，应考虑到所有部门之间加强沟通和协调的必要性，以便采取行动，最大限度地减少声誉风险和欺诈损害，并防止机构进一步遭受财务损失</w:t>
            </w:r>
          </w:p>
        </w:tc>
        <w:tc>
          <w:tcPr>
            <w:tcW w:w="1750" w:type="pct"/>
            <w:shd w:val="clear" w:color="auto" w:fill="auto"/>
          </w:tcPr>
          <w:p w14:paraId="04050C08"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国际电联管理层同意建议</w:t>
            </w:r>
            <w:r w:rsidRPr="008B1FF1">
              <w:rPr>
                <w:rFonts w:asciiTheme="minorHAnsi" w:hAnsiTheme="minorHAnsi" w:cstheme="minorHAnsi"/>
                <w:sz w:val="20"/>
                <w:lang w:eastAsia="zh-CN"/>
              </w:rPr>
              <w:t>4</w:t>
            </w:r>
            <w:r w:rsidRPr="008B1FF1">
              <w:rPr>
                <w:rFonts w:asciiTheme="minorHAnsi" w:hAnsiTheme="minorHAnsi" w:cstheme="minorHAnsi"/>
                <w:sz w:val="20"/>
                <w:lang w:eastAsia="zh-CN"/>
              </w:rPr>
              <w:t>。调查过程中涉及的各部门之间的沟通和协调将在修订国际电联调查导则时纳入时间和程序框架中。</w:t>
            </w:r>
          </w:p>
          <w:p w14:paraId="50AB4D05" w14:textId="4D69BA2F"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月的最新进展：通过</w:t>
            </w:r>
            <w:r w:rsidRPr="008B1FF1">
              <w:rPr>
                <w:rFonts w:asciiTheme="minorHAnsi" w:hAnsiTheme="minorHAnsi" w:cstheme="minorHAnsi"/>
                <w:sz w:val="20"/>
                <w:lang w:eastAsia="zh-CN"/>
              </w:rPr>
              <w:t>ManCom</w:t>
            </w:r>
            <w:r w:rsidRPr="008B1FF1">
              <w:rPr>
                <w:rFonts w:asciiTheme="minorHAnsi" w:hAnsiTheme="minorHAnsi" w:cstheme="minorHAnsi"/>
                <w:sz w:val="20"/>
                <w:lang w:eastAsia="zh-CN"/>
              </w:rPr>
              <w:t>和</w:t>
            </w:r>
            <w:r w:rsidRPr="008B1FF1">
              <w:rPr>
                <w:rFonts w:asciiTheme="minorHAnsi" w:hAnsiTheme="minorHAnsi" w:cstheme="minorHAnsi"/>
                <w:sz w:val="20"/>
                <w:lang w:eastAsia="zh-CN"/>
              </w:rPr>
              <w:t>MCG</w:t>
            </w:r>
            <w:r w:rsidRPr="008B1FF1">
              <w:rPr>
                <w:rFonts w:asciiTheme="minorHAnsi" w:hAnsiTheme="minorHAnsi" w:cstheme="minorHAnsi"/>
                <w:sz w:val="20"/>
                <w:lang w:eastAsia="zh-CN"/>
              </w:rPr>
              <w:t>会议的工作，确定了风险并解决了沟通和协调问题，以最大限度地降低声誉风险和欺诈损害。</w:t>
            </w:r>
          </w:p>
          <w:p w14:paraId="188B375A" w14:textId="56B6A8E8"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国际电联建议该项工作正在进行中。</w:t>
            </w:r>
          </w:p>
        </w:tc>
        <w:tc>
          <w:tcPr>
            <w:tcW w:w="1050" w:type="pct"/>
            <w:shd w:val="clear" w:color="auto" w:fill="auto"/>
          </w:tcPr>
          <w:p w14:paraId="2FD74566" w14:textId="7BCD627D" w:rsidR="002F2E4B" w:rsidRPr="008B1FF1" w:rsidRDefault="002F2E4B" w:rsidP="002F2E4B">
            <w:pPr>
              <w:pStyle w:val="Tabletext"/>
              <w:rPr>
                <w:sz w:val="20"/>
                <w:lang w:eastAsia="zh-CN"/>
              </w:rPr>
            </w:pPr>
            <w:r w:rsidRPr="008B1FF1">
              <w:rPr>
                <w:rFonts w:asciiTheme="minorHAnsi" w:hAnsiTheme="minorHAnsi" w:cstheme="minorHAnsi"/>
                <w:sz w:val="20"/>
                <w:lang w:eastAsia="zh-CN"/>
              </w:rPr>
              <w:t>注意到最新的回应，这与我们的观察结果一致，即控制框架需要改进，一旦成熟，就需要更好地整合三道防线，与欺诈风险评估保持一致。</w:t>
            </w:r>
          </w:p>
        </w:tc>
        <w:tc>
          <w:tcPr>
            <w:tcW w:w="450" w:type="pct"/>
            <w:shd w:val="clear" w:color="auto" w:fill="auto"/>
          </w:tcPr>
          <w:p w14:paraId="708E1B64" w14:textId="51BF30E7" w:rsidR="002F2E4B" w:rsidRPr="008B1FF1" w:rsidRDefault="004264B1" w:rsidP="002F2E4B">
            <w:pPr>
              <w:pStyle w:val="Tabletext"/>
              <w:rPr>
                <w:sz w:val="20"/>
                <w:lang w:eastAsia="zh-CN"/>
              </w:rPr>
            </w:pPr>
            <w:r>
              <w:rPr>
                <w:rFonts w:asciiTheme="minorHAnsi" w:hAnsiTheme="minorHAnsi" w:cstheme="minorHAnsi" w:hint="eastAsia"/>
                <w:sz w:val="20"/>
                <w:lang w:eastAsia="zh-CN"/>
              </w:rPr>
              <w:t>落实中。</w:t>
            </w:r>
          </w:p>
        </w:tc>
      </w:tr>
      <w:tr w:rsidR="002F2E4B" w:rsidRPr="00536D01" w14:paraId="41A6B438" w14:textId="77777777" w:rsidTr="0011737E">
        <w:tc>
          <w:tcPr>
            <w:tcW w:w="300" w:type="pct"/>
            <w:shd w:val="clear" w:color="auto" w:fill="auto"/>
          </w:tcPr>
          <w:p w14:paraId="06B51A82" w14:textId="572AC899" w:rsidR="002F2E4B" w:rsidRPr="008B1FF1" w:rsidRDefault="002F2E4B" w:rsidP="002F2E4B">
            <w:pPr>
              <w:pStyle w:val="Tabletext"/>
              <w:rPr>
                <w:sz w:val="20"/>
              </w:rPr>
            </w:pPr>
            <w:r w:rsidRPr="008B1FF1">
              <w:rPr>
                <w:rFonts w:asciiTheme="minorHAnsi" w:hAnsiTheme="minorHAnsi" w:cstheme="minorHAnsi"/>
                <w:sz w:val="20"/>
              </w:rPr>
              <w:t>R#5</w:t>
            </w:r>
          </w:p>
        </w:tc>
        <w:tc>
          <w:tcPr>
            <w:tcW w:w="1450" w:type="pct"/>
            <w:shd w:val="clear" w:color="auto" w:fill="auto"/>
          </w:tcPr>
          <w:p w14:paraId="090FC3EE"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管理层还应考虑请外部独立电信专家参与进来。根据我们关于衡量区域代表处业绩的特别报告的建议</w:t>
            </w:r>
            <w:r w:rsidRPr="008B1FF1">
              <w:rPr>
                <w:rFonts w:asciiTheme="minorHAnsi" w:hAnsiTheme="minorHAnsi" w:cstheme="minorHAnsi"/>
                <w:sz w:val="20"/>
                <w:lang w:eastAsia="zh-CN"/>
              </w:rPr>
              <w:t>1</w:t>
            </w:r>
            <w:r w:rsidRPr="008B1FF1">
              <w:rPr>
                <w:rFonts w:asciiTheme="minorHAnsi" w:hAnsiTheme="minorHAnsi" w:cstheme="minorHAnsi"/>
                <w:sz w:val="20"/>
                <w:lang w:eastAsia="zh-CN"/>
              </w:rPr>
              <w:t>和</w:t>
            </w:r>
            <w:r w:rsidRPr="008B1FF1">
              <w:rPr>
                <w:rFonts w:asciiTheme="minorHAnsi" w:hAnsiTheme="minorHAnsi" w:cstheme="minorHAnsi"/>
                <w:sz w:val="20"/>
                <w:lang w:eastAsia="zh-CN"/>
              </w:rPr>
              <w:t>2</w:t>
            </w:r>
            <w:r w:rsidRPr="008B1FF1">
              <w:rPr>
                <w:rFonts w:asciiTheme="minorHAnsi" w:hAnsiTheme="minorHAnsi" w:cstheme="minorHAnsi"/>
                <w:sz w:val="20"/>
                <w:lang w:eastAsia="zh-CN"/>
              </w:rPr>
              <w:t>，他们可以在以下方面提供帮助：</w:t>
            </w:r>
          </w:p>
          <w:p w14:paraId="3CDC3A1B" w14:textId="1DA4C6F0" w:rsidR="002F2E4B" w:rsidRPr="008B1FF1" w:rsidRDefault="00DF3E54" w:rsidP="008B1FF1">
            <w:pPr>
              <w:pStyle w:val="Tabletext"/>
              <w:tabs>
                <w:tab w:val="clear" w:pos="284"/>
                <w:tab w:val="clear" w:pos="425"/>
                <w:tab w:val="left" w:pos="356"/>
              </w:tabs>
              <w:spacing w:before="60"/>
              <w:ind w:left="356" w:hanging="356"/>
              <w:rPr>
                <w:rFonts w:asciiTheme="minorHAnsi" w:hAnsiTheme="minorHAnsi" w:cstheme="minorHAnsi"/>
                <w:sz w:val="20"/>
                <w:lang w:eastAsia="zh-CN"/>
              </w:rPr>
            </w:pPr>
            <w:proofErr w:type="spellStart"/>
            <w:r w:rsidRPr="008B1FF1">
              <w:rPr>
                <w:rFonts w:asciiTheme="minorHAnsi" w:hAnsiTheme="minorHAnsi" w:cstheme="minorHAnsi" w:hint="eastAsia"/>
                <w:sz w:val="20"/>
                <w:lang w:eastAsia="zh-CN"/>
              </w:rPr>
              <w:t>i</w:t>
            </w:r>
            <w:proofErr w:type="spellEnd"/>
            <w:r w:rsidRPr="008B1FF1">
              <w:rPr>
                <w:rFonts w:asciiTheme="minorHAnsi" w:hAnsiTheme="minorHAnsi" w:cstheme="minorHAnsi" w:hint="eastAsia"/>
                <w:sz w:val="20"/>
                <w:lang w:eastAsia="zh-CN"/>
              </w:rPr>
              <w:t>)</w:t>
            </w:r>
            <w:r w:rsidR="002F2E4B" w:rsidRPr="008B1FF1">
              <w:rPr>
                <w:rFonts w:asciiTheme="minorHAnsi" w:hAnsiTheme="minorHAnsi" w:cstheme="minorHAnsi"/>
                <w:sz w:val="20"/>
                <w:lang w:eastAsia="zh-CN"/>
              </w:rPr>
              <w:tab/>
            </w:r>
            <w:r w:rsidR="002F2E4B" w:rsidRPr="008B1FF1">
              <w:rPr>
                <w:rFonts w:asciiTheme="minorHAnsi" w:hAnsiTheme="minorHAnsi" w:cstheme="minorHAnsi"/>
                <w:sz w:val="20"/>
                <w:lang w:eastAsia="zh-CN"/>
              </w:rPr>
              <w:t>为</w:t>
            </w:r>
            <w:r w:rsidR="002F2E4B" w:rsidRPr="008B1FF1">
              <w:rPr>
                <w:rFonts w:asciiTheme="minorHAnsi" w:hAnsiTheme="minorHAnsi" w:cstheme="minorHAnsi"/>
                <w:sz w:val="20"/>
                <w:lang w:eastAsia="zh-CN"/>
              </w:rPr>
              <w:t>BDT</w:t>
            </w:r>
            <w:r w:rsidR="002F2E4B" w:rsidRPr="008B1FF1">
              <w:rPr>
                <w:rFonts w:asciiTheme="minorHAnsi" w:hAnsiTheme="minorHAnsi" w:cstheme="minorHAnsi"/>
                <w:sz w:val="20"/>
                <w:lang w:eastAsia="zh-CN"/>
              </w:rPr>
              <w:t>总部和</w:t>
            </w:r>
            <w:r w:rsidR="002F2E4B" w:rsidRPr="008B1FF1">
              <w:rPr>
                <w:rFonts w:asciiTheme="minorHAnsi" w:hAnsiTheme="minorHAnsi" w:cstheme="minorHAnsi"/>
                <w:sz w:val="20"/>
                <w:lang w:eastAsia="zh-CN"/>
              </w:rPr>
              <w:t>RO</w:t>
            </w:r>
            <w:r w:rsidR="002F2E4B" w:rsidRPr="008B1FF1">
              <w:rPr>
                <w:rFonts w:asciiTheme="minorHAnsi" w:hAnsiTheme="minorHAnsi" w:cstheme="minorHAnsi"/>
                <w:sz w:val="20"/>
                <w:lang w:eastAsia="zh-CN"/>
              </w:rPr>
              <w:t>确定具体和可衡量的目标；</w:t>
            </w:r>
          </w:p>
          <w:p w14:paraId="727105E1" w14:textId="223103C1" w:rsidR="002F2E4B" w:rsidRPr="008B1FF1" w:rsidRDefault="00DF3E54" w:rsidP="008B1FF1">
            <w:pPr>
              <w:pStyle w:val="Tabletext"/>
              <w:tabs>
                <w:tab w:val="clear" w:pos="284"/>
                <w:tab w:val="clear" w:pos="425"/>
                <w:tab w:val="left" w:pos="356"/>
              </w:tabs>
              <w:spacing w:before="60"/>
              <w:ind w:left="356" w:hanging="356"/>
              <w:rPr>
                <w:sz w:val="20"/>
                <w:lang w:eastAsia="zh-CN"/>
              </w:rPr>
            </w:pPr>
            <w:r w:rsidRPr="008B1FF1">
              <w:rPr>
                <w:rFonts w:asciiTheme="minorHAnsi" w:hAnsiTheme="minorHAnsi" w:cstheme="minorHAnsi" w:hint="eastAsia"/>
                <w:sz w:val="20"/>
                <w:lang w:eastAsia="zh-CN"/>
              </w:rPr>
              <w:t>ii)</w:t>
            </w:r>
            <w:r w:rsidR="002F2E4B" w:rsidRPr="008B1FF1">
              <w:rPr>
                <w:rFonts w:asciiTheme="minorHAnsi" w:hAnsiTheme="minorHAnsi" w:cstheme="minorHAnsi"/>
                <w:sz w:val="20"/>
                <w:lang w:eastAsia="zh-CN"/>
              </w:rPr>
              <w:tab/>
            </w:r>
            <w:r w:rsidR="002F2E4B" w:rsidRPr="008B1FF1">
              <w:rPr>
                <w:rFonts w:asciiTheme="minorHAnsi" w:hAnsiTheme="minorHAnsi" w:cstheme="minorHAnsi"/>
                <w:sz w:val="20"/>
                <w:lang w:eastAsia="zh-CN"/>
              </w:rPr>
              <w:t>建立关键有效的控制措施和健全的关键绩效指标，涵盖当地开展的从技术援助到财务管理、公务差旅和非职员招聘的所有活动。</w:t>
            </w:r>
          </w:p>
        </w:tc>
        <w:tc>
          <w:tcPr>
            <w:tcW w:w="1750" w:type="pct"/>
            <w:shd w:val="clear" w:color="auto" w:fill="auto"/>
          </w:tcPr>
          <w:p w14:paraId="55376247" w14:textId="77777777" w:rsidR="002F2E4B" w:rsidRPr="008B1FF1" w:rsidRDefault="002F2E4B" w:rsidP="002F2E4B">
            <w:pPr>
              <w:pStyle w:val="Tabletext"/>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月的最新进展：理事会</w:t>
            </w:r>
            <w:r w:rsidRPr="008B1FF1">
              <w:rPr>
                <w:rFonts w:asciiTheme="minorHAnsi" w:hAnsiTheme="minorHAnsi" w:cstheme="minorHAnsi"/>
                <w:sz w:val="20"/>
                <w:lang w:eastAsia="zh-CN"/>
              </w:rPr>
              <w:t>2019</w:t>
            </w:r>
            <w:r w:rsidRPr="008B1FF1">
              <w:rPr>
                <w:rFonts w:asciiTheme="minorHAnsi" w:hAnsiTheme="minorHAnsi" w:cstheme="minorHAnsi"/>
                <w:sz w:val="20"/>
                <w:lang w:eastAsia="zh-CN"/>
              </w:rPr>
              <w:t>年会议发布了第</w:t>
            </w:r>
            <w:r w:rsidRPr="008B1FF1">
              <w:rPr>
                <w:rFonts w:asciiTheme="minorHAnsi" w:hAnsiTheme="minorHAnsi" w:cstheme="minorHAnsi"/>
                <w:sz w:val="20"/>
                <w:lang w:eastAsia="zh-CN"/>
              </w:rPr>
              <w:t>613</w:t>
            </w:r>
            <w:r w:rsidRPr="008B1FF1">
              <w:rPr>
                <w:rFonts w:asciiTheme="minorHAnsi" w:hAnsiTheme="minorHAnsi" w:cstheme="minorHAnsi"/>
                <w:sz w:val="20"/>
                <w:lang w:eastAsia="zh-CN"/>
              </w:rPr>
              <w:t>和</w:t>
            </w:r>
            <w:r w:rsidRPr="008B1FF1">
              <w:rPr>
                <w:rFonts w:asciiTheme="minorHAnsi" w:hAnsiTheme="minorHAnsi" w:cstheme="minorHAnsi"/>
                <w:sz w:val="20"/>
                <w:lang w:eastAsia="zh-CN"/>
              </w:rPr>
              <w:t>616</w:t>
            </w:r>
            <w:r w:rsidRPr="008B1FF1">
              <w:rPr>
                <w:rFonts w:asciiTheme="minorHAnsi" w:hAnsiTheme="minorHAnsi" w:cstheme="minorHAnsi"/>
                <w:sz w:val="20"/>
                <w:lang w:eastAsia="zh-CN"/>
              </w:rPr>
              <w:t>号决定，授权秘书长保留外部专家的服务，开展有关国际电联区域代表处的工作并对国际电联进行法务审计。这两项工作委托给普华永道，普华永道分别于</w:t>
            </w:r>
            <w:r w:rsidRPr="008B1FF1">
              <w:rPr>
                <w:rFonts w:asciiTheme="minorHAnsi" w:hAnsiTheme="minorHAnsi" w:cstheme="minorHAnsi"/>
                <w:sz w:val="20"/>
                <w:lang w:eastAsia="zh-CN"/>
              </w:rPr>
              <w:t>2020</w:t>
            </w:r>
            <w:r w:rsidRPr="008B1FF1">
              <w:rPr>
                <w:rFonts w:asciiTheme="minorHAnsi" w:hAnsiTheme="minorHAnsi" w:cstheme="minorHAnsi"/>
                <w:sz w:val="20"/>
                <w:lang w:eastAsia="zh-CN"/>
              </w:rPr>
              <w:t>年和</w:t>
            </w:r>
            <w:r w:rsidRPr="008B1FF1">
              <w:rPr>
                <w:rFonts w:asciiTheme="minorHAnsi" w:hAnsiTheme="minorHAnsi" w:cstheme="minorHAnsi"/>
                <w:sz w:val="20"/>
                <w:lang w:eastAsia="zh-CN"/>
              </w:rPr>
              <w:t>2021</w:t>
            </w:r>
            <w:r w:rsidRPr="008B1FF1">
              <w:rPr>
                <w:rFonts w:asciiTheme="minorHAnsi" w:hAnsiTheme="minorHAnsi" w:cstheme="minorHAnsi"/>
                <w:sz w:val="20"/>
                <w:lang w:eastAsia="zh-CN"/>
              </w:rPr>
              <w:t>年发布了报告。如</w:t>
            </w:r>
            <w:r>
              <w:fldChar w:fldCharType="begin"/>
            </w:r>
            <w:r>
              <w:rPr>
                <w:lang w:eastAsia="zh-CN"/>
              </w:rPr>
              <w:instrText>HYPERLINK "https://www.itu.int/md/S20-CL-C-0074/en"</w:instrText>
            </w:r>
            <w:r>
              <w:fldChar w:fldCharType="separate"/>
            </w:r>
            <w:proofErr w:type="spellStart"/>
            <w:r w:rsidRPr="008B1FF1">
              <w:rPr>
                <w:rStyle w:val="Hyperlink"/>
                <w:rFonts w:asciiTheme="minorHAnsi" w:hAnsiTheme="minorHAnsi" w:cstheme="minorHAnsi"/>
                <w:sz w:val="20"/>
                <w:lang w:eastAsia="zh-CN"/>
              </w:rPr>
              <w:t>C20</w:t>
            </w:r>
            <w:proofErr w:type="spellEnd"/>
            <w:r w:rsidRPr="008B1FF1">
              <w:rPr>
                <w:rStyle w:val="Hyperlink"/>
                <w:rFonts w:asciiTheme="minorHAnsi" w:hAnsiTheme="minorHAnsi" w:cstheme="minorHAnsi"/>
                <w:sz w:val="20"/>
                <w:lang w:eastAsia="zh-CN"/>
              </w:rPr>
              <w:t>/74</w:t>
            </w:r>
            <w:r>
              <w:fldChar w:fldCharType="end"/>
            </w:r>
            <w:r w:rsidRPr="008B1FF1">
              <w:rPr>
                <w:rFonts w:asciiTheme="minorHAnsi" w:hAnsiTheme="minorHAnsi" w:cstheme="minorHAnsi"/>
                <w:sz w:val="20"/>
                <w:lang w:eastAsia="zh-CN"/>
              </w:rPr>
              <w:t>号文件所示，普华永道的参与确实为电信发展局总部和区域代表处提供了广泛具体和可衡量的目标，并为区域代表处的活动提出了一系列关键的有效控制措施和稳健的关键绩效指标。对普华永道区域代表处审查建议进行了全面实施，并在区域代表处信息概览中进行了跟踪。</w:t>
            </w:r>
          </w:p>
          <w:p w14:paraId="6CC4E522" w14:textId="48C22319" w:rsidR="002F2E4B" w:rsidRPr="008B1FF1" w:rsidRDefault="002F2E4B" w:rsidP="002F2E4B">
            <w:pPr>
              <w:pStyle w:val="Tabletext"/>
              <w:rPr>
                <w:sz w:val="20"/>
                <w:lang w:eastAsia="zh-CN"/>
              </w:rPr>
            </w:pPr>
            <w:r w:rsidRPr="008B1FF1">
              <w:rPr>
                <w:rFonts w:asciiTheme="minorHAnsi" w:hAnsiTheme="minorHAnsi" w:cstheme="minorHAnsi"/>
                <w:sz w:val="20"/>
                <w:lang w:eastAsia="zh-CN"/>
              </w:rPr>
              <w:t>国际电联建议该项工作正在进行中。</w:t>
            </w:r>
          </w:p>
        </w:tc>
        <w:tc>
          <w:tcPr>
            <w:tcW w:w="1050" w:type="pct"/>
            <w:shd w:val="clear" w:color="auto" w:fill="auto"/>
          </w:tcPr>
          <w:p w14:paraId="589727FC" w14:textId="759EFE56" w:rsidR="002F2E4B" w:rsidRPr="008B1FF1" w:rsidRDefault="002F2E4B" w:rsidP="002F2E4B">
            <w:pPr>
              <w:pStyle w:val="Tabletext"/>
              <w:rPr>
                <w:sz w:val="20"/>
              </w:rPr>
            </w:pPr>
            <w:r w:rsidRPr="008B1FF1">
              <w:rPr>
                <w:rFonts w:asciiTheme="minorHAnsi" w:hAnsiTheme="minorHAnsi" w:cstheme="minorHAnsi"/>
                <w:sz w:val="20"/>
                <w:lang w:eastAsia="zh-CN"/>
              </w:rPr>
              <w:t>已注意到最新的回应并认为是合理的，且管理层认为相关行动仍在进行中。该建议已完成。</w:t>
            </w:r>
          </w:p>
        </w:tc>
        <w:tc>
          <w:tcPr>
            <w:tcW w:w="450" w:type="pct"/>
            <w:shd w:val="clear" w:color="auto" w:fill="auto"/>
          </w:tcPr>
          <w:p w14:paraId="39E5D845" w14:textId="5A79E77C" w:rsidR="002F2E4B" w:rsidRPr="008B1FF1" w:rsidRDefault="004264B1" w:rsidP="002F2E4B">
            <w:pPr>
              <w:pStyle w:val="Tabletext"/>
              <w:rPr>
                <w:sz w:val="20"/>
                <w:lang w:eastAsia="zh-CN"/>
              </w:rPr>
            </w:pPr>
            <w:r>
              <w:rPr>
                <w:rFonts w:asciiTheme="minorHAnsi" w:hAnsiTheme="minorHAnsi" w:cstheme="minorHAnsi" w:hint="eastAsia"/>
                <w:sz w:val="20"/>
                <w:lang w:eastAsia="zh-CN"/>
              </w:rPr>
              <w:t>落实中。</w:t>
            </w:r>
          </w:p>
        </w:tc>
      </w:tr>
      <w:tr w:rsidR="002F2E4B" w:rsidRPr="00536D01" w14:paraId="45C1DCE8" w14:textId="77777777" w:rsidTr="0011737E">
        <w:tc>
          <w:tcPr>
            <w:tcW w:w="300" w:type="pct"/>
            <w:shd w:val="clear" w:color="auto" w:fill="auto"/>
          </w:tcPr>
          <w:p w14:paraId="335CAA6D" w14:textId="70DCD0BA" w:rsidR="002F2E4B" w:rsidRPr="008B1FF1" w:rsidRDefault="002F2E4B" w:rsidP="00DA4FB1">
            <w:pPr>
              <w:pStyle w:val="Tabletext"/>
              <w:keepLines/>
              <w:rPr>
                <w:sz w:val="20"/>
              </w:rPr>
            </w:pPr>
            <w:r w:rsidRPr="008B1FF1">
              <w:rPr>
                <w:rFonts w:asciiTheme="minorHAnsi" w:hAnsiTheme="minorHAnsi" w:cstheme="minorHAnsi"/>
                <w:sz w:val="20"/>
              </w:rPr>
              <w:lastRenderedPageBreak/>
              <w:t>R#6</w:t>
            </w:r>
          </w:p>
        </w:tc>
        <w:tc>
          <w:tcPr>
            <w:tcW w:w="1450" w:type="pct"/>
            <w:shd w:val="clear" w:color="auto" w:fill="auto"/>
          </w:tcPr>
          <w:p w14:paraId="0502E886" w14:textId="62D0CFF2" w:rsidR="002F2E4B" w:rsidRPr="008B1FF1" w:rsidRDefault="002F2E4B" w:rsidP="00DA4FB1">
            <w:pPr>
              <w:pStyle w:val="Tabletext"/>
              <w:keepLines/>
              <w:rPr>
                <w:sz w:val="20"/>
                <w:lang w:eastAsia="zh-CN"/>
              </w:rPr>
            </w:pPr>
            <w:r w:rsidRPr="008B1FF1">
              <w:rPr>
                <w:rFonts w:asciiTheme="minorHAnsi" w:hAnsiTheme="minorHAnsi" w:cstheme="minorHAnsi"/>
                <w:sz w:val="20"/>
                <w:lang w:eastAsia="zh-CN"/>
              </w:rPr>
              <w:t>管理层应提高区域代表处和地区办事处的内部控制水平，以防止与所发现的欺诈案类似的其他案件的发生，并确保及时落实我们和内部审计员提出的尚未落实的建议</w:t>
            </w:r>
          </w:p>
        </w:tc>
        <w:tc>
          <w:tcPr>
            <w:tcW w:w="1750" w:type="pct"/>
            <w:shd w:val="clear" w:color="auto" w:fill="auto"/>
          </w:tcPr>
          <w:p w14:paraId="7808F748" w14:textId="77777777" w:rsidR="002F2E4B" w:rsidRPr="008B1FF1" w:rsidRDefault="002F2E4B" w:rsidP="00DA4FB1">
            <w:pPr>
              <w:pStyle w:val="Tabletext"/>
              <w:keepLines/>
              <w:rPr>
                <w:rFonts w:asciiTheme="minorHAnsi" w:hAnsiTheme="minorHAnsi" w:cstheme="minorHAnsi"/>
                <w:sz w:val="20"/>
                <w:lang w:eastAsia="zh-CN"/>
              </w:rPr>
            </w:pPr>
            <w:r w:rsidRPr="008B1FF1">
              <w:rPr>
                <w:rFonts w:asciiTheme="minorHAnsi" w:hAnsiTheme="minorHAnsi" w:cstheme="minorHAnsi"/>
                <w:sz w:val="20"/>
                <w:lang w:eastAsia="zh-CN"/>
              </w:rPr>
              <w:t>国际电联将第</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号建议记录在案，并将努力确保及时落实尚未落实的审计建议。此外，秘书处还将确保区域代表处研究的成果（根据第</w:t>
            </w:r>
            <w:r w:rsidRPr="008B1FF1">
              <w:rPr>
                <w:rFonts w:asciiTheme="minorHAnsi" w:hAnsiTheme="minorHAnsi" w:cstheme="minorHAnsi"/>
                <w:sz w:val="20"/>
                <w:lang w:eastAsia="zh-CN"/>
              </w:rPr>
              <w:t>25</w:t>
            </w:r>
            <w:r w:rsidRPr="008B1FF1">
              <w:rPr>
                <w:rFonts w:asciiTheme="minorHAnsi" w:hAnsiTheme="minorHAnsi" w:cstheme="minorHAnsi"/>
                <w:sz w:val="20"/>
                <w:lang w:eastAsia="zh-CN"/>
              </w:rPr>
              <w:t>号决议（修订版））将在理事会</w:t>
            </w:r>
            <w:r w:rsidRPr="008B1FF1">
              <w:rPr>
                <w:rFonts w:asciiTheme="minorHAnsi" w:hAnsiTheme="minorHAnsi" w:cstheme="minorHAnsi"/>
                <w:sz w:val="20"/>
                <w:lang w:eastAsia="zh-CN"/>
              </w:rPr>
              <w:t>2020</w:t>
            </w:r>
            <w:r w:rsidRPr="008B1FF1">
              <w:rPr>
                <w:rFonts w:asciiTheme="minorHAnsi" w:hAnsiTheme="minorHAnsi" w:cstheme="minorHAnsi"/>
                <w:sz w:val="20"/>
                <w:lang w:eastAsia="zh-CN"/>
              </w:rPr>
              <w:t>年会议之前完成，其中包括全面的风险评估和强化的控制框架。</w:t>
            </w:r>
          </w:p>
          <w:p w14:paraId="0B036A63" w14:textId="77777777" w:rsidR="002F2E4B" w:rsidRPr="008B1FF1" w:rsidRDefault="002F2E4B" w:rsidP="00DA4FB1">
            <w:pPr>
              <w:pStyle w:val="Tabletext"/>
              <w:keepLines/>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2022</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6</w:t>
            </w:r>
            <w:r w:rsidRPr="008B1FF1">
              <w:rPr>
                <w:rFonts w:asciiTheme="minorHAnsi" w:hAnsiTheme="minorHAnsi" w:cstheme="minorHAnsi"/>
                <w:sz w:val="20"/>
                <w:lang w:eastAsia="zh-CN"/>
              </w:rPr>
              <w:t>月的最新进展：实施的内部控制适用于电信发展局所有部门，包括区域代表处。电信发展局将确保区域代表处主任了解并遵守适用于区域代表处或地区办事处层面的所有要求。</w:t>
            </w:r>
          </w:p>
          <w:p w14:paraId="1D151ABA" w14:textId="77777777" w:rsidR="002F2E4B" w:rsidRPr="008B1FF1" w:rsidRDefault="002F2E4B" w:rsidP="00DA4FB1">
            <w:pPr>
              <w:pStyle w:val="Tabletext"/>
              <w:keepLines/>
              <w:rPr>
                <w:rFonts w:asciiTheme="minorHAnsi" w:hAnsiTheme="minorHAnsi" w:cstheme="minorHAnsi"/>
                <w:sz w:val="20"/>
                <w:lang w:eastAsia="zh-CN"/>
              </w:rPr>
            </w:pPr>
            <w:r w:rsidRPr="008B1FF1">
              <w:rPr>
                <w:rFonts w:asciiTheme="minorHAnsi" w:hAnsiTheme="minorHAnsi" w:cstheme="minorHAnsi"/>
                <w:sz w:val="20"/>
                <w:lang w:eastAsia="zh-CN"/>
              </w:rPr>
              <w:t>截至</w:t>
            </w:r>
            <w:r w:rsidRPr="008B1FF1">
              <w:rPr>
                <w:rFonts w:asciiTheme="minorHAnsi" w:hAnsiTheme="minorHAnsi" w:cstheme="minorHAnsi"/>
                <w:sz w:val="20"/>
                <w:lang w:eastAsia="zh-CN"/>
              </w:rPr>
              <w:t>2025</w:t>
            </w:r>
            <w:r w:rsidRPr="008B1FF1">
              <w:rPr>
                <w:rFonts w:asciiTheme="minorHAnsi" w:hAnsiTheme="minorHAnsi" w:cstheme="minorHAnsi"/>
                <w:sz w:val="20"/>
                <w:lang w:eastAsia="zh-CN"/>
              </w:rPr>
              <w:t>年</w:t>
            </w:r>
            <w:r w:rsidRPr="008B1FF1">
              <w:rPr>
                <w:rFonts w:asciiTheme="minorHAnsi" w:hAnsiTheme="minorHAnsi" w:cstheme="minorHAnsi"/>
                <w:sz w:val="20"/>
                <w:lang w:eastAsia="zh-CN"/>
              </w:rPr>
              <w:t>5</w:t>
            </w:r>
            <w:r w:rsidRPr="008B1FF1">
              <w:rPr>
                <w:rFonts w:asciiTheme="minorHAnsi" w:hAnsiTheme="minorHAnsi" w:cstheme="minorHAnsi"/>
                <w:sz w:val="20"/>
                <w:lang w:eastAsia="zh-CN"/>
              </w:rPr>
              <w:t>月的最新进展：</w:t>
            </w:r>
            <w:r w:rsidRPr="008B1FF1">
              <w:rPr>
                <w:rFonts w:asciiTheme="minorHAnsi" w:hAnsiTheme="minorHAnsi" w:cstheme="minorHAnsi"/>
                <w:sz w:val="20"/>
                <w:lang w:eastAsia="zh-CN"/>
              </w:rPr>
              <w:t>2019</w:t>
            </w:r>
            <w:r w:rsidRPr="008B1FF1">
              <w:rPr>
                <w:rFonts w:asciiTheme="minorHAnsi" w:hAnsiTheme="minorHAnsi" w:cstheme="minorHAnsi"/>
                <w:sz w:val="20"/>
                <w:lang w:eastAsia="zh-CN"/>
              </w:rPr>
              <w:t>年成立的内部控制工作组率先开发了合规跟踪器和信息概览，以分组、管理和跟踪所有监督建议的实施情况。</w:t>
            </w:r>
          </w:p>
          <w:p w14:paraId="381B5E3A" w14:textId="4DAF2557" w:rsidR="002F2E4B" w:rsidRPr="008B1FF1" w:rsidRDefault="002F2E4B" w:rsidP="00DA4FB1">
            <w:pPr>
              <w:pStyle w:val="Tabletext"/>
              <w:keepLines/>
              <w:rPr>
                <w:sz w:val="20"/>
                <w:lang w:eastAsia="zh-CN"/>
              </w:rPr>
            </w:pPr>
            <w:r w:rsidRPr="008B1FF1">
              <w:rPr>
                <w:rFonts w:asciiTheme="minorHAnsi" w:hAnsiTheme="minorHAnsi" w:cstheme="minorHAnsi"/>
                <w:sz w:val="20"/>
                <w:lang w:eastAsia="zh-CN"/>
              </w:rPr>
              <w:t>国际电联建议不再跟进该建议。</w:t>
            </w:r>
          </w:p>
        </w:tc>
        <w:tc>
          <w:tcPr>
            <w:tcW w:w="1050" w:type="pct"/>
            <w:shd w:val="clear" w:color="auto" w:fill="auto"/>
          </w:tcPr>
          <w:p w14:paraId="0CFAAB5E" w14:textId="3379A62C" w:rsidR="002F2E4B" w:rsidRPr="008B1FF1" w:rsidRDefault="002F2E4B" w:rsidP="00DA4FB1">
            <w:pPr>
              <w:pStyle w:val="Tabletext"/>
              <w:keepLines/>
              <w:rPr>
                <w:sz w:val="20"/>
                <w:lang w:eastAsia="zh-CN"/>
              </w:rPr>
            </w:pPr>
            <w:r w:rsidRPr="008B1FF1">
              <w:rPr>
                <w:rFonts w:asciiTheme="minorHAnsi" w:hAnsiTheme="minorHAnsi" w:cstheme="minorHAnsi"/>
                <w:sz w:val="20"/>
                <w:lang w:eastAsia="zh-CN"/>
              </w:rPr>
              <w:t>将最新回应记录在案。正如本报告第</w:t>
            </w:r>
            <w:r w:rsidRPr="008B1FF1">
              <w:rPr>
                <w:rFonts w:asciiTheme="minorHAnsi" w:hAnsiTheme="minorHAnsi" w:cstheme="minorHAnsi"/>
                <w:sz w:val="20"/>
                <w:lang w:eastAsia="zh-CN"/>
              </w:rPr>
              <w:t>4</w:t>
            </w:r>
            <w:r w:rsidRPr="008B1FF1">
              <w:rPr>
                <w:rFonts w:asciiTheme="minorHAnsi" w:hAnsiTheme="minorHAnsi" w:cstheme="minorHAnsi"/>
                <w:sz w:val="20"/>
                <w:lang w:eastAsia="zh-CN"/>
              </w:rPr>
              <w:t>部分所强调的，虽然已有合规信息概览但国际电联仍然需要建立一个系统化流程，以跟进所有未决建议。本建议已被取代并终结。</w:t>
            </w:r>
          </w:p>
        </w:tc>
        <w:tc>
          <w:tcPr>
            <w:tcW w:w="450" w:type="pct"/>
            <w:shd w:val="clear" w:color="auto" w:fill="auto"/>
          </w:tcPr>
          <w:p w14:paraId="078CF5E4" w14:textId="60A43079" w:rsidR="002F2E4B" w:rsidRPr="008B1FF1" w:rsidRDefault="00A62A5A" w:rsidP="00DA4FB1">
            <w:pPr>
              <w:pStyle w:val="Tabletext"/>
              <w:keepLines/>
              <w:rPr>
                <w:sz w:val="20"/>
              </w:rPr>
            </w:pPr>
            <w:r>
              <w:rPr>
                <w:rFonts w:ascii="SimSun" w:eastAsia="SimSun" w:hAnsi="SimSun" w:cs="SimSun" w:hint="eastAsia"/>
                <w:color w:val="000000"/>
                <w:sz w:val="20"/>
                <w:lang w:eastAsia="zh-CN"/>
              </w:rPr>
              <w:t>已关闭。</w:t>
            </w:r>
          </w:p>
        </w:tc>
      </w:tr>
      <w:tr w:rsidR="002F2E4B" w:rsidRPr="00536D01" w14:paraId="18115D29" w14:textId="77777777" w:rsidTr="0011737E">
        <w:tc>
          <w:tcPr>
            <w:tcW w:w="300" w:type="pct"/>
            <w:shd w:val="clear" w:color="auto" w:fill="auto"/>
          </w:tcPr>
          <w:p w14:paraId="39448926" w14:textId="5D2FC8FD" w:rsidR="002F2E4B" w:rsidRPr="00E10D31" w:rsidRDefault="002F2E4B" w:rsidP="002F2E4B">
            <w:pPr>
              <w:pStyle w:val="Tabletext"/>
              <w:rPr>
                <w:sz w:val="20"/>
              </w:rPr>
            </w:pPr>
            <w:r w:rsidRPr="00E10D31">
              <w:rPr>
                <w:rFonts w:asciiTheme="minorHAnsi" w:hAnsiTheme="minorHAnsi" w:cstheme="minorHAnsi"/>
                <w:sz w:val="20"/>
              </w:rPr>
              <w:t>R#7</w:t>
            </w:r>
          </w:p>
        </w:tc>
        <w:tc>
          <w:tcPr>
            <w:tcW w:w="1450" w:type="pct"/>
            <w:shd w:val="clear" w:color="auto" w:fill="auto"/>
          </w:tcPr>
          <w:p w14:paraId="154E3A9E" w14:textId="5DF076E9" w:rsidR="002F2E4B" w:rsidRPr="00E10D31" w:rsidRDefault="002F2E4B" w:rsidP="002F2E4B">
            <w:pPr>
              <w:pStyle w:val="Tabletext"/>
              <w:rPr>
                <w:sz w:val="20"/>
                <w:lang w:eastAsia="zh-CN"/>
              </w:rPr>
            </w:pPr>
            <w:proofErr w:type="spellStart"/>
            <w:r w:rsidRPr="00E10D31">
              <w:rPr>
                <w:rFonts w:asciiTheme="minorHAnsi" w:hAnsiTheme="minorHAnsi" w:cstheme="minorHAnsi"/>
                <w:sz w:val="20"/>
                <w:lang w:eastAsia="zh-CN"/>
              </w:rPr>
              <w:t>i</w:t>
            </w:r>
            <w:proofErr w:type="spellEnd"/>
            <w:r w:rsidR="008B1FF1" w:rsidRPr="00E10D31">
              <w:rPr>
                <w:rFonts w:asciiTheme="minorHAnsi" w:hAnsiTheme="minorHAnsi" w:cstheme="minorHAnsi" w:hint="eastAsia"/>
                <w:sz w:val="20"/>
                <w:lang w:eastAsia="zh-CN"/>
              </w:rPr>
              <w:t xml:space="preserve">) </w:t>
            </w:r>
            <w:r w:rsidRPr="00E10D31">
              <w:rPr>
                <w:rFonts w:asciiTheme="minorHAnsi" w:hAnsiTheme="minorHAnsi" w:cstheme="minorHAnsi"/>
                <w:sz w:val="20"/>
                <w:lang w:eastAsia="zh-CN"/>
              </w:rPr>
              <w:t>在区域层面开始对发生类似欺诈案件的可能性进行内部风险评估，特别是在采购、公务差旅、现金管理和人力资源方面，包括区域代表处与总部之间的关系；同时，</w:t>
            </w:r>
            <w:r w:rsidRPr="00E10D31">
              <w:rPr>
                <w:rFonts w:asciiTheme="minorHAnsi" w:hAnsiTheme="minorHAnsi" w:cstheme="minorHAnsi"/>
                <w:sz w:val="20"/>
                <w:lang w:eastAsia="zh-CN"/>
              </w:rPr>
              <w:t>ii</w:t>
            </w:r>
            <w:r w:rsidR="008B1FF1" w:rsidRPr="00E10D31">
              <w:rPr>
                <w:rFonts w:asciiTheme="minorHAnsi" w:hAnsiTheme="minorHAnsi" w:cstheme="minorHAnsi" w:hint="eastAsia"/>
                <w:sz w:val="20"/>
                <w:lang w:eastAsia="zh-CN"/>
              </w:rPr>
              <w:t xml:space="preserve">) </w:t>
            </w:r>
            <w:r w:rsidRPr="00E10D31">
              <w:rPr>
                <w:rFonts w:asciiTheme="minorHAnsi" w:hAnsiTheme="minorHAnsi" w:cstheme="minorHAnsi"/>
                <w:sz w:val="20"/>
                <w:lang w:eastAsia="zh-CN"/>
              </w:rPr>
              <w:t>按照国际标准的要求，提高内部惩戒的力度和效力</w:t>
            </w:r>
          </w:p>
        </w:tc>
        <w:tc>
          <w:tcPr>
            <w:tcW w:w="1750" w:type="pct"/>
            <w:shd w:val="clear" w:color="auto" w:fill="auto"/>
          </w:tcPr>
          <w:p w14:paraId="6DC99A67" w14:textId="77777777" w:rsidR="002F2E4B" w:rsidRPr="00E10D31" w:rsidRDefault="002F2E4B" w:rsidP="002F2E4B">
            <w:pPr>
              <w:pStyle w:val="Tabletext"/>
              <w:rPr>
                <w:rFonts w:asciiTheme="minorHAnsi" w:hAnsiTheme="minorHAnsi" w:cstheme="minorHAnsi"/>
                <w:sz w:val="20"/>
                <w:lang w:eastAsia="zh-CN"/>
              </w:rPr>
            </w:pPr>
            <w:r w:rsidRPr="00E10D31">
              <w:rPr>
                <w:rFonts w:asciiTheme="minorHAnsi" w:hAnsiTheme="minorHAnsi" w:cstheme="minorHAnsi"/>
                <w:sz w:val="20"/>
                <w:lang w:eastAsia="zh-CN"/>
              </w:rPr>
              <w:t>截至</w:t>
            </w:r>
            <w:r w:rsidRPr="00E10D31">
              <w:rPr>
                <w:rFonts w:asciiTheme="minorHAnsi" w:hAnsiTheme="minorHAnsi" w:cstheme="minorHAnsi"/>
                <w:sz w:val="20"/>
                <w:lang w:eastAsia="zh-CN"/>
              </w:rPr>
              <w:t>2025</w:t>
            </w:r>
            <w:r w:rsidRPr="00E10D31">
              <w:rPr>
                <w:rFonts w:asciiTheme="minorHAnsi" w:hAnsiTheme="minorHAnsi" w:cstheme="minorHAnsi"/>
                <w:sz w:val="20"/>
                <w:lang w:eastAsia="zh-CN"/>
              </w:rPr>
              <w:t>年</w:t>
            </w:r>
            <w:r w:rsidRPr="00E10D31">
              <w:rPr>
                <w:rFonts w:asciiTheme="minorHAnsi" w:hAnsiTheme="minorHAnsi" w:cstheme="minorHAnsi"/>
                <w:sz w:val="20"/>
                <w:lang w:eastAsia="zh-CN"/>
              </w:rPr>
              <w:t>5</w:t>
            </w:r>
            <w:r w:rsidRPr="00E10D31">
              <w:rPr>
                <w:rFonts w:asciiTheme="minorHAnsi" w:hAnsiTheme="minorHAnsi" w:cstheme="minorHAnsi"/>
                <w:sz w:val="20"/>
                <w:lang w:eastAsia="zh-CN"/>
              </w:rPr>
              <w:t>月更新：</w:t>
            </w:r>
            <w:r w:rsidRPr="00E10D31">
              <w:rPr>
                <w:rFonts w:asciiTheme="minorHAnsi" w:hAnsiTheme="minorHAnsi" w:cstheme="minorHAnsi"/>
                <w:sz w:val="20"/>
                <w:lang w:eastAsia="zh-CN"/>
              </w:rPr>
              <w:t>2025</w:t>
            </w:r>
            <w:r w:rsidRPr="00E10D31">
              <w:rPr>
                <w:rFonts w:asciiTheme="minorHAnsi" w:hAnsiTheme="minorHAnsi" w:cstheme="minorHAnsi"/>
                <w:sz w:val="20"/>
                <w:lang w:eastAsia="zh-CN"/>
              </w:rPr>
              <w:t>年监督处计划规定由外部专家进行组织欺诈风险评估（上一次评估于</w:t>
            </w:r>
            <w:r w:rsidRPr="00E10D31">
              <w:rPr>
                <w:rFonts w:asciiTheme="minorHAnsi" w:hAnsiTheme="minorHAnsi" w:cstheme="minorHAnsi"/>
                <w:sz w:val="20"/>
                <w:lang w:eastAsia="zh-CN"/>
              </w:rPr>
              <w:t>2017</w:t>
            </w:r>
            <w:r w:rsidRPr="00E10D31">
              <w:rPr>
                <w:rFonts w:asciiTheme="minorHAnsi" w:hAnsiTheme="minorHAnsi" w:cstheme="minorHAnsi"/>
                <w:sz w:val="20"/>
                <w:lang w:eastAsia="zh-CN"/>
              </w:rPr>
              <w:t>年进行）。在这些第三道防线工作之间，我们还在考虑定期以职能为重点的第二道防线欺诈风险评估（例如采购）。内部纪律处分程序和制裁是根据《人事规则和人事细则》并按照国际劳工组织行政法庭适用的判例法进行和实施的。</w:t>
            </w:r>
          </w:p>
          <w:p w14:paraId="21191392" w14:textId="6A3559D3" w:rsidR="002F2E4B" w:rsidRPr="00E10D31" w:rsidRDefault="002F2E4B" w:rsidP="002F2E4B">
            <w:pPr>
              <w:pStyle w:val="Tabletext"/>
              <w:rPr>
                <w:sz w:val="20"/>
                <w:lang w:eastAsia="zh-CN"/>
              </w:rPr>
            </w:pPr>
            <w:r w:rsidRPr="00E10D31">
              <w:rPr>
                <w:rFonts w:asciiTheme="minorHAnsi" w:hAnsiTheme="minorHAnsi" w:cstheme="minorHAnsi"/>
                <w:sz w:val="20"/>
                <w:lang w:eastAsia="zh-CN"/>
              </w:rPr>
              <w:t>国际电联建议不再跟进该建议。</w:t>
            </w:r>
          </w:p>
        </w:tc>
        <w:tc>
          <w:tcPr>
            <w:tcW w:w="1050" w:type="pct"/>
            <w:shd w:val="clear" w:color="auto" w:fill="auto"/>
          </w:tcPr>
          <w:p w14:paraId="5A109B48" w14:textId="46D970F5" w:rsidR="002F2E4B" w:rsidRPr="00E10D31" w:rsidRDefault="002F2E4B" w:rsidP="002F2E4B">
            <w:pPr>
              <w:pStyle w:val="Tabletext"/>
              <w:rPr>
                <w:sz w:val="20"/>
                <w:lang w:eastAsia="zh-CN"/>
              </w:rPr>
            </w:pPr>
            <w:r w:rsidRPr="00E10D31">
              <w:rPr>
                <w:rFonts w:asciiTheme="minorHAnsi" w:hAnsiTheme="minorHAnsi" w:cstheme="minorHAnsi"/>
                <w:sz w:val="20"/>
                <w:lang w:eastAsia="zh-CN"/>
              </w:rPr>
              <w:t>将最新回应记录在案。在我们的</w:t>
            </w:r>
            <w:r w:rsidRPr="00E10D31">
              <w:rPr>
                <w:rFonts w:asciiTheme="minorHAnsi" w:hAnsiTheme="minorHAnsi" w:cstheme="minorHAnsi"/>
                <w:sz w:val="20"/>
                <w:lang w:eastAsia="zh-CN"/>
              </w:rPr>
              <w:t>2023</w:t>
            </w:r>
            <w:r w:rsidRPr="00E10D31">
              <w:rPr>
                <w:rFonts w:asciiTheme="minorHAnsi" w:hAnsiTheme="minorHAnsi" w:cstheme="minorHAnsi"/>
                <w:sz w:val="20"/>
                <w:lang w:eastAsia="zh-CN"/>
              </w:rPr>
              <w:t>年报告（</w:t>
            </w:r>
            <w:r w:rsidRPr="00E10D31">
              <w:rPr>
                <w:rFonts w:asciiTheme="minorHAnsi" w:hAnsiTheme="minorHAnsi" w:cstheme="minorHAnsi"/>
                <w:sz w:val="20"/>
                <w:lang w:eastAsia="zh-CN"/>
              </w:rPr>
              <w:t>R1</w:t>
            </w:r>
            <w:r w:rsidRPr="00E10D31">
              <w:rPr>
                <w:rFonts w:asciiTheme="minorHAnsi" w:hAnsiTheme="minorHAnsi" w:cstheme="minorHAnsi"/>
                <w:sz w:val="20"/>
                <w:lang w:eastAsia="zh-CN"/>
              </w:rPr>
              <w:t>）中，我们建议国际电联应对其欺诈风险敞口进行系统评估。因为已被取代，我们终结了本建议。</w:t>
            </w:r>
          </w:p>
        </w:tc>
        <w:tc>
          <w:tcPr>
            <w:tcW w:w="450" w:type="pct"/>
            <w:shd w:val="clear" w:color="auto" w:fill="auto"/>
          </w:tcPr>
          <w:p w14:paraId="4A2211CA" w14:textId="77C31A5F" w:rsidR="002F2E4B" w:rsidRPr="00E10D31" w:rsidRDefault="00A62A5A" w:rsidP="002F2E4B">
            <w:pPr>
              <w:pStyle w:val="Tabletext"/>
              <w:rPr>
                <w:sz w:val="20"/>
              </w:rPr>
            </w:pPr>
            <w:r>
              <w:rPr>
                <w:rFonts w:ascii="SimSun" w:eastAsia="SimSun" w:hAnsi="SimSun" w:cs="SimSun" w:hint="eastAsia"/>
                <w:color w:val="000000"/>
                <w:sz w:val="20"/>
                <w:lang w:eastAsia="zh-CN"/>
              </w:rPr>
              <w:t>已关闭。</w:t>
            </w:r>
          </w:p>
        </w:tc>
      </w:tr>
      <w:tr w:rsidR="000245E2" w:rsidRPr="00536D01" w14:paraId="7924A81A" w14:textId="77777777" w:rsidTr="0011737E">
        <w:tc>
          <w:tcPr>
            <w:tcW w:w="300" w:type="pct"/>
            <w:shd w:val="clear" w:color="auto" w:fill="auto"/>
          </w:tcPr>
          <w:p w14:paraId="6D2F9B26" w14:textId="72F91AFE" w:rsidR="000245E2" w:rsidRPr="008B1FF1" w:rsidRDefault="000245E2" w:rsidP="000245E2">
            <w:pPr>
              <w:pStyle w:val="Tabletext"/>
              <w:rPr>
                <w:sz w:val="20"/>
                <w:highlight w:val="yellow"/>
              </w:rPr>
            </w:pPr>
            <w:r w:rsidRPr="008B1FF1">
              <w:rPr>
                <w:rFonts w:eastAsia="SimSun" w:cs="Calibri"/>
                <w:color w:val="000000"/>
                <w:sz w:val="20"/>
                <w:lang w:val="zh-CN"/>
              </w:rPr>
              <w:t>R#8</w:t>
            </w:r>
          </w:p>
        </w:tc>
        <w:tc>
          <w:tcPr>
            <w:tcW w:w="1450" w:type="pct"/>
            <w:shd w:val="clear" w:color="auto" w:fill="auto"/>
          </w:tcPr>
          <w:p w14:paraId="565FF5EB" w14:textId="23C8002C" w:rsidR="000245E2" w:rsidRPr="008B1FF1" w:rsidRDefault="000245E2" w:rsidP="000245E2">
            <w:pPr>
              <w:pStyle w:val="Tabletext"/>
              <w:rPr>
                <w:sz w:val="20"/>
                <w:highlight w:val="yellow"/>
                <w:lang w:eastAsia="zh-CN"/>
              </w:rPr>
            </w:pPr>
            <w:r w:rsidRPr="008B1FF1">
              <w:rPr>
                <w:rFonts w:eastAsia="SimSun" w:cs="Calibri"/>
                <w:color w:val="000000"/>
                <w:sz w:val="20"/>
                <w:lang w:val="zh-CN" w:eastAsia="zh-CN"/>
              </w:rPr>
              <w:t>在即将出台的反欺诈调查程序中引入具体条款，其中包括查扣参与欺诈的工作人员的所有工作文件，并阻止他</w:t>
            </w:r>
            <w:r w:rsidRPr="008B1FF1">
              <w:rPr>
                <w:rFonts w:eastAsia="SimSun" w:cs="Calibri"/>
                <w:color w:val="000000"/>
                <w:sz w:val="20"/>
                <w:lang w:val="zh-CN" w:eastAsia="zh-CN"/>
              </w:rPr>
              <w:t>/</w:t>
            </w:r>
            <w:r w:rsidRPr="008B1FF1">
              <w:rPr>
                <w:rFonts w:eastAsia="SimSun" w:cs="Calibri"/>
                <w:color w:val="000000"/>
                <w:sz w:val="20"/>
                <w:lang w:val="zh-CN" w:eastAsia="zh-CN"/>
              </w:rPr>
              <w:t>她进入国际电联办公场所。</w:t>
            </w:r>
          </w:p>
        </w:tc>
        <w:tc>
          <w:tcPr>
            <w:tcW w:w="1750" w:type="pct"/>
            <w:shd w:val="clear" w:color="auto" w:fill="auto"/>
          </w:tcPr>
          <w:p w14:paraId="1041C8E9"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国际电联注意到第</w:t>
            </w:r>
            <w:r w:rsidRPr="008B1FF1">
              <w:rPr>
                <w:rFonts w:eastAsia="SimSun" w:cs="Calibri"/>
                <w:color w:val="000000"/>
                <w:sz w:val="20"/>
                <w:lang w:val="zh-CN" w:eastAsia="zh-CN"/>
              </w:rPr>
              <w:t>8</w:t>
            </w:r>
            <w:r w:rsidRPr="008B1FF1">
              <w:rPr>
                <w:rFonts w:eastAsia="SimSun" w:cs="Calibri"/>
                <w:color w:val="000000"/>
                <w:sz w:val="20"/>
                <w:lang w:val="zh-CN" w:eastAsia="zh-CN"/>
              </w:rPr>
              <w:t>号建议，并通过将这些</w:t>
            </w:r>
            <w:r w:rsidRPr="008B1FF1">
              <w:rPr>
                <w:rFonts w:eastAsia="SimSun" w:cs="Calibri" w:hint="eastAsia"/>
                <w:color w:val="000000"/>
                <w:sz w:val="20"/>
                <w:lang w:val="zh-CN" w:eastAsia="zh-CN"/>
              </w:rPr>
              <w:t>内容</w:t>
            </w:r>
            <w:r w:rsidRPr="008B1FF1">
              <w:rPr>
                <w:rFonts w:eastAsia="SimSun" w:cs="Calibri"/>
                <w:color w:val="000000"/>
                <w:sz w:val="20"/>
                <w:lang w:val="zh-CN" w:eastAsia="zh-CN"/>
              </w:rPr>
              <w:t>纳入</w:t>
            </w:r>
            <w:r w:rsidRPr="008B1FF1">
              <w:rPr>
                <w:rFonts w:eastAsia="SimSun" w:cs="Calibri" w:hint="eastAsia"/>
                <w:color w:val="000000"/>
                <w:sz w:val="20"/>
                <w:lang w:val="zh-CN" w:eastAsia="zh-CN"/>
              </w:rPr>
              <w:t>已</w:t>
            </w:r>
            <w:r w:rsidRPr="008B1FF1">
              <w:rPr>
                <w:rFonts w:eastAsia="SimSun" w:cs="Calibri"/>
                <w:color w:val="000000"/>
                <w:sz w:val="20"/>
                <w:lang w:val="zh-CN" w:eastAsia="zh-CN"/>
              </w:rPr>
              <w:t>公布的调查导则</w:t>
            </w:r>
            <w:r w:rsidRPr="008B1FF1">
              <w:rPr>
                <w:rFonts w:eastAsia="SimSun" w:cs="Calibri" w:hint="eastAsia"/>
                <w:color w:val="000000"/>
                <w:sz w:val="20"/>
                <w:lang w:val="zh-CN" w:eastAsia="zh-CN"/>
              </w:rPr>
              <w:t>的方式</w:t>
            </w:r>
            <w:r w:rsidRPr="008B1FF1">
              <w:rPr>
                <w:rFonts w:eastAsia="SimSun" w:cs="Calibri"/>
                <w:color w:val="000000"/>
                <w:sz w:val="20"/>
                <w:lang w:val="zh-CN" w:eastAsia="zh-CN"/>
              </w:rPr>
              <w:t>落实了该建议。</w:t>
            </w:r>
          </w:p>
          <w:p w14:paraId="46C54D63"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月的最新进展：通过颁布第</w:t>
            </w:r>
            <w:r w:rsidRPr="008B1FF1">
              <w:rPr>
                <w:rFonts w:eastAsia="SimSun" w:cs="Calibri"/>
                <w:color w:val="000000"/>
                <w:sz w:val="20"/>
                <w:lang w:val="zh-CN" w:eastAsia="zh-CN"/>
              </w:rPr>
              <w:t>19/10</w:t>
            </w:r>
            <w:r w:rsidRPr="008B1FF1">
              <w:rPr>
                <w:rFonts w:eastAsia="SimSun" w:cs="Calibri"/>
                <w:color w:val="000000"/>
                <w:sz w:val="20"/>
                <w:lang w:val="zh-CN" w:eastAsia="zh-CN"/>
              </w:rPr>
              <w:t>号行政规定</w:t>
            </w:r>
            <w:r w:rsidRPr="008B1FF1">
              <w:rPr>
                <w:rFonts w:eastAsia="SimSun" w:cs="Calibri" w:hint="eastAsia"/>
                <w:color w:val="000000"/>
                <w:sz w:val="20"/>
                <w:lang w:val="zh-CN" w:eastAsia="zh-CN"/>
              </w:rPr>
              <w:t>“</w:t>
            </w:r>
            <w:r w:rsidRPr="008B1FF1">
              <w:rPr>
                <w:rFonts w:eastAsia="SimSun" w:cs="Calibri"/>
                <w:color w:val="000000"/>
                <w:sz w:val="20"/>
                <w:lang w:val="zh-CN" w:eastAsia="zh-CN"/>
              </w:rPr>
              <w:t>国际电联调查导则</w:t>
            </w:r>
            <w:r w:rsidRPr="008B1FF1">
              <w:rPr>
                <w:rFonts w:eastAsia="SimSun" w:cs="Calibri" w:hint="eastAsia"/>
                <w:color w:val="000000"/>
                <w:sz w:val="20"/>
                <w:lang w:val="zh-CN" w:eastAsia="zh-CN"/>
              </w:rPr>
              <w:t>”加以</w:t>
            </w:r>
            <w:r w:rsidRPr="008B1FF1">
              <w:rPr>
                <w:rFonts w:eastAsia="SimSun" w:cs="Calibri"/>
                <w:color w:val="000000"/>
                <w:sz w:val="20"/>
                <w:lang w:val="zh-CN" w:eastAsia="zh-CN"/>
              </w:rPr>
              <w:t>实施。目前正在修订导则，以便</w:t>
            </w:r>
            <w:r w:rsidRPr="008B1FF1">
              <w:rPr>
                <w:rFonts w:eastAsia="SimSun" w:cs="Calibri" w:hint="eastAsia"/>
                <w:color w:val="000000"/>
                <w:sz w:val="20"/>
                <w:lang w:val="zh-CN" w:eastAsia="zh-CN"/>
              </w:rPr>
              <w:t>与</w:t>
            </w:r>
            <w:r w:rsidRPr="008B1FF1">
              <w:rPr>
                <w:rFonts w:eastAsia="SimSun" w:cs="Calibri"/>
                <w:color w:val="000000"/>
                <w:sz w:val="20"/>
                <w:lang w:val="zh-CN" w:eastAsia="zh-CN"/>
              </w:rPr>
              <w:t>引入的新《监督章程》保持一致</w:t>
            </w:r>
            <w:r w:rsidRPr="008B1FF1">
              <w:rPr>
                <w:rFonts w:eastAsia="SimSun" w:cs="Calibri" w:hint="eastAsia"/>
                <w:color w:val="000000"/>
                <w:sz w:val="20"/>
                <w:lang w:val="zh-CN" w:eastAsia="zh-CN"/>
              </w:rPr>
              <w:t>，此章程的引入是通过</w:t>
            </w:r>
            <w:r w:rsidRPr="008B1FF1">
              <w:rPr>
                <w:rFonts w:eastAsia="SimSun" w:cs="Calibri"/>
                <w:color w:val="000000"/>
                <w:sz w:val="20"/>
                <w:lang w:val="zh-CN" w:eastAsia="zh-CN"/>
              </w:rPr>
              <w:t>第</w:t>
            </w:r>
            <w:r w:rsidRPr="008B1FF1">
              <w:rPr>
                <w:rFonts w:eastAsia="SimSun" w:cs="Calibri"/>
                <w:color w:val="000000"/>
                <w:sz w:val="20"/>
                <w:lang w:val="zh-CN" w:eastAsia="zh-CN"/>
              </w:rPr>
              <w:t>24/09</w:t>
            </w:r>
            <w:r w:rsidRPr="008B1FF1">
              <w:rPr>
                <w:rFonts w:eastAsia="SimSun" w:cs="Calibri"/>
                <w:color w:val="000000"/>
                <w:sz w:val="20"/>
                <w:lang w:val="zh-CN" w:eastAsia="zh-CN"/>
              </w:rPr>
              <w:t>号行政规定</w:t>
            </w:r>
            <w:r w:rsidRPr="008B1FF1">
              <w:rPr>
                <w:rFonts w:ascii="SimSun" w:eastAsia="SimSun" w:hAnsi="SimSun" w:cs="Calibri" w:hint="eastAsia"/>
                <w:color w:val="000000"/>
                <w:sz w:val="20"/>
                <w:lang w:val="zh-CN" w:eastAsia="zh-CN"/>
              </w:rPr>
              <w:t>“</w:t>
            </w:r>
            <w:r w:rsidRPr="008B1FF1">
              <w:rPr>
                <w:rFonts w:eastAsia="SimSun" w:cs="Calibri"/>
                <w:color w:val="000000"/>
                <w:sz w:val="20"/>
                <w:lang w:val="zh-CN" w:eastAsia="zh-CN"/>
              </w:rPr>
              <w:t>通过国际电联《监督章程》并</w:t>
            </w:r>
            <w:r w:rsidRPr="008B1FF1">
              <w:rPr>
                <w:rFonts w:eastAsia="SimSun" w:cs="Calibri" w:hint="eastAsia"/>
                <w:color w:val="000000"/>
                <w:sz w:val="20"/>
                <w:lang w:val="zh-CN" w:eastAsia="zh-CN"/>
              </w:rPr>
              <w:t>对</w:t>
            </w:r>
            <w:r w:rsidRPr="008B1FF1">
              <w:rPr>
                <w:rFonts w:eastAsia="SimSun" w:cs="Calibri"/>
                <w:color w:val="000000"/>
                <w:sz w:val="20"/>
                <w:lang w:val="zh-CN" w:eastAsia="zh-CN"/>
              </w:rPr>
              <w:t>不当行为投诉的受理</w:t>
            </w:r>
            <w:r w:rsidRPr="008B1FF1">
              <w:rPr>
                <w:rFonts w:eastAsia="SimSun" w:cs="Calibri" w:hint="eastAsia"/>
                <w:color w:val="000000"/>
                <w:sz w:val="20"/>
                <w:lang w:val="zh-CN" w:eastAsia="zh-CN"/>
              </w:rPr>
              <w:t>及</w:t>
            </w:r>
            <w:r w:rsidRPr="008B1FF1">
              <w:rPr>
                <w:rFonts w:eastAsia="SimSun" w:cs="Calibri"/>
                <w:color w:val="000000"/>
                <w:sz w:val="20"/>
                <w:lang w:val="zh-CN" w:eastAsia="zh-CN"/>
              </w:rPr>
              <w:t>初步评估</w:t>
            </w:r>
            <w:r w:rsidRPr="008B1FF1">
              <w:rPr>
                <w:rFonts w:eastAsia="SimSun" w:cs="Calibri" w:hint="eastAsia"/>
                <w:color w:val="000000"/>
                <w:sz w:val="20"/>
                <w:lang w:val="zh-CN" w:eastAsia="zh-CN"/>
              </w:rPr>
              <w:t>做出</w:t>
            </w:r>
            <w:r w:rsidRPr="008B1FF1">
              <w:rPr>
                <w:rFonts w:eastAsia="SimSun" w:cs="Calibri"/>
                <w:color w:val="000000"/>
                <w:sz w:val="20"/>
                <w:lang w:val="zh-CN" w:eastAsia="zh-CN"/>
              </w:rPr>
              <w:t>澄清</w:t>
            </w:r>
            <w:r w:rsidRPr="008B1FF1">
              <w:rPr>
                <w:rFonts w:ascii="SimSun" w:eastAsia="SimSun" w:hAnsi="SimSun" w:cs="Calibri" w:hint="eastAsia"/>
                <w:color w:val="000000"/>
                <w:sz w:val="20"/>
                <w:lang w:val="zh-CN" w:eastAsia="zh-CN"/>
              </w:rPr>
              <w:t>”</w:t>
            </w:r>
            <w:r w:rsidRPr="008B1FF1">
              <w:rPr>
                <w:rFonts w:eastAsia="SimSun" w:cs="Calibri"/>
                <w:color w:val="000000"/>
                <w:sz w:val="20"/>
                <w:lang w:val="zh-CN" w:eastAsia="zh-CN"/>
              </w:rPr>
              <w:t>（</w:t>
            </w:r>
            <w:r w:rsidRPr="008B1FF1">
              <w:rPr>
                <w:rFonts w:eastAsia="SimSun" w:cs="Calibri"/>
                <w:color w:val="000000"/>
                <w:sz w:val="20"/>
                <w:lang w:val="zh-CN" w:eastAsia="zh-CN"/>
              </w:rPr>
              <w:t>2024</w:t>
            </w:r>
            <w:r w:rsidRPr="008B1FF1">
              <w:rPr>
                <w:rFonts w:eastAsia="SimSun" w:cs="Calibri"/>
                <w:color w:val="000000"/>
                <w:sz w:val="20"/>
                <w:lang w:val="zh-CN" w:eastAsia="zh-CN"/>
              </w:rPr>
              <w:t>年</w:t>
            </w:r>
            <w:r w:rsidRPr="008B1FF1">
              <w:rPr>
                <w:rFonts w:eastAsia="SimSun" w:cs="Calibri"/>
                <w:color w:val="000000"/>
                <w:sz w:val="20"/>
                <w:lang w:val="zh-CN" w:eastAsia="zh-CN"/>
              </w:rPr>
              <w:t>9</w:t>
            </w:r>
            <w:r w:rsidRPr="008B1FF1">
              <w:rPr>
                <w:rFonts w:eastAsia="SimSun" w:cs="Calibri"/>
                <w:color w:val="000000"/>
                <w:sz w:val="20"/>
                <w:lang w:val="zh-CN" w:eastAsia="zh-CN"/>
              </w:rPr>
              <w:t>月）。新的《监督章程》还包括一项调查职能，监督处由一名经验丰富的调查员（</w:t>
            </w:r>
            <w:r w:rsidRPr="008B1FF1">
              <w:rPr>
                <w:rFonts w:eastAsia="SimSun" w:cs="Calibri"/>
                <w:color w:val="000000"/>
                <w:sz w:val="20"/>
                <w:lang w:val="zh-CN" w:eastAsia="zh-CN"/>
              </w:rPr>
              <w:t>D1</w:t>
            </w:r>
            <w:r w:rsidRPr="008B1FF1">
              <w:rPr>
                <w:rFonts w:eastAsia="SimSun" w:cs="Calibri"/>
                <w:color w:val="000000"/>
                <w:sz w:val="20"/>
                <w:lang w:val="zh-CN" w:eastAsia="zh-CN"/>
              </w:rPr>
              <w:t>职位）领导，该调查员确保</w:t>
            </w:r>
            <w:r w:rsidRPr="008B1FF1">
              <w:rPr>
                <w:rFonts w:eastAsia="SimSun" w:cs="Calibri" w:hint="eastAsia"/>
                <w:color w:val="000000"/>
                <w:sz w:val="20"/>
                <w:lang w:val="zh-CN" w:eastAsia="zh-CN"/>
              </w:rPr>
              <w:t>以</w:t>
            </w:r>
            <w:r w:rsidRPr="008B1FF1">
              <w:rPr>
                <w:rFonts w:eastAsia="SimSun" w:cs="Calibri"/>
                <w:color w:val="000000"/>
                <w:sz w:val="20"/>
                <w:lang w:val="zh-CN" w:eastAsia="zh-CN"/>
              </w:rPr>
              <w:t>适当</w:t>
            </w:r>
            <w:r w:rsidRPr="008B1FF1">
              <w:rPr>
                <w:rFonts w:eastAsia="SimSun" w:cs="Calibri" w:hint="eastAsia"/>
                <w:color w:val="000000"/>
                <w:sz w:val="20"/>
                <w:lang w:val="zh-CN" w:eastAsia="zh-CN"/>
              </w:rPr>
              <w:t>的方式</w:t>
            </w:r>
            <w:r w:rsidRPr="008B1FF1">
              <w:rPr>
                <w:rFonts w:eastAsia="SimSun" w:cs="Calibri"/>
                <w:color w:val="000000"/>
                <w:sz w:val="20"/>
                <w:lang w:val="zh-CN" w:eastAsia="zh-CN"/>
              </w:rPr>
              <w:t>查扣证据</w:t>
            </w:r>
            <w:r w:rsidRPr="008B1FF1">
              <w:rPr>
                <w:rFonts w:eastAsia="SimSun" w:cs="Calibri" w:hint="eastAsia"/>
                <w:color w:val="000000"/>
                <w:sz w:val="20"/>
                <w:lang w:val="zh-CN" w:eastAsia="zh-CN"/>
              </w:rPr>
              <w:t>并</w:t>
            </w:r>
            <w:r w:rsidRPr="008B1FF1">
              <w:rPr>
                <w:rFonts w:eastAsia="SimSun" w:cs="Calibri"/>
                <w:color w:val="000000"/>
                <w:sz w:val="20"/>
                <w:lang w:val="zh-CN" w:eastAsia="zh-CN"/>
              </w:rPr>
              <w:t>负责</w:t>
            </w:r>
            <w:r w:rsidRPr="008B1FF1">
              <w:rPr>
                <w:rFonts w:eastAsia="SimSun" w:cs="Calibri" w:hint="eastAsia"/>
                <w:color w:val="000000"/>
                <w:sz w:val="20"/>
                <w:lang w:val="zh-CN" w:eastAsia="zh-CN"/>
              </w:rPr>
              <w:t>监督</w:t>
            </w:r>
            <w:r w:rsidRPr="008B1FF1">
              <w:rPr>
                <w:rFonts w:eastAsia="SimSun" w:cs="Calibri"/>
                <w:color w:val="000000"/>
                <w:sz w:val="20"/>
                <w:lang w:val="zh-CN" w:eastAsia="zh-CN"/>
              </w:rPr>
              <w:t>链，如</w:t>
            </w:r>
            <w:r w:rsidRPr="008B1FF1">
              <w:rPr>
                <w:rFonts w:eastAsia="SimSun" w:cs="Calibri"/>
                <w:color w:val="000000"/>
                <w:sz w:val="20"/>
                <w:lang w:val="zh-CN" w:eastAsia="zh-CN"/>
              </w:rPr>
              <w:lastRenderedPageBreak/>
              <w:t>与国际电联</w:t>
            </w:r>
            <w:r w:rsidRPr="008B1FF1">
              <w:rPr>
                <w:rFonts w:eastAsia="SimSun" w:cs="Calibri" w:hint="eastAsia"/>
                <w:color w:val="000000"/>
                <w:sz w:val="20"/>
                <w:lang w:val="zh-CN" w:eastAsia="zh-CN"/>
              </w:rPr>
              <w:t>安保</w:t>
            </w:r>
            <w:r w:rsidRPr="008B1FF1">
              <w:rPr>
                <w:rFonts w:eastAsia="SimSun" w:cs="Calibri"/>
                <w:color w:val="000000"/>
                <w:sz w:val="20"/>
                <w:lang w:val="zh-CN" w:eastAsia="zh-CN"/>
              </w:rPr>
              <w:t>和信息安全同事协调，</w:t>
            </w:r>
            <w:r w:rsidRPr="008B1FF1">
              <w:rPr>
                <w:rFonts w:eastAsia="SimSun" w:cs="Calibri" w:hint="eastAsia"/>
                <w:color w:val="000000"/>
                <w:sz w:val="20"/>
                <w:lang w:val="zh-CN" w:eastAsia="zh-CN"/>
              </w:rPr>
              <w:t>为</w:t>
            </w:r>
            <w:r w:rsidRPr="008B1FF1">
              <w:rPr>
                <w:rFonts w:eastAsia="SimSun" w:cs="Calibri"/>
                <w:color w:val="000000"/>
                <w:sz w:val="20"/>
                <w:lang w:val="zh-CN" w:eastAsia="zh-CN"/>
              </w:rPr>
              <w:t>限制访问和保护文件</w:t>
            </w:r>
            <w:r w:rsidRPr="008B1FF1">
              <w:rPr>
                <w:rFonts w:eastAsia="SimSun" w:cs="Calibri" w:hint="eastAsia"/>
                <w:color w:val="000000"/>
                <w:sz w:val="20"/>
                <w:lang w:val="zh-CN" w:eastAsia="zh-CN"/>
              </w:rPr>
              <w:t>及</w:t>
            </w:r>
            <w:r w:rsidRPr="008B1FF1">
              <w:rPr>
                <w:rFonts w:eastAsia="SimSun" w:cs="Calibri"/>
                <w:color w:val="000000"/>
                <w:sz w:val="20"/>
                <w:lang w:val="zh-CN" w:eastAsia="zh-CN"/>
              </w:rPr>
              <w:t>电子数据</w:t>
            </w:r>
            <w:r w:rsidRPr="008B1FF1">
              <w:rPr>
                <w:rFonts w:eastAsia="SimSun" w:cs="Calibri" w:hint="eastAsia"/>
                <w:color w:val="000000"/>
                <w:sz w:val="20"/>
                <w:lang w:val="zh-CN" w:eastAsia="zh-CN"/>
              </w:rPr>
              <w:t>提供帮助</w:t>
            </w:r>
            <w:r w:rsidRPr="008B1FF1">
              <w:rPr>
                <w:rFonts w:eastAsia="SimSun" w:cs="Calibri"/>
                <w:color w:val="000000"/>
                <w:sz w:val="20"/>
                <w:lang w:val="zh-CN" w:eastAsia="zh-CN"/>
              </w:rPr>
              <w:t>。</w:t>
            </w:r>
          </w:p>
          <w:p w14:paraId="79A4DC84" w14:textId="1A36B864" w:rsidR="000245E2" w:rsidRPr="008B1FF1" w:rsidRDefault="000245E2" w:rsidP="000245E2">
            <w:pPr>
              <w:pStyle w:val="Tabletext"/>
              <w:rPr>
                <w:sz w:val="20"/>
                <w:highlight w:val="yellow"/>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564735DF" w14:textId="3E201460"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lastRenderedPageBreak/>
              <w:t>意大利审计院在最后报告中</w:t>
            </w:r>
            <w:r w:rsidRPr="008B1FF1">
              <w:rPr>
                <w:rFonts w:eastAsia="SimSun" w:cs="Calibri" w:hint="eastAsia"/>
                <w:color w:val="000000"/>
                <w:sz w:val="20"/>
                <w:lang w:val="zh-CN" w:eastAsia="zh-CN"/>
              </w:rPr>
              <w:t>认为此项工作已</w:t>
            </w:r>
            <w:r w:rsidRPr="008B1FF1">
              <w:rPr>
                <w:rFonts w:eastAsia="SimSun" w:cs="Calibri"/>
                <w:color w:val="000000"/>
                <w:sz w:val="20"/>
                <w:lang w:val="zh-CN" w:eastAsia="zh-CN"/>
              </w:rPr>
              <w:t>结束（附件</w:t>
            </w:r>
            <w:r w:rsidRPr="008B1FF1">
              <w:rPr>
                <w:rFonts w:eastAsia="SimSun" w:cs="Calibri"/>
                <w:color w:val="000000"/>
                <w:sz w:val="20"/>
                <w:lang w:val="zh-CN" w:eastAsia="zh-CN"/>
              </w:rPr>
              <w:t>5</w:t>
            </w:r>
            <w:r w:rsidRPr="008B1FF1">
              <w:rPr>
                <w:rFonts w:eastAsia="SimSun" w:cs="Calibri"/>
                <w:color w:val="000000"/>
                <w:sz w:val="20"/>
                <w:lang w:val="zh-CN" w:eastAsia="zh-CN"/>
              </w:rPr>
              <w:t>：</w:t>
            </w:r>
            <w:hyperlink r:id="rId29" w:history="1">
              <w:r w:rsidR="00DF3E54" w:rsidRPr="008B1FF1">
                <w:rPr>
                  <w:rStyle w:val="Hyperlink"/>
                  <w:sz w:val="20"/>
                  <w:lang w:eastAsia="zh-CN"/>
                </w:rPr>
                <w:t>C22/101</w:t>
              </w:r>
            </w:hyperlink>
            <w:r w:rsidRPr="008B1FF1">
              <w:rPr>
                <w:rFonts w:eastAsia="SimSun" w:cs="Calibri"/>
                <w:color w:val="000000"/>
                <w:sz w:val="20"/>
                <w:lang w:val="zh-CN" w:eastAsia="zh-CN"/>
              </w:rPr>
              <w:t>）。</w:t>
            </w:r>
          </w:p>
          <w:p w14:paraId="31D88513" w14:textId="04EAA1CE" w:rsidR="000245E2" w:rsidRPr="008B1FF1" w:rsidRDefault="000245E2" w:rsidP="000245E2">
            <w:pPr>
              <w:pStyle w:val="Tabletext"/>
              <w:rPr>
                <w:sz w:val="20"/>
                <w:highlight w:val="yellow"/>
                <w:lang w:eastAsia="zh-CN"/>
              </w:rPr>
            </w:pPr>
            <w:r w:rsidRPr="008B1FF1">
              <w:rPr>
                <w:rFonts w:eastAsia="SimSun" w:cs="Calibri"/>
                <w:color w:val="000000"/>
                <w:sz w:val="20"/>
                <w:lang w:val="zh-CN" w:eastAsia="zh-CN"/>
              </w:rPr>
              <w:t>我们注意到，导则正在发生变化，一旦生效，我们将适时审议这些更改及其有效性。</w:t>
            </w:r>
          </w:p>
        </w:tc>
        <w:tc>
          <w:tcPr>
            <w:tcW w:w="450" w:type="pct"/>
            <w:shd w:val="clear" w:color="auto" w:fill="auto"/>
          </w:tcPr>
          <w:p w14:paraId="5A75ED7D" w14:textId="775F13E9" w:rsidR="000245E2" w:rsidRPr="008B1FF1" w:rsidRDefault="00A62A5A" w:rsidP="000245E2">
            <w:pPr>
              <w:pStyle w:val="Tabletext"/>
              <w:rPr>
                <w:sz w:val="20"/>
                <w:highlight w:val="yellow"/>
              </w:rPr>
            </w:pPr>
            <w:r>
              <w:rPr>
                <w:rFonts w:ascii="SimSun" w:eastAsia="SimSun" w:hAnsi="SimSun" w:cs="SimSun" w:hint="eastAsia"/>
                <w:color w:val="000000"/>
                <w:sz w:val="20"/>
                <w:lang w:eastAsia="zh-CN"/>
              </w:rPr>
              <w:t>已关闭。</w:t>
            </w:r>
          </w:p>
        </w:tc>
      </w:tr>
      <w:tr w:rsidR="000245E2" w:rsidRPr="00536D01" w14:paraId="6591DF68" w14:textId="77777777" w:rsidTr="0011737E">
        <w:tc>
          <w:tcPr>
            <w:tcW w:w="300" w:type="pct"/>
            <w:shd w:val="clear" w:color="auto" w:fill="auto"/>
          </w:tcPr>
          <w:p w14:paraId="0E51E988" w14:textId="4040184F" w:rsidR="000245E2" w:rsidRPr="008B1FF1" w:rsidRDefault="000245E2" w:rsidP="000245E2">
            <w:pPr>
              <w:pStyle w:val="Tabletext"/>
              <w:rPr>
                <w:sz w:val="20"/>
              </w:rPr>
            </w:pPr>
            <w:r w:rsidRPr="008B1FF1">
              <w:rPr>
                <w:rFonts w:eastAsia="SimSun" w:cs="Calibri"/>
                <w:color w:val="000000"/>
                <w:sz w:val="20"/>
                <w:lang w:val="zh-CN"/>
              </w:rPr>
              <w:t>R#9</w:t>
            </w:r>
          </w:p>
        </w:tc>
        <w:tc>
          <w:tcPr>
            <w:tcW w:w="1450" w:type="pct"/>
            <w:shd w:val="clear" w:color="auto" w:fill="auto"/>
          </w:tcPr>
          <w:p w14:paraId="7778B216" w14:textId="4AF94288" w:rsidR="000245E2" w:rsidRPr="008B1FF1" w:rsidRDefault="000245E2" w:rsidP="000245E2">
            <w:pPr>
              <w:pStyle w:val="Tabletext"/>
              <w:rPr>
                <w:sz w:val="20"/>
                <w:lang w:eastAsia="zh-CN"/>
              </w:rPr>
            </w:pPr>
            <w:r w:rsidRPr="008B1FF1">
              <w:rPr>
                <w:rFonts w:eastAsia="SimSun" w:cs="Calibri"/>
                <w:color w:val="000000"/>
                <w:sz w:val="20"/>
                <w:lang w:val="zh-CN" w:eastAsia="zh-CN"/>
              </w:rPr>
              <w:t>管理层将进一步调查是否存在其他不当支出</w:t>
            </w:r>
          </w:p>
        </w:tc>
        <w:tc>
          <w:tcPr>
            <w:tcW w:w="1750" w:type="pct"/>
            <w:shd w:val="clear" w:color="auto" w:fill="auto"/>
          </w:tcPr>
          <w:p w14:paraId="0972DFDE"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月的最新进展：普华永道根据理事会第</w:t>
            </w:r>
            <w:r w:rsidRPr="008B1FF1">
              <w:rPr>
                <w:rFonts w:eastAsia="SimSun" w:cs="Calibri"/>
                <w:color w:val="000000"/>
                <w:sz w:val="20"/>
                <w:lang w:val="zh-CN" w:eastAsia="zh-CN"/>
              </w:rPr>
              <w:t>613</w:t>
            </w:r>
            <w:r w:rsidRPr="008B1FF1">
              <w:rPr>
                <w:rFonts w:eastAsia="SimSun" w:cs="Calibri"/>
                <w:color w:val="000000"/>
                <w:sz w:val="20"/>
                <w:lang w:val="zh-CN" w:eastAsia="zh-CN"/>
              </w:rPr>
              <w:t>号决定进行的法务审计包括报告中详述的与</w:t>
            </w:r>
            <w:r w:rsidRPr="008B1FF1">
              <w:rPr>
                <w:rFonts w:ascii="SimSun" w:eastAsia="SimSun" w:hAnsi="SimSun" w:cs="Calibri" w:hint="eastAsia"/>
                <w:color w:val="000000"/>
                <w:sz w:val="20"/>
                <w:lang w:val="zh-CN" w:eastAsia="zh-CN"/>
              </w:rPr>
              <w:t>“</w:t>
            </w:r>
            <w:r w:rsidRPr="008B1FF1">
              <w:rPr>
                <w:rFonts w:eastAsia="SimSun" w:cs="Calibri"/>
                <w:color w:val="000000"/>
                <w:sz w:val="20"/>
                <w:lang w:val="zh-CN" w:eastAsia="zh-CN"/>
              </w:rPr>
              <w:t>可疑交易</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（在其职责范围中明确说明）有关的各种法务测试。此外，应时任外部审计员的要求，国际电联</w:t>
            </w:r>
            <w:r w:rsidRPr="008B1FF1">
              <w:rPr>
                <w:rFonts w:eastAsia="SimSun" w:cs="Calibri" w:hint="eastAsia"/>
                <w:color w:val="000000"/>
                <w:sz w:val="20"/>
                <w:lang w:val="zh-CN" w:eastAsia="zh-CN"/>
              </w:rPr>
              <w:t>开展了</w:t>
            </w:r>
            <w:r w:rsidRPr="008B1FF1">
              <w:rPr>
                <w:rFonts w:eastAsia="SimSun" w:cs="Calibri"/>
                <w:color w:val="000000"/>
                <w:sz w:val="20"/>
                <w:lang w:val="zh-CN" w:eastAsia="zh-CN"/>
              </w:rPr>
              <w:t>量化工作，并于</w:t>
            </w:r>
            <w:r w:rsidRPr="008B1FF1">
              <w:rPr>
                <w:rFonts w:eastAsia="SimSun" w:cs="Calibri"/>
                <w:color w:val="000000"/>
                <w:sz w:val="20"/>
                <w:lang w:val="zh-CN" w:eastAsia="zh-CN"/>
              </w:rPr>
              <w:t>2022</w:t>
            </w:r>
            <w:r w:rsidRPr="008B1FF1">
              <w:rPr>
                <w:rFonts w:eastAsia="SimSun" w:cs="Calibri"/>
                <w:color w:val="000000"/>
                <w:sz w:val="20"/>
                <w:lang w:val="zh-CN" w:eastAsia="zh-CN"/>
              </w:rPr>
              <w:t>年</w:t>
            </w:r>
            <w:r w:rsidRPr="008B1FF1">
              <w:rPr>
                <w:rFonts w:eastAsia="SimSun" w:cs="Calibri"/>
                <w:color w:val="000000"/>
                <w:sz w:val="20"/>
                <w:lang w:val="zh-CN" w:eastAsia="zh-CN"/>
              </w:rPr>
              <w:t>3</w:t>
            </w:r>
            <w:r w:rsidRPr="008B1FF1">
              <w:rPr>
                <w:rFonts w:eastAsia="SimSun" w:cs="Calibri"/>
                <w:color w:val="000000"/>
                <w:sz w:val="20"/>
                <w:lang w:val="zh-CN" w:eastAsia="zh-CN"/>
              </w:rPr>
              <w:t>月向秘书长报告了结果。</w:t>
            </w:r>
          </w:p>
          <w:p w14:paraId="11DD54D8" w14:textId="1703082A"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r w:rsidRPr="008B1FF1">
              <w:rPr>
                <w:rFonts w:eastAsia="SimSun" w:cs="Calibri" w:hint="eastAsia"/>
                <w:color w:val="000000"/>
                <w:sz w:val="20"/>
                <w:lang w:val="zh-CN" w:eastAsia="zh-CN"/>
              </w:rPr>
              <w:t>。</w:t>
            </w:r>
          </w:p>
        </w:tc>
        <w:tc>
          <w:tcPr>
            <w:tcW w:w="1050" w:type="pct"/>
            <w:shd w:val="clear" w:color="auto" w:fill="auto"/>
          </w:tcPr>
          <w:p w14:paraId="730C97BD" w14:textId="0B4E51FA" w:rsidR="000245E2" w:rsidRPr="008B1FF1" w:rsidRDefault="000245E2" w:rsidP="000245E2">
            <w:pPr>
              <w:pStyle w:val="Tabletext"/>
              <w:rPr>
                <w:sz w:val="20"/>
                <w:lang w:eastAsia="zh-CN"/>
              </w:rPr>
            </w:pPr>
            <w:r w:rsidRPr="008B1FF1">
              <w:rPr>
                <w:rFonts w:eastAsia="SimSun" w:cs="Calibri"/>
                <w:color w:val="000000"/>
                <w:sz w:val="20"/>
                <w:lang w:val="zh-CN" w:eastAsia="zh-CN"/>
              </w:rPr>
              <w:t>我们注意到管理层</w:t>
            </w:r>
            <w:r w:rsidRPr="008B1FF1">
              <w:rPr>
                <w:rFonts w:eastAsia="SimSun" w:cs="Calibri" w:hint="eastAsia"/>
                <w:color w:val="000000"/>
                <w:sz w:val="20"/>
                <w:lang w:val="zh-CN" w:eastAsia="zh-CN"/>
              </w:rPr>
              <w:t>做出</w:t>
            </w:r>
            <w:r w:rsidRPr="008B1FF1">
              <w:rPr>
                <w:rFonts w:eastAsia="SimSun" w:cs="Calibri"/>
                <w:color w:val="000000"/>
                <w:sz w:val="20"/>
                <w:lang w:val="zh-CN" w:eastAsia="zh-CN"/>
              </w:rPr>
              <w:t>的回应以及根据我们前任的意见采取的行动。</w:t>
            </w:r>
          </w:p>
        </w:tc>
        <w:tc>
          <w:tcPr>
            <w:tcW w:w="450" w:type="pct"/>
            <w:shd w:val="clear" w:color="auto" w:fill="auto"/>
          </w:tcPr>
          <w:p w14:paraId="4526337B" w14:textId="302961B7" w:rsidR="000245E2" w:rsidRPr="008B1FF1" w:rsidRDefault="00A62A5A" w:rsidP="000245E2">
            <w:pPr>
              <w:pStyle w:val="Tabletext"/>
              <w:rPr>
                <w:sz w:val="20"/>
              </w:rPr>
            </w:pPr>
            <w:r>
              <w:rPr>
                <w:rFonts w:ascii="SimSun" w:eastAsia="SimSun" w:hAnsi="SimSun" w:cs="SimSun" w:hint="eastAsia"/>
                <w:color w:val="000000"/>
                <w:sz w:val="20"/>
                <w:lang w:eastAsia="zh-CN"/>
              </w:rPr>
              <w:t>已关闭。</w:t>
            </w:r>
          </w:p>
        </w:tc>
      </w:tr>
      <w:tr w:rsidR="000245E2" w:rsidRPr="00536D01" w14:paraId="493E0941" w14:textId="77777777" w:rsidTr="0011737E">
        <w:tc>
          <w:tcPr>
            <w:tcW w:w="300" w:type="pct"/>
            <w:shd w:val="clear" w:color="auto" w:fill="auto"/>
          </w:tcPr>
          <w:p w14:paraId="28347DF0" w14:textId="76E2293E" w:rsidR="000245E2" w:rsidRPr="008B1FF1" w:rsidRDefault="000245E2" w:rsidP="000245E2">
            <w:pPr>
              <w:pStyle w:val="Tabletext"/>
              <w:rPr>
                <w:sz w:val="20"/>
              </w:rPr>
            </w:pPr>
            <w:r w:rsidRPr="008B1FF1">
              <w:rPr>
                <w:rFonts w:eastAsia="SimSun" w:cs="Calibri"/>
                <w:color w:val="000000"/>
                <w:sz w:val="20"/>
                <w:lang w:val="zh-CN"/>
              </w:rPr>
              <w:t>R#10</w:t>
            </w:r>
          </w:p>
        </w:tc>
        <w:tc>
          <w:tcPr>
            <w:tcW w:w="1450" w:type="pct"/>
            <w:shd w:val="clear" w:color="auto" w:fill="auto"/>
          </w:tcPr>
          <w:p w14:paraId="00D01BE9" w14:textId="2811E486" w:rsidR="000245E2" w:rsidRPr="008B1FF1" w:rsidRDefault="000245E2" w:rsidP="000245E2">
            <w:pPr>
              <w:pStyle w:val="Tabletext"/>
              <w:rPr>
                <w:sz w:val="20"/>
                <w:lang w:eastAsia="zh-CN"/>
              </w:rPr>
            </w:pPr>
            <w:r w:rsidRPr="008B1FF1">
              <w:rPr>
                <w:rFonts w:eastAsia="SimSun" w:cs="Calibri"/>
                <w:color w:val="000000"/>
                <w:sz w:val="20"/>
                <w:lang w:val="zh-CN" w:eastAsia="zh-CN"/>
              </w:rPr>
              <w:t>管理层将毫不迟疑地进一步调查</w:t>
            </w:r>
            <w:r w:rsidRPr="008B1FF1">
              <w:rPr>
                <w:rFonts w:eastAsia="SimSun" w:cs="Calibri" w:hint="eastAsia"/>
                <w:color w:val="000000"/>
                <w:sz w:val="20"/>
                <w:lang w:val="zh-CN" w:eastAsia="zh-CN"/>
              </w:rPr>
              <w:t>因何分</w:t>
            </w:r>
            <w:r w:rsidRPr="008B1FF1">
              <w:rPr>
                <w:rFonts w:eastAsia="SimSun" w:cs="Calibri"/>
                <w:color w:val="000000"/>
                <w:sz w:val="20"/>
                <w:lang w:val="zh-CN" w:eastAsia="zh-CN"/>
              </w:rPr>
              <w:t>层控制</w:t>
            </w:r>
            <w:r w:rsidRPr="008B1FF1">
              <w:rPr>
                <w:rFonts w:eastAsia="SimSun" w:cs="Calibri" w:hint="eastAsia"/>
                <w:color w:val="000000"/>
                <w:sz w:val="20"/>
                <w:lang w:val="zh-CN" w:eastAsia="zh-CN"/>
              </w:rPr>
              <w:t>这些年</w:t>
            </w:r>
            <w:r w:rsidRPr="008B1FF1">
              <w:rPr>
                <w:rFonts w:eastAsia="SimSun" w:cs="Calibri"/>
                <w:color w:val="000000"/>
                <w:sz w:val="20"/>
                <w:lang w:val="zh-CN" w:eastAsia="zh-CN"/>
              </w:rPr>
              <w:t>在检测持续</w:t>
            </w:r>
            <w:r w:rsidRPr="008B1FF1">
              <w:rPr>
                <w:rFonts w:eastAsia="SimSun" w:cs="Calibri" w:hint="eastAsia"/>
                <w:color w:val="000000"/>
                <w:sz w:val="20"/>
                <w:lang w:val="zh-CN" w:eastAsia="zh-CN"/>
              </w:rPr>
              <w:t>存在的</w:t>
            </w:r>
            <w:r w:rsidRPr="008B1FF1">
              <w:rPr>
                <w:rFonts w:eastAsia="SimSun" w:cs="Calibri"/>
                <w:color w:val="000000"/>
                <w:sz w:val="20"/>
                <w:lang w:val="zh-CN" w:eastAsia="zh-CN"/>
              </w:rPr>
              <w:t>欺诈方面如此</w:t>
            </w:r>
            <w:r w:rsidRPr="008B1FF1">
              <w:rPr>
                <w:rFonts w:eastAsia="SimSun" w:cs="Calibri" w:hint="eastAsia"/>
                <w:color w:val="000000"/>
                <w:sz w:val="20"/>
                <w:lang w:val="zh-CN" w:eastAsia="zh-CN"/>
              </w:rPr>
              <w:t>低</w:t>
            </w:r>
            <w:r w:rsidRPr="008B1FF1">
              <w:rPr>
                <w:rFonts w:eastAsia="SimSun" w:cs="Calibri"/>
                <w:color w:val="000000"/>
                <w:sz w:val="20"/>
                <w:lang w:val="zh-CN" w:eastAsia="zh-CN"/>
              </w:rPr>
              <w:t>效。具体而言，管理层应评估</w:t>
            </w:r>
            <w:r w:rsidRPr="008B1FF1">
              <w:rPr>
                <w:rFonts w:eastAsia="SimSun" w:cs="Calibri" w:hint="eastAsia"/>
                <w:color w:val="000000"/>
                <w:sz w:val="20"/>
                <w:lang w:val="zh-CN" w:eastAsia="zh-CN"/>
              </w:rPr>
              <w:t>相关</w:t>
            </w:r>
            <w:r w:rsidRPr="008B1FF1">
              <w:rPr>
                <w:rFonts w:eastAsia="SimSun" w:cs="Calibri"/>
                <w:color w:val="000000"/>
                <w:sz w:val="20"/>
                <w:lang w:val="zh-CN" w:eastAsia="zh-CN"/>
              </w:rPr>
              <w:t>工作人员上级</w:t>
            </w:r>
            <w:r w:rsidRPr="008B1FF1">
              <w:rPr>
                <w:rFonts w:eastAsia="SimSun" w:cs="Calibri" w:hint="eastAsia"/>
                <w:color w:val="000000"/>
                <w:sz w:val="20"/>
                <w:lang w:val="zh-CN" w:eastAsia="zh-CN"/>
              </w:rPr>
              <w:t>领导</w:t>
            </w:r>
            <w:r w:rsidRPr="008B1FF1">
              <w:rPr>
                <w:rFonts w:eastAsia="SimSun" w:cs="Calibri"/>
                <w:color w:val="000000"/>
                <w:sz w:val="20"/>
                <w:lang w:val="zh-CN" w:eastAsia="zh-CN"/>
              </w:rPr>
              <w:t>的行为在多大程度上符合</w:t>
            </w:r>
            <w:r w:rsidRPr="008B1FF1">
              <w:rPr>
                <w:rFonts w:eastAsia="SimSun" w:cs="Calibri" w:hint="eastAsia"/>
                <w:color w:val="000000"/>
                <w:sz w:val="20"/>
                <w:lang w:val="zh-CN" w:eastAsia="zh-CN"/>
              </w:rPr>
              <w:t>其</w:t>
            </w:r>
            <w:r w:rsidRPr="008B1FF1">
              <w:rPr>
                <w:rFonts w:eastAsia="SimSun" w:cs="Calibri"/>
                <w:color w:val="000000"/>
                <w:sz w:val="20"/>
                <w:lang w:val="zh-CN" w:eastAsia="zh-CN"/>
              </w:rPr>
              <w:t>应尽职</w:t>
            </w:r>
            <w:r w:rsidRPr="008B1FF1">
              <w:rPr>
                <w:rFonts w:eastAsia="SimSun" w:cs="Calibri" w:hint="eastAsia"/>
                <w:color w:val="000000"/>
                <w:sz w:val="20"/>
                <w:lang w:val="zh-CN" w:eastAsia="zh-CN"/>
              </w:rPr>
              <w:t>责</w:t>
            </w:r>
            <w:r w:rsidRPr="008B1FF1">
              <w:rPr>
                <w:rFonts w:eastAsia="SimSun" w:cs="Calibri"/>
                <w:color w:val="000000"/>
                <w:sz w:val="20"/>
                <w:lang w:val="zh-CN" w:eastAsia="zh-CN"/>
              </w:rPr>
              <w:t>和管理技能标准，并调查其他人是否参与</w:t>
            </w:r>
            <w:r w:rsidRPr="008B1FF1">
              <w:rPr>
                <w:rFonts w:eastAsia="SimSun" w:cs="Calibri" w:hint="eastAsia"/>
                <w:color w:val="000000"/>
                <w:sz w:val="20"/>
                <w:lang w:val="zh-CN" w:eastAsia="zh-CN"/>
              </w:rPr>
              <w:t>了</w:t>
            </w:r>
            <w:r w:rsidRPr="008B1FF1">
              <w:rPr>
                <w:rFonts w:eastAsia="SimSun" w:cs="Calibri"/>
                <w:color w:val="000000"/>
                <w:sz w:val="20"/>
                <w:lang w:val="zh-CN" w:eastAsia="zh-CN"/>
              </w:rPr>
              <w:t>欺诈活动</w:t>
            </w:r>
          </w:p>
        </w:tc>
        <w:tc>
          <w:tcPr>
            <w:tcW w:w="1750" w:type="pct"/>
            <w:shd w:val="clear" w:color="auto" w:fill="auto"/>
          </w:tcPr>
          <w:p w14:paraId="1DAEFDD0" w14:textId="4498878A"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w:t>
            </w:r>
            <w:r w:rsidRPr="008B1FF1">
              <w:rPr>
                <w:rFonts w:eastAsia="SimSun" w:cs="Calibri"/>
                <w:color w:val="000000"/>
                <w:sz w:val="20"/>
                <w:lang w:val="zh-CN" w:eastAsia="zh-CN"/>
              </w:rPr>
              <w:t>2020</w:t>
            </w:r>
            <w:r w:rsidRPr="008B1FF1">
              <w:rPr>
                <w:rFonts w:eastAsia="SimSun" w:cs="Calibri"/>
                <w:color w:val="000000"/>
                <w:sz w:val="20"/>
                <w:lang w:val="zh-CN" w:eastAsia="zh-CN"/>
              </w:rPr>
              <w:t>年</w:t>
            </w:r>
            <w:r w:rsidRPr="008B1FF1">
              <w:rPr>
                <w:rFonts w:eastAsia="SimSun" w:cs="Calibri"/>
                <w:color w:val="000000"/>
                <w:sz w:val="20"/>
                <w:lang w:val="zh-CN" w:eastAsia="zh-CN"/>
              </w:rPr>
              <w:t>1</w:t>
            </w:r>
            <w:r w:rsidRPr="008B1FF1">
              <w:rPr>
                <w:rFonts w:eastAsia="SimSun" w:cs="Calibri"/>
                <w:color w:val="000000"/>
                <w:sz w:val="20"/>
                <w:lang w:val="zh-CN" w:eastAsia="zh-CN"/>
              </w:rPr>
              <w:t>月，国际电联聘请的一名外部调查员开展了一项</w:t>
            </w:r>
            <w:r w:rsidRPr="008B1FF1">
              <w:rPr>
                <w:rFonts w:eastAsia="SimSun" w:cs="Calibri" w:hint="eastAsia"/>
                <w:color w:val="000000"/>
                <w:sz w:val="20"/>
                <w:lang w:val="zh-CN" w:eastAsia="zh-CN"/>
              </w:rPr>
              <w:t>侧重于以下内容的</w:t>
            </w:r>
            <w:r w:rsidRPr="008B1FF1">
              <w:rPr>
                <w:rFonts w:eastAsia="SimSun" w:cs="Calibri"/>
                <w:color w:val="000000"/>
                <w:sz w:val="20"/>
                <w:lang w:val="zh-CN" w:eastAsia="zh-CN"/>
              </w:rPr>
              <w:t>调查</w:t>
            </w:r>
            <w:r w:rsidRPr="008B1FF1">
              <w:rPr>
                <w:rFonts w:eastAsia="SimSun" w:cs="Calibri" w:hint="eastAsia"/>
                <w:color w:val="000000"/>
                <w:sz w:val="20"/>
                <w:lang w:val="zh-CN" w:eastAsia="zh-CN"/>
              </w:rPr>
              <w:t>：</w:t>
            </w:r>
            <w:r w:rsidRPr="008B1FF1">
              <w:rPr>
                <w:rFonts w:eastAsia="SimSun" w:cs="Calibri"/>
                <w:color w:val="000000"/>
                <w:sz w:val="20"/>
                <w:lang w:val="zh-CN" w:eastAsia="zh-CN"/>
              </w:rPr>
              <w:t>(1)</w:t>
            </w:r>
            <w:r w:rsidR="007A47A9">
              <w:rPr>
                <w:rFonts w:eastAsia="SimSun" w:cs="Calibri" w:hint="eastAsia"/>
                <w:color w:val="000000"/>
                <w:sz w:val="20"/>
                <w:lang w:val="zh-CN" w:eastAsia="zh-CN"/>
              </w:rPr>
              <w:t xml:space="preserve"> </w:t>
            </w:r>
            <w:r w:rsidRPr="008B1FF1">
              <w:rPr>
                <w:rFonts w:eastAsia="SimSun" w:cs="Calibri"/>
                <w:color w:val="000000"/>
                <w:sz w:val="20"/>
                <w:lang w:val="zh-CN" w:eastAsia="zh-CN"/>
              </w:rPr>
              <w:t>任何系统性缺陷或</w:t>
            </w:r>
            <w:r w:rsidRPr="008B1FF1">
              <w:rPr>
                <w:rFonts w:eastAsia="SimSun" w:cs="Calibri" w:hint="eastAsia"/>
                <w:color w:val="000000"/>
                <w:sz w:val="20"/>
                <w:lang w:val="zh-CN" w:eastAsia="zh-CN"/>
              </w:rPr>
              <w:t>独立的</w:t>
            </w:r>
            <w:r w:rsidRPr="008B1FF1">
              <w:rPr>
                <w:rFonts w:eastAsia="SimSun" w:cs="Calibri"/>
                <w:color w:val="000000"/>
                <w:sz w:val="20"/>
                <w:lang w:val="zh-CN" w:eastAsia="zh-CN"/>
              </w:rPr>
              <w:t>缺陷；和</w:t>
            </w:r>
            <w:r w:rsidRPr="008B1FF1">
              <w:rPr>
                <w:rFonts w:eastAsia="SimSun" w:cs="Calibri"/>
                <w:color w:val="000000"/>
                <w:sz w:val="20"/>
                <w:lang w:val="zh-CN" w:eastAsia="zh-CN"/>
              </w:rPr>
              <w:t>/</w:t>
            </w:r>
            <w:r w:rsidRPr="008B1FF1">
              <w:rPr>
                <w:rFonts w:eastAsia="SimSun" w:cs="Calibri"/>
                <w:color w:val="000000"/>
                <w:sz w:val="20"/>
                <w:lang w:val="zh-CN" w:eastAsia="zh-CN"/>
              </w:rPr>
              <w:t>或</w:t>
            </w:r>
            <w:r w:rsidRPr="008B1FF1">
              <w:rPr>
                <w:rFonts w:eastAsia="SimSun" w:cs="Calibri"/>
                <w:color w:val="000000"/>
                <w:sz w:val="20"/>
                <w:lang w:val="zh-CN" w:eastAsia="zh-CN"/>
              </w:rPr>
              <w:t xml:space="preserve"> (2) </w:t>
            </w:r>
            <w:r w:rsidRPr="008B1FF1">
              <w:rPr>
                <w:rFonts w:eastAsia="SimSun" w:cs="Calibri"/>
                <w:color w:val="000000"/>
                <w:sz w:val="20"/>
                <w:lang w:val="zh-CN" w:eastAsia="zh-CN"/>
              </w:rPr>
              <w:t>在监督和</w:t>
            </w:r>
            <w:r w:rsidRPr="008B1FF1">
              <w:rPr>
                <w:rFonts w:eastAsia="SimSun" w:cs="Calibri" w:hint="eastAsia"/>
                <w:color w:val="000000"/>
                <w:sz w:val="20"/>
                <w:lang w:val="zh-CN" w:eastAsia="zh-CN"/>
              </w:rPr>
              <w:t>管理</w:t>
            </w:r>
            <w:r w:rsidRPr="008B1FF1">
              <w:rPr>
                <w:rFonts w:eastAsia="SimSun" w:cs="Calibri"/>
                <w:color w:val="000000"/>
                <w:sz w:val="20"/>
                <w:lang w:val="zh-CN" w:eastAsia="zh-CN"/>
              </w:rPr>
              <w:t>曼谷代表处与欺诈案有关的活动方面可能存在的管理失职。普华永道法务审计的重点</w:t>
            </w:r>
            <w:r w:rsidRPr="008B1FF1">
              <w:rPr>
                <w:rFonts w:eastAsia="SimSun" w:cs="Calibri" w:hint="eastAsia"/>
                <w:color w:val="000000"/>
                <w:sz w:val="20"/>
                <w:lang w:val="zh-CN" w:eastAsia="zh-CN"/>
              </w:rPr>
              <w:t>是控制问题上存在的漏洞</w:t>
            </w:r>
            <w:r w:rsidRPr="008B1FF1">
              <w:rPr>
                <w:rFonts w:eastAsia="SimSun" w:cs="Calibri"/>
                <w:color w:val="000000"/>
                <w:sz w:val="20"/>
                <w:lang w:val="zh-CN" w:eastAsia="zh-CN"/>
              </w:rPr>
              <w:t>。该案已正式提交泰国</w:t>
            </w:r>
            <w:r w:rsidRPr="008B1FF1">
              <w:rPr>
                <w:rFonts w:eastAsia="SimSun" w:cs="Calibri" w:hint="eastAsia"/>
                <w:color w:val="000000"/>
                <w:sz w:val="20"/>
                <w:lang w:val="zh-CN" w:eastAsia="zh-CN"/>
              </w:rPr>
              <w:t>司</w:t>
            </w:r>
            <w:r w:rsidRPr="008B1FF1">
              <w:rPr>
                <w:rFonts w:eastAsia="SimSun" w:cs="Calibri"/>
                <w:color w:val="000000"/>
                <w:sz w:val="20"/>
                <w:lang w:val="zh-CN" w:eastAsia="zh-CN"/>
              </w:rPr>
              <w:t>法当局，由</w:t>
            </w:r>
            <w:r w:rsidRPr="008B1FF1">
              <w:rPr>
                <w:rFonts w:eastAsia="SimSun" w:cs="Calibri" w:hint="eastAsia"/>
                <w:color w:val="000000"/>
                <w:sz w:val="20"/>
                <w:lang w:val="zh-CN" w:eastAsia="zh-CN"/>
              </w:rPr>
              <w:t>泰国司法部门</w:t>
            </w:r>
            <w:r w:rsidRPr="008B1FF1">
              <w:rPr>
                <w:rFonts w:eastAsia="SimSun" w:cs="Calibri"/>
                <w:color w:val="000000"/>
                <w:sz w:val="20"/>
                <w:lang w:val="zh-CN" w:eastAsia="zh-CN"/>
              </w:rPr>
              <w:t>负责调查该</w:t>
            </w:r>
            <w:r w:rsidRPr="008B1FF1">
              <w:rPr>
                <w:rFonts w:eastAsia="SimSun" w:cs="Calibri" w:hint="eastAsia"/>
                <w:color w:val="000000"/>
                <w:sz w:val="20"/>
                <w:lang w:val="zh-CN" w:eastAsia="zh-CN"/>
              </w:rPr>
              <w:t>原当</w:t>
            </w:r>
            <w:r w:rsidRPr="008B1FF1">
              <w:rPr>
                <w:rFonts w:eastAsia="SimSun" w:cs="Calibri"/>
                <w:color w:val="000000"/>
                <w:sz w:val="20"/>
                <w:lang w:val="zh-CN" w:eastAsia="zh-CN"/>
              </w:rPr>
              <w:t>地员</w:t>
            </w:r>
            <w:r w:rsidRPr="008B1FF1">
              <w:rPr>
                <w:rFonts w:eastAsia="SimSun" w:cs="Calibri" w:hint="eastAsia"/>
                <w:color w:val="000000"/>
                <w:sz w:val="20"/>
                <w:lang w:val="zh-CN" w:eastAsia="zh-CN"/>
              </w:rPr>
              <w:t>工</w:t>
            </w:r>
            <w:r w:rsidRPr="008B1FF1">
              <w:rPr>
                <w:rFonts w:eastAsia="SimSun" w:cs="Calibri"/>
                <w:color w:val="000000"/>
                <w:sz w:val="20"/>
                <w:lang w:val="zh-CN" w:eastAsia="zh-CN"/>
              </w:rPr>
              <w:t>的刑事责任，并酌情启动起诉或追偿行动。</w:t>
            </w:r>
          </w:p>
          <w:p w14:paraId="5D4BE496"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此外，国际电联正在</w:t>
            </w:r>
            <w:r w:rsidRPr="008B1FF1">
              <w:rPr>
                <w:rFonts w:eastAsia="SimSun" w:cs="Calibri" w:hint="eastAsia"/>
                <w:color w:val="000000"/>
                <w:sz w:val="20"/>
                <w:lang w:val="zh-CN" w:eastAsia="zh-CN"/>
              </w:rPr>
              <w:t>监督现</w:t>
            </w:r>
            <w:r w:rsidRPr="008B1FF1">
              <w:rPr>
                <w:rFonts w:eastAsia="SimSun" w:cs="Calibri"/>
                <w:color w:val="000000"/>
                <w:sz w:val="20"/>
                <w:lang w:val="zh-CN" w:eastAsia="zh-CN"/>
              </w:rPr>
              <w:t>行内部审计</w:t>
            </w:r>
            <w:r w:rsidRPr="008B1FF1">
              <w:rPr>
                <w:rFonts w:eastAsia="SimSun" w:cs="Calibri" w:hint="eastAsia"/>
                <w:color w:val="000000"/>
                <w:sz w:val="20"/>
                <w:lang w:val="zh-CN" w:eastAsia="zh-CN"/>
              </w:rPr>
              <w:t>的</w:t>
            </w:r>
            <w:r w:rsidRPr="008B1FF1">
              <w:rPr>
                <w:rFonts w:eastAsia="SimSun" w:cs="Calibri"/>
                <w:color w:val="000000"/>
                <w:sz w:val="20"/>
                <w:lang w:val="zh-CN" w:eastAsia="zh-CN"/>
              </w:rPr>
              <w:t>后续工作，以确保有效加强控制，并</w:t>
            </w:r>
            <w:r w:rsidRPr="008B1FF1">
              <w:rPr>
                <w:rFonts w:eastAsia="SimSun" w:cs="Calibri" w:hint="eastAsia"/>
                <w:color w:val="000000"/>
                <w:sz w:val="20"/>
                <w:lang w:val="zh-CN" w:eastAsia="zh-CN"/>
              </w:rPr>
              <w:t>将</w:t>
            </w:r>
            <w:r w:rsidRPr="008B1FF1">
              <w:rPr>
                <w:rFonts w:eastAsia="SimSun" w:cs="Calibri"/>
                <w:color w:val="000000"/>
                <w:sz w:val="20"/>
                <w:lang w:val="zh-CN" w:eastAsia="zh-CN"/>
              </w:rPr>
              <w:t>经验教训应用到更广泛的</w:t>
            </w:r>
            <w:r w:rsidRPr="008B1FF1">
              <w:rPr>
                <w:rFonts w:eastAsia="SimSun" w:cs="Calibri" w:hint="eastAsia"/>
                <w:color w:val="000000"/>
                <w:sz w:val="20"/>
                <w:lang w:val="zh-CN" w:eastAsia="zh-CN"/>
              </w:rPr>
              <w:t>驻地</w:t>
            </w:r>
            <w:r w:rsidRPr="008B1FF1">
              <w:rPr>
                <w:rFonts w:eastAsia="SimSun" w:cs="Calibri"/>
                <w:color w:val="000000"/>
                <w:sz w:val="20"/>
                <w:lang w:val="zh-CN" w:eastAsia="zh-CN"/>
              </w:rPr>
              <w:t>工作中，</w:t>
            </w:r>
            <w:r w:rsidRPr="008B1FF1">
              <w:rPr>
                <w:rFonts w:eastAsia="SimSun" w:cs="Calibri" w:hint="eastAsia"/>
                <w:color w:val="000000"/>
                <w:sz w:val="20"/>
                <w:lang w:val="zh-CN" w:eastAsia="zh-CN"/>
              </w:rPr>
              <w:t>同时</w:t>
            </w:r>
            <w:r w:rsidRPr="008B1FF1">
              <w:rPr>
                <w:rFonts w:eastAsia="SimSun" w:cs="Calibri"/>
                <w:color w:val="000000"/>
                <w:sz w:val="20"/>
                <w:lang w:val="zh-CN" w:eastAsia="zh-CN"/>
              </w:rPr>
              <w:t>利用这一案例为国际电联内部监督和审计机制下基于风险的规划提供信息。</w:t>
            </w:r>
          </w:p>
          <w:p w14:paraId="0182EFB1" w14:textId="438D2808"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1732195E" w14:textId="1DC1510D" w:rsidR="000245E2" w:rsidRPr="008B1FF1" w:rsidRDefault="000245E2" w:rsidP="000245E2">
            <w:pPr>
              <w:pStyle w:val="Tabletext"/>
              <w:rPr>
                <w:sz w:val="20"/>
                <w:lang w:eastAsia="zh-CN"/>
              </w:rPr>
            </w:pPr>
            <w:r w:rsidRPr="008B1FF1">
              <w:rPr>
                <w:rFonts w:eastAsia="SimSun" w:cs="Calibri" w:hint="eastAsia"/>
                <w:color w:val="000000"/>
                <w:sz w:val="20"/>
                <w:lang w:val="zh-CN" w:eastAsia="zh-CN"/>
              </w:rPr>
              <w:t>我们注意到最新的回应并认为此回应是合理的。已不再跟进该建议。</w:t>
            </w:r>
          </w:p>
        </w:tc>
        <w:tc>
          <w:tcPr>
            <w:tcW w:w="450" w:type="pct"/>
            <w:shd w:val="clear" w:color="auto" w:fill="auto"/>
          </w:tcPr>
          <w:p w14:paraId="7803EA3C" w14:textId="2DBA63AA" w:rsidR="000245E2" w:rsidRPr="008B1FF1" w:rsidRDefault="00A62A5A" w:rsidP="000245E2">
            <w:pPr>
              <w:pStyle w:val="Tabletext"/>
              <w:rPr>
                <w:sz w:val="20"/>
                <w:lang w:eastAsia="zh-CN"/>
              </w:rPr>
            </w:pPr>
            <w:r>
              <w:rPr>
                <w:rFonts w:ascii="SimSun" w:eastAsia="SimSun" w:hAnsi="SimSun" w:cs="SimSun" w:hint="eastAsia"/>
                <w:color w:val="000000"/>
                <w:sz w:val="20"/>
                <w:lang w:eastAsia="zh-CN"/>
              </w:rPr>
              <w:t>已关闭。</w:t>
            </w:r>
          </w:p>
        </w:tc>
      </w:tr>
      <w:tr w:rsidR="000245E2" w:rsidRPr="00536D01" w14:paraId="3F7123EB" w14:textId="77777777" w:rsidTr="0011737E">
        <w:tc>
          <w:tcPr>
            <w:tcW w:w="300" w:type="pct"/>
            <w:shd w:val="clear" w:color="auto" w:fill="auto"/>
          </w:tcPr>
          <w:p w14:paraId="6BF5D1CF" w14:textId="393707EE" w:rsidR="000245E2" w:rsidRPr="008B1FF1" w:rsidRDefault="000245E2" w:rsidP="000245E2">
            <w:pPr>
              <w:pStyle w:val="Tabletext"/>
              <w:rPr>
                <w:sz w:val="20"/>
              </w:rPr>
            </w:pPr>
            <w:r w:rsidRPr="008B1FF1">
              <w:rPr>
                <w:rFonts w:eastAsia="SimSun" w:cs="Calibri"/>
                <w:color w:val="000000"/>
                <w:sz w:val="20"/>
                <w:lang w:val="zh-CN"/>
              </w:rPr>
              <w:t>R#11</w:t>
            </w:r>
          </w:p>
        </w:tc>
        <w:tc>
          <w:tcPr>
            <w:tcW w:w="1450" w:type="pct"/>
            <w:shd w:val="clear" w:color="auto" w:fill="auto"/>
          </w:tcPr>
          <w:p w14:paraId="507EF22D" w14:textId="72F5228F" w:rsidR="000245E2" w:rsidRPr="008B1FF1" w:rsidRDefault="000245E2" w:rsidP="000245E2">
            <w:pPr>
              <w:pStyle w:val="Tabletext"/>
              <w:rPr>
                <w:sz w:val="20"/>
                <w:lang w:eastAsia="zh-CN"/>
              </w:rPr>
            </w:pPr>
            <w:r w:rsidRPr="008B1FF1">
              <w:rPr>
                <w:rFonts w:eastAsia="SimSun" w:cs="Calibri"/>
                <w:color w:val="000000"/>
                <w:sz w:val="20"/>
                <w:lang w:val="zh-CN" w:eastAsia="zh-CN"/>
              </w:rPr>
              <w:t>管理层</w:t>
            </w:r>
            <w:r w:rsidRPr="008B1FF1">
              <w:rPr>
                <w:rFonts w:eastAsia="SimSun" w:cs="Calibri" w:hint="eastAsia"/>
                <w:color w:val="000000"/>
                <w:sz w:val="20"/>
                <w:lang w:val="zh-CN" w:eastAsia="zh-CN"/>
              </w:rPr>
              <w:t>紧急</w:t>
            </w:r>
            <w:r w:rsidRPr="008B1FF1">
              <w:rPr>
                <w:rFonts w:eastAsia="SimSun" w:cs="Calibri"/>
                <w:color w:val="000000"/>
                <w:sz w:val="20"/>
                <w:lang w:val="zh-CN" w:eastAsia="zh-CN"/>
              </w:rPr>
              <w:t>考虑指派一名独立于国际电联管理层的专业</w:t>
            </w:r>
            <w:r w:rsidRPr="008B1FF1">
              <w:rPr>
                <w:rFonts w:ascii="SimSun" w:eastAsia="SimSun" w:hAnsi="SimSun" w:cs="Calibri" w:hint="eastAsia"/>
                <w:color w:val="000000"/>
                <w:sz w:val="20"/>
                <w:lang w:val="zh-CN" w:eastAsia="zh-CN"/>
              </w:rPr>
              <w:t>“</w:t>
            </w:r>
            <w:r w:rsidRPr="008B1FF1">
              <w:rPr>
                <w:rFonts w:eastAsia="SimSun" w:cs="Calibri"/>
                <w:color w:val="000000"/>
                <w:sz w:val="20"/>
                <w:lang w:val="zh-CN" w:eastAsia="zh-CN"/>
              </w:rPr>
              <w:t>调查专家</w:t>
            </w:r>
            <w:r w:rsidRPr="008B1FF1">
              <w:rPr>
                <w:rFonts w:ascii="SimSun" w:eastAsia="SimSun" w:hAnsi="SimSun" w:cs="Calibri"/>
                <w:color w:val="000000"/>
                <w:sz w:val="20"/>
                <w:lang w:val="zh-CN" w:eastAsia="zh-CN"/>
              </w:rPr>
              <w:t>”</w:t>
            </w:r>
            <w:r w:rsidRPr="008B1FF1">
              <w:rPr>
                <w:rFonts w:ascii="SimSun" w:eastAsia="SimSun" w:hAnsi="SimSun" w:cs="Calibri" w:hint="eastAsia"/>
                <w:color w:val="000000"/>
                <w:sz w:val="20"/>
                <w:lang w:val="zh-CN" w:eastAsia="zh-CN"/>
              </w:rPr>
              <w:t>开展</w:t>
            </w:r>
            <w:r w:rsidRPr="008B1FF1">
              <w:rPr>
                <w:rFonts w:eastAsia="SimSun" w:cs="Calibri"/>
                <w:color w:val="000000"/>
                <w:sz w:val="20"/>
                <w:lang w:val="zh-CN" w:eastAsia="zh-CN"/>
              </w:rPr>
              <w:t>更</w:t>
            </w:r>
            <w:r w:rsidRPr="008B1FF1">
              <w:rPr>
                <w:rFonts w:eastAsia="SimSun" w:cs="Calibri" w:hint="eastAsia"/>
                <w:color w:val="000000"/>
                <w:sz w:val="20"/>
                <w:lang w:val="zh-CN" w:eastAsia="zh-CN"/>
              </w:rPr>
              <w:t>加</w:t>
            </w:r>
            <w:r w:rsidRPr="008B1FF1">
              <w:rPr>
                <w:rFonts w:eastAsia="SimSun" w:cs="Calibri"/>
                <w:color w:val="000000"/>
                <w:sz w:val="20"/>
                <w:lang w:val="zh-CN" w:eastAsia="zh-CN"/>
              </w:rPr>
              <w:t>深入的分析。例如，或许与联合国内部监督事务厅（</w:t>
            </w:r>
            <w:r w:rsidRPr="008B1FF1">
              <w:rPr>
                <w:rFonts w:eastAsia="SimSun" w:cs="Calibri"/>
                <w:color w:val="000000"/>
                <w:sz w:val="20"/>
                <w:lang w:val="zh-CN" w:eastAsia="zh-CN"/>
              </w:rPr>
              <w:t>OIOS</w:t>
            </w:r>
            <w:r w:rsidRPr="008B1FF1">
              <w:rPr>
                <w:rFonts w:eastAsia="SimSun" w:cs="Calibri"/>
                <w:color w:val="000000"/>
                <w:sz w:val="20"/>
                <w:lang w:val="zh-CN" w:eastAsia="zh-CN"/>
              </w:rPr>
              <w:t>）联系，以了解他们是否可以直接参与或帮助国际电联找到最合适的调查员。</w:t>
            </w:r>
          </w:p>
        </w:tc>
        <w:tc>
          <w:tcPr>
            <w:tcW w:w="1750" w:type="pct"/>
            <w:shd w:val="clear" w:color="auto" w:fill="auto"/>
          </w:tcPr>
          <w:p w14:paraId="2AC870F4"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w:t>
            </w:r>
            <w:r w:rsidRPr="008B1FF1">
              <w:rPr>
                <w:rFonts w:eastAsia="SimSun" w:cs="Calibri"/>
                <w:color w:val="000000"/>
                <w:sz w:val="20"/>
                <w:lang w:val="zh-CN" w:eastAsia="zh-CN"/>
              </w:rPr>
              <w:t>2020</w:t>
            </w:r>
            <w:r w:rsidRPr="008B1FF1">
              <w:rPr>
                <w:rFonts w:eastAsia="SimSun" w:cs="Calibri"/>
                <w:color w:val="000000"/>
                <w:sz w:val="20"/>
                <w:lang w:val="zh-CN" w:eastAsia="zh-CN"/>
              </w:rPr>
              <w:t>年</w:t>
            </w:r>
            <w:r w:rsidRPr="008B1FF1">
              <w:rPr>
                <w:rFonts w:eastAsia="SimSun" w:cs="Calibri"/>
                <w:color w:val="000000"/>
                <w:sz w:val="20"/>
                <w:lang w:val="zh-CN" w:eastAsia="zh-CN"/>
              </w:rPr>
              <w:t>1</w:t>
            </w:r>
            <w:r w:rsidRPr="008B1FF1">
              <w:rPr>
                <w:rFonts w:eastAsia="SimSun" w:cs="Calibri"/>
                <w:color w:val="000000"/>
                <w:sz w:val="20"/>
                <w:lang w:val="zh-CN" w:eastAsia="zh-CN"/>
              </w:rPr>
              <w:t>月，国际电联聘请了一名外部调查员进行调查。普华永道进行的深度法务审计</w:t>
            </w:r>
            <w:r w:rsidRPr="008B1FF1">
              <w:rPr>
                <w:rFonts w:eastAsia="SimSun" w:cs="Calibri" w:hint="eastAsia"/>
                <w:color w:val="000000"/>
                <w:sz w:val="20"/>
                <w:lang w:val="zh-CN" w:eastAsia="zh-CN"/>
              </w:rPr>
              <w:t>，</w:t>
            </w:r>
            <w:r w:rsidRPr="008B1FF1">
              <w:rPr>
                <w:rFonts w:eastAsia="SimSun" w:cs="Calibri"/>
                <w:color w:val="000000"/>
                <w:sz w:val="20"/>
                <w:lang w:val="zh-CN" w:eastAsia="zh-CN"/>
              </w:rPr>
              <w:t>根据</w:t>
            </w:r>
            <w:r w:rsidRPr="008B1FF1">
              <w:rPr>
                <w:rFonts w:eastAsia="SimSun" w:cs="Calibri" w:hint="eastAsia"/>
                <w:color w:val="000000"/>
                <w:sz w:val="20"/>
                <w:lang w:val="zh-CN" w:eastAsia="zh-CN"/>
              </w:rPr>
              <w:t>审计</w:t>
            </w:r>
            <w:r w:rsidRPr="008B1FF1">
              <w:rPr>
                <w:rFonts w:eastAsia="SimSun" w:cs="Calibri"/>
                <w:color w:val="000000"/>
                <w:sz w:val="20"/>
                <w:lang w:val="zh-CN" w:eastAsia="zh-CN"/>
              </w:rPr>
              <w:t>职责范围</w:t>
            </w:r>
            <w:r w:rsidRPr="008B1FF1">
              <w:rPr>
                <w:rFonts w:eastAsia="SimSun" w:cs="Calibri" w:hint="eastAsia"/>
                <w:color w:val="000000"/>
                <w:sz w:val="20"/>
                <w:lang w:val="zh-CN" w:eastAsia="zh-CN"/>
              </w:rPr>
              <w:t>，亦包含</w:t>
            </w:r>
            <w:r w:rsidRPr="008B1FF1">
              <w:rPr>
                <w:rFonts w:eastAsia="SimSun" w:cs="Calibri"/>
                <w:color w:val="000000"/>
                <w:sz w:val="20"/>
                <w:lang w:val="zh-CN" w:eastAsia="zh-CN"/>
              </w:rPr>
              <w:t>调查部分（</w:t>
            </w:r>
            <w:r w:rsidRPr="008B1FF1">
              <w:rPr>
                <w:rFonts w:eastAsia="SimSun" w:cs="Calibri" w:hint="eastAsia"/>
                <w:color w:val="000000"/>
                <w:sz w:val="20"/>
                <w:lang w:val="zh-CN" w:eastAsia="zh-CN"/>
              </w:rPr>
              <w:t>“</w:t>
            </w:r>
            <w:r w:rsidRPr="008B1FF1">
              <w:rPr>
                <w:rFonts w:eastAsia="SimSun" w:cs="Calibri"/>
                <w:color w:val="000000"/>
                <w:sz w:val="20"/>
                <w:lang w:val="zh-CN" w:eastAsia="zh-CN"/>
              </w:rPr>
              <w:t>如果发现欺诈案件，应逐案起草</w:t>
            </w:r>
            <w:r w:rsidRPr="008B1FF1">
              <w:rPr>
                <w:rFonts w:eastAsia="SimSun" w:cs="Calibri" w:hint="eastAsia"/>
                <w:color w:val="000000"/>
                <w:sz w:val="20"/>
                <w:lang w:val="zh-CN" w:eastAsia="zh-CN"/>
              </w:rPr>
              <w:t>单独的</w:t>
            </w:r>
            <w:r w:rsidRPr="008B1FF1">
              <w:rPr>
                <w:rFonts w:eastAsia="SimSun" w:cs="Calibri"/>
                <w:color w:val="000000"/>
                <w:sz w:val="20"/>
                <w:lang w:val="zh-CN" w:eastAsia="zh-CN"/>
              </w:rPr>
              <w:t>调查报告</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w:t>
            </w:r>
          </w:p>
          <w:p w14:paraId="66A2189B"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国际电联新监督框架涵盖这些问题。我们继续与</w:t>
            </w:r>
            <w:r w:rsidRPr="008B1FF1">
              <w:rPr>
                <w:rFonts w:eastAsia="SimSun" w:cs="Calibri"/>
                <w:color w:val="000000"/>
                <w:sz w:val="20"/>
                <w:lang w:val="zh-CN" w:eastAsia="zh-CN"/>
              </w:rPr>
              <w:t>OIOS</w:t>
            </w:r>
            <w:r w:rsidRPr="008B1FF1">
              <w:rPr>
                <w:rFonts w:eastAsia="SimSun" w:cs="Calibri"/>
                <w:color w:val="000000"/>
                <w:sz w:val="20"/>
                <w:lang w:val="zh-CN" w:eastAsia="zh-CN"/>
              </w:rPr>
              <w:t>探讨</w:t>
            </w:r>
            <w:r w:rsidRPr="008B1FF1">
              <w:rPr>
                <w:rFonts w:eastAsia="SimSun" w:cs="Calibri" w:hint="eastAsia"/>
                <w:color w:val="000000"/>
                <w:sz w:val="20"/>
                <w:lang w:val="zh-CN" w:eastAsia="zh-CN"/>
              </w:rPr>
              <w:t>获得更多</w:t>
            </w:r>
            <w:r w:rsidRPr="008B1FF1">
              <w:rPr>
                <w:rFonts w:eastAsia="SimSun" w:cs="Calibri"/>
                <w:color w:val="000000"/>
                <w:sz w:val="20"/>
                <w:lang w:val="zh-CN" w:eastAsia="zh-CN"/>
              </w:rPr>
              <w:t>能力的可能性；但是，国际电联认为这些问题应通过新的框架加以解决。</w:t>
            </w:r>
          </w:p>
          <w:p w14:paraId="2B087F01" w14:textId="7396D596" w:rsidR="000245E2" w:rsidRPr="008B1FF1" w:rsidRDefault="000245E2" w:rsidP="000245E2">
            <w:pPr>
              <w:pStyle w:val="Tabletext"/>
              <w:rPr>
                <w:sz w:val="20"/>
              </w:rPr>
            </w:pPr>
            <w:proofErr w:type="spellStart"/>
            <w:r w:rsidRPr="008B1FF1">
              <w:rPr>
                <w:rFonts w:eastAsia="SimSun" w:cs="Calibri" w:hint="eastAsia"/>
                <w:color w:val="000000"/>
                <w:sz w:val="20"/>
                <w:lang w:val="zh-CN"/>
              </w:rPr>
              <w:t>已实施</w:t>
            </w:r>
            <w:proofErr w:type="spellEnd"/>
            <w:r w:rsidRPr="008B1FF1">
              <w:rPr>
                <w:rFonts w:eastAsia="SimSun" w:cs="Calibri" w:hint="eastAsia"/>
                <w:color w:val="000000"/>
                <w:sz w:val="20"/>
                <w:lang w:val="zh-CN"/>
              </w:rPr>
              <w:t>。</w:t>
            </w:r>
          </w:p>
        </w:tc>
        <w:tc>
          <w:tcPr>
            <w:tcW w:w="1050" w:type="pct"/>
            <w:shd w:val="clear" w:color="auto" w:fill="auto"/>
          </w:tcPr>
          <w:p w14:paraId="7FFD1FAD" w14:textId="40F502EF" w:rsidR="000245E2" w:rsidRPr="008B1FF1" w:rsidRDefault="000245E2" w:rsidP="000245E2">
            <w:pPr>
              <w:pStyle w:val="Tabletext"/>
              <w:rPr>
                <w:sz w:val="20"/>
                <w:lang w:eastAsia="zh-CN"/>
              </w:rPr>
            </w:pPr>
            <w:r w:rsidRPr="008B1FF1">
              <w:rPr>
                <w:rFonts w:eastAsia="SimSun" w:cs="Calibri" w:hint="eastAsia"/>
                <w:color w:val="000000"/>
                <w:sz w:val="20"/>
                <w:lang w:val="zh-CN" w:eastAsia="zh-CN"/>
              </w:rPr>
              <w:t>我们注意到最新的回应并认为此回应是合理的。已不再跟进该建议。</w:t>
            </w:r>
          </w:p>
        </w:tc>
        <w:tc>
          <w:tcPr>
            <w:tcW w:w="450" w:type="pct"/>
            <w:shd w:val="clear" w:color="auto" w:fill="auto"/>
          </w:tcPr>
          <w:p w14:paraId="2CB539A4" w14:textId="03A6313D" w:rsidR="000245E2" w:rsidRPr="008B1FF1" w:rsidRDefault="00A62A5A" w:rsidP="000245E2">
            <w:pPr>
              <w:pStyle w:val="Tabletext"/>
              <w:rPr>
                <w:sz w:val="20"/>
                <w:lang w:eastAsia="zh-CN"/>
              </w:rPr>
            </w:pPr>
            <w:r>
              <w:rPr>
                <w:rFonts w:ascii="SimSun" w:eastAsia="SimSun" w:hAnsi="SimSun" w:cs="SimSun" w:hint="eastAsia"/>
                <w:color w:val="000000"/>
                <w:sz w:val="20"/>
                <w:lang w:eastAsia="zh-CN"/>
              </w:rPr>
              <w:t>已关闭。</w:t>
            </w:r>
          </w:p>
        </w:tc>
      </w:tr>
      <w:tr w:rsidR="000245E2" w:rsidRPr="00536D01" w14:paraId="535D5278" w14:textId="77777777" w:rsidTr="0011737E">
        <w:tc>
          <w:tcPr>
            <w:tcW w:w="300" w:type="pct"/>
            <w:shd w:val="clear" w:color="auto" w:fill="auto"/>
          </w:tcPr>
          <w:p w14:paraId="727BB1F4" w14:textId="6AACBB9E" w:rsidR="000245E2" w:rsidRPr="008B1FF1" w:rsidRDefault="000245E2" w:rsidP="000245E2">
            <w:pPr>
              <w:pStyle w:val="Tabletext"/>
              <w:rPr>
                <w:sz w:val="20"/>
              </w:rPr>
            </w:pPr>
            <w:r w:rsidRPr="008B1FF1">
              <w:rPr>
                <w:rFonts w:eastAsia="SimSun" w:cs="Calibri"/>
                <w:color w:val="000000"/>
                <w:sz w:val="20"/>
                <w:lang w:val="zh-CN"/>
              </w:rPr>
              <w:lastRenderedPageBreak/>
              <w:t>R#12</w:t>
            </w:r>
          </w:p>
        </w:tc>
        <w:tc>
          <w:tcPr>
            <w:tcW w:w="1450" w:type="pct"/>
            <w:shd w:val="clear" w:color="auto" w:fill="auto"/>
          </w:tcPr>
          <w:p w14:paraId="0E66D7B4" w14:textId="357695C2" w:rsidR="000245E2" w:rsidRPr="008B1FF1" w:rsidRDefault="000245E2" w:rsidP="000245E2">
            <w:pPr>
              <w:pStyle w:val="Tabletext"/>
              <w:rPr>
                <w:sz w:val="20"/>
                <w:lang w:eastAsia="zh-CN"/>
              </w:rPr>
            </w:pPr>
            <w:r w:rsidRPr="008B1FF1">
              <w:rPr>
                <w:rFonts w:eastAsia="SimSun" w:cs="Calibri"/>
                <w:color w:val="000000"/>
                <w:sz w:val="20"/>
                <w:lang w:val="zh-CN" w:eastAsia="zh-CN"/>
              </w:rPr>
              <w:t>在修订反欺诈政策时，管理层应考虑与相关成员国和</w:t>
            </w:r>
            <w:r w:rsidRPr="008B1FF1">
              <w:rPr>
                <w:rFonts w:eastAsia="SimSun" w:cs="Calibri"/>
                <w:color w:val="000000"/>
                <w:sz w:val="20"/>
                <w:lang w:val="zh-CN" w:eastAsia="zh-CN"/>
              </w:rPr>
              <w:t>/</w:t>
            </w:r>
            <w:r w:rsidRPr="008B1FF1">
              <w:rPr>
                <w:rFonts w:eastAsia="SimSun" w:cs="Calibri"/>
                <w:color w:val="000000"/>
                <w:sz w:val="20"/>
                <w:lang w:val="zh-CN" w:eastAsia="zh-CN"/>
              </w:rPr>
              <w:t>或捐助方建立直接联系的可能性，以尽量减少财务损失并</w:t>
            </w:r>
            <w:r w:rsidRPr="008B1FF1">
              <w:rPr>
                <w:rFonts w:eastAsia="SimSun" w:cs="Calibri" w:hint="eastAsia"/>
                <w:color w:val="000000"/>
                <w:sz w:val="20"/>
                <w:lang w:val="zh-CN" w:eastAsia="zh-CN"/>
              </w:rPr>
              <w:t>防止</w:t>
            </w:r>
            <w:r w:rsidRPr="008B1FF1">
              <w:rPr>
                <w:rFonts w:eastAsia="SimSun" w:cs="Calibri"/>
                <w:color w:val="000000"/>
                <w:sz w:val="20"/>
                <w:lang w:val="zh-CN" w:eastAsia="zh-CN"/>
              </w:rPr>
              <w:t>今后进一步出现欺诈风险。</w:t>
            </w:r>
          </w:p>
        </w:tc>
        <w:tc>
          <w:tcPr>
            <w:tcW w:w="1750" w:type="pct"/>
            <w:shd w:val="clear" w:color="auto" w:fill="auto"/>
          </w:tcPr>
          <w:p w14:paraId="603053DC"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国际电联注意到</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12</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建议。截至</w:t>
            </w:r>
            <w:r w:rsidRPr="008B1FF1">
              <w:rPr>
                <w:rFonts w:eastAsia="SimSun" w:cs="Calibri"/>
                <w:color w:val="000000"/>
                <w:sz w:val="20"/>
                <w:lang w:val="zh-CN" w:eastAsia="zh-CN"/>
              </w:rPr>
              <w:t>2019</w:t>
            </w:r>
            <w:r w:rsidRPr="008B1FF1">
              <w:rPr>
                <w:rFonts w:eastAsia="SimSun" w:cs="Calibri"/>
                <w:color w:val="000000"/>
                <w:sz w:val="20"/>
                <w:lang w:val="zh-CN" w:eastAsia="zh-CN"/>
              </w:rPr>
              <w:t>年</w:t>
            </w:r>
            <w:r w:rsidRPr="008B1FF1">
              <w:rPr>
                <w:rFonts w:eastAsia="SimSun" w:cs="Calibri"/>
                <w:color w:val="000000"/>
                <w:sz w:val="20"/>
                <w:lang w:val="zh-CN" w:eastAsia="zh-CN"/>
              </w:rPr>
              <w:t>4</w:t>
            </w:r>
            <w:r w:rsidRPr="008B1FF1">
              <w:rPr>
                <w:rFonts w:eastAsia="SimSun" w:cs="Calibri"/>
                <w:color w:val="000000"/>
                <w:sz w:val="20"/>
                <w:lang w:val="zh-CN" w:eastAsia="zh-CN"/>
              </w:rPr>
              <w:t>月</w:t>
            </w:r>
            <w:r w:rsidRPr="008B1FF1">
              <w:rPr>
                <w:rFonts w:eastAsia="SimSun" w:cs="Calibri"/>
                <w:color w:val="000000"/>
                <w:sz w:val="20"/>
                <w:lang w:val="zh-CN" w:eastAsia="zh-CN"/>
              </w:rPr>
              <w:t>1</w:t>
            </w:r>
            <w:r w:rsidRPr="008B1FF1">
              <w:rPr>
                <w:rFonts w:eastAsia="SimSun" w:cs="Calibri"/>
                <w:color w:val="000000"/>
                <w:sz w:val="20"/>
                <w:lang w:val="zh-CN" w:eastAsia="zh-CN"/>
              </w:rPr>
              <w:t>日，所有新签署的合作协议和项目文件都包含一项条款，规定双方应针对项目中可能</w:t>
            </w:r>
            <w:r w:rsidRPr="008B1FF1">
              <w:rPr>
                <w:rFonts w:eastAsia="SimSun" w:cs="Calibri" w:hint="eastAsia"/>
                <w:color w:val="000000"/>
                <w:sz w:val="20"/>
                <w:lang w:val="zh-CN" w:eastAsia="zh-CN"/>
              </w:rPr>
              <w:t>因</w:t>
            </w:r>
            <w:r w:rsidRPr="008B1FF1">
              <w:rPr>
                <w:rFonts w:eastAsia="SimSun" w:cs="Calibri"/>
                <w:color w:val="000000"/>
                <w:sz w:val="20"/>
                <w:lang w:val="zh-CN" w:eastAsia="zh-CN"/>
              </w:rPr>
              <w:t>欺诈和腐败行为以及利益冲突引起</w:t>
            </w:r>
            <w:r w:rsidRPr="008B1FF1">
              <w:rPr>
                <w:rFonts w:eastAsia="SimSun" w:cs="Calibri" w:hint="eastAsia"/>
                <w:color w:val="000000"/>
                <w:sz w:val="20"/>
                <w:lang w:val="zh-CN" w:eastAsia="zh-CN"/>
              </w:rPr>
              <w:t>的，</w:t>
            </w:r>
            <w:r w:rsidRPr="008B1FF1">
              <w:rPr>
                <w:rFonts w:eastAsia="SimSun" w:cs="Calibri"/>
                <w:color w:val="000000"/>
                <w:sz w:val="20"/>
                <w:lang w:val="zh-CN" w:eastAsia="zh-CN"/>
              </w:rPr>
              <w:t>或与之相关的任何事宜相互协商。</w:t>
            </w:r>
            <w:r w:rsidRPr="008B1FF1">
              <w:rPr>
                <w:rFonts w:eastAsia="SimSun" w:cs="Calibri" w:hint="eastAsia"/>
                <w:color w:val="000000"/>
                <w:sz w:val="20"/>
                <w:lang w:val="zh-CN" w:eastAsia="zh-CN"/>
              </w:rPr>
              <w:t>通过上述做法</w:t>
            </w:r>
            <w:r w:rsidRPr="008B1FF1">
              <w:rPr>
                <w:rFonts w:eastAsia="SimSun" w:cs="Calibri"/>
                <w:color w:val="000000"/>
                <w:sz w:val="20"/>
                <w:lang w:val="zh-CN" w:eastAsia="zh-CN"/>
              </w:rPr>
              <w:t>可以立即与成员国和</w:t>
            </w:r>
            <w:r w:rsidRPr="008B1FF1">
              <w:rPr>
                <w:rFonts w:eastAsia="SimSun" w:cs="Calibri"/>
                <w:color w:val="000000"/>
                <w:sz w:val="20"/>
                <w:lang w:val="zh-CN" w:eastAsia="zh-CN"/>
              </w:rPr>
              <w:t>/</w:t>
            </w:r>
            <w:r w:rsidRPr="008B1FF1">
              <w:rPr>
                <w:rFonts w:eastAsia="SimSun" w:cs="Calibri"/>
                <w:color w:val="000000"/>
                <w:sz w:val="20"/>
                <w:lang w:val="zh-CN" w:eastAsia="zh-CN"/>
              </w:rPr>
              <w:t>或捐助方取得联系，</w:t>
            </w:r>
            <w:r w:rsidRPr="008B1FF1">
              <w:rPr>
                <w:rFonts w:eastAsia="SimSun" w:cs="Calibri" w:hint="eastAsia"/>
                <w:color w:val="000000"/>
                <w:sz w:val="20"/>
                <w:lang w:val="zh-CN" w:eastAsia="zh-CN"/>
              </w:rPr>
              <w:t>但</w:t>
            </w:r>
            <w:r w:rsidRPr="008B1FF1">
              <w:rPr>
                <w:rFonts w:eastAsia="SimSun" w:cs="Calibri"/>
                <w:color w:val="000000"/>
                <w:sz w:val="20"/>
                <w:lang w:val="zh-CN" w:eastAsia="zh-CN"/>
              </w:rPr>
              <w:t>前提是</w:t>
            </w:r>
            <w:r w:rsidRPr="008B1FF1">
              <w:rPr>
                <w:rFonts w:eastAsia="SimSun" w:cs="Calibri" w:hint="eastAsia"/>
                <w:color w:val="000000"/>
                <w:sz w:val="20"/>
                <w:lang w:val="zh-CN" w:eastAsia="zh-CN"/>
              </w:rPr>
              <w:t>相关事宜</w:t>
            </w:r>
            <w:r w:rsidRPr="008B1FF1">
              <w:rPr>
                <w:rFonts w:eastAsia="SimSun" w:cs="Calibri"/>
                <w:color w:val="000000"/>
                <w:sz w:val="20"/>
                <w:lang w:val="zh-CN" w:eastAsia="zh-CN"/>
              </w:rPr>
              <w:t>和个人</w:t>
            </w:r>
            <w:r w:rsidRPr="008B1FF1">
              <w:rPr>
                <w:rFonts w:eastAsia="SimSun" w:cs="Calibri" w:hint="eastAsia"/>
                <w:color w:val="000000"/>
                <w:sz w:val="20"/>
                <w:lang w:val="zh-CN" w:eastAsia="zh-CN"/>
              </w:rPr>
              <w:t>机密以及</w:t>
            </w:r>
            <w:r w:rsidRPr="008B1FF1">
              <w:rPr>
                <w:rFonts w:eastAsia="SimSun" w:cs="Calibri"/>
                <w:color w:val="000000"/>
                <w:sz w:val="20"/>
                <w:lang w:val="zh-CN" w:eastAsia="zh-CN"/>
              </w:rPr>
              <w:t>正当程序</w:t>
            </w:r>
            <w:r w:rsidRPr="008B1FF1">
              <w:rPr>
                <w:rFonts w:eastAsia="SimSun" w:cs="Calibri" w:hint="eastAsia"/>
                <w:color w:val="000000"/>
                <w:sz w:val="20"/>
                <w:lang w:val="zh-CN" w:eastAsia="zh-CN"/>
              </w:rPr>
              <w:t>得到保障</w:t>
            </w:r>
            <w:r w:rsidRPr="008B1FF1">
              <w:rPr>
                <w:rFonts w:eastAsia="SimSun" w:cs="Calibri"/>
                <w:color w:val="000000"/>
                <w:sz w:val="20"/>
                <w:lang w:val="zh-CN" w:eastAsia="zh-CN"/>
              </w:rPr>
              <w:t>。</w:t>
            </w:r>
          </w:p>
          <w:p w14:paraId="390E0666"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月的最新进展：根据成员国和监督机构当时的建议，以及公认的最佳做法，在项目协议中增加了与欺诈活动有关的新条款，并</w:t>
            </w:r>
            <w:r w:rsidRPr="008B1FF1">
              <w:rPr>
                <w:rFonts w:eastAsia="SimSun" w:cs="Calibri" w:hint="eastAsia"/>
                <w:color w:val="000000"/>
                <w:sz w:val="20"/>
                <w:lang w:val="zh-CN" w:eastAsia="zh-CN"/>
              </w:rPr>
              <w:t>签署了</w:t>
            </w:r>
            <w:r w:rsidRPr="008B1FF1">
              <w:rPr>
                <w:rFonts w:eastAsia="SimSun" w:cs="Calibri"/>
                <w:color w:val="000000"/>
                <w:sz w:val="20"/>
                <w:lang w:val="zh-CN" w:eastAsia="zh-CN"/>
              </w:rPr>
              <w:t>在这方面向捐助方</w:t>
            </w:r>
            <w:r w:rsidRPr="008B1FF1">
              <w:rPr>
                <w:rFonts w:eastAsia="SimSun" w:cs="Calibri"/>
                <w:color w:val="000000"/>
                <w:sz w:val="20"/>
                <w:lang w:val="zh-CN" w:eastAsia="zh-CN"/>
              </w:rPr>
              <w:t>/</w:t>
            </w:r>
            <w:r w:rsidRPr="008B1FF1">
              <w:rPr>
                <w:rFonts w:eastAsia="SimSun" w:cs="Calibri"/>
                <w:color w:val="000000"/>
                <w:sz w:val="20"/>
                <w:lang w:val="zh-CN" w:eastAsia="zh-CN"/>
              </w:rPr>
              <w:t>成员国提供援助的合作协议。</w:t>
            </w:r>
          </w:p>
          <w:p w14:paraId="545D0A15" w14:textId="6A184AF9"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1058A811" w14:textId="4A1EF3CB" w:rsidR="000245E2" w:rsidRPr="008B1FF1" w:rsidRDefault="000245E2" w:rsidP="000245E2">
            <w:pPr>
              <w:pStyle w:val="Tabletext"/>
              <w:rPr>
                <w:sz w:val="20"/>
                <w:lang w:eastAsia="zh-CN"/>
              </w:rPr>
            </w:pPr>
            <w:r w:rsidRPr="008B1FF1">
              <w:rPr>
                <w:rFonts w:eastAsia="SimSun" w:cs="Calibri"/>
                <w:color w:val="000000"/>
                <w:sz w:val="20"/>
                <w:lang w:val="zh-CN" w:eastAsia="zh-CN"/>
              </w:rPr>
              <w:t>意大利审计院在最后报告中认为此项工作已结束（附件</w:t>
            </w:r>
            <w:r w:rsidRPr="008B1FF1">
              <w:rPr>
                <w:rFonts w:eastAsia="SimSun" w:cs="Calibri"/>
                <w:color w:val="000000"/>
                <w:sz w:val="20"/>
                <w:lang w:val="zh-CN" w:eastAsia="zh-CN"/>
              </w:rPr>
              <w:t>5</w:t>
            </w:r>
            <w:r w:rsidRPr="008B1FF1">
              <w:rPr>
                <w:rFonts w:eastAsia="SimSun" w:cs="Calibri"/>
                <w:color w:val="000000"/>
                <w:sz w:val="20"/>
                <w:lang w:val="zh-CN" w:eastAsia="zh-CN"/>
              </w:rPr>
              <w:t>：</w:t>
            </w:r>
            <w:hyperlink r:id="rId30" w:history="1">
              <w:r w:rsidR="00DF3E54" w:rsidRPr="008B1FF1">
                <w:rPr>
                  <w:rStyle w:val="Hyperlink"/>
                  <w:sz w:val="20"/>
                  <w:lang w:eastAsia="zh-CN"/>
                </w:rPr>
                <w:t>C22/101</w:t>
              </w:r>
            </w:hyperlink>
            <w:r w:rsidRPr="008B1FF1">
              <w:rPr>
                <w:rFonts w:eastAsia="SimSun" w:cs="Calibri"/>
                <w:color w:val="000000"/>
                <w:sz w:val="20"/>
                <w:lang w:val="zh-CN" w:eastAsia="zh-CN"/>
              </w:rPr>
              <w:t>）。</w:t>
            </w:r>
          </w:p>
        </w:tc>
        <w:tc>
          <w:tcPr>
            <w:tcW w:w="450" w:type="pct"/>
            <w:shd w:val="clear" w:color="auto" w:fill="auto"/>
          </w:tcPr>
          <w:p w14:paraId="34343EE3" w14:textId="4DBEFD5D" w:rsidR="000245E2" w:rsidRPr="008B1FF1" w:rsidRDefault="00A62A5A" w:rsidP="000245E2">
            <w:pPr>
              <w:pStyle w:val="Tabletext"/>
              <w:rPr>
                <w:sz w:val="20"/>
              </w:rPr>
            </w:pPr>
            <w:r>
              <w:rPr>
                <w:rFonts w:ascii="SimSun" w:eastAsia="SimSun" w:hAnsi="SimSun" w:cs="SimSun" w:hint="eastAsia"/>
                <w:color w:val="000000"/>
                <w:sz w:val="20"/>
                <w:lang w:eastAsia="zh-CN"/>
              </w:rPr>
              <w:t>已关闭。</w:t>
            </w:r>
          </w:p>
        </w:tc>
      </w:tr>
      <w:tr w:rsidR="000245E2" w:rsidRPr="00536D01" w14:paraId="5EFAB61B" w14:textId="77777777" w:rsidTr="0011737E">
        <w:tc>
          <w:tcPr>
            <w:tcW w:w="300" w:type="pct"/>
            <w:shd w:val="clear" w:color="auto" w:fill="auto"/>
          </w:tcPr>
          <w:p w14:paraId="3E31B4CA" w14:textId="517EB269" w:rsidR="000245E2" w:rsidRPr="008B1FF1" w:rsidRDefault="000245E2" w:rsidP="000245E2">
            <w:pPr>
              <w:pStyle w:val="Tabletext"/>
              <w:rPr>
                <w:sz w:val="20"/>
              </w:rPr>
            </w:pPr>
            <w:r w:rsidRPr="008B1FF1">
              <w:rPr>
                <w:rFonts w:eastAsia="SimSun" w:cs="Calibri"/>
                <w:color w:val="000000"/>
                <w:sz w:val="20"/>
                <w:lang w:val="zh-CN"/>
              </w:rPr>
              <w:t>R#13</w:t>
            </w:r>
          </w:p>
        </w:tc>
        <w:tc>
          <w:tcPr>
            <w:tcW w:w="1450" w:type="pct"/>
            <w:shd w:val="clear" w:color="auto" w:fill="auto"/>
          </w:tcPr>
          <w:p w14:paraId="13F17224" w14:textId="04FB6AB7" w:rsidR="000245E2" w:rsidRPr="008B1FF1" w:rsidRDefault="000245E2" w:rsidP="000245E2">
            <w:pPr>
              <w:pStyle w:val="Tabletext"/>
              <w:rPr>
                <w:sz w:val="20"/>
                <w:lang w:eastAsia="zh-CN"/>
              </w:rPr>
            </w:pPr>
            <w:r w:rsidRPr="008B1FF1">
              <w:rPr>
                <w:rFonts w:eastAsia="SimSun" w:cs="Calibri"/>
                <w:color w:val="000000"/>
                <w:sz w:val="20"/>
                <w:lang w:val="zh-CN" w:eastAsia="zh-CN"/>
              </w:rPr>
              <w:t>至少在相同区域内</w:t>
            </w:r>
            <w:r w:rsidRPr="008B1FF1">
              <w:rPr>
                <w:rFonts w:eastAsia="SimSun" w:cs="Calibri" w:hint="eastAsia"/>
                <w:color w:val="000000"/>
                <w:sz w:val="20"/>
                <w:lang w:val="zh-CN" w:eastAsia="zh-CN"/>
              </w:rPr>
              <w:t>，就</w:t>
            </w:r>
            <w:r w:rsidRPr="008B1FF1">
              <w:rPr>
                <w:rFonts w:eastAsia="SimSun" w:cs="Calibri"/>
                <w:color w:val="000000"/>
                <w:sz w:val="20"/>
                <w:lang w:val="zh-CN" w:eastAsia="zh-CN"/>
              </w:rPr>
              <w:t>使用内部专家</w:t>
            </w:r>
            <w:r w:rsidRPr="008B1FF1">
              <w:rPr>
                <w:rFonts w:eastAsia="SimSun" w:cs="Calibri" w:hint="eastAsia"/>
                <w:color w:val="000000"/>
                <w:sz w:val="20"/>
                <w:lang w:val="zh-CN" w:eastAsia="zh-CN"/>
              </w:rPr>
              <w:t>问题</w:t>
            </w:r>
            <w:r w:rsidRPr="008B1FF1">
              <w:rPr>
                <w:rFonts w:eastAsia="SimSun" w:cs="Calibri"/>
                <w:color w:val="000000"/>
                <w:sz w:val="20"/>
                <w:lang w:val="zh-CN" w:eastAsia="zh-CN"/>
              </w:rPr>
              <w:t>采取一致</w:t>
            </w:r>
            <w:r w:rsidRPr="008B1FF1">
              <w:rPr>
                <w:rFonts w:eastAsia="SimSun" w:cs="Calibri" w:hint="eastAsia"/>
                <w:color w:val="000000"/>
                <w:sz w:val="20"/>
                <w:lang w:val="zh-CN" w:eastAsia="zh-CN"/>
              </w:rPr>
              <w:t>的</w:t>
            </w:r>
            <w:r w:rsidRPr="008B1FF1">
              <w:rPr>
                <w:rFonts w:eastAsia="SimSun" w:cs="Calibri"/>
                <w:color w:val="000000"/>
                <w:sz w:val="20"/>
                <w:lang w:val="zh-CN" w:eastAsia="zh-CN"/>
              </w:rPr>
              <w:t>政策，对内部开展的工作进行事后评估。</w:t>
            </w:r>
          </w:p>
        </w:tc>
        <w:tc>
          <w:tcPr>
            <w:tcW w:w="1750" w:type="pct"/>
            <w:shd w:val="clear" w:color="auto" w:fill="auto"/>
          </w:tcPr>
          <w:p w14:paraId="0C098E88" w14:textId="68329639"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月的最新进展：引入了控制措施，如关于</w:t>
            </w:r>
            <w:r w:rsidRPr="008B1FF1">
              <w:rPr>
                <w:rFonts w:eastAsia="SimSun" w:cs="Calibri"/>
                <w:color w:val="000000"/>
                <w:sz w:val="20"/>
                <w:lang w:val="zh-CN" w:eastAsia="zh-CN"/>
              </w:rPr>
              <w:t>SSA</w:t>
            </w:r>
            <w:r w:rsidRPr="008B1FF1">
              <w:rPr>
                <w:rFonts w:eastAsia="SimSun" w:cs="Calibri"/>
                <w:color w:val="000000"/>
                <w:sz w:val="20"/>
                <w:lang w:val="zh-CN" w:eastAsia="zh-CN"/>
              </w:rPr>
              <w:t>支付的标准</w:t>
            </w:r>
            <w:r w:rsidRPr="008B1FF1">
              <w:rPr>
                <w:rFonts w:eastAsia="SimSun" w:cs="Calibri" w:hint="eastAsia"/>
                <w:color w:val="000000"/>
                <w:sz w:val="20"/>
                <w:lang w:val="zh-CN" w:eastAsia="zh-CN"/>
              </w:rPr>
              <w:t>操</w:t>
            </w:r>
            <w:r w:rsidRPr="008B1FF1">
              <w:rPr>
                <w:rFonts w:eastAsia="SimSun" w:cs="Calibri"/>
                <w:color w:val="000000"/>
                <w:sz w:val="20"/>
                <w:lang w:val="zh-CN" w:eastAsia="zh-CN"/>
              </w:rPr>
              <w:t>作程序</w:t>
            </w:r>
            <w:r w:rsidRPr="008B1FF1">
              <w:rPr>
                <w:rFonts w:eastAsia="SimSun" w:cs="Calibri" w:hint="eastAsia"/>
                <w:color w:val="000000"/>
                <w:sz w:val="20"/>
                <w:lang w:val="zh-CN" w:eastAsia="zh-CN"/>
              </w:rPr>
              <w:t>--</w:t>
            </w:r>
            <w:r w:rsidRPr="008B1FF1">
              <w:rPr>
                <w:rFonts w:eastAsia="SimSun" w:cs="Calibri"/>
                <w:color w:val="000000"/>
                <w:sz w:val="20"/>
                <w:lang w:val="zh-CN" w:eastAsia="zh-CN"/>
              </w:rPr>
              <w:t>旨在确保及时完成合同</w:t>
            </w:r>
            <w:r w:rsidRPr="008B1FF1">
              <w:rPr>
                <w:rFonts w:eastAsia="SimSun" w:cs="Calibri" w:hint="eastAsia"/>
                <w:color w:val="000000"/>
                <w:sz w:val="20"/>
                <w:lang w:val="zh-CN" w:eastAsia="zh-CN"/>
              </w:rPr>
              <w:t>--</w:t>
            </w:r>
            <w:r w:rsidRPr="008B1FF1">
              <w:rPr>
                <w:rFonts w:eastAsia="SimSun" w:cs="Calibri"/>
                <w:color w:val="000000"/>
                <w:sz w:val="20"/>
                <w:lang w:val="zh-CN" w:eastAsia="zh-CN"/>
              </w:rPr>
              <w:t>其中包括管理人员对</w:t>
            </w:r>
            <w:r w:rsidRPr="008B1FF1">
              <w:rPr>
                <w:rFonts w:eastAsia="SimSun" w:cs="Calibri" w:hint="eastAsia"/>
                <w:color w:val="000000"/>
                <w:sz w:val="20"/>
                <w:lang w:val="zh-CN" w:eastAsia="zh-CN"/>
              </w:rPr>
              <w:t>输出</w:t>
            </w:r>
            <w:r w:rsidRPr="008B1FF1">
              <w:rPr>
                <w:rFonts w:eastAsia="SimSun" w:cs="Calibri"/>
                <w:color w:val="000000"/>
                <w:sz w:val="20"/>
                <w:lang w:val="zh-CN" w:eastAsia="zh-CN"/>
              </w:rPr>
              <w:t>成果</w:t>
            </w:r>
            <w:r w:rsidRPr="008B1FF1">
              <w:rPr>
                <w:rFonts w:eastAsia="SimSun" w:cs="Calibri" w:hint="eastAsia"/>
                <w:color w:val="000000"/>
                <w:sz w:val="20"/>
                <w:lang w:val="zh-CN" w:eastAsia="zh-CN"/>
              </w:rPr>
              <w:t>加以</w:t>
            </w:r>
            <w:r w:rsidRPr="008B1FF1">
              <w:rPr>
                <w:rFonts w:eastAsia="SimSun" w:cs="Calibri"/>
                <w:color w:val="000000"/>
                <w:sz w:val="20"/>
                <w:lang w:val="zh-CN" w:eastAsia="zh-CN"/>
              </w:rPr>
              <w:t>认证。自</w:t>
            </w:r>
            <w:r w:rsidRPr="008B1FF1">
              <w:rPr>
                <w:rFonts w:eastAsia="SimSun" w:cs="Calibri"/>
                <w:color w:val="000000"/>
                <w:sz w:val="20"/>
                <w:lang w:val="zh-CN" w:eastAsia="zh-CN"/>
              </w:rPr>
              <w:t>2024</w:t>
            </w:r>
            <w:r w:rsidRPr="008B1FF1">
              <w:rPr>
                <w:rFonts w:eastAsia="SimSun" w:cs="Calibri"/>
                <w:color w:val="000000"/>
                <w:sz w:val="20"/>
                <w:lang w:val="zh-CN" w:eastAsia="zh-CN"/>
              </w:rPr>
              <w:t>年</w:t>
            </w:r>
            <w:r w:rsidRPr="008B1FF1">
              <w:rPr>
                <w:rFonts w:eastAsia="SimSun" w:cs="Calibri"/>
                <w:color w:val="000000"/>
                <w:sz w:val="20"/>
                <w:lang w:val="zh-CN" w:eastAsia="zh-CN"/>
              </w:rPr>
              <w:t>8</w:t>
            </w:r>
            <w:r w:rsidRPr="008B1FF1">
              <w:rPr>
                <w:rFonts w:eastAsia="SimSun" w:cs="Calibri"/>
                <w:color w:val="000000"/>
                <w:sz w:val="20"/>
                <w:lang w:val="zh-CN" w:eastAsia="zh-CN"/>
              </w:rPr>
              <w:t>月以来，</w:t>
            </w:r>
            <w:r w:rsidRPr="008B1FF1">
              <w:rPr>
                <w:rFonts w:eastAsia="SimSun" w:cs="Calibri"/>
                <w:color w:val="000000"/>
                <w:sz w:val="20"/>
                <w:lang w:val="zh-CN" w:eastAsia="zh-CN"/>
              </w:rPr>
              <w:t>HRMD/SAS</w:t>
            </w:r>
            <w:r w:rsidRPr="008B1FF1">
              <w:rPr>
                <w:rFonts w:eastAsia="SimSun" w:cs="Calibri"/>
                <w:color w:val="000000"/>
                <w:sz w:val="20"/>
                <w:lang w:val="zh-CN" w:eastAsia="zh-CN"/>
              </w:rPr>
              <w:t>要求所有招聘管理人员在全额和最终付款之前</w:t>
            </w:r>
            <w:r w:rsidRPr="008B1FF1">
              <w:rPr>
                <w:rFonts w:eastAsia="SimSun" w:cs="Calibri" w:hint="eastAsia"/>
                <w:color w:val="000000"/>
                <w:sz w:val="20"/>
                <w:lang w:val="zh-CN" w:eastAsia="zh-CN"/>
              </w:rPr>
              <w:t>，</w:t>
            </w:r>
            <w:r w:rsidRPr="008B1FF1">
              <w:rPr>
                <w:rFonts w:eastAsia="SimSun" w:cs="Calibri"/>
                <w:color w:val="000000"/>
                <w:sz w:val="20"/>
                <w:lang w:val="zh-CN" w:eastAsia="zh-CN"/>
              </w:rPr>
              <w:t>证明职责范围</w:t>
            </w:r>
            <w:r w:rsidRPr="008B1FF1">
              <w:rPr>
                <w:rFonts w:eastAsia="SimSun" w:cs="Calibri" w:hint="eastAsia"/>
                <w:color w:val="000000"/>
                <w:sz w:val="20"/>
                <w:lang w:val="zh-CN" w:eastAsia="zh-CN"/>
              </w:rPr>
              <w:t>内</w:t>
            </w:r>
            <w:r w:rsidRPr="008B1FF1">
              <w:rPr>
                <w:rFonts w:eastAsia="SimSun" w:cs="Calibri"/>
                <w:color w:val="000000"/>
                <w:sz w:val="20"/>
                <w:lang w:val="zh-CN" w:eastAsia="zh-CN"/>
              </w:rPr>
              <w:t>列</w:t>
            </w:r>
            <w:r w:rsidRPr="008B1FF1">
              <w:rPr>
                <w:rFonts w:eastAsia="SimSun" w:cs="Calibri" w:hint="eastAsia"/>
                <w:color w:val="000000"/>
                <w:sz w:val="20"/>
                <w:lang w:val="zh-CN" w:eastAsia="zh-CN"/>
              </w:rPr>
              <w:t>出的</w:t>
            </w:r>
            <w:r w:rsidRPr="008B1FF1">
              <w:rPr>
                <w:rFonts w:eastAsia="SimSun" w:cs="Calibri"/>
                <w:color w:val="000000"/>
                <w:sz w:val="20"/>
                <w:lang w:val="zh-CN" w:eastAsia="zh-CN"/>
              </w:rPr>
              <w:t>所有输出成果</w:t>
            </w:r>
            <w:r w:rsidRPr="008B1FF1">
              <w:rPr>
                <w:rFonts w:eastAsia="SimSun" w:cs="Calibri" w:hint="eastAsia"/>
                <w:color w:val="000000"/>
                <w:sz w:val="20"/>
                <w:lang w:val="zh-CN" w:eastAsia="zh-CN"/>
              </w:rPr>
              <w:t>均已</w:t>
            </w:r>
            <w:r w:rsidRPr="008B1FF1">
              <w:rPr>
                <w:rFonts w:eastAsia="SimSun" w:cs="Calibri"/>
                <w:color w:val="000000"/>
                <w:sz w:val="20"/>
                <w:lang w:val="zh-CN" w:eastAsia="zh-CN"/>
              </w:rPr>
              <w:t>交付。从</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1</w:t>
            </w:r>
            <w:r w:rsidRPr="008B1FF1">
              <w:rPr>
                <w:rFonts w:eastAsia="SimSun" w:cs="Calibri"/>
                <w:color w:val="000000"/>
                <w:sz w:val="20"/>
                <w:lang w:val="zh-CN" w:eastAsia="zh-CN"/>
              </w:rPr>
              <w:t>月开始，</w:t>
            </w:r>
            <w:r w:rsidRPr="008B1FF1">
              <w:rPr>
                <w:rFonts w:eastAsia="SimSun" w:cs="Calibri" w:hint="eastAsia"/>
                <w:color w:val="000000"/>
                <w:sz w:val="20"/>
                <w:lang w:val="zh-CN" w:eastAsia="zh-CN"/>
              </w:rPr>
              <w:t>“完成证明”</w:t>
            </w:r>
            <w:r w:rsidRPr="008B1FF1">
              <w:rPr>
                <w:rFonts w:eastAsia="SimSun" w:cs="Calibri"/>
                <w:color w:val="000000"/>
                <w:sz w:val="20"/>
                <w:lang w:val="zh-CN" w:eastAsia="zh-CN"/>
              </w:rPr>
              <w:t>需要上传</w:t>
            </w:r>
            <w:r w:rsidRPr="008B1FF1">
              <w:rPr>
                <w:rFonts w:eastAsia="SimSun" w:cs="Calibri" w:hint="eastAsia"/>
                <w:color w:val="000000"/>
                <w:sz w:val="20"/>
                <w:lang w:val="zh-CN" w:eastAsia="zh-CN"/>
              </w:rPr>
              <w:t>至</w:t>
            </w:r>
            <w:r w:rsidRPr="008B1FF1">
              <w:rPr>
                <w:rFonts w:eastAsia="SimSun" w:cs="Calibri"/>
                <w:color w:val="000000"/>
                <w:sz w:val="20"/>
                <w:lang w:val="zh-CN" w:eastAsia="zh-CN"/>
              </w:rPr>
              <w:t>SAP</w:t>
            </w:r>
            <w:r w:rsidRPr="008B1FF1">
              <w:rPr>
                <w:rFonts w:eastAsia="SimSun" w:cs="Calibri"/>
                <w:color w:val="000000"/>
                <w:sz w:val="20"/>
                <w:lang w:val="zh-CN" w:eastAsia="zh-CN"/>
              </w:rPr>
              <w:t>。此外，</w:t>
            </w:r>
            <w:r w:rsidRPr="008B1FF1">
              <w:rPr>
                <w:rFonts w:eastAsia="SimSun" w:cs="Calibri" w:hint="eastAsia"/>
                <w:color w:val="000000"/>
                <w:sz w:val="20"/>
                <w:lang w:val="zh-CN" w:eastAsia="zh-CN"/>
              </w:rPr>
              <w:t>目前</w:t>
            </w:r>
            <w:r w:rsidRPr="008B1FF1">
              <w:rPr>
                <w:rFonts w:eastAsia="SimSun" w:cs="Calibri"/>
                <w:color w:val="000000"/>
                <w:sz w:val="20"/>
                <w:lang w:val="zh-CN" w:eastAsia="zh-CN"/>
              </w:rPr>
              <w:t>正在审查现有</w:t>
            </w:r>
            <w:r w:rsidRPr="008B1FF1">
              <w:rPr>
                <w:rFonts w:eastAsia="SimSun" w:cs="Calibri"/>
                <w:color w:val="000000"/>
                <w:sz w:val="20"/>
                <w:lang w:val="zh-CN" w:eastAsia="zh-CN"/>
              </w:rPr>
              <w:t>SSA</w:t>
            </w:r>
            <w:r w:rsidRPr="008B1FF1">
              <w:rPr>
                <w:rFonts w:eastAsia="SimSun" w:cs="Calibri"/>
                <w:color w:val="000000"/>
                <w:sz w:val="20"/>
                <w:lang w:val="zh-CN" w:eastAsia="zh-CN"/>
              </w:rPr>
              <w:t>政策，并将于</w:t>
            </w:r>
            <w:r w:rsidRPr="008B1FF1">
              <w:rPr>
                <w:rFonts w:eastAsia="SimSun" w:cs="Calibri"/>
                <w:color w:val="000000"/>
                <w:sz w:val="20"/>
                <w:lang w:val="zh-CN" w:eastAsia="zh-CN"/>
              </w:rPr>
              <w:t>2025</w:t>
            </w:r>
            <w:r w:rsidRPr="008B1FF1">
              <w:rPr>
                <w:rFonts w:eastAsia="SimSun" w:cs="Calibri"/>
                <w:color w:val="000000"/>
                <w:sz w:val="20"/>
                <w:lang w:val="zh-CN" w:eastAsia="zh-CN"/>
              </w:rPr>
              <w:t>年第二季度发布</w:t>
            </w:r>
            <w:r w:rsidRPr="008B1FF1">
              <w:rPr>
                <w:rFonts w:eastAsia="SimSun" w:cs="Calibri" w:hint="eastAsia"/>
                <w:color w:val="000000"/>
                <w:sz w:val="20"/>
                <w:lang w:val="zh-CN" w:eastAsia="zh-CN"/>
              </w:rPr>
              <w:t>审查后的政策</w:t>
            </w:r>
            <w:r w:rsidRPr="008B1FF1">
              <w:rPr>
                <w:rFonts w:eastAsia="SimSun" w:cs="Calibri"/>
                <w:color w:val="000000"/>
                <w:sz w:val="20"/>
                <w:lang w:val="zh-CN" w:eastAsia="zh-CN"/>
              </w:rPr>
              <w:t>。除改进</w:t>
            </w:r>
            <w:r w:rsidRPr="008B1FF1">
              <w:rPr>
                <w:rFonts w:eastAsia="SimSun" w:cs="Calibri"/>
                <w:color w:val="000000"/>
                <w:sz w:val="20"/>
                <w:lang w:val="zh-CN" w:eastAsia="zh-CN"/>
              </w:rPr>
              <w:t>SSA</w:t>
            </w:r>
            <w:r w:rsidRPr="008B1FF1">
              <w:rPr>
                <w:rFonts w:eastAsia="SimSun" w:cs="Calibri"/>
                <w:color w:val="000000"/>
                <w:sz w:val="20"/>
                <w:lang w:val="zh-CN" w:eastAsia="zh-CN"/>
              </w:rPr>
              <w:t>管理</w:t>
            </w:r>
            <w:r w:rsidRPr="008B1FF1">
              <w:rPr>
                <w:rFonts w:eastAsia="SimSun" w:cs="Calibri" w:hint="eastAsia"/>
                <w:color w:val="000000"/>
                <w:sz w:val="20"/>
                <w:lang w:val="zh-CN" w:eastAsia="zh-CN"/>
              </w:rPr>
              <w:t>人员</w:t>
            </w:r>
            <w:r w:rsidRPr="008B1FF1">
              <w:rPr>
                <w:rFonts w:eastAsia="SimSun" w:cs="Calibri"/>
                <w:color w:val="000000"/>
                <w:sz w:val="20"/>
                <w:lang w:val="zh-CN" w:eastAsia="zh-CN"/>
              </w:rPr>
              <w:t>的工作流程外，经修订的</w:t>
            </w:r>
            <w:r w:rsidRPr="008B1FF1">
              <w:rPr>
                <w:rFonts w:eastAsia="SimSun" w:cs="Calibri"/>
                <w:color w:val="000000"/>
                <w:sz w:val="20"/>
                <w:lang w:val="zh-CN" w:eastAsia="zh-CN"/>
              </w:rPr>
              <w:t>SSA</w:t>
            </w:r>
            <w:r w:rsidRPr="008B1FF1">
              <w:rPr>
                <w:rFonts w:eastAsia="SimSun" w:cs="Calibri"/>
                <w:color w:val="000000"/>
                <w:sz w:val="20"/>
                <w:lang w:val="zh-CN" w:eastAsia="zh-CN"/>
              </w:rPr>
              <w:t>政策将包括修订</w:t>
            </w:r>
            <w:r w:rsidRPr="008B1FF1">
              <w:rPr>
                <w:rFonts w:eastAsia="SimSun" w:cs="Calibri" w:hint="eastAsia"/>
                <w:color w:val="000000"/>
                <w:sz w:val="20"/>
                <w:lang w:val="zh-CN" w:eastAsia="zh-CN"/>
              </w:rPr>
              <w:t>后</w:t>
            </w:r>
            <w:r w:rsidRPr="008B1FF1">
              <w:rPr>
                <w:rFonts w:eastAsia="SimSun" w:cs="Calibri"/>
                <w:color w:val="000000"/>
                <w:sz w:val="20"/>
                <w:lang w:val="zh-CN" w:eastAsia="zh-CN"/>
              </w:rPr>
              <w:t>的</w:t>
            </w:r>
            <w:r w:rsidRPr="008B1FF1">
              <w:rPr>
                <w:rFonts w:eastAsia="SimSun" w:cs="Calibri"/>
                <w:color w:val="000000"/>
                <w:sz w:val="20"/>
                <w:lang w:val="zh-CN" w:eastAsia="zh-CN"/>
              </w:rPr>
              <w:t>SSA</w:t>
            </w:r>
            <w:r w:rsidRPr="008B1FF1">
              <w:rPr>
                <w:rFonts w:eastAsia="SimSun" w:cs="Calibri"/>
                <w:color w:val="000000"/>
                <w:sz w:val="20"/>
                <w:lang w:val="zh-CN" w:eastAsia="zh-CN"/>
              </w:rPr>
              <w:t>薪酬表，并将特别</w:t>
            </w:r>
            <w:r w:rsidRPr="008B1FF1">
              <w:rPr>
                <w:rFonts w:eastAsia="SimSun" w:cs="Calibri" w:hint="eastAsia"/>
                <w:color w:val="000000"/>
                <w:sz w:val="20"/>
                <w:lang w:val="zh-CN" w:eastAsia="zh-CN"/>
              </w:rPr>
              <w:t>就</w:t>
            </w:r>
            <w:r w:rsidRPr="008B1FF1">
              <w:rPr>
                <w:rFonts w:eastAsia="SimSun" w:cs="Calibri"/>
                <w:color w:val="000000"/>
                <w:sz w:val="20"/>
                <w:lang w:val="zh-CN" w:eastAsia="zh-CN"/>
              </w:rPr>
              <w:t>咨询合同的使用</w:t>
            </w:r>
            <w:r w:rsidRPr="008B1FF1">
              <w:rPr>
                <w:rFonts w:eastAsia="SimSun" w:cs="Calibri" w:hint="eastAsia"/>
                <w:color w:val="000000"/>
                <w:sz w:val="20"/>
                <w:lang w:val="zh-CN" w:eastAsia="zh-CN"/>
              </w:rPr>
              <w:t>以及</w:t>
            </w:r>
            <w:r w:rsidRPr="008B1FF1">
              <w:rPr>
                <w:rFonts w:eastAsia="SimSun" w:cs="Calibri"/>
                <w:color w:val="000000"/>
                <w:sz w:val="20"/>
                <w:lang w:val="zh-CN" w:eastAsia="zh-CN"/>
              </w:rPr>
              <w:t>限制提供更</w:t>
            </w:r>
            <w:r w:rsidRPr="008B1FF1">
              <w:rPr>
                <w:rFonts w:eastAsia="SimSun" w:cs="Calibri" w:hint="eastAsia"/>
                <w:color w:val="000000"/>
                <w:sz w:val="20"/>
                <w:lang w:val="zh-CN" w:eastAsia="zh-CN"/>
              </w:rPr>
              <w:t>加</w:t>
            </w:r>
            <w:r w:rsidRPr="008B1FF1">
              <w:rPr>
                <w:rFonts w:eastAsia="SimSun" w:cs="Calibri"/>
                <w:color w:val="000000"/>
                <w:sz w:val="20"/>
                <w:lang w:val="zh-CN" w:eastAsia="zh-CN"/>
              </w:rPr>
              <w:t>明确的指导原则（例如，每人同时只能与国际电联签订一份合同）。一旦完成政策审查，将</w:t>
            </w:r>
            <w:r w:rsidRPr="008B1FF1">
              <w:rPr>
                <w:rFonts w:eastAsia="SimSun" w:cs="Calibri" w:hint="eastAsia"/>
                <w:color w:val="000000"/>
                <w:sz w:val="20"/>
                <w:lang w:val="zh-CN" w:eastAsia="zh-CN"/>
              </w:rPr>
              <w:t>调整</w:t>
            </w:r>
            <w:r w:rsidRPr="008B1FF1">
              <w:rPr>
                <w:rFonts w:eastAsia="SimSun" w:cs="Calibri"/>
                <w:color w:val="000000"/>
                <w:sz w:val="20"/>
                <w:lang w:val="zh-CN" w:eastAsia="zh-CN"/>
              </w:rPr>
              <w:t>所有相关系统和流程。</w:t>
            </w:r>
          </w:p>
          <w:p w14:paraId="1A265A8F" w14:textId="65ADA1AA"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4C6CE57B" w14:textId="4F21B1C4" w:rsidR="000245E2" w:rsidRPr="008B1FF1" w:rsidRDefault="000245E2" w:rsidP="000245E2">
            <w:pPr>
              <w:pStyle w:val="Tabletext"/>
              <w:rPr>
                <w:sz w:val="20"/>
              </w:rPr>
            </w:pPr>
            <w:r w:rsidRPr="008B1FF1">
              <w:rPr>
                <w:rFonts w:eastAsia="SimSun" w:cs="Calibri"/>
                <w:color w:val="000000"/>
                <w:sz w:val="20"/>
                <w:lang w:val="zh-CN" w:eastAsia="zh-CN"/>
              </w:rPr>
              <w:t>我们注意到最新的回应并认为此回应是合理的，同时注意到</w:t>
            </w:r>
            <w:r w:rsidRPr="008B1FF1">
              <w:rPr>
                <w:rFonts w:eastAsia="SimSun" w:cs="Calibri" w:hint="eastAsia"/>
                <w:color w:val="000000"/>
                <w:sz w:val="20"/>
                <w:lang w:val="zh-CN" w:eastAsia="zh-CN"/>
              </w:rPr>
              <w:t>国际电联</w:t>
            </w:r>
            <w:r w:rsidRPr="008B1FF1">
              <w:rPr>
                <w:rFonts w:eastAsia="SimSun" w:cs="Calibri"/>
                <w:color w:val="000000"/>
                <w:sz w:val="20"/>
                <w:lang w:val="zh-CN" w:eastAsia="zh-CN"/>
              </w:rPr>
              <w:t>正在</w:t>
            </w:r>
            <w:r w:rsidRPr="008B1FF1">
              <w:rPr>
                <w:rFonts w:eastAsia="SimSun" w:cs="Calibri" w:hint="eastAsia"/>
                <w:color w:val="000000"/>
                <w:sz w:val="20"/>
                <w:lang w:val="zh-CN" w:eastAsia="zh-CN"/>
              </w:rPr>
              <w:t>为</w:t>
            </w:r>
            <w:r w:rsidRPr="008B1FF1">
              <w:rPr>
                <w:rFonts w:eastAsia="SimSun" w:cs="Calibri"/>
                <w:color w:val="000000"/>
                <w:sz w:val="20"/>
                <w:lang w:val="zh-CN" w:eastAsia="zh-CN"/>
              </w:rPr>
              <w:t>采取</w:t>
            </w:r>
            <w:r w:rsidRPr="008B1FF1">
              <w:rPr>
                <w:rFonts w:eastAsia="SimSun" w:cs="Calibri" w:hint="eastAsia"/>
                <w:color w:val="000000"/>
                <w:sz w:val="20"/>
                <w:lang w:val="zh-CN" w:eastAsia="zh-CN"/>
              </w:rPr>
              <w:t>某</w:t>
            </w:r>
            <w:r w:rsidRPr="008B1FF1">
              <w:rPr>
                <w:rFonts w:eastAsia="SimSun" w:cs="Calibri"/>
                <w:color w:val="000000"/>
                <w:sz w:val="20"/>
                <w:lang w:val="zh-CN" w:eastAsia="zh-CN"/>
              </w:rPr>
              <w:t>些最后行动</w:t>
            </w:r>
            <w:r w:rsidRPr="008B1FF1">
              <w:rPr>
                <w:rFonts w:eastAsia="SimSun" w:cs="Calibri" w:hint="eastAsia"/>
                <w:color w:val="000000"/>
                <w:sz w:val="20"/>
                <w:lang w:val="zh-CN" w:eastAsia="zh-CN"/>
              </w:rPr>
              <w:t>而</w:t>
            </w:r>
            <w:r w:rsidRPr="008B1FF1">
              <w:rPr>
                <w:rFonts w:eastAsia="SimSun" w:cs="Calibri"/>
                <w:color w:val="000000"/>
                <w:sz w:val="20"/>
                <w:lang w:val="zh-CN" w:eastAsia="zh-CN"/>
              </w:rPr>
              <w:t>更新政策。</w:t>
            </w:r>
            <w:r w:rsidRPr="008B1FF1">
              <w:rPr>
                <w:rFonts w:eastAsia="SimSun" w:cs="Calibri" w:hint="eastAsia"/>
                <w:color w:val="000000"/>
                <w:sz w:val="20"/>
                <w:lang w:val="zh-CN" w:eastAsia="zh-CN"/>
              </w:rPr>
              <w:t>已不再跟进该建议。</w:t>
            </w:r>
          </w:p>
        </w:tc>
        <w:tc>
          <w:tcPr>
            <w:tcW w:w="450" w:type="pct"/>
            <w:shd w:val="clear" w:color="auto" w:fill="auto"/>
          </w:tcPr>
          <w:p w14:paraId="08AC8F1B" w14:textId="3AAA6A5C" w:rsidR="000245E2" w:rsidRPr="008B1FF1" w:rsidRDefault="00A62A5A" w:rsidP="000245E2">
            <w:pPr>
              <w:pStyle w:val="Tabletext"/>
              <w:rPr>
                <w:sz w:val="20"/>
              </w:rPr>
            </w:pPr>
            <w:r>
              <w:rPr>
                <w:rFonts w:ascii="SimSun" w:eastAsia="SimSun" w:hAnsi="SimSun" w:cs="SimSun" w:hint="eastAsia"/>
                <w:color w:val="000000"/>
                <w:sz w:val="20"/>
                <w:lang w:eastAsia="zh-CN"/>
              </w:rPr>
              <w:t>已关闭。</w:t>
            </w:r>
          </w:p>
        </w:tc>
      </w:tr>
      <w:tr w:rsidR="000245E2" w:rsidRPr="00536D01" w14:paraId="4B24C779" w14:textId="77777777" w:rsidTr="0011737E">
        <w:tc>
          <w:tcPr>
            <w:tcW w:w="300" w:type="pct"/>
            <w:shd w:val="clear" w:color="auto" w:fill="auto"/>
          </w:tcPr>
          <w:p w14:paraId="53290598" w14:textId="71120551" w:rsidR="000245E2" w:rsidRPr="008B1FF1" w:rsidRDefault="000245E2" w:rsidP="000245E2">
            <w:pPr>
              <w:pStyle w:val="Tabletext"/>
              <w:rPr>
                <w:sz w:val="20"/>
              </w:rPr>
            </w:pPr>
            <w:r w:rsidRPr="008B1FF1">
              <w:rPr>
                <w:rFonts w:eastAsia="SimSun" w:cs="Calibri"/>
                <w:color w:val="000000"/>
                <w:sz w:val="20"/>
                <w:lang w:val="zh-CN"/>
              </w:rPr>
              <w:t>R#14</w:t>
            </w:r>
          </w:p>
        </w:tc>
        <w:tc>
          <w:tcPr>
            <w:tcW w:w="1450" w:type="pct"/>
            <w:shd w:val="clear" w:color="auto" w:fill="auto"/>
          </w:tcPr>
          <w:p w14:paraId="67C8859D" w14:textId="7A61837F" w:rsidR="000245E2" w:rsidRPr="008B1FF1" w:rsidRDefault="000245E2" w:rsidP="000245E2">
            <w:pPr>
              <w:pStyle w:val="Tabletext"/>
              <w:rPr>
                <w:sz w:val="20"/>
                <w:lang w:eastAsia="zh-CN"/>
              </w:rPr>
            </w:pPr>
            <w:r w:rsidRPr="008B1FF1">
              <w:rPr>
                <w:rFonts w:eastAsia="SimSun" w:cs="Calibri"/>
                <w:color w:val="000000"/>
                <w:sz w:val="20"/>
                <w:lang w:val="zh-CN" w:eastAsia="zh-CN"/>
              </w:rPr>
              <w:t>对专家名册进行初步筛选，减少关键人员的数量，并定期进行重新评估。还应考虑对完成工作的质量进行评估，</w:t>
            </w:r>
            <w:r w:rsidRPr="008B1FF1">
              <w:rPr>
                <w:rFonts w:eastAsia="SimSun" w:cs="Calibri" w:hint="eastAsia"/>
                <w:color w:val="000000"/>
                <w:sz w:val="20"/>
                <w:lang w:val="zh-CN" w:eastAsia="zh-CN"/>
              </w:rPr>
              <w:t>但</w:t>
            </w:r>
            <w:r w:rsidRPr="008B1FF1">
              <w:rPr>
                <w:rFonts w:eastAsia="SimSun" w:cs="Calibri"/>
                <w:color w:val="000000"/>
                <w:sz w:val="20"/>
                <w:lang w:val="zh-CN" w:eastAsia="zh-CN"/>
              </w:rPr>
              <w:t>在任何情况下都不应将</w:t>
            </w:r>
            <w:r w:rsidRPr="008B1FF1">
              <w:rPr>
                <w:rFonts w:eastAsia="SimSun" w:cs="Calibri" w:hint="eastAsia"/>
                <w:color w:val="000000"/>
                <w:sz w:val="20"/>
                <w:lang w:val="zh-CN" w:eastAsia="zh-CN"/>
              </w:rPr>
              <w:t>评估</w:t>
            </w:r>
            <w:r w:rsidRPr="008B1FF1">
              <w:rPr>
                <w:rFonts w:eastAsia="SimSun" w:cs="Calibri"/>
                <w:color w:val="000000"/>
                <w:sz w:val="20"/>
                <w:lang w:val="zh-CN" w:eastAsia="zh-CN"/>
              </w:rPr>
              <w:t>工作交给参与同一遴选过程的人员。</w:t>
            </w:r>
          </w:p>
        </w:tc>
        <w:tc>
          <w:tcPr>
            <w:tcW w:w="1750" w:type="pct"/>
            <w:shd w:val="clear" w:color="auto" w:fill="auto"/>
          </w:tcPr>
          <w:p w14:paraId="06DD8DAC" w14:textId="07F6BB69"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月的最新进展：初步意见中提到的现有名册的</w:t>
            </w:r>
            <w:r w:rsidRPr="008B1FF1">
              <w:rPr>
                <w:rFonts w:ascii="SimSun" w:eastAsia="SimSun" w:hAnsi="SimSun" w:cs="Calibri" w:hint="eastAsia"/>
                <w:color w:val="000000"/>
                <w:sz w:val="20"/>
                <w:lang w:val="zh-CN" w:eastAsia="zh-CN"/>
              </w:rPr>
              <w:t>“</w:t>
            </w:r>
            <w:r w:rsidRPr="008B1FF1">
              <w:rPr>
                <w:rFonts w:eastAsia="SimSun" w:cs="Calibri"/>
                <w:color w:val="000000"/>
                <w:sz w:val="20"/>
                <w:lang w:val="zh-CN" w:eastAsia="zh-CN"/>
              </w:rPr>
              <w:t>清理</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工作已经完成，</w:t>
            </w:r>
            <w:r w:rsidRPr="008B1FF1">
              <w:rPr>
                <w:rFonts w:eastAsia="SimSun" w:cs="Calibri" w:hint="eastAsia"/>
                <w:color w:val="000000"/>
                <w:sz w:val="20"/>
                <w:lang w:val="zh-CN" w:eastAsia="zh-CN"/>
              </w:rPr>
              <w:t>其中</w:t>
            </w:r>
            <w:r w:rsidRPr="008B1FF1">
              <w:rPr>
                <w:rFonts w:eastAsia="SimSun" w:cs="Calibri"/>
                <w:color w:val="000000"/>
                <w:sz w:val="20"/>
                <w:lang w:val="zh-CN" w:eastAsia="zh-CN"/>
              </w:rPr>
              <w:t>包括各种学术和背景调查，</w:t>
            </w:r>
            <w:r w:rsidRPr="008B1FF1">
              <w:rPr>
                <w:rFonts w:eastAsia="SimSun" w:cs="Calibri" w:hint="eastAsia"/>
                <w:color w:val="000000"/>
                <w:sz w:val="20"/>
                <w:lang w:val="zh-CN" w:eastAsia="zh-CN"/>
              </w:rPr>
              <w:t>且</w:t>
            </w:r>
            <w:r w:rsidRPr="008B1FF1">
              <w:rPr>
                <w:rFonts w:eastAsia="SimSun" w:cs="Calibri"/>
                <w:color w:val="000000"/>
                <w:sz w:val="20"/>
                <w:lang w:val="zh-CN" w:eastAsia="zh-CN"/>
              </w:rPr>
              <w:t>BDT</w:t>
            </w:r>
            <w:r w:rsidRPr="008B1FF1">
              <w:rPr>
                <w:rFonts w:eastAsia="SimSun" w:cs="Calibri"/>
                <w:color w:val="000000"/>
                <w:sz w:val="20"/>
                <w:lang w:val="zh-CN" w:eastAsia="zh-CN"/>
              </w:rPr>
              <w:t>还精简</w:t>
            </w:r>
            <w:r w:rsidRPr="008B1FF1">
              <w:rPr>
                <w:rFonts w:eastAsia="SimSun" w:cs="Calibri" w:hint="eastAsia"/>
                <w:color w:val="000000"/>
                <w:sz w:val="20"/>
                <w:lang w:val="zh-CN" w:eastAsia="zh-CN"/>
              </w:rPr>
              <w:t>并</w:t>
            </w:r>
            <w:r w:rsidRPr="008B1FF1">
              <w:rPr>
                <w:rFonts w:eastAsia="SimSun" w:cs="Calibri"/>
                <w:color w:val="000000"/>
                <w:sz w:val="20"/>
                <w:lang w:val="zh-CN" w:eastAsia="zh-CN"/>
              </w:rPr>
              <w:t>改进了</w:t>
            </w:r>
            <w:r w:rsidRPr="008B1FF1">
              <w:rPr>
                <w:rFonts w:eastAsia="SimSun" w:cs="Calibri"/>
                <w:color w:val="000000"/>
                <w:sz w:val="20"/>
                <w:lang w:val="zh-CN" w:eastAsia="zh-CN"/>
              </w:rPr>
              <w:t>SSA</w:t>
            </w:r>
            <w:r w:rsidRPr="008B1FF1">
              <w:rPr>
                <w:rFonts w:eastAsia="SimSun" w:cs="Calibri"/>
                <w:color w:val="000000"/>
                <w:sz w:val="20"/>
                <w:lang w:val="zh-CN" w:eastAsia="zh-CN"/>
              </w:rPr>
              <w:t>的招聘流程，加强了</w:t>
            </w:r>
            <w:r w:rsidRPr="008B1FF1">
              <w:rPr>
                <w:rFonts w:eastAsia="SimSun" w:cs="Calibri" w:hint="eastAsia"/>
                <w:color w:val="000000"/>
                <w:sz w:val="20"/>
                <w:lang w:val="zh-CN" w:eastAsia="zh-CN"/>
              </w:rPr>
              <w:t>对</w:t>
            </w:r>
            <w:r w:rsidRPr="008B1FF1">
              <w:rPr>
                <w:rFonts w:eastAsia="SimSun" w:cs="Calibri"/>
                <w:color w:val="000000"/>
                <w:sz w:val="20"/>
                <w:lang w:val="zh-CN" w:eastAsia="zh-CN"/>
              </w:rPr>
              <w:t>利益冲突</w:t>
            </w:r>
            <w:r w:rsidRPr="008B1FF1">
              <w:rPr>
                <w:rFonts w:eastAsia="SimSun" w:cs="Calibri" w:hint="eastAsia"/>
                <w:color w:val="000000"/>
                <w:sz w:val="20"/>
                <w:lang w:val="zh-CN" w:eastAsia="zh-CN"/>
              </w:rPr>
              <w:t>的</w:t>
            </w:r>
            <w:r w:rsidRPr="008B1FF1">
              <w:rPr>
                <w:rFonts w:eastAsia="SimSun" w:cs="Calibri"/>
                <w:color w:val="000000"/>
                <w:sz w:val="20"/>
                <w:lang w:val="zh-CN" w:eastAsia="zh-CN"/>
              </w:rPr>
              <w:t>控制。在绩效评估方面，</w:t>
            </w:r>
            <w:r w:rsidRPr="008B1FF1">
              <w:rPr>
                <w:rFonts w:eastAsia="SimSun" w:cs="Calibri"/>
                <w:color w:val="000000"/>
                <w:sz w:val="20"/>
                <w:lang w:val="zh-CN" w:eastAsia="zh-CN"/>
              </w:rPr>
              <w:t>2024</w:t>
            </w:r>
            <w:r w:rsidRPr="008B1FF1">
              <w:rPr>
                <w:rFonts w:eastAsia="SimSun" w:cs="Calibri"/>
                <w:color w:val="000000"/>
                <w:sz w:val="20"/>
                <w:lang w:val="zh-CN" w:eastAsia="zh-CN"/>
              </w:rPr>
              <w:t>年进一步加强了控制措施，所有招聘管理人员都必须在全额和最终付款之前</w:t>
            </w:r>
            <w:r w:rsidRPr="008B1FF1">
              <w:rPr>
                <w:rFonts w:eastAsia="SimSun" w:cs="Calibri" w:hint="eastAsia"/>
                <w:color w:val="000000"/>
                <w:sz w:val="20"/>
                <w:lang w:val="zh-CN" w:eastAsia="zh-CN"/>
              </w:rPr>
              <w:t>，</w:t>
            </w:r>
            <w:r w:rsidRPr="008B1FF1">
              <w:rPr>
                <w:rFonts w:eastAsia="SimSun" w:cs="Calibri"/>
                <w:color w:val="000000"/>
                <w:sz w:val="20"/>
                <w:lang w:val="zh-CN" w:eastAsia="zh-CN"/>
              </w:rPr>
              <w:t>证明职责范围列</w:t>
            </w:r>
            <w:r w:rsidRPr="008B1FF1">
              <w:rPr>
                <w:rFonts w:eastAsia="SimSun" w:cs="Calibri" w:hint="eastAsia"/>
                <w:color w:val="000000"/>
                <w:sz w:val="20"/>
                <w:lang w:val="zh-CN" w:eastAsia="zh-CN"/>
              </w:rPr>
              <w:t>出的</w:t>
            </w:r>
            <w:r w:rsidRPr="008B1FF1">
              <w:rPr>
                <w:rFonts w:eastAsia="SimSun" w:cs="Calibri"/>
                <w:color w:val="000000"/>
                <w:sz w:val="20"/>
                <w:lang w:val="zh-CN" w:eastAsia="zh-CN"/>
              </w:rPr>
              <w:t>所有输出成果</w:t>
            </w:r>
            <w:r w:rsidRPr="008B1FF1">
              <w:rPr>
                <w:rFonts w:eastAsia="SimSun" w:cs="Calibri" w:hint="eastAsia"/>
                <w:color w:val="000000"/>
                <w:sz w:val="20"/>
                <w:lang w:val="zh-CN" w:eastAsia="zh-CN"/>
              </w:rPr>
              <w:t>均已</w:t>
            </w:r>
            <w:r w:rsidRPr="008B1FF1">
              <w:rPr>
                <w:rFonts w:eastAsia="SimSun" w:cs="Calibri"/>
                <w:color w:val="000000"/>
                <w:sz w:val="20"/>
                <w:lang w:val="zh-CN" w:eastAsia="zh-CN"/>
              </w:rPr>
              <w:t>交付。</w:t>
            </w:r>
            <w:r w:rsidRPr="008B1FF1">
              <w:rPr>
                <w:rFonts w:eastAsia="SimSun" w:cs="Calibri"/>
                <w:color w:val="000000"/>
                <w:sz w:val="20"/>
                <w:lang w:val="zh-CN" w:eastAsia="zh-CN"/>
              </w:rPr>
              <w:lastRenderedPageBreak/>
              <w:t>从</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1</w:t>
            </w:r>
            <w:r w:rsidRPr="008B1FF1">
              <w:rPr>
                <w:rFonts w:eastAsia="SimSun" w:cs="Calibri"/>
                <w:color w:val="000000"/>
                <w:sz w:val="20"/>
                <w:lang w:val="zh-CN" w:eastAsia="zh-CN"/>
              </w:rPr>
              <w:t>月开始，</w:t>
            </w:r>
            <w:r w:rsidRPr="008B1FF1">
              <w:rPr>
                <w:rFonts w:eastAsia="SimSun" w:cs="Calibri" w:hint="eastAsia"/>
                <w:color w:val="000000"/>
                <w:sz w:val="20"/>
                <w:lang w:val="zh-CN" w:eastAsia="zh-CN"/>
              </w:rPr>
              <w:t>“完成证明”</w:t>
            </w:r>
            <w:r w:rsidRPr="008B1FF1">
              <w:rPr>
                <w:rFonts w:eastAsia="SimSun" w:cs="Calibri"/>
                <w:color w:val="000000"/>
                <w:sz w:val="20"/>
                <w:lang w:val="zh-CN" w:eastAsia="zh-CN"/>
              </w:rPr>
              <w:t>需要上传</w:t>
            </w:r>
            <w:r w:rsidRPr="008B1FF1">
              <w:rPr>
                <w:rFonts w:eastAsia="SimSun" w:cs="Calibri" w:hint="eastAsia"/>
                <w:color w:val="000000"/>
                <w:sz w:val="20"/>
                <w:lang w:val="zh-CN" w:eastAsia="zh-CN"/>
              </w:rPr>
              <w:t>至</w:t>
            </w:r>
            <w:r w:rsidRPr="008B1FF1">
              <w:rPr>
                <w:rFonts w:eastAsia="SimSun" w:cs="Calibri"/>
                <w:color w:val="000000"/>
                <w:sz w:val="20"/>
                <w:lang w:val="zh-CN" w:eastAsia="zh-CN"/>
              </w:rPr>
              <w:t>SAP</w:t>
            </w:r>
            <w:r w:rsidRPr="008B1FF1">
              <w:rPr>
                <w:rFonts w:eastAsia="SimSun" w:cs="Calibri"/>
                <w:color w:val="000000"/>
                <w:sz w:val="20"/>
                <w:lang w:val="zh-CN" w:eastAsia="zh-CN"/>
              </w:rPr>
              <w:t>。与此同时，制定了适用于所有</w:t>
            </w:r>
            <w:r w:rsidRPr="008B1FF1">
              <w:rPr>
                <w:rFonts w:eastAsia="SimSun" w:cs="Calibri"/>
                <w:color w:val="000000"/>
                <w:sz w:val="20"/>
                <w:lang w:val="zh-CN" w:eastAsia="zh-CN"/>
              </w:rPr>
              <w:t>SSA</w:t>
            </w:r>
            <w:r w:rsidRPr="008B1FF1">
              <w:rPr>
                <w:rFonts w:eastAsia="SimSun" w:cs="Calibri" w:hint="eastAsia"/>
                <w:color w:val="000000"/>
                <w:sz w:val="20"/>
                <w:lang w:val="zh-CN" w:eastAsia="zh-CN"/>
              </w:rPr>
              <w:t>签约人</w:t>
            </w:r>
            <w:r w:rsidRPr="008B1FF1">
              <w:rPr>
                <w:rFonts w:eastAsia="SimSun" w:cs="Calibri"/>
                <w:color w:val="000000"/>
                <w:sz w:val="20"/>
                <w:lang w:val="zh-CN" w:eastAsia="zh-CN"/>
              </w:rPr>
              <w:t>的新《</w:t>
            </w:r>
            <w:r w:rsidRPr="008B1FF1">
              <w:rPr>
                <w:rFonts w:eastAsia="SimSun" w:cs="Calibri"/>
                <w:color w:val="000000"/>
                <w:sz w:val="20"/>
                <w:lang w:val="zh-CN" w:eastAsia="zh-CN"/>
              </w:rPr>
              <w:t>SSA</w:t>
            </w:r>
            <w:r w:rsidRPr="008B1FF1">
              <w:rPr>
                <w:rFonts w:eastAsia="SimSun" w:cs="Calibri"/>
                <w:color w:val="000000"/>
                <w:sz w:val="20"/>
                <w:lang w:val="zh-CN" w:eastAsia="zh-CN"/>
              </w:rPr>
              <w:t>利益冲突导则》，以方便对实际或潜在冲突进行强制性申报和监督。强制性申报在网上进行，</w:t>
            </w:r>
            <w:r w:rsidRPr="008B1FF1">
              <w:rPr>
                <w:rFonts w:eastAsia="SimSun" w:cs="Calibri" w:hint="eastAsia"/>
                <w:color w:val="000000"/>
                <w:sz w:val="20"/>
                <w:lang w:val="zh-CN" w:eastAsia="zh-CN"/>
              </w:rPr>
              <w:t>申报的</w:t>
            </w:r>
            <w:r w:rsidRPr="008B1FF1">
              <w:rPr>
                <w:rFonts w:eastAsia="SimSun" w:cs="Calibri"/>
                <w:color w:val="000000"/>
                <w:sz w:val="20"/>
                <w:lang w:val="zh-CN" w:eastAsia="zh-CN"/>
              </w:rPr>
              <w:t>副本会自动发送至道德规范办公室和</w:t>
            </w:r>
            <w:r w:rsidRPr="008B1FF1">
              <w:rPr>
                <w:rFonts w:eastAsia="SimSun" w:cs="Calibri"/>
                <w:color w:val="000000"/>
                <w:sz w:val="20"/>
                <w:lang w:val="zh-CN" w:eastAsia="zh-CN"/>
              </w:rPr>
              <w:t>HRMD</w:t>
            </w:r>
            <w:r w:rsidRPr="008B1FF1">
              <w:rPr>
                <w:rFonts w:eastAsia="SimSun" w:cs="Calibri"/>
                <w:color w:val="000000"/>
                <w:sz w:val="20"/>
                <w:lang w:val="zh-CN" w:eastAsia="zh-CN"/>
              </w:rPr>
              <w:t>。</w:t>
            </w:r>
          </w:p>
          <w:p w14:paraId="2066231E" w14:textId="7C90AA31"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095DF2D2" w14:textId="64EC48E3" w:rsidR="000245E2" w:rsidRPr="008B1FF1" w:rsidRDefault="000245E2" w:rsidP="000245E2">
            <w:pPr>
              <w:pStyle w:val="Tabletext"/>
              <w:rPr>
                <w:sz w:val="20"/>
              </w:rPr>
            </w:pPr>
            <w:r w:rsidRPr="008B1FF1">
              <w:rPr>
                <w:rFonts w:eastAsia="SimSun" w:cs="Calibri"/>
                <w:color w:val="000000"/>
                <w:sz w:val="20"/>
                <w:lang w:val="zh-CN" w:eastAsia="zh-CN"/>
              </w:rPr>
              <w:lastRenderedPageBreak/>
              <w:t>我们注意到最新的回应并认为此回应是合理的。</w:t>
            </w:r>
            <w:r w:rsidRPr="008B1FF1">
              <w:rPr>
                <w:rFonts w:eastAsia="SimSun" w:cs="Calibri" w:hint="eastAsia"/>
                <w:color w:val="000000"/>
                <w:sz w:val="20"/>
                <w:lang w:val="zh-CN" w:eastAsia="zh-CN"/>
              </w:rPr>
              <w:t>已不再跟进该建议。</w:t>
            </w:r>
          </w:p>
        </w:tc>
        <w:tc>
          <w:tcPr>
            <w:tcW w:w="450" w:type="pct"/>
            <w:shd w:val="clear" w:color="auto" w:fill="auto"/>
          </w:tcPr>
          <w:p w14:paraId="74390940" w14:textId="5E69E87C" w:rsidR="000245E2" w:rsidRPr="008B1FF1" w:rsidRDefault="00A62A5A" w:rsidP="000245E2">
            <w:pPr>
              <w:pStyle w:val="Tabletext"/>
              <w:rPr>
                <w:sz w:val="20"/>
              </w:rPr>
            </w:pPr>
            <w:r>
              <w:rPr>
                <w:rFonts w:ascii="SimSun" w:eastAsia="SimSun" w:hAnsi="SimSun" w:cs="SimSun" w:hint="eastAsia"/>
                <w:color w:val="000000"/>
                <w:sz w:val="20"/>
                <w:lang w:eastAsia="zh-CN"/>
              </w:rPr>
              <w:t>已关闭。</w:t>
            </w:r>
          </w:p>
        </w:tc>
      </w:tr>
      <w:tr w:rsidR="000245E2" w:rsidRPr="00536D01" w14:paraId="13EDAC9C" w14:textId="77777777" w:rsidTr="0011737E">
        <w:tc>
          <w:tcPr>
            <w:tcW w:w="300" w:type="pct"/>
            <w:shd w:val="clear" w:color="auto" w:fill="auto"/>
          </w:tcPr>
          <w:p w14:paraId="5D054419" w14:textId="2F4F6791" w:rsidR="000245E2" w:rsidRPr="008B1FF1" w:rsidRDefault="000245E2" w:rsidP="000245E2">
            <w:pPr>
              <w:pStyle w:val="Tabletext"/>
              <w:rPr>
                <w:sz w:val="20"/>
              </w:rPr>
            </w:pPr>
            <w:r w:rsidRPr="008B1FF1">
              <w:rPr>
                <w:rFonts w:eastAsia="SimSun" w:cs="Calibri"/>
                <w:color w:val="000000"/>
                <w:sz w:val="20"/>
                <w:lang w:val="zh-CN"/>
              </w:rPr>
              <w:t>R#15</w:t>
            </w:r>
          </w:p>
        </w:tc>
        <w:tc>
          <w:tcPr>
            <w:tcW w:w="1450" w:type="pct"/>
            <w:shd w:val="clear" w:color="auto" w:fill="auto"/>
          </w:tcPr>
          <w:p w14:paraId="2E125670" w14:textId="36337AD1" w:rsidR="000245E2" w:rsidRPr="008B1FF1" w:rsidRDefault="000245E2" w:rsidP="000245E2">
            <w:pPr>
              <w:pStyle w:val="Tabletext"/>
              <w:rPr>
                <w:sz w:val="20"/>
                <w:lang w:eastAsia="zh-CN"/>
              </w:rPr>
            </w:pPr>
            <w:r w:rsidRPr="008B1FF1">
              <w:rPr>
                <w:rFonts w:eastAsia="SimSun" w:cs="Calibri"/>
                <w:color w:val="000000"/>
                <w:sz w:val="20"/>
                <w:lang w:val="zh-CN" w:eastAsia="zh-CN"/>
              </w:rPr>
              <w:t>项目经理的定期轮换。为了防止利益冲突，国际电联还可以考虑不允许项目经理</w:t>
            </w:r>
            <w:r w:rsidRPr="008B1FF1">
              <w:rPr>
                <w:rFonts w:eastAsia="SimSun" w:cs="Calibri" w:hint="eastAsia"/>
                <w:color w:val="000000"/>
                <w:sz w:val="20"/>
                <w:lang w:val="zh-CN" w:eastAsia="zh-CN"/>
              </w:rPr>
              <w:t>拥有</w:t>
            </w:r>
            <w:r w:rsidRPr="008B1FF1">
              <w:rPr>
                <w:rFonts w:eastAsia="SimSun" w:cs="Calibri"/>
                <w:color w:val="000000"/>
                <w:sz w:val="20"/>
                <w:lang w:val="zh-CN" w:eastAsia="zh-CN"/>
              </w:rPr>
              <w:t>受益国国籍（受益国可能是</w:t>
            </w:r>
            <w:r w:rsidRPr="008B1FF1">
              <w:rPr>
                <w:rFonts w:eastAsia="SimSun" w:cs="Calibri" w:hint="eastAsia"/>
                <w:color w:val="000000"/>
                <w:sz w:val="20"/>
                <w:lang w:val="zh-CN" w:eastAsia="zh-CN"/>
              </w:rPr>
              <w:t>这些项目经理</w:t>
            </w:r>
            <w:r w:rsidRPr="008B1FF1">
              <w:rPr>
                <w:rFonts w:eastAsia="SimSun" w:cs="Calibri"/>
                <w:color w:val="000000"/>
                <w:sz w:val="20"/>
                <w:lang w:val="zh-CN" w:eastAsia="zh-CN"/>
              </w:rPr>
              <w:t>在加入国际电联之前工作过的国家）。</w:t>
            </w:r>
          </w:p>
        </w:tc>
        <w:tc>
          <w:tcPr>
            <w:tcW w:w="1750" w:type="pct"/>
            <w:shd w:val="clear" w:color="auto" w:fill="auto"/>
          </w:tcPr>
          <w:p w14:paraId="1B1DBC05"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w:t>
            </w:r>
            <w:r w:rsidRPr="008B1FF1">
              <w:rPr>
                <w:rFonts w:eastAsia="SimSun" w:cs="Calibri"/>
                <w:color w:val="000000"/>
                <w:sz w:val="20"/>
                <w:lang w:val="zh-CN" w:eastAsia="zh-CN"/>
              </w:rPr>
              <w:t>2020</w:t>
            </w:r>
            <w:r w:rsidRPr="008B1FF1">
              <w:rPr>
                <w:rFonts w:eastAsia="SimSun" w:cs="Calibri"/>
                <w:color w:val="000000"/>
                <w:sz w:val="20"/>
                <w:lang w:val="zh-CN" w:eastAsia="zh-CN"/>
              </w:rPr>
              <w:t>年通过第</w:t>
            </w:r>
            <w:r w:rsidRPr="008B1FF1">
              <w:rPr>
                <w:rFonts w:eastAsia="SimSun" w:cs="Calibri"/>
                <w:color w:val="000000"/>
                <w:sz w:val="20"/>
                <w:lang w:val="zh-CN" w:eastAsia="zh-CN"/>
              </w:rPr>
              <w:t>20/14</w:t>
            </w:r>
            <w:r w:rsidRPr="008B1FF1">
              <w:rPr>
                <w:rFonts w:eastAsia="SimSun" w:cs="Calibri"/>
                <w:color w:val="000000"/>
                <w:sz w:val="20"/>
                <w:lang w:val="zh-CN" w:eastAsia="zh-CN"/>
              </w:rPr>
              <w:t>号行政规定引入了</w:t>
            </w:r>
            <w:r w:rsidRPr="008B1FF1">
              <w:rPr>
                <w:rFonts w:eastAsia="SimSun" w:cs="Calibri" w:hint="eastAsia"/>
                <w:color w:val="000000"/>
                <w:sz w:val="20"/>
                <w:lang w:val="zh-CN" w:eastAsia="zh-CN"/>
              </w:rPr>
              <w:t>针对</w:t>
            </w:r>
            <w:r w:rsidRPr="008B1FF1">
              <w:rPr>
                <w:rFonts w:eastAsia="SimSun" w:cs="Calibri"/>
                <w:color w:val="000000"/>
                <w:sz w:val="20"/>
                <w:lang w:val="zh-CN" w:eastAsia="zh-CN"/>
              </w:rPr>
              <w:t>短期流动任务的框架。</w:t>
            </w:r>
            <w:r w:rsidRPr="008B1FF1">
              <w:rPr>
                <w:rFonts w:eastAsia="SimSun" w:cs="Calibri" w:hint="eastAsia"/>
                <w:color w:val="000000"/>
                <w:sz w:val="20"/>
                <w:lang w:val="zh-CN" w:eastAsia="zh-CN"/>
              </w:rPr>
              <w:t>目前</w:t>
            </w:r>
            <w:r w:rsidRPr="008B1FF1">
              <w:rPr>
                <w:rFonts w:eastAsia="SimSun" w:cs="Calibri"/>
                <w:color w:val="000000"/>
                <w:sz w:val="20"/>
                <w:lang w:val="zh-CN" w:eastAsia="zh-CN"/>
              </w:rPr>
              <w:t>正在考虑进一步改进</w:t>
            </w:r>
            <w:r w:rsidRPr="008B1FF1">
              <w:rPr>
                <w:rFonts w:eastAsia="SimSun" w:cs="Calibri" w:hint="eastAsia"/>
                <w:color w:val="000000"/>
                <w:sz w:val="20"/>
                <w:lang w:val="zh-CN" w:eastAsia="zh-CN"/>
              </w:rPr>
              <w:t>此框架</w:t>
            </w:r>
            <w:r w:rsidRPr="008B1FF1">
              <w:rPr>
                <w:rFonts w:eastAsia="SimSun" w:cs="Calibri"/>
                <w:color w:val="000000"/>
                <w:sz w:val="20"/>
                <w:lang w:val="zh-CN" w:eastAsia="zh-CN"/>
              </w:rPr>
              <w:t>，以落实外部审计员随后于</w:t>
            </w:r>
            <w:r w:rsidRPr="008B1FF1">
              <w:rPr>
                <w:rFonts w:eastAsia="SimSun" w:cs="Calibri"/>
                <w:color w:val="000000"/>
                <w:sz w:val="20"/>
                <w:lang w:val="zh-CN" w:eastAsia="zh-CN"/>
              </w:rPr>
              <w:t>2021</w:t>
            </w:r>
            <w:r w:rsidRPr="008B1FF1">
              <w:rPr>
                <w:rFonts w:eastAsia="SimSun" w:cs="Calibri"/>
                <w:color w:val="000000"/>
                <w:sz w:val="20"/>
                <w:lang w:val="zh-CN" w:eastAsia="zh-CN"/>
              </w:rPr>
              <w:t>年和</w:t>
            </w:r>
            <w:r w:rsidRPr="008B1FF1">
              <w:rPr>
                <w:rFonts w:eastAsia="SimSun" w:cs="Calibri"/>
                <w:color w:val="000000"/>
                <w:sz w:val="20"/>
                <w:lang w:val="zh-CN" w:eastAsia="zh-CN"/>
              </w:rPr>
              <w:t>2022</w:t>
            </w:r>
            <w:r w:rsidRPr="008B1FF1">
              <w:rPr>
                <w:rFonts w:eastAsia="SimSun" w:cs="Calibri"/>
                <w:color w:val="000000"/>
                <w:sz w:val="20"/>
                <w:lang w:val="zh-CN" w:eastAsia="zh-CN"/>
              </w:rPr>
              <w:t>年提出的建议，即</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14/2021</w:t>
            </w:r>
            <w:r w:rsidRPr="008B1FF1">
              <w:rPr>
                <w:rFonts w:eastAsia="SimSun" w:cs="Calibri"/>
                <w:color w:val="000000"/>
                <w:sz w:val="20"/>
                <w:lang w:val="zh-CN" w:eastAsia="zh-CN"/>
              </w:rPr>
              <w:t>（</w:t>
            </w:r>
            <w:r w:rsidRPr="008B1FF1">
              <w:rPr>
                <w:rFonts w:eastAsia="SimSun" w:cs="Calibri"/>
                <w:color w:val="000000"/>
                <w:sz w:val="20"/>
                <w:lang w:val="zh-CN" w:eastAsia="zh-CN"/>
              </w:rPr>
              <w:t>FS</w:t>
            </w:r>
            <w:r w:rsidRPr="008B1FF1">
              <w:rPr>
                <w:rFonts w:eastAsia="SimSun" w:cs="Calibri"/>
                <w:color w:val="000000"/>
                <w:sz w:val="20"/>
                <w:lang w:val="zh-CN" w:eastAsia="zh-CN"/>
              </w:rPr>
              <w:t>）</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建议和</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17-18/2022</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建议（美洲</w:t>
            </w:r>
            <w:r w:rsidRPr="008B1FF1">
              <w:rPr>
                <w:rFonts w:eastAsia="SimSun" w:cs="Calibri" w:hint="eastAsia"/>
                <w:color w:val="000000"/>
                <w:sz w:val="20"/>
                <w:lang w:val="zh-CN" w:eastAsia="zh-CN"/>
              </w:rPr>
              <w:t>代表处特别代表</w:t>
            </w:r>
            <w:r w:rsidRPr="008B1FF1">
              <w:rPr>
                <w:rFonts w:eastAsia="SimSun" w:cs="Calibri"/>
                <w:color w:val="000000"/>
                <w:sz w:val="20"/>
                <w:lang w:val="zh-CN" w:eastAsia="zh-CN"/>
              </w:rPr>
              <w:t>）。作为转型举措的一部分，正在考虑制定一个更全面的</w:t>
            </w:r>
            <w:r w:rsidRPr="008B1FF1">
              <w:rPr>
                <w:rFonts w:eastAsia="SimSun" w:cs="Calibri" w:hint="eastAsia"/>
                <w:color w:val="000000"/>
                <w:sz w:val="20"/>
                <w:lang w:val="zh-CN" w:eastAsia="zh-CN"/>
              </w:rPr>
              <w:t>流动性</w:t>
            </w:r>
            <w:r w:rsidRPr="008B1FF1">
              <w:rPr>
                <w:rFonts w:eastAsia="SimSun" w:cs="Calibri"/>
                <w:color w:val="000000"/>
                <w:sz w:val="20"/>
                <w:lang w:val="zh-CN" w:eastAsia="zh-CN"/>
              </w:rPr>
              <w:t>框架。这将决定我们能否全面落实这一建议。国际电联将在招聘层面监督并设法解决在</w:t>
            </w:r>
            <w:r w:rsidRPr="008B1FF1">
              <w:rPr>
                <w:rFonts w:eastAsia="SimSun" w:cs="Calibri" w:hint="eastAsia"/>
                <w:color w:val="000000"/>
                <w:sz w:val="20"/>
                <w:lang w:val="zh-CN" w:eastAsia="zh-CN"/>
              </w:rPr>
              <w:t>原</w:t>
            </w:r>
            <w:r w:rsidRPr="008B1FF1">
              <w:rPr>
                <w:rFonts w:eastAsia="SimSun" w:cs="Calibri"/>
                <w:color w:val="000000"/>
                <w:sz w:val="20"/>
                <w:lang w:val="zh-CN" w:eastAsia="zh-CN"/>
              </w:rPr>
              <w:t>籍国工作的专业职员的关切。</w:t>
            </w:r>
          </w:p>
          <w:p w14:paraId="39FFB649" w14:textId="5EC2CCC7"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2200E5F7" w14:textId="3D6E9215" w:rsidR="000245E2" w:rsidRPr="008B1FF1" w:rsidRDefault="000245E2" w:rsidP="000245E2">
            <w:pPr>
              <w:pStyle w:val="Tabletext"/>
              <w:rPr>
                <w:sz w:val="20"/>
                <w:lang w:eastAsia="zh-CN"/>
              </w:rPr>
            </w:pPr>
            <w:r w:rsidRPr="008B1FF1">
              <w:rPr>
                <w:rFonts w:eastAsia="SimSun" w:cs="Calibri"/>
                <w:color w:val="000000"/>
                <w:sz w:val="20"/>
                <w:lang w:val="zh-CN" w:eastAsia="zh-CN"/>
              </w:rPr>
              <w:t>已将最新回应记录在案。鉴于强调的有关</w:t>
            </w:r>
            <w:r w:rsidRPr="008B1FF1">
              <w:rPr>
                <w:rFonts w:eastAsia="SimSun" w:cs="Calibri" w:hint="eastAsia"/>
                <w:color w:val="000000"/>
                <w:sz w:val="20"/>
                <w:lang w:val="zh-CN" w:eastAsia="zh-CN"/>
              </w:rPr>
              <w:t>流动</w:t>
            </w:r>
            <w:r w:rsidRPr="008B1FF1">
              <w:rPr>
                <w:rFonts w:eastAsia="SimSun" w:cs="Calibri"/>
                <w:color w:val="000000"/>
                <w:sz w:val="20"/>
                <w:lang w:val="zh-CN" w:eastAsia="zh-CN"/>
              </w:rPr>
              <w:t>性的相关建议仍未落实，</w:t>
            </w:r>
            <w:r w:rsidRPr="008B1FF1">
              <w:rPr>
                <w:rFonts w:eastAsia="SimSun" w:cs="Calibri" w:hint="eastAsia"/>
                <w:color w:val="000000"/>
                <w:sz w:val="20"/>
                <w:lang w:val="zh-CN" w:eastAsia="zh-CN"/>
              </w:rPr>
              <w:t>现</w:t>
            </w:r>
            <w:r w:rsidRPr="008B1FF1">
              <w:rPr>
                <w:rFonts w:eastAsia="SimSun" w:cs="Calibri"/>
                <w:color w:val="000000"/>
                <w:sz w:val="20"/>
                <w:lang w:val="zh-CN" w:eastAsia="zh-CN"/>
              </w:rPr>
              <w:t>已不再跟进该建议。</w:t>
            </w:r>
          </w:p>
        </w:tc>
        <w:tc>
          <w:tcPr>
            <w:tcW w:w="450" w:type="pct"/>
            <w:shd w:val="clear" w:color="auto" w:fill="auto"/>
          </w:tcPr>
          <w:p w14:paraId="1782E73C" w14:textId="0AAD4502" w:rsidR="000245E2" w:rsidRPr="008B1FF1" w:rsidRDefault="00A62A5A" w:rsidP="000245E2">
            <w:pPr>
              <w:pStyle w:val="Tabletext"/>
              <w:rPr>
                <w:sz w:val="20"/>
              </w:rPr>
            </w:pPr>
            <w:r>
              <w:rPr>
                <w:rFonts w:ascii="SimSun" w:eastAsia="SimSun" w:hAnsi="SimSun" w:cs="SimSun" w:hint="eastAsia"/>
                <w:color w:val="000000"/>
                <w:sz w:val="20"/>
                <w:lang w:eastAsia="zh-CN"/>
              </w:rPr>
              <w:t>已关闭。</w:t>
            </w:r>
          </w:p>
        </w:tc>
      </w:tr>
      <w:tr w:rsidR="000245E2" w:rsidRPr="00536D01" w14:paraId="76E49C41" w14:textId="77777777" w:rsidTr="0011737E">
        <w:trPr>
          <w:trHeight w:val="993"/>
        </w:trPr>
        <w:tc>
          <w:tcPr>
            <w:tcW w:w="300" w:type="pct"/>
            <w:shd w:val="clear" w:color="auto" w:fill="auto"/>
          </w:tcPr>
          <w:p w14:paraId="20039EE9" w14:textId="5C1F1293" w:rsidR="000245E2" w:rsidRPr="008B1FF1" w:rsidRDefault="000245E2" w:rsidP="000245E2">
            <w:pPr>
              <w:pStyle w:val="Tabletext"/>
              <w:rPr>
                <w:sz w:val="20"/>
              </w:rPr>
            </w:pPr>
            <w:r w:rsidRPr="008B1FF1">
              <w:rPr>
                <w:rFonts w:eastAsia="SimSun" w:cs="Calibri"/>
                <w:color w:val="000000"/>
                <w:sz w:val="20"/>
                <w:lang w:val="zh-CN"/>
              </w:rPr>
              <w:t>R#16</w:t>
            </w:r>
          </w:p>
        </w:tc>
        <w:tc>
          <w:tcPr>
            <w:tcW w:w="1450" w:type="pct"/>
            <w:shd w:val="clear" w:color="auto" w:fill="auto"/>
          </w:tcPr>
          <w:p w14:paraId="45F41A00" w14:textId="57B7481C" w:rsidR="000245E2" w:rsidRPr="008B1FF1" w:rsidRDefault="000245E2" w:rsidP="000245E2">
            <w:pPr>
              <w:pStyle w:val="Tabletext"/>
              <w:rPr>
                <w:sz w:val="20"/>
                <w:lang w:eastAsia="zh-CN"/>
              </w:rPr>
            </w:pPr>
            <w:r w:rsidRPr="008B1FF1">
              <w:rPr>
                <w:rFonts w:eastAsia="SimSun" w:cs="Calibri"/>
                <w:color w:val="000000"/>
                <w:sz w:val="20"/>
                <w:lang w:val="zh-CN" w:eastAsia="zh-CN"/>
              </w:rPr>
              <w:t>重新设计区域代表处主任作为项目和举措实施监督者</w:t>
            </w:r>
            <w:r w:rsidRPr="008B1FF1">
              <w:rPr>
                <w:rFonts w:eastAsia="SimSun" w:cs="Calibri" w:hint="eastAsia"/>
                <w:color w:val="000000"/>
                <w:sz w:val="20"/>
                <w:lang w:val="zh-CN" w:eastAsia="zh-CN"/>
              </w:rPr>
              <w:t>以及当地</w:t>
            </w:r>
            <w:r w:rsidRPr="008B1FF1">
              <w:rPr>
                <w:rFonts w:eastAsia="SimSun" w:cs="Calibri"/>
                <w:color w:val="000000"/>
                <w:sz w:val="20"/>
                <w:lang w:val="zh-CN" w:eastAsia="zh-CN"/>
              </w:rPr>
              <w:t>财务资源管理者的作用。</w:t>
            </w:r>
          </w:p>
        </w:tc>
        <w:tc>
          <w:tcPr>
            <w:tcW w:w="1750" w:type="pct"/>
            <w:shd w:val="clear" w:color="auto" w:fill="auto"/>
          </w:tcPr>
          <w:p w14:paraId="613B300F"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月的最新进展：秘书长在任期开始</w:t>
            </w:r>
            <w:r w:rsidRPr="008B1FF1">
              <w:rPr>
                <w:rFonts w:eastAsia="SimSun" w:cs="Calibri" w:hint="eastAsia"/>
                <w:color w:val="000000"/>
                <w:sz w:val="20"/>
                <w:lang w:val="zh-CN" w:eastAsia="zh-CN"/>
              </w:rPr>
              <w:t>之</w:t>
            </w:r>
            <w:r w:rsidRPr="008B1FF1">
              <w:rPr>
                <w:rFonts w:eastAsia="SimSun" w:cs="Calibri"/>
                <w:color w:val="000000"/>
                <w:sz w:val="20"/>
                <w:lang w:val="zh-CN" w:eastAsia="zh-CN"/>
              </w:rPr>
              <w:t>时，根据</w:t>
            </w:r>
            <w:r w:rsidRPr="008B1FF1">
              <w:rPr>
                <w:rFonts w:eastAsia="SimSun" w:cs="Calibri" w:hint="eastAsia"/>
                <w:color w:val="000000"/>
                <w:sz w:val="20"/>
                <w:lang w:val="zh-CN" w:eastAsia="zh-CN"/>
              </w:rPr>
              <w:t>最新</w:t>
            </w:r>
            <w:r w:rsidRPr="008B1FF1">
              <w:rPr>
                <w:rFonts w:eastAsia="SimSun" w:cs="Calibri"/>
                <w:color w:val="000000"/>
                <w:sz w:val="20"/>
                <w:lang w:val="zh-CN" w:eastAsia="zh-CN"/>
              </w:rPr>
              <w:t>的初步意见，审查</w:t>
            </w:r>
            <w:r w:rsidRPr="008B1FF1">
              <w:rPr>
                <w:rFonts w:eastAsia="SimSun" w:cs="Calibri" w:hint="eastAsia"/>
                <w:color w:val="000000"/>
                <w:sz w:val="20"/>
                <w:lang w:val="zh-CN" w:eastAsia="zh-CN"/>
              </w:rPr>
              <w:t>了</w:t>
            </w:r>
            <w:r w:rsidRPr="008B1FF1">
              <w:rPr>
                <w:rFonts w:eastAsia="SimSun" w:cs="Calibri"/>
                <w:color w:val="000000"/>
                <w:sz w:val="20"/>
                <w:lang w:val="zh-CN" w:eastAsia="zh-CN"/>
              </w:rPr>
              <w:t>区域代表处主任的职务说明，以</w:t>
            </w:r>
            <w:r w:rsidRPr="008B1FF1">
              <w:rPr>
                <w:rFonts w:eastAsia="SimSun" w:cs="Calibri" w:hint="eastAsia"/>
                <w:color w:val="000000"/>
                <w:sz w:val="20"/>
                <w:lang w:val="zh-CN" w:eastAsia="zh-CN"/>
              </w:rPr>
              <w:t>期加强</w:t>
            </w:r>
            <w:r w:rsidRPr="008B1FF1">
              <w:rPr>
                <w:rFonts w:eastAsia="SimSun" w:cs="Calibri"/>
                <w:color w:val="000000"/>
                <w:sz w:val="20"/>
                <w:lang w:val="zh-CN" w:eastAsia="zh-CN"/>
              </w:rPr>
              <w:t>管理监督和问责制</w:t>
            </w:r>
            <w:r w:rsidRPr="008B1FF1">
              <w:rPr>
                <w:rFonts w:eastAsia="SimSun" w:cs="Calibri" w:hint="eastAsia"/>
                <w:color w:val="000000"/>
                <w:sz w:val="20"/>
                <w:lang w:val="zh-CN" w:eastAsia="zh-CN"/>
              </w:rPr>
              <w:t>以及</w:t>
            </w:r>
            <w:r w:rsidRPr="008B1FF1">
              <w:rPr>
                <w:rFonts w:eastAsia="SimSun" w:cs="Calibri"/>
                <w:color w:val="000000"/>
                <w:sz w:val="20"/>
                <w:lang w:val="zh-CN" w:eastAsia="zh-CN"/>
              </w:rPr>
              <w:t>内部控制。</w:t>
            </w:r>
          </w:p>
          <w:p w14:paraId="36AF9B59"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此外，通过电信发展局层面的《项目手册》</w:t>
            </w:r>
            <w:r w:rsidRPr="008B1FF1">
              <w:rPr>
                <w:rFonts w:eastAsia="SimSun" w:cs="Calibri" w:hint="eastAsia"/>
                <w:color w:val="000000"/>
                <w:sz w:val="20"/>
                <w:lang w:val="zh-CN" w:eastAsia="zh-CN"/>
              </w:rPr>
              <w:t>对</w:t>
            </w:r>
            <w:r w:rsidRPr="008B1FF1">
              <w:rPr>
                <w:rFonts w:eastAsia="SimSun" w:cs="Calibri"/>
                <w:color w:val="000000"/>
                <w:sz w:val="20"/>
                <w:lang w:val="zh-CN" w:eastAsia="zh-CN"/>
              </w:rPr>
              <w:t>区域代表处主任在项目管理方面的作用</w:t>
            </w:r>
            <w:r w:rsidRPr="008B1FF1">
              <w:rPr>
                <w:rFonts w:eastAsia="SimSun" w:cs="Calibri" w:hint="eastAsia"/>
                <w:color w:val="000000"/>
                <w:sz w:val="20"/>
                <w:lang w:val="zh-CN" w:eastAsia="zh-CN"/>
              </w:rPr>
              <w:t>做出澄清</w:t>
            </w:r>
            <w:r w:rsidRPr="008B1FF1">
              <w:rPr>
                <w:rFonts w:eastAsia="SimSun" w:cs="Calibri"/>
                <w:color w:val="000000"/>
                <w:sz w:val="20"/>
                <w:lang w:val="zh-CN" w:eastAsia="zh-CN"/>
              </w:rPr>
              <w:t>。</w:t>
            </w:r>
          </w:p>
          <w:p w14:paraId="09E76E64"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具体而言，会议审议了亚太和非洲区域</w:t>
            </w:r>
            <w:r w:rsidRPr="008B1FF1">
              <w:rPr>
                <w:rFonts w:eastAsia="SimSun" w:cs="Calibri" w:hint="eastAsia"/>
                <w:color w:val="000000"/>
                <w:sz w:val="20"/>
                <w:lang w:val="zh-CN" w:eastAsia="zh-CN"/>
              </w:rPr>
              <w:t>代表处</w:t>
            </w:r>
            <w:r w:rsidRPr="008B1FF1">
              <w:rPr>
                <w:rFonts w:eastAsia="SimSun" w:cs="Calibri"/>
                <w:color w:val="000000"/>
                <w:sz w:val="20"/>
                <w:lang w:val="zh-CN" w:eastAsia="zh-CN"/>
              </w:rPr>
              <w:t>主任的职务说明，</w:t>
            </w:r>
            <w:r w:rsidRPr="008B1FF1">
              <w:rPr>
                <w:rFonts w:eastAsia="SimSun" w:cs="Calibri" w:hint="eastAsia"/>
                <w:color w:val="000000"/>
                <w:sz w:val="20"/>
                <w:lang w:val="zh-CN" w:eastAsia="zh-CN"/>
              </w:rPr>
              <w:t>并在其中纳入了以下内容“</w:t>
            </w:r>
            <w:r w:rsidRPr="008B1FF1">
              <w:rPr>
                <w:rFonts w:eastAsia="SimSun" w:cs="Calibri"/>
                <w:color w:val="000000"/>
                <w:sz w:val="20"/>
                <w:lang w:val="zh-CN" w:eastAsia="zh-CN"/>
              </w:rPr>
              <w:t>指导项目的概念化、制定和实施，以支持区域工作方案和区域性举措；确保所有项目</w:t>
            </w:r>
            <w:r w:rsidRPr="008B1FF1">
              <w:rPr>
                <w:rFonts w:eastAsia="SimSun" w:cs="Calibri" w:hint="eastAsia"/>
                <w:color w:val="000000"/>
                <w:sz w:val="20"/>
                <w:lang w:val="zh-CN" w:eastAsia="zh-CN"/>
              </w:rPr>
              <w:t>的</w:t>
            </w:r>
            <w:r w:rsidRPr="008B1FF1">
              <w:rPr>
                <w:rFonts w:eastAsia="SimSun" w:cs="Calibri"/>
                <w:color w:val="000000"/>
                <w:sz w:val="20"/>
                <w:lang w:val="zh-CN" w:eastAsia="zh-CN"/>
              </w:rPr>
              <w:t>制定合理，</w:t>
            </w:r>
            <w:r w:rsidRPr="008B1FF1">
              <w:rPr>
                <w:rFonts w:eastAsia="SimSun" w:cs="Calibri" w:hint="eastAsia"/>
                <w:color w:val="000000"/>
                <w:sz w:val="20"/>
                <w:lang w:val="zh-CN" w:eastAsia="zh-CN"/>
              </w:rPr>
              <w:t>同时</w:t>
            </w:r>
            <w:r w:rsidRPr="008B1FF1">
              <w:rPr>
                <w:rFonts w:eastAsia="SimSun" w:cs="Calibri"/>
                <w:color w:val="000000"/>
                <w:sz w:val="20"/>
                <w:lang w:val="zh-CN" w:eastAsia="zh-CN"/>
              </w:rPr>
              <w:t>界定角色和责任，明确可交付成果和时间表；并与政府、捐助机构、区域和国际组织以及私营部门</w:t>
            </w:r>
            <w:r w:rsidRPr="008B1FF1">
              <w:rPr>
                <w:rFonts w:eastAsia="SimSun" w:cs="Calibri" w:hint="eastAsia"/>
                <w:color w:val="000000"/>
                <w:sz w:val="20"/>
                <w:lang w:val="zh-CN" w:eastAsia="zh-CN"/>
              </w:rPr>
              <w:t>协</w:t>
            </w:r>
            <w:r w:rsidRPr="008B1FF1">
              <w:rPr>
                <w:rFonts w:eastAsia="SimSun" w:cs="Calibri"/>
                <w:color w:val="000000"/>
                <w:sz w:val="20"/>
                <w:lang w:val="zh-CN" w:eastAsia="zh-CN"/>
              </w:rPr>
              <w:t>作，为这些项目提供支持</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w:t>
            </w:r>
          </w:p>
          <w:p w14:paraId="7509CCC0" w14:textId="0E82A9A1"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1400DA76" w14:textId="618AEA0A" w:rsidR="000245E2" w:rsidRPr="008B1FF1" w:rsidRDefault="000245E2" w:rsidP="000245E2">
            <w:pPr>
              <w:pStyle w:val="Tabletext"/>
              <w:rPr>
                <w:sz w:val="20"/>
                <w:lang w:eastAsia="zh-CN"/>
              </w:rPr>
            </w:pPr>
            <w:r w:rsidRPr="008B1FF1">
              <w:rPr>
                <w:rFonts w:eastAsia="SimSun" w:cs="Calibri"/>
                <w:color w:val="000000"/>
                <w:sz w:val="20"/>
                <w:lang w:val="zh-CN" w:eastAsia="zh-CN"/>
              </w:rPr>
              <w:t>已将最新回应记录在案。在本报告的第一和第二部分，我们提出了有关权力下放和项目控制的意见和建议。在此基础上，</w:t>
            </w:r>
            <w:r w:rsidRPr="008B1FF1">
              <w:rPr>
                <w:rFonts w:eastAsia="SimSun" w:cs="Calibri" w:hint="eastAsia"/>
                <w:color w:val="000000"/>
                <w:sz w:val="20"/>
                <w:lang w:val="zh-CN" w:eastAsia="zh-CN"/>
              </w:rPr>
              <w:t>此</w:t>
            </w:r>
            <w:r w:rsidRPr="008B1FF1">
              <w:rPr>
                <w:rFonts w:eastAsia="SimSun" w:cs="Calibri"/>
                <w:color w:val="000000"/>
                <w:sz w:val="20"/>
                <w:lang w:val="zh-CN" w:eastAsia="zh-CN"/>
              </w:rPr>
              <w:t>建议</w:t>
            </w:r>
            <w:r w:rsidRPr="008B1FF1">
              <w:rPr>
                <w:rFonts w:eastAsia="SimSun" w:cs="Calibri" w:hint="eastAsia"/>
                <w:color w:val="000000"/>
                <w:sz w:val="20"/>
                <w:lang w:val="zh-CN" w:eastAsia="zh-CN"/>
              </w:rPr>
              <w:t>已</w:t>
            </w:r>
            <w:r w:rsidRPr="008B1FF1">
              <w:rPr>
                <w:rFonts w:eastAsia="SimSun" w:cs="Calibri"/>
                <w:color w:val="000000"/>
                <w:sz w:val="20"/>
                <w:lang w:val="zh-CN" w:eastAsia="zh-CN"/>
              </w:rPr>
              <w:t>被取代并已不再跟进。</w:t>
            </w:r>
          </w:p>
        </w:tc>
        <w:tc>
          <w:tcPr>
            <w:tcW w:w="450" w:type="pct"/>
            <w:shd w:val="clear" w:color="auto" w:fill="auto"/>
          </w:tcPr>
          <w:p w14:paraId="7FC9AC51" w14:textId="2833CDC2" w:rsidR="000245E2" w:rsidRPr="008B1FF1" w:rsidRDefault="00A62A5A" w:rsidP="000245E2">
            <w:pPr>
              <w:pStyle w:val="Tabletext"/>
              <w:rPr>
                <w:sz w:val="20"/>
              </w:rPr>
            </w:pPr>
            <w:r>
              <w:rPr>
                <w:rFonts w:ascii="SimSun" w:eastAsia="SimSun" w:hAnsi="SimSun" w:cs="SimSun" w:hint="eastAsia"/>
                <w:color w:val="000000"/>
                <w:sz w:val="20"/>
                <w:lang w:eastAsia="zh-CN"/>
              </w:rPr>
              <w:t>已关闭。</w:t>
            </w:r>
          </w:p>
        </w:tc>
      </w:tr>
      <w:tr w:rsidR="002F2E4B" w:rsidRPr="00536D01" w14:paraId="54F3E205" w14:textId="77777777" w:rsidTr="0011737E">
        <w:tc>
          <w:tcPr>
            <w:tcW w:w="5000" w:type="pct"/>
            <w:gridSpan w:val="5"/>
            <w:shd w:val="clear" w:color="auto" w:fill="auto"/>
          </w:tcPr>
          <w:p w14:paraId="3B4B5B21" w14:textId="77BA004A" w:rsidR="002F2E4B" w:rsidRPr="008B1FF1" w:rsidRDefault="002F2E4B" w:rsidP="00DA4FB1">
            <w:pPr>
              <w:pStyle w:val="Tablehead"/>
              <w:keepNext/>
              <w:keepLines/>
              <w:rPr>
                <w:b w:val="0"/>
                <w:bCs/>
                <w:sz w:val="20"/>
                <w:lang w:eastAsia="zh-CN"/>
              </w:rPr>
            </w:pPr>
            <w:r w:rsidRPr="008B1FF1">
              <w:rPr>
                <w:rFonts w:asciiTheme="minorHAnsi" w:hAnsiTheme="minorHAnsi" w:cstheme="minorHAnsi"/>
                <w:b w:val="0"/>
                <w:bCs/>
                <w:sz w:val="20"/>
                <w:lang w:eastAsia="zh-CN"/>
              </w:rPr>
              <w:lastRenderedPageBreak/>
              <w:t>特别报告：</w:t>
            </w:r>
            <w:r w:rsidRPr="008B1FF1">
              <w:rPr>
                <w:rFonts w:ascii="SimSun" w:eastAsia="SimSun" w:hAnsi="SimSun" w:cstheme="minorHAnsi"/>
                <w:b w:val="0"/>
                <w:bCs/>
                <w:sz w:val="20"/>
                <w:lang w:eastAsia="zh-CN"/>
              </w:rPr>
              <w:t>“</w:t>
            </w:r>
            <w:r w:rsidRPr="008B1FF1">
              <w:rPr>
                <w:rFonts w:asciiTheme="minorHAnsi" w:hAnsiTheme="minorHAnsi" w:cstheme="minorHAnsi"/>
                <w:b w:val="0"/>
                <w:bCs/>
                <w:sz w:val="20"/>
                <w:lang w:eastAsia="zh-CN"/>
              </w:rPr>
              <w:t>加强区域代表性</w:t>
            </w:r>
            <w:r w:rsidRPr="008B1FF1">
              <w:rPr>
                <w:rFonts w:ascii="SimSun" w:eastAsia="SimSun" w:hAnsi="SimSun" w:cstheme="minorHAnsi"/>
                <w:b w:val="0"/>
                <w:bCs/>
                <w:sz w:val="20"/>
                <w:lang w:eastAsia="zh-CN"/>
              </w:rPr>
              <w:t>”</w:t>
            </w:r>
            <w:r w:rsidRPr="008B1FF1">
              <w:rPr>
                <w:rFonts w:asciiTheme="minorHAnsi" w:hAnsiTheme="minorHAnsi" w:cstheme="minorHAnsi"/>
                <w:b w:val="0"/>
                <w:bCs/>
                <w:sz w:val="20"/>
                <w:lang w:eastAsia="zh-CN"/>
              </w:rPr>
              <w:t>。</w:t>
            </w:r>
          </w:p>
        </w:tc>
      </w:tr>
      <w:tr w:rsidR="000245E2" w:rsidRPr="00536D01" w14:paraId="7E947057" w14:textId="77777777" w:rsidTr="0011737E">
        <w:tc>
          <w:tcPr>
            <w:tcW w:w="300" w:type="pct"/>
            <w:shd w:val="clear" w:color="auto" w:fill="auto"/>
          </w:tcPr>
          <w:p w14:paraId="2B32BC46" w14:textId="07E67905" w:rsidR="000245E2" w:rsidRPr="008B1FF1" w:rsidRDefault="000245E2" w:rsidP="000245E2">
            <w:pPr>
              <w:pStyle w:val="Tabletext"/>
              <w:rPr>
                <w:sz w:val="20"/>
              </w:rPr>
            </w:pPr>
            <w:r w:rsidRPr="008B1FF1">
              <w:rPr>
                <w:rFonts w:eastAsia="SimSun" w:cs="Calibri"/>
                <w:color w:val="000000"/>
                <w:sz w:val="20"/>
                <w:lang w:val="zh-CN"/>
              </w:rPr>
              <w:t>R#1</w:t>
            </w:r>
          </w:p>
        </w:tc>
        <w:tc>
          <w:tcPr>
            <w:tcW w:w="1450" w:type="pct"/>
            <w:shd w:val="clear" w:color="auto" w:fill="auto"/>
          </w:tcPr>
          <w:p w14:paraId="546D96D4" w14:textId="58AEFF76" w:rsidR="000245E2" w:rsidRPr="008B1FF1" w:rsidRDefault="000245E2" w:rsidP="000245E2">
            <w:pPr>
              <w:pStyle w:val="Tabletext"/>
              <w:rPr>
                <w:sz w:val="20"/>
                <w:lang w:eastAsia="zh-CN"/>
              </w:rPr>
            </w:pPr>
            <w:r w:rsidRPr="008B1FF1">
              <w:rPr>
                <w:rFonts w:eastAsia="SimSun" w:cs="Calibri"/>
                <w:sz w:val="20"/>
                <w:lang w:val="zh-CN" w:eastAsia="zh-CN"/>
              </w:rPr>
              <w:t>管理层</w:t>
            </w:r>
            <w:r w:rsidRPr="008B1FF1">
              <w:rPr>
                <w:rFonts w:eastAsia="SimSun" w:cs="Calibri" w:hint="eastAsia"/>
                <w:sz w:val="20"/>
                <w:lang w:val="zh-CN" w:eastAsia="zh-CN"/>
              </w:rPr>
              <w:t>起草</w:t>
            </w:r>
            <w:r w:rsidRPr="008B1FF1">
              <w:rPr>
                <w:rFonts w:eastAsia="SimSun" w:cs="Calibri"/>
                <w:sz w:val="20"/>
                <w:lang w:val="zh-CN" w:eastAsia="zh-CN"/>
              </w:rPr>
              <w:t>一份</w:t>
            </w:r>
            <w:r w:rsidRPr="008B1FF1">
              <w:rPr>
                <w:rFonts w:eastAsia="SimSun" w:cs="Calibri" w:hint="eastAsia"/>
                <w:sz w:val="20"/>
                <w:lang w:val="zh-CN" w:eastAsia="zh-CN"/>
              </w:rPr>
              <w:t>有针对性</w:t>
            </w:r>
            <w:r w:rsidRPr="008B1FF1">
              <w:rPr>
                <w:rFonts w:eastAsia="SimSun" w:cs="Calibri"/>
                <w:sz w:val="20"/>
                <w:lang w:val="zh-CN" w:eastAsia="zh-CN"/>
              </w:rPr>
              <w:t>的内部文件，</w:t>
            </w:r>
            <w:r w:rsidRPr="008B1FF1">
              <w:rPr>
                <w:rFonts w:eastAsia="SimSun" w:cs="Calibri" w:hint="eastAsia"/>
                <w:sz w:val="20"/>
                <w:lang w:val="zh-CN" w:eastAsia="zh-CN"/>
              </w:rPr>
              <w:t>将全权代表大会第</w:t>
            </w:r>
            <w:r w:rsidRPr="008B1FF1">
              <w:rPr>
                <w:rFonts w:eastAsia="SimSun" w:cs="Calibri" w:hint="eastAsia"/>
                <w:sz w:val="20"/>
                <w:lang w:val="zh-CN" w:eastAsia="zh-CN"/>
              </w:rPr>
              <w:t>25</w:t>
            </w:r>
            <w:r w:rsidRPr="008B1FF1">
              <w:rPr>
                <w:rFonts w:eastAsia="SimSun" w:cs="Calibri" w:hint="eastAsia"/>
                <w:sz w:val="20"/>
                <w:lang w:val="zh-CN" w:eastAsia="zh-CN"/>
              </w:rPr>
              <w:t>号决议“</w:t>
            </w:r>
            <w:r w:rsidRPr="008B1FF1">
              <w:rPr>
                <w:rFonts w:eastAsia="SimSun" w:cs="Calibri"/>
                <w:sz w:val="20"/>
                <w:lang w:val="zh-CN" w:eastAsia="zh-CN"/>
              </w:rPr>
              <w:t>加强区域代表</w:t>
            </w:r>
            <w:r w:rsidRPr="008B1FF1">
              <w:rPr>
                <w:rFonts w:eastAsia="SimSun" w:cs="Calibri" w:hint="eastAsia"/>
                <w:sz w:val="20"/>
                <w:lang w:val="zh-CN" w:eastAsia="zh-CN"/>
              </w:rPr>
              <w:t>性</w:t>
            </w:r>
            <w:r w:rsidRPr="008B1FF1">
              <w:rPr>
                <w:rFonts w:ascii="SimSun" w:eastAsia="SimSun" w:hAnsi="SimSun" w:cs="Calibri"/>
                <w:sz w:val="20"/>
                <w:lang w:val="zh-CN" w:eastAsia="zh-CN"/>
              </w:rPr>
              <w:t>”</w:t>
            </w:r>
            <w:r w:rsidRPr="008B1FF1">
              <w:rPr>
                <w:rFonts w:eastAsia="SimSun" w:cs="Calibri"/>
                <w:sz w:val="20"/>
                <w:lang w:val="zh-CN" w:eastAsia="zh-CN"/>
              </w:rPr>
              <w:t>确定的目标明确转化为</w:t>
            </w:r>
            <w:r w:rsidRPr="008B1FF1">
              <w:rPr>
                <w:rFonts w:eastAsia="SimSun" w:cs="Calibri" w:hint="eastAsia"/>
                <w:sz w:val="20"/>
                <w:lang w:val="zh-CN" w:eastAsia="zh-CN"/>
              </w:rPr>
              <w:t>驻地代表机构</w:t>
            </w:r>
            <w:r w:rsidRPr="008B1FF1">
              <w:rPr>
                <w:rFonts w:eastAsia="SimSun" w:cs="Calibri"/>
                <w:sz w:val="20"/>
                <w:lang w:val="zh-CN" w:eastAsia="zh-CN"/>
              </w:rPr>
              <w:t>可衡量的目标</w:t>
            </w:r>
            <w:r w:rsidRPr="008B1FF1">
              <w:rPr>
                <w:rFonts w:eastAsia="SimSun" w:cs="Calibri" w:hint="eastAsia"/>
                <w:sz w:val="20"/>
                <w:lang w:val="zh-CN" w:eastAsia="zh-CN"/>
              </w:rPr>
              <w:t>，并为其制定</w:t>
            </w:r>
            <w:r w:rsidRPr="008B1FF1">
              <w:rPr>
                <w:rFonts w:eastAsia="SimSun" w:cs="Calibri"/>
                <w:sz w:val="20"/>
                <w:lang w:val="zh-CN" w:eastAsia="zh-CN"/>
              </w:rPr>
              <w:t>准确</w:t>
            </w:r>
            <w:r w:rsidRPr="008B1FF1">
              <w:rPr>
                <w:rFonts w:eastAsia="SimSun" w:cs="Calibri" w:hint="eastAsia"/>
                <w:sz w:val="20"/>
                <w:lang w:val="zh-CN" w:eastAsia="zh-CN"/>
              </w:rPr>
              <w:t>且</w:t>
            </w:r>
            <w:r w:rsidRPr="008B1FF1">
              <w:rPr>
                <w:rFonts w:eastAsia="SimSun" w:cs="Calibri"/>
                <w:sz w:val="20"/>
                <w:lang w:val="zh-CN" w:eastAsia="zh-CN"/>
              </w:rPr>
              <w:t>一致的关键绩效指标。</w:t>
            </w:r>
          </w:p>
        </w:tc>
        <w:tc>
          <w:tcPr>
            <w:tcW w:w="1750" w:type="pct"/>
            <w:shd w:val="clear" w:color="auto" w:fill="auto"/>
          </w:tcPr>
          <w:p w14:paraId="5F4AA041"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w:t>
            </w:r>
            <w:r w:rsidRPr="008B1FF1">
              <w:rPr>
                <w:rFonts w:eastAsia="SimSun" w:cs="Calibri" w:hint="eastAsia"/>
                <w:color w:val="000000"/>
                <w:sz w:val="20"/>
                <w:lang w:val="zh-CN" w:eastAsia="zh-CN"/>
              </w:rPr>
              <w:t>此项工作</w:t>
            </w:r>
            <w:r w:rsidRPr="008B1FF1">
              <w:rPr>
                <w:rFonts w:eastAsia="SimSun" w:cs="Calibri"/>
                <w:color w:val="000000"/>
                <w:sz w:val="20"/>
                <w:lang w:val="zh-CN" w:eastAsia="zh-CN"/>
              </w:rPr>
              <w:t>仍然</w:t>
            </w:r>
            <w:r w:rsidRPr="008B1FF1">
              <w:rPr>
                <w:rFonts w:eastAsia="SimSun" w:cs="Calibri" w:hint="eastAsia"/>
                <w:color w:val="000000"/>
                <w:sz w:val="20"/>
                <w:lang w:val="zh-CN" w:eastAsia="zh-CN"/>
              </w:rPr>
              <w:t>面临</w:t>
            </w:r>
            <w:r w:rsidRPr="008B1FF1">
              <w:rPr>
                <w:rFonts w:eastAsia="SimSun" w:cs="Calibri"/>
                <w:color w:val="000000"/>
                <w:sz w:val="20"/>
                <w:lang w:val="zh-CN" w:eastAsia="zh-CN"/>
              </w:rPr>
              <w:t>持续挑战，因为需要在</w:t>
            </w:r>
            <w:r w:rsidRPr="008B1FF1">
              <w:rPr>
                <w:rFonts w:eastAsia="SimSun" w:cs="Calibri" w:hint="eastAsia"/>
                <w:color w:val="000000"/>
                <w:sz w:val="20"/>
                <w:lang w:val="zh-CN" w:eastAsia="zh-CN"/>
              </w:rPr>
              <w:t>《</w:t>
            </w:r>
            <w:r w:rsidRPr="008B1FF1">
              <w:rPr>
                <w:rFonts w:eastAsia="SimSun" w:cs="Calibri"/>
                <w:color w:val="000000"/>
                <w:sz w:val="20"/>
                <w:lang w:val="zh-CN" w:eastAsia="zh-CN"/>
              </w:rPr>
              <w:t>战略规划</w:t>
            </w:r>
            <w:r w:rsidRPr="008B1FF1">
              <w:rPr>
                <w:rFonts w:eastAsia="SimSun" w:cs="Calibri" w:hint="eastAsia"/>
                <w:color w:val="000000"/>
                <w:sz w:val="20"/>
                <w:lang w:val="zh-CN" w:eastAsia="zh-CN"/>
              </w:rPr>
              <w:t>》</w:t>
            </w:r>
            <w:r w:rsidRPr="008B1FF1">
              <w:rPr>
                <w:rFonts w:eastAsia="SimSun" w:cs="Calibri"/>
                <w:color w:val="000000"/>
                <w:sz w:val="20"/>
                <w:lang w:val="zh-CN" w:eastAsia="zh-CN"/>
              </w:rPr>
              <w:t>（</w:t>
            </w:r>
            <w:r w:rsidRPr="008B1FF1">
              <w:rPr>
                <w:rFonts w:eastAsia="SimSun" w:cs="Calibri"/>
                <w:color w:val="000000"/>
                <w:sz w:val="20"/>
                <w:lang w:val="zh-CN" w:eastAsia="zh-CN"/>
              </w:rPr>
              <w:t>SP</w:t>
            </w:r>
            <w:r w:rsidRPr="008B1FF1">
              <w:rPr>
                <w:rFonts w:eastAsia="SimSun" w:cs="Calibri"/>
                <w:color w:val="000000"/>
                <w:sz w:val="20"/>
                <w:lang w:val="zh-CN" w:eastAsia="zh-CN"/>
              </w:rPr>
              <w:t>）层面实施。目前的</w:t>
            </w:r>
            <w:r w:rsidRPr="008B1FF1">
              <w:rPr>
                <w:rFonts w:eastAsia="SimSun" w:cs="Calibri" w:hint="eastAsia"/>
                <w:color w:val="000000"/>
                <w:sz w:val="20"/>
                <w:lang w:val="zh-CN" w:eastAsia="zh-CN"/>
              </w:rPr>
              <w:t>《</w:t>
            </w:r>
            <w:r w:rsidRPr="008B1FF1">
              <w:rPr>
                <w:rFonts w:eastAsia="SimSun" w:cs="Calibri"/>
                <w:color w:val="000000"/>
                <w:sz w:val="20"/>
                <w:lang w:val="zh-CN" w:eastAsia="zh-CN"/>
              </w:rPr>
              <w:t>战略规划</w:t>
            </w:r>
            <w:r w:rsidRPr="008B1FF1">
              <w:rPr>
                <w:rFonts w:eastAsia="SimSun" w:cs="Calibri" w:hint="eastAsia"/>
                <w:color w:val="000000"/>
                <w:sz w:val="20"/>
                <w:lang w:val="zh-CN" w:eastAsia="zh-CN"/>
              </w:rPr>
              <w:t>》</w:t>
            </w:r>
            <w:r w:rsidRPr="008B1FF1">
              <w:rPr>
                <w:rFonts w:eastAsia="SimSun" w:cs="Calibri"/>
                <w:color w:val="000000"/>
                <w:sz w:val="20"/>
                <w:lang w:val="zh-CN" w:eastAsia="zh-CN"/>
              </w:rPr>
              <w:t>将于</w:t>
            </w:r>
            <w:r w:rsidRPr="008B1FF1">
              <w:rPr>
                <w:rFonts w:eastAsia="SimSun" w:cs="Calibri"/>
                <w:color w:val="000000"/>
                <w:sz w:val="20"/>
                <w:lang w:val="zh-CN" w:eastAsia="zh-CN"/>
              </w:rPr>
              <w:t>2027</w:t>
            </w:r>
            <w:r w:rsidRPr="008B1FF1">
              <w:rPr>
                <w:rFonts w:eastAsia="SimSun" w:cs="Calibri"/>
                <w:color w:val="000000"/>
                <w:sz w:val="20"/>
                <w:lang w:val="zh-CN" w:eastAsia="zh-CN"/>
              </w:rPr>
              <w:t>年结束，</w:t>
            </w:r>
            <w:r w:rsidRPr="008B1FF1">
              <w:rPr>
                <w:rFonts w:eastAsia="SimSun" w:cs="Calibri" w:hint="eastAsia"/>
                <w:color w:val="000000"/>
                <w:sz w:val="20"/>
                <w:lang w:val="zh-CN" w:eastAsia="zh-CN"/>
              </w:rPr>
              <w:t>如今正</w:t>
            </w:r>
            <w:r w:rsidRPr="008B1FF1">
              <w:rPr>
                <w:rFonts w:eastAsia="SimSun" w:cs="Calibri"/>
                <w:color w:val="000000"/>
                <w:sz w:val="20"/>
                <w:lang w:val="zh-CN" w:eastAsia="zh-CN"/>
              </w:rPr>
              <w:t>在对</w:t>
            </w:r>
            <w:r w:rsidRPr="008B1FF1">
              <w:rPr>
                <w:rFonts w:eastAsia="SimSun" w:cs="Calibri" w:hint="eastAsia"/>
                <w:color w:val="000000"/>
                <w:sz w:val="20"/>
                <w:lang w:val="zh-CN" w:eastAsia="zh-CN"/>
              </w:rPr>
              <w:t>《</w:t>
            </w:r>
            <w:r w:rsidRPr="008B1FF1">
              <w:rPr>
                <w:rFonts w:eastAsia="SimSun" w:cs="Calibri"/>
                <w:color w:val="000000"/>
                <w:sz w:val="20"/>
                <w:lang w:val="zh-CN" w:eastAsia="zh-CN"/>
              </w:rPr>
              <w:t>2028-2031</w:t>
            </w:r>
            <w:r w:rsidRPr="008B1FF1">
              <w:rPr>
                <w:rFonts w:eastAsia="SimSun" w:cs="Calibri"/>
                <w:color w:val="000000"/>
                <w:sz w:val="20"/>
                <w:lang w:val="zh-CN" w:eastAsia="zh-CN"/>
              </w:rPr>
              <w:t>年战略规划</w:t>
            </w:r>
            <w:r w:rsidRPr="008B1FF1">
              <w:rPr>
                <w:rFonts w:eastAsia="SimSun" w:cs="Calibri" w:hint="eastAsia"/>
                <w:color w:val="000000"/>
                <w:sz w:val="20"/>
                <w:lang w:val="zh-CN" w:eastAsia="zh-CN"/>
              </w:rPr>
              <w:t>》</w:t>
            </w:r>
            <w:r w:rsidRPr="008B1FF1">
              <w:rPr>
                <w:rFonts w:eastAsia="SimSun" w:cs="Calibri"/>
                <w:color w:val="000000"/>
                <w:sz w:val="20"/>
                <w:lang w:val="zh-CN" w:eastAsia="zh-CN"/>
              </w:rPr>
              <w:t>的工作进行调整，以</w:t>
            </w:r>
            <w:r w:rsidRPr="008B1FF1">
              <w:rPr>
                <w:rFonts w:eastAsia="SimSun" w:cs="Calibri" w:hint="eastAsia"/>
                <w:color w:val="000000"/>
                <w:sz w:val="20"/>
                <w:lang w:val="zh-CN" w:eastAsia="zh-CN"/>
              </w:rPr>
              <w:t>便</w:t>
            </w:r>
            <w:r w:rsidRPr="008B1FF1">
              <w:rPr>
                <w:rFonts w:eastAsia="SimSun" w:cs="Calibri"/>
                <w:color w:val="000000"/>
                <w:sz w:val="20"/>
                <w:lang w:val="zh-CN" w:eastAsia="zh-CN"/>
              </w:rPr>
              <w:t>通过</w:t>
            </w:r>
            <w:r w:rsidRPr="008B1FF1">
              <w:rPr>
                <w:rFonts w:eastAsia="SimSun" w:cs="Calibri" w:hint="eastAsia"/>
                <w:color w:val="000000"/>
                <w:sz w:val="20"/>
                <w:lang w:val="zh-CN" w:eastAsia="zh-CN"/>
              </w:rPr>
              <w:t>加强</w:t>
            </w:r>
            <w:r w:rsidRPr="008B1FF1">
              <w:rPr>
                <w:rFonts w:eastAsia="SimSun" w:cs="Calibri"/>
                <w:color w:val="000000"/>
                <w:sz w:val="20"/>
                <w:lang w:val="zh-CN" w:eastAsia="zh-CN"/>
              </w:rPr>
              <w:t>国际电联区域代表</w:t>
            </w:r>
            <w:r w:rsidRPr="008B1FF1">
              <w:rPr>
                <w:rFonts w:eastAsia="SimSun" w:cs="Calibri" w:hint="eastAsia"/>
                <w:color w:val="000000"/>
                <w:sz w:val="20"/>
                <w:lang w:val="zh-CN" w:eastAsia="zh-CN"/>
              </w:rPr>
              <w:t>性</w:t>
            </w:r>
            <w:r w:rsidRPr="008B1FF1">
              <w:rPr>
                <w:rFonts w:eastAsia="SimSun" w:cs="Calibri"/>
                <w:color w:val="000000"/>
                <w:sz w:val="20"/>
                <w:lang w:val="zh-CN" w:eastAsia="zh-CN"/>
              </w:rPr>
              <w:t>改进基于结果的管理和</w:t>
            </w:r>
            <w:r w:rsidRPr="008B1FF1">
              <w:rPr>
                <w:rFonts w:eastAsia="SimSun" w:cs="Calibri" w:hint="eastAsia"/>
                <w:color w:val="000000"/>
                <w:sz w:val="20"/>
                <w:lang w:val="zh-CN" w:eastAsia="zh-CN"/>
              </w:rPr>
              <w:t>促进分</w:t>
            </w:r>
            <w:r w:rsidRPr="008B1FF1">
              <w:rPr>
                <w:rFonts w:eastAsia="SimSun" w:cs="Calibri"/>
                <w:color w:val="000000"/>
                <w:sz w:val="20"/>
                <w:lang w:val="zh-CN" w:eastAsia="zh-CN"/>
              </w:rPr>
              <w:t>级目标的实现。</w:t>
            </w:r>
          </w:p>
          <w:p w14:paraId="4CF2B461" w14:textId="281C49A9"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此前已向理事会</w:t>
            </w:r>
            <w:r w:rsidRPr="008B1FF1">
              <w:rPr>
                <w:rFonts w:eastAsia="SimSun" w:cs="Calibri"/>
                <w:color w:val="000000"/>
                <w:sz w:val="20"/>
                <w:lang w:val="zh-CN" w:eastAsia="zh-CN"/>
              </w:rPr>
              <w:t>2020</w:t>
            </w:r>
            <w:r w:rsidRPr="008B1FF1">
              <w:rPr>
                <w:rFonts w:eastAsia="SimSun" w:cs="Calibri"/>
                <w:color w:val="000000"/>
                <w:sz w:val="20"/>
                <w:lang w:val="zh-CN" w:eastAsia="zh-CN"/>
              </w:rPr>
              <w:t>年会议报告（</w:t>
            </w:r>
            <w:hyperlink r:id="rId31" w:history="1">
              <w:r w:rsidR="00DF3E54" w:rsidRPr="008B1FF1">
                <w:rPr>
                  <w:rStyle w:val="Hyperlink"/>
                  <w:sz w:val="20"/>
                  <w:lang w:eastAsia="zh-CN"/>
                </w:rPr>
                <w:t>C20/74</w:t>
              </w:r>
            </w:hyperlink>
            <w:r w:rsidRPr="008B1FF1">
              <w:rPr>
                <w:rFonts w:eastAsia="SimSun" w:cs="Calibri"/>
                <w:color w:val="000000"/>
                <w:sz w:val="20"/>
                <w:lang w:val="zh-CN" w:eastAsia="zh-CN"/>
              </w:rPr>
              <w:t>）</w:t>
            </w:r>
            <w:r w:rsidRPr="008B1FF1">
              <w:rPr>
                <w:rFonts w:eastAsia="SimSun" w:cs="Calibri" w:hint="eastAsia"/>
                <w:color w:val="000000"/>
                <w:sz w:val="20"/>
                <w:lang w:val="zh-CN" w:eastAsia="zh-CN"/>
              </w:rPr>
              <w:t>并指出此</w:t>
            </w:r>
            <w:r w:rsidRPr="008B1FF1">
              <w:rPr>
                <w:rFonts w:eastAsia="SimSun" w:cs="Calibri"/>
                <w:color w:val="000000"/>
                <w:sz w:val="20"/>
                <w:lang w:val="zh-CN" w:eastAsia="zh-CN"/>
              </w:rPr>
              <w:t>建议</w:t>
            </w:r>
            <w:r w:rsidRPr="008B1FF1">
              <w:rPr>
                <w:rFonts w:ascii="SimSun" w:eastAsia="SimSun" w:hAnsi="SimSun" w:cs="Calibri" w:hint="eastAsia"/>
                <w:color w:val="000000"/>
                <w:sz w:val="20"/>
                <w:lang w:val="zh-CN" w:eastAsia="zh-CN"/>
              </w:rPr>
              <w:t>“</w:t>
            </w:r>
            <w:r w:rsidRPr="008B1FF1">
              <w:rPr>
                <w:rFonts w:eastAsia="SimSun" w:cs="Calibri"/>
                <w:color w:val="000000"/>
                <w:sz w:val="20"/>
                <w:lang w:val="zh-CN" w:eastAsia="zh-CN"/>
              </w:rPr>
              <w:t>正在</w:t>
            </w:r>
            <w:r w:rsidRPr="008B1FF1">
              <w:rPr>
                <w:rFonts w:eastAsia="SimSun" w:cs="Calibri" w:hint="eastAsia"/>
                <w:color w:val="000000"/>
                <w:sz w:val="20"/>
                <w:lang w:val="zh-CN" w:eastAsia="zh-CN"/>
              </w:rPr>
              <w:t>落实</w:t>
            </w:r>
            <w:r w:rsidRPr="008B1FF1">
              <w:rPr>
                <w:rFonts w:eastAsia="SimSun" w:cs="Calibri"/>
                <w:color w:val="000000"/>
                <w:sz w:val="20"/>
                <w:lang w:val="zh-CN" w:eastAsia="zh-CN"/>
              </w:rPr>
              <w:t>中</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w:t>
            </w:r>
            <w:r w:rsidRPr="008B1FF1">
              <w:rPr>
                <w:rFonts w:eastAsia="SimSun" w:cs="Calibri" w:hint="eastAsia"/>
                <w:color w:val="000000"/>
                <w:sz w:val="20"/>
                <w:lang w:val="zh-CN" w:eastAsia="zh-CN"/>
              </w:rPr>
              <w:t>报告的意见为“</w:t>
            </w:r>
            <w:r w:rsidRPr="008B1FF1">
              <w:rPr>
                <w:rFonts w:eastAsia="SimSun" w:cs="Calibri"/>
                <w:color w:val="000000"/>
                <w:sz w:val="20"/>
                <w:lang w:val="zh-CN" w:eastAsia="zh-CN"/>
              </w:rPr>
              <w:t>将在</w:t>
            </w:r>
            <w:r w:rsidRPr="008B1FF1">
              <w:rPr>
                <w:rFonts w:eastAsia="SimSun" w:cs="Calibri"/>
                <w:color w:val="000000"/>
                <w:sz w:val="20"/>
                <w:lang w:val="zh-CN" w:eastAsia="zh-CN"/>
              </w:rPr>
              <w:t>2019</w:t>
            </w:r>
            <w:r w:rsidRPr="008B1FF1">
              <w:rPr>
                <w:rFonts w:eastAsia="SimSun" w:cs="Calibri"/>
                <w:color w:val="000000"/>
                <w:sz w:val="20"/>
                <w:lang w:val="zh-CN" w:eastAsia="zh-CN"/>
              </w:rPr>
              <w:t>年</w:t>
            </w:r>
            <w:r w:rsidRPr="008B1FF1">
              <w:rPr>
                <w:rFonts w:eastAsia="SimSun" w:cs="Calibri"/>
                <w:color w:val="000000"/>
                <w:sz w:val="20"/>
                <w:lang w:val="zh-CN" w:eastAsia="zh-CN"/>
              </w:rPr>
              <w:t>9</w:t>
            </w:r>
            <w:r w:rsidRPr="008B1FF1">
              <w:rPr>
                <w:rFonts w:eastAsia="SimSun" w:cs="Calibri"/>
                <w:color w:val="000000"/>
                <w:sz w:val="20"/>
                <w:lang w:val="zh-CN" w:eastAsia="zh-CN"/>
              </w:rPr>
              <w:t>月推出的基于结果的项目规划方法背景下</w:t>
            </w:r>
            <w:r w:rsidRPr="008B1FF1">
              <w:rPr>
                <w:rFonts w:eastAsia="SimSun" w:cs="Calibri" w:hint="eastAsia"/>
                <w:color w:val="000000"/>
                <w:sz w:val="20"/>
                <w:lang w:val="zh-CN" w:eastAsia="zh-CN"/>
              </w:rPr>
              <w:t>对此加以</w:t>
            </w:r>
            <w:r w:rsidRPr="008B1FF1">
              <w:rPr>
                <w:rFonts w:eastAsia="SimSun" w:cs="Calibri"/>
                <w:color w:val="000000"/>
                <w:sz w:val="20"/>
                <w:lang w:val="zh-CN" w:eastAsia="zh-CN"/>
              </w:rPr>
              <w:t>审议</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w:t>
            </w:r>
          </w:p>
          <w:p w14:paraId="4E42524A" w14:textId="15FED41E"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国际电联认为该建议正在落实中</w:t>
            </w:r>
            <w:r w:rsidRPr="008B1FF1">
              <w:rPr>
                <w:rFonts w:eastAsia="SimSun" w:cs="Calibri" w:hint="eastAsia"/>
                <w:color w:val="000000"/>
                <w:sz w:val="20"/>
                <w:lang w:val="zh-CN" w:eastAsia="zh-CN"/>
              </w:rPr>
              <w:t>。</w:t>
            </w:r>
          </w:p>
        </w:tc>
        <w:tc>
          <w:tcPr>
            <w:tcW w:w="1050" w:type="pct"/>
            <w:shd w:val="clear" w:color="auto" w:fill="auto"/>
          </w:tcPr>
          <w:p w14:paraId="615BB5C6" w14:textId="13A0988E" w:rsidR="000245E2" w:rsidRPr="008B1FF1" w:rsidRDefault="000245E2" w:rsidP="000245E2">
            <w:pPr>
              <w:pStyle w:val="Tabletext"/>
              <w:rPr>
                <w:sz w:val="20"/>
                <w:lang w:eastAsia="zh-CN"/>
              </w:rPr>
            </w:pPr>
            <w:r w:rsidRPr="008B1FF1">
              <w:rPr>
                <w:rFonts w:eastAsia="SimSun" w:cs="Calibri"/>
                <w:color w:val="000000"/>
                <w:sz w:val="20"/>
                <w:lang w:val="zh-CN" w:eastAsia="zh-CN"/>
              </w:rPr>
              <w:t>已将最新回应记录在案。此处强调的问题与我们在本报告第三部分阐述的今年</w:t>
            </w:r>
            <w:r w:rsidRPr="008B1FF1">
              <w:rPr>
                <w:rFonts w:eastAsia="SimSun" w:cs="Calibri" w:hint="eastAsia"/>
                <w:color w:val="000000"/>
                <w:sz w:val="20"/>
                <w:lang w:val="zh-CN" w:eastAsia="zh-CN"/>
              </w:rPr>
              <w:t>的</w:t>
            </w:r>
            <w:r w:rsidRPr="008B1FF1">
              <w:rPr>
                <w:rFonts w:eastAsia="SimSun" w:cs="Calibri"/>
                <w:color w:val="000000"/>
                <w:sz w:val="20"/>
                <w:lang w:val="zh-CN" w:eastAsia="zh-CN"/>
              </w:rPr>
              <w:t>观察结果</w:t>
            </w:r>
            <w:r w:rsidRPr="008B1FF1">
              <w:rPr>
                <w:rFonts w:eastAsia="SimSun" w:cs="Calibri" w:hint="eastAsia"/>
                <w:color w:val="000000"/>
                <w:sz w:val="20"/>
                <w:lang w:val="zh-CN" w:eastAsia="zh-CN"/>
              </w:rPr>
              <w:t>相</w:t>
            </w:r>
            <w:r w:rsidRPr="008B1FF1">
              <w:rPr>
                <w:rFonts w:eastAsia="SimSun" w:cs="Calibri"/>
                <w:color w:val="000000"/>
                <w:sz w:val="20"/>
                <w:lang w:val="zh-CN" w:eastAsia="zh-CN"/>
              </w:rPr>
              <w:t>一致。</w:t>
            </w:r>
          </w:p>
        </w:tc>
        <w:tc>
          <w:tcPr>
            <w:tcW w:w="450" w:type="pct"/>
            <w:shd w:val="clear" w:color="auto" w:fill="auto"/>
          </w:tcPr>
          <w:p w14:paraId="1659656B" w14:textId="6543241A" w:rsidR="000245E2" w:rsidRPr="008B1FF1" w:rsidRDefault="000245E2" w:rsidP="000245E2">
            <w:pPr>
              <w:pStyle w:val="Tabletext"/>
              <w:rPr>
                <w:sz w:val="20"/>
                <w:lang w:eastAsia="zh-CN"/>
              </w:rPr>
            </w:pPr>
            <w:r w:rsidRPr="008B1FF1">
              <w:rPr>
                <w:rFonts w:eastAsia="SimSun" w:cs="Calibri" w:hint="eastAsia"/>
                <w:color w:val="000000"/>
                <w:sz w:val="20"/>
                <w:lang w:val="zh-CN" w:eastAsia="zh-CN"/>
              </w:rPr>
              <w:t>落实中。</w:t>
            </w:r>
          </w:p>
        </w:tc>
      </w:tr>
      <w:tr w:rsidR="000245E2" w:rsidRPr="00536D01" w14:paraId="5545099E" w14:textId="77777777" w:rsidTr="0011737E">
        <w:tc>
          <w:tcPr>
            <w:tcW w:w="300" w:type="pct"/>
            <w:shd w:val="clear" w:color="auto" w:fill="auto"/>
          </w:tcPr>
          <w:p w14:paraId="1FA6BBD5" w14:textId="5C3FA447" w:rsidR="000245E2" w:rsidRPr="008B1FF1" w:rsidRDefault="000245E2" w:rsidP="000245E2">
            <w:pPr>
              <w:pStyle w:val="Tabletext"/>
              <w:rPr>
                <w:sz w:val="20"/>
              </w:rPr>
            </w:pPr>
            <w:r w:rsidRPr="008B1FF1">
              <w:rPr>
                <w:rFonts w:eastAsia="SimSun" w:cs="Calibri"/>
                <w:color w:val="000000"/>
                <w:sz w:val="20"/>
                <w:lang w:val="zh-CN"/>
              </w:rPr>
              <w:t>R#2</w:t>
            </w:r>
          </w:p>
        </w:tc>
        <w:tc>
          <w:tcPr>
            <w:tcW w:w="1450" w:type="pct"/>
            <w:shd w:val="clear" w:color="auto" w:fill="auto"/>
          </w:tcPr>
          <w:p w14:paraId="5A80A887" w14:textId="34BD4BBB" w:rsidR="000245E2" w:rsidRPr="008B1FF1" w:rsidRDefault="000245E2" w:rsidP="000245E2">
            <w:pPr>
              <w:pStyle w:val="Tabletext"/>
              <w:rPr>
                <w:sz w:val="20"/>
                <w:lang w:eastAsia="zh-CN"/>
              </w:rPr>
            </w:pPr>
            <w:r w:rsidRPr="008B1FF1">
              <w:rPr>
                <w:rFonts w:eastAsia="SimSun" w:cs="Calibri" w:hint="eastAsia"/>
                <w:color w:val="000000"/>
                <w:sz w:val="20"/>
                <w:lang w:val="zh-CN" w:eastAsia="zh-CN"/>
              </w:rPr>
              <w:t>以分级的方式在</w:t>
            </w:r>
            <w:r w:rsidRPr="008B1FF1">
              <w:rPr>
                <w:rFonts w:eastAsia="SimSun" w:cs="Calibri"/>
                <w:color w:val="000000"/>
                <w:sz w:val="20"/>
                <w:lang w:val="zh-CN" w:eastAsia="zh-CN"/>
              </w:rPr>
              <w:t>《行动计划》和《运作规划》的目标与</w:t>
            </w:r>
            <w:r w:rsidRPr="008B1FF1">
              <w:rPr>
                <w:rFonts w:eastAsia="SimSun" w:cs="Calibri" w:hint="eastAsia"/>
                <w:color w:val="000000"/>
                <w:sz w:val="20"/>
                <w:lang w:val="zh-CN" w:eastAsia="zh-CN"/>
              </w:rPr>
              <w:t>全权代表大会第</w:t>
            </w:r>
            <w:r w:rsidRPr="008B1FF1">
              <w:rPr>
                <w:rFonts w:eastAsia="SimSun" w:cs="Calibri" w:hint="eastAsia"/>
                <w:color w:val="000000"/>
                <w:sz w:val="20"/>
                <w:lang w:val="zh-CN" w:eastAsia="zh-CN"/>
              </w:rPr>
              <w:t>25</w:t>
            </w:r>
            <w:r w:rsidRPr="008B1FF1">
              <w:rPr>
                <w:rFonts w:eastAsia="SimSun" w:cs="Calibri" w:hint="eastAsia"/>
                <w:color w:val="000000"/>
                <w:sz w:val="20"/>
                <w:lang w:val="zh-CN" w:eastAsia="zh-CN"/>
              </w:rPr>
              <w:t>号决议的具体目标之间建立明确关联</w:t>
            </w:r>
            <w:r w:rsidRPr="008B1FF1">
              <w:rPr>
                <w:rFonts w:eastAsia="SimSun" w:cs="Calibri"/>
                <w:color w:val="000000"/>
                <w:sz w:val="20"/>
                <w:lang w:val="zh-CN" w:eastAsia="zh-CN"/>
              </w:rPr>
              <w:t>，以便向理事会做出相应报告。</w:t>
            </w:r>
          </w:p>
        </w:tc>
        <w:tc>
          <w:tcPr>
            <w:tcW w:w="1750" w:type="pct"/>
            <w:shd w:val="clear" w:color="auto" w:fill="auto"/>
          </w:tcPr>
          <w:p w14:paraId="28F11A08"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w:t>
            </w:r>
            <w:r w:rsidRPr="008B1FF1">
              <w:rPr>
                <w:rFonts w:eastAsia="SimSun" w:cs="Calibri" w:hint="eastAsia"/>
                <w:color w:val="000000"/>
                <w:sz w:val="20"/>
                <w:lang w:val="zh-CN" w:eastAsia="zh-CN"/>
              </w:rPr>
              <w:t>此项工作</w:t>
            </w:r>
            <w:r w:rsidRPr="008B1FF1">
              <w:rPr>
                <w:rFonts w:eastAsia="SimSun" w:cs="Calibri"/>
                <w:color w:val="000000"/>
                <w:sz w:val="20"/>
                <w:lang w:val="zh-CN" w:eastAsia="zh-CN"/>
              </w:rPr>
              <w:t>仍然</w:t>
            </w:r>
            <w:r w:rsidRPr="008B1FF1">
              <w:rPr>
                <w:rFonts w:eastAsia="SimSun" w:cs="Calibri" w:hint="eastAsia"/>
                <w:color w:val="000000"/>
                <w:sz w:val="20"/>
                <w:lang w:val="zh-CN" w:eastAsia="zh-CN"/>
              </w:rPr>
              <w:t>面临</w:t>
            </w:r>
            <w:r w:rsidRPr="008B1FF1">
              <w:rPr>
                <w:rFonts w:eastAsia="SimSun" w:cs="Calibri"/>
                <w:color w:val="000000"/>
                <w:sz w:val="20"/>
                <w:lang w:val="zh-CN" w:eastAsia="zh-CN"/>
              </w:rPr>
              <w:t>持续挑战，因为需要在</w:t>
            </w:r>
            <w:r w:rsidRPr="008B1FF1">
              <w:rPr>
                <w:rFonts w:eastAsia="SimSun" w:cs="Calibri" w:hint="eastAsia"/>
                <w:color w:val="000000"/>
                <w:sz w:val="20"/>
                <w:lang w:val="zh-CN" w:eastAsia="zh-CN"/>
              </w:rPr>
              <w:t>《</w:t>
            </w:r>
            <w:r w:rsidRPr="008B1FF1">
              <w:rPr>
                <w:rFonts w:eastAsia="SimSun" w:cs="Calibri"/>
                <w:color w:val="000000"/>
                <w:sz w:val="20"/>
                <w:lang w:val="zh-CN" w:eastAsia="zh-CN"/>
              </w:rPr>
              <w:t>战略规划</w:t>
            </w:r>
            <w:r w:rsidRPr="008B1FF1">
              <w:rPr>
                <w:rFonts w:eastAsia="SimSun" w:cs="Calibri" w:hint="eastAsia"/>
                <w:color w:val="000000"/>
                <w:sz w:val="20"/>
                <w:lang w:val="zh-CN" w:eastAsia="zh-CN"/>
              </w:rPr>
              <w:t>》</w:t>
            </w:r>
            <w:r w:rsidRPr="008B1FF1">
              <w:rPr>
                <w:rFonts w:eastAsia="SimSun" w:cs="Calibri"/>
                <w:color w:val="000000"/>
                <w:sz w:val="20"/>
                <w:lang w:val="zh-CN" w:eastAsia="zh-CN"/>
              </w:rPr>
              <w:t>（</w:t>
            </w:r>
            <w:r w:rsidRPr="008B1FF1">
              <w:rPr>
                <w:rFonts w:eastAsia="SimSun" w:cs="Calibri"/>
                <w:color w:val="000000"/>
                <w:sz w:val="20"/>
                <w:lang w:val="zh-CN" w:eastAsia="zh-CN"/>
              </w:rPr>
              <w:t>SP</w:t>
            </w:r>
            <w:r w:rsidRPr="008B1FF1">
              <w:rPr>
                <w:rFonts w:eastAsia="SimSun" w:cs="Calibri"/>
                <w:color w:val="000000"/>
                <w:sz w:val="20"/>
                <w:lang w:val="zh-CN" w:eastAsia="zh-CN"/>
              </w:rPr>
              <w:t>）层面实施。目前的战略规划将于</w:t>
            </w:r>
            <w:r w:rsidRPr="008B1FF1">
              <w:rPr>
                <w:rFonts w:eastAsia="SimSun" w:cs="Calibri"/>
                <w:color w:val="000000"/>
                <w:sz w:val="20"/>
                <w:lang w:val="zh-CN" w:eastAsia="zh-CN"/>
              </w:rPr>
              <w:t>2027</w:t>
            </w:r>
            <w:r w:rsidRPr="008B1FF1">
              <w:rPr>
                <w:rFonts w:eastAsia="SimSun" w:cs="Calibri"/>
                <w:color w:val="000000"/>
                <w:sz w:val="20"/>
                <w:lang w:val="zh-CN" w:eastAsia="zh-CN"/>
              </w:rPr>
              <w:t>年结束，</w:t>
            </w:r>
            <w:r w:rsidRPr="008B1FF1">
              <w:rPr>
                <w:rFonts w:eastAsia="SimSun" w:cs="Calibri" w:hint="eastAsia"/>
                <w:color w:val="000000"/>
                <w:sz w:val="20"/>
                <w:lang w:val="zh-CN" w:eastAsia="zh-CN"/>
              </w:rPr>
              <w:t>如今正</w:t>
            </w:r>
            <w:r w:rsidRPr="008B1FF1">
              <w:rPr>
                <w:rFonts w:eastAsia="SimSun" w:cs="Calibri"/>
                <w:color w:val="000000"/>
                <w:sz w:val="20"/>
                <w:lang w:val="zh-CN" w:eastAsia="zh-CN"/>
              </w:rPr>
              <w:t>在对</w:t>
            </w:r>
            <w:r w:rsidRPr="008B1FF1">
              <w:rPr>
                <w:rFonts w:eastAsia="SimSun" w:cs="Calibri" w:hint="eastAsia"/>
                <w:color w:val="000000"/>
                <w:sz w:val="20"/>
                <w:lang w:val="zh-CN" w:eastAsia="zh-CN"/>
              </w:rPr>
              <w:t>《</w:t>
            </w:r>
            <w:r w:rsidRPr="008B1FF1">
              <w:rPr>
                <w:rFonts w:eastAsia="SimSun" w:cs="Calibri"/>
                <w:color w:val="000000"/>
                <w:sz w:val="20"/>
                <w:lang w:val="zh-CN" w:eastAsia="zh-CN"/>
              </w:rPr>
              <w:t>2028-2031</w:t>
            </w:r>
            <w:r w:rsidRPr="008B1FF1">
              <w:rPr>
                <w:rFonts w:eastAsia="SimSun" w:cs="Calibri"/>
                <w:color w:val="000000"/>
                <w:sz w:val="20"/>
                <w:lang w:val="zh-CN" w:eastAsia="zh-CN"/>
              </w:rPr>
              <w:t>年战略规划</w:t>
            </w:r>
            <w:r w:rsidRPr="008B1FF1">
              <w:rPr>
                <w:rFonts w:eastAsia="SimSun" w:cs="Calibri" w:hint="eastAsia"/>
                <w:color w:val="000000"/>
                <w:sz w:val="20"/>
                <w:lang w:val="zh-CN" w:eastAsia="zh-CN"/>
              </w:rPr>
              <w:t>》</w:t>
            </w:r>
            <w:r w:rsidRPr="008B1FF1">
              <w:rPr>
                <w:rFonts w:eastAsia="SimSun" w:cs="Calibri"/>
                <w:color w:val="000000"/>
                <w:sz w:val="20"/>
                <w:lang w:val="zh-CN" w:eastAsia="zh-CN"/>
              </w:rPr>
              <w:t>的工作进行调整，以</w:t>
            </w:r>
            <w:r w:rsidRPr="008B1FF1">
              <w:rPr>
                <w:rFonts w:eastAsia="SimSun" w:cs="Calibri" w:hint="eastAsia"/>
                <w:color w:val="000000"/>
                <w:sz w:val="20"/>
                <w:lang w:val="zh-CN" w:eastAsia="zh-CN"/>
              </w:rPr>
              <w:t>便</w:t>
            </w:r>
            <w:r w:rsidRPr="008B1FF1">
              <w:rPr>
                <w:rFonts w:eastAsia="SimSun" w:cs="Calibri"/>
                <w:color w:val="000000"/>
                <w:sz w:val="20"/>
                <w:lang w:val="zh-CN" w:eastAsia="zh-CN"/>
              </w:rPr>
              <w:t>通过</w:t>
            </w:r>
            <w:r w:rsidRPr="008B1FF1">
              <w:rPr>
                <w:rFonts w:eastAsia="SimSun" w:cs="Calibri" w:hint="eastAsia"/>
                <w:color w:val="000000"/>
                <w:sz w:val="20"/>
                <w:lang w:val="zh-CN" w:eastAsia="zh-CN"/>
              </w:rPr>
              <w:t>加强</w:t>
            </w:r>
            <w:r w:rsidRPr="008B1FF1">
              <w:rPr>
                <w:rFonts w:eastAsia="SimSun" w:cs="Calibri"/>
                <w:color w:val="000000"/>
                <w:sz w:val="20"/>
                <w:lang w:val="zh-CN" w:eastAsia="zh-CN"/>
              </w:rPr>
              <w:t>国际电联区域代表</w:t>
            </w:r>
            <w:r w:rsidRPr="008B1FF1">
              <w:rPr>
                <w:rFonts w:eastAsia="SimSun" w:cs="Calibri" w:hint="eastAsia"/>
                <w:color w:val="000000"/>
                <w:sz w:val="20"/>
                <w:lang w:val="zh-CN" w:eastAsia="zh-CN"/>
              </w:rPr>
              <w:t>性</w:t>
            </w:r>
            <w:r w:rsidRPr="008B1FF1">
              <w:rPr>
                <w:rFonts w:eastAsia="SimSun" w:cs="Calibri"/>
                <w:color w:val="000000"/>
                <w:sz w:val="20"/>
                <w:lang w:val="zh-CN" w:eastAsia="zh-CN"/>
              </w:rPr>
              <w:t>改进基于结果的管理和</w:t>
            </w:r>
            <w:r w:rsidRPr="008B1FF1">
              <w:rPr>
                <w:rFonts w:eastAsia="SimSun" w:cs="Calibri" w:hint="eastAsia"/>
                <w:color w:val="000000"/>
                <w:sz w:val="20"/>
                <w:lang w:val="zh-CN" w:eastAsia="zh-CN"/>
              </w:rPr>
              <w:t>促进分</w:t>
            </w:r>
            <w:r w:rsidRPr="008B1FF1">
              <w:rPr>
                <w:rFonts w:eastAsia="SimSun" w:cs="Calibri"/>
                <w:color w:val="000000"/>
                <w:sz w:val="20"/>
                <w:lang w:val="zh-CN" w:eastAsia="zh-CN"/>
              </w:rPr>
              <w:t>级目标的实现。</w:t>
            </w:r>
          </w:p>
          <w:p w14:paraId="4480803E" w14:textId="38CBC0C1"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此前已向理事会</w:t>
            </w:r>
            <w:r w:rsidRPr="008B1FF1">
              <w:rPr>
                <w:rFonts w:eastAsia="SimSun" w:cs="Calibri"/>
                <w:color w:val="000000"/>
                <w:sz w:val="20"/>
                <w:lang w:val="zh-CN" w:eastAsia="zh-CN"/>
              </w:rPr>
              <w:t>2020</w:t>
            </w:r>
            <w:r w:rsidRPr="008B1FF1">
              <w:rPr>
                <w:rFonts w:eastAsia="SimSun" w:cs="Calibri"/>
                <w:color w:val="000000"/>
                <w:sz w:val="20"/>
                <w:lang w:val="zh-CN" w:eastAsia="zh-CN"/>
              </w:rPr>
              <w:t>年会议报告（</w:t>
            </w:r>
            <w:hyperlink r:id="rId32" w:history="1">
              <w:r w:rsidR="00DF3E54" w:rsidRPr="008B1FF1">
                <w:rPr>
                  <w:rStyle w:val="Hyperlink"/>
                  <w:sz w:val="20"/>
                  <w:lang w:eastAsia="zh-CN"/>
                </w:rPr>
                <w:t>C20/74</w:t>
              </w:r>
            </w:hyperlink>
            <w:r w:rsidRPr="008B1FF1">
              <w:rPr>
                <w:rFonts w:eastAsia="SimSun" w:cs="Calibri"/>
                <w:color w:val="000000"/>
                <w:sz w:val="20"/>
                <w:lang w:val="zh-CN" w:eastAsia="zh-CN"/>
              </w:rPr>
              <w:t>）</w:t>
            </w:r>
            <w:r w:rsidRPr="008B1FF1">
              <w:rPr>
                <w:rFonts w:eastAsia="SimSun" w:cs="Calibri" w:hint="eastAsia"/>
                <w:color w:val="000000"/>
                <w:sz w:val="20"/>
                <w:lang w:val="zh-CN" w:eastAsia="zh-CN"/>
              </w:rPr>
              <w:t>并指出此</w:t>
            </w:r>
            <w:r w:rsidRPr="008B1FF1">
              <w:rPr>
                <w:rFonts w:eastAsia="SimSun" w:cs="Calibri"/>
                <w:color w:val="000000"/>
                <w:sz w:val="20"/>
                <w:lang w:val="zh-CN" w:eastAsia="zh-CN"/>
              </w:rPr>
              <w:t>建议</w:t>
            </w:r>
            <w:r w:rsidRPr="008B1FF1">
              <w:rPr>
                <w:rFonts w:ascii="SimSun" w:eastAsia="SimSun" w:hAnsi="SimSun" w:cs="Calibri" w:hint="eastAsia"/>
                <w:color w:val="000000"/>
                <w:sz w:val="20"/>
                <w:lang w:val="zh-CN" w:eastAsia="zh-CN"/>
              </w:rPr>
              <w:t>“</w:t>
            </w:r>
            <w:r w:rsidRPr="008B1FF1">
              <w:rPr>
                <w:rFonts w:eastAsia="SimSun" w:cs="Calibri"/>
                <w:color w:val="000000"/>
                <w:sz w:val="20"/>
                <w:lang w:val="zh-CN" w:eastAsia="zh-CN"/>
              </w:rPr>
              <w:t>正在</w:t>
            </w:r>
            <w:r w:rsidRPr="008B1FF1">
              <w:rPr>
                <w:rFonts w:eastAsia="SimSun" w:cs="Calibri" w:hint="eastAsia"/>
                <w:color w:val="000000"/>
                <w:sz w:val="20"/>
                <w:lang w:val="zh-CN" w:eastAsia="zh-CN"/>
              </w:rPr>
              <w:t>落实</w:t>
            </w:r>
            <w:r w:rsidRPr="008B1FF1">
              <w:rPr>
                <w:rFonts w:eastAsia="SimSun" w:cs="Calibri"/>
                <w:color w:val="000000"/>
                <w:sz w:val="20"/>
                <w:lang w:val="zh-CN" w:eastAsia="zh-CN"/>
              </w:rPr>
              <w:t>中</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w:t>
            </w:r>
            <w:r w:rsidRPr="008B1FF1">
              <w:rPr>
                <w:rFonts w:eastAsia="SimSun" w:cs="Calibri" w:hint="eastAsia"/>
                <w:color w:val="000000"/>
                <w:sz w:val="20"/>
                <w:lang w:val="zh-CN" w:eastAsia="zh-CN"/>
              </w:rPr>
              <w:t>报告的意见为“</w:t>
            </w:r>
            <w:r w:rsidRPr="008B1FF1">
              <w:rPr>
                <w:rFonts w:eastAsia="SimSun" w:cs="Calibri"/>
                <w:color w:val="000000"/>
                <w:sz w:val="20"/>
                <w:lang w:val="zh-CN" w:eastAsia="zh-CN"/>
              </w:rPr>
              <w:t>将在</w:t>
            </w:r>
            <w:r w:rsidRPr="008B1FF1">
              <w:rPr>
                <w:rFonts w:eastAsia="SimSun" w:cs="Calibri"/>
                <w:color w:val="000000"/>
                <w:sz w:val="20"/>
                <w:lang w:val="zh-CN" w:eastAsia="zh-CN"/>
              </w:rPr>
              <w:t>2019</w:t>
            </w:r>
            <w:r w:rsidRPr="008B1FF1">
              <w:rPr>
                <w:rFonts w:eastAsia="SimSun" w:cs="Calibri"/>
                <w:color w:val="000000"/>
                <w:sz w:val="20"/>
                <w:lang w:val="zh-CN" w:eastAsia="zh-CN"/>
              </w:rPr>
              <w:t>年</w:t>
            </w:r>
            <w:r w:rsidRPr="008B1FF1">
              <w:rPr>
                <w:rFonts w:eastAsia="SimSun" w:cs="Calibri"/>
                <w:color w:val="000000"/>
                <w:sz w:val="20"/>
                <w:lang w:val="zh-CN" w:eastAsia="zh-CN"/>
              </w:rPr>
              <w:t>9</w:t>
            </w:r>
            <w:r w:rsidRPr="008B1FF1">
              <w:rPr>
                <w:rFonts w:eastAsia="SimSun" w:cs="Calibri"/>
                <w:color w:val="000000"/>
                <w:sz w:val="20"/>
                <w:lang w:val="zh-CN" w:eastAsia="zh-CN"/>
              </w:rPr>
              <w:t>月推出的基于结果的项目规划方法背景下</w:t>
            </w:r>
            <w:r w:rsidRPr="008B1FF1">
              <w:rPr>
                <w:rFonts w:eastAsia="SimSun" w:cs="Calibri" w:hint="eastAsia"/>
                <w:color w:val="000000"/>
                <w:sz w:val="20"/>
                <w:lang w:val="zh-CN" w:eastAsia="zh-CN"/>
              </w:rPr>
              <w:t>对此加以</w:t>
            </w:r>
            <w:r w:rsidRPr="008B1FF1">
              <w:rPr>
                <w:rFonts w:eastAsia="SimSun" w:cs="Calibri"/>
                <w:color w:val="000000"/>
                <w:sz w:val="20"/>
                <w:lang w:val="zh-CN" w:eastAsia="zh-CN"/>
              </w:rPr>
              <w:t>审议</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w:t>
            </w:r>
          </w:p>
          <w:p w14:paraId="4F23A110" w14:textId="10C4B47A"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国际电联认为该建议正在落实中</w:t>
            </w:r>
            <w:r w:rsidRPr="008B1FF1">
              <w:rPr>
                <w:rFonts w:eastAsia="SimSun" w:cs="Calibri" w:hint="eastAsia"/>
                <w:color w:val="000000"/>
                <w:sz w:val="20"/>
                <w:lang w:val="zh-CN" w:eastAsia="zh-CN"/>
              </w:rPr>
              <w:t>。</w:t>
            </w:r>
          </w:p>
        </w:tc>
        <w:tc>
          <w:tcPr>
            <w:tcW w:w="1050" w:type="pct"/>
            <w:shd w:val="clear" w:color="auto" w:fill="auto"/>
          </w:tcPr>
          <w:p w14:paraId="24E6BADB" w14:textId="3D183163" w:rsidR="000245E2" w:rsidRPr="008B1FF1" w:rsidRDefault="000245E2" w:rsidP="000245E2">
            <w:pPr>
              <w:pStyle w:val="Tabletext"/>
              <w:rPr>
                <w:sz w:val="20"/>
                <w:lang w:eastAsia="zh-CN"/>
              </w:rPr>
            </w:pPr>
            <w:r w:rsidRPr="008B1FF1">
              <w:rPr>
                <w:rFonts w:eastAsia="SimSun" w:cs="Calibri"/>
                <w:color w:val="000000"/>
                <w:sz w:val="20"/>
                <w:lang w:val="zh-CN" w:eastAsia="zh-CN"/>
              </w:rPr>
              <w:t>已将最新回应记录在案。此处强调的问题与我们在本报告第三部分阐述的今年</w:t>
            </w:r>
            <w:r w:rsidRPr="008B1FF1">
              <w:rPr>
                <w:rFonts w:eastAsia="SimSun" w:cs="Calibri" w:hint="eastAsia"/>
                <w:color w:val="000000"/>
                <w:sz w:val="20"/>
                <w:lang w:val="zh-CN" w:eastAsia="zh-CN"/>
              </w:rPr>
              <w:t>的</w:t>
            </w:r>
            <w:r w:rsidRPr="008B1FF1">
              <w:rPr>
                <w:rFonts w:eastAsia="SimSun" w:cs="Calibri"/>
                <w:color w:val="000000"/>
                <w:sz w:val="20"/>
                <w:lang w:val="zh-CN" w:eastAsia="zh-CN"/>
              </w:rPr>
              <w:t>观察结果</w:t>
            </w:r>
            <w:r w:rsidRPr="008B1FF1">
              <w:rPr>
                <w:rFonts w:eastAsia="SimSun" w:cs="Calibri" w:hint="eastAsia"/>
                <w:color w:val="000000"/>
                <w:sz w:val="20"/>
                <w:lang w:val="zh-CN" w:eastAsia="zh-CN"/>
              </w:rPr>
              <w:t>相</w:t>
            </w:r>
            <w:r w:rsidRPr="008B1FF1">
              <w:rPr>
                <w:rFonts w:eastAsia="SimSun" w:cs="Calibri"/>
                <w:color w:val="000000"/>
                <w:sz w:val="20"/>
                <w:lang w:val="zh-CN" w:eastAsia="zh-CN"/>
              </w:rPr>
              <w:t>一致。</w:t>
            </w:r>
          </w:p>
        </w:tc>
        <w:tc>
          <w:tcPr>
            <w:tcW w:w="450" w:type="pct"/>
            <w:shd w:val="clear" w:color="auto" w:fill="auto"/>
          </w:tcPr>
          <w:p w14:paraId="429B2772" w14:textId="7234C9F4" w:rsidR="000245E2" w:rsidRPr="008B1FF1" w:rsidRDefault="000245E2" w:rsidP="000245E2">
            <w:pPr>
              <w:pStyle w:val="Tabletext"/>
              <w:rPr>
                <w:sz w:val="20"/>
                <w:lang w:eastAsia="zh-CN"/>
              </w:rPr>
            </w:pPr>
            <w:r w:rsidRPr="008B1FF1">
              <w:rPr>
                <w:rFonts w:eastAsia="SimSun" w:cs="Calibri" w:hint="eastAsia"/>
                <w:color w:val="000000"/>
                <w:sz w:val="20"/>
                <w:lang w:val="zh-CN" w:eastAsia="zh-CN"/>
              </w:rPr>
              <w:t>落实中。</w:t>
            </w:r>
          </w:p>
        </w:tc>
      </w:tr>
      <w:tr w:rsidR="000245E2" w:rsidRPr="00536D01" w14:paraId="58ADC64D" w14:textId="77777777" w:rsidTr="0011737E">
        <w:tc>
          <w:tcPr>
            <w:tcW w:w="300" w:type="pct"/>
            <w:shd w:val="clear" w:color="auto" w:fill="auto"/>
          </w:tcPr>
          <w:p w14:paraId="548EDDFF" w14:textId="7351069C" w:rsidR="000245E2" w:rsidRPr="008B1FF1" w:rsidRDefault="000245E2" w:rsidP="000245E2">
            <w:pPr>
              <w:pStyle w:val="Tabletext"/>
              <w:rPr>
                <w:sz w:val="20"/>
              </w:rPr>
            </w:pPr>
            <w:r w:rsidRPr="008B1FF1">
              <w:rPr>
                <w:rFonts w:eastAsia="SimSun" w:cs="Calibri"/>
                <w:color w:val="000000"/>
                <w:sz w:val="20"/>
                <w:lang w:val="zh-CN"/>
              </w:rPr>
              <w:t>R#3</w:t>
            </w:r>
          </w:p>
        </w:tc>
        <w:tc>
          <w:tcPr>
            <w:tcW w:w="1450" w:type="pct"/>
            <w:shd w:val="clear" w:color="auto" w:fill="auto"/>
          </w:tcPr>
          <w:p w14:paraId="07E7532F" w14:textId="3007E349" w:rsidR="000245E2" w:rsidRPr="008B1FF1" w:rsidRDefault="000245E2" w:rsidP="000245E2">
            <w:pPr>
              <w:pStyle w:val="Tabletext"/>
              <w:rPr>
                <w:sz w:val="20"/>
                <w:lang w:eastAsia="zh-CN"/>
              </w:rPr>
            </w:pPr>
            <w:r w:rsidRPr="008B1FF1">
              <w:rPr>
                <w:rFonts w:eastAsia="SimSun" w:cs="Calibri"/>
                <w:color w:val="000000"/>
                <w:sz w:val="20"/>
                <w:lang w:val="zh-CN" w:eastAsia="zh-CN"/>
              </w:rPr>
              <w:t>探索加强各部门区域代表处</w:t>
            </w:r>
            <w:r w:rsidRPr="008B1FF1">
              <w:rPr>
                <w:rFonts w:eastAsia="SimSun" w:cs="Calibri" w:hint="eastAsia"/>
                <w:color w:val="000000"/>
                <w:sz w:val="20"/>
                <w:lang w:val="zh-CN" w:eastAsia="zh-CN"/>
              </w:rPr>
              <w:t>之间</w:t>
            </w:r>
            <w:r w:rsidRPr="008B1FF1">
              <w:rPr>
                <w:rFonts w:eastAsia="SimSun" w:cs="Calibri"/>
                <w:color w:val="000000"/>
                <w:sz w:val="20"/>
                <w:lang w:val="zh-CN" w:eastAsia="zh-CN"/>
              </w:rPr>
              <w:t>协调的机会。</w:t>
            </w:r>
          </w:p>
        </w:tc>
        <w:tc>
          <w:tcPr>
            <w:tcW w:w="1750" w:type="pct"/>
            <w:shd w:val="clear" w:color="auto" w:fill="auto"/>
          </w:tcPr>
          <w:p w14:paraId="506EF9DB" w14:textId="5BDA4DC3" w:rsidR="000245E2" w:rsidRPr="008B1FF1" w:rsidRDefault="000245E2" w:rsidP="000245E2">
            <w:pPr>
              <w:pStyle w:val="Tabletext"/>
              <w:rPr>
                <w:sz w:val="20"/>
                <w:lang w:eastAsia="zh-CN"/>
              </w:rPr>
            </w:pPr>
            <w:r w:rsidRPr="008B1FF1">
              <w:rPr>
                <w:rFonts w:eastAsia="SimSun" w:cs="Calibri"/>
                <w:color w:val="000000"/>
                <w:sz w:val="20"/>
                <w:lang w:val="zh-CN" w:eastAsia="zh-CN"/>
              </w:rPr>
              <w:t>如上所述，国际电联认为该建议正在落实中。</w:t>
            </w:r>
          </w:p>
        </w:tc>
        <w:tc>
          <w:tcPr>
            <w:tcW w:w="1050" w:type="pct"/>
            <w:shd w:val="clear" w:color="auto" w:fill="auto"/>
          </w:tcPr>
          <w:p w14:paraId="4C7420D9" w14:textId="779F5E3F" w:rsidR="000245E2" w:rsidRPr="008B1FF1" w:rsidRDefault="000245E2" w:rsidP="000245E2">
            <w:pPr>
              <w:pStyle w:val="Tabletext"/>
              <w:rPr>
                <w:sz w:val="20"/>
                <w:lang w:eastAsia="zh-CN"/>
              </w:rPr>
            </w:pPr>
            <w:r w:rsidRPr="008B1FF1">
              <w:rPr>
                <w:rFonts w:eastAsia="SimSun" w:cs="Calibri"/>
                <w:color w:val="000000"/>
                <w:sz w:val="20"/>
                <w:lang w:val="zh-CN" w:eastAsia="zh-CN"/>
              </w:rPr>
              <w:t>已将最新回应记录在案。此处强调的问题与我们在本报告第三部分阐述的今年</w:t>
            </w:r>
            <w:r w:rsidRPr="008B1FF1">
              <w:rPr>
                <w:rFonts w:eastAsia="SimSun" w:cs="Calibri" w:hint="eastAsia"/>
                <w:color w:val="000000"/>
                <w:sz w:val="20"/>
                <w:lang w:val="zh-CN" w:eastAsia="zh-CN"/>
              </w:rPr>
              <w:t>的</w:t>
            </w:r>
            <w:r w:rsidRPr="008B1FF1">
              <w:rPr>
                <w:rFonts w:eastAsia="SimSun" w:cs="Calibri"/>
                <w:color w:val="000000"/>
                <w:sz w:val="20"/>
                <w:lang w:val="zh-CN" w:eastAsia="zh-CN"/>
              </w:rPr>
              <w:t>观察结果</w:t>
            </w:r>
            <w:r w:rsidRPr="008B1FF1">
              <w:rPr>
                <w:rFonts w:eastAsia="SimSun" w:cs="Calibri" w:hint="eastAsia"/>
                <w:color w:val="000000"/>
                <w:sz w:val="20"/>
                <w:lang w:val="zh-CN" w:eastAsia="zh-CN"/>
              </w:rPr>
              <w:t>相</w:t>
            </w:r>
            <w:r w:rsidRPr="008B1FF1">
              <w:rPr>
                <w:rFonts w:eastAsia="SimSun" w:cs="Calibri"/>
                <w:color w:val="000000"/>
                <w:sz w:val="20"/>
                <w:lang w:val="zh-CN" w:eastAsia="zh-CN"/>
              </w:rPr>
              <w:t>一致。</w:t>
            </w:r>
          </w:p>
        </w:tc>
        <w:tc>
          <w:tcPr>
            <w:tcW w:w="450" w:type="pct"/>
            <w:shd w:val="clear" w:color="auto" w:fill="auto"/>
          </w:tcPr>
          <w:p w14:paraId="1E1CF9F4" w14:textId="7BF49100" w:rsidR="000245E2" w:rsidRPr="008B1FF1" w:rsidRDefault="000245E2" w:rsidP="000245E2">
            <w:pPr>
              <w:pStyle w:val="Tabletext"/>
              <w:rPr>
                <w:sz w:val="20"/>
                <w:lang w:eastAsia="zh-CN"/>
              </w:rPr>
            </w:pPr>
            <w:r w:rsidRPr="008B1FF1">
              <w:rPr>
                <w:rFonts w:eastAsia="SimSun" w:cs="Calibri" w:hint="eastAsia"/>
                <w:color w:val="000000"/>
                <w:sz w:val="20"/>
                <w:lang w:val="zh-CN" w:eastAsia="zh-CN"/>
              </w:rPr>
              <w:t>落实中。</w:t>
            </w:r>
          </w:p>
        </w:tc>
      </w:tr>
      <w:tr w:rsidR="000245E2" w:rsidRPr="00536D01" w14:paraId="341D4113" w14:textId="77777777" w:rsidTr="0011737E">
        <w:tc>
          <w:tcPr>
            <w:tcW w:w="300" w:type="pct"/>
            <w:shd w:val="clear" w:color="auto" w:fill="auto"/>
          </w:tcPr>
          <w:p w14:paraId="1D9D6ED0" w14:textId="6D6A9B03" w:rsidR="000245E2" w:rsidRPr="008B1FF1" w:rsidRDefault="000245E2" w:rsidP="00E17413">
            <w:pPr>
              <w:pStyle w:val="Tabletext"/>
              <w:keepLines/>
              <w:rPr>
                <w:sz w:val="20"/>
              </w:rPr>
            </w:pPr>
            <w:r w:rsidRPr="008B1FF1">
              <w:rPr>
                <w:rFonts w:eastAsia="SimSun" w:cs="Calibri"/>
                <w:color w:val="000000"/>
                <w:sz w:val="20"/>
                <w:lang w:val="zh-CN"/>
              </w:rPr>
              <w:lastRenderedPageBreak/>
              <w:t>R#4</w:t>
            </w:r>
          </w:p>
        </w:tc>
        <w:tc>
          <w:tcPr>
            <w:tcW w:w="1450" w:type="pct"/>
            <w:shd w:val="clear" w:color="auto" w:fill="auto"/>
          </w:tcPr>
          <w:p w14:paraId="3BB0D830" w14:textId="2ECB1908" w:rsidR="000245E2" w:rsidRPr="008B1FF1" w:rsidRDefault="000245E2" w:rsidP="00E17413">
            <w:pPr>
              <w:pStyle w:val="Tabletext"/>
              <w:keepLines/>
              <w:rPr>
                <w:sz w:val="20"/>
                <w:lang w:eastAsia="zh-CN"/>
              </w:rPr>
            </w:pPr>
            <w:r w:rsidRPr="008B1FF1">
              <w:rPr>
                <w:rFonts w:eastAsia="SimSun" w:cs="Calibri"/>
                <w:color w:val="000000"/>
                <w:sz w:val="20"/>
                <w:lang w:val="zh-CN" w:eastAsia="zh-CN"/>
              </w:rPr>
              <w:t>管理层应</w:t>
            </w:r>
            <w:r w:rsidRPr="008B1FF1">
              <w:rPr>
                <w:rFonts w:eastAsia="SimSun" w:cs="Calibri" w:hint="eastAsia"/>
                <w:color w:val="000000"/>
                <w:sz w:val="20"/>
                <w:lang w:val="zh-CN" w:eastAsia="zh-CN"/>
              </w:rPr>
              <w:t>编制</w:t>
            </w:r>
            <w:r w:rsidRPr="008B1FF1">
              <w:rPr>
                <w:rFonts w:eastAsia="SimSun" w:cs="Calibri"/>
                <w:color w:val="000000"/>
                <w:sz w:val="20"/>
                <w:lang w:val="zh-CN" w:eastAsia="zh-CN"/>
              </w:rPr>
              <w:t>一个全面流程图，以便所有职员都能</w:t>
            </w:r>
            <w:r w:rsidRPr="008B1FF1">
              <w:rPr>
                <w:rFonts w:eastAsia="SimSun" w:cs="Calibri" w:hint="eastAsia"/>
                <w:color w:val="000000"/>
                <w:sz w:val="20"/>
                <w:lang w:val="zh-CN" w:eastAsia="zh-CN"/>
              </w:rPr>
              <w:t>了</w:t>
            </w:r>
            <w:r w:rsidRPr="008B1FF1">
              <w:rPr>
                <w:rFonts w:eastAsia="SimSun" w:cs="Calibri"/>
                <w:color w:val="000000"/>
                <w:sz w:val="20"/>
                <w:lang w:val="zh-CN" w:eastAsia="zh-CN"/>
              </w:rPr>
              <w:t>解区域代表处的职能、作用和活动。同时，区域</w:t>
            </w:r>
            <w:r w:rsidRPr="008B1FF1">
              <w:rPr>
                <w:rFonts w:eastAsia="SimSun" w:cs="Calibri" w:hint="eastAsia"/>
                <w:color w:val="000000"/>
                <w:sz w:val="20"/>
                <w:lang w:val="zh-CN" w:eastAsia="zh-CN"/>
              </w:rPr>
              <w:t>代表处</w:t>
            </w:r>
            <w:r w:rsidRPr="008B1FF1">
              <w:rPr>
                <w:rFonts w:eastAsia="SimSun" w:cs="Calibri"/>
                <w:color w:val="000000"/>
                <w:sz w:val="20"/>
                <w:lang w:val="zh-CN" w:eastAsia="zh-CN"/>
              </w:rPr>
              <w:t>职员应了解与该流程图相关的</w:t>
            </w:r>
            <w:r w:rsidRPr="008B1FF1">
              <w:rPr>
                <w:rFonts w:eastAsia="SimSun" w:cs="Calibri" w:hint="eastAsia"/>
                <w:color w:val="000000"/>
                <w:sz w:val="20"/>
                <w:lang w:val="zh-CN" w:eastAsia="zh-CN"/>
              </w:rPr>
              <w:t>具体</w:t>
            </w:r>
            <w:r w:rsidRPr="008B1FF1">
              <w:rPr>
                <w:rFonts w:eastAsia="SimSun" w:cs="Calibri"/>
                <w:color w:val="000000"/>
                <w:sz w:val="20"/>
                <w:lang w:val="zh-CN" w:eastAsia="zh-CN"/>
              </w:rPr>
              <w:t>目标、次级</w:t>
            </w:r>
            <w:r w:rsidRPr="008B1FF1">
              <w:rPr>
                <w:rFonts w:eastAsia="SimSun" w:cs="Calibri" w:hint="eastAsia"/>
                <w:color w:val="000000"/>
                <w:sz w:val="20"/>
                <w:lang w:val="zh-CN" w:eastAsia="zh-CN"/>
              </w:rPr>
              <w:t>具体</w:t>
            </w:r>
            <w:r w:rsidRPr="008B1FF1">
              <w:rPr>
                <w:rFonts w:eastAsia="SimSun" w:cs="Calibri"/>
                <w:color w:val="000000"/>
                <w:sz w:val="20"/>
                <w:lang w:val="zh-CN" w:eastAsia="zh-CN"/>
              </w:rPr>
              <w:t>目标和相关关键绩效指标，以便</w:t>
            </w:r>
            <w:r w:rsidRPr="008B1FF1">
              <w:rPr>
                <w:rFonts w:eastAsia="SimSun" w:cs="Calibri" w:hint="eastAsia"/>
                <w:color w:val="000000"/>
                <w:sz w:val="20"/>
                <w:lang w:val="zh-CN" w:eastAsia="zh-CN"/>
              </w:rPr>
              <w:t>监督</w:t>
            </w:r>
            <w:r w:rsidRPr="008B1FF1">
              <w:rPr>
                <w:rFonts w:eastAsia="SimSun" w:cs="Calibri"/>
                <w:color w:val="000000"/>
                <w:sz w:val="20"/>
                <w:lang w:val="zh-CN" w:eastAsia="zh-CN"/>
              </w:rPr>
              <w:t>区域代表</w:t>
            </w:r>
            <w:r w:rsidRPr="008B1FF1">
              <w:rPr>
                <w:rFonts w:eastAsia="SimSun" w:cs="Calibri" w:hint="eastAsia"/>
                <w:color w:val="000000"/>
                <w:sz w:val="20"/>
                <w:lang w:val="zh-CN" w:eastAsia="zh-CN"/>
              </w:rPr>
              <w:t>性</w:t>
            </w:r>
            <w:r w:rsidRPr="008B1FF1">
              <w:rPr>
                <w:rFonts w:eastAsia="SimSun" w:cs="Calibri"/>
                <w:color w:val="000000"/>
                <w:sz w:val="20"/>
                <w:lang w:val="zh-CN" w:eastAsia="zh-CN"/>
              </w:rPr>
              <w:t>的</w:t>
            </w:r>
            <w:r w:rsidRPr="008B1FF1">
              <w:rPr>
                <w:rFonts w:eastAsia="SimSun" w:cs="Calibri" w:hint="eastAsia"/>
                <w:color w:val="000000"/>
                <w:sz w:val="20"/>
                <w:lang w:val="zh-CN" w:eastAsia="zh-CN"/>
              </w:rPr>
              <w:t>落实</w:t>
            </w:r>
            <w:r w:rsidRPr="008B1FF1">
              <w:rPr>
                <w:rFonts w:eastAsia="SimSun" w:cs="Calibri"/>
                <w:color w:val="000000"/>
                <w:sz w:val="20"/>
                <w:lang w:val="zh-CN" w:eastAsia="zh-CN"/>
              </w:rPr>
              <w:t>情况并以</w:t>
            </w:r>
            <w:r w:rsidRPr="008B1FF1">
              <w:rPr>
                <w:rFonts w:eastAsia="SimSun" w:cs="Calibri" w:hint="eastAsia"/>
                <w:color w:val="000000"/>
                <w:sz w:val="20"/>
                <w:lang w:val="zh-CN" w:eastAsia="zh-CN"/>
              </w:rPr>
              <w:t>统一</w:t>
            </w:r>
            <w:r w:rsidRPr="008B1FF1">
              <w:rPr>
                <w:rFonts w:eastAsia="SimSun" w:cs="Calibri"/>
                <w:color w:val="000000"/>
                <w:sz w:val="20"/>
                <w:lang w:val="zh-CN" w:eastAsia="zh-CN"/>
              </w:rPr>
              <w:t>的方式降低相关风险。</w:t>
            </w:r>
          </w:p>
        </w:tc>
        <w:tc>
          <w:tcPr>
            <w:tcW w:w="1750" w:type="pct"/>
            <w:shd w:val="clear" w:color="auto" w:fill="auto"/>
          </w:tcPr>
          <w:p w14:paraId="58092FD0" w14:textId="77777777" w:rsidR="000245E2" w:rsidRPr="008B1FF1" w:rsidRDefault="000245E2" w:rsidP="00E17413">
            <w:pPr>
              <w:pStyle w:val="Tabletext"/>
              <w:keepLines/>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月的最新进展：将在新的</w:t>
            </w:r>
            <w:r w:rsidRPr="008B1FF1">
              <w:rPr>
                <w:rFonts w:eastAsia="SimSun" w:cs="Calibri" w:hint="eastAsia"/>
                <w:color w:val="000000"/>
                <w:sz w:val="20"/>
                <w:lang w:val="zh-CN" w:eastAsia="zh-CN"/>
              </w:rPr>
              <w:t>《</w:t>
            </w:r>
            <w:r w:rsidRPr="008B1FF1">
              <w:rPr>
                <w:rFonts w:eastAsia="SimSun" w:cs="Calibri"/>
                <w:color w:val="000000"/>
                <w:sz w:val="20"/>
                <w:lang w:val="zh-CN" w:eastAsia="zh-CN"/>
              </w:rPr>
              <w:t>2028-2031</w:t>
            </w:r>
            <w:r w:rsidRPr="008B1FF1">
              <w:rPr>
                <w:rFonts w:eastAsia="SimSun" w:cs="Calibri"/>
                <w:color w:val="000000"/>
                <w:sz w:val="20"/>
                <w:lang w:val="zh-CN" w:eastAsia="zh-CN"/>
              </w:rPr>
              <w:t>年战略规划</w:t>
            </w:r>
            <w:r w:rsidRPr="008B1FF1">
              <w:rPr>
                <w:rFonts w:eastAsia="SimSun" w:cs="Calibri" w:hint="eastAsia"/>
                <w:color w:val="000000"/>
                <w:sz w:val="20"/>
                <w:lang w:val="zh-CN" w:eastAsia="zh-CN"/>
              </w:rPr>
              <w:t>》</w:t>
            </w:r>
            <w:r w:rsidRPr="008B1FF1">
              <w:rPr>
                <w:rFonts w:eastAsia="SimSun" w:cs="Calibri"/>
                <w:color w:val="000000"/>
                <w:sz w:val="20"/>
                <w:lang w:val="zh-CN" w:eastAsia="zh-CN"/>
              </w:rPr>
              <w:t>框架下仔细评估已确定的问题（确保所有国际电联</w:t>
            </w:r>
            <w:r w:rsidRPr="008B1FF1">
              <w:rPr>
                <w:rFonts w:eastAsia="SimSun" w:cs="Calibri" w:hint="eastAsia"/>
                <w:color w:val="000000"/>
                <w:sz w:val="20"/>
                <w:lang w:val="zh-CN" w:eastAsia="zh-CN"/>
              </w:rPr>
              <w:t>职</w:t>
            </w:r>
            <w:r w:rsidRPr="008B1FF1">
              <w:rPr>
                <w:rFonts w:eastAsia="SimSun" w:cs="Calibri"/>
                <w:color w:val="000000"/>
                <w:sz w:val="20"/>
                <w:lang w:val="zh-CN" w:eastAsia="zh-CN"/>
              </w:rPr>
              <w:t>员都了解区域代表处的作用）。</w:t>
            </w:r>
            <w:r w:rsidRPr="008B1FF1">
              <w:rPr>
                <w:rFonts w:eastAsia="SimSun" w:cs="Calibri"/>
                <w:color w:val="000000"/>
                <w:sz w:val="20"/>
                <w:lang w:val="zh-CN" w:eastAsia="zh-CN"/>
              </w:rPr>
              <w:t>2018</w:t>
            </w:r>
            <w:r w:rsidRPr="008B1FF1">
              <w:rPr>
                <w:rFonts w:eastAsia="SimSun" w:cs="Calibri"/>
                <w:color w:val="000000"/>
                <w:sz w:val="20"/>
                <w:lang w:val="zh-CN" w:eastAsia="zh-CN"/>
              </w:rPr>
              <w:t>年</w:t>
            </w:r>
            <w:r w:rsidRPr="008B1FF1">
              <w:rPr>
                <w:rFonts w:eastAsia="SimSun" w:cs="Calibri" w:hint="eastAsia"/>
                <w:color w:val="000000"/>
                <w:sz w:val="20"/>
                <w:lang w:val="zh-CN" w:eastAsia="zh-CN"/>
              </w:rPr>
              <w:t>第</w:t>
            </w:r>
            <w:r w:rsidRPr="008B1FF1">
              <w:rPr>
                <w:rFonts w:eastAsia="SimSun" w:cs="Calibri" w:hint="eastAsia"/>
                <w:color w:val="000000"/>
                <w:sz w:val="20"/>
                <w:lang w:val="zh-CN" w:eastAsia="zh-CN"/>
              </w:rPr>
              <w:t>4</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建议的主题与普华永道</w:t>
            </w:r>
            <w:r w:rsidRPr="008B1FF1">
              <w:rPr>
                <w:rFonts w:eastAsia="SimSun" w:cs="Calibri" w:hint="eastAsia"/>
                <w:color w:val="000000"/>
                <w:sz w:val="20"/>
                <w:lang w:val="zh-CN" w:eastAsia="zh-CN"/>
              </w:rPr>
              <w:t>建议的第</w:t>
            </w:r>
            <w:r w:rsidRPr="008B1FF1">
              <w:rPr>
                <w:rFonts w:eastAsia="SimSun" w:cs="Calibri"/>
                <w:color w:val="000000"/>
                <w:sz w:val="20"/>
                <w:lang w:val="zh-CN" w:eastAsia="zh-CN"/>
              </w:rPr>
              <w:t>3</w:t>
            </w:r>
            <w:r w:rsidRPr="008B1FF1">
              <w:rPr>
                <w:rFonts w:eastAsia="SimSun" w:cs="Calibri" w:hint="eastAsia"/>
                <w:color w:val="000000"/>
                <w:sz w:val="20"/>
                <w:lang w:val="zh-CN" w:eastAsia="zh-CN"/>
              </w:rPr>
              <w:t>.</w:t>
            </w:r>
            <w:r w:rsidRPr="008B1FF1">
              <w:rPr>
                <w:rFonts w:eastAsia="SimSun" w:cs="Calibri"/>
                <w:color w:val="000000"/>
                <w:sz w:val="20"/>
                <w:lang w:val="zh-CN" w:eastAsia="zh-CN"/>
              </w:rPr>
              <w:t>2</w:t>
            </w:r>
            <w:r w:rsidRPr="008B1FF1">
              <w:rPr>
                <w:rFonts w:eastAsia="SimSun" w:cs="Calibri" w:hint="eastAsia"/>
                <w:color w:val="000000"/>
                <w:sz w:val="20"/>
                <w:lang w:val="zh-CN" w:eastAsia="zh-CN"/>
              </w:rPr>
              <w:t>节“</w:t>
            </w:r>
            <w:r w:rsidRPr="008B1FF1">
              <w:rPr>
                <w:rFonts w:eastAsia="SimSun" w:cs="Calibri"/>
                <w:color w:val="000000"/>
                <w:sz w:val="20"/>
                <w:lang w:val="zh-CN" w:eastAsia="zh-CN"/>
              </w:rPr>
              <w:t>建立增强</w:t>
            </w:r>
            <w:r w:rsidRPr="008B1FF1">
              <w:rPr>
                <w:rFonts w:eastAsia="SimSun" w:cs="Calibri" w:hint="eastAsia"/>
                <w:color w:val="000000"/>
                <w:sz w:val="20"/>
                <w:lang w:val="zh-CN" w:eastAsia="zh-CN"/>
              </w:rPr>
              <w:t>型</w:t>
            </w:r>
            <w:r w:rsidRPr="008B1FF1">
              <w:rPr>
                <w:rFonts w:eastAsia="SimSun" w:cs="Calibri"/>
                <w:color w:val="000000"/>
                <w:sz w:val="20"/>
                <w:lang w:val="zh-CN" w:eastAsia="zh-CN"/>
              </w:rPr>
              <w:t>交付模型</w:t>
            </w:r>
            <w:r w:rsidRPr="008B1FF1">
              <w:rPr>
                <w:rFonts w:eastAsia="SimSun" w:cs="Calibri" w:hint="eastAsia"/>
                <w:color w:val="000000"/>
                <w:sz w:val="20"/>
                <w:lang w:val="zh-CN" w:eastAsia="zh-CN"/>
              </w:rPr>
              <w:t>”</w:t>
            </w:r>
            <w:r w:rsidRPr="008B1FF1">
              <w:rPr>
                <w:rFonts w:eastAsia="SimSun" w:cs="Calibri"/>
                <w:color w:val="000000"/>
                <w:sz w:val="20"/>
                <w:lang w:val="zh-CN" w:eastAsia="zh-CN"/>
              </w:rPr>
              <w:t>/</w:t>
            </w:r>
            <w:r w:rsidRPr="008B1FF1">
              <w:rPr>
                <w:rFonts w:eastAsia="SimSun" w:cs="Calibri" w:hint="eastAsia"/>
                <w:color w:val="000000"/>
                <w:sz w:val="20"/>
                <w:lang w:val="zh-CN" w:eastAsia="zh-CN"/>
              </w:rPr>
              <w:t>第</w:t>
            </w:r>
            <w:r w:rsidRPr="008B1FF1">
              <w:rPr>
                <w:rFonts w:eastAsia="SimSun" w:cs="Calibri"/>
                <w:color w:val="000000"/>
                <w:sz w:val="20"/>
                <w:lang w:val="zh-CN" w:eastAsia="zh-CN"/>
              </w:rPr>
              <w:t>3</w:t>
            </w:r>
            <w:r w:rsidRPr="008B1FF1">
              <w:rPr>
                <w:rFonts w:eastAsia="SimSun" w:cs="Calibri" w:hint="eastAsia"/>
                <w:color w:val="000000"/>
                <w:sz w:val="20"/>
                <w:lang w:val="zh-CN" w:eastAsia="zh-CN"/>
              </w:rPr>
              <w:t>.</w:t>
            </w:r>
            <w:r w:rsidRPr="008B1FF1">
              <w:rPr>
                <w:rFonts w:eastAsia="SimSun" w:cs="Calibri"/>
                <w:color w:val="000000"/>
                <w:sz w:val="20"/>
                <w:lang w:val="zh-CN" w:eastAsia="zh-CN"/>
              </w:rPr>
              <w:t>2</w:t>
            </w:r>
            <w:r w:rsidRPr="008B1FF1">
              <w:rPr>
                <w:rFonts w:eastAsia="SimSun" w:cs="Calibri" w:hint="eastAsia"/>
                <w:color w:val="000000"/>
                <w:sz w:val="20"/>
                <w:lang w:val="zh-CN" w:eastAsia="zh-CN"/>
              </w:rPr>
              <w:t>.</w:t>
            </w:r>
            <w:r w:rsidRPr="008B1FF1">
              <w:rPr>
                <w:rFonts w:eastAsia="SimSun" w:cs="Calibri"/>
                <w:color w:val="000000"/>
                <w:sz w:val="20"/>
                <w:lang w:val="zh-CN" w:eastAsia="zh-CN"/>
              </w:rPr>
              <w:t>1</w:t>
            </w:r>
            <w:r w:rsidRPr="008B1FF1">
              <w:rPr>
                <w:rFonts w:eastAsia="SimSun" w:cs="Calibri" w:hint="eastAsia"/>
                <w:color w:val="000000"/>
                <w:sz w:val="20"/>
                <w:lang w:val="zh-CN" w:eastAsia="zh-CN"/>
              </w:rPr>
              <w:t>节“推动区域层面</w:t>
            </w:r>
            <w:r w:rsidRPr="008B1FF1">
              <w:rPr>
                <w:rFonts w:eastAsia="SimSun" w:cs="Calibri"/>
                <w:color w:val="000000"/>
                <w:sz w:val="20"/>
                <w:lang w:val="zh-CN" w:eastAsia="zh-CN"/>
              </w:rPr>
              <w:t>D</w:t>
            </w:r>
            <w:r w:rsidRPr="008B1FF1">
              <w:rPr>
                <w:rFonts w:eastAsia="SimSun" w:cs="Calibri" w:hint="eastAsia"/>
                <w:color w:val="000000"/>
                <w:sz w:val="20"/>
                <w:lang w:val="zh-CN" w:eastAsia="zh-CN"/>
              </w:rPr>
              <w:t>级职员的过渡”</w:t>
            </w:r>
            <w:r w:rsidRPr="008B1FF1">
              <w:rPr>
                <w:rFonts w:eastAsia="SimSun" w:cs="Calibri"/>
                <w:color w:val="000000"/>
                <w:sz w:val="20"/>
                <w:lang w:val="zh-CN" w:eastAsia="zh-CN"/>
              </w:rPr>
              <w:t>/</w:t>
            </w:r>
            <w:r w:rsidRPr="008B1FF1">
              <w:rPr>
                <w:rFonts w:eastAsia="SimSun" w:cs="Calibri" w:hint="eastAsia"/>
                <w:color w:val="000000"/>
                <w:sz w:val="20"/>
                <w:lang w:val="zh-CN" w:eastAsia="zh-CN"/>
              </w:rPr>
              <w:t>和第</w:t>
            </w:r>
            <w:r w:rsidRPr="008B1FF1">
              <w:rPr>
                <w:rFonts w:eastAsia="SimSun" w:cs="Calibri"/>
                <w:color w:val="000000"/>
                <w:sz w:val="20"/>
                <w:lang w:val="zh-CN" w:eastAsia="zh-CN"/>
              </w:rPr>
              <w:t>3</w:t>
            </w:r>
            <w:r w:rsidRPr="008B1FF1">
              <w:rPr>
                <w:rFonts w:eastAsia="SimSun" w:cs="Calibri" w:hint="eastAsia"/>
                <w:color w:val="000000"/>
                <w:sz w:val="20"/>
                <w:lang w:val="zh-CN" w:eastAsia="zh-CN"/>
              </w:rPr>
              <w:t>.</w:t>
            </w:r>
            <w:r w:rsidRPr="008B1FF1">
              <w:rPr>
                <w:rFonts w:eastAsia="SimSun" w:cs="Calibri"/>
                <w:color w:val="000000"/>
                <w:sz w:val="20"/>
                <w:lang w:val="zh-CN" w:eastAsia="zh-CN"/>
              </w:rPr>
              <w:t>2</w:t>
            </w:r>
            <w:r w:rsidRPr="008B1FF1">
              <w:rPr>
                <w:rFonts w:eastAsia="SimSun" w:cs="Calibri" w:hint="eastAsia"/>
                <w:color w:val="000000"/>
                <w:sz w:val="20"/>
                <w:lang w:val="zh-CN" w:eastAsia="zh-CN"/>
              </w:rPr>
              <w:t>.</w:t>
            </w:r>
            <w:r w:rsidRPr="008B1FF1">
              <w:rPr>
                <w:rFonts w:eastAsia="SimSun" w:cs="Calibri"/>
                <w:color w:val="000000"/>
                <w:sz w:val="20"/>
                <w:lang w:val="zh-CN" w:eastAsia="zh-CN"/>
              </w:rPr>
              <w:t>2</w:t>
            </w:r>
            <w:r w:rsidRPr="008B1FF1">
              <w:rPr>
                <w:rFonts w:eastAsia="SimSun" w:cs="Calibri" w:hint="eastAsia"/>
                <w:color w:val="000000"/>
                <w:sz w:val="20"/>
                <w:lang w:val="zh-CN" w:eastAsia="zh-CN"/>
              </w:rPr>
              <w:t>节“</w:t>
            </w:r>
            <w:r w:rsidRPr="008B1FF1">
              <w:rPr>
                <w:rFonts w:eastAsia="SimSun" w:cs="Calibri"/>
                <w:color w:val="000000"/>
                <w:sz w:val="20"/>
                <w:lang w:val="zh-CN" w:eastAsia="zh-CN"/>
              </w:rPr>
              <w:t>通过区域服务台加强全球协调</w:t>
            </w:r>
            <w:r w:rsidRPr="008B1FF1">
              <w:rPr>
                <w:rFonts w:eastAsia="SimSun" w:cs="Calibri" w:hint="eastAsia"/>
                <w:color w:val="000000"/>
                <w:sz w:val="20"/>
                <w:lang w:val="zh-CN" w:eastAsia="zh-CN"/>
              </w:rPr>
              <w:t>”存在关联</w:t>
            </w:r>
            <w:r w:rsidRPr="008B1FF1">
              <w:rPr>
                <w:rFonts w:eastAsia="SimSun" w:cs="Calibri"/>
                <w:color w:val="000000"/>
                <w:sz w:val="20"/>
                <w:lang w:val="zh-CN" w:eastAsia="zh-CN"/>
              </w:rPr>
              <w:t>。</w:t>
            </w:r>
          </w:p>
          <w:p w14:paraId="7CF79321" w14:textId="737C195F" w:rsidR="000245E2" w:rsidRPr="008B1FF1" w:rsidRDefault="000245E2" w:rsidP="00E17413">
            <w:pPr>
              <w:pStyle w:val="Tabletext"/>
              <w:keepLines/>
              <w:rPr>
                <w:sz w:val="20"/>
                <w:lang w:eastAsia="zh-CN"/>
              </w:rPr>
            </w:pPr>
            <w:r w:rsidRPr="008B1FF1">
              <w:rPr>
                <w:rFonts w:eastAsia="SimSun" w:cs="Calibri"/>
                <w:color w:val="000000"/>
                <w:sz w:val="20"/>
                <w:lang w:val="zh-CN" w:eastAsia="zh-CN"/>
              </w:rPr>
              <w:t>国际电联认为实施工作正在落实中。</w:t>
            </w:r>
          </w:p>
        </w:tc>
        <w:tc>
          <w:tcPr>
            <w:tcW w:w="1050" w:type="pct"/>
            <w:shd w:val="clear" w:color="auto" w:fill="auto"/>
          </w:tcPr>
          <w:p w14:paraId="40D45D50" w14:textId="71B42165" w:rsidR="000245E2" w:rsidRPr="008B1FF1" w:rsidRDefault="000245E2" w:rsidP="00E17413">
            <w:pPr>
              <w:pStyle w:val="Tabletext"/>
              <w:keepLines/>
              <w:rPr>
                <w:sz w:val="20"/>
                <w:lang w:eastAsia="zh-CN"/>
              </w:rPr>
            </w:pPr>
            <w:r w:rsidRPr="008B1FF1">
              <w:rPr>
                <w:rFonts w:eastAsia="SimSun" w:cs="Calibri"/>
                <w:color w:val="000000"/>
                <w:sz w:val="20"/>
                <w:lang w:val="zh-CN" w:eastAsia="zh-CN"/>
              </w:rPr>
              <w:t>已将最新回应记录在案。</w:t>
            </w:r>
          </w:p>
        </w:tc>
        <w:tc>
          <w:tcPr>
            <w:tcW w:w="450" w:type="pct"/>
            <w:shd w:val="clear" w:color="auto" w:fill="auto"/>
          </w:tcPr>
          <w:p w14:paraId="2E0C9783" w14:textId="0349E56D" w:rsidR="000245E2" w:rsidRPr="008B1FF1" w:rsidRDefault="000245E2" w:rsidP="00E17413">
            <w:pPr>
              <w:pStyle w:val="Tabletext"/>
              <w:keepLines/>
              <w:rPr>
                <w:sz w:val="20"/>
                <w:lang w:eastAsia="zh-CN"/>
              </w:rPr>
            </w:pPr>
            <w:r w:rsidRPr="008B1FF1">
              <w:rPr>
                <w:rFonts w:eastAsia="SimSun" w:cs="Calibri" w:hint="eastAsia"/>
                <w:color w:val="000000"/>
                <w:sz w:val="20"/>
                <w:lang w:val="zh-CN" w:eastAsia="zh-CN"/>
              </w:rPr>
              <w:t>落实中。</w:t>
            </w:r>
          </w:p>
        </w:tc>
      </w:tr>
      <w:tr w:rsidR="000245E2" w:rsidRPr="00536D01" w14:paraId="4F2066FF" w14:textId="77777777" w:rsidTr="0011737E">
        <w:tc>
          <w:tcPr>
            <w:tcW w:w="300" w:type="pct"/>
            <w:shd w:val="clear" w:color="auto" w:fill="auto"/>
          </w:tcPr>
          <w:p w14:paraId="6156507D" w14:textId="40896DC7" w:rsidR="000245E2" w:rsidRPr="008B1FF1" w:rsidRDefault="000245E2" w:rsidP="000245E2">
            <w:pPr>
              <w:pStyle w:val="Tabletext"/>
              <w:rPr>
                <w:sz w:val="20"/>
              </w:rPr>
            </w:pPr>
            <w:r w:rsidRPr="008B1FF1">
              <w:rPr>
                <w:rFonts w:eastAsia="SimSun" w:cs="Calibri"/>
                <w:color w:val="000000"/>
                <w:sz w:val="20"/>
                <w:lang w:val="zh-CN"/>
              </w:rPr>
              <w:t>R#5</w:t>
            </w:r>
          </w:p>
        </w:tc>
        <w:tc>
          <w:tcPr>
            <w:tcW w:w="1450" w:type="pct"/>
            <w:shd w:val="clear" w:color="auto" w:fill="auto"/>
          </w:tcPr>
          <w:p w14:paraId="475ABC67" w14:textId="42C2034D" w:rsidR="000245E2" w:rsidRPr="008B1FF1" w:rsidRDefault="000245E2" w:rsidP="000245E2">
            <w:pPr>
              <w:pStyle w:val="Tabletext"/>
              <w:rPr>
                <w:sz w:val="20"/>
                <w:lang w:eastAsia="zh-CN"/>
              </w:rPr>
            </w:pPr>
            <w:r w:rsidRPr="008B1FF1">
              <w:rPr>
                <w:rFonts w:eastAsia="SimSun" w:cs="Calibri"/>
                <w:color w:val="000000"/>
                <w:sz w:val="20"/>
                <w:lang w:val="zh-CN" w:eastAsia="zh-CN"/>
              </w:rPr>
              <w:t>对</w:t>
            </w:r>
            <w:r w:rsidRPr="008B1FF1">
              <w:rPr>
                <w:rFonts w:eastAsia="SimSun" w:cs="Calibri"/>
                <w:color w:val="000000"/>
                <w:sz w:val="20"/>
                <w:lang w:val="zh-CN" w:eastAsia="zh-CN"/>
              </w:rPr>
              <w:t>WTDC</w:t>
            </w:r>
            <w:r w:rsidRPr="008B1FF1">
              <w:rPr>
                <w:rFonts w:eastAsia="SimSun" w:cs="Calibri"/>
                <w:color w:val="000000"/>
                <w:sz w:val="20"/>
                <w:lang w:val="zh-CN" w:eastAsia="zh-CN"/>
              </w:rPr>
              <w:t>层面决定的目标</w:t>
            </w:r>
            <w:r w:rsidRPr="008B1FF1">
              <w:rPr>
                <w:rFonts w:eastAsia="SimSun" w:cs="Calibri" w:hint="eastAsia"/>
                <w:color w:val="000000"/>
                <w:sz w:val="20"/>
                <w:lang w:val="zh-CN" w:eastAsia="zh-CN"/>
              </w:rPr>
              <w:t>是否得到</w:t>
            </w:r>
            <w:r w:rsidRPr="008B1FF1">
              <w:rPr>
                <w:rFonts w:eastAsia="SimSun" w:cs="Calibri"/>
                <w:color w:val="000000"/>
                <w:sz w:val="20"/>
                <w:lang w:val="zh-CN" w:eastAsia="zh-CN"/>
              </w:rPr>
              <w:t>有效</w:t>
            </w:r>
            <w:r w:rsidRPr="008B1FF1">
              <w:rPr>
                <w:rFonts w:eastAsia="SimSun" w:cs="Calibri" w:hint="eastAsia"/>
                <w:color w:val="000000"/>
                <w:sz w:val="20"/>
                <w:lang w:val="zh-CN" w:eastAsia="zh-CN"/>
              </w:rPr>
              <w:t>且</w:t>
            </w:r>
            <w:r w:rsidRPr="008B1FF1">
              <w:rPr>
                <w:rFonts w:eastAsia="SimSun" w:cs="Calibri"/>
                <w:color w:val="000000"/>
                <w:sz w:val="20"/>
                <w:lang w:val="zh-CN" w:eastAsia="zh-CN"/>
              </w:rPr>
              <w:t>高效</w:t>
            </w:r>
            <w:r w:rsidRPr="008B1FF1">
              <w:rPr>
                <w:rFonts w:eastAsia="SimSun" w:cs="Calibri" w:hint="eastAsia"/>
                <w:color w:val="000000"/>
                <w:sz w:val="20"/>
                <w:lang w:val="zh-CN" w:eastAsia="zh-CN"/>
              </w:rPr>
              <w:t>的落实，开展</w:t>
            </w:r>
            <w:r w:rsidRPr="008B1FF1">
              <w:rPr>
                <w:rFonts w:eastAsia="SimSun" w:cs="Calibri"/>
                <w:color w:val="000000"/>
                <w:sz w:val="20"/>
                <w:lang w:val="zh-CN" w:eastAsia="zh-CN"/>
              </w:rPr>
              <w:t>外部</w:t>
            </w:r>
            <w:r w:rsidRPr="008B1FF1">
              <w:rPr>
                <w:rFonts w:eastAsia="SimSun" w:cs="Calibri" w:hint="eastAsia"/>
                <w:color w:val="000000"/>
                <w:sz w:val="20"/>
                <w:lang w:val="zh-CN" w:eastAsia="zh-CN"/>
              </w:rPr>
              <w:t>及</w:t>
            </w:r>
            <w:r w:rsidRPr="008B1FF1">
              <w:rPr>
                <w:rFonts w:eastAsia="SimSun" w:cs="Calibri"/>
                <w:color w:val="000000"/>
                <w:sz w:val="20"/>
                <w:lang w:val="zh-CN" w:eastAsia="zh-CN"/>
              </w:rPr>
              <w:t>独立中期和</w:t>
            </w:r>
            <w:r w:rsidRPr="008B1FF1">
              <w:rPr>
                <w:rFonts w:eastAsia="SimSun" w:cs="Calibri"/>
                <w:color w:val="000000"/>
                <w:sz w:val="20"/>
                <w:lang w:val="zh-CN" w:eastAsia="zh-CN"/>
              </w:rPr>
              <w:t>/</w:t>
            </w:r>
            <w:r w:rsidRPr="008B1FF1">
              <w:rPr>
                <w:rFonts w:eastAsia="SimSun" w:cs="Calibri"/>
                <w:color w:val="000000"/>
                <w:sz w:val="20"/>
                <w:lang w:val="zh-CN" w:eastAsia="zh-CN"/>
              </w:rPr>
              <w:t>或事后评估，以便为</w:t>
            </w:r>
            <w:r w:rsidRPr="008B1FF1">
              <w:rPr>
                <w:rFonts w:eastAsia="SimSun" w:cs="Calibri" w:hint="eastAsia"/>
                <w:color w:val="000000"/>
                <w:sz w:val="20"/>
                <w:lang w:val="zh-CN" w:eastAsia="zh-CN"/>
              </w:rPr>
              <w:t>此</w:t>
            </w:r>
            <w:r w:rsidRPr="008B1FF1">
              <w:rPr>
                <w:rFonts w:eastAsia="SimSun" w:cs="Calibri"/>
                <w:color w:val="000000"/>
                <w:sz w:val="20"/>
                <w:lang w:val="zh-CN" w:eastAsia="zh-CN"/>
              </w:rPr>
              <w:t>进程带来</w:t>
            </w:r>
            <w:r w:rsidRPr="008B1FF1">
              <w:rPr>
                <w:rFonts w:eastAsia="SimSun" w:cs="Calibri" w:hint="eastAsia"/>
                <w:color w:val="000000"/>
                <w:sz w:val="20"/>
                <w:lang w:val="zh-CN" w:eastAsia="zh-CN"/>
              </w:rPr>
              <w:t>更多价</w:t>
            </w:r>
            <w:r w:rsidRPr="008B1FF1">
              <w:rPr>
                <w:rFonts w:eastAsia="SimSun" w:cs="Calibri"/>
                <w:color w:val="000000"/>
                <w:sz w:val="20"/>
                <w:lang w:val="zh-CN" w:eastAsia="zh-CN"/>
              </w:rPr>
              <w:t>值。同样，可</w:t>
            </w:r>
            <w:r w:rsidRPr="008B1FF1">
              <w:rPr>
                <w:rFonts w:eastAsia="SimSun" w:cs="Calibri" w:hint="eastAsia"/>
                <w:color w:val="000000"/>
                <w:sz w:val="20"/>
                <w:lang w:val="zh-CN" w:eastAsia="zh-CN"/>
              </w:rPr>
              <w:t>就</w:t>
            </w:r>
            <w:r w:rsidRPr="008B1FF1">
              <w:rPr>
                <w:rFonts w:eastAsia="SimSun" w:cs="Calibri"/>
                <w:color w:val="000000"/>
                <w:sz w:val="20"/>
                <w:lang w:val="zh-CN" w:eastAsia="zh-CN"/>
              </w:rPr>
              <w:t>是否</w:t>
            </w:r>
            <w:r w:rsidRPr="008B1FF1">
              <w:rPr>
                <w:rFonts w:eastAsia="SimSun" w:cs="Calibri" w:hint="eastAsia"/>
                <w:color w:val="000000"/>
                <w:sz w:val="20"/>
                <w:lang w:val="zh-CN" w:eastAsia="zh-CN"/>
              </w:rPr>
              <w:t>已</w:t>
            </w:r>
            <w:r w:rsidRPr="008B1FF1">
              <w:rPr>
                <w:rFonts w:eastAsia="SimSun" w:cs="Calibri"/>
                <w:color w:val="000000"/>
                <w:sz w:val="20"/>
                <w:lang w:val="zh-CN" w:eastAsia="zh-CN"/>
              </w:rPr>
              <w:t>按照全权代表大会</w:t>
            </w:r>
            <w:r w:rsidRPr="008B1FF1">
              <w:rPr>
                <w:rFonts w:eastAsia="SimSun" w:cs="Calibri" w:hint="eastAsia"/>
                <w:color w:val="000000"/>
                <w:sz w:val="20"/>
                <w:lang w:val="zh-CN" w:eastAsia="zh-CN"/>
              </w:rPr>
              <w:t>第</w:t>
            </w:r>
            <w:r w:rsidRPr="008B1FF1">
              <w:rPr>
                <w:rFonts w:eastAsia="SimSun" w:cs="Calibri" w:hint="eastAsia"/>
                <w:color w:val="000000"/>
                <w:sz w:val="20"/>
                <w:lang w:val="zh-CN" w:eastAsia="zh-CN"/>
              </w:rPr>
              <w:t>25</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决议实现了</w:t>
            </w:r>
            <w:r w:rsidRPr="008B1FF1">
              <w:rPr>
                <w:rFonts w:eastAsia="SimSun" w:cs="Calibri" w:hint="eastAsia"/>
                <w:color w:val="000000"/>
                <w:sz w:val="20"/>
                <w:lang w:val="zh-CN" w:eastAsia="zh-CN"/>
              </w:rPr>
              <w:t>“</w:t>
            </w:r>
            <w:r w:rsidRPr="008B1FF1">
              <w:rPr>
                <w:rFonts w:eastAsia="SimSun" w:cs="Calibri"/>
                <w:color w:val="000000"/>
                <w:sz w:val="20"/>
                <w:lang w:val="zh-CN" w:eastAsia="zh-CN"/>
              </w:rPr>
              <w:t>加强区域代表</w:t>
            </w:r>
            <w:r w:rsidRPr="008B1FF1">
              <w:rPr>
                <w:rFonts w:eastAsia="SimSun" w:cs="Calibri" w:hint="eastAsia"/>
                <w:color w:val="000000"/>
                <w:sz w:val="20"/>
                <w:lang w:val="zh-CN" w:eastAsia="zh-CN"/>
              </w:rPr>
              <w:t>性</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的目标</w:t>
            </w:r>
            <w:r w:rsidRPr="008B1FF1">
              <w:rPr>
                <w:rFonts w:eastAsia="SimSun" w:cs="Calibri" w:hint="eastAsia"/>
                <w:color w:val="000000"/>
                <w:sz w:val="20"/>
                <w:lang w:val="zh-CN" w:eastAsia="zh-CN"/>
              </w:rPr>
              <w:t>，开展</w:t>
            </w:r>
            <w:r w:rsidRPr="008B1FF1">
              <w:rPr>
                <w:rFonts w:eastAsia="SimSun" w:cs="Calibri"/>
                <w:color w:val="000000"/>
                <w:sz w:val="20"/>
                <w:lang w:val="zh-CN" w:eastAsia="zh-CN"/>
              </w:rPr>
              <w:t>全面的中期和</w:t>
            </w:r>
            <w:r w:rsidRPr="008B1FF1">
              <w:rPr>
                <w:rFonts w:eastAsia="SimSun" w:cs="Calibri"/>
                <w:color w:val="000000"/>
                <w:sz w:val="20"/>
                <w:lang w:val="zh-CN" w:eastAsia="zh-CN"/>
              </w:rPr>
              <w:t>/</w:t>
            </w:r>
            <w:r w:rsidRPr="008B1FF1">
              <w:rPr>
                <w:rFonts w:eastAsia="SimSun" w:cs="Calibri"/>
                <w:color w:val="000000"/>
                <w:sz w:val="20"/>
                <w:lang w:val="zh-CN" w:eastAsia="zh-CN"/>
              </w:rPr>
              <w:t>或事后评估。</w:t>
            </w:r>
          </w:p>
        </w:tc>
        <w:tc>
          <w:tcPr>
            <w:tcW w:w="1750" w:type="pct"/>
            <w:shd w:val="clear" w:color="auto" w:fill="auto"/>
          </w:tcPr>
          <w:p w14:paraId="7481D807" w14:textId="7A732733"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月的最新进展：自</w:t>
            </w:r>
            <w:r w:rsidRPr="008B1FF1">
              <w:rPr>
                <w:rFonts w:eastAsia="SimSun" w:cs="Calibri"/>
                <w:color w:val="000000"/>
                <w:sz w:val="20"/>
                <w:lang w:val="zh-CN" w:eastAsia="zh-CN"/>
              </w:rPr>
              <w:t>2020</w:t>
            </w:r>
            <w:r w:rsidRPr="008B1FF1">
              <w:rPr>
                <w:rFonts w:eastAsia="SimSun" w:cs="Calibri"/>
                <w:color w:val="000000"/>
                <w:sz w:val="20"/>
                <w:lang w:val="zh-CN" w:eastAsia="zh-CN"/>
              </w:rPr>
              <w:t>年普华永道发布关于区域代表</w:t>
            </w:r>
            <w:r w:rsidRPr="008B1FF1">
              <w:rPr>
                <w:rFonts w:eastAsia="SimSun" w:cs="Calibri" w:hint="eastAsia"/>
                <w:color w:val="000000"/>
                <w:sz w:val="20"/>
                <w:lang w:val="zh-CN" w:eastAsia="zh-CN"/>
              </w:rPr>
              <w:t>性的</w:t>
            </w:r>
            <w:r w:rsidRPr="008B1FF1">
              <w:rPr>
                <w:rFonts w:eastAsia="SimSun" w:cs="Calibri"/>
                <w:color w:val="000000"/>
                <w:sz w:val="20"/>
                <w:lang w:val="zh-CN" w:eastAsia="zh-CN"/>
              </w:rPr>
              <w:t>报告（</w:t>
            </w:r>
            <w:hyperlink r:id="rId33" w:history="1">
              <w:proofErr w:type="spellStart"/>
              <w:r w:rsidR="00DF3E54" w:rsidRPr="008B1FF1">
                <w:rPr>
                  <w:rStyle w:val="Hyperlink"/>
                  <w:sz w:val="20"/>
                  <w:lang w:eastAsia="zh-CN"/>
                </w:rPr>
                <w:t>C20</w:t>
              </w:r>
              <w:proofErr w:type="spellEnd"/>
              <w:r w:rsidR="00DF3E54" w:rsidRPr="008B1FF1">
                <w:rPr>
                  <w:rStyle w:val="Hyperlink"/>
                  <w:sz w:val="20"/>
                  <w:lang w:eastAsia="zh-CN"/>
                </w:rPr>
                <w:t>/74</w:t>
              </w:r>
            </w:hyperlink>
            <w:r w:rsidRPr="008B1FF1">
              <w:rPr>
                <w:rFonts w:eastAsia="SimSun" w:cs="Calibri"/>
                <w:color w:val="000000"/>
                <w:sz w:val="20"/>
                <w:lang w:val="zh-CN" w:eastAsia="zh-CN"/>
              </w:rPr>
              <w:t>）以来，已向理事会提交了</w:t>
            </w:r>
            <w:r w:rsidRPr="008B1FF1">
              <w:rPr>
                <w:rFonts w:eastAsia="SimSun" w:cs="Calibri" w:hint="eastAsia"/>
                <w:color w:val="000000"/>
                <w:sz w:val="20"/>
                <w:lang w:val="zh-CN" w:eastAsia="zh-CN"/>
              </w:rPr>
              <w:t>有</w:t>
            </w:r>
            <w:r w:rsidRPr="008B1FF1">
              <w:rPr>
                <w:rFonts w:eastAsia="SimSun" w:cs="Calibri"/>
                <w:color w:val="000000"/>
                <w:sz w:val="20"/>
                <w:lang w:val="zh-CN" w:eastAsia="zh-CN"/>
              </w:rPr>
              <w:t>关根据第</w:t>
            </w:r>
            <w:r w:rsidRPr="008B1FF1">
              <w:rPr>
                <w:rFonts w:eastAsia="SimSun" w:cs="Calibri"/>
                <w:color w:val="000000"/>
                <w:sz w:val="20"/>
                <w:lang w:val="zh-CN" w:eastAsia="zh-CN"/>
              </w:rPr>
              <w:t>25</w:t>
            </w:r>
            <w:r w:rsidRPr="008B1FF1">
              <w:rPr>
                <w:rFonts w:eastAsia="SimSun" w:cs="Calibri"/>
                <w:color w:val="000000"/>
                <w:sz w:val="20"/>
                <w:lang w:val="zh-CN" w:eastAsia="zh-CN"/>
              </w:rPr>
              <w:t>号决议加强区域代表</w:t>
            </w:r>
            <w:r w:rsidRPr="008B1FF1">
              <w:rPr>
                <w:rFonts w:eastAsia="SimSun" w:cs="Calibri" w:hint="eastAsia"/>
                <w:color w:val="000000"/>
                <w:sz w:val="20"/>
                <w:lang w:val="zh-CN" w:eastAsia="zh-CN"/>
              </w:rPr>
              <w:t>性</w:t>
            </w:r>
            <w:r w:rsidRPr="008B1FF1">
              <w:rPr>
                <w:rFonts w:eastAsia="SimSun" w:cs="Calibri"/>
                <w:color w:val="000000"/>
                <w:sz w:val="20"/>
                <w:lang w:val="zh-CN" w:eastAsia="zh-CN"/>
              </w:rPr>
              <w:t>的报告（</w:t>
            </w:r>
            <w:r w:rsidRPr="008B1FF1">
              <w:rPr>
                <w:rFonts w:eastAsia="SimSun" w:cs="Calibri" w:hint="eastAsia"/>
                <w:color w:val="000000"/>
                <w:sz w:val="20"/>
                <w:lang w:val="zh-CN" w:eastAsia="zh-CN"/>
              </w:rPr>
              <w:t>见</w:t>
            </w:r>
            <w:r w:rsidR="00DF3E54">
              <w:fldChar w:fldCharType="begin"/>
            </w:r>
            <w:r w:rsidR="00DF3E54">
              <w:rPr>
                <w:lang w:eastAsia="zh-CN"/>
              </w:rPr>
              <w:instrText>HYPERLINK "https://www.itu.int/md/S22-CL-C-0025/en"</w:instrText>
            </w:r>
            <w:r w:rsidR="00DF3E54">
              <w:fldChar w:fldCharType="separate"/>
            </w:r>
            <w:proofErr w:type="spellStart"/>
            <w:r w:rsidR="00DF3E54" w:rsidRPr="008B1FF1">
              <w:rPr>
                <w:rStyle w:val="Hyperlink"/>
                <w:sz w:val="20"/>
                <w:lang w:eastAsia="zh-CN"/>
              </w:rPr>
              <w:t>C22</w:t>
            </w:r>
            <w:proofErr w:type="spellEnd"/>
            <w:r w:rsidR="00DF3E54" w:rsidRPr="008B1FF1">
              <w:rPr>
                <w:rStyle w:val="Hyperlink"/>
                <w:sz w:val="20"/>
                <w:lang w:eastAsia="zh-CN"/>
              </w:rPr>
              <w:t>/25</w:t>
            </w:r>
            <w:r w:rsidR="00DF3E54">
              <w:fldChar w:fldCharType="end"/>
            </w:r>
            <w:r w:rsidRPr="008B1FF1">
              <w:rPr>
                <w:rFonts w:eastAsia="SimSun" w:cs="Calibri"/>
                <w:color w:val="000000"/>
                <w:sz w:val="20"/>
                <w:lang w:val="zh-CN" w:eastAsia="zh-CN"/>
              </w:rPr>
              <w:t>），其</w:t>
            </w:r>
            <w:r w:rsidRPr="008B1FF1">
              <w:rPr>
                <w:rFonts w:eastAsia="SimSun" w:cs="Calibri" w:hint="eastAsia"/>
                <w:color w:val="000000"/>
                <w:sz w:val="20"/>
                <w:lang w:val="zh-CN" w:eastAsia="zh-CN"/>
              </w:rPr>
              <w:t>内容</w:t>
            </w:r>
            <w:r w:rsidRPr="008B1FF1">
              <w:rPr>
                <w:rFonts w:eastAsia="SimSun" w:cs="Calibri"/>
                <w:color w:val="000000"/>
                <w:sz w:val="20"/>
                <w:lang w:val="zh-CN" w:eastAsia="zh-CN"/>
              </w:rPr>
              <w:t>包括普华永道报告的详细信息</w:t>
            </w:r>
            <w:r w:rsidRPr="008B1FF1">
              <w:rPr>
                <w:rFonts w:eastAsia="SimSun" w:cs="Calibri" w:hint="eastAsia"/>
                <w:color w:val="000000"/>
                <w:sz w:val="20"/>
                <w:lang w:val="zh-CN" w:eastAsia="zh-CN"/>
              </w:rPr>
              <w:t>以及采取的</w:t>
            </w:r>
            <w:r w:rsidRPr="008B1FF1">
              <w:rPr>
                <w:rFonts w:eastAsia="SimSun" w:cs="Calibri"/>
                <w:color w:val="000000"/>
                <w:sz w:val="20"/>
                <w:lang w:val="zh-CN" w:eastAsia="zh-CN"/>
              </w:rPr>
              <w:t>后续行动。另外。</w:t>
            </w:r>
            <w:r w:rsidRPr="008B1FF1">
              <w:rPr>
                <w:rFonts w:eastAsia="SimSun" w:cs="Calibri"/>
                <w:color w:val="000000"/>
                <w:sz w:val="20"/>
                <w:lang w:val="zh-CN" w:eastAsia="zh-CN"/>
              </w:rPr>
              <w:t>2021</w:t>
            </w:r>
            <w:r w:rsidRPr="008B1FF1">
              <w:rPr>
                <w:rFonts w:eastAsia="SimSun" w:cs="Calibri"/>
                <w:color w:val="000000"/>
                <w:sz w:val="20"/>
                <w:lang w:val="zh-CN" w:eastAsia="zh-CN"/>
              </w:rPr>
              <w:t>年会议期间，理事会通过了</w:t>
            </w:r>
            <w:r w:rsidRPr="008B1FF1">
              <w:rPr>
                <w:rFonts w:eastAsia="SimSun" w:cs="Calibri"/>
                <w:color w:val="000000"/>
                <w:sz w:val="20"/>
                <w:lang w:val="zh-CN" w:eastAsia="zh-CN"/>
              </w:rPr>
              <w:t>CWG-FHR</w:t>
            </w:r>
            <w:r w:rsidRPr="008B1FF1">
              <w:rPr>
                <w:rFonts w:eastAsia="SimSun" w:cs="Calibri" w:hint="eastAsia"/>
                <w:color w:val="000000"/>
                <w:sz w:val="20"/>
                <w:lang w:val="zh-CN" w:eastAsia="zh-CN"/>
              </w:rPr>
              <w:t>有</w:t>
            </w:r>
            <w:r w:rsidRPr="008B1FF1">
              <w:rPr>
                <w:rFonts w:eastAsia="SimSun" w:cs="Calibri"/>
                <w:color w:val="000000"/>
                <w:sz w:val="20"/>
                <w:lang w:val="zh-CN" w:eastAsia="zh-CN"/>
              </w:rPr>
              <w:t>关国际电联区域代表</w:t>
            </w:r>
            <w:r w:rsidRPr="008B1FF1">
              <w:rPr>
                <w:rFonts w:eastAsia="SimSun" w:cs="Calibri" w:hint="eastAsia"/>
                <w:color w:val="000000"/>
                <w:sz w:val="20"/>
                <w:lang w:val="zh-CN" w:eastAsia="zh-CN"/>
              </w:rPr>
              <w:t>性</w:t>
            </w:r>
            <w:r w:rsidRPr="008B1FF1">
              <w:rPr>
                <w:rFonts w:eastAsia="SimSun" w:cs="Calibri"/>
                <w:color w:val="000000"/>
                <w:sz w:val="20"/>
                <w:lang w:val="zh-CN" w:eastAsia="zh-CN"/>
              </w:rPr>
              <w:t>的建议，即</w:t>
            </w:r>
            <w:r w:rsidRPr="008B1FF1">
              <w:rPr>
                <w:rFonts w:eastAsia="SimSun" w:cs="Calibri" w:hint="eastAsia"/>
                <w:color w:val="000000"/>
                <w:sz w:val="20"/>
                <w:lang w:val="zh-CN" w:eastAsia="zh-CN"/>
              </w:rPr>
              <w:t>要求</w:t>
            </w:r>
            <w:r w:rsidRPr="008B1FF1">
              <w:rPr>
                <w:rFonts w:eastAsia="SimSun" w:cs="Calibri"/>
                <w:color w:val="000000"/>
                <w:sz w:val="20"/>
                <w:lang w:val="zh-CN" w:eastAsia="zh-CN"/>
              </w:rPr>
              <w:t>秘书处制作一个关于工作计划</w:t>
            </w:r>
            <w:r w:rsidRPr="008B1FF1">
              <w:rPr>
                <w:rFonts w:eastAsia="SimSun" w:cs="Calibri" w:hint="eastAsia"/>
                <w:color w:val="000000"/>
                <w:sz w:val="20"/>
                <w:lang w:val="zh-CN" w:eastAsia="zh-CN"/>
              </w:rPr>
              <w:t>的</w:t>
            </w:r>
            <w:r w:rsidRPr="008B1FF1">
              <w:rPr>
                <w:rFonts w:eastAsia="SimSun" w:cs="Calibri"/>
                <w:color w:val="000000"/>
                <w:sz w:val="20"/>
                <w:lang w:val="zh-CN" w:eastAsia="zh-CN"/>
              </w:rPr>
              <w:t>状态信息概览，供国际电联成员</w:t>
            </w:r>
            <w:r w:rsidRPr="008B1FF1">
              <w:rPr>
                <w:rFonts w:eastAsia="SimSun" w:cs="Calibri" w:hint="eastAsia"/>
                <w:color w:val="000000"/>
                <w:sz w:val="20"/>
                <w:lang w:val="zh-CN" w:eastAsia="zh-CN"/>
              </w:rPr>
              <w:t>使用</w:t>
            </w:r>
            <w:r w:rsidRPr="008B1FF1">
              <w:rPr>
                <w:rFonts w:eastAsia="SimSun" w:cs="Calibri"/>
                <w:color w:val="000000"/>
                <w:sz w:val="20"/>
                <w:lang w:val="zh-CN" w:eastAsia="zh-CN"/>
              </w:rPr>
              <w:t>。可通过国际电联理事会网站的区域代表</w:t>
            </w:r>
            <w:r w:rsidRPr="008B1FF1">
              <w:rPr>
                <w:rFonts w:eastAsia="SimSun" w:cs="Calibri" w:hint="eastAsia"/>
                <w:color w:val="000000"/>
                <w:sz w:val="20"/>
                <w:lang w:val="zh-CN" w:eastAsia="zh-CN"/>
              </w:rPr>
              <w:t>性</w:t>
            </w:r>
            <w:r w:rsidRPr="008B1FF1">
              <w:rPr>
                <w:rFonts w:eastAsia="SimSun" w:cs="Calibri"/>
                <w:color w:val="000000"/>
                <w:sz w:val="20"/>
                <w:lang w:val="zh-CN" w:eastAsia="zh-CN"/>
              </w:rPr>
              <w:t>页面访问该信息概览：</w:t>
            </w:r>
            <w:r w:rsidRPr="008B1FF1">
              <w:rPr>
                <w:rFonts w:eastAsia="SimSun" w:cs="Calibri"/>
                <w:color w:val="000000"/>
                <w:sz w:val="20"/>
                <w:lang w:val="zh-CN" w:eastAsia="zh-CN"/>
              </w:rPr>
              <w:t>https://www.itu.int/en/council/ties/Pages/regional-presence-dashboard.aspx</w:t>
            </w:r>
          </w:p>
          <w:p w14:paraId="6DBE5C56" w14:textId="3449699F"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3AE944A8" w14:textId="0080ED4B" w:rsidR="000245E2" w:rsidRPr="008B1FF1" w:rsidRDefault="000245E2" w:rsidP="000245E2">
            <w:pPr>
              <w:pStyle w:val="Tabletext"/>
              <w:rPr>
                <w:sz w:val="20"/>
                <w:lang w:eastAsia="zh-CN"/>
              </w:rPr>
            </w:pPr>
            <w:r w:rsidRPr="008B1FF1">
              <w:rPr>
                <w:rFonts w:eastAsia="SimSun" w:cs="Calibri"/>
                <w:color w:val="000000"/>
                <w:sz w:val="20"/>
                <w:lang w:val="zh-CN" w:eastAsia="zh-CN"/>
              </w:rPr>
              <w:t>已将最新回应记录在案。正如本报告第二部分所指出的，监督处的评估职能尚未得到资源，</w:t>
            </w:r>
            <w:r w:rsidRPr="008B1FF1">
              <w:rPr>
                <w:rFonts w:eastAsia="SimSun" w:cs="Calibri" w:hint="eastAsia"/>
                <w:color w:val="000000"/>
                <w:sz w:val="20"/>
                <w:lang w:val="zh-CN" w:eastAsia="zh-CN"/>
              </w:rPr>
              <w:t>亦未</w:t>
            </w:r>
            <w:r w:rsidRPr="008B1FF1">
              <w:rPr>
                <w:rFonts w:eastAsia="SimSun" w:cs="Calibri"/>
                <w:color w:val="000000"/>
                <w:sz w:val="20"/>
                <w:lang w:val="zh-CN" w:eastAsia="zh-CN"/>
              </w:rPr>
              <w:t>对国际电联</w:t>
            </w:r>
            <w:r w:rsidRPr="008B1FF1">
              <w:rPr>
                <w:rFonts w:eastAsia="SimSun" w:cs="Calibri" w:hint="eastAsia"/>
                <w:color w:val="000000"/>
                <w:sz w:val="20"/>
                <w:lang w:val="zh-CN" w:eastAsia="zh-CN"/>
              </w:rPr>
              <w:t>工作的</w:t>
            </w:r>
            <w:r w:rsidRPr="008B1FF1">
              <w:rPr>
                <w:rFonts w:eastAsia="SimSun" w:cs="Calibri"/>
                <w:color w:val="000000"/>
                <w:sz w:val="20"/>
                <w:lang w:val="zh-CN" w:eastAsia="zh-CN"/>
              </w:rPr>
              <w:t>有效性</w:t>
            </w:r>
            <w:r w:rsidRPr="008B1FF1">
              <w:rPr>
                <w:rFonts w:eastAsia="SimSun" w:cs="Calibri" w:hint="eastAsia"/>
                <w:color w:val="000000"/>
                <w:sz w:val="20"/>
                <w:lang w:val="zh-CN" w:eastAsia="zh-CN"/>
              </w:rPr>
              <w:t>进行</w:t>
            </w:r>
            <w:r w:rsidRPr="008B1FF1">
              <w:rPr>
                <w:rFonts w:eastAsia="SimSun" w:cs="Calibri"/>
                <w:color w:val="000000"/>
                <w:sz w:val="20"/>
                <w:lang w:val="zh-CN" w:eastAsia="zh-CN"/>
              </w:rPr>
              <w:t>系统评估。但是，该建议的具体要求已得到满足，我们认为该建议已经</w:t>
            </w:r>
            <w:r w:rsidRPr="008B1FF1">
              <w:rPr>
                <w:rFonts w:eastAsia="SimSun" w:cs="Calibri" w:hint="eastAsia"/>
                <w:color w:val="000000"/>
                <w:sz w:val="20"/>
                <w:lang w:val="zh-CN" w:eastAsia="zh-CN"/>
              </w:rPr>
              <w:t>落实</w:t>
            </w:r>
            <w:r w:rsidRPr="008B1FF1">
              <w:rPr>
                <w:rFonts w:eastAsia="SimSun" w:cs="Calibri"/>
                <w:color w:val="000000"/>
                <w:sz w:val="20"/>
                <w:lang w:val="zh-CN" w:eastAsia="zh-CN"/>
              </w:rPr>
              <w:t>。</w:t>
            </w:r>
          </w:p>
        </w:tc>
        <w:tc>
          <w:tcPr>
            <w:tcW w:w="450" w:type="pct"/>
            <w:shd w:val="clear" w:color="auto" w:fill="auto"/>
          </w:tcPr>
          <w:p w14:paraId="21FBACC9" w14:textId="73C28D35" w:rsidR="000245E2" w:rsidRPr="008B1FF1" w:rsidRDefault="00A62A5A" w:rsidP="000245E2">
            <w:pPr>
              <w:pStyle w:val="Tabletext"/>
              <w:rPr>
                <w:sz w:val="20"/>
              </w:rPr>
            </w:pPr>
            <w:r>
              <w:rPr>
                <w:rFonts w:ascii="SimSun" w:eastAsia="SimSun" w:hAnsi="SimSun" w:cs="SimSun" w:hint="eastAsia"/>
                <w:color w:val="000000"/>
                <w:sz w:val="20"/>
                <w:lang w:eastAsia="zh-CN"/>
              </w:rPr>
              <w:t>已关闭。</w:t>
            </w:r>
          </w:p>
        </w:tc>
      </w:tr>
      <w:tr w:rsidR="000245E2" w:rsidRPr="00536D01" w14:paraId="23E2849D" w14:textId="77777777" w:rsidTr="0011737E">
        <w:tc>
          <w:tcPr>
            <w:tcW w:w="300" w:type="pct"/>
            <w:shd w:val="clear" w:color="auto" w:fill="auto"/>
          </w:tcPr>
          <w:p w14:paraId="291C2585" w14:textId="6CE065F9" w:rsidR="000245E2" w:rsidRPr="008B1FF1" w:rsidRDefault="000245E2" w:rsidP="000245E2">
            <w:pPr>
              <w:pStyle w:val="Tabletext"/>
              <w:rPr>
                <w:sz w:val="20"/>
              </w:rPr>
            </w:pPr>
            <w:r w:rsidRPr="008B1FF1">
              <w:rPr>
                <w:rFonts w:eastAsia="SimSun" w:cs="Calibri"/>
                <w:color w:val="000000"/>
                <w:sz w:val="20"/>
                <w:lang w:val="zh-CN"/>
              </w:rPr>
              <w:t>R#6</w:t>
            </w:r>
            <w:r w:rsidRPr="008B1FF1">
              <w:rPr>
                <w:rFonts w:eastAsia="SimSun" w:cs="Calibri"/>
                <w:color w:val="000000"/>
                <w:sz w:val="20"/>
                <w:lang w:val="zh-CN"/>
              </w:rPr>
              <w:t>的</w:t>
            </w:r>
          </w:p>
        </w:tc>
        <w:tc>
          <w:tcPr>
            <w:tcW w:w="1450" w:type="pct"/>
            <w:shd w:val="clear" w:color="auto" w:fill="auto"/>
          </w:tcPr>
          <w:p w14:paraId="37D833D6" w14:textId="734A61F4" w:rsidR="000245E2" w:rsidRPr="008B1FF1" w:rsidRDefault="000245E2" w:rsidP="000245E2">
            <w:pPr>
              <w:pStyle w:val="Tabletext"/>
              <w:rPr>
                <w:sz w:val="20"/>
                <w:lang w:eastAsia="zh-CN"/>
              </w:rPr>
            </w:pPr>
            <w:r w:rsidRPr="008B1FF1">
              <w:rPr>
                <w:rFonts w:eastAsia="SimSun" w:cs="Calibri"/>
                <w:color w:val="000000"/>
                <w:sz w:val="20"/>
                <w:lang w:val="zh-CN" w:eastAsia="zh-CN"/>
              </w:rPr>
              <w:t>应就如何在客观标准基础上确定</w:t>
            </w:r>
            <w:r w:rsidRPr="008B1FF1">
              <w:rPr>
                <w:rFonts w:eastAsia="SimSun" w:cs="Calibri" w:hint="eastAsia"/>
                <w:color w:val="000000"/>
                <w:sz w:val="20"/>
                <w:lang w:val="zh-CN" w:eastAsia="zh-CN"/>
              </w:rPr>
              <w:t>重点工作</w:t>
            </w:r>
            <w:r w:rsidRPr="008B1FF1">
              <w:rPr>
                <w:rFonts w:eastAsia="SimSun" w:cs="Calibri"/>
                <w:color w:val="000000"/>
                <w:sz w:val="20"/>
                <w:lang w:val="zh-CN" w:eastAsia="zh-CN"/>
              </w:rPr>
              <w:t>提供指导。这些标准也应在世界各地的所有区域代表处</w:t>
            </w:r>
            <w:r w:rsidRPr="008B1FF1">
              <w:rPr>
                <w:rFonts w:eastAsia="SimSun" w:cs="Calibri" w:hint="eastAsia"/>
                <w:color w:val="000000"/>
                <w:sz w:val="20"/>
                <w:lang w:val="zh-CN" w:eastAsia="zh-CN"/>
              </w:rPr>
              <w:t>间</w:t>
            </w:r>
            <w:r w:rsidRPr="008B1FF1">
              <w:rPr>
                <w:rFonts w:eastAsia="SimSun" w:cs="Calibri"/>
                <w:color w:val="000000"/>
                <w:sz w:val="20"/>
                <w:lang w:val="zh-CN" w:eastAsia="zh-CN"/>
              </w:rPr>
              <w:t>保持一致，同时</w:t>
            </w:r>
            <w:r w:rsidRPr="008B1FF1">
              <w:rPr>
                <w:rFonts w:eastAsia="SimSun" w:cs="Calibri" w:hint="eastAsia"/>
                <w:color w:val="000000"/>
                <w:sz w:val="20"/>
                <w:lang w:val="zh-CN" w:eastAsia="zh-CN"/>
              </w:rPr>
              <w:t>要</w:t>
            </w:r>
            <w:r w:rsidRPr="008B1FF1">
              <w:rPr>
                <w:rFonts w:eastAsia="SimSun" w:cs="Calibri"/>
                <w:color w:val="000000"/>
                <w:sz w:val="20"/>
                <w:lang w:val="zh-CN" w:eastAsia="zh-CN"/>
              </w:rPr>
              <w:t>考虑到各区域的内在差异</w:t>
            </w:r>
          </w:p>
        </w:tc>
        <w:tc>
          <w:tcPr>
            <w:tcW w:w="1750" w:type="pct"/>
            <w:shd w:val="clear" w:color="auto" w:fill="auto"/>
          </w:tcPr>
          <w:p w14:paraId="234183DC"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w:t>
            </w:r>
            <w:r w:rsidRPr="008B1FF1">
              <w:rPr>
                <w:rFonts w:eastAsia="SimSun" w:cs="Calibri" w:hint="eastAsia"/>
                <w:color w:val="000000"/>
                <w:sz w:val="20"/>
                <w:lang w:val="zh-CN" w:eastAsia="zh-CN"/>
              </w:rPr>
              <w:t>此项工作</w:t>
            </w:r>
            <w:r w:rsidRPr="008B1FF1">
              <w:rPr>
                <w:rFonts w:eastAsia="SimSun" w:cs="Calibri"/>
                <w:color w:val="000000"/>
                <w:sz w:val="20"/>
                <w:lang w:val="zh-CN" w:eastAsia="zh-CN"/>
              </w:rPr>
              <w:t>仍然</w:t>
            </w:r>
            <w:r w:rsidRPr="008B1FF1">
              <w:rPr>
                <w:rFonts w:eastAsia="SimSun" w:cs="Calibri" w:hint="eastAsia"/>
                <w:color w:val="000000"/>
                <w:sz w:val="20"/>
                <w:lang w:val="zh-CN" w:eastAsia="zh-CN"/>
              </w:rPr>
              <w:t>面临</w:t>
            </w:r>
            <w:r w:rsidRPr="008B1FF1">
              <w:rPr>
                <w:rFonts w:eastAsia="SimSun" w:cs="Calibri"/>
                <w:color w:val="000000"/>
                <w:sz w:val="20"/>
                <w:lang w:val="zh-CN" w:eastAsia="zh-CN"/>
              </w:rPr>
              <w:t>持续挑战，因为需要在</w:t>
            </w:r>
            <w:r w:rsidRPr="008B1FF1">
              <w:rPr>
                <w:rFonts w:eastAsia="SimSun" w:cs="Calibri" w:hint="eastAsia"/>
                <w:color w:val="000000"/>
                <w:sz w:val="20"/>
                <w:lang w:val="zh-CN" w:eastAsia="zh-CN"/>
              </w:rPr>
              <w:t>《</w:t>
            </w:r>
            <w:r w:rsidRPr="008B1FF1">
              <w:rPr>
                <w:rFonts w:eastAsia="SimSun" w:cs="Calibri"/>
                <w:color w:val="000000"/>
                <w:sz w:val="20"/>
                <w:lang w:val="zh-CN" w:eastAsia="zh-CN"/>
              </w:rPr>
              <w:t>战略规划</w:t>
            </w:r>
            <w:r w:rsidRPr="008B1FF1">
              <w:rPr>
                <w:rFonts w:eastAsia="SimSun" w:cs="Calibri" w:hint="eastAsia"/>
                <w:color w:val="000000"/>
                <w:sz w:val="20"/>
                <w:lang w:val="zh-CN" w:eastAsia="zh-CN"/>
              </w:rPr>
              <w:t>》</w:t>
            </w:r>
            <w:r w:rsidRPr="008B1FF1">
              <w:rPr>
                <w:rFonts w:eastAsia="SimSun" w:cs="Calibri"/>
                <w:color w:val="000000"/>
                <w:sz w:val="20"/>
                <w:lang w:val="zh-CN" w:eastAsia="zh-CN"/>
              </w:rPr>
              <w:t>（</w:t>
            </w:r>
            <w:r w:rsidRPr="008B1FF1">
              <w:rPr>
                <w:rFonts w:eastAsia="SimSun" w:cs="Calibri"/>
                <w:color w:val="000000"/>
                <w:sz w:val="20"/>
                <w:lang w:val="zh-CN" w:eastAsia="zh-CN"/>
              </w:rPr>
              <w:t>SP</w:t>
            </w:r>
            <w:r w:rsidRPr="008B1FF1">
              <w:rPr>
                <w:rFonts w:eastAsia="SimSun" w:cs="Calibri"/>
                <w:color w:val="000000"/>
                <w:sz w:val="20"/>
                <w:lang w:val="zh-CN" w:eastAsia="zh-CN"/>
              </w:rPr>
              <w:t>）层面实施。目前的</w:t>
            </w:r>
            <w:r w:rsidRPr="008B1FF1">
              <w:rPr>
                <w:rFonts w:eastAsia="SimSun" w:cs="Calibri" w:hint="eastAsia"/>
                <w:color w:val="000000"/>
                <w:sz w:val="20"/>
                <w:lang w:val="zh-CN" w:eastAsia="zh-CN"/>
              </w:rPr>
              <w:t>《</w:t>
            </w:r>
            <w:r w:rsidRPr="008B1FF1">
              <w:rPr>
                <w:rFonts w:eastAsia="SimSun" w:cs="Calibri"/>
                <w:color w:val="000000"/>
                <w:sz w:val="20"/>
                <w:lang w:val="zh-CN" w:eastAsia="zh-CN"/>
              </w:rPr>
              <w:t>战略规划</w:t>
            </w:r>
            <w:r w:rsidRPr="008B1FF1">
              <w:rPr>
                <w:rFonts w:eastAsia="SimSun" w:cs="Calibri" w:hint="eastAsia"/>
                <w:color w:val="000000"/>
                <w:sz w:val="20"/>
                <w:lang w:val="zh-CN" w:eastAsia="zh-CN"/>
              </w:rPr>
              <w:t>》</w:t>
            </w:r>
            <w:r w:rsidRPr="008B1FF1">
              <w:rPr>
                <w:rFonts w:eastAsia="SimSun" w:cs="Calibri"/>
                <w:color w:val="000000"/>
                <w:sz w:val="20"/>
                <w:lang w:val="zh-CN" w:eastAsia="zh-CN"/>
              </w:rPr>
              <w:t>将于</w:t>
            </w:r>
            <w:r w:rsidRPr="008B1FF1">
              <w:rPr>
                <w:rFonts w:eastAsia="SimSun" w:cs="Calibri"/>
                <w:color w:val="000000"/>
                <w:sz w:val="20"/>
                <w:lang w:val="zh-CN" w:eastAsia="zh-CN"/>
              </w:rPr>
              <w:t>2027</w:t>
            </w:r>
            <w:r w:rsidRPr="008B1FF1">
              <w:rPr>
                <w:rFonts w:eastAsia="SimSun" w:cs="Calibri"/>
                <w:color w:val="000000"/>
                <w:sz w:val="20"/>
                <w:lang w:val="zh-CN" w:eastAsia="zh-CN"/>
              </w:rPr>
              <w:t>年结束，</w:t>
            </w:r>
            <w:r w:rsidRPr="008B1FF1">
              <w:rPr>
                <w:rFonts w:eastAsia="SimSun" w:cs="Calibri" w:hint="eastAsia"/>
                <w:color w:val="000000"/>
                <w:sz w:val="20"/>
                <w:lang w:val="zh-CN" w:eastAsia="zh-CN"/>
              </w:rPr>
              <w:t>如今正</w:t>
            </w:r>
            <w:r w:rsidRPr="008B1FF1">
              <w:rPr>
                <w:rFonts w:eastAsia="SimSun" w:cs="Calibri"/>
                <w:color w:val="000000"/>
                <w:sz w:val="20"/>
                <w:lang w:val="zh-CN" w:eastAsia="zh-CN"/>
              </w:rPr>
              <w:t>在对</w:t>
            </w:r>
            <w:r w:rsidRPr="008B1FF1">
              <w:rPr>
                <w:rFonts w:eastAsia="SimSun" w:cs="Calibri" w:hint="eastAsia"/>
                <w:color w:val="000000"/>
                <w:sz w:val="20"/>
                <w:lang w:val="zh-CN" w:eastAsia="zh-CN"/>
              </w:rPr>
              <w:t>《</w:t>
            </w:r>
            <w:r w:rsidRPr="008B1FF1">
              <w:rPr>
                <w:rFonts w:eastAsia="SimSun" w:cs="Calibri"/>
                <w:color w:val="000000"/>
                <w:sz w:val="20"/>
                <w:lang w:val="zh-CN" w:eastAsia="zh-CN"/>
              </w:rPr>
              <w:t>2028-2031</w:t>
            </w:r>
            <w:r w:rsidRPr="008B1FF1">
              <w:rPr>
                <w:rFonts w:eastAsia="SimSun" w:cs="Calibri"/>
                <w:color w:val="000000"/>
                <w:sz w:val="20"/>
                <w:lang w:val="zh-CN" w:eastAsia="zh-CN"/>
              </w:rPr>
              <w:t>年战略规划</w:t>
            </w:r>
            <w:r w:rsidRPr="008B1FF1">
              <w:rPr>
                <w:rFonts w:eastAsia="SimSun" w:cs="Calibri" w:hint="eastAsia"/>
                <w:color w:val="000000"/>
                <w:sz w:val="20"/>
                <w:lang w:val="zh-CN" w:eastAsia="zh-CN"/>
              </w:rPr>
              <w:t>》</w:t>
            </w:r>
            <w:r w:rsidRPr="008B1FF1">
              <w:rPr>
                <w:rFonts w:eastAsia="SimSun" w:cs="Calibri"/>
                <w:color w:val="000000"/>
                <w:sz w:val="20"/>
                <w:lang w:val="zh-CN" w:eastAsia="zh-CN"/>
              </w:rPr>
              <w:t>的工作进行调整，以</w:t>
            </w:r>
            <w:r w:rsidRPr="008B1FF1">
              <w:rPr>
                <w:rFonts w:eastAsia="SimSun" w:cs="Calibri" w:hint="eastAsia"/>
                <w:color w:val="000000"/>
                <w:sz w:val="20"/>
                <w:lang w:val="zh-CN" w:eastAsia="zh-CN"/>
              </w:rPr>
              <w:t>便</w:t>
            </w:r>
            <w:r w:rsidRPr="008B1FF1">
              <w:rPr>
                <w:rFonts w:eastAsia="SimSun" w:cs="Calibri"/>
                <w:color w:val="000000"/>
                <w:sz w:val="20"/>
                <w:lang w:val="zh-CN" w:eastAsia="zh-CN"/>
              </w:rPr>
              <w:t>通过</w:t>
            </w:r>
            <w:r w:rsidRPr="008B1FF1">
              <w:rPr>
                <w:rFonts w:eastAsia="SimSun" w:cs="Calibri" w:hint="eastAsia"/>
                <w:color w:val="000000"/>
                <w:sz w:val="20"/>
                <w:lang w:val="zh-CN" w:eastAsia="zh-CN"/>
              </w:rPr>
              <w:t>加强</w:t>
            </w:r>
            <w:r w:rsidRPr="008B1FF1">
              <w:rPr>
                <w:rFonts w:eastAsia="SimSun" w:cs="Calibri"/>
                <w:color w:val="000000"/>
                <w:sz w:val="20"/>
                <w:lang w:val="zh-CN" w:eastAsia="zh-CN"/>
              </w:rPr>
              <w:t>国际电联区域代表</w:t>
            </w:r>
            <w:r w:rsidRPr="008B1FF1">
              <w:rPr>
                <w:rFonts w:eastAsia="SimSun" w:cs="Calibri" w:hint="eastAsia"/>
                <w:color w:val="000000"/>
                <w:sz w:val="20"/>
                <w:lang w:val="zh-CN" w:eastAsia="zh-CN"/>
              </w:rPr>
              <w:t>性</w:t>
            </w:r>
            <w:r w:rsidRPr="008B1FF1">
              <w:rPr>
                <w:rFonts w:eastAsia="SimSun" w:cs="Calibri"/>
                <w:color w:val="000000"/>
                <w:sz w:val="20"/>
                <w:lang w:val="zh-CN" w:eastAsia="zh-CN"/>
              </w:rPr>
              <w:t>改进基于结果的管理和</w:t>
            </w:r>
            <w:r w:rsidRPr="008B1FF1">
              <w:rPr>
                <w:rFonts w:eastAsia="SimSun" w:cs="Calibri" w:hint="eastAsia"/>
                <w:color w:val="000000"/>
                <w:sz w:val="20"/>
                <w:lang w:val="zh-CN" w:eastAsia="zh-CN"/>
              </w:rPr>
              <w:t>促进分</w:t>
            </w:r>
            <w:r w:rsidRPr="008B1FF1">
              <w:rPr>
                <w:rFonts w:eastAsia="SimSun" w:cs="Calibri"/>
                <w:color w:val="000000"/>
                <w:sz w:val="20"/>
                <w:lang w:val="zh-CN" w:eastAsia="zh-CN"/>
              </w:rPr>
              <w:t>级目标的实现。</w:t>
            </w:r>
          </w:p>
          <w:p w14:paraId="281C970B" w14:textId="236C4DDD"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国际电联认为实施工作正在进行中</w:t>
            </w:r>
          </w:p>
        </w:tc>
        <w:tc>
          <w:tcPr>
            <w:tcW w:w="1050" w:type="pct"/>
            <w:shd w:val="clear" w:color="auto" w:fill="auto"/>
          </w:tcPr>
          <w:p w14:paraId="6BDB5B22" w14:textId="0309463C" w:rsidR="000245E2" w:rsidRPr="008B1FF1" w:rsidRDefault="000245E2" w:rsidP="000245E2">
            <w:pPr>
              <w:pStyle w:val="Tabletext"/>
              <w:rPr>
                <w:sz w:val="20"/>
                <w:lang w:eastAsia="zh-CN"/>
              </w:rPr>
            </w:pPr>
            <w:r w:rsidRPr="008B1FF1">
              <w:rPr>
                <w:rFonts w:eastAsia="SimSun" w:cs="Calibri"/>
                <w:color w:val="000000"/>
                <w:sz w:val="20"/>
                <w:lang w:val="zh-CN" w:eastAsia="zh-CN"/>
              </w:rPr>
              <w:t>已将最新回应记录在案。此处强调的问题与我们在本报告第三部分阐述的今年</w:t>
            </w:r>
            <w:r w:rsidRPr="008B1FF1">
              <w:rPr>
                <w:rFonts w:eastAsia="SimSun" w:cs="Calibri" w:hint="eastAsia"/>
                <w:color w:val="000000"/>
                <w:sz w:val="20"/>
                <w:lang w:val="zh-CN" w:eastAsia="zh-CN"/>
              </w:rPr>
              <w:t>的</w:t>
            </w:r>
            <w:r w:rsidRPr="008B1FF1">
              <w:rPr>
                <w:rFonts w:eastAsia="SimSun" w:cs="Calibri"/>
                <w:color w:val="000000"/>
                <w:sz w:val="20"/>
                <w:lang w:val="zh-CN" w:eastAsia="zh-CN"/>
              </w:rPr>
              <w:t>观察结果</w:t>
            </w:r>
            <w:r w:rsidRPr="008B1FF1">
              <w:rPr>
                <w:rFonts w:eastAsia="SimSun" w:cs="Calibri" w:hint="eastAsia"/>
                <w:color w:val="000000"/>
                <w:sz w:val="20"/>
                <w:lang w:val="zh-CN" w:eastAsia="zh-CN"/>
              </w:rPr>
              <w:t>相</w:t>
            </w:r>
            <w:r w:rsidRPr="008B1FF1">
              <w:rPr>
                <w:rFonts w:eastAsia="SimSun" w:cs="Calibri"/>
                <w:color w:val="000000"/>
                <w:sz w:val="20"/>
                <w:lang w:val="zh-CN" w:eastAsia="zh-CN"/>
              </w:rPr>
              <w:t>一致。</w:t>
            </w:r>
          </w:p>
        </w:tc>
        <w:tc>
          <w:tcPr>
            <w:tcW w:w="450" w:type="pct"/>
            <w:shd w:val="clear" w:color="auto" w:fill="auto"/>
          </w:tcPr>
          <w:p w14:paraId="594414E5" w14:textId="204E456F" w:rsidR="000245E2" w:rsidRPr="008B1FF1" w:rsidRDefault="000245E2" w:rsidP="000245E2">
            <w:pPr>
              <w:pStyle w:val="Tabletext"/>
              <w:rPr>
                <w:sz w:val="20"/>
                <w:lang w:eastAsia="zh-CN"/>
              </w:rPr>
            </w:pPr>
            <w:r w:rsidRPr="008B1FF1">
              <w:rPr>
                <w:rFonts w:eastAsia="SimSun" w:cs="Calibri" w:hint="eastAsia"/>
                <w:color w:val="000000"/>
                <w:sz w:val="20"/>
                <w:lang w:val="zh-CN" w:eastAsia="zh-CN"/>
              </w:rPr>
              <w:t>落实中。</w:t>
            </w:r>
          </w:p>
        </w:tc>
      </w:tr>
      <w:tr w:rsidR="000245E2" w:rsidRPr="00536D01" w14:paraId="50395480" w14:textId="77777777" w:rsidTr="0011737E">
        <w:tc>
          <w:tcPr>
            <w:tcW w:w="300" w:type="pct"/>
            <w:shd w:val="clear" w:color="auto" w:fill="auto"/>
          </w:tcPr>
          <w:p w14:paraId="44063255" w14:textId="712FB422" w:rsidR="000245E2" w:rsidRPr="008B1FF1" w:rsidRDefault="000245E2" w:rsidP="00E17413">
            <w:pPr>
              <w:pStyle w:val="Tabletext"/>
              <w:keepNext/>
              <w:keepLines/>
              <w:rPr>
                <w:sz w:val="20"/>
              </w:rPr>
            </w:pPr>
            <w:r w:rsidRPr="008B1FF1">
              <w:rPr>
                <w:rFonts w:eastAsia="SimSun" w:cs="Calibri"/>
                <w:color w:val="000000"/>
                <w:sz w:val="20"/>
                <w:lang w:val="zh-CN"/>
              </w:rPr>
              <w:lastRenderedPageBreak/>
              <w:t>R#7</w:t>
            </w:r>
          </w:p>
        </w:tc>
        <w:tc>
          <w:tcPr>
            <w:tcW w:w="1450" w:type="pct"/>
            <w:shd w:val="clear" w:color="auto" w:fill="auto"/>
          </w:tcPr>
          <w:p w14:paraId="3CC5C2AB" w14:textId="00A8FBD7" w:rsidR="000245E2" w:rsidRPr="008B1FF1" w:rsidRDefault="000245E2" w:rsidP="00E17413">
            <w:pPr>
              <w:pStyle w:val="Tabletext"/>
              <w:keepNext/>
              <w:keepLines/>
              <w:rPr>
                <w:sz w:val="20"/>
                <w:lang w:eastAsia="zh-CN"/>
              </w:rPr>
            </w:pPr>
            <w:r w:rsidRPr="008B1FF1">
              <w:rPr>
                <w:rFonts w:eastAsia="SimSun" w:cs="Calibri"/>
                <w:color w:val="000000"/>
                <w:sz w:val="20"/>
                <w:lang w:val="zh-CN" w:eastAsia="zh-CN"/>
              </w:rPr>
              <w:t>国际电联应强化在项目评估方面的</w:t>
            </w:r>
            <w:r w:rsidRPr="008B1FF1">
              <w:rPr>
                <w:rFonts w:eastAsia="SimSun" w:cs="Calibri" w:hint="eastAsia"/>
                <w:color w:val="000000"/>
                <w:sz w:val="20"/>
                <w:lang w:val="zh-CN" w:eastAsia="zh-CN"/>
              </w:rPr>
              <w:t>职能</w:t>
            </w:r>
            <w:r w:rsidRPr="008B1FF1">
              <w:rPr>
                <w:rFonts w:eastAsia="SimSun" w:cs="Calibri"/>
                <w:color w:val="000000"/>
                <w:sz w:val="20"/>
                <w:lang w:val="zh-CN" w:eastAsia="zh-CN"/>
              </w:rPr>
              <w:t>，以便：</w:t>
            </w:r>
            <w:r w:rsidRPr="008B1FF1">
              <w:rPr>
                <w:rFonts w:eastAsia="SimSun" w:cs="Calibri"/>
                <w:color w:val="000000"/>
                <w:sz w:val="20"/>
                <w:lang w:val="zh-CN" w:eastAsia="zh-CN"/>
              </w:rPr>
              <w:t xml:space="preserve">1) </w:t>
            </w:r>
            <w:r w:rsidRPr="008B1FF1">
              <w:rPr>
                <w:rFonts w:eastAsia="SimSun" w:cs="Calibri"/>
                <w:color w:val="000000"/>
                <w:sz w:val="20"/>
                <w:lang w:val="zh-CN" w:eastAsia="zh-CN"/>
              </w:rPr>
              <w:t>防止因项目无法运作</w:t>
            </w:r>
            <w:r w:rsidRPr="008B1FF1">
              <w:rPr>
                <w:rFonts w:eastAsia="SimSun" w:cs="Calibri" w:hint="eastAsia"/>
                <w:color w:val="000000"/>
                <w:sz w:val="20"/>
                <w:lang w:val="zh-CN" w:eastAsia="zh-CN"/>
              </w:rPr>
              <w:t>造成</w:t>
            </w:r>
            <w:r w:rsidRPr="008B1FF1">
              <w:rPr>
                <w:rFonts w:eastAsia="SimSun" w:cs="Calibri"/>
                <w:color w:val="000000"/>
                <w:sz w:val="20"/>
                <w:lang w:val="zh-CN" w:eastAsia="zh-CN"/>
              </w:rPr>
              <w:t>声誉风险；</w:t>
            </w:r>
            <w:r w:rsidRPr="008B1FF1">
              <w:rPr>
                <w:rFonts w:eastAsia="SimSun" w:cs="Calibri"/>
                <w:color w:val="000000"/>
                <w:sz w:val="20"/>
                <w:lang w:val="zh-CN" w:eastAsia="zh-CN"/>
              </w:rPr>
              <w:t>2)</w:t>
            </w:r>
            <w:r w:rsidRPr="008B1FF1">
              <w:rPr>
                <w:rFonts w:eastAsia="SimSun" w:cs="Calibri" w:hint="eastAsia"/>
                <w:color w:val="000000"/>
                <w:sz w:val="20"/>
                <w:lang w:val="zh-CN" w:eastAsia="zh-CN"/>
              </w:rPr>
              <w:t xml:space="preserve"> </w:t>
            </w:r>
            <w:r w:rsidRPr="008B1FF1">
              <w:rPr>
                <w:rFonts w:eastAsia="SimSun" w:cs="Calibri"/>
                <w:color w:val="000000"/>
                <w:sz w:val="20"/>
                <w:lang w:val="zh-CN" w:eastAsia="zh-CN"/>
              </w:rPr>
              <w:t>全面了解工作</w:t>
            </w:r>
            <w:r w:rsidRPr="008B1FF1">
              <w:rPr>
                <w:rFonts w:eastAsia="SimSun" w:cs="Calibri" w:hint="eastAsia"/>
                <w:color w:val="000000"/>
                <w:sz w:val="20"/>
                <w:lang w:val="zh-CN" w:eastAsia="zh-CN"/>
              </w:rPr>
              <w:t>产生</w:t>
            </w:r>
            <w:r w:rsidRPr="008B1FF1">
              <w:rPr>
                <w:rFonts w:eastAsia="SimSun" w:cs="Calibri"/>
                <w:color w:val="000000"/>
                <w:sz w:val="20"/>
                <w:lang w:val="zh-CN" w:eastAsia="zh-CN"/>
              </w:rPr>
              <w:t>的影响，</w:t>
            </w:r>
            <w:r w:rsidRPr="008B1FF1">
              <w:rPr>
                <w:rFonts w:eastAsia="SimSun" w:cs="Calibri"/>
                <w:color w:val="000000"/>
                <w:sz w:val="20"/>
                <w:lang w:val="zh-CN" w:eastAsia="zh-CN"/>
              </w:rPr>
              <w:t xml:space="preserve">3) </w:t>
            </w:r>
            <w:r w:rsidRPr="008B1FF1">
              <w:rPr>
                <w:rFonts w:eastAsia="SimSun" w:cs="Calibri"/>
                <w:color w:val="000000"/>
                <w:sz w:val="20"/>
                <w:lang w:val="zh-CN" w:eastAsia="zh-CN"/>
              </w:rPr>
              <w:t>确定可能采取的与项目实施相关的纠正措施。包括敦促</w:t>
            </w:r>
            <w:r w:rsidRPr="008B1FF1">
              <w:rPr>
                <w:rFonts w:eastAsia="SimSun" w:cs="Calibri" w:hint="eastAsia"/>
                <w:color w:val="000000"/>
                <w:sz w:val="20"/>
                <w:lang w:val="zh-CN" w:eastAsia="zh-CN"/>
              </w:rPr>
              <w:t>对口</w:t>
            </w:r>
            <w:r w:rsidRPr="008B1FF1">
              <w:rPr>
                <w:rFonts w:eastAsia="SimSun" w:cs="Calibri"/>
                <w:color w:val="000000"/>
                <w:sz w:val="20"/>
                <w:lang w:val="zh-CN" w:eastAsia="zh-CN"/>
              </w:rPr>
              <w:t>机构为每个项目划拨特定资金，用于评估。对于小型项目，如果</w:t>
            </w:r>
            <w:r w:rsidRPr="008B1FF1">
              <w:rPr>
                <w:rFonts w:eastAsia="SimSun" w:cs="Calibri" w:hint="eastAsia"/>
                <w:color w:val="000000"/>
                <w:sz w:val="20"/>
                <w:lang w:val="zh-CN" w:eastAsia="zh-CN"/>
              </w:rPr>
              <w:t>认为</w:t>
            </w:r>
            <w:r w:rsidRPr="008B1FF1">
              <w:rPr>
                <w:rFonts w:eastAsia="SimSun" w:cs="Calibri"/>
                <w:color w:val="000000"/>
                <w:sz w:val="20"/>
                <w:lang w:val="zh-CN" w:eastAsia="zh-CN"/>
              </w:rPr>
              <w:t>评估不具成本效益，管理层仍应对项目绩效进行有限分析。</w:t>
            </w:r>
          </w:p>
        </w:tc>
        <w:tc>
          <w:tcPr>
            <w:tcW w:w="1750" w:type="pct"/>
            <w:shd w:val="clear" w:color="auto" w:fill="auto"/>
          </w:tcPr>
          <w:p w14:paraId="2F8680FC" w14:textId="77777777" w:rsidR="000245E2" w:rsidRPr="008B1FF1" w:rsidRDefault="000245E2" w:rsidP="00E17413">
            <w:pPr>
              <w:pStyle w:val="Tabletext"/>
              <w:keepNext/>
              <w:keepLines/>
              <w:rPr>
                <w:rFonts w:eastAsia="SimSun" w:cs="Calibri"/>
                <w:sz w:val="20"/>
                <w:lang w:eastAsia="zh-CN"/>
              </w:rPr>
            </w:pPr>
            <w:r w:rsidRPr="008B1FF1">
              <w:rPr>
                <w:rFonts w:eastAsia="SimSun" w:cs="Calibri"/>
                <w:color w:val="000000"/>
                <w:sz w:val="20"/>
                <w:lang w:val="zh-CN" w:eastAsia="zh-CN"/>
              </w:rPr>
              <w:t>国际电联已注意到</w:t>
            </w:r>
            <w:r w:rsidRPr="008B1FF1">
              <w:rPr>
                <w:rFonts w:eastAsia="SimSun" w:cs="Calibri" w:hint="eastAsia"/>
                <w:color w:val="000000"/>
                <w:sz w:val="20"/>
                <w:lang w:val="zh-CN" w:eastAsia="zh-CN"/>
              </w:rPr>
              <w:t>第</w:t>
            </w:r>
            <w:r w:rsidRPr="008B1FF1">
              <w:rPr>
                <w:rFonts w:eastAsia="SimSun" w:cs="Calibri" w:hint="eastAsia"/>
                <w:color w:val="000000"/>
                <w:sz w:val="20"/>
                <w:lang w:val="zh-CN" w:eastAsia="zh-CN"/>
              </w:rPr>
              <w:t>7</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建议。国际电联将继续与对口</w:t>
            </w:r>
            <w:r w:rsidRPr="008B1FF1">
              <w:rPr>
                <w:rFonts w:eastAsia="SimSun" w:cs="Calibri" w:hint="eastAsia"/>
                <w:color w:val="000000"/>
                <w:sz w:val="20"/>
                <w:lang w:val="zh-CN" w:eastAsia="zh-CN"/>
              </w:rPr>
              <w:t>机构</w:t>
            </w:r>
            <w:r w:rsidRPr="008B1FF1">
              <w:rPr>
                <w:rFonts w:eastAsia="SimSun" w:cs="Calibri"/>
                <w:color w:val="000000"/>
                <w:sz w:val="20"/>
                <w:lang w:val="zh-CN" w:eastAsia="zh-CN"/>
              </w:rPr>
              <w:t>探讨</w:t>
            </w:r>
            <w:r w:rsidRPr="008B1FF1">
              <w:rPr>
                <w:rFonts w:eastAsia="SimSun" w:cs="Calibri" w:hint="eastAsia"/>
                <w:color w:val="000000"/>
                <w:sz w:val="20"/>
                <w:lang w:val="zh-CN" w:eastAsia="zh-CN"/>
              </w:rPr>
              <w:t>为</w:t>
            </w:r>
            <w:r w:rsidRPr="008B1FF1">
              <w:rPr>
                <w:rFonts w:eastAsia="SimSun" w:cs="Calibri"/>
                <w:color w:val="000000"/>
                <w:sz w:val="20"/>
                <w:lang w:val="zh-CN" w:eastAsia="zh-CN"/>
              </w:rPr>
              <w:t>每个项目划拨特定资金的可能性，以涵盖</w:t>
            </w:r>
            <w:r w:rsidRPr="008B1FF1">
              <w:rPr>
                <w:rFonts w:eastAsia="SimSun" w:cs="Calibri" w:hint="eastAsia"/>
                <w:color w:val="000000"/>
                <w:sz w:val="20"/>
                <w:lang w:val="zh-CN" w:eastAsia="zh-CN"/>
              </w:rPr>
              <w:t>针对</w:t>
            </w:r>
            <w:r w:rsidRPr="008B1FF1">
              <w:rPr>
                <w:rFonts w:eastAsia="SimSun" w:cs="Calibri"/>
                <w:color w:val="000000"/>
                <w:sz w:val="20"/>
                <w:lang w:val="zh-CN" w:eastAsia="zh-CN"/>
              </w:rPr>
              <w:t>此类项目评估。</w:t>
            </w:r>
          </w:p>
          <w:p w14:paraId="560F1A3D" w14:textId="683CA2A5" w:rsidR="000245E2" w:rsidRPr="008B1FF1" w:rsidRDefault="000245E2" w:rsidP="00E17413">
            <w:pPr>
              <w:pStyle w:val="Tabletext"/>
              <w:keepNext/>
              <w:keepLines/>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eastAsia="zh-CN"/>
              </w:rPr>
              <w:t>2020</w:t>
            </w:r>
            <w:r w:rsidRPr="008B1FF1">
              <w:rPr>
                <w:rFonts w:eastAsia="SimSun" w:cs="Calibri"/>
                <w:color w:val="000000"/>
                <w:sz w:val="20"/>
                <w:lang w:val="zh-CN" w:eastAsia="zh-CN"/>
              </w:rPr>
              <w:t>年</w:t>
            </w:r>
            <w:r w:rsidRPr="008B1FF1">
              <w:rPr>
                <w:rFonts w:eastAsia="SimSun" w:cs="Calibri"/>
                <w:color w:val="000000"/>
                <w:sz w:val="20"/>
                <w:lang w:eastAsia="zh-CN"/>
              </w:rPr>
              <w:t>10</w:t>
            </w:r>
            <w:r w:rsidRPr="008B1FF1">
              <w:rPr>
                <w:rFonts w:eastAsia="SimSun" w:cs="Calibri"/>
                <w:color w:val="000000"/>
                <w:sz w:val="20"/>
                <w:lang w:val="zh-CN" w:eastAsia="zh-CN"/>
              </w:rPr>
              <w:t>月的</w:t>
            </w:r>
            <w:r w:rsidRPr="008B1FF1">
              <w:rPr>
                <w:rFonts w:eastAsia="SimSun" w:cs="Calibri" w:hint="eastAsia"/>
                <w:color w:val="000000"/>
                <w:sz w:val="20"/>
                <w:lang w:val="zh-CN" w:eastAsia="zh-CN"/>
              </w:rPr>
              <w:t>最</w:t>
            </w:r>
            <w:r w:rsidRPr="008B1FF1">
              <w:rPr>
                <w:rFonts w:eastAsia="SimSun" w:cs="Calibri"/>
                <w:color w:val="000000"/>
                <w:sz w:val="20"/>
                <w:lang w:val="zh-CN" w:eastAsia="zh-CN"/>
              </w:rPr>
              <w:t>新</w:t>
            </w:r>
            <w:r w:rsidRPr="008B1FF1">
              <w:rPr>
                <w:rFonts w:eastAsia="SimSun" w:cs="Calibri" w:hint="eastAsia"/>
                <w:color w:val="000000"/>
                <w:sz w:val="20"/>
                <w:lang w:val="zh-CN" w:eastAsia="zh-CN"/>
              </w:rPr>
              <w:t>进展</w:t>
            </w:r>
            <w:r w:rsidRPr="008B1FF1">
              <w:rPr>
                <w:rFonts w:eastAsia="SimSun" w:cs="Calibri"/>
                <w:color w:val="000000"/>
                <w:sz w:val="20"/>
                <w:lang w:eastAsia="zh-CN"/>
              </w:rPr>
              <w:t>：</w:t>
            </w:r>
            <w:r w:rsidRPr="008B1FF1">
              <w:rPr>
                <w:rFonts w:eastAsia="SimSun" w:cs="Calibri"/>
                <w:color w:val="000000"/>
                <w:sz w:val="20"/>
                <w:lang w:val="zh-CN" w:eastAsia="zh-CN"/>
              </w:rPr>
              <w:t>如</w:t>
            </w:r>
            <w:r w:rsidRPr="008B1FF1">
              <w:rPr>
                <w:sz w:val="20"/>
                <w:lang w:eastAsia="zh-CN"/>
              </w:rPr>
              <w:t>S20-CL-C-0074!!PDF-E.pdf</w:t>
            </w:r>
            <w:r w:rsidRPr="008B1FF1">
              <w:rPr>
                <w:rFonts w:ascii="SimSun" w:eastAsia="SimSun" w:hAnsi="SimSun" w:cs="SimSun" w:hint="eastAsia"/>
                <w:sz w:val="20"/>
                <w:lang w:eastAsia="zh-CN"/>
              </w:rPr>
              <w:t>文件所述</w:t>
            </w:r>
            <w:r w:rsidRPr="008B1FF1">
              <w:rPr>
                <w:rFonts w:eastAsia="SimSun" w:cs="Calibri"/>
                <w:color w:val="000000"/>
                <w:sz w:val="20"/>
                <w:lang w:eastAsia="zh-CN"/>
              </w:rPr>
              <w:t>（</w:t>
            </w:r>
            <w:r w:rsidRPr="008B1FF1">
              <w:rPr>
                <w:rFonts w:eastAsia="SimSun" w:cs="Calibri"/>
                <w:color w:val="000000"/>
                <w:sz w:val="20"/>
                <w:lang w:eastAsia="zh-CN"/>
              </w:rPr>
              <w:t>2020</w:t>
            </w:r>
            <w:r w:rsidRPr="008B1FF1">
              <w:rPr>
                <w:rFonts w:eastAsia="SimSun" w:cs="Calibri"/>
                <w:color w:val="000000"/>
                <w:sz w:val="20"/>
                <w:lang w:val="zh-CN" w:eastAsia="zh-CN"/>
              </w:rPr>
              <w:t>年</w:t>
            </w:r>
            <w:r w:rsidRPr="008B1FF1">
              <w:rPr>
                <w:rFonts w:eastAsia="SimSun" w:cs="Calibri"/>
                <w:color w:val="000000"/>
                <w:sz w:val="20"/>
                <w:lang w:eastAsia="zh-CN"/>
              </w:rPr>
              <w:t>10</w:t>
            </w:r>
            <w:r w:rsidRPr="008B1FF1">
              <w:rPr>
                <w:rFonts w:eastAsia="SimSun" w:cs="Calibri"/>
                <w:color w:val="000000"/>
                <w:sz w:val="20"/>
                <w:lang w:val="zh-CN" w:eastAsia="zh-CN"/>
              </w:rPr>
              <w:t>月</w:t>
            </w:r>
            <w:r w:rsidRPr="008B1FF1">
              <w:rPr>
                <w:rFonts w:eastAsia="SimSun" w:cs="Calibri"/>
                <w:color w:val="000000"/>
                <w:sz w:val="20"/>
                <w:lang w:eastAsia="zh-CN"/>
              </w:rPr>
              <w:t>5</w:t>
            </w:r>
            <w:r w:rsidRPr="008B1FF1">
              <w:rPr>
                <w:rFonts w:eastAsia="SimSun" w:cs="Calibri"/>
                <w:color w:val="000000"/>
                <w:sz w:val="20"/>
                <w:lang w:val="zh-CN" w:eastAsia="zh-CN"/>
              </w:rPr>
              <w:t>日的</w:t>
            </w:r>
            <w:hyperlink r:id="rId34" w:history="1">
              <w:r w:rsidR="00DF3E54" w:rsidRPr="008B1FF1">
                <w:rPr>
                  <w:rStyle w:val="Hyperlink"/>
                  <w:sz w:val="20"/>
                  <w:lang w:eastAsia="zh-CN"/>
                </w:rPr>
                <w:t>C20/74</w:t>
              </w:r>
            </w:hyperlink>
            <w:r w:rsidRPr="008B1FF1">
              <w:rPr>
                <w:rFonts w:eastAsia="SimSun" w:cs="Calibri"/>
                <w:color w:val="000000"/>
                <w:sz w:val="20"/>
                <w:lang w:val="zh-CN" w:eastAsia="zh-CN"/>
              </w:rPr>
              <w:t>号文件</w:t>
            </w:r>
            <w:r w:rsidRPr="008B1FF1">
              <w:rPr>
                <w:rFonts w:eastAsia="SimSun" w:cs="Calibri"/>
                <w:color w:val="000000"/>
                <w:sz w:val="20"/>
                <w:lang w:eastAsia="zh-CN"/>
              </w:rPr>
              <w:t>），</w:t>
            </w:r>
            <w:r w:rsidRPr="008B1FF1">
              <w:rPr>
                <w:rFonts w:eastAsia="SimSun" w:cs="Calibri" w:hint="eastAsia"/>
                <w:color w:val="000000"/>
                <w:sz w:val="20"/>
                <w:lang w:eastAsia="zh-CN"/>
              </w:rPr>
              <w:t>此建议的状态为</w:t>
            </w:r>
            <w:r w:rsidRPr="008B1FF1">
              <w:rPr>
                <w:rFonts w:eastAsia="SimSun" w:cs="Calibri" w:hint="eastAsia"/>
                <w:color w:val="000000"/>
                <w:sz w:val="20"/>
                <w:lang w:val="zh-CN" w:eastAsia="zh-CN"/>
              </w:rPr>
              <w:t>正在实施中</w:t>
            </w:r>
            <w:r w:rsidRPr="008B1FF1">
              <w:rPr>
                <w:rFonts w:eastAsia="SimSun" w:cs="Calibri"/>
                <w:color w:val="000000"/>
                <w:sz w:val="20"/>
                <w:lang w:val="zh-CN" w:eastAsia="zh-CN"/>
              </w:rPr>
              <w:t>。我们注意到，</w:t>
            </w:r>
            <w:r w:rsidRPr="008B1FF1">
              <w:rPr>
                <w:rFonts w:eastAsia="SimSun" w:cs="Calibri" w:hint="eastAsia"/>
                <w:color w:val="000000"/>
                <w:sz w:val="20"/>
                <w:lang w:val="zh-CN" w:eastAsia="zh-CN"/>
              </w:rPr>
              <w:t>此</w:t>
            </w:r>
            <w:r w:rsidRPr="008B1FF1">
              <w:rPr>
                <w:rFonts w:eastAsia="SimSun" w:cs="Calibri"/>
                <w:color w:val="000000"/>
                <w:sz w:val="20"/>
                <w:lang w:val="zh-CN" w:eastAsia="zh-CN"/>
              </w:rPr>
              <w:t>建议要求采取两项行动：加强对项目实施过程的监督和</w:t>
            </w:r>
            <w:r w:rsidRPr="008B1FF1">
              <w:rPr>
                <w:rFonts w:eastAsia="SimSun" w:cs="Calibri" w:hint="eastAsia"/>
                <w:color w:val="000000"/>
                <w:sz w:val="20"/>
                <w:lang w:val="zh-CN" w:eastAsia="zh-CN"/>
              </w:rPr>
              <w:t>对</w:t>
            </w:r>
            <w:r w:rsidRPr="008B1FF1">
              <w:rPr>
                <w:rFonts w:eastAsia="SimSun" w:cs="Calibri"/>
                <w:color w:val="000000"/>
                <w:sz w:val="20"/>
                <w:lang w:val="zh-CN" w:eastAsia="zh-CN"/>
              </w:rPr>
              <w:t>交付后</w:t>
            </w:r>
            <w:r w:rsidRPr="008B1FF1">
              <w:rPr>
                <w:rFonts w:eastAsia="SimSun" w:cs="Calibri" w:hint="eastAsia"/>
                <w:color w:val="000000"/>
                <w:sz w:val="20"/>
                <w:lang w:val="zh-CN" w:eastAsia="zh-CN"/>
              </w:rPr>
              <w:t>的</w:t>
            </w:r>
            <w:r w:rsidRPr="008B1FF1">
              <w:rPr>
                <w:rFonts w:eastAsia="SimSun" w:cs="Calibri"/>
                <w:color w:val="000000"/>
                <w:sz w:val="20"/>
                <w:lang w:val="zh-CN" w:eastAsia="zh-CN"/>
              </w:rPr>
              <w:t>影响进行监督。</w:t>
            </w:r>
          </w:p>
          <w:p w14:paraId="1C6E7612" w14:textId="1670FE61" w:rsidR="000245E2" w:rsidRPr="008B1FF1" w:rsidRDefault="000245E2" w:rsidP="00E17413">
            <w:pPr>
              <w:pStyle w:val="Tabletext"/>
              <w:keepNext/>
              <w:keepLines/>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月的最新进展：《国际电联内部监督章程》设立了一个评估职能，</w:t>
            </w:r>
            <w:r w:rsidRPr="008B1FF1">
              <w:rPr>
                <w:rFonts w:eastAsia="SimSun" w:cs="Calibri" w:hint="eastAsia"/>
                <w:color w:val="000000"/>
                <w:sz w:val="20"/>
                <w:lang w:val="zh-CN" w:eastAsia="zh-CN"/>
              </w:rPr>
              <w:t>目前正在招聘一个</w:t>
            </w:r>
            <w:r w:rsidRPr="008B1FF1">
              <w:rPr>
                <w:rFonts w:eastAsia="SimSun" w:cs="Calibri"/>
                <w:color w:val="000000"/>
                <w:sz w:val="20"/>
                <w:lang w:val="zh-CN" w:eastAsia="zh-CN"/>
              </w:rPr>
              <w:t>P4</w:t>
            </w:r>
            <w:r w:rsidRPr="008B1FF1">
              <w:rPr>
                <w:rFonts w:eastAsia="SimSun" w:cs="Calibri" w:hint="eastAsia"/>
                <w:color w:val="000000"/>
                <w:sz w:val="20"/>
                <w:lang w:val="zh-CN" w:eastAsia="zh-CN"/>
              </w:rPr>
              <w:t>级</w:t>
            </w:r>
            <w:r w:rsidRPr="008B1FF1">
              <w:rPr>
                <w:rFonts w:eastAsia="SimSun" w:cs="Calibri"/>
                <w:color w:val="000000"/>
                <w:sz w:val="20"/>
                <w:lang w:val="zh-CN" w:eastAsia="zh-CN"/>
              </w:rPr>
              <w:t>评估员（</w:t>
            </w:r>
            <w:r w:rsidRPr="008B1FF1">
              <w:rPr>
                <w:rFonts w:eastAsia="SimSun" w:cs="Calibri" w:hint="eastAsia"/>
                <w:color w:val="000000"/>
                <w:sz w:val="20"/>
                <w:lang w:val="zh-CN" w:eastAsia="zh-CN"/>
              </w:rPr>
              <w:t>招聘广告已发布，目前正</w:t>
            </w:r>
            <w:r w:rsidRPr="008B1FF1">
              <w:rPr>
                <w:rFonts w:eastAsia="SimSun" w:cs="Calibri"/>
                <w:color w:val="000000"/>
                <w:sz w:val="20"/>
                <w:lang w:val="zh-CN" w:eastAsia="zh-CN"/>
              </w:rPr>
              <w:t>在遴选）</w:t>
            </w:r>
            <w:r w:rsidRPr="008B1FF1">
              <w:rPr>
                <w:rFonts w:eastAsia="SimSun" w:cs="Calibri" w:hint="eastAsia"/>
                <w:color w:val="000000"/>
                <w:sz w:val="20"/>
                <w:lang w:val="zh-CN" w:eastAsia="zh-CN"/>
              </w:rPr>
              <w:t>。</w:t>
            </w:r>
            <w:r w:rsidRPr="008B1FF1">
              <w:rPr>
                <w:rFonts w:eastAsia="SimSun" w:cs="Calibri"/>
                <w:color w:val="000000"/>
                <w:sz w:val="20"/>
                <w:lang w:val="zh-CN" w:eastAsia="zh-CN"/>
              </w:rPr>
              <w:t>评估职能的工作涉及</w:t>
            </w:r>
            <w:r w:rsidRPr="008B1FF1">
              <w:rPr>
                <w:rFonts w:eastAsia="SimSun" w:cs="Calibri"/>
                <w:color w:val="000000"/>
                <w:sz w:val="20"/>
                <w:lang w:val="zh-CN" w:eastAsia="zh-CN"/>
              </w:rPr>
              <w:t xml:space="preserve"> a) </w:t>
            </w:r>
            <w:r w:rsidRPr="008B1FF1">
              <w:rPr>
                <w:rFonts w:eastAsia="SimSun" w:cs="Calibri"/>
                <w:color w:val="000000"/>
                <w:sz w:val="20"/>
                <w:lang w:val="zh-CN" w:eastAsia="zh-CN"/>
              </w:rPr>
              <w:t>设计、准备和评估跨</w:t>
            </w:r>
            <w:r w:rsidRPr="008B1FF1">
              <w:rPr>
                <w:rFonts w:eastAsia="SimSun" w:cs="Calibri" w:hint="eastAsia"/>
                <w:color w:val="000000"/>
                <w:sz w:val="20"/>
                <w:lang w:val="zh-CN" w:eastAsia="zh-CN"/>
              </w:rPr>
              <w:t>领域</w:t>
            </w:r>
            <w:r w:rsidRPr="008B1FF1">
              <w:rPr>
                <w:rFonts w:eastAsia="SimSun" w:cs="Calibri"/>
                <w:color w:val="000000"/>
                <w:sz w:val="20"/>
                <w:lang w:val="zh-CN" w:eastAsia="zh-CN"/>
              </w:rPr>
              <w:t>主题的</w:t>
            </w:r>
            <w:r w:rsidRPr="008B1FF1">
              <w:rPr>
                <w:rFonts w:eastAsia="SimSun" w:cs="Calibri" w:hint="eastAsia"/>
                <w:color w:val="000000"/>
                <w:sz w:val="20"/>
                <w:lang w:val="zh-CN" w:eastAsia="zh-CN"/>
              </w:rPr>
              <w:t>程序和专</w:t>
            </w:r>
            <w:r w:rsidRPr="008B1FF1">
              <w:rPr>
                <w:rFonts w:eastAsia="SimSun" w:cs="Calibri"/>
                <w:color w:val="000000"/>
                <w:sz w:val="20"/>
                <w:lang w:val="zh-CN" w:eastAsia="zh-CN"/>
              </w:rPr>
              <w:t>题。</w:t>
            </w:r>
            <w:r w:rsidRPr="008B1FF1">
              <w:rPr>
                <w:rFonts w:eastAsia="SimSun" w:cs="Calibri"/>
                <w:color w:val="000000"/>
                <w:sz w:val="20"/>
                <w:lang w:val="zh-CN" w:eastAsia="zh-CN"/>
              </w:rPr>
              <w:t xml:space="preserve">b) </w:t>
            </w:r>
            <w:r w:rsidRPr="008B1FF1">
              <w:rPr>
                <w:rFonts w:eastAsia="SimSun" w:cs="Calibri"/>
                <w:color w:val="000000"/>
                <w:sz w:val="20"/>
                <w:lang w:val="zh-CN" w:eastAsia="zh-CN"/>
              </w:rPr>
              <w:t>应捐助方、合作实体等的要求，对具体项目</w:t>
            </w:r>
            <w:r w:rsidRPr="008B1FF1">
              <w:rPr>
                <w:rFonts w:eastAsia="SimSun" w:cs="Calibri"/>
                <w:color w:val="000000"/>
                <w:sz w:val="20"/>
                <w:lang w:val="zh-CN" w:eastAsia="zh-CN"/>
              </w:rPr>
              <w:t>/</w:t>
            </w:r>
            <w:r w:rsidRPr="008B1FF1">
              <w:rPr>
                <w:rFonts w:eastAsia="SimSun" w:cs="Calibri"/>
                <w:color w:val="000000"/>
                <w:sz w:val="20"/>
                <w:lang w:val="zh-CN" w:eastAsia="zh-CN"/>
              </w:rPr>
              <w:t>方案进行外部评估，</w:t>
            </w:r>
            <w:r w:rsidRPr="008B1FF1">
              <w:rPr>
                <w:rFonts w:eastAsia="SimSun" w:cs="Calibri" w:hint="eastAsia"/>
                <w:color w:val="000000"/>
                <w:sz w:val="20"/>
                <w:lang w:val="zh-CN" w:eastAsia="zh-CN"/>
              </w:rPr>
              <w:t>并</w:t>
            </w:r>
            <w:r w:rsidRPr="008B1FF1">
              <w:rPr>
                <w:rFonts w:eastAsia="SimSun" w:cs="Calibri"/>
                <w:color w:val="000000"/>
                <w:sz w:val="20"/>
                <w:lang w:val="zh-CN" w:eastAsia="zh-CN"/>
              </w:rPr>
              <w:t>担任评估管理</w:t>
            </w:r>
            <w:r w:rsidRPr="008B1FF1">
              <w:rPr>
                <w:rFonts w:eastAsia="SimSun" w:cs="Calibri" w:hint="eastAsia"/>
                <w:color w:val="000000"/>
                <w:sz w:val="20"/>
                <w:lang w:val="zh-CN" w:eastAsia="zh-CN"/>
              </w:rPr>
              <w:t>人</w:t>
            </w:r>
            <w:r w:rsidRPr="008B1FF1">
              <w:rPr>
                <w:rFonts w:eastAsia="SimSun" w:cs="Calibri"/>
                <w:color w:val="000000"/>
                <w:sz w:val="20"/>
                <w:lang w:val="zh-CN" w:eastAsia="zh-CN"/>
              </w:rPr>
              <w:t>。</w:t>
            </w:r>
            <w:r w:rsidRPr="008B1FF1">
              <w:rPr>
                <w:rFonts w:eastAsia="SimSun" w:cs="Calibri" w:hint="eastAsia"/>
                <w:color w:val="000000"/>
                <w:sz w:val="20"/>
                <w:lang w:val="zh-CN" w:eastAsia="zh-CN"/>
              </w:rPr>
              <w:t>工作内容</w:t>
            </w:r>
            <w:r w:rsidRPr="008B1FF1">
              <w:rPr>
                <w:rFonts w:eastAsia="SimSun" w:cs="Calibri"/>
                <w:color w:val="000000"/>
                <w:sz w:val="20"/>
                <w:lang w:val="zh-CN" w:eastAsia="zh-CN"/>
              </w:rPr>
              <w:t>包括但不限于支持项目</w:t>
            </w:r>
            <w:r w:rsidRPr="008B1FF1">
              <w:rPr>
                <w:rFonts w:eastAsia="SimSun" w:cs="Calibri"/>
                <w:color w:val="000000"/>
                <w:sz w:val="20"/>
                <w:lang w:val="zh-CN" w:eastAsia="zh-CN"/>
              </w:rPr>
              <w:t>/</w:t>
            </w:r>
            <w:r w:rsidRPr="008B1FF1">
              <w:rPr>
                <w:rFonts w:eastAsia="SimSun" w:cs="Calibri"/>
                <w:color w:val="000000"/>
                <w:sz w:val="20"/>
                <w:lang w:val="zh-CN" w:eastAsia="zh-CN"/>
              </w:rPr>
              <w:t>项目经理通过正确</w:t>
            </w:r>
            <w:r w:rsidRPr="008B1FF1">
              <w:rPr>
                <w:rFonts w:eastAsia="SimSun" w:cs="Calibri" w:hint="eastAsia"/>
                <w:color w:val="000000"/>
                <w:sz w:val="20"/>
                <w:lang w:val="zh-CN" w:eastAsia="zh-CN"/>
              </w:rPr>
              <w:t>运</w:t>
            </w:r>
            <w:r w:rsidRPr="008B1FF1">
              <w:rPr>
                <w:rFonts w:eastAsia="SimSun" w:cs="Calibri"/>
                <w:color w:val="000000"/>
                <w:sz w:val="20"/>
                <w:lang w:val="zh-CN" w:eastAsia="zh-CN"/>
              </w:rPr>
              <w:t>用</w:t>
            </w:r>
            <w:r w:rsidRPr="008B1FF1">
              <w:rPr>
                <w:rFonts w:eastAsia="SimSun" w:cs="Calibri" w:hint="eastAsia"/>
                <w:color w:val="000000"/>
                <w:sz w:val="20"/>
                <w:lang w:val="zh-CN" w:eastAsia="zh-CN"/>
              </w:rPr>
              <w:t>改</w:t>
            </w:r>
            <w:r w:rsidRPr="008B1FF1">
              <w:rPr>
                <w:rFonts w:eastAsia="SimSun" w:cs="Calibri"/>
                <w:color w:val="000000"/>
                <w:sz w:val="20"/>
                <w:lang w:val="zh-CN" w:eastAsia="zh-CN"/>
              </w:rPr>
              <w:t>革理论提高可评估性，并</w:t>
            </w:r>
            <w:r w:rsidRPr="008B1FF1">
              <w:rPr>
                <w:rFonts w:eastAsia="SimSun" w:cs="Calibri" w:hint="eastAsia"/>
                <w:color w:val="000000"/>
                <w:sz w:val="20"/>
                <w:lang w:val="zh-CN" w:eastAsia="zh-CN"/>
              </w:rPr>
              <w:t>确</w:t>
            </w:r>
            <w:r w:rsidRPr="008B1FF1">
              <w:rPr>
                <w:rFonts w:eastAsia="SimSun" w:cs="Calibri"/>
                <w:color w:val="000000"/>
                <w:sz w:val="20"/>
                <w:lang w:val="zh-CN" w:eastAsia="zh-CN"/>
              </w:rPr>
              <w:t>定外部评估员的职责范围。</w:t>
            </w:r>
            <w:r w:rsidRPr="008B1FF1">
              <w:rPr>
                <w:rFonts w:eastAsia="SimSun" w:cs="Calibri"/>
                <w:color w:val="000000"/>
                <w:sz w:val="20"/>
                <w:lang w:val="zh-CN" w:eastAsia="zh-CN"/>
              </w:rPr>
              <w:t xml:space="preserve">c) </w:t>
            </w:r>
            <w:r w:rsidRPr="008B1FF1">
              <w:rPr>
                <w:rFonts w:eastAsia="SimSun" w:cs="Calibri" w:hint="eastAsia"/>
                <w:color w:val="000000"/>
                <w:sz w:val="20"/>
                <w:lang w:val="zh-CN" w:eastAsia="zh-CN"/>
              </w:rPr>
              <w:t>针对基于</w:t>
            </w:r>
            <w:r w:rsidRPr="008B1FF1">
              <w:rPr>
                <w:rFonts w:eastAsia="SimSun" w:cs="Calibri"/>
                <w:color w:val="000000"/>
                <w:sz w:val="20"/>
                <w:lang w:val="zh-CN" w:eastAsia="zh-CN"/>
              </w:rPr>
              <w:t>监督处评估结果</w:t>
            </w:r>
            <w:r w:rsidRPr="008B1FF1">
              <w:rPr>
                <w:rFonts w:eastAsia="SimSun" w:cs="Calibri" w:hint="eastAsia"/>
                <w:color w:val="000000"/>
                <w:sz w:val="20"/>
                <w:lang w:val="zh-CN" w:eastAsia="zh-CN"/>
              </w:rPr>
              <w:t>编写</w:t>
            </w:r>
            <w:r w:rsidRPr="008B1FF1">
              <w:rPr>
                <w:rFonts w:eastAsia="SimSun" w:cs="Calibri"/>
                <w:color w:val="000000"/>
                <w:sz w:val="20"/>
                <w:lang w:val="zh-CN" w:eastAsia="zh-CN"/>
              </w:rPr>
              <w:t>的预防或纠正措施提出建议。</w:t>
            </w:r>
            <w:r w:rsidR="007A47A9">
              <w:rPr>
                <w:rFonts w:eastAsia="SimSun" w:cs="Calibri"/>
                <w:color w:val="000000"/>
                <w:sz w:val="20"/>
                <w:lang w:val="zh-CN" w:eastAsia="zh-CN"/>
              </w:rPr>
              <w:br/>
            </w:r>
            <w:r w:rsidRPr="008B1FF1">
              <w:rPr>
                <w:rFonts w:eastAsia="SimSun" w:cs="Calibri"/>
                <w:color w:val="000000"/>
                <w:sz w:val="20"/>
                <w:lang w:val="zh-CN" w:eastAsia="zh-CN"/>
              </w:rPr>
              <w:t>d)</w:t>
            </w:r>
            <w:r w:rsidRPr="008B1FF1">
              <w:rPr>
                <w:rFonts w:eastAsia="SimSun" w:cs="Calibri" w:hint="eastAsia"/>
                <w:color w:val="000000"/>
                <w:sz w:val="20"/>
                <w:lang w:val="zh-CN" w:eastAsia="zh-CN"/>
              </w:rPr>
              <w:t xml:space="preserve"> </w:t>
            </w:r>
            <w:r w:rsidRPr="008B1FF1">
              <w:rPr>
                <w:rFonts w:eastAsia="SimSun" w:cs="Calibri"/>
                <w:color w:val="000000"/>
                <w:sz w:val="20"/>
                <w:lang w:val="zh-CN" w:eastAsia="zh-CN"/>
              </w:rPr>
              <w:t>跟进监督处向管理人员提出的评估建议。</w:t>
            </w:r>
            <w:r w:rsidRPr="008B1FF1">
              <w:rPr>
                <w:rFonts w:eastAsia="SimSun" w:cs="Calibri"/>
                <w:color w:val="000000"/>
                <w:sz w:val="20"/>
                <w:lang w:val="zh-CN" w:eastAsia="zh-CN"/>
              </w:rPr>
              <w:t>e)</w:t>
            </w:r>
            <w:r w:rsidRPr="008B1FF1">
              <w:rPr>
                <w:rFonts w:eastAsia="SimSun" w:cs="Calibri" w:hint="eastAsia"/>
                <w:color w:val="000000"/>
                <w:sz w:val="20"/>
                <w:lang w:val="zh-CN" w:eastAsia="zh-CN"/>
              </w:rPr>
              <w:t xml:space="preserve"> </w:t>
            </w:r>
            <w:r w:rsidRPr="008B1FF1">
              <w:rPr>
                <w:rFonts w:eastAsia="SimSun" w:cs="Calibri"/>
                <w:color w:val="000000"/>
                <w:sz w:val="20"/>
                <w:lang w:val="zh-CN" w:eastAsia="zh-CN"/>
              </w:rPr>
              <w:t>制定并审议可提高国际电联内部评估职能质量</w:t>
            </w:r>
            <w:r w:rsidRPr="008B1FF1">
              <w:rPr>
                <w:rFonts w:eastAsia="SimSun" w:cs="Calibri" w:hint="eastAsia"/>
                <w:color w:val="000000"/>
                <w:sz w:val="20"/>
                <w:lang w:val="zh-CN" w:eastAsia="zh-CN"/>
              </w:rPr>
              <w:t>及</w:t>
            </w:r>
            <w:r w:rsidRPr="008B1FF1">
              <w:rPr>
                <w:rFonts w:eastAsia="SimSun" w:cs="Calibri"/>
                <w:color w:val="000000"/>
                <w:sz w:val="20"/>
                <w:lang w:val="zh-CN" w:eastAsia="zh-CN"/>
              </w:rPr>
              <w:t>相关性的规范性评估方法。</w:t>
            </w:r>
            <w:r w:rsidRPr="008B1FF1">
              <w:rPr>
                <w:rFonts w:eastAsia="SimSun" w:cs="Calibri"/>
                <w:color w:val="000000"/>
                <w:sz w:val="20"/>
                <w:lang w:val="zh-CN" w:eastAsia="zh-CN"/>
              </w:rPr>
              <w:t>f)</w:t>
            </w:r>
            <w:r w:rsidRPr="008B1FF1">
              <w:rPr>
                <w:rFonts w:eastAsia="SimSun" w:cs="Calibri" w:hint="eastAsia"/>
                <w:color w:val="000000"/>
                <w:sz w:val="20"/>
                <w:lang w:val="zh-CN" w:eastAsia="zh-CN"/>
              </w:rPr>
              <w:t xml:space="preserve"> </w:t>
            </w:r>
            <w:r w:rsidRPr="008B1FF1">
              <w:rPr>
                <w:rFonts w:eastAsia="SimSun" w:cs="Calibri"/>
                <w:color w:val="000000"/>
                <w:sz w:val="20"/>
                <w:lang w:val="zh-CN" w:eastAsia="zh-CN"/>
              </w:rPr>
              <w:t>为参与整个组织的</w:t>
            </w:r>
            <w:r w:rsidRPr="008B1FF1">
              <w:rPr>
                <w:rFonts w:eastAsia="SimSun" w:cs="Calibri" w:hint="eastAsia"/>
                <w:color w:val="000000"/>
                <w:sz w:val="20"/>
                <w:lang w:val="zh-CN" w:eastAsia="zh-CN"/>
              </w:rPr>
              <w:t>监督</w:t>
            </w:r>
            <w:r w:rsidRPr="008B1FF1">
              <w:rPr>
                <w:rFonts w:eastAsia="SimSun" w:cs="Calibri"/>
                <w:color w:val="000000"/>
                <w:sz w:val="20"/>
                <w:lang w:val="zh-CN" w:eastAsia="zh-CN"/>
              </w:rPr>
              <w:t>和评估活动的国际电联</w:t>
            </w:r>
            <w:r w:rsidRPr="008B1FF1">
              <w:rPr>
                <w:rFonts w:eastAsia="SimSun" w:cs="Calibri" w:hint="eastAsia"/>
                <w:color w:val="000000"/>
                <w:sz w:val="20"/>
                <w:lang w:val="zh-CN" w:eastAsia="zh-CN"/>
              </w:rPr>
              <w:t>职</w:t>
            </w:r>
            <w:r w:rsidRPr="008B1FF1">
              <w:rPr>
                <w:rFonts w:eastAsia="SimSun" w:cs="Calibri"/>
                <w:color w:val="000000"/>
                <w:sz w:val="20"/>
                <w:lang w:val="zh-CN" w:eastAsia="zh-CN"/>
              </w:rPr>
              <w:t>员提供指导、技术支持和培训。</w:t>
            </w:r>
            <w:r w:rsidRPr="008B1FF1">
              <w:rPr>
                <w:rFonts w:eastAsia="SimSun" w:cs="Calibri"/>
                <w:color w:val="000000"/>
                <w:sz w:val="20"/>
                <w:lang w:val="zh-CN" w:eastAsia="zh-CN"/>
              </w:rPr>
              <w:t xml:space="preserve">g) </w:t>
            </w:r>
            <w:r w:rsidRPr="008B1FF1">
              <w:rPr>
                <w:rFonts w:eastAsia="SimSun" w:cs="Calibri"/>
                <w:color w:val="000000"/>
                <w:sz w:val="20"/>
                <w:lang w:val="zh-CN" w:eastAsia="zh-CN"/>
              </w:rPr>
              <w:t>评估项目、计划、</w:t>
            </w:r>
            <w:r w:rsidRPr="008B1FF1">
              <w:rPr>
                <w:rFonts w:eastAsia="SimSun" w:cs="Calibri" w:hint="eastAsia"/>
                <w:color w:val="000000"/>
                <w:sz w:val="20"/>
                <w:lang w:val="zh-CN" w:eastAsia="zh-CN"/>
              </w:rPr>
              <w:t>规划</w:t>
            </w:r>
            <w:r w:rsidRPr="008B1FF1">
              <w:rPr>
                <w:rFonts w:eastAsia="SimSun" w:cs="Calibri"/>
                <w:color w:val="000000"/>
                <w:sz w:val="20"/>
                <w:lang w:val="zh-CN" w:eastAsia="zh-CN"/>
              </w:rPr>
              <w:t>和目标是否</w:t>
            </w:r>
            <w:r w:rsidRPr="008B1FF1">
              <w:rPr>
                <w:rFonts w:eastAsia="SimSun" w:cs="Calibri" w:hint="eastAsia"/>
                <w:color w:val="000000"/>
                <w:sz w:val="20"/>
                <w:lang w:val="zh-CN" w:eastAsia="zh-CN"/>
              </w:rPr>
              <w:t>能够</w:t>
            </w:r>
            <w:r w:rsidRPr="008B1FF1">
              <w:rPr>
                <w:rFonts w:eastAsia="SimSun" w:cs="Calibri"/>
                <w:color w:val="000000"/>
                <w:sz w:val="20"/>
                <w:lang w:val="zh-CN" w:eastAsia="zh-CN"/>
              </w:rPr>
              <w:t>实现</w:t>
            </w:r>
            <w:r w:rsidRPr="008B1FF1">
              <w:rPr>
                <w:rFonts w:eastAsia="SimSun" w:cs="Calibri" w:hint="eastAsia"/>
                <w:color w:val="000000"/>
                <w:sz w:val="20"/>
                <w:lang w:val="zh-CN" w:eastAsia="zh-CN"/>
              </w:rPr>
              <w:t>并</w:t>
            </w:r>
            <w:r w:rsidRPr="008B1FF1">
              <w:rPr>
                <w:rFonts w:eastAsia="SimSun" w:cs="Calibri"/>
                <w:color w:val="000000"/>
                <w:sz w:val="20"/>
                <w:lang w:val="zh-CN" w:eastAsia="zh-CN"/>
              </w:rPr>
              <w:t>有助于取得</w:t>
            </w:r>
            <w:r w:rsidRPr="008B1FF1">
              <w:rPr>
                <w:rFonts w:eastAsia="SimSun" w:cs="Calibri" w:hint="eastAsia"/>
                <w:color w:val="000000"/>
                <w:sz w:val="20"/>
                <w:lang w:val="zh-CN" w:eastAsia="zh-CN"/>
              </w:rPr>
              <w:t>具备</w:t>
            </w:r>
            <w:r w:rsidRPr="008B1FF1">
              <w:rPr>
                <w:rFonts w:eastAsia="SimSun" w:cs="Calibri"/>
                <w:color w:val="000000"/>
                <w:sz w:val="20"/>
                <w:lang w:val="zh-CN" w:eastAsia="zh-CN"/>
              </w:rPr>
              <w:t>可持续</w:t>
            </w:r>
            <w:r w:rsidRPr="008B1FF1">
              <w:rPr>
                <w:rFonts w:eastAsia="SimSun" w:cs="Calibri" w:hint="eastAsia"/>
                <w:color w:val="000000"/>
                <w:sz w:val="20"/>
                <w:lang w:val="zh-CN" w:eastAsia="zh-CN"/>
              </w:rPr>
              <w:t>性</w:t>
            </w:r>
            <w:r w:rsidRPr="008B1FF1">
              <w:rPr>
                <w:rFonts w:eastAsia="SimSun" w:cs="Calibri"/>
                <w:color w:val="000000"/>
                <w:sz w:val="20"/>
                <w:lang w:val="zh-CN" w:eastAsia="zh-CN"/>
              </w:rPr>
              <w:t>的</w:t>
            </w:r>
            <w:r w:rsidRPr="008B1FF1">
              <w:rPr>
                <w:rFonts w:eastAsia="SimSun" w:cs="Calibri" w:hint="eastAsia"/>
                <w:color w:val="000000"/>
                <w:sz w:val="20"/>
                <w:lang w:val="zh-CN" w:eastAsia="zh-CN"/>
              </w:rPr>
              <w:t>成</w:t>
            </w:r>
            <w:r w:rsidRPr="008B1FF1">
              <w:rPr>
                <w:rFonts w:eastAsia="SimSun" w:cs="Calibri"/>
                <w:color w:val="000000"/>
                <w:sz w:val="20"/>
                <w:lang w:val="zh-CN" w:eastAsia="zh-CN"/>
              </w:rPr>
              <w:t>果；</w:t>
            </w:r>
            <w:r w:rsidRPr="008B1FF1">
              <w:rPr>
                <w:rFonts w:eastAsia="SimSun" w:cs="Calibri"/>
                <w:color w:val="000000"/>
                <w:sz w:val="20"/>
                <w:lang w:val="zh-CN" w:eastAsia="zh-CN"/>
              </w:rPr>
              <w:t>h</w:t>
            </w:r>
            <w:r w:rsidRPr="008B1FF1">
              <w:rPr>
                <w:rFonts w:eastAsia="SimSun" w:cs="Calibri" w:hint="eastAsia"/>
                <w:color w:val="000000"/>
                <w:sz w:val="20"/>
                <w:lang w:val="zh-CN" w:eastAsia="zh-CN"/>
              </w:rPr>
              <w:t xml:space="preserve">) </w:t>
            </w:r>
            <w:r w:rsidRPr="008B1FF1">
              <w:rPr>
                <w:rFonts w:eastAsia="SimSun" w:cs="Calibri"/>
                <w:color w:val="000000"/>
                <w:sz w:val="20"/>
                <w:lang w:val="zh-CN" w:eastAsia="zh-CN"/>
              </w:rPr>
              <w:t>促进</w:t>
            </w:r>
            <w:r w:rsidRPr="008B1FF1">
              <w:rPr>
                <w:rFonts w:eastAsia="SimSun" w:cs="Calibri" w:hint="eastAsia"/>
                <w:color w:val="000000"/>
                <w:sz w:val="20"/>
                <w:lang w:val="zh-CN" w:eastAsia="zh-CN"/>
              </w:rPr>
              <w:t>发扬基于证据</w:t>
            </w:r>
            <w:r w:rsidRPr="008B1FF1">
              <w:rPr>
                <w:rFonts w:eastAsia="SimSun" w:cs="Calibri"/>
                <w:color w:val="000000"/>
                <w:sz w:val="20"/>
                <w:lang w:val="zh-CN" w:eastAsia="zh-CN"/>
              </w:rPr>
              <w:t>的决策文化，从而强</w:t>
            </w:r>
            <w:r w:rsidRPr="008B1FF1">
              <w:rPr>
                <w:rFonts w:eastAsia="SimSun" w:cs="Calibri" w:hint="eastAsia"/>
                <w:color w:val="000000"/>
                <w:sz w:val="20"/>
                <w:lang w:val="zh-CN" w:eastAsia="zh-CN"/>
              </w:rPr>
              <w:t>化监督并</w:t>
            </w:r>
            <w:r w:rsidRPr="008B1FF1">
              <w:rPr>
                <w:rFonts w:eastAsia="SimSun" w:cs="Calibri"/>
                <w:color w:val="000000"/>
                <w:sz w:val="20"/>
                <w:lang w:val="zh-CN" w:eastAsia="zh-CN"/>
              </w:rPr>
              <w:t>评价系统及</w:t>
            </w:r>
            <w:r w:rsidRPr="008B1FF1">
              <w:rPr>
                <w:rFonts w:eastAsia="SimSun" w:cs="Calibri" w:hint="eastAsia"/>
                <w:color w:val="000000"/>
                <w:sz w:val="20"/>
                <w:lang w:val="zh-CN" w:eastAsia="zh-CN"/>
              </w:rPr>
              <w:t>相关</w:t>
            </w:r>
            <w:r w:rsidRPr="008B1FF1">
              <w:rPr>
                <w:rFonts w:eastAsia="SimSun" w:cs="Calibri"/>
                <w:color w:val="000000"/>
                <w:sz w:val="20"/>
                <w:lang w:val="zh-CN" w:eastAsia="zh-CN"/>
              </w:rPr>
              <w:t>做法。此外，</w:t>
            </w:r>
            <w:r w:rsidRPr="008B1FF1">
              <w:rPr>
                <w:rFonts w:eastAsia="SimSun" w:cs="Calibri" w:hint="eastAsia"/>
                <w:color w:val="000000"/>
                <w:sz w:val="20"/>
                <w:lang w:val="zh-CN" w:eastAsia="zh-CN"/>
              </w:rPr>
              <w:t>在</w:t>
            </w:r>
            <w:r w:rsidRPr="008B1FF1">
              <w:rPr>
                <w:rFonts w:eastAsia="SimSun" w:cs="Calibri"/>
                <w:color w:val="000000"/>
                <w:sz w:val="20"/>
                <w:lang w:val="zh-CN" w:eastAsia="zh-CN"/>
              </w:rPr>
              <w:t>电信发展局</w:t>
            </w:r>
            <w:r w:rsidRPr="008B1FF1">
              <w:rPr>
                <w:rFonts w:eastAsia="SimSun" w:cs="Calibri" w:hint="eastAsia"/>
                <w:color w:val="000000"/>
                <w:sz w:val="20"/>
                <w:lang w:val="zh-CN" w:eastAsia="zh-CN"/>
              </w:rPr>
              <w:t>层面</w:t>
            </w:r>
            <w:r w:rsidRPr="008B1FF1">
              <w:rPr>
                <w:rFonts w:eastAsia="SimSun" w:cs="Calibri"/>
                <w:color w:val="000000"/>
                <w:sz w:val="20"/>
                <w:lang w:val="zh-CN" w:eastAsia="zh-CN"/>
              </w:rPr>
              <w:t>通过的《项目手册》澄清了项目评估过程中的</w:t>
            </w:r>
            <w:r w:rsidRPr="008B1FF1">
              <w:rPr>
                <w:rFonts w:eastAsia="SimSun" w:cs="Calibri" w:hint="eastAsia"/>
                <w:color w:val="000000"/>
                <w:sz w:val="20"/>
                <w:lang w:val="zh-CN" w:eastAsia="zh-CN"/>
              </w:rPr>
              <w:t>职能</w:t>
            </w:r>
            <w:r w:rsidRPr="008B1FF1">
              <w:rPr>
                <w:rFonts w:eastAsia="SimSun" w:cs="Calibri"/>
                <w:color w:val="000000"/>
                <w:sz w:val="20"/>
                <w:lang w:val="zh-CN" w:eastAsia="zh-CN"/>
              </w:rPr>
              <w:t>和</w:t>
            </w:r>
            <w:r w:rsidRPr="008B1FF1">
              <w:rPr>
                <w:rFonts w:eastAsia="SimSun" w:cs="Calibri" w:hint="eastAsia"/>
                <w:color w:val="000000"/>
                <w:sz w:val="20"/>
                <w:lang w:val="zh-CN" w:eastAsia="zh-CN"/>
              </w:rPr>
              <w:t>职责</w:t>
            </w:r>
            <w:r w:rsidRPr="008B1FF1">
              <w:rPr>
                <w:rFonts w:eastAsia="SimSun" w:cs="Calibri"/>
                <w:color w:val="000000"/>
                <w:sz w:val="20"/>
                <w:lang w:val="zh-CN" w:eastAsia="zh-CN"/>
              </w:rPr>
              <w:t>。</w:t>
            </w:r>
          </w:p>
          <w:p w14:paraId="2DA68C83" w14:textId="54B45732" w:rsidR="000245E2" w:rsidRPr="008B1FF1" w:rsidRDefault="000245E2" w:rsidP="00E17413">
            <w:pPr>
              <w:pStyle w:val="Tabletext"/>
              <w:keepNext/>
              <w:keepLines/>
              <w:rPr>
                <w:sz w:val="20"/>
                <w:lang w:eastAsia="zh-CN"/>
              </w:rPr>
            </w:pPr>
            <w:r w:rsidRPr="008B1FF1">
              <w:rPr>
                <w:rFonts w:eastAsia="SimSun" w:cs="Calibri"/>
                <w:color w:val="000000"/>
                <w:sz w:val="20"/>
                <w:lang w:val="zh-CN" w:eastAsia="zh-CN"/>
              </w:rPr>
              <w:t>国际电联认为该建议正在落实中。</w:t>
            </w:r>
          </w:p>
        </w:tc>
        <w:tc>
          <w:tcPr>
            <w:tcW w:w="1050" w:type="pct"/>
            <w:shd w:val="clear" w:color="auto" w:fill="auto"/>
          </w:tcPr>
          <w:p w14:paraId="69694AEA" w14:textId="486A8026" w:rsidR="000245E2" w:rsidRPr="008B1FF1" w:rsidRDefault="000245E2" w:rsidP="00E17413">
            <w:pPr>
              <w:pStyle w:val="Tabletext"/>
              <w:keepNext/>
              <w:keepLines/>
              <w:rPr>
                <w:sz w:val="20"/>
                <w:lang w:eastAsia="zh-CN"/>
              </w:rPr>
            </w:pPr>
            <w:r w:rsidRPr="008B1FF1">
              <w:rPr>
                <w:rFonts w:eastAsia="SimSun" w:cs="Calibri"/>
                <w:color w:val="000000"/>
                <w:sz w:val="20"/>
                <w:lang w:val="zh-CN" w:eastAsia="zh-CN"/>
              </w:rPr>
              <w:t>已将最新回应记录在案。如今年报告第</w:t>
            </w:r>
            <w:r w:rsidRPr="008B1FF1">
              <w:rPr>
                <w:rFonts w:eastAsia="SimSun" w:cs="Calibri"/>
                <w:color w:val="000000"/>
                <w:sz w:val="20"/>
                <w:lang w:val="zh-CN" w:eastAsia="zh-CN"/>
              </w:rPr>
              <w:t>2</w:t>
            </w:r>
            <w:r w:rsidRPr="008B1FF1">
              <w:rPr>
                <w:rFonts w:eastAsia="SimSun" w:cs="Calibri"/>
                <w:color w:val="000000"/>
                <w:sz w:val="20"/>
                <w:lang w:val="zh-CN" w:eastAsia="zh-CN"/>
              </w:rPr>
              <w:t>部分所述，评估职能尚未得到资源。</w:t>
            </w:r>
            <w:r w:rsidRPr="008B1FF1">
              <w:rPr>
                <w:rFonts w:eastAsia="SimSun" w:cs="Calibri" w:hint="eastAsia"/>
                <w:color w:val="000000"/>
                <w:sz w:val="20"/>
                <w:lang w:val="zh-CN" w:eastAsia="zh-CN"/>
              </w:rPr>
              <w:t>该建议仍在落实中</w:t>
            </w:r>
            <w:r w:rsidR="00DF3E54" w:rsidRPr="008B1FF1">
              <w:rPr>
                <w:rFonts w:eastAsia="SimSun" w:cs="Calibri" w:hint="eastAsia"/>
                <w:color w:val="000000"/>
                <w:sz w:val="20"/>
                <w:lang w:val="zh-CN" w:eastAsia="zh-CN"/>
              </w:rPr>
              <w:t>。</w:t>
            </w:r>
          </w:p>
        </w:tc>
        <w:tc>
          <w:tcPr>
            <w:tcW w:w="450" w:type="pct"/>
            <w:shd w:val="clear" w:color="auto" w:fill="auto"/>
          </w:tcPr>
          <w:p w14:paraId="076BDE3C" w14:textId="5234D06D" w:rsidR="000245E2" w:rsidRPr="008B1FF1" w:rsidRDefault="000245E2" w:rsidP="00E17413">
            <w:pPr>
              <w:pStyle w:val="Tabletext"/>
              <w:keepNext/>
              <w:keepLines/>
              <w:rPr>
                <w:sz w:val="20"/>
                <w:lang w:eastAsia="zh-CN"/>
              </w:rPr>
            </w:pPr>
            <w:r w:rsidRPr="008B1FF1">
              <w:rPr>
                <w:rFonts w:eastAsia="SimSun" w:cs="Calibri" w:hint="eastAsia"/>
                <w:color w:val="000000"/>
                <w:sz w:val="20"/>
                <w:lang w:val="zh-CN" w:eastAsia="zh-CN"/>
              </w:rPr>
              <w:t>落实中。</w:t>
            </w:r>
          </w:p>
        </w:tc>
      </w:tr>
      <w:tr w:rsidR="000245E2" w:rsidRPr="00536D01" w14:paraId="7CDBC5C5" w14:textId="77777777" w:rsidTr="0011737E">
        <w:tc>
          <w:tcPr>
            <w:tcW w:w="300" w:type="pct"/>
            <w:shd w:val="clear" w:color="auto" w:fill="auto"/>
          </w:tcPr>
          <w:p w14:paraId="426B8EE3" w14:textId="0385142E" w:rsidR="000245E2" w:rsidRPr="008B1FF1" w:rsidRDefault="000245E2" w:rsidP="00E17413">
            <w:pPr>
              <w:pStyle w:val="Tabletext"/>
              <w:keepLines/>
              <w:rPr>
                <w:sz w:val="20"/>
              </w:rPr>
            </w:pPr>
            <w:r w:rsidRPr="008B1FF1">
              <w:rPr>
                <w:rFonts w:eastAsia="SimSun" w:cs="Calibri"/>
                <w:color w:val="000000"/>
                <w:sz w:val="20"/>
                <w:lang w:val="zh-CN"/>
              </w:rPr>
              <w:lastRenderedPageBreak/>
              <w:t>R#8</w:t>
            </w:r>
          </w:p>
        </w:tc>
        <w:tc>
          <w:tcPr>
            <w:tcW w:w="1450" w:type="pct"/>
            <w:shd w:val="clear" w:color="auto" w:fill="auto"/>
          </w:tcPr>
          <w:p w14:paraId="335572E2" w14:textId="4B16B72F" w:rsidR="000245E2" w:rsidRPr="008B1FF1" w:rsidRDefault="000245E2" w:rsidP="00E17413">
            <w:pPr>
              <w:pStyle w:val="Tabletext"/>
              <w:keepLines/>
              <w:rPr>
                <w:sz w:val="20"/>
                <w:lang w:eastAsia="zh-CN"/>
              </w:rPr>
            </w:pPr>
            <w:r w:rsidRPr="008B1FF1">
              <w:rPr>
                <w:rFonts w:eastAsia="SimSun" w:cs="Calibri"/>
                <w:color w:val="000000"/>
                <w:sz w:val="20"/>
                <w:lang w:val="zh-CN" w:eastAsia="zh-CN"/>
              </w:rPr>
              <w:t>应进行全面的风险分析，且该工具应与</w:t>
            </w:r>
            <w:r w:rsidRPr="008B1FF1">
              <w:rPr>
                <w:rFonts w:eastAsia="SimSun" w:cs="Calibri" w:hint="eastAsia"/>
                <w:color w:val="000000"/>
                <w:sz w:val="20"/>
                <w:lang w:val="zh-CN" w:eastAsia="zh-CN"/>
              </w:rPr>
              <w:t>全权代表大会第</w:t>
            </w:r>
            <w:r w:rsidRPr="008B1FF1">
              <w:rPr>
                <w:rFonts w:eastAsia="SimSun" w:cs="Calibri" w:hint="eastAsia"/>
                <w:color w:val="000000"/>
                <w:sz w:val="20"/>
                <w:lang w:val="zh-CN" w:eastAsia="zh-CN"/>
              </w:rPr>
              <w:t>25</w:t>
            </w:r>
            <w:r w:rsidRPr="008B1FF1">
              <w:rPr>
                <w:rFonts w:eastAsia="SimSun" w:cs="Calibri" w:hint="eastAsia"/>
                <w:color w:val="000000"/>
                <w:sz w:val="20"/>
                <w:lang w:val="zh-CN" w:eastAsia="zh-CN"/>
              </w:rPr>
              <w:t>号决议确定的具体目标建立关联。</w:t>
            </w:r>
            <w:r w:rsidRPr="008B1FF1">
              <w:rPr>
                <w:rFonts w:eastAsia="SimSun" w:cs="Calibri"/>
                <w:color w:val="000000"/>
                <w:sz w:val="20"/>
                <w:lang w:val="zh-CN" w:eastAsia="zh-CN"/>
              </w:rPr>
              <w:t>应在总部</w:t>
            </w:r>
            <w:r w:rsidRPr="008B1FF1">
              <w:rPr>
                <w:rFonts w:eastAsia="SimSun" w:cs="Calibri" w:hint="eastAsia"/>
                <w:color w:val="000000"/>
                <w:sz w:val="20"/>
                <w:lang w:val="zh-CN" w:eastAsia="zh-CN"/>
              </w:rPr>
              <w:t>与区域代表处</w:t>
            </w:r>
            <w:r w:rsidRPr="008B1FF1">
              <w:rPr>
                <w:rFonts w:eastAsia="SimSun" w:cs="Calibri"/>
                <w:color w:val="000000"/>
                <w:sz w:val="20"/>
                <w:lang w:val="zh-CN" w:eastAsia="zh-CN"/>
              </w:rPr>
              <w:t>之间共享</w:t>
            </w:r>
            <w:r w:rsidRPr="008B1FF1">
              <w:rPr>
                <w:rFonts w:eastAsia="SimSun" w:cs="Calibri" w:hint="eastAsia"/>
                <w:color w:val="000000"/>
                <w:sz w:val="20"/>
                <w:lang w:val="zh-CN" w:eastAsia="zh-CN"/>
              </w:rPr>
              <w:t>。</w:t>
            </w:r>
          </w:p>
        </w:tc>
        <w:tc>
          <w:tcPr>
            <w:tcW w:w="1750" w:type="pct"/>
            <w:shd w:val="clear" w:color="auto" w:fill="auto"/>
          </w:tcPr>
          <w:p w14:paraId="28DBFE0D" w14:textId="77777777" w:rsidR="000245E2" w:rsidRPr="008B1FF1" w:rsidRDefault="000245E2" w:rsidP="00E17413">
            <w:pPr>
              <w:pStyle w:val="Tabletext"/>
              <w:keepLines/>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w:t>
            </w:r>
            <w:r w:rsidRPr="008B1FF1">
              <w:rPr>
                <w:rFonts w:eastAsia="SimSun" w:cs="Calibri"/>
                <w:color w:val="000000"/>
                <w:sz w:val="20"/>
                <w:lang w:val="zh-CN" w:eastAsia="zh-CN"/>
              </w:rPr>
              <w:t>BDT</w:t>
            </w:r>
            <w:r w:rsidRPr="008B1FF1">
              <w:rPr>
                <w:rFonts w:eastAsia="SimSun" w:cs="Calibri"/>
                <w:color w:val="000000"/>
                <w:sz w:val="20"/>
                <w:lang w:val="zh-CN" w:eastAsia="zh-CN"/>
              </w:rPr>
              <w:t>层面的所有项目</w:t>
            </w:r>
            <w:r w:rsidRPr="008B1FF1">
              <w:rPr>
                <w:rFonts w:eastAsia="SimSun" w:cs="Calibri" w:hint="eastAsia"/>
                <w:color w:val="000000"/>
                <w:sz w:val="20"/>
                <w:lang w:val="zh-CN" w:eastAsia="zh-CN"/>
              </w:rPr>
              <w:t>目前</w:t>
            </w:r>
            <w:r w:rsidRPr="008B1FF1">
              <w:rPr>
                <w:rFonts w:eastAsia="SimSun" w:cs="Calibri"/>
                <w:color w:val="000000"/>
                <w:sz w:val="20"/>
                <w:lang w:val="zh-CN" w:eastAsia="zh-CN"/>
              </w:rPr>
              <w:t>都有专门的风险评估工具（</w:t>
            </w:r>
            <w:r w:rsidRPr="008B1FF1">
              <w:rPr>
                <w:rFonts w:eastAsia="SimSun" w:cs="Calibri"/>
                <w:color w:val="000000"/>
                <w:sz w:val="20"/>
                <w:lang w:val="zh-CN" w:eastAsia="zh-CN"/>
              </w:rPr>
              <w:t>PRJ</w:t>
            </w:r>
            <w:r w:rsidRPr="008B1FF1">
              <w:rPr>
                <w:rFonts w:eastAsia="SimSun" w:cs="Calibri"/>
                <w:color w:val="000000"/>
                <w:sz w:val="20"/>
                <w:lang w:val="zh-CN" w:eastAsia="zh-CN"/>
              </w:rPr>
              <w:t>）。</w:t>
            </w:r>
          </w:p>
          <w:p w14:paraId="57C29831" w14:textId="1AAE0527" w:rsidR="000245E2" w:rsidRPr="008B1FF1" w:rsidRDefault="000245E2" w:rsidP="00E17413">
            <w:pPr>
              <w:pStyle w:val="Tabletext"/>
              <w:keepLines/>
              <w:rPr>
                <w:sz w:val="20"/>
                <w:lang w:eastAsia="zh-CN"/>
              </w:rPr>
            </w:pPr>
            <w:r w:rsidRPr="008B1FF1">
              <w:rPr>
                <w:rFonts w:eastAsia="SimSun" w:cs="Calibri"/>
                <w:color w:val="000000"/>
                <w:sz w:val="20"/>
                <w:lang w:val="zh-CN" w:eastAsia="zh-CN"/>
              </w:rPr>
              <w:t>国际电联建议</w:t>
            </w:r>
            <w:r w:rsidRPr="008B1FF1">
              <w:rPr>
                <w:rFonts w:eastAsia="SimSun" w:cs="Calibri" w:hint="eastAsia"/>
                <w:color w:val="000000"/>
                <w:sz w:val="20"/>
                <w:lang w:val="zh-CN" w:eastAsia="zh-CN"/>
              </w:rPr>
              <w:t>继续落实此建议。</w:t>
            </w:r>
          </w:p>
        </w:tc>
        <w:tc>
          <w:tcPr>
            <w:tcW w:w="1050" w:type="pct"/>
            <w:shd w:val="clear" w:color="auto" w:fill="auto"/>
          </w:tcPr>
          <w:p w14:paraId="5F557D6B" w14:textId="5A696582" w:rsidR="000245E2" w:rsidRPr="008B1FF1" w:rsidRDefault="000245E2" w:rsidP="00E17413">
            <w:pPr>
              <w:pStyle w:val="Tabletext"/>
              <w:keepLines/>
              <w:rPr>
                <w:sz w:val="20"/>
                <w:lang w:eastAsia="zh-CN"/>
              </w:rPr>
            </w:pPr>
            <w:r w:rsidRPr="008B1FF1">
              <w:rPr>
                <w:rFonts w:eastAsia="SimSun" w:cs="Calibri"/>
                <w:color w:val="000000"/>
                <w:sz w:val="20"/>
                <w:lang w:val="zh-CN" w:eastAsia="zh-CN"/>
              </w:rPr>
              <w:t>已将最新回应记录在案。我们认为，该回应并未涉及</w:t>
            </w:r>
            <w:r w:rsidRPr="008B1FF1">
              <w:rPr>
                <w:rFonts w:eastAsia="SimSun" w:cs="Calibri" w:hint="eastAsia"/>
                <w:color w:val="000000"/>
                <w:sz w:val="20"/>
                <w:lang w:val="zh-CN" w:eastAsia="zh-CN"/>
              </w:rPr>
              <w:t>此</w:t>
            </w:r>
            <w:r w:rsidRPr="008B1FF1">
              <w:rPr>
                <w:rFonts w:eastAsia="SimSun" w:cs="Calibri"/>
                <w:color w:val="000000"/>
                <w:sz w:val="20"/>
                <w:lang w:val="zh-CN" w:eastAsia="zh-CN"/>
              </w:rPr>
              <w:t>建议，而且正如本报告第</w:t>
            </w:r>
            <w:r w:rsidRPr="008B1FF1">
              <w:rPr>
                <w:rFonts w:eastAsia="SimSun" w:cs="Calibri"/>
                <w:color w:val="000000"/>
                <w:sz w:val="20"/>
                <w:lang w:val="zh-CN" w:eastAsia="zh-CN"/>
              </w:rPr>
              <w:t>2</w:t>
            </w:r>
            <w:r w:rsidRPr="008B1FF1">
              <w:rPr>
                <w:rFonts w:eastAsia="SimSun" w:cs="Calibri"/>
                <w:color w:val="000000"/>
                <w:sz w:val="20"/>
                <w:lang w:val="zh-CN" w:eastAsia="zh-CN"/>
              </w:rPr>
              <w:t>部分强调的那样，风险管理仍然无效，我们已建议审查现有风险管理安排的有效性。</w:t>
            </w:r>
          </w:p>
        </w:tc>
        <w:tc>
          <w:tcPr>
            <w:tcW w:w="450" w:type="pct"/>
            <w:shd w:val="clear" w:color="auto" w:fill="auto"/>
          </w:tcPr>
          <w:p w14:paraId="6DB9681B" w14:textId="6972CF35" w:rsidR="000245E2" w:rsidRPr="008B1FF1" w:rsidRDefault="000245E2" w:rsidP="00E17413">
            <w:pPr>
              <w:pStyle w:val="Tabletext"/>
              <w:keepLines/>
              <w:rPr>
                <w:sz w:val="20"/>
                <w:lang w:eastAsia="zh-CN"/>
              </w:rPr>
            </w:pPr>
            <w:r w:rsidRPr="008B1FF1">
              <w:rPr>
                <w:rFonts w:eastAsia="SimSun" w:cs="Calibri" w:hint="eastAsia"/>
                <w:color w:val="000000"/>
                <w:sz w:val="20"/>
                <w:lang w:val="zh-CN" w:eastAsia="zh-CN"/>
              </w:rPr>
              <w:t>落实中。</w:t>
            </w:r>
          </w:p>
        </w:tc>
      </w:tr>
      <w:tr w:rsidR="000245E2" w:rsidRPr="00536D01" w14:paraId="3B02729C" w14:textId="77777777" w:rsidTr="0011737E">
        <w:tc>
          <w:tcPr>
            <w:tcW w:w="300" w:type="pct"/>
            <w:shd w:val="clear" w:color="auto" w:fill="auto"/>
          </w:tcPr>
          <w:p w14:paraId="163F2169" w14:textId="0B357CAA" w:rsidR="000245E2" w:rsidRPr="008B1FF1" w:rsidRDefault="000245E2" w:rsidP="000245E2">
            <w:pPr>
              <w:pStyle w:val="Tabletext"/>
              <w:rPr>
                <w:sz w:val="20"/>
              </w:rPr>
            </w:pPr>
            <w:r w:rsidRPr="008B1FF1">
              <w:rPr>
                <w:rFonts w:eastAsia="SimSun" w:cs="Calibri"/>
                <w:color w:val="000000"/>
                <w:sz w:val="20"/>
                <w:lang w:val="zh-CN"/>
              </w:rPr>
              <w:t>R#9</w:t>
            </w:r>
          </w:p>
        </w:tc>
        <w:tc>
          <w:tcPr>
            <w:tcW w:w="1450" w:type="pct"/>
            <w:shd w:val="clear" w:color="auto" w:fill="auto"/>
          </w:tcPr>
          <w:p w14:paraId="0EF182F4" w14:textId="704F02EA" w:rsidR="000245E2" w:rsidRPr="008B1FF1" w:rsidRDefault="000245E2" w:rsidP="000245E2">
            <w:pPr>
              <w:pStyle w:val="Tabletext"/>
              <w:rPr>
                <w:sz w:val="20"/>
                <w:lang w:eastAsia="zh-CN"/>
              </w:rPr>
            </w:pPr>
            <w:r w:rsidRPr="008B1FF1">
              <w:rPr>
                <w:rFonts w:eastAsia="SimSun" w:cs="Calibri" w:hint="eastAsia"/>
                <w:color w:val="000000"/>
                <w:sz w:val="20"/>
                <w:lang w:val="zh-CN" w:eastAsia="zh-CN"/>
              </w:rPr>
              <w:t>内部审计处（</w:t>
            </w:r>
            <w:r w:rsidRPr="008B1FF1">
              <w:rPr>
                <w:rFonts w:eastAsia="SimSun" w:cs="Calibri"/>
                <w:color w:val="000000"/>
                <w:sz w:val="20"/>
                <w:lang w:val="zh-CN" w:eastAsia="zh-CN"/>
              </w:rPr>
              <w:t>IAU</w:t>
            </w:r>
            <w:r w:rsidRPr="008B1FF1">
              <w:rPr>
                <w:rFonts w:eastAsia="SimSun" w:cs="Calibri" w:hint="eastAsia"/>
                <w:color w:val="000000"/>
                <w:sz w:val="20"/>
                <w:lang w:val="zh-CN" w:eastAsia="zh-CN"/>
              </w:rPr>
              <w:t>）</w:t>
            </w:r>
            <w:r w:rsidRPr="008B1FF1">
              <w:rPr>
                <w:rFonts w:eastAsia="SimSun" w:cs="Calibri"/>
                <w:color w:val="000000"/>
                <w:sz w:val="20"/>
                <w:lang w:val="zh-CN" w:eastAsia="zh-CN"/>
              </w:rPr>
              <w:t>应跟进</w:t>
            </w:r>
            <w:r w:rsidRPr="008B1FF1">
              <w:rPr>
                <w:rFonts w:eastAsia="SimSun" w:cs="Calibri" w:hint="eastAsia"/>
                <w:color w:val="000000"/>
                <w:sz w:val="20"/>
                <w:lang w:val="zh-CN" w:eastAsia="zh-CN"/>
              </w:rPr>
              <w:t>其提出</w:t>
            </w:r>
            <w:r w:rsidRPr="008B1FF1">
              <w:rPr>
                <w:rFonts w:eastAsia="SimSun" w:cs="Calibri"/>
                <w:color w:val="000000"/>
                <w:sz w:val="20"/>
                <w:lang w:val="zh-CN" w:eastAsia="zh-CN"/>
              </w:rPr>
              <w:t>的建议，只有在</w:t>
            </w:r>
            <w:r w:rsidRPr="008B1FF1">
              <w:rPr>
                <w:rFonts w:eastAsia="SimSun" w:cs="Calibri" w:hint="eastAsia"/>
                <w:color w:val="000000"/>
                <w:sz w:val="20"/>
                <w:lang w:val="zh-CN" w:eastAsia="zh-CN"/>
              </w:rPr>
              <w:t>拥有</w:t>
            </w:r>
            <w:r w:rsidRPr="008B1FF1">
              <w:rPr>
                <w:rFonts w:eastAsia="SimSun" w:cs="Calibri"/>
                <w:color w:val="000000"/>
                <w:sz w:val="20"/>
                <w:lang w:val="zh-CN" w:eastAsia="zh-CN"/>
              </w:rPr>
              <w:t>足够证据的情况下才将其视为</w:t>
            </w:r>
            <w:r w:rsidRPr="008B1FF1">
              <w:rPr>
                <w:rFonts w:eastAsia="SimSun" w:cs="Calibri" w:hint="eastAsia"/>
                <w:color w:val="000000"/>
                <w:sz w:val="20"/>
                <w:lang w:val="zh-CN" w:eastAsia="zh-CN"/>
              </w:rPr>
              <w:t>“已</w:t>
            </w:r>
            <w:r w:rsidRPr="008B1FF1">
              <w:rPr>
                <w:rFonts w:eastAsia="SimSun" w:cs="Calibri"/>
                <w:color w:val="000000"/>
                <w:sz w:val="20"/>
                <w:lang w:val="zh-CN" w:eastAsia="zh-CN"/>
              </w:rPr>
              <w:t>结束</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w:t>
            </w:r>
          </w:p>
        </w:tc>
        <w:tc>
          <w:tcPr>
            <w:tcW w:w="1750" w:type="pct"/>
            <w:shd w:val="clear" w:color="auto" w:fill="auto"/>
          </w:tcPr>
          <w:p w14:paraId="1CD8FC48" w14:textId="77777777" w:rsidR="000245E2" w:rsidRPr="008B1FF1" w:rsidRDefault="000245E2" w:rsidP="000245E2">
            <w:pPr>
              <w:pStyle w:val="Tabletext"/>
              <w:rPr>
                <w:rFonts w:eastAsia="SimSun" w:cs="Calibri"/>
                <w:sz w:val="20"/>
                <w:lang w:eastAsia="zh-CN"/>
              </w:rPr>
            </w:pPr>
            <w:r w:rsidRPr="008B1FF1">
              <w:rPr>
                <w:rFonts w:eastAsia="SimSun" w:cs="Calibri" w:hint="eastAsia"/>
                <w:color w:val="000000"/>
                <w:sz w:val="20"/>
                <w:lang w:val="zh-CN" w:eastAsia="zh-CN"/>
              </w:rPr>
              <w:t>第</w:t>
            </w:r>
            <w:r w:rsidRPr="008B1FF1">
              <w:rPr>
                <w:rFonts w:eastAsia="SimSun" w:cs="Calibri" w:hint="eastAsia"/>
                <w:color w:val="000000"/>
                <w:sz w:val="20"/>
                <w:lang w:val="zh-CN" w:eastAsia="zh-CN"/>
              </w:rPr>
              <w:t>9</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建议已记录在案，</w:t>
            </w:r>
            <w:r w:rsidRPr="008B1FF1">
              <w:rPr>
                <w:rFonts w:eastAsia="SimSun" w:cs="Calibri" w:hint="eastAsia"/>
                <w:color w:val="000000"/>
                <w:sz w:val="20"/>
                <w:lang w:val="zh-CN" w:eastAsia="zh-CN"/>
              </w:rPr>
              <w:t>且</w:t>
            </w:r>
            <w:r w:rsidRPr="008B1FF1">
              <w:rPr>
                <w:rFonts w:eastAsia="SimSun" w:cs="Calibri"/>
                <w:color w:val="000000"/>
                <w:sz w:val="20"/>
                <w:lang w:val="zh-CN" w:eastAsia="zh-CN"/>
              </w:rPr>
              <w:t>除非相关管理人员</w:t>
            </w:r>
            <w:r w:rsidRPr="008B1FF1">
              <w:rPr>
                <w:rFonts w:eastAsia="SimSun" w:cs="Calibri" w:hint="eastAsia"/>
                <w:color w:val="000000"/>
                <w:sz w:val="20"/>
                <w:lang w:val="zh-CN" w:eastAsia="zh-CN"/>
              </w:rPr>
              <w:t>已</w:t>
            </w:r>
            <w:r w:rsidRPr="008B1FF1">
              <w:rPr>
                <w:rFonts w:eastAsia="SimSun" w:cs="Calibri"/>
                <w:color w:val="000000"/>
                <w:sz w:val="20"/>
                <w:lang w:val="zh-CN" w:eastAsia="zh-CN"/>
              </w:rPr>
              <w:t>提供充分证据，否则</w:t>
            </w:r>
            <w:r w:rsidRPr="008B1FF1">
              <w:rPr>
                <w:rFonts w:eastAsia="SimSun" w:cs="Calibri" w:hint="eastAsia"/>
                <w:color w:val="000000"/>
                <w:sz w:val="20"/>
                <w:lang w:val="zh-CN" w:eastAsia="zh-CN"/>
              </w:rPr>
              <w:t>不会</w:t>
            </w:r>
            <w:r w:rsidRPr="008B1FF1">
              <w:rPr>
                <w:rFonts w:eastAsia="SimSun" w:cs="Calibri" w:hint="eastAsia"/>
                <w:color w:val="000000"/>
                <w:sz w:val="20"/>
                <w:lang w:eastAsia="zh-CN"/>
              </w:rPr>
              <w:t>认为</w:t>
            </w:r>
            <w:r w:rsidRPr="008B1FF1">
              <w:rPr>
                <w:rFonts w:eastAsia="SimSun" w:cs="Calibri"/>
                <w:color w:val="000000"/>
                <w:sz w:val="20"/>
                <w:lang w:val="zh-CN" w:eastAsia="zh-CN"/>
              </w:rPr>
              <w:t>内部审计处的建议</w:t>
            </w:r>
            <w:r w:rsidRPr="008B1FF1">
              <w:rPr>
                <w:rFonts w:eastAsia="SimSun" w:cs="Calibri" w:hint="eastAsia"/>
                <w:color w:val="000000"/>
                <w:sz w:val="20"/>
                <w:lang w:val="zh-CN" w:eastAsia="zh-CN"/>
              </w:rPr>
              <w:t>已得到落实，另外在考虑到成本效益和重点工作的同时，也要考虑到</w:t>
            </w:r>
            <w:r w:rsidRPr="008B1FF1">
              <w:rPr>
                <w:rFonts w:eastAsia="SimSun" w:cs="Calibri"/>
                <w:color w:val="000000"/>
                <w:sz w:val="20"/>
                <w:lang w:val="zh-CN" w:eastAsia="zh-CN"/>
              </w:rPr>
              <w:t>IAU</w:t>
            </w:r>
            <w:r w:rsidRPr="008B1FF1">
              <w:rPr>
                <w:rFonts w:eastAsia="SimSun" w:cs="Calibri" w:hint="eastAsia"/>
                <w:color w:val="000000"/>
                <w:sz w:val="20"/>
                <w:lang w:val="zh-CN" w:eastAsia="zh-CN"/>
              </w:rPr>
              <w:t>建议部分未实施的残余风险非常低的情况</w:t>
            </w:r>
            <w:r w:rsidRPr="008B1FF1">
              <w:rPr>
                <w:rFonts w:eastAsia="SimSun" w:cs="Calibri"/>
                <w:color w:val="000000"/>
                <w:sz w:val="20"/>
                <w:lang w:val="zh-CN" w:eastAsia="zh-CN"/>
              </w:rPr>
              <w:t>。</w:t>
            </w:r>
          </w:p>
          <w:p w14:paraId="4B5324FB"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月的最新进展：内部审计正在根据全球</w:t>
            </w:r>
            <w:r w:rsidRPr="008B1FF1">
              <w:rPr>
                <w:rFonts w:eastAsia="SimSun" w:cs="Calibri"/>
                <w:color w:val="000000"/>
                <w:sz w:val="20"/>
                <w:lang w:val="zh-CN" w:eastAsia="zh-CN"/>
              </w:rPr>
              <w:t>IIA</w:t>
            </w:r>
            <w:r w:rsidRPr="008B1FF1">
              <w:rPr>
                <w:rFonts w:eastAsia="SimSun" w:cs="Calibri"/>
                <w:color w:val="000000"/>
                <w:sz w:val="20"/>
                <w:lang w:val="zh-CN" w:eastAsia="zh-CN"/>
              </w:rPr>
              <w:t>标准和最佳做法定期跟进相关建议。计划在</w:t>
            </w:r>
            <w:r w:rsidRPr="008B1FF1">
              <w:rPr>
                <w:rFonts w:eastAsia="SimSun" w:cs="Calibri"/>
                <w:color w:val="000000"/>
                <w:sz w:val="20"/>
                <w:lang w:val="zh-CN" w:eastAsia="zh-CN"/>
              </w:rPr>
              <w:t>2025</w:t>
            </w:r>
            <w:r w:rsidRPr="008B1FF1">
              <w:rPr>
                <w:rFonts w:eastAsia="SimSun" w:cs="Calibri"/>
                <w:color w:val="000000"/>
                <w:sz w:val="20"/>
                <w:lang w:val="zh-CN" w:eastAsia="zh-CN"/>
              </w:rPr>
              <w:t>年对内部审计处进行外部质量</w:t>
            </w:r>
            <w:r w:rsidRPr="008B1FF1">
              <w:rPr>
                <w:rFonts w:eastAsia="SimSun" w:cs="Calibri" w:hint="eastAsia"/>
                <w:color w:val="000000"/>
                <w:sz w:val="20"/>
                <w:lang w:val="zh-CN" w:eastAsia="zh-CN"/>
              </w:rPr>
              <w:t>评估</w:t>
            </w:r>
            <w:r w:rsidRPr="008B1FF1">
              <w:rPr>
                <w:rFonts w:eastAsia="SimSun" w:cs="Calibri"/>
                <w:color w:val="000000"/>
                <w:sz w:val="20"/>
                <w:lang w:val="zh-CN" w:eastAsia="zh-CN"/>
              </w:rPr>
              <w:t>。</w:t>
            </w:r>
          </w:p>
          <w:p w14:paraId="0FA2EF22" w14:textId="4FBE8E52"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6AA755C6" w14:textId="33040F52"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意大利审计院在最后报告中</w:t>
            </w:r>
            <w:r w:rsidRPr="008B1FF1">
              <w:rPr>
                <w:rFonts w:eastAsia="SimSun" w:cs="Calibri" w:hint="eastAsia"/>
                <w:color w:val="000000"/>
                <w:sz w:val="20"/>
                <w:lang w:val="zh-CN" w:eastAsia="zh-CN"/>
              </w:rPr>
              <w:t>认为此项工作已</w:t>
            </w:r>
            <w:r w:rsidRPr="008B1FF1">
              <w:rPr>
                <w:rFonts w:eastAsia="SimSun" w:cs="Calibri"/>
                <w:color w:val="000000"/>
                <w:sz w:val="20"/>
                <w:lang w:val="zh-CN" w:eastAsia="zh-CN"/>
              </w:rPr>
              <w:t>结束（附件</w:t>
            </w:r>
            <w:r w:rsidRPr="008B1FF1">
              <w:rPr>
                <w:rFonts w:eastAsia="SimSun" w:cs="Calibri" w:hint="eastAsia"/>
                <w:color w:val="000000"/>
                <w:sz w:val="20"/>
                <w:lang w:val="zh-CN" w:eastAsia="zh-CN"/>
              </w:rPr>
              <w:t>3</w:t>
            </w:r>
            <w:r w:rsidRPr="008B1FF1">
              <w:rPr>
                <w:rFonts w:eastAsia="SimSun" w:cs="Calibri"/>
                <w:color w:val="000000"/>
                <w:sz w:val="20"/>
                <w:lang w:val="zh-CN" w:eastAsia="zh-CN"/>
              </w:rPr>
              <w:t>：</w:t>
            </w:r>
            <w:hyperlink r:id="rId35" w:history="1">
              <w:r w:rsidR="00DF3E54" w:rsidRPr="008B1FF1">
                <w:rPr>
                  <w:rStyle w:val="Hyperlink"/>
                  <w:sz w:val="20"/>
                  <w:lang w:eastAsia="zh-CN"/>
                </w:rPr>
                <w:t>C22/101</w:t>
              </w:r>
            </w:hyperlink>
            <w:r w:rsidRPr="008B1FF1">
              <w:rPr>
                <w:rFonts w:eastAsia="SimSun" w:cs="Calibri"/>
                <w:color w:val="000000"/>
                <w:sz w:val="20"/>
                <w:lang w:val="zh-CN" w:eastAsia="zh-CN"/>
              </w:rPr>
              <w:t>）。</w:t>
            </w:r>
          </w:p>
          <w:p w14:paraId="78BE2A52" w14:textId="30926BA4"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国际电联应反思最近的做法及其如何利用信息概览并通过</w:t>
            </w:r>
            <w:r w:rsidRPr="008B1FF1">
              <w:rPr>
                <w:rFonts w:eastAsia="SimSun" w:cs="Calibri"/>
                <w:color w:val="000000"/>
                <w:sz w:val="20"/>
                <w:lang w:val="zh-CN" w:eastAsia="zh-CN"/>
              </w:rPr>
              <w:t>IMAC</w:t>
            </w:r>
            <w:r w:rsidRPr="008B1FF1">
              <w:rPr>
                <w:rFonts w:eastAsia="SimSun" w:cs="Calibri"/>
                <w:color w:val="000000"/>
                <w:sz w:val="20"/>
                <w:lang w:val="zh-CN" w:eastAsia="zh-CN"/>
              </w:rPr>
              <w:t>报告这些结果。</w:t>
            </w:r>
          </w:p>
        </w:tc>
        <w:tc>
          <w:tcPr>
            <w:tcW w:w="450" w:type="pct"/>
            <w:shd w:val="clear" w:color="auto" w:fill="auto"/>
          </w:tcPr>
          <w:p w14:paraId="326A81CD" w14:textId="45C1432E" w:rsidR="000245E2" w:rsidRPr="008B1FF1" w:rsidRDefault="00A62A5A" w:rsidP="000245E2">
            <w:pPr>
              <w:pStyle w:val="Tabletext"/>
              <w:rPr>
                <w:sz w:val="20"/>
                <w:lang w:eastAsia="zh-CN"/>
              </w:rPr>
            </w:pPr>
            <w:r>
              <w:rPr>
                <w:rFonts w:ascii="SimSun" w:eastAsia="SimSun" w:hAnsi="SimSun" w:cs="SimSun" w:hint="eastAsia"/>
                <w:color w:val="000000"/>
                <w:sz w:val="20"/>
                <w:lang w:eastAsia="zh-CN"/>
              </w:rPr>
              <w:t>已关闭。</w:t>
            </w:r>
          </w:p>
        </w:tc>
      </w:tr>
      <w:tr w:rsidR="000245E2" w:rsidRPr="00536D01" w14:paraId="3E780159" w14:textId="77777777" w:rsidTr="0011737E">
        <w:tc>
          <w:tcPr>
            <w:tcW w:w="300" w:type="pct"/>
            <w:shd w:val="clear" w:color="auto" w:fill="auto"/>
          </w:tcPr>
          <w:p w14:paraId="67F39C0B" w14:textId="112FE742" w:rsidR="000245E2" w:rsidRPr="008B1FF1" w:rsidRDefault="000245E2" w:rsidP="000245E2">
            <w:pPr>
              <w:pStyle w:val="Tabletext"/>
              <w:rPr>
                <w:sz w:val="20"/>
              </w:rPr>
            </w:pPr>
            <w:r w:rsidRPr="008B1FF1">
              <w:rPr>
                <w:rFonts w:eastAsia="SimSun" w:cs="Calibri"/>
                <w:color w:val="000000"/>
                <w:sz w:val="20"/>
                <w:lang w:val="zh-CN"/>
              </w:rPr>
              <w:t>R#10</w:t>
            </w:r>
          </w:p>
        </w:tc>
        <w:tc>
          <w:tcPr>
            <w:tcW w:w="1450" w:type="pct"/>
            <w:shd w:val="clear" w:color="auto" w:fill="auto"/>
          </w:tcPr>
          <w:p w14:paraId="07B635E1" w14:textId="04DB4BAD" w:rsidR="000245E2" w:rsidRPr="008B1FF1" w:rsidRDefault="000245E2" w:rsidP="000245E2">
            <w:pPr>
              <w:pStyle w:val="Tabletext"/>
              <w:rPr>
                <w:sz w:val="20"/>
                <w:lang w:eastAsia="zh-CN"/>
              </w:rPr>
            </w:pPr>
            <w:r w:rsidRPr="008B1FF1">
              <w:rPr>
                <w:rFonts w:eastAsia="SimSun" w:cs="Calibri"/>
                <w:color w:val="000000"/>
                <w:sz w:val="20"/>
                <w:lang w:val="zh-CN" w:eastAsia="zh-CN"/>
              </w:rPr>
              <w:t>加大力度争取获得</w:t>
            </w:r>
            <w:r w:rsidRPr="008B1FF1">
              <w:rPr>
                <w:rFonts w:eastAsia="SimSun" w:cs="Calibri" w:hint="eastAsia"/>
                <w:color w:val="000000"/>
                <w:sz w:val="20"/>
                <w:lang w:val="zh-CN" w:eastAsia="zh-CN"/>
              </w:rPr>
              <w:t>东道国协议（</w:t>
            </w:r>
            <w:r w:rsidRPr="008B1FF1">
              <w:rPr>
                <w:rFonts w:eastAsia="SimSun" w:cs="Calibri"/>
                <w:color w:val="000000"/>
                <w:sz w:val="20"/>
                <w:lang w:val="zh-CN" w:eastAsia="zh-CN"/>
              </w:rPr>
              <w:t>HCA</w:t>
            </w:r>
            <w:r w:rsidRPr="008B1FF1">
              <w:rPr>
                <w:rFonts w:eastAsia="SimSun" w:cs="Calibri" w:hint="eastAsia"/>
                <w:color w:val="000000"/>
                <w:sz w:val="20"/>
                <w:lang w:val="zh-CN" w:eastAsia="zh-CN"/>
              </w:rPr>
              <w:t>）</w:t>
            </w:r>
            <w:r w:rsidRPr="008B1FF1">
              <w:rPr>
                <w:rFonts w:eastAsia="SimSun" w:cs="Calibri"/>
                <w:color w:val="000000"/>
                <w:sz w:val="20"/>
                <w:lang w:val="zh-CN" w:eastAsia="zh-CN"/>
              </w:rPr>
              <w:t>，以</w:t>
            </w:r>
            <w:r w:rsidRPr="008B1FF1">
              <w:rPr>
                <w:rFonts w:eastAsia="SimSun" w:cs="Calibri" w:hint="eastAsia"/>
                <w:color w:val="000000"/>
                <w:sz w:val="20"/>
                <w:lang w:val="zh-CN" w:eastAsia="zh-CN"/>
              </w:rPr>
              <w:t>确保</w:t>
            </w:r>
            <w:r w:rsidRPr="008B1FF1">
              <w:rPr>
                <w:rFonts w:eastAsia="SimSun" w:cs="Calibri"/>
                <w:color w:val="000000"/>
                <w:sz w:val="20"/>
                <w:lang w:val="zh-CN" w:eastAsia="zh-CN"/>
              </w:rPr>
              <w:t>国际电联</w:t>
            </w:r>
            <w:r w:rsidRPr="008B1FF1">
              <w:rPr>
                <w:rFonts w:eastAsia="SimSun" w:cs="Calibri" w:hint="eastAsia"/>
                <w:color w:val="000000"/>
                <w:sz w:val="20"/>
                <w:lang w:val="zh-CN" w:eastAsia="zh-CN"/>
              </w:rPr>
              <w:t>发挥职能并保障其</w:t>
            </w:r>
            <w:r w:rsidRPr="008B1FF1">
              <w:rPr>
                <w:rFonts w:eastAsia="SimSun" w:cs="Calibri"/>
                <w:color w:val="000000"/>
                <w:sz w:val="20"/>
                <w:lang w:val="zh-CN" w:eastAsia="zh-CN"/>
              </w:rPr>
              <w:t>利益。</w:t>
            </w:r>
          </w:p>
        </w:tc>
        <w:tc>
          <w:tcPr>
            <w:tcW w:w="1750" w:type="pct"/>
            <w:shd w:val="clear" w:color="auto" w:fill="auto"/>
          </w:tcPr>
          <w:p w14:paraId="5D51DD23"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月的最新进展：国际电联智利圣地亚哥地区办事处现在设在</w:t>
            </w:r>
            <w:r w:rsidRPr="008B1FF1">
              <w:rPr>
                <w:rFonts w:eastAsia="SimSun" w:cs="Calibri" w:hint="eastAsia"/>
                <w:color w:val="000000"/>
                <w:sz w:val="20"/>
                <w:lang w:val="zh-CN" w:eastAsia="zh-CN"/>
              </w:rPr>
              <w:t>某</w:t>
            </w:r>
            <w:r w:rsidRPr="008B1FF1">
              <w:rPr>
                <w:rFonts w:eastAsia="SimSun" w:cs="Calibri"/>
                <w:color w:val="000000"/>
                <w:sz w:val="20"/>
                <w:lang w:val="zh-CN" w:eastAsia="zh-CN"/>
              </w:rPr>
              <w:t>联合国机构的办公楼内，</w:t>
            </w:r>
            <w:r w:rsidRPr="008B1FF1">
              <w:rPr>
                <w:rFonts w:eastAsia="SimSun" w:cs="Calibri" w:hint="eastAsia"/>
                <w:color w:val="000000"/>
                <w:sz w:val="20"/>
                <w:lang w:val="zh-CN" w:eastAsia="zh-CN"/>
              </w:rPr>
              <w:t>利用了当地</w:t>
            </w:r>
            <w:r w:rsidRPr="008B1FF1">
              <w:rPr>
                <w:rFonts w:eastAsia="SimSun" w:cs="Calibri"/>
                <w:color w:val="000000"/>
                <w:sz w:val="20"/>
                <w:lang w:val="zh-CN" w:eastAsia="zh-CN"/>
              </w:rPr>
              <w:t>政府的现有安排。</w:t>
            </w:r>
            <w:r w:rsidRPr="008B1FF1">
              <w:rPr>
                <w:rFonts w:eastAsia="SimSun" w:cs="Calibri" w:hint="eastAsia"/>
                <w:color w:val="000000"/>
                <w:sz w:val="20"/>
                <w:lang w:val="zh-CN" w:eastAsia="zh-CN"/>
              </w:rPr>
              <w:t>国际电联已</w:t>
            </w:r>
            <w:r w:rsidRPr="008B1FF1">
              <w:rPr>
                <w:rFonts w:eastAsia="SimSun" w:cs="Calibri"/>
                <w:color w:val="000000"/>
                <w:sz w:val="20"/>
                <w:lang w:val="zh-CN" w:eastAsia="zh-CN"/>
              </w:rPr>
              <w:t>为完成</w:t>
            </w:r>
            <w:r w:rsidRPr="008B1FF1">
              <w:rPr>
                <w:rFonts w:eastAsia="SimSun" w:cs="Calibri"/>
                <w:color w:val="000000"/>
                <w:sz w:val="20"/>
                <w:lang w:val="zh-CN" w:eastAsia="zh-CN"/>
              </w:rPr>
              <w:t>HCA</w:t>
            </w:r>
            <w:r w:rsidRPr="008B1FF1">
              <w:rPr>
                <w:rFonts w:eastAsia="SimSun" w:cs="Calibri"/>
                <w:color w:val="000000"/>
                <w:sz w:val="20"/>
                <w:lang w:val="zh-CN" w:eastAsia="zh-CN"/>
              </w:rPr>
              <w:t>付出了努力。</w:t>
            </w:r>
          </w:p>
          <w:p w14:paraId="7DBF633E" w14:textId="289D68C0"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国际电联认为实施工作正在落实中。</w:t>
            </w:r>
          </w:p>
        </w:tc>
        <w:tc>
          <w:tcPr>
            <w:tcW w:w="1050" w:type="pct"/>
            <w:shd w:val="clear" w:color="auto" w:fill="auto"/>
          </w:tcPr>
          <w:p w14:paraId="324F4207" w14:textId="53C5B0DE" w:rsidR="000245E2" w:rsidRPr="008B1FF1" w:rsidRDefault="000245E2" w:rsidP="000245E2">
            <w:pPr>
              <w:pStyle w:val="Tabletext"/>
              <w:rPr>
                <w:sz w:val="20"/>
                <w:lang w:eastAsia="zh-CN"/>
              </w:rPr>
            </w:pPr>
            <w:r w:rsidRPr="008B1FF1">
              <w:rPr>
                <w:rFonts w:eastAsia="SimSun" w:cs="Calibri"/>
                <w:color w:val="000000"/>
                <w:sz w:val="20"/>
                <w:lang w:val="zh-CN" w:eastAsia="zh-CN"/>
              </w:rPr>
              <w:t>已将最新回应记录在案。</w:t>
            </w:r>
          </w:p>
        </w:tc>
        <w:tc>
          <w:tcPr>
            <w:tcW w:w="450" w:type="pct"/>
            <w:shd w:val="clear" w:color="auto" w:fill="auto"/>
          </w:tcPr>
          <w:p w14:paraId="25A4CDCD" w14:textId="6021D90D" w:rsidR="000245E2" w:rsidRPr="008B1FF1" w:rsidRDefault="000245E2" w:rsidP="000245E2">
            <w:pPr>
              <w:pStyle w:val="Tabletext"/>
              <w:rPr>
                <w:sz w:val="20"/>
                <w:lang w:eastAsia="zh-CN"/>
              </w:rPr>
            </w:pPr>
            <w:r w:rsidRPr="008B1FF1">
              <w:rPr>
                <w:rFonts w:eastAsia="SimSun" w:cs="Calibri" w:hint="eastAsia"/>
                <w:color w:val="000000"/>
                <w:sz w:val="20"/>
                <w:lang w:val="zh-CN" w:eastAsia="zh-CN"/>
              </w:rPr>
              <w:t>落实中。</w:t>
            </w:r>
          </w:p>
        </w:tc>
      </w:tr>
      <w:tr w:rsidR="000245E2" w:rsidRPr="00536D01" w14:paraId="1CB4FF75" w14:textId="77777777" w:rsidTr="0011737E">
        <w:tc>
          <w:tcPr>
            <w:tcW w:w="300" w:type="pct"/>
            <w:shd w:val="clear" w:color="auto" w:fill="auto"/>
          </w:tcPr>
          <w:p w14:paraId="1CD87EF0" w14:textId="0102FDF2" w:rsidR="000245E2" w:rsidRPr="008B1FF1" w:rsidRDefault="000245E2" w:rsidP="000245E2">
            <w:pPr>
              <w:pStyle w:val="Tabletext"/>
              <w:rPr>
                <w:sz w:val="20"/>
              </w:rPr>
            </w:pPr>
            <w:r w:rsidRPr="008B1FF1">
              <w:rPr>
                <w:rFonts w:eastAsia="SimSun" w:cs="Calibri"/>
                <w:color w:val="000000"/>
                <w:sz w:val="20"/>
                <w:lang w:val="zh-CN"/>
              </w:rPr>
              <w:t>R#11</w:t>
            </w:r>
          </w:p>
        </w:tc>
        <w:tc>
          <w:tcPr>
            <w:tcW w:w="1450" w:type="pct"/>
            <w:shd w:val="clear" w:color="auto" w:fill="auto"/>
          </w:tcPr>
          <w:p w14:paraId="388A7B3B" w14:textId="02891B53" w:rsidR="000245E2" w:rsidRPr="008B1FF1" w:rsidRDefault="000245E2" w:rsidP="000245E2">
            <w:pPr>
              <w:pStyle w:val="Tabletext"/>
              <w:rPr>
                <w:sz w:val="20"/>
                <w:lang w:eastAsia="zh-CN"/>
              </w:rPr>
            </w:pPr>
            <w:r w:rsidRPr="008B1FF1">
              <w:rPr>
                <w:rFonts w:eastAsia="SimSun" w:cs="Calibri"/>
                <w:color w:val="000000"/>
                <w:sz w:val="20"/>
                <w:lang w:val="zh-CN" w:eastAsia="zh-CN"/>
              </w:rPr>
              <w:t>起草一份文件，总结所有授权情况，无论是内部授权（</w:t>
            </w:r>
            <w:r w:rsidRPr="008B1FF1">
              <w:rPr>
                <w:rFonts w:eastAsia="SimSun" w:cs="Calibri" w:hint="eastAsia"/>
                <w:color w:val="000000"/>
                <w:sz w:val="20"/>
                <w:lang w:val="zh-CN" w:eastAsia="zh-CN"/>
              </w:rPr>
              <w:t>哪些文件</w:t>
            </w:r>
            <w:r w:rsidRPr="008B1FF1">
              <w:rPr>
                <w:rFonts w:eastAsia="SimSun" w:cs="Calibri"/>
                <w:color w:val="000000"/>
                <w:sz w:val="20"/>
                <w:lang w:val="zh-CN" w:eastAsia="zh-CN"/>
              </w:rPr>
              <w:t>必须</w:t>
            </w:r>
            <w:r w:rsidRPr="008B1FF1">
              <w:rPr>
                <w:rFonts w:eastAsia="SimSun" w:cs="Calibri" w:hint="eastAsia"/>
                <w:color w:val="000000"/>
                <w:sz w:val="20"/>
                <w:lang w:val="zh-CN" w:eastAsia="zh-CN"/>
              </w:rPr>
              <w:t>由谁</w:t>
            </w:r>
            <w:r w:rsidRPr="008B1FF1">
              <w:rPr>
                <w:rFonts w:eastAsia="SimSun" w:cs="Calibri"/>
                <w:color w:val="000000"/>
                <w:sz w:val="20"/>
                <w:lang w:val="zh-CN" w:eastAsia="zh-CN"/>
              </w:rPr>
              <w:t>签署）还是外部授权（银行资金流动和网</w:t>
            </w:r>
            <w:r w:rsidRPr="008B1FF1">
              <w:rPr>
                <w:rFonts w:eastAsia="SimSun" w:cs="Calibri" w:hint="eastAsia"/>
                <w:color w:val="000000"/>
                <w:sz w:val="20"/>
                <w:lang w:val="zh-CN" w:eastAsia="zh-CN"/>
              </w:rPr>
              <w:t>上</w:t>
            </w:r>
            <w:r w:rsidRPr="008B1FF1">
              <w:rPr>
                <w:rFonts w:eastAsia="SimSun" w:cs="Calibri"/>
                <w:color w:val="000000"/>
                <w:sz w:val="20"/>
                <w:lang w:val="zh-CN" w:eastAsia="zh-CN"/>
              </w:rPr>
              <w:t>银行等各</w:t>
            </w:r>
            <w:r w:rsidRPr="008B1FF1">
              <w:rPr>
                <w:rFonts w:eastAsia="SimSun" w:cs="Calibri" w:hint="eastAsia"/>
                <w:color w:val="000000"/>
                <w:sz w:val="20"/>
                <w:lang w:val="zh-CN" w:eastAsia="zh-CN"/>
              </w:rPr>
              <w:t>条线的签字授权</w:t>
            </w:r>
            <w:r w:rsidRPr="008B1FF1">
              <w:rPr>
                <w:rFonts w:eastAsia="SimSun" w:cs="Calibri"/>
                <w:color w:val="000000"/>
                <w:sz w:val="20"/>
                <w:lang w:val="zh-CN" w:eastAsia="zh-CN"/>
              </w:rPr>
              <w:t>）。</w:t>
            </w:r>
          </w:p>
        </w:tc>
        <w:tc>
          <w:tcPr>
            <w:tcW w:w="1750" w:type="pct"/>
            <w:shd w:val="clear" w:color="auto" w:fill="auto"/>
          </w:tcPr>
          <w:p w14:paraId="0C1904A1"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国际电联注意到</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11</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建议。就银行资金流动而言，</w:t>
            </w:r>
            <w:r w:rsidRPr="008B1FF1">
              <w:rPr>
                <w:rFonts w:eastAsia="SimSun" w:cs="Calibri" w:hint="eastAsia"/>
                <w:color w:val="000000"/>
                <w:sz w:val="20"/>
                <w:lang w:val="zh-CN" w:eastAsia="zh-CN"/>
              </w:rPr>
              <w:t>相关</w:t>
            </w:r>
            <w:r w:rsidRPr="008B1FF1">
              <w:rPr>
                <w:rFonts w:eastAsia="SimSun" w:cs="Calibri"/>
                <w:color w:val="000000"/>
                <w:sz w:val="20"/>
                <w:lang w:val="zh-CN" w:eastAsia="zh-CN"/>
              </w:rPr>
              <w:t>文件已经存在且每次职员流动时都会更新。与银行的协调也是为了确保</w:t>
            </w:r>
            <w:r w:rsidRPr="008B1FF1">
              <w:rPr>
                <w:rFonts w:eastAsia="SimSun" w:cs="Calibri" w:hint="eastAsia"/>
                <w:color w:val="000000"/>
                <w:sz w:val="20"/>
                <w:lang w:val="zh-CN" w:eastAsia="zh-CN"/>
              </w:rPr>
              <w:t>其</w:t>
            </w:r>
            <w:r w:rsidRPr="008B1FF1">
              <w:rPr>
                <w:rFonts w:eastAsia="SimSun" w:cs="Calibri"/>
                <w:color w:val="000000"/>
                <w:sz w:val="20"/>
                <w:lang w:val="zh-CN" w:eastAsia="zh-CN"/>
              </w:rPr>
              <w:t>遵守总部的指示。</w:t>
            </w:r>
            <w:r w:rsidRPr="008B1FF1">
              <w:rPr>
                <w:rFonts w:eastAsia="SimSun" w:cs="Calibri" w:hint="eastAsia"/>
                <w:color w:val="000000"/>
                <w:sz w:val="20"/>
                <w:lang w:val="zh-CN" w:eastAsia="zh-CN"/>
              </w:rPr>
              <w:t>我们</w:t>
            </w:r>
            <w:r w:rsidRPr="008B1FF1">
              <w:rPr>
                <w:rFonts w:eastAsia="SimSun" w:cs="Calibri"/>
                <w:color w:val="000000"/>
                <w:sz w:val="20"/>
                <w:lang w:val="zh-CN" w:eastAsia="zh-CN"/>
              </w:rPr>
              <w:t>将进行内部协调，编写一份</w:t>
            </w:r>
            <w:r w:rsidRPr="008B1FF1">
              <w:rPr>
                <w:rFonts w:eastAsia="SimSun" w:cs="Calibri" w:hint="eastAsia"/>
                <w:color w:val="000000"/>
                <w:sz w:val="20"/>
                <w:lang w:val="zh-CN" w:eastAsia="zh-CN"/>
              </w:rPr>
              <w:t>有关</w:t>
            </w:r>
            <w:r w:rsidRPr="008B1FF1">
              <w:rPr>
                <w:rFonts w:eastAsia="SimSun" w:cs="Calibri"/>
                <w:color w:val="000000"/>
                <w:sz w:val="20"/>
                <w:lang w:val="zh-CN" w:eastAsia="zh-CN"/>
              </w:rPr>
              <w:t>权力下放</w:t>
            </w:r>
            <w:r w:rsidRPr="008B1FF1">
              <w:rPr>
                <w:rFonts w:eastAsia="SimSun" w:cs="Calibri" w:hint="eastAsia"/>
                <w:color w:val="000000"/>
                <w:sz w:val="20"/>
                <w:lang w:val="zh-CN" w:eastAsia="zh-CN"/>
              </w:rPr>
              <w:t>的摘要</w:t>
            </w:r>
            <w:r w:rsidRPr="008B1FF1">
              <w:rPr>
                <w:rFonts w:eastAsia="SimSun" w:cs="Calibri"/>
                <w:color w:val="000000"/>
                <w:sz w:val="20"/>
                <w:lang w:val="zh-CN" w:eastAsia="zh-CN"/>
              </w:rPr>
              <w:t>文件。</w:t>
            </w:r>
          </w:p>
          <w:p w14:paraId="36D34963"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月的最新进展：第</w:t>
            </w:r>
            <w:r w:rsidRPr="008B1FF1">
              <w:rPr>
                <w:rFonts w:eastAsia="SimSun" w:cs="Calibri"/>
                <w:color w:val="000000"/>
                <w:sz w:val="20"/>
                <w:lang w:val="zh-CN" w:eastAsia="zh-CN"/>
              </w:rPr>
              <w:t>22/18</w:t>
            </w:r>
            <w:r w:rsidRPr="008B1FF1">
              <w:rPr>
                <w:rFonts w:eastAsia="SimSun" w:cs="Calibri"/>
                <w:color w:val="000000"/>
                <w:sz w:val="20"/>
                <w:lang w:val="zh-CN" w:eastAsia="zh-CN"/>
              </w:rPr>
              <w:t>号行政规定</w:t>
            </w:r>
            <w:r w:rsidRPr="008B1FF1">
              <w:rPr>
                <w:rFonts w:eastAsia="SimSun" w:cs="Calibri" w:hint="eastAsia"/>
                <w:color w:val="000000"/>
                <w:sz w:val="20"/>
                <w:lang w:val="zh-CN" w:eastAsia="zh-CN"/>
              </w:rPr>
              <w:t>“</w:t>
            </w:r>
            <w:r w:rsidRPr="008B1FF1">
              <w:rPr>
                <w:rFonts w:eastAsia="SimSun" w:cs="Calibri"/>
                <w:color w:val="000000"/>
                <w:sz w:val="20"/>
                <w:lang w:val="zh-CN" w:eastAsia="zh-CN"/>
              </w:rPr>
              <w:t>新问责制模式和框架</w:t>
            </w:r>
            <w:r w:rsidRPr="008B1FF1">
              <w:rPr>
                <w:rFonts w:eastAsia="SimSun" w:cs="Calibri" w:hint="eastAsia"/>
                <w:color w:val="000000"/>
                <w:sz w:val="20"/>
                <w:lang w:val="zh-CN" w:eastAsia="zh-CN"/>
              </w:rPr>
              <w:t>”</w:t>
            </w:r>
            <w:r w:rsidRPr="008B1FF1">
              <w:rPr>
                <w:rFonts w:eastAsia="SimSun" w:cs="Calibri"/>
                <w:color w:val="000000"/>
                <w:sz w:val="20"/>
                <w:lang w:val="zh-CN" w:eastAsia="zh-CN"/>
              </w:rPr>
              <w:t>规定了管理国际电信联盟新问责制框架的原则、规则、政策、程序和做法，详见所附</w:t>
            </w:r>
            <w:r w:rsidRPr="008B1FF1">
              <w:rPr>
                <w:rFonts w:eastAsia="SimSun" w:cs="Calibri" w:hint="eastAsia"/>
                <w:color w:val="000000"/>
                <w:sz w:val="20"/>
                <w:lang w:val="zh-CN" w:eastAsia="zh-CN"/>
              </w:rPr>
              <w:t>《</w:t>
            </w:r>
            <w:r w:rsidRPr="008B1FF1">
              <w:rPr>
                <w:rFonts w:eastAsia="SimSun" w:cs="Calibri"/>
                <w:color w:val="000000"/>
                <w:sz w:val="20"/>
                <w:lang w:val="zh-CN" w:eastAsia="zh-CN"/>
              </w:rPr>
              <w:t>国际电联问责制框架</w:t>
            </w:r>
            <w:r w:rsidRPr="008B1FF1">
              <w:rPr>
                <w:rFonts w:eastAsia="SimSun" w:cs="Calibri" w:hint="eastAsia"/>
                <w:color w:val="000000"/>
                <w:sz w:val="20"/>
                <w:lang w:val="zh-CN" w:eastAsia="zh-CN"/>
              </w:rPr>
              <w:t>》（</w:t>
            </w:r>
            <w:r w:rsidRPr="008B1FF1">
              <w:rPr>
                <w:rFonts w:eastAsia="SimSun" w:cs="Calibri" w:hint="eastAsia"/>
                <w:color w:val="000000"/>
                <w:sz w:val="20"/>
                <w:lang w:val="zh-CN" w:eastAsia="zh-CN"/>
              </w:rPr>
              <w:t>AF</w:t>
            </w:r>
            <w:r w:rsidRPr="008B1FF1">
              <w:rPr>
                <w:rFonts w:eastAsia="SimSun" w:cs="Calibri" w:hint="eastAsia"/>
                <w:color w:val="000000"/>
                <w:sz w:val="20"/>
                <w:lang w:val="zh-CN" w:eastAsia="zh-CN"/>
              </w:rPr>
              <w:t>）</w:t>
            </w:r>
            <w:r w:rsidRPr="008B1FF1">
              <w:rPr>
                <w:rFonts w:eastAsia="SimSun" w:cs="Calibri"/>
                <w:color w:val="000000"/>
                <w:sz w:val="20"/>
                <w:lang w:val="zh-CN" w:eastAsia="zh-CN"/>
              </w:rPr>
              <w:t>。内部审计处计划在</w:t>
            </w:r>
            <w:r w:rsidRPr="008B1FF1">
              <w:rPr>
                <w:rFonts w:eastAsia="SimSun" w:cs="Calibri"/>
                <w:color w:val="000000"/>
                <w:sz w:val="20"/>
                <w:lang w:val="zh-CN" w:eastAsia="zh-CN"/>
              </w:rPr>
              <w:t>2025</w:t>
            </w:r>
            <w:r w:rsidRPr="008B1FF1">
              <w:rPr>
                <w:rFonts w:eastAsia="SimSun" w:cs="Calibri"/>
                <w:color w:val="000000"/>
                <w:sz w:val="20"/>
                <w:lang w:val="zh-CN" w:eastAsia="zh-CN"/>
              </w:rPr>
              <w:t>年对</w:t>
            </w:r>
            <w:r w:rsidRPr="008B1FF1">
              <w:rPr>
                <w:rFonts w:eastAsia="SimSun" w:cs="Calibri"/>
                <w:color w:val="000000"/>
                <w:sz w:val="20"/>
                <w:lang w:val="zh-CN" w:eastAsia="zh-CN"/>
              </w:rPr>
              <w:t>AF</w:t>
            </w:r>
            <w:r w:rsidRPr="008B1FF1">
              <w:rPr>
                <w:rFonts w:eastAsia="SimSun" w:cs="Calibri"/>
                <w:color w:val="000000"/>
                <w:sz w:val="20"/>
                <w:lang w:val="zh-CN" w:eastAsia="zh-CN"/>
              </w:rPr>
              <w:t>进行审计。国际电联目前正在制定全面的授权框架</w:t>
            </w:r>
          </w:p>
          <w:p w14:paraId="3E0C6B83" w14:textId="62B33DF1"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1BC58F48" w14:textId="2F62D93D"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意大利审计院在最后报告</w:t>
            </w:r>
            <w:r w:rsidRPr="008B1FF1">
              <w:rPr>
                <w:rFonts w:eastAsia="SimSun" w:cs="Calibri" w:hint="eastAsia"/>
                <w:color w:val="000000"/>
                <w:sz w:val="20"/>
                <w:lang w:val="zh-CN" w:eastAsia="zh-CN"/>
              </w:rPr>
              <w:t>中</w:t>
            </w:r>
            <w:r w:rsidRPr="008B1FF1">
              <w:rPr>
                <w:rFonts w:eastAsia="SimSun" w:cs="Calibri"/>
                <w:color w:val="000000"/>
                <w:sz w:val="20"/>
                <w:lang w:val="zh-CN" w:eastAsia="zh-CN"/>
              </w:rPr>
              <w:t>（附件</w:t>
            </w:r>
            <w:r w:rsidRPr="008B1FF1">
              <w:rPr>
                <w:rFonts w:eastAsia="SimSun" w:cs="Calibri"/>
                <w:color w:val="000000"/>
                <w:sz w:val="20"/>
                <w:lang w:val="zh-CN" w:eastAsia="zh-CN"/>
              </w:rPr>
              <w:t>3</w:t>
            </w:r>
            <w:r w:rsidRPr="008B1FF1">
              <w:rPr>
                <w:rFonts w:eastAsia="SimSun" w:cs="Calibri"/>
                <w:color w:val="000000"/>
                <w:sz w:val="20"/>
                <w:lang w:val="zh-CN" w:eastAsia="zh-CN"/>
              </w:rPr>
              <w:t>：</w:t>
            </w:r>
            <w:hyperlink r:id="rId36" w:history="1">
              <w:r w:rsidR="00DF3E54" w:rsidRPr="008B1FF1">
                <w:rPr>
                  <w:rStyle w:val="Hyperlink"/>
                  <w:sz w:val="20"/>
                  <w:lang w:eastAsia="zh-CN"/>
                </w:rPr>
                <w:t>C22/101</w:t>
              </w:r>
            </w:hyperlink>
            <w:r w:rsidRPr="008B1FF1">
              <w:rPr>
                <w:rFonts w:eastAsia="SimSun" w:cs="Calibri"/>
                <w:color w:val="000000"/>
                <w:sz w:val="20"/>
                <w:lang w:val="zh-CN" w:eastAsia="zh-CN"/>
              </w:rPr>
              <w:t>）</w:t>
            </w:r>
            <w:r w:rsidRPr="008B1FF1">
              <w:rPr>
                <w:rFonts w:eastAsia="SimSun" w:cs="Calibri" w:hint="eastAsia"/>
                <w:color w:val="000000"/>
                <w:sz w:val="20"/>
                <w:lang w:val="zh-CN" w:eastAsia="zh-CN"/>
              </w:rPr>
              <w:t>并未将其列为未解决的问题</w:t>
            </w:r>
            <w:r w:rsidRPr="008B1FF1">
              <w:rPr>
                <w:rFonts w:eastAsia="SimSun" w:cs="Calibri"/>
                <w:color w:val="000000"/>
                <w:sz w:val="20"/>
                <w:lang w:val="zh-CN" w:eastAsia="zh-CN"/>
              </w:rPr>
              <w:t>。</w:t>
            </w:r>
          </w:p>
          <w:p w14:paraId="7E21F431" w14:textId="05166C5D" w:rsidR="000245E2" w:rsidRPr="008B1FF1" w:rsidRDefault="000245E2" w:rsidP="000245E2">
            <w:pPr>
              <w:pStyle w:val="Tabletext"/>
              <w:rPr>
                <w:sz w:val="20"/>
                <w:lang w:eastAsia="zh-CN"/>
              </w:rPr>
            </w:pPr>
            <w:r w:rsidRPr="008B1FF1">
              <w:rPr>
                <w:rFonts w:eastAsia="SimSun" w:cs="Calibri"/>
                <w:color w:val="000000"/>
                <w:sz w:val="20"/>
                <w:lang w:val="zh-CN" w:eastAsia="zh-CN"/>
              </w:rPr>
              <w:t>我们同意</w:t>
            </w:r>
            <w:r w:rsidRPr="008B1FF1">
              <w:rPr>
                <w:rFonts w:eastAsia="SimSun" w:cs="Calibri" w:hint="eastAsia"/>
                <w:color w:val="000000"/>
                <w:sz w:val="20"/>
                <w:lang w:val="zh-CN" w:eastAsia="zh-CN"/>
              </w:rPr>
              <w:t>不再跟进</w:t>
            </w:r>
            <w:r w:rsidRPr="008B1FF1">
              <w:rPr>
                <w:rFonts w:eastAsia="SimSun" w:cs="Calibri"/>
                <w:color w:val="000000"/>
                <w:sz w:val="20"/>
                <w:lang w:val="zh-CN" w:eastAsia="zh-CN"/>
              </w:rPr>
              <w:t>该建议；其他建议将跟踪权力下放的实施情况。</w:t>
            </w:r>
          </w:p>
        </w:tc>
        <w:tc>
          <w:tcPr>
            <w:tcW w:w="450" w:type="pct"/>
            <w:shd w:val="clear" w:color="auto" w:fill="auto"/>
          </w:tcPr>
          <w:p w14:paraId="77A1FEB3" w14:textId="4FF8B0EB" w:rsidR="000245E2" w:rsidRPr="008B1FF1" w:rsidRDefault="00A62A5A" w:rsidP="000245E2">
            <w:pPr>
              <w:pStyle w:val="Tabletext"/>
              <w:rPr>
                <w:sz w:val="20"/>
                <w:lang w:eastAsia="zh-CN"/>
              </w:rPr>
            </w:pPr>
            <w:r>
              <w:rPr>
                <w:rFonts w:ascii="SimSun" w:eastAsia="SimSun" w:hAnsi="SimSun" w:cs="SimSun" w:hint="eastAsia"/>
                <w:color w:val="000000"/>
                <w:sz w:val="20"/>
                <w:lang w:eastAsia="zh-CN"/>
              </w:rPr>
              <w:t>已关闭。</w:t>
            </w:r>
          </w:p>
        </w:tc>
      </w:tr>
      <w:tr w:rsidR="000245E2" w:rsidRPr="00536D01" w14:paraId="4751D0BE" w14:textId="77777777" w:rsidTr="0011737E">
        <w:tc>
          <w:tcPr>
            <w:tcW w:w="300" w:type="pct"/>
            <w:shd w:val="clear" w:color="auto" w:fill="auto"/>
          </w:tcPr>
          <w:p w14:paraId="66B8EAAB" w14:textId="6A677CEC" w:rsidR="000245E2" w:rsidRPr="008B1FF1" w:rsidRDefault="000245E2" w:rsidP="000245E2">
            <w:pPr>
              <w:pStyle w:val="Tabletext"/>
              <w:rPr>
                <w:sz w:val="20"/>
              </w:rPr>
            </w:pPr>
            <w:r w:rsidRPr="008B1FF1">
              <w:rPr>
                <w:rFonts w:eastAsia="SimSun" w:cs="Calibri"/>
                <w:color w:val="000000"/>
                <w:sz w:val="20"/>
                <w:lang w:val="zh-CN"/>
              </w:rPr>
              <w:lastRenderedPageBreak/>
              <w:t>R#12</w:t>
            </w:r>
          </w:p>
        </w:tc>
        <w:tc>
          <w:tcPr>
            <w:tcW w:w="1450" w:type="pct"/>
            <w:shd w:val="clear" w:color="auto" w:fill="auto"/>
          </w:tcPr>
          <w:p w14:paraId="1B12DF44" w14:textId="5FF5C715" w:rsidR="000245E2" w:rsidRPr="008B1FF1" w:rsidRDefault="000245E2" w:rsidP="008B1FF1">
            <w:pPr>
              <w:pStyle w:val="Tabletext"/>
              <w:tabs>
                <w:tab w:val="clear" w:pos="284"/>
                <w:tab w:val="clear" w:pos="425"/>
                <w:tab w:val="left" w:pos="356"/>
              </w:tabs>
              <w:spacing w:before="60"/>
              <w:ind w:left="356" w:hanging="356"/>
              <w:rPr>
                <w:rFonts w:eastAsia="SimSun" w:cs="Calibri"/>
                <w:sz w:val="20"/>
                <w:lang w:eastAsia="zh-CN"/>
              </w:rPr>
            </w:pPr>
            <w:r w:rsidRPr="008B1FF1">
              <w:rPr>
                <w:rFonts w:eastAsia="SimSun" w:cs="Calibri"/>
                <w:color w:val="000000"/>
                <w:sz w:val="20"/>
                <w:lang w:val="zh-CN" w:eastAsia="zh-CN"/>
              </w:rPr>
              <w:t>a</w:t>
            </w:r>
            <w:r w:rsidR="008B1FF1" w:rsidRPr="008B1FF1">
              <w:rPr>
                <w:rFonts w:eastAsia="SimSun" w:cs="Calibri" w:hint="eastAsia"/>
                <w:color w:val="000000"/>
                <w:sz w:val="20"/>
                <w:lang w:val="zh-CN" w:eastAsia="zh-CN"/>
              </w:rPr>
              <w:t>)</w:t>
            </w:r>
            <w:r w:rsidR="008B1FF1" w:rsidRPr="008B1FF1">
              <w:rPr>
                <w:rFonts w:eastAsia="SimSun" w:cs="Calibri"/>
                <w:color w:val="000000"/>
                <w:sz w:val="20"/>
                <w:lang w:val="zh-CN" w:eastAsia="zh-CN"/>
              </w:rPr>
              <w:tab/>
            </w:r>
            <w:r w:rsidRPr="008B1FF1">
              <w:rPr>
                <w:rFonts w:eastAsia="SimSun" w:cs="Calibri"/>
                <w:color w:val="000000"/>
                <w:sz w:val="20"/>
                <w:lang w:val="zh-CN" w:eastAsia="zh-CN"/>
              </w:rPr>
              <w:t>采用标准报告表记录所有例外情况，并</w:t>
            </w:r>
            <w:r w:rsidRPr="008B1FF1">
              <w:rPr>
                <w:rFonts w:eastAsia="SimSun" w:cs="Calibri" w:hint="eastAsia"/>
                <w:color w:val="000000"/>
                <w:sz w:val="20"/>
                <w:lang w:val="zh-CN" w:eastAsia="zh-CN"/>
              </w:rPr>
              <w:t>随附</w:t>
            </w:r>
            <w:r w:rsidRPr="008B1FF1">
              <w:rPr>
                <w:rFonts w:eastAsia="SimSun" w:cs="Calibri"/>
                <w:color w:val="000000"/>
                <w:sz w:val="20"/>
                <w:lang w:val="zh-CN" w:eastAsia="zh-CN"/>
              </w:rPr>
              <w:t>批准该例外情况的高级官员的签名。</w:t>
            </w:r>
            <w:r w:rsidRPr="008B1FF1">
              <w:rPr>
                <w:rFonts w:eastAsia="SimSun" w:cs="Calibri" w:hint="eastAsia"/>
                <w:color w:val="000000"/>
                <w:sz w:val="20"/>
                <w:lang w:val="zh-CN" w:eastAsia="zh-CN"/>
              </w:rPr>
              <w:t>此外，</w:t>
            </w:r>
            <w:r w:rsidRPr="008B1FF1">
              <w:rPr>
                <w:rFonts w:eastAsia="SimSun" w:cs="Calibri"/>
                <w:color w:val="000000"/>
                <w:sz w:val="20"/>
                <w:lang w:val="zh-CN" w:eastAsia="zh-CN"/>
              </w:rPr>
              <w:t>还可创建例外</w:t>
            </w:r>
            <w:r w:rsidRPr="008B1FF1">
              <w:rPr>
                <w:rFonts w:eastAsia="SimSun" w:cs="Calibri" w:hint="eastAsia"/>
                <w:color w:val="000000"/>
                <w:sz w:val="20"/>
                <w:lang w:val="zh-CN" w:eastAsia="zh-CN"/>
              </w:rPr>
              <w:t>情况信息</w:t>
            </w:r>
            <w:r w:rsidRPr="008B1FF1">
              <w:rPr>
                <w:rFonts w:eastAsia="SimSun" w:cs="Calibri"/>
                <w:color w:val="000000"/>
                <w:sz w:val="20"/>
                <w:lang w:val="zh-CN" w:eastAsia="zh-CN"/>
              </w:rPr>
              <w:t>登记</w:t>
            </w:r>
            <w:r w:rsidRPr="008B1FF1">
              <w:rPr>
                <w:rFonts w:eastAsia="SimSun" w:cs="Calibri" w:hint="eastAsia"/>
                <w:color w:val="000000"/>
                <w:sz w:val="20"/>
                <w:lang w:val="zh-CN" w:eastAsia="zh-CN"/>
              </w:rPr>
              <w:t>表</w:t>
            </w:r>
            <w:r w:rsidRPr="008B1FF1">
              <w:rPr>
                <w:rFonts w:eastAsia="SimSun" w:cs="Calibri"/>
                <w:color w:val="000000"/>
                <w:sz w:val="20"/>
                <w:lang w:val="zh-CN" w:eastAsia="zh-CN"/>
              </w:rPr>
              <w:t>，以便总部进行有效监督（此</w:t>
            </w:r>
            <w:r w:rsidRPr="008B1FF1">
              <w:rPr>
                <w:rFonts w:eastAsia="SimSun" w:cs="Calibri" w:hint="eastAsia"/>
                <w:color w:val="000000"/>
                <w:sz w:val="20"/>
                <w:lang w:val="zh-CN" w:eastAsia="zh-CN"/>
              </w:rPr>
              <w:t>做法</w:t>
            </w:r>
            <w:r w:rsidRPr="008B1FF1">
              <w:rPr>
                <w:rFonts w:eastAsia="SimSun" w:cs="Calibri"/>
                <w:color w:val="000000"/>
                <w:sz w:val="20"/>
                <w:lang w:val="zh-CN" w:eastAsia="zh-CN"/>
              </w:rPr>
              <w:t>也可扩展到小额现金管理以外的领域）。</w:t>
            </w:r>
          </w:p>
          <w:p w14:paraId="3E0BE814" w14:textId="1AFA0E40" w:rsidR="000245E2" w:rsidRPr="008B1FF1" w:rsidRDefault="000245E2" w:rsidP="008B1FF1">
            <w:pPr>
              <w:pStyle w:val="Tabletext"/>
              <w:tabs>
                <w:tab w:val="clear" w:pos="284"/>
                <w:tab w:val="clear" w:pos="425"/>
                <w:tab w:val="left" w:pos="356"/>
              </w:tabs>
              <w:spacing w:before="60"/>
              <w:ind w:left="356" w:hanging="356"/>
              <w:rPr>
                <w:rFonts w:eastAsia="SimSun" w:cs="Calibri"/>
                <w:sz w:val="20"/>
                <w:lang w:eastAsia="zh-CN"/>
              </w:rPr>
            </w:pPr>
            <w:r w:rsidRPr="008B1FF1">
              <w:rPr>
                <w:rFonts w:eastAsia="SimSun" w:cs="Calibri"/>
                <w:color w:val="000000"/>
                <w:sz w:val="20"/>
                <w:lang w:val="zh-CN" w:eastAsia="zh-CN"/>
              </w:rPr>
              <w:t>b</w:t>
            </w:r>
            <w:r w:rsidR="008B1FF1" w:rsidRPr="008B1FF1">
              <w:rPr>
                <w:rFonts w:eastAsia="SimSun" w:cs="Calibri" w:hint="eastAsia"/>
                <w:color w:val="000000"/>
                <w:sz w:val="20"/>
                <w:lang w:val="zh-CN" w:eastAsia="zh-CN"/>
              </w:rPr>
              <w:t>)</w:t>
            </w:r>
            <w:r w:rsidR="008B1FF1" w:rsidRPr="008B1FF1">
              <w:rPr>
                <w:rFonts w:eastAsia="SimSun" w:cs="Calibri"/>
                <w:color w:val="000000"/>
                <w:sz w:val="20"/>
                <w:lang w:val="zh-CN" w:eastAsia="zh-CN"/>
              </w:rPr>
              <w:tab/>
            </w:r>
            <w:r w:rsidRPr="008B1FF1">
              <w:rPr>
                <w:rFonts w:eastAsia="SimSun" w:cs="Calibri"/>
                <w:color w:val="000000"/>
                <w:sz w:val="20"/>
                <w:lang w:val="zh-CN" w:eastAsia="zh-CN"/>
              </w:rPr>
              <w:t>区域代表处主任每月应从所有地区办事处收到小额现金支出报告（目前地区办事处仅向总部直接提交报告），以便</w:t>
            </w:r>
            <w:r w:rsidRPr="008B1FF1">
              <w:rPr>
                <w:rFonts w:eastAsia="SimSun" w:cs="Calibri" w:hint="eastAsia"/>
                <w:color w:val="000000"/>
                <w:sz w:val="20"/>
                <w:lang w:val="zh-CN" w:eastAsia="zh-CN"/>
              </w:rPr>
              <w:t>开展</w:t>
            </w:r>
            <w:r w:rsidRPr="008B1FF1">
              <w:rPr>
                <w:rFonts w:eastAsia="SimSun" w:cs="Calibri"/>
                <w:color w:val="000000"/>
                <w:sz w:val="20"/>
                <w:lang w:val="zh-CN" w:eastAsia="zh-CN"/>
              </w:rPr>
              <w:t>经常性案头审查</w:t>
            </w:r>
            <w:r w:rsidRPr="008B1FF1">
              <w:rPr>
                <w:rFonts w:eastAsia="SimSun" w:cs="Calibri" w:hint="eastAsia"/>
                <w:color w:val="000000"/>
                <w:sz w:val="20"/>
                <w:lang w:val="zh-CN" w:eastAsia="zh-CN"/>
              </w:rPr>
              <w:t>，并在</w:t>
            </w:r>
            <w:r w:rsidRPr="008B1FF1">
              <w:rPr>
                <w:rFonts w:eastAsia="SimSun" w:cs="Calibri"/>
                <w:color w:val="000000"/>
                <w:sz w:val="20"/>
                <w:lang w:val="zh-CN" w:eastAsia="zh-CN"/>
              </w:rPr>
              <w:t>签字后将报告转呈总部。按照同样的逻辑，总部也可能</w:t>
            </w:r>
            <w:r w:rsidRPr="008B1FF1">
              <w:rPr>
                <w:rFonts w:eastAsia="SimSun" w:cs="Calibri" w:hint="eastAsia"/>
                <w:color w:val="000000"/>
                <w:sz w:val="20"/>
                <w:lang w:val="zh-CN" w:eastAsia="zh-CN"/>
              </w:rPr>
              <w:t>以</w:t>
            </w:r>
            <w:r w:rsidRPr="008B1FF1">
              <w:rPr>
                <w:rFonts w:eastAsia="SimSun" w:cs="Calibri"/>
                <w:color w:val="000000"/>
                <w:sz w:val="20"/>
                <w:lang w:val="zh-CN" w:eastAsia="zh-CN"/>
              </w:rPr>
              <w:t>案头审查</w:t>
            </w:r>
            <w:r w:rsidRPr="008B1FF1">
              <w:rPr>
                <w:rFonts w:eastAsia="SimSun" w:cs="Calibri" w:hint="eastAsia"/>
                <w:color w:val="000000"/>
                <w:sz w:val="20"/>
                <w:lang w:val="zh-CN" w:eastAsia="zh-CN"/>
              </w:rPr>
              <w:t>的方式对</w:t>
            </w:r>
            <w:r w:rsidRPr="008B1FF1">
              <w:rPr>
                <w:rFonts w:eastAsia="SimSun" w:cs="Calibri"/>
                <w:color w:val="000000"/>
                <w:sz w:val="20"/>
                <w:lang w:val="zh-CN" w:eastAsia="zh-CN"/>
              </w:rPr>
              <w:t>主任</w:t>
            </w:r>
            <w:r w:rsidRPr="008B1FF1">
              <w:rPr>
                <w:rFonts w:eastAsia="SimSun" w:cs="Calibri" w:hint="eastAsia"/>
                <w:color w:val="000000"/>
                <w:sz w:val="20"/>
                <w:lang w:val="zh-CN" w:eastAsia="zh-CN"/>
              </w:rPr>
              <w:t>所在区域代表处</w:t>
            </w:r>
            <w:r w:rsidRPr="008B1FF1">
              <w:rPr>
                <w:rFonts w:eastAsia="SimSun" w:cs="Calibri"/>
                <w:color w:val="000000"/>
                <w:sz w:val="20"/>
                <w:lang w:val="zh-CN" w:eastAsia="zh-CN"/>
              </w:rPr>
              <w:t>进行突击检查（请参阅我们关于银行业务的建议）。此外，我们建议总部采用</w:t>
            </w:r>
            <w:r w:rsidRPr="008B1FF1">
              <w:rPr>
                <w:rFonts w:eastAsia="SimSun" w:cs="Calibri" w:hint="eastAsia"/>
                <w:color w:val="000000"/>
                <w:sz w:val="20"/>
                <w:lang w:val="zh-CN" w:eastAsia="zh-CN"/>
              </w:rPr>
              <w:t>有针对性</w:t>
            </w:r>
            <w:r w:rsidRPr="008B1FF1">
              <w:rPr>
                <w:rFonts w:eastAsia="SimSun" w:cs="Calibri"/>
                <w:color w:val="000000"/>
                <w:sz w:val="20"/>
                <w:lang w:val="zh-CN" w:eastAsia="zh-CN"/>
              </w:rPr>
              <w:t>的程序和模板，</w:t>
            </w:r>
            <w:r w:rsidRPr="008B1FF1">
              <w:rPr>
                <w:rFonts w:eastAsia="SimSun" w:cs="Calibri" w:hint="eastAsia"/>
                <w:color w:val="000000"/>
                <w:sz w:val="20"/>
                <w:lang w:val="zh-CN" w:eastAsia="zh-CN"/>
              </w:rPr>
              <w:t>并请</w:t>
            </w:r>
            <w:r w:rsidRPr="008B1FF1">
              <w:rPr>
                <w:rFonts w:eastAsia="SimSun" w:cs="Calibri"/>
                <w:color w:val="000000"/>
                <w:sz w:val="20"/>
                <w:lang w:val="zh-CN" w:eastAsia="zh-CN"/>
              </w:rPr>
              <w:t>所有区域代表处主任遵循。</w:t>
            </w:r>
          </w:p>
          <w:p w14:paraId="555F8E22" w14:textId="4BFC438C" w:rsidR="000245E2" w:rsidRPr="008B1FF1" w:rsidRDefault="000245E2" w:rsidP="008B1FF1">
            <w:pPr>
              <w:pStyle w:val="Tabletext"/>
              <w:tabs>
                <w:tab w:val="clear" w:pos="284"/>
                <w:tab w:val="clear" w:pos="425"/>
                <w:tab w:val="left" w:pos="356"/>
              </w:tabs>
              <w:spacing w:before="60"/>
              <w:ind w:left="356" w:hanging="356"/>
              <w:rPr>
                <w:sz w:val="20"/>
                <w:lang w:eastAsia="zh-CN"/>
              </w:rPr>
            </w:pPr>
            <w:r w:rsidRPr="008B1FF1">
              <w:rPr>
                <w:rFonts w:eastAsia="SimSun" w:cs="Calibri"/>
                <w:color w:val="000000"/>
                <w:sz w:val="20"/>
                <w:lang w:val="zh-CN" w:eastAsia="zh-CN"/>
              </w:rPr>
              <w:t>c</w:t>
            </w:r>
            <w:r w:rsidR="008B1FF1" w:rsidRPr="008B1FF1">
              <w:rPr>
                <w:rFonts w:eastAsia="SimSun" w:cs="Calibri" w:hint="eastAsia"/>
                <w:color w:val="000000"/>
                <w:sz w:val="20"/>
                <w:lang w:val="zh-CN" w:eastAsia="zh-CN"/>
              </w:rPr>
              <w:t>)</w:t>
            </w:r>
            <w:r w:rsidR="008B1FF1" w:rsidRPr="008B1FF1">
              <w:rPr>
                <w:rFonts w:eastAsia="SimSun" w:cs="Calibri"/>
                <w:color w:val="000000"/>
                <w:sz w:val="20"/>
                <w:lang w:val="zh-CN" w:eastAsia="zh-CN"/>
              </w:rPr>
              <w:tab/>
            </w:r>
            <w:r w:rsidRPr="008B1FF1">
              <w:rPr>
                <w:rFonts w:eastAsia="SimSun" w:cs="Calibri" w:hint="eastAsia"/>
                <w:color w:val="000000"/>
                <w:sz w:val="20"/>
                <w:lang w:val="zh-CN" w:eastAsia="zh-CN"/>
              </w:rPr>
              <w:t>各</w:t>
            </w:r>
            <w:r w:rsidRPr="008B1FF1">
              <w:rPr>
                <w:rFonts w:hint="eastAsia"/>
                <w:sz w:val="20"/>
                <w:lang w:eastAsia="zh-CN"/>
              </w:rPr>
              <w:t>采购</w:t>
            </w:r>
            <w:r w:rsidRPr="008B1FF1">
              <w:rPr>
                <w:rFonts w:eastAsia="SimSun" w:cs="Calibri" w:hint="eastAsia"/>
                <w:color w:val="000000"/>
                <w:sz w:val="20"/>
                <w:lang w:val="zh-CN" w:eastAsia="zh-CN"/>
              </w:rPr>
              <w:t>申请</w:t>
            </w:r>
            <w:r w:rsidRPr="008B1FF1">
              <w:rPr>
                <w:rFonts w:eastAsia="SimSun" w:cs="Calibri"/>
                <w:color w:val="000000"/>
                <w:sz w:val="20"/>
                <w:lang w:val="zh-CN" w:eastAsia="zh-CN"/>
              </w:rPr>
              <w:t>都应有一个模板，注明</w:t>
            </w:r>
            <w:r w:rsidRPr="008B1FF1">
              <w:rPr>
                <w:rFonts w:eastAsia="SimSun" w:cs="Calibri" w:hint="eastAsia"/>
                <w:color w:val="000000"/>
                <w:sz w:val="20"/>
                <w:lang w:val="zh-CN" w:eastAsia="zh-CN"/>
              </w:rPr>
              <w:t>“申请</w:t>
            </w:r>
            <w:r w:rsidRPr="008B1FF1">
              <w:rPr>
                <w:rFonts w:eastAsia="SimSun" w:cs="Calibri"/>
                <w:color w:val="000000"/>
                <w:sz w:val="20"/>
                <w:lang w:val="zh-CN" w:eastAsia="zh-CN"/>
              </w:rPr>
              <w:t>发起</w:t>
            </w:r>
            <w:r w:rsidRPr="008B1FF1">
              <w:rPr>
                <w:rFonts w:eastAsia="SimSun" w:cs="Calibri" w:hint="eastAsia"/>
                <w:color w:val="000000"/>
                <w:sz w:val="20"/>
                <w:lang w:val="zh-CN" w:eastAsia="zh-CN"/>
              </w:rPr>
              <w:t>方</w:t>
            </w:r>
            <w:r w:rsidRPr="008B1FF1">
              <w:rPr>
                <w:rFonts w:ascii="SimSun" w:eastAsia="SimSun" w:hAnsi="SimSun" w:cs="Calibri"/>
                <w:color w:val="000000"/>
                <w:sz w:val="20"/>
                <w:lang w:val="zh-CN" w:eastAsia="zh-CN"/>
              </w:rPr>
              <w:t>”</w:t>
            </w:r>
            <w:r w:rsidRPr="008B1FF1">
              <w:rPr>
                <w:rFonts w:eastAsia="SimSun" w:cs="Calibri" w:hint="eastAsia"/>
                <w:color w:val="000000"/>
                <w:sz w:val="20"/>
                <w:lang w:val="zh-CN" w:eastAsia="zh-CN"/>
              </w:rPr>
              <w:t>以及</w:t>
            </w:r>
            <w:r w:rsidRPr="008B1FF1">
              <w:rPr>
                <w:rFonts w:eastAsia="SimSun" w:cs="Calibri"/>
                <w:color w:val="000000"/>
                <w:sz w:val="20"/>
                <w:lang w:val="zh-CN" w:eastAsia="zh-CN"/>
              </w:rPr>
              <w:t>授权</w:t>
            </w:r>
            <w:r w:rsidRPr="008B1FF1">
              <w:rPr>
                <w:rFonts w:eastAsia="SimSun" w:cs="Calibri" w:hint="eastAsia"/>
                <w:color w:val="000000"/>
                <w:sz w:val="20"/>
                <w:lang w:val="zh-CN" w:eastAsia="zh-CN"/>
              </w:rPr>
              <w:t>进行本次采</w:t>
            </w:r>
            <w:r w:rsidRPr="008B1FF1">
              <w:rPr>
                <w:rFonts w:eastAsia="SimSun" w:cs="Calibri"/>
                <w:color w:val="000000"/>
                <w:sz w:val="20"/>
                <w:lang w:val="zh-CN" w:eastAsia="zh-CN"/>
              </w:rPr>
              <w:t>购的人员，如</w:t>
            </w:r>
            <w:r w:rsidRPr="008B1FF1">
              <w:rPr>
                <w:rFonts w:eastAsia="SimSun" w:cs="Calibri" w:hint="eastAsia"/>
                <w:color w:val="000000"/>
                <w:sz w:val="20"/>
                <w:lang w:val="zh-CN" w:eastAsia="zh-CN"/>
              </w:rPr>
              <w:t>区域代表处主任（</w:t>
            </w:r>
            <w:r w:rsidRPr="008B1FF1">
              <w:rPr>
                <w:rFonts w:eastAsia="SimSun" w:cs="Calibri"/>
                <w:color w:val="000000"/>
                <w:sz w:val="20"/>
                <w:lang w:val="zh-CN" w:eastAsia="zh-CN"/>
              </w:rPr>
              <w:t>RD</w:t>
            </w:r>
            <w:r w:rsidRPr="008B1FF1">
              <w:rPr>
                <w:rFonts w:eastAsia="SimSun" w:cs="Calibri" w:hint="eastAsia"/>
                <w:color w:val="000000"/>
                <w:sz w:val="20"/>
                <w:lang w:val="zh-CN" w:eastAsia="zh-CN"/>
              </w:rPr>
              <w:t>）</w:t>
            </w:r>
            <w:r w:rsidRPr="008B1FF1">
              <w:rPr>
                <w:rFonts w:eastAsia="SimSun" w:cs="Calibri"/>
                <w:color w:val="000000"/>
                <w:sz w:val="20"/>
                <w:lang w:val="zh-CN" w:eastAsia="zh-CN"/>
              </w:rPr>
              <w:t>和</w:t>
            </w:r>
            <w:r w:rsidRPr="008B1FF1">
              <w:rPr>
                <w:rFonts w:eastAsia="SimSun" w:cs="Calibri"/>
                <w:color w:val="000000"/>
                <w:sz w:val="20"/>
                <w:lang w:val="zh-CN" w:eastAsia="zh-CN"/>
              </w:rPr>
              <w:t>/</w:t>
            </w:r>
            <w:r w:rsidRPr="008B1FF1">
              <w:rPr>
                <w:rFonts w:eastAsia="SimSun" w:cs="Calibri"/>
                <w:color w:val="000000"/>
                <w:sz w:val="20"/>
                <w:lang w:val="zh-CN" w:eastAsia="zh-CN"/>
              </w:rPr>
              <w:t>或</w:t>
            </w:r>
            <w:r w:rsidRPr="008B1FF1">
              <w:rPr>
                <w:rFonts w:eastAsia="SimSun" w:cs="Calibri"/>
                <w:color w:val="000000"/>
                <w:sz w:val="20"/>
                <w:lang w:val="zh-CN" w:eastAsia="zh-CN"/>
              </w:rPr>
              <w:t>AO</w:t>
            </w:r>
            <w:r w:rsidRPr="008B1FF1">
              <w:rPr>
                <w:rFonts w:eastAsia="SimSun" w:cs="Calibri" w:hint="eastAsia"/>
                <w:color w:val="000000"/>
                <w:sz w:val="20"/>
                <w:lang w:val="zh-CN" w:eastAsia="zh-CN"/>
              </w:rPr>
              <w:t>负责人</w:t>
            </w:r>
          </w:p>
        </w:tc>
        <w:tc>
          <w:tcPr>
            <w:tcW w:w="1750" w:type="pct"/>
            <w:shd w:val="clear" w:color="auto" w:fill="auto"/>
          </w:tcPr>
          <w:p w14:paraId="338271EF" w14:textId="5D343A90"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w:t>
            </w:r>
            <w:r w:rsidRPr="008B1FF1">
              <w:rPr>
                <w:rFonts w:eastAsia="SimSun" w:cs="Calibri" w:hint="eastAsia"/>
                <w:color w:val="000000"/>
                <w:sz w:val="20"/>
                <w:lang w:val="zh-CN" w:eastAsia="zh-CN"/>
              </w:rPr>
              <w:t>现已起草了</w:t>
            </w:r>
            <w:r w:rsidRPr="008B1FF1">
              <w:rPr>
                <w:rFonts w:eastAsia="SimSun" w:cs="Calibri"/>
                <w:color w:val="000000"/>
                <w:sz w:val="20"/>
                <w:lang w:val="zh-CN" w:eastAsia="zh-CN"/>
              </w:rPr>
              <w:t>一份</w:t>
            </w:r>
            <w:r w:rsidRPr="008B1FF1">
              <w:rPr>
                <w:rFonts w:eastAsia="SimSun" w:cs="Calibri" w:hint="eastAsia"/>
                <w:color w:val="000000"/>
                <w:sz w:val="20"/>
                <w:lang w:val="zh-CN" w:eastAsia="zh-CN"/>
              </w:rPr>
              <w:t>有关</w:t>
            </w:r>
            <w:r w:rsidRPr="008B1FF1">
              <w:rPr>
                <w:rFonts w:eastAsia="SimSun" w:cs="Calibri"/>
                <w:color w:val="000000"/>
                <w:sz w:val="20"/>
                <w:lang w:val="zh-CN" w:eastAsia="zh-CN"/>
              </w:rPr>
              <w:t>由</w:t>
            </w:r>
            <w:r w:rsidRPr="008B1FF1">
              <w:rPr>
                <w:rFonts w:eastAsia="SimSun" w:cs="Calibri"/>
                <w:color w:val="000000"/>
                <w:sz w:val="20"/>
                <w:lang w:val="zh-CN" w:eastAsia="zh-CN"/>
              </w:rPr>
              <w:t>RD</w:t>
            </w:r>
            <w:r w:rsidRPr="008B1FF1">
              <w:rPr>
                <w:rFonts w:eastAsia="SimSun" w:cs="Calibri"/>
                <w:color w:val="000000"/>
                <w:sz w:val="20"/>
                <w:lang w:val="zh-CN" w:eastAsia="zh-CN"/>
              </w:rPr>
              <w:t>和</w:t>
            </w:r>
            <w:r w:rsidRPr="008B1FF1">
              <w:rPr>
                <w:rFonts w:eastAsia="SimSun" w:cs="Calibri"/>
                <w:color w:val="000000"/>
                <w:sz w:val="20"/>
                <w:lang w:val="zh-CN" w:eastAsia="zh-CN"/>
              </w:rPr>
              <w:t>FRMD</w:t>
            </w:r>
            <w:r w:rsidRPr="008B1FF1">
              <w:rPr>
                <w:rFonts w:eastAsia="SimSun" w:cs="Calibri"/>
                <w:color w:val="000000"/>
                <w:sz w:val="20"/>
                <w:lang w:val="zh-CN" w:eastAsia="zh-CN"/>
              </w:rPr>
              <w:t>控制的</w:t>
            </w:r>
            <w:r w:rsidRPr="008B1FF1">
              <w:rPr>
                <w:rFonts w:eastAsia="SimSun" w:cs="Calibri" w:hint="eastAsia"/>
                <w:color w:val="000000"/>
                <w:sz w:val="20"/>
                <w:lang w:val="zh-CN" w:eastAsia="zh-CN"/>
              </w:rPr>
              <w:t>各</w:t>
            </w:r>
            <w:r w:rsidRPr="008B1FF1">
              <w:rPr>
                <w:rFonts w:eastAsia="SimSun" w:cs="Calibri"/>
                <w:color w:val="000000"/>
                <w:sz w:val="20"/>
                <w:lang w:val="zh-CN" w:eastAsia="zh-CN"/>
              </w:rPr>
              <w:t>RO</w:t>
            </w:r>
            <w:r w:rsidRPr="008B1FF1">
              <w:rPr>
                <w:rFonts w:eastAsia="SimSun" w:cs="Calibri"/>
                <w:color w:val="000000"/>
                <w:sz w:val="20"/>
                <w:lang w:val="zh-CN" w:eastAsia="zh-CN"/>
              </w:rPr>
              <w:t>和</w:t>
            </w:r>
            <w:r w:rsidRPr="008B1FF1">
              <w:rPr>
                <w:rFonts w:eastAsia="SimSun" w:cs="Calibri"/>
                <w:color w:val="000000"/>
                <w:sz w:val="20"/>
                <w:lang w:val="zh-CN" w:eastAsia="zh-CN"/>
              </w:rPr>
              <w:t>AO</w:t>
            </w:r>
            <w:r w:rsidRPr="008B1FF1">
              <w:rPr>
                <w:rFonts w:eastAsia="SimSun" w:cs="Calibri"/>
                <w:color w:val="000000"/>
                <w:sz w:val="20"/>
                <w:lang w:val="zh-CN" w:eastAsia="zh-CN"/>
              </w:rPr>
              <w:t>现金和银行</w:t>
            </w:r>
            <w:r w:rsidRPr="008B1FF1">
              <w:rPr>
                <w:rFonts w:eastAsia="SimSun" w:cs="Calibri" w:hint="eastAsia"/>
                <w:color w:val="000000"/>
                <w:sz w:val="20"/>
                <w:lang w:val="zh-CN" w:eastAsia="zh-CN"/>
              </w:rPr>
              <w:t>资金的</w:t>
            </w:r>
            <w:r w:rsidRPr="008B1FF1">
              <w:rPr>
                <w:rFonts w:eastAsia="SimSun" w:cs="Calibri"/>
                <w:color w:val="000000"/>
                <w:sz w:val="20"/>
                <w:lang w:val="zh-CN" w:eastAsia="zh-CN"/>
              </w:rPr>
              <w:t>报告。此外，</w:t>
            </w:r>
            <w:r w:rsidRPr="008B1FF1">
              <w:rPr>
                <w:rFonts w:eastAsia="SimSun" w:cs="Calibri"/>
                <w:color w:val="000000"/>
                <w:sz w:val="20"/>
                <w:lang w:val="zh-CN" w:eastAsia="zh-CN"/>
              </w:rPr>
              <w:t>FRMD</w:t>
            </w:r>
            <w:r w:rsidRPr="008B1FF1">
              <w:rPr>
                <w:rFonts w:eastAsia="SimSun" w:cs="Calibri"/>
                <w:color w:val="000000"/>
                <w:sz w:val="20"/>
                <w:lang w:val="zh-CN" w:eastAsia="zh-CN"/>
              </w:rPr>
              <w:t>为谨慎使用小额现金采用了新</w:t>
            </w:r>
            <w:r w:rsidRPr="008B1FF1">
              <w:rPr>
                <w:rFonts w:eastAsia="SimSun" w:cs="Calibri"/>
                <w:color w:val="000000"/>
                <w:sz w:val="20"/>
                <w:lang w:val="zh-CN" w:eastAsia="zh-CN"/>
              </w:rPr>
              <w:t>SOP</w:t>
            </w:r>
            <w:r w:rsidRPr="008B1FF1">
              <w:rPr>
                <w:rFonts w:eastAsia="SimSun" w:cs="Calibri"/>
                <w:color w:val="000000"/>
                <w:sz w:val="20"/>
                <w:lang w:val="zh-CN" w:eastAsia="zh-CN"/>
              </w:rPr>
              <w:t>。此外，根据向理事会</w:t>
            </w:r>
            <w:r w:rsidRPr="008B1FF1">
              <w:rPr>
                <w:rFonts w:eastAsia="SimSun" w:cs="Calibri"/>
                <w:color w:val="000000"/>
                <w:sz w:val="20"/>
                <w:lang w:val="zh-CN" w:eastAsia="zh-CN"/>
              </w:rPr>
              <w:t>2020</w:t>
            </w:r>
            <w:r w:rsidRPr="008B1FF1">
              <w:rPr>
                <w:rFonts w:eastAsia="SimSun" w:cs="Calibri"/>
                <w:color w:val="000000"/>
                <w:sz w:val="20"/>
                <w:lang w:val="zh-CN" w:eastAsia="zh-CN"/>
              </w:rPr>
              <w:t>年会议（</w:t>
            </w:r>
            <w:hyperlink r:id="rId37" w:history="1">
              <w:r w:rsidR="00DF3E54" w:rsidRPr="008B1FF1">
                <w:rPr>
                  <w:rStyle w:val="Hyperlink"/>
                  <w:sz w:val="20"/>
                  <w:lang w:eastAsia="zh-CN"/>
                </w:rPr>
                <w:t>C20/75</w:t>
              </w:r>
            </w:hyperlink>
            <w:r w:rsidRPr="008B1FF1">
              <w:rPr>
                <w:rFonts w:eastAsia="SimSun" w:cs="Calibri"/>
                <w:color w:val="000000"/>
                <w:sz w:val="20"/>
                <w:lang w:val="zh-CN" w:eastAsia="zh-CN"/>
              </w:rPr>
              <w:t>）报告</w:t>
            </w:r>
            <w:r w:rsidRPr="008B1FF1">
              <w:rPr>
                <w:rFonts w:eastAsia="SimSun" w:cs="Calibri" w:hint="eastAsia"/>
                <w:color w:val="000000"/>
                <w:sz w:val="20"/>
                <w:lang w:val="zh-CN" w:eastAsia="zh-CN"/>
              </w:rPr>
              <w:t>（</w:t>
            </w:r>
            <w:r w:rsidRPr="008B1FF1">
              <w:rPr>
                <w:rFonts w:eastAsia="SimSun" w:cs="Calibri"/>
                <w:color w:val="000000"/>
                <w:sz w:val="20"/>
                <w:lang w:val="zh-CN" w:eastAsia="zh-CN"/>
              </w:rPr>
              <w:t>与</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14/2017</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建议一起评估</w:t>
            </w:r>
            <w:r w:rsidRPr="008B1FF1">
              <w:rPr>
                <w:rFonts w:eastAsia="SimSun" w:cs="Calibri" w:hint="eastAsia"/>
                <w:color w:val="000000"/>
                <w:sz w:val="20"/>
                <w:lang w:val="zh-CN" w:eastAsia="zh-CN"/>
              </w:rPr>
              <w:t>）</w:t>
            </w:r>
            <w:r w:rsidRPr="008B1FF1">
              <w:rPr>
                <w:rFonts w:eastAsia="SimSun" w:cs="Calibri"/>
                <w:color w:val="000000"/>
                <w:sz w:val="20"/>
                <w:lang w:val="zh-CN" w:eastAsia="zh-CN"/>
              </w:rPr>
              <w:t>，普华永道</w:t>
            </w:r>
            <w:r w:rsidRPr="008B1FF1">
              <w:rPr>
                <w:rFonts w:eastAsia="SimSun" w:cs="Calibri" w:hint="eastAsia"/>
                <w:color w:val="000000"/>
                <w:sz w:val="20"/>
                <w:lang w:val="zh-CN" w:eastAsia="zh-CN"/>
              </w:rPr>
              <w:t>认为此建议得到了落实，其依据为“</w:t>
            </w:r>
            <w:r w:rsidRPr="008B1FF1">
              <w:rPr>
                <w:rFonts w:eastAsia="SimSun" w:cs="Calibri"/>
                <w:color w:val="000000"/>
                <w:sz w:val="20"/>
                <w:lang w:val="zh-CN" w:eastAsia="zh-CN"/>
              </w:rPr>
              <w:t>内部控制工作组确认，国际电联</w:t>
            </w:r>
            <w:r w:rsidRPr="008B1FF1">
              <w:rPr>
                <w:rFonts w:eastAsia="SimSun" w:cs="Calibri" w:hint="eastAsia"/>
                <w:color w:val="000000"/>
                <w:sz w:val="20"/>
                <w:lang w:val="zh-CN" w:eastAsia="zh-CN"/>
              </w:rPr>
              <w:t>有关公务接待费</w:t>
            </w:r>
            <w:r w:rsidRPr="008B1FF1">
              <w:rPr>
                <w:rFonts w:eastAsia="SimSun" w:cs="Calibri"/>
                <w:color w:val="000000"/>
                <w:sz w:val="20"/>
                <w:lang w:val="zh-CN" w:eastAsia="zh-CN"/>
              </w:rPr>
              <w:t>和</w:t>
            </w:r>
            <w:r w:rsidRPr="008B1FF1">
              <w:rPr>
                <w:rFonts w:eastAsia="SimSun" w:cs="Calibri" w:hint="eastAsia"/>
                <w:color w:val="000000"/>
                <w:sz w:val="20"/>
                <w:lang w:val="zh-CN" w:eastAsia="zh-CN"/>
              </w:rPr>
              <w:t>小额</w:t>
            </w:r>
            <w:r w:rsidRPr="008B1FF1">
              <w:rPr>
                <w:rFonts w:eastAsia="SimSun" w:cs="Calibri"/>
                <w:color w:val="000000"/>
                <w:sz w:val="20"/>
                <w:lang w:val="zh-CN" w:eastAsia="zh-CN"/>
              </w:rPr>
              <w:t>现金使用的</w:t>
            </w:r>
            <w:r w:rsidRPr="008B1FF1">
              <w:rPr>
                <w:rFonts w:eastAsia="SimSun" w:cs="Calibri" w:hint="eastAsia"/>
                <w:color w:val="000000"/>
                <w:sz w:val="20"/>
                <w:lang w:val="zh-CN" w:eastAsia="zh-CN"/>
              </w:rPr>
              <w:t>指导原</w:t>
            </w:r>
            <w:r w:rsidRPr="008B1FF1">
              <w:rPr>
                <w:rFonts w:eastAsia="SimSun" w:cs="Calibri"/>
                <w:color w:val="000000"/>
                <w:sz w:val="20"/>
                <w:lang w:val="zh-CN" w:eastAsia="zh-CN"/>
              </w:rPr>
              <w:t>则得到</w:t>
            </w:r>
            <w:r w:rsidRPr="008B1FF1">
              <w:rPr>
                <w:rFonts w:eastAsia="SimSun" w:cs="Calibri" w:hint="eastAsia"/>
                <w:color w:val="000000"/>
                <w:sz w:val="20"/>
                <w:lang w:val="zh-CN" w:eastAsia="zh-CN"/>
              </w:rPr>
              <w:t>了</w:t>
            </w:r>
            <w:r w:rsidRPr="008B1FF1">
              <w:rPr>
                <w:rFonts w:eastAsia="SimSun" w:cs="Calibri"/>
                <w:color w:val="000000"/>
                <w:sz w:val="20"/>
                <w:lang w:val="zh-CN" w:eastAsia="zh-CN"/>
              </w:rPr>
              <w:t>执行（自</w:t>
            </w:r>
            <w:r w:rsidRPr="008B1FF1">
              <w:rPr>
                <w:rFonts w:eastAsia="SimSun" w:cs="Calibri"/>
                <w:color w:val="000000"/>
                <w:sz w:val="20"/>
                <w:lang w:val="zh-CN" w:eastAsia="zh-CN"/>
              </w:rPr>
              <w:t>2020</w:t>
            </w:r>
            <w:r w:rsidRPr="008B1FF1">
              <w:rPr>
                <w:rFonts w:eastAsia="SimSun" w:cs="Calibri"/>
                <w:color w:val="000000"/>
                <w:sz w:val="20"/>
                <w:lang w:val="zh-CN" w:eastAsia="zh-CN"/>
              </w:rPr>
              <w:t>年</w:t>
            </w:r>
            <w:r w:rsidRPr="008B1FF1">
              <w:rPr>
                <w:rFonts w:eastAsia="SimSun" w:cs="Calibri"/>
                <w:color w:val="000000"/>
                <w:sz w:val="20"/>
                <w:lang w:val="zh-CN" w:eastAsia="zh-CN"/>
              </w:rPr>
              <w:t>2</w:t>
            </w:r>
            <w:r w:rsidRPr="008B1FF1">
              <w:rPr>
                <w:rFonts w:eastAsia="SimSun" w:cs="Calibri"/>
                <w:color w:val="000000"/>
                <w:sz w:val="20"/>
                <w:lang w:val="zh-CN" w:eastAsia="zh-CN"/>
              </w:rPr>
              <w:t>月</w:t>
            </w:r>
            <w:r w:rsidRPr="008B1FF1">
              <w:rPr>
                <w:rFonts w:eastAsia="SimSun" w:cs="Calibri"/>
                <w:color w:val="000000"/>
                <w:sz w:val="20"/>
                <w:lang w:val="zh-CN" w:eastAsia="zh-CN"/>
              </w:rPr>
              <w:t>4</w:t>
            </w:r>
            <w:r w:rsidRPr="008B1FF1">
              <w:rPr>
                <w:rFonts w:eastAsia="SimSun" w:cs="Calibri"/>
                <w:color w:val="000000"/>
                <w:sz w:val="20"/>
                <w:lang w:val="zh-CN" w:eastAsia="zh-CN"/>
              </w:rPr>
              <w:t>日起）</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w:t>
            </w:r>
          </w:p>
          <w:p w14:paraId="222D7CC8" w14:textId="2E59A5AF"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4618D6DA" w14:textId="6EB0FD97" w:rsidR="000245E2" w:rsidRPr="008B1FF1" w:rsidRDefault="000245E2" w:rsidP="000245E2">
            <w:pPr>
              <w:pStyle w:val="Tabletext"/>
              <w:rPr>
                <w:sz w:val="20"/>
                <w:lang w:eastAsia="zh-CN"/>
              </w:rPr>
            </w:pPr>
            <w:r w:rsidRPr="008B1FF1">
              <w:rPr>
                <w:rFonts w:eastAsia="SimSun" w:cs="Calibri"/>
                <w:color w:val="000000"/>
                <w:sz w:val="20"/>
                <w:lang w:val="zh-CN" w:eastAsia="zh-CN"/>
              </w:rPr>
              <w:t>我们注意到最新的回应并认为此回应是合理的。已不再跟进该建议。虽然本报告第一部分提出了有关小额现金的具体建议，但区域代表处人员缺乏对各项交易的了解，因此我们提出了一项相关的新建议。</w:t>
            </w:r>
          </w:p>
        </w:tc>
        <w:tc>
          <w:tcPr>
            <w:tcW w:w="450" w:type="pct"/>
            <w:shd w:val="clear" w:color="auto" w:fill="auto"/>
          </w:tcPr>
          <w:p w14:paraId="41F74D00" w14:textId="553D0404" w:rsidR="000245E2" w:rsidRPr="008B1FF1" w:rsidRDefault="00A62A5A" w:rsidP="000245E2">
            <w:pPr>
              <w:pStyle w:val="Tabletext"/>
              <w:rPr>
                <w:sz w:val="20"/>
                <w:lang w:eastAsia="zh-CN"/>
              </w:rPr>
            </w:pPr>
            <w:r>
              <w:rPr>
                <w:rFonts w:ascii="SimSun" w:eastAsia="SimSun" w:hAnsi="SimSun" w:cs="SimSun" w:hint="eastAsia"/>
                <w:color w:val="000000"/>
                <w:sz w:val="20"/>
                <w:lang w:eastAsia="zh-CN"/>
              </w:rPr>
              <w:t>已关闭。</w:t>
            </w:r>
          </w:p>
        </w:tc>
      </w:tr>
      <w:tr w:rsidR="000245E2" w:rsidRPr="00536D01" w14:paraId="2E939CA4" w14:textId="77777777" w:rsidTr="0011737E">
        <w:tc>
          <w:tcPr>
            <w:tcW w:w="300" w:type="pct"/>
            <w:shd w:val="clear" w:color="auto" w:fill="auto"/>
          </w:tcPr>
          <w:p w14:paraId="28C1D766" w14:textId="17ADF2C8" w:rsidR="000245E2" w:rsidRPr="008B1FF1" w:rsidRDefault="000245E2" w:rsidP="000245E2">
            <w:pPr>
              <w:pStyle w:val="Tabletext"/>
              <w:rPr>
                <w:sz w:val="20"/>
              </w:rPr>
            </w:pPr>
            <w:r w:rsidRPr="008B1FF1">
              <w:rPr>
                <w:rFonts w:eastAsia="SimSun" w:cs="Calibri"/>
                <w:color w:val="000000"/>
                <w:sz w:val="20"/>
                <w:lang w:val="zh-CN"/>
              </w:rPr>
              <w:t>R#13</w:t>
            </w:r>
          </w:p>
        </w:tc>
        <w:tc>
          <w:tcPr>
            <w:tcW w:w="1450" w:type="pct"/>
            <w:shd w:val="clear" w:color="auto" w:fill="auto"/>
          </w:tcPr>
          <w:p w14:paraId="2F713DBF" w14:textId="607146DC" w:rsidR="000245E2" w:rsidRPr="008B1FF1" w:rsidRDefault="000245E2" w:rsidP="000245E2">
            <w:pPr>
              <w:pStyle w:val="Tabletext"/>
              <w:rPr>
                <w:sz w:val="20"/>
                <w:lang w:eastAsia="zh-CN"/>
              </w:rPr>
            </w:pPr>
            <w:r w:rsidRPr="008B1FF1">
              <w:rPr>
                <w:rFonts w:eastAsia="SimSun" w:cs="Calibri"/>
                <w:color w:val="000000"/>
                <w:sz w:val="20"/>
                <w:lang w:val="zh-CN" w:eastAsia="zh-CN"/>
              </w:rPr>
              <w:t>应对所有区域代表处实施严格的程序，即使</w:t>
            </w:r>
            <w:r w:rsidRPr="008B1FF1">
              <w:rPr>
                <w:rFonts w:eastAsia="SimSun" w:cs="Calibri" w:hint="eastAsia"/>
                <w:color w:val="000000"/>
                <w:sz w:val="20"/>
                <w:lang w:val="zh-CN" w:eastAsia="zh-CN"/>
              </w:rPr>
              <w:t>是</w:t>
            </w:r>
            <w:r w:rsidRPr="008B1FF1">
              <w:rPr>
                <w:rFonts w:eastAsia="SimSun" w:cs="Calibri"/>
                <w:color w:val="000000"/>
                <w:sz w:val="20"/>
                <w:lang w:val="zh-CN" w:eastAsia="zh-CN"/>
              </w:rPr>
              <w:t>地区办事处层面</w:t>
            </w:r>
            <w:r w:rsidRPr="008B1FF1">
              <w:rPr>
                <w:rFonts w:eastAsia="SimSun" w:cs="Calibri" w:hint="eastAsia"/>
                <w:color w:val="000000"/>
                <w:sz w:val="20"/>
                <w:lang w:val="zh-CN" w:eastAsia="zh-CN"/>
              </w:rPr>
              <w:t>开展的</w:t>
            </w:r>
            <w:r w:rsidRPr="008B1FF1">
              <w:rPr>
                <w:rFonts w:eastAsia="SimSun" w:cs="Calibri"/>
                <w:color w:val="000000"/>
                <w:sz w:val="20"/>
                <w:lang w:val="zh-CN" w:eastAsia="zh-CN"/>
              </w:rPr>
              <w:t>业务</w:t>
            </w:r>
            <w:r w:rsidRPr="008B1FF1">
              <w:rPr>
                <w:rFonts w:eastAsia="SimSun" w:cs="Calibri" w:hint="eastAsia"/>
                <w:color w:val="000000"/>
                <w:sz w:val="20"/>
                <w:lang w:val="zh-CN" w:eastAsia="zh-CN"/>
              </w:rPr>
              <w:t>，亦</w:t>
            </w:r>
            <w:r w:rsidRPr="008B1FF1">
              <w:rPr>
                <w:rFonts w:eastAsia="SimSun" w:cs="Calibri"/>
                <w:color w:val="000000"/>
                <w:sz w:val="20"/>
                <w:lang w:val="zh-CN" w:eastAsia="zh-CN"/>
              </w:rPr>
              <w:t>应由区域代表处主任提供银行业务的第三签名。</w:t>
            </w:r>
            <w:r w:rsidRPr="008B1FF1">
              <w:rPr>
                <w:rFonts w:eastAsia="SimSun" w:cs="Calibri" w:hint="eastAsia"/>
                <w:color w:val="000000"/>
                <w:sz w:val="20"/>
                <w:lang w:val="zh-CN" w:eastAsia="zh-CN"/>
              </w:rPr>
              <w:t>这样</w:t>
            </w:r>
            <w:r w:rsidRPr="008B1FF1">
              <w:rPr>
                <w:rFonts w:eastAsia="SimSun" w:cs="Calibri"/>
                <w:color w:val="000000"/>
                <w:sz w:val="20"/>
                <w:lang w:val="zh-CN" w:eastAsia="zh-CN"/>
              </w:rPr>
              <w:t>RD</w:t>
            </w:r>
            <w:r w:rsidRPr="008B1FF1">
              <w:rPr>
                <w:rFonts w:eastAsia="SimSun" w:cs="Calibri" w:hint="eastAsia"/>
                <w:color w:val="000000"/>
                <w:sz w:val="20"/>
                <w:lang w:val="zh-CN" w:eastAsia="zh-CN"/>
              </w:rPr>
              <w:t>便</w:t>
            </w:r>
            <w:r w:rsidRPr="008B1FF1">
              <w:rPr>
                <w:rFonts w:eastAsia="SimSun" w:cs="Calibri"/>
                <w:color w:val="000000"/>
                <w:sz w:val="20"/>
                <w:lang w:val="zh-CN" w:eastAsia="zh-CN"/>
              </w:rPr>
              <w:t>可对所有</w:t>
            </w:r>
            <w:r w:rsidRPr="008B1FF1">
              <w:rPr>
                <w:rFonts w:eastAsia="SimSun" w:cs="Calibri" w:hint="eastAsia"/>
                <w:color w:val="000000"/>
                <w:sz w:val="20"/>
                <w:lang w:val="zh-CN" w:eastAsia="zh-CN"/>
              </w:rPr>
              <w:t>银行业务</w:t>
            </w:r>
            <w:r w:rsidRPr="008B1FF1">
              <w:rPr>
                <w:rFonts w:eastAsia="SimSun" w:cs="Calibri"/>
                <w:color w:val="000000"/>
                <w:sz w:val="20"/>
                <w:lang w:val="zh-CN" w:eastAsia="zh-CN"/>
              </w:rPr>
              <w:t>交易负责。我们认为，有必要修订与联合国开发计划署</w:t>
            </w:r>
            <w:r w:rsidRPr="008B1FF1">
              <w:rPr>
                <w:rFonts w:eastAsia="SimSun" w:cs="Calibri" w:hint="eastAsia"/>
                <w:color w:val="000000"/>
                <w:sz w:val="20"/>
                <w:lang w:val="zh-CN" w:eastAsia="zh-CN"/>
              </w:rPr>
              <w:t>之间</w:t>
            </w:r>
            <w:r w:rsidRPr="008B1FF1">
              <w:rPr>
                <w:rFonts w:eastAsia="SimSun" w:cs="Calibri"/>
                <w:color w:val="000000"/>
                <w:sz w:val="20"/>
                <w:lang w:val="zh-CN" w:eastAsia="zh-CN"/>
              </w:rPr>
              <w:t>的程序，以避免</w:t>
            </w:r>
            <w:r w:rsidRPr="008B1FF1">
              <w:rPr>
                <w:rFonts w:eastAsia="SimSun" w:cs="Calibri" w:hint="eastAsia"/>
                <w:color w:val="000000"/>
                <w:sz w:val="20"/>
                <w:lang w:val="zh-CN" w:eastAsia="zh-CN"/>
              </w:rPr>
              <w:t>在</w:t>
            </w:r>
            <w:r w:rsidRPr="008B1FF1">
              <w:rPr>
                <w:rFonts w:eastAsia="SimSun" w:cs="Calibri"/>
                <w:color w:val="000000"/>
                <w:sz w:val="20"/>
                <w:lang w:val="zh-CN" w:eastAsia="zh-CN"/>
              </w:rPr>
              <w:t>国际电联的任何运作</w:t>
            </w:r>
            <w:r w:rsidRPr="008B1FF1">
              <w:rPr>
                <w:rFonts w:eastAsia="SimSun" w:cs="Calibri" w:hint="eastAsia"/>
                <w:color w:val="000000"/>
                <w:sz w:val="20"/>
                <w:lang w:val="zh-CN" w:eastAsia="zh-CN"/>
              </w:rPr>
              <w:t>中使用</w:t>
            </w:r>
            <w:r w:rsidRPr="008B1FF1">
              <w:rPr>
                <w:rFonts w:eastAsia="SimSun" w:cs="Calibri"/>
                <w:color w:val="000000"/>
                <w:sz w:val="20"/>
                <w:lang w:val="zh-CN" w:eastAsia="zh-CN"/>
              </w:rPr>
              <w:t>职员个人账</w:t>
            </w:r>
            <w:r w:rsidRPr="008B1FF1">
              <w:rPr>
                <w:rFonts w:eastAsia="SimSun" w:cs="Calibri" w:hint="eastAsia"/>
                <w:color w:val="000000"/>
                <w:sz w:val="20"/>
                <w:lang w:val="zh-CN" w:eastAsia="zh-CN"/>
              </w:rPr>
              <w:t>户。</w:t>
            </w:r>
          </w:p>
        </w:tc>
        <w:tc>
          <w:tcPr>
            <w:tcW w:w="1750" w:type="pct"/>
            <w:shd w:val="clear" w:color="auto" w:fill="auto"/>
          </w:tcPr>
          <w:p w14:paraId="5B928C16"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国际电联注意到</w:t>
            </w:r>
            <w:r w:rsidRPr="008B1FF1">
              <w:rPr>
                <w:rFonts w:eastAsia="SimSun" w:cs="Calibri" w:hint="eastAsia"/>
                <w:color w:val="000000"/>
                <w:sz w:val="20"/>
                <w:lang w:val="zh-CN" w:eastAsia="zh-CN"/>
              </w:rPr>
              <w:t>第</w:t>
            </w:r>
            <w:r w:rsidRPr="008B1FF1">
              <w:rPr>
                <w:rFonts w:eastAsia="SimSun" w:cs="Calibri" w:hint="eastAsia"/>
                <w:color w:val="000000"/>
                <w:sz w:val="20"/>
                <w:lang w:val="zh-CN" w:eastAsia="zh-CN"/>
              </w:rPr>
              <w:t>13</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建议。然而，国际电联</w:t>
            </w:r>
            <w:r w:rsidRPr="008B1FF1">
              <w:rPr>
                <w:rFonts w:eastAsia="SimSun" w:cs="Calibri" w:hint="eastAsia"/>
                <w:color w:val="000000"/>
                <w:sz w:val="20"/>
                <w:lang w:val="zh-CN" w:eastAsia="zh-CN"/>
              </w:rPr>
              <w:t>指出</w:t>
            </w:r>
            <w:r w:rsidRPr="008B1FF1">
              <w:rPr>
                <w:rFonts w:eastAsia="SimSun" w:cs="Calibri"/>
                <w:color w:val="000000"/>
                <w:sz w:val="20"/>
                <w:lang w:val="zh-CN" w:eastAsia="zh-CN"/>
              </w:rPr>
              <w:t>由于人员有限</w:t>
            </w:r>
            <w:r w:rsidRPr="008B1FF1">
              <w:rPr>
                <w:rFonts w:eastAsia="SimSun" w:cs="Calibri" w:hint="eastAsia"/>
                <w:color w:val="000000"/>
                <w:sz w:val="20"/>
                <w:lang w:val="zh-CN" w:eastAsia="zh-CN"/>
              </w:rPr>
              <w:t>且</w:t>
            </w:r>
            <w:r w:rsidRPr="008B1FF1">
              <w:rPr>
                <w:rFonts w:eastAsia="SimSun" w:cs="Calibri"/>
                <w:color w:val="000000"/>
                <w:sz w:val="20"/>
                <w:lang w:val="zh-CN" w:eastAsia="zh-CN"/>
              </w:rPr>
              <w:t>RD</w:t>
            </w:r>
            <w:r w:rsidRPr="008B1FF1">
              <w:rPr>
                <w:rFonts w:eastAsia="SimSun" w:cs="Calibri" w:hint="eastAsia"/>
                <w:color w:val="000000"/>
                <w:sz w:val="20"/>
                <w:lang w:val="zh-CN" w:eastAsia="zh-CN"/>
              </w:rPr>
              <w:t>并非随时可签字，因此</w:t>
            </w:r>
            <w:r w:rsidRPr="008B1FF1">
              <w:rPr>
                <w:rFonts w:eastAsia="SimSun" w:cs="Calibri"/>
                <w:color w:val="000000"/>
                <w:sz w:val="20"/>
                <w:lang w:val="zh-CN" w:eastAsia="zh-CN"/>
              </w:rPr>
              <w:t>实施该建议</w:t>
            </w:r>
            <w:r w:rsidRPr="008B1FF1">
              <w:rPr>
                <w:rFonts w:eastAsia="SimSun" w:cs="Calibri" w:hint="eastAsia"/>
                <w:color w:val="000000"/>
                <w:sz w:val="20"/>
                <w:lang w:val="zh-CN" w:eastAsia="zh-CN"/>
              </w:rPr>
              <w:t>存在</w:t>
            </w:r>
            <w:r w:rsidRPr="008B1FF1">
              <w:rPr>
                <w:rFonts w:eastAsia="SimSun" w:cs="Calibri"/>
                <w:color w:val="000000"/>
                <w:sz w:val="20"/>
                <w:lang w:val="zh-CN" w:eastAsia="zh-CN"/>
              </w:rPr>
              <w:t>困难。要求</w:t>
            </w:r>
            <w:r w:rsidRPr="008B1FF1">
              <w:rPr>
                <w:rFonts w:eastAsia="SimSun" w:cs="Calibri" w:hint="eastAsia"/>
                <w:color w:val="000000"/>
                <w:sz w:val="20"/>
                <w:lang w:val="zh-CN" w:eastAsia="zh-CN"/>
              </w:rPr>
              <w:t>全部</w:t>
            </w:r>
            <w:r w:rsidRPr="008B1FF1">
              <w:rPr>
                <w:rFonts w:eastAsia="SimSun" w:cs="Calibri"/>
                <w:color w:val="000000"/>
                <w:sz w:val="20"/>
                <w:lang w:val="zh-CN" w:eastAsia="zh-CN"/>
              </w:rPr>
              <w:t>银行交易</w:t>
            </w:r>
            <w:r w:rsidRPr="008B1FF1">
              <w:rPr>
                <w:rFonts w:eastAsia="SimSun" w:cs="Calibri" w:hint="eastAsia"/>
                <w:color w:val="000000"/>
                <w:sz w:val="20"/>
                <w:lang w:val="zh-CN" w:eastAsia="zh-CN"/>
              </w:rPr>
              <w:t>都有</w:t>
            </w:r>
            <w:r w:rsidRPr="008B1FF1">
              <w:rPr>
                <w:rFonts w:eastAsia="SimSun" w:cs="Calibri"/>
                <w:color w:val="000000"/>
                <w:sz w:val="20"/>
                <w:lang w:val="zh-CN" w:eastAsia="zh-CN"/>
              </w:rPr>
              <w:t>第三者签名肯定会减慢这一进程，并对驻地办事处的效率产生负面影响。</w:t>
            </w:r>
          </w:p>
          <w:p w14:paraId="201520DB"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月的最新进展：区域代表处只能获得非常少量的资金，</w:t>
            </w:r>
            <w:r w:rsidRPr="008B1FF1">
              <w:rPr>
                <w:rFonts w:eastAsia="SimSun" w:cs="Calibri" w:hint="eastAsia"/>
                <w:color w:val="000000"/>
                <w:sz w:val="20"/>
                <w:lang w:val="zh-CN" w:eastAsia="zh-CN"/>
              </w:rPr>
              <w:t>且</w:t>
            </w:r>
            <w:r w:rsidRPr="008B1FF1">
              <w:rPr>
                <w:rFonts w:eastAsia="SimSun" w:cs="Calibri"/>
                <w:color w:val="000000"/>
                <w:sz w:val="20"/>
                <w:lang w:val="zh-CN" w:eastAsia="zh-CN"/>
              </w:rPr>
              <w:t>这些资金</w:t>
            </w:r>
            <w:r w:rsidRPr="008B1FF1">
              <w:rPr>
                <w:rFonts w:eastAsia="SimSun" w:cs="Calibri" w:hint="eastAsia"/>
                <w:color w:val="000000"/>
                <w:sz w:val="20"/>
                <w:lang w:val="zh-CN" w:eastAsia="zh-CN"/>
              </w:rPr>
              <w:t>的使用</w:t>
            </w:r>
            <w:r w:rsidRPr="008B1FF1">
              <w:rPr>
                <w:rFonts w:eastAsia="SimSun" w:cs="Calibri"/>
                <w:color w:val="000000"/>
                <w:sz w:val="20"/>
                <w:lang w:val="zh-CN" w:eastAsia="zh-CN"/>
              </w:rPr>
              <w:t>受小额现金</w:t>
            </w:r>
            <w:r w:rsidRPr="008B1FF1">
              <w:rPr>
                <w:rFonts w:eastAsia="SimSun" w:cs="Calibri" w:hint="eastAsia"/>
                <w:color w:val="000000"/>
                <w:sz w:val="20"/>
                <w:lang w:val="zh-CN" w:eastAsia="zh-CN"/>
              </w:rPr>
              <w:t>使用</w:t>
            </w:r>
            <w:r w:rsidRPr="008B1FF1">
              <w:rPr>
                <w:rFonts w:eastAsia="SimSun" w:cs="Calibri"/>
                <w:color w:val="000000"/>
                <w:sz w:val="20"/>
                <w:lang w:val="zh-CN" w:eastAsia="zh-CN"/>
              </w:rPr>
              <w:t>规则的</w:t>
            </w:r>
            <w:r w:rsidRPr="008B1FF1">
              <w:rPr>
                <w:rFonts w:eastAsia="SimSun" w:cs="Calibri" w:hint="eastAsia"/>
                <w:color w:val="000000"/>
                <w:sz w:val="20"/>
                <w:lang w:val="zh-CN" w:eastAsia="zh-CN"/>
              </w:rPr>
              <w:t>规范</w:t>
            </w:r>
            <w:r w:rsidRPr="008B1FF1">
              <w:rPr>
                <w:rFonts w:eastAsia="SimSun" w:cs="Calibri"/>
                <w:color w:val="000000"/>
                <w:sz w:val="20"/>
                <w:lang w:val="zh-CN" w:eastAsia="zh-CN"/>
              </w:rPr>
              <w:t>。实施此建议的成本和</w:t>
            </w:r>
            <w:r w:rsidRPr="008B1FF1">
              <w:rPr>
                <w:rFonts w:eastAsia="SimSun" w:cs="Calibri" w:hint="eastAsia"/>
                <w:color w:val="000000"/>
                <w:sz w:val="20"/>
                <w:lang w:val="zh-CN" w:eastAsia="zh-CN"/>
              </w:rPr>
              <w:t>工作量</w:t>
            </w:r>
            <w:r w:rsidRPr="008B1FF1">
              <w:rPr>
                <w:rFonts w:eastAsia="SimSun" w:cs="Calibri"/>
                <w:color w:val="000000"/>
                <w:sz w:val="20"/>
                <w:lang w:val="zh-CN" w:eastAsia="zh-CN"/>
              </w:rPr>
              <w:t>与风险水平不成比例。国际电联将重新考虑其有关本地支付的政策。</w:t>
            </w:r>
          </w:p>
          <w:p w14:paraId="74E4B8AA" w14:textId="659A2482"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33FD60B5" w14:textId="35332485"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意大利审计院在最后报告中（附件</w:t>
            </w:r>
            <w:r w:rsidRPr="008B1FF1">
              <w:rPr>
                <w:rFonts w:eastAsia="SimSun" w:cs="Calibri"/>
                <w:color w:val="000000"/>
                <w:sz w:val="20"/>
                <w:lang w:val="zh-CN" w:eastAsia="zh-CN"/>
              </w:rPr>
              <w:t>3</w:t>
            </w:r>
            <w:r w:rsidRPr="008B1FF1">
              <w:rPr>
                <w:rFonts w:eastAsia="SimSun" w:cs="Calibri"/>
                <w:color w:val="000000"/>
                <w:sz w:val="20"/>
                <w:lang w:val="zh-CN" w:eastAsia="zh-CN"/>
              </w:rPr>
              <w:t>：</w:t>
            </w:r>
            <w:hyperlink r:id="rId38" w:history="1">
              <w:r w:rsidR="00DF3E54" w:rsidRPr="008B1FF1">
                <w:rPr>
                  <w:rStyle w:val="Hyperlink"/>
                  <w:sz w:val="20"/>
                  <w:lang w:eastAsia="zh-CN"/>
                </w:rPr>
                <w:t>C22/101</w:t>
              </w:r>
            </w:hyperlink>
            <w:r w:rsidRPr="008B1FF1">
              <w:rPr>
                <w:rFonts w:eastAsia="SimSun" w:cs="Calibri"/>
                <w:color w:val="000000"/>
                <w:sz w:val="20"/>
                <w:lang w:val="zh-CN" w:eastAsia="zh-CN"/>
              </w:rPr>
              <w:t>）并未将其列为未解决的问题。</w:t>
            </w:r>
          </w:p>
          <w:p w14:paraId="1885A804" w14:textId="1A73CB5C" w:rsidR="000245E2" w:rsidRPr="008B1FF1" w:rsidRDefault="000245E2" w:rsidP="000245E2">
            <w:pPr>
              <w:pStyle w:val="Tabletext"/>
              <w:rPr>
                <w:sz w:val="20"/>
                <w:lang w:eastAsia="zh-CN"/>
              </w:rPr>
            </w:pPr>
            <w:r w:rsidRPr="008B1FF1">
              <w:rPr>
                <w:rFonts w:eastAsia="SimSun" w:cs="Calibri"/>
                <w:color w:val="000000"/>
                <w:sz w:val="20"/>
                <w:lang w:val="zh-CN" w:eastAsia="zh-CN"/>
              </w:rPr>
              <w:t>我们</w:t>
            </w:r>
            <w:r w:rsidRPr="008B1FF1">
              <w:rPr>
                <w:rFonts w:eastAsia="SimSun" w:cs="Calibri" w:hint="eastAsia"/>
                <w:color w:val="000000"/>
                <w:sz w:val="20"/>
                <w:lang w:val="zh-CN" w:eastAsia="zh-CN"/>
              </w:rPr>
              <w:t>对不再跟进此建议表示</w:t>
            </w:r>
            <w:r w:rsidRPr="008B1FF1">
              <w:rPr>
                <w:rFonts w:eastAsia="SimSun" w:cs="Calibri"/>
                <w:color w:val="000000"/>
                <w:sz w:val="20"/>
                <w:lang w:val="zh-CN" w:eastAsia="zh-CN"/>
              </w:rPr>
              <w:t>满意，并注意到管理层的最新信息。</w:t>
            </w:r>
          </w:p>
        </w:tc>
        <w:tc>
          <w:tcPr>
            <w:tcW w:w="450" w:type="pct"/>
            <w:shd w:val="clear" w:color="auto" w:fill="auto"/>
          </w:tcPr>
          <w:p w14:paraId="5A8B56F3" w14:textId="65E87763" w:rsidR="000245E2" w:rsidRPr="008B1FF1" w:rsidRDefault="00A62A5A" w:rsidP="000245E2">
            <w:pPr>
              <w:pStyle w:val="Tabletext"/>
              <w:rPr>
                <w:sz w:val="20"/>
                <w:lang w:eastAsia="zh-CN"/>
              </w:rPr>
            </w:pPr>
            <w:r>
              <w:rPr>
                <w:rFonts w:ascii="SimSun" w:eastAsia="SimSun" w:hAnsi="SimSun" w:cs="SimSun" w:hint="eastAsia"/>
                <w:color w:val="000000"/>
                <w:sz w:val="20"/>
                <w:lang w:eastAsia="zh-CN"/>
              </w:rPr>
              <w:t>已关闭。</w:t>
            </w:r>
          </w:p>
        </w:tc>
      </w:tr>
      <w:tr w:rsidR="000245E2" w:rsidRPr="00536D01" w14:paraId="63CB6237" w14:textId="77777777" w:rsidTr="0011737E">
        <w:tc>
          <w:tcPr>
            <w:tcW w:w="300" w:type="pct"/>
            <w:shd w:val="clear" w:color="auto" w:fill="auto"/>
          </w:tcPr>
          <w:p w14:paraId="6FED1CC9" w14:textId="291543AF" w:rsidR="000245E2" w:rsidRPr="008B1FF1" w:rsidRDefault="000245E2" w:rsidP="00E17413">
            <w:pPr>
              <w:pStyle w:val="Tabletext"/>
              <w:keepLines/>
              <w:rPr>
                <w:sz w:val="20"/>
              </w:rPr>
            </w:pPr>
            <w:r w:rsidRPr="008B1FF1">
              <w:rPr>
                <w:rFonts w:eastAsia="SimSun" w:cs="Calibri"/>
                <w:color w:val="000000"/>
                <w:sz w:val="20"/>
                <w:lang w:val="zh-CN"/>
              </w:rPr>
              <w:lastRenderedPageBreak/>
              <w:t>R#14</w:t>
            </w:r>
          </w:p>
        </w:tc>
        <w:tc>
          <w:tcPr>
            <w:tcW w:w="1450" w:type="pct"/>
            <w:shd w:val="clear" w:color="auto" w:fill="auto"/>
          </w:tcPr>
          <w:p w14:paraId="767649B8" w14:textId="34802ABE" w:rsidR="000245E2" w:rsidRPr="008B1FF1" w:rsidRDefault="000245E2" w:rsidP="00E17413">
            <w:pPr>
              <w:pStyle w:val="Tabletext"/>
              <w:keepLines/>
              <w:rPr>
                <w:sz w:val="20"/>
                <w:lang w:eastAsia="zh-CN"/>
              </w:rPr>
            </w:pPr>
            <w:r w:rsidRPr="008B1FF1">
              <w:rPr>
                <w:rFonts w:eastAsia="SimSun" w:cs="Calibri"/>
                <w:color w:val="000000"/>
                <w:sz w:val="20"/>
                <w:lang w:val="zh-CN" w:eastAsia="zh-CN"/>
              </w:rPr>
              <w:t>管理层应提高资产登记的准确性，特别是资产管理</w:t>
            </w:r>
            <w:r w:rsidRPr="008B1FF1">
              <w:rPr>
                <w:rFonts w:eastAsia="SimSun" w:cs="Calibri" w:hint="eastAsia"/>
                <w:color w:val="000000"/>
                <w:sz w:val="20"/>
                <w:lang w:val="zh-CN" w:eastAsia="zh-CN"/>
              </w:rPr>
              <w:t>以及</w:t>
            </w:r>
            <w:r w:rsidRPr="008B1FF1">
              <w:rPr>
                <w:rFonts w:eastAsia="SimSun" w:cs="Calibri"/>
                <w:color w:val="000000"/>
                <w:sz w:val="20"/>
                <w:lang w:val="zh-CN" w:eastAsia="zh-CN"/>
              </w:rPr>
              <w:t>注销物品处理的准确性。</w:t>
            </w:r>
          </w:p>
        </w:tc>
        <w:tc>
          <w:tcPr>
            <w:tcW w:w="1750" w:type="pct"/>
            <w:shd w:val="clear" w:color="auto" w:fill="auto"/>
          </w:tcPr>
          <w:p w14:paraId="49644F6E" w14:textId="29118DCA" w:rsidR="000245E2" w:rsidRPr="008B1FF1" w:rsidRDefault="000245E2" w:rsidP="00E17413">
            <w:pPr>
              <w:pStyle w:val="Tabletext"/>
              <w:keepLines/>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月的最新进展：正如向理事会</w:t>
            </w:r>
            <w:r w:rsidRPr="008B1FF1">
              <w:rPr>
                <w:rFonts w:eastAsia="SimSun" w:cs="Calibri"/>
                <w:color w:val="000000"/>
                <w:sz w:val="20"/>
                <w:lang w:val="zh-CN" w:eastAsia="zh-CN"/>
              </w:rPr>
              <w:t>2020</w:t>
            </w:r>
            <w:r w:rsidRPr="008B1FF1">
              <w:rPr>
                <w:rFonts w:eastAsia="SimSun" w:cs="Calibri"/>
                <w:color w:val="000000"/>
                <w:sz w:val="20"/>
                <w:lang w:val="zh-CN" w:eastAsia="zh-CN"/>
              </w:rPr>
              <w:t>年会议</w:t>
            </w:r>
            <w:r w:rsidRPr="008B1FF1">
              <w:rPr>
                <w:rFonts w:eastAsia="SimSun" w:cs="Calibri" w:hint="eastAsia"/>
                <w:color w:val="000000"/>
                <w:sz w:val="20"/>
                <w:lang w:val="zh-CN" w:eastAsia="zh-CN"/>
              </w:rPr>
              <w:t>提交的</w:t>
            </w:r>
            <w:r w:rsidRPr="008B1FF1">
              <w:rPr>
                <w:rFonts w:eastAsia="SimSun" w:cs="Calibri"/>
                <w:color w:val="000000"/>
                <w:sz w:val="20"/>
                <w:lang w:val="zh-CN" w:eastAsia="zh-CN"/>
              </w:rPr>
              <w:t>报告（</w:t>
            </w:r>
            <w:hyperlink r:id="rId39" w:history="1">
              <w:r w:rsidR="00DF3E54" w:rsidRPr="008B1FF1">
                <w:rPr>
                  <w:rStyle w:val="Hyperlink"/>
                  <w:sz w:val="20"/>
                  <w:lang w:eastAsia="zh-CN"/>
                </w:rPr>
                <w:t>C20/74</w:t>
              </w:r>
            </w:hyperlink>
            <w:r w:rsidRPr="008B1FF1">
              <w:rPr>
                <w:rFonts w:eastAsia="SimSun" w:cs="Calibri"/>
                <w:color w:val="000000"/>
                <w:sz w:val="20"/>
                <w:lang w:val="zh-CN" w:eastAsia="zh-CN"/>
              </w:rPr>
              <w:t>）所述，</w:t>
            </w:r>
            <w:r w:rsidRPr="008B1FF1">
              <w:rPr>
                <w:rFonts w:eastAsia="SimSun" w:cs="Calibri" w:hint="eastAsia"/>
                <w:color w:val="000000"/>
                <w:sz w:val="20"/>
                <w:lang w:val="zh-CN" w:eastAsia="zh-CN"/>
              </w:rPr>
              <w:t>“</w:t>
            </w:r>
            <w:r w:rsidRPr="008B1FF1">
              <w:rPr>
                <w:rFonts w:eastAsia="SimSun" w:cs="Calibri"/>
                <w:color w:val="000000"/>
                <w:sz w:val="20"/>
                <w:lang w:val="zh-CN" w:eastAsia="zh-CN"/>
              </w:rPr>
              <w:t>2019</w:t>
            </w:r>
            <w:r w:rsidRPr="008B1FF1">
              <w:rPr>
                <w:rFonts w:eastAsia="SimSun" w:cs="Calibri"/>
                <w:color w:val="000000"/>
                <w:sz w:val="20"/>
                <w:lang w:val="zh-CN" w:eastAsia="zh-CN"/>
              </w:rPr>
              <w:t>年引入了一个新软件，并向区域代表处提供了新的库存扫描仪。</w:t>
            </w:r>
            <w:r w:rsidRPr="008B1FF1">
              <w:rPr>
                <w:rFonts w:eastAsia="SimSun" w:cs="Calibri" w:hint="eastAsia"/>
                <w:color w:val="000000"/>
                <w:sz w:val="20"/>
                <w:lang w:val="zh-CN" w:eastAsia="zh-CN"/>
              </w:rPr>
              <w:t>现已</w:t>
            </w:r>
            <w:r w:rsidRPr="008B1FF1">
              <w:rPr>
                <w:rFonts w:eastAsia="SimSun" w:cs="Calibri"/>
                <w:color w:val="000000"/>
                <w:sz w:val="20"/>
                <w:lang w:val="zh-CN" w:eastAsia="zh-CN"/>
              </w:rPr>
              <w:t>制定了推动</w:t>
            </w:r>
            <w:r w:rsidRPr="008B1FF1">
              <w:rPr>
                <w:rFonts w:eastAsia="SimSun" w:cs="Calibri" w:hint="eastAsia"/>
                <w:color w:val="000000"/>
                <w:sz w:val="20"/>
                <w:lang w:val="zh-CN" w:eastAsia="zh-CN"/>
              </w:rPr>
              <w:t>此</w:t>
            </w:r>
            <w:r w:rsidRPr="008B1FF1">
              <w:rPr>
                <w:rFonts w:eastAsia="SimSun" w:cs="Calibri"/>
                <w:color w:val="000000"/>
                <w:sz w:val="20"/>
                <w:lang w:val="zh-CN" w:eastAsia="zh-CN"/>
              </w:rPr>
              <w:t>进程的指南，</w:t>
            </w:r>
            <w:r w:rsidRPr="008B1FF1">
              <w:rPr>
                <w:rFonts w:eastAsia="SimSun" w:cs="Calibri" w:hint="eastAsia"/>
                <w:color w:val="000000"/>
                <w:sz w:val="20"/>
                <w:lang w:val="zh-CN" w:eastAsia="zh-CN"/>
              </w:rPr>
              <w:t>且</w:t>
            </w:r>
            <w:r w:rsidRPr="008B1FF1">
              <w:rPr>
                <w:rFonts w:eastAsia="SimSun" w:cs="Calibri"/>
                <w:color w:val="000000"/>
                <w:sz w:val="20"/>
                <w:lang w:val="zh-CN" w:eastAsia="zh-CN"/>
              </w:rPr>
              <w:t>未决问题得到了</w:t>
            </w:r>
            <w:r w:rsidRPr="008B1FF1">
              <w:rPr>
                <w:rFonts w:eastAsia="SimSun" w:cs="Calibri" w:hint="eastAsia"/>
                <w:color w:val="000000"/>
                <w:sz w:val="20"/>
                <w:lang w:val="zh-CN" w:eastAsia="zh-CN"/>
              </w:rPr>
              <w:t>处理</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，普华永道认为该建议已得到</w:t>
            </w:r>
            <w:r w:rsidRPr="008B1FF1">
              <w:rPr>
                <w:rFonts w:eastAsia="SimSun" w:cs="Calibri" w:hint="eastAsia"/>
                <w:color w:val="000000"/>
                <w:sz w:val="20"/>
                <w:lang w:val="zh-CN" w:eastAsia="zh-CN"/>
              </w:rPr>
              <w:t>落实</w:t>
            </w:r>
            <w:r w:rsidRPr="008B1FF1">
              <w:rPr>
                <w:rFonts w:eastAsia="SimSun" w:cs="Calibri"/>
                <w:color w:val="000000"/>
                <w:sz w:val="20"/>
                <w:lang w:val="zh-CN" w:eastAsia="zh-CN"/>
              </w:rPr>
              <w:t>。</w:t>
            </w:r>
          </w:p>
          <w:p w14:paraId="4D484BC2" w14:textId="28481191" w:rsidR="000245E2" w:rsidRPr="008B1FF1" w:rsidRDefault="000245E2" w:rsidP="00E17413">
            <w:pPr>
              <w:pStyle w:val="Tabletext"/>
              <w:keepLines/>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698F416B" w14:textId="1D04340A" w:rsidR="000245E2" w:rsidRPr="008B1FF1" w:rsidRDefault="000245E2" w:rsidP="00E17413">
            <w:pPr>
              <w:pStyle w:val="Tabletext"/>
              <w:keepLines/>
              <w:rPr>
                <w:sz w:val="20"/>
                <w:lang w:eastAsia="zh-CN"/>
              </w:rPr>
            </w:pPr>
            <w:r w:rsidRPr="008B1FF1">
              <w:rPr>
                <w:rFonts w:eastAsia="SimSun" w:cs="Calibri"/>
                <w:color w:val="000000"/>
                <w:sz w:val="20"/>
                <w:lang w:val="zh-CN" w:eastAsia="zh-CN"/>
              </w:rPr>
              <w:t>我们注意到最新的回应并认为此回应是合理的。</w:t>
            </w:r>
          </w:p>
        </w:tc>
        <w:tc>
          <w:tcPr>
            <w:tcW w:w="450" w:type="pct"/>
            <w:shd w:val="clear" w:color="auto" w:fill="auto"/>
          </w:tcPr>
          <w:p w14:paraId="37CD8DF3" w14:textId="7E57FE33" w:rsidR="000245E2" w:rsidRPr="008B1FF1" w:rsidRDefault="00A62A5A" w:rsidP="00E17413">
            <w:pPr>
              <w:pStyle w:val="Tabletext"/>
              <w:keepLines/>
              <w:rPr>
                <w:sz w:val="20"/>
                <w:lang w:eastAsia="zh-CN"/>
              </w:rPr>
            </w:pPr>
            <w:r>
              <w:rPr>
                <w:rFonts w:ascii="SimSun" w:eastAsia="SimSun" w:hAnsi="SimSun" w:cs="SimSun" w:hint="eastAsia"/>
                <w:color w:val="000000"/>
                <w:sz w:val="20"/>
                <w:lang w:eastAsia="zh-CN"/>
              </w:rPr>
              <w:t>已关闭。</w:t>
            </w:r>
          </w:p>
        </w:tc>
      </w:tr>
      <w:tr w:rsidR="000245E2" w:rsidRPr="00536D01" w14:paraId="068079CB" w14:textId="77777777" w:rsidTr="0011737E">
        <w:tc>
          <w:tcPr>
            <w:tcW w:w="300" w:type="pct"/>
            <w:shd w:val="clear" w:color="auto" w:fill="auto"/>
          </w:tcPr>
          <w:p w14:paraId="0C83C800" w14:textId="5797E6BE" w:rsidR="000245E2" w:rsidRPr="008B1FF1" w:rsidRDefault="000245E2" w:rsidP="000245E2">
            <w:pPr>
              <w:pStyle w:val="Tabletext"/>
              <w:rPr>
                <w:sz w:val="20"/>
              </w:rPr>
            </w:pPr>
            <w:r w:rsidRPr="008B1FF1">
              <w:rPr>
                <w:rFonts w:eastAsia="SimSun" w:cs="Calibri"/>
                <w:color w:val="000000"/>
                <w:sz w:val="20"/>
                <w:lang w:val="zh-CN"/>
              </w:rPr>
              <w:t>R#15</w:t>
            </w:r>
          </w:p>
        </w:tc>
        <w:tc>
          <w:tcPr>
            <w:tcW w:w="1450" w:type="pct"/>
            <w:shd w:val="clear" w:color="auto" w:fill="auto"/>
          </w:tcPr>
          <w:p w14:paraId="369C70AE" w14:textId="204BD183" w:rsidR="000245E2" w:rsidRPr="008B1FF1" w:rsidRDefault="000245E2" w:rsidP="000245E2">
            <w:pPr>
              <w:pStyle w:val="Tabletext"/>
              <w:rPr>
                <w:sz w:val="20"/>
                <w:lang w:eastAsia="zh-CN"/>
              </w:rPr>
            </w:pPr>
            <w:r w:rsidRPr="008B1FF1">
              <w:rPr>
                <w:rFonts w:eastAsia="SimSun" w:cs="Calibri"/>
                <w:color w:val="000000"/>
                <w:sz w:val="20"/>
                <w:lang w:val="zh-CN" w:eastAsia="zh-CN"/>
              </w:rPr>
              <w:t>既然</w:t>
            </w:r>
            <w:r w:rsidRPr="008B1FF1">
              <w:rPr>
                <w:rFonts w:ascii="SimSun" w:eastAsia="SimSun" w:hAnsi="SimSun" w:cs="Calibri" w:hint="eastAsia"/>
                <w:color w:val="000000"/>
                <w:sz w:val="20"/>
                <w:lang w:val="zh-CN" w:eastAsia="zh-CN"/>
              </w:rPr>
              <w:t>“</w:t>
            </w:r>
            <w:r w:rsidRPr="008B1FF1">
              <w:rPr>
                <w:rFonts w:eastAsia="SimSun" w:cs="Calibri"/>
                <w:color w:val="000000"/>
                <w:sz w:val="20"/>
                <w:lang w:val="zh-CN" w:eastAsia="zh-CN"/>
              </w:rPr>
              <w:t>基本规则</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已经过时，国际电联应采用新</w:t>
            </w:r>
            <w:r w:rsidRPr="008B1FF1">
              <w:rPr>
                <w:rFonts w:eastAsia="SimSun" w:cs="Calibri" w:hint="eastAsia"/>
                <w:color w:val="000000"/>
                <w:sz w:val="20"/>
                <w:lang w:val="zh-CN" w:eastAsia="zh-CN"/>
              </w:rPr>
              <w:t>《</w:t>
            </w:r>
            <w:r w:rsidRPr="008B1FF1">
              <w:rPr>
                <w:rFonts w:eastAsia="SimSun" w:cs="Calibri"/>
                <w:color w:val="000000"/>
                <w:sz w:val="20"/>
                <w:lang w:val="zh-CN" w:eastAsia="zh-CN"/>
              </w:rPr>
              <w:t>采购手册</w:t>
            </w:r>
            <w:r w:rsidRPr="008B1FF1">
              <w:rPr>
                <w:rFonts w:eastAsia="SimSun" w:cs="Calibri" w:hint="eastAsia"/>
                <w:color w:val="000000"/>
                <w:sz w:val="20"/>
                <w:lang w:val="zh-CN" w:eastAsia="zh-CN"/>
              </w:rPr>
              <w:t>》</w:t>
            </w:r>
            <w:r w:rsidRPr="008B1FF1">
              <w:rPr>
                <w:rFonts w:eastAsia="SimSun" w:cs="Calibri"/>
                <w:color w:val="000000"/>
                <w:sz w:val="20"/>
                <w:lang w:val="zh-CN" w:eastAsia="zh-CN"/>
              </w:rPr>
              <w:t>，</w:t>
            </w:r>
            <w:r w:rsidRPr="008B1FF1">
              <w:rPr>
                <w:rFonts w:eastAsia="SimSun" w:cs="Calibri" w:hint="eastAsia"/>
                <w:color w:val="000000"/>
                <w:sz w:val="20"/>
                <w:lang w:val="zh-CN" w:eastAsia="zh-CN"/>
              </w:rPr>
              <w:t>其</w:t>
            </w:r>
            <w:r w:rsidRPr="008B1FF1">
              <w:rPr>
                <w:rFonts w:eastAsia="SimSun" w:cs="Calibri"/>
                <w:color w:val="000000"/>
                <w:sz w:val="20"/>
                <w:lang w:val="zh-CN" w:eastAsia="zh-CN"/>
              </w:rPr>
              <w:t>内容应包括正常预算和预算外资金。</w:t>
            </w:r>
          </w:p>
        </w:tc>
        <w:tc>
          <w:tcPr>
            <w:tcW w:w="1750" w:type="pct"/>
            <w:shd w:val="clear" w:color="auto" w:fill="auto"/>
          </w:tcPr>
          <w:p w14:paraId="07DE453A"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国际电联同意</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15</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建议</w:t>
            </w:r>
            <w:r w:rsidRPr="008B1FF1">
              <w:rPr>
                <w:rFonts w:eastAsia="SimSun" w:cs="Calibri" w:hint="eastAsia"/>
                <w:color w:val="000000"/>
                <w:sz w:val="20"/>
                <w:lang w:val="zh-CN" w:eastAsia="zh-CN"/>
              </w:rPr>
              <w:t>，</w:t>
            </w:r>
            <w:r w:rsidRPr="008B1FF1">
              <w:rPr>
                <w:rFonts w:eastAsia="SimSun" w:cs="Calibri"/>
                <w:color w:val="000000"/>
                <w:sz w:val="20"/>
                <w:lang w:val="zh-CN" w:eastAsia="zh-CN"/>
              </w:rPr>
              <w:t>并确认即将出台的《采购手册》原则上</w:t>
            </w:r>
            <w:r w:rsidRPr="008B1FF1">
              <w:rPr>
                <w:rFonts w:eastAsia="SimSun" w:cs="Calibri" w:hint="eastAsia"/>
                <w:color w:val="000000"/>
                <w:sz w:val="20"/>
                <w:lang w:val="zh-CN" w:eastAsia="zh-CN"/>
              </w:rPr>
              <w:t>亦</w:t>
            </w:r>
            <w:r w:rsidRPr="008B1FF1">
              <w:rPr>
                <w:rFonts w:eastAsia="SimSun" w:cs="Calibri"/>
                <w:color w:val="000000"/>
                <w:sz w:val="20"/>
                <w:lang w:val="zh-CN" w:eastAsia="zh-CN"/>
              </w:rPr>
              <w:t>适用于</w:t>
            </w:r>
            <w:r w:rsidRPr="008B1FF1">
              <w:rPr>
                <w:rFonts w:eastAsia="SimSun" w:cs="Calibri" w:hint="eastAsia"/>
                <w:color w:val="000000"/>
                <w:sz w:val="20"/>
                <w:lang w:val="zh-CN" w:eastAsia="zh-CN"/>
              </w:rPr>
              <w:t>使用</w:t>
            </w:r>
            <w:r w:rsidRPr="008B1FF1">
              <w:rPr>
                <w:rFonts w:eastAsia="SimSun" w:cs="Calibri"/>
                <w:color w:val="000000"/>
                <w:sz w:val="20"/>
                <w:lang w:val="zh-CN" w:eastAsia="zh-CN"/>
              </w:rPr>
              <w:t>预算外资金采购货物和服务。</w:t>
            </w:r>
          </w:p>
          <w:p w14:paraId="75128979" w14:textId="07DB92AD"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月的最新进展：通过</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18/2021</w:t>
            </w:r>
            <w:r w:rsidRPr="008B1FF1">
              <w:rPr>
                <w:rFonts w:eastAsia="SimSun" w:cs="Calibri"/>
                <w:color w:val="000000"/>
                <w:sz w:val="20"/>
                <w:lang w:val="zh-CN" w:eastAsia="zh-CN"/>
              </w:rPr>
              <w:t>号建议（财务报表</w:t>
            </w:r>
            <w:r w:rsidRPr="008B1FF1">
              <w:rPr>
                <w:rFonts w:eastAsia="SimSun" w:cs="Calibri" w:hint="eastAsia"/>
                <w:color w:val="000000"/>
                <w:sz w:val="20"/>
                <w:lang w:val="zh-CN" w:eastAsia="zh-CN"/>
              </w:rPr>
              <w:t>）跟进合规信息概览中的第</w:t>
            </w:r>
            <w:r w:rsidRPr="008B1FF1">
              <w:rPr>
                <w:rFonts w:eastAsia="SimSun" w:cs="Calibri" w:hint="eastAsia"/>
                <w:color w:val="000000"/>
                <w:sz w:val="20"/>
                <w:lang w:val="zh-CN" w:eastAsia="zh-CN"/>
              </w:rPr>
              <w:t>15</w:t>
            </w:r>
            <w:r w:rsidRPr="008B1FF1">
              <w:rPr>
                <w:rFonts w:eastAsia="SimSun" w:cs="Calibri" w:hint="eastAsia"/>
                <w:color w:val="000000"/>
                <w:sz w:val="20"/>
                <w:lang w:val="zh-CN" w:eastAsia="zh-CN"/>
              </w:rPr>
              <w:t>号建议，</w:t>
            </w:r>
            <w:r w:rsidRPr="008B1FF1">
              <w:rPr>
                <w:rFonts w:ascii="SimSun" w:eastAsia="SimSun" w:hAnsi="SimSun" w:cs="Calibri" w:hint="eastAsia"/>
                <w:color w:val="000000"/>
                <w:sz w:val="20"/>
                <w:lang w:val="zh-CN" w:eastAsia="zh-CN"/>
              </w:rPr>
              <w:t>“</w:t>
            </w:r>
            <w:r w:rsidRPr="008B1FF1">
              <w:rPr>
                <w:rFonts w:eastAsia="SimSun" w:cs="Calibri"/>
                <w:color w:val="000000"/>
                <w:sz w:val="20"/>
                <w:lang w:val="zh-CN" w:eastAsia="zh-CN"/>
              </w:rPr>
              <w:t>建议管理层采取紧急行动，</w:t>
            </w:r>
            <w:r w:rsidRPr="008B1FF1">
              <w:rPr>
                <w:rFonts w:eastAsia="SimSun" w:cs="Calibri" w:hint="eastAsia"/>
                <w:color w:val="000000"/>
                <w:sz w:val="20"/>
                <w:lang w:val="zh-CN" w:eastAsia="zh-CN"/>
              </w:rPr>
              <w:t>落实</w:t>
            </w:r>
            <w:r w:rsidRPr="008B1FF1">
              <w:rPr>
                <w:rFonts w:eastAsia="SimSun" w:cs="Calibri"/>
                <w:color w:val="000000"/>
                <w:sz w:val="20"/>
                <w:lang w:val="zh-CN" w:eastAsia="zh-CN"/>
              </w:rPr>
              <w:t>内部审计和外部审计</w:t>
            </w:r>
            <w:r w:rsidRPr="008B1FF1">
              <w:rPr>
                <w:rFonts w:eastAsia="SimSun" w:cs="Calibri" w:hint="eastAsia"/>
                <w:color w:val="000000"/>
                <w:sz w:val="20"/>
                <w:lang w:val="zh-CN" w:eastAsia="zh-CN"/>
              </w:rPr>
              <w:t>有</w:t>
            </w:r>
            <w:r w:rsidRPr="008B1FF1">
              <w:rPr>
                <w:rFonts w:eastAsia="SimSun" w:cs="Calibri"/>
                <w:color w:val="000000"/>
                <w:sz w:val="20"/>
                <w:lang w:val="zh-CN" w:eastAsia="zh-CN"/>
              </w:rPr>
              <w:t>关区域活动的公开建议，特别是关于采购的建议</w:t>
            </w:r>
            <w:r w:rsidRPr="008B1FF1">
              <w:rPr>
                <w:rFonts w:eastAsia="SimSun" w:cs="Calibri" w:hint="eastAsia"/>
                <w:color w:val="000000"/>
                <w:sz w:val="20"/>
                <w:lang w:val="zh-CN" w:eastAsia="zh-CN"/>
              </w:rPr>
              <w:t>”</w:t>
            </w:r>
            <w:r w:rsidRPr="008B1FF1">
              <w:rPr>
                <w:rFonts w:eastAsia="SimSun" w:cs="Calibri"/>
                <w:color w:val="000000"/>
                <w:sz w:val="20"/>
                <w:lang w:val="zh-CN" w:eastAsia="zh-CN"/>
              </w:rPr>
              <w:t>。鉴于</w:t>
            </w:r>
            <w:r w:rsidRPr="008B1FF1">
              <w:rPr>
                <w:rFonts w:eastAsia="SimSun" w:cs="Calibri" w:hint="eastAsia"/>
                <w:color w:val="000000"/>
                <w:sz w:val="20"/>
                <w:lang w:val="zh-CN" w:eastAsia="zh-CN"/>
              </w:rPr>
              <w:t>此</w:t>
            </w:r>
            <w:r w:rsidRPr="008B1FF1">
              <w:rPr>
                <w:rFonts w:eastAsia="SimSun" w:cs="Calibri"/>
                <w:color w:val="000000"/>
                <w:sz w:val="20"/>
                <w:lang w:val="zh-CN" w:eastAsia="zh-CN"/>
              </w:rPr>
              <w:t>建议实际上是建议实施外部审计员提出的其他建议，因此</w:t>
            </w:r>
            <w:r w:rsidRPr="007A47A9">
              <w:rPr>
                <w:rFonts w:eastAsia="SimSun" w:cs="Calibri"/>
                <w:color w:val="000000"/>
                <w:spacing w:val="-2"/>
                <w:sz w:val="20"/>
                <w:lang w:val="zh-CN" w:eastAsia="zh-CN"/>
              </w:rPr>
              <w:t>对</w:t>
            </w:r>
            <w:r w:rsidRPr="007A47A9">
              <w:rPr>
                <w:rFonts w:eastAsia="SimSun" w:cs="Calibri" w:hint="eastAsia"/>
                <w:color w:val="000000"/>
                <w:spacing w:val="-2"/>
                <w:sz w:val="20"/>
                <w:lang w:val="zh-CN" w:eastAsia="zh-CN"/>
              </w:rPr>
              <w:t>第</w:t>
            </w:r>
            <w:r w:rsidRPr="007A47A9">
              <w:rPr>
                <w:rFonts w:eastAsia="SimSun" w:cs="Calibri"/>
                <w:color w:val="000000"/>
                <w:spacing w:val="-2"/>
                <w:sz w:val="20"/>
                <w:lang w:val="zh-CN" w:eastAsia="zh-CN"/>
              </w:rPr>
              <w:t>18/2021</w:t>
            </w:r>
            <w:r w:rsidRPr="007A47A9">
              <w:rPr>
                <w:rFonts w:eastAsia="SimSun" w:cs="Calibri"/>
                <w:color w:val="000000"/>
                <w:spacing w:val="-2"/>
                <w:sz w:val="20"/>
                <w:lang w:val="zh-CN" w:eastAsia="zh-CN"/>
              </w:rPr>
              <w:t>号建议进行了细分，以纳入这些其他建议。</w:t>
            </w:r>
          </w:p>
          <w:p w14:paraId="6330EB21" w14:textId="6198A0A1"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因此，在合规信息概览</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18/2018-5</w:t>
            </w:r>
            <w:r w:rsidRPr="008B1FF1">
              <w:rPr>
                <w:rFonts w:eastAsia="SimSun" w:cs="Calibri" w:hint="eastAsia"/>
                <w:color w:val="000000"/>
                <w:sz w:val="20"/>
                <w:lang w:val="zh-CN" w:eastAsia="zh-CN"/>
              </w:rPr>
              <w:t>号建议</w:t>
            </w:r>
            <w:r w:rsidRPr="008B1FF1">
              <w:rPr>
                <w:rFonts w:eastAsia="SimSun" w:cs="Calibri"/>
                <w:color w:val="000000"/>
                <w:sz w:val="20"/>
                <w:lang w:val="zh-CN" w:eastAsia="zh-CN"/>
              </w:rPr>
              <w:t>（财务报表）</w:t>
            </w:r>
            <w:r w:rsidRPr="008B1FF1">
              <w:rPr>
                <w:rFonts w:eastAsia="SimSun" w:cs="Calibri" w:hint="eastAsia"/>
                <w:color w:val="000000"/>
                <w:sz w:val="20"/>
                <w:lang w:val="zh-CN" w:eastAsia="zh-CN"/>
              </w:rPr>
              <w:t>下对</w:t>
            </w:r>
            <w:r w:rsidRPr="008B1FF1">
              <w:rPr>
                <w:rFonts w:eastAsia="SimSun" w:cs="Calibri"/>
                <w:color w:val="000000"/>
                <w:sz w:val="20"/>
                <w:lang w:val="zh-CN" w:eastAsia="zh-CN"/>
              </w:rPr>
              <w:t>第</w:t>
            </w:r>
            <w:r w:rsidRPr="008B1FF1">
              <w:rPr>
                <w:rFonts w:eastAsia="SimSun" w:cs="Calibri"/>
                <w:color w:val="000000"/>
                <w:sz w:val="20"/>
                <w:lang w:val="zh-CN" w:eastAsia="zh-CN"/>
              </w:rPr>
              <w:t>15/2018</w:t>
            </w:r>
            <w:r w:rsidRPr="008B1FF1">
              <w:rPr>
                <w:rFonts w:eastAsia="SimSun" w:cs="Calibri"/>
                <w:color w:val="000000"/>
                <w:sz w:val="20"/>
                <w:lang w:val="zh-CN" w:eastAsia="zh-CN"/>
              </w:rPr>
              <w:t>号建议（区域代表处特别代表）进行了跟踪，</w:t>
            </w:r>
            <w:r w:rsidRPr="008B1FF1">
              <w:rPr>
                <w:rFonts w:eastAsia="SimSun" w:cs="Calibri" w:hint="eastAsia"/>
                <w:color w:val="000000"/>
                <w:sz w:val="20"/>
                <w:lang w:val="zh-CN" w:eastAsia="zh-CN"/>
              </w:rPr>
              <w:t>且</w:t>
            </w:r>
            <w:r w:rsidRPr="008B1FF1">
              <w:rPr>
                <w:rFonts w:eastAsia="SimSun" w:cs="Calibri"/>
                <w:color w:val="000000"/>
                <w:sz w:val="20"/>
                <w:lang w:val="zh-CN" w:eastAsia="zh-CN"/>
              </w:rPr>
              <w:t>视</w:t>
            </w:r>
            <w:r w:rsidRPr="008B1FF1">
              <w:rPr>
                <w:rFonts w:eastAsia="SimSun" w:cs="Calibri" w:hint="eastAsia"/>
                <w:color w:val="000000"/>
                <w:sz w:val="20"/>
                <w:lang w:val="zh-CN" w:eastAsia="zh-CN"/>
              </w:rPr>
              <w:t>该建议已经落实且问题得到“</w:t>
            </w:r>
            <w:r w:rsidRPr="008B1FF1">
              <w:rPr>
                <w:rFonts w:eastAsia="SimSun" w:cs="Calibri"/>
                <w:color w:val="000000"/>
                <w:sz w:val="20"/>
                <w:lang w:val="zh-CN" w:eastAsia="zh-CN"/>
              </w:rPr>
              <w:t>解决</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。正如向理事会</w:t>
            </w:r>
            <w:r w:rsidRPr="008B1FF1">
              <w:rPr>
                <w:rFonts w:eastAsia="SimSun" w:cs="Calibri"/>
                <w:color w:val="000000"/>
                <w:sz w:val="20"/>
                <w:lang w:val="zh-CN" w:eastAsia="zh-CN"/>
              </w:rPr>
              <w:t>2020</w:t>
            </w:r>
            <w:r w:rsidRPr="008B1FF1">
              <w:rPr>
                <w:rFonts w:eastAsia="SimSun" w:cs="Calibri"/>
                <w:color w:val="000000"/>
                <w:sz w:val="20"/>
                <w:lang w:val="zh-CN" w:eastAsia="zh-CN"/>
              </w:rPr>
              <w:t>年会议（</w:t>
            </w:r>
            <w:hyperlink r:id="rId40" w:history="1">
              <w:r w:rsidR="00DF3E54" w:rsidRPr="008B1FF1">
                <w:rPr>
                  <w:rStyle w:val="Hyperlink"/>
                  <w:sz w:val="20"/>
                  <w:lang w:eastAsia="zh-CN"/>
                </w:rPr>
                <w:t>C20/75</w:t>
              </w:r>
            </w:hyperlink>
            <w:r w:rsidRPr="008B1FF1">
              <w:rPr>
                <w:rFonts w:eastAsia="SimSun" w:cs="Calibri"/>
                <w:color w:val="000000"/>
                <w:sz w:val="20"/>
                <w:lang w:val="zh-CN" w:eastAsia="zh-CN"/>
              </w:rPr>
              <w:t>）</w:t>
            </w:r>
            <w:r w:rsidRPr="008B1FF1">
              <w:rPr>
                <w:rFonts w:eastAsia="SimSun" w:cs="Calibri" w:hint="eastAsia"/>
                <w:color w:val="000000"/>
                <w:sz w:val="20"/>
                <w:lang w:val="zh-CN" w:eastAsia="zh-CN"/>
              </w:rPr>
              <w:t>提交的</w:t>
            </w:r>
            <w:r w:rsidRPr="008B1FF1">
              <w:rPr>
                <w:rFonts w:eastAsia="SimSun" w:cs="Calibri"/>
                <w:color w:val="000000"/>
                <w:sz w:val="20"/>
                <w:lang w:val="zh-CN" w:eastAsia="zh-CN"/>
              </w:rPr>
              <w:t>报告</w:t>
            </w:r>
            <w:r w:rsidRPr="008B1FF1">
              <w:rPr>
                <w:rFonts w:eastAsia="SimSun" w:cs="Calibri" w:hint="eastAsia"/>
                <w:color w:val="000000"/>
                <w:sz w:val="20"/>
                <w:lang w:val="zh-CN" w:eastAsia="zh-CN"/>
              </w:rPr>
              <w:t>所述</w:t>
            </w:r>
            <w:r w:rsidRPr="008B1FF1">
              <w:rPr>
                <w:rFonts w:eastAsia="SimSun" w:cs="Calibri"/>
                <w:color w:val="000000"/>
                <w:sz w:val="20"/>
                <w:lang w:val="zh-CN" w:eastAsia="zh-CN"/>
              </w:rPr>
              <w:t>，普华永道认为</w:t>
            </w:r>
            <w:r w:rsidRPr="008B1FF1">
              <w:rPr>
                <w:rFonts w:eastAsia="SimSun" w:cs="Calibri" w:hint="eastAsia"/>
                <w:color w:val="000000"/>
                <w:sz w:val="20"/>
                <w:lang w:val="zh-CN" w:eastAsia="zh-CN"/>
              </w:rPr>
              <w:t>已通过</w:t>
            </w:r>
            <w:r w:rsidRPr="008B1FF1">
              <w:rPr>
                <w:rFonts w:eastAsia="SimSun" w:cs="Calibri"/>
                <w:color w:val="000000"/>
                <w:sz w:val="20"/>
                <w:lang w:val="zh-CN" w:eastAsia="zh-CN"/>
              </w:rPr>
              <w:t>2022</w:t>
            </w:r>
            <w:r w:rsidRPr="008B1FF1">
              <w:rPr>
                <w:rFonts w:eastAsia="SimSun" w:cs="Calibri"/>
                <w:color w:val="000000"/>
                <w:sz w:val="20"/>
                <w:lang w:val="zh-CN" w:eastAsia="zh-CN"/>
              </w:rPr>
              <w:t>年第</w:t>
            </w:r>
            <w:r w:rsidRPr="008B1FF1">
              <w:rPr>
                <w:rFonts w:eastAsia="SimSun" w:cs="Calibri"/>
                <w:color w:val="000000"/>
                <w:sz w:val="20"/>
                <w:lang w:val="zh-CN" w:eastAsia="zh-CN"/>
              </w:rPr>
              <w:t>22/13</w:t>
            </w:r>
            <w:r w:rsidRPr="008B1FF1">
              <w:rPr>
                <w:rFonts w:eastAsia="SimSun" w:cs="Calibri"/>
                <w:color w:val="000000"/>
                <w:sz w:val="20"/>
                <w:lang w:val="zh-CN" w:eastAsia="zh-CN"/>
              </w:rPr>
              <w:t>号行政规定发布</w:t>
            </w:r>
            <w:r w:rsidRPr="008B1FF1">
              <w:rPr>
                <w:rFonts w:eastAsia="SimSun" w:cs="Calibri" w:hint="eastAsia"/>
                <w:color w:val="000000"/>
                <w:sz w:val="20"/>
                <w:lang w:val="zh-CN" w:eastAsia="zh-CN"/>
              </w:rPr>
              <w:t>的</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新</w:t>
            </w:r>
            <w:r w:rsidRPr="008B1FF1">
              <w:rPr>
                <w:rFonts w:eastAsia="SimSun" w:cs="Calibri" w:hint="eastAsia"/>
                <w:color w:val="000000"/>
                <w:sz w:val="20"/>
                <w:lang w:val="zh-CN" w:eastAsia="zh-CN"/>
              </w:rPr>
              <w:t>《</w:t>
            </w:r>
            <w:r w:rsidRPr="008B1FF1">
              <w:rPr>
                <w:rFonts w:eastAsia="SimSun" w:cs="Calibri"/>
                <w:color w:val="000000"/>
                <w:sz w:val="20"/>
                <w:lang w:val="zh-CN" w:eastAsia="zh-CN"/>
              </w:rPr>
              <w:t>采购手册</w:t>
            </w:r>
            <w:r w:rsidRPr="008B1FF1">
              <w:rPr>
                <w:rFonts w:eastAsia="SimSun" w:cs="Calibri" w:hint="eastAsia"/>
                <w:color w:val="000000"/>
                <w:sz w:val="20"/>
                <w:lang w:val="zh-CN" w:eastAsia="zh-CN"/>
              </w:rPr>
              <w:t>》</w:t>
            </w:r>
            <w:r w:rsidRPr="008B1FF1">
              <w:rPr>
                <w:rFonts w:ascii="SimSun" w:eastAsia="SimSun" w:hAnsi="SimSun" w:cs="Calibri" w:hint="eastAsia"/>
                <w:color w:val="000000"/>
                <w:sz w:val="20"/>
                <w:lang w:val="zh-CN" w:eastAsia="zh-CN"/>
              </w:rPr>
              <w:t>落实了此项建议</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w:t>
            </w:r>
          </w:p>
          <w:p w14:paraId="0ED728BA" w14:textId="66B93AB6"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1C516226" w14:textId="4DEBAD20"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意大利审计院在最后报告中（附件</w:t>
            </w:r>
            <w:r w:rsidRPr="008B1FF1">
              <w:rPr>
                <w:rFonts w:eastAsia="SimSun" w:cs="Calibri"/>
                <w:color w:val="000000"/>
                <w:sz w:val="20"/>
                <w:lang w:val="zh-CN" w:eastAsia="zh-CN"/>
              </w:rPr>
              <w:t>3</w:t>
            </w:r>
            <w:r w:rsidRPr="008B1FF1">
              <w:rPr>
                <w:rFonts w:eastAsia="SimSun" w:cs="Calibri"/>
                <w:color w:val="000000"/>
                <w:sz w:val="20"/>
                <w:lang w:val="zh-CN" w:eastAsia="zh-CN"/>
              </w:rPr>
              <w:t>：</w:t>
            </w:r>
            <w:hyperlink r:id="rId41" w:history="1">
              <w:r w:rsidR="00DF3E54" w:rsidRPr="008B1FF1">
                <w:rPr>
                  <w:rStyle w:val="Hyperlink"/>
                  <w:sz w:val="20"/>
                  <w:lang w:eastAsia="zh-CN"/>
                </w:rPr>
                <w:t>C22/101</w:t>
              </w:r>
            </w:hyperlink>
            <w:r w:rsidRPr="008B1FF1">
              <w:rPr>
                <w:rFonts w:eastAsia="SimSun" w:cs="Calibri"/>
                <w:color w:val="000000"/>
                <w:sz w:val="20"/>
                <w:lang w:val="zh-CN" w:eastAsia="zh-CN"/>
              </w:rPr>
              <w:t>）并未将其列为未解决的问题。</w:t>
            </w:r>
          </w:p>
          <w:p w14:paraId="56527DA7" w14:textId="1F70CBE0" w:rsidR="000245E2" w:rsidRPr="008B1FF1" w:rsidRDefault="000245E2" w:rsidP="000245E2">
            <w:pPr>
              <w:pStyle w:val="Tabletext"/>
              <w:rPr>
                <w:sz w:val="20"/>
                <w:lang w:eastAsia="zh-CN"/>
              </w:rPr>
            </w:pPr>
            <w:r w:rsidRPr="008B1FF1">
              <w:rPr>
                <w:rFonts w:eastAsia="SimSun" w:cs="Calibri"/>
                <w:color w:val="000000"/>
                <w:sz w:val="20"/>
                <w:lang w:val="zh-CN" w:eastAsia="zh-CN"/>
              </w:rPr>
              <w:t>我们</w:t>
            </w:r>
            <w:r w:rsidRPr="008B1FF1">
              <w:rPr>
                <w:rFonts w:eastAsia="SimSun" w:cs="Calibri" w:hint="eastAsia"/>
                <w:color w:val="000000"/>
                <w:sz w:val="20"/>
                <w:lang w:val="zh-CN" w:eastAsia="zh-CN"/>
              </w:rPr>
              <w:t>对不再跟进此建议表示</w:t>
            </w:r>
            <w:r w:rsidRPr="008B1FF1">
              <w:rPr>
                <w:rFonts w:eastAsia="SimSun" w:cs="Calibri"/>
                <w:color w:val="000000"/>
                <w:sz w:val="20"/>
                <w:lang w:val="zh-CN" w:eastAsia="zh-CN"/>
              </w:rPr>
              <w:t>满意，并注意到管理层的最新信息。</w:t>
            </w:r>
          </w:p>
        </w:tc>
        <w:tc>
          <w:tcPr>
            <w:tcW w:w="450" w:type="pct"/>
            <w:shd w:val="clear" w:color="auto" w:fill="auto"/>
          </w:tcPr>
          <w:p w14:paraId="35AB44F0" w14:textId="2E51F19C" w:rsidR="000245E2" w:rsidRPr="008B1FF1" w:rsidRDefault="00A62A5A" w:rsidP="000245E2">
            <w:pPr>
              <w:pStyle w:val="Tabletext"/>
              <w:rPr>
                <w:sz w:val="20"/>
                <w:lang w:eastAsia="zh-CN"/>
              </w:rPr>
            </w:pPr>
            <w:r>
              <w:rPr>
                <w:rFonts w:ascii="SimSun" w:eastAsia="SimSun" w:hAnsi="SimSun" w:cs="SimSun" w:hint="eastAsia"/>
                <w:color w:val="000000"/>
                <w:sz w:val="20"/>
                <w:lang w:eastAsia="zh-CN"/>
              </w:rPr>
              <w:t>已关闭。</w:t>
            </w:r>
          </w:p>
        </w:tc>
      </w:tr>
      <w:tr w:rsidR="000245E2" w:rsidRPr="00536D01" w14:paraId="50A7FCC5" w14:textId="77777777" w:rsidTr="0011737E">
        <w:tc>
          <w:tcPr>
            <w:tcW w:w="300" w:type="pct"/>
            <w:shd w:val="clear" w:color="auto" w:fill="auto"/>
          </w:tcPr>
          <w:p w14:paraId="09CD029E" w14:textId="49AA23CC" w:rsidR="000245E2" w:rsidRPr="008B1FF1" w:rsidRDefault="000245E2" w:rsidP="000245E2">
            <w:pPr>
              <w:pStyle w:val="Tabletext"/>
              <w:rPr>
                <w:sz w:val="20"/>
              </w:rPr>
            </w:pPr>
            <w:r w:rsidRPr="008B1FF1">
              <w:rPr>
                <w:rFonts w:eastAsia="SimSun" w:cs="Calibri"/>
                <w:color w:val="000000"/>
                <w:sz w:val="20"/>
                <w:lang w:val="zh-CN"/>
              </w:rPr>
              <w:t>R#16</w:t>
            </w:r>
          </w:p>
        </w:tc>
        <w:tc>
          <w:tcPr>
            <w:tcW w:w="1450" w:type="pct"/>
            <w:shd w:val="clear" w:color="auto" w:fill="auto"/>
          </w:tcPr>
          <w:p w14:paraId="18EA1EC6" w14:textId="7DB27A03" w:rsidR="000245E2" w:rsidRPr="008B1FF1" w:rsidRDefault="000245E2" w:rsidP="000245E2">
            <w:pPr>
              <w:pStyle w:val="Tabletext"/>
              <w:rPr>
                <w:sz w:val="20"/>
                <w:lang w:eastAsia="zh-CN"/>
              </w:rPr>
            </w:pPr>
            <w:r w:rsidRPr="008B1FF1">
              <w:rPr>
                <w:rFonts w:eastAsia="SimSun" w:cs="Calibri" w:hint="eastAsia"/>
                <w:color w:val="000000"/>
                <w:sz w:val="20"/>
                <w:lang w:val="zh-CN" w:eastAsia="zh-CN"/>
              </w:rPr>
              <w:t>针对</w:t>
            </w:r>
            <w:r w:rsidRPr="008B1FF1">
              <w:rPr>
                <w:rFonts w:eastAsia="SimSun" w:cs="Calibri"/>
                <w:color w:val="000000"/>
                <w:sz w:val="20"/>
                <w:lang w:val="zh-CN" w:eastAsia="zh-CN"/>
              </w:rPr>
              <w:t>信托基金，应制定明确客观的</w:t>
            </w:r>
            <w:r w:rsidRPr="008B1FF1">
              <w:rPr>
                <w:rFonts w:eastAsia="SimSun" w:cs="Calibri" w:hint="eastAsia"/>
                <w:color w:val="000000"/>
                <w:sz w:val="20"/>
                <w:lang w:val="zh-CN" w:eastAsia="zh-CN"/>
              </w:rPr>
              <w:t>标书</w:t>
            </w:r>
            <w:r w:rsidRPr="008B1FF1">
              <w:rPr>
                <w:rFonts w:eastAsia="SimSun" w:cs="Calibri"/>
                <w:color w:val="000000"/>
                <w:sz w:val="20"/>
                <w:lang w:val="zh-CN" w:eastAsia="zh-CN"/>
              </w:rPr>
              <w:t>选择标准，并将结果以透明的方式通知投标人。</w:t>
            </w:r>
          </w:p>
        </w:tc>
        <w:tc>
          <w:tcPr>
            <w:tcW w:w="1750" w:type="pct"/>
            <w:shd w:val="clear" w:color="auto" w:fill="auto"/>
          </w:tcPr>
          <w:p w14:paraId="68046E37"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国际电联同意，无论资金来源如何，均须为所有采购工作制定明确客观的标准，且所有采购案例均须遵循即将出台的《采购手册》的程序。《</w:t>
            </w:r>
            <w:r w:rsidRPr="008B1FF1">
              <w:rPr>
                <w:rFonts w:eastAsia="SimSun" w:cs="Calibri" w:hint="eastAsia"/>
                <w:color w:val="000000"/>
                <w:sz w:val="20"/>
                <w:lang w:val="zh-CN" w:eastAsia="zh-CN"/>
              </w:rPr>
              <w:t>采购</w:t>
            </w:r>
            <w:r w:rsidRPr="008B1FF1">
              <w:rPr>
                <w:rFonts w:eastAsia="SimSun" w:cs="Calibri"/>
                <w:color w:val="000000"/>
                <w:sz w:val="20"/>
                <w:lang w:val="zh-CN" w:eastAsia="zh-CN"/>
              </w:rPr>
              <w:t>手册》指出，</w:t>
            </w:r>
            <w:r w:rsidRPr="008B1FF1">
              <w:rPr>
                <w:rFonts w:eastAsia="SimSun" w:cs="Calibri" w:hint="eastAsia"/>
                <w:color w:val="000000"/>
                <w:sz w:val="20"/>
                <w:lang w:val="zh-CN" w:eastAsia="zh-CN"/>
              </w:rPr>
              <w:t>有关</w:t>
            </w:r>
            <w:r w:rsidRPr="008B1FF1">
              <w:rPr>
                <w:rFonts w:eastAsia="SimSun" w:cs="Calibri"/>
                <w:color w:val="000000"/>
                <w:sz w:val="20"/>
                <w:lang w:val="zh-CN" w:eastAsia="zh-CN"/>
              </w:rPr>
              <w:t>中标合同的建议应以明确客观的评标标准以及评标方法为基础，</w:t>
            </w:r>
            <w:r w:rsidRPr="008B1FF1">
              <w:rPr>
                <w:rFonts w:eastAsia="SimSun" w:cs="Calibri" w:hint="eastAsia"/>
                <w:color w:val="000000"/>
                <w:sz w:val="20"/>
                <w:lang w:val="zh-CN" w:eastAsia="zh-CN"/>
              </w:rPr>
              <w:t>且</w:t>
            </w:r>
            <w:r w:rsidRPr="008B1FF1">
              <w:rPr>
                <w:rFonts w:eastAsia="SimSun" w:cs="Calibri"/>
                <w:color w:val="000000"/>
                <w:sz w:val="20"/>
                <w:lang w:val="zh-CN" w:eastAsia="zh-CN"/>
              </w:rPr>
              <w:t>这些标准和评标方法须在开标前制定。这意味着受援国政府将无法</w:t>
            </w:r>
            <w:r w:rsidRPr="008B1FF1">
              <w:rPr>
                <w:rFonts w:eastAsia="SimSun" w:cs="Calibri" w:hint="eastAsia"/>
                <w:color w:val="000000"/>
                <w:sz w:val="20"/>
                <w:lang w:val="zh-CN" w:eastAsia="zh-CN"/>
              </w:rPr>
              <w:t>就把合同</w:t>
            </w:r>
            <w:r w:rsidRPr="008B1FF1">
              <w:rPr>
                <w:rFonts w:eastAsia="SimSun" w:cs="Calibri"/>
                <w:color w:val="000000"/>
                <w:sz w:val="20"/>
                <w:lang w:val="zh-CN" w:eastAsia="zh-CN"/>
              </w:rPr>
              <w:t>授予哪</w:t>
            </w:r>
            <w:r w:rsidRPr="008B1FF1">
              <w:rPr>
                <w:rFonts w:eastAsia="SimSun" w:cs="Calibri" w:hint="eastAsia"/>
                <w:color w:val="000000"/>
                <w:sz w:val="20"/>
                <w:lang w:val="zh-CN" w:eastAsia="zh-CN"/>
              </w:rPr>
              <w:t>家供应</w:t>
            </w:r>
            <w:r w:rsidRPr="008B1FF1">
              <w:rPr>
                <w:rFonts w:eastAsia="SimSun" w:cs="Calibri"/>
                <w:color w:val="000000"/>
                <w:sz w:val="20"/>
                <w:lang w:val="zh-CN" w:eastAsia="zh-CN"/>
              </w:rPr>
              <w:t>商</w:t>
            </w:r>
            <w:r w:rsidRPr="008B1FF1">
              <w:rPr>
                <w:rFonts w:eastAsia="SimSun" w:cs="Calibri" w:hint="eastAsia"/>
                <w:color w:val="000000"/>
                <w:sz w:val="20"/>
                <w:lang w:val="zh-CN" w:eastAsia="zh-CN"/>
              </w:rPr>
              <w:t>提出建议</w:t>
            </w:r>
            <w:r w:rsidRPr="008B1FF1">
              <w:rPr>
                <w:rFonts w:eastAsia="SimSun" w:cs="Calibri"/>
                <w:color w:val="000000"/>
                <w:sz w:val="20"/>
                <w:lang w:val="zh-CN" w:eastAsia="zh-CN"/>
              </w:rPr>
              <w:t>。所有超过</w:t>
            </w:r>
            <w:r w:rsidRPr="008B1FF1">
              <w:rPr>
                <w:rFonts w:eastAsia="SimSun" w:cs="Calibri"/>
                <w:color w:val="000000"/>
                <w:sz w:val="20"/>
                <w:lang w:val="zh-CN" w:eastAsia="zh-CN"/>
              </w:rPr>
              <w:t>50,000</w:t>
            </w:r>
            <w:r w:rsidRPr="008B1FF1">
              <w:rPr>
                <w:rFonts w:eastAsia="SimSun" w:cs="Calibri"/>
                <w:color w:val="000000"/>
                <w:sz w:val="20"/>
                <w:lang w:val="zh-CN" w:eastAsia="zh-CN"/>
              </w:rPr>
              <w:t>瑞郎限额的</w:t>
            </w:r>
            <w:r w:rsidRPr="008B1FF1">
              <w:rPr>
                <w:rFonts w:eastAsia="SimSun" w:cs="Calibri" w:hint="eastAsia"/>
                <w:color w:val="000000"/>
                <w:sz w:val="20"/>
                <w:lang w:val="zh-CN" w:eastAsia="zh-CN"/>
              </w:rPr>
              <w:t>招</w:t>
            </w:r>
            <w:r w:rsidRPr="008B1FF1">
              <w:rPr>
                <w:rFonts w:eastAsia="SimSun" w:cs="Calibri"/>
                <w:color w:val="000000"/>
                <w:sz w:val="20"/>
                <w:lang w:val="zh-CN" w:eastAsia="zh-CN"/>
              </w:rPr>
              <w:t>标均须公开，并请</w:t>
            </w:r>
            <w:r w:rsidRPr="008B1FF1">
              <w:rPr>
                <w:rFonts w:eastAsia="SimSun" w:cs="Calibri" w:hint="eastAsia"/>
                <w:color w:val="000000"/>
                <w:sz w:val="20"/>
                <w:lang w:val="zh-CN" w:eastAsia="zh-CN"/>
              </w:rPr>
              <w:t>供应</w:t>
            </w:r>
            <w:r w:rsidRPr="008B1FF1">
              <w:rPr>
                <w:rFonts w:eastAsia="SimSun" w:cs="Calibri"/>
                <w:color w:val="000000"/>
                <w:sz w:val="20"/>
                <w:lang w:val="zh-CN" w:eastAsia="zh-CN"/>
              </w:rPr>
              <w:t>商听取有关评定其标书的</w:t>
            </w:r>
            <w:r w:rsidRPr="008B1FF1">
              <w:rPr>
                <w:rFonts w:eastAsia="SimSun" w:cs="Calibri" w:hint="eastAsia"/>
                <w:color w:val="000000"/>
                <w:sz w:val="20"/>
                <w:lang w:val="zh-CN" w:eastAsia="zh-CN"/>
              </w:rPr>
              <w:t>报告</w:t>
            </w:r>
            <w:r w:rsidRPr="008B1FF1">
              <w:rPr>
                <w:rFonts w:eastAsia="SimSun" w:cs="Calibri"/>
                <w:color w:val="000000"/>
                <w:sz w:val="20"/>
                <w:lang w:val="zh-CN" w:eastAsia="zh-CN"/>
              </w:rPr>
              <w:t>。但是，国际电联不同意将其授予合同的理由告知</w:t>
            </w:r>
            <w:r w:rsidRPr="008B1FF1">
              <w:rPr>
                <w:rFonts w:eastAsia="SimSun" w:cs="Calibri" w:hint="eastAsia"/>
                <w:color w:val="000000"/>
                <w:sz w:val="20"/>
                <w:lang w:val="zh-CN" w:eastAsia="zh-CN"/>
              </w:rPr>
              <w:t>具体</w:t>
            </w:r>
            <w:r w:rsidRPr="008B1FF1">
              <w:rPr>
                <w:rFonts w:eastAsia="SimSun" w:cs="Calibri"/>
                <w:color w:val="000000"/>
                <w:sz w:val="20"/>
                <w:lang w:val="zh-CN" w:eastAsia="zh-CN"/>
              </w:rPr>
              <w:t>供应商，</w:t>
            </w:r>
            <w:r w:rsidRPr="008B1FF1">
              <w:rPr>
                <w:rFonts w:eastAsia="SimSun" w:cs="Calibri" w:hint="eastAsia"/>
                <w:color w:val="000000"/>
                <w:sz w:val="20"/>
                <w:lang w:val="zh-CN" w:eastAsia="zh-CN"/>
              </w:rPr>
              <w:t>亦</w:t>
            </w:r>
            <w:r w:rsidRPr="008B1FF1">
              <w:rPr>
                <w:rFonts w:eastAsia="SimSun" w:cs="Calibri"/>
                <w:color w:val="000000"/>
                <w:sz w:val="20"/>
                <w:lang w:val="zh-CN" w:eastAsia="zh-CN"/>
              </w:rPr>
              <w:t>不允许供应商对国际电联的最终决定拥有追索权。</w:t>
            </w:r>
          </w:p>
          <w:p w14:paraId="0D0533A9" w14:textId="77777777" w:rsidR="000245E2" w:rsidRPr="008B1FF1" w:rsidRDefault="000245E2" w:rsidP="000245E2">
            <w:pPr>
              <w:pStyle w:val="Tabletext"/>
              <w:rPr>
                <w:rFonts w:eastAsia="SimSun" w:cs="Calibri"/>
                <w:sz w:val="20"/>
                <w:lang w:eastAsia="zh-CN"/>
              </w:rPr>
            </w:pPr>
            <w:r w:rsidRPr="008B1FF1">
              <w:rPr>
                <w:rFonts w:eastAsia="SimSun" w:cs="Calibri" w:hint="eastAsia"/>
                <w:color w:val="000000"/>
                <w:sz w:val="20"/>
                <w:lang w:val="zh-CN" w:eastAsia="zh-CN"/>
              </w:rPr>
              <w:lastRenderedPageBreak/>
              <w:t>截至</w:t>
            </w:r>
            <w:r w:rsidRPr="008B1FF1">
              <w:rPr>
                <w:rFonts w:eastAsia="SimSun" w:cs="Calibri"/>
                <w:color w:val="000000"/>
                <w:sz w:val="20"/>
                <w:lang w:val="zh-CN" w:eastAsia="zh-CN"/>
              </w:rPr>
              <w:t>2022</w:t>
            </w:r>
            <w:r w:rsidRPr="008B1FF1">
              <w:rPr>
                <w:rFonts w:eastAsia="SimSun" w:cs="Calibri"/>
                <w:color w:val="000000"/>
                <w:sz w:val="20"/>
                <w:lang w:val="zh-CN" w:eastAsia="zh-CN"/>
              </w:rPr>
              <w:t>年</w:t>
            </w:r>
            <w:r w:rsidRPr="008B1FF1">
              <w:rPr>
                <w:rFonts w:eastAsia="SimSun" w:cs="Calibri"/>
                <w:color w:val="000000"/>
                <w:sz w:val="20"/>
                <w:lang w:val="zh-CN" w:eastAsia="zh-CN"/>
              </w:rPr>
              <w:t>6</w:t>
            </w:r>
            <w:r w:rsidRPr="008B1FF1">
              <w:rPr>
                <w:rFonts w:eastAsia="SimSun" w:cs="Calibri"/>
                <w:color w:val="000000"/>
                <w:sz w:val="20"/>
                <w:lang w:val="zh-CN" w:eastAsia="zh-CN"/>
              </w:rPr>
              <w:t>月的最新进展：新的</w:t>
            </w:r>
            <w:r w:rsidRPr="008B1FF1">
              <w:rPr>
                <w:rFonts w:eastAsia="SimSun" w:cs="Calibri" w:hint="eastAsia"/>
                <w:color w:val="000000"/>
                <w:sz w:val="20"/>
                <w:lang w:val="zh-CN" w:eastAsia="zh-CN"/>
              </w:rPr>
              <w:t>《</w:t>
            </w:r>
            <w:r w:rsidRPr="008B1FF1">
              <w:rPr>
                <w:rFonts w:eastAsia="SimSun" w:cs="Calibri"/>
                <w:color w:val="000000"/>
                <w:sz w:val="20"/>
                <w:lang w:val="zh-CN" w:eastAsia="zh-CN"/>
              </w:rPr>
              <w:t>采购手册</w:t>
            </w:r>
            <w:r w:rsidRPr="008B1FF1">
              <w:rPr>
                <w:rFonts w:eastAsia="SimSun" w:cs="Calibri" w:hint="eastAsia"/>
                <w:color w:val="000000"/>
                <w:sz w:val="20"/>
                <w:lang w:val="zh-CN" w:eastAsia="zh-CN"/>
              </w:rPr>
              <w:t>》</w:t>
            </w:r>
            <w:r w:rsidRPr="008B1FF1">
              <w:rPr>
                <w:rFonts w:eastAsia="SimSun" w:cs="Calibri"/>
                <w:color w:val="000000"/>
                <w:sz w:val="20"/>
                <w:lang w:val="zh-CN" w:eastAsia="zh-CN"/>
              </w:rPr>
              <w:t>现已发布，并被国际电联</w:t>
            </w:r>
            <w:r w:rsidRPr="008B1FF1">
              <w:rPr>
                <w:rFonts w:eastAsia="SimSun" w:cs="Calibri" w:hint="eastAsia"/>
                <w:color w:val="000000"/>
                <w:sz w:val="20"/>
                <w:lang w:val="zh-CN" w:eastAsia="zh-CN"/>
              </w:rPr>
              <w:t>各部门</w:t>
            </w:r>
            <w:r w:rsidRPr="008B1FF1">
              <w:rPr>
                <w:rFonts w:eastAsia="SimSun" w:cs="Calibri"/>
                <w:color w:val="000000"/>
                <w:sz w:val="20"/>
                <w:lang w:val="zh-CN" w:eastAsia="zh-CN"/>
              </w:rPr>
              <w:t>用作参考。</w:t>
            </w:r>
          </w:p>
          <w:p w14:paraId="1B9BA1A7" w14:textId="5D36B2CF"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月的最新进展：通过</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18/2021</w:t>
            </w:r>
            <w:r w:rsidRPr="008B1FF1">
              <w:rPr>
                <w:rFonts w:eastAsia="SimSun" w:cs="Calibri"/>
                <w:color w:val="000000"/>
                <w:sz w:val="20"/>
                <w:lang w:val="zh-CN" w:eastAsia="zh-CN"/>
              </w:rPr>
              <w:t>号建议（财务报表</w:t>
            </w:r>
            <w:r w:rsidRPr="008B1FF1">
              <w:rPr>
                <w:rFonts w:eastAsia="SimSun" w:cs="Calibri" w:hint="eastAsia"/>
                <w:color w:val="000000"/>
                <w:sz w:val="20"/>
                <w:lang w:val="zh-CN" w:eastAsia="zh-CN"/>
              </w:rPr>
              <w:t>）跟进合规信息概览中的第</w:t>
            </w:r>
            <w:r w:rsidRPr="008B1FF1">
              <w:rPr>
                <w:rFonts w:eastAsia="SimSun" w:cs="Calibri" w:hint="eastAsia"/>
                <w:color w:val="000000"/>
                <w:sz w:val="20"/>
                <w:lang w:val="zh-CN" w:eastAsia="zh-CN"/>
              </w:rPr>
              <w:t>16</w:t>
            </w:r>
            <w:r w:rsidRPr="008B1FF1">
              <w:rPr>
                <w:rFonts w:eastAsia="SimSun" w:cs="Calibri" w:hint="eastAsia"/>
                <w:color w:val="000000"/>
                <w:sz w:val="20"/>
                <w:lang w:val="zh-CN" w:eastAsia="zh-CN"/>
              </w:rPr>
              <w:t>号建议，</w:t>
            </w:r>
            <w:r w:rsidRPr="008B1FF1">
              <w:rPr>
                <w:rFonts w:ascii="SimSun" w:eastAsia="SimSun" w:hAnsi="SimSun" w:cs="Calibri" w:hint="eastAsia"/>
                <w:color w:val="000000"/>
                <w:sz w:val="20"/>
                <w:lang w:val="zh-CN" w:eastAsia="zh-CN"/>
              </w:rPr>
              <w:t>“</w:t>
            </w:r>
            <w:r w:rsidRPr="008B1FF1">
              <w:rPr>
                <w:rFonts w:eastAsia="SimSun" w:cs="Calibri"/>
                <w:color w:val="000000"/>
                <w:sz w:val="20"/>
                <w:lang w:val="zh-CN" w:eastAsia="zh-CN"/>
              </w:rPr>
              <w:t>建议管理层采取紧急行动，</w:t>
            </w:r>
            <w:r w:rsidRPr="008B1FF1">
              <w:rPr>
                <w:rFonts w:eastAsia="SimSun" w:cs="Calibri" w:hint="eastAsia"/>
                <w:color w:val="000000"/>
                <w:sz w:val="20"/>
                <w:lang w:val="zh-CN" w:eastAsia="zh-CN"/>
              </w:rPr>
              <w:t>落实</w:t>
            </w:r>
            <w:r w:rsidRPr="008B1FF1">
              <w:rPr>
                <w:rFonts w:eastAsia="SimSun" w:cs="Calibri"/>
                <w:color w:val="000000"/>
                <w:sz w:val="20"/>
                <w:lang w:val="zh-CN" w:eastAsia="zh-CN"/>
              </w:rPr>
              <w:t>内部审计和外部审计</w:t>
            </w:r>
            <w:r w:rsidRPr="008B1FF1">
              <w:rPr>
                <w:rFonts w:eastAsia="SimSun" w:cs="Calibri" w:hint="eastAsia"/>
                <w:color w:val="000000"/>
                <w:sz w:val="20"/>
                <w:lang w:val="zh-CN" w:eastAsia="zh-CN"/>
              </w:rPr>
              <w:t>有</w:t>
            </w:r>
            <w:r w:rsidRPr="008B1FF1">
              <w:rPr>
                <w:rFonts w:eastAsia="SimSun" w:cs="Calibri"/>
                <w:color w:val="000000"/>
                <w:sz w:val="20"/>
                <w:lang w:val="zh-CN" w:eastAsia="zh-CN"/>
              </w:rPr>
              <w:t>关区域活动的公开建议，特别是关于采购的建议</w:t>
            </w:r>
            <w:r w:rsidRPr="008B1FF1">
              <w:rPr>
                <w:rFonts w:eastAsia="SimSun" w:cs="Calibri" w:hint="eastAsia"/>
                <w:color w:val="000000"/>
                <w:sz w:val="20"/>
                <w:lang w:val="zh-CN" w:eastAsia="zh-CN"/>
              </w:rPr>
              <w:t>”</w:t>
            </w:r>
            <w:r w:rsidRPr="008B1FF1">
              <w:rPr>
                <w:rFonts w:eastAsia="SimSun" w:cs="Calibri"/>
                <w:color w:val="000000"/>
                <w:sz w:val="20"/>
                <w:lang w:val="zh-CN" w:eastAsia="zh-CN"/>
              </w:rPr>
              <w:t>。鉴于</w:t>
            </w:r>
            <w:r w:rsidRPr="008B1FF1">
              <w:rPr>
                <w:rFonts w:eastAsia="SimSun" w:cs="Calibri" w:hint="eastAsia"/>
                <w:color w:val="000000"/>
                <w:sz w:val="20"/>
                <w:lang w:val="zh-CN" w:eastAsia="zh-CN"/>
              </w:rPr>
              <w:t>此</w:t>
            </w:r>
            <w:r w:rsidRPr="008B1FF1">
              <w:rPr>
                <w:rFonts w:eastAsia="SimSun" w:cs="Calibri"/>
                <w:color w:val="000000"/>
                <w:sz w:val="20"/>
                <w:lang w:val="zh-CN" w:eastAsia="zh-CN"/>
              </w:rPr>
              <w:t>建议实际上是建议实施外部审计员提出的其他建议，因此对</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18/20</w:t>
            </w:r>
            <w:r w:rsidRPr="008B1FF1">
              <w:rPr>
                <w:rFonts w:eastAsia="SimSun" w:cs="Calibri" w:hint="eastAsia"/>
                <w:color w:val="000000"/>
                <w:sz w:val="20"/>
                <w:lang w:val="zh-CN" w:eastAsia="zh-CN"/>
              </w:rPr>
              <w:t>18</w:t>
            </w:r>
            <w:r w:rsidRPr="008B1FF1">
              <w:rPr>
                <w:rFonts w:eastAsia="SimSun" w:cs="Calibri"/>
                <w:color w:val="000000"/>
                <w:sz w:val="20"/>
                <w:lang w:val="zh-CN" w:eastAsia="zh-CN"/>
              </w:rPr>
              <w:t>号建议进行了细分，以纳入这些其他建议。</w:t>
            </w:r>
          </w:p>
          <w:p w14:paraId="3C95538B" w14:textId="42E78708"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因此，在合规信息概览</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18/2018-</w:t>
            </w:r>
            <w:r w:rsidRPr="008B1FF1">
              <w:rPr>
                <w:rFonts w:eastAsia="SimSun" w:cs="Calibri" w:hint="eastAsia"/>
                <w:color w:val="000000"/>
                <w:sz w:val="20"/>
                <w:lang w:val="zh-CN" w:eastAsia="zh-CN"/>
              </w:rPr>
              <w:t>6</w:t>
            </w:r>
            <w:r w:rsidRPr="008B1FF1">
              <w:rPr>
                <w:rFonts w:eastAsia="SimSun" w:cs="Calibri" w:hint="eastAsia"/>
                <w:color w:val="000000"/>
                <w:sz w:val="20"/>
                <w:lang w:val="zh-CN" w:eastAsia="zh-CN"/>
              </w:rPr>
              <w:t>号建议</w:t>
            </w:r>
            <w:r w:rsidRPr="008B1FF1">
              <w:rPr>
                <w:rFonts w:eastAsia="SimSun" w:cs="Calibri"/>
                <w:color w:val="000000"/>
                <w:sz w:val="20"/>
                <w:lang w:val="zh-CN" w:eastAsia="zh-CN"/>
              </w:rPr>
              <w:t>（财务报表）</w:t>
            </w:r>
            <w:r w:rsidRPr="008B1FF1">
              <w:rPr>
                <w:rFonts w:eastAsia="SimSun" w:cs="Calibri" w:hint="eastAsia"/>
                <w:color w:val="000000"/>
                <w:sz w:val="20"/>
                <w:lang w:val="zh-CN" w:eastAsia="zh-CN"/>
              </w:rPr>
              <w:t>下对</w:t>
            </w:r>
            <w:r w:rsidRPr="008B1FF1">
              <w:rPr>
                <w:rFonts w:eastAsia="SimSun" w:cs="Calibri"/>
                <w:color w:val="000000"/>
                <w:sz w:val="20"/>
                <w:lang w:val="zh-CN" w:eastAsia="zh-CN"/>
              </w:rPr>
              <w:t>第</w:t>
            </w:r>
            <w:r w:rsidRPr="008B1FF1">
              <w:rPr>
                <w:rFonts w:eastAsia="SimSun" w:cs="Calibri"/>
                <w:color w:val="000000"/>
                <w:sz w:val="20"/>
                <w:lang w:val="zh-CN" w:eastAsia="zh-CN"/>
              </w:rPr>
              <w:t>1</w:t>
            </w:r>
            <w:r w:rsidRPr="008B1FF1">
              <w:rPr>
                <w:rFonts w:eastAsia="SimSun" w:cs="Calibri" w:hint="eastAsia"/>
                <w:color w:val="000000"/>
                <w:sz w:val="20"/>
                <w:lang w:val="zh-CN" w:eastAsia="zh-CN"/>
              </w:rPr>
              <w:t>6</w:t>
            </w:r>
            <w:r w:rsidRPr="008B1FF1">
              <w:rPr>
                <w:rFonts w:eastAsia="SimSun" w:cs="Calibri"/>
                <w:color w:val="000000"/>
                <w:sz w:val="20"/>
                <w:lang w:val="zh-CN" w:eastAsia="zh-CN"/>
              </w:rPr>
              <w:t>/2018</w:t>
            </w:r>
            <w:r w:rsidRPr="008B1FF1">
              <w:rPr>
                <w:rFonts w:eastAsia="SimSun" w:cs="Calibri"/>
                <w:color w:val="000000"/>
                <w:sz w:val="20"/>
                <w:lang w:val="zh-CN" w:eastAsia="zh-CN"/>
              </w:rPr>
              <w:t>号建议（区域代表处特别代表）进行了跟踪，</w:t>
            </w:r>
            <w:r w:rsidRPr="008B1FF1">
              <w:rPr>
                <w:rFonts w:eastAsia="SimSun" w:cs="Calibri" w:hint="eastAsia"/>
                <w:color w:val="000000"/>
                <w:sz w:val="20"/>
                <w:lang w:val="zh-CN" w:eastAsia="zh-CN"/>
              </w:rPr>
              <w:t>且</w:t>
            </w:r>
            <w:r w:rsidRPr="008B1FF1">
              <w:rPr>
                <w:rFonts w:eastAsia="SimSun" w:cs="Calibri"/>
                <w:color w:val="000000"/>
                <w:sz w:val="20"/>
                <w:lang w:val="zh-CN" w:eastAsia="zh-CN"/>
              </w:rPr>
              <w:t>视</w:t>
            </w:r>
            <w:r w:rsidRPr="008B1FF1">
              <w:rPr>
                <w:rFonts w:eastAsia="SimSun" w:cs="Calibri" w:hint="eastAsia"/>
                <w:color w:val="000000"/>
                <w:sz w:val="20"/>
                <w:lang w:val="zh-CN" w:eastAsia="zh-CN"/>
              </w:rPr>
              <w:t>该建议已经落实且问题得到</w:t>
            </w:r>
            <w:r w:rsidRPr="008B1FF1">
              <w:rPr>
                <w:rFonts w:eastAsia="SimSun" w:cs="Calibri"/>
                <w:color w:val="000000"/>
                <w:sz w:val="20"/>
                <w:lang w:val="zh-CN" w:eastAsia="zh-CN"/>
              </w:rPr>
              <w:t>解决。正如向理事会</w:t>
            </w:r>
            <w:r w:rsidRPr="008B1FF1">
              <w:rPr>
                <w:rFonts w:eastAsia="SimSun" w:cs="Calibri"/>
                <w:color w:val="000000"/>
                <w:sz w:val="20"/>
                <w:lang w:val="zh-CN" w:eastAsia="zh-CN"/>
              </w:rPr>
              <w:t>2020</w:t>
            </w:r>
            <w:r w:rsidRPr="008B1FF1">
              <w:rPr>
                <w:rFonts w:eastAsia="SimSun" w:cs="Calibri"/>
                <w:color w:val="000000"/>
                <w:sz w:val="20"/>
                <w:lang w:val="zh-CN" w:eastAsia="zh-CN"/>
              </w:rPr>
              <w:t>年会议（</w:t>
            </w:r>
            <w:hyperlink r:id="rId42" w:history="1">
              <w:r w:rsidR="00DF3E54" w:rsidRPr="008B1FF1">
                <w:rPr>
                  <w:rStyle w:val="Hyperlink"/>
                  <w:sz w:val="20"/>
                  <w:lang w:eastAsia="zh-CN"/>
                </w:rPr>
                <w:t>C20/75</w:t>
              </w:r>
            </w:hyperlink>
            <w:r w:rsidRPr="008B1FF1">
              <w:rPr>
                <w:rFonts w:eastAsia="SimSun" w:cs="Calibri"/>
                <w:color w:val="000000"/>
                <w:sz w:val="20"/>
                <w:lang w:val="zh-CN" w:eastAsia="zh-CN"/>
              </w:rPr>
              <w:t>）</w:t>
            </w:r>
            <w:r w:rsidRPr="008B1FF1">
              <w:rPr>
                <w:rFonts w:eastAsia="SimSun" w:cs="Calibri" w:hint="eastAsia"/>
                <w:color w:val="000000"/>
                <w:sz w:val="20"/>
                <w:lang w:val="zh-CN" w:eastAsia="zh-CN"/>
              </w:rPr>
              <w:t>提交的</w:t>
            </w:r>
            <w:r w:rsidRPr="008B1FF1">
              <w:rPr>
                <w:rFonts w:eastAsia="SimSun" w:cs="Calibri"/>
                <w:color w:val="000000"/>
                <w:sz w:val="20"/>
                <w:lang w:val="zh-CN" w:eastAsia="zh-CN"/>
              </w:rPr>
              <w:t>报告</w:t>
            </w:r>
            <w:r w:rsidRPr="008B1FF1">
              <w:rPr>
                <w:rFonts w:eastAsia="SimSun" w:cs="Calibri" w:hint="eastAsia"/>
                <w:color w:val="000000"/>
                <w:sz w:val="20"/>
                <w:lang w:val="zh-CN" w:eastAsia="zh-CN"/>
              </w:rPr>
              <w:t>所述</w:t>
            </w:r>
            <w:r w:rsidRPr="008B1FF1">
              <w:rPr>
                <w:rFonts w:eastAsia="SimSun" w:cs="Calibri"/>
                <w:color w:val="000000"/>
                <w:sz w:val="20"/>
                <w:lang w:val="zh-CN" w:eastAsia="zh-CN"/>
              </w:rPr>
              <w:t>，普华永道认为</w:t>
            </w:r>
            <w:r w:rsidRPr="008B1FF1">
              <w:rPr>
                <w:rFonts w:eastAsia="SimSun" w:cs="Calibri" w:hint="eastAsia"/>
                <w:color w:val="000000"/>
                <w:sz w:val="20"/>
                <w:lang w:val="zh-CN" w:eastAsia="zh-CN"/>
              </w:rPr>
              <w:t>已通过</w:t>
            </w:r>
            <w:r w:rsidRPr="008B1FF1">
              <w:rPr>
                <w:rFonts w:eastAsia="SimSun" w:cs="Calibri"/>
                <w:color w:val="000000"/>
                <w:sz w:val="20"/>
                <w:lang w:val="zh-CN" w:eastAsia="zh-CN"/>
              </w:rPr>
              <w:t>2022</w:t>
            </w:r>
            <w:r w:rsidRPr="008B1FF1">
              <w:rPr>
                <w:rFonts w:eastAsia="SimSun" w:cs="Calibri"/>
                <w:color w:val="000000"/>
                <w:sz w:val="20"/>
                <w:lang w:val="zh-CN" w:eastAsia="zh-CN"/>
              </w:rPr>
              <w:t>年第</w:t>
            </w:r>
            <w:r w:rsidRPr="008B1FF1">
              <w:rPr>
                <w:rFonts w:eastAsia="SimSun" w:cs="Calibri"/>
                <w:color w:val="000000"/>
                <w:sz w:val="20"/>
                <w:lang w:val="zh-CN" w:eastAsia="zh-CN"/>
              </w:rPr>
              <w:t>22/13</w:t>
            </w:r>
            <w:r w:rsidRPr="008B1FF1">
              <w:rPr>
                <w:rFonts w:eastAsia="SimSun" w:cs="Calibri"/>
                <w:color w:val="000000"/>
                <w:sz w:val="20"/>
                <w:lang w:val="zh-CN" w:eastAsia="zh-CN"/>
              </w:rPr>
              <w:t>号行政规定发布</w:t>
            </w:r>
            <w:r w:rsidRPr="008B1FF1">
              <w:rPr>
                <w:rFonts w:eastAsia="SimSun" w:cs="Calibri" w:hint="eastAsia"/>
                <w:color w:val="000000"/>
                <w:sz w:val="20"/>
                <w:lang w:val="zh-CN" w:eastAsia="zh-CN"/>
              </w:rPr>
              <w:t>的</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新</w:t>
            </w:r>
            <w:r w:rsidRPr="008B1FF1">
              <w:rPr>
                <w:rFonts w:eastAsia="SimSun" w:cs="Calibri" w:hint="eastAsia"/>
                <w:color w:val="000000"/>
                <w:sz w:val="20"/>
                <w:lang w:val="zh-CN" w:eastAsia="zh-CN"/>
              </w:rPr>
              <w:t>《</w:t>
            </w:r>
            <w:r w:rsidRPr="008B1FF1">
              <w:rPr>
                <w:rFonts w:eastAsia="SimSun" w:cs="Calibri"/>
                <w:color w:val="000000"/>
                <w:sz w:val="20"/>
                <w:lang w:val="zh-CN" w:eastAsia="zh-CN"/>
              </w:rPr>
              <w:t>采购手册</w:t>
            </w:r>
            <w:r w:rsidRPr="008B1FF1">
              <w:rPr>
                <w:rFonts w:eastAsia="SimSun" w:cs="Calibri" w:hint="eastAsia"/>
                <w:color w:val="000000"/>
                <w:sz w:val="20"/>
                <w:lang w:val="zh-CN" w:eastAsia="zh-CN"/>
              </w:rPr>
              <w:t>》</w:t>
            </w:r>
            <w:r w:rsidRPr="008B1FF1">
              <w:rPr>
                <w:rFonts w:ascii="SimSun" w:eastAsia="SimSun" w:hAnsi="SimSun" w:cs="Calibri" w:hint="eastAsia"/>
                <w:color w:val="000000"/>
                <w:sz w:val="20"/>
                <w:lang w:val="zh-CN" w:eastAsia="zh-CN"/>
              </w:rPr>
              <w:t>落实了此项建议</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w:t>
            </w:r>
          </w:p>
          <w:p w14:paraId="32D8ED84" w14:textId="47B2C719"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29A5F42C" w14:textId="1661C420"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lastRenderedPageBreak/>
              <w:t>意大利审计院在最后报告中</w:t>
            </w:r>
            <w:r w:rsidRPr="008B1FF1">
              <w:rPr>
                <w:rFonts w:eastAsia="SimSun" w:cs="Calibri" w:hint="eastAsia"/>
                <w:color w:val="000000"/>
                <w:sz w:val="20"/>
                <w:lang w:val="zh-CN" w:eastAsia="zh-CN"/>
              </w:rPr>
              <w:t>认为此项工作已</w:t>
            </w:r>
            <w:r w:rsidRPr="008B1FF1">
              <w:rPr>
                <w:rFonts w:eastAsia="SimSun" w:cs="Calibri"/>
                <w:color w:val="000000"/>
                <w:sz w:val="20"/>
                <w:lang w:val="zh-CN" w:eastAsia="zh-CN"/>
              </w:rPr>
              <w:t>结束（附件</w:t>
            </w:r>
            <w:r w:rsidRPr="008B1FF1">
              <w:rPr>
                <w:rFonts w:eastAsia="SimSun" w:cs="Calibri" w:hint="eastAsia"/>
                <w:color w:val="000000"/>
                <w:sz w:val="20"/>
                <w:lang w:val="zh-CN" w:eastAsia="zh-CN"/>
              </w:rPr>
              <w:t>3</w:t>
            </w:r>
            <w:r w:rsidRPr="008B1FF1">
              <w:rPr>
                <w:rFonts w:eastAsia="SimSun" w:cs="Calibri"/>
                <w:color w:val="000000"/>
                <w:sz w:val="20"/>
                <w:lang w:val="zh-CN" w:eastAsia="zh-CN"/>
              </w:rPr>
              <w:t>：</w:t>
            </w:r>
            <w:hyperlink r:id="rId43" w:history="1">
              <w:r w:rsidR="00DF3E54" w:rsidRPr="008B1FF1">
                <w:rPr>
                  <w:rStyle w:val="Hyperlink"/>
                  <w:sz w:val="20"/>
                  <w:lang w:eastAsia="zh-CN"/>
                </w:rPr>
                <w:t>C22/101</w:t>
              </w:r>
            </w:hyperlink>
            <w:r w:rsidRPr="008B1FF1">
              <w:rPr>
                <w:rFonts w:eastAsia="SimSun" w:cs="Calibri"/>
                <w:color w:val="000000"/>
                <w:sz w:val="20"/>
                <w:lang w:val="zh-CN" w:eastAsia="zh-CN"/>
              </w:rPr>
              <w:t>）。</w:t>
            </w:r>
          </w:p>
          <w:p w14:paraId="329EA1C9" w14:textId="5E950FC1" w:rsidR="000245E2" w:rsidRPr="008B1FF1" w:rsidRDefault="000245E2" w:rsidP="000245E2">
            <w:pPr>
              <w:pStyle w:val="Tabletext"/>
              <w:rPr>
                <w:sz w:val="20"/>
                <w:lang w:eastAsia="zh-CN"/>
              </w:rPr>
            </w:pPr>
            <w:r w:rsidRPr="008B1FF1">
              <w:rPr>
                <w:rFonts w:eastAsia="SimSun" w:cs="Calibri"/>
                <w:color w:val="000000"/>
                <w:sz w:val="20"/>
                <w:lang w:val="zh-CN" w:eastAsia="zh-CN"/>
              </w:rPr>
              <w:t>我们</w:t>
            </w:r>
            <w:r w:rsidRPr="008B1FF1">
              <w:rPr>
                <w:rFonts w:eastAsia="SimSun" w:cs="Calibri" w:hint="eastAsia"/>
                <w:color w:val="000000"/>
                <w:sz w:val="20"/>
                <w:lang w:val="zh-CN" w:eastAsia="zh-CN"/>
              </w:rPr>
              <w:t>对不再跟进此建议表示</w:t>
            </w:r>
            <w:r w:rsidRPr="008B1FF1">
              <w:rPr>
                <w:rFonts w:eastAsia="SimSun" w:cs="Calibri"/>
                <w:color w:val="000000"/>
                <w:sz w:val="20"/>
                <w:lang w:val="zh-CN" w:eastAsia="zh-CN"/>
              </w:rPr>
              <w:t>满意，并注意到管理层的最新信息。</w:t>
            </w:r>
          </w:p>
        </w:tc>
        <w:tc>
          <w:tcPr>
            <w:tcW w:w="450" w:type="pct"/>
            <w:shd w:val="clear" w:color="auto" w:fill="auto"/>
          </w:tcPr>
          <w:p w14:paraId="0AB158CA" w14:textId="01C479D0" w:rsidR="000245E2" w:rsidRPr="000231A6" w:rsidRDefault="00A62A5A" w:rsidP="000245E2">
            <w:pPr>
              <w:pStyle w:val="Tabletext"/>
              <w:rPr>
                <w:sz w:val="20"/>
              </w:rPr>
            </w:pPr>
            <w:r>
              <w:rPr>
                <w:rFonts w:ascii="SimSun" w:eastAsia="SimSun" w:hAnsi="SimSun" w:cs="SimSun" w:hint="eastAsia"/>
                <w:color w:val="000000"/>
                <w:sz w:val="20"/>
                <w:lang w:eastAsia="zh-CN"/>
              </w:rPr>
              <w:t>已关闭。</w:t>
            </w:r>
          </w:p>
        </w:tc>
      </w:tr>
      <w:tr w:rsidR="000245E2" w:rsidRPr="00536D01" w14:paraId="145B3E6E" w14:textId="77777777" w:rsidTr="0011737E">
        <w:tc>
          <w:tcPr>
            <w:tcW w:w="300" w:type="pct"/>
            <w:shd w:val="clear" w:color="auto" w:fill="auto"/>
          </w:tcPr>
          <w:p w14:paraId="57990508" w14:textId="26CEE013" w:rsidR="000245E2" w:rsidRPr="008B1FF1" w:rsidRDefault="000245E2" w:rsidP="00E17413">
            <w:pPr>
              <w:pStyle w:val="Tabletext"/>
              <w:rPr>
                <w:sz w:val="20"/>
              </w:rPr>
            </w:pPr>
            <w:r w:rsidRPr="008B1FF1">
              <w:rPr>
                <w:rFonts w:eastAsia="SimSun" w:cs="Calibri"/>
                <w:color w:val="000000"/>
                <w:sz w:val="20"/>
                <w:lang w:val="zh-CN"/>
              </w:rPr>
              <w:t>R#17</w:t>
            </w:r>
          </w:p>
        </w:tc>
        <w:tc>
          <w:tcPr>
            <w:tcW w:w="1450" w:type="pct"/>
            <w:shd w:val="clear" w:color="auto" w:fill="auto"/>
          </w:tcPr>
          <w:p w14:paraId="2462DA3A" w14:textId="13318D16" w:rsidR="000245E2" w:rsidRPr="008B1FF1" w:rsidRDefault="000245E2" w:rsidP="00E17413">
            <w:pPr>
              <w:pStyle w:val="Tabletext"/>
              <w:rPr>
                <w:sz w:val="20"/>
                <w:lang w:eastAsia="zh-CN"/>
              </w:rPr>
            </w:pPr>
            <w:r w:rsidRPr="008B1FF1">
              <w:rPr>
                <w:rFonts w:eastAsia="SimSun" w:cs="Calibri"/>
                <w:color w:val="000000"/>
                <w:sz w:val="20"/>
                <w:lang w:val="zh-CN" w:eastAsia="zh-CN"/>
              </w:rPr>
              <w:t>评</w:t>
            </w:r>
            <w:r w:rsidRPr="008B1FF1">
              <w:rPr>
                <w:rFonts w:eastAsia="SimSun" w:cs="Calibri" w:hint="eastAsia"/>
                <w:color w:val="000000"/>
                <w:sz w:val="20"/>
                <w:lang w:val="zh-CN" w:eastAsia="zh-CN"/>
              </w:rPr>
              <w:t>估</w:t>
            </w:r>
            <w:r w:rsidRPr="008B1FF1">
              <w:rPr>
                <w:rFonts w:eastAsia="SimSun" w:cs="Calibri"/>
                <w:color w:val="000000"/>
                <w:sz w:val="20"/>
                <w:lang w:val="zh-CN" w:eastAsia="zh-CN"/>
              </w:rPr>
              <w:t>组应由采购处根据项目管理</w:t>
            </w:r>
            <w:r w:rsidRPr="008B1FF1">
              <w:rPr>
                <w:rFonts w:eastAsia="SimSun" w:cs="Calibri" w:hint="eastAsia"/>
                <w:color w:val="000000"/>
                <w:sz w:val="20"/>
                <w:lang w:val="zh-CN" w:eastAsia="zh-CN"/>
              </w:rPr>
              <w:t>导则</w:t>
            </w:r>
            <w:r w:rsidRPr="008B1FF1">
              <w:rPr>
                <w:rFonts w:eastAsia="SimSun" w:cs="Calibri"/>
                <w:color w:val="000000"/>
                <w:sz w:val="20"/>
                <w:lang w:val="zh-CN" w:eastAsia="zh-CN"/>
              </w:rPr>
              <w:t>第</w:t>
            </w:r>
            <w:r w:rsidRPr="008B1FF1">
              <w:rPr>
                <w:rFonts w:eastAsia="SimSun" w:cs="Calibri"/>
                <w:color w:val="000000"/>
                <w:sz w:val="20"/>
                <w:lang w:val="zh-CN" w:eastAsia="zh-CN"/>
              </w:rPr>
              <w:t>4</w:t>
            </w:r>
            <w:r w:rsidRPr="008B1FF1">
              <w:rPr>
                <w:rFonts w:eastAsia="SimSun" w:cs="Calibri" w:hint="eastAsia"/>
                <w:color w:val="000000"/>
                <w:sz w:val="20"/>
                <w:lang w:val="zh-CN" w:eastAsia="zh-CN"/>
              </w:rPr>
              <w:t>.</w:t>
            </w:r>
            <w:r w:rsidRPr="008B1FF1">
              <w:rPr>
                <w:rFonts w:eastAsia="SimSun" w:cs="Calibri"/>
                <w:color w:val="000000"/>
                <w:sz w:val="20"/>
                <w:lang w:val="zh-CN" w:eastAsia="zh-CN"/>
              </w:rPr>
              <w:t>2</w:t>
            </w:r>
            <w:r w:rsidRPr="008B1FF1">
              <w:rPr>
                <w:rFonts w:eastAsia="SimSun" w:cs="Calibri" w:hint="eastAsia"/>
                <w:color w:val="000000"/>
                <w:sz w:val="20"/>
                <w:lang w:val="zh-CN" w:eastAsia="zh-CN"/>
              </w:rPr>
              <w:t>.</w:t>
            </w:r>
            <w:r w:rsidRPr="008B1FF1">
              <w:rPr>
                <w:rFonts w:eastAsia="SimSun" w:cs="Calibri"/>
                <w:color w:val="000000"/>
                <w:sz w:val="20"/>
                <w:lang w:val="zh-CN" w:eastAsia="zh-CN"/>
              </w:rPr>
              <w:t>2</w:t>
            </w:r>
            <w:r w:rsidRPr="008B1FF1">
              <w:rPr>
                <w:rFonts w:eastAsia="SimSun" w:cs="Calibri"/>
                <w:color w:val="000000"/>
                <w:sz w:val="20"/>
                <w:lang w:val="zh-CN" w:eastAsia="zh-CN"/>
              </w:rPr>
              <w:t>章</w:t>
            </w:r>
            <w:r w:rsidRPr="008B1FF1">
              <w:rPr>
                <w:rFonts w:eastAsia="SimSun" w:cs="Calibri"/>
                <w:color w:val="000000"/>
                <w:sz w:val="20"/>
                <w:lang w:val="zh-CN" w:eastAsia="zh-CN"/>
              </w:rPr>
              <w:t>c)</w:t>
            </w:r>
            <w:r w:rsidRPr="008B1FF1">
              <w:rPr>
                <w:rFonts w:eastAsia="SimSun" w:cs="Calibri"/>
                <w:color w:val="000000"/>
                <w:sz w:val="20"/>
                <w:lang w:val="zh-CN" w:eastAsia="zh-CN"/>
              </w:rPr>
              <w:t>成立</w:t>
            </w:r>
            <w:r w:rsidRPr="008B1FF1">
              <w:rPr>
                <w:rFonts w:eastAsia="SimSun" w:cs="Calibri" w:hint="eastAsia"/>
                <w:color w:val="000000"/>
                <w:sz w:val="20"/>
                <w:lang w:val="zh-CN" w:eastAsia="zh-CN"/>
              </w:rPr>
              <w:t>，此节</w:t>
            </w:r>
            <w:r w:rsidRPr="008B1FF1">
              <w:rPr>
                <w:rFonts w:eastAsia="SimSun" w:cs="Calibri"/>
                <w:color w:val="000000"/>
                <w:sz w:val="20"/>
                <w:lang w:val="zh-CN" w:eastAsia="zh-CN"/>
              </w:rPr>
              <w:t>指出整个货物和服务</w:t>
            </w:r>
            <w:r w:rsidRPr="008B1FF1">
              <w:rPr>
                <w:rFonts w:eastAsia="SimSun" w:cs="Calibri" w:hint="eastAsia"/>
                <w:color w:val="000000"/>
                <w:sz w:val="20"/>
                <w:lang w:val="zh-CN" w:eastAsia="zh-CN"/>
              </w:rPr>
              <w:t>的</w:t>
            </w:r>
            <w:r w:rsidRPr="008B1FF1">
              <w:rPr>
                <w:rFonts w:eastAsia="SimSun" w:cs="Calibri"/>
                <w:color w:val="000000"/>
                <w:sz w:val="20"/>
                <w:lang w:val="zh-CN" w:eastAsia="zh-CN"/>
              </w:rPr>
              <w:t>采购过程</w:t>
            </w:r>
            <w:r w:rsidRPr="008B1FF1">
              <w:rPr>
                <w:rFonts w:eastAsia="SimSun" w:cs="Calibri" w:hint="eastAsia"/>
                <w:color w:val="000000"/>
                <w:sz w:val="20"/>
                <w:lang w:val="zh-CN" w:eastAsia="zh-CN"/>
              </w:rPr>
              <w:t>由</w:t>
            </w:r>
            <w:r w:rsidRPr="008B1FF1">
              <w:rPr>
                <w:rFonts w:eastAsia="SimSun" w:cs="Calibri"/>
                <w:color w:val="000000"/>
                <w:sz w:val="20"/>
                <w:lang w:val="zh-CN" w:eastAsia="zh-CN"/>
              </w:rPr>
              <w:t>采购处</w:t>
            </w:r>
            <w:r w:rsidRPr="008B1FF1">
              <w:rPr>
                <w:rFonts w:eastAsia="SimSun" w:cs="Calibri" w:hint="eastAsia"/>
                <w:color w:val="000000"/>
                <w:sz w:val="20"/>
                <w:lang w:val="zh-CN" w:eastAsia="zh-CN"/>
              </w:rPr>
              <w:t>负责</w:t>
            </w:r>
            <w:r w:rsidRPr="008B1FF1">
              <w:rPr>
                <w:rFonts w:eastAsia="SimSun" w:cs="Calibri"/>
                <w:color w:val="000000"/>
                <w:sz w:val="20"/>
                <w:lang w:val="zh-CN" w:eastAsia="zh-CN"/>
              </w:rPr>
              <w:t>。</w:t>
            </w:r>
          </w:p>
        </w:tc>
        <w:tc>
          <w:tcPr>
            <w:tcW w:w="1750" w:type="pct"/>
            <w:shd w:val="clear" w:color="auto" w:fill="auto"/>
          </w:tcPr>
          <w:p w14:paraId="28C670E8" w14:textId="77777777" w:rsidR="000245E2" w:rsidRPr="008B1FF1" w:rsidRDefault="000245E2" w:rsidP="00E17413">
            <w:pPr>
              <w:pStyle w:val="Tabletext"/>
              <w:rPr>
                <w:rFonts w:eastAsia="SimSun" w:cs="Calibri"/>
                <w:sz w:val="20"/>
                <w:lang w:eastAsia="zh-CN"/>
              </w:rPr>
            </w:pPr>
            <w:r w:rsidRPr="008B1FF1">
              <w:rPr>
                <w:rFonts w:eastAsia="SimSun" w:cs="Calibri" w:hint="eastAsia"/>
                <w:color w:val="000000"/>
                <w:sz w:val="20"/>
                <w:lang w:val="zh-CN" w:eastAsia="zh-CN"/>
              </w:rPr>
              <w:t>针</w:t>
            </w:r>
            <w:r w:rsidRPr="008B1FF1">
              <w:rPr>
                <w:rFonts w:eastAsia="SimSun" w:cs="Calibri"/>
                <w:color w:val="000000"/>
                <w:sz w:val="20"/>
                <w:lang w:val="zh-CN" w:eastAsia="zh-CN"/>
              </w:rPr>
              <w:t>对这项建议的回应包含在以下对</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18</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建议的回应中。</w:t>
            </w:r>
          </w:p>
          <w:p w14:paraId="5FE640EE" w14:textId="28146B91" w:rsidR="000245E2" w:rsidRPr="008B1FF1" w:rsidRDefault="000245E2" w:rsidP="00E17413">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eastAsia="zh-CN"/>
              </w:rPr>
              <w:t>2025</w:t>
            </w:r>
            <w:r w:rsidRPr="008B1FF1">
              <w:rPr>
                <w:rFonts w:eastAsia="SimSun" w:cs="Calibri"/>
                <w:color w:val="000000"/>
                <w:sz w:val="20"/>
                <w:lang w:val="zh-CN" w:eastAsia="zh-CN"/>
              </w:rPr>
              <w:t>年</w:t>
            </w:r>
            <w:r w:rsidRPr="008B1FF1">
              <w:rPr>
                <w:rFonts w:eastAsia="SimSun" w:cs="Calibri"/>
                <w:color w:val="000000"/>
                <w:sz w:val="20"/>
                <w:lang w:eastAsia="zh-CN"/>
              </w:rPr>
              <w:t>5</w:t>
            </w:r>
            <w:r w:rsidRPr="008B1FF1">
              <w:rPr>
                <w:rFonts w:eastAsia="SimSun" w:cs="Calibri"/>
                <w:color w:val="000000"/>
                <w:sz w:val="20"/>
                <w:lang w:val="zh-CN" w:eastAsia="zh-CN"/>
              </w:rPr>
              <w:t>月的最新进展</w:t>
            </w:r>
            <w:r w:rsidRPr="008B1FF1">
              <w:rPr>
                <w:rFonts w:eastAsia="SimSun" w:cs="Calibri"/>
                <w:color w:val="000000"/>
                <w:sz w:val="20"/>
                <w:lang w:eastAsia="zh-CN"/>
              </w:rPr>
              <w:t>：</w:t>
            </w:r>
            <w:r w:rsidRPr="008B1FF1">
              <w:rPr>
                <w:rFonts w:eastAsia="SimSun" w:cs="Calibri"/>
                <w:color w:val="000000"/>
                <w:sz w:val="20"/>
                <w:lang w:val="zh-CN" w:eastAsia="zh-CN"/>
              </w:rPr>
              <w:t>在合规信息概览</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18/2018-</w:t>
            </w:r>
            <w:r w:rsidRPr="008B1FF1">
              <w:rPr>
                <w:rFonts w:eastAsia="SimSun" w:cs="Calibri" w:hint="eastAsia"/>
                <w:color w:val="000000"/>
                <w:sz w:val="20"/>
                <w:lang w:val="zh-CN" w:eastAsia="zh-CN"/>
              </w:rPr>
              <w:t>7</w:t>
            </w:r>
            <w:r w:rsidRPr="008B1FF1">
              <w:rPr>
                <w:rFonts w:eastAsia="SimSun" w:cs="Calibri" w:hint="eastAsia"/>
                <w:color w:val="000000"/>
                <w:sz w:val="20"/>
                <w:lang w:val="zh-CN" w:eastAsia="zh-CN"/>
              </w:rPr>
              <w:t>号建议</w:t>
            </w:r>
            <w:r w:rsidRPr="008B1FF1">
              <w:rPr>
                <w:rFonts w:eastAsia="SimSun" w:cs="Calibri"/>
                <w:color w:val="000000"/>
                <w:sz w:val="20"/>
                <w:lang w:val="zh-CN" w:eastAsia="zh-CN"/>
              </w:rPr>
              <w:t>（财务报表）</w:t>
            </w:r>
            <w:r w:rsidRPr="008B1FF1">
              <w:rPr>
                <w:rFonts w:eastAsia="SimSun" w:cs="Calibri" w:hint="eastAsia"/>
                <w:color w:val="000000"/>
                <w:sz w:val="20"/>
                <w:lang w:val="zh-CN" w:eastAsia="zh-CN"/>
              </w:rPr>
              <w:t>下对</w:t>
            </w:r>
            <w:r w:rsidRPr="008B1FF1">
              <w:rPr>
                <w:rFonts w:eastAsia="SimSun" w:cs="Calibri"/>
                <w:color w:val="000000"/>
                <w:sz w:val="20"/>
                <w:lang w:val="zh-CN" w:eastAsia="zh-CN"/>
              </w:rPr>
              <w:t>第</w:t>
            </w:r>
            <w:r w:rsidRPr="008B1FF1">
              <w:rPr>
                <w:rFonts w:eastAsia="SimSun" w:cs="Calibri"/>
                <w:color w:val="000000"/>
                <w:sz w:val="20"/>
                <w:lang w:val="zh-CN" w:eastAsia="zh-CN"/>
              </w:rPr>
              <w:t>1</w:t>
            </w:r>
            <w:r w:rsidRPr="008B1FF1">
              <w:rPr>
                <w:rFonts w:eastAsia="SimSun" w:cs="Calibri" w:hint="eastAsia"/>
                <w:color w:val="000000"/>
                <w:sz w:val="20"/>
                <w:lang w:val="zh-CN" w:eastAsia="zh-CN"/>
              </w:rPr>
              <w:t>7</w:t>
            </w:r>
            <w:r w:rsidRPr="008B1FF1">
              <w:rPr>
                <w:rFonts w:eastAsia="SimSun" w:cs="Calibri"/>
                <w:color w:val="000000"/>
                <w:sz w:val="20"/>
                <w:lang w:val="zh-CN" w:eastAsia="zh-CN"/>
              </w:rPr>
              <w:t>/2018</w:t>
            </w:r>
            <w:r w:rsidRPr="008B1FF1">
              <w:rPr>
                <w:rFonts w:eastAsia="SimSun" w:cs="Calibri"/>
                <w:color w:val="000000"/>
                <w:sz w:val="20"/>
                <w:lang w:val="zh-CN" w:eastAsia="zh-CN"/>
              </w:rPr>
              <w:t>号建议（区域代表处特别代表）进行了跟踪，</w:t>
            </w:r>
            <w:r w:rsidRPr="008B1FF1">
              <w:rPr>
                <w:rFonts w:eastAsia="SimSun" w:cs="Calibri" w:hint="eastAsia"/>
                <w:color w:val="000000"/>
                <w:sz w:val="20"/>
                <w:lang w:val="zh-CN" w:eastAsia="zh-CN"/>
              </w:rPr>
              <w:t>且</w:t>
            </w:r>
            <w:r w:rsidRPr="008B1FF1">
              <w:rPr>
                <w:rFonts w:eastAsia="SimSun" w:cs="Calibri"/>
                <w:color w:val="000000"/>
                <w:sz w:val="20"/>
                <w:lang w:val="zh-CN" w:eastAsia="zh-CN"/>
              </w:rPr>
              <w:t>视</w:t>
            </w:r>
            <w:r w:rsidRPr="008B1FF1">
              <w:rPr>
                <w:rFonts w:eastAsia="SimSun" w:cs="Calibri" w:hint="eastAsia"/>
                <w:color w:val="000000"/>
                <w:sz w:val="20"/>
                <w:lang w:val="zh-CN" w:eastAsia="zh-CN"/>
              </w:rPr>
              <w:t>该建议已经落实且问题得到“</w:t>
            </w:r>
            <w:r w:rsidRPr="008B1FF1">
              <w:rPr>
                <w:rFonts w:eastAsia="SimSun" w:cs="Calibri"/>
                <w:color w:val="000000"/>
                <w:sz w:val="20"/>
                <w:lang w:val="zh-CN" w:eastAsia="zh-CN"/>
              </w:rPr>
              <w:t>解决</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。正如向理事会</w:t>
            </w:r>
            <w:r w:rsidRPr="008B1FF1">
              <w:rPr>
                <w:rFonts w:eastAsia="SimSun" w:cs="Calibri"/>
                <w:color w:val="000000"/>
                <w:sz w:val="20"/>
                <w:lang w:val="zh-CN" w:eastAsia="zh-CN"/>
              </w:rPr>
              <w:t>2020</w:t>
            </w:r>
            <w:r w:rsidRPr="008B1FF1">
              <w:rPr>
                <w:rFonts w:eastAsia="SimSun" w:cs="Calibri"/>
                <w:color w:val="000000"/>
                <w:sz w:val="20"/>
                <w:lang w:val="zh-CN" w:eastAsia="zh-CN"/>
              </w:rPr>
              <w:t>年会议（</w:t>
            </w:r>
            <w:hyperlink r:id="rId44" w:history="1">
              <w:r w:rsidR="00DF3E54" w:rsidRPr="008B1FF1">
                <w:rPr>
                  <w:rStyle w:val="Hyperlink"/>
                  <w:sz w:val="20"/>
                  <w:lang w:eastAsia="zh-CN"/>
                </w:rPr>
                <w:t>C20/75</w:t>
              </w:r>
            </w:hyperlink>
            <w:r w:rsidRPr="008B1FF1">
              <w:rPr>
                <w:rFonts w:eastAsia="SimSun" w:cs="Calibri"/>
                <w:color w:val="000000"/>
                <w:sz w:val="20"/>
                <w:lang w:val="zh-CN" w:eastAsia="zh-CN"/>
              </w:rPr>
              <w:t>）</w:t>
            </w:r>
            <w:r w:rsidRPr="008B1FF1">
              <w:rPr>
                <w:rFonts w:eastAsia="SimSun" w:cs="Calibri" w:hint="eastAsia"/>
                <w:color w:val="000000"/>
                <w:sz w:val="20"/>
                <w:lang w:val="zh-CN" w:eastAsia="zh-CN"/>
              </w:rPr>
              <w:t>提交的</w:t>
            </w:r>
            <w:r w:rsidRPr="008B1FF1">
              <w:rPr>
                <w:rFonts w:eastAsia="SimSun" w:cs="Calibri"/>
                <w:color w:val="000000"/>
                <w:sz w:val="20"/>
                <w:lang w:val="zh-CN" w:eastAsia="zh-CN"/>
              </w:rPr>
              <w:t>报告</w:t>
            </w:r>
            <w:r w:rsidRPr="008B1FF1">
              <w:rPr>
                <w:rFonts w:eastAsia="SimSun" w:cs="Calibri" w:hint="eastAsia"/>
                <w:color w:val="000000"/>
                <w:sz w:val="20"/>
                <w:lang w:val="zh-CN" w:eastAsia="zh-CN"/>
              </w:rPr>
              <w:t>所述</w:t>
            </w:r>
            <w:r w:rsidRPr="008B1FF1">
              <w:rPr>
                <w:rFonts w:eastAsia="SimSun" w:cs="Calibri"/>
                <w:color w:val="000000"/>
                <w:sz w:val="20"/>
                <w:lang w:val="zh-CN" w:eastAsia="zh-CN"/>
              </w:rPr>
              <w:t>，普华永道认为</w:t>
            </w:r>
            <w:r w:rsidRPr="008B1FF1">
              <w:rPr>
                <w:rFonts w:eastAsia="SimSun" w:cs="Calibri" w:hint="eastAsia"/>
                <w:color w:val="000000"/>
                <w:sz w:val="20"/>
                <w:lang w:val="zh-CN" w:eastAsia="zh-CN"/>
              </w:rPr>
              <w:t>已通过</w:t>
            </w:r>
            <w:r w:rsidRPr="008B1FF1">
              <w:rPr>
                <w:rFonts w:eastAsia="SimSun" w:cs="Calibri"/>
                <w:color w:val="000000"/>
                <w:sz w:val="20"/>
                <w:lang w:val="zh-CN" w:eastAsia="zh-CN"/>
              </w:rPr>
              <w:t>2022</w:t>
            </w:r>
            <w:r w:rsidRPr="008B1FF1">
              <w:rPr>
                <w:rFonts w:eastAsia="SimSun" w:cs="Calibri"/>
                <w:color w:val="000000"/>
                <w:sz w:val="20"/>
                <w:lang w:val="zh-CN" w:eastAsia="zh-CN"/>
              </w:rPr>
              <w:t>年第</w:t>
            </w:r>
            <w:r w:rsidRPr="008B1FF1">
              <w:rPr>
                <w:rFonts w:eastAsia="SimSun" w:cs="Calibri"/>
                <w:color w:val="000000"/>
                <w:sz w:val="20"/>
                <w:lang w:val="zh-CN" w:eastAsia="zh-CN"/>
              </w:rPr>
              <w:t>22/13</w:t>
            </w:r>
            <w:r w:rsidRPr="008B1FF1">
              <w:rPr>
                <w:rFonts w:eastAsia="SimSun" w:cs="Calibri"/>
                <w:color w:val="000000"/>
                <w:sz w:val="20"/>
                <w:lang w:val="zh-CN" w:eastAsia="zh-CN"/>
              </w:rPr>
              <w:t>号行政规定发布</w:t>
            </w:r>
            <w:r w:rsidRPr="008B1FF1">
              <w:rPr>
                <w:rFonts w:eastAsia="SimSun" w:cs="Calibri" w:hint="eastAsia"/>
                <w:color w:val="000000"/>
                <w:sz w:val="20"/>
                <w:lang w:val="zh-CN" w:eastAsia="zh-CN"/>
              </w:rPr>
              <w:t>的</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新</w:t>
            </w:r>
            <w:r w:rsidRPr="008B1FF1">
              <w:rPr>
                <w:rFonts w:eastAsia="SimSun" w:cs="Calibri" w:hint="eastAsia"/>
                <w:color w:val="000000"/>
                <w:sz w:val="20"/>
                <w:lang w:val="zh-CN" w:eastAsia="zh-CN"/>
              </w:rPr>
              <w:t>《</w:t>
            </w:r>
            <w:r w:rsidRPr="008B1FF1">
              <w:rPr>
                <w:rFonts w:eastAsia="SimSun" w:cs="Calibri"/>
                <w:color w:val="000000"/>
                <w:sz w:val="20"/>
                <w:lang w:val="zh-CN" w:eastAsia="zh-CN"/>
              </w:rPr>
              <w:t>采购手册</w:t>
            </w:r>
            <w:r w:rsidRPr="008B1FF1">
              <w:rPr>
                <w:rFonts w:eastAsia="SimSun" w:cs="Calibri" w:hint="eastAsia"/>
                <w:color w:val="000000"/>
                <w:sz w:val="20"/>
                <w:lang w:val="zh-CN" w:eastAsia="zh-CN"/>
              </w:rPr>
              <w:t>》</w:t>
            </w:r>
            <w:r w:rsidRPr="008B1FF1">
              <w:rPr>
                <w:rFonts w:ascii="SimSun" w:eastAsia="SimSun" w:hAnsi="SimSun" w:cs="Calibri" w:hint="eastAsia"/>
                <w:color w:val="000000"/>
                <w:sz w:val="20"/>
                <w:lang w:val="zh-CN" w:eastAsia="zh-CN"/>
              </w:rPr>
              <w:t>落实了此项建议</w:t>
            </w:r>
            <w:r w:rsidRPr="008B1FF1">
              <w:rPr>
                <w:rFonts w:ascii="SimSun" w:eastAsia="SimSun" w:hAnsi="SimSun" w:cs="Calibri"/>
                <w:color w:val="000000"/>
                <w:sz w:val="20"/>
                <w:lang w:val="zh-CN" w:eastAsia="zh-CN"/>
              </w:rPr>
              <w:t>”</w:t>
            </w:r>
            <w:r w:rsidRPr="008B1FF1">
              <w:rPr>
                <w:rFonts w:ascii="SimSun" w:eastAsia="SimSun" w:hAnsi="SimSun" w:cs="Calibri" w:hint="eastAsia"/>
                <w:color w:val="000000"/>
                <w:sz w:val="20"/>
                <w:lang w:val="zh-CN" w:eastAsia="zh-CN"/>
              </w:rPr>
              <w:t>，其中提及了“评估组”以及相关进程属于“采购处的职责”</w:t>
            </w:r>
            <w:r w:rsidRPr="008B1FF1">
              <w:rPr>
                <w:rFonts w:eastAsia="SimSun" w:cs="Calibri"/>
                <w:color w:val="000000"/>
                <w:sz w:val="20"/>
                <w:lang w:val="zh-CN" w:eastAsia="zh-CN"/>
              </w:rPr>
              <w:t>。</w:t>
            </w:r>
          </w:p>
          <w:p w14:paraId="66C30EF3" w14:textId="1F55E3B2" w:rsidR="000245E2" w:rsidRPr="008B1FF1" w:rsidRDefault="000245E2" w:rsidP="00E17413">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35CAD685" w14:textId="33AB08E7" w:rsidR="000245E2" w:rsidRPr="008B1FF1" w:rsidRDefault="000245E2" w:rsidP="00E17413">
            <w:pPr>
              <w:pStyle w:val="Tabletext"/>
              <w:rPr>
                <w:rFonts w:eastAsia="SimSun" w:cs="Calibri"/>
                <w:sz w:val="20"/>
                <w:lang w:eastAsia="zh-CN"/>
              </w:rPr>
            </w:pPr>
            <w:r w:rsidRPr="008B1FF1">
              <w:rPr>
                <w:rFonts w:eastAsia="SimSun" w:cs="Calibri"/>
                <w:color w:val="000000"/>
                <w:sz w:val="20"/>
                <w:lang w:val="zh-CN" w:eastAsia="zh-CN"/>
              </w:rPr>
              <w:t>意大利审计院在最后报告中（附件</w:t>
            </w:r>
            <w:r w:rsidRPr="008B1FF1">
              <w:rPr>
                <w:rFonts w:eastAsia="SimSun" w:cs="Calibri"/>
                <w:color w:val="000000"/>
                <w:sz w:val="20"/>
                <w:lang w:val="zh-CN" w:eastAsia="zh-CN"/>
              </w:rPr>
              <w:t>3</w:t>
            </w:r>
            <w:r w:rsidRPr="008B1FF1">
              <w:rPr>
                <w:rFonts w:eastAsia="SimSun" w:cs="Calibri"/>
                <w:color w:val="000000"/>
                <w:sz w:val="20"/>
                <w:lang w:val="zh-CN" w:eastAsia="zh-CN"/>
              </w:rPr>
              <w:t>：</w:t>
            </w:r>
            <w:hyperlink r:id="rId45" w:history="1">
              <w:r w:rsidR="00DF3E54" w:rsidRPr="008B1FF1">
                <w:rPr>
                  <w:rStyle w:val="Hyperlink"/>
                  <w:sz w:val="20"/>
                  <w:lang w:eastAsia="zh-CN"/>
                </w:rPr>
                <w:t>C22/101</w:t>
              </w:r>
            </w:hyperlink>
            <w:r w:rsidRPr="008B1FF1">
              <w:rPr>
                <w:rFonts w:eastAsia="SimSun" w:cs="Calibri"/>
                <w:color w:val="000000"/>
                <w:sz w:val="20"/>
                <w:lang w:val="zh-CN" w:eastAsia="zh-CN"/>
              </w:rPr>
              <w:t>）并未将其列为未解决的问题。</w:t>
            </w:r>
          </w:p>
          <w:p w14:paraId="70540E01" w14:textId="41947E10" w:rsidR="000245E2" w:rsidRPr="008B1FF1" w:rsidRDefault="000245E2" w:rsidP="00E17413">
            <w:pPr>
              <w:pStyle w:val="Tabletext"/>
              <w:rPr>
                <w:sz w:val="20"/>
                <w:lang w:eastAsia="zh-CN"/>
              </w:rPr>
            </w:pPr>
            <w:r w:rsidRPr="008B1FF1">
              <w:rPr>
                <w:rFonts w:eastAsia="SimSun" w:cs="Calibri"/>
                <w:color w:val="000000"/>
                <w:sz w:val="20"/>
                <w:lang w:val="zh-CN" w:eastAsia="zh-CN"/>
              </w:rPr>
              <w:t>我们对不再跟进此建议表示满意，并注意到管理层的最新信息。</w:t>
            </w:r>
          </w:p>
        </w:tc>
        <w:tc>
          <w:tcPr>
            <w:tcW w:w="450" w:type="pct"/>
            <w:shd w:val="clear" w:color="auto" w:fill="auto"/>
          </w:tcPr>
          <w:p w14:paraId="63AA390B" w14:textId="33EFBDF9" w:rsidR="000245E2" w:rsidRPr="000231A6" w:rsidRDefault="00A62A5A" w:rsidP="00E17413">
            <w:pPr>
              <w:pStyle w:val="Tabletext"/>
              <w:rPr>
                <w:sz w:val="20"/>
              </w:rPr>
            </w:pPr>
            <w:r>
              <w:rPr>
                <w:rFonts w:ascii="SimSun" w:eastAsia="SimSun" w:hAnsi="SimSun" w:cs="SimSun" w:hint="eastAsia"/>
                <w:color w:val="000000"/>
                <w:sz w:val="20"/>
                <w:lang w:eastAsia="zh-CN"/>
              </w:rPr>
              <w:t>已关闭。</w:t>
            </w:r>
          </w:p>
        </w:tc>
      </w:tr>
      <w:tr w:rsidR="000245E2" w:rsidRPr="00536D01" w14:paraId="71DCA0E3" w14:textId="77777777" w:rsidTr="0011737E">
        <w:tc>
          <w:tcPr>
            <w:tcW w:w="300" w:type="pct"/>
            <w:shd w:val="clear" w:color="auto" w:fill="auto"/>
          </w:tcPr>
          <w:p w14:paraId="0B76B6DD" w14:textId="39B7F160" w:rsidR="000245E2" w:rsidRPr="008B1FF1" w:rsidRDefault="000245E2" w:rsidP="00E17413">
            <w:pPr>
              <w:pStyle w:val="Tabletext"/>
              <w:keepLines/>
              <w:rPr>
                <w:sz w:val="20"/>
              </w:rPr>
            </w:pPr>
            <w:r w:rsidRPr="008B1FF1">
              <w:rPr>
                <w:rFonts w:eastAsia="SimSun" w:cs="Calibri"/>
                <w:color w:val="000000"/>
                <w:sz w:val="20"/>
                <w:lang w:val="zh-CN"/>
              </w:rPr>
              <w:lastRenderedPageBreak/>
              <w:t>R#18</w:t>
            </w:r>
          </w:p>
        </w:tc>
        <w:tc>
          <w:tcPr>
            <w:tcW w:w="1450" w:type="pct"/>
            <w:shd w:val="clear" w:color="auto" w:fill="auto"/>
          </w:tcPr>
          <w:p w14:paraId="6451F8E6" w14:textId="69A7E1AC" w:rsidR="000245E2" w:rsidRPr="008B1FF1" w:rsidRDefault="000245E2" w:rsidP="00E17413">
            <w:pPr>
              <w:pStyle w:val="Tabletext"/>
              <w:keepLines/>
              <w:rPr>
                <w:sz w:val="20"/>
                <w:lang w:eastAsia="zh-CN"/>
              </w:rPr>
            </w:pPr>
            <w:r w:rsidRPr="008B1FF1">
              <w:rPr>
                <w:rFonts w:eastAsia="SimSun" w:cs="Calibri"/>
                <w:color w:val="000000"/>
                <w:sz w:val="20"/>
                <w:lang w:val="zh-CN" w:eastAsia="zh-CN"/>
              </w:rPr>
              <w:t>项目经理不应被任命为评标组的成员</w:t>
            </w:r>
            <w:r w:rsidRPr="008B1FF1">
              <w:rPr>
                <w:rFonts w:eastAsia="SimSun" w:cs="Calibri" w:hint="eastAsia"/>
                <w:color w:val="000000"/>
                <w:sz w:val="20"/>
                <w:lang w:val="zh-CN" w:eastAsia="zh-CN"/>
              </w:rPr>
              <w:t>且</w:t>
            </w:r>
            <w:r w:rsidRPr="008B1FF1">
              <w:rPr>
                <w:rFonts w:eastAsia="SimSun" w:cs="Calibri"/>
                <w:color w:val="000000"/>
                <w:sz w:val="20"/>
                <w:lang w:val="zh-CN" w:eastAsia="zh-CN"/>
              </w:rPr>
              <w:t>评</w:t>
            </w:r>
            <w:r w:rsidRPr="008B1FF1">
              <w:rPr>
                <w:rFonts w:eastAsia="SimSun" w:cs="Calibri" w:hint="eastAsia"/>
                <w:color w:val="000000"/>
                <w:sz w:val="20"/>
                <w:lang w:val="zh-CN" w:eastAsia="zh-CN"/>
              </w:rPr>
              <w:t>估</w:t>
            </w:r>
            <w:r w:rsidRPr="008B1FF1">
              <w:rPr>
                <w:rFonts w:eastAsia="SimSun" w:cs="Calibri"/>
                <w:color w:val="000000"/>
                <w:sz w:val="20"/>
                <w:lang w:val="zh-CN" w:eastAsia="zh-CN"/>
              </w:rPr>
              <w:t>组的协调人应由采购处而非项目经理担任。</w:t>
            </w:r>
          </w:p>
        </w:tc>
        <w:tc>
          <w:tcPr>
            <w:tcW w:w="1750" w:type="pct"/>
            <w:shd w:val="clear" w:color="auto" w:fill="auto"/>
          </w:tcPr>
          <w:p w14:paraId="7AC23451" w14:textId="77777777" w:rsidR="000245E2" w:rsidRPr="008B1FF1" w:rsidRDefault="000245E2" w:rsidP="00E17413">
            <w:pPr>
              <w:pStyle w:val="Tabletext"/>
              <w:keepLines/>
              <w:rPr>
                <w:rFonts w:eastAsia="SimSun" w:cs="Calibri"/>
                <w:sz w:val="20"/>
                <w:lang w:eastAsia="zh-CN"/>
              </w:rPr>
            </w:pPr>
            <w:r w:rsidRPr="008B1FF1">
              <w:rPr>
                <w:rFonts w:eastAsia="SimSun" w:cs="Calibri"/>
                <w:color w:val="000000"/>
                <w:sz w:val="20"/>
                <w:lang w:val="zh-CN" w:eastAsia="zh-CN"/>
              </w:rPr>
              <w:t>国际电联将进一步研究</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17</w:t>
            </w:r>
            <w:r w:rsidRPr="008B1FF1">
              <w:rPr>
                <w:rFonts w:eastAsia="SimSun" w:cs="Calibri"/>
                <w:color w:val="000000"/>
                <w:sz w:val="20"/>
                <w:lang w:val="zh-CN" w:eastAsia="zh-CN"/>
              </w:rPr>
              <w:t>和</w:t>
            </w:r>
            <w:r w:rsidRPr="008B1FF1">
              <w:rPr>
                <w:rFonts w:eastAsia="SimSun" w:cs="Calibri"/>
                <w:color w:val="000000"/>
                <w:sz w:val="20"/>
                <w:lang w:val="zh-CN" w:eastAsia="zh-CN"/>
              </w:rPr>
              <w:t>18</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建议的部分内容，因为所有</w:t>
            </w:r>
            <w:r w:rsidRPr="008B1FF1">
              <w:rPr>
                <w:rFonts w:eastAsia="SimSun" w:cs="Calibri" w:hint="eastAsia"/>
                <w:color w:val="000000"/>
                <w:sz w:val="20"/>
                <w:lang w:val="zh-CN" w:eastAsia="zh-CN"/>
              </w:rPr>
              <w:t>方案均</w:t>
            </w:r>
            <w:r w:rsidRPr="008B1FF1">
              <w:rPr>
                <w:rFonts w:eastAsia="SimSun" w:cs="Calibri"/>
                <w:color w:val="000000"/>
                <w:sz w:val="20"/>
                <w:lang w:val="zh-CN" w:eastAsia="zh-CN"/>
              </w:rPr>
              <w:t>需要技术评估。项目经理负责项目的所有技术问题，因此他</w:t>
            </w:r>
            <w:r w:rsidRPr="008B1FF1">
              <w:rPr>
                <w:rFonts w:eastAsia="SimSun" w:cs="Calibri"/>
                <w:color w:val="000000"/>
                <w:sz w:val="20"/>
                <w:lang w:val="zh-CN" w:eastAsia="zh-CN"/>
              </w:rPr>
              <w:t>/</w:t>
            </w:r>
            <w:r w:rsidRPr="008B1FF1">
              <w:rPr>
                <w:rFonts w:eastAsia="SimSun" w:cs="Calibri"/>
                <w:color w:val="000000"/>
                <w:sz w:val="20"/>
                <w:lang w:val="zh-CN" w:eastAsia="zh-CN"/>
              </w:rPr>
              <w:t>她是对</w:t>
            </w:r>
            <w:r w:rsidRPr="008B1FF1">
              <w:rPr>
                <w:rFonts w:eastAsia="SimSun" w:cs="Calibri" w:hint="eastAsia"/>
                <w:color w:val="000000"/>
                <w:sz w:val="20"/>
                <w:lang w:val="zh-CN" w:eastAsia="zh-CN"/>
              </w:rPr>
              <w:t>方案开展</w:t>
            </w:r>
            <w:r w:rsidRPr="008B1FF1">
              <w:rPr>
                <w:rFonts w:eastAsia="SimSun" w:cs="Calibri"/>
                <w:color w:val="000000"/>
                <w:sz w:val="20"/>
                <w:lang w:val="zh-CN" w:eastAsia="zh-CN"/>
              </w:rPr>
              <w:t>技术评估的最佳人选，</w:t>
            </w:r>
            <w:r w:rsidRPr="008B1FF1">
              <w:rPr>
                <w:rFonts w:eastAsia="SimSun" w:cs="Calibri" w:hint="eastAsia"/>
                <w:color w:val="000000"/>
                <w:sz w:val="20"/>
                <w:lang w:val="zh-CN" w:eastAsia="zh-CN"/>
              </w:rPr>
              <w:t>且应与其推荐</w:t>
            </w:r>
            <w:r w:rsidRPr="008B1FF1">
              <w:rPr>
                <w:rFonts w:eastAsia="SimSun" w:cs="Calibri"/>
                <w:color w:val="000000"/>
                <w:sz w:val="20"/>
                <w:lang w:val="zh-CN" w:eastAsia="zh-CN"/>
              </w:rPr>
              <w:t>参加</w:t>
            </w:r>
            <w:r w:rsidRPr="008B1FF1">
              <w:rPr>
                <w:rFonts w:eastAsia="SimSun" w:cs="Calibri" w:hint="eastAsia"/>
                <w:color w:val="000000"/>
                <w:sz w:val="20"/>
                <w:lang w:val="zh-CN" w:eastAsia="zh-CN"/>
              </w:rPr>
              <w:t>评估</w:t>
            </w:r>
            <w:r w:rsidRPr="008B1FF1">
              <w:rPr>
                <w:rFonts w:eastAsia="SimSun" w:cs="Calibri"/>
                <w:color w:val="000000"/>
                <w:sz w:val="20"/>
                <w:lang w:val="zh-CN" w:eastAsia="zh-CN"/>
              </w:rPr>
              <w:t>的其他专业人士一起进行评估。</w:t>
            </w:r>
          </w:p>
          <w:p w14:paraId="075E1305" w14:textId="77777777" w:rsidR="000245E2" w:rsidRPr="008B1FF1" w:rsidRDefault="000245E2" w:rsidP="00E17413">
            <w:pPr>
              <w:pStyle w:val="Tabletext"/>
              <w:keepLines/>
              <w:rPr>
                <w:rFonts w:eastAsia="SimSun" w:cs="Calibri"/>
                <w:sz w:val="20"/>
                <w:lang w:eastAsia="zh-CN"/>
              </w:rPr>
            </w:pPr>
            <w:r w:rsidRPr="008B1FF1">
              <w:rPr>
                <w:rFonts w:eastAsia="SimSun" w:cs="Calibri"/>
                <w:color w:val="000000"/>
                <w:sz w:val="20"/>
                <w:lang w:val="zh-CN" w:eastAsia="zh-CN"/>
              </w:rPr>
              <w:t>由于大多数项目是在了解</w:t>
            </w:r>
            <w:r w:rsidRPr="008B1FF1">
              <w:rPr>
                <w:rFonts w:eastAsia="SimSun" w:cs="Calibri" w:hint="eastAsia"/>
                <w:color w:val="000000"/>
                <w:sz w:val="20"/>
                <w:lang w:val="zh-CN" w:eastAsia="zh-CN"/>
              </w:rPr>
              <w:t>项目</w:t>
            </w:r>
            <w:r w:rsidRPr="008B1FF1">
              <w:rPr>
                <w:rFonts w:eastAsia="SimSun" w:cs="Calibri"/>
                <w:color w:val="000000"/>
                <w:sz w:val="20"/>
                <w:lang w:val="zh-CN" w:eastAsia="zh-CN"/>
              </w:rPr>
              <w:t>实际情况</w:t>
            </w:r>
            <w:r w:rsidRPr="008B1FF1">
              <w:rPr>
                <w:rFonts w:eastAsia="SimSun" w:cs="Calibri" w:hint="eastAsia"/>
                <w:color w:val="000000"/>
                <w:sz w:val="20"/>
                <w:lang w:val="zh-CN" w:eastAsia="zh-CN"/>
              </w:rPr>
              <w:t>的</w:t>
            </w:r>
            <w:r w:rsidRPr="008B1FF1">
              <w:rPr>
                <w:rFonts w:eastAsia="SimSun" w:cs="Calibri"/>
                <w:color w:val="000000"/>
                <w:sz w:val="20"/>
                <w:lang w:val="zh-CN" w:eastAsia="zh-CN"/>
              </w:rPr>
              <w:t>项目经理的领导下实施，因此在对物品采购做出决定时，</w:t>
            </w:r>
            <w:r w:rsidRPr="008B1FF1">
              <w:rPr>
                <w:rFonts w:eastAsia="SimSun" w:cs="Calibri" w:hint="eastAsia"/>
                <w:color w:val="000000"/>
                <w:sz w:val="20"/>
                <w:lang w:val="zh-CN" w:eastAsia="zh-CN"/>
              </w:rPr>
              <w:t>项目经理</w:t>
            </w:r>
            <w:r w:rsidRPr="008B1FF1">
              <w:rPr>
                <w:rFonts w:eastAsia="SimSun" w:cs="Calibri"/>
                <w:color w:val="000000"/>
                <w:sz w:val="20"/>
                <w:lang w:val="zh-CN" w:eastAsia="zh-CN"/>
              </w:rPr>
              <w:t>应与总部的评</w:t>
            </w:r>
            <w:r w:rsidRPr="008B1FF1">
              <w:rPr>
                <w:rFonts w:eastAsia="SimSun" w:cs="Calibri" w:hint="eastAsia"/>
                <w:color w:val="000000"/>
                <w:sz w:val="20"/>
                <w:lang w:val="zh-CN" w:eastAsia="zh-CN"/>
              </w:rPr>
              <w:t>估</w:t>
            </w:r>
            <w:r w:rsidRPr="008B1FF1">
              <w:rPr>
                <w:rFonts w:eastAsia="SimSun" w:cs="Calibri"/>
                <w:color w:val="000000"/>
                <w:sz w:val="20"/>
                <w:lang w:val="zh-CN" w:eastAsia="zh-CN"/>
              </w:rPr>
              <w:t>小组一起参加。</w:t>
            </w:r>
          </w:p>
          <w:p w14:paraId="3F0C6994" w14:textId="16BAAB76" w:rsidR="000245E2" w:rsidRPr="008B1FF1" w:rsidRDefault="000245E2" w:rsidP="00E17413">
            <w:pPr>
              <w:pStyle w:val="Tabletext"/>
              <w:keepLines/>
              <w:rPr>
                <w:rFonts w:eastAsia="SimSun" w:cs="Calibri"/>
                <w:sz w:val="20"/>
                <w:lang w:eastAsia="zh-CN"/>
              </w:rPr>
            </w:pPr>
            <w:r w:rsidRPr="008B1FF1">
              <w:rPr>
                <w:rFonts w:eastAsia="SimSun" w:cs="Calibri"/>
                <w:color w:val="000000"/>
                <w:sz w:val="20"/>
                <w:lang w:val="zh-CN" w:eastAsia="zh-CN"/>
              </w:rPr>
              <w:t>评估组的成立将遵循即将出台的</w:t>
            </w:r>
            <w:r w:rsidRPr="008B1FF1">
              <w:rPr>
                <w:rFonts w:eastAsia="SimSun" w:cs="Calibri" w:hint="eastAsia"/>
                <w:color w:val="000000"/>
                <w:sz w:val="20"/>
                <w:lang w:val="zh-CN" w:eastAsia="zh-CN"/>
              </w:rPr>
              <w:t>《</w:t>
            </w:r>
            <w:r w:rsidRPr="008B1FF1">
              <w:rPr>
                <w:rFonts w:eastAsia="SimSun" w:cs="Calibri"/>
                <w:color w:val="000000"/>
                <w:sz w:val="20"/>
                <w:lang w:val="zh-CN" w:eastAsia="zh-CN"/>
              </w:rPr>
              <w:t>采购手册</w:t>
            </w:r>
            <w:r w:rsidRPr="008B1FF1">
              <w:rPr>
                <w:rFonts w:eastAsia="SimSun" w:cs="Calibri" w:hint="eastAsia"/>
                <w:color w:val="000000"/>
                <w:sz w:val="20"/>
                <w:lang w:val="zh-CN" w:eastAsia="zh-CN"/>
              </w:rPr>
              <w:t>》</w:t>
            </w:r>
            <w:r w:rsidRPr="008B1FF1">
              <w:rPr>
                <w:rFonts w:eastAsia="SimSun" w:cs="Calibri"/>
                <w:color w:val="000000"/>
                <w:sz w:val="20"/>
                <w:lang w:val="zh-CN" w:eastAsia="zh-CN"/>
              </w:rPr>
              <w:t>规定的程序。技术评估组（</w:t>
            </w:r>
            <w:r w:rsidRPr="008B1FF1">
              <w:rPr>
                <w:rFonts w:eastAsia="SimSun" w:cs="Calibri"/>
                <w:color w:val="000000"/>
                <w:sz w:val="20"/>
                <w:lang w:val="zh-CN" w:eastAsia="zh-CN"/>
              </w:rPr>
              <w:t>TEP</w:t>
            </w:r>
            <w:r w:rsidRPr="008B1FF1">
              <w:rPr>
                <w:rFonts w:eastAsia="SimSun" w:cs="Calibri"/>
                <w:color w:val="000000"/>
                <w:sz w:val="20"/>
                <w:lang w:val="zh-CN" w:eastAsia="zh-CN"/>
              </w:rPr>
              <w:t>）将</w:t>
            </w:r>
            <w:r w:rsidRPr="008B1FF1">
              <w:rPr>
                <w:rFonts w:eastAsia="SimSun" w:cs="Calibri" w:hint="eastAsia"/>
                <w:color w:val="000000"/>
                <w:sz w:val="20"/>
                <w:lang w:val="zh-CN" w:eastAsia="zh-CN"/>
              </w:rPr>
              <w:t>实施</w:t>
            </w:r>
            <w:r w:rsidRPr="008B1FF1">
              <w:rPr>
                <w:rFonts w:eastAsia="SimSun" w:cs="Calibri"/>
                <w:color w:val="000000"/>
                <w:sz w:val="20"/>
                <w:lang w:val="zh-CN" w:eastAsia="zh-CN"/>
              </w:rPr>
              <w:t>技术评估。申请</w:t>
            </w:r>
            <w:r w:rsidRPr="008B1FF1">
              <w:rPr>
                <w:rFonts w:eastAsia="SimSun" w:cs="Calibri" w:hint="eastAsia"/>
                <w:color w:val="000000"/>
                <w:sz w:val="20"/>
                <w:lang w:val="zh-CN" w:eastAsia="zh-CN"/>
              </w:rPr>
              <w:t>部门</w:t>
            </w:r>
            <w:r w:rsidRPr="008B1FF1">
              <w:rPr>
                <w:rFonts w:eastAsia="SimSun" w:cs="Calibri"/>
                <w:color w:val="000000"/>
                <w:sz w:val="20"/>
                <w:lang w:val="zh-CN" w:eastAsia="zh-CN"/>
              </w:rPr>
              <w:t>负责任命小组成员，该</w:t>
            </w:r>
            <w:r w:rsidRPr="008B1FF1">
              <w:rPr>
                <w:rFonts w:eastAsia="SimSun" w:cs="Calibri" w:hint="eastAsia"/>
                <w:color w:val="000000"/>
                <w:sz w:val="20"/>
                <w:lang w:val="zh-CN" w:eastAsia="zh-CN"/>
              </w:rPr>
              <w:t>小组</w:t>
            </w:r>
            <w:r w:rsidRPr="008B1FF1">
              <w:rPr>
                <w:rFonts w:eastAsia="SimSun" w:cs="Calibri"/>
                <w:color w:val="000000"/>
                <w:sz w:val="20"/>
                <w:lang w:val="zh-CN" w:eastAsia="zh-CN"/>
              </w:rPr>
              <w:t>应在开标前确定。至少应有一位</w:t>
            </w:r>
            <w:r w:rsidRPr="008B1FF1">
              <w:rPr>
                <w:rFonts w:eastAsia="SimSun" w:cs="Calibri" w:hint="eastAsia"/>
                <w:color w:val="000000"/>
                <w:sz w:val="20"/>
                <w:lang w:val="zh-CN" w:eastAsia="zh-CN"/>
              </w:rPr>
              <w:t>组</w:t>
            </w:r>
            <w:r w:rsidRPr="008B1FF1">
              <w:rPr>
                <w:rFonts w:eastAsia="SimSun" w:cs="Calibri"/>
                <w:color w:val="000000"/>
                <w:sz w:val="20"/>
                <w:lang w:val="zh-CN" w:eastAsia="zh-CN"/>
              </w:rPr>
              <w:t>员来自</w:t>
            </w:r>
            <w:r w:rsidRPr="008B1FF1">
              <w:rPr>
                <w:rFonts w:eastAsia="SimSun" w:cs="Calibri" w:hint="eastAsia"/>
                <w:color w:val="000000"/>
                <w:sz w:val="20"/>
                <w:lang w:val="zh-CN" w:eastAsia="zh-CN"/>
              </w:rPr>
              <w:t>提出</w:t>
            </w:r>
            <w:r w:rsidRPr="008B1FF1">
              <w:rPr>
                <w:rFonts w:eastAsia="SimSun" w:cs="Calibri"/>
                <w:color w:val="000000"/>
                <w:sz w:val="20"/>
                <w:lang w:val="zh-CN" w:eastAsia="zh-CN"/>
              </w:rPr>
              <w:t>需求</w:t>
            </w:r>
            <w:r w:rsidRPr="008B1FF1">
              <w:rPr>
                <w:rFonts w:eastAsia="SimSun" w:cs="Calibri" w:hint="eastAsia"/>
                <w:color w:val="000000"/>
                <w:sz w:val="20"/>
                <w:lang w:val="zh-CN" w:eastAsia="zh-CN"/>
              </w:rPr>
              <w:t>的</w:t>
            </w:r>
            <w:r w:rsidRPr="008B1FF1">
              <w:rPr>
                <w:rFonts w:eastAsia="SimSun" w:cs="Calibri"/>
                <w:color w:val="000000"/>
                <w:sz w:val="20"/>
                <w:lang w:val="zh-CN" w:eastAsia="zh-CN"/>
              </w:rPr>
              <w:t>部门，</w:t>
            </w:r>
            <w:r w:rsidRPr="008B1FF1">
              <w:rPr>
                <w:rFonts w:eastAsia="SimSun" w:cs="Calibri" w:hint="eastAsia"/>
                <w:color w:val="000000"/>
                <w:sz w:val="20"/>
                <w:lang w:val="zh-CN" w:eastAsia="zh-CN"/>
              </w:rPr>
              <w:t>且至少应有</w:t>
            </w:r>
            <w:r w:rsidRPr="008B1FF1">
              <w:rPr>
                <w:rFonts w:eastAsia="SimSun" w:cs="Calibri"/>
                <w:color w:val="000000"/>
                <w:sz w:val="20"/>
                <w:lang w:val="zh-CN" w:eastAsia="zh-CN"/>
              </w:rPr>
              <w:t>一位</w:t>
            </w:r>
            <w:r w:rsidRPr="008B1FF1">
              <w:rPr>
                <w:rFonts w:eastAsia="SimSun" w:cs="Calibri" w:hint="eastAsia"/>
                <w:color w:val="000000"/>
                <w:sz w:val="20"/>
                <w:lang w:val="zh-CN" w:eastAsia="zh-CN"/>
              </w:rPr>
              <w:t>组员并非</w:t>
            </w:r>
            <w:r w:rsidRPr="008B1FF1">
              <w:rPr>
                <w:rFonts w:eastAsia="SimSun" w:cs="Calibri"/>
                <w:color w:val="000000"/>
                <w:sz w:val="20"/>
                <w:lang w:val="zh-CN" w:eastAsia="zh-CN"/>
              </w:rPr>
              <w:t>来自</w:t>
            </w:r>
            <w:r w:rsidRPr="008B1FF1">
              <w:rPr>
                <w:rFonts w:eastAsia="SimSun" w:cs="Calibri" w:hint="eastAsia"/>
                <w:color w:val="000000"/>
                <w:sz w:val="20"/>
                <w:lang w:val="zh-CN" w:eastAsia="zh-CN"/>
              </w:rPr>
              <w:t>提出</w:t>
            </w:r>
            <w:r w:rsidRPr="008B1FF1">
              <w:rPr>
                <w:rFonts w:eastAsia="SimSun" w:cs="Calibri"/>
                <w:color w:val="000000"/>
                <w:sz w:val="20"/>
                <w:lang w:val="zh-CN" w:eastAsia="zh-CN"/>
              </w:rPr>
              <w:t>需求</w:t>
            </w:r>
            <w:r w:rsidRPr="008B1FF1">
              <w:rPr>
                <w:rFonts w:eastAsia="SimSun" w:cs="Calibri" w:hint="eastAsia"/>
                <w:color w:val="000000"/>
                <w:sz w:val="20"/>
                <w:lang w:val="zh-CN" w:eastAsia="zh-CN"/>
              </w:rPr>
              <w:t>的</w:t>
            </w:r>
            <w:r w:rsidRPr="008B1FF1">
              <w:rPr>
                <w:rFonts w:eastAsia="SimSun" w:cs="Calibri"/>
                <w:color w:val="000000"/>
                <w:sz w:val="20"/>
                <w:lang w:val="zh-CN" w:eastAsia="zh-CN"/>
              </w:rPr>
              <w:t>部门。评估组的成立须遵循以下指导原则。</w:t>
            </w:r>
            <w:r w:rsidRPr="008B1FF1">
              <w:rPr>
                <w:rFonts w:eastAsia="SimSun" w:cs="Calibri" w:hint="eastAsia"/>
                <w:color w:val="000000"/>
                <w:sz w:val="20"/>
                <w:lang w:val="zh-CN" w:eastAsia="zh-CN"/>
              </w:rPr>
              <w:t>该</w:t>
            </w:r>
            <w:r w:rsidRPr="008B1FF1">
              <w:rPr>
                <w:rFonts w:eastAsia="SimSun" w:cs="Calibri"/>
                <w:color w:val="000000"/>
                <w:sz w:val="20"/>
                <w:lang w:val="zh-CN" w:eastAsia="zh-CN"/>
              </w:rPr>
              <w:t>组至少应</w:t>
            </w:r>
            <w:r w:rsidRPr="008B1FF1">
              <w:rPr>
                <w:rFonts w:eastAsia="SimSun" w:cs="Calibri" w:hint="eastAsia"/>
                <w:color w:val="000000"/>
                <w:sz w:val="20"/>
                <w:lang w:val="zh-CN" w:eastAsia="zh-CN"/>
              </w:rPr>
              <w:t>包括</w:t>
            </w:r>
            <w:r w:rsidRPr="008B1FF1">
              <w:rPr>
                <w:rFonts w:eastAsia="SimSun" w:cs="Calibri"/>
                <w:color w:val="000000"/>
                <w:sz w:val="20"/>
                <w:lang w:val="zh-CN" w:eastAsia="zh-CN"/>
              </w:rPr>
              <w:t>三名</w:t>
            </w:r>
            <w:r w:rsidRPr="008B1FF1">
              <w:rPr>
                <w:rFonts w:eastAsia="SimSun" w:cs="Calibri" w:hint="eastAsia"/>
                <w:color w:val="000000"/>
                <w:sz w:val="20"/>
                <w:lang w:val="zh-CN" w:eastAsia="zh-CN"/>
              </w:rPr>
              <w:t>来自国际电联不同部门的</w:t>
            </w:r>
            <w:r w:rsidRPr="008B1FF1">
              <w:rPr>
                <w:rFonts w:eastAsia="SimSun" w:cs="Calibri"/>
                <w:color w:val="000000"/>
                <w:sz w:val="20"/>
                <w:lang w:val="zh-CN" w:eastAsia="zh-CN"/>
              </w:rPr>
              <w:t>职员：</w:t>
            </w:r>
            <w:r w:rsidRPr="008B1FF1">
              <w:rPr>
                <w:rFonts w:eastAsia="SimSun" w:cs="Calibri"/>
                <w:color w:val="000000"/>
                <w:sz w:val="20"/>
                <w:lang w:val="zh-CN" w:eastAsia="zh-CN"/>
              </w:rPr>
              <w:t>i</w:t>
            </w:r>
            <w:r w:rsidR="008B1FF1" w:rsidRPr="008B1FF1">
              <w:rPr>
                <w:rFonts w:eastAsia="SimSun" w:cs="Calibri" w:hint="eastAsia"/>
                <w:color w:val="000000"/>
                <w:sz w:val="20"/>
                <w:lang w:val="zh-CN" w:eastAsia="zh-CN"/>
              </w:rPr>
              <w:t xml:space="preserve">) </w:t>
            </w:r>
            <w:r w:rsidRPr="008B1FF1">
              <w:rPr>
                <w:rFonts w:eastAsia="SimSun" w:cs="Calibri"/>
                <w:color w:val="000000"/>
                <w:sz w:val="20"/>
                <w:lang w:val="zh-CN" w:eastAsia="zh-CN"/>
              </w:rPr>
              <w:t>小组成员包括需求</w:t>
            </w:r>
            <w:r w:rsidRPr="008B1FF1">
              <w:rPr>
                <w:rFonts w:eastAsia="SimSun" w:cs="Calibri" w:hint="eastAsia"/>
                <w:color w:val="000000"/>
                <w:sz w:val="20"/>
                <w:lang w:val="zh-CN" w:eastAsia="zh-CN"/>
              </w:rPr>
              <w:t>部门</w:t>
            </w:r>
            <w:r w:rsidRPr="008B1FF1">
              <w:rPr>
                <w:rFonts w:eastAsia="SimSun" w:cs="Calibri"/>
                <w:color w:val="000000"/>
                <w:sz w:val="20"/>
                <w:lang w:val="zh-CN" w:eastAsia="zh-CN"/>
              </w:rPr>
              <w:t>指定的顾问或外部专家，或受益方的代表，但</w:t>
            </w:r>
            <w:r w:rsidRPr="008B1FF1">
              <w:rPr>
                <w:rFonts w:eastAsia="SimSun" w:cs="Calibri" w:hint="eastAsia"/>
                <w:color w:val="000000"/>
                <w:sz w:val="20"/>
                <w:lang w:val="zh-CN" w:eastAsia="zh-CN"/>
              </w:rPr>
              <w:t>他们并</w:t>
            </w:r>
            <w:r w:rsidRPr="008B1FF1">
              <w:rPr>
                <w:rFonts w:eastAsia="SimSun" w:cs="Calibri"/>
                <w:color w:val="000000"/>
                <w:sz w:val="20"/>
                <w:lang w:val="zh-CN" w:eastAsia="zh-CN"/>
              </w:rPr>
              <w:t>无决定权，</w:t>
            </w:r>
            <w:r w:rsidRPr="008B1FF1">
              <w:rPr>
                <w:rFonts w:eastAsia="SimSun" w:cs="Calibri"/>
                <w:color w:val="000000"/>
                <w:sz w:val="20"/>
                <w:lang w:val="zh-CN" w:eastAsia="zh-CN"/>
              </w:rPr>
              <w:t>ii</w:t>
            </w:r>
            <w:r w:rsidR="008B1FF1" w:rsidRPr="008B1FF1">
              <w:rPr>
                <w:rFonts w:eastAsia="SimSun" w:cs="Calibri" w:hint="eastAsia"/>
                <w:color w:val="000000"/>
                <w:sz w:val="20"/>
                <w:lang w:val="zh-CN" w:eastAsia="zh-CN"/>
              </w:rPr>
              <w:t>)</w:t>
            </w:r>
            <w:r w:rsidRPr="008B1FF1">
              <w:rPr>
                <w:rFonts w:eastAsia="SimSun" w:cs="Calibri"/>
                <w:color w:val="000000"/>
                <w:sz w:val="20"/>
                <w:lang w:val="zh-CN" w:eastAsia="zh-CN"/>
              </w:rPr>
              <w:t xml:space="preserve"> </w:t>
            </w:r>
            <w:r w:rsidRPr="008B1FF1">
              <w:rPr>
                <w:rFonts w:eastAsia="SimSun" w:cs="Calibri"/>
                <w:color w:val="000000"/>
                <w:sz w:val="20"/>
                <w:lang w:val="zh-CN" w:eastAsia="zh-CN"/>
              </w:rPr>
              <w:t>小组</w:t>
            </w:r>
            <w:r w:rsidRPr="008B1FF1">
              <w:rPr>
                <w:rFonts w:eastAsia="SimSun" w:cs="Calibri" w:hint="eastAsia"/>
                <w:color w:val="000000"/>
                <w:sz w:val="20"/>
                <w:lang w:val="zh-CN" w:eastAsia="zh-CN"/>
              </w:rPr>
              <w:t>内</w:t>
            </w:r>
            <w:r w:rsidRPr="008B1FF1">
              <w:rPr>
                <w:rFonts w:eastAsia="SimSun" w:cs="Calibri"/>
                <w:color w:val="000000"/>
                <w:sz w:val="20"/>
                <w:lang w:val="zh-CN" w:eastAsia="zh-CN"/>
              </w:rPr>
              <w:t>非国际电联职员的数量不得超过国际电联职员数量；</w:t>
            </w:r>
            <w:r w:rsidRPr="008B1FF1">
              <w:rPr>
                <w:rFonts w:eastAsia="SimSun" w:cs="Calibri"/>
                <w:color w:val="000000"/>
                <w:sz w:val="20"/>
                <w:lang w:val="zh-CN" w:eastAsia="zh-CN"/>
              </w:rPr>
              <w:t>iii</w:t>
            </w:r>
            <w:r w:rsidR="008B1FF1" w:rsidRPr="008B1FF1">
              <w:rPr>
                <w:rFonts w:eastAsia="SimSun" w:cs="Calibri" w:hint="eastAsia"/>
                <w:color w:val="000000"/>
                <w:sz w:val="20"/>
                <w:lang w:val="zh-CN" w:eastAsia="zh-CN"/>
              </w:rPr>
              <w:t>)</w:t>
            </w:r>
            <w:r w:rsidRPr="008B1FF1">
              <w:rPr>
                <w:rFonts w:eastAsia="SimSun" w:cs="Calibri"/>
                <w:color w:val="000000"/>
                <w:sz w:val="20"/>
                <w:lang w:val="zh-CN" w:eastAsia="zh-CN"/>
              </w:rPr>
              <w:t xml:space="preserve"> </w:t>
            </w:r>
            <w:r w:rsidRPr="008B1FF1">
              <w:rPr>
                <w:rFonts w:eastAsia="SimSun" w:cs="Calibri"/>
                <w:color w:val="000000"/>
                <w:sz w:val="20"/>
                <w:lang w:val="zh-CN" w:eastAsia="zh-CN"/>
              </w:rPr>
              <w:t>采购处的一名代表可就小组工作提</w:t>
            </w:r>
            <w:r w:rsidRPr="008B1FF1">
              <w:rPr>
                <w:rFonts w:eastAsia="SimSun" w:cs="Calibri" w:hint="eastAsia"/>
                <w:color w:val="000000"/>
                <w:sz w:val="20"/>
                <w:lang w:val="zh-CN" w:eastAsia="zh-CN"/>
              </w:rPr>
              <w:t>出</w:t>
            </w:r>
            <w:r w:rsidRPr="008B1FF1">
              <w:rPr>
                <w:rFonts w:eastAsia="SimSun" w:cs="Calibri"/>
                <w:color w:val="000000"/>
                <w:sz w:val="20"/>
                <w:lang w:val="zh-CN" w:eastAsia="zh-CN"/>
              </w:rPr>
              <w:t>指导和建议，</w:t>
            </w:r>
            <w:r w:rsidRPr="008B1FF1">
              <w:rPr>
                <w:rFonts w:eastAsia="SimSun" w:cs="Calibri"/>
                <w:color w:val="000000"/>
                <w:sz w:val="20"/>
                <w:lang w:val="zh-CN" w:eastAsia="zh-CN"/>
              </w:rPr>
              <w:t>iv</w:t>
            </w:r>
            <w:r w:rsidR="008B1FF1" w:rsidRPr="008B1FF1">
              <w:rPr>
                <w:rFonts w:eastAsia="SimSun" w:cs="Calibri" w:hint="eastAsia"/>
                <w:color w:val="000000"/>
                <w:sz w:val="20"/>
                <w:lang w:val="zh-CN" w:eastAsia="zh-CN"/>
              </w:rPr>
              <w:t>)</w:t>
            </w:r>
            <w:r w:rsidRPr="008B1FF1">
              <w:rPr>
                <w:rFonts w:eastAsia="SimSun" w:cs="Calibri"/>
                <w:color w:val="000000"/>
                <w:sz w:val="20"/>
                <w:lang w:val="zh-CN" w:eastAsia="zh-CN"/>
              </w:rPr>
              <w:t xml:space="preserve"> TEP</w:t>
            </w:r>
            <w:r w:rsidRPr="008B1FF1">
              <w:rPr>
                <w:rFonts w:eastAsia="SimSun" w:cs="Calibri"/>
                <w:color w:val="000000"/>
                <w:sz w:val="20"/>
                <w:lang w:val="zh-CN" w:eastAsia="zh-CN"/>
              </w:rPr>
              <w:t>成员须签署一份无利益冲突声明。商业评估须由采购处的一名工作人员进行。如果需要技术专长，可要求具有技术能力的专家来</w:t>
            </w:r>
            <w:r w:rsidRPr="008B1FF1">
              <w:rPr>
                <w:rFonts w:eastAsia="SimSun" w:cs="Calibri" w:hint="eastAsia"/>
                <w:color w:val="000000"/>
                <w:sz w:val="20"/>
                <w:lang w:val="zh-CN" w:eastAsia="zh-CN"/>
              </w:rPr>
              <w:t>为</w:t>
            </w:r>
            <w:r w:rsidRPr="008B1FF1">
              <w:rPr>
                <w:rFonts w:eastAsia="SimSun" w:cs="Calibri"/>
                <w:color w:val="000000"/>
                <w:sz w:val="20"/>
                <w:lang w:val="zh-CN" w:eastAsia="zh-CN"/>
              </w:rPr>
              <w:t>商业评估</w:t>
            </w:r>
            <w:r w:rsidRPr="008B1FF1">
              <w:rPr>
                <w:rFonts w:eastAsia="SimSun" w:cs="Calibri" w:hint="eastAsia"/>
                <w:color w:val="000000"/>
                <w:sz w:val="20"/>
                <w:lang w:val="zh-CN" w:eastAsia="zh-CN"/>
              </w:rPr>
              <w:t>提供</w:t>
            </w:r>
            <w:r w:rsidRPr="008B1FF1">
              <w:rPr>
                <w:rFonts w:eastAsia="SimSun" w:cs="Calibri"/>
                <w:color w:val="000000"/>
                <w:sz w:val="20"/>
                <w:lang w:val="zh-CN" w:eastAsia="zh-CN"/>
              </w:rPr>
              <w:t>支持。</w:t>
            </w:r>
            <w:r w:rsidRPr="008B1FF1">
              <w:rPr>
                <w:rFonts w:eastAsia="SimSun" w:cs="Calibri" w:hint="eastAsia"/>
                <w:color w:val="000000"/>
                <w:sz w:val="20"/>
                <w:lang w:val="zh-CN" w:eastAsia="zh-CN"/>
              </w:rPr>
              <w:t>无</w:t>
            </w:r>
            <w:r w:rsidRPr="008B1FF1">
              <w:rPr>
                <w:rFonts w:eastAsia="SimSun" w:cs="Calibri"/>
                <w:color w:val="000000"/>
                <w:sz w:val="20"/>
                <w:lang w:val="zh-CN" w:eastAsia="zh-CN"/>
              </w:rPr>
              <w:t>内部专家可用时，该专家</w:t>
            </w:r>
            <w:r w:rsidRPr="008B1FF1">
              <w:rPr>
                <w:rFonts w:eastAsia="SimSun" w:cs="Calibri" w:hint="eastAsia"/>
                <w:color w:val="000000"/>
                <w:sz w:val="20"/>
                <w:lang w:val="zh-CN" w:eastAsia="zh-CN"/>
              </w:rPr>
              <w:t>可从</w:t>
            </w:r>
            <w:r w:rsidRPr="008B1FF1">
              <w:rPr>
                <w:rFonts w:eastAsia="SimSun" w:cs="Calibri"/>
                <w:color w:val="000000"/>
                <w:sz w:val="20"/>
                <w:lang w:val="zh-CN" w:eastAsia="zh-CN"/>
              </w:rPr>
              <w:t>外部</w:t>
            </w:r>
            <w:r w:rsidRPr="008B1FF1">
              <w:rPr>
                <w:rFonts w:eastAsia="SimSun" w:cs="Calibri" w:hint="eastAsia"/>
                <w:color w:val="000000"/>
                <w:sz w:val="20"/>
                <w:lang w:val="zh-CN" w:eastAsia="zh-CN"/>
              </w:rPr>
              <w:t>聘请</w:t>
            </w:r>
            <w:r w:rsidRPr="008B1FF1">
              <w:rPr>
                <w:rFonts w:eastAsia="SimSun" w:cs="Calibri"/>
                <w:color w:val="000000"/>
                <w:sz w:val="20"/>
                <w:lang w:val="zh-CN" w:eastAsia="zh-CN"/>
              </w:rPr>
              <w:t>。</w:t>
            </w:r>
          </w:p>
          <w:p w14:paraId="5A3B2689" w14:textId="4703E93B" w:rsidR="000245E2" w:rsidRPr="008B1FF1" w:rsidRDefault="000245E2" w:rsidP="00E17413">
            <w:pPr>
              <w:pStyle w:val="Tabletext"/>
              <w:keepLines/>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eastAsia="zh-CN"/>
              </w:rPr>
              <w:t>2025</w:t>
            </w:r>
            <w:r w:rsidRPr="008B1FF1">
              <w:rPr>
                <w:rFonts w:eastAsia="SimSun" w:cs="Calibri"/>
                <w:color w:val="000000"/>
                <w:sz w:val="20"/>
                <w:lang w:val="zh-CN" w:eastAsia="zh-CN"/>
              </w:rPr>
              <w:t>年</w:t>
            </w:r>
            <w:r w:rsidRPr="008B1FF1">
              <w:rPr>
                <w:rFonts w:eastAsia="SimSun" w:cs="Calibri"/>
                <w:color w:val="000000"/>
                <w:sz w:val="20"/>
                <w:lang w:eastAsia="zh-CN"/>
              </w:rPr>
              <w:t>5</w:t>
            </w:r>
            <w:r w:rsidRPr="008B1FF1">
              <w:rPr>
                <w:rFonts w:eastAsia="SimSun" w:cs="Calibri"/>
                <w:color w:val="000000"/>
                <w:sz w:val="20"/>
                <w:lang w:val="zh-CN" w:eastAsia="zh-CN"/>
              </w:rPr>
              <w:t>月的最新进展</w:t>
            </w:r>
            <w:r w:rsidRPr="008B1FF1">
              <w:rPr>
                <w:rFonts w:eastAsia="SimSun" w:cs="Calibri"/>
                <w:color w:val="000000"/>
                <w:sz w:val="20"/>
                <w:lang w:eastAsia="zh-CN"/>
              </w:rPr>
              <w:t>：</w:t>
            </w:r>
            <w:r w:rsidRPr="008B1FF1">
              <w:rPr>
                <w:rFonts w:eastAsia="SimSun" w:cs="Calibri"/>
                <w:color w:val="000000"/>
                <w:sz w:val="20"/>
                <w:lang w:val="zh-CN" w:eastAsia="zh-CN"/>
              </w:rPr>
              <w:t>在合规信息概览</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18/2018-</w:t>
            </w:r>
            <w:r w:rsidRPr="008B1FF1">
              <w:rPr>
                <w:rFonts w:eastAsia="SimSun" w:cs="Calibri" w:hint="eastAsia"/>
                <w:color w:val="000000"/>
                <w:sz w:val="20"/>
                <w:lang w:val="zh-CN" w:eastAsia="zh-CN"/>
              </w:rPr>
              <w:t>7</w:t>
            </w:r>
            <w:r w:rsidRPr="008B1FF1">
              <w:rPr>
                <w:sz w:val="20"/>
                <w:lang w:eastAsia="zh-CN"/>
              </w:rPr>
              <w:t>[bis]</w:t>
            </w:r>
            <w:r w:rsidRPr="008B1FF1">
              <w:rPr>
                <w:rFonts w:eastAsia="SimSun" w:cs="Calibri" w:hint="eastAsia"/>
                <w:color w:val="000000"/>
                <w:sz w:val="20"/>
                <w:lang w:val="zh-CN" w:eastAsia="zh-CN"/>
              </w:rPr>
              <w:t>号建议</w:t>
            </w:r>
            <w:r w:rsidRPr="008B1FF1">
              <w:rPr>
                <w:rFonts w:eastAsia="SimSun" w:cs="Calibri"/>
                <w:color w:val="000000"/>
                <w:sz w:val="20"/>
                <w:lang w:val="zh-CN" w:eastAsia="zh-CN"/>
              </w:rPr>
              <w:t>（财务报表）</w:t>
            </w:r>
            <w:r w:rsidRPr="008B1FF1">
              <w:rPr>
                <w:rFonts w:eastAsia="SimSun" w:cs="Calibri" w:hint="eastAsia"/>
                <w:color w:val="000000"/>
                <w:sz w:val="20"/>
                <w:lang w:val="zh-CN" w:eastAsia="zh-CN"/>
              </w:rPr>
              <w:t>下对</w:t>
            </w:r>
            <w:r w:rsidRPr="008B1FF1">
              <w:rPr>
                <w:rFonts w:eastAsia="SimSun" w:cs="Calibri"/>
                <w:color w:val="000000"/>
                <w:sz w:val="20"/>
                <w:lang w:val="zh-CN" w:eastAsia="zh-CN"/>
              </w:rPr>
              <w:t>第</w:t>
            </w:r>
            <w:r w:rsidRPr="008B1FF1">
              <w:rPr>
                <w:rFonts w:eastAsia="SimSun" w:cs="Calibri"/>
                <w:color w:val="000000"/>
                <w:sz w:val="20"/>
                <w:lang w:val="zh-CN" w:eastAsia="zh-CN"/>
              </w:rPr>
              <w:t>1</w:t>
            </w:r>
            <w:r w:rsidRPr="008B1FF1">
              <w:rPr>
                <w:rFonts w:eastAsia="SimSun" w:cs="Calibri" w:hint="eastAsia"/>
                <w:color w:val="000000"/>
                <w:sz w:val="20"/>
                <w:lang w:val="zh-CN" w:eastAsia="zh-CN"/>
              </w:rPr>
              <w:t>8</w:t>
            </w:r>
            <w:r w:rsidRPr="008B1FF1">
              <w:rPr>
                <w:rFonts w:eastAsia="SimSun" w:cs="Calibri"/>
                <w:color w:val="000000"/>
                <w:sz w:val="20"/>
                <w:lang w:val="zh-CN" w:eastAsia="zh-CN"/>
              </w:rPr>
              <w:t>/2018</w:t>
            </w:r>
            <w:r w:rsidRPr="008B1FF1">
              <w:rPr>
                <w:rFonts w:eastAsia="SimSun" w:cs="Calibri"/>
                <w:color w:val="000000"/>
                <w:sz w:val="20"/>
                <w:lang w:val="zh-CN" w:eastAsia="zh-CN"/>
              </w:rPr>
              <w:t>号建议（区域代表处特别代表）进行了跟踪，</w:t>
            </w:r>
            <w:r w:rsidRPr="008B1FF1">
              <w:rPr>
                <w:rFonts w:eastAsia="SimSun" w:cs="Calibri" w:hint="eastAsia"/>
                <w:color w:val="000000"/>
                <w:sz w:val="20"/>
                <w:lang w:val="zh-CN" w:eastAsia="zh-CN"/>
              </w:rPr>
              <w:t>且</w:t>
            </w:r>
            <w:r w:rsidRPr="008B1FF1">
              <w:rPr>
                <w:rFonts w:eastAsia="SimSun" w:cs="Calibri"/>
                <w:color w:val="000000"/>
                <w:sz w:val="20"/>
                <w:lang w:val="zh-CN" w:eastAsia="zh-CN"/>
              </w:rPr>
              <w:t>视</w:t>
            </w:r>
            <w:r w:rsidRPr="008B1FF1">
              <w:rPr>
                <w:rFonts w:eastAsia="SimSun" w:cs="Calibri" w:hint="eastAsia"/>
                <w:color w:val="000000"/>
                <w:sz w:val="20"/>
                <w:lang w:val="zh-CN" w:eastAsia="zh-CN"/>
              </w:rPr>
              <w:t>该建议已经落实且问题得到“</w:t>
            </w:r>
            <w:r w:rsidRPr="008B1FF1">
              <w:rPr>
                <w:rFonts w:eastAsia="SimSun" w:cs="Calibri"/>
                <w:color w:val="000000"/>
                <w:sz w:val="20"/>
                <w:lang w:val="zh-CN" w:eastAsia="zh-CN"/>
              </w:rPr>
              <w:t>解决</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。正如向理事会</w:t>
            </w:r>
            <w:r w:rsidRPr="008B1FF1">
              <w:rPr>
                <w:rFonts w:eastAsia="SimSun" w:cs="Calibri"/>
                <w:color w:val="000000"/>
                <w:sz w:val="20"/>
                <w:lang w:val="zh-CN" w:eastAsia="zh-CN"/>
              </w:rPr>
              <w:t>2020</w:t>
            </w:r>
            <w:r w:rsidRPr="008B1FF1">
              <w:rPr>
                <w:rFonts w:eastAsia="SimSun" w:cs="Calibri"/>
                <w:color w:val="000000"/>
                <w:sz w:val="20"/>
                <w:lang w:val="zh-CN" w:eastAsia="zh-CN"/>
              </w:rPr>
              <w:t>年会议（</w:t>
            </w:r>
            <w:hyperlink r:id="rId46" w:history="1">
              <w:r w:rsidR="00DF3E54" w:rsidRPr="008B1FF1">
                <w:rPr>
                  <w:rStyle w:val="Hyperlink"/>
                  <w:sz w:val="20"/>
                  <w:lang w:eastAsia="zh-CN"/>
                </w:rPr>
                <w:t>C20/75</w:t>
              </w:r>
            </w:hyperlink>
            <w:r w:rsidRPr="008B1FF1">
              <w:rPr>
                <w:rFonts w:eastAsia="SimSun" w:cs="Calibri"/>
                <w:color w:val="000000"/>
                <w:sz w:val="20"/>
                <w:lang w:val="zh-CN" w:eastAsia="zh-CN"/>
              </w:rPr>
              <w:t>）</w:t>
            </w:r>
            <w:r w:rsidRPr="008B1FF1">
              <w:rPr>
                <w:rFonts w:eastAsia="SimSun" w:cs="Calibri" w:hint="eastAsia"/>
                <w:color w:val="000000"/>
                <w:sz w:val="20"/>
                <w:lang w:val="zh-CN" w:eastAsia="zh-CN"/>
              </w:rPr>
              <w:t>提交的</w:t>
            </w:r>
            <w:r w:rsidRPr="008B1FF1">
              <w:rPr>
                <w:rFonts w:eastAsia="SimSun" w:cs="Calibri"/>
                <w:color w:val="000000"/>
                <w:sz w:val="20"/>
                <w:lang w:val="zh-CN" w:eastAsia="zh-CN"/>
              </w:rPr>
              <w:t>报告</w:t>
            </w:r>
            <w:r w:rsidRPr="008B1FF1">
              <w:rPr>
                <w:rFonts w:eastAsia="SimSun" w:cs="Calibri" w:hint="eastAsia"/>
                <w:color w:val="000000"/>
                <w:sz w:val="20"/>
                <w:lang w:val="zh-CN" w:eastAsia="zh-CN"/>
              </w:rPr>
              <w:t>所述</w:t>
            </w:r>
            <w:r w:rsidRPr="008B1FF1">
              <w:rPr>
                <w:rFonts w:eastAsia="SimSun" w:cs="Calibri"/>
                <w:color w:val="000000"/>
                <w:sz w:val="20"/>
                <w:lang w:val="zh-CN" w:eastAsia="zh-CN"/>
              </w:rPr>
              <w:t>，普华永道认为</w:t>
            </w:r>
            <w:r w:rsidRPr="008B1FF1">
              <w:rPr>
                <w:rFonts w:eastAsia="SimSun" w:cs="Calibri" w:hint="eastAsia"/>
                <w:color w:val="000000"/>
                <w:sz w:val="20"/>
                <w:lang w:val="zh-CN" w:eastAsia="zh-CN"/>
              </w:rPr>
              <w:t>已通过</w:t>
            </w:r>
            <w:r w:rsidRPr="008B1FF1">
              <w:rPr>
                <w:rFonts w:eastAsia="SimSun" w:cs="Calibri"/>
                <w:color w:val="000000"/>
                <w:sz w:val="20"/>
                <w:lang w:val="zh-CN" w:eastAsia="zh-CN"/>
              </w:rPr>
              <w:t>2022</w:t>
            </w:r>
            <w:r w:rsidRPr="008B1FF1">
              <w:rPr>
                <w:rFonts w:eastAsia="SimSun" w:cs="Calibri"/>
                <w:color w:val="000000"/>
                <w:sz w:val="20"/>
                <w:lang w:val="zh-CN" w:eastAsia="zh-CN"/>
              </w:rPr>
              <w:t>年第</w:t>
            </w:r>
            <w:r w:rsidRPr="008B1FF1">
              <w:rPr>
                <w:rFonts w:eastAsia="SimSun" w:cs="Calibri"/>
                <w:color w:val="000000"/>
                <w:sz w:val="20"/>
                <w:lang w:val="zh-CN" w:eastAsia="zh-CN"/>
              </w:rPr>
              <w:t>22/13</w:t>
            </w:r>
            <w:r w:rsidRPr="008B1FF1">
              <w:rPr>
                <w:rFonts w:eastAsia="SimSun" w:cs="Calibri"/>
                <w:color w:val="000000"/>
                <w:sz w:val="20"/>
                <w:lang w:val="zh-CN" w:eastAsia="zh-CN"/>
              </w:rPr>
              <w:t>号行政规定发布</w:t>
            </w:r>
            <w:r w:rsidRPr="008B1FF1">
              <w:rPr>
                <w:rFonts w:eastAsia="SimSun" w:cs="Calibri" w:hint="eastAsia"/>
                <w:color w:val="000000"/>
                <w:sz w:val="20"/>
                <w:lang w:val="zh-CN" w:eastAsia="zh-CN"/>
              </w:rPr>
              <w:t>的</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新</w:t>
            </w:r>
            <w:r w:rsidRPr="008B1FF1">
              <w:rPr>
                <w:rFonts w:eastAsia="SimSun" w:cs="Calibri" w:hint="eastAsia"/>
                <w:color w:val="000000"/>
                <w:sz w:val="20"/>
                <w:lang w:val="zh-CN" w:eastAsia="zh-CN"/>
              </w:rPr>
              <w:t>《</w:t>
            </w:r>
            <w:r w:rsidRPr="008B1FF1">
              <w:rPr>
                <w:rFonts w:eastAsia="SimSun" w:cs="Calibri"/>
                <w:color w:val="000000"/>
                <w:sz w:val="20"/>
                <w:lang w:val="zh-CN" w:eastAsia="zh-CN"/>
              </w:rPr>
              <w:t>采购手册</w:t>
            </w:r>
            <w:r w:rsidRPr="008B1FF1">
              <w:rPr>
                <w:rFonts w:eastAsia="SimSun" w:cs="Calibri" w:hint="eastAsia"/>
                <w:color w:val="000000"/>
                <w:sz w:val="20"/>
                <w:lang w:val="zh-CN" w:eastAsia="zh-CN"/>
              </w:rPr>
              <w:t>》</w:t>
            </w:r>
            <w:r w:rsidRPr="008B1FF1">
              <w:rPr>
                <w:rFonts w:ascii="SimSun" w:eastAsia="SimSun" w:hAnsi="SimSun" w:cs="Calibri" w:hint="eastAsia"/>
                <w:color w:val="000000"/>
                <w:sz w:val="20"/>
                <w:lang w:val="zh-CN" w:eastAsia="zh-CN"/>
              </w:rPr>
              <w:t>落实了此项建议</w:t>
            </w:r>
            <w:r w:rsidRPr="008B1FF1">
              <w:rPr>
                <w:rFonts w:ascii="SimSun" w:eastAsia="SimSun" w:hAnsi="SimSun" w:cs="Calibri"/>
                <w:color w:val="000000"/>
                <w:sz w:val="20"/>
                <w:lang w:val="zh-CN" w:eastAsia="zh-CN"/>
              </w:rPr>
              <w:t>”</w:t>
            </w:r>
            <w:r w:rsidRPr="008B1FF1">
              <w:rPr>
                <w:rFonts w:ascii="SimSun" w:eastAsia="SimSun" w:hAnsi="SimSun" w:cs="Calibri" w:hint="eastAsia"/>
                <w:color w:val="000000"/>
                <w:sz w:val="20"/>
                <w:lang w:val="zh-CN" w:eastAsia="zh-CN"/>
              </w:rPr>
              <w:t>，其中提及了“</w:t>
            </w:r>
            <w:r w:rsidRPr="008B1FF1">
              <w:rPr>
                <w:rFonts w:eastAsia="SimSun" w:cs="Calibri"/>
                <w:color w:val="000000"/>
                <w:sz w:val="20"/>
                <w:lang w:val="zh-CN" w:eastAsia="zh-CN"/>
              </w:rPr>
              <w:t>评</w:t>
            </w:r>
            <w:r w:rsidRPr="008B1FF1">
              <w:rPr>
                <w:rFonts w:eastAsia="SimSun" w:cs="Calibri" w:hint="eastAsia"/>
                <w:color w:val="000000"/>
                <w:sz w:val="20"/>
                <w:lang w:val="zh-CN" w:eastAsia="zh-CN"/>
              </w:rPr>
              <w:t>估</w:t>
            </w:r>
            <w:r w:rsidRPr="008B1FF1">
              <w:rPr>
                <w:rFonts w:eastAsia="SimSun" w:cs="Calibri"/>
                <w:color w:val="000000"/>
                <w:sz w:val="20"/>
                <w:lang w:val="zh-CN" w:eastAsia="zh-CN"/>
              </w:rPr>
              <w:t>组的协调人应由采购处而非项目经理担任</w:t>
            </w:r>
            <w:r w:rsidRPr="008B1FF1">
              <w:rPr>
                <w:rFonts w:ascii="SimSun" w:eastAsia="SimSun" w:hAnsi="SimSun" w:cs="Calibri" w:hint="eastAsia"/>
                <w:color w:val="000000"/>
                <w:sz w:val="20"/>
                <w:lang w:val="zh-CN" w:eastAsia="zh-CN"/>
              </w:rPr>
              <w:t>”</w:t>
            </w:r>
            <w:r w:rsidRPr="008B1FF1">
              <w:rPr>
                <w:rFonts w:eastAsia="SimSun" w:cs="Calibri"/>
                <w:color w:val="000000"/>
                <w:sz w:val="20"/>
                <w:lang w:val="zh-CN" w:eastAsia="zh-CN"/>
              </w:rPr>
              <w:t>。</w:t>
            </w:r>
          </w:p>
          <w:p w14:paraId="6390031E" w14:textId="2A423275" w:rsidR="000245E2" w:rsidRPr="008B1FF1" w:rsidRDefault="000245E2" w:rsidP="00E17413">
            <w:pPr>
              <w:pStyle w:val="Tabletext"/>
              <w:keepLines/>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50C9D234" w14:textId="77EAC678" w:rsidR="000245E2" w:rsidRPr="008B1FF1" w:rsidRDefault="000245E2" w:rsidP="00E17413">
            <w:pPr>
              <w:pStyle w:val="Tabletext"/>
              <w:keepLines/>
              <w:rPr>
                <w:rFonts w:eastAsia="SimSun" w:cs="Calibri"/>
                <w:sz w:val="20"/>
                <w:lang w:eastAsia="zh-CN"/>
              </w:rPr>
            </w:pPr>
            <w:r w:rsidRPr="008B1FF1">
              <w:rPr>
                <w:rFonts w:eastAsia="SimSun" w:cs="Calibri"/>
                <w:color w:val="000000"/>
                <w:sz w:val="20"/>
                <w:lang w:val="zh-CN" w:eastAsia="zh-CN"/>
              </w:rPr>
              <w:t>意大利审计院在最后报告中（附件</w:t>
            </w:r>
            <w:r w:rsidRPr="008B1FF1">
              <w:rPr>
                <w:rFonts w:eastAsia="SimSun" w:cs="Calibri"/>
                <w:color w:val="000000"/>
                <w:sz w:val="20"/>
                <w:lang w:val="zh-CN" w:eastAsia="zh-CN"/>
              </w:rPr>
              <w:t>3</w:t>
            </w:r>
            <w:r w:rsidRPr="008B1FF1">
              <w:rPr>
                <w:rFonts w:eastAsia="SimSun" w:cs="Calibri"/>
                <w:color w:val="000000"/>
                <w:sz w:val="20"/>
                <w:lang w:val="zh-CN" w:eastAsia="zh-CN"/>
              </w:rPr>
              <w:t>：</w:t>
            </w:r>
            <w:hyperlink r:id="rId47" w:history="1">
              <w:r w:rsidR="00DF3E54" w:rsidRPr="008B1FF1">
                <w:rPr>
                  <w:rStyle w:val="Hyperlink"/>
                  <w:sz w:val="20"/>
                  <w:lang w:eastAsia="zh-CN"/>
                </w:rPr>
                <w:t>C22/101</w:t>
              </w:r>
            </w:hyperlink>
            <w:r w:rsidRPr="008B1FF1">
              <w:rPr>
                <w:rFonts w:eastAsia="SimSun" w:cs="Calibri"/>
                <w:color w:val="000000"/>
                <w:sz w:val="20"/>
                <w:lang w:val="zh-CN" w:eastAsia="zh-CN"/>
              </w:rPr>
              <w:t>）并未将其列为未解决的问题。</w:t>
            </w:r>
          </w:p>
          <w:p w14:paraId="3F9E6E05" w14:textId="6991F15A" w:rsidR="000245E2" w:rsidRPr="008B1FF1" w:rsidRDefault="000245E2" w:rsidP="00E17413">
            <w:pPr>
              <w:pStyle w:val="Tabletext"/>
              <w:keepLines/>
              <w:rPr>
                <w:sz w:val="20"/>
                <w:lang w:eastAsia="zh-CN"/>
              </w:rPr>
            </w:pPr>
            <w:r w:rsidRPr="008B1FF1">
              <w:rPr>
                <w:rFonts w:eastAsia="SimSun" w:cs="Calibri"/>
                <w:color w:val="000000"/>
                <w:sz w:val="20"/>
                <w:lang w:val="zh-CN" w:eastAsia="zh-CN"/>
              </w:rPr>
              <w:t>我们对不再跟进此建议表示满意，并注意到管理层的最新信息。</w:t>
            </w:r>
          </w:p>
        </w:tc>
        <w:tc>
          <w:tcPr>
            <w:tcW w:w="450" w:type="pct"/>
            <w:shd w:val="clear" w:color="auto" w:fill="auto"/>
          </w:tcPr>
          <w:p w14:paraId="3BEF9966" w14:textId="3615AA82" w:rsidR="000245E2" w:rsidRPr="000231A6" w:rsidRDefault="00A62A5A" w:rsidP="00E17413">
            <w:pPr>
              <w:keepLines/>
              <w:tabs>
                <w:tab w:val="clear" w:pos="567"/>
                <w:tab w:val="clear" w:pos="1134"/>
                <w:tab w:val="clear" w:pos="1701"/>
                <w:tab w:val="clear" w:pos="2268"/>
                <w:tab w:val="clear" w:pos="2835"/>
              </w:tabs>
              <w:overflowPunct/>
              <w:autoSpaceDE/>
              <w:autoSpaceDN/>
              <w:adjustRightInd/>
              <w:spacing w:before="0"/>
              <w:textAlignment w:val="auto"/>
              <w:rPr>
                <w:rFonts w:ascii="Times New Roman" w:eastAsia="Times New Roman" w:hAnsi="Times New Roman"/>
                <w:sz w:val="20"/>
                <w:lang w:eastAsia="zh-CN"/>
              </w:rPr>
            </w:pPr>
            <w:r>
              <w:rPr>
                <w:rFonts w:ascii="SimSun" w:eastAsia="SimSun" w:hAnsi="SimSun" w:cs="SimSun" w:hint="eastAsia"/>
                <w:color w:val="000000"/>
                <w:sz w:val="20"/>
                <w:lang w:eastAsia="zh-CN"/>
              </w:rPr>
              <w:t>已关闭。</w:t>
            </w:r>
          </w:p>
        </w:tc>
      </w:tr>
      <w:tr w:rsidR="000245E2" w:rsidRPr="00536D01" w14:paraId="6E248E76" w14:textId="77777777" w:rsidTr="0011737E">
        <w:tc>
          <w:tcPr>
            <w:tcW w:w="300" w:type="pct"/>
            <w:shd w:val="clear" w:color="auto" w:fill="auto"/>
          </w:tcPr>
          <w:p w14:paraId="38152591" w14:textId="2C62E448" w:rsidR="000245E2" w:rsidRPr="008B1FF1" w:rsidRDefault="000245E2" w:rsidP="000245E2">
            <w:pPr>
              <w:pStyle w:val="Tabletext"/>
              <w:rPr>
                <w:sz w:val="20"/>
              </w:rPr>
            </w:pPr>
            <w:r w:rsidRPr="008B1FF1">
              <w:rPr>
                <w:rFonts w:eastAsia="SimSun" w:cs="Calibri"/>
                <w:color w:val="000000"/>
                <w:sz w:val="20"/>
                <w:lang w:val="zh-CN"/>
              </w:rPr>
              <w:lastRenderedPageBreak/>
              <w:t>R#19</w:t>
            </w:r>
          </w:p>
        </w:tc>
        <w:tc>
          <w:tcPr>
            <w:tcW w:w="1450" w:type="pct"/>
            <w:shd w:val="clear" w:color="auto" w:fill="auto"/>
          </w:tcPr>
          <w:p w14:paraId="1E4F0451" w14:textId="6C088DE9" w:rsidR="000245E2" w:rsidRPr="008B1FF1" w:rsidRDefault="000245E2" w:rsidP="000245E2">
            <w:pPr>
              <w:pStyle w:val="Tabletext"/>
              <w:rPr>
                <w:sz w:val="20"/>
                <w:lang w:eastAsia="zh-CN"/>
              </w:rPr>
            </w:pPr>
            <w:r w:rsidRPr="008B1FF1">
              <w:rPr>
                <w:rFonts w:eastAsia="SimSun" w:cs="Calibri"/>
                <w:color w:val="000000"/>
                <w:sz w:val="20"/>
                <w:lang w:val="zh-CN" w:eastAsia="zh-CN"/>
              </w:rPr>
              <w:t>应提供一份具体且详细的无利益冲突声明（</w:t>
            </w:r>
            <w:r w:rsidRPr="008B1FF1">
              <w:rPr>
                <w:rFonts w:eastAsia="SimSun" w:cs="Calibri"/>
                <w:color w:val="000000"/>
                <w:sz w:val="20"/>
                <w:lang w:val="zh-CN" w:eastAsia="zh-CN"/>
              </w:rPr>
              <w:t>DACI</w:t>
            </w:r>
            <w:r w:rsidRPr="008B1FF1">
              <w:rPr>
                <w:rFonts w:eastAsia="SimSun" w:cs="Calibri"/>
                <w:color w:val="000000"/>
                <w:sz w:val="20"/>
                <w:lang w:val="zh-CN" w:eastAsia="zh-CN"/>
              </w:rPr>
              <w:t>），该声明应由参与采购过程的</w:t>
            </w:r>
            <w:r w:rsidRPr="008B1FF1">
              <w:rPr>
                <w:rFonts w:eastAsia="SimSun" w:cs="Calibri" w:hint="eastAsia"/>
                <w:color w:val="000000"/>
                <w:sz w:val="20"/>
                <w:lang w:val="zh-CN" w:eastAsia="zh-CN"/>
              </w:rPr>
              <w:t>全体</w:t>
            </w:r>
            <w:r w:rsidRPr="008B1FF1">
              <w:rPr>
                <w:rFonts w:eastAsia="SimSun" w:cs="Calibri"/>
                <w:color w:val="000000"/>
                <w:sz w:val="20"/>
                <w:lang w:val="zh-CN" w:eastAsia="zh-CN"/>
              </w:rPr>
              <w:t>人员正式签署。</w:t>
            </w:r>
          </w:p>
        </w:tc>
        <w:tc>
          <w:tcPr>
            <w:tcW w:w="1750" w:type="pct"/>
            <w:shd w:val="clear" w:color="auto" w:fill="auto"/>
          </w:tcPr>
          <w:p w14:paraId="6CF61B07"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国际电联同意让参与采购</w:t>
            </w:r>
            <w:r w:rsidRPr="008B1FF1">
              <w:rPr>
                <w:rFonts w:eastAsia="SimSun" w:cs="Calibri" w:hint="eastAsia"/>
                <w:color w:val="000000"/>
                <w:sz w:val="20"/>
                <w:lang w:val="zh-CN" w:eastAsia="zh-CN"/>
              </w:rPr>
              <w:t>进</w:t>
            </w:r>
            <w:r w:rsidRPr="008B1FF1">
              <w:rPr>
                <w:rFonts w:eastAsia="SimSun" w:cs="Calibri"/>
                <w:color w:val="000000"/>
                <w:sz w:val="20"/>
                <w:lang w:val="zh-CN" w:eastAsia="zh-CN"/>
              </w:rPr>
              <w:t>程的一些关键职员签署</w:t>
            </w:r>
            <w:r w:rsidRPr="008B1FF1">
              <w:rPr>
                <w:rFonts w:eastAsia="SimSun" w:cs="Calibri"/>
                <w:color w:val="000000"/>
                <w:sz w:val="20"/>
                <w:lang w:val="zh-CN" w:eastAsia="zh-CN"/>
              </w:rPr>
              <w:t>DACI</w:t>
            </w:r>
            <w:r w:rsidRPr="008B1FF1">
              <w:rPr>
                <w:rFonts w:eastAsia="SimSun" w:cs="Calibri"/>
                <w:color w:val="000000"/>
                <w:sz w:val="20"/>
                <w:lang w:val="zh-CN" w:eastAsia="zh-CN"/>
              </w:rPr>
              <w:t>。</w:t>
            </w:r>
          </w:p>
          <w:p w14:paraId="3877C27F" w14:textId="186325CF"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eastAsia="zh-CN"/>
              </w:rPr>
              <w:t>2025</w:t>
            </w:r>
            <w:r w:rsidRPr="008B1FF1">
              <w:rPr>
                <w:rFonts w:eastAsia="SimSun" w:cs="Calibri"/>
                <w:color w:val="000000"/>
                <w:sz w:val="20"/>
                <w:lang w:val="zh-CN" w:eastAsia="zh-CN"/>
              </w:rPr>
              <w:t>年</w:t>
            </w:r>
            <w:r w:rsidRPr="008B1FF1">
              <w:rPr>
                <w:rFonts w:eastAsia="SimSun" w:cs="Calibri"/>
                <w:color w:val="000000"/>
                <w:sz w:val="20"/>
                <w:lang w:eastAsia="zh-CN"/>
              </w:rPr>
              <w:t>5</w:t>
            </w:r>
            <w:r w:rsidRPr="008B1FF1">
              <w:rPr>
                <w:rFonts w:eastAsia="SimSun" w:cs="Calibri"/>
                <w:color w:val="000000"/>
                <w:sz w:val="20"/>
                <w:lang w:val="zh-CN" w:eastAsia="zh-CN"/>
              </w:rPr>
              <w:t>月的最新进展</w:t>
            </w:r>
            <w:r w:rsidRPr="008B1FF1">
              <w:rPr>
                <w:rFonts w:eastAsia="SimSun" w:cs="Calibri"/>
                <w:color w:val="000000"/>
                <w:sz w:val="20"/>
                <w:lang w:eastAsia="zh-CN"/>
              </w:rPr>
              <w:t>：</w:t>
            </w:r>
            <w:r w:rsidRPr="008B1FF1">
              <w:rPr>
                <w:rFonts w:eastAsia="SimSun" w:cs="Calibri"/>
                <w:color w:val="000000"/>
                <w:sz w:val="20"/>
                <w:lang w:val="zh-CN" w:eastAsia="zh-CN"/>
              </w:rPr>
              <w:t>在合规信息概览</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18/2018-</w:t>
            </w:r>
            <w:r w:rsidRPr="008B1FF1">
              <w:rPr>
                <w:rFonts w:eastAsia="SimSun" w:cs="Calibri" w:hint="eastAsia"/>
                <w:color w:val="000000"/>
                <w:sz w:val="20"/>
                <w:lang w:val="zh-CN" w:eastAsia="zh-CN"/>
              </w:rPr>
              <w:t>8</w:t>
            </w:r>
            <w:r w:rsidRPr="008B1FF1">
              <w:rPr>
                <w:rFonts w:eastAsia="SimSun" w:cs="Calibri" w:hint="eastAsia"/>
                <w:color w:val="000000"/>
                <w:sz w:val="20"/>
                <w:lang w:val="zh-CN" w:eastAsia="zh-CN"/>
              </w:rPr>
              <w:t>号建议</w:t>
            </w:r>
            <w:r w:rsidRPr="008B1FF1">
              <w:rPr>
                <w:rFonts w:eastAsia="SimSun" w:cs="Calibri"/>
                <w:color w:val="000000"/>
                <w:sz w:val="20"/>
                <w:lang w:val="zh-CN" w:eastAsia="zh-CN"/>
              </w:rPr>
              <w:t>（财务报表）</w:t>
            </w:r>
            <w:r w:rsidRPr="008B1FF1">
              <w:rPr>
                <w:rFonts w:eastAsia="SimSun" w:cs="Calibri" w:hint="eastAsia"/>
                <w:color w:val="000000"/>
                <w:sz w:val="20"/>
                <w:lang w:val="zh-CN" w:eastAsia="zh-CN"/>
              </w:rPr>
              <w:t>下对</w:t>
            </w:r>
            <w:r w:rsidRPr="008B1FF1">
              <w:rPr>
                <w:rFonts w:eastAsia="SimSun" w:cs="Calibri"/>
                <w:color w:val="000000"/>
                <w:sz w:val="20"/>
                <w:lang w:val="zh-CN" w:eastAsia="zh-CN"/>
              </w:rPr>
              <w:t>第</w:t>
            </w:r>
            <w:r w:rsidRPr="008B1FF1">
              <w:rPr>
                <w:rFonts w:eastAsia="SimSun" w:cs="Calibri"/>
                <w:color w:val="000000"/>
                <w:sz w:val="20"/>
                <w:lang w:val="zh-CN" w:eastAsia="zh-CN"/>
              </w:rPr>
              <w:t>1</w:t>
            </w:r>
            <w:r w:rsidRPr="008B1FF1">
              <w:rPr>
                <w:rFonts w:eastAsia="SimSun" w:cs="Calibri" w:hint="eastAsia"/>
                <w:color w:val="000000"/>
                <w:sz w:val="20"/>
                <w:lang w:val="zh-CN" w:eastAsia="zh-CN"/>
              </w:rPr>
              <w:t>9</w:t>
            </w:r>
            <w:r w:rsidRPr="008B1FF1">
              <w:rPr>
                <w:rFonts w:eastAsia="SimSun" w:cs="Calibri"/>
                <w:color w:val="000000"/>
                <w:sz w:val="20"/>
                <w:lang w:val="zh-CN" w:eastAsia="zh-CN"/>
              </w:rPr>
              <w:t>/2018</w:t>
            </w:r>
            <w:r w:rsidRPr="008B1FF1">
              <w:rPr>
                <w:rFonts w:eastAsia="SimSun" w:cs="Calibri"/>
                <w:color w:val="000000"/>
                <w:sz w:val="20"/>
                <w:lang w:val="zh-CN" w:eastAsia="zh-CN"/>
              </w:rPr>
              <w:t>号建议（区域代表处特别代表）进行了跟踪，</w:t>
            </w:r>
            <w:r w:rsidRPr="008B1FF1">
              <w:rPr>
                <w:rFonts w:eastAsia="SimSun" w:cs="Calibri" w:hint="eastAsia"/>
                <w:color w:val="000000"/>
                <w:sz w:val="20"/>
                <w:lang w:val="zh-CN" w:eastAsia="zh-CN"/>
              </w:rPr>
              <w:t>且</w:t>
            </w:r>
            <w:r w:rsidRPr="008B1FF1">
              <w:rPr>
                <w:rFonts w:eastAsia="SimSun" w:cs="Calibri"/>
                <w:color w:val="000000"/>
                <w:sz w:val="20"/>
                <w:lang w:val="zh-CN" w:eastAsia="zh-CN"/>
              </w:rPr>
              <w:t>视</w:t>
            </w:r>
            <w:r w:rsidRPr="008B1FF1">
              <w:rPr>
                <w:rFonts w:eastAsia="SimSun" w:cs="Calibri" w:hint="eastAsia"/>
                <w:color w:val="000000"/>
                <w:sz w:val="20"/>
                <w:lang w:val="zh-CN" w:eastAsia="zh-CN"/>
              </w:rPr>
              <w:t>该建议已经落实且问题得到“</w:t>
            </w:r>
            <w:r w:rsidRPr="008B1FF1">
              <w:rPr>
                <w:rFonts w:eastAsia="SimSun" w:cs="Calibri"/>
                <w:color w:val="000000"/>
                <w:sz w:val="20"/>
                <w:lang w:val="zh-CN" w:eastAsia="zh-CN"/>
              </w:rPr>
              <w:t>解决</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。正如向理事会</w:t>
            </w:r>
            <w:r w:rsidRPr="008B1FF1">
              <w:rPr>
                <w:rFonts w:eastAsia="SimSun" w:cs="Calibri"/>
                <w:color w:val="000000"/>
                <w:sz w:val="20"/>
                <w:lang w:val="zh-CN" w:eastAsia="zh-CN"/>
              </w:rPr>
              <w:t>2020</w:t>
            </w:r>
            <w:r w:rsidRPr="008B1FF1">
              <w:rPr>
                <w:rFonts w:eastAsia="SimSun" w:cs="Calibri"/>
                <w:color w:val="000000"/>
                <w:sz w:val="20"/>
                <w:lang w:val="zh-CN" w:eastAsia="zh-CN"/>
              </w:rPr>
              <w:t>年会议（</w:t>
            </w:r>
            <w:hyperlink r:id="rId48" w:history="1">
              <w:r w:rsidR="00DF3E54" w:rsidRPr="008B1FF1">
                <w:rPr>
                  <w:rStyle w:val="Hyperlink"/>
                  <w:sz w:val="20"/>
                  <w:lang w:eastAsia="zh-CN"/>
                </w:rPr>
                <w:t>C20/75</w:t>
              </w:r>
            </w:hyperlink>
            <w:r w:rsidRPr="008B1FF1">
              <w:rPr>
                <w:rFonts w:eastAsia="SimSun" w:cs="Calibri"/>
                <w:color w:val="000000"/>
                <w:sz w:val="20"/>
                <w:lang w:val="zh-CN" w:eastAsia="zh-CN"/>
              </w:rPr>
              <w:t>）</w:t>
            </w:r>
            <w:r w:rsidRPr="008B1FF1">
              <w:rPr>
                <w:rFonts w:eastAsia="SimSun" w:cs="Calibri" w:hint="eastAsia"/>
                <w:color w:val="000000"/>
                <w:sz w:val="20"/>
                <w:lang w:val="zh-CN" w:eastAsia="zh-CN"/>
              </w:rPr>
              <w:t>提交的</w:t>
            </w:r>
            <w:r w:rsidRPr="008B1FF1">
              <w:rPr>
                <w:rFonts w:eastAsia="SimSun" w:cs="Calibri"/>
                <w:color w:val="000000"/>
                <w:sz w:val="20"/>
                <w:lang w:val="zh-CN" w:eastAsia="zh-CN"/>
              </w:rPr>
              <w:t>报告</w:t>
            </w:r>
            <w:r w:rsidRPr="008B1FF1">
              <w:rPr>
                <w:rFonts w:eastAsia="SimSun" w:cs="Calibri" w:hint="eastAsia"/>
                <w:color w:val="000000"/>
                <w:sz w:val="20"/>
                <w:lang w:val="zh-CN" w:eastAsia="zh-CN"/>
              </w:rPr>
              <w:t>所述</w:t>
            </w:r>
            <w:r w:rsidRPr="008B1FF1">
              <w:rPr>
                <w:rFonts w:eastAsia="SimSun" w:cs="Calibri"/>
                <w:color w:val="000000"/>
                <w:sz w:val="20"/>
                <w:lang w:val="zh-CN" w:eastAsia="zh-CN"/>
              </w:rPr>
              <w:t>，普华永道认为</w:t>
            </w:r>
            <w:r w:rsidRPr="008B1FF1">
              <w:rPr>
                <w:rFonts w:eastAsia="SimSun" w:cs="Calibri" w:hint="eastAsia"/>
                <w:color w:val="000000"/>
                <w:sz w:val="20"/>
                <w:lang w:val="zh-CN" w:eastAsia="zh-CN"/>
              </w:rPr>
              <w:t>已通过</w:t>
            </w:r>
            <w:r w:rsidRPr="008B1FF1">
              <w:rPr>
                <w:rFonts w:eastAsia="SimSun" w:cs="Calibri"/>
                <w:color w:val="000000"/>
                <w:sz w:val="20"/>
                <w:lang w:val="zh-CN" w:eastAsia="zh-CN"/>
              </w:rPr>
              <w:t>2022</w:t>
            </w:r>
            <w:r w:rsidRPr="008B1FF1">
              <w:rPr>
                <w:rFonts w:eastAsia="SimSun" w:cs="Calibri"/>
                <w:color w:val="000000"/>
                <w:sz w:val="20"/>
                <w:lang w:val="zh-CN" w:eastAsia="zh-CN"/>
              </w:rPr>
              <w:t>年第</w:t>
            </w:r>
            <w:r w:rsidRPr="008B1FF1">
              <w:rPr>
                <w:rFonts w:eastAsia="SimSun" w:cs="Calibri"/>
                <w:color w:val="000000"/>
                <w:sz w:val="20"/>
                <w:lang w:val="zh-CN" w:eastAsia="zh-CN"/>
              </w:rPr>
              <w:t>22/13</w:t>
            </w:r>
            <w:r w:rsidRPr="008B1FF1">
              <w:rPr>
                <w:rFonts w:eastAsia="SimSun" w:cs="Calibri"/>
                <w:color w:val="000000"/>
                <w:sz w:val="20"/>
                <w:lang w:val="zh-CN" w:eastAsia="zh-CN"/>
              </w:rPr>
              <w:t>号行政规定发布</w:t>
            </w:r>
            <w:r w:rsidRPr="008B1FF1">
              <w:rPr>
                <w:rFonts w:eastAsia="SimSun" w:cs="Calibri" w:hint="eastAsia"/>
                <w:color w:val="000000"/>
                <w:sz w:val="20"/>
                <w:lang w:val="zh-CN" w:eastAsia="zh-CN"/>
              </w:rPr>
              <w:t>的</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新</w:t>
            </w:r>
            <w:r w:rsidRPr="008B1FF1">
              <w:rPr>
                <w:rFonts w:eastAsia="SimSun" w:cs="Calibri" w:hint="eastAsia"/>
                <w:color w:val="000000"/>
                <w:sz w:val="20"/>
                <w:lang w:val="zh-CN" w:eastAsia="zh-CN"/>
              </w:rPr>
              <w:t>《</w:t>
            </w:r>
            <w:r w:rsidRPr="008B1FF1">
              <w:rPr>
                <w:rFonts w:eastAsia="SimSun" w:cs="Calibri"/>
                <w:color w:val="000000"/>
                <w:sz w:val="20"/>
                <w:lang w:val="zh-CN" w:eastAsia="zh-CN"/>
              </w:rPr>
              <w:t>采购手册</w:t>
            </w:r>
            <w:r w:rsidRPr="008B1FF1">
              <w:rPr>
                <w:rFonts w:eastAsia="SimSun" w:cs="Calibri" w:hint="eastAsia"/>
                <w:color w:val="000000"/>
                <w:sz w:val="20"/>
                <w:lang w:val="zh-CN" w:eastAsia="zh-CN"/>
              </w:rPr>
              <w:t>》</w:t>
            </w:r>
            <w:r w:rsidRPr="008B1FF1">
              <w:rPr>
                <w:rFonts w:ascii="SimSun" w:eastAsia="SimSun" w:hAnsi="SimSun" w:cs="Calibri" w:hint="eastAsia"/>
                <w:color w:val="000000"/>
                <w:sz w:val="20"/>
                <w:lang w:val="zh-CN" w:eastAsia="zh-CN"/>
              </w:rPr>
              <w:t>落实了此项建议</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w:t>
            </w:r>
          </w:p>
          <w:p w14:paraId="310E73EF" w14:textId="656D4BCA"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2BB5FDC8" w14:textId="41F5BC4D"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意大利审计院在最后报告中（附件</w:t>
            </w:r>
            <w:r w:rsidRPr="008B1FF1">
              <w:rPr>
                <w:rFonts w:eastAsia="SimSun" w:cs="Calibri"/>
                <w:color w:val="000000"/>
                <w:sz w:val="20"/>
                <w:lang w:val="zh-CN" w:eastAsia="zh-CN"/>
              </w:rPr>
              <w:t>3</w:t>
            </w:r>
            <w:r w:rsidRPr="008B1FF1">
              <w:rPr>
                <w:rFonts w:eastAsia="SimSun" w:cs="Calibri"/>
                <w:color w:val="000000"/>
                <w:sz w:val="20"/>
                <w:lang w:val="zh-CN" w:eastAsia="zh-CN"/>
              </w:rPr>
              <w:t>：</w:t>
            </w:r>
            <w:hyperlink r:id="rId49" w:history="1">
              <w:r w:rsidR="00DF3E54" w:rsidRPr="008B1FF1">
                <w:rPr>
                  <w:rStyle w:val="Hyperlink"/>
                  <w:sz w:val="20"/>
                  <w:lang w:eastAsia="zh-CN"/>
                </w:rPr>
                <w:t>C22/101</w:t>
              </w:r>
            </w:hyperlink>
            <w:r w:rsidRPr="008B1FF1">
              <w:rPr>
                <w:rFonts w:eastAsia="SimSun" w:cs="Calibri"/>
                <w:color w:val="000000"/>
                <w:sz w:val="20"/>
                <w:lang w:val="zh-CN" w:eastAsia="zh-CN"/>
              </w:rPr>
              <w:t>）并未将其列为未解决的问题。</w:t>
            </w:r>
          </w:p>
          <w:p w14:paraId="31E4D1B5" w14:textId="7FD5ABAF" w:rsidR="000245E2" w:rsidRPr="008B1FF1" w:rsidRDefault="000245E2" w:rsidP="000245E2">
            <w:pPr>
              <w:pStyle w:val="Tabletext"/>
              <w:rPr>
                <w:sz w:val="20"/>
                <w:lang w:eastAsia="zh-CN"/>
              </w:rPr>
            </w:pPr>
            <w:r w:rsidRPr="008B1FF1">
              <w:rPr>
                <w:rFonts w:eastAsia="SimSun" w:cs="Calibri"/>
                <w:color w:val="000000"/>
                <w:sz w:val="20"/>
                <w:lang w:val="zh-CN" w:eastAsia="zh-CN"/>
              </w:rPr>
              <w:t>我们对不再跟进此建议表示满意，并注意到管理层的最新信息。</w:t>
            </w:r>
          </w:p>
        </w:tc>
        <w:tc>
          <w:tcPr>
            <w:tcW w:w="450" w:type="pct"/>
            <w:shd w:val="clear" w:color="auto" w:fill="auto"/>
          </w:tcPr>
          <w:p w14:paraId="324DCFAB" w14:textId="0CD145C9" w:rsidR="000245E2" w:rsidRPr="000231A6" w:rsidRDefault="00A62A5A" w:rsidP="000231A6">
            <w:pPr>
              <w:tabs>
                <w:tab w:val="clear" w:pos="567"/>
                <w:tab w:val="clear" w:pos="1134"/>
                <w:tab w:val="clear" w:pos="1701"/>
                <w:tab w:val="clear" w:pos="2268"/>
                <w:tab w:val="clear" w:pos="2835"/>
              </w:tabs>
              <w:overflowPunct/>
              <w:autoSpaceDE/>
              <w:autoSpaceDN/>
              <w:adjustRightInd/>
              <w:spacing w:before="0"/>
              <w:textAlignment w:val="auto"/>
              <w:rPr>
                <w:rFonts w:ascii="Times New Roman" w:eastAsia="Times New Roman" w:hAnsi="Times New Roman"/>
                <w:sz w:val="20"/>
                <w:lang w:eastAsia="zh-CN"/>
              </w:rPr>
            </w:pPr>
            <w:r>
              <w:rPr>
                <w:rFonts w:ascii="SimSun" w:eastAsia="SimSun" w:hAnsi="SimSun" w:cs="SimSun" w:hint="eastAsia"/>
                <w:color w:val="000000"/>
                <w:sz w:val="20"/>
                <w:lang w:eastAsia="zh-CN"/>
              </w:rPr>
              <w:t>已关闭。</w:t>
            </w:r>
          </w:p>
        </w:tc>
      </w:tr>
      <w:tr w:rsidR="000245E2" w:rsidRPr="00536D01" w14:paraId="30A89341" w14:textId="77777777" w:rsidTr="0011737E">
        <w:tc>
          <w:tcPr>
            <w:tcW w:w="300" w:type="pct"/>
            <w:shd w:val="clear" w:color="auto" w:fill="auto"/>
          </w:tcPr>
          <w:p w14:paraId="0B7A3FAE" w14:textId="0B576191" w:rsidR="000245E2" w:rsidRPr="008B1FF1" w:rsidRDefault="000245E2" w:rsidP="000245E2">
            <w:pPr>
              <w:pStyle w:val="Tabletext"/>
              <w:rPr>
                <w:sz w:val="20"/>
              </w:rPr>
            </w:pPr>
            <w:r w:rsidRPr="008B1FF1">
              <w:rPr>
                <w:rFonts w:eastAsia="SimSun" w:cs="Calibri"/>
                <w:color w:val="000000"/>
                <w:sz w:val="20"/>
                <w:lang w:val="zh-CN"/>
              </w:rPr>
              <w:t>R#20</w:t>
            </w:r>
          </w:p>
        </w:tc>
        <w:tc>
          <w:tcPr>
            <w:tcW w:w="1450" w:type="pct"/>
            <w:shd w:val="clear" w:color="auto" w:fill="auto"/>
          </w:tcPr>
          <w:p w14:paraId="6BE99E98" w14:textId="5E17D235" w:rsidR="000245E2" w:rsidRPr="008B1FF1" w:rsidRDefault="000245E2" w:rsidP="000245E2">
            <w:pPr>
              <w:pStyle w:val="Tabletext"/>
              <w:rPr>
                <w:sz w:val="20"/>
                <w:lang w:eastAsia="zh-CN"/>
              </w:rPr>
            </w:pPr>
            <w:r w:rsidRPr="008B1FF1">
              <w:rPr>
                <w:rFonts w:eastAsia="SimSun" w:cs="Calibri"/>
                <w:color w:val="000000"/>
                <w:sz w:val="20"/>
                <w:lang w:val="zh-CN" w:eastAsia="zh-CN"/>
              </w:rPr>
              <w:t>修正项目管理导则，以更好地阐明采购处的作用并参考适用于采购的规则和程序。</w:t>
            </w:r>
          </w:p>
        </w:tc>
        <w:tc>
          <w:tcPr>
            <w:tcW w:w="1750" w:type="pct"/>
            <w:shd w:val="clear" w:color="auto" w:fill="auto"/>
          </w:tcPr>
          <w:p w14:paraId="2D94DED9" w14:textId="77777777"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国际电联同意</w:t>
            </w:r>
            <w:r w:rsidRPr="008B1FF1">
              <w:rPr>
                <w:rFonts w:eastAsia="SimSun" w:cs="Calibri" w:hint="eastAsia"/>
                <w:color w:val="000000"/>
                <w:sz w:val="20"/>
                <w:lang w:val="zh-CN" w:eastAsia="zh-CN"/>
              </w:rPr>
              <w:t>第</w:t>
            </w:r>
            <w:r w:rsidRPr="008B1FF1">
              <w:rPr>
                <w:rFonts w:eastAsia="SimSun" w:cs="Calibri"/>
                <w:color w:val="000000"/>
                <w:sz w:val="20"/>
                <w:lang w:val="zh-CN" w:eastAsia="zh-CN"/>
              </w:rPr>
              <w:t>20</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建议。国际电联已开始初步讨论将项目管理导则与采购规则和程序联系起来的问题。</w:t>
            </w:r>
          </w:p>
          <w:p w14:paraId="4335F41D" w14:textId="45341996"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eastAsia="zh-CN"/>
              </w:rPr>
              <w:t>2025</w:t>
            </w:r>
            <w:r w:rsidRPr="008B1FF1">
              <w:rPr>
                <w:rFonts w:eastAsia="SimSun" w:cs="Calibri"/>
                <w:color w:val="000000"/>
                <w:sz w:val="20"/>
                <w:lang w:val="zh-CN" w:eastAsia="zh-CN"/>
              </w:rPr>
              <w:t>年</w:t>
            </w:r>
            <w:r w:rsidRPr="008B1FF1">
              <w:rPr>
                <w:rFonts w:eastAsia="SimSun" w:cs="Calibri"/>
                <w:color w:val="000000"/>
                <w:sz w:val="20"/>
                <w:lang w:eastAsia="zh-CN"/>
              </w:rPr>
              <w:t>5</w:t>
            </w:r>
            <w:r w:rsidRPr="008B1FF1">
              <w:rPr>
                <w:rFonts w:eastAsia="SimSun" w:cs="Calibri"/>
                <w:color w:val="000000"/>
                <w:sz w:val="20"/>
                <w:lang w:val="zh-CN" w:eastAsia="zh-CN"/>
              </w:rPr>
              <w:t>月的最新进展</w:t>
            </w:r>
            <w:r w:rsidRPr="008B1FF1">
              <w:rPr>
                <w:rFonts w:eastAsia="SimSun" w:cs="Calibri"/>
                <w:color w:val="000000"/>
                <w:sz w:val="20"/>
                <w:lang w:eastAsia="zh-CN"/>
              </w:rPr>
              <w:t>：</w:t>
            </w:r>
            <w:r w:rsidRPr="008B1FF1">
              <w:rPr>
                <w:rFonts w:eastAsia="SimSun" w:cs="Calibri"/>
                <w:color w:val="000000"/>
                <w:sz w:val="20"/>
                <w:lang w:val="zh-CN" w:eastAsia="zh-CN"/>
              </w:rPr>
              <w:t>在合规信息概览</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18/2018-</w:t>
            </w:r>
            <w:r w:rsidRPr="008B1FF1">
              <w:rPr>
                <w:rFonts w:eastAsia="SimSun" w:cs="Calibri" w:hint="eastAsia"/>
                <w:color w:val="000000"/>
                <w:sz w:val="20"/>
                <w:lang w:val="zh-CN" w:eastAsia="zh-CN"/>
              </w:rPr>
              <w:t>9</w:t>
            </w:r>
            <w:r w:rsidRPr="008B1FF1">
              <w:rPr>
                <w:rFonts w:eastAsia="SimSun" w:cs="Calibri" w:hint="eastAsia"/>
                <w:color w:val="000000"/>
                <w:sz w:val="20"/>
                <w:lang w:val="zh-CN" w:eastAsia="zh-CN"/>
              </w:rPr>
              <w:t>号建议</w:t>
            </w:r>
            <w:r w:rsidRPr="008B1FF1">
              <w:rPr>
                <w:rFonts w:eastAsia="SimSun" w:cs="Calibri"/>
                <w:color w:val="000000"/>
                <w:sz w:val="20"/>
                <w:lang w:val="zh-CN" w:eastAsia="zh-CN"/>
              </w:rPr>
              <w:t>（财务报表）</w:t>
            </w:r>
            <w:r w:rsidRPr="008B1FF1">
              <w:rPr>
                <w:rFonts w:eastAsia="SimSun" w:cs="Calibri" w:hint="eastAsia"/>
                <w:color w:val="000000"/>
                <w:sz w:val="20"/>
                <w:lang w:val="zh-CN" w:eastAsia="zh-CN"/>
              </w:rPr>
              <w:t>下对</w:t>
            </w:r>
            <w:r w:rsidRPr="008B1FF1">
              <w:rPr>
                <w:rFonts w:eastAsia="SimSun" w:cs="Calibri"/>
                <w:color w:val="000000"/>
                <w:sz w:val="20"/>
                <w:lang w:val="zh-CN" w:eastAsia="zh-CN"/>
              </w:rPr>
              <w:t>第</w:t>
            </w:r>
            <w:r w:rsidRPr="008B1FF1">
              <w:rPr>
                <w:rFonts w:eastAsia="SimSun" w:cs="Calibri" w:hint="eastAsia"/>
                <w:color w:val="000000"/>
                <w:sz w:val="20"/>
                <w:lang w:val="zh-CN" w:eastAsia="zh-CN"/>
              </w:rPr>
              <w:t>20</w:t>
            </w:r>
            <w:r w:rsidRPr="008B1FF1">
              <w:rPr>
                <w:rFonts w:eastAsia="SimSun" w:cs="Calibri"/>
                <w:color w:val="000000"/>
                <w:sz w:val="20"/>
                <w:lang w:val="zh-CN" w:eastAsia="zh-CN"/>
              </w:rPr>
              <w:t>/2018</w:t>
            </w:r>
            <w:r w:rsidRPr="008B1FF1">
              <w:rPr>
                <w:rFonts w:eastAsia="SimSun" w:cs="Calibri"/>
                <w:color w:val="000000"/>
                <w:sz w:val="20"/>
                <w:lang w:val="zh-CN" w:eastAsia="zh-CN"/>
              </w:rPr>
              <w:t>号建议（区域代表处特别代表）进行了跟踪，</w:t>
            </w:r>
            <w:r w:rsidRPr="008B1FF1">
              <w:rPr>
                <w:rFonts w:eastAsia="SimSun" w:cs="Calibri" w:hint="eastAsia"/>
                <w:color w:val="000000"/>
                <w:sz w:val="20"/>
                <w:lang w:val="zh-CN" w:eastAsia="zh-CN"/>
              </w:rPr>
              <w:t>且</w:t>
            </w:r>
            <w:r w:rsidRPr="008B1FF1">
              <w:rPr>
                <w:rFonts w:eastAsia="SimSun" w:cs="Calibri"/>
                <w:color w:val="000000"/>
                <w:sz w:val="20"/>
                <w:lang w:val="zh-CN" w:eastAsia="zh-CN"/>
              </w:rPr>
              <w:t>视</w:t>
            </w:r>
            <w:r w:rsidRPr="008B1FF1">
              <w:rPr>
                <w:rFonts w:eastAsia="SimSun" w:cs="Calibri" w:hint="eastAsia"/>
                <w:color w:val="000000"/>
                <w:sz w:val="20"/>
                <w:lang w:val="zh-CN" w:eastAsia="zh-CN"/>
              </w:rPr>
              <w:t>该建议已经落实且问题得到“</w:t>
            </w:r>
            <w:r w:rsidRPr="008B1FF1">
              <w:rPr>
                <w:rFonts w:eastAsia="SimSun" w:cs="Calibri"/>
                <w:color w:val="000000"/>
                <w:sz w:val="20"/>
                <w:lang w:val="zh-CN" w:eastAsia="zh-CN"/>
              </w:rPr>
              <w:t>解决</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。正如向理事会</w:t>
            </w:r>
            <w:r w:rsidRPr="008B1FF1">
              <w:rPr>
                <w:rFonts w:eastAsia="SimSun" w:cs="Calibri"/>
                <w:color w:val="000000"/>
                <w:sz w:val="20"/>
                <w:lang w:val="zh-CN" w:eastAsia="zh-CN"/>
              </w:rPr>
              <w:t>2020</w:t>
            </w:r>
            <w:r w:rsidRPr="008B1FF1">
              <w:rPr>
                <w:rFonts w:eastAsia="SimSun" w:cs="Calibri"/>
                <w:color w:val="000000"/>
                <w:sz w:val="20"/>
                <w:lang w:val="zh-CN" w:eastAsia="zh-CN"/>
              </w:rPr>
              <w:t>年会议（</w:t>
            </w:r>
            <w:hyperlink r:id="rId50" w:history="1">
              <w:r w:rsidR="00DF3E54" w:rsidRPr="008B1FF1">
                <w:rPr>
                  <w:rStyle w:val="Hyperlink"/>
                  <w:sz w:val="20"/>
                  <w:lang w:eastAsia="zh-CN"/>
                </w:rPr>
                <w:t>C20/75</w:t>
              </w:r>
            </w:hyperlink>
            <w:r w:rsidRPr="008B1FF1">
              <w:rPr>
                <w:rFonts w:eastAsia="SimSun" w:cs="Calibri"/>
                <w:color w:val="000000"/>
                <w:sz w:val="20"/>
                <w:lang w:val="zh-CN" w:eastAsia="zh-CN"/>
              </w:rPr>
              <w:t>）</w:t>
            </w:r>
            <w:r w:rsidRPr="008B1FF1">
              <w:rPr>
                <w:rFonts w:eastAsia="SimSun" w:cs="Calibri" w:hint="eastAsia"/>
                <w:color w:val="000000"/>
                <w:sz w:val="20"/>
                <w:lang w:val="zh-CN" w:eastAsia="zh-CN"/>
              </w:rPr>
              <w:t>提交的</w:t>
            </w:r>
            <w:r w:rsidRPr="008B1FF1">
              <w:rPr>
                <w:rFonts w:eastAsia="SimSun" w:cs="Calibri"/>
                <w:color w:val="000000"/>
                <w:sz w:val="20"/>
                <w:lang w:val="zh-CN" w:eastAsia="zh-CN"/>
              </w:rPr>
              <w:t>报告</w:t>
            </w:r>
            <w:r w:rsidRPr="008B1FF1">
              <w:rPr>
                <w:rFonts w:eastAsia="SimSun" w:cs="Calibri" w:hint="eastAsia"/>
                <w:color w:val="000000"/>
                <w:sz w:val="20"/>
                <w:lang w:val="zh-CN" w:eastAsia="zh-CN"/>
              </w:rPr>
              <w:t>所述</w:t>
            </w:r>
            <w:r w:rsidRPr="008B1FF1">
              <w:rPr>
                <w:rFonts w:eastAsia="SimSun" w:cs="Calibri"/>
                <w:color w:val="000000"/>
                <w:sz w:val="20"/>
                <w:lang w:val="zh-CN" w:eastAsia="zh-CN"/>
              </w:rPr>
              <w:t>，普华永道认为</w:t>
            </w:r>
            <w:r w:rsidRPr="008B1FF1">
              <w:rPr>
                <w:rFonts w:eastAsia="SimSun" w:cs="Calibri" w:hint="eastAsia"/>
                <w:color w:val="000000"/>
                <w:sz w:val="20"/>
                <w:lang w:val="zh-CN" w:eastAsia="zh-CN"/>
              </w:rPr>
              <w:t>已通过</w:t>
            </w:r>
            <w:r w:rsidRPr="008B1FF1">
              <w:rPr>
                <w:rFonts w:eastAsia="SimSun" w:cs="Calibri"/>
                <w:color w:val="000000"/>
                <w:sz w:val="20"/>
                <w:lang w:val="zh-CN" w:eastAsia="zh-CN"/>
              </w:rPr>
              <w:t>2022</w:t>
            </w:r>
            <w:r w:rsidRPr="008B1FF1">
              <w:rPr>
                <w:rFonts w:eastAsia="SimSun" w:cs="Calibri"/>
                <w:color w:val="000000"/>
                <w:sz w:val="20"/>
                <w:lang w:val="zh-CN" w:eastAsia="zh-CN"/>
              </w:rPr>
              <w:t>年第</w:t>
            </w:r>
            <w:r w:rsidRPr="008B1FF1">
              <w:rPr>
                <w:rFonts w:eastAsia="SimSun" w:cs="Calibri"/>
                <w:color w:val="000000"/>
                <w:sz w:val="20"/>
                <w:lang w:val="zh-CN" w:eastAsia="zh-CN"/>
              </w:rPr>
              <w:t>22/13</w:t>
            </w:r>
            <w:r w:rsidRPr="008B1FF1">
              <w:rPr>
                <w:rFonts w:eastAsia="SimSun" w:cs="Calibri"/>
                <w:color w:val="000000"/>
                <w:sz w:val="20"/>
                <w:lang w:val="zh-CN" w:eastAsia="zh-CN"/>
              </w:rPr>
              <w:t>号行政规定发布</w:t>
            </w:r>
            <w:r w:rsidRPr="008B1FF1">
              <w:rPr>
                <w:rFonts w:eastAsia="SimSun" w:cs="Calibri" w:hint="eastAsia"/>
                <w:color w:val="000000"/>
                <w:sz w:val="20"/>
                <w:lang w:val="zh-CN" w:eastAsia="zh-CN"/>
              </w:rPr>
              <w:t>的</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新</w:t>
            </w:r>
            <w:r w:rsidRPr="008B1FF1">
              <w:rPr>
                <w:rFonts w:eastAsia="SimSun" w:cs="Calibri" w:hint="eastAsia"/>
                <w:color w:val="000000"/>
                <w:sz w:val="20"/>
                <w:lang w:val="zh-CN" w:eastAsia="zh-CN"/>
              </w:rPr>
              <w:t>《</w:t>
            </w:r>
            <w:r w:rsidRPr="008B1FF1">
              <w:rPr>
                <w:rFonts w:eastAsia="SimSun" w:cs="Calibri"/>
                <w:color w:val="000000"/>
                <w:sz w:val="20"/>
                <w:lang w:val="zh-CN" w:eastAsia="zh-CN"/>
              </w:rPr>
              <w:t>采购手册</w:t>
            </w:r>
            <w:r w:rsidRPr="008B1FF1">
              <w:rPr>
                <w:rFonts w:eastAsia="SimSun" w:cs="Calibri" w:hint="eastAsia"/>
                <w:color w:val="000000"/>
                <w:sz w:val="20"/>
                <w:lang w:val="zh-CN" w:eastAsia="zh-CN"/>
              </w:rPr>
              <w:t>》</w:t>
            </w:r>
            <w:r w:rsidRPr="008B1FF1">
              <w:rPr>
                <w:rFonts w:ascii="SimSun" w:eastAsia="SimSun" w:hAnsi="SimSun" w:cs="Calibri" w:hint="eastAsia"/>
                <w:color w:val="000000"/>
                <w:sz w:val="20"/>
                <w:lang w:val="zh-CN" w:eastAsia="zh-CN"/>
              </w:rPr>
              <w:t>落实了此项建议</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。如</w:t>
            </w:r>
            <w:r w:rsidRPr="008B1FF1">
              <w:rPr>
                <w:sz w:val="20"/>
                <w:lang w:eastAsia="zh-CN"/>
              </w:rPr>
              <w:t>S20-CL-C-0074!!PDF-E.pdf</w:t>
            </w:r>
            <w:r w:rsidRPr="008B1FF1">
              <w:rPr>
                <w:rFonts w:eastAsia="SimSun" w:cs="Calibri"/>
                <w:color w:val="000000"/>
                <w:sz w:val="20"/>
                <w:lang w:eastAsia="zh-CN"/>
              </w:rPr>
              <w:t>（</w:t>
            </w:r>
            <w:r w:rsidRPr="008B1FF1">
              <w:rPr>
                <w:rFonts w:eastAsia="SimSun" w:cs="Calibri"/>
                <w:color w:val="000000"/>
                <w:sz w:val="20"/>
                <w:lang w:eastAsia="zh-CN"/>
              </w:rPr>
              <w:t>2020</w:t>
            </w:r>
            <w:r w:rsidRPr="008B1FF1">
              <w:rPr>
                <w:rFonts w:eastAsia="SimSun" w:cs="Calibri"/>
                <w:color w:val="000000"/>
                <w:sz w:val="20"/>
                <w:lang w:val="zh-CN" w:eastAsia="zh-CN"/>
              </w:rPr>
              <w:t>年</w:t>
            </w:r>
            <w:r w:rsidRPr="008B1FF1">
              <w:rPr>
                <w:rFonts w:eastAsia="SimSun" w:cs="Calibri"/>
                <w:color w:val="000000"/>
                <w:sz w:val="20"/>
                <w:lang w:eastAsia="zh-CN"/>
              </w:rPr>
              <w:t>10</w:t>
            </w:r>
            <w:r w:rsidRPr="008B1FF1">
              <w:rPr>
                <w:rFonts w:eastAsia="SimSun" w:cs="Calibri"/>
                <w:color w:val="000000"/>
                <w:sz w:val="20"/>
                <w:lang w:val="zh-CN" w:eastAsia="zh-CN"/>
              </w:rPr>
              <w:t>月</w:t>
            </w:r>
            <w:r w:rsidRPr="008B1FF1">
              <w:rPr>
                <w:rFonts w:eastAsia="SimSun" w:cs="Calibri"/>
                <w:color w:val="000000"/>
                <w:sz w:val="20"/>
                <w:lang w:eastAsia="zh-CN"/>
              </w:rPr>
              <w:t>5</w:t>
            </w:r>
            <w:r w:rsidRPr="008B1FF1">
              <w:rPr>
                <w:rFonts w:eastAsia="SimSun" w:cs="Calibri"/>
                <w:color w:val="000000"/>
                <w:sz w:val="20"/>
                <w:lang w:val="zh-CN" w:eastAsia="zh-CN"/>
              </w:rPr>
              <w:t>日的</w:t>
            </w:r>
            <w:hyperlink r:id="rId51" w:history="1">
              <w:r w:rsidR="00DF3E54" w:rsidRPr="008B1FF1">
                <w:rPr>
                  <w:rStyle w:val="Hyperlink"/>
                  <w:sz w:val="20"/>
                  <w:lang w:eastAsia="zh-CN"/>
                </w:rPr>
                <w:t>C20/74</w:t>
              </w:r>
            </w:hyperlink>
            <w:r w:rsidRPr="008B1FF1">
              <w:rPr>
                <w:rFonts w:eastAsia="SimSun" w:cs="Calibri"/>
                <w:color w:val="000000"/>
                <w:sz w:val="20"/>
                <w:lang w:val="zh-CN" w:eastAsia="zh-CN"/>
              </w:rPr>
              <w:t>号文件</w:t>
            </w:r>
            <w:r w:rsidRPr="008B1FF1">
              <w:rPr>
                <w:rFonts w:eastAsia="SimSun" w:cs="Calibri"/>
                <w:color w:val="000000"/>
                <w:sz w:val="20"/>
                <w:lang w:eastAsia="zh-CN"/>
              </w:rPr>
              <w:t>）</w:t>
            </w:r>
            <w:r w:rsidRPr="008B1FF1">
              <w:rPr>
                <w:rFonts w:eastAsia="SimSun" w:cs="Calibri"/>
                <w:color w:val="000000"/>
                <w:sz w:val="20"/>
                <w:lang w:val="zh-CN" w:eastAsia="zh-CN"/>
              </w:rPr>
              <w:t>所述</w:t>
            </w:r>
            <w:r w:rsidRPr="008B1FF1">
              <w:rPr>
                <w:rFonts w:eastAsia="SimSun" w:cs="Calibri"/>
                <w:color w:val="000000"/>
                <w:sz w:val="20"/>
                <w:lang w:eastAsia="zh-CN"/>
              </w:rPr>
              <w:t>，</w:t>
            </w:r>
            <w:r w:rsidRPr="008B1FF1">
              <w:rPr>
                <w:rFonts w:eastAsia="SimSun" w:cs="Calibri" w:hint="eastAsia"/>
                <w:color w:val="000000"/>
                <w:sz w:val="20"/>
                <w:lang w:eastAsia="zh-CN"/>
              </w:rPr>
              <w:t>此建议处于正在落实的</w:t>
            </w:r>
            <w:r w:rsidRPr="008B1FF1">
              <w:rPr>
                <w:rFonts w:eastAsia="SimSun" w:cs="Calibri"/>
                <w:color w:val="000000"/>
                <w:sz w:val="20"/>
                <w:lang w:val="zh-CN" w:eastAsia="zh-CN"/>
              </w:rPr>
              <w:t>状态。</w:t>
            </w:r>
            <w:r w:rsidRPr="008B1FF1">
              <w:rPr>
                <w:rFonts w:eastAsia="SimSun" w:cs="Calibri"/>
                <w:color w:val="000000"/>
                <w:sz w:val="20"/>
                <w:lang w:val="zh-CN" w:eastAsia="zh-CN"/>
              </w:rPr>
              <w:t>2019</w:t>
            </w:r>
            <w:r w:rsidRPr="008B1FF1">
              <w:rPr>
                <w:rFonts w:eastAsia="SimSun" w:cs="Calibri"/>
                <w:color w:val="000000"/>
                <w:sz w:val="20"/>
                <w:lang w:val="zh-CN" w:eastAsia="zh-CN"/>
              </w:rPr>
              <w:t>年开始全面审查项目管理导则。</w:t>
            </w:r>
            <w:r w:rsidRPr="008B1FF1">
              <w:rPr>
                <w:rFonts w:eastAsia="SimSun" w:cs="Calibri"/>
                <w:color w:val="000000"/>
                <w:sz w:val="20"/>
                <w:lang w:val="zh-CN" w:eastAsia="zh-CN"/>
              </w:rPr>
              <w:t>2019</w:t>
            </w:r>
            <w:r w:rsidRPr="008B1FF1">
              <w:rPr>
                <w:rFonts w:eastAsia="SimSun" w:cs="Calibri"/>
                <w:color w:val="000000"/>
                <w:sz w:val="20"/>
                <w:lang w:val="zh-CN" w:eastAsia="zh-CN"/>
              </w:rPr>
              <w:t>年</w:t>
            </w:r>
            <w:r w:rsidRPr="008B1FF1">
              <w:rPr>
                <w:rFonts w:eastAsia="SimSun" w:cs="Calibri"/>
                <w:color w:val="000000"/>
                <w:sz w:val="20"/>
                <w:lang w:val="zh-CN" w:eastAsia="zh-CN"/>
              </w:rPr>
              <w:t>11</w:t>
            </w:r>
            <w:r w:rsidRPr="008B1FF1">
              <w:rPr>
                <w:rFonts w:eastAsia="SimSun" w:cs="Calibri"/>
                <w:color w:val="000000"/>
                <w:sz w:val="20"/>
                <w:lang w:val="zh-CN" w:eastAsia="zh-CN"/>
              </w:rPr>
              <w:t>月开展了第一批培训，</w:t>
            </w:r>
            <w:r w:rsidRPr="008B1FF1">
              <w:rPr>
                <w:rFonts w:eastAsia="SimSun" w:cs="Calibri"/>
                <w:color w:val="000000"/>
                <w:sz w:val="20"/>
                <w:lang w:val="zh-CN" w:eastAsia="zh-CN"/>
              </w:rPr>
              <w:t>39</w:t>
            </w:r>
            <w:r w:rsidRPr="008B1FF1">
              <w:rPr>
                <w:rFonts w:eastAsia="SimSun" w:cs="Calibri"/>
                <w:color w:val="000000"/>
                <w:sz w:val="20"/>
                <w:lang w:val="zh-CN" w:eastAsia="zh-CN"/>
              </w:rPr>
              <w:t>名工作人员获得了认证。</w:t>
            </w:r>
          </w:p>
          <w:p w14:paraId="32466DD8" w14:textId="07E2C8BE"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223BCA16" w14:textId="50CC52AC"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意大利审计院在最后报告中（附件</w:t>
            </w:r>
            <w:r w:rsidRPr="008B1FF1">
              <w:rPr>
                <w:rFonts w:eastAsia="SimSun" w:cs="Calibri"/>
                <w:color w:val="000000"/>
                <w:sz w:val="20"/>
                <w:lang w:val="zh-CN" w:eastAsia="zh-CN"/>
              </w:rPr>
              <w:t>3</w:t>
            </w:r>
            <w:r w:rsidRPr="008B1FF1">
              <w:rPr>
                <w:rFonts w:eastAsia="SimSun" w:cs="Calibri"/>
                <w:color w:val="000000"/>
                <w:sz w:val="20"/>
                <w:lang w:val="zh-CN" w:eastAsia="zh-CN"/>
              </w:rPr>
              <w:t>：</w:t>
            </w:r>
            <w:hyperlink r:id="rId52" w:history="1">
              <w:r w:rsidR="00DF3E54" w:rsidRPr="008B1FF1">
                <w:rPr>
                  <w:rStyle w:val="Hyperlink"/>
                  <w:sz w:val="20"/>
                  <w:lang w:eastAsia="zh-CN"/>
                </w:rPr>
                <w:t>C22/101</w:t>
              </w:r>
            </w:hyperlink>
            <w:r w:rsidRPr="008B1FF1">
              <w:rPr>
                <w:rFonts w:eastAsia="SimSun" w:cs="Calibri"/>
                <w:color w:val="000000"/>
                <w:sz w:val="20"/>
                <w:lang w:val="zh-CN" w:eastAsia="zh-CN"/>
              </w:rPr>
              <w:t>）并未将其列为未解决的问题。</w:t>
            </w:r>
          </w:p>
          <w:p w14:paraId="09D5CD69" w14:textId="70CC5D3C" w:rsidR="000245E2" w:rsidRPr="008B1FF1" w:rsidRDefault="000245E2" w:rsidP="00E10D31">
            <w:pPr>
              <w:pStyle w:val="Tabletext"/>
              <w:rPr>
                <w:sz w:val="20"/>
                <w:lang w:eastAsia="zh-CN"/>
              </w:rPr>
            </w:pPr>
            <w:r w:rsidRPr="008B1FF1">
              <w:rPr>
                <w:rFonts w:eastAsia="SimSun" w:cs="Calibri"/>
                <w:color w:val="000000"/>
                <w:sz w:val="20"/>
                <w:lang w:val="zh-CN" w:eastAsia="zh-CN"/>
              </w:rPr>
              <w:t>我们对不再跟进此建议表示满意，并注意到管理层的最新信息。</w:t>
            </w:r>
          </w:p>
        </w:tc>
        <w:tc>
          <w:tcPr>
            <w:tcW w:w="450" w:type="pct"/>
            <w:shd w:val="clear" w:color="auto" w:fill="auto"/>
          </w:tcPr>
          <w:p w14:paraId="6A35E53F" w14:textId="5E936265" w:rsidR="000245E2" w:rsidRPr="000231A6" w:rsidRDefault="00A62A5A" w:rsidP="000231A6">
            <w:pPr>
              <w:tabs>
                <w:tab w:val="clear" w:pos="567"/>
                <w:tab w:val="clear" w:pos="1134"/>
                <w:tab w:val="clear" w:pos="1701"/>
                <w:tab w:val="clear" w:pos="2268"/>
                <w:tab w:val="clear" w:pos="2835"/>
              </w:tabs>
              <w:overflowPunct/>
              <w:autoSpaceDE/>
              <w:autoSpaceDN/>
              <w:adjustRightInd/>
              <w:spacing w:before="0"/>
              <w:textAlignment w:val="auto"/>
              <w:rPr>
                <w:rFonts w:ascii="Times New Roman" w:eastAsia="Times New Roman" w:hAnsi="Times New Roman"/>
                <w:sz w:val="20"/>
                <w:lang w:eastAsia="zh-CN"/>
              </w:rPr>
            </w:pPr>
            <w:r>
              <w:rPr>
                <w:rFonts w:ascii="SimSun" w:eastAsia="SimSun" w:hAnsi="SimSun" w:cs="SimSun" w:hint="eastAsia"/>
                <w:color w:val="000000"/>
                <w:sz w:val="20"/>
                <w:lang w:eastAsia="zh-CN"/>
              </w:rPr>
              <w:t>已关闭。</w:t>
            </w:r>
          </w:p>
        </w:tc>
      </w:tr>
      <w:tr w:rsidR="000245E2" w:rsidRPr="00536D01" w14:paraId="7BEFFBC6" w14:textId="77777777" w:rsidTr="0011737E">
        <w:tc>
          <w:tcPr>
            <w:tcW w:w="300" w:type="pct"/>
            <w:shd w:val="clear" w:color="auto" w:fill="auto"/>
          </w:tcPr>
          <w:p w14:paraId="4E25F7A2" w14:textId="328E7347" w:rsidR="000245E2" w:rsidRPr="008B1FF1" w:rsidRDefault="000245E2" w:rsidP="00E17413">
            <w:pPr>
              <w:pStyle w:val="Tabletext"/>
              <w:keepNext/>
              <w:keepLines/>
              <w:rPr>
                <w:sz w:val="20"/>
              </w:rPr>
            </w:pPr>
            <w:r w:rsidRPr="008B1FF1">
              <w:rPr>
                <w:rFonts w:eastAsia="SimSun" w:cs="Calibri"/>
                <w:color w:val="000000"/>
                <w:sz w:val="20"/>
                <w:lang w:val="zh-CN"/>
              </w:rPr>
              <w:lastRenderedPageBreak/>
              <w:t>R#21</w:t>
            </w:r>
          </w:p>
        </w:tc>
        <w:tc>
          <w:tcPr>
            <w:tcW w:w="1450" w:type="pct"/>
            <w:shd w:val="clear" w:color="auto" w:fill="auto"/>
          </w:tcPr>
          <w:p w14:paraId="2199E595" w14:textId="1706A307" w:rsidR="000245E2" w:rsidRPr="008B1FF1" w:rsidRDefault="000245E2" w:rsidP="00E17413">
            <w:pPr>
              <w:pStyle w:val="Tabletext"/>
              <w:keepNext/>
              <w:keepLines/>
              <w:rPr>
                <w:sz w:val="20"/>
                <w:lang w:eastAsia="zh-CN"/>
              </w:rPr>
            </w:pPr>
            <w:r w:rsidRPr="008B1FF1">
              <w:rPr>
                <w:rFonts w:eastAsia="SimSun" w:cs="Calibri"/>
                <w:color w:val="000000"/>
                <w:sz w:val="20"/>
                <w:lang w:val="zh-CN" w:eastAsia="zh-CN"/>
              </w:rPr>
              <w:t>为区域代表处和地区办事处参与采购流程的所有工作人员定期组织培训。</w:t>
            </w:r>
          </w:p>
        </w:tc>
        <w:tc>
          <w:tcPr>
            <w:tcW w:w="1750" w:type="pct"/>
            <w:shd w:val="clear" w:color="auto" w:fill="auto"/>
          </w:tcPr>
          <w:p w14:paraId="15019F7C" w14:textId="77777777" w:rsidR="000245E2" w:rsidRPr="008B1FF1" w:rsidRDefault="000245E2" w:rsidP="00E17413">
            <w:pPr>
              <w:pStyle w:val="Tabletext"/>
              <w:keepNext/>
              <w:keepLines/>
              <w:rPr>
                <w:rFonts w:eastAsia="SimSun" w:cs="Calibri"/>
                <w:sz w:val="20"/>
                <w:lang w:eastAsia="zh-CN"/>
              </w:rPr>
            </w:pPr>
            <w:r w:rsidRPr="008B1FF1">
              <w:rPr>
                <w:rFonts w:eastAsia="SimSun" w:cs="Calibri"/>
                <w:color w:val="000000"/>
                <w:sz w:val="20"/>
                <w:lang w:val="zh-CN" w:eastAsia="zh-CN"/>
              </w:rPr>
              <w:t>国际电联同意</w:t>
            </w:r>
            <w:r w:rsidRPr="008B1FF1">
              <w:rPr>
                <w:rFonts w:eastAsia="SimSun" w:cs="Calibri" w:hint="eastAsia"/>
                <w:color w:val="000000"/>
                <w:sz w:val="20"/>
                <w:lang w:val="zh-CN" w:eastAsia="zh-CN"/>
              </w:rPr>
              <w:t>第</w:t>
            </w:r>
            <w:r w:rsidRPr="008B1FF1">
              <w:rPr>
                <w:rFonts w:eastAsia="SimSun" w:cs="Calibri"/>
                <w:color w:val="000000"/>
                <w:sz w:val="20"/>
                <w:lang w:val="zh-CN" w:eastAsia="zh-CN"/>
              </w:rPr>
              <w:t>21</w:t>
            </w:r>
            <w:r w:rsidRPr="008B1FF1">
              <w:rPr>
                <w:rFonts w:eastAsia="SimSun" w:cs="Calibri" w:hint="eastAsia"/>
                <w:color w:val="000000"/>
                <w:sz w:val="20"/>
                <w:lang w:val="zh-CN" w:eastAsia="zh-CN"/>
              </w:rPr>
              <w:t>号</w:t>
            </w:r>
            <w:r w:rsidRPr="008B1FF1">
              <w:rPr>
                <w:rFonts w:eastAsia="SimSun" w:cs="Calibri"/>
                <w:color w:val="000000"/>
                <w:sz w:val="20"/>
                <w:lang w:val="zh-CN" w:eastAsia="zh-CN"/>
              </w:rPr>
              <w:t>建议。在即将出版的《采购手册》颁布后，将向参与区域代表处和地区办事处采购程序的职员提供培训。</w:t>
            </w:r>
          </w:p>
          <w:p w14:paraId="7A5022E6" w14:textId="6011A061" w:rsidR="000245E2" w:rsidRPr="008B1FF1" w:rsidRDefault="000245E2" w:rsidP="00E17413">
            <w:pPr>
              <w:pStyle w:val="Tabletext"/>
              <w:keepNext/>
              <w:keepLines/>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eastAsia="zh-CN"/>
              </w:rPr>
              <w:t>2025</w:t>
            </w:r>
            <w:r w:rsidRPr="008B1FF1">
              <w:rPr>
                <w:rFonts w:eastAsia="SimSun" w:cs="Calibri"/>
                <w:color w:val="000000"/>
                <w:sz w:val="20"/>
                <w:lang w:val="zh-CN" w:eastAsia="zh-CN"/>
              </w:rPr>
              <w:t>年</w:t>
            </w:r>
            <w:r w:rsidRPr="008B1FF1">
              <w:rPr>
                <w:rFonts w:eastAsia="SimSun" w:cs="Calibri"/>
                <w:color w:val="000000"/>
                <w:sz w:val="20"/>
                <w:lang w:eastAsia="zh-CN"/>
              </w:rPr>
              <w:t>5</w:t>
            </w:r>
            <w:r w:rsidRPr="008B1FF1">
              <w:rPr>
                <w:rFonts w:eastAsia="SimSun" w:cs="Calibri"/>
                <w:color w:val="000000"/>
                <w:sz w:val="20"/>
                <w:lang w:val="zh-CN" w:eastAsia="zh-CN"/>
              </w:rPr>
              <w:t>月的最新进展</w:t>
            </w:r>
            <w:r w:rsidRPr="008B1FF1">
              <w:rPr>
                <w:rFonts w:eastAsia="SimSun" w:cs="Calibri"/>
                <w:color w:val="000000"/>
                <w:sz w:val="20"/>
                <w:lang w:eastAsia="zh-CN"/>
              </w:rPr>
              <w:t>：</w:t>
            </w:r>
            <w:r w:rsidRPr="008B1FF1">
              <w:rPr>
                <w:rFonts w:eastAsia="SimSun" w:cs="Calibri"/>
                <w:color w:val="000000"/>
                <w:sz w:val="20"/>
                <w:lang w:val="zh-CN" w:eastAsia="zh-CN"/>
              </w:rPr>
              <w:t>在合规信息概览</w:t>
            </w:r>
            <w:r w:rsidRPr="008B1FF1">
              <w:rPr>
                <w:rFonts w:eastAsia="SimSun" w:cs="Calibri" w:hint="eastAsia"/>
                <w:color w:val="000000"/>
                <w:sz w:val="20"/>
                <w:lang w:val="zh-CN" w:eastAsia="zh-CN"/>
              </w:rPr>
              <w:t>第</w:t>
            </w:r>
            <w:r w:rsidRPr="008B1FF1">
              <w:rPr>
                <w:rFonts w:eastAsia="SimSun" w:cs="Calibri"/>
                <w:color w:val="000000"/>
                <w:sz w:val="20"/>
                <w:lang w:val="zh-CN" w:eastAsia="zh-CN"/>
              </w:rPr>
              <w:t>18/2018-</w:t>
            </w:r>
            <w:r w:rsidRPr="008B1FF1">
              <w:rPr>
                <w:rFonts w:eastAsia="SimSun" w:cs="Calibri" w:hint="eastAsia"/>
                <w:color w:val="000000"/>
                <w:sz w:val="20"/>
                <w:lang w:val="zh-CN" w:eastAsia="zh-CN"/>
              </w:rPr>
              <w:t>12</w:t>
            </w:r>
            <w:r w:rsidRPr="008B1FF1">
              <w:rPr>
                <w:rFonts w:eastAsia="SimSun" w:cs="Calibri" w:hint="eastAsia"/>
                <w:color w:val="000000"/>
                <w:sz w:val="20"/>
                <w:lang w:val="zh-CN" w:eastAsia="zh-CN"/>
              </w:rPr>
              <w:t>号建议</w:t>
            </w:r>
            <w:r w:rsidRPr="008B1FF1">
              <w:rPr>
                <w:rFonts w:eastAsia="SimSun" w:cs="Calibri"/>
                <w:color w:val="000000"/>
                <w:sz w:val="20"/>
                <w:lang w:val="zh-CN" w:eastAsia="zh-CN"/>
              </w:rPr>
              <w:t>（财务报表）</w:t>
            </w:r>
            <w:r w:rsidRPr="008B1FF1">
              <w:rPr>
                <w:rFonts w:eastAsia="SimSun" w:cs="Calibri" w:hint="eastAsia"/>
                <w:color w:val="000000"/>
                <w:sz w:val="20"/>
                <w:lang w:val="zh-CN" w:eastAsia="zh-CN"/>
              </w:rPr>
              <w:t>下对</w:t>
            </w:r>
            <w:r w:rsidRPr="008B1FF1">
              <w:rPr>
                <w:rFonts w:eastAsia="SimSun" w:cs="Calibri"/>
                <w:color w:val="000000"/>
                <w:sz w:val="20"/>
                <w:lang w:val="zh-CN" w:eastAsia="zh-CN"/>
              </w:rPr>
              <w:t>第</w:t>
            </w:r>
            <w:r w:rsidRPr="008B1FF1">
              <w:rPr>
                <w:rFonts w:eastAsia="SimSun" w:cs="Calibri" w:hint="eastAsia"/>
                <w:color w:val="000000"/>
                <w:sz w:val="20"/>
                <w:lang w:val="zh-CN" w:eastAsia="zh-CN"/>
              </w:rPr>
              <w:t>21</w:t>
            </w:r>
            <w:r w:rsidRPr="008B1FF1">
              <w:rPr>
                <w:rFonts w:eastAsia="SimSun" w:cs="Calibri"/>
                <w:color w:val="000000"/>
                <w:sz w:val="20"/>
                <w:lang w:val="zh-CN" w:eastAsia="zh-CN"/>
              </w:rPr>
              <w:t>/2018</w:t>
            </w:r>
            <w:r w:rsidRPr="008B1FF1">
              <w:rPr>
                <w:rFonts w:eastAsia="SimSun" w:cs="Calibri"/>
                <w:color w:val="000000"/>
                <w:sz w:val="20"/>
                <w:lang w:val="zh-CN" w:eastAsia="zh-CN"/>
              </w:rPr>
              <w:t>号建议（区域代表处特别代表）进行了跟踪，</w:t>
            </w:r>
            <w:r w:rsidRPr="008B1FF1">
              <w:rPr>
                <w:rFonts w:eastAsia="SimSun" w:cs="Calibri" w:hint="eastAsia"/>
                <w:color w:val="000000"/>
                <w:sz w:val="20"/>
                <w:lang w:val="zh-CN" w:eastAsia="zh-CN"/>
              </w:rPr>
              <w:t>且</w:t>
            </w:r>
            <w:r w:rsidRPr="008B1FF1">
              <w:rPr>
                <w:rFonts w:eastAsia="SimSun" w:cs="Calibri"/>
                <w:color w:val="000000"/>
                <w:sz w:val="20"/>
                <w:lang w:val="zh-CN" w:eastAsia="zh-CN"/>
              </w:rPr>
              <w:t>视</w:t>
            </w:r>
            <w:r w:rsidRPr="008B1FF1">
              <w:rPr>
                <w:rFonts w:eastAsia="SimSun" w:cs="Calibri" w:hint="eastAsia"/>
                <w:color w:val="000000"/>
                <w:sz w:val="20"/>
                <w:lang w:val="zh-CN" w:eastAsia="zh-CN"/>
              </w:rPr>
              <w:t>该建议已经落实且问题得到“</w:t>
            </w:r>
            <w:r w:rsidRPr="008B1FF1">
              <w:rPr>
                <w:rFonts w:eastAsia="SimSun" w:cs="Calibri"/>
                <w:color w:val="000000"/>
                <w:sz w:val="20"/>
                <w:lang w:val="zh-CN" w:eastAsia="zh-CN"/>
              </w:rPr>
              <w:t>解决</w:t>
            </w:r>
            <w:r w:rsidRPr="008B1FF1">
              <w:rPr>
                <w:rFonts w:ascii="SimSun" w:eastAsia="SimSun" w:hAnsi="SimSun" w:cs="Calibri"/>
                <w:color w:val="000000"/>
                <w:sz w:val="20"/>
                <w:lang w:val="zh-CN" w:eastAsia="zh-CN"/>
              </w:rPr>
              <w:t>”</w:t>
            </w:r>
            <w:r w:rsidRPr="008B1FF1">
              <w:rPr>
                <w:rFonts w:eastAsia="SimSun" w:cs="Calibri"/>
                <w:color w:val="000000"/>
                <w:sz w:val="20"/>
                <w:lang w:val="zh-CN" w:eastAsia="zh-CN"/>
              </w:rPr>
              <w:t>。正如</w:t>
            </w:r>
            <w:r w:rsidRPr="008B1FF1">
              <w:rPr>
                <w:rFonts w:eastAsia="SimSun" w:cs="Calibri" w:hint="eastAsia"/>
                <w:color w:val="000000"/>
                <w:sz w:val="20"/>
                <w:lang w:val="zh-CN" w:eastAsia="zh-CN"/>
              </w:rPr>
              <w:t>普华永道的区域代表性参与报告</w:t>
            </w:r>
            <w:r w:rsidRPr="008B1FF1">
              <w:rPr>
                <w:rFonts w:eastAsia="SimSun" w:cs="Calibri"/>
                <w:color w:val="000000"/>
                <w:sz w:val="20"/>
                <w:lang w:val="zh-CN" w:eastAsia="zh-CN"/>
              </w:rPr>
              <w:t>（</w:t>
            </w:r>
            <w:r w:rsidRPr="008B1FF1">
              <w:rPr>
                <w:rFonts w:eastAsia="SimSun" w:cs="Calibri"/>
                <w:color w:val="000000"/>
                <w:sz w:val="20"/>
                <w:lang w:eastAsia="zh-CN"/>
              </w:rPr>
              <w:t>2020</w:t>
            </w:r>
            <w:r w:rsidRPr="008B1FF1">
              <w:rPr>
                <w:rFonts w:eastAsia="SimSun" w:cs="Calibri"/>
                <w:color w:val="000000"/>
                <w:sz w:val="20"/>
                <w:lang w:val="zh-CN" w:eastAsia="zh-CN"/>
              </w:rPr>
              <w:t>年</w:t>
            </w:r>
            <w:r w:rsidRPr="008B1FF1">
              <w:rPr>
                <w:rFonts w:eastAsia="SimSun" w:cs="Calibri"/>
                <w:color w:val="000000"/>
                <w:sz w:val="20"/>
                <w:lang w:eastAsia="zh-CN"/>
              </w:rPr>
              <w:t>10</w:t>
            </w:r>
            <w:r w:rsidRPr="008B1FF1">
              <w:rPr>
                <w:rFonts w:eastAsia="SimSun" w:cs="Calibri"/>
                <w:color w:val="000000"/>
                <w:sz w:val="20"/>
                <w:lang w:val="zh-CN" w:eastAsia="zh-CN"/>
              </w:rPr>
              <w:t>月</w:t>
            </w:r>
            <w:r w:rsidRPr="008B1FF1">
              <w:rPr>
                <w:rFonts w:eastAsia="SimSun" w:cs="Calibri"/>
                <w:color w:val="000000"/>
                <w:sz w:val="20"/>
                <w:lang w:eastAsia="zh-CN"/>
              </w:rPr>
              <w:t>5</w:t>
            </w:r>
            <w:r w:rsidRPr="008B1FF1">
              <w:rPr>
                <w:rFonts w:eastAsia="SimSun" w:cs="Calibri"/>
                <w:color w:val="000000"/>
                <w:sz w:val="20"/>
                <w:lang w:val="zh-CN" w:eastAsia="zh-CN"/>
              </w:rPr>
              <w:t>日的</w:t>
            </w:r>
            <w:hyperlink r:id="rId53" w:history="1">
              <w:r w:rsidR="00DF3E54" w:rsidRPr="008B1FF1">
                <w:rPr>
                  <w:rStyle w:val="Hyperlink"/>
                  <w:sz w:val="20"/>
                  <w:lang w:eastAsia="zh-CN"/>
                </w:rPr>
                <w:t>C20/74</w:t>
              </w:r>
            </w:hyperlink>
            <w:r w:rsidRPr="008B1FF1">
              <w:rPr>
                <w:rFonts w:eastAsia="SimSun" w:cs="Calibri"/>
                <w:color w:val="000000"/>
                <w:sz w:val="20"/>
                <w:lang w:val="zh-CN" w:eastAsia="zh-CN"/>
              </w:rPr>
              <w:t>号文件）</w:t>
            </w:r>
            <w:r w:rsidRPr="008B1FF1">
              <w:rPr>
                <w:rFonts w:eastAsia="SimSun" w:cs="Calibri" w:hint="eastAsia"/>
                <w:color w:val="000000"/>
                <w:sz w:val="20"/>
                <w:lang w:val="zh-CN" w:eastAsia="zh-CN"/>
              </w:rPr>
              <w:t>所述</w:t>
            </w:r>
            <w:r w:rsidRPr="008B1FF1">
              <w:rPr>
                <w:rFonts w:eastAsia="SimSun" w:cs="Calibri"/>
                <w:color w:val="000000"/>
                <w:sz w:val="20"/>
                <w:lang w:val="zh-CN" w:eastAsia="zh-CN"/>
              </w:rPr>
              <w:t>，</w:t>
            </w:r>
            <w:r w:rsidRPr="008B1FF1">
              <w:rPr>
                <w:rFonts w:eastAsia="SimSun" w:cs="Calibri" w:hint="eastAsia"/>
                <w:color w:val="000000"/>
                <w:sz w:val="20"/>
                <w:lang w:eastAsia="zh-CN"/>
              </w:rPr>
              <w:t>此建议处于“正在落实”</w:t>
            </w:r>
            <w:r w:rsidRPr="008B1FF1">
              <w:rPr>
                <w:rFonts w:eastAsia="SimSun" w:cs="Calibri"/>
                <w:color w:val="000000"/>
                <w:sz w:val="20"/>
                <w:lang w:val="zh-CN" w:eastAsia="zh-CN"/>
              </w:rPr>
              <w:t>状态</w:t>
            </w:r>
            <w:r w:rsidRPr="008B1FF1">
              <w:rPr>
                <w:rFonts w:eastAsia="SimSun" w:cs="Calibri" w:hint="eastAsia"/>
                <w:color w:val="000000"/>
                <w:sz w:val="20"/>
                <w:lang w:val="zh-CN" w:eastAsia="zh-CN"/>
              </w:rPr>
              <w:t>，报告中同时提及“</w:t>
            </w:r>
            <w:r w:rsidRPr="008B1FF1">
              <w:rPr>
                <w:rFonts w:eastAsia="SimSun" w:cs="Calibri"/>
                <w:color w:val="000000"/>
                <w:sz w:val="20"/>
                <w:lang w:val="zh-CN" w:eastAsia="zh-CN"/>
              </w:rPr>
              <w:t>2019</w:t>
            </w:r>
            <w:r w:rsidRPr="008B1FF1">
              <w:rPr>
                <w:rFonts w:eastAsia="SimSun" w:cs="Calibri" w:hint="eastAsia"/>
                <w:color w:val="000000"/>
                <w:sz w:val="20"/>
                <w:lang w:val="zh-CN" w:eastAsia="zh-CN"/>
              </w:rPr>
              <w:t>年</w:t>
            </w:r>
            <w:r w:rsidRPr="008B1FF1">
              <w:rPr>
                <w:rFonts w:eastAsia="SimSun" w:cs="Calibri"/>
                <w:color w:val="000000"/>
                <w:sz w:val="20"/>
                <w:lang w:val="zh-CN" w:eastAsia="zh-CN"/>
              </w:rPr>
              <w:t>11</w:t>
            </w:r>
            <w:r w:rsidRPr="008B1FF1">
              <w:rPr>
                <w:rFonts w:eastAsia="SimSun" w:cs="Calibri" w:hint="eastAsia"/>
                <w:color w:val="000000"/>
                <w:sz w:val="20"/>
                <w:lang w:val="zh-CN" w:eastAsia="zh-CN"/>
              </w:rPr>
              <w:t>月为</w:t>
            </w:r>
            <w:r w:rsidRPr="008B1FF1">
              <w:rPr>
                <w:rFonts w:eastAsia="SimSun" w:cs="Calibri"/>
                <w:color w:val="000000"/>
                <w:sz w:val="20"/>
                <w:lang w:val="zh-CN" w:eastAsia="zh-CN"/>
              </w:rPr>
              <w:t>BDT</w:t>
            </w:r>
            <w:r w:rsidRPr="008B1FF1">
              <w:rPr>
                <w:rFonts w:eastAsia="SimSun" w:cs="Calibri" w:hint="eastAsia"/>
                <w:color w:val="000000"/>
                <w:sz w:val="20"/>
                <w:lang w:val="zh-CN" w:eastAsia="zh-CN"/>
              </w:rPr>
              <w:t>的项目经理提供了培训。区域层面的培训尚未进行</w:t>
            </w:r>
            <w:r w:rsidRPr="008B1FF1">
              <w:rPr>
                <w:rFonts w:eastAsia="SimSun" w:cs="Calibri"/>
                <w:color w:val="000000"/>
                <w:sz w:val="20"/>
                <w:lang w:val="zh-CN" w:eastAsia="zh-CN"/>
              </w:rPr>
              <w:t xml:space="preserve"> – </w:t>
            </w:r>
            <w:r w:rsidRPr="008B1FF1">
              <w:rPr>
                <w:rFonts w:eastAsia="SimSun" w:cs="Calibri" w:hint="eastAsia"/>
                <w:color w:val="000000"/>
                <w:sz w:val="20"/>
                <w:lang w:val="zh-CN" w:eastAsia="zh-CN"/>
              </w:rPr>
              <w:t>计划在</w:t>
            </w:r>
            <w:r w:rsidRPr="008B1FF1">
              <w:rPr>
                <w:rFonts w:eastAsia="SimSun" w:cs="Calibri"/>
                <w:color w:val="000000"/>
                <w:sz w:val="20"/>
                <w:lang w:val="zh-CN" w:eastAsia="zh-CN"/>
              </w:rPr>
              <w:t>2020</w:t>
            </w:r>
            <w:r w:rsidRPr="008B1FF1">
              <w:rPr>
                <w:rFonts w:eastAsia="SimSun" w:cs="Calibri" w:hint="eastAsia"/>
                <w:color w:val="000000"/>
                <w:sz w:val="20"/>
                <w:lang w:val="zh-CN" w:eastAsia="zh-CN"/>
              </w:rPr>
              <w:t>年进行”</w:t>
            </w:r>
            <w:r w:rsidRPr="008B1FF1">
              <w:rPr>
                <w:rFonts w:eastAsia="SimSun" w:cs="Calibri"/>
                <w:color w:val="000000"/>
                <w:sz w:val="20"/>
                <w:lang w:val="zh-CN" w:eastAsia="zh-CN"/>
              </w:rPr>
              <w:t>。</w:t>
            </w:r>
          </w:p>
          <w:p w14:paraId="440D28D3" w14:textId="6F57BD00" w:rsidR="000245E2" w:rsidRPr="008B1FF1" w:rsidRDefault="000245E2" w:rsidP="00E17413">
            <w:pPr>
              <w:pStyle w:val="Tabletext"/>
              <w:keepNext/>
              <w:keepLines/>
              <w:rPr>
                <w:sz w:val="20"/>
                <w:lang w:eastAsia="zh-CN"/>
              </w:rPr>
            </w:pPr>
            <w:r w:rsidRPr="008B1FF1">
              <w:rPr>
                <w:rFonts w:eastAsia="SimSun" w:cs="Calibri"/>
                <w:color w:val="000000"/>
                <w:sz w:val="20"/>
                <w:lang w:val="zh-CN" w:eastAsia="zh-CN"/>
              </w:rPr>
              <w:t>国际电联建议不再跟进该建议。</w:t>
            </w:r>
          </w:p>
        </w:tc>
        <w:tc>
          <w:tcPr>
            <w:tcW w:w="1050" w:type="pct"/>
            <w:shd w:val="clear" w:color="auto" w:fill="auto"/>
          </w:tcPr>
          <w:p w14:paraId="0F37A44D" w14:textId="5F5888A7" w:rsidR="000245E2" w:rsidRPr="008B1FF1" w:rsidRDefault="000245E2" w:rsidP="00E17413">
            <w:pPr>
              <w:pStyle w:val="Tabletext"/>
              <w:keepNext/>
              <w:keepLines/>
              <w:rPr>
                <w:rFonts w:eastAsia="SimSun" w:cs="Calibri"/>
                <w:sz w:val="20"/>
                <w:lang w:eastAsia="zh-CN"/>
              </w:rPr>
            </w:pPr>
            <w:r w:rsidRPr="008B1FF1">
              <w:rPr>
                <w:rFonts w:eastAsia="SimSun" w:cs="Calibri"/>
                <w:color w:val="000000"/>
                <w:sz w:val="20"/>
                <w:lang w:val="zh-CN" w:eastAsia="zh-CN"/>
              </w:rPr>
              <w:t>意大利审计院在最后报告中（附件</w:t>
            </w:r>
            <w:r w:rsidRPr="008B1FF1">
              <w:rPr>
                <w:rFonts w:eastAsia="SimSun" w:cs="Calibri"/>
                <w:color w:val="000000"/>
                <w:sz w:val="20"/>
                <w:lang w:val="zh-CN" w:eastAsia="zh-CN"/>
              </w:rPr>
              <w:t>3</w:t>
            </w:r>
            <w:r w:rsidRPr="008B1FF1">
              <w:rPr>
                <w:rFonts w:eastAsia="SimSun" w:cs="Calibri"/>
                <w:color w:val="000000"/>
                <w:sz w:val="20"/>
                <w:lang w:val="zh-CN" w:eastAsia="zh-CN"/>
              </w:rPr>
              <w:t>：</w:t>
            </w:r>
            <w:hyperlink r:id="rId54" w:history="1">
              <w:r w:rsidR="00DF3E54" w:rsidRPr="008B1FF1">
                <w:rPr>
                  <w:rStyle w:val="Hyperlink"/>
                  <w:sz w:val="20"/>
                  <w:lang w:eastAsia="zh-CN"/>
                </w:rPr>
                <w:t>C22/101</w:t>
              </w:r>
            </w:hyperlink>
            <w:r w:rsidRPr="008B1FF1">
              <w:rPr>
                <w:rFonts w:eastAsia="SimSun" w:cs="Calibri"/>
                <w:color w:val="000000"/>
                <w:sz w:val="20"/>
                <w:lang w:val="zh-CN" w:eastAsia="zh-CN"/>
              </w:rPr>
              <w:t>）并未将其列为未解决的问题。</w:t>
            </w:r>
          </w:p>
          <w:p w14:paraId="0E2AD385" w14:textId="64A6CFDF" w:rsidR="000245E2" w:rsidRPr="008B1FF1" w:rsidRDefault="000245E2" w:rsidP="00E17413">
            <w:pPr>
              <w:pStyle w:val="Tabletext"/>
              <w:keepNext/>
              <w:keepLines/>
              <w:rPr>
                <w:sz w:val="20"/>
                <w:lang w:eastAsia="zh-CN"/>
              </w:rPr>
            </w:pPr>
            <w:r w:rsidRPr="008B1FF1">
              <w:rPr>
                <w:rFonts w:eastAsia="SimSun" w:cs="Calibri"/>
                <w:color w:val="000000"/>
                <w:sz w:val="20"/>
                <w:lang w:val="zh-CN" w:eastAsia="zh-CN"/>
              </w:rPr>
              <w:t>我们对不再跟进此建议表示满意，并注意到管理层的最新信息。</w:t>
            </w:r>
          </w:p>
        </w:tc>
        <w:tc>
          <w:tcPr>
            <w:tcW w:w="450" w:type="pct"/>
            <w:shd w:val="clear" w:color="auto" w:fill="auto"/>
          </w:tcPr>
          <w:p w14:paraId="1C0160EC" w14:textId="4E354981" w:rsidR="000245E2" w:rsidRPr="000231A6" w:rsidRDefault="00A62A5A" w:rsidP="00E17413">
            <w:pPr>
              <w:keepNext/>
              <w:keepLines/>
              <w:tabs>
                <w:tab w:val="clear" w:pos="567"/>
                <w:tab w:val="clear" w:pos="1134"/>
                <w:tab w:val="clear" w:pos="1701"/>
                <w:tab w:val="clear" w:pos="2268"/>
                <w:tab w:val="clear" w:pos="2835"/>
              </w:tabs>
              <w:overflowPunct/>
              <w:autoSpaceDE/>
              <w:autoSpaceDN/>
              <w:adjustRightInd/>
              <w:spacing w:before="0"/>
              <w:textAlignment w:val="auto"/>
              <w:rPr>
                <w:rFonts w:ascii="Times New Roman" w:eastAsia="Times New Roman" w:hAnsi="Times New Roman"/>
                <w:sz w:val="20"/>
                <w:lang w:eastAsia="zh-CN"/>
              </w:rPr>
            </w:pPr>
            <w:r>
              <w:rPr>
                <w:rFonts w:ascii="SimSun" w:eastAsia="SimSun" w:hAnsi="SimSun" w:cs="SimSun" w:hint="eastAsia"/>
                <w:color w:val="000000"/>
                <w:sz w:val="20"/>
                <w:lang w:eastAsia="zh-CN"/>
              </w:rPr>
              <w:t>已关闭。</w:t>
            </w:r>
          </w:p>
        </w:tc>
      </w:tr>
      <w:tr w:rsidR="000245E2" w:rsidRPr="00536D01" w14:paraId="711721E6" w14:textId="77777777" w:rsidTr="0011737E">
        <w:tc>
          <w:tcPr>
            <w:tcW w:w="300" w:type="pct"/>
            <w:shd w:val="clear" w:color="auto" w:fill="auto"/>
          </w:tcPr>
          <w:p w14:paraId="409AC40E" w14:textId="0F78E7EA" w:rsidR="000245E2" w:rsidRPr="008B1FF1" w:rsidRDefault="000245E2" w:rsidP="000245E2">
            <w:pPr>
              <w:pStyle w:val="Tabletext"/>
              <w:rPr>
                <w:sz w:val="20"/>
              </w:rPr>
            </w:pPr>
            <w:r w:rsidRPr="008B1FF1">
              <w:rPr>
                <w:rFonts w:eastAsia="SimSun" w:cs="Calibri"/>
                <w:color w:val="000000"/>
                <w:sz w:val="20"/>
                <w:lang w:val="zh-CN"/>
              </w:rPr>
              <w:t>R#22</w:t>
            </w:r>
          </w:p>
        </w:tc>
        <w:tc>
          <w:tcPr>
            <w:tcW w:w="1450" w:type="pct"/>
            <w:shd w:val="clear" w:color="auto" w:fill="auto"/>
          </w:tcPr>
          <w:p w14:paraId="0C6020EF" w14:textId="549C931F" w:rsidR="000245E2" w:rsidRPr="008B1FF1" w:rsidRDefault="000245E2" w:rsidP="000245E2">
            <w:pPr>
              <w:pStyle w:val="Tabletext"/>
              <w:rPr>
                <w:sz w:val="20"/>
                <w:lang w:eastAsia="zh-CN"/>
              </w:rPr>
            </w:pPr>
            <w:r w:rsidRPr="008B1FF1">
              <w:rPr>
                <w:rFonts w:eastAsia="SimSun" w:cs="Calibri"/>
                <w:color w:val="000000"/>
                <w:sz w:val="20"/>
                <w:lang w:val="zh-CN" w:eastAsia="zh-CN"/>
              </w:rPr>
              <w:t>总部管理层应起草标准化程序和模板，以监督</w:t>
            </w:r>
            <w:r w:rsidRPr="008B1FF1">
              <w:rPr>
                <w:rFonts w:eastAsia="SimSun" w:cs="Calibri" w:hint="eastAsia"/>
                <w:color w:val="000000"/>
                <w:sz w:val="20"/>
                <w:lang w:val="zh-CN" w:eastAsia="zh-CN"/>
              </w:rPr>
              <w:t>与</w:t>
            </w:r>
            <w:r w:rsidRPr="008B1FF1">
              <w:rPr>
                <w:rFonts w:eastAsia="SimSun" w:cs="Calibri"/>
                <w:color w:val="000000"/>
                <w:sz w:val="20"/>
                <w:lang w:val="zh-CN" w:eastAsia="zh-CN"/>
              </w:rPr>
              <w:t>各区域代表处管理相关的活动，同时考虑到</w:t>
            </w:r>
            <w:r w:rsidRPr="008B1FF1">
              <w:rPr>
                <w:rFonts w:eastAsia="SimSun" w:cs="Calibri" w:hint="eastAsia"/>
                <w:color w:val="000000"/>
                <w:sz w:val="20"/>
                <w:lang w:val="zh-CN" w:eastAsia="zh-CN"/>
              </w:rPr>
              <w:t>各</w:t>
            </w:r>
            <w:r w:rsidRPr="008B1FF1">
              <w:rPr>
                <w:rFonts w:eastAsia="SimSun" w:cs="Calibri"/>
                <w:color w:val="000000"/>
                <w:sz w:val="20"/>
                <w:lang w:val="zh-CN" w:eastAsia="zh-CN"/>
              </w:rPr>
              <w:t>地理区域的不同需求。</w:t>
            </w:r>
          </w:p>
        </w:tc>
        <w:tc>
          <w:tcPr>
            <w:tcW w:w="1750" w:type="pct"/>
            <w:shd w:val="clear" w:color="auto" w:fill="auto"/>
          </w:tcPr>
          <w:p w14:paraId="40AA835D" w14:textId="22A40B44" w:rsidR="000245E2" w:rsidRPr="008B1FF1" w:rsidRDefault="000245E2" w:rsidP="000245E2">
            <w:pPr>
              <w:pStyle w:val="Tabletext"/>
              <w:rPr>
                <w:rFonts w:eastAsia="SimSun" w:cs="Calibri"/>
                <w:sz w:val="20"/>
                <w:lang w:eastAsia="zh-CN"/>
              </w:rPr>
            </w:pPr>
            <w:r w:rsidRPr="008B1FF1">
              <w:rPr>
                <w:rFonts w:eastAsia="SimSun" w:cs="Calibri"/>
                <w:color w:val="000000"/>
                <w:sz w:val="20"/>
                <w:lang w:val="zh-CN" w:eastAsia="zh-CN"/>
              </w:rPr>
              <w:t>截至</w:t>
            </w:r>
            <w:r w:rsidRPr="008B1FF1">
              <w:rPr>
                <w:rFonts w:eastAsia="SimSun" w:cs="Calibri"/>
                <w:color w:val="000000"/>
                <w:sz w:val="20"/>
                <w:lang w:val="zh-CN" w:eastAsia="zh-CN"/>
              </w:rPr>
              <w:t>2025</w:t>
            </w:r>
            <w:r w:rsidRPr="008B1FF1">
              <w:rPr>
                <w:rFonts w:eastAsia="SimSun" w:cs="Calibri"/>
                <w:color w:val="000000"/>
                <w:sz w:val="20"/>
                <w:lang w:val="zh-CN" w:eastAsia="zh-CN"/>
              </w:rPr>
              <w:t>年</w:t>
            </w:r>
            <w:r w:rsidRPr="008B1FF1">
              <w:rPr>
                <w:rFonts w:eastAsia="SimSun" w:cs="Calibri"/>
                <w:color w:val="000000"/>
                <w:sz w:val="20"/>
                <w:lang w:val="zh-CN" w:eastAsia="zh-CN"/>
              </w:rPr>
              <w:t>5</w:t>
            </w:r>
            <w:r w:rsidRPr="008B1FF1">
              <w:rPr>
                <w:rFonts w:eastAsia="SimSun" w:cs="Calibri"/>
                <w:color w:val="000000"/>
                <w:sz w:val="20"/>
                <w:lang w:val="zh-CN" w:eastAsia="zh-CN"/>
              </w:rPr>
              <w:t>月的最新进展：</w:t>
            </w:r>
            <w:r w:rsidRPr="008B1FF1">
              <w:rPr>
                <w:rFonts w:eastAsia="SimSun" w:cs="Calibri" w:hint="eastAsia"/>
                <w:color w:val="000000"/>
                <w:sz w:val="20"/>
                <w:lang w:val="zh-CN" w:eastAsia="zh-CN"/>
              </w:rPr>
              <w:t>可用于</w:t>
            </w:r>
            <w:r w:rsidRPr="008B1FF1">
              <w:rPr>
                <w:rFonts w:eastAsia="SimSun" w:cs="Calibri"/>
                <w:color w:val="000000"/>
                <w:sz w:val="20"/>
                <w:lang w:val="zh-CN" w:eastAsia="zh-CN"/>
              </w:rPr>
              <w:t>监控银行账户、</w:t>
            </w:r>
            <w:r w:rsidRPr="008B1FF1">
              <w:rPr>
                <w:rFonts w:eastAsia="SimSun" w:cs="Calibri" w:hint="eastAsia"/>
                <w:color w:val="000000"/>
                <w:sz w:val="20"/>
                <w:lang w:val="zh-CN" w:eastAsia="zh-CN"/>
              </w:rPr>
              <w:t>小额</w:t>
            </w:r>
            <w:r w:rsidRPr="008B1FF1">
              <w:rPr>
                <w:rFonts w:eastAsia="SimSun" w:cs="Calibri"/>
                <w:color w:val="000000"/>
                <w:sz w:val="20"/>
                <w:lang w:val="zh-CN" w:eastAsia="zh-CN"/>
              </w:rPr>
              <w:t>现金和办公室管理等</w:t>
            </w:r>
            <w:r w:rsidRPr="008B1FF1">
              <w:rPr>
                <w:rFonts w:eastAsia="SimSun" w:cs="Calibri" w:hint="eastAsia"/>
                <w:color w:val="000000"/>
                <w:sz w:val="20"/>
                <w:lang w:val="zh-CN" w:eastAsia="zh-CN"/>
              </w:rPr>
              <w:t>重要</w:t>
            </w:r>
            <w:r w:rsidRPr="008B1FF1">
              <w:rPr>
                <w:rFonts w:eastAsia="SimSun" w:cs="Calibri"/>
                <w:color w:val="000000"/>
                <w:sz w:val="20"/>
                <w:lang w:val="zh-CN" w:eastAsia="zh-CN"/>
              </w:rPr>
              <w:t>问题</w:t>
            </w:r>
            <w:r w:rsidRPr="008B1FF1">
              <w:rPr>
                <w:rFonts w:eastAsia="SimSun" w:cs="Calibri" w:hint="eastAsia"/>
                <w:color w:val="000000"/>
                <w:sz w:val="20"/>
                <w:lang w:val="zh-CN" w:eastAsia="zh-CN"/>
              </w:rPr>
              <w:t>的</w:t>
            </w:r>
            <w:r w:rsidRPr="008B1FF1">
              <w:rPr>
                <w:rFonts w:eastAsia="SimSun" w:cs="Calibri"/>
                <w:color w:val="000000"/>
                <w:sz w:val="20"/>
                <w:lang w:val="zh-CN" w:eastAsia="zh-CN"/>
              </w:rPr>
              <w:t>许多程序已到位。国际电联管理层认为，</w:t>
            </w:r>
            <w:r w:rsidRPr="008B1FF1">
              <w:rPr>
                <w:rFonts w:eastAsia="SimSun" w:cs="Calibri" w:hint="eastAsia"/>
                <w:color w:val="000000"/>
                <w:sz w:val="20"/>
                <w:lang w:val="zh-CN" w:eastAsia="zh-CN"/>
              </w:rPr>
              <w:t>基于</w:t>
            </w:r>
            <w:r w:rsidRPr="008B1FF1">
              <w:rPr>
                <w:rFonts w:eastAsia="SimSun" w:cs="Calibri"/>
                <w:color w:val="000000"/>
                <w:sz w:val="20"/>
                <w:lang w:val="zh-CN" w:eastAsia="zh-CN"/>
              </w:rPr>
              <w:t>运作规模，这些控制</w:t>
            </w:r>
            <w:r w:rsidRPr="008B1FF1">
              <w:rPr>
                <w:rFonts w:eastAsia="SimSun" w:cs="Calibri" w:hint="eastAsia"/>
                <w:color w:val="000000"/>
                <w:sz w:val="20"/>
                <w:lang w:val="zh-CN" w:eastAsia="zh-CN"/>
              </w:rPr>
              <w:t>方法</w:t>
            </w:r>
            <w:r w:rsidRPr="008B1FF1">
              <w:rPr>
                <w:rFonts w:eastAsia="SimSun" w:cs="Calibri"/>
                <w:color w:val="000000"/>
                <w:sz w:val="20"/>
                <w:lang w:val="zh-CN" w:eastAsia="zh-CN"/>
              </w:rPr>
              <w:t>足以化解潜在风险。</w:t>
            </w:r>
          </w:p>
          <w:p w14:paraId="3FE1FEB4" w14:textId="687E5EC0" w:rsidR="000245E2" w:rsidRPr="008B1FF1" w:rsidRDefault="000245E2" w:rsidP="000245E2">
            <w:pPr>
              <w:pStyle w:val="Tabletext"/>
              <w:rPr>
                <w:sz w:val="20"/>
                <w:lang w:eastAsia="zh-CN"/>
              </w:rPr>
            </w:pPr>
            <w:r w:rsidRPr="008B1FF1">
              <w:rPr>
                <w:rFonts w:eastAsia="SimSun" w:cs="Calibri"/>
                <w:color w:val="000000"/>
                <w:sz w:val="20"/>
                <w:lang w:val="zh-CN" w:eastAsia="zh-CN"/>
              </w:rPr>
              <w:t>国际电联确认</w:t>
            </w:r>
            <w:r w:rsidRPr="008B1FF1">
              <w:rPr>
                <w:rFonts w:eastAsia="SimSun" w:cs="Calibri" w:hint="eastAsia"/>
                <w:color w:val="000000"/>
                <w:sz w:val="20"/>
                <w:lang w:val="zh-CN" w:eastAsia="zh-CN"/>
              </w:rPr>
              <w:t>仍在跟进</w:t>
            </w:r>
            <w:r w:rsidRPr="008B1FF1">
              <w:rPr>
                <w:rFonts w:eastAsia="SimSun" w:cs="Calibri"/>
                <w:color w:val="000000"/>
                <w:sz w:val="20"/>
                <w:lang w:val="zh-CN" w:eastAsia="zh-CN"/>
              </w:rPr>
              <w:t>该建议。建议不再跟进该建议。</w:t>
            </w:r>
          </w:p>
        </w:tc>
        <w:tc>
          <w:tcPr>
            <w:tcW w:w="1050" w:type="pct"/>
            <w:shd w:val="clear" w:color="auto" w:fill="auto"/>
          </w:tcPr>
          <w:p w14:paraId="5BF51602" w14:textId="20E4333C" w:rsidR="000245E2" w:rsidRPr="008B1FF1" w:rsidRDefault="000245E2" w:rsidP="000245E2">
            <w:pPr>
              <w:pStyle w:val="Tabletext"/>
              <w:rPr>
                <w:sz w:val="20"/>
                <w:lang w:eastAsia="zh-CN"/>
              </w:rPr>
            </w:pPr>
            <w:r w:rsidRPr="008B1FF1">
              <w:rPr>
                <w:rFonts w:eastAsia="SimSun" w:cs="Calibri"/>
                <w:color w:val="000000"/>
                <w:sz w:val="20"/>
                <w:lang w:val="zh-CN" w:eastAsia="zh-CN"/>
              </w:rPr>
              <w:t>已将最新回应记录在案。如本报告第一和第二部分所述，区域代表处的薄弱环节依然存在，因此我们提出了新的相关建议。我们</w:t>
            </w:r>
            <w:r w:rsidRPr="008B1FF1">
              <w:rPr>
                <w:rFonts w:eastAsia="SimSun" w:cs="Calibri" w:hint="eastAsia"/>
                <w:color w:val="000000"/>
                <w:sz w:val="20"/>
                <w:lang w:val="zh-CN" w:eastAsia="zh-CN"/>
              </w:rPr>
              <w:t>用新建议</w:t>
            </w:r>
            <w:r w:rsidRPr="008B1FF1">
              <w:rPr>
                <w:rFonts w:eastAsia="SimSun" w:cs="Calibri"/>
                <w:color w:val="000000"/>
                <w:sz w:val="20"/>
                <w:lang w:val="zh-CN" w:eastAsia="zh-CN"/>
              </w:rPr>
              <w:t>已取代</w:t>
            </w:r>
            <w:r w:rsidRPr="008B1FF1">
              <w:rPr>
                <w:rFonts w:eastAsia="SimSun" w:cs="Calibri" w:hint="eastAsia"/>
                <w:color w:val="000000"/>
                <w:sz w:val="20"/>
                <w:lang w:val="zh-CN" w:eastAsia="zh-CN"/>
              </w:rPr>
              <w:t>了</w:t>
            </w:r>
            <w:r w:rsidRPr="008B1FF1">
              <w:rPr>
                <w:rFonts w:eastAsia="SimSun" w:cs="Calibri"/>
                <w:color w:val="000000"/>
                <w:sz w:val="20"/>
                <w:lang w:val="zh-CN" w:eastAsia="zh-CN"/>
              </w:rPr>
              <w:t>此建议。</w:t>
            </w:r>
          </w:p>
        </w:tc>
        <w:tc>
          <w:tcPr>
            <w:tcW w:w="450" w:type="pct"/>
            <w:shd w:val="clear" w:color="auto" w:fill="auto"/>
          </w:tcPr>
          <w:p w14:paraId="645A23AA" w14:textId="73144A4D" w:rsidR="000245E2" w:rsidRPr="000231A6" w:rsidRDefault="00A62A5A" w:rsidP="000231A6">
            <w:pPr>
              <w:tabs>
                <w:tab w:val="clear" w:pos="567"/>
                <w:tab w:val="clear" w:pos="1134"/>
                <w:tab w:val="clear" w:pos="1701"/>
                <w:tab w:val="clear" w:pos="2268"/>
                <w:tab w:val="clear" w:pos="2835"/>
              </w:tabs>
              <w:overflowPunct/>
              <w:autoSpaceDE/>
              <w:autoSpaceDN/>
              <w:adjustRightInd/>
              <w:spacing w:before="0"/>
              <w:textAlignment w:val="auto"/>
              <w:rPr>
                <w:rFonts w:ascii="Times New Roman" w:eastAsia="Times New Roman" w:hAnsi="Times New Roman"/>
                <w:sz w:val="20"/>
                <w:lang w:eastAsia="zh-CN"/>
              </w:rPr>
            </w:pPr>
            <w:r>
              <w:rPr>
                <w:rFonts w:ascii="SimSun" w:eastAsia="SimSun" w:hAnsi="SimSun" w:cs="SimSun" w:hint="eastAsia"/>
                <w:color w:val="000000"/>
                <w:sz w:val="20"/>
                <w:lang w:eastAsia="zh-CN"/>
              </w:rPr>
              <w:t>已关闭。</w:t>
            </w:r>
          </w:p>
        </w:tc>
      </w:tr>
    </w:tbl>
    <w:p w14:paraId="50E5BE34" w14:textId="0AF36D3F" w:rsidR="003D7FF0" w:rsidRPr="00220CF9" w:rsidRDefault="002F2E4B" w:rsidP="00E17413">
      <w:pPr>
        <w:spacing w:before="360"/>
        <w:jc w:val="center"/>
      </w:pPr>
      <w:r>
        <w:t>______________</w:t>
      </w:r>
    </w:p>
    <w:sectPr w:rsidR="003D7FF0" w:rsidRPr="00220CF9" w:rsidSect="00293421">
      <w:pgSz w:w="16834" w:h="11907" w:orient="landscape"/>
      <w:pgMar w:top="1701" w:right="1418" w:bottom="1701"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B61B" w14:textId="77777777" w:rsidR="00C83E6F" w:rsidRDefault="00C83E6F">
      <w:r>
        <w:separator/>
      </w:r>
    </w:p>
  </w:endnote>
  <w:endnote w:type="continuationSeparator" w:id="0">
    <w:p w14:paraId="38F2309C" w14:textId="77777777" w:rsidR="00C83E6F" w:rsidRDefault="00C8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 w:name="HelveticaNeue-Ligh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Nxt2 W1G Medium">
    <w:altName w:val="Calibri"/>
    <w:panose1 w:val="020B0603020202020204"/>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42469C">
      <w:trPr>
        <w:jc w:val="center"/>
      </w:trPr>
      <w:tc>
        <w:tcPr>
          <w:tcW w:w="1803" w:type="dxa"/>
          <w:vAlign w:val="center"/>
        </w:tcPr>
        <w:p w14:paraId="5B3DDD9A" w14:textId="130FE9E6" w:rsidR="00EE49E8" w:rsidRDefault="00C6520B" w:rsidP="00EE49E8">
          <w:pPr>
            <w:pStyle w:val="Header"/>
            <w:jc w:val="left"/>
            <w:rPr>
              <w:noProof/>
            </w:rPr>
          </w:pPr>
          <w:r>
            <w:rPr>
              <w:noProof/>
            </w:rPr>
            <w:t xml:space="preserve">gDoc </w:t>
          </w:r>
          <w:r w:rsidR="00D11485">
            <w:rPr>
              <w:noProof/>
            </w:rPr>
            <w:t>2501358</w:t>
          </w:r>
        </w:p>
      </w:tc>
      <w:tc>
        <w:tcPr>
          <w:tcW w:w="8261" w:type="dxa"/>
        </w:tcPr>
        <w:p w14:paraId="6F6B3A01" w14:textId="2BC7BB7B" w:rsidR="00EE49E8" w:rsidRPr="00E06FD5" w:rsidRDefault="00EE49E8" w:rsidP="00010966">
          <w:pPr>
            <w:pStyle w:val="Header"/>
            <w:tabs>
              <w:tab w:val="left" w:pos="6738"/>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571589">
            <w:rPr>
              <w:bCs/>
            </w:rPr>
            <w:t>41</w:t>
          </w:r>
          <w:r w:rsidRPr="00623AE3">
            <w:rPr>
              <w:bCs/>
            </w:rPr>
            <w:t>-</w:t>
          </w:r>
          <w:r w:rsidR="00D11485">
            <w:rPr>
              <w:bCs/>
            </w:rPr>
            <w:t>C</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65B24F11" w:rsidR="00EE49E8" w:rsidRPr="00E06FD5" w:rsidRDefault="00EE49E8" w:rsidP="00DA3420">
          <w:pPr>
            <w:pStyle w:val="Header"/>
            <w:tabs>
              <w:tab w:val="left" w:pos="6738"/>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3E0902">
            <w:rPr>
              <w:bCs/>
            </w:rPr>
            <w:t>41</w:t>
          </w:r>
          <w:r w:rsidRPr="00623AE3">
            <w:rPr>
              <w:bCs/>
            </w:rPr>
            <w:t>-</w:t>
          </w:r>
          <w:r w:rsidR="00DA3420">
            <w:rPr>
              <w:rFonts w:eastAsiaTheme="minorEastAsia" w:hint="eastAsia"/>
              <w:bCs/>
              <w:lang w:eastAsia="zh-CN"/>
            </w:rPr>
            <w:t>C</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A3420" w:rsidRPr="00784011" w14:paraId="28A3ED17" w14:textId="77777777" w:rsidTr="0011737E">
      <w:trPr>
        <w:jc w:val="center"/>
      </w:trPr>
      <w:tc>
        <w:tcPr>
          <w:tcW w:w="1803" w:type="dxa"/>
          <w:vAlign w:val="center"/>
        </w:tcPr>
        <w:p w14:paraId="3CEA6025" w14:textId="77777777" w:rsidR="00DA3420" w:rsidRDefault="00DA3420" w:rsidP="00DA3420">
          <w:pPr>
            <w:pStyle w:val="Header"/>
            <w:jc w:val="left"/>
            <w:rPr>
              <w:noProof/>
            </w:rPr>
          </w:pPr>
          <w:r>
            <w:rPr>
              <w:noProof/>
            </w:rPr>
            <w:t>gDoc 2501358</w:t>
          </w:r>
        </w:p>
      </w:tc>
      <w:tc>
        <w:tcPr>
          <w:tcW w:w="8261" w:type="dxa"/>
        </w:tcPr>
        <w:p w14:paraId="06774522" w14:textId="77777777" w:rsidR="00DA3420" w:rsidRPr="00E06FD5" w:rsidRDefault="00DA3420" w:rsidP="00DA3420">
          <w:pPr>
            <w:pStyle w:val="Header"/>
            <w:tabs>
              <w:tab w:val="left" w:pos="6738"/>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Pr>
              <w:bCs/>
            </w:rPr>
            <w:t>41</w:t>
          </w:r>
          <w:r w:rsidRPr="00623AE3">
            <w:rPr>
              <w:bCs/>
            </w:rPr>
            <w:t>-</w:t>
          </w:r>
          <w:r>
            <w:rPr>
              <w:bCs/>
            </w:rPr>
            <w:t>C</w:t>
          </w:r>
          <w:r>
            <w:rPr>
              <w:bCs/>
            </w:rPr>
            <w:tab/>
          </w:r>
          <w:r>
            <w:fldChar w:fldCharType="begin"/>
          </w:r>
          <w:r>
            <w:instrText>PAGE</w:instrText>
          </w:r>
          <w:r>
            <w:fldChar w:fldCharType="separate"/>
          </w:r>
          <w:r>
            <w:t>3</w:t>
          </w:r>
          <w:r>
            <w:rPr>
              <w:noProof/>
            </w:rPr>
            <w:fldChar w:fldCharType="end"/>
          </w:r>
        </w:p>
      </w:tc>
    </w:tr>
  </w:tbl>
  <w:p w14:paraId="39E5860D" w14:textId="77777777" w:rsidR="00DA3420" w:rsidRPr="00DA3420" w:rsidRDefault="00DA3420" w:rsidP="00DA3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A204" w14:textId="77777777" w:rsidR="00C83E6F" w:rsidRDefault="00C83E6F">
      <w:r>
        <w:t>____________________</w:t>
      </w:r>
    </w:p>
  </w:footnote>
  <w:footnote w:type="continuationSeparator" w:id="0">
    <w:p w14:paraId="691CED39" w14:textId="77777777" w:rsidR="00C83E6F" w:rsidRDefault="00C83E6F">
      <w:r>
        <w:continuationSeparator/>
      </w:r>
    </w:p>
  </w:footnote>
  <w:footnote w:id="1">
    <w:p w14:paraId="44F7AB84" w14:textId="77777777" w:rsidR="00F912F4" w:rsidRDefault="00F912F4" w:rsidP="00F912F4">
      <w:pPr>
        <w:pStyle w:val="FootnoteText"/>
        <w:jc w:val="both"/>
        <w:rPr>
          <w:lang w:eastAsia="zh-CN"/>
        </w:rPr>
      </w:pPr>
      <w:r>
        <w:rPr>
          <w:rStyle w:val="FootnoteReference"/>
          <w:lang w:val="zh-CN"/>
        </w:rPr>
        <w:footnoteRef/>
      </w:r>
      <w:r>
        <w:rPr>
          <w:lang w:val="zh-CN" w:eastAsia="zh-CN"/>
        </w:rPr>
        <w:tab/>
      </w:r>
      <w:r w:rsidRPr="00C41566">
        <w:rPr>
          <w:rFonts w:asciiTheme="minorHAnsi" w:eastAsia="SimSun" w:hAnsiTheme="minorHAnsi" w:cstheme="minorHAnsi"/>
          <w:lang w:val="zh-CN" w:eastAsia="zh-CN"/>
        </w:rPr>
        <w:t>国际电联</w:t>
      </w:r>
      <w:r w:rsidRPr="00C41566">
        <w:rPr>
          <w:rFonts w:asciiTheme="minorHAnsi" w:eastAsia="SimSun" w:hAnsiTheme="minorHAnsi" w:cstheme="minorHAnsi"/>
          <w:lang w:val="zh-CN" w:eastAsia="zh-CN"/>
        </w:rPr>
        <w:t>2020</w:t>
      </w:r>
      <w:r w:rsidRPr="00C41566">
        <w:rPr>
          <w:rFonts w:asciiTheme="minorHAnsi" w:eastAsia="SimSun" w:hAnsiTheme="minorHAnsi" w:cstheme="minorHAnsi"/>
          <w:lang w:val="zh-CN" w:eastAsia="zh-CN"/>
        </w:rPr>
        <w:t>年版项目管理手册将项目发起人定义为：对项目经理的成功负责并在项目整个生命周期提供支持和指导的个人。此人将担任高级直接主管、项目经理主管、处长（</w:t>
      </w:r>
      <w:r w:rsidRPr="00C41566">
        <w:rPr>
          <w:rFonts w:asciiTheme="minorHAnsi" w:eastAsia="SimSun" w:hAnsiTheme="minorHAnsi" w:cstheme="minorHAnsi"/>
          <w:lang w:val="zh-CN" w:eastAsia="zh-CN"/>
        </w:rPr>
        <w:t>HOD</w:t>
      </w:r>
      <w:r w:rsidRPr="00C41566">
        <w:rPr>
          <w:rFonts w:asciiTheme="minorHAnsi" w:eastAsia="SimSun" w:hAnsiTheme="minorHAnsi" w:cstheme="minorHAnsi"/>
          <w:lang w:val="zh-CN" w:eastAsia="zh-CN"/>
        </w:rPr>
        <w:t>）或部门主任（</w:t>
      </w:r>
      <w:r w:rsidRPr="00C41566">
        <w:rPr>
          <w:rFonts w:asciiTheme="minorHAnsi" w:eastAsia="SimSun" w:hAnsiTheme="minorHAnsi" w:cstheme="minorHAnsi"/>
          <w:lang w:val="zh-CN" w:eastAsia="zh-CN"/>
        </w:rPr>
        <w:t>COD</w:t>
      </w:r>
      <w:r w:rsidRPr="00C41566">
        <w:rPr>
          <w:rFonts w:asciiTheme="minorHAnsi" w:eastAsia="SimSun" w:hAnsiTheme="minorHAnsi" w:cstheme="minorHAnsi"/>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DA3420" w:rsidRPr="00784011" w14:paraId="435E3DD8" w14:textId="77777777" w:rsidTr="0011737E">
      <w:trPr>
        <w:trHeight w:val="1104"/>
        <w:jc w:val="center"/>
      </w:trPr>
      <w:tc>
        <w:tcPr>
          <w:tcW w:w="4390" w:type="dxa"/>
          <w:vAlign w:val="center"/>
        </w:tcPr>
        <w:p w14:paraId="40FD7121" w14:textId="77777777" w:rsidR="00DA3420" w:rsidRPr="009621F8" w:rsidRDefault="00DA3420" w:rsidP="00DA3420">
          <w:pPr>
            <w:pStyle w:val="Header"/>
            <w:jc w:val="left"/>
            <w:rPr>
              <w:rFonts w:ascii="Arial" w:hAnsi="Arial" w:cs="Arial"/>
              <w:b/>
              <w:bCs/>
              <w:color w:val="009CD6"/>
              <w:sz w:val="36"/>
              <w:szCs w:val="36"/>
            </w:rPr>
          </w:pPr>
          <w:bookmarkStart w:id="11" w:name="_Hlk133422111"/>
          <w:r>
            <w:rPr>
              <w:rFonts w:ascii="Arial" w:hAnsi="Arial" w:cs="Arial"/>
              <w:b/>
              <w:bCs/>
              <w:noProof/>
              <w:color w:val="009CD6"/>
              <w:sz w:val="36"/>
              <w:szCs w:val="36"/>
            </w:rPr>
            <w:drawing>
              <wp:inline distT="0" distB="0" distL="0" distR="0" wp14:anchorId="29B7DE13" wp14:editId="0DCF45CA">
                <wp:extent cx="3007478" cy="575945"/>
                <wp:effectExtent l="0" t="0" r="0" b="0"/>
                <wp:docPr id="2096576367"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55E9E0FE" w14:textId="77777777" w:rsidR="00DA3420" w:rsidRDefault="00DA3420" w:rsidP="00DA3420">
          <w:pPr>
            <w:pStyle w:val="Header"/>
            <w:jc w:val="right"/>
            <w:rPr>
              <w:rFonts w:ascii="Arial" w:hAnsi="Arial" w:cs="Arial"/>
              <w:b/>
              <w:bCs/>
              <w:color w:val="009CD6"/>
              <w:szCs w:val="18"/>
            </w:rPr>
          </w:pPr>
        </w:p>
        <w:p w14:paraId="08696098" w14:textId="77777777" w:rsidR="00DA3420" w:rsidRDefault="00DA3420" w:rsidP="00DA3420">
          <w:pPr>
            <w:pStyle w:val="Header"/>
            <w:jc w:val="right"/>
            <w:rPr>
              <w:rFonts w:ascii="Arial" w:hAnsi="Arial" w:cs="Arial"/>
              <w:b/>
              <w:bCs/>
              <w:color w:val="009CD6"/>
              <w:szCs w:val="18"/>
            </w:rPr>
          </w:pPr>
        </w:p>
        <w:p w14:paraId="4DAB6569" w14:textId="77777777" w:rsidR="00DA3420" w:rsidRPr="00784011" w:rsidRDefault="00DA3420" w:rsidP="00DA3420">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C724958" w14:textId="38660D8D" w:rsidR="00AD3606" w:rsidRPr="00DA3420" w:rsidRDefault="00DA3420" w:rsidP="00DA3420">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3B5036A" wp14:editId="3250D9B8">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E00DA"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87A1" w14:textId="1ADA34A8" w:rsidR="00C64DF0" w:rsidRDefault="00DA3420">
    <w:pPr>
      <w:pStyle w:val="Header"/>
      <w:rPr>
        <w:lang w:eastAsia="zh-CN"/>
      </w:rPr>
    </w:pPr>
    <w:r w:rsidRPr="00DA3420">
      <w:rPr>
        <w:rFonts w:hint="eastAsia"/>
        <w:lang w:eastAsia="zh-CN"/>
      </w:rPr>
      <w:t>外部审计员关于国际电联</w:t>
    </w:r>
    <w:r w:rsidRPr="00DA3420">
      <w:rPr>
        <w:rFonts w:hint="eastAsia"/>
        <w:lang w:eastAsia="zh-CN"/>
      </w:rPr>
      <w:t>2024</w:t>
    </w:r>
    <w:r w:rsidRPr="00DA3420">
      <w:rPr>
        <w:rFonts w:hint="eastAsia"/>
        <w:lang w:eastAsia="zh-CN"/>
      </w:rPr>
      <w:t>年财务报表的报告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E2A4" w14:textId="1E1B1DAE" w:rsidR="00830106" w:rsidRPr="00C64DF0" w:rsidRDefault="00830106" w:rsidP="00C64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F9A"/>
    <w:multiLevelType w:val="hybridMultilevel"/>
    <w:tmpl w:val="13B2D25C"/>
    <w:lvl w:ilvl="0" w:tplc="723279EE">
      <w:start w:val="1"/>
      <w:numFmt w:val="bullet"/>
      <w:pStyle w:val="Bullet"/>
      <w:lvlText w:val=""/>
      <w:lvlJc w:val="left"/>
      <w:pPr>
        <w:tabs>
          <w:tab w:val="num" w:pos="499"/>
        </w:tabs>
        <w:ind w:left="499" w:hanging="499"/>
      </w:pPr>
      <w:rPr>
        <w:rFonts w:ascii="Symbol" w:hAnsi="Symbol" w:hint="default"/>
        <w:color w:val="33333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C627E"/>
    <w:multiLevelType w:val="hybridMultilevel"/>
    <w:tmpl w:val="A8A8E4D8"/>
    <w:lvl w:ilvl="0" w:tplc="ED34966C">
      <w:start w:val="1"/>
      <w:numFmt w:val="decimal"/>
      <w:pStyle w:val="Number5"/>
      <w:lvlText w:val="5.%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563CEE"/>
    <w:multiLevelType w:val="hybridMultilevel"/>
    <w:tmpl w:val="5218E122"/>
    <w:lvl w:ilvl="0" w:tplc="8C54DD80">
      <w:start w:val="1"/>
      <w:numFmt w:val="decimal"/>
      <w:pStyle w:val="Number9"/>
      <w:lvlText w:val="9.%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7570FA"/>
    <w:multiLevelType w:val="hybridMultilevel"/>
    <w:tmpl w:val="FEBADF70"/>
    <w:lvl w:ilvl="0" w:tplc="C6B24016">
      <w:start w:val="1"/>
      <w:numFmt w:val="decimal"/>
      <w:pStyle w:val="Number13"/>
      <w:lvlText w:val="13.%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6C7902"/>
    <w:multiLevelType w:val="multilevel"/>
    <w:tmpl w:val="BACE1260"/>
    <w:lvl w:ilvl="0">
      <w:start w:val="1"/>
      <w:numFmt w:val="lowerLetter"/>
      <w:lvlRestart w:val="0"/>
      <w:pStyle w:val="Bulletalphabet"/>
      <w:lvlText w:val="%1."/>
      <w:lvlJc w:val="left"/>
      <w:pPr>
        <w:tabs>
          <w:tab w:val="num" w:pos="510"/>
        </w:tabs>
        <w:ind w:left="510" w:hanging="510"/>
      </w:pPr>
      <w:rPr>
        <w:rFonts w:hint="default"/>
        <w:color w:val="000000"/>
      </w:rPr>
    </w:lvl>
    <w:lvl w:ilvl="1">
      <w:start w:val="1"/>
      <w:numFmt w:val="lowerLetter"/>
      <w:lvlText w:val="%2."/>
      <w:lvlJc w:val="left"/>
      <w:pPr>
        <w:tabs>
          <w:tab w:val="num" w:pos="2103"/>
        </w:tabs>
        <w:ind w:left="2103" w:hanging="363"/>
      </w:pPr>
      <w:rPr>
        <w:rFonts w:hint="default"/>
      </w:rPr>
    </w:lvl>
    <w:lvl w:ilvl="2">
      <w:start w:val="1"/>
      <w:numFmt w:val="lowerRoman"/>
      <w:lvlText w:val="%3."/>
      <w:lvlJc w:val="right"/>
      <w:pPr>
        <w:tabs>
          <w:tab w:val="num" w:pos="2823"/>
        </w:tabs>
        <w:ind w:left="2823" w:hanging="181"/>
      </w:pPr>
      <w:rPr>
        <w:rFonts w:hint="default"/>
      </w:rPr>
    </w:lvl>
    <w:lvl w:ilvl="3">
      <w:start w:val="1"/>
      <w:numFmt w:val="decimal"/>
      <w:lvlText w:val="%4."/>
      <w:lvlJc w:val="left"/>
      <w:pPr>
        <w:tabs>
          <w:tab w:val="num" w:pos="3543"/>
        </w:tabs>
        <w:ind w:left="3543" w:hanging="363"/>
      </w:pPr>
      <w:rPr>
        <w:rFonts w:hint="default"/>
      </w:rPr>
    </w:lvl>
    <w:lvl w:ilvl="4">
      <w:start w:val="1"/>
      <w:numFmt w:val="lowerLetter"/>
      <w:lvlText w:val="%5."/>
      <w:lvlJc w:val="left"/>
      <w:pPr>
        <w:tabs>
          <w:tab w:val="num" w:pos="4258"/>
        </w:tabs>
        <w:ind w:left="4258" w:hanging="358"/>
      </w:pPr>
      <w:rPr>
        <w:rFonts w:hint="default"/>
      </w:rPr>
    </w:lvl>
    <w:lvl w:ilvl="5">
      <w:start w:val="1"/>
      <w:numFmt w:val="lowerRoman"/>
      <w:lvlText w:val="%6."/>
      <w:lvlJc w:val="right"/>
      <w:pPr>
        <w:tabs>
          <w:tab w:val="num" w:pos="4978"/>
        </w:tabs>
        <w:ind w:left="4978" w:hanging="176"/>
      </w:pPr>
      <w:rPr>
        <w:rFonts w:hint="default"/>
      </w:rPr>
    </w:lvl>
    <w:lvl w:ilvl="6">
      <w:start w:val="1"/>
      <w:numFmt w:val="decimal"/>
      <w:lvlText w:val="%7."/>
      <w:lvlJc w:val="left"/>
      <w:pPr>
        <w:tabs>
          <w:tab w:val="num" w:pos="5698"/>
        </w:tabs>
        <w:ind w:left="5698" w:hanging="358"/>
      </w:pPr>
      <w:rPr>
        <w:rFonts w:hint="default"/>
      </w:rPr>
    </w:lvl>
    <w:lvl w:ilvl="7">
      <w:start w:val="1"/>
      <w:numFmt w:val="lowerLetter"/>
      <w:lvlText w:val="%8."/>
      <w:lvlJc w:val="left"/>
      <w:pPr>
        <w:tabs>
          <w:tab w:val="num" w:pos="6418"/>
        </w:tabs>
        <w:ind w:left="6418" w:hanging="358"/>
      </w:pPr>
      <w:rPr>
        <w:rFonts w:hint="default"/>
      </w:rPr>
    </w:lvl>
    <w:lvl w:ilvl="8">
      <w:start w:val="1"/>
      <w:numFmt w:val="lowerRoman"/>
      <w:lvlText w:val="%9."/>
      <w:lvlJc w:val="right"/>
      <w:pPr>
        <w:tabs>
          <w:tab w:val="num" w:pos="7138"/>
        </w:tabs>
        <w:ind w:left="7138" w:hanging="176"/>
      </w:pPr>
      <w:rPr>
        <w:rFonts w:hint="default"/>
      </w:rPr>
    </w:lvl>
  </w:abstractNum>
  <w:abstractNum w:abstractNumId="5" w15:restartNumberingAfterBreak="0">
    <w:nsid w:val="1B5E2CA3"/>
    <w:multiLevelType w:val="hybridMultilevel"/>
    <w:tmpl w:val="4848756E"/>
    <w:lvl w:ilvl="0" w:tplc="3AB0FB4E">
      <w:start w:val="1"/>
      <w:numFmt w:val="decimal"/>
      <w:pStyle w:val="Number8"/>
      <w:lvlText w:val="8.%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A03982"/>
    <w:multiLevelType w:val="hybridMultilevel"/>
    <w:tmpl w:val="FF8C3EE6"/>
    <w:lvl w:ilvl="0" w:tplc="3AB0FB4E">
      <w:start w:val="1"/>
      <w:numFmt w:val="bullet"/>
      <w:pStyle w:val="FigureBulletssecond"/>
      <w:lvlText w:val=""/>
      <w:lvlJc w:val="left"/>
      <w:pPr>
        <w:tabs>
          <w:tab w:val="num" w:pos="680"/>
        </w:tabs>
        <w:ind w:left="680" w:hanging="340"/>
      </w:pPr>
      <w:rPr>
        <w:rFonts w:ascii="Symbol" w:hAnsi="Symbol" w:hint="default"/>
        <w:color w:val="333333"/>
      </w:rPr>
    </w:lvl>
    <w:lvl w:ilvl="1" w:tplc="08090019" w:tentative="1">
      <w:start w:val="1"/>
      <w:numFmt w:val="bullet"/>
      <w:lvlText w:val="o"/>
      <w:lvlJc w:val="left"/>
      <w:pPr>
        <w:tabs>
          <w:tab w:val="num" w:pos="1440"/>
        </w:tabs>
        <w:ind w:left="1440" w:hanging="360"/>
      </w:pPr>
      <w:rPr>
        <w:rFonts w:ascii="Courier New" w:hAnsi="Courier New" w:cs="Arial"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Arial"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Arial"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C1ACD"/>
    <w:multiLevelType w:val="multilevel"/>
    <w:tmpl w:val="9FF2AA46"/>
    <w:styleLink w:val="Numberednotes"/>
    <w:lvl w:ilvl="0">
      <w:start w:val="1"/>
      <w:numFmt w:val="decimal"/>
      <w:suff w:val="space"/>
      <w:lvlText w:val="%1."/>
      <w:lvlJc w:val="left"/>
      <w:pPr>
        <w:ind w:left="57" w:hanging="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9D15BB"/>
    <w:multiLevelType w:val="hybridMultilevel"/>
    <w:tmpl w:val="228CBC46"/>
    <w:lvl w:ilvl="0" w:tplc="3AB0FB4E">
      <w:start w:val="1"/>
      <w:numFmt w:val="decimal"/>
      <w:pStyle w:val="AnnexH"/>
      <w:lvlText w:val="%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80A42A3"/>
    <w:multiLevelType w:val="multilevel"/>
    <w:tmpl w:val="B6186C30"/>
    <w:lvl w:ilvl="0">
      <w:start w:val="1"/>
      <w:numFmt w:val="decimal"/>
      <w:lvlRestart w:val="0"/>
      <w:pStyle w:val="Figurenumbers"/>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10" w15:restartNumberingAfterBreak="0">
    <w:nsid w:val="286C0089"/>
    <w:multiLevelType w:val="hybridMultilevel"/>
    <w:tmpl w:val="4A864720"/>
    <w:lvl w:ilvl="0" w:tplc="3AB0FB4E">
      <w:start w:val="1"/>
      <w:numFmt w:val="decimal"/>
      <w:pStyle w:val="Number15"/>
      <w:lvlText w:val="15.%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8B60C29"/>
    <w:multiLevelType w:val="multilevel"/>
    <w:tmpl w:val="503A353C"/>
    <w:styleLink w:val="NumberedNotes0"/>
    <w:lvl w:ilvl="0">
      <w:start w:val="1"/>
      <w:numFmt w:val="decimal"/>
      <w:suff w:val="space"/>
      <w:lvlText w:val="%1."/>
      <w:lvlJc w:val="left"/>
      <w:pPr>
        <w:ind w:left="57" w:hanging="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D35173"/>
    <w:multiLevelType w:val="hybridMultilevel"/>
    <w:tmpl w:val="7E8C5F02"/>
    <w:lvl w:ilvl="0" w:tplc="1BBEACE4">
      <w:start w:val="1"/>
      <w:numFmt w:val="decimal"/>
      <w:pStyle w:val="AnnexD"/>
      <w:lvlText w:val="%1"/>
      <w:lvlJc w:val="left"/>
      <w:pPr>
        <w:tabs>
          <w:tab w:val="num" w:pos="774"/>
        </w:tabs>
        <w:ind w:left="774" w:hanging="774"/>
      </w:pPr>
      <w:rPr>
        <w:rFonts w:ascii="Arial" w:hAnsi="Arial" w:hint="default"/>
        <w:b/>
        <w:i w:val="0"/>
        <w:color w:val="000000"/>
      </w:rPr>
    </w:lvl>
    <w:lvl w:ilvl="1" w:tplc="24566C84" w:tentative="1">
      <w:start w:val="1"/>
      <w:numFmt w:val="lowerLetter"/>
      <w:lvlText w:val="%2."/>
      <w:lvlJc w:val="left"/>
      <w:pPr>
        <w:tabs>
          <w:tab w:val="num" w:pos="1440"/>
        </w:tabs>
        <w:ind w:left="1440" w:hanging="360"/>
      </w:pPr>
    </w:lvl>
    <w:lvl w:ilvl="2" w:tplc="A13292A6" w:tentative="1">
      <w:start w:val="1"/>
      <w:numFmt w:val="lowerRoman"/>
      <w:lvlText w:val="%3."/>
      <w:lvlJc w:val="right"/>
      <w:pPr>
        <w:tabs>
          <w:tab w:val="num" w:pos="2160"/>
        </w:tabs>
        <w:ind w:left="2160" w:hanging="180"/>
      </w:pPr>
    </w:lvl>
    <w:lvl w:ilvl="3" w:tplc="8696A438" w:tentative="1">
      <w:start w:val="1"/>
      <w:numFmt w:val="decimal"/>
      <w:lvlText w:val="%4."/>
      <w:lvlJc w:val="left"/>
      <w:pPr>
        <w:tabs>
          <w:tab w:val="num" w:pos="2880"/>
        </w:tabs>
        <w:ind w:left="2880" w:hanging="360"/>
      </w:pPr>
    </w:lvl>
    <w:lvl w:ilvl="4" w:tplc="7B747BCE" w:tentative="1">
      <w:start w:val="1"/>
      <w:numFmt w:val="lowerLetter"/>
      <w:lvlText w:val="%5."/>
      <w:lvlJc w:val="left"/>
      <w:pPr>
        <w:tabs>
          <w:tab w:val="num" w:pos="3600"/>
        </w:tabs>
        <w:ind w:left="3600" w:hanging="360"/>
      </w:pPr>
    </w:lvl>
    <w:lvl w:ilvl="5" w:tplc="27401F44" w:tentative="1">
      <w:start w:val="1"/>
      <w:numFmt w:val="lowerRoman"/>
      <w:lvlText w:val="%6."/>
      <w:lvlJc w:val="right"/>
      <w:pPr>
        <w:tabs>
          <w:tab w:val="num" w:pos="4320"/>
        </w:tabs>
        <w:ind w:left="4320" w:hanging="180"/>
      </w:pPr>
    </w:lvl>
    <w:lvl w:ilvl="6" w:tplc="DA826678" w:tentative="1">
      <w:start w:val="1"/>
      <w:numFmt w:val="decimal"/>
      <w:lvlText w:val="%7."/>
      <w:lvlJc w:val="left"/>
      <w:pPr>
        <w:tabs>
          <w:tab w:val="num" w:pos="5040"/>
        </w:tabs>
        <w:ind w:left="5040" w:hanging="360"/>
      </w:pPr>
    </w:lvl>
    <w:lvl w:ilvl="7" w:tplc="A40843E2" w:tentative="1">
      <w:start w:val="1"/>
      <w:numFmt w:val="lowerLetter"/>
      <w:lvlText w:val="%8."/>
      <w:lvlJc w:val="left"/>
      <w:pPr>
        <w:tabs>
          <w:tab w:val="num" w:pos="5760"/>
        </w:tabs>
        <w:ind w:left="5760" w:hanging="360"/>
      </w:pPr>
    </w:lvl>
    <w:lvl w:ilvl="8" w:tplc="BC9070CA" w:tentative="1">
      <w:start w:val="1"/>
      <w:numFmt w:val="lowerRoman"/>
      <w:lvlText w:val="%9."/>
      <w:lvlJc w:val="right"/>
      <w:pPr>
        <w:tabs>
          <w:tab w:val="num" w:pos="6480"/>
        </w:tabs>
        <w:ind w:left="6480" w:hanging="180"/>
      </w:pPr>
    </w:lvl>
  </w:abstractNum>
  <w:abstractNum w:abstractNumId="13" w15:restartNumberingAfterBreak="0">
    <w:nsid w:val="2A4D1375"/>
    <w:multiLevelType w:val="hybridMultilevel"/>
    <w:tmpl w:val="FE5EF3CE"/>
    <w:lvl w:ilvl="0" w:tplc="BB66E226">
      <w:start w:val="1"/>
      <w:numFmt w:val="decimal"/>
      <w:pStyle w:val="Number12"/>
      <w:lvlText w:val="12.%1"/>
      <w:lvlJc w:val="left"/>
      <w:pPr>
        <w:tabs>
          <w:tab w:val="num" w:pos="774"/>
        </w:tabs>
        <w:ind w:left="774" w:hanging="774"/>
      </w:pPr>
      <w:rPr>
        <w:rFonts w:ascii="Arial" w:hAnsi="Arial" w:hint="default"/>
        <w:b/>
        <w:i w:val="0"/>
        <w:color w:val="000000"/>
      </w:rPr>
    </w:lvl>
    <w:lvl w:ilvl="1" w:tplc="530C4AD6" w:tentative="1">
      <w:start w:val="1"/>
      <w:numFmt w:val="lowerLetter"/>
      <w:lvlText w:val="%2."/>
      <w:lvlJc w:val="left"/>
      <w:pPr>
        <w:tabs>
          <w:tab w:val="num" w:pos="1440"/>
        </w:tabs>
        <w:ind w:left="1440" w:hanging="360"/>
      </w:pPr>
    </w:lvl>
    <w:lvl w:ilvl="2" w:tplc="673CDAB8" w:tentative="1">
      <w:start w:val="1"/>
      <w:numFmt w:val="lowerRoman"/>
      <w:lvlText w:val="%3."/>
      <w:lvlJc w:val="right"/>
      <w:pPr>
        <w:tabs>
          <w:tab w:val="num" w:pos="2160"/>
        </w:tabs>
        <w:ind w:left="2160" w:hanging="180"/>
      </w:pPr>
    </w:lvl>
    <w:lvl w:ilvl="3" w:tplc="49441E0A" w:tentative="1">
      <w:start w:val="1"/>
      <w:numFmt w:val="decimal"/>
      <w:lvlText w:val="%4."/>
      <w:lvlJc w:val="left"/>
      <w:pPr>
        <w:tabs>
          <w:tab w:val="num" w:pos="2880"/>
        </w:tabs>
        <w:ind w:left="2880" w:hanging="360"/>
      </w:pPr>
    </w:lvl>
    <w:lvl w:ilvl="4" w:tplc="D5A010A0" w:tentative="1">
      <w:start w:val="1"/>
      <w:numFmt w:val="lowerLetter"/>
      <w:lvlText w:val="%5."/>
      <w:lvlJc w:val="left"/>
      <w:pPr>
        <w:tabs>
          <w:tab w:val="num" w:pos="3600"/>
        </w:tabs>
        <w:ind w:left="3600" w:hanging="360"/>
      </w:pPr>
    </w:lvl>
    <w:lvl w:ilvl="5" w:tplc="1326FF5E" w:tentative="1">
      <w:start w:val="1"/>
      <w:numFmt w:val="lowerRoman"/>
      <w:lvlText w:val="%6."/>
      <w:lvlJc w:val="right"/>
      <w:pPr>
        <w:tabs>
          <w:tab w:val="num" w:pos="4320"/>
        </w:tabs>
        <w:ind w:left="4320" w:hanging="180"/>
      </w:pPr>
    </w:lvl>
    <w:lvl w:ilvl="6" w:tplc="81ECD796" w:tentative="1">
      <w:start w:val="1"/>
      <w:numFmt w:val="decimal"/>
      <w:lvlText w:val="%7."/>
      <w:lvlJc w:val="left"/>
      <w:pPr>
        <w:tabs>
          <w:tab w:val="num" w:pos="5040"/>
        </w:tabs>
        <w:ind w:left="5040" w:hanging="360"/>
      </w:pPr>
    </w:lvl>
    <w:lvl w:ilvl="7" w:tplc="15ACCFE8" w:tentative="1">
      <w:start w:val="1"/>
      <w:numFmt w:val="lowerLetter"/>
      <w:lvlText w:val="%8."/>
      <w:lvlJc w:val="left"/>
      <w:pPr>
        <w:tabs>
          <w:tab w:val="num" w:pos="5760"/>
        </w:tabs>
        <w:ind w:left="5760" w:hanging="360"/>
      </w:pPr>
    </w:lvl>
    <w:lvl w:ilvl="8" w:tplc="8AE2793A" w:tentative="1">
      <w:start w:val="1"/>
      <w:numFmt w:val="lowerRoman"/>
      <w:lvlText w:val="%9."/>
      <w:lvlJc w:val="right"/>
      <w:pPr>
        <w:tabs>
          <w:tab w:val="num" w:pos="6480"/>
        </w:tabs>
        <w:ind w:left="6480" w:hanging="180"/>
      </w:pPr>
    </w:lvl>
  </w:abstractNum>
  <w:abstractNum w:abstractNumId="14" w15:restartNumberingAfterBreak="0">
    <w:nsid w:val="2F7B50AD"/>
    <w:multiLevelType w:val="hybridMultilevel"/>
    <w:tmpl w:val="840AE602"/>
    <w:lvl w:ilvl="0" w:tplc="57827B34">
      <w:start w:val="1"/>
      <w:numFmt w:val="decimal"/>
      <w:pStyle w:val="AnnexC"/>
      <w:lvlText w:val="%1"/>
      <w:lvlJc w:val="left"/>
      <w:pPr>
        <w:tabs>
          <w:tab w:val="num" w:pos="774"/>
        </w:tabs>
        <w:ind w:left="774" w:hanging="774"/>
      </w:pPr>
      <w:rPr>
        <w:rFonts w:ascii="Arial" w:hAnsi="Arial" w:hint="default"/>
        <w:b/>
        <w:i w:val="0"/>
        <w:color w:val="000000"/>
      </w:rPr>
    </w:lvl>
    <w:lvl w:ilvl="1" w:tplc="196A5574" w:tentative="1">
      <w:start w:val="1"/>
      <w:numFmt w:val="lowerLetter"/>
      <w:lvlText w:val="%2."/>
      <w:lvlJc w:val="left"/>
      <w:pPr>
        <w:tabs>
          <w:tab w:val="num" w:pos="1440"/>
        </w:tabs>
        <w:ind w:left="1440" w:hanging="360"/>
      </w:pPr>
    </w:lvl>
    <w:lvl w:ilvl="2" w:tplc="C6C63332" w:tentative="1">
      <w:start w:val="1"/>
      <w:numFmt w:val="lowerRoman"/>
      <w:lvlText w:val="%3."/>
      <w:lvlJc w:val="right"/>
      <w:pPr>
        <w:tabs>
          <w:tab w:val="num" w:pos="2160"/>
        </w:tabs>
        <w:ind w:left="2160" w:hanging="180"/>
      </w:pPr>
    </w:lvl>
    <w:lvl w:ilvl="3" w:tplc="4CE0A924" w:tentative="1">
      <w:start w:val="1"/>
      <w:numFmt w:val="decimal"/>
      <w:lvlText w:val="%4."/>
      <w:lvlJc w:val="left"/>
      <w:pPr>
        <w:tabs>
          <w:tab w:val="num" w:pos="2880"/>
        </w:tabs>
        <w:ind w:left="2880" w:hanging="360"/>
      </w:pPr>
    </w:lvl>
    <w:lvl w:ilvl="4" w:tplc="4EFC80BC" w:tentative="1">
      <w:start w:val="1"/>
      <w:numFmt w:val="lowerLetter"/>
      <w:lvlText w:val="%5."/>
      <w:lvlJc w:val="left"/>
      <w:pPr>
        <w:tabs>
          <w:tab w:val="num" w:pos="3600"/>
        </w:tabs>
        <w:ind w:left="3600" w:hanging="360"/>
      </w:pPr>
    </w:lvl>
    <w:lvl w:ilvl="5" w:tplc="0A34CC52" w:tentative="1">
      <w:start w:val="1"/>
      <w:numFmt w:val="lowerRoman"/>
      <w:lvlText w:val="%6."/>
      <w:lvlJc w:val="right"/>
      <w:pPr>
        <w:tabs>
          <w:tab w:val="num" w:pos="4320"/>
        </w:tabs>
        <w:ind w:left="4320" w:hanging="180"/>
      </w:pPr>
    </w:lvl>
    <w:lvl w:ilvl="6" w:tplc="178EF0E6" w:tentative="1">
      <w:start w:val="1"/>
      <w:numFmt w:val="decimal"/>
      <w:lvlText w:val="%7."/>
      <w:lvlJc w:val="left"/>
      <w:pPr>
        <w:tabs>
          <w:tab w:val="num" w:pos="5040"/>
        </w:tabs>
        <w:ind w:left="5040" w:hanging="360"/>
      </w:pPr>
    </w:lvl>
    <w:lvl w:ilvl="7" w:tplc="706EBE3C" w:tentative="1">
      <w:start w:val="1"/>
      <w:numFmt w:val="lowerLetter"/>
      <w:lvlText w:val="%8."/>
      <w:lvlJc w:val="left"/>
      <w:pPr>
        <w:tabs>
          <w:tab w:val="num" w:pos="5760"/>
        </w:tabs>
        <w:ind w:left="5760" w:hanging="360"/>
      </w:pPr>
    </w:lvl>
    <w:lvl w:ilvl="8" w:tplc="B7BC294C" w:tentative="1">
      <w:start w:val="1"/>
      <w:numFmt w:val="lowerRoman"/>
      <w:lvlText w:val="%9."/>
      <w:lvlJc w:val="right"/>
      <w:pPr>
        <w:tabs>
          <w:tab w:val="num" w:pos="6480"/>
        </w:tabs>
        <w:ind w:left="6480" w:hanging="180"/>
      </w:pPr>
    </w:lvl>
  </w:abstractNum>
  <w:abstractNum w:abstractNumId="15" w15:restartNumberingAfterBreak="0">
    <w:nsid w:val="35B6532E"/>
    <w:multiLevelType w:val="hybridMultilevel"/>
    <w:tmpl w:val="B7F01DB8"/>
    <w:lvl w:ilvl="0" w:tplc="3AB0FB4E">
      <w:start w:val="1"/>
      <w:numFmt w:val="decimal"/>
      <w:pStyle w:val="Number7"/>
      <w:lvlText w:val="7.%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5B4E22"/>
    <w:multiLevelType w:val="multilevel"/>
    <w:tmpl w:val="CA302510"/>
    <w:lvl w:ilvl="0">
      <w:start w:val="1"/>
      <w:numFmt w:val="decimal"/>
      <w:lvlRestart w:val="0"/>
      <w:pStyle w:val="NumberedNotes1"/>
      <w:lvlText w:val="%1."/>
      <w:lvlJc w:val="left"/>
      <w:pPr>
        <w:tabs>
          <w:tab w:val="num" w:pos="198"/>
        </w:tabs>
        <w:ind w:left="198" w:hanging="198"/>
      </w:pPr>
      <w:rPr>
        <w:rFonts w:hint="default"/>
        <w:color w:val="000000"/>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17" w15:restartNumberingAfterBreak="0">
    <w:nsid w:val="3C4279B6"/>
    <w:multiLevelType w:val="hybridMultilevel"/>
    <w:tmpl w:val="2F5421F4"/>
    <w:lvl w:ilvl="0" w:tplc="3AB0FB4E">
      <w:start w:val="1"/>
      <w:numFmt w:val="decimal"/>
      <w:pStyle w:val="Number11"/>
      <w:lvlText w:val="11.%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BA6067"/>
    <w:multiLevelType w:val="hybridMultilevel"/>
    <w:tmpl w:val="1C9A8D24"/>
    <w:lvl w:ilvl="0" w:tplc="3AB0FB4E">
      <w:start w:val="1"/>
      <w:numFmt w:val="decimal"/>
      <w:pStyle w:val="AnnexE"/>
      <w:lvlText w:val="%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5F75220"/>
    <w:multiLevelType w:val="hybridMultilevel"/>
    <w:tmpl w:val="C270B6CC"/>
    <w:lvl w:ilvl="0" w:tplc="3AB0FB4E">
      <w:start w:val="1"/>
      <w:numFmt w:val="decimal"/>
      <w:pStyle w:val="AnnexI"/>
      <w:lvlText w:val="%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92F5C97"/>
    <w:multiLevelType w:val="multilevel"/>
    <w:tmpl w:val="2C622406"/>
    <w:lvl w:ilvl="0">
      <w:start w:val="1"/>
      <w:numFmt w:val="lowerLetter"/>
      <w:pStyle w:val="Figurealphabet"/>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7437D8F"/>
    <w:multiLevelType w:val="hybridMultilevel"/>
    <w:tmpl w:val="653E94AC"/>
    <w:lvl w:ilvl="0" w:tplc="3AB0FB4E">
      <w:start w:val="1"/>
      <w:numFmt w:val="decimal"/>
      <w:pStyle w:val="Number10"/>
      <w:lvlText w:val="10.%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F1043D4"/>
    <w:multiLevelType w:val="hybridMultilevel"/>
    <w:tmpl w:val="DD70D2B0"/>
    <w:lvl w:ilvl="0" w:tplc="3AB0FB4E">
      <w:start w:val="1"/>
      <w:numFmt w:val="decimal"/>
      <w:pStyle w:val="Number6"/>
      <w:lvlText w:val="6.%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7C132DF"/>
    <w:multiLevelType w:val="hybridMultilevel"/>
    <w:tmpl w:val="1F289370"/>
    <w:lvl w:ilvl="0" w:tplc="254E9A8C">
      <w:start w:val="1"/>
      <w:numFmt w:val="decimal"/>
      <w:pStyle w:val="AnnexJ"/>
      <w:lvlText w:val="%1"/>
      <w:lvlJc w:val="left"/>
      <w:pPr>
        <w:tabs>
          <w:tab w:val="num" w:pos="774"/>
        </w:tabs>
        <w:ind w:left="774" w:hanging="774"/>
      </w:pPr>
      <w:rPr>
        <w:rFonts w:ascii="Arial" w:hAnsi="Arial" w:hint="default"/>
        <w:b/>
        <w:i w:val="0"/>
        <w:color w:val="000000"/>
      </w:rPr>
    </w:lvl>
    <w:lvl w:ilvl="1" w:tplc="65EA3602" w:tentative="1">
      <w:start w:val="1"/>
      <w:numFmt w:val="lowerLetter"/>
      <w:lvlText w:val="%2."/>
      <w:lvlJc w:val="left"/>
      <w:pPr>
        <w:tabs>
          <w:tab w:val="num" w:pos="1440"/>
        </w:tabs>
        <w:ind w:left="1440" w:hanging="360"/>
      </w:pPr>
    </w:lvl>
    <w:lvl w:ilvl="2" w:tplc="7292A4AA" w:tentative="1">
      <w:start w:val="1"/>
      <w:numFmt w:val="lowerRoman"/>
      <w:lvlText w:val="%3."/>
      <w:lvlJc w:val="right"/>
      <w:pPr>
        <w:tabs>
          <w:tab w:val="num" w:pos="2160"/>
        </w:tabs>
        <w:ind w:left="2160" w:hanging="180"/>
      </w:pPr>
    </w:lvl>
    <w:lvl w:ilvl="3" w:tplc="983827F0" w:tentative="1">
      <w:start w:val="1"/>
      <w:numFmt w:val="decimal"/>
      <w:lvlText w:val="%4."/>
      <w:lvlJc w:val="left"/>
      <w:pPr>
        <w:tabs>
          <w:tab w:val="num" w:pos="2880"/>
        </w:tabs>
        <w:ind w:left="2880" w:hanging="360"/>
      </w:pPr>
    </w:lvl>
    <w:lvl w:ilvl="4" w:tplc="7FF6A224" w:tentative="1">
      <w:start w:val="1"/>
      <w:numFmt w:val="lowerLetter"/>
      <w:lvlText w:val="%5."/>
      <w:lvlJc w:val="left"/>
      <w:pPr>
        <w:tabs>
          <w:tab w:val="num" w:pos="3600"/>
        </w:tabs>
        <w:ind w:left="3600" w:hanging="360"/>
      </w:pPr>
    </w:lvl>
    <w:lvl w:ilvl="5" w:tplc="E54AEB2C" w:tentative="1">
      <w:start w:val="1"/>
      <w:numFmt w:val="lowerRoman"/>
      <w:lvlText w:val="%6."/>
      <w:lvlJc w:val="right"/>
      <w:pPr>
        <w:tabs>
          <w:tab w:val="num" w:pos="4320"/>
        </w:tabs>
        <w:ind w:left="4320" w:hanging="180"/>
      </w:pPr>
    </w:lvl>
    <w:lvl w:ilvl="6" w:tplc="B33EC7A6" w:tentative="1">
      <w:start w:val="1"/>
      <w:numFmt w:val="decimal"/>
      <w:lvlText w:val="%7."/>
      <w:lvlJc w:val="left"/>
      <w:pPr>
        <w:tabs>
          <w:tab w:val="num" w:pos="5040"/>
        </w:tabs>
        <w:ind w:left="5040" w:hanging="360"/>
      </w:pPr>
    </w:lvl>
    <w:lvl w:ilvl="7" w:tplc="DE8C24EA" w:tentative="1">
      <w:start w:val="1"/>
      <w:numFmt w:val="lowerLetter"/>
      <w:lvlText w:val="%8."/>
      <w:lvlJc w:val="left"/>
      <w:pPr>
        <w:tabs>
          <w:tab w:val="num" w:pos="5760"/>
        </w:tabs>
        <w:ind w:left="5760" w:hanging="360"/>
      </w:pPr>
    </w:lvl>
    <w:lvl w:ilvl="8" w:tplc="6D9EB362" w:tentative="1">
      <w:start w:val="1"/>
      <w:numFmt w:val="lowerRoman"/>
      <w:lvlText w:val="%9."/>
      <w:lvlJc w:val="right"/>
      <w:pPr>
        <w:tabs>
          <w:tab w:val="num" w:pos="6480"/>
        </w:tabs>
        <w:ind w:left="6480" w:hanging="180"/>
      </w:pPr>
    </w:lvl>
  </w:abstractNum>
  <w:abstractNum w:abstractNumId="24" w15:restartNumberingAfterBreak="0">
    <w:nsid w:val="6CF11E71"/>
    <w:multiLevelType w:val="multilevel"/>
    <w:tmpl w:val="4830EEE4"/>
    <w:styleLink w:val="ArticleSection"/>
    <w:lvl w:ilvl="0">
      <w:start w:val="1"/>
      <w:numFmt w:val="decimal"/>
      <w:lvlText w:val="Table %1."/>
      <w:lvlJc w:val="left"/>
      <w:pPr>
        <w:tabs>
          <w:tab w:val="num" w:pos="1440"/>
        </w:tabs>
        <w:ind w:left="0" w:firstLine="0"/>
      </w:pPr>
      <w:rPr>
        <w:rFonts w:ascii="Arial" w:hAnsi="Arial" w:hint="default"/>
        <w:sz w:val="20"/>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7175696D"/>
    <w:multiLevelType w:val="hybridMultilevel"/>
    <w:tmpl w:val="6B9014F0"/>
    <w:lvl w:ilvl="0" w:tplc="3AB0FB4E">
      <w:start w:val="1"/>
      <w:numFmt w:val="decimal"/>
      <w:pStyle w:val="Number16"/>
      <w:lvlText w:val="16.%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3153499"/>
    <w:multiLevelType w:val="hybridMultilevel"/>
    <w:tmpl w:val="2EF02D60"/>
    <w:lvl w:ilvl="0" w:tplc="3AB0FB4E">
      <w:start w:val="1"/>
      <w:numFmt w:val="bullet"/>
      <w:pStyle w:val="BoxBullet"/>
      <w:lvlText w:val=""/>
      <w:lvlJc w:val="left"/>
      <w:pPr>
        <w:tabs>
          <w:tab w:val="num" w:pos="720"/>
        </w:tabs>
        <w:ind w:left="720" w:hanging="360"/>
      </w:pPr>
      <w:rPr>
        <w:rFonts w:ascii="Symbol" w:hAnsi="Symbol" w:hint="default"/>
        <w:sz w:val="20"/>
        <w:szCs w:val="20"/>
      </w:rPr>
    </w:lvl>
    <w:lvl w:ilvl="1" w:tplc="08090019" w:tentative="1">
      <w:start w:val="1"/>
      <w:numFmt w:val="bullet"/>
      <w:lvlText w:val="o"/>
      <w:lvlJc w:val="left"/>
      <w:pPr>
        <w:tabs>
          <w:tab w:val="num" w:pos="1440"/>
        </w:tabs>
        <w:ind w:left="1440" w:hanging="360"/>
      </w:pPr>
      <w:rPr>
        <w:rFonts w:ascii="Courier New" w:hAnsi="Courier New" w:cs="Arial"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Arial"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Arial"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354650"/>
    <w:multiLevelType w:val="hybridMultilevel"/>
    <w:tmpl w:val="87E25F72"/>
    <w:lvl w:ilvl="0" w:tplc="DD300B7E">
      <w:start w:val="1"/>
      <w:numFmt w:val="decimal"/>
      <w:pStyle w:val="AnnexB"/>
      <w:lvlText w:val="%1"/>
      <w:lvlJc w:val="left"/>
      <w:pPr>
        <w:tabs>
          <w:tab w:val="num" w:pos="774"/>
        </w:tabs>
        <w:ind w:left="774" w:hanging="774"/>
      </w:pPr>
      <w:rPr>
        <w:rFonts w:ascii="Arial" w:hAnsi="Arial" w:hint="default"/>
        <w:b/>
        <w:i w:val="0"/>
        <w:color w:val="000000"/>
      </w:rPr>
    </w:lvl>
    <w:lvl w:ilvl="1" w:tplc="4E1A9E4A">
      <w:start w:val="1"/>
      <w:numFmt w:val="lowerLetter"/>
      <w:lvlText w:val="%2."/>
      <w:lvlJc w:val="left"/>
      <w:pPr>
        <w:tabs>
          <w:tab w:val="num" w:pos="1440"/>
        </w:tabs>
        <w:ind w:left="1440" w:hanging="360"/>
      </w:pPr>
    </w:lvl>
    <w:lvl w:ilvl="2" w:tplc="165C487C">
      <w:start w:val="1"/>
      <w:numFmt w:val="lowerRoman"/>
      <w:lvlText w:val="%3."/>
      <w:lvlJc w:val="right"/>
      <w:pPr>
        <w:tabs>
          <w:tab w:val="num" w:pos="2160"/>
        </w:tabs>
        <w:ind w:left="2160" w:hanging="180"/>
      </w:pPr>
    </w:lvl>
    <w:lvl w:ilvl="3" w:tplc="2DEC127A">
      <w:start w:val="1"/>
      <w:numFmt w:val="decimal"/>
      <w:lvlText w:val="%4."/>
      <w:lvlJc w:val="left"/>
      <w:pPr>
        <w:tabs>
          <w:tab w:val="num" w:pos="2880"/>
        </w:tabs>
        <w:ind w:left="2880" w:hanging="360"/>
      </w:pPr>
    </w:lvl>
    <w:lvl w:ilvl="4" w:tplc="23865102">
      <w:start w:val="1"/>
      <w:numFmt w:val="lowerLetter"/>
      <w:lvlText w:val="%5."/>
      <w:lvlJc w:val="left"/>
      <w:pPr>
        <w:tabs>
          <w:tab w:val="num" w:pos="3600"/>
        </w:tabs>
        <w:ind w:left="3600" w:hanging="360"/>
      </w:pPr>
    </w:lvl>
    <w:lvl w:ilvl="5" w:tplc="0AE66776" w:tentative="1">
      <w:start w:val="1"/>
      <w:numFmt w:val="lowerRoman"/>
      <w:lvlText w:val="%6."/>
      <w:lvlJc w:val="right"/>
      <w:pPr>
        <w:tabs>
          <w:tab w:val="num" w:pos="4320"/>
        </w:tabs>
        <w:ind w:left="4320" w:hanging="180"/>
      </w:pPr>
    </w:lvl>
    <w:lvl w:ilvl="6" w:tplc="B0227572" w:tentative="1">
      <w:start w:val="1"/>
      <w:numFmt w:val="decimal"/>
      <w:lvlText w:val="%7."/>
      <w:lvlJc w:val="left"/>
      <w:pPr>
        <w:tabs>
          <w:tab w:val="num" w:pos="5040"/>
        </w:tabs>
        <w:ind w:left="5040" w:hanging="360"/>
      </w:pPr>
    </w:lvl>
    <w:lvl w:ilvl="7" w:tplc="FA7E5700" w:tentative="1">
      <w:start w:val="1"/>
      <w:numFmt w:val="lowerLetter"/>
      <w:lvlText w:val="%8."/>
      <w:lvlJc w:val="left"/>
      <w:pPr>
        <w:tabs>
          <w:tab w:val="num" w:pos="5760"/>
        </w:tabs>
        <w:ind w:left="5760" w:hanging="360"/>
      </w:pPr>
    </w:lvl>
    <w:lvl w:ilvl="8" w:tplc="181C2EB0" w:tentative="1">
      <w:start w:val="1"/>
      <w:numFmt w:val="lowerRoman"/>
      <w:lvlText w:val="%9."/>
      <w:lvlJc w:val="right"/>
      <w:pPr>
        <w:tabs>
          <w:tab w:val="num" w:pos="6480"/>
        </w:tabs>
        <w:ind w:left="6480" w:hanging="180"/>
      </w:pPr>
    </w:lvl>
  </w:abstractNum>
  <w:abstractNum w:abstractNumId="28" w15:restartNumberingAfterBreak="0">
    <w:nsid w:val="76DB0AE3"/>
    <w:multiLevelType w:val="hybridMultilevel"/>
    <w:tmpl w:val="0FF69D26"/>
    <w:lvl w:ilvl="0" w:tplc="F0A47586">
      <w:start w:val="1"/>
      <w:numFmt w:val="bullet"/>
      <w:pStyle w:val="Bulletsecondary"/>
      <w:lvlText w:val=""/>
      <w:lvlJc w:val="left"/>
      <w:pPr>
        <w:tabs>
          <w:tab w:val="num" w:pos="851"/>
        </w:tabs>
        <w:ind w:left="851" w:hanging="352"/>
      </w:pPr>
      <w:rPr>
        <w:rFonts w:ascii="Symbol" w:hAnsi="Symbol" w:hint="default"/>
        <w:b w:val="0"/>
        <w:i w:val="0"/>
        <w:color w:val="333333"/>
        <w:sz w:val="20"/>
        <w:szCs w:val="24"/>
      </w:rPr>
    </w:lvl>
    <w:lvl w:ilvl="1" w:tplc="35A41E2A">
      <w:start w:val="1"/>
      <w:numFmt w:val="bullet"/>
      <w:lvlText w:val="-"/>
      <w:lvlJc w:val="left"/>
      <w:pPr>
        <w:tabs>
          <w:tab w:val="num" w:pos="1440"/>
        </w:tabs>
        <w:ind w:left="1440" w:hanging="360"/>
      </w:pPr>
      <w:rPr>
        <w:rFonts w:ascii="Arial" w:hAnsi="Arial" w:hint="default"/>
        <w:color w:val="808080"/>
        <w:sz w:val="24"/>
        <w:szCs w:val="24"/>
      </w:rPr>
    </w:lvl>
    <w:lvl w:ilvl="2" w:tplc="AF5011E0">
      <w:start w:val="1"/>
      <w:numFmt w:val="decimal"/>
      <w:lvlText w:val="%3."/>
      <w:lvlJc w:val="left"/>
      <w:pPr>
        <w:tabs>
          <w:tab w:val="num" w:pos="2160"/>
        </w:tabs>
        <w:ind w:left="2160" w:hanging="360"/>
      </w:pPr>
    </w:lvl>
    <w:lvl w:ilvl="3" w:tplc="071AEF48">
      <w:start w:val="1"/>
      <w:numFmt w:val="decimal"/>
      <w:lvlText w:val="%4."/>
      <w:lvlJc w:val="left"/>
      <w:pPr>
        <w:tabs>
          <w:tab w:val="num" w:pos="2880"/>
        </w:tabs>
        <w:ind w:left="2880" w:hanging="360"/>
      </w:pPr>
    </w:lvl>
    <w:lvl w:ilvl="4" w:tplc="55F63066">
      <w:start w:val="1"/>
      <w:numFmt w:val="decimal"/>
      <w:lvlText w:val="%5."/>
      <w:lvlJc w:val="left"/>
      <w:pPr>
        <w:tabs>
          <w:tab w:val="num" w:pos="3600"/>
        </w:tabs>
        <w:ind w:left="3600" w:hanging="360"/>
      </w:pPr>
    </w:lvl>
    <w:lvl w:ilvl="5" w:tplc="1E36429E">
      <w:start w:val="1"/>
      <w:numFmt w:val="decimal"/>
      <w:lvlText w:val="%6."/>
      <w:lvlJc w:val="left"/>
      <w:pPr>
        <w:tabs>
          <w:tab w:val="num" w:pos="4320"/>
        </w:tabs>
        <w:ind w:left="4320" w:hanging="360"/>
      </w:pPr>
    </w:lvl>
    <w:lvl w:ilvl="6" w:tplc="28E67E0C">
      <w:start w:val="1"/>
      <w:numFmt w:val="decimal"/>
      <w:lvlText w:val="%7."/>
      <w:lvlJc w:val="left"/>
      <w:pPr>
        <w:tabs>
          <w:tab w:val="num" w:pos="5040"/>
        </w:tabs>
        <w:ind w:left="5040" w:hanging="360"/>
      </w:pPr>
    </w:lvl>
    <w:lvl w:ilvl="7" w:tplc="F1005330">
      <w:start w:val="1"/>
      <w:numFmt w:val="decimal"/>
      <w:lvlText w:val="%8."/>
      <w:lvlJc w:val="left"/>
      <w:pPr>
        <w:tabs>
          <w:tab w:val="num" w:pos="5760"/>
        </w:tabs>
        <w:ind w:left="5760" w:hanging="360"/>
      </w:pPr>
    </w:lvl>
    <w:lvl w:ilvl="8" w:tplc="DF9CFA42">
      <w:start w:val="1"/>
      <w:numFmt w:val="decimal"/>
      <w:lvlText w:val="%9."/>
      <w:lvlJc w:val="left"/>
      <w:pPr>
        <w:tabs>
          <w:tab w:val="num" w:pos="6480"/>
        </w:tabs>
        <w:ind w:left="6480" w:hanging="360"/>
      </w:pPr>
    </w:lvl>
  </w:abstractNum>
  <w:abstractNum w:abstractNumId="29" w15:restartNumberingAfterBreak="0">
    <w:nsid w:val="76FD294C"/>
    <w:multiLevelType w:val="hybridMultilevel"/>
    <w:tmpl w:val="E80CC9D4"/>
    <w:lvl w:ilvl="0" w:tplc="5A947C3A">
      <w:start w:val="1"/>
      <w:numFmt w:val="decimal"/>
      <w:pStyle w:val="AnnexF"/>
      <w:lvlText w:val="%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D962EDB"/>
    <w:multiLevelType w:val="hybridMultilevel"/>
    <w:tmpl w:val="FA1493E6"/>
    <w:lvl w:ilvl="0" w:tplc="4F1C6B20">
      <w:start w:val="1"/>
      <w:numFmt w:val="decimal"/>
      <w:pStyle w:val="AnnexG"/>
      <w:lvlText w:val="%1"/>
      <w:lvlJc w:val="left"/>
      <w:pPr>
        <w:tabs>
          <w:tab w:val="num" w:pos="774"/>
        </w:tabs>
        <w:ind w:left="774" w:hanging="774"/>
      </w:pPr>
      <w:rPr>
        <w:rFonts w:ascii="Arial" w:hAnsi="Arial" w:hint="default"/>
        <w:b/>
        <w:i w:val="0"/>
        <w:color w:val="000000"/>
      </w:rPr>
    </w:lvl>
    <w:lvl w:ilvl="1" w:tplc="37260AD8" w:tentative="1">
      <w:start w:val="1"/>
      <w:numFmt w:val="lowerLetter"/>
      <w:lvlText w:val="%2."/>
      <w:lvlJc w:val="left"/>
      <w:pPr>
        <w:tabs>
          <w:tab w:val="num" w:pos="1440"/>
        </w:tabs>
        <w:ind w:left="1440" w:hanging="360"/>
      </w:pPr>
    </w:lvl>
    <w:lvl w:ilvl="2" w:tplc="66D6B4E4" w:tentative="1">
      <w:start w:val="1"/>
      <w:numFmt w:val="lowerRoman"/>
      <w:lvlText w:val="%3."/>
      <w:lvlJc w:val="right"/>
      <w:pPr>
        <w:tabs>
          <w:tab w:val="num" w:pos="2160"/>
        </w:tabs>
        <w:ind w:left="2160" w:hanging="180"/>
      </w:pPr>
    </w:lvl>
    <w:lvl w:ilvl="3" w:tplc="0A06D916" w:tentative="1">
      <w:start w:val="1"/>
      <w:numFmt w:val="decimal"/>
      <w:lvlText w:val="%4."/>
      <w:lvlJc w:val="left"/>
      <w:pPr>
        <w:tabs>
          <w:tab w:val="num" w:pos="2880"/>
        </w:tabs>
        <w:ind w:left="2880" w:hanging="360"/>
      </w:pPr>
    </w:lvl>
    <w:lvl w:ilvl="4" w:tplc="D824786E" w:tentative="1">
      <w:start w:val="1"/>
      <w:numFmt w:val="lowerLetter"/>
      <w:lvlText w:val="%5."/>
      <w:lvlJc w:val="left"/>
      <w:pPr>
        <w:tabs>
          <w:tab w:val="num" w:pos="3600"/>
        </w:tabs>
        <w:ind w:left="3600" w:hanging="360"/>
      </w:pPr>
    </w:lvl>
    <w:lvl w:ilvl="5" w:tplc="BAD63422" w:tentative="1">
      <w:start w:val="1"/>
      <w:numFmt w:val="lowerRoman"/>
      <w:lvlText w:val="%6."/>
      <w:lvlJc w:val="right"/>
      <w:pPr>
        <w:tabs>
          <w:tab w:val="num" w:pos="4320"/>
        </w:tabs>
        <w:ind w:left="4320" w:hanging="180"/>
      </w:pPr>
    </w:lvl>
    <w:lvl w:ilvl="6" w:tplc="4C7CA662" w:tentative="1">
      <w:start w:val="1"/>
      <w:numFmt w:val="decimal"/>
      <w:lvlText w:val="%7."/>
      <w:lvlJc w:val="left"/>
      <w:pPr>
        <w:tabs>
          <w:tab w:val="num" w:pos="5040"/>
        </w:tabs>
        <w:ind w:left="5040" w:hanging="360"/>
      </w:pPr>
    </w:lvl>
    <w:lvl w:ilvl="7" w:tplc="A0F08C88" w:tentative="1">
      <w:start w:val="1"/>
      <w:numFmt w:val="lowerLetter"/>
      <w:lvlText w:val="%8."/>
      <w:lvlJc w:val="left"/>
      <w:pPr>
        <w:tabs>
          <w:tab w:val="num" w:pos="5760"/>
        </w:tabs>
        <w:ind w:left="5760" w:hanging="360"/>
      </w:pPr>
    </w:lvl>
    <w:lvl w:ilvl="8" w:tplc="D90C25D4" w:tentative="1">
      <w:start w:val="1"/>
      <w:numFmt w:val="lowerRoman"/>
      <w:lvlText w:val="%9."/>
      <w:lvlJc w:val="right"/>
      <w:pPr>
        <w:tabs>
          <w:tab w:val="num" w:pos="6480"/>
        </w:tabs>
        <w:ind w:left="6480" w:hanging="180"/>
      </w:pPr>
    </w:lvl>
  </w:abstractNum>
  <w:abstractNum w:abstractNumId="31" w15:restartNumberingAfterBreak="0">
    <w:nsid w:val="7F4662E4"/>
    <w:multiLevelType w:val="hybridMultilevel"/>
    <w:tmpl w:val="1EA065D2"/>
    <w:lvl w:ilvl="0" w:tplc="68620ADC">
      <w:start w:val="1"/>
      <w:numFmt w:val="decimal"/>
      <w:pStyle w:val="Number14"/>
      <w:lvlText w:val="14.%1"/>
      <w:lvlJc w:val="left"/>
      <w:pPr>
        <w:tabs>
          <w:tab w:val="num" w:pos="774"/>
        </w:tabs>
        <w:ind w:left="774" w:hanging="774"/>
      </w:pPr>
      <w:rPr>
        <w:rFonts w:ascii="Arial" w:hAnsi="Arial" w:hint="default"/>
        <w:b/>
        <w:i w:val="0"/>
        <w:color w:val="000000"/>
      </w:rPr>
    </w:lvl>
    <w:lvl w:ilvl="1" w:tplc="0AF26A34" w:tentative="1">
      <w:start w:val="1"/>
      <w:numFmt w:val="lowerLetter"/>
      <w:lvlText w:val="%2."/>
      <w:lvlJc w:val="left"/>
      <w:pPr>
        <w:tabs>
          <w:tab w:val="num" w:pos="1440"/>
        </w:tabs>
        <w:ind w:left="1440" w:hanging="360"/>
      </w:pPr>
    </w:lvl>
    <w:lvl w:ilvl="2" w:tplc="AB0ECA46" w:tentative="1">
      <w:start w:val="1"/>
      <w:numFmt w:val="lowerRoman"/>
      <w:lvlText w:val="%3."/>
      <w:lvlJc w:val="right"/>
      <w:pPr>
        <w:tabs>
          <w:tab w:val="num" w:pos="2160"/>
        </w:tabs>
        <w:ind w:left="2160" w:hanging="180"/>
      </w:pPr>
    </w:lvl>
    <w:lvl w:ilvl="3" w:tplc="898C2B5E" w:tentative="1">
      <w:start w:val="1"/>
      <w:numFmt w:val="decimal"/>
      <w:lvlText w:val="%4."/>
      <w:lvlJc w:val="left"/>
      <w:pPr>
        <w:tabs>
          <w:tab w:val="num" w:pos="2880"/>
        </w:tabs>
        <w:ind w:left="2880" w:hanging="360"/>
      </w:pPr>
    </w:lvl>
    <w:lvl w:ilvl="4" w:tplc="386CF4C8" w:tentative="1">
      <w:start w:val="1"/>
      <w:numFmt w:val="lowerLetter"/>
      <w:lvlText w:val="%5."/>
      <w:lvlJc w:val="left"/>
      <w:pPr>
        <w:tabs>
          <w:tab w:val="num" w:pos="3600"/>
        </w:tabs>
        <w:ind w:left="3600" w:hanging="360"/>
      </w:pPr>
    </w:lvl>
    <w:lvl w:ilvl="5" w:tplc="3B00C22E" w:tentative="1">
      <w:start w:val="1"/>
      <w:numFmt w:val="lowerRoman"/>
      <w:lvlText w:val="%6."/>
      <w:lvlJc w:val="right"/>
      <w:pPr>
        <w:tabs>
          <w:tab w:val="num" w:pos="4320"/>
        </w:tabs>
        <w:ind w:left="4320" w:hanging="180"/>
      </w:pPr>
    </w:lvl>
    <w:lvl w:ilvl="6" w:tplc="EB665208" w:tentative="1">
      <w:start w:val="1"/>
      <w:numFmt w:val="decimal"/>
      <w:lvlText w:val="%7."/>
      <w:lvlJc w:val="left"/>
      <w:pPr>
        <w:tabs>
          <w:tab w:val="num" w:pos="5040"/>
        </w:tabs>
        <w:ind w:left="5040" w:hanging="360"/>
      </w:pPr>
    </w:lvl>
    <w:lvl w:ilvl="7" w:tplc="539E3DAC" w:tentative="1">
      <w:start w:val="1"/>
      <w:numFmt w:val="lowerLetter"/>
      <w:lvlText w:val="%8."/>
      <w:lvlJc w:val="left"/>
      <w:pPr>
        <w:tabs>
          <w:tab w:val="num" w:pos="5760"/>
        </w:tabs>
        <w:ind w:left="5760" w:hanging="360"/>
      </w:pPr>
    </w:lvl>
    <w:lvl w:ilvl="8" w:tplc="44D4D6AC" w:tentative="1">
      <w:start w:val="1"/>
      <w:numFmt w:val="lowerRoman"/>
      <w:lvlText w:val="%9."/>
      <w:lvlJc w:val="right"/>
      <w:pPr>
        <w:tabs>
          <w:tab w:val="num" w:pos="6480"/>
        </w:tabs>
        <w:ind w:left="6480" w:hanging="180"/>
      </w:pPr>
    </w:lvl>
  </w:abstractNum>
  <w:num w:numId="1" w16cid:durableId="1707099537">
    <w:abstractNumId w:val="28"/>
  </w:num>
  <w:num w:numId="2" w16cid:durableId="671835591">
    <w:abstractNumId w:val="4"/>
  </w:num>
  <w:num w:numId="3" w16cid:durableId="1763181017">
    <w:abstractNumId w:val="6"/>
  </w:num>
  <w:num w:numId="4" w16cid:durableId="1860661367">
    <w:abstractNumId w:val="24"/>
  </w:num>
  <w:num w:numId="5" w16cid:durableId="725377750">
    <w:abstractNumId w:val="18"/>
  </w:num>
  <w:num w:numId="6" w16cid:durableId="1683703814">
    <w:abstractNumId w:val="17"/>
  </w:num>
  <w:num w:numId="7" w16cid:durableId="1191912406">
    <w:abstractNumId w:val="12"/>
  </w:num>
  <w:num w:numId="8" w16cid:durableId="1138567697">
    <w:abstractNumId w:val="27"/>
  </w:num>
  <w:num w:numId="9" w16cid:durableId="363680316">
    <w:abstractNumId w:val="23"/>
  </w:num>
  <w:num w:numId="10" w16cid:durableId="1183284198">
    <w:abstractNumId w:val="29"/>
  </w:num>
  <w:num w:numId="11" w16cid:durableId="1552614091">
    <w:abstractNumId w:val="30"/>
  </w:num>
  <w:num w:numId="12" w16cid:durableId="39403043">
    <w:abstractNumId w:val="8"/>
  </w:num>
  <w:num w:numId="13" w16cid:durableId="1977639587">
    <w:abstractNumId w:val="19"/>
  </w:num>
  <w:num w:numId="14" w16cid:durableId="393743679">
    <w:abstractNumId w:val="14"/>
  </w:num>
  <w:num w:numId="15" w16cid:durableId="263880064">
    <w:abstractNumId w:val="13"/>
  </w:num>
  <w:num w:numId="16" w16cid:durableId="25521463">
    <w:abstractNumId w:val="21"/>
  </w:num>
  <w:num w:numId="17" w16cid:durableId="2018264875">
    <w:abstractNumId w:val="3"/>
  </w:num>
  <w:num w:numId="18" w16cid:durableId="1595238044">
    <w:abstractNumId w:val="31"/>
  </w:num>
  <w:num w:numId="19" w16cid:durableId="280770356">
    <w:abstractNumId w:val="10"/>
  </w:num>
  <w:num w:numId="20" w16cid:durableId="407730181">
    <w:abstractNumId w:val="25"/>
  </w:num>
  <w:num w:numId="21" w16cid:durableId="239097286">
    <w:abstractNumId w:val="1"/>
  </w:num>
  <w:num w:numId="22" w16cid:durableId="922953177">
    <w:abstractNumId w:val="22"/>
  </w:num>
  <w:num w:numId="23" w16cid:durableId="302318887">
    <w:abstractNumId w:val="15"/>
  </w:num>
  <w:num w:numId="24" w16cid:durableId="1106004661">
    <w:abstractNumId w:val="5"/>
  </w:num>
  <w:num w:numId="25" w16cid:durableId="658341033">
    <w:abstractNumId w:val="2"/>
  </w:num>
  <w:num w:numId="26" w16cid:durableId="1903757554">
    <w:abstractNumId w:val="26"/>
  </w:num>
  <w:num w:numId="27" w16cid:durableId="2129275002">
    <w:abstractNumId w:val="0"/>
  </w:num>
  <w:num w:numId="28" w16cid:durableId="715543194">
    <w:abstractNumId w:val="20"/>
  </w:num>
  <w:num w:numId="29" w16cid:durableId="1174225473">
    <w:abstractNumId w:val="9"/>
  </w:num>
  <w:num w:numId="30" w16cid:durableId="836774713">
    <w:abstractNumId w:val="7"/>
  </w:num>
  <w:num w:numId="31" w16cid:durableId="1163162028">
    <w:abstractNumId w:val="11"/>
  </w:num>
  <w:num w:numId="32" w16cid:durableId="1344743318">
    <w:abstractNumId w:val="16"/>
  </w:num>
  <w:num w:numId="33" w16cid:durableId="1028946746">
    <w:abstractNumId w:val="27"/>
    <w:lvlOverride w:ilvl="0">
      <w:lvl w:ilvl="0" w:tplc="DD300B7E">
        <w:start w:val="1"/>
        <w:numFmt w:val="decimal"/>
        <w:pStyle w:val="AnnexB"/>
        <w:lvlText w:val="%1"/>
        <w:lvlJc w:val="left"/>
        <w:pPr>
          <w:tabs>
            <w:tab w:val="num" w:pos="774"/>
          </w:tabs>
          <w:ind w:left="774" w:hanging="774"/>
        </w:pPr>
        <w:rPr>
          <w:rFonts w:ascii="Arial" w:hAnsi="Arial" w:hint="default"/>
          <w:b/>
          <w:i w:val="0"/>
          <w:color w:val="000000"/>
        </w:rPr>
      </w:lvl>
    </w:lvlOverride>
    <w:lvlOverride w:ilvl="1">
      <w:lvl w:ilvl="1" w:tplc="4E1A9E4A">
        <w:start w:val="1"/>
        <w:numFmt w:val="lowerLetter"/>
        <w:lvlText w:val="%2."/>
        <w:lvlJc w:val="left"/>
        <w:pPr>
          <w:tabs>
            <w:tab w:val="num" w:pos="1440"/>
          </w:tabs>
          <w:ind w:left="1440" w:hanging="360"/>
        </w:pPr>
      </w:lvl>
    </w:lvlOverride>
    <w:lvlOverride w:ilvl="2">
      <w:lvl w:ilvl="2" w:tplc="165C487C">
        <w:start w:val="1"/>
        <w:numFmt w:val="lowerRoman"/>
        <w:lvlText w:val="%3."/>
        <w:lvlJc w:val="right"/>
        <w:pPr>
          <w:tabs>
            <w:tab w:val="num" w:pos="2160"/>
          </w:tabs>
          <w:ind w:left="2160" w:hanging="180"/>
        </w:pPr>
      </w:lvl>
    </w:lvlOverride>
    <w:lvlOverride w:ilvl="3">
      <w:lvl w:ilvl="3" w:tplc="2DEC127A">
        <w:start w:val="1"/>
        <w:numFmt w:val="decimal"/>
        <w:lvlText w:val="%1.%2.%3.%4."/>
        <w:lvlJc w:val="left"/>
        <w:pPr>
          <w:tabs>
            <w:tab w:val="num" w:pos="2880"/>
          </w:tabs>
          <w:ind w:left="2880" w:hanging="360"/>
        </w:pPr>
      </w:lvl>
    </w:lvlOverride>
    <w:lvlOverride w:ilvl="4">
      <w:lvl w:ilvl="4" w:tplc="23865102">
        <w:start w:val="1"/>
        <w:numFmt w:val="lowerLetter"/>
        <w:lvlText w:val="%5."/>
        <w:lvlJc w:val="left"/>
        <w:pPr>
          <w:tabs>
            <w:tab w:val="num" w:pos="3600"/>
          </w:tabs>
          <w:ind w:left="3600" w:hanging="360"/>
        </w:p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10966"/>
    <w:rsid w:val="00015E82"/>
    <w:rsid w:val="0001675D"/>
    <w:rsid w:val="000210D4"/>
    <w:rsid w:val="000231A6"/>
    <w:rsid w:val="000245E2"/>
    <w:rsid w:val="0003049A"/>
    <w:rsid w:val="000324D8"/>
    <w:rsid w:val="000378C1"/>
    <w:rsid w:val="00041CF5"/>
    <w:rsid w:val="000444CC"/>
    <w:rsid w:val="00046B0E"/>
    <w:rsid w:val="0005089F"/>
    <w:rsid w:val="0006007D"/>
    <w:rsid w:val="00063016"/>
    <w:rsid w:val="00066795"/>
    <w:rsid w:val="00072A2B"/>
    <w:rsid w:val="000745AB"/>
    <w:rsid w:val="00076AF6"/>
    <w:rsid w:val="00085CF2"/>
    <w:rsid w:val="000A4474"/>
    <w:rsid w:val="000A6347"/>
    <w:rsid w:val="000B1705"/>
    <w:rsid w:val="000C727D"/>
    <w:rsid w:val="000D3AE3"/>
    <w:rsid w:val="000D75B2"/>
    <w:rsid w:val="000E0E0D"/>
    <w:rsid w:val="000F2C69"/>
    <w:rsid w:val="000F5DDB"/>
    <w:rsid w:val="000F7289"/>
    <w:rsid w:val="001121F5"/>
    <w:rsid w:val="001140E7"/>
    <w:rsid w:val="001400DC"/>
    <w:rsid w:val="00140CE1"/>
    <w:rsid w:val="00142B16"/>
    <w:rsid w:val="00144664"/>
    <w:rsid w:val="00146BF0"/>
    <w:rsid w:val="001546F8"/>
    <w:rsid w:val="001564A4"/>
    <w:rsid w:val="0017539C"/>
    <w:rsid w:val="00175AC2"/>
    <w:rsid w:val="0017609F"/>
    <w:rsid w:val="00180460"/>
    <w:rsid w:val="00186BCE"/>
    <w:rsid w:val="00193025"/>
    <w:rsid w:val="00194432"/>
    <w:rsid w:val="00194C92"/>
    <w:rsid w:val="001960DD"/>
    <w:rsid w:val="001A3154"/>
    <w:rsid w:val="001A7D1D"/>
    <w:rsid w:val="001B3DBE"/>
    <w:rsid w:val="001B51DD"/>
    <w:rsid w:val="001C34C7"/>
    <w:rsid w:val="001C628E"/>
    <w:rsid w:val="001C7155"/>
    <w:rsid w:val="001D7B54"/>
    <w:rsid w:val="001D7E35"/>
    <w:rsid w:val="001E0F7B"/>
    <w:rsid w:val="001F5569"/>
    <w:rsid w:val="001F6DCA"/>
    <w:rsid w:val="001F781D"/>
    <w:rsid w:val="0020298D"/>
    <w:rsid w:val="002119FD"/>
    <w:rsid w:val="002130E0"/>
    <w:rsid w:val="00214D5C"/>
    <w:rsid w:val="0021522C"/>
    <w:rsid w:val="00220CF9"/>
    <w:rsid w:val="00221F46"/>
    <w:rsid w:val="0023193A"/>
    <w:rsid w:val="00250DDB"/>
    <w:rsid w:val="00254275"/>
    <w:rsid w:val="00257228"/>
    <w:rsid w:val="0026362E"/>
    <w:rsid w:val="00264425"/>
    <w:rsid w:val="00265875"/>
    <w:rsid w:val="00266E09"/>
    <w:rsid w:val="0027303B"/>
    <w:rsid w:val="00274CC2"/>
    <w:rsid w:val="0028109B"/>
    <w:rsid w:val="0029210D"/>
    <w:rsid w:val="00293421"/>
    <w:rsid w:val="002A2188"/>
    <w:rsid w:val="002A2C7C"/>
    <w:rsid w:val="002B10C6"/>
    <w:rsid w:val="002B1F58"/>
    <w:rsid w:val="002C0890"/>
    <w:rsid w:val="002C0A4F"/>
    <w:rsid w:val="002C1C7A"/>
    <w:rsid w:val="002C54E2"/>
    <w:rsid w:val="002D64A6"/>
    <w:rsid w:val="002E39E6"/>
    <w:rsid w:val="002F0959"/>
    <w:rsid w:val="002F2026"/>
    <w:rsid w:val="002F2E4B"/>
    <w:rsid w:val="002F34A1"/>
    <w:rsid w:val="0030160F"/>
    <w:rsid w:val="00307EBD"/>
    <w:rsid w:val="00312662"/>
    <w:rsid w:val="00312889"/>
    <w:rsid w:val="00320223"/>
    <w:rsid w:val="00322D0D"/>
    <w:rsid w:val="00327D13"/>
    <w:rsid w:val="00336F34"/>
    <w:rsid w:val="00347A11"/>
    <w:rsid w:val="00361465"/>
    <w:rsid w:val="003634DC"/>
    <w:rsid w:val="003758D8"/>
    <w:rsid w:val="003877F5"/>
    <w:rsid w:val="00390A89"/>
    <w:rsid w:val="003936D3"/>
    <w:rsid w:val="003942D4"/>
    <w:rsid w:val="003958A8"/>
    <w:rsid w:val="003A1BA3"/>
    <w:rsid w:val="003A3E21"/>
    <w:rsid w:val="003A5506"/>
    <w:rsid w:val="003B0006"/>
    <w:rsid w:val="003B29C2"/>
    <w:rsid w:val="003C2533"/>
    <w:rsid w:val="003C4BC8"/>
    <w:rsid w:val="003C4D9B"/>
    <w:rsid w:val="003D17D6"/>
    <w:rsid w:val="003D1CE6"/>
    <w:rsid w:val="003D5A7F"/>
    <w:rsid w:val="003D7E37"/>
    <w:rsid w:val="003D7FF0"/>
    <w:rsid w:val="003E0902"/>
    <w:rsid w:val="003F21EE"/>
    <w:rsid w:val="0040435A"/>
    <w:rsid w:val="00416A24"/>
    <w:rsid w:val="004233F5"/>
    <w:rsid w:val="004264B1"/>
    <w:rsid w:val="00427BFF"/>
    <w:rsid w:val="004314F3"/>
    <w:rsid w:val="00431D9E"/>
    <w:rsid w:val="004321F2"/>
    <w:rsid w:val="00433CE8"/>
    <w:rsid w:val="00434A5C"/>
    <w:rsid w:val="00436742"/>
    <w:rsid w:val="004415BD"/>
    <w:rsid w:val="00443416"/>
    <w:rsid w:val="00453079"/>
    <w:rsid w:val="004544D9"/>
    <w:rsid w:val="00455544"/>
    <w:rsid w:val="00472BAD"/>
    <w:rsid w:val="00475C9E"/>
    <w:rsid w:val="00477368"/>
    <w:rsid w:val="004811F8"/>
    <w:rsid w:val="00484009"/>
    <w:rsid w:val="00490E72"/>
    <w:rsid w:val="00491157"/>
    <w:rsid w:val="00491BA9"/>
    <w:rsid w:val="004921C8"/>
    <w:rsid w:val="00495B0B"/>
    <w:rsid w:val="004969C6"/>
    <w:rsid w:val="004A1B8B"/>
    <w:rsid w:val="004B1C82"/>
    <w:rsid w:val="004B25A1"/>
    <w:rsid w:val="004C038B"/>
    <w:rsid w:val="004D1851"/>
    <w:rsid w:val="004D2095"/>
    <w:rsid w:val="004D4239"/>
    <w:rsid w:val="004D599D"/>
    <w:rsid w:val="004D72A2"/>
    <w:rsid w:val="004E0644"/>
    <w:rsid w:val="004E2EA5"/>
    <w:rsid w:val="004E3AEB"/>
    <w:rsid w:val="004F0C40"/>
    <w:rsid w:val="004F0CC3"/>
    <w:rsid w:val="004F3994"/>
    <w:rsid w:val="0050223C"/>
    <w:rsid w:val="005054C0"/>
    <w:rsid w:val="00513781"/>
    <w:rsid w:val="005243FF"/>
    <w:rsid w:val="00533C85"/>
    <w:rsid w:val="00536D01"/>
    <w:rsid w:val="00542A13"/>
    <w:rsid w:val="00553ECA"/>
    <w:rsid w:val="005615C9"/>
    <w:rsid w:val="00564FBC"/>
    <w:rsid w:val="00564FC4"/>
    <w:rsid w:val="00565068"/>
    <w:rsid w:val="00571589"/>
    <w:rsid w:val="005800BC"/>
    <w:rsid w:val="00582442"/>
    <w:rsid w:val="005B12C9"/>
    <w:rsid w:val="005B6A2B"/>
    <w:rsid w:val="005C2C27"/>
    <w:rsid w:val="005C341E"/>
    <w:rsid w:val="005F1325"/>
    <w:rsid w:val="005F1B24"/>
    <w:rsid w:val="005F3269"/>
    <w:rsid w:val="00602DBB"/>
    <w:rsid w:val="00623AE3"/>
    <w:rsid w:val="00630C4D"/>
    <w:rsid w:val="00644EC6"/>
    <w:rsid w:val="0064737F"/>
    <w:rsid w:val="006535F1"/>
    <w:rsid w:val="0065557D"/>
    <w:rsid w:val="00660D50"/>
    <w:rsid w:val="00662984"/>
    <w:rsid w:val="00666993"/>
    <w:rsid w:val="00670C3C"/>
    <w:rsid w:val="006716BB"/>
    <w:rsid w:val="00682B8D"/>
    <w:rsid w:val="006A12C4"/>
    <w:rsid w:val="006B1859"/>
    <w:rsid w:val="006B30C7"/>
    <w:rsid w:val="006B4219"/>
    <w:rsid w:val="006B6680"/>
    <w:rsid w:val="006B6DCC"/>
    <w:rsid w:val="006B77F1"/>
    <w:rsid w:val="006C5ECF"/>
    <w:rsid w:val="006D1AA5"/>
    <w:rsid w:val="006D4BB6"/>
    <w:rsid w:val="00702DEF"/>
    <w:rsid w:val="007054A5"/>
    <w:rsid w:val="00705585"/>
    <w:rsid w:val="00706861"/>
    <w:rsid w:val="00722551"/>
    <w:rsid w:val="00730F7C"/>
    <w:rsid w:val="0075051B"/>
    <w:rsid w:val="00760AD1"/>
    <w:rsid w:val="00767BEB"/>
    <w:rsid w:val="0077110E"/>
    <w:rsid w:val="0077261B"/>
    <w:rsid w:val="00786ECB"/>
    <w:rsid w:val="00791093"/>
    <w:rsid w:val="00793188"/>
    <w:rsid w:val="00794D34"/>
    <w:rsid w:val="007A3FCD"/>
    <w:rsid w:val="007A47A9"/>
    <w:rsid w:val="007A79A2"/>
    <w:rsid w:val="007B19CF"/>
    <w:rsid w:val="007C1393"/>
    <w:rsid w:val="007D01AF"/>
    <w:rsid w:val="007D0CB5"/>
    <w:rsid w:val="007E3E3C"/>
    <w:rsid w:val="007E4420"/>
    <w:rsid w:val="007E535C"/>
    <w:rsid w:val="00813E5E"/>
    <w:rsid w:val="00830106"/>
    <w:rsid w:val="008322E7"/>
    <w:rsid w:val="0083581B"/>
    <w:rsid w:val="008469B3"/>
    <w:rsid w:val="008618C3"/>
    <w:rsid w:val="00863874"/>
    <w:rsid w:val="00864AFF"/>
    <w:rsid w:val="00865925"/>
    <w:rsid w:val="00867DB7"/>
    <w:rsid w:val="0087465A"/>
    <w:rsid w:val="00874FFF"/>
    <w:rsid w:val="00877A1E"/>
    <w:rsid w:val="0088328C"/>
    <w:rsid w:val="008A5EDB"/>
    <w:rsid w:val="008B0223"/>
    <w:rsid w:val="008B1FF1"/>
    <w:rsid w:val="008B4A6A"/>
    <w:rsid w:val="008C2E06"/>
    <w:rsid w:val="008C7E27"/>
    <w:rsid w:val="008F1949"/>
    <w:rsid w:val="008F7448"/>
    <w:rsid w:val="0090147A"/>
    <w:rsid w:val="00917250"/>
    <w:rsid w:val="009173EF"/>
    <w:rsid w:val="00932906"/>
    <w:rsid w:val="00933B87"/>
    <w:rsid w:val="009449F5"/>
    <w:rsid w:val="00951185"/>
    <w:rsid w:val="00961B0B"/>
    <w:rsid w:val="00962D33"/>
    <w:rsid w:val="00985762"/>
    <w:rsid w:val="009A6D8F"/>
    <w:rsid w:val="009B372E"/>
    <w:rsid w:val="009B38C3"/>
    <w:rsid w:val="009B4D1F"/>
    <w:rsid w:val="009C20D5"/>
    <w:rsid w:val="009E17BD"/>
    <w:rsid w:val="009E485A"/>
    <w:rsid w:val="009E59D7"/>
    <w:rsid w:val="009F03EE"/>
    <w:rsid w:val="009F3648"/>
    <w:rsid w:val="00A038BF"/>
    <w:rsid w:val="00A04CEC"/>
    <w:rsid w:val="00A27F92"/>
    <w:rsid w:val="00A32257"/>
    <w:rsid w:val="00A36D20"/>
    <w:rsid w:val="00A4363A"/>
    <w:rsid w:val="00A44173"/>
    <w:rsid w:val="00A514A4"/>
    <w:rsid w:val="00A55622"/>
    <w:rsid w:val="00A62A5A"/>
    <w:rsid w:val="00A7031A"/>
    <w:rsid w:val="00A737F7"/>
    <w:rsid w:val="00A76FAE"/>
    <w:rsid w:val="00A83502"/>
    <w:rsid w:val="00A85FE8"/>
    <w:rsid w:val="00A87BD4"/>
    <w:rsid w:val="00A92B51"/>
    <w:rsid w:val="00A94BAB"/>
    <w:rsid w:val="00AA32B1"/>
    <w:rsid w:val="00AB74CC"/>
    <w:rsid w:val="00AB7B4D"/>
    <w:rsid w:val="00AD15B3"/>
    <w:rsid w:val="00AD3606"/>
    <w:rsid w:val="00AD4A3D"/>
    <w:rsid w:val="00AD677D"/>
    <w:rsid w:val="00AE2033"/>
    <w:rsid w:val="00AE7086"/>
    <w:rsid w:val="00AF6E49"/>
    <w:rsid w:val="00B04A67"/>
    <w:rsid w:val="00B0583C"/>
    <w:rsid w:val="00B05D61"/>
    <w:rsid w:val="00B40A81"/>
    <w:rsid w:val="00B44910"/>
    <w:rsid w:val="00B65FE2"/>
    <w:rsid w:val="00B70FCA"/>
    <w:rsid w:val="00B72267"/>
    <w:rsid w:val="00B73BD1"/>
    <w:rsid w:val="00B74190"/>
    <w:rsid w:val="00B76EB6"/>
    <w:rsid w:val="00B7737B"/>
    <w:rsid w:val="00B824C8"/>
    <w:rsid w:val="00B831D0"/>
    <w:rsid w:val="00B84B9D"/>
    <w:rsid w:val="00B86064"/>
    <w:rsid w:val="00B9131F"/>
    <w:rsid w:val="00BA42BF"/>
    <w:rsid w:val="00BB0646"/>
    <w:rsid w:val="00BB4D76"/>
    <w:rsid w:val="00BB5982"/>
    <w:rsid w:val="00BB6348"/>
    <w:rsid w:val="00BC169E"/>
    <w:rsid w:val="00BC251A"/>
    <w:rsid w:val="00BD032B"/>
    <w:rsid w:val="00BD4C44"/>
    <w:rsid w:val="00BE01C6"/>
    <w:rsid w:val="00BE2640"/>
    <w:rsid w:val="00BE4726"/>
    <w:rsid w:val="00BF0D51"/>
    <w:rsid w:val="00BF1FDE"/>
    <w:rsid w:val="00C01189"/>
    <w:rsid w:val="00C0458D"/>
    <w:rsid w:val="00C10B16"/>
    <w:rsid w:val="00C143C0"/>
    <w:rsid w:val="00C24714"/>
    <w:rsid w:val="00C27D1F"/>
    <w:rsid w:val="00C374DE"/>
    <w:rsid w:val="00C410F8"/>
    <w:rsid w:val="00C41566"/>
    <w:rsid w:val="00C47AD4"/>
    <w:rsid w:val="00C52D81"/>
    <w:rsid w:val="00C55198"/>
    <w:rsid w:val="00C56C62"/>
    <w:rsid w:val="00C61066"/>
    <w:rsid w:val="00C64DF0"/>
    <w:rsid w:val="00C6520B"/>
    <w:rsid w:val="00C70B7D"/>
    <w:rsid w:val="00C7575C"/>
    <w:rsid w:val="00C83E6F"/>
    <w:rsid w:val="00CA6393"/>
    <w:rsid w:val="00CA7995"/>
    <w:rsid w:val="00CB18FF"/>
    <w:rsid w:val="00CC18D3"/>
    <w:rsid w:val="00CC794D"/>
    <w:rsid w:val="00CD0C08"/>
    <w:rsid w:val="00CE03FB"/>
    <w:rsid w:val="00CE433C"/>
    <w:rsid w:val="00CE5592"/>
    <w:rsid w:val="00CF0161"/>
    <w:rsid w:val="00CF33F3"/>
    <w:rsid w:val="00CF4A2B"/>
    <w:rsid w:val="00D024CA"/>
    <w:rsid w:val="00D02DDA"/>
    <w:rsid w:val="00D04ABE"/>
    <w:rsid w:val="00D06183"/>
    <w:rsid w:val="00D06BAA"/>
    <w:rsid w:val="00D11485"/>
    <w:rsid w:val="00D17EF2"/>
    <w:rsid w:val="00D22C42"/>
    <w:rsid w:val="00D34AE6"/>
    <w:rsid w:val="00D424A4"/>
    <w:rsid w:val="00D43F01"/>
    <w:rsid w:val="00D47C1A"/>
    <w:rsid w:val="00D5789C"/>
    <w:rsid w:val="00D6049E"/>
    <w:rsid w:val="00D635E0"/>
    <w:rsid w:val="00D65041"/>
    <w:rsid w:val="00D67D35"/>
    <w:rsid w:val="00D74322"/>
    <w:rsid w:val="00D768BB"/>
    <w:rsid w:val="00D837AE"/>
    <w:rsid w:val="00D95718"/>
    <w:rsid w:val="00DA3420"/>
    <w:rsid w:val="00DA4FB1"/>
    <w:rsid w:val="00DB1936"/>
    <w:rsid w:val="00DB313C"/>
    <w:rsid w:val="00DB384B"/>
    <w:rsid w:val="00DC05D6"/>
    <w:rsid w:val="00DC0D7F"/>
    <w:rsid w:val="00DD11ED"/>
    <w:rsid w:val="00DE07F1"/>
    <w:rsid w:val="00DE1655"/>
    <w:rsid w:val="00DE23F6"/>
    <w:rsid w:val="00DE5687"/>
    <w:rsid w:val="00DF0189"/>
    <w:rsid w:val="00DF1C2D"/>
    <w:rsid w:val="00DF26C9"/>
    <w:rsid w:val="00DF3E54"/>
    <w:rsid w:val="00DF517E"/>
    <w:rsid w:val="00DF58DF"/>
    <w:rsid w:val="00E06FD5"/>
    <w:rsid w:val="00E07EB1"/>
    <w:rsid w:val="00E10D31"/>
    <w:rsid w:val="00E10E80"/>
    <w:rsid w:val="00E124F0"/>
    <w:rsid w:val="00E16D3F"/>
    <w:rsid w:val="00E17413"/>
    <w:rsid w:val="00E21452"/>
    <w:rsid w:val="00E227F3"/>
    <w:rsid w:val="00E22C9B"/>
    <w:rsid w:val="00E371C6"/>
    <w:rsid w:val="00E545C6"/>
    <w:rsid w:val="00E55039"/>
    <w:rsid w:val="00E6035E"/>
    <w:rsid w:val="00E60F04"/>
    <w:rsid w:val="00E65B24"/>
    <w:rsid w:val="00E854E4"/>
    <w:rsid w:val="00E86DBF"/>
    <w:rsid w:val="00E877E4"/>
    <w:rsid w:val="00E87C53"/>
    <w:rsid w:val="00E9083D"/>
    <w:rsid w:val="00E9173F"/>
    <w:rsid w:val="00E954FC"/>
    <w:rsid w:val="00E969AF"/>
    <w:rsid w:val="00E976AA"/>
    <w:rsid w:val="00EA3C2D"/>
    <w:rsid w:val="00EA598F"/>
    <w:rsid w:val="00EB0D6F"/>
    <w:rsid w:val="00EB2232"/>
    <w:rsid w:val="00EB3C26"/>
    <w:rsid w:val="00EC5337"/>
    <w:rsid w:val="00EC78E9"/>
    <w:rsid w:val="00EE00F7"/>
    <w:rsid w:val="00EE128C"/>
    <w:rsid w:val="00EE49E8"/>
    <w:rsid w:val="00EE6229"/>
    <w:rsid w:val="00EE6EAF"/>
    <w:rsid w:val="00EF1C9D"/>
    <w:rsid w:val="00F03B9C"/>
    <w:rsid w:val="00F164E0"/>
    <w:rsid w:val="00F16BAB"/>
    <w:rsid w:val="00F2150A"/>
    <w:rsid w:val="00F231D8"/>
    <w:rsid w:val="00F30688"/>
    <w:rsid w:val="00F33D55"/>
    <w:rsid w:val="00F41209"/>
    <w:rsid w:val="00F43DFE"/>
    <w:rsid w:val="00F44C00"/>
    <w:rsid w:val="00F45D2C"/>
    <w:rsid w:val="00F46C5F"/>
    <w:rsid w:val="00F46E89"/>
    <w:rsid w:val="00F5164E"/>
    <w:rsid w:val="00F520EB"/>
    <w:rsid w:val="00F57721"/>
    <w:rsid w:val="00F632C0"/>
    <w:rsid w:val="00F641E1"/>
    <w:rsid w:val="00F741EE"/>
    <w:rsid w:val="00F754A1"/>
    <w:rsid w:val="00F80D98"/>
    <w:rsid w:val="00F866C8"/>
    <w:rsid w:val="00F912F4"/>
    <w:rsid w:val="00F94A63"/>
    <w:rsid w:val="00FA1C28"/>
    <w:rsid w:val="00FA3E53"/>
    <w:rsid w:val="00FA4E27"/>
    <w:rsid w:val="00FA5564"/>
    <w:rsid w:val="00FB1279"/>
    <w:rsid w:val="00FB6B76"/>
    <w:rsid w:val="00FB7596"/>
    <w:rsid w:val="00FC2DCB"/>
    <w:rsid w:val="00FE35DF"/>
    <w:rsid w:val="00FE4077"/>
    <w:rsid w:val="00FE500D"/>
    <w:rsid w:val="00FE77D2"/>
    <w:rsid w:val="00FF39B1"/>
    <w:rsid w:val="00FF4464"/>
    <w:rsid w:val="00FF7A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095992CB-951E-46F8-828A-E2188A25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0" w:qFormat="1"/>
    <w:lsdException w:name="heading 2" w:qFormat="1"/>
    <w:lsdException w:name="heading 3" w:uiPriority="1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10"/>
    <w:qFormat/>
    <w:rsid w:val="00EB3C26"/>
    <w:pPr>
      <w:keepNext/>
      <w:keepLines/>
      <w:tabs>
        <w:tab w:val="num" w:pos="774"/>
      </w:tabs>
      <w:spacing w:before="360" w:after="120"/>
      <w:ind w:left="774" w:hanging="774"/>
      <w:outlineLvl w:val="0"/>
    </w:pPr>
    <w:rPr>
      <w:sz w:val="32"/>
    </w:rPr>
  </w:style>
  <w:style w:type="paragraph" w:styleId="Heading2">
    <w:name w:val="heading 2"/>
    <w:basedOn w:val="Heading1"/>
    <w:next w:val="Normal"/>
    <w:link w:val="Heading2Char"/>
    <w:qFormat/>
    <w:rsid w:val="00F80D98"/>
    <w:pPr>
      <w:numPr>
        <w:ilvl w:val="1"/>
      </w:numPr>
      <w:tabs>
        <w:tab w:val="num" w:pos="774"/>
      </w:tabs>
      <w:spacing w:before="240"/>
      <w:ind w:left="774" w:hanging="774"/>
      <w:outlineLvl w:val="1"/>
    </w:pPr>
    <w:rPr>
      <w:b/>
      <w:sz w:val="24"/>
    </w:rPr>
  </w:style>
  <w:style w:type="paragraph" w:styleId="Heading3">
    <w:name w:val="heading 3"/>
    <w:basedOn w:val="Heading1"/>
    <w:next w:val="Normal"/>
    <w:link w:val="Heading3Char"/>
    <w:uiPriority w:val="12"/>
    <w:qFormat/>
    <w:rsid w:val="00F80D98"/>
    <w:pPr>
      <w:numPr>
        <w:ilvl w:val="2"/>
      </w:numPr>
      <w:tabs>
        <w:tab w:val="num" w:pos="774"/>
      </w:tabs>
      <w:spacing w:before="200"/>
      <w:ind w:left="774" w:hanging="774"/>
      <w:outlineLvl w:val="2"/>
    </w:pPr>
    <w:rPr>
      <w:i/>
      <w:sz w:val="24"/>
    </w:rPr>
  </w:style>
  <w:style w:type="paragraph" w:styleId="Heading4">
    <w:name w:val="heading 4"/>
    <w:basedOn w:val="Heading3"/>
    <w:next w:val="Normal"/>
    <w:link w:val="Heading4Char"/>
    <w:qFormat/>
    <w:rsid w:val="00B9131F"/>
    <w:pPr>
      <w:numPr>
        <w:ilvl w:val="3"/>
      </w:numPr>
      <w:tabs>
        <w:tab w:val="num" w:pos="774"/>
      </w:tabs>
      <w:ind w:left="774" w:hanging="774"/>
      <w:outlineLvl w:val="3"/>
    </w:pPr>
  </w:style>
  <w:style w:type="paragraph" w:styleId="Heading5">
    <w:name w:val="heading 5"/>
    <w:basedOn w:val="Heading4"/>
    <w:next w:val="Normal"/>
    <w:link w:val="Heading5Char"/>
    <w:qFormat/>
    <w:rsid w:val="00B9131F"/>
    <w:pPr>
      <w:numPr>
        <w:ilvl w:val="4"/>
      </w:numPr>
      <w:tabs>
        <w:tab w:val="num" w:pos="774"/>
      </w:tabs>
      <w:ind w:left="774" w:hanging="774"/>
      <w:outlineLvl w:val="4"/>
    </w:pPr>
  </w:style>
  <w:style w:type="paragraph" w:styleId="Heading6">
    <w:name w:val="heading 6"/>
    <w:basedOn w:val="Heading4"/>
    <w:next w:val="Normal"/>
    <w:link w:val="Heading6Char"/>
    <w:qFormat/>
    <w:rsid w:val="00B9131F"/>
    <w:pPr>
      <w:numPr>
        <w:ilvl w:val="5"/>
      </w:numPr>
      <w:tabs>
        <w:tab w:val="num" w:pos="774"/>
      </w:tabs>
      <w:ind w:left="774" w:hanging="774"/>
      <w:outlineLvl w:val="5"/>
    </w:pPr>
  </w:style>
  <w:style w:type="paragraph" w:styleId="Heading7">
    <w:name w:val="heading 7"/>
    <w:basedOn w:val="Heading4"/>
    <w:next w:val="Normal"/>
    <w:link w:val="Heading7Char"/>
    <w:qFormat/>
    <w:rsid w:val="00813E5E"/>
    <w:pPr>
      <w:numPr>
        <w:ilvl w:val="6"/>
      </w:numPr>
      <w:tabs>
        <w:tab w:val="num" w:pos="774"/>
      </w:tabs>
      <w:ind w:left="774" w:hanging="774"/>
      <w:outlineLvl w:val="6"/>
    </w:pPr>
  </w:style>
  <w:style w:type="paragraph" w:styleId="Heading8">
    <w:name w:val="heading 8"/>
    <w:basedOn w:val="Heading4"/>
    <w:next w:val="Normal"/>
    <w:link w:val="Heading8Char"/>
    <w:qFormat/>
    <w:rsid w:val="00B9131F"/>
    <w:pPr>
      <w:numPr>
        <w:ilvl w:val="7"/>
      </w:numPr>
      <w:tabs>
        <w:tab w:val="num" w:pos="774"/>
      </w:tabs>
      <w:ind w:left="774" w:hanging="774"/>
      <w:outlineLvl w:val="7"/>
    </w:pPr>
  </w:style>
  <w:style w:type="paragraph" w:styleId="Heading9">
    <w:name w:val="heading 9"/>
    <w:basedOn w:val="Heading4"/>
    <w:next w:val="Normal"/>
    <w:link w:val="Heading9Char"/>
    <w:qFormat/>
    <w:rsid w:val="00B9131F"/>
    <w:pPr>
      <w:numPr>
        <w:ilvl w:val="8"/>
      </w:numPr>
      <w:tabs>
        <w:tab w:val="num" w:pos="774"/>
      </w:tabs>
      <w:ind w:left="774" w:hanging="77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link w:val="FooterChar"/>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FR"/>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4415BD"/>
    <w:pPr>
      <w:spacing w:before="160"/>
      <w:ind w:left="0" w:firstLine="0"/>
      <w:outlineLvl w:val="0"/>
    </w:pPr>
    <w:rPr>
      <w:b/>
      <w:i w:val="0"/>
      <w:sz w:val="28"/>
    </w:r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E6035E"/>
    <w:pPr>
      <w:tabs>
        <w:tab w:val="clear" w:pos="1134"/>
        <w:tab w:val="clear" w:pos="1701"/>
        <w:tab w:val="clear" w:pos="2268"/>
        <w:tab w:val="clear" w:pos="2835"/>
        <w:tab w:val="left" w:pos="284"/>
        <w:tab w:val="left" w:pos="425"/>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D47C1A"/>
    <w:pPr>
      <w:spacing w:before="160"/>
      <w:ind w:left="0" w:firstLine="0"/>
      <w:outlineLvl w:val="0"/>
    </w:pPr>
    <w:rPr>
      <w:rFonts w:asciiTheme="minorHAnsi" w:eastAsia="STKaiti" w:hAnsiTheme="minorHAnsi"/>
      <w:b/>
      <w:i w:val="0"/>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E6035E"/>
    <w:rPr>
      <w:b/>
    </w:rPr>
  </w:style>
  <w:style w:type="paragraph" w:customStyle="1" w:styleId="Tablelegend">
    <w:name w:val="Table_legend"/>
    <w:basedOn w:val="Tabletext"/>
    <w:rsid w:val="004D72A2"/>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BodyTextCharChar">
    <w:name w:val="BodyText Char Char"/>
    <w:link w:val="BodyText"/>
    <w:locked/>
    <w:rsid w:val="00266E09"/>
    <w:rPr>
      <w:rFonts w:ascii="Arial" w:hAnsi="Arial" w:cs="Arial"/>
      <w:color w:val="000000"/>
      <w:lang w:val="en-GB" w:eastAsia="en-US"/>
    </w:rPr>
  </w:style>
  <w:style w:type="paragraph" w:customStyle="1" w:styleId="BodyText">
    <w:name w:val="BodyText"/>
    <w:link w:val="BodyTextCharChar"/>
    <w:rsid w:val="00266E09"/>
    <w:pPr>
      <w:tabs>
        <w:tab w:val="left" w:pos="1080"/>
      </w:tabs>
      <w:adjustRightInd w:val="0"/>
      <w:spacing w:after="170" w:line="280" w:lineRule="exact"/>
      <w:textAlignment w:val="baseline"/>
    </w:pPr>
    <w:rPr>
      <w:rFonts w:ascii="Arial" w:hAnsi="Arial" w:cs="Arial"/>
      <w:color w:val="000000"/>
      <w:lang w:val="en-GB" w:eastAsia="en-US"/>
    </w:rPr>
  </w:style>
  <w:style w:type="paragraph" w:customStyle="1" w:styleId="Bullet">
    <w:name w:val="Bullet"/>
    <w:uiPriority w:val="5"/>
    <w:qFormat/>
    <w:rsid w:val="00266E09"/>
    <w:pPr>
      <w:widowControl w:val="0"/>
      <w:numPr>
        <w:numId w:val="27"/>
      </w:numPr>
      <w:adjustRightInd w:val="0"/>
      <w:spacing w:after="170" w:line="280" w:lineRule="exact"/>
      <w:textAlignment w:val="baseline"/>
    </w:pPr>
    <w:rPr>
      <w:rFonts w:ascii="Arial" w:hAnsi="Arial" w:cs="Arial"/>
      <w:color w:val="000000"/>
      <w:lang w:val="en-GB" w:eastAsia="en-US"/>
    </w:rPr>
  </w:style>
  <w:style w:type="numbering" w:customStyle="1" w:styleId="NumberedNotes0">
    <w:name w:val="NumberedNotes"/>
    <w:basedOn w:val="NoList"/>
    <w:uiPriority w:val="99"/>
    <w:rsid w:val="00266E09"/>
    <w:pPr>
      <w:numPr>
        <w:numId w:val="31"/>
      </w:numPr>
    </w:pPr>
  </w:style>
  <w:style w:type="paragraph" w:customStyle="1" w:styleId="FigureBulletssecond">
    <w:name w:val="Figure Bullets second"/>
    <w:basedOn w:val="FigureBullets"/>
    <w:rsid w:val="00266E09"/>
    <w:pPr>
      <w:numPr>
        <w:numId w:val="3"/>
      </w:numPr>
    </w:pPr>
  </w:style>
  <w:style w:type="character" w:customStyle="1" w:styleId="Italic">
    <w:name w:val="Italic"/>
    <w:rsid w:val="00266E09"/>
    <w:rPr>
      <w:i/>
      <w:iCs/>
    </w:rPr>
  </w:style>
  <w:style w:type="character" w:customStyle="1" w:styleId="Bold">
    <w:name w:val="Bold"/>
    <w:uiPriority w:val="3"/>
    <w:qFormat/>
    <w:rsid w:val="00266E09"/>
    <w:rPr>
      <w:b/>
      <w:bCs/>
    </w:rPr>
  </w:style>
  <w:style w:type="paragraph" w:customStyle="1" w:styleId="image">
    <w:name w:val="image"/>
    <w:next w:val="BodyText"/>
    <w:link w:val="imageChar"/>
    <w:rsid w:val="00266E09"/>
    <w:pPr>
      <w:keepNext/>
      <w:widowControl w:val="0"/>
      <w:adjustRightInd w:val="0"/>
      <w:spacing w:after="120" w:line="360" w:lineRule="atLeast"/>
      <w:textAlignment w:val="baseline"/>
    </w:pPr>
    <w:rPr>
      <w:rFonts w:ascii="Arial" w:hAnsi="Arial" w:cs="Arial"/>
      <w:color w:val="FF0000"/>
      <w:lang w:val="en-GB" w:eastAsia="en-US"/>
    </w:rPr>
  </w:style>
  <w:style w:type="paragraph" w:customStyle="1" w:styleId="TableHeader">
    <w:name w:val="TableHeader"/>
    <w:basedOn w:val="BodyText"/>
    <w:rsid w:val="00266E09"/>
    <w:rPr>
      <w:b/>
      <w:bCs/>
      <w:color w:val="FFFFFF"/>
    </w:rPr>
  </w:style>
  <w:style w:type="paragraph" w:customStyle="1" w:styleId="Bulletalphabet">
    <w:name w:val="Bullet alphabet"/>
    <w:link w:val="BulletalphabetChar"/>
    <w:uiPriority w:val="7"/>
    <w:qFormat/>
    <w:rsid w:val="00266E09"/>
    <w:pPr>
      <w:widowControl w:val="0"/>
      <w:numPr>
        <w:numId w:val="2"/>
      </w:numPr>
      <w:adjustRightInd w:val="0"/>
      <w:spacing w:after="170" w:line="280" w:lineRule="exact"/>
      <w:textAlignment w:val="baseline"/>
    </w:pPr>
    <w:rPr>
      <w:rFonts w:ascii="Arial" w:hAnsi="Arial" w:cs="Arial"/>
      <w:color w:val="000000"/>
      <w:lang w:val="en-GB" w:eastAsia="en-US"/>
    </w:rPr>
  </w:style>
  <w:style w:type="paragraph" w:customStyle="1" w:styleId="Bulletsecondary">
    <w:name w:val="Bullet secondary"/>
    <w:link w:val="BulletsecondaryChar"/>
    <w:uiPriority w:val="6"/>
    <w:qFormat/>
    <w:rsid w:val="00266E09"/>
    <w:pPr>
      <w:widowControl w:val="0"/>
      <w:numPr>
        <w:numId w:val="1"/>
      </w:numPr>
      <w:adjustRightInd w:val="0"/>
      <w:spacing w:after="170" w:line="280" w:lineRule="exact"/>
      <w:textAlignment w:val="baseline"/>
    </w:pPr>
    <w:rPr>
      <w:rFonts w:ascii="Arial" w:hAnsi="Arial" w:cs="Arial"/>
      <w:color w:val="000000"/>
      <w:lang w:val="en-GB" w:eastAsia="en-US"/>
    </w:rPr>
  </w:style>
  <w:style w:type="paragraph" w:customStyle="1" w:styleId="BodyTextIndent1">
    <w:name w:val="Body Text Indent1"/>
    <w:link w:val="BodytextindentChar"/>
    <w:rsid w:val="00266E09"/>
    <w:pPr>
      <w:widowControl w:val="0"/>
      <w:adjustRightInd w:val="0"/>
      <w:spacing w:after="170" w:line="280" w:lineRule="exact"/>
      <w:ind w:left="360"/>
      <w:textAlignment w:val="baseline"/>
    </w:pPr>
    <w:rPr>
      <w:rFonts w:ascii="Arial" w:hAnsi="Arial" w:cs="Arial"/>
      <w:color w:val="000000"/>
      <w:szCs w:val="24"/>
      <w:lang w:val="en-GB" w:eastAsia="en-US"/>
    </w:rPr>
  </w:style>
  <w:style w:type="paragraph" w:customStyle="1" w:styleId="TableText0">
    <w:name w:val="TableText"/>
    <w:rsid w:val="00266E09"/>
    <w:pPr>
      <w:spacing w:after="120" w:line="280" w:lineRule="atLeast"/>
    </w:pPr>
    <w:rPr>
      <w:rFonts w:ascii="Arial" w:hAnsi="Arial" w:cs="Arial"/>
      <w:color w:val="3F454B"/>
      <w:lang w:val="en-GB" w:eastAsia="en-US"/>
    </w:rPr>
  </w:style>
  <w:style w:type="character" w:customStyle="1" w:styleId="Underline">
    <w:name w:val="Underline"/>
    <w:rsid w:val="00266E09"/>
    <w:rPr>
      <w:u w:val="single"/>
    </w:rPr>
  </w:style>
  <w:style w:type="character" w:customStyle="1" w:styleId="EndnoteTextChar">
    <w:name w:val="Endnote Text Char"/>
    <w:link w:val="EndnoteText"/>
    <w:rsid w:val="00266E09"/>
    <w:rPr>
      <w:rFonts w:ascii="Arial" w:hAnsi="Arial" w:cs="Arial"/>
      <w:lang w:val="en-GB" w:eastAsia="en-US"/>
    </w:rPr>
  </w:style>
  <w:style w:type="paragraph" w:styleId="EndnoteText">
    <w:name w:val="endnote text"/>
    <w:basedOn w:val="Normal"/>
    <w:link w:val="EndnoteTextChar"/>
    <w:uiPriority w:val="99"/>
    <w:semiHidden/>
    <w:rsid w:val="00266E09"/>
    <w:pPr>
      <w:widowControl w:val="0"/>
      <w:tabs>
        <w:tab w:val="clear" w:pos="567"/>
        <w:tab w:val="clear" w:pos="1134"/>
        <w:tab w:val="clear" w:pos="1701"/>
        <w:tab w:val="clear" w:pos="2268"/>
        <w:tab w:val="clear" w:pos="2835"/>
      </w:tabs>
      <w:overflowPunct/>
      <w:autoSpaceDE/>
      <w:autoSpaceDN/>
      <w:spacing w:before="0" w:after="120" w:line="276" w:lineRule="auto"/>
    </w:pPr>
    <w:rPr>
      <w:rFonts w:ascii="Arial" w:hAnsi="Arial" w:cs="Arial"/>
      <w:sz w:val="20"/>
    </w:rPr>
  </w:style>
  <w:style w:type="character" w:customStyle="1" w:styleId="EndnoteTextChar1">
    <w:name w:val="Endnote Text Char1"/>
    <w:basedOn w:val="DefaultParagraphFont"/>
    <w:semiHidden/>
    <w:rsid w:val="00266E09"/>
    <w:rPr>
      <w:rFonts w:ascii="Calibri" w:hAnsi="Calibri"/>
      <w:lang w:val="en-GB" w:eastAsia="en-US"/>
    </w:rPr>
  </w:style>
  <w:style w:type="character" w:customStyle="1" w:styleId="BoldUnderline">
    <w:name w:val="BoldUnderline"/>
    <w:rsid w:val="00266E09"/>
    <w:rPr>
      <w:b/>
      <w:u w:val="single"/>
      <w:lang w:val="en-GB"/>
    </w:rPr>
  </w:style>
  <w:style w:type="character" w:customStyle="1" w:styleId="BoldItalic">
    <w:name w:val="BoldItalic"/>
    <w:rsid w:val="00266E09"/>
    <w:rPr>
      <w:b/>
      <w:i/>
      <w:lang w:val="en-GB"/>
    </w:rPr>
  </w:style>
  <w:style w:type="table" w:customStyle="1" w:styleId="TableStyle">
    <w:name w:val="TableStyle"/>
    <w:basedOn w:val="TableNormal"/>
    <w:rsid w:val="00266E09"/>
    <w:pPr>
      <w:spacing w:before="120" w:after="120" w:line="276" w:lineRule="auto"/>
    </w:pPr>
    <w:rPr>
      <w:rFonts w:ascii="Arial" w:hAnsi="Arial"/>
      <w:sz w:val="18"/>
      <w:lang w:val="en-GB" w:eastAsia="en-GB"/>
    </w:rPr>
    <w:tblPr/>
    <w:tcPr>
      <w:shd w:val="clear" w:color="auto" w:fill="auto"/>
    </w:tcPr>
    <w:tblStylePr w:type="firstRow">
      <w:pPr>
        <w:wordWrap/>
        <w:spacing w:beforeLines="0" w:before="60" w:beforeAutospacing="0" w:afterLines="0" w:after="60" w:afterAutospacing="0"/>
        <w:contextualSpacing w:val="0"/>
      </w:pPr>
      <w:rPr>
        <w:rFonts w:ascii="Courier New" w:hAnsi="Courier New"/>
        <w:b w:val="0"/>
        <w:bCs/>
        <w:i w:val="0"/>
        <w:color w:val="FFFFFF"/>
        <w:sz w:val="18"/>
      </w:rPr>
      <w:tblPr/>
      <w:tcPr>
        <w:tcBorders>
          <w:top w:val="single" w:sz="4" w:space="0" w:color="auto"/>
          <w:left w:val="nil"/>
          <w:bottom w:val="nil"/>
          <w:right w:val="nil"/>
          <w:insideH w:val="nil"/>
          <w:insideV w:val="nil"/>
          <w:tl2br w:val="nil"/>
          <w:tr2bl w:val="nil"/>
        </w:tcBorders>
        <w:shd w:val="clear" w:color="auto" w:fill="auto"/>
      </w:tcPr>
    </w:tblStylePr>
    <w:tblStylePr w:type="lastRow">
      <w:rPr>
        <w:b w:val="0"/>
        <w:i w:val="0"/>
      </w:rPr>
      <w:tblPr/>
      <w:tcPr>
        <w:tcBorders>
          <w:top w:val="nil"/>
          <w:left w:val="nil"/>
          <w:bottom w:val="single" w:sz="4" w:space="0" w:color="auto"/>
          <w:right w:val="nil"/>
          <w:insideH w:val="nil"/>
          <w:insideV w:val="nil"/>
          <w:tl2br w:val="nil"/>
          <w:tr2bl w:val="nil"/>
        </w:tcBorders>
        <w:shd w:val="clear" w:color="auto" w:fill="auto"/>
      </w:tcPr>
    </w:tblStylePr>
  </w:style>
  <w:style w:type="character" w:styleId="EndnoteReference">
    <w:name w:val="endnote reference"/>
    <w:uiPriority w:val="99"/>
    <w:semiHidden/>
    <w:rsid w:val="00266E09"/>
    <w:rPr>
      <w:vertAlign w:val="superscript"/>
    </w:rPr>
  </w:style>
  <w:style w:type="character" w:customStyle="1" w:styleId="imageChar">
    <w:name w:val="image Char"/>
    <w:link w:val="image"/>
    <w:rsid w:val="00266E09"/>
    <w:rPr>
      <w:rFonts w:ascii="Arial" w:hAnsi="Arial" w:cs="Arial"/>
      <w:color w:val="FF0000"/>
      <w:lang w:val="en-GB" w:eastAsia="en-US"/>
    </w:rPr>
  </w:style>
  <w:style w:type="character" w:customStyle="1" w:styleId="BulletalphabetChar">
    <w:name w:val="Bullet alphabet Char"/>
    <w:link w:val="Bulletalphabet"/>
    <w:uiPriority w:val="7"/>
    <w:rsid w:val="00266E09"/>
    <w:rPr>
      <w:rFonts w:ascii="Arial" w:hAnsi="Arial" w:cs="Arial"/>
      <w:color w:val="000000"/>
      <w:lang w:val="en-GB" w:eastAsia="en-US"/>
    </w:rPr>
  </w:style>
  <w:style w:type="paragraph" w:customStyle="1" w:styleId="zzDate">
    <w:name w:val="zz Date"/>
    <w:rsid w:val="00266E09"/>
    <w:pPr>
      <w:widowControl w:val="0"/>
      <w:adjustRightInd w:val="0"/>
      <w:spacing w:after="120" w:line="360" w:lineRule="atLeast"/>
      <w:jc w:val="right"/>
      <w:textAlignment w:val="baseline"/>
    </w:pPr>
    <w:rPr>
      <w:rFonts w:ascii="Arial" w:hAnsi="Arial" w:cs="HelveticaNeue-Light"/>
      <w:color w:val="000000"/>
      <w:spacing w:val="-6"/>
      <w:sz w:val="32"/>
      <w:szCs w:val="32"/>
      <w:lang w:val="en-GB" w:eastAsia="en-US"/>
    </w:rPr>
  </w:style>
  <w:style w:type="paragraph" w:customStyle="1" w:styleId="zzDoNotRemove">
    <w:name w:val="zz Do Not Remove"/>
    <w:basedOn w:val="Normal"/>
    <w:rsid w:val="00266E09"/>
    <w:pPr>
      <w:pBdr>
        <w:top w:val="single" w:sz="4" w:space="9" w:color="auto"/>
      </w:pBdr>
      <w:tabs>
        <w:tab w:val="clear" w:pos="567"/>
        <w:tab w:val="clear" w:pos="1134"/>
        <w:tab w:val="clear" w:pos="1701"/>
        <w:tab w:val="clear" w:pos="2268"/>
        <w:tab w:val="clear" w:pos="2835"/>
      </w:tabs>
      <w:overflowPunct/>
      <w:autoSpaceDE/>
      <w:autoSpaceDN/>
      <w:adjustRightInd/>
      <w:spacing w:before="0" w:after="170" w:line="320" w:lineRule="exact"/>
      <w:textAlignment w:val="auto"/>
    </w:pPr>
    <w:rPr>
      <w:rFonts w:ascii="Arial" w:hAnsi="Arial" w:cs="Arial"/>
      <w:sz w:val="20"/>
      <w:lang w:eastAsia="en-GB"/>
    </w:rPr>
  </w:style>
  <w:style w:type="paragraph" w:customStyle="1" w:styleId="StyleCaptionK21">
    <w:name w:val="Style CaptionK2 +1"/>
    <w:basedOn w:val="Normal"/>
    <w:rsid w:val="00266E09"/>
    <w:pPr>
      <w:tabs>
        <w:tab w:val="clear" w:pos="567"/>
        <w:tab w:val="clear" w:pos="1134"/>
        <w:tab w:val="clear" w:pos="1701"/>
        <w:tab w:val="clear" w:pos="2268"/>
        <w:tab w:val="clear" w:pos="2835"/>
        <w:tab w:val="left" w:pos="454"/>
      </w:tabs>
      <w:overflowPunct/>
      <w:autoSpaceDE/>
      <w:autoSpaceDN/>
      <w:spacing w:after="170" w:line="280" w:lineRule="exact"/>
    </w:pPr>
    <w:rPr>
      <w:rFonts w:ascii="Arial" w:hAnsi="Arial" w:cs="Arial"/>
      <w:color w:val="000000"/>
      <w:szCs w:val="24"/>
    </w:rPr>
  </w:style>
  <w:style w:type="paragraph" w:styleId="TOAHeading">
    <w:name w:val="toa heading"/>
    <w:basedOn w:val="Normal"/>
    <w:next w:val="Normal"/>
    <w:semiHidden/>
    <w:rsid w:val="00266E09"/>
    <w:pPr>
      <w:widowControl w:val="0"/>
      <w:tabs>
        <w:tab w:val="clear" w:pos="567"/>
        <w:tab w:val="clear" w:pos="1134"/>
        <w:tab w:val="clear" w:pos="1701"/>
        <w:tab w:val="clear" w:pos="2268"/>
        <w:tab w:val="clear" w:pos="2835"/>
      </w:tabs>
      <w:overflowPunct/>
      <w:autoSpaceDE/>
      <w:autoSpaceDN/>
      <w:spacing w:after="120" w:line="276" w:lineRule="auto"/>
    </w:pPr>
    <w:rPr>
      <w:rFonts w:ascii="Arial" w:hAnsi="Arial" w:cs="Arial"/>
      <w:b/>
      <w:bCs/>
      <w:sz w:val="20"/>
      <w:szCs w:val="24"/>
    </w:rPr>
  </w:style>
  <w:style w:type="paragraph" w:styleId="Caption">
    <w:name w:val="caption"/>
    <w:basedOn w:val="Normal"/>
    <w:next w:val="Normal"/>
    <w:uiPriority w:val="35"/>
    <w:qFormat/>
    <w:rsid w:val="00266E09"/>
    <w:pPr>
      <w:widowControl w:val="0"/>
      <w:tabs>
        <w:tab w:val="clear" w:pos="567"/>
        <w:tab w:val="clear" w:pos="1134"/>
        <w:tab w:val="clear" w:pos="1701"/>
        <w:tab w:val="clear" w:pos="2268"/>
        <w:tab w:val="clear" w:pos="2835"/>
      </w:tabs>
      <w:overflowPunct/>
      <w:autoSpaceDE/>
      <w:autoSpaceDN/>
      <w:spacing w:before="0" w:after="120" w:line="276" w:lineRule="auto"/>
    </w:pPr>
    <w:rPr>
      <w:rFonts w:ascii="Arial" w:hAnsi="Arial" w:cs="Arial"/>
      <w:b/>
      <w:bCs/>
      <w:sz w:val="20"/>
    </w:rPr>
  </w:style>
  <w:style w:type="character" w:customStyle="1" w:styleId="BulletsecondaryChar">
    <w:name w:val="Bullet secondary Char"/>
    <w:link w:val="Bulletsecondary"/>
    <w:uiPriority w:val="6"/>
    <w:rsid w:val="00266E09"/>
    <w:rPr>
      <w:rFonts w:ascii="Arial" w:hAnsi="Arial" w:cs="Arial"/>
      <w:color w:val="000000"/>
      <w:lang w:val="en-GB" w:eastAsia="en-US"/>
    </w:rPr>
  </w:style>
  <w:style w:type="character" w:customStyle="1" w:styleId="XRemover">
    <w:name w:val="X Remover"/>
    <w:rsid w:val="00266E09"/>
  </w:style>
  <w:style w:type="paragraph" w:customStyle="1" w:styleId="Quotetext">
    <w:name w:val="Quote text"/>
    <w:basedOn w:val="BodyTextIndent1"/>
    <w:link w:val="QuotetextChar"/>
    <w:rsid w:val="00266E09"/>
    <w:pPr>
      <w:ind w:left="499"/>
    </w:pPr>
    <w:rPr>
      <w:i/>
    </w:rPr>
  </w:style>
  <w:style w:type="paragraph" w:customStyle="1" w:styleId="AnnexA">
    <w:name w:val="Annex A"/>
    <w:basedOn w:val="Normal"/>
    <w:qFormat/>
    <w:rsid w:val="003D7FF0"/>
    <w:pPr>
      <w:tabs>
        <w:tab w:val="clear" w:pos="567"/>
        <w:tab w:val="clear" w:pos="1134"/>
        <w:tab w:val="clear" w:pos="1701"/>
        <w:tab w:val="clear" w:pos="2268"/>
        <w:tab w:val="clear" w:pos="2835"/>
        <w:tab w:val="left" w:pos="454"/>
      </w:tabs>
      <w:overflowPunct/>
      <w:autoSpaceDE/>
      <w:autoSpaceDN/>
      <w:spacing w:after="170" w:line="280" w:lineRule="exact"/>
    </w:pPr>
    <w:rPr>
      <w:rFonts w:ascii="Arial" w:hAnsi="Arial" w:cs="Verdana"/>
      <w:color w:val="000000"/>
      <w:sz w:val="20"/>
      <w:szCs w:val="24"/>
    </w:rPr>
  </w:style>
  <w:style w:type="character" w:customStyle="1" w:styleId="BodytextindentChar">
    <w:name w:val="Body text indent Char"/>
    <w:link w:val="BodyTextIndent1"/>
    <w:rsid w:val="00266E09"/>
    <w:rPr>
      <w:rFonts w:ascii="Arial" w:hAnsi="Arial" w:cs="Arial"/>
      <w:color w:val="000000"/>
      <w:szCs w:val="24"/>
      <w:lang w:val="en-GB" w:eastAsia="en-US"/>
    </w:rPr>
  </w:style>
  <w:style w:type="paragraph" w:styleId="ListNumber">
    <w:name w:val="List Number"/>
    <w:basedOn w:val="Normal"/>
    <w:rsid w:val="00266E09"/>
    <w:pPr>
      <w:widowControl w:val="0"/>
      <w:tabs>
        <w:tab w:val="clear" w:pos="567"/>
        <w:tab w:val="clear" w:pos="1134"/>
        <w:tab w:val="clear" w:pos="1701"/>
        <w:tab w:val="clear" w:pos="2268"/>
        <w:tab w:val="clear" w:pos="2835"/>
        <w:tab w:val="num" w:pos="1303"/>
      </w:tabs>
      <w:overflowPunct/>
      <w:autoSpaceDE/>
      <w:autoSpaceDN/>
      <w:spacing w:before="0" w:after="120" w:line="276" w:lineRule="auto"/>
      <w:ind w:left="1303" w:hanging="1020"/>
    </w:pPr>
    <w:rPr>
      <w:rFonts w:ascii="Arial" w:hAnsi="Arial" w:cs="Arial"/>
      <w:sz w:val="20"/>
      <w:szCs w:val="24"/>
    </w:rPr>
  </w:style>
  <w:style w:type="paragraph" w:customStyle="1" w:styleId="CaptionK2">
    <w:name w:val="CaptionK2"/>
    <w:basedOn w:val="Normal"/>
    <w:link w:val="CaptionK2Char"/>
    <w:autoRedefine/>
    <w:qFormat/>
    <w:rsid w:val="00266E09"/>
    <w:pPr>
      <w:tabs>
        <w:tab w:val="clear" w:pos="567"/>
        <w:tab w:val="clear" w:pos="1134"/>
        <w:tab w:val="clear" w:pos="1701"/>
        <w:tab w:val="clear" w:pos="2268"/>
        <w:tab w:val="clear" w:pos="2835"/>
        <w:tab w:val="num" w:pos="774"/>
      </w:tabs>
      <w:overflowPunct/>
      <w:autoSpaceDE/>
      <w:autoSpaceDN/>
      <w:spacing w:after="170" w:line="280" w:lineRule="exact"/>
    </w:pPr>
    <w:rPr>
      <w:rFonts w:ascii="Arial" w:hAnsi="Arial" w:cs="Arial"/>
      <w:bCs/>
      <w:color w:val="000000"/>
      <w:szCs w:val="24"/>
    </w:rPr>
  </w:style>
  <w:style w:type="paragraph" w:styleId="NoteHeading">
    <w:name w:val="Note Heading"/>
    <w:basedOn w:val="Normal"/>
    <w:next w:val="Normal"/>
    <w:link w:val="NoteHeadingChar"/>
    <w:rsid w:val="00266E09"/>
    <w:pPr>
      <w:widowControl w:val="0"/>
      <w:tabs>
        <w:tab w:val="clear" w:pos="567"/>
        <w:tab w:val="clear" w:pos="1134"/>
        <w:tab w:val="clear" w:pos="1701"/>
        <w:tab w:val="clear" w:pos="2268"/>
        <w:tab w:val="clear" w:pos="2835"/>
      </w:tabs>
      <w:overflowPunct/>
      <w:autoSpaceDE/>
      <w:autoSpaceDN/>
      <w:spacing w:before="0" w:after="120" w:line="276" w:lineRule="auto"/>
    </w:pPr>
    <w:rPr>
      <w:rFonts w:ascii="Arial" w:hAnsi="Arial" w:cs="Arial"/>
      <w:sz w:val="20"/>
      <w:szCs w:val="24"/>
    </w:rPr>
  </w:style>
  <w:style w:type="character" w:customStyle="1" w:styleId="NoteHeadingChar">
    <w:name w:val="Note Heading Char"/>
    <w:basedOn w:val="DefaultParagraphFont"/>
    <w:link w:val="NoteHeading"/>
    <w:rsid w:val="00266E09"/>
    <w:rPr>
      <w:rFonts w:ascii="Arial" w:hAnsi="Arial" w:cs="Arial"/>
      <w:szCs w:val="24"/>
      <w:lang w:val="en-GB" w:eastAsia="en-US"/>
    </w:rPr>
  </w:style>
  <w:style w:type="paragraph" w:styleId="ListNumber2">
    <w:name w:val="List Number 2"/>
    <w:basedOn w:val="Normal"/>
    <w:rsid w:val="00266E09"/>
    <w:pPr>
      <w:widowControl w:val="0"/>
      <w:tabs>
        <w:tab w:val="clear" w:pos="567"/>
        <w:tab w:val="clear" w:pos="1134"/>
        <w:tab w:val="clear" w:pos="1701"/>
        <w:tab w:val="clear" w:pos="2268"/>
        <w:tab w:val="clear" w:pos="2835"/>
        <w:tab w:val="num" w:pos="720"/>
      </w:tabs>
      <w:overflowPunct/>
      <w:autoSpaceDE/>
      <w:autoSpaceDN/>
      <w:spacing w:before="0" w:after="120" w:line="276" w:lineRule="auto"/>
      <w:ind w:left="720" w:hanging="360"/>
    </w:pPr>
    <w:rPr>
      <w:rFonts w:ascii="Arial" w:hAnsi="Arial" w:cs="Arial"/>
      <w:sz w:val="20"/>
      <w:szCs w:val="24"/>
    </w:rPr>
  </w:style>
  <w:style w:type="paragraph" w:styleId="ListNumber3">
    <w:name w:val="List Number 3"/>
    <w:basedOn w:val="Normal"/>
    <w:rsid w:val="00266E09"/>
    <w:pPr>
      <w:widowControl w:val="0"/>
      <w:tabs>
        <w:tab w:val="clear" w:pos="567"/>
        <w:tab w:val="clear" w:pos="1134"/>
        <w:tab w:val="clear" w:pos="1701"/>
        <w:tab w:val="clear" w:pos="2268"/>
        <w:tab w:val="clear" w:pos="2835"/>
        <w:tab w:val="num" w:pos="926"/>
      </w:tabs>
      <w:overflowPunct/>
      <w:autoSpaceDE/>
      <w:autoSpaceDN/>
      <w:spacing w:before="0" w:after="120" w:line="276" w:lineRule="auto"/>
      <w:ind w:left="926" w:hanging="360"/>
    </w:pPr>
    <w:rPr>
      <w:rFonts w:ascii="Arial" w:hAnsi="Arial" w:cs="Arial"/>
      <w:sz w:val="20"/>
      <w:szCs w:val="24"/>
    </w:rPr>
  </w:style>
  <w:style w:type="paragraph" w:styleId="ListNumber4">
    <w:name w:val="List Number 4"/>
    <w:basedOn w:val="Normal"/>
    <w:rsid w:val="00266E09"/>
    <w:pPr>
      <w:widowControl w:val="0"/>
      <w:tabs>
        <w:tab w:val="clear" w:pos="567"/>
        <w:tab w:val="clear" w:pos="1134"/>
        <w:tab w:val="clear" w:pos="1701"/>
        <w:tab w:val="clear" w:pos="2268"/>
        <w:tab w:val="clear" w:pos="2835"/>
        <w:tab w:val="num" w:pos="1209"/>
      </w:tabs>
      <w:overflowPunct/>
      <w:autoSpaceDE/>
      <w:autoSpaceDN/>
      <w:spacing w:before="0" w:after="120" w:line="276" w:lineRule="auto"/>
      <w:ind w:left="1209" w:hanging="360"/>
    </w:pPr>
    <w:rPr>
      <w:rFonts w:ascii="Arial" w:hAnsi="Arial" w:cs="Arial"/>
      <w:sz w:val="20"/>
      <w:szCs w:val="24"/>
    </w:rPr>
  </w:style>
  <w:style w:type="paragraph" w:styleId="ListNumber5">
    <w:name w:val="List Number 5"/>
    <w:basedOn w:val="Normal"/>
    <w:rsid w:val="00266E09"/>
    <w:pPr>
      <w:widowControl w:val="0"/>
      <w:tabs>
        <w:tab w:val="clear" w:pos="567"/>
        <w:tab w:val="clear" w:pos="1134"/>
        <w:tab w:val="clear" w:pos="1701"/>
        <w:tab w:val="clear" w:pos="2268"/>
        <w:tab w:val="clear" w:pos="2835"/>
        <w:tab w:val="num" w:pos="1492"/>
      </w:tabs>
      <w:overflowPunct/>
      <w:autoSpaceDE/>
      <w:autoSpaceDN/>
      <w:spacing w:before="0" w:after="120" w:line="276" w:lineRule="auto"/>
      <w:ind w:left="1492" w:hanging="360"/>
    </w:pPr>
    <w:rPr>
      <w:rFonts w:ascii="Arial" w:hAnsi="Arial" w:cs="Arial"/>
      <w:sz w:val="20"/>
      <w:szCs w:val="24"/>
    </w:rPr>
  </w:style>
  <w:style w:type="paragraph" w:styleId="ListContinue">
    <w:name w:val="List Continue"/>
    <w:basedOn w:val="Normal"/>
    <w:rsid w:val="00266E09"/>
    <w:pPr>
      <w:widowControl w:val="0"/>
      <w:tabs>
        <w:tab w:val="clear" w:pos="567"/>
        <w:tab w:val="clear" w:pos="1134"/>
        <w:tab w:val="clear" w:pos="1701"/>
        <w:tab w:val="clear" w:pos="2268"/>
        <w:tab w:val="clear" w:pos="2835"/>
      </w:tabs>
      <w:overflowPunct/>
      <w:autoSpaceDE/>
      <w:autoSpaceDN/>
      <w:spacing w:before="0" w:after="120" w:line="276" w:lineRule="auto"/>
      <w:ind w:left="283"/>
    </w:pPr>
    <w:rPr>
      <w:rFonts w:ascii="Arial" w:hAnsi="Arial" w:cs="Arial"/>
      <w:sz w:val="20"/>
      <w:szCs w:val="24"/>
    </w:rPr>
  </w:style>
  <w:style w:type="paragraph" w:styleId="ListContinue2">
    <w:name w:val="List Continue 2"/>
    <w:basedOn w:val="Normal"/>
    <w:rsid w:val="00266E09"/>
    <w:pPr>
      <w:widowControl w:val="0"/>
      <w:tabs>
        <w:tab w:val="clear" w:pos="567"/>
        <w:tab w:val="clear" w:pos="1134"/>
        <w:tab w:val="clear" w:pos="1701"/>
        <w:tab w:val="clear" w:pos="2268"/>
        <w:tab w:val="clear" w:pos="2835"/>
      </w:tabs>
      <w:overflowPunct/>
      <w:autoSpaceDE/>
      <w:autoSpaceDN/>
      <w:spacing w:before="0" w:after="120" w:line="276" w:lineRule="auto"/>
      <w:ind w:left="566"/>
    </w:pPr>
    <w:rPr>
      <w:rFonts w:ascii="Arial" w:hAnsi="Arial" w:cs="Arial"/>
      <w:sz w:val="20"/>
      <w:szCs w:val="24"/>
    </w:rPr>
  </w:style>
  <w:style w:type="paragraph" w:styleId="ListBullet3">
    <w:name w:val="List Bullet 3"/>
    <w:basedOn w:val="Normal"/>
    <w:rsid w:val="00266E09"/>
    <w:pPr>
      <w:widowControl w:val="0"/>
      <w:tabs>
        <w:tab w:val="clear" w:pos="567"/>
        <w:tab w:val="clear" w:pos="1134"/>
        <w:tab w:val="clear" w:pos="1701"/>
        <w:tab w:val="clear" w:pos="2268"/>
        <w:tab w:val="clear" w:pos="2835"/>
        <w:tab w:val="num" w:pos="926"/>
      </w:tabs>
      <w:overflowPunct/>
      <w:autoSpaceDE/>
      <w:autoSpaceDN/>
      <w:spacing w:before="0" w:after="120" w:line="276" w:lineRule="auto"/>
      <w:ind w:left="926" w:hanging="360"/>
    </w:pPr>
    <w:rPr>
      <w:rFonts w:ascii="Arial" w:hAnsi="Arial" w:cs="Arial"/>
      <w:sz w:val="20"/>
      <w:szCs w:val="24"/>
    </w:rPr>
  </w:style>
  <w:style w:type="paragraph" w:styleId="ListBullet2">
    <w:name w:val="List Bullet 2"/>
    <w:basedOn w:val="Normal"/>
    <w:rsid w:val="00266E09"/>
    <w:pPr>
      <w:widowControl w:val="0"/>
      <w:tabs>
        <w:tab w:val="clear" w:pos="567"/>
        <w:tab w:val="clear" w:pos="1134"/>
        <w:tab w:val="clear" w:pos="1701"/>
        <w:tab w:val="clear" w:pos="2268"/>
        <w:tab w:val="clear" w:pos="2835"/>
        <w:tab w:val="num" w:pos="643"/>
      </w:tabs>
      <w:overflowPunct/>
      <w:autoSpaceDE/>
      <w:autoSpaceDN/>
      <w:spacing w:before="0" w:after="120" w:line="276" w:lineRule="auto"/>
      <w:ind w:left="643" w:hanging="360"/>
    </w:pPr>
    <w:rPr>
      <w:rFonts w:ascii="Arial" w:hAnsi="Arial" w:cs="Arial"/>
      <w:sz w:val="20"/>
      <w:szCs w:val="24"/>
    </w:rPr>
  </w:style>
  <w:style w:type="paragraph" w:customStyle="1" w:styleId="Number5">
    <w:name w:val="Number 5"/>
    <w:basedOn w:val="Normal"/>
    <w:rsid w:val="003D7FF0"/>
    <w:pPr>
      <w:numPr>
        <w:numId w:val="21"/>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6">
    <w:name w:val="Number 6"/>
    <w:basedOn w:val="Normal"/>
    <w:rsid w:val="003D7FF0"/>
    <w:pPr>
      <w:numPr>
        <w:numId w:val="22"/>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7">
    <w:name w:val="Number 7"/>
    <w:basedOn w:val="Normal"/>
    <w:rsid w:val="003D7FF0"/>
    <w:pPr>
      <w:numPr>
        <w:numId w:val="23"/>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8">
    <w:name w:val="Number 8"/>
    <w:basedOn w:val="Normal"/>
    <w:rsid w:val="003D7FF0"/>
    <w:pPr>
      <w:numPr>
        <w:numId w:val="24"/>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9">
    <w:name w:val="Number 9"/>
    <w:basedOn w:val="Normal"/>
    <w:rsid w:val="003D7FF0"/>
    <w:pPr>
      <w:numPr>
        <w:numId w:val="25"/>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10">
    <w:name w:val="Number 10"/>
    <w:basedOn w:val="Normal"/>
    <w:link w:val="Number10CharChar"/>
    <w:rsid w:val="003D7FF0"/>
    <w:pPr>
      <w:numPr>
        <w:numId w:val="16"/>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11">
    <w:name w:val="Number 11"/>
    <w:basedOn w:val="Normal"/>
    <w:rsid w:val="003D7FF0"/>
    <w:pPr>
      <w:numPr>
        <w:numId w:val="6"/>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12">
    <w:name w:val="Number 12"/>
    <w:basedOn w:val="Normal"/>
    <w:rsid w:val="003D7FF0"/>
    <w:pPr>
      <w:numPr>
        <w:numId w:val="15"/>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13">
    <w:name w:val="Number 13"/>
    <w:basedOn w:val="Normal"/>
    <w:rsid w:val="003D7FF0"/>
    <w:pPr>
      <w:numPr>
        <w:numId w:val="17"/>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14">
    <w:name w:val="Number 14"/>
    <w:basedOn w:val="Normal"/>
    <w:rsid w:val="003D7FF0"/>
    <w:pPr>
      <w:numPr>
        <w:numId w:val="18"/>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15">
    <w:name w:val="Number 15"/>
    <w:basedOn w:val="Normal"/>
    <w:rsid w:val="003D7FF0"/>
    <w:pPr>
      <w:numPr>
        <w:numId w:val="19"/>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16">
    <w:name w:val="Number 16"/>
    <w:basedOn w:val="Normal"/>
    <w:rsid w:val="003D7FF0"/>
    <w:pPr>
      <w:numPr>
        <w:numId w:val="20"/>
      </w:numPr>
      <w:tabs>
        <w:tab w:val="clear" w:pos="567"/>
        <w:tab w:val="clear" w:pos="1134"/>
        <w:tab w:val="clear" w:pos="1701"/>
        <w:tab w:val="clear" w:pos="2268"/>
        <w:tab w:val="clear" w:pos="2835"/>
        <w:tab w:val="left" w:pos="454"/>
      </w:tabs>
      <w:overflowPunct/>
      <w:autoSpaceDE/>
      <w:autoSpaceDN/>
      <w:spacing w:after="170" w:line="280" w:lineRule="exact"/>
      <w:ind w:left="0" w:firstLine="0"/>
    </w:pPr>
    <w:rPr>
      <w:rFonts w:ascii="Arial" w:hAnsi="Arial" w:cs="Arial"/>
      <w:color w:val="000000"/>
      <w:sz w:val="20"/>
      <w:szCs w:val="24"/>
    </w:rPr>
  </w:style>
  <w:style w:type="numbering" w:styleId="ArticleSection">
    <w:name w:val="Outline List 3"/>
    <w:basedOn w:val="NoList"/>
    <w:rsid w:val="00266E09"/>
    <w:pPr>
      <w:numPr>
        <w:numId w:val="4"/>
      </w:numPr>
    </w:pPr>
  </w:style>
  <w:style w:type="character" w:customStyle="1" w:styleId="Figurereference">
    <w:name w:val="Figure reference"/>
    <w:rsid w:val="00266E09"/>
    <w:rPr>
      <w:rFonts w:ascii="Arial" w:hAnsi="Arial"/>
      <w:b/>
      <w:color w:val="808080"/>
    </w:rPr>
  </w:style>
  <w:style w:type="paragraph" w:styleId="BodyTextIndent">
    <w:name w:val="Body Text Indent"/>
    <w:basedOn w:val="Normal"/>
    <w:link w:val="BodyTextIndentChar0"/>
    <w:rsid w:val="00266E09"/>
    <w:pPr>
      <w:widowControl w:val="0"/>
      <w:tabs>
        <w:tab w:val="clear" w:pos="567"/>
        <w:tab w:val="clear" w:pos="1134"/>
        <w:tab w:val="clear" w:pos="1701"/>
        <w:tab w:val="clear" w:pos="2268"/>
        <w:tab w:val="clear" w:pos="2835"/>
      </w:tabs>
      <w:overflowPunct/>
      <w:autoSpaceDE/>
      <w:autoSpaceDN/>
      <w:spacing w:before="0" w:after="120" w:line="276" w:lineRule="auto"/>
      <w:ind w:left="499"/>
    </w:pPr>
    <w:rPr>
      <w:rFonts w:ascii="Arial" w:hAnsi="Arial" w:cs="Arial"/>
      <w:sz w:val="20"/>
      <w:szCs w:val="24"/>
    </w:rPr>
  </w:style>
  <w:style w:type="character" w:customStyle="1" w:styleId="BodyTextIndentChar0">
    <w:name w:val="Body Text Indent Char"/>
    <w:basedOn w:val="DefaultParagraphFont"/>
    <w:link w:val="BodyTextIndent"/>
    <w:rsid w:val="00266E09"/>
    <w:rPr>
      <w:rFonts w:ascii="Arial" w:hAnsi="Arial" w:cs="Arial"/>
      <w:szCs w:val="24"/>
      <w:lang w:val="en-GB" w:eastAsia="en-US"/>
    </w:rPr>
  </w:style>
  <w:style w:type="paragraph" w:customStyle="1" w:styleId="zzContentsHeader">
    <w:name w:val="zz  Contents Header"/>
    <w:rsid w:val="00266E09"/>
    <w:pPr>
      <w:widowControl w:val="0"/>
      <w:adjustRightInd w:val="0"/>
      <w:spacing w:after="480" w:line="360" w:lineRule="atLeast"/>
      <w:jc w:val="both"/>
      <w:textAlignment w:val="baseline"/>
    </w:pPr>
    <w:rPr>
      <w:rFonts w:ascii="Arial" w:hAnsi="Arial" w:cs="HelveticaNeue-Light"/>
      <w:color w:val="000000"/>
      <w:spacing w:val="-6"/>
      <w:sz w:val="48"/>
      <w:szCs w:val="56"/>
      <w:lang w:val="en-GB" w:eastAsia="en-US"/>
    </w:rPr>
  </w:style>
  <w:style w:type="paragraph" w:customStyle="1" w:styleId="zzCovertitle">
    <w:name w:val="zz Cover title"/>
    <w:rsid w:val="00266E09"/>
    <w:pPr>
      <w:widowControl w:val="0"/>
      <w:adjustRightInd w:val="0"/>
      <w:spacing w:before="2400" w:after="120" w:line="360" w:lineRule="atLeast"/>
      <w:textAlignment w:val="baseline"/>
    </w:pPr>
    <w:rPr>
      <w:rFonts w:ascii="Arial" w:hAnsi="Arial" w:cs="HelveticaNeue-Light"/>
      <w:color w:val="000000"/>
      <w:spacing w:val="-6"/>
      <w:sz w:val="60"/>
      <w:szCs w:val="56"/>
      <w:lang w:val="en-GB" w:eastAsia="en-US"/>
    </w:rPr>
  </w:style>
  <w:style w:type="paragraph" w:customStyle="1" w:styleId="22-BoxText">
    <w:name w:val="22 - Box Text"/>
    <w:rsid w:val="00266E09"/>
    <w:pPr>
      <w:widowControl w:val="0"/>
      <w:adjustRightInd w:val="0"/>
      <w:spacing w:before="120" w:after="120" w:line="360" w:lineRule="atLeast"/>
      <w:jc w:val="both"/>
      <w:textAlignment w:val="baseline"/>
    </w:pPr>
    <w:rPr>
      <w:rFonts w:ascii="Arial" w:hAnsi="Arial" w:cs="Arial"/>
      <w:color w:val="000000"/>
      <w:lang w:val="en-GB" w:eastAsia="en-US"/>
    </w:rPr>
  </w:style>
  <w:style w:type="paragraph" w:customStyle="1" w:styleId="AnnexB">
    <w:name w:val="Annex B"/>
    <w:basedOn w:val="AnnexA"/>
    <w:rsid w:val="00266E09"/>
    <w:pPr>
      <w:numPr>
        <w:numId w:val="8"/>
      </w:numPr>
      <w:ind w:left="0" w:firstLine="0"/>
    </w:pPr>
  </w:style>
  <w:style w:type="paragraph" w:customStyle="1" w:styleId="AnnexC">
    <w:name w:val="Annex C"/>
    <w:basedOn w:val="AnnexA"/>
    <w:rsid w:val="00266E09"/>
    <w:pPr>
      <w:numPr>
        <w:numId w:val="14"/>
      </w:numPr>
      <w:ind w:left="0" w:firstLine="0"/>
    </w:pPr>
  </w:style>
  <w:style w:type="paragraph" w:customStyle="1" w:styleId="AnnexD">
    <w:name w:val="Annex D"/>
    <w:basedOn w:val="AnnexA"/>
    <w:rsid w:val="00266E09"/>
    <w:pPr>
      <w:numPr>
        <w:numId w:val="7"/>
      </w:numPr>
      <w:ind w:left="0" w:firstLine="0"/>
    </w:pPr>
  </w:style>
  <w:style w:type="paragraph" w:customStyle="1" w:styleId="AnnexE">
    <w:name w:val="Annex E"/>
    <w:basedOn w:val="AnnexA"/>
    <w:rsid w:val="00266E09"/>
    <w:pPr>
      <w:numPr>
        <w:numId w:val="5"/>
      </w:numPr>
      <w:tabs>
        <w:tab w:val="clear" w:pos="774"/>
        <w:tab w:val="num" w:pos="1440"/>
      </w:tabs>
      <w:ind w:left="0" w:firstLine="0"/>
    </w:pPr>
  </w:style>
  <w:style w:type="paragraph" w:customStyle="1" w:styleId="AnnexF">
    <w:name w:val="Annex F"/>
    <w:basedOn w:val="AnnexA"/>
    <w:rsid w:val="00266E09"/>
    <w:pPr>
      <w:numPr>
        <w:numId w:val="10"/>
      </w:numPr>
      <w:ind w:left="0" w:firstLine="0"/>
    </w:pPr>
  </w:style>
  <w:style w:type="paragraph" w:customStyle="1" w:styleId="AnnexG">
    <w:name w:val="Annex G"/>
    <w:basedOn w:val="AnnexA"/>
    <w:rsid w:val="00266E09"/>
    <w:pPr>
      <w:numPr>
        <w:numId w:val="11"/>
      </w:numPr>
      <w:ind w:left="0" w:firstLine="0"/>
    </w:pPr>
  </w:style>
  <w:style w:type="paragraph" w:customStyle="1" w:styleId="AnnexH">
    <w:name w:val="Annex H"/>
    <w:basedOn w:val="AnnexA"/>
    <w:rsid w:val="00266E09"/>
    <w:pPr>
      <w:numPr>
        <w:numId w:val="12"/>
      </w:numPr>
      <w:ind w:left="0" w:firstLine="0"/>
    </w:pPr>
  </w:style>
  <w:style w:type="paragraph" w:customStyle="1" w:styleId="AnnexI">
    <w:name w:val="Annex I"/>
    <w:basedOn w:val="AnnexA"/>
    <w:rsid w:val="00266E09"/>
    <w:pPr>
      <w:numPr>
        <w:numId w:val="13"/>
      </w:numPr>
      <w:ind w:left="0" w:firstLine="0"/>
    </w:pPr>
  </w:style>
  <w:style w:type="paragraph" w:customStyle="1" w:styleId="AnnexJ">
    <w:name w:val="Annex J"/>
    <w:basedOn w:val="AnnexA"/>
    <w:rsid w:val="00266E09"/>
    <w:pPr>
      <w:numPr>
        <w:numId w:val="9"/>
      </w:numPr>
      <w:ind w:left="0" w:firstLine="0"/>
    </w:pPr>
  </w:style>
  <w:style w:type="character" w:customStyle="1" w:styleId="Number10CharChar">
    <w:name w:val="Number 10 Char Char"/>
    <w:link w:val="Number10"/>
    <w:rsid w:val="00266E09"/>
    <w:rPr>
      <w:rFonts w:ascii="Arial" w:hAnsi="Arial" w:cs="Arial"/>
      <w:color w:val="000000"/>
      <w:szCs w:val="24"/>
      <w:lang w:val="en-GB" w:eastAsia="en-US"/>
    </w:rPr>
  </w:style>
  <w:style w:type="paragraph" w:customStyle="1" w:styleId="DocumentType">
    <w:name w:val="Document Type"/>
    <w:rsid w:val="00266E09"/>
    <w:pPr>
      <w:spacing w:after="120" w:line="240" w:lineRule="exact"/>
    </w:pPr>
    <w:rPr>
      <w:rFonts w:ascii="Arial" w:hAnsi="Arial"/>
      <w:b/>
      <w:szCs w:val="24"/>
      <w:lang w:val="en-GB" w:eastAsia="en-GB"/>
    </w:rPr>
  </w:style>
  <w:style w:type="paragraph" w:styleId="BalloonText">
    <w:name w:val="Balloon Text"/>
    <w:basedOn w:val="Normal"/>
    <w:link w:val="BalloonTextChar"/>
    <w:semiHidden/>
    <w:rsid w:val="00266E09"/>
    <w:pPr>
      <w:widowControl w:val="0"/>
      <w:tabs>
        <w:tab w:val="clear" w:pos="567"/>
        <w:tab w:val="clear" w:pos="1134"/>
        <w:tab w:val="clear" w:pos="1701"/>
        <w:tab w:val="clear" w:pos="2268"/>
        <w:tab w:val="clear" w:pos="2835"/>
      </w:tabs>
      <w:overflowPunct/>
      <w:autoSpaceDE/>
      <w:autoSpaceDN/>
      <w:spacing w:before="0" w:after="120" w:line="276" w:lineRule="auto"/>
    </w:pPr>
    <w:rPr>
      <w:rFonts w:ascii="Tahoma" w:hAnsi="Tahoma" w:cs="Tahoma"/>
      <w:sz w:val="16"/>
      <w:szCs w:val="16"/>
    </w:rPr>
  </w:style>
  <w:style w:type="character" w:customStyle="1" w:styleId="BalloonTextChar">
    <w:name w:val="Balloon Text Char"/>
    <w:basedOn w:val="DefaultParagraphFont"/>
    <w:link w:val="BalloonText"/>
    <w:semiHidden/>
    <w:rsid w:val="00266E09"/>
    <w:rPr>
      <w:rFonts w:ascii="Tahoma" w:hAnsi="Tahoma" w:cs="Tahoma"/>
      <w:sz w:val="16"/>
      <w:szCs w:val="16"/>
      <w:lang w:val="en-GB" w:eastAsia="en-US"/>
    </w:rPr>
  </w:style>
  <w:style w:type="paragraph" w:customStyle="1" w:styleId="zz">
    <w:name w:val="zz"/>
    <w:rsid w:val="00266E09"/>
    <w:pPr>
      <w:spacing w:after="120" w:line="480" w:lineRule="exact"/>
    </w:pPr>
    <w:rPr>
      <w:rFonts w:ascii="Arial" w:hAnsi="Arial" w:cs="Arial"/>
      <w:sz w:val="36"/>
      <w:szCs w:val="40"/>
      <w:lang w:val="en-GB" w:eastAsia="en-GB"/>
    </w:rPr>
  </w:style>
  <w:style w:type="paragraph" w:customStyle="1" w:styleId="zzDocType">
    <w:name w:val="zzDocType"/>
    <w:basedOn w:val="Normal"/>
    <w:rsid w:val="00266E09"/>
    <w:pPr>
      <w:tabs>
        <w:tab w:val="clear" w:pos="567"/>
        <w:tab w:val="clear" w:pos="1134"/>
        <w:tab w:val="clear" w:pos="1701"/>
        <w:tab w:val="clear" w:pos="2268"/>
        <w:tab w:val="clear" w:pos="2835"/>
      </w:tabs>
      <w:overflowPunct/>
      <w:autoSpaceDE/>
      <w:autoSpaceDN/>
      <w:adjustRightInd/>
      <w:spacing w:after="120" w:line="240" w:lineRule="exact"/>
      <w:textAlignment w:val="auto"/>
    </w:pPr>
    <w:rPr>
      <w:rFonts w:ascii="Arial" w:hAnsi="Arial"/>
      <w:b/>
      <w:sz w:val="20"/>
      <w:szCs w:val="24"/>
      <w:lang w:eastAsia="en-GB"/>
    </w:rPr>
  </w:style>
  <w:style w:type="paragraph" w:customStyle="1" w:styleId="BoxBullet">
    <w:name w:val="Box Bullet"/>
    <w:basedOn w:val="Normal"/>
    <w:rsid w:val="00CC18D3"/>
    <w:pPr>
      <w:numPr>
        <w:numId w:val="26"/>
      </w:numPr>
      <w:tabs>
        <w:tab w:val="clear" w:pos="567"/>
        <w:tab w:val="clear" w:pos="1134"/>
        <w:tab w:val="clear" w:pos="1701"/>
        <w:tab w:val="clear" w:pos="2268"/>
        <w:tab w:val="clear" w:pos="2835"/>
      </w:tabs>
      <w:overflowPunct/>
      <w:autoSpaceDE/>
      <w:autoSpaceDN/>
      <w:adjustRightInd/>
      <w:spacing w:before="0" w:after="120" w:line="200" w:lineRule="exact"/>
      <w:textAlignment w:val="auto"/>
    </w:pPr>
    <w:rPr>
      <w:rFonts w:ascii="Arial" w:hAnsi="Arial"/>
      <w:color w:val="000000"/>
      <w:sz w:val="16"/>
      <w:szCs w:val="16"/>
      <w:lang w:eastAsia="en-GB"/>
    </w:rPr>
  </w:style>
  <w:style w:type="paragraph" w:customStyle="1" w:styleId="StyleFigureTextBold">
    <w:name w:val="Style Figure Text Bold"/>
    <w:basedOn w:val="Normal"/>
    <w:rsid w:val="00CC18D3"/>
    <w:pPr>
      <w:tabs>
        <w:tab w:val="clear" w:pos="567"/>
        <w:tab w:val="clear" w:pos="1134"/>
        <w:tab w:val="clear" w:pos="1701"/>
        <w:tab w:val="clear" w:pos="2268"/>
        <w:tab w:val="clear" w:pos="2835"/>
      </w:tabs>
      <w:overflowPunct/>
      <w:autoSpaceDE/>
      <w:autoSpaceDN/>
      <w:adjustRightInd/>
      <w:spacing w:before="0" w:after="120" w:line="200" w:lineRule="exact"/>
      <w:textAlignment w:val="auto"/>
    </w:pPr>
    <w:rPr>
      <w:rFonts w:ascii="Arial" w:hAnsi="Arial"/>
      <w:b/>
      <w:bCs/>
      <w:color w:val="000000"/>
      <w:sz w:val="16"/>
      <w:szCs w:val="16"/>
      <w:lang w:eastAsia="en-GB"/>
    </w:rPr>
  </w:style>
  <w:style w:type="paragraph" w:customStyle="1" w:styleId="zzReporttitle">
    <w:name w:val="zz Report title"/>
    <w:basedOn w:val="Normal"/>
    <w:rsid w:val="00266E09"/>
    <w:pPr>
      <w:keepNext/>
      <w:widowControl w:val="0"/>
      <w:tabs>
        <w:tab w:val="clear" w:pos="567"/>
        <w:tab w:val="clear" w:pos="1134"/>
        <w:tab w:val="clear" w:pos="1701"/>
        <w:tab w:val="clear" w:pos="2268"/>
        <w:tab w:val="clear" w:pos="2835"/>
      </w:tabs>
      <w:overflowPunct/>
      <w:autoSpaceDE/>
      <w:autoSpaceDN/>
      <w:spacing w:before="200" w:after="200" w:line="560" w:lineRule="exact"/>
    </w:pPr>
    <w:rPr>
      <w:rFonts w:ascii="Arial" w:hAnsi="Arial" w:cs="HelveticaNeue-Light"/>
      <w:color w:val="000000"/>
      <w:spacing w:val="-6"/>
      <w:sz w:val="48"/>
      <w:szCs w:val="56"/>
      <w:lang w:eastAsia="en-GB"/>
    </w:rPr>
  </w:style>
  <w:style w:type="paragraph" w:customStyle="1" w:styleId="Figuresubtitle">
    <w:name w:val="Figure sub title"/>
    <w:basedOn w:val="Normal"/>
    <w:rsid w:val="00CC18D3"/>
    <w:pPr>
      <w:tabs>
        <w:tab w:val="clear" w:pos="567"/>
        <w:tab w:val="clear" w:pos="1134"/>
        <w:tab w:val="clear" w:pos="1701"/>
        <w:tab w:val="clear" w:pos="2268"/>
        <w:tab w:val="clear" w:pos="2835"/>
      </w:tabs>
      <w:overflowPunct/>
      <w:autoSpaceDE/>
      <w:autoSpaceDN/>
      <w:adjustRightInd/>
      <w:spacing w:after="120" w:line="220" w:lineRule="exact"/>
      <w:textAlignment w:val="auto"/>
    </w:pPr>
    <w:rPr>
      <w:rFonts w:ascii="Arial" w:hAnsi="Arial"/>
      <w:b/>
      <w:color w:val="000000"/>
      <w:sz w:val="16"/>
      <w:szCs w:val="16"/>
      <w:lang w:eastAsia="en-GB"/>
    </w:rPr>
  </w:style>
  <w:style w:type="paragraph" w:customStyle="1" w:styleId="Figuretest">
    <w:name w:val="Figure test"/>
    <w:basedOn w:val="Normal"/>
    <w:rsid w:val="00CC18D3"/>
    <w:pPr>
      <w:tabs>
        <w:tab w:val="clear" w:pos="567"/>
        <w:tab w:val="clear" w:pos="1134"/>
        <w:tab w:val="clear" w:pos="1701"/>
        <w:tab w:val="clear" w:pos="2268"/>
        <w:tab w:val="clear" w:pos="2835"/>
      </w:tabs>
      <w:overflowPunct/>
      <w:autoSpaceDE/>
      <w:autoSpaceDN/>
      <w:adjustRightInd/>
      <w:spacing w:after="120" w:line="200" w:lineRule="exact"/>
      <w:textAlignment w:val="auto"/>
    </w:pPr>
    <w:rPr>
      <w:rFonts w:ascii="Arial" w:hAnsi="Arial"/>
      <w:color w:val="000000"/>
      <w:sz w:val="16"/>
      <w:szCs w:val="16"/>
      <w:lang w:eastAsia="en-GB"/>
    </w:rPr>
  </w:style>
  <w:style w:type="paragraph" w:customStyle="1" w:styleId="FigureSource">
    <w:name w:val="Figure Source"/>
    <w:uiPriority w:val="21"/>
    <w:qFormat/>
    <w:rsid w:val="00266E09"/>
    <w:pPr>
      <w:spacing w:before="60" w:after="40" w:line="180" w:lineRule="exact"/>
    </w:pPr>
    <w:rPr>
      <w:rFonts w:ascii="Arial" w:hAnsi="Arial"/>
      <w:sz w:val="14"/>
      <w:szCs w:val="16"/>
      <w:lang w:val="en-GB" w:eastAsia="en-GB"/>
    </w:rPr>
  </w:style>
  <w:style w:type="paragraph" w:customStyle="1" w:styleId="Figurenoteheader">
    <w:name w:val="Figure note header"/>
    <w:rsid w:val="00266E09"/>
    <w:pPr>
      <w:spacing w:before="120" w:after="120" w:line="180" w:lineRule="exact"/>
    </w:pPr>
    <w:rPr>
      <w:rFonts w:ascii="Arial" w:hAnsi="Arial"/>
      <w:b/>
      <w:sz w:val="14"/>
      <w:szCs w:val="16"/>
      <w:lang w:val="en-GB" w:eastAsia="en-GB"/>
    </w:rPr>
  </w:style>
  <w:style w:type="paragraph" w:customStyle="1" w:styleId="Figurenotetext">
    <w:name w:val="Figure note text"/>
    <w:rsid w:val="00266E09"/>
    <w:pPr>
      <w:spacing w:before="120" w:after="120" w:line="180" w:lineRule="exact"/>
    </w:pPr>
    <w:rPr>
      <w:rFonts w:ascii="Arial" w:hAnsi="Arial"/>
      <w:sz w:val="14"/>
      <w:szCs w:val="16"/>
      <w:lang w:val="en-GB" w:eastAsia="en-GB"/>
    </w:rPr>
  </w:style>
  <w:style w:type="table" w:customStyle="1" w:styleId="BasicNAOTable">
    <w:name w:val="Basic NAO Table"/>
    <w:basedOn w:val="TableNormal"/>
    <w:rsid w:val="00266E09"/>
    <w:pPr>
      <w:spacing w:after="170" w:line="280" w:lineRule="exact"/>
    </w:pPr>
    <w:rPr>
      <w:rFonts w:ascii="Arial" w:hAnsi="Arial"/>
      <w:color w:val="000000"/>
      <w:sz w:val="16"/>
      <w:lang w:val="en-GB" w:eastAsia="en-GB"/>
    </w:rPr>
    <w:tblPr>
      <w:tblBorders>
        <w:bottom w:val="single" w:sz="4" w:space="0" w:color="auto"/>
      </w:tblBorders>
    </w:tblPr>
    <w:tblStylePr w:type="firstRow">
      <w:rPr>
        <w:rFonts w:ascii="Courier New" w:hAnsi="Courier New"/>
        <w:b/>
        <w:sz w:val="20"/>
      </w:rPr>
      <w:tblPr/>
      <w:tcPr>
        <w:tcBorders>
          <w:top w:val="single" w:sz="4" w:space="0" w:color="auto"/>
        </w:tcBorders>
      </w:tcPr>
    </w:tblStylePr>
    <w:tblStylePr w:type="lastRow">
      <w:rPr>
        <w:rFonts w:ascii="Courier New" w:hAnsi="Courier New"/>
      </w:rPr>
      <w:tblPr/>
      <w:tcPr>
        <w:tcBorders>
          <w:bottom w:val="single" w:sz="4" w:space="0" w:color="auto"/>
        </w:tcBorders>
      </w:tcPr>
    </w:tblStylePr>
  </w:style>
  <w:style w:type="character" w:customStyle="1" w:styleId="QuotetextChar">
    <w:name w:val="Quote text Char"/>
    <w:link w:val="Quotetext"/>
    <w:rsid w:val="00266E09"/>
    <w:rPr>
      <w:rFonts w:ascii="Arial" w:hAnsi="Arial" w:cs="Arial"/>
      <w:i/>
      <w:color w:val="000000"/>
      <w:szCs w:val="24"/>
      <w:lang w:val="en-GB" w:eastAsia="en-US"/>
    </w:rPr>
  </w:style>
  <w:style w:type="character" w:styleId="CommentReference">
    <w:name w:val="annotation reference"/>
    <w:uiPriority w:val="99"/>
    <w:semiHidden/>
    <w:rsid w:val="00266E09"/>
    <w:rPr>
      <w:sz w:val="16"/>
      <w:szCs w:val="16"/>
    </w:rPr>
  </w:style>
  <w:style w:type="paragraph" w:styleId="CommentText">
    <w:name w:val="annotation text"/>
    <w:basedOn w:val="Normal"/>
    <w:link w:val="CommentTextChar"/>
    <w:rsid w:val="00266E09"/>
    <w:pPr>
      <w:widowControl w:val="0"/>
      <w:tabs>
        <w:tab w:val="clear" w:pos="567"/>
        <w:tab w:val="clear" w:pos="1134"/>
        <w:tab w:val="clear" w:pos="1701"/>
        <w:tab w:val="clear" w:pos="2268"/>
        <w:tab w:val="clear" w:pos="2835"/>
      </w:tabs>
      <w:overflowPunct/>
      <w:autoSpaceDE/>
      <w:autoSpaceDN/>
      <w:spacing w:before="0" w:after="120" w:line="276" w:lineRule="auto"/>
    </w:pPr>
    <w:rPr>
      <w:rFonts w:ascii="Arial" w:hAnsi="Arial" w:cs="Arial"/>
      <w:sz w:val="20"/>
    </w:rPr>
  </w:style>
  <w:style w:type="character" w:customStyle="1" w:styleId="CommentTextChar">
    <w:name w:val="Comment Text Char"/>
    <w:basedOn w:val="DefaultParagraphFont"/>
    <w:link w:val="CommentText"/>
    <w:rsid w:val="00266E09"/>
    <w:rPr>
      <w:rFonts w:ascii="Arial" w:hAnsi="Arial" w:cs="Arial"/>
      <w:lang w:val="en-GB" w:eastAsia="en-US"/>
    </w:rPr>
  </w:style>
  <w:style w:type="paragraph" w:styleId="CommentSubject">
    <w:name w:val="annotation subject"/>
    <w:basedOn w:val="CommentText"/>
    <w:next w:val="CommentText"/>
    <w:link w:val="CommentSubjectChar"/>
    <w:semiHidden/>
    <w:rsid w:val="00266E09"/>
    <w:rPr>
      <w:b/>
      <w:bCs/>
    </w:rPr>
  </w:style>
  <w:style w:type="character" w:customStyle="1" w:styleId="CommentSubjectChar">
    <w:name w:val="Comment Subject Char"/>
    <w:basedOn w:val="CommentTextChar"/>
    <w:link w:val="CommentSubject"/>
    <w:semiHidden/>
    <w:rsid w:val="00266E09"/>
    <w:rPr>
      <w:rFonts w:ascii="Arial" w:hAnsi="Arial" w:cs="Arial"/>
      <w:b/>
      <w:bCs/>
      <w:lang w:val="en-GB" w:eastAsia="en-US"/>
    </w:rPr>
  </w:style>
  <w:style w:type="character" w:customStyle="1" w:styleId="Heading2Char">
    <w:name w:val="Heading 2 Char"/>
    <w:link w:val="Heading2"/>
    <w:rsid w:val="00F80D98"/>
    <w:rPr>
      <w:rFonts w:ascii="Calibri" w:hAnsi="Calibri"/>
      <w:b/>
      <w:sz w:val="24"/>
      <w:lang w:val="en-GB" w:eastAsia="en-US"/>
    </w:rPr>
  </w:style>
  <w:style w:type="paragraph" w:customStyle="1" w:styleId="StyleFigurenoteheaderJustified">
    <w:name w:val="Style Figure note header + Justified"/>
    <w:basedOn w:val="Figurenoteheader"/>
    <w:rsid w:val="00266E09"/>
    <w:rPr>
      <w:bCs/>
      <w:szCs w:val="20"/>
    </w:rPr>
  </w:style>
  <w:style w:type="character" w:customStyle="1" w:styleId="CaptionK2Char">
    <w:name w:val="CaptionK2 Char"/>
    <w:link w:val="CaptionK2"/>
    <w:rsid w:val="00266E09"/>
    <w:rPr>
      <w:rFonts w:ascii="Arial" w:hAnsi="Arial" w:cs="Arial"/>
      <w:bCs/>
      <w:color w:val="000000"/>
      <w:sz w:val="24"/>
      <w:szCs w:val="24"/>
      <w:lang w:val="en-GB" w:eastAsia="en-US"/>
    </w:rPr>
  </w:style>
  <w:style w:type="paragraph" w:customStyle="1" w:styleId="StyleCaptionK2">
    <w:name w:val="Style CaptionK2 +"/>
    <w:basedOn w:val="Normal"/>
    <w:rsid w:val="00266E09"/>
    <w:pPr>
      <w:tabs>
        <w:tab w:val="clear" w:pos="567"/>
        <w:tab w:val="clear" w:pos="1134"/>
        <w:tab w:val="clear" w:pos="1701"/>
        <w:tab w:val="clear" w:pos="2268"/>
        <w:tab w:val="clear" w:pos="2835"/>
        <w:tab w:val="left" w:pos="454"/>
      </w:tabs>
      <w:overflowPunct/>
      <w:autoSpaceDE/>
      <w:autoSpaceDN/>
      <w:spacing w:after="170" w:line="280" w:lineRule="exact"/>
    </w:pPr>
    <w:rPr>
      <w:rFonts w:ascii="Arial" w:hAnsi="Arial"/>
      <w:bCs/>
      <w:color w:val="000000"/>
    </w:rPr>
  </w:style>
  <w:style w:type="paragraph" w:customStyle="1" w:styleId="StyleFigureSource">
    <w:name w:val="Style Figure Source"/>
    <w:basedOn w:val="FigureSource"/>
    <w:rsid w:val="00266E09"/>
    <w:rPr>
      <w:i/>
      <w:szCs w:val="20"/>
    </w:rPr>
  </w:style>
  <w:style w:type="paragraph" w:customStyle="1" w:styleId="NOTES">
    <w:name w:val="NOTES"/>
    <w:uiPriority w:val="22"/>
    <w:qFormat/>
    <w:rsid w:val="00266E09"/>
    <w:pPr>
      <w:spacing w:before="120" w:line="180" w:lineRule="exact"/>
    </w:pPr>
    <w:rPr>
      <w:rFonts w:ascii="Arial" w:hAnsi="Arial"/>
      <w:b/>
      <w:sz w:val="14"/>
      <w:szCs w:val="16"/>
      <w:lang w:val="en-GB" w:eastAsia="en-GB"/>
    </w:rPr>
  </w:style>
  <w:style w:type="numbering" w:customStyle="1" w:styleId="Numberednotes">
    <w:name w:val="Numbered notes"/>
    <w:uiPriority w:val="99"/>
    <w:rsid w:val="00266E09"/>
    <w:pPr>
      <w:numPr>
        <w:numId w:val="30"/>
      </w:numPr>
    </w:pPr>
  </w:style>
  <w:style w:type="paragraph" w:customStyle="1" w:styleId="NumberedNotes1">
    <w:name w:val="Numbered Notes"/>
    <w:basedOn w:val="BodyText0"/>
    <w:uiPriority w:val="23"/>
    <w:qFormat/>
    <w:rsid w:val="00266E09"/>
    <w:pPr>
      <w:numPr>
        <w:numId w:val="32"/>
      </w:numPr>
      <w:spacing w:after="0" w:line="220" w:lineRule="exact"/>
    </w:pPr>
    <w:rPr>
      <w:color w:val="000000"/>
      <w:sz w:val="14"/>
    </w:rPr>
  </w:style>
  <w:style w:type="paragraph" w:customStyle="1" w:styleId="TextReplace">
    <w:name w:val="TextReplace"/>
    <w:basedOn w:val="Normal"/>
    <w:rsid w:val="00266E09"/>
    <w:pPr>
      <w:widowControl w:val="0"/>
      <w:tabs>
        <w:tab w:val="clear" w:pos="567"/>
        <w:tab w:val="clear" w:pos="1134"/>
        <w:tab w:val="clear" w:pos="1701"/>
        <w:tab w:val="clear" w:pos="2268"/>
        <w:tab w:val="clear" w:pos="2835"/>
      </w:tabs>
      <w:overflowPunct/>
      <w:autoSpaceDE/>
      <w:autoSpaceDN/>
      <w:spacing w:before="0" w:after="120"/>
    </w:pPr>
    <w:rPr>
      <w:rFonts w:ascii="Arial" w:hAnsi="Arial"/>
      <w:sz w:val="12"/>
    </w:rPr>
  </w:style>
  <w:style w:type="paragraph" w:customStyle="1" w:styleId="StyleNOTESJustified">
    <w:name w:val="Style NOTES + Justified"/>
    <w:basedOn w:val="NOTES"/>
    <w:rsid w:val="00266E09"/>
    <w:rPr>
      <w:bCs/>
      <w:szCs w:val="20"/>
    </w:rPr>
  </w:style>
  <w:style w:type="paragraph" w:customStyle="1" w:styleId="StyleStyleCaptionK2">
    <w:name w:val="Style Style CaptionK2 + +"/>
    <w:basedOn w:val="StyleCaptionK2"/>
    <w:rsid w:val="00266E09"/>
    <w:rPr>
      <w:b/>
      <w:bCs w:val="0"/>
    </w:rPr>
  </w:style>
  <w:style w:type="paragraph" w:customStyle="1" w:styleId="Style9ptJustifiedBefore6ptAfter6pt1">
    <w:name w:val="Style 9 pt Justified Before:  6 pt After:  6 pt1"/>
    <w:basedOn w:val="Normal"/>
    <w:rsid w:val="00266E09"/>
    <w:pPr>
      <w:widowControl w:val="0"/>
      <w:tabs>
        <w:tab w:val="clear" w:pos="567"/>
        <w:tab w:val="clear" w:pos="1134"/>
        <w:tab w:val="clear" w:pos="1701"/>
        <w:tab w:val="clear" w:pos="2268"/>
        <w:tab w:val="clear" w:pos="2835"/>
      </w:tabs>
      <w:overflowPunct/>
      <w:autoSpaceDE/>
      <w:autoSpaceDN/>
      <w:spacing w:before="0" w:after="120" w:line="276" w:lineRule="auto"/>
      <w:jc w:val="both"/>
    </w:pPr>
    <w:rPr>
      <w:rFonts w:ascii="Arial" w:hAnsi="Arial"/>
      <w:sz w:val="18"/>
    </w:rPr>
  </w:style>
  <w:style w:type="character" w:customStyle="1" w:styleId="Heading1Char">
    <w:name w:val="Heading 1 Char"/>
    <w:link w:val="Heading1"/>
    <w:uiPriority w:val="10"/>
    <w:rsid w:val="00EB3C26"/>
    <w:rPr>
      <w:rFonts w:ascii="Calibri" w:hAnsi="Calibri"/>
      <w:sz w:val="32"/>
      <w:lang w:val="en-GB" w:eastAsia="en-US"/>
    </w:rPr>
  </w:style>
  <w:style w:type="paragraph" w:customStyle="1" w:styleId="LandscapeHeader">
    <w:name w:val="Landscape Header"/>
    <w:basedOn w:val="Heading1"/>
    <w:next w:val="BodyText0"/>
    <w:rsid w:val="00266E09"/>
    <w:pPr>
      <w:keepLines w:val="0"/>
      <w:pageBreakBefore/>
      <w:tabs>
        <w:tab w:val="clear" w:pos="567"/>
        <w:tab w:val="clear" w:pos="774"/>
        <w:tab w:val="clear" w:pos="1134"/>
        <w:tab w:val="clear" w:pos="1701"/>
        <w:tab w:val="clear" w:pos="2268"/>
        <w:tab w:val="clear" w:pos="2835"/>
      </w:tabs>
      <w:overflowPunct/>
      <w:autoSpaceDE/>
      <w:autoSpaceDN/>
      <w:adjustRightInd/>
      <w:spacing w:before="0" w:after="240" w:line="560" w:lineRule="exact"/>
      <w:ind w:left="0" w:firstLine="0"/>
      <w:textAlignment w:val="auto"/>
    </w:pPr>
    <w:rPr>
      <w:rFonts w:ascii="Arial" w:hAnsi="Arial" w:cs="HelveticaNeue-Light"/>
      <w:b/>
      <w:color w:val="000000"/>
      <w:spacing w:val="-6"/>
      <w:sz w:val="48"/>
      <w:szCs w:val="56"/>
    </w:rPr>
  </w:style>
  <w:style w:type="paragraph" w:customStyle="1" w:styleId="FigureBullets">
    <w:name w:val="Figure Bullets"/>
    <w:basedOn w:val="Bullet"/>
    <w:rsid w:val="00266E09"/>
    <w:pPr>
      <w:tabs>
        <w:tab w:val="clear" w:pos="499"/>
        <w:tab w:val="num" w:pos="340"/>
      </w:tabs>
      <w:spacing w:after="0" w:line="220" w:lineRule="exact"/>
      <w:ind w:left="340" w:hanging="340"/>
    </w:pPr>
    <w:rPr>
      <w:sz w:val="16"/>
      <w:szCs w:val="16"/>
    </w:rPr>
  </w:style>
  <w:style w:type="paragraph" w:customStyle="1" w:styleId="zzDepartmentname">
    <w:name w:val="zz Department name"/>
    <w:rsid w:val="00266E09"/>
    <w:pPr>
      <w:pBdr>
        <w:top w:val="single" w:sz="4" w:space="1" w:color="auto"/>
      </w:pBdr>
      <w:spacing w:before="4000" w:after="120" w:line="276" w:lineRule="auto"/>
    </w:pPr>
    <w:rPr>
      <w:rFonts w:ascii="Arial" w:hAnsi="Arial" w:cs="Arial"/>
      <w:b/>
      <w:position w:val="-36"/>
      <w:sz w:val="28"/>
      <w:szCs w:val="28"/>
      <w:lang w:val="en-GB" w:eastAsia="en-GB"/>
    </w:rPr>
  </w:style>
  <w:style w:type="paragraph" w:customStyle="1" w:styleId="zzSecurity">
    <w:name w:val="zzSecurity"/>
    <w:basedOn w:val="image"/>
    <w:rsid w:val="00266E09"/>
    <w:pPr>
      <w:spacing w:after="0"/>
    </w:pPr>
    <w:rPr>
      <w:sz w:val="16"/>
      <w:szCs w:val="16"/>
    </w:rPr>
  </w:style>
  <w:style w:type="paragraph" w:styleId="BodyText0">
    <w:name w:val="Body Text"/>
    <w:basedOn w:val="Normal"/>
    <w:link w:val="BodyTextChar"/>
    <w:qFormat/>
    <w:rsid w:val="00266E09"/>
    <w:pPr>
      <w:widowControl w:val="0"/>
      <w:tabs>
        <w:tab w:val="clear" w:pos="567"/>
        <w:tab w:val="clear" w:pos="1134"/>
        <w:tab w:val="clear" w:pos="1701"/>
        <w:tab w:val="clear" w:pos="2268"/>
        <w:tab w:val="clear" w:pos="2835"/>
      </w:tabs>
      <w:overflowPunct/>
      <w:autoSpaceDE/>
      <w:autoSpaceDN/>
      <w:spacing w:before="0" w:after="120" w:line="276" w:lineRule="auto"/>
    </w:pPr>
    <w:rPr>
      <w:rFonts w:ascii="Arial" w:hAnsi="Arial" w:cs="Arial"/>
      <w:sz w:val="20"/>
      <w:szCs w:val="24"/>
    </w:rPr>
  </w:style>
  <w:style w:type="character" w:customStyle="1" w:styleId="BodyTextChar">
    <w:name w:val="Body Text Char"/>
    <w:basedOn w:val="DefaultParagraphFont"/>
    <w:link w:val="BodyText0"/>
    <w:rsid w:val="00266E09"/>
    <w:rPr>
      <w:rFonts w:ascii="Arial" w:hAnsi="Arial" w:cs="Arial"/>
      <w:szCs w:val="24"/>
      <w:lang w:val="en-GB" w:eastAsia="en-US"/>
    </w:rPr>
  </w:style>
  <w:style w:type="paragraph" w:styleId="Salutation">
    <w:name w:val="Salutation"/>
    <w:basedOn w:val="Normal"/>
    <w:next w:val="Normal"/>
    <w:link w:val="SalutationChar"/>
    <w:rsid w:val="00266E09"/>
    <w:pPr>
      <w:widowControl w:val="0"/>
      <w:tabs>
        <w:tab w:val="clear" w:pos="567"/>
        <w:tab w:val="clear" w:pos="1134"/>
        <w:tab w:val="clear" w:pos="1701"/>
        <w:tab w:val="clear" w:pos="2268"/>
        <w:tab w:val="clear" w:pos="2835"/>
      </w:tabs>
      <w:overflowPunct/>
      <w:autoSpaceDE/>
      <w:autoSpaceDN/>
      <w:spacing w:before="0" w:after="120" w:line="276" w:lineRule="auto"/>
    </w:pPr>
    <w:rPr>
      <w:rFonts w:ascii="Arial" w:hAnsi="Arial" w:cs="Arial"/>
      <w:sz w:val="20"/>
      <w:szCs w:val="24"/>
    </w:rPr>
  </w:style>
  <w:style w:type="character" w:customStyle="1" w:styleId="SalutationChar">
    <w:name w:val="Salutation Char"/>
    <w:basedOn w:val="DefaultParagraphFont"/>
    <w:link w:val="Salutation"/>
    <w:rsid w:val="00266E09"/>
    <w:rPr>
      <w:rFonts w:ascii="Arial" w:hAnsi="Arial" w:cs="Arial"/>
      <w:szCs w:val="24"/>
      <w:lang w:val="en-GB" w:eastAsia="en-US"/>
    </w:rPr>
  </w:style>
  <w:style w:type="paragraph" w:styleId="BodyText2">
    <w:name w:val="Body Text 2"/>
    <w:basedOn w:val="Normal"/>
    <w:link w:val="BodyText2Char"/>
    <w:rsid w:val="00266E09"/>
    <w:pPr>
      <w:widowControl w:val="0"/>
      <w:tabs>
        <w:tab w:val="clear" w:pos="567"/>
        <w:tab w:val="clear" w:pos="1134"/>
        <w:tab w:val="clear" w:pos="1701"/>
        <w:tab w:val="clear" w:pos="2268"/>
        <w:tab w:val="clear" w:pos="2835"/>
      </w:tabs>
      <w:overflowPunct/>
      <w:autoSpaceDE/>
      <w:autoSpaceDN/>
      <w:spacing w:before="0" w:after="120" w:line="480" w:lineRule="auto"/>
    </w:pPr>
    <w:rPr>
      <w:rFonts w:ascii="Arial" w:hAnsi="Arial" w:cs="Arial"/>
      <w:sz w:val="20"/>
      <w:szCs w:val="24"/>
    </w:rPr>
  </w:style>
  <w:style w:type="character" w:customStyle="1" w:styleId="BodyText2Char">
    <w:name w:val="Body Text 2 Char"/>
    <w:basedOn w:val="DefaultParagraphFont"/>
    <w:link w:val="BodyText2"/>
    <w:rsid w:val="00266E09"/>
    <w:rPr>
      <w:rFonts w:ascii="Arial" w:hAnsi="Arial" w:cs="Arial"/>
      <w:szCs w:val="24"/>
      <w:lang w:val="en-GB" w:eastAsia="en-US"/>
    </w:rPr>
  </w:style>
  <w:style w:type="paragraph" w:customStyle="1" w:styleId="Figurealphabet">
    <w:name w:val="Figure alphabet"/>
    <w:basedOn w:val="FigureBullets"/>
    <w:rsid w:val="00266E09"/>
    <w:pPr>
      <w:numPr>
        <w:numId w:val="28"/>
      </w:numPr>
      <w:spacing w:line="240" w:lineRule="auto"/>
    </w:pPr>
  </w:style>
  <w:style w:type="paragraph" w:customStyle="1" w:styleId="Figurenumbers">
    <w:name w:val="Figure numbers"/>
    <w:basedOn w:val="Figurealphabet"/>
    <w:rsid w:val="00266E09"/>
    <w:pPr>
      <w:numPr>
        <w:numId w:val="29"/>
      </w:numPr>
      <w:spacing w:line="220" w:lineRule="exact"/>
    </w:pPr>
  </w:style>
  <w:style w:type="table" w:styleId="LightList">
    <w:name w:val="Light List"/>
    <w:basedOn w:val="TableNormal"/>
    <w:uiPriority w:val="61"/>
    <w:rsid w:val="00266E09"/>
    <w:pPr>
      <w:spacing w:after="120" w:line="276" w:lineRule="auto"/>
    </w:pPr>
    <w:rPr>
      <w:rFonts w:ascii="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eyFactsStatistcLarge">
    <w:name w:val="Key Facts Statistc Large"/>
    <w:basedOn w:val="BodyText0"/>
    <w:next w:val="KeyFactsLargefollowon"/>
    <w:qFormat/>
    <w:locked/>
    <w:rsid w:val="00266E09"/>
    <w:rPr>
      <w:b/>
      <w:color w:val="000000"/>
      <w:sz w:val="48"/>
    </w:rPr>
  </w:style>
  <w:style w:type="paragraph" w:customStyle="1" w:styleId="KeyFactsLargefollowon">
    <w:name w:val="Key Facts Large follow on"/>
    <w:basedOn w:val="BodyText0"/>
    <w:qFormat/>
    <w:rsid w:val="00266E09"/>
    <w:rPr>
      <w:color w:val="000000"/>
      <w:sz w:val="15"/>
    </w:rPr>
  </w:style>
  <w:style w:type="paragraph" w:customStyle="1" w:styleId="KeyFactsStatisticSmall">
    <w:name w:val="Key Facts Statistic Small"/>
    <w:basedOn w:val="BodyText0"/>
    <w:qFormat/>
    <w:rsid w:val="00266E09"/>
    <w:pPr>
      <w:spacing w:before="60" w:after="60" w:line="280" w:lineRule="exact"/>
    </w:pPr>
    <w:rPr>
      <w:b/>
      <w:color w:val="000000"/>
    </w:rPr>
  </w:style>
  <w:style w:type="paragraph" w:customStyle="1" w:styleId="KeyFactsSmallfollowon">
    <w:name w:val="Key Facts Small follow on"/>
    <w:basedOn w:val="BodyText0"/>
    <w:qFormat/>
    <w:rsid w:val="00266E09"/>
    <w:pPr>
      <w:spacing w:before="60" w:after="60" w:line="280" w:lineRule="exact"/>
    </w:pPr>
    <w:rPr>
      <w:color w:val="000000"/>
    </w:rPr>
  </w:style>
  <w:style w:type="paragraph" w:customStyle="1" w:styleId="KeyfactsHeading">
    <w:name w:val="Key facts Heading"/>
    <w:basedOn w:val="BodyText0"/>
    <w:next w:val="Keyfactsfollowon"/>
    <w:qFormat/>
    <w:rsid w:val="00266E09"/>
    <w:rPr>
      <w:b/>
      <w:color w:val="000000"/>
      <w:sz w:val="48"/>
    </w:rPr>
  </w:style>
  <w:style w:type="paragraph" w:customStyle="1" w:styleId="Keyfactsfollowon">
    <w:name w:val="Key facts follow on"/>
    <w:basedOn w:val="BodyText0"/>
    <w:qFormat/>
    <w:rsid w:val="00266E09"/>
    <w:rPr>
      <w:color w:val="000000"/>
      <w:sz w:val="15"/>
    </w:rPr>
  </w:style>
  <w:style w:type="character" w:customStyle="1" w:styleId="NotBold">
    <w:name w:val="NotBold"/>
    <w:basedOn w:val="DefaultParagraphFont"/>
    <w:uiPriority w:val="1"/>
    <w:qFormat/>
    <w:rsid w:val="00266E09"/>
  </w:style>
  <w:style w:type="character" w:customStyle="1" w:styleId="NotItalic">
    <w:name w:val="NotItalic"/>
    <w:basedOn w:val="Italic"/>
    <w:uiPriority w:val="1"/>
    <w:qFormat/>
    <w:rsid w:val="00266E09"/>
    <w:rPr>
      <w:b w:val="0"/>
      <w:i w:val="0"/>
      <w:iCs/>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uiPriority w:val="34"/>
    <w:qFormat/>
    <w:rsid w:val="00266E09"/>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rPr>
  </w:style>
  <w:style w:type="character" w:styleId="Strong">
    <w:name w:val="Strong"/>
    <w:basedOn w:val="DefaultParagraphFont"/>
    <w:uiPriority w:val="22"/>
    <w:qFormat/>
    <w:rsid w:val="00266E09"/>
    <w:rPr>
      <w:b/>
      <w:bCs/>
    </w:rPr>
  </w:style>
  <w:style w:type="paragraph" w:styleId="Revision">
    <w:name w:val="Revision"/>
    <w:hidden/>
    <w:uiPriority w:val="99"/>
    <w:semiHidden/>
    <w:rsid w:val="00266E09"/>
    <w:rPr>
      <w:rFonts w:ascii="Arial" w:hAnsi="Arial" w:cs="Arial"/>
      <w:szCs w:val="24"/>
      <w:lang w:val="en-GB" w:eastAsia="en-US"/>
    </w:rPr>
  </w:style>
  <w:style w:type="character" w:styleId="Mention">
    <w:name w:val="Mention"/>
    <w:basedOn w:val="DefaultParagraphFont"/>
    <w:uiPriority w:val="99"/>
    <w:unhideWhenUsed/>
    <w:rsid w:val="00266E09"/>
    <w:rPr>
      <w:color w:val="2B579A"/>
      <w:shd w:val="clear" w:color="auto" w:fill="E1DFDD"/>
    </w:rPr>
  </w:style>
  <w:style w:type="character" w:styleId="Emphasis">
    <w:name w:val="Emphasis"/>
    <w:basedOn w:val="DefaultParagraphFont"/>
    <w:qFormat/>
    <w:rsid w:val="00266E09"/>
    <w:rPr>
      <w:i/>
      <w:iCs/>
    </w:rPr>
  </w:style>
  <w:style w:type="paragraph" w:styleId="z-TopofForm">
    <w:name w:val="HTML Top of Form"/>
    <w:basedOn w:val="Normal"/>
    <w:next w:val="Normal"/>
    <w:link w:val="z-TopofFormChar"/>
    <w:hidden/>
    <w:uiPriority w:val="99"/>
    <w:semiHidden/>
    <w:unhideWhenUsed/>
    <w:rsid w:val="00266E09"/>
    <w:pPr>
      <w:pBdr>
        <w:bottom w:val="single" w:sz="6" w:space="1" w:color="auto"/>
      </w:pBdr>
      <w:tabs>
        <w:tab w:val="clear" w:pos="567"/>
        <w:tab w:val="clear" w:pos="1134"/>
        <w:tab w:val="clear" w:pos="1701"/>
        <w:tab w:val="clear" w:pos="2268"/>
        <w:tab w:val="clear" w:pos="2835"/>
      </w:tabs>
      <w:overflowPunct/>
      <w:autoSpaceDE/>
      <w:autoSpaceDN/>
      <w:adjustRightInd/>
      <w:spacing w:before="0"/>
      <w:jc w:val="center"/>
      <w:textAlignment w:val="auto"/>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266E09"/>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266E09"/>
    <w:pPr>
      <w:pBdr>
        <w:top w:val="single" w:sz="6" w:space="1" w:color="auto"/>
      </w:pBdr>
      <w:tabs>
        <w:tab w:val="clear" w:pos="567"/>
        <w:tab w:val="clear" w:pos="1134"/>
        <w:tab w:val="clear" w:pos="1701"/>
        <w:tab w:val="clear" w:pos="2268"/>
        <w:tab w:val="clear" w:pos="2835"/>
      </w:tabs>
      <w:overflowPunct/>
      <w:autoSpaceDE/>
      <w:autoSpaceDN/>
      <w:adjustRightInd/>
      <w:spacing w:before="0"/>
      <w:jc w:val="center"/>
      <w:textAlignment w:val="auto"/>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66E09"/>
    <w:rPr>
      <w:rFonts w:ascii="Arial" w:hAnsi="Arial" w:cs="Arial"/>
      <w:vanish/>
      <w:sz w:val="16"/>
      <w:szCs w:val="16"/>
      <w:lang w:val="en-GB" w:eastAsia="en-GB"/>
    </w:rPr>
  </w:style>
  <w:style w:type="paragraph" w:styleId="NormalWeb">
    <w:name w:val="Normal (Web)"/>
    <w:basedOn w:val="Normal"/>
    <w:uiPriority w:val="99"/>
    <w:semiHidden/>
    <w:unhideWhenUsed/>
    <w:rsid w:val="00266E09"/>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Date">
    <w:name w:val="Date"/>
    <w:basedOn w:val="Normal"/>
    <w:next w:val="Normal"/>
    <w:link w:val="DateChar"/>
    <w:rsid w:val="003D7FF0"/>
  </w:style>
  <w:style w:type="character" w:customStyle="1" w:styleId="DateChar">
    <w:name w:val="Date Char"/>
    <w:basedOn w:val="DefaultParagraphFont"/>
    <w:link w:val="Date"/>
    <w:rsid w:val="003D7FF0"/>
    <w:rPr>
      <w:rFonts w:ascii="Calibri" w:hAnsi="Calibri"/>
      <w:sz w:val="24"/>
      <w:lang w:val="en-GB" w:eastAsia="en-US"/>
    </w:rPr>
  </w:style>
  <w:style w:type="character" w:customStyle="1" w:styleId="Heading3Char">
    <w:name w:val="Heading 3 Char"/>
    <w:basedOn w:val="DefaultParagraphFont"/>
    <w:link w:val="Heading3"/>
    <w:uiPriority w:val="12"/>
    <w:rsid w:val="00F912F4"/>
    <w:rPr>
      <w:rFonts w:ascii="Calibri" w:hAnsi="Calibri"/>
      <w:i/>
      <w:sz w:val="24"/>
      <w:lang w:val="en-GB" w:eastAsia="en-US"/>
    </w:rPr>
  </w:style>
  <w:style w:type="character" w:customStyle="1" w:styleId="Heading4Char">
    <w:name w:val="Heading 4 Char"/>
    <w:basedOn w:val="DefaultParagraphFont"/>
    <w:link w:val="Heading4"/>
    <w:rsid w:val="00F912F4"/>
    <w:rPr>
      <w:rFonts w:ascii="Calibri" w:hAnsi="Calibri"/>
      <w:i/>
      <w:sz w:val="24"/>
      <w:lang w:val="en-GB" w:eastAsia="en-US"/>
    </w:rPr>
  </w:style>
  <w:style w:type="character" w:customStyle="1" w:styleId="Heading5Char">
    <w:name w:val="Heading 5 Char"/>
    <w:basedOn w:val="DefaultParagraphFont"/>
    <w:link w:val="Heading5"/>
    <w:rsid w:val="00F912F4"/>
    <w:rPr>
      <w:rFonts w:ascii="Calibri" w:hAnsi="Calibri"/>
      <w:i/>
      <w:sz w:val="24"/>
      <w:lang w:val="en-GB" w:eastAsia="en-US"/>
    </w:rPr>
  </w:style>
  <w:style w:type="character" w:customStyle="1" w:styleId="Heading6Char">
    <w:name w:val="Heading 6 Char"/>
    <w:basedOn w:val="DefaultParagraphFont"/>
    <w:link w:val="Heading6"/>
    <w:rsid w:val="00F912F4"/>
    <w:rPr>
      <w:rFonts w:ascii="Calibri" w:hAnsi="Calibri"/>
      <w:i/>
      <w:sz w:val="24"/>
      <w:lang w:val="en-GB" w:eastAsia="en-US"/>
    </w:rPr>
  </w:style>
  <w:style w:type="character" w:customStyle="1" w:styleId="Heading7Char">
    <w:name w:val="Heading 7 Char"/>
    <w:basedOn w:val="DefaultParagraphFont"/>
    <w:link w:val="Heading7"/>
    <w:rsid w:val="00F912F4"/>
    <w:rPr>
      <w:rFonts w:ascii="Calibri" w:hAnsi="Calibri"/>
      <w:i/>
      <w:sz w:val="24"/>
      <w:lang w:val="en-GB" w:eastAsia="en-US"/>
    </w:rPr>
  </w:style>
  <w:style w:type="character" w:customStyle="1" w:styleId="Heading8Char">
    <w:name w:val="Heading 8 Char"/>
    <w:basedOn w:val="DefaultParagraphFont"/>
    <w:link w:val="Heading8"/>
    <w:rsid w:val="00F912F4"/>
    <w:rPr>
      <w:rFonts w:ascii="Calibri" w:hAnsi="Calibri"/>
      <w:i/>
      <w:sz w:val="24"/>
      <w:lang w:val="en-GB" w:eastAsia="en-US"/>
    </w:rPr>
  </w:style>
  <w:style w:type="character" w:customStyle="1" w:styleId="Heading9Char">
    <w:name w:val="Heading 9 Char"/>
    <w:basedOn w:val="DefaultParagraphFont"/>
    <w:link w:val="Heading9"/>
    <w:rsid w:val="00F912F4"/>
    <w:rPr>
      <w:rFonts w:ascii="Calibri" w:hAnsi="Calibri"/>
      <w:i/>
      <w:sz w:val="24"/>
      <w:lang w:val="en-GB" w:eastAsia="en-US"/>
    </w:rPr>
  </w:style>
  <w:style w:type="paragraph" w:styleId="Title">
    <w:name w:val="Title"/>
    <w:basedOn w:val="Normal"/>
    <w:next w:val="Normal"/>
    <w:link w:val="TitleChar"/>
    <w:uiPriority w:val="10"/>
    <w:qFormat/>
    <w:rsid w:val="00F912F4"/>
    <w:pPr>
      <w:spacing w:after="80" w:line="280" w:lineRule="exact"/>
      <w:contextualSpacing/>
      <w:jc w:val="both"/>
    </w:pPr>
    <w:rPr>
      <w:rFonts w:asciiTheme="majorHAnsi" w:eastAsiaTheme="majorEastAsia" w:hAnsiTheme="majorHAnsi" w:cstheme="majorBidi"/>
      <w:spacing w:val="-10"/>
      <w:kern w:val="28"/>
      <w:sz w:val="56"/>
      <w:szCs w:val="56"/>
      <w:lang w:val="en-US" w:eastAsia="zh-CN"/>
    </w:rPr>
  </w:style>
  <w:style w:type="character" w:customStyle="1" w:styleId="TitleChar">
    <w:name w:val="Title Char"/>
    <w:basedOn w:val="DefaultParagraphFont"/>
    <w:link w:val="Title"/>
    <w:uiPriority w:val="10"/>
    <w:rsid w:val="00F912F4"/>
    <w:rPr>
      <w:rFonts w:asciiTheme="majorHAnsi" w:eastAsiaTheme="majorEastAsia" w:hAnsiTheme="majorHAnsi" w:cstheme="majorBidi"/>
      <w:spacing w:val="-10"/>
      <w:kern w:val="28"/>
      <w:sz w:val="56"/>
      <w:szCs w:val="56"/>
    </w:rPr>
  </w:style>
  <w:style w:type="paragraph" w:styleId="Subtitle0">
    <w:name w:val="Subtitle"/>
    <w:basedOn w:val="Normal"/>
    <w:next w:val="Normal"/>
    <w:link w:val="SubtitleChar"/>
    <w:uiPriority w:val="11"/>
    <w:qFormat/>
    <w:rsid w:val="00F912F4"/>
    <w:pPr>
      <w:numPr>
        <w:ilvl w:val="1"/>
      </w:numPr>
      <w:spacing w:after="120" w:line="280" w:lineRule="exact"/>
      <w:jc w:val="both"/>
    </w:pPr>
    <w:rPr>
      <w:rFonts w:eastAsiaTheme="majorEastAsia" w:cstheme="majorBidi"/>
      <w:color w:val="595959" w:themeColor="text1" w:themeTint="A6"/>
      <w:spacing w:val="15"/>
      <w:sz w:val="28"/>
      <w:szCs w:val="28"/>
      <w:lang w:val="en-US" w:eastAsia="zh-CN"/>
    </w:rPr>
  </w:style>
  <w:style w:type="character" w:customStyle="1" w:styleId="SubtitleChar">
    <w:name w:val="Subtitle Char"/>
    <w:basedOn w:val="DefaultParagraphFont"/>
    <w:link w:val="Subtitle0"/>
    <w:uiPriority w:val="11"/>
    <w:rsid w:val="00F912F4"/>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F912F4"/>
    <w:pPr>
      <w:spacing w:before="160" w:after="120" w:line="280" w:lineRule="exact"/>
      <w:jc w:val="center"/>
    </w:pPr>
    <w:rPr>
      <w:rFonts w:eastAsia="Times New Roman"/>
      <w:i/>
      <w:iCs/>
      <w:color w:val="404040" w:themeColor="text1" w:themeTint="BF"/>
      <w:sz w:val="21"/>
      <w:szCs w:val="10"/>
      <w:lang w:val="en-US" w:eastAsia="zh-CN"/>
    </w:rPr>
  </w:style>
  <w:style w:type="character" w:customStyle="1" w:styleId="QuoteChar">
    <w:name w:val="Quote Char"/>
    <w:basedOn w:val="DefaultParagraphFont"/>
    <w:link w:val="Quote"/>
    <w:uiPriority w:val="29"/>
    <w:rsid w:val="00F912F4"/>
    <w:rPr>
      <w:rFonts w:ascii="Calibri" w:eastAsia="Times New Roman" w:hAnsi="Calibri"/>
      <w:i/>
      <w:iCs/>
      <w:color w:val="404040" w:themeColor="text1" w:themeTint="BF"/>
      <w:sz w:val="21"/>
      <w:szCs w:val="10"/>
    </w:rPr>
  </w:style>
  <w:style w:type="character" w:styleId="IntenseEmphasis">
    <w:name w:val="Intense Emphasis"/>
    <w:basedOn w:val="DefaultParagraphFont"/>
    <w:uiPriority w:val="21"/>
    <w:qFormat/>
    <w:rsid w:val="00F912F4"/>
    <w:rPr>
      <w:i/>
      <w:iCs/>
      <w:color w:val="365F91" w:themeColor="accent1" w:themeShade="BF"/>
    </w:rPr>
  </w:style>
  <w:style w:type="paragraph" w:styleId="IntenseQuote">
    <w:name w:val="Intense Quote"/>
    <w:basedOn w:val="Normal"/>
    <w:next w:val="Normal"/>
    <w:link w:val="IntenseQuoteChar"/>
    <w:uiPriority w:val="30"/>
    <w:qFormat/>
    <w:rsid w:val="00F912F4"/>
    <w:pPr>
      <w:pBdr>
        <w:top w:val="single" w:sz="4" w:space="10" w:color="365F91" w:themeColor="accent1" w:themeShade="BF"/>
        <w:bottom w:val="single" w:sz="4" w:space="10" w:color="365F91" w:themeColor="accent1" w:themeShade="BF"/>
      </w:pBdr>
      <w:spacing w:before="360" w:after="360" w:line="280" w:lineRule="exact"/>
      <w:ind w:left="864" w:right="864"/>
      <w:jc w:val="center"/>
    </w:pPr>
    <w:rPr>
      <w:rFonts w:eastAsia="Times New Roman"/>
      <w:i/>
      <w:iCs/>
      <w:color w:val="365F91" w:themeColor="accent1" w:themeShade="BF"/>
      <w:sz w:val="21"/>
      <w:szCs w:val="10"/>
      <w:lang w:val="en-US" w:eastAsia="zh-CN"/>
    </w:rPr>
  </w:style>
  <w:style w:type="character" w:customStyle="1" w:styleId="IntenseQuoteChar">
    <w:name w:val="Intense Quote Char"/>
    <w:basedOn w:val="DefaultParagraphFont"/>
    <w:link w:val="IntenseQuote"/>
    <w:uiPriority w:val="30"/>
    <w:rsid w:val="00F912F4"/>
    <w:rPr>
      <w:rFonts w:ascii="Calibri" w:eastAsia="Times New Roman" w:hAnsi="Calibri"/>
      <w:i/>
      <w:iCs/>
      <w:color w:val="365F91" w:themeColor="accent1" w:themeShade="BF"/>
      <w:sz w:val="21"/>
      <w:szCs w:val="10"/>
    </w:rPr>
  </w:style>
  <w:style w:type="character" w:styleId="IntenseReference">
    <w:name w:val="Intense Reference"/>
    <w:basedOn w:val="DefaultParagraphFont"/>
    <w:uiPriority w:val="32"/>
    <w:qFormat/>
    <w:rsid w:val="00F912F4"/>
    <w:rPr>
      <w:b/>
      <w:bCs/>
      <w:smallCaps/>
      <w:color w:val="365F91" w:themeColor="accent1" w:themeShade="BF"/>
      <w:spacing w:val="5"/>
    </w:rPr>
  </w:style>
  <w:style w:type="character" w:customStyle="1" w:styleId="FooterChar">
    <w:name w:val="Footer Char"/>
    <w:basedOn w:val="DefaultParagraphFont"/>
    <w:link w:val="Footer"/>
    <w:rsid w:val="00F912F4"/>
    <w:rPr>
      <w:rFonts w:ascii="Calibri" w:hAnsi="Calibri"/>
      <w:caps/>
      <w:noProof/>
      <w:sz w:val="16"/>
      <w:lang w:val="en-GB" w:eastAsia="en-US"/>
    </w:rPr>
  </w:style>
  <w:style w:type="character" w:customStyle="1" w:styleId="FootnoteTextChar">
    <w:name w:val="Footnote Text Char"/>
    <w:basedOn w:val="DefaultParagraphFont"/>
    <w:link w:val="FootnoteText"/>
    <w:uiPriority w:val="99"/>
    <w:rsid w:val="00F912F4"/>
    <w:rPr>
      <w:rFonts w:ascii="Calibri" w:hAnsi="Calibr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1807">
      <w:bodyDiv w:val="1"/>
      <w:marLeft w:val="0"/>
      <w:marRight w:val="0"/>
      <w:marTop w:val="0"/>
      <w:marBottom w:val="0"/>
      <w:divBdr>
        <w:top w:val="none" w:sz="0" w:space="0" w:color="auto"/>
        <w:left w:val="none" w:sz="0" w:space="0" w:color="auto"/>
        <w:bottom w:val="none" w:sz="0" w:space="0" w:color="auto"/>
        <w:right w:val="none" w:sz="0" w:space="0" w:color="auto"/>
      </w:divBdr>
    </w:div>
    <w:div w:id="142503626">
      <w:bodyDiv w:val="1"/>
      <w:marLeft w:val="0"/>
      <w:marRight w:val="0"/>
      <w:marTop w:val="0"/>
      <w:marBottom w:val="0"/>
      <w:divBdr>
        <w:top w:val="none" w:sz="0" w:space="0" w:color="auto"/>
        <w:left w:val="none" w:sz="0" w:space="0" w:color="auto"/>
        <w:bottom w:val="none" w:sz="0" w:space="0" w:color="auto"/>
        <w:right w:val="none" w:sz="0" w:space="0" w:color="auto"/>
      </w:divBdr>
    </w:div>
    <w:div w:id="150757346">
      <w:bodyDiv w:val="1"/>
      <w:marLeft w:val="0"/>
      <w:marRight w:val="0"/>
      <w:marTop w:val="0"/>
      <w:marBottom w:val="0"/>
      <w:divBdr>
        <w:top w:val="none" w:sz="0" w:space="0" w:color="auto"/>
        <w:left w:val="none" w:sz="0" w:space="0" w:color="auto"/>
        <w:bottom w:val="none" w:sz="0" w:space="0" w:color="auto"/>
        <w:right w:val="none" w:sz="0" w:space="0" w:color="auto"/>
      </w:divBdr>
    </w:div>
    <w:div w:id="207184614">
      <w:bodyDiv w:val="1"/>
      <w:marLeft w:val="0"/>
      <w:marRight w:val="0"/>
      <w:marTop w:val="0"/>
      <w:marBottom w:val="0"/>
      <w:divBdr>
        <w:top w:val="none" w:sz="0" w:space="0" w:color="auto"/>
        <w:left w:val="none" w:sz="0" w:space="0" w:color="auto"/>
        <w:bottom w:val="none" w:sz="0" w:space="0" w:color="auto"/>
        <w:right w:val="none" w:sz="0" w:space="0" w:color="auto"/>
      </w:divBdr>
    </w:div>
    <w:div w:id="252713857">
      <w:bodyDiv w:val="1"/>
      <w:marLeft w:val="0"/>
      <w:marRight w:val="0"/>
      <w:marTop w:val="0"/>
      <w:marBottom w:val="0"/>
      <w:divBdr>
        <w:top w:val="none" w:sz="0" w:space="0" w:color="auto"/>
        <w:left w:val="none" w:sz="0" w:space="0" w:color="auto"/>
        <w:bottom w:val="none" w:sz="0" w:space="0" w:color="auto"/>
        <w:right w:val="none" w:sz="0" w:space="0" w:color="auto"/>
      </w:divBdr>
    </w:div>
    <w:div w:id="253242707">
      <w:bodyDiv w:val="1"/>
      <w:marLeft w:val="0"/>
      <w:marRight w:val="0"/>
      <w:marTop w:val="0"/>
      <w:marBottom w:val="0"/>
      <w:divBdr>
        <w:top w:val="none" w:sz="0" w:space="0" w:color="auto"/>
        <w:left w:val="none" w:sz="0" w:space="0" w:color="auto"/>
        <w:bottom w:val="none" w:sz="0" w:space="0" w:color="auto"/>
        <w:right w:val="none" w:sz="0" w:space="0" w:color="auto"/>
      </w:divBdr>
    </w:div>
    <w:div w:id="265118585">
      <w:bodyDiv w:val="1"/>
      <w:marLeft w:val="0"/>
      <w:marRight w:val="0"/>
      <w:marTop w:val="0"/>
      <w:marBottom w:val="0"/>
      <w:divBdr>
        <w:top w:val="none" w:sz="0" w:space="0" w:color="auto"/>
        <w:left w:val="none" w:sz="0" w:space="0" w:color="auto"/>
        <w:bottom w:val="none" w:sz="0" w:space="0" w:color="auto"/>
        <w:right w:val="none" w:sz="0" w:space="0" w:color="auto"/>
      </w:divBdr>
    </w:div>
    <w:div w:id="269943633">
      <w:bodyDiv w:val="1"/>
      <w:marLeft w:val="0"/>
      <w:marRight w:val="0"/>
      <w:marTop w:val="0"/>
      <w:marBottom w:val="0"/>
      <w:divBdr>
        <w:top w:val="none" w:sz="0" w:space="0" w:color="auto"/>
        <w:left w:val="none" w:sz="0" w:space="0" w:color="auto"/>
        <w:bottom w:val="none" w:sz="0" w:space="0" w:color="auto"/>
        <w:right w:val="none" w:sz="0" w:space="0" w:color="auto"/>
      </w:divBdr>
    </w:div>
    <w:div w:id="281424423">
      <w:bodyDiv w:val="1"/>
      <w:marLeft w:val="0"/>
      <w:marRight w:val="0"/>
      <w:marTop w:val="0"/>
      <w:marBottom w:val="0"/>
      <w:divBdr>
        <w:top w:val="none" w:sz="0" w:space="0" w:color="auto"/>
        <w:left w:val="none" w:sz="0" w:space="0" w:color="auto"/>
        <w:bottom w:val="none" w:sz="0" w:space="0" w:color="auto"/>
        <w:right w:val="none" w:sz="0" w:space="0" w:color="auto"/>
      </w:divBdr>
    </w:div>
    <w:div w:id="332032070">
      <w:bodyDiv w:val="1"/>
      <w:marLeft w:val="0"/>
      <w:marRight w:val="0"/>
      <w:marTop w:val="0"/>
      <w:marBottom w:val="0"/>
      <w:divBdr>
        <w:top w:val="none" w:sz="0" w:space="0" w:color="auto"/>
        <w:left w:val="none" w:sz="0" w:space="0" w:color="auto"/>
        <w:bottom w:val="none" w:sz="0" w:space="0" w:color="auto"/>
        <w:right w:val="none" w:sz="0" w:space="0" w:color="auto"/>
      </w:divBdr>
    </w:div>
    <w:div w:id="345180803">
      <w:bodyDiv w:val="1"/>
      <w:marLeft w:val="0"/>
      <w:marRight w:val="0"/>
      <w:marTop w:val="0"/>
      <w:marBottom w:val="0"/>
      <w:divBdr>
        <w:top w:val="none" w:sz="0" w:space="0" w:color="auto"/>
        <w:left w:val="none" w:sz="0" w:space="0" w:color="auto"/>
        <w:bottom w:val="none" w:sz="0" w:space="0" w:color="auto"/>
        <w:right w:val="none" w:sz="0" w:space="0" w:color="auto"/>
      </w:divBdr>
    </w:div>
    <w:div w:id="484274456">
      <w:bodyDiv w:val="1"/>
      <w:marLeft w:val="0"/>
      <w:marRight w:val="0"/>
      <w:marTop w:val="0"/>
      <w:marBottom w:val="0"/>
      <w:divBdr>
        <w:top w:val="none" w:sz="0" w:space="0" w:color="auto"/>
        <w:left w:val="none" w:sz="0" w:space="0" w:color="auto"/>
        <w:bottom w:val="none" w:sz="0" w:space="0" w:color="auto"/>
        <w:right w:val="none" w:sz="0" w:space="0" w:color="auto"/>
      </w:divBdr>
    </w:div>
    <w:div w:id="494877448">
      <w:bodyDiv w:val="1"/>
      <w:marLeft w:val="0"/>
      <w:marRight w:val="0"/>
      <w:marTop w:val="0"/>
      <w:marBottom w:val="0"/>
      <w:divBdr>
        <w:top w:val="none" w:sz="0" w:space="0" w:color="auto"/>
        <w:left w:val="none" w:sz="0" w:space="0" w:color="auto"/>
        <w:bottom w:val="none" w:sz="0" w:space="0" w:color="auto"/>
        <w:right w:val="none" w:sz="0" w:space="0" w:color="auto"/>
      </w:divBdr>
    </w:div>
    <w:div w:id="554778936">
      <w:bodyDiv w:val="1"/>
      <w:marLeft w:val="0"/>
      <w:marRight w:val="0"/>
      <w:marTop w:val="0"/>
      <w:marBottom w:val="0"/>
      <w:divBdr>
        <w:top w:val="none" w:sz="0" w:space="0" w:color="auto"/>
        <w:left w:val="none" w:sz="0" w:space="0" w:color="auto"/>
        <w:bottom w:val="none" w:sz="0" w:space="0" w:color="auto"/>
        <w:right w:val="none" w:sz="0" w:space="0" w:color="auto"/>
      </w:divBdr>
    </w:div>
    <w:div w:id="575748299">
      <w:bodyDiv w:val="1"/>
      <w:marLeft w:val="0"/>
      <w:marRight w:val="0"/>
      <w:marTop w:val="0"/>
      <w:marBottom w:val="0"/>
      <w:divBdr>
        <w:top w:val="none" w:sz="0" w:space="0" w:color="auto"/>
        <w:left w:val="none" w:sz="0" w:space="0" w:color="auto"/>
        <w:bottom w:val="none" w:sz="0" w:space="0" w:color="auto"/>
        <w:right w:val="none" w:sz="0" w:space="0" w:color="auto"/>
      </w:divBdr>
    </w:div>
    <w:div w:id="605506787">
      <w:bodyDiv w:val="1"/>
      <w:marLeft w:val="0"/>
      <w:marRight w:val="0"/>
      <w:marTop w:val="0"/>
      <w:marBottom w:val="0"/>
      <w:divBdr>
        <w:top w:val="none" w:sz="0" w:space="0" w:color="auto"/>
        <w:left w:val="none" w:sz="0" w:space="0" w:color="auto"/>
        <w:bottom w:val="none" w:sz="0" w:space="0" w:color="auto"/>
        <w:right w:val="none" w:sz="0" w:space="0" w:color="auto"/>
      </w:divBdr>
    </w:div>
    <w:div w:id="607659085">
      <w:bodyDiv w:val="1"/>
      <w:marLeft w:val="0"/>
      <w:marRight w:val="0"/>
      <w:marTop w:val="0"/>
      <w:marBottom w:val="0"/>
      <w:divBdr>
        <w:top w:val="none" w:sz="0" w:space="0" w:color="auto"/>
        <w:left w:val="none" w:sz="0" w:space="0" w:color="auto"/>
        <w:bottom w:val="none" w:sz="0" w:space="0" w:color="auto"/>
        <w:right w:val="none" w:sz="0" w:space="0" w:color="auto"/>
      </w:divBdr>
    </w:div>
    <w:div w:id="625544615">
      <w:bodyDiv w:val="1"/>
      <w:marLeft w:val="0"/>
      <w:marRight w:val="0"/>
      <w:marTop w:val="0"/>
      <w:marBottom w:val="0"/>
      <w:divBdr>
        <w:top w:val="none" w:sz="0" w:space="0" w:color="auto"/>
        <w:left w:val="none" w:sz="0" w:space="0" w:color="auto"/>
        <w:bottom w:val="none" w:sz="0" w:space="0" w:color="auto"/>
        <w:right w:val="none" w:sz="0" w:space="0" w:color="auto"/>
      </w:divBdr>
    </w:div>
    <w:div w:id="696346152">
      <w:bodyDiv w:val="1"/>
      <w:marLeft w:val="0"/>
      <w:marRight w:val="0"/>
      <w:marTop w:val="0"/>
      <w:marBottom w:val="0"/>
      <w:divBdr>
        <w:top w:val="none" w:sz="0" w:space="0" w:color="auto"/>
        <w:left w:val="none" w:sz="0" w:space="0" w:color="auto"/>
        <w:bottom w:val="none" w:sz="0" w:space="0" w:color="auto"/>
        <w:right w:val="none" w:sz="0" w:space="0" w:color="auto"/>
      </w:divBdr>
    </w:div>
    <w:div w:id="739865833">
      <w:bodyDiv w:val="1"/>
      <w:marLeft w:val="0"/>
      <w:marRight w:val="0"/>
      <w:marTop w:val="0"/>
      <w:marBottom w:val="0"/>
      <w:divBdr>
        <w:top w:val="none" w:sz="0" w:space="0" w:color="auto"/>
        <w:left w:val="none" w:sz="0" w:space="0" w:color="auto"/>
        <w:bottom w:val="none" w:sz="0" w:space="0" w:color="auto"/>
        <w:right w:val="none" w:sz="0" w:space="0" w:color="auto"/>
      </w:divBdr>
    </w:div>
    <w:div w:id="741758718">
      <w:bodyDiv w:val="1"/>
      <w:marLeft w:val="0"/>
      <w:marRight w:val="0"/>
      <w:marTop w:val="0"/>
      <w:marBottom w:val="0"/>
      <w:divBdr>
        <w:top w:val="none" w:sz="0" w:space="0" w:color="auto"/>
        <w:left w:val="none" w:sz="0" w:space="0" w:color="auto"/>
        <w:bottom w:val="none" w:sz="0" w:space="0" w:color="auto"/>
        <w:right w:val="none" w:sz="0" w:space="0" w:color="auto"/>
      </w:divBdr>
    </w:div>
    <w:div w:id="840463607">
      <w:bodyDiv w:val="1"/>
      <w:marLeft w:val="0"/>
      <w:marRight w:val="0"/>
      <w:marTop w:val="0"/>
      <w:marBottom w:val="0"/>
      <w:divBdr>
        <w:top w:val="none" w:sz="0" w:space="0" w:color="auto"/>
        <w:left w:val="none" w:sz="0" w:space="0" w:color="auto"/>
        <w:bottom w:val="none" w:sz="0" w:space="0" w:color="auto"/>
        <w:right w:val="none" w:sz="0" w:space="0" w:color="auto"/>
      </w:divBdr>
    </w:div>
    <w:div w:id="900557770">
      <w:bodyDiv w:val="1"/>
      <w:marLeft w:val="0"/>
      <w:marRight w:val="0"/>
      <w:marTop w:val="0"/>
      <w:marBottom w:val="0"/>
      <w:divBdr>
        <w:top w:val="none" w:sz="0" w:space="0" w:color="auto"/>
        <w:left w:val="none" w:sz="0" w:space="0" w:color="auto"/>
        <w:bottom w:val="none" w:sz="0" w:space="0" w:color="auto"/>
        <w:right w:val="none" w:sz="0" w:space="0" w:color="auto"/>
      </w:divBdr>
    </w:div>
    <w:div w:id="967585562">
      <w:bodyDiv w:val="1"/>
      <w:marLeft w:val="0"/>
      <w:marRight w:val="0"/>
      <w:marTop w:val="0"/>
      <w:marBottom w:val="0"/>
      <w:divBdr>
        <w:top w:val="none" w:sz="0" w:space="0" w:color="auto"/>
        <w:left w:val="none" w:sz="0" w:space="0" w:color="auto"/>
        <w:bottom w:val="none" w:sz="0" w:space="0" w:color="auto"/>
        <w:right w:val="none" w:sz="0" w:space="0" w:color="auto"/>
      </w:divBdr>
    </w:div>
    <w:div w:id="976372956">
      <w:bodyDiv w:val="1"/>
      <w:marLeft w:val="0"/>
      <w:marRight w:val="0"/>
      <w:marTop w:val="0"/>
      <w:marBottom w:val="0"/>
      <w:divBdr>
        <w:top w:val="none" w:sz="0" w:space="0" w:color="auto"/>
        <w:left w:val="none" w:sz="0" w:space="0" w:color="auto"/>
        <w:bottom w:val="none" w:sz="0" w:space="0" w:color="auto"/>
        <w:right w:val="none" w:sz="0" w:space="0" w:color="auto"/>
      </w:divBdr>
    </w:div>
    <w:div w:id="985552478">
      <w:bodyDiv w:val="1"/>
      <w:marLeft w:val="0"/>
      <w:marRight w:val="0"/>
      <w:marTop w:val="0"/>
      <w:marBottom w:val="0"/>
      <w:divBdr>
        <w:top w:val="none" w:sz="0" w:space="0" w:color="auto"/>
        <w:left w:val="none" w:sz="0" w:space="0" w:color="auto"/>
        <w:bottom w:val="none" w:sz="0" w:space="0" w:color="auto"/>
        <w:right w:val="none" w:sz="0" w:space="0" w:color="auto"/>
      </w:divBdr>
    </w:div>
    <w:div w:id="1058819103">
      <w:bodyDiv w:val="1"/>
      <w:marLeft w:val="0"/>
      <w:marRight w:val="0"/>
      <w:marTop w:val="0"/>
      <w:marBottom w:val="0"/>
      <w:divBdr>
        <w:top w:val="none" w:sz="0" w:space="0" w:color="auto"/>
        <w:left w:val="none" w:sz="0" w:space="0" w:color="auto"/>
        <w:bottom w:val="none" w:sz="0" w:space="0" w:color="auto"/>
        <w:right w:val="none" w:sz="0" w:space="0" w:color="auto"/>
      </w:divBdr>
    </w:div>
    <w:div w:id="1084692611">
      <w:bodyDiv w:val="1"/>
      <w:marLeft w:val="0"/>
      <w:marRight w:val="0"/>
      <w:marTop w:val="0"/>
      <w:marBottom w:val="0"/>
      <w:divBdr>
        <w:top w:val="none" w:sz="0" w:space="0" w:color="auto"/>
        <w:left w:val="none" w:sz="0" w:space="0" w:color="auto"/>
        <w:bottom w:val="none" w:sz="0" w:space="0" w:color="auto"/>
        <w:right w:val="none" w:sz="0" w:space="0" w:color="auto"/>
      </w:divBdr>
    </w:div>
    <w:div w:id="1147866065">
      <w:bodyDiv w:val="1"/>
      <w:marLeft w:val="0"/>
      <w:marRight w:val="0"/>
      <w:marTop w:val="0"/>
      <w:marBottom w:val="0"/>
      <w:divBdr>
        <w:top w:val="none" w:sz="0" w:space="0" w:color="auto"/>
        <w:left w:val="none" w:sz="0" w:space="0" w:color="auto"/>
        <w:bottom w:val="none" w:sz="0" w:space="0" w:color="auto"/>
        <w:right w:val="none" w:sz="0" w:space="0" w:color="auto"/>
      </w:divBdr>
    </w:div>
    <w:div w:id="1148132415">
      <w:bodyDiv w:val="1"/>
      <w:marLeft w:val="0"/>
      <w:marRight w:val="0"/>
      <w:marTop w:val="0"/>
      <w:marBottom w:val="0"/>
      <w:divBdr>
        <w:top w:val="none" w:sz="0" w:space="0" w:color="auto"/>
        <w:left w:val="none" w:sz="0" w:space="0" w:color="auto"/>
        <w:bottom w:val="none" w:sz="0" w:space="0" w:color="auto"/>
        <w:right w:val="none" w:sz="0" w:space="0" w:color="auto"/>
      </w:divBdr>
    </w:div>
    <w:div w:id="1162811884">
      <w:bodyDiv w:val="1"/>
      <w:marLeft w:val="0"/>
      <w:marRight w:val="0"/>
      <w:marTop w:val="0"/>
      <w:marBottom w:val="0"/>
      <w:divBdr>
        <w:top w:val="none" w:sz="0" w:space="0" w:color="auto"/>
        <w:left w:val="none" w:sz="0" w:space="0" w:color="auto"/>
        <w:bottom w:val="none" w:sz="0" w:space="0" w:color="auto"/>
        <w:right w:val="none" w:sz="0" w:space="0" w:color="auto"/>
      </w:divBdr>
    </w:div>
    <w:div w:id="1244411685">
      <w:bodyDiv w:val="1"/>
      <w:marLeft w:val="0"/>
      <w:marRight w:val="0"/>
      <w:marTop w:val="0"/>
      <w:marBottom w:val="0"/>
      <w:divBdr>
        <w:top w:val="none" w:sz="0" w:space="0" w:color="auto"/>
        <w:left w:val="none" w:sz="0" w:space="0" w:color="auto"/>
        <w:bottom w:val="none" w:sz="0" w:space="0" w:color="auto"/>
        <w:right w:val="none" w:sz="0" w:space="0" w:color="auto"/>
      </w:divBdr>
    </w:div>
    <w:div w:id="1248350057">
      <w:bodyDiv w:val="1"/>
      <w:marLeft w:val="0"/>
      <w:marRight w:val="0"/>
      <w:marTop w:val="0"/>
      <w:marBottom w:val="0"/>
      <w:divBdr>
        <w:top w:val="none" w:sz="0" w:space="0" w:color="auto"/>
        <w:left w:val="none" w:sz="0" w:space="0" w:color="auto"/>
        <w:bottom w:val="none" w:sz="0" w:space="0" w:color="auto"/>
        <w:right w:val="none" w:sz="0" w:space="0" w:color="auto"/>
      </w:divBdr>
    </w:div>
    <w:div w:id="1262832239">
      <w:bodyDiv w:val="1"/>
      <w:marLeft w:val="0"/>
      <w:marRight w:val="0"/>
      <w:marTop w:val="0"/>
      <w:marBottom w:val="0"/>
      <w:divBdr>
        <w:top w:val="none" w:sz="0" w:space="0" w:color="auto"/>
        <w:left w:val="none" w:sz="0" w:space="0" w:color="auto"/>
        <w:bottom w:val="none" w:sz="0" w:space="0" w:color="auto"/>
        <w:right w:val="none" w:sz="0" w:space="0" w:color="auto"/>
      </w:divBdr>
    </w:div>
    <w:div w:id="1316684358">
      <w:bodyDiv w:val="1"/>
      <w:marLeft w:val="0"/>
      <w:marRight w:val="0"/>
      <w:marTop w:val="0"/>
      <w:marBottom w:val="0"/>
      <w:divBdr>
        <w:top w:val="none" w:sz="0" w:space="0" w:color="auto"/>
        <w:left w:val="none" w:sz="0" w:space="0" w:color="auto"/>
        <w:bottom w:val="none" w:sz="0" w:space="0" w:color="auto"/>
        <w:right w:val="none" w:sz="0" w:space="0" w:color="auto"/>
      </w:divBdr>
    </w:div>
    <w:div w:id="1323120665">
      <w:bodyDiv w:val="1"/>
      <w:marLeft w:val="0"/>
      <w:marRight w:val="0"/>
      <w:marTop w:val="0"/>
      <w:marBottom w:val="0"/>
      <w:divBdr>
        <w:top w:val="none" w:sz="0" w:space="0" w:color="auto"/>
        <w:left w:val="none" w:sz="0" w:space="0" w:color="auto"/>
        <w:bottom w:val="none" w:sz="0" w:space="0" w:color="auto"/>
        <w:right w:val="none" w:sz="0" w:space="0" w:color="auto"/>
      </w:divBdr>
    </w:div>
    <w:div w:id="1329362033">
      <w:bodyDiv w:val="1"/>
      <w:marLeft w:val="0"/>
      <w:marRight w:val="0"/>
      <w:marTop w:val="0"/>
      <w:marBottom w:val="0"/>
      <w:divBdr>
        <w:top w:val="none" w:sz="0" w:space="0" w:color="auto"/>
        <w:left w:val="none" w:sz="0" w:space="0" w:color="auto"/>
        <w:bottom w:val="none" w:sz="0" w:space="0" w:color="auto"/>
        <w:right w:val="none" w:sz="0" w:space="0" w:color="auto"/>
      </w:divBdr>
    </w:div>
    <w:div w:id="1331714790">
      <w:bodyDiv w:val="1"/>
      <w:marLeft w:val="0"/>
      <w:marRight w:val="0"/>
      <w:marTop w:val="0"/>
      <w:marBottom w:val="0"/>
      <w:divBdr>
        <w:top w:val="none" w:sz="0" w:space="0" w:color="auto"/>
        <w:left w:val="none" w:sz="0" w:space="0" w:color="auto"/>
        <w:bottom w:val="none" w:sz="0" w:space="0" w:color="auto"/>
        <w:right w:val="none" w:sz="0" w:space="0" w:color="auto"/>
      </w:divBdr>
    </w:div>
    <w:div w:id="1338966959">
      <w:bodyDiv w:val="1"/>
      <w:marLeft w:val="0"/>
      <w:marRight w:val="0"/>
      <w:marTop w:val="0"/>
      <w:marBottom w:val="0"/>
      <w:divBdr>
        <w:top w:val="none" w:sz="0" w:space="0" w:color="auto"/>
        <w:left w:val="none" w:sz="0" w:space="0" w:color="auto"/>
        <w:bottom w:val="none" w:sz="0" w:space="0" w:color="auto"/>
        <w:right w:val="none" w:sz="0" w:space="0" w:color="auto"/>
      </w:divBdr>
    </w:div>
    <w:div w:id="1386876634">
      <w:bodyDiv w:val="1"/>
      <w:marLeft w:val="0"/>
      <w:marRight w:val="0"/>
      <w:marTop w:val="0"/>
      <w:marBottom w:val="0"/>
      <w:divBdr>
        <w:top w:val="none" w:sz="0" w:space="0" w:color="auto"/>
        <w:left w:val="none" w:sz="0" w:space="0" w:color="auto"/>
        <w:bottom w:val="none" w:sz="0" w:space="0" w:color="auto"/>
        <w:right w:val="none" w:sz="0" w:space="0" w:color="auto"/>
      </w:divBdr>
    </w:div>
    <w:div w:id="1419252129">
      <w:bodyDiv w:val="1"/>
      <w:marLeft w:val="0"/>
      <w:marRight w:val="0"/>
      <w:marTop w:val="0"/>
      <w:marBottom w:val="0"/>
      <w:divBdr>
        <w:top w:val="none" w:sz="0" w:space="0" w:color="auto"/>
        <w:left w:val="none" w:sz="0" w:space="0" w:color="auto"/>
        <w:bottom w:val="none" w:sz="0" w:space="0" w:color="auto"/>
        <w:right w:val="none" w:sz="0" w:space="0" w:color="auto"/>
      </w:divBdr>
    </w:div>
    <w:div w:id="1439596206">
      <w:bodyDiv w:val="1"/>
      <w:marLeft w:val="0"/>
      <w:marRight w:val="0"/>
      <w:marTop w:val="0"/>
      <w:marBottom w:val="0"/>
      <w:divBdr>
        <w:top w:val="none" w:sz="0" w:space="0" w:color="auto"/>
        <w:left w:val="none" w:sz="0" w:space="0" w:color="auto"/>
        <w:bottom w:val="none" w:sz="0" w:space="0" w:color="auto"/>
        <w:right w:val="none" w:sz="0" w:space="0" w:color="auto"/>
      </w:divBdr>
    </w:div>
    <w:div w:id="1447313792">
      <w:bodyDiv w:val="1"/>
      <w:marLeft w:val="0"/>
      <w:marRight w:val="0"/>
      <w:marTop w:val="0"/>
      <w:marBottom w:val="0"/>
      <w:divBdr>
        <w:top w:val="none" w:sz="0" w:space="0" w:color="auto"/>
        <w:left w:val="none" w:sz="0" w:space="0" w:color="auto"/>
        <w:bottom w:val="none" w:sz="0" w:space="0" w:color="auto"/>
        <w:right w:val="none" w:sz="0" w:space="0" w:color="auto"/>
      </w:divBdr>
    </w:div>
    <w:div w:id="1453281292">
      <w:bodyDiv w:val="1"/>
      <w:marLeft w:val="0"/>
      <w:marRight w:val="0"/>
      <w:marTop w:val="0"/>
      <w:marBottom w:val="0"/>
      <w:divBdr>
        <w:top w:val="none" w:sz="0" w:space="0" w:color="auto"/>
        <w:left w:val="none" w:sz="0" w:space="0" w:color="auto"/>
        <w:bottom w:val="none" w:sz="0" w:space="0" w:color="auto"/>
        <w:right w:val="none" w:sz="0" w:space="0" w:color="auto"/>
      </w:divBdr>
    </w:div>
    <w:div w:id="1529833662">
      <w:bodyDiv w:val="1"/>
      <w:marLeft w:val="0"/>
      <w:marRight w:val="0"/>
      <w:marTop w:val="0"/>
      <w:marBottom w:val="0"/>
      <w:divBdr>
        <w:top w:val="none" w:sz="0" w:space="0" w:color="auto"/>
        <w:left w:val="none" w:sz="0" w:space="0" w:color="auto"/>
        <w:bottom w:val="none" w:sz="0" w:space="0" w:color="auto"/>
        <w:right w:val="none" w:sz="0" w:space="0" w:color="auto"/>
      </w:divBdr>
    </w:div>
    <w:div w:id="1546405949">
      <w:bodyDiv w:val="1"/>
      <w:marLeft w:val="0"/>
      <w:marRight w:val="0"/>
      <w:marTop w:val="0"/>
      <w:marBottom w:val="0"/>
      <w:divBdr>
        <w:top w:val="none" w:sz="0" w:space="0" w:color="auto"/>
        <w:left w:val="none" w:sz="0" w:space="0" w:color="auto"/>
        <w:bottom w:val="none" w:sz="0" w:space="0" w:color="auto"/>
        <w:right w:val="none" w:sz="0" w:space="0" w:color="auto"/>
      </w:divBdr>
    </w:div>
    <w:div w:id="1577932772">
      <w:bodyDiv w:val="1"/>
      <w:marLeft w:val="0"/>
      <w:marRight w:val="0"/>
      <w:marTop w:val="0"/>
      <w:marBottom w:val="0"/>
      <w:divBdr>
        <w:top w:val="none" w:sz="0" w:space="0" w:color="auto"/>
        <w:left w:val="none" w:sz="0" w:space="0" w:color="auto"/>
        <w:bottom w:val="none" w:sz="0" w:space="0" w:color="auto"/>
        <w:right w:val="none" w:sz="0" w:space="0" w:color="auto"/>
      </w:divBdr>
    </w:div>
    <w:div w:id="1647276176">
      <w:bodyDiv w:val="1"/>
      <w:marLeft w:val="0"/>
      <w:marRight w:val="0"/>
      <w:marTop w:val="0"/>
      <w:marBottom w:val="0"/>
      <w:divBdr>
        <w:top w:val="none" w:sz="0" w:space="0" w:color="auto"/>
        <w:left w:val="none" w:sz="0" w:space="0" w:color="auto"/>
        <w:bottom w:val="none" w:sz="0" w:space="0" w:color="auto"/>
        <w:right w:val="none" w:sz="0" w:space="0" w:color="auto"/>
      </w:divBdr>
    </w:div>
    <w:div w:id="1651404942">
      <w:bodyDiv w:val="1"/>
      <w:marLeft w:val="0"/>
      <w:marRight w:val="0"/>
      <w:marTop w:val="0"/>
      <w:marBottom w:val="0"/>
      <w:divBdr>
        <w:top w:val="none" w:sz="0" w:space="0" w:color="auto"/>
        <w:left w:val="none" w:sz="0" w:space="0" w:color="auto"/>
        <w:bottom w:val="none" w:sz="0" w:space="0" w:color="auto"/>
        <w:right w:val="none" w:sz="0" w:space="0" w:color="auto"/>
      </w:divBdr>
    </w:div>
    <w:div w:id="1682193928">
      <w:bodyDiv w:val="1"/>
      <w:marLeft w:val="0"/>
      <w:marRight w:val="0"/>
      <w:marTop w:val="0"/>
      <w:marBottom w:val="0"/>
      <w:divBdr>
        <w:top w:val="none" w:sz="0" w:space="0" w:color="auto"/>
        <w:left w:val="none" w:sz="0" w:space="0" w:color="auto"/>
        <w:bottom w:val="none" w:sz="0" w:space="0" w:color="auto"/>
        <w:right w:val="none" w:sz="0" w:space="0" w:color="auto"/>
      </w:divBdr>
    </w:div>
    <w:div w:id="1690787869">
      <w:bodyDiv w:val="1"/>
      <w:marLeft w:val="0"/>
      <w:marRight w:val="0"/>
      <w:marTop w:val="0"/>
      <w:marBottom w:val="0"/>
      <w:divBdr>
        <w:top w:val="none" w:sz="0" w:space="0" w:color="auto"/>
        <w:left w:val="none" w:sz="0" w:space="0" w:color="auto"/>
        <w:bottom w:val="none" w:sz="0" w:space="0" w:color="auto"/>
        <w:right w:val="none" w:sz="0" w:space="0" w:color="auto"/>
      </w:divBdr>
    </w:div>
    <w:div w:id="1804227977">
      <w:bodyDiv w:val="1"/>
      <w:marLeft w:val="0"/>
      <w:marRight w:val="0"/>
      <w:marTop w:val="0"/>
      <w:marBottom w:val="0"/>
      <w:divBdr>
        <w:top w:val="none" w:sz="0" w:space="0" w:color="auto"/>
        <w:left w:val="none" w:sz="0" w:space="0" w:color="auto"/>
        <w:bottom w:val="none" w:sz="0" w:space="0" w:color="auto"/>
        <w:right w:val="none" w:sz="0" w:space="0" w:color="auto"/>
      </w:divBdr>
    </w:div>
    <w:div w:id="1814444176">
      <w:bodyDiv w:val="1"/>
      <w:marLeft w:val="0"/>
      <w:marRight w:val="0"/>
      <w:marTop w:val="0"/>
      <w:marBottom w:val="0"/>
      <w:divBdr>
        <w:top w:val="none" w:sz="0" w:space="0" w:color="auto"/>
        <w:left w:val="none" w:sz="0" w:space="0" w:color="auto"/>
        <w:bottom w:val="none" w:sz="0" w:space="0" w:color="auto"/>
        <w:right w:val="none" w:sz="0" w:space="0" w:color="auto"/>
      </w:divBdr>
    </w:div>
    <w:div w:id="1850095199">
      <w:bodyDiv w:val="1"/>
      <w:marLeft w:val="0"/>
      <w:marRight w:val="0"/>
      <w:marTop w:val="0"/>
      <w:marBottom w:val="0"/>
      <w:divBdr>
        <w:top w:val="none" w:sz="0" w:space="0" w:color="auto"/>
        <w:left w:val="none" w:sz="0" w:space="0" w:color="auto"/>
        <w:bottom w:val="none" w:sz="0" w:space="0" w:color="auto"/>
        <w:right w:val="none" w:sz="0" w:space="0" w:color="auto"/>
      </w:divBdr>
    </w:div>
    <w:div w:id="1910771817">
      <w:bodyDiv w:val="1"/>
      <w:marLeft w:val="0"/>
      <w:marRight w:val="0"/>
      <w:marTop w:val="0"/>
      <w:marBottom w:val="0"/>
      <w:divBdr>
        <w:top w:val="none" w:sz="0" w:space="0" w:color="auto"/>
        <w:left w:val="none" w:sz="0" w:space="0" w:color="auto"/>
        <w:bottom w:val="none" w:sz="0" w:space="0" w:color="auto"/>
        <w:right w:val="none" w:sz="0" w:space="0" w:color="auto"/>
      </w:divBdr>
    </w:div>
    <w:div w:id="1922564898">
      <w:bodyDiv w:val="1"/>
      <w:marLeft w:val="0"/>
      <w:marRight w:val="0"/>
      <w:marTop w:val="0"/>
      <w:marBottom w:val="0"/>
      <w:divBdr>
        <w:top w:val="none" w:sz="0" w:space="0" w:color="auto"/>
        <w:left w:val="none" w:sz="0" w:space="0" w:color="auto"/>
        <w:bottom w:val="none" w:sz="0" w:space="0" w:color="auto"/>
        <w:right w:val="none" w:sz="0" w:space="0" w:color="auto"/>
      </w:divBdr>
    </w:div>
    <w:div w:id="1923103718">
      <w:bodyDiv w:val="1"/>
      <w:marLeft w:val="0"/>
      <w:marRight w:val="0"/>
      <w:marTop w:val="0"/>
      <w:marBottom w:val="0"/>
      <w:divBdr>
        <w:top w:val="none" w:sz="0" w:space="0" w:color="auto"/>
        <w:left w:val="none" w:sz="0" w:space="0" w:color="auto"/>
        <w:bottom w:val="none" w:sz="0" w:space="0" w:color="auto"/>
        <w:right w:val="none" w:sz="0" w:space="0" w:color="auto"/>
      </w:divBdr>
    </w:div>
    <w:div w:id="1937129680">
      <w:bodyDiv w:val="1"/>
      <w:marLeft w:val="0"/>
      <w:marRight w:val="0"/>
      <w:marTop w:val="0"/>
      <w:marBottom w:val="0"/>
      <w:divBdr>
        <w:top w:val="none" w:sz="0" w:space="0" w:color="auto"/>
        <w:left w:val="none" w:sz="0" w:space="0" w:color="auto"/>
        <w:bottom w:val="none" w:sz="0" w:space="0" w:color="auto"/>
        <w:right w:val="none" w:sz="0" w:space="0" w:color="auto"/>
      </w:divBdr>
    </w:div>
    <w:div w:id="1971472203">
      <w:bodyDiv w:val="1"/>
      <w:marLeft w:val="0"/>
      <w:marRight w:val="0"/>
      <w:marTop w:val="0"/>
      <w:marBottom w:val="0"/>
      <w:divBdr>
        <w:top w:val="none" w:sz="0" w:space="0" w:color="auto"/>
        <w:left w:val="none" w:sz="0" w:space="0" w:color="auto"/>
        <w:bottom w:val="none" w:sz="0" w:space="0" w:color="auto"/>
        <w:right w:val="none" w:sz="0" w:space="0" w:color="auto"/>
      </w:divBdr>
    </w:div>
    <w:div w:id="1972204377">
      <w:bodyDiv w:val="1"/>
      <w:marLeft w:val="0"/>
      <w:marRight w:val="0"/>
      <w:marTop w:val="0"/>
      <w:marBottom w:val="0"/>
      <w:divBdr>
        <w:top w:val="none" w:sz="0" w:space="0" w:color="auto"/>
        <w:left w:val="none" w:sz="0" w:space="0" w:color="auto"/>
        <w:bottom w:val="none" w:sz="0" w:space="0" w:color="auto"/>
        <w:right w:val="none" w:sz="0" w:space="0" w:color="auto"/>
      </w:divBdr>
    </w:div>
    <w:div w:id="1983534324">
      <w:bodyDiv w:val="1"/>
      <w:marLeft w:val="0"/>
      <w:marRight w:val="0"/>
      <w:marTop w:val="0"/>
      <w:marBottom w:val="0"/>
      <w:divBdr>
        <w:top w:val="none" w:sz="0" w:space="0" w:color="auto"/>
        <w:left w:val="none" w:sz="0" w:space="0" w:color="auto"/>
        <w:bottom w:val="none" w:sz="0" w:space="0" w:color="auto"/>
        <w:right w:val="none" w:sz="0" w:space="0" w:color="auto"/>
      </w:divBdr>
    </w:div>
    <w:div w:id="2073460433">
      <w:bodyDiv w:val="1"/>
      <w:marLeft w:val="0"/>
      <w:marRight w:val="0"/>
      <w:marTop w:val="0"/>
      <w:marBottom w:val="0"/>
      <w:divBdr>
        <w:top w:val="none" w:sz="0" w:space="0" w:color="auto"/>
        <w:left w:val="none" w:sz="0" w:space="0" w:color="auto"/>
        <w:bottom w:val="none" w:sz="0" w:space="0" w:color="auto"/>
        <w:right w:val="none" w:sz="0" w:space="0" w:color="auto"/>
      </w:divBdr>
    </w:div>
    <w:div w:id="21158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itu.int/md/S25-CWGFHR20-C-0008/en" TargetMode="External"/><Relationship Id="rId26" Type="http://schemas.openxmlformats.org/officeDocument/2006/relationships/hyperlink" Target="https://www.itu.int/md/S20-CL-C-0040/en" TargetMode="External"/><Relationship Id="rId39" Type="http://schemas.openxmlformats.org/officeDocument/2006/relationships/hyperlink" Target="https://www.itu.int/md/S20-CL-C-0074/en" TargetMode="External"/><Relationship Id="rId21" Type="http://schemas.openxmlformats.org/officeDocument/2006/relationships/hyperlink" Target="https://www.itu.int/md/S22-CL-C-0104/en" TargetMode="External"/><Relationship Id="rId34" Type="http://schemas.openxmlformats.org/officeDocument/2006/relationships/hyperlink" Target="https://www.itu.int/md/S20-CL-C-0074/en" TargetMode="External"/><Relationship Id="rId42" Type="http://schemas.openxmlformats.org/officeDocument/2006/relationships/hyperlink" Target="https://www.itu.int/md/S20-CL-C-0075/en" TargetMode="External"/><Relationship Id="rId47" Type="http://schemas.openxmlformats.org/officeDocument/2006/relationships/hyperlink" Target="https://www.itu.int/md/S22-CL-C-0101/en" TargetMode="External"/><Relationship Id="rId50" Type="http://schemas.openxmlformats.org/officeDocument/2006/relationships/hyperlink" Target="https://www.itu.int/md/S20-CL-C-0075/en"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25-CL-C-0046/en" TargetMode="External"/><Relationship Id="rId29" Type="http://schemas.openxmlformats.org/officeDocument/2006/relationships/hyperlink" Target="https://www.itu.int/md/S22-CL-C-0101/en" TargetMode="External"/><Relationship Id="rId11" Type="http://schemas.openxmlformats.org/officeDocument/2006/relationships/hyperlink" Target="https://www.itu.int/en/council/Pages/Financial-Regulations.aspx" TargetMode="External"/><Relationship Id="rId24" Type="http://schemas.openxmlformats.org/officeDocument/2006/relationships/footer" Target="footer3.xml"/><Relationship Id="rId32" Type="http://schemas.openxmlformats.org/officeDocument/2006/relationships/hyperlink" Target="https://www.itu.int/md/S20-CL-C-0074/en" TargetMode="External"/><Relationship Id="rId37" Type="http://schemas.openxmlformats.org/officeDocument/2006/relationships/hyperlink" Target="https://www.itu.int/md/S20-CL-C-0075/en" TargetMode="External"/><Relationship Id="rId40" Type="http://schemas.openxmlformats.org/officeDocument/2006/relationships/hyperlink" Target="https://www.itu.int/md/S20-CL-C-0075/en" TargetMode="External"/><Relationship Id="rId45" Type="http://schemas.openxmlformats.org/officeDocument/2006/relationships/hyperlink" Target="https://www.itu.int/md/S22-CL-C-0101/en" TargetMode="External"/><Relationship Id="rId53" Type="http://schemas.openxmlformats.org/officeDocument/2006/relationships/hyperlink" Target="https://www.itu.int/md/S20-CL-C-0074/en"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md/S18-CL-C-0125/en" TargetMode="External"/><Relationship Id="rId31" Type="http://schemas.openxmlformats.org/officeDocument/2006/relationships/hyperlink" Target="https://www.itu.int/md/S20-CL-C-0074/en" TargetMode="External"/><Relationship Id="rId44" Type="http://schemas.openxmlformats.org/officeDocument/2006/relationships/hyperlink" Target="https://www.itu.int/md/S20-CL-C-0075/en" TargetMode="External"/><Relationship Id="rId52" Type="http://schemas.openxmlformats.org/officeDocument/2006/relationships/hyperlink" Target="https://www.itu.int/md/S22-CL-C-0101/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hyperlink" Target="https://www.itu.int/md/S22-CL-C-0088/en" TargetMode="External"/><Relationship Id="rId30" Type="http://schemas.openxmlformats.org/officeDocument/2006/relationships/hyperlink" Target="https://www.itu.int/md/S22-CL-C-0101/en" TargetMode="External"/><Relationship Id="rId35" Type="http://schemas.openxmlformats.org/officeDocument/2006/relationships/hyperlink" Target="https://www.itu.int/md/S22-CL-C-0101/en" TargetMode="External"/><Relationship Id="rId43" Type="http://schemas.openxmlformats.org/officeDocument/2006/relationships/hyperlink" Target="https://www.itu.int/md/S22-CL-C-0101/en" TargetMode="External"/><Relationship Id="rId48" Type="http://schemas.openxmlformats.org/officeDocument/2006/relationships/hyperlink" Target="https://www.itu.int/md/S20-CL-C-0075/en"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tu.int/md/S20-CL-C-0074/en"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itu.int/md/S24-CL-C-0073/en" TargetMode="External"/><Relationship Id="rId25" Type="http://schemas.openxmlformats.org/officeDocument/2006/relationships/hyperlink" Target="https://www.itu.int/md/S20-CL-C-0054/en" TargetMode="External"/><Relationship Id="rId33" Type="http://schemas.openxmlformats.org/officeDocument/2006/relationships/hyperlink" Target="https://www.itu.int/md/S20-CL-C-0074/en" TargetMode="External"/><Relationship Id="rId38" Type="http://schemas.openxmlformats.org/officeDocument/2006/relationships/hyperlink" Target="https://www.itu.int/md/S22-CL-C-0101/en" TargetMode="External"/><Relationship Id="rId46" Type="http://schemas.openxmlformats.org/officeDocument/2006/relationships/hyperlink" Target="https://www.itu.int/md/S20-CL-C-0075/en" TargetMode="External"/><Relationship Id="rId20" Type="http://schemas.openxmlformats.org/officeDocument/2006/relationships/hyperlink" Target="https://www.itu.int/md/S19-CL-C-0106/en" TargetMode="External"/><Relationship Id="rId41" Type="http://schemas.openxmlformats.org/officeDocument/2006/relationships/hyperlink" Target="https://www.itu.int/md/S22-CL-C-0101/en" TargetMode="External"/><Relationship Id="rId54" Type="http://schemas.openxmlformats.org/officeDocument/2006/relationships/hyperlink" Target="https://www.itu.int/md/S22-CL-C-0101/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eader" Target="header3.xml"/><Relationship Id="rId28" Type="http://schemas.openxmlformats.org/officeDocument/2006/relationships/hyperlink" Target="https://www.itu.int/md/S22-CL-C-0042/en" TargetMode="External"/><Relationship Id="rId36" Type="http://schemas.openxmlformats.org/officeDocument/2006/relationships/hyperlink" Target="https://www.itu.int/md/S22-CL-C-0101/en" TargetMode="External"/><Relationship Id="rId49" Type="http://schemas.openxmlformats.org/officeDocument/2006/relationships/hyperlink" Target="https://www.itu.int/md/S22-CL-C-010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4" ma:contentTypeDescription="Create a new document." ma:contentTypeScope="" ma:versionID="307ecc74a8eb51dfea6b750f0799606c">
  <xsd:schema xmlns:xsd="http://www.w3.org/2001/XMLSchema" xmlns:xs="http://www.w3.org/2001/XMLSchema" xmlns:p="http://schemas.microsoft.com/office/2006/metadata/properties" xmlns:ns2="a1cf676c-2816-4389-ad5d-0f2e7c7e67c4" targetNamespace="http://schemas.microsoft.com/office/2006/metadata/properties" ma:root="true" ma:fieldsID="80c3ec948e348096898dbd7aed4bed44"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2F2AC-2255-4DBF-9278-6619577B45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CB52BA-7AEF-42D4-AF59-959012BFA94A}">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24B8146E-03A7-4413-9B17-C6B8E5956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62066</Words>
  <Characters>67279</Characters>
  <Application>Microsoft Office Word</Application>
  <DocSecurity>0</DocSecurity>
  <Lines>3502</Lines>
  <Paragraphs>1276</Paragraphs>
  <ScaleCrop>false</ScaleCrop>
  <HeadingPairs>
    <vt:vector size="2" baseType="variant">
      <vt:variant>
        <vt:lpstr>Title</vt:lpstr>
      </vt:variant>
      <vt:variant>
        <vt:i4>1</vt:i4>
      </vt:variant>
    </vt:vector>
  </HeadingPairs>
  <TitlesOfParts>
    <vt:vector size="1" baseType="lpstr">
      <vt:lpstr>Council 2025</vt:lpstr>
    </vt:vector>
  </TitlesOfParts>
  <Manager>General Secretariat</Manager>
  <Company>International Telecommunication Union (ITU)</Company>
  <LinksUpToDate>false</LinksUpToDate>
  <CharactersWithSpaces>67727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Auditor report: Union's accounts 2024</dc:title>
  <dc:subject>ITU Council 2025</dc:subject>
  <cp:keywords>C25; C2025; Council 2025; ITU160</cp:keywords>
  <dc:description/>
  <cp:lastPrinted>2000-07-18T13:30:00Z</cp:lastPrinted>
  <dcterms:created xsi:type="dcterms:W3CDTF">2025-06-17T10:53:00Z</dcterms:created>
  <dcterms:modified xsi:type="dcterms:W3CDTF">2025-06-17T10:53:00Z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