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582E24" w14:paraId="23192009" w14:textId="77777777" w:rsidTr="00C538FC">
        <w:trPr>
          <w:cantSplit/>
          <w:trHeight w:val="23"/>
        </w:trPr>
        <w:tc>
          <w:tcPr>
            <w:tcW w:w="3969" w:type="dxa"/>
            <w:vMerge w:val="restart"/>
            <w:tcMar>
              <w:left w:w="0" w:type="dxa"/>
            </w:tcMar>
          </w:tcPr>
          <w:p w14:paraId="6B689ED7" w14:textId="77777777" w:rsidR="00FE57F6" w:rsidRPr="00582E24" w:rsidRDefault="0066497C" w:rsidP="0066497C">
            <w:pPr>
              <w:tabs>
                <w:tab w:val="left" w:pos="851"/>
              </w:tabs>
              <w:spacing w:before="0" w:line="240" w:lineRule="atLeast"/>
              <w:rPr>
                <w:b/>
              </w:rPr>
            </w:pPr>
            <w:bookmarkStart w:id="0" w:name="_Hlk133421839"/>
            <w:r w:rsidRPr="00582E24">
              <w:rPr>
                <w:b/>
              </w:rPr>
              <w:t>Punto del orden del día: ADM 2</w:t>
            </w:r>
          </w:p>
        </w:tc>
        <w:tc>
          <w:tcPr>
            <w:tcW w:w="5245" w:type="dxa"/>
          </w:tcPr>
          <w:p w14:paraId="27A2941F" w14:textId="3E938004" w:rsidR="00FE57F6" w:rsidRPr="00582E24" w:rsidRDefault="00FE57F6" w:rsidP="00C538FC">
            <w:pPr>
              <w:tabs>
                <w:tab w:val="left" w:pos="851"/>
              </w:tabs>
              <w:spacing w:before="0" w:line="240" w:lineRule="atLeast"/>
              <w:jc w:val="right"/>
              <w:rPr>
                <w:b/>
              </w:rPr>
            </w:pPr>
            <w:r w:rsidRPr="00582E24">
              <w:rPr>
                <w:b/>
              </w:rPr>
              <w:t>Document</w:t>
            </w:r>
            <w:r w:rsidR="00F24B71" w:rsidRPr="00582E24">
              <w:rPr>
                <w:b/>
              </w:rPr>
              <w:t>o</w:t>
            </w:r>
            <w:r w:rsidRPr="00582E24">
              <w:rPr>
                <w:b/>
              </w:rPr>
              <w:t xml:space="preserve"> C2</w:t>
            </w:r>
            <w:r w:rsidR="00BB6FD8" w:rsidRPr="00582E24">
              <w:rPr>
                <w:b/>
              </w:rPr>
              <w:t>5</w:t>
            </w:r>
            <w:r w:rsidRPr="00582E24">
              <w:rPr>
                <w:b/>
              </w:rPr>
              <w:t>/</w:t>
            </w:r>
            <w:r w:rsidR="0066497C" w:rsidRPr="00582E24">
              <w:rPr>
                <w:b/>
              </w:rPr>
              <w:t>40</w:t>
            </w:r>
            <w:r w:rsidRPr="00582E24">
              <w:rPr>
                <w:b/>
              </w:rPr>
              <w:t>-</w:t>
            </w:r>
            <w:r w:rsidR="00F24B71" w:rsidRPr="00582E24">
              <w:rPr>
                <w:b/>
              </w:rPr>
              <w:t>S</w:t>
            </w:r>
          </w:p>
        </w:tc>
      </w:tr>
      <w:tr w:rsidR="00FE57F6" w:rsidRPr="00582E24" w14:paraId="41033C37" w14:textId="77777777" w:rsidTr="00C538FC">
        <w:trPr>
          <w:cantSplit/>
        </w:trPr>
        <w:tc>
          <w:tcPr>
            <w:tcW w:w="3969" w:type="dxa"/>
            <w:vMerge/>
          </w:tcPr>
          <w:p w14:paraId="15EECAA5" w14:textId="77777777" w:rsidR="00FE57F6" w:rsidRPr="00582E24" w:rsidRDefault="00FE57F6" w:rsidP="00C538FC">
            <w:pPr>
              <w:tabs>
                <w:tab w:val="left" w:pos="851"/>
              </w:tabs>
              <w:spacing w:line="240" w:lineRule="atLeast"/>
              <w:rPr>
                <w:b/>
              </w:rPr>
            </w:pPr>
          </w:p>
        </w:tc>
        <w:tc>
          <w:tcPr>
            <w:tcW w:w="5245" w:type="dxa"/>
          </w:tcPr>
          <w:p w14:paraId="04E0D976" w14:textId="7F5A5147" w:rsidR="00FE57F6" w:rsidRPr="00582E24" w:rsidRDefault="0066497C" w:rsidP="00C538FC">
            <w:pPr>
              <w:tabs>
                <w:tab w:val="left" w:pos="851"/>
              </w:tabs>
              <w:spacing w:before="0"/>
              <w:jc w:val="right"/>
              <w:rPr>
                <w:b/>
              </w:rPr>
            </w:pPr>
            <w:r w:rsidRPr="00582E24">
              <w:rPr>
                <w:b/>
              </w:rPr>
              <w:t>2</w:t>
            </w:r>
            <w:r w:rsidR="000B18DD" w:rsidRPr="00582E24">
              <w:rPr>
                <w:b/>
              </w:rPr>
              <w:t>9</w:t>
            </w:r>
            <w:r w:rsidRPr="00582E24">
              <w:rPr>
                <w:b/>
              </w:rPr>
              <w:t xml:space="preserve"> de mayo de 2025</w:t>
            </w:r>
          </w:p>
        </w:tc>
      </w:tr>
      <w:tr w:rsidR="00FE57F6" w:rsidRPr="00582E24" w14:paraId="32626D80" w14:textId="77777777" w:rsidTr="00C538FC">
        <w:trPr>
          <w:cantSplit/>
          <w:trHeight w:val="23"/>
        </w:trPr>
        <w:tc>
          <w:tcPr>
            <w:tcW w:w="3969" w:type="dxa"/>
            <w:vMerge/>
          </w:tcPr>
          <w:p w14:paraId="3429D43C" w14:textId="77777777" w:rsidR="00FE57F6" w:rsidRPr="00582E24" w:rsidRDefault="00FE57F6" w:rsidP="00C538FC">
            <w:pPr>
              <w:tabs>
                <w:tab w:val="left" w:pos="851"/>
              </w:tabs>
              <w:spacing w:line="240" w:lineRule="atLeast"/>
              <w:rPr>
                <w:b/>
              </w:rPr>
            </w:pPr>
          </w:p>
        </w:tc>
        <w:tc>
          <w:tcPr>
            <w:tcW w:w="5245" w:type="dxa"/>
          </w:tcPr>
          <w:p w14:paraId="43BFDBDC" w14:textId="77777777" w:rsidR="00FE57F6" w:rsidRPr="00582E24" w:rsidRDefault="00F24B71" w:rsidP="00C538FC">
            <w:pPr>
              <w:tabs>
                <w:tab w:val="left" w:pos="851"/>
              </w:tabs>
              <w:spacing w:before="0" w:line="240" w:lineRule="atLeast"/>
              <w:jc w:val="right"/>
              <w:rPr>
                <w:b/>
                <w:bCs/>
              </w:rPr>
            </w:pPr>
            <w:r w:rsidRPr="00582E24">
              <w:rPr>
                <w:rFonts w:cstheme="minorHAnsi"/>
                <w:b/>
                <w:bCs/>
              </w:rPr>
              <w:t>Original: inglés</w:t>
            </w:r>
          </w:p>
        </w:tc>
      </w:tr>
      <w:tr w:rsidR="00FE57F6" w:rsidRPr="00582E24" w14:paraId="4317B9E1" w14:textId="77777777" w:rsidTr="00C538FC">
        <w:trPr>
          <w:cantSplit/>
          <w:trHeight w:val="23"/>
        </w:trPr>
        <w:tc>
          <w:tcPr>
            <w:tcW w:w="3969" w:type="dxa"/>
          </w:tcPr>
          <w:p w14:paraId="050F9488" w14:textId="77777777" w:rsidR="00FE57F6" w:rsidRPr="00582E24" w:rsidRDefault="00FE57F6" w:rsidP="00C538FC">
            <w:pPr>
              <w:tabs>
                <w:tab w:val="left" w:pos="851"/>
              </w:tabs>
              <w:spacing w:line="240" w:lineRule="atLeast"/>
              <w:rPr>
                <w:b/>
              </w:rPr>
            </w:pPr>
          </w:p>
        </w:tc>
        <w:tc>
          <w:tcPr>
            <w:tcW w:w="5245" w:type="dxa"/>
          </w:tcPr>
          <w:p w14:paraId="41C1CE64" w14:textId="77777777" w:rsidR="00FE57F6" w:rsidRPr="00582E24" w:rsidRDefault="00FE57F6" w:rsidP="00C538FC">
            <w:pPr>
              <w:tabs>
                <w:tab w:val="left" w:pos="851"/>
              </w:tabs>
              <w:spacing w:before="0" w:line="240" w:lineRule="atLeast"/>
              <w:jc w:val="right"/>
              <w:rPr>
                <w:b/>
              </w:rPr>
            </w:pPr>
          </w:p>
        </w:tc>
      </w:tr>
      <w:tr w:rsidR="00FE57F6" w:rsidRPr="00582E24" w14:paraId="1CF12BA1" w14:textId="77777777" w:rsidTr="00C538FC">
        <w:trPr>
          <w:cantSplit/>
        </w:trPr>
        <w:tc>
          <w:tcPr>
            <w:tcW w:w="9214" w:type="dxa"/>
            <w:gridSpan w:val="2"/>
            <w:tcMar>
              <w:left w:w="0" w:type="dxa"/>
            </w:tcMar>
          </w:tcPr>
          <w:p w14:paraId="0042C7A1" w14:textId="77777777" w:rsidR="00FE57F6" w:rsidRPr="00582E24" w:rsidRDefault="00157AC4" w:rsidP="00C538FC">
            <w:pPr>
              <w:pStyle w:val="Source"/>
              <w:jc w:val="left"/>
              <w:rPr>
                <w:sz w:val="34"/>
                <w:szCs w:val="34"/>
              </w:rPr>
            </w:pPr>
            <w:r w:rsidRPr="00582E24">
              <w:rPr>
                <w:rFonts w:cstheme="minorHAnsi"/>
                <w:sz w:val="34"/>
                <w:szCs w:val="34"/>
              </w:rPr>
              <w:t>Informe de la Secretaria General</w:t>
            </w:r>
          </w:p>
        </w:tc>
      </w:tr>
      <w:tr w:rsidR="00FE57F6" w:rsidRPr="00582E24" w14:paraId="4CC72DB7" w14:textId="77777777" w:rsidTr="00C538FC">
        <w:trPr>
          <w:cantSplit/>
        </w:trPr>
        <w:tc>
          <w:tcPr>
            <w:tcW w:w="9214" w:type="dxa"/>
            <w:gridSpan w:val="2"/>
            <w:tcMar>
              <w:left w:w="0" w:type="dxa"/>
            </w:tcMar>
          </w:tcPr>
          <w:p w14:paraId="6B23858C" w14:textId="3D8CF2BF" w:rsidR="00FE57F6" w:rsidRPr="00582E24" w:rsidRDefault="0066497C" w:rsidP="0066497C">
            <w:pPr>
              <w:pStyle w:val="Subtitle"/>
              <w:framePr w:hSpace="0" w:wrap="auto" w:vAnchor="margin" w:hAnchor="text" w:xAlign="left" w:yAlign="inline"/>
            </w:pPr>
            <w:r w:rsidRPr="00582E24">
              <w:t xml:space="preserve">INFORME DE </w:t>
            </w:r>
            <w:proofErr w:type="gramStart"/>
            <w:r w:rsidRPr="00582E24">
              <w:t>GESTIÓN FINANCIERA Y ESTADOS FINANCIEROS</w:t>
            </w:r>
            <w:proofErr w:type="gramEnd"/>
            <w:r w:rsidRPr="00582E24">
              <w:t xml:space="preserve"> AUDITADOS PARA EL EJERCICIO 2024</w:t>
            </w:r>
          </w:p>
        </w:tc>
      </w:tr>
      <w:tr w:rsidR="00FE57F6" w:rsidRPr="00582E24" w14:paraId="72EEA901" w14:textId="77777777" w:rsidTr="00C538FC">
        <w:trPr>
          <w:cantSplit/>
        </w:trPr>
        <w:tc>
          <w:tcPr>
            <w:tcW w:w="9214" w:type="dxa"/>
            <w:gridSpan w:val="2"/>
            <w:tcBorders>
              <w:top w:val="single" w:sz="4" w:space="0" w:color="auto"/>
              <w:bottom w:val="single" w:sz="4" w:space="0" w:color="auto"/>
            </w:tcBorders>
            <w:tcMar>
              <w:left w:w="0" w:type="dxa"/>
            </w:tcMar>
          </w:tcPr>
          <w:p w14:paraId="1031A804" w14:textId="77777777" w:rsidR="00FE57F6" w:rsidRPr="00582E24" w:rsidRDefault="00F24B71" w:rsidP="00C538FC">
            <w:pPr>
              <w:spacing w:before="160"/>
              <w:rPr>
                <w:b/>
                <w:bCs/>
                <w:sz w:val="26"/>
                <w:szCs w:val="26"/>
              </w:rPr>
            </w:pPr>
            <w:r w:rsidRPr="00582E24">
              <w:rPr>
                <w:b/>
                <w:bCs/>
                <w:sz w:val="26"/>
                <w:szCs w:val="26"/>
              </w:rPr>
              <w:t>Finalidad</w:t>
            </w:r>
          </w:p>
          <w:p w14:paraId="6C11399E" w14:textId="1E45BFB2" w:rsidR="0066497C" w:rsidRPr="00582E24" w:rsidRDefault="0066497C" w:rsidP="0066497C">
            <w:r w:rsidRPr="00582E24">
              <w:t>En virtud de lo dispuesto en el número 101 del Convenio de la Unión Internacional de Telecomunicaciones y en el Artículo 30 del Reglamento Financiero de la Unión, el Secretario General ha de presentar cada año un informe de gestión financiera al Consejo.</w:t>
            </w:r>
          </w:p>
          <w:p w14:paraId="6BDC59E8" w14:textId="77777777" w:rsidR="0066497C" w:rsidRPr="00582E24" w:rsidRDefault="0066497C" w:rsidP="0066497C">
            <w:r w:rsidRPr="00582E24">
              <w:t>El informe de gestión financiera para el ejercicio 2024 abarca:</w:t>
            </w:r>
          </w:p>
          <w:p w14:paraId="5C074F75" w14:textId="1C01FC12" w:rsidR="00FE57F6" w:rsidRPr="00582E24" w:rsidRDefault="00645F48" w:rsidP="0066497C">
            <w:pPr>
              <w:pStyle w:val="enumlev1"/>
            </w:pPr>
            <w:r w:rsidRPr="00582E24">
              <w:rPr>
                <w:rFonts w:eastAsia="Calibri"/>
              </w:rPr>
              <w:t>•</w:t>
            </w:r>
            <w:r w:rsidRPr="00582E24">
              <w:rPr>
                <w:rFonts w:eastAsia="Calibri"/>
              </w:rPr>
              <w:tab/>
            </w:r>
            <w:r w:rsidR="0066497C" w:rsidRPr="00582E24">
              <w:t>Las cuentas auditadas del presupuesto de la Unión y de los fondos extrapresupuestarios correspondientes al ejercicio 2024.</w:t>
            </w:r>
          </w:p>
          <w:p w14:paraId="1F802993" w14:textId="77777777" w:rsidR="00FE57F6" w:rsidRPr="00582E24" w:rsidRDefault="00F24B71" w:rsidP="00C538FC">
            <w:pPr>
              <w:spacing w:before="160"/>
              <w:rPr>
                <w:b/>
                <w:bCs/>
                <w:sz w:val="26"/>
                <w:szCs w:val="26"/>
              </w:rPr>
            </w:pPr>
            <w:r w:rsidRPr="00582E24">
              <w:rPr>
                <w:b/>
                <w:bCs/>
                <w:sz w:val="26"/>
                <w:szCs w:val="26"/>
              </w:rPr>
              <w:t xml:space="preserve">Acción solicitada </w:t>
            </w:r>
            <w:r w:rsidR="00677A97" w:rsidRPr="00582E24">
              <w:rPr>
                <w:b/>
                <w:bCs/>
                <w:sz w:val="26"/>
                <w:szCs w:val="26"/>
              </w:rPr>
              <w:t>al</w:t>
            </w:r>
            <w:r w:rsidRPr="00582E24">
              <w:rPr>
                <w:b/>
                <w:bCs/>
                <w:sz w:val="26"/>
                <w:szCs w:val="26"/>
              </w:rPr>
              <w:t xml:space="preserve"> Consejo</w:t>
            </w:r>
          </w:p>
          <w:p w14:paraId="4223E7DE" w14:textId="77777777" w:rsidR="0066497C" w:rsidRPr="00582E24" w:rsidRDefault="0066497C" w:rsidP="0066497C">
            <w:pPr>
              <w:spacing w:before="160"/>
              <w:rPr>
                <w:szCs w:val="24"/>
              </w:rPr>
            </w:pPr>
            <w:r w:rsidRPr="00582E24">
              <w:rPr>
                <w:szCs w:val="24"/>
              </w:rPr>
              <w:t xml:space="preserve">El informe de gestión financiera sobre las cuentas auditadas y el proyecto de Resolución que figura en el </w:t>
            </w:r>
            <w:hyperlink w:anchor="Annex_A" w:history="1">
              <w:r w:rsidRPr="00582E24">
                <w:rPr>
                  <w:rStyle w:val="Hyperlink"/>
                  <w:szCs w:val="24"/>
                </w:rPr>
                <w:t>Anexo A</w:t>
              </w:r>
              <w:r w:rsidRPr="00582E24">
                <w:rPr>
                  <w:rStyle w:val="Hyperlink"/>
                  <w:szCs w:val="24"/>
                  <w:u w:val="none"/>
                </w:rPr>
                <w:t xml:space="preserve"> </w:t>
              </w:r>
            </w:hyperlink>
            <w:r w:rsidRPr="00582E24">
              <w:rPr>
                <w:szCs w:val="24"/>
              </w:rPr>
              <w:t>se someten a la</w:t>
            </w:r>
            <w:r w:rsidRPr="00582E24">
              <w:rPr>
                <w:b/>
                <w:bCs/>
                <w:szCs w:val="24"/>
              </w:rPr>
              <w:t xml:space="preserve"> consideración </w:t>
            </w:r>
            <w:r w:rsidRPr="00582E24">
              <w:rPr>
                <w:szCs w:val="24"/>
              </w:rPr>
              <w:t xml:space="preserve">y </w:t>
            </w:r>
            <w:r w:rsidRPr="00582E24">
              <w:rPr>
                <w:b/>
                <w:bCs/>
                <w:szCs w:val="24"/>
              </w:rPr>
              <w:t xml:space="preserve">aprobación </w:t>
            </w:r>
            <w:r w:rsidRPr="00582E24">
              <w:rPr>
                <w:szCs w:val="24"/>
              </w:rPr>
              <w:t>del Consejo.</w:t>
            </w:r>
          </w:p>
          <w:p w14:paraId="12C7BFBA" w14:textId="7682FE78" w:rsidR="00F92BED" w:rsidRPr="00582E24" w:rsidRDefault="0066497C" w:rsidP="0066497C">
            <w:pPr>
              <w:spacing w:before="160"/>
              <w:rPr>
                <w:szCs w:val="24"/>
              </w:rPr>
            </w:pPr>
            <w:r w:rsidRPr="00582E24">
              <w:rPr>
                <w:szCs w:val="24"/>
              </w:rPr>
              <w:t>Una vez examinado y aprobado por el Consejo, el informe se remitirá a los Estados Miembros y a los Miembros de Sector.</w:t>
            </w:r>
          </w:p>
          <w:p w14:paraId="5747478B" w14:textId="77777777" w:rsidR="00FE57F6" w:rsidRPr="00582E24" w:rsidRDefault="00FE57F6" w:rsidP="00C538FC">
            <w:pPr>
              <w:spacing w:before="160"/>
              <w:rPr>
                <w:caps/>
                <w:sz w:val="22"/>
              </w:rPr>
            </w:pPr>
            <w:r w:rsidRPr="00582E24">
              <w:rPr>
                <w:sz w:val="22"/>
              </w:rPr>
              <w:t>__________________</w:t>
            </w:r>
          </w:p>
          <w:p w14:paraId="649076DC" w14:textId="368A9931" w:rsidR="00FE57F6" w:rsidRPr="00582E24" w:rsidRDefault="00F24B71" w:rsidP="00C538FC">
            <w:pPr>
              <w:spacing w:before="160"/>
              <w:rPr>
                <w:b/>
                <w:bCs/>
                <w:sz w:val="26"/>
                <w:szCs w:val="26"/>
              </w:rPr>
            </w:pPr>
            <w:r w:rsidRPr="00582E24">
              <w:rPr>
                <w:b/>
                <w:bCs/>
                <w:sz w:val="26"/>
                <w:szCs w:val="26"/>
              </w:rPr>
              <w:t>Referencia</w:t>
            </w:r>
            <w:r w:rsidR="00F92BED" w:rsidRPr="00582E24">
              <w:rPr>
                <w:b/>
                <w:bCs/>
                <w:sz w:val="26"/>
                <w:szCs w:val="26"/>
              </w:rPr>
              <w:t>s</w:t>
            </w:r>
          </w:p>
          <w:p w14:paraId="617F05FD" w14:textId="5EF45B0E" w:rsidR="0066497C" w:rsidRPr="00582E24" w:rsidRDefault="0066497C" w:rsidP="0066497C">
            <w:pPr>
              <w:rPr>
                <w:i/>
                <w:iCs/>
              </w:rPr>
            </w:pPr>
            <w:hyperlink r:id="rId8" w:history="1">
              <w:r w:rsidRPr="00582E24">
                <w:rPr>
                  <w:rStyle w:val="Hyperlink"/>
                  <w:i/>
                  <w:iCs/>
                  <w:szCs w:val="24"/>
                </w:rPr>
                <w:t>Número 101</w:t>
              </w:r>
            </w:hyperlink>
            <w:r w:rsidRPr="00582E24">
              <w:rPr>
                <w:i/>
                <w:iCs/>
              </w:rPr>
              <w:t xml:space="preserve"> del Convenio de la UIT</w:t>
            </w:r>
          </w:p>
          <w:p w14:paraId="152CCE2F" w14:textId="6115B351" w:rsidR="00FE57F6" w:rsidRPr="00582E24" w:rsidRDefault="0066497C" w:rsidP="0066497C">
            <w:hyperlink r:id="rId9" w:history="1">
              <w:r w:rsidRPr="00582E24">
                <w:rPr>
                  <w:rStyle w:val="Hyperlink"/>
                  <w:i/>
                  <w:iCs/>
                  <w:szCs w:val="24"/>
                </w:rPr>
                <w:t>Artículo 30</w:t>
              </w:r>
            </w:hyperlink>
            <w:r w:rsidRPr="00582E24">
              <w:rPr>
                <w:i/>
                <w:iCs/>
              </w:rPr>
              <w:t xml:space="preserve"> del Reglamento Financiero de la Unión</w:t>
            </w:r>
          </w:p>
        </w:tc>
      </w:tr>
      <w:bookmarkEnd w:id="0"/>
    </w:tbl>
    <w:p w14:paraId="48D67397" w14:textId="77777777" w:rsidR="00093EEB" w:rsidRPr="00582E24" w:rsidRDefault="00093EEB"/>
    <w:p w14:paraId="661D34CE" w14:textId="77777777" w:rsidR="001559F5" w:rsidRPr="00582E24" w:rsidRDefault="001559F5">
      <w:pPr>
        <w:tabs>
          <w:tab w:val="clear" w:pos="567"/>
          <w:tab w:val="clear" w:pos="1134"/>
          <w:tab w:val="clear" w:pos="1701"/>
          <w:tab w:val="clear" w:pos="2268"/>
          <w:tab w:val="clear" w:pos="2835"/>
        </w:tabs>
        <w:overflowPunct/>
        <w:autoSpaceDE/>
        <w:autoSpaceDN/>
        <w:adjustRightInd/>
        <w:spacing w:before="0"/>
        <w:textAlignment w:val="auto"/>
      </w:pPr>
      <w:r w:rsidRPr="00582E24">
        <w:br w:type="page"/>
      </w:r>
    </w:p>
    <w:p w14:paraId="65C8B599" w14:textId="77777777" w:rsidR="0066497C" w:rsidRPr="00582E24" w:rsidRDefault="0066497C" w:rsidP="0066497C">
      <w:pPr>
        <w:pStyle w:val="Annextitle"/>
      </w:pPr>
      <w:r w:rsidRPr="00582E24">
        <w:lastRenderedPageBreak/>
        <w:t>Informe de Gestión Financiera</w:t>
      </w:r>
    </w:p>
    <w:p w14:paraId="6DABDD10" w14:textId="77777777" w:rsidR="0066497C" w:rsidRPr="00582E24" w:rsidRDefault="0066497C" w:rsidP="0066497C">
      <w:pPr>
        <w:tabs>
          <w:tab w:val="clear" w:pos="567"/>
          <w:tab w:val="clear" w:pos="1134"/>
          <w:tab w:val="clear" w:pos="1701"/>
          <w:tab w:val="clear" w:pos="2268"/>
          <w:tab w:val="clear" w:pos="2835"/>
        </w:tabs>
        <w:overflowPunct/>
        <w:autoSpaceDE/>
        <w:autoSpaceDN/>
        <w:adjustRightInd/>
        <w:spacing w:before="0"/>
        <w:jc w:val="center"/>
        <w:textAlignment w:val="auto"/>
      </w:pPr>
      <w:r w:rsidRPr="00582E24">
        <w:t>ÍNDICE</w:t>
      </w:r>
    </w:p>
    <w:p w14:paraId="622B9125" w14:textId="30A603BF" w:rsidR="00F47154" w:rsidRPr="00582E24" w:rsidRDefault="002C0A35" w:rsidP="00F47154">
      <w:pPr>
        <w:pStyle w:val="toc0"/>
        <w:jc w:val="right"/>
        <w:rPr>
          <w:b w:val="0"/>
        </w:rPr>
      </w:pPr>
      <w:r w:rsidRPr="00582E24">
        <w:t>Página</w:t>
      </w:r>
    </w:p>
    <w:p w14:paraId="22DA24B5" w14:textId="2AE71FE1" w:rsidR="005D3954" w:rsidRPr="00582E24" w:rsidRDefault="005D3954" w:rsidP="006A2221">
      <w:pPr>
        <w:pStyle w:val="TOC1"/>
        <w:tabs>
          <w:tab w:val="clear" w:pos="8789"/>
          <w:tab w:val="left" w:leader="dot" w:pos="8820"/>
        </w:tabs>
        <w:rPr>
          <w:rFonts w:asciiTheme="minorHAnsi" w:eastAsiaTheme="minorEastAsia" w:hAnsiTheme="minorHAnsi" w:cstheme="minorBidi"/>
          <w:noProof/>
          <w:sz w:val="22"/>
          <w:szCs w:val="22"/>
          <w:lang w:eastAsia="zh-CN"/>
        </w:rPr>
      </w:pPr>
      <w:r w:rsidRPr="00582E24">
        <w:rPr>
          <w:b/>
          <w:i/>
          <w:iCs/>
        </w:rPr>
        <w:fldChar w:fldCharType="begin"/>
      </w:r>
      <w:r w:rsidRPr="00582E24">
        <w:rPr>
          <w:b/>
          <w:i/>
          <w:iCs/>
        </w:rPr>
        <w:instrText xml:space="preserve"> TOC \h \z \t "Heading 1,1,Annex_No,1,Rec_title,1" </w:instrText>
      </w:r>
      <w:r w:rsidRPr="00582E24">
        <w:rPr>
          <w:b/>
          <w:i/>
          <w:iCs/>
        </w:rPr>
        <w:fldChar w:fldCharType="separate"/>
      </w:r>
      <w:hyperlink w:anchor="_Toc200461916" w:history="1">
        <w:r w:rsidRPr="00582E24">
          <w:rPr>
            <w:rStyle w:val="Hyperlink"/>
            <w:noProof/>
          </w:rPr>
          <w:t>Prefacio a los estados financieros de 2024</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_Toc200461916 \h </w:instrText>
        </w:r>
        <w:r w:rsidRPr="00582E24">
          <w:rPr>
            <w:noProof/>
            <w:webHidden/>
          </w:rPr>
        </w:r>
        <w:r w:rsidRPr="00582E24">
          <w:rPr>
            <w:noProof/>
            <w:webHidden/>
          </w:rPr>
          <w:fldChar w:fldCharType="separate"/>
        </w:r>
        <w:r w:rsidR="00F62802">
          <w:rPr>
            <w:noProof/>
            <w:webHidden/>
          </w:rPr>
          <w:t>4</w:t>
        </w:r>
        <w:r w:rsidRPr="00582E24">
          <w:rPr>
            <w:noProof/>
            <w:webHidden/>
          </w:rPr>
          <w:fldChar w:fldCharType="end"/>
        </w:r>
      </w:hyperlink>
    </w:p>
    <w:p w14:paraId="25BF0846" w14:textId="53F72594" w:rsidR="005D3954" w:rsidRPr="00582E24" w:rsidRDefault="005D3954">
      <w:pPr>
        <w:pStyle w:val="TOC1"/>
        <w:rPr>
          <w:rFonts w:asciiTheme="minorHAnsi" w:eastAsiaTheme="minorEastAsia" w:hAnsiTheme="minorHAnsi" w:cstheme="minorBidi"/>
          <w:noProof/>
          <w:sz w:val="22"/>
          <w:szCs w:val="22"/>
          <w:lang w:eastAsia="zh-CN"/>
        </w:rPr>
      </w:pPr>
      <w:hyperlink w:anchor="_Toc200461917" w:history="1">
        <w:r w:rsidRPr="00582E24">
          <w:rPr>
            <w:rStyle w:val="Hyperlink"/>
            <w:noProof/>
          </w:rPr>
          <w:t>Introducción</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_Toc200461917 \h </w:instrText>
        </w:r>
        <w:r w:rsidRPr="00582E24">
          <w:rPr>
            <w:noProof/>
            <w:webHidden/>
          </w:rPr>
        </w:r>
        <w:r w:rsidRPr="00582E24">
          <w:rPr>
            <w:noProof/>
            <w:webHidden/>
          </w:rPr>
          <w:fldChar w:fldCharType="separate"/>
        </w:r>
        <w:r w:rsidR="00F62802">
          <w:rPr>
            <w:noProof/>
            <w:webHidden/>
          </w:rPr>
          <w:t>7</w:t>
        </w:r>
        <w:r w:rsidRPr="00582E24">
          <w:rPr>
            <w:noProof/>
            <w:webHidden/>
          </w:rPr>
          <w:fldChar w:fldCharType="end"/>
        </w:r>
      </w:hyperlink>
    </w:p>
    <w:p w14:paraId="2CAD3B13" w14:textId="2A4A0CB4" w:rsidR="005D3954" w:rsidRPr="00582E24" w:rsidRDefault="005D3954">
      <w:pPr>
        <w:pStyle w:val="TOC1"/>
        <w:rPr>
          <w:rFonts w:asciiTheme="minorHAnsi" w:eastAsiaTheme="minorEastAsia" w:hAnsiTheme="minorHAnsi" w:cstheme="minorBidi"/>
          <w:noProof/>
          <w:sz w:val="22"/>
          <w:szCs w:val="22"/>
          <w:lang w:eastAsia="zh-CN"/>
        </w:rPr>
      </w:pPr>
      <w:hyperlink w:anchor="_Toc200461918" w:history="1">
        <w:r w:rsidRPr="00582E24">
          <w:rPr>
            <w:rStyle w:val="Hyperlink"/>
            <w:noProof/>
          </w:rPr>
          <w:t>Aspectos destacados del informe de gestión financiera para 2024</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_Toc200461918 \h </w:instrText>
        </w:r>
        <w:r w:rsidRPr="00582E24">
          <w:rPr>
            <w:noProof/>
            <w:webHidden/>
          </w:rPr>
        </w:r>
        <w:r w:rsidRPr="00582E24">
          <w:rPr>
            <w:noProof/>
            <w:webHidden/>
          </w:rPr>
          <w:fldChar w:fldCharType="separate"/>
        </w:r>
        <w:r w:rsidR="00F62802">
          <w:rPr>
            <w:noProof/>
            <w:webHidden/>
          </w:rPr>
          <w:t>7</w:t>
        </w:r>
        <w:r w:rsidRPr="00582E24">
          <w:rPr>
            <w:noProof/>
            <w:webHidden/>
          </w:rPr>
          <w:fldChar w:fldCharType="end"/>
        </w:r>
      </w:hyperlink>
    </w:p>
    <w:p w14:paraId="0CC012FC" w14:textId="32DF1320" w:rsidR="005D3954" w:rsidRPr="00582E24" w:rsidRDefault="005D3954">
      <w:pPr>
        <w:pStyle w:val="TOC1"/>
        <w:rPr>
          <w:rFonts w:asciiTheme="minorHAnsi" w:eastAsiaTheme="minorEastAsia" w:hAnsiTheme="minorHAnsi" w:cstheme="minorBidi"/>
          <w:noProof/>
          <w:sz w:val="22"/>
          <w:szCs w:val="22"/>
          <w:lang w:eastAsia="zh-CN"/>
        </w:rPr>
      </w:pPr>
      <w:hyperlink w:anchor="_Toc200461919" w:history="1">
        <w:r w:rsidRPr="00582E24">
          <w:rPr>
            <w:rStyle w:val="Hyperlink"/>
            <w:noProof/>
          </w:rPr>
          <w:t>Declaración de control interno correspondiente a 2024</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_Toc200461919 \h </w:instrText>
        </w:r>
        <w:r w:rsidRPr="00582E24">
          <w:rPr>
            <w:noProof/>
            <w:webHidden/>
          </w:rPr>
        </w:r>
        <w:r w:rsidRPr="00582E24">
          <w:rPr>
            <w:noProof/>
            <w:webHidden/>
          </w:rPr>
          <w:fldChar w:fldCharType="separate"/>
        </w:r>
        <w:r w:rsidR="00F62802">
          <w:rPr>
            <w:noProof/>
            <w:webHidden/>
          </w:rPr>
          <w:t>15</w:t>
        </w:r>
        <w:r w:rsidRPr="00582E24">
          <w:rPr>
            <w:noProof/>
            <w:webHidden/>
          </w:rPr>
          <w:fldChar w:fldCharType="end"/>
        </w:r>
      </w:hyperlink>
    </w:p>
    <w:p w14:paraId="3FA5012C" w14:textId="5ED37BA9" w:rsidR="005D3954" w:rsidRPr="00582E24" w:rsidRDefault="005D3954">
      <w:pPr>
        <w:pStyle w:val="TOC1"/>
        <w:rPr>
          <w:rFonts w:asciiTheme="minorHAnsi" w:eastAsiaTheme="minorEastAsia" w:hAnsiTheme="minorHAnsi" w:cstheme="minorBidi"/>
          <w:noProof/>
          <w:sz w:val="22"/>
          <w:szCs w:val="22"/>
          <w:lang w:eastAsia="zh-CN"/>
        </w:rPr>
      </w:pPr>
      <w:hyperlink w:anchor="_Toc200461920" w:history="1">
        <w:r w:rsidRPr="00582E24">
          <w:rPr>
            <w:rStyle w:val="Hyperlink"/>
            <w:noProof/>
          </w:rPr>
          <w:t>Opinión de auditoría externa</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_Toc200461920 \h </w:instrText>
        </w:r>
        <w:r w:rsidRPr="00582E24">
          <w:rPr>
            <w:noProof/>
            <w:webHidden/>
          </w:rPr>
        </w:r>
        <w:r w:rsidRPr="00582E24">
          <w:rPr>
            <w:noProof/>
            <w:webHidden/>
          </w:rPr>
          <w:fldChar w:fldCharType="separate"/>
        </w:r>
        <w:r w:rsidR="00F62802">
          <w:rPr>
            <w:noProof/>
            <w:webHidden/>
          </w:rPr>
          <w:t>25</w:t>
        </w:r>
        <w:r w:rsidRPr="00582E24">
          <w:rPr>
            <w:noProof/>
            <w:webHidden/>
          </w:rPr>
          <w:fldChar w:fldCharType="end"/>
        </w:r>
      </w:hyperlink>
    </w:p>
    <w:p w14:paraId="382AD498" w14:textId="7D547D47" w:rsidR="005D3954" w:rsidRPr="00582E24" w:rsidRDefault="005D3954">
      <w:pPr>
        <w:pStyle w:val="TOC1"/>
        <w:rPr>
          <w:rFonts w:asciiTheme="minorHAnsi" w:eastAsiaTheme="minorEastAsia" w:hAnsiTheme="minorHAnsi" w:cstheme="minorBidi"/>
          <w:noProof/>
          <w:sz w:val="22"/>
          <w:szCs w:val="22"/>
          <w:lang w:eastAsia="zh-CN"/>
        </w:rPr>
      </w:pPr>
      <w:hyperlink w:anchor="_Toc200461921" w:history="1">
        <w:r w:rsidRPr="00582E24">
          <w:rPr>
            <w:rStyle w:val="Hyperlink"/>
            <w:noProof/>
          </w:rPr>
          <w:t>Estados financieros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_Toc200461921 \h </w:instrText>
        </w:r>
        <w:r w:rsidRPr="00582E24">
          <w:rPr>
            <w:noProof/>
            <w:webHidden/>
          </w:rPr>
        </w:r>
        <w:r w:rsidRPr="00582E24">
          <w:rPr>
            <w:noProof/>
            <w:webHidden/>
          </w:rPr>
          <w:fldChar w:fldCharType="separate"/>
        </w:r>
        <w:r w:rsidR="00F62802">
          <w:rPr>
            <w:noProof/>
            <w:webHidden/>
          </w:rPr>
          <w:t>29</w:t>
        </w:r>
        <w:r w:rsidRPr="00582E24">
          <w:rPr>
            <w:noProof/>
            <w:webHidden/>
          </w:rPr>
          <w:fldChar w:fldCharType="end"/>
        </w:r>
      </w:hyperlink>
    </w:p>
    <w:p w14:paraId="5E2A9C5D" w14:textId="7CAF0601" w:rsidR="005D3954" w:rsidRPr="00582E24" w:rsidRDefault="005D3954">
      <w:pPr>
        <w:pStyle w:val="TOC1"/>
        <w:rPr>
          <w:rFonts w:asciiTheme="minorHAnsi" w:eastAsiaTheme="minorEastAsia" w:hAnsiTheme="minorHAnsi" w:cstheme="minorBidi"/>
          <w:noProof/>
          <w:sz w:val="22"/>
          <w:szCs w:val="22"/>
          <w:lang w:eastAsia="zh-CN"/>
        </w:rPr>
      </w:pPr>
      <w:hyperlink w:anchor="_Toc200461922" w:history="1">
        <w:r w:rsidRPr="00582E24">
          <w:rPr>
            <w:rStyle w:val="Hyperlink"/>
            <w:noProof/>
          </w:rPr>
          <w:t>Notas a los estados financieros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_Toc200461922 \h </w:instrText>
        </w:r>
        <w:r w:rsidRPr="00582E24">
          <w:rPr>
            <w:noProof/>
            <w:webHidden/>
          </w:rPr>
        </w:r>
        <w:r w:rsidRPr="00582E24">
          <w:rPr>
            <w:noProof/>
            <w:webHidden/>
          </w:rPr>
          <w:fldChar w:fldCharType="separate"/>
        </w:r>
        <w:r w:rsidR="00F62802">
          <w:rPr>
            <w:noProof/>
            <w:webHidden/>
          </w:rPr>
          <w:t>34</w:t>
        </w:r>
        <w:r w:rsidRPr="00582E24">
          <w:rPr>
            <w:noProof/>
            <w:webHidden/>
          </w:rPr>
          <w:fldChar w:fldCharType="end"/>
        </w:r>
      </w:hyperlink>
    </w:p>
    <w:p w14:paraId="23BD9120" w14:textId="79F9A9E6" w:rsidR="005D3954" w:rsidRPr="00582E24" w:rsidRDefault="005D3954">
      <w:pPr>
        <w:pStyle w:val="TOC1"/>
        <w:rPr>
          <w:rFonts w:asciiTheme="minorHAnsi" w:eastAsiaTheme="minorEastAsia" w:hAnsiTheme="minorHAnsi" w:cstheme="minorBidi"/>
          <w:noProof/>
          <w:sz w:val="22"/>
          <w:szCs w:val="22"/>
          <w:lang w:eastAsia="zh-CN"/>
        </w:rPr>
      </w:pPr>
      <w:hyperlink w:anchor="_Toc200461923" w:history="1">
        <w:r w:rsidRPr="00582E24">
          <w:rPr>
            <w:rStyle w:val="Hyperlink"/>
            <w:noProof/>
          </w:rPr>
          <w:t>Nota 1</w:t>
        </w:r>
        <w:r w:rsidRPr="00582E24">
          <w:rPr>
            <w:rFonts w:asciiTheme="minorHAnsi" w:eastAsiaTheme="minorEastAsia" w:hAnsiTheme="minorHAnsi" w:cstheme="minorBidi"/>
            <w:noProof/>
            <w:sz w:val="22"/>
            <w:szCs w:val="22"/>
            <w:lang w:eastAsia="zh-CN"/>
          </w:rPr>
          <w:tab/>
        </w:r>
        <w:r w:rsidRPr="00582E24">
          <w:rPr>
            <w:rStyle w:val="Hyperlink"/>
            <w:noProof/>
          </w:rPr>
          <w:t>Objetivos de la Unión</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_Toc200461923 \h </w:instrText>
        </w:r>
        <w:r w:rsidRPr="00582E24">
          <w:rPr>
            <w:noProof/>
            <w:webHidden/>
          </w:rPr>
        </w:r>
        <w:r w:rsidRPr="00582E24">
          <w:rPr>
            <w:noProof/>
            <w:webHidden/>
          </w:rPr>
          <w:fldChar w:fldCharType="separate"/>
        </w:r>
        <w:r w:rsidR="00F62802">
          <w:rPr>
            <w:noProof/>
            <w:webHidden/>
          </w:rPr>
          <w:t>34</w:t>
        </w:r>
        <w:r w:rsidRPr="00582E24">
          <w:rPr>
            <w:noProof/>
            <w:webHidden/>
          </w:rPr>
          <w:fldChar w:fldCharType="end"/>
        </w:r>
      </w:hyperlink>
    </w:p>
    <w:p w14:paraId="3A753D56" w14:textId="3421F8B5" w:rsidR="005D3954" w:rsidRPr="00582E24" w:rsidRDefault="005D3954">
      <w:pPr>
        <w:pStyle w:val="TOC1"/>
        <w:rPr>
          <w:rFonts w:asciiTheme="minorHAnsi" w:eastAsiaTheme="minorEastAsia" w:hAnsiTheme="minorHAnsi" w:cstheme="minorBidi"/>
          <w:noProof/>
          <w:sz w:val="22"/>
          <w:szCs w:val="22"/>
          <w:lang w:eastAsia="zh-CN"/>
        </w:rPr>
      </w:pPr>
      <w:hyperlink w:anchor="_Toc200461924" w:history="1">
        <w:r w:rsidRPr="00582E24">
          <w:rPr>
            <w:rStyle w:val="Hyperlink"/>
            <w:noProof/>
          </w:rPr>
          <w:t>Nota 2</w:t>
        </w:r>
        <w:r w:rsidRPr="00582E24">
          <w:rPr>
            <w:rFonts w:asciiTheme="minorHAnsi" w:eastAsiaTheme="minorEastAsia" w:hAnsiTheme="minorHAnsi" w:cstheme="minorBidi"/>
            <w:noProof/>
            <w:sz w:val="22"/>
            <w:szCs w:val="22"/>
            <w:lang w:eastAsia="zh-CN"/>
          </w:rPr>
          <w:tab/>
        </w:r>
        <w:r w:rsidRPr="00582E24">
          <w:rPr>
            <w:rStyle w:val="Hyperlink"/>
            <w:noProof/>
          </w:rPr>
          <w:t>Bases para la preparación y presentación</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_Toc200461924 \h </w:instrText>
        </w:r>
        <w:r w:rsidRPr="00582E24">
          <w:rPr>
            <w:noProof/>
            <w:webHidden/>
          </w:rPr>
        </w:r>
        <w:r w:rsidRPr="00582E24">
          <w:rPr>
            <w:noProof/>
            <w:webHidden/>
          </w:rPr>
          <w:fldChar w:fldCharType="separate"/>
        </w:r>
        <w:r w:rsidR="00F62802">
          <w:rPr>
            <w:noProof/>
            <w:webHidden/>
          </w:rPr>
          <w:t>35</w:t>
        </w:r>
        <w:r w:rsidRPr="00582E24">
          <w:rPr>
            <w:noProof/>
            <w:webHidden/>
          </w:rPr>
          <w:fldChar w:fldCharType="end"/>
        </w:r>
      </w:hyperlink>
    </w:p>
    <w:p w14:paraId="3EBED55F" w14:textId="6E9171DC" w:rsidR="005D3954" w:rsidRPr="00582E24" w:rsidRDefault="005D3954">
      <w:pPr>
        <w:pStyle w:val="TOC1"/>
        <w:rPr>
          <w:rFonts w:asciiTheme="minorHAnsi" w:eastAsiaTheme="minorEastAsia" w:hAnsiTheme="minorHAnsi" w:cstheme="minorBidi"/>
          <w:noProof/>
          <w:sz w:val="22"/>
          <w:szCs w:val="22"/>
          <w:lang w:eastAsia="zh-CN"/>
        </w:rPr>
      </w:pPr>
      <w:hyperlink w:anchor="_Toc200461925" w:history="1">
        <w:r w:rsidRPr="00582E24">
          <w:rPr>
            <w:rStyle w:val="Hyperlink"/>
            <w:noProof/>
          </w:rPr>
          <w:t>Nota 3</w:t>
        </w:r>
        <w:r w:rsidRPr="00582E24">
          <w:rPr>
            <w:rFonts w:asciiTheme="minorHAnsi" w:eastAsiaTheme="minorEastAsia" w:hAnsiTheme="minorHAnsi" w:cstheme="minorBidi"/>
            <w:noProof/>
            <w:sz w:val="22"/>
            <w:szCs w:val="22"/>
            <w:lang w:eastAsia="zh-CN"/>
          </w:rPr>
          <w:tab/>
        </w:r>
        <w:r w:rsidRPr="00582E24">
          <w:rPr>
            <w:rStyle w:val="Hyperlink"/>
            <w:noProof/>
          </w:rPr>
          <w:t>Políticas contables principales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_Toc200461925 \h </w:instrText>
        </w:r>
        <w:r w:rsidRPr="00582E24">
          <w:rPr>
            <w:noProof/>
            <w:webHidden/>
          </w:rPr>
        </w:r>
        <w:r w:rsidRPr="00582E24">
          <w:rPr>
            <w:noProof/>
            <w:webHidden/>
          </w:rPr>
          <w:fldChar w:fldCharType="separate"/>
        </w:r>
        <w:r w:rsidR="00F62802">
          <w:rPr>
            <w:noProof/>
            <w:webHidden/>
          </w:rPr>
          <w:t>37</w:t>
        </w:r>
        <w:r w:rsidRPr="00582E24">
          <w:rPr>
            <w:noProof/>
            <w:webHidden/>
          </w:rPr>
          <w:fldChar w:fldCharType="end"/>
        </w:r>
      </w:hyperlink>
    </w:p>
    <w:p w14:paraId="3A0C8224" w14:textId="4A64CEB4" w:rsidR="005D3954" w:rsidRPr="00582E24" w:rsidRDefault="005D3954">
      <w:pPr>
        <w:pStyle w:val="TOC1"/>
        <w:rPr>
          <w:rFonts w:asciiTheme="minorHAnsi" w:eastAsiaTheme="minorEastAsia" w:hAnsiTheme="minorHAnsi" w:cstheme="minorBidi"/>
          <w:noProof/>
          <w:sz w:val="22"/>
          <w:szCs w:val="22"/>
          <w:lang w:eastAsia="zh-CN"/>
        </w:rPr>
      </w:pPr>
      <w:hyperlink w:anchor="_Toc200461926" w:history="1">
        <w:r w:rsidRPr="00582E24">
          <w:rPr>
            <w:rStyle w:val="Hyperlink"/>
            <w:noProof/>
          </w:rPr>
          <w:t>Nota 4</w:t>
        </w:r>
        <w:r w:rsidRPr="00582E24">
          <w:rPr>
            <w:rFonts w:asciiTheme="minorHAnsi" w:eastAsiaTheme="minorEastAsia" w:hAnsiTheme="minorHAnsi" w:cstheme="minorBidi"/>
            <w:noProof/>
            <w:sz w:val="22"/>
            <w:szCs w:val="22"/>
            <w:lang w:eastAsia="zh-CN"/>
          </w:rPr>
          <w:tab/>
        </w:r>
        <w:r w:rsidRPr="00582E24">
          <w:rPr>
            <w:rStyle w:val="Hyperlink"/>
            <w:noProof/>
          </w:rPr>
          <w:t>Gestión de los activos netos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_Toc200461926 \h </w:instrText>
        </w:r>
        <w:r w:rsidRPr="00582E24">
          <w:rPr>
            <w:noProof/>
            <w:webHidden/>
          </w:rPr>
        </w:r>
        <w:r w:rsidRPr="00582E24">
          <w:rPr>
            <w:noProof/>
            <w:webHidden/>
          </w:rPr>
          <w:fldChar w:fldCharType="separate"/>
        </w:r>
        <w:r w:rsidR="00F62802">
          <w:rPr>
            <w:noProof/>
            <w:webHidden/>
          </w:rPr>
          <w:t>46</w:t>
        </w:r>
        <w:r w:rsidRPr="00582E24">
          <w:rPr>
            <w:noProof/>
            <w:webHidden/>
          </w:rPr>
          <w:fldChar w:fldCharType="end"/>
        </w:r>
      </w:hyperlink>
    </w:p>
    <w:p w14:paraId="0CE976BF" w14:textId="69406C6C" w:rsidR="005D3954" w:rsidRPr="00582E24" w:rsidRDefault="005D3954">
      <w:pPr>
        <w:pStyle w:val="TOC1"/>
        <w:rPr>
          <w:rFonts w:asciiTheme="minorHAnsi" w:eastAsiaTheme="minorEastAsia" w:hAnsiTheme="minorHAnsi" w:cstheme="minorBidi"/>
          <w:noProof/>
          <w:sz w:val="22"/>
          <w:szCs w:val="22"/>
          <w:lang w:eastAsia="zh-CN"/>
        </w:rPr>
      </w:pPr>
      <w:hyperlink w:anchor="_Toc200461927" w:history="1">
        <w:r w:rsidRPr="00582E24">
          <w:rPr>
            <w:rStyle w:val="Hyperlink"/>
            <w:noProof/>
          </w:rPr>
          <w:t>Nota 5</w:t>
        </w:r>
        <w:r w:rsidRPr="00582E24">
          <w:rPr>
            <w:rFonts w:asciiTheme="minorHAnsi" w:eastAsiaTheme="minorEastAsia" w:hAnsiTheme="minorHAnsi" w:cstheme="minorBidi"/>
            <w:noProof/>
            <w:sz w:val="22"/>
            <w:szCs w:val="22"/>
            <w:lang w:eastAsia="zh-CN"/>
          </w:rPr>
          <w:tab/>
        </w:r>
        <w:r w:rsidRPr="00582E24">
          <w:rPr>
            <w:rStyle w:val="Hyperlink"/>
            <w:noProof/>
          </w:rPr>
          <w:t>Riesgo financiero</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_Toc200461927 \h </w:instrText>
        </w:r>
        <w:r w:rsidRPr="00582E24">
          <w:rPr>
            <w:noProof/>
            <w:webHidden/>
          </w:rPr>
        </w:r>
        <w:r w:rsidRPr="00582E24">
          <w:rPr>
            <w:noProof/>
            <w:webHidden/>
          </w:rPr>
          <w:fldChar w:fldCharType="separate"/>
        </w:r>
        <w:r w:rsidR="00F62802">
          <w:rPr>
            <w:noProof/>
            <w:webHidden/>
          </w:rPr>
          <w:t>49</w:t>
        </w:r>
        <w:r w:rsidRPr="00582E24">
          <w:rPr>
            <w:noProof/>
            <w:webHidden/>
          </w:rPr>
          <w:fldChar w:fldCharType="end"/>
        </w:r>
      </w:hyperlink>
    </w:p>
    <w:p w14:paraId="737D44CA" w14:textId="0EA9B464" w:rsidR="005D3954" w:rsidRPr="00582E24" w:rsidRDefault="005D3954">
      <w:pPr>
        <w:pStyle w:val="TOC1"/>
        <w:rPr>
          <w:rFonts w:asciiTheme="minorHAnsi" w:eastAsiaTheme="minorEastAsia" w:hAnsiTheme="minorHAnsi" w:cstheme="minorBidi"/>
          <w:noProof/>
          <w:sz w:val="22"/>
          <w:szCs w:val="22"/>
          <w:lang w:eastAsia="zh-CN"/>
        </w:rPr>
      </w:pPr>
      <w:hyperlink w:anchor="_Toc200461928" w:history="1">
        <w:r w:rsidRPr="00582E24">
          <w:rPr>
            <w:rStyle w:val="Hyperlink"/>
            <w:noProof/>
          </w:rPr>
          <w:t>Nota 6</w:t>
        </w:r>
        <w:r w:rsidRPr="00582E24">
          <w:rPr>
            <w:rFonts w:asciiTheme="minorHAnsi" w:eastAsiaTheme="minorEastAsia" w:hAnsiTheme="minorHAnsi" w:cstheme="minorBidi"/>
            <w:noProof/>
            <w:sz w:val="22"/>
            <w:szCs w:val="22"/>
            <w:lang w:eastAsia="zh-CN"/>
          </w:rPr>
          <w:tab/>
        </w:r>
        <w:r w:rsidRPr="00582E24">
          <w:rPr>
            <w:rStyle w:val="Hyperlink"/>
            <w:noProof/>
          </w:rPr>
          <w:t>Tesorería y equivalentes de tesorería</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_Toc200461928 \h </w:instrText>
        </w:r>
        <w:r w:rsidRPr="00582E24">
          <w:rPr>
            <w:noProof/>
            <w:webHidden/>
          </w:rPr>
        </w:r>
        <w:r w:rsidRPr="00582E24">
          <w:rPr>
            <w:noProof/>
            <w:webHidden/>
          </w:rPr>
          <w:fldChar w:fldCharType="separate"/>
        </w:r>
        <w:r w:rsidR="00F62802">
          <w:rPr>
            <w:noProof/>
            <w:webHidden/>
          </w:rPr>
          <w:t>52</w:t>
        </w:r>
        <w:r w:rsidRPr="00582E24">
          <w:rPr>
            <w:noProof/>
            <w:webHidden/>
          </w:rPr>
          <w:fldChar w:fldCharType="end"/>
        </w:r>
      </w:hyperlink>
    </w:p>
    <w:p w14:paraId="27C4FD8F" w14:textId="2BDD5A69" w:rsidR="005D3954" w:rsidRPr="00582E24" w:rsidRDefault="005D3954">
      <w:pPr>
        <w:pStyle w:val="TOC1"/>
        <w:rPr>
          <w:rFonts w:asciiTheme="minorHAnsi" w:eastAsiaTheme="minorEastAsia" w:hAnsiTheme="minorHAnsi" w:cstheme="minorBidi"/>
          <w:noProof/>
          <w:sz w:val="22"/>
          <w:szCs w:val="22"/>
          <w:lang w:eastAsia="zh-CN"/>
        </w:rPr>
      </w:pPr>
      <w:hyperlink w:anchor="_Toc200461929" w:history="1">
        <w:r w:rsidRPr="00582E24">
          <w:rPr>
            <w:rStyle w:val="Hyperlink"/>
            <w:noProof/>
          </w:rPr>
          <w:t>Nota 7</w:t>
        </w:r>
        <w:r w:rsidRPr="00582E24">
          <w:rPr>
            <w:rFonts w:asciiTheme="minorHAnsi" w:eastAsiaTheme="minorEastAsia" w:hAnsiTheme="minorHAnsi" w:cstheme="minorBidi"/>
            <w:noProof/>
            <w:sz w:val="22"/>
            <w:szCs w:val="22"/>
            <w:lang w:eastAsia="zh-CN"/>
          </w:rPr>
          <w:tab/>
        </w:r>
        <w:r w:rsidRPr="00582E24">
          <w:rPr>
            <w:rStyle w:val="Hyperlink"/>
            <w:noProof/>
          </w:rPr>
          <w:t>Inversiones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_Toc200461929 \h </w:instrText>
        </w:r>
        <w:r w:rsidRPr="00582E24">
          <w:rPr>
            <w:noProof/>
            <w:webHidden/>
          </w:rPr>
        </w:r>
        <w:r w:rsidRPr="00582E24">
          <w:rPr>
            <w:noProof/>
            <w:webHidden/>
          </w:rPr>
          <w:fldChar w:fldCharType="separate"/>
        </w:r>
        <w:r w:rsidR="00F62802">
          <w:rPr>
            <w:noProof/>
            <w:webHidden/>
          </w:rPr>
          <w:t>53</w:t>
        </w:r>
        <w:r w:rsidRPr="00582E24">
          <w:rPr>
            <w:noProof/>
            <w:webHidden/>
          </w:rPr>
          <w:fldChar w:fldCharType="end"/>
        </w:r>
      </w:hyperlink>
    </w:p>
    <w:p w14:paraId="4B401A4F" w14:textId="33E50C3F" w:rsidR="005D3954" w:rsidRPr="00582E24" w:rsidRDefault="005D3954">
      <w:pPr>
        <w:pStyle w:val="TOC1"/>
        <w:rPr>
          <w:rFonts w:asciiTheme="minorHAnsi" w:eastAsiaTheme="minorEastAsia" w:hAnsiTheme="minorHAnsi" w:cstheme="minorBidi"/>
          <w:noProof/>
          <w:sz w:val="22"/>
          <w:szCs w:val="22"/>
          <w:lang w:eastAsia="zh-CN"/>
        </w:rPr>
      </w:pPr>
      <w:hyperlink w:anchor="_Toc200461930" w:history="1">
        <w:r w:rsidRPr="00582E24">
          <w:rPr>
            <w:rStyle w:val="Hyperlink"/>
            <w:noProof/>
          </w:rPr>
          <w:t>Nota 8</w:t>
        </w:r>
        <w:r w:rsidRPr="00582E24">
          <w:rPr>
            <w:rFonts w:asciiTheme="minorHAnsi" w:eastAsiaTheme="minorEastAsia" w:hAnsiTheme="minorHAnsi" w:cstheme="minorBidi"/>
            <w:noProof/>
            <w:sz w:val="22"/>
            <w:szCs w:val="22"/>
            <w:lang w:eastAsia="zh-CN"/>
          </w:rPr>
          <w:tab/>
        </w:r>
        <w:r w:rsidRPr="00582E24">
          <w:rPr>
            <w:rStyle w:val="Hyperlink"/>
            <w:noProof/>
          </w:rPr>
          <w:t>Cuentas por cobrar</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_Toc200461930 \h </w:instrText>
        </w:r>
        <w:r w:rsidRPr="00582E24">
          <w:rPr>
            <w:noProof/>
            <w:webHidden/>
          </w:rPr>
        </w:r>
        <w:r w:rsidRPr="00582E24">
          <w:rPr>
            <w:noProof/>
            <w:webHidden/>
          </w:rPr>
          <w:fldChar w:fldCharType="separate"/>
        </w:r>
        <w:r w:rsidR="00F62802">
          <w:rPr>
            <w:noProof/>
            <w:webHidden/>
          </w:rPr>
          <w:t>54</w:t>
        </w:r>
        <w:r w:rsidRPr="00582E24">
          <w:rPr>
            <w:noProof/>
            <w:webHidden/>
          </w:rPr>
          <w:fldChar w:fldCharType="end"/>
        </w:r>
      </w:hyperlink>
    </w:p>
    <w:p w14:paraId="753E2DD9" w14:textId="0DD060AB" w:rsidR="005D3954" w:rsidRPr="00582E24" w:rsidRDefault="005D3954">
      <w:pPr>
        <w:pStyle w:val="TOC1"/>
        <w:rPr>
          <w:rFonts w:asciiTheme="minorHAnsi" w:eastAsiaTheme="minorEastAsia" w:hAnsiTheme="minorHAnsi" w:cstheme="minorBidi"/>
          <w:noProof/>
          <w:sz w:val="22"/>
          <w:szCs w:val="22"/>
          <w:lang w:eastAsia="zh-CN"/>
        </w:rPr>
      </w:pPr>
      <w:hyperlink w:anchor="_Toc200461931" w:history="1">
        <w:r w:rsidRPr="00582E24">
          <w:rPr>
            <w:rStyle w:val="Hyperlink"/>
            <w:noProof/>
          </w:rPr>
          <w:t>Nota 9</w:t>
        </w:r>
        <w:r w:rsidRPr="00582E24">
          <w:rPr>
            <w:rFonts w:asciiTheme="minorHAnsi" w:eastAsiaTheme="minorEastAsia" w:hAnsiTheme="minorHAnsi" w:cstheme="minorBidi"/>
            <w:noProof/>
            <w:sz w:val="22"/>
            <w:szCs w:val="22"/>
            <w:lang w:eastAsia="zh-CN"/>
          </w:rPr>
          <w:tab/>
        </w:r>
        <w:r w:rsidRPr="00582E24">
          <w:rPr>
            <w:rStyle w:val="Hyperlink"/>
            <w:noProof/>
          </w:rPr>
          <w:t>Otras cuentas por cobrar</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_Toc200461931 \h </w:instrText>
        </w:r>
        <w:r w:rsidRPr="00582E24">
          <w:rPr>
            <w:noProof/>
            <w:webHidden/>
          </w:rPr>
        </w:r>
        <w:r w:rsidRPr="00582E24">
          <w:rPr>
            <w:noProof/>
            <w:webHidden/>
          </w:rPr>
          <w:fldChar w:fldCharType="separate"/>
        </w:r>
        <w:r w:rsidR="00F62802">
          <w:rPr>
            <w:noProof/>
            <w:webHidden/>
          </w:rPr>
          <w:t>54</w:t>
        </w:r>
        <w:r w:rsidRPr="00582E24">
          <w:rPr>
            <w:noProof/>
            <w:webHidden/>
          </w:rPr>
          <w:fldChar w:fldCharType="end"/>
        </w:r>
      </w:hyperlink>
    </w:p>
    <w:p w14:paraId="6D71E646" w14:textId="78DA3ADF" w:rsidR="005D3954" w:rsidRPr="00582E24" w:rsidRDefault="005D3954">
      <w:pPr>
        <w:pStyle w:val="TOC1"/>
        <w:rPr>
          <w:rFonts w:asciiTheme="minorHAnsi" w:eastAsiaTheme="minorEastAsia" w:hAnsiTheme="minorHAnsi" w:cstheme="minorBidi"/>
          <w:noProof/>
          <w:sz w:val="22"/>
          <w:szCs w:val="22"/>
          <w:lang w:eastAsia="zh-CN"/>
        </w:rPr>
      </w:pPr>
      <w:hyperlink w:anchor="_Toc200461932" w:history="1">
        <w:r w:rsidRPr="00582E24">
          <w:rPr>
            <w:rStyle w:val="Hyperlink"/>
            <w:noProof/>
          </w:rPr>
          <w:t>Nota 10</w:t>
        </w:r>
        <w:r w:rsidRPr="00582E24">
          <w:rPr>
            <w:rFonts w:asciiTheme="minorHAnsi" w:eastAsiaTheme="minorEastAsia" w:hAnsiTheme="minorHAnsi" w:cstheme="minorBidi"/>
            <w:noProof/>
            <w:sz w:val="22"/>
            <w:szCs w:val="22"/>
            <w:lang w:eastAsia="zh-CN"/>
          </w:rPr>
          <w:tab/>
        </w:r>
        <w:r w:rsidRPr="00582E24">
          <w:rPr>
            <w:rStyle w:val="Hyperlink"/>
            <w:noProof/>
          </w:rPr>
          <w:t>Propiedades, planta y equipo</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_Toc200461932 \h </w:instrText>
        </w:r>
        <w:r w:rsidRPr="00582E24">
          <w:rPr>
            <w:noProof/>
            <w:webHidden/>
          </w:rPr>
        </w:r>
        <w:r w:rsidRPr="00582E24">
          <w:rPr>
            <w:noProof/>
            <w:webHidden/>
          </w:rPr>
          <w:fldChar w:fldCharType="separate"/>
        </w:r>
        <w:r w:rsidR="00F62802">
          <w:rPr>
            <w:noProof/>
            <w:webHidden/>
          </w:rPr>
          <w:t>55</w:t>
        </w:r>
        <w:r w:rsidRPr="00582E24">
          <w:rPr>
            <w:noProof/>
            <w:webHidden/>
          </w:rPr>
          <w:fldChar w:fldCharType="end"/>
        </w:r>
      </w:hyperlink>
    </w:p>
    <w:p w14:paraId="459C02CA" w14:textId="22515782" w:rsidR="005D3954" w:rsidRPr="00582E24" w:rsidRDefault="005D3954">
      <w:pPr>
        <w:pStyle w:val="TOC1"/>
        <w:rPr>
          <w:rFonts w:asciiTheme="minorHAnsi" w:eastAsiaTheme="minorEastAsia" w:hAnsiTheme="minorHAnsi" w:cstheme="minorBidi"/>
          <w:noProof/>
          <w:sz w:val="22"/>
          <w:szCs w:val="22"/>
          <w:lang w:eastAsia="zh-CN"/>
        </w:rPr>
      </w:pPr>
      <w:hyperlink w:anchor="_Toc200461933" w:history="1">
        <w:r w:rsidRPr="00582E24">
          <w:rPr>
            <w:rStyle w:val="Hyperlink"/>
            <w:noProof/>
          </w:rPr>
          <w:t>Nota 11</w:t>
        </w:r>
        <w:r w:rsidRPr="00582E24">
          <w:rPr>
            <w:rFonts w:asciiTheme="minorHAnsi" w:eastAsiaTheme="minorEastAsia" w:hAnsiTheme="minorHAnsi" w:cstheme="minorBidi"/>
            <w:noProof/>
            <w:sz w:val="22"/>
            <w:szCs w:val="22"/>
            <w:lang w:eastAsia="zh-CN"/>
          </w:rPr>
          <w:tab/>
        </w:r>
        <w:r w:rsidRPr="00582E24">
          <w:rPr>
            <w:rStyle w:val="Hyperlink"/>
            <w:noProof/>
          </w:rPr>
          <w:t>Activos intangibles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_Toc200461933 \h </w:instrText>
        </w:r>
        <w:r w:rsidRPr="00582E24">
          <w:rPr>
            <w:noProof/>
            <w:webHidden/>
          </w:rPr>
        </w:r>
        <w:r w:rsidRPr="00582E24">
          <w:rPr>
            <w:noProof/>
            <w:webHidden/>
          </w:rPr>
          <w:fldChar w:fldCharType="separate"/>
        </w:r>
        <w:r w:rsidR="00F62802">
          <w:rPr>
            <w:noProof/>
            <w:webHidden/>
          </w:rPr>
          <w:t>57</w:t>
        </w:r>
        <w:r w:rsidRPr="00582E24">
          <w:rPr>
            <w:noProof/>
            <w:webHidden/>
          </w:rPr>
          <w:fldChar w:fldCharType="end"/>
        </w:r>
      </w:hyperlink>
    </w:p>
    <w:p w14:paraId="0D23E6DD" w14:textId="29007F4F" w:rsidR="005D3954" w:rsidRPr="00582E24" w:rsidRDefault="005D3954">
      <w:pPr>
        <w:pStyle w:val="TOC1"/>
        <w:rPr>
          <w:rFonts w:asciiTheme="minorHAnsi" w:eastAsiaTheme="minorEastAsia" w:hAnsiTheme="minorHAnsi" w:cstheme="minorBidi"/>
          <w:noProof/>
          <w:sz w:val="22"/>
          <w:szCs w:val="22"/>
          <w:lang w:eastAsia="zh-CN"/>
        </w:rPr>
      </w:pPr>
      <w:hyperlink w:anchor="_Toc200461934" w:history="1">
        <w:r w:rsidRPr="00582E24">
          <w:rPr>
            <w:rStyle w:val="Hyperlink"/>
            <w:noProof/>
          </w:rPr>
          <w:t>Nota 12</w:t>
        </w:r>
        <w:r w:rsidRPr="00582E24">
          <w:rPr>
            <w:rFonts w:asciiTheme="minorHAnsi" w:eastAsiaTheme="minorEastAsia" w:hAnsiTheme="minorHAnsi" w:cstheme="minorBidi"/>
            <w:noProof/>
            <w:sz w:val="22"/>
            <w:szCs w:val="22"/>
            <w:lang w:eastAsia="zh-CN"/>
          </w:rPr>
          <w:tab/>
        </w:r>
        <w:r w:rsidRPr="00582E24">
          <w:rPr>
            <w:rStyle w:val="Hyperlink"/>
            <w:noProof/>
          </w:rPr>
          <w:t>Activos en construcción</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_Toc200461934 \h </w:instrText>
        </w:r>
        <w:r w:rsidRPr="00582E24">
          <w:rPr>
            <w:noProof/>
            <w:webHidden/>
          </w:rPr>
        </w:r>
        <w:r w:rsidRPr="00582E24">
          <w:rPr>
            <w:noProof/>
            <w:webHidden/>
          </w:rPr>
          <w:fldChar w:fldCharType="separate"/>
        </w:r>
        <w:r w:rsidR="00F62802">
          <w:rPr>
            <w:noProof/>
            <w:webHidden/>
          </w:rPr>
          <w:t>58</w:t>
        </w:r>
        <w:r w:rsidRPr="00582E24">
          <w:rPr>
            <w:noProof/>
            <w:webHidden/>
          </w:rPr>
          <w:fldChar w:fldCharType="end"/>
        </w:r>
      </w:hyperlink>
    </w:p>
    <w:p w14:paraId="355C59D8" w14:textId="6A71E88E" w:rsidR="005D3954" w:rsidRPr="00582E24" w:rsidRDefault="005D3954">
      <w:pPr>
        <w:pStyle w:val="TOC1"/>
        <w:rPr>
          <w:rFonts w:asciiTheme="minorHAnsi" w:eastAsiaTheme="minorEastAsia" w:hAnsiTheme="minorHAnsi" w:cstheme="minorBidi"/>
          <w:noProof/>
          <w:sz w:val="22"/>
          <w:szCs w:val="22"/>
          <w:lang w:eastAsia="zh-CN"/>
        </w:rPr>
      </w:pPr>
      <w:hyperlink w:anchor="_Toc200461935" w:history="1">
        <w:r w:rsidRPr="00582E24">
          <w:rPr>
            <w:rStyle w:val="Hyperlink"/>
            <w:noProof/>
          </w:rPr>
          <w:t>Nota 13</w:t>
        </w:r>
        <w:r w:rsidRPr="00582E24">
          <w:rPr>
            <w:rFonts w:asciiTheme="minorHAnsi" w:eastAsiaTheme="minorEastAsia" w:hAnsiTheme="minorHAnsi" w:cstheme="minorBidi"/>
            <w:noProof/>
            <w:sz w:val="22"/>
            <w:szCs w:val="22"/>
            <w:lang w:eastAsia="zh-CN"/>
          </w:rPr>
          <w:tab/>
        </w:r>
        <w:r w:rsidRPr="00582E24">
          <w:rPr>
            <w:rStyle w:val="Hyperlink"/>
            <w:noProof/>
          </w:rPr>
          <w:t>Acreedores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_Toc200461935 \h </w:instrText>
        </w:r>
        <w:r w:rsidRPr="00582E24">
          <w:rPr>
            <w:noProof/>
            <w:webHidden/>
          </w:rPr>
        </w:r>
        <w:r w:rsidRPr="00582E24">
          <w:rPr>
            <w:noProof/>
            <w:webHidden/>
          </w:rPr>
          <w:fldChar w:fldCharType="separate"/>
        </w:r>
        <w:r w:rsidR="00F62802">
          <w:rPr>
            <w:noProof/>
            <w:webHidden/>
          </w:rPr>
          <w:t>58</w:t>
        </w:r>
        <w:r w:rsidRPr="00582E24">
          <w:rPr>
            <w:noProof/>
            <w:webHidden/>
          </w:rPr>
          <w:fldChar w:fldCharType="end"/>
        </w:r>
      </w:hyperlink>
    </w:p>
    <w:p w14:paraId="32EF77BB" w14:textId="5105685F" w:rsidR="005D3954" w:rsidRPr="00582E24" w:rsidRDefault="005D3954">
      <w:pPr>
        <w:pStyle w:val="TOC1"/>
        <w:rPr>
          <w:rFonts w:asciiTheme="minorHAnsi" w:eastAsiaTheme="minorEastAsia" w:hAnsiTheme="minorHAnsi" w:cstheme="minorBidi"/>
          <w:noProof/>
          <w:sz w:val="22"/>
          <w:szCs w:val="22"/>
          <w:lang w:eastAsia="zh-CN"/>
        </w:rPr>
      </w:pPr>
      <w:hyperlink w:anchor="_Toc200461936" w:history="1">
        <w:r w:rsidRPr="00582E24">
          <w:rPr>
            <w:rStyle w:val="Hyperlink"/>
            <w:noProof/>
          </w:rPr>
          <w:t>Nota 14</w:t>
        </w:r>
        <w:r w:rsidRPr="00582E24">
          <w:rPr>
            <w:rFonts w:asciiTheme="minorHAnsi" w:eastAsiaTheme="minorEastAsia" w:hAnsiTheme="minorHAnsi" w:cstheme="minorBidi"/>
            <w:noProof/>
            <w:sz w:val="22"/>
            <w:szCs w:val="22"/>
            <w:lang w:eastAsia="zh-CN"/>
          </w:rPr>
          <w:tab/>
        </w:r>
        <w:r w:rsidRPr="00582E24">
          <w:rPr>
            <w:rStyle w:val="Hyperlink"/>
            <w:noProof/>
          </w:rPr>
          <w:t>Ingresos aplazados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_Toc200461936 \h </w:instrText>
        </w:r>
        <w:r w:rsidRPr="00582E24">
          <w:rPr>
            <w:noProof/>
            <w:webHidden/>
          </w:rPr>
        </w:r>
        <w:r w:rsidRPr="00582E24">
          <w:rPr>
            <w:noProof/>
            <w:webHidden/>
          </w:rPr>
          <w:fldChar w:fldCharType="separate"/>
        </w:r>
        <w:r w:rsidR="00F62802">
          <w:rPr>
            <w:noProof/>
            <w:webHidden/>
          </w:rPr>
          <w:t>59</w:t>
        </w:r>
        <w:r w:rsidRPr="00582E24">
          <w:rPr>
            <w:noProof/>
            <w:webHidden/>
          </w:rPr>
          <w:fldChar w:fldCharType="end"/>
        </w:r>
      </w:hyperlink>
    </w:p>
    <w:p w14:paraId="27D1069E" w14:textId="2FA2ED2F" w:rsidR="005D3954" w:rsidRPr="00582E24" w:rsidRDefault="005D3954">
      <w:pPr>
        <w:pStyle w:val="TOC1"/>
        <w:rPr>
          <w:rFonts w:asciiTheme="minorHAnsi" w:eastAsiaTheme="minorEastAsia" w:hAnsiTheme="minorHAnsi" w:cstheme="minorBidi"/>
          <w:noProof/>
          <w:sz w:val="22"/>
          <w:szCs w:val="22"/>
          <w:lang w:eastAsia="zh-CN"/>
        </w:rPr>
      </w:pPr>
      <w:hyperlink w:anchor="_Toc200461937" w:history="1">
        <w:r w:rsidRPr="00582E24">
          <w:rPr>
            <w:rStyle w:val="Hyperlink"/>
            <w:noProof/>
          </w:rPr>
          <w:t>Nota 15</w:t>
        </w:r>
        <w:r w:rsidRPr="00582E24">
          <w:rPr>
            <w:rFonts w:asciiTheme="minorHAnsi" w:eastAsiaTheme="minorEastAsia" w:hAnsiTheme="minorHAnsi" w:cstheme="minorBidi"/>
            <w:noProof/>
            <w:sz w:val="22"/>
            <w:szCs w:val="22"/>
            <w:lang w:eastAsia="zh-CN"/>
          </w:rPr>
          <w:tab/>
        </w:r>
        <w:r w:rsidRPr="00582E24">
          <w:rPr>
            <w:rStyle w:val="Hyperlink"/>
            <w:noProof/>
          </w:rPr>
          <w:t>Préstamos y otras deudas financieras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_Toc200461937 \h </w:instrText>
        </w:r>
        <w:r w:rsidRPr="00582E24">
          <w:rPr>
            <w:noProof/>
            <w:webHidden/>
          </w:rPr>
        </w:r>
        <w:r w:rsidRPr="00582E24">
          <w:rPr>
            <w:noProof/>
            <w:webHidden/>
          </w:rPr>
          <w:fldChar w:fldCharType="separate"/>
        </w:r>
        <w:r w:rsidR="00F62802">
          <w:rPr>
            <w:noProof/>
            <w:webHidden/>
          </w:rPr>
          <w:t>60</w:t>
        </w:r>
        <w:r w:rsidRPr="00582E24">
          <w:rPr>
            <w:noProof/>
            <w:webHidden/>
          </w:rPr>
          <w:fldChar w:fldCharType="end"/>
        </w:r>
      </w:hyperlink>
    </w:p>
    <w:p w14:paraId="18F7B265" w14:textId="64EDD0CB" w:rsidR="005D3954" w:rsidRPr="00582E24" w:rsidRDefault="005D3954">
      <w:pPr>
        <w:pStyle w:val="TOC1"/>
        <w:rPr>
          <w:rFonts w:asciiTheme="minorHAnsi" w:eastAsiaTheme="minorEastAsia" w:hAnsiTheme="minorHAnsi" w:cstheme="minorBidi"/>
          <w:noProof/>
          <w:sz w:val="22"/>
          <w:szCs w:val="22"/>
          <w:lang w:eastAsia="zh-CN"/>
        </w:rPr>
      </w:pPr>
      <w:hyperlink w:anchor="_Toc200461938" w:history="1">
        <w:r w:rsidRPr="00582E24">
          <w:rPr>
            <w:rStyle w:val="Hyperlink"/>
            <w:noProof/>
          </w:rPr>
          <w:t>Nota 16</w:t>
        </w:r>
        <w:r w:rsidRPr="00582E24">
          <w:rPr>
            <w:rFonts w:asciiTheme="minorHAnsi" w:eastAsiaTheme="minorEastAsia" w:hAnsiTheme="minorHAnsi" w:cstheme="minorBidi"/>
            <w:noProof/>
            <w:sz w:val="22"/>
            <w:szCs w:val="22"/>
            <w:lang w:eastAsia="zh-CN"/>
          </w:rPr>
          <w:tab/>
        </w:r>
        <w:r w:rsidRPr="00582E24">
          <w:rPr>
            <w:rStyle w:val="Hyperlink"/>
            <w:noProof/>
          </w:rPr>
          <w:t>Prestaciones a empleados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_Toc200461938 \h </w:instrText>
        </w:r>
        <w:r w:rsidRPr="00582E24">
          <w:rPr>
            <w:noProof/>
            <w:webHidden/>
          </w:rPr>
        </w:r>
        <w:r w:rsidRPr="00582E24">
          <w:rPr>
            <w:noProof/>
            <w:webHidden/>
          </w:rPr>
          <w:fldChar w:fldCharType="separate"/>
        </w:r>
        <w:r w:rsidR="00F62802">
          <w:rPr>
            <w:noProof/>
            <w:webHidden/>
          </w:rPr>
          <w:t>61</w:t>
        </w:r>
        <w:r w:rsidRPr="00582E24">
          <w:rPr>
            <w:noProof/>
            <w:webHidden/>
          </w:rPr>
          <w:fldChar w:fldCharType="end"/>
        </w:r>
      </w:hyperlink>
    </w:p>
    <w:p w14:paraId="71837BBE" w14:textId="6C1616F9" w:rsidR="005D3954" w:rsidRPr="00582E24" w:rsidRDefault="005D3954">
      <w:pPr>
        <w:pStyle w:val="TOC1"/>
        <w:rPr>
          <w:rFonts w:asciiTheme="minorHAnsi" w:eastAsiaTheme="minorEastAsia" w:hAnsiTheme="minorHAnsi" w:cstheme="minorBidi"/>
          <w:noProof/>
          <w:sz w:val="22"/>
          <w:szCs w:val="22"/>
          <w:lang w:eastAsia="zh-CN"/>
        </w:rPr>
      </w:pPr>
      <w:hyperlink w:anchor="_Toc200461939" w:history="1">
        <w:r w:rsidRPr="00582E24">
          <w:rPr>
            <w:rStyle w:val="Hyperlink"/>
            <w:noProof/>
          </w:rPr>
          <w:t>Nota 17</w:t>
        </w:r>
        <w:r w:rsidRPr="00582E24">
          <w:rPr>
            <w:rFonts w:asciiTheme="minorHAnsi" w:eastAsiaTheme="minorEastAsia" w:hAnsiTheme="minorHAnsi" w:cstheme="minorBidi"/>
            <w:noProof/>
            <w:sz w:val="22"/>
            <w:szCs w:val="22"/>
            <w:lang w:eastAsia="zh-CN"/>
          </w:rPr>
          <w:tab/>
        </w:r>
        <w:r w:rsidRPr="00582E24">
          <w:rPr>
            <w:rStyle w:val="Hyperlink"/>
            <w:noProof/>
          </w:rPr>
          <w:t>Otros pasivos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_Toc200461939 \h </w:instrText>
        </w:r>
        <w:r w:rsidRPr="00582E24">
          <w:rPr>
            <w:noProof/>
            <w:webHidden/>
          </w:rPr>
        </w:r>
        <w:r w:rsidRPr="00582E24">
          <w:rPr>
            <w:noProof/>
            <w:webHidden/>
          </w:rPr>
          <w:fldChar w:fldCharType="separate"/>
        </w:r>
        <w:r w:rsidR="00F62802">
          <w:rPr>
            <w:noProof/>
            <w:webHidden/>
          </w:rPr>
          <w:t>69</w:t>
        </w:r>
        <w:r w:rsidRPr="00582E24">
          <w:rPr>
            <w:noProof/>
            <w:webHidden/>
          </w:rPr>
          <w:fldChar w:fldCharType="end"/>
        </w:r>
      </w:hyperlink>
    </w:p>
    <w:p w14:paraId="5C2F2AEC" w14:textId="09C2DC7E" w:rsidR="005D3954" w:rsidRPr="00582E24" w:rsidRDefault="005D3954">
      <w:pPr>
        <w:pStyle w:val="TOC1"/>
        <w:rPr>
          <w:rFonts w:asciiTheme="minorHAnsi" w:eastAsiaTheme="minorEastAsia" w:hAnsiTheme="minorHAnsi" w:cstheme="minorBidi"/>
          <w:noProof/>
          <w:sz w:val="22"/>
          <w:szCs w:val="22"/>
          <w:lang w:eastAsia="zh-CN"/>
        </w:rPr>
      </w:pPr>
      <w:hyperlink w:anchor="_Toc200461940" w:history="1">
        <w:r w:rsidRPr="00582E24">
          <w:rPr>
            <w:rStyle w:val="Hyperlink"/>
            <w:noProof/>
          </w:rPr>
          <w:t>Nota 18</w:t>
        </w:r>
        <w:r w:rsidRPr="00582E24">
          <w:rPr>
            <w:rFonts w:asciiTheme="minorHAnsi" w:eastAsiaTheme="minorEastAsia" w:hAnsiTheme="minorHAnsi" w:cstheme="minorBidi"/>
            <w:noProof/>
            <w:sz w:val="22"/>
            <w:szCs w:val="22"/>
            <w:lang w:eastAsia="zh-CN"/>
          </w:rPr>
          <w:tab/>
        </w:r>
        <w:r w:rsidRPr="00582E24">
          <w:rPr>
            <w:rStyle w:val="Hyperlink"/>
            <w:noProof/>
          </w:rPr>
          <w:t>Ingresos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_Toc200461940 \h </w:instrText>
        </w:r>
        <w:r w:rsidRPr="00582E24">
          <w:rPr>
            <w:noProof/>
            <w:webHidden/>
          </w:rPr>
        </w:r>
        <w:r w:rsidRPr="00582E24">
          <w:rPr>
            <w:noProof/>
            <w:webHidden/>
          </w:rPr>
          <w:fldChar w:fldCharType="separate"/>
        </w:r>
        <w:r w:rsidR="00F62802">
          <w:rPr>
            <w:noProof/>
            <w:webHidden/>
          </w:rPr>
          <w:t>70</w:t>
        </w:r>
        <w:r w:rsidRPr="00582E24">
          <w:rPr>
            <w:noProof/>
            <w:webHidden/>
          </w:rPr>
          <w:fldChar w:fldCharType="end"/>
        </w:r>
      </w:hyperlink>
    </w:p>
    <w:p w14:paraId="188E862A" w14:textId="51125AAB" w:rsidR="005D3954" w:rsidRPr="00582E24" w:rsidRDefault="005D3954">
      <w:pPr>
        <w:pStyle w:val="TOC1"/>
        <w:rPr>
          <w:rFonts w:asciiTheme="minorHAnsi" w:eastAsiaTheme="minorEastAsia" w:hAnsiTheme="minorHAnsi" w:cstheme="minorBidi"/>
          <w:noProof/>
          <w:sz w:val="22"/>
          <w:szCs w:val="22"/>
          <w:lang w:eastAsia="zh-CN"/>
        </w:rPr>
      </w:pPr>
      <w:hyperlink w:anchor="_Toc200461941" w:history="1">
        <w:r w:rsidRPr="00582E24">
          <w:rPr>
            <w:rStyle w:val="Hyperlink"/>
            <w:noProof/>
          </w:rPr>
          <w:t>Nota 19</w:t>
        </w:r>
        <w:r w:rsidRPr="00582E24">
          <w:rPr>
            <w:rFonts w:asciiTheme="minorHAnsi" w:eastAsiaTheme="minorEastAsia" w:hAnsiTheme="minorHAnsi" w:cstheme="minorBidi"/>
            <w:noProof/>
            <w:sz w:val="22"/>
            <w:szCs w:val="22"/>
            <w:lang w:eastAsia="zh-CN"/>
          </w:rPr>
          <w:tab/>
        </w:r>
        <w:r w:rsidRPr="00582E24">
          <w:rPr>
            <w:rStyle w:val="Hyperlink"/>
            <w:noProof/>
          </w:rPr>
          <w:t>Gastos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_Toc200461941 \h </w:instrText>
        </w:r>
        <w:r w:rsidRPr="00582E24">
          <w:rPr>
            <w:noProof/>
            <w:webHidden/>
          </w:rPr>
        </w:r>
        <w:r w:rsidRPr="00582E24">
          <w:rPr>
            <w:noProof/>
            <w:webHidden/>
          </w:rPr>
          <w:fldChar w:fldCharType="separate"/>
        </w:r>
        <w:r w:rsidR="00F62802">
          <w:rPr>
            <w:noProof/>
            <w:webHidden/>
          </w:rPr>
          <w:t>73</w:t>
        </w:r>
        <w:r w:rsidRPr="00582E24">
          <w:rPr>
            <w:noProof/>
            <w:webHidden/>
          </w:rPr>
          <w:fldChar w:fldCharType="end"/>
        </w:r>
      </w:hyperlink>
    </w:p>
    <w:p w14:paraId="2EBDB859" w14:textId="0BAE037F" w:rsidR="005D3954" w:rsidRPr="00582E24" w:rsidRDefault="005D3954">
      <w:pPr>
        <w:pStyle w:val="TOC1"/>
        <w:rPr>
          <w:rFonts w:asciiTheme="minorHAnsi" w:eastAsiaTheme="minorEastAsia" w:hAnsiTheme="minorHAnsi" w:cstheme="minorBidi"/>
          <w:noProof/>
          <w:sz w:val="22"/>
          <w:szCs w:val="22"/>
          <w:lang w:eastAsia="zh-CN"/>
        </w:rPr>
      </w:pPr>
      <w:hyperlink w:anchor="_Toc200461942" w:history="1">
        <w:r w:rsidRPr="00582E24">
          <w:rPr>
            <w:rStyle w:val="Hyperlink"/>
            <w:noProof/>
          </w:rPr>
          <w:t>Nota 20</w:t>
        </w:r>
        <w:r w:rsidRPr="00582E24">
          <w:rPr>
            <w:rFonts w:asciiTheme="minorHAnsi" w:eastAsiaTheme="minorEastAsia" w:hAnsiTheme="minorHAnsi" w:cstheme="minorBidi"/>
            <w:noProof/>
            <w:sz w:val="22"/>
            <w:szCs w:val="22"/>
            <w:lang w:eastAsia="zh-CN"/>
          </w:rPr>
          <w:tab/>
        </w:r>
        <w:r w:rsidRPr="00582E24">
          <w:rPr>
            <w:rStyle w:val="Hyperlink"/>
            <w:noProof/>
          </w:rPr>
          <w:t>Información por segmentos – Estado de los resultados financieros de 2024</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_Toc200461942 \h </w:instrText>
        </w:r>
        <w:r w:rsidRPr="00582E24">
          <w:rPr>
            <w:noProof/>
            <w:webHidden/>
          </w:rPr>
        </w:r>
        <w:r w:rsidRPr="00582E24">
          <w:rPr>
            <w:noProof/>
            <w:webHidden/>
          </w:rPr>
          <w:fldChar w:fldCharType="separate"/>
        </w:r>
        <w:r w:rsidR="00F62802">
          <w:rPr>
            <w:noProof/>
            <w:webHidden/>
          </w:rPr>
          <w:t>75</w:t>
        </w:r>
        <w:r w:rsidRPr="00582E24">
          <w:rPr>
            <w:noProof/>
            <w:webHidden/>
          </w:rPr>
          <w:fldChar w:fldCharType="end"/>
        </w:r>
      </w:hyperlink>
    </w:p>
    <w:p w14:paraId="3F5605EC" w14:textId="0A3C5A1E" w:rsidR="005D3954" w:rsidRPr="00582E24" w:rsidRDefault="005D3954">
      <w:pPr>
        <w:pStyle w:val="TOC1"/>
        <w:rPr>
          <w:rFonts w:asciiTheme="minorHAnsi" w:eastAsiaTheme="minorEastAsia" w:hAnsiTheme="minorHAnsi" w:cstheme="minorBidi"/>
          <w:noProof/>
          <w:sz w:val="22"/>
          <w:szCs w:val="22"/>
          <w:lang w:eastAsia="zh-CN"/>
        </w:rPr>
      </w:pPr>
      <w:hyperlink w:anchor="_Toc200461943" w:history="1">
        <w:r w:rsidRPr="00582E24">
          <w:rPr>
            <w:rStyle w:val="Hyperlink"/>
            <w:noProof/>
          </w:rPr>
          <w:t>Nota 21</w:t>
        </w:r>
        <w:r w:rsidRPr="00582E24">
          <w:rPr>
            <w:rFonts w:asciiTheme="minorHAnsi" w:eastAsiaTheme="minorEastAsia" w:hAnsiTheme="minorHAnsi" w:cstheme="minorBidi"/>
            <w:noProof/>
            <w:sz w:val="22"/>
            <w:szCs w:val="22"/>
            <w:lang w:eastAsia="zh-CN"/>
          </w:rPr>
          <w:tab/>
        </w:r>
        <w:r w:rsidRPr="00582E24">
          <w:rPr>
            <w:rStyle w:val="Hyperlink"/>
            <w:noProof/>
          </w:rPr>
          <w:t>Conciliación de los importes presupuestados y efectivos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_Toc200461943 \h </w:instrText>
        </w:r>
        <w:r w:rsidRPr="00582E24">
          <w:rPr>
            <w:noProof/>
            <w:webHidden/>
          </w:rPr>
        </w:r>
        <w:r w:rsidRPr="00582E24">
          <w:rPr>
            <w:noProof/>
            <w:webHidden/>
          </w:rPr>
          <w:fldChar w:fldCharType="separate"/>
        </w:r>
        <w:r w:rsidR="00F62802">
          <w:rPr>
            <w:noProof/>
            <w:webHidden/>
          </w:rPr>
          <w:t>77</w:t>
        </w:r>
        <w:r w:rsidRPr="00582E24">
          <w:rPr>
            <w:noProof/>
            <w:webHidden/>
          </w:rPr>
          <w:fldChar w:fldCharType="end"/>
        </w:r>
      </w:hyperlink>
    </w:p>
    <w:p w14:paraId="622E1589" w14:textId="3E164BF7" w:rsidR="005D3954" w:rsidRPr="00582E24" w:rsidRDefault="005D3954">
      <w:pPr>
        <w:pStyle w:val="TOC1"/>
        <w:rPr>
          <w:rFonts w:asciiTheme="minorHAnsi" w:eastAsiaTheme="minorEastAsia" w:hAnsiTheme="minorHAnsi" w:cstheme="minorBidi"/>
          <w:noProof/>
          <w:sz w:val="22"/>
          <w:szCs w:val="22"/>
          <w:lang w:eastAsia="zh-CN"/>
        </w:rPr>
      </w:pPr>
      <w:hyperlink w:anchor="_Toc200461944" w:history="1">
        <w:r w:rsidRPr="00582E24">
          <w:rPr>
            <w:rStyle w:val="Hyperlink"/>
            <w:noProof/>
          </w:rPr>
          <w:t>Nota 22</w:t>
        </w:r>
        <w:r w:rsidRPr="00582E24">
          <w:rPr>
            <w:rFonts w:asciiTheme="minorHAnsi" w:eastAsiaTheme="minorEastAsia" w:hAnsiTheme="minorHAnsi" w:cstheme="minorBidi"/>
            <w:noProof/>
            <w:sz w:val="22"/>
            <w:szCs w:val="22"/>
            <w:lang w:eastAsia="zh-CN"/>
          </w:rPr>
          <w:tab/>
        </w:r>
        <w:r w:rsidRPr="00582E24">
          <w:rPr>
            <w:rStyle w:val="Hyperlink"/>
            <w:noProof/>
          </w:rPr>
          <w:t>Presentación de información sobre partes vinculadas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_Toc200461944 \h </w:instrText>
        </w:r>
        <w:r w:rsidRPr="00582E24">
          <w:rPr>
            <w:noProof/>
            <w:webHidden/>
          </w:rPr>
        </w:r>
        <w:r w:rsidRPr="00582E24">
          <w:rPr>
            <w:noProof/>
            <w:webHidden/>
          </w:rPr>
          <w:fldChar w:fldCharType="separate"/>
        </w:r>
        <w:r w:rsidR="00F62802">
          <w:rPr>
            <w:noProof/>
            <w:webHidden/>
          </w:rPr>
          <w:t>79</w:t>
        </w:r>
        <w:r w:rsidRPr="00582E24">
          <w:rPr>
            <w:noProof/>
            <w:webHidden/>
          </w:rPr>
          <w:fldChar w:fldCharType="end"/>
        </w:r>
      </w:hyperlink>
    </w:p>
    <w:p w14:paraId="1CFD0AB4" w14:textId="0E5AEE4A" w:rsidR="005D3954" w:rsidRPr="00582E24" w:rsidRDefault="005D3954">
      <w:pPr>
        <w:pStyle w:val="TOC1"/>
        <w:rPr>
          <w:rFonts w:asciiTheme="minorHAnsi" w:eastAsiaTheme="minorEastAsia" w:hAnsiTheme="minorHAnsi" w:cstheme="minorBidi"/>
          <w:noProof/>
          <w:sz w:val="22"/>
          <w:szCs w:val="22"/>
          <w:lang w:eastAsia="zh-CN"/>
        </w:rPr>
      </w:pPr>
      <w:hyperlink w:anchor="_Toc200461945" w:history="1">
        <w:r w:rsidRPr="00582E24">
          <w:rPr>
            <w:rStyle w:val="Hyperlink"/>
            <w:noProof/>
          </w:rPr>
          <w:t>Nota 23</w:t>
        </w:r>
        <w:r w:rsidRPr="00582E24">
          <w:rPr>
            <w:rFonts w:asciiTheme="minorHAnsi" w:eastAsiaTheme="minorEastAsia" w:hAnsiTheme="minorHAnsi" w:cstheme="minorBidi"/>
            <w:noProof/>
            <w:sz w:val="22"/>
            <w:szCs w:val="22"/>
            <w:lang w:eastAsia="zh-CN"/>
          </w:rPr>
          <w:tab/>
        </w:r>
        <w:r w:rsidRPr="00582E24">
          <w:rPr>
            <w:rStyle w:val="Hyperlink"/>
            <w:noProof/>
          </w:rPr>
          <w:t>Compromisos futuros</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_Toc200461945 \h </w:instrText>
        </w:r>
        <w:r w:rsidRPr="00582E24">
          <w:rPr>
            <w:noProof/>
            <w:webHidden/>
          </w:rPr>
        </w:r>
        <w:r w:rsidRPr="00582E24">
          <w:rPr>
            <w:noProof/>
            <w:webHidden/>
          </w:rPr>
          <w:fldChar w:fldCharType="separate"/>
        </w:r>
        <w:r w:rsidR="00F62802">
          <w:rPr>
            <w:noProof/>
            <w:webHidden/>
          </w:rPr>
          <w:t>80</w:t>
        </w:r>
        <w:r w:rsidRPr="00582E24">
          <w:rPr>
            <w:noProof/>
            <w:webHidden/>
          </w:rPr>
          <w:fldChar w:fldCharType="end"/>
        </w:r>
      </w:hyperlink>
    </w:p>
    <w:p w14:paraId="32905E61" w14:textId="75D58412" w:rsidR="005D3954" w:rsidRPr="00582E24" w:rsidRDefault="005D3954">
      <w:pPr>
        <w:pStyle w:val="TOC1"/>
        <w:rPr>
          <w:rFonts w:asciiTheme="minorHAnsi" w:eastAsiaTheme="minorEastAsia" w:hAnsiTheme="minorHAnsi" w:cstheme="minorBidi"/>
          <w:noProof/>
          <w:sz w:val="22"/>
          <w:szCs w:val="22"/>
          <w:lang w:eastAsia="zh-CN"/>
        </w:rPr>
      </w:pPr>
      <w:hyperlink w:anchor="_Toc200461946" w:history="1">
        <w:r w:rsidRPr="00582E24">
          <w:rPr>
            <w:rStyle w:val="Hyperlink"/>
            <w:noProof/>
          </w:rPr>
          <w:t>Nota 24</w:t>
        </w:r>
        <w:r w:rsidRPr="00582E24">
          <w:rPr>
            <w:rFonts w:asciiTheme="minorHAnsi" w:eastAsiaTheme="minorEastAsia" w:hAnsiTheme="minorHAnsi" w:cstheme="minorBidi"/>
            <w:noProof/>
            <w:sz w:val="22"/>
            <w:szCs w:val="22"/>
            <w:lang w:eastAsia="zh-CN"/>
          </w:rPr>
          <w:tab/>
        </w:r>
        <w:r w:rsidRPr="00582E24">
          <w:rPr>
            <w:rStyle w:val="Hyperlink"/>
            <w:noProof/>
          </w:rPr>
          <w:t>Acontecimientos posteriores a la fecha de presentación del informe</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_Toc200461946 \h </w:instrText>
        </w:r>
        <w:r w:rsidRPr="00582E24">
          <w:rPr>
            <w:noProof/>
            <w:webHidden/>
          </w:rPr>
        </w:r>
        <w:r w:rsidRPr="00582E24">
          <w:rPr>
            <w:noProof/>
            <w:webHidden/>
          </w:rPr>
          <w:fldChar w:fldCharType="separate"/>
        </w:r>
        <w:r w:rsidR="00F62802">
          <w:rPr>
            <w:noProof/>
            <w:webHidden/>
          </w:rPr>
          <w:t>80</w:t>
        </w:r>
        <w:r w:rsidRPr="00582E24">
          <w:rPr>
            <w:noProof/>
            <w:webHidden/>
          </w:rPr>
          <w:fldChar w:fldCharType="end"/>
        </w:r>
      </w:hyperlink>
    </w:p>
    <w:p w14:paraId="6781718C" w14:textId="669E2190" w:rsidR="005D3954" w:rsidRPr="00582E24" w:rsidRDefault="005D3954">
      <w:pPr>
        <w:pStyle w:val="TOC1"/>
        <w:rPr>
          <w:rFonts w:asciiTheme="minorHAnsi" w:eastAsiaTheme="minorEastAsia" w:hAnsiTheme="minorHAnsi" w:cstheme="minorBidi"/>
          <w:noProof/>
          <w:sz w:val="22"/>
          <w:szCs w:val="22"/>
          <w:lang w:eastAsia="zh-CN"/>
        </w:rPr>
      </w:pPr>
      <w:hyperlink w:anchor="_Toc200461947" w:history="1">
        <w:r w:rsidRPr="00582E24">
          <w:rPr>
            <w:rStyle w:val="Hyperlink"/>
            <w:noProof/>
          </w:rPr>
          <w:t>ANEXO A</w:t>
        </w:r>
        <w:r w:rsidR="006A2221" w:rsidRPr="00582E24">
          <w:rPr>
            <w:rStyle w:val="Hyperlink"/>
            <w:noProof/>
          </w:rPr>
          <w:t xml:space="preserve"> – </w:t>
        </w:r>
        <w:r w:rsidR="006A2221" w:rsidRPr="00582E24">
          <w:rPr>
            <w:noProof/>
          </w:rPr>
          <w:t>Informe de gestión financiera auditado para 2024</w:t>
        </w:r>
        <w:r w:rsidRPr="00582E24">
          <w:rPr>
            <w:noProof/>
            <w:webHidden/>
          </w:rPr>
          <w:tab/>
        </w:r>
        <w:r w:rsidR="006A2221" w:rsidRPr="00582E24">
          <w:rPr>
            <w:noProof/>
            <w:webHidden/>
          </w:rPr>
          <w:tab/>
        </w:r>
        <w:r w:rsidRPr="00582E24">
          <w:rPr>
            <w:noProof/>
            <w:webHidden/>
          </w:rPr>
          <w:fldChar w:fldCharType="begin"/>
        </w:r>
        <w:r w:rsidRPr="00582E24">
          <w:rPr>
            <w:noProof/>
            <w:webHidden/>
          </w:rPr>
          <w:instrText xml:space="preserve"> PAGEREF _Toc200461947 \h </w:instrText>
        </w:r>
        <w:r w:rsidRPr="00582E24">
          <w:rPr>
            <w:noProof/>
            <w:webHidden/>
          </w:rPr>
        </w:r>
        <w:r w:rsidRPr="00582E24">
          <w:rPr>
            <w:noProof/>
            <w:webHidden/>
          </w:rPr>
          <w:fldChar w:fldCharType="separate"/>
        </w:r>
        <w:r w:rsidR="00F62802">
          <w:rPr>
            <w:noProof/>
            <w:webHidden/>
          </w:rPr>
          <w:t>82</w:t>
        </w:r>
        <w:r w:rsidRPr="00582E24">
          <w:rPr>
            <w:noProof/>
            <w:webHidden/>
          </w:rPr>
          <w:fldChar w:fldCharType="end"/>
        </w:r>
      </w:hyperlink>
    </w:p>
    <w:p w14:paraId="4728AFC3" w14:textId="244B0FE9" w:rsidR="0066497C" w:rsidRPr="00582E24" w:rsidRDefault="005D3954" w:rsidP="00F47154">
      <w:pPr>
        <w:pStyle w:val="toc0"/>
        <w:rPr>
          <w:i/>
          <w:iCs/>
        </w:rPr>
      </w:pPr>
      <w:r w:rsidRPr="00582E24">
        <w:rPr>
          <w:b w:val="0"/>
          <w:i/>
          <w:iCs/>
        </w:rPr>
        <w:fldChar w:fldCharType="end"/>
      </w:r>
      <w:r w:rsidR="0066497C" w:rsidRPr="00582E24">
        <w:rPr>
          <w:i/>
          <w:iCs/>
        </w:rPr>
        <w:br w:type="page"/>
      </w:r>
    </w:p>
    <w:p w14:paraId="24A24682" w14:textId="77777777" w:rsidR="0066497C" w:rsidRPr="00582E24" w:rsidRDefault="0066497C" w:rsidP="00C5792E">
      <w:pPr>
        <w:pStyle w:val="Heading1"/>
        <w:jc w:val="both"/>
      </w:pPr>
      <w:bookmarkStart w:id="1" w:name="_Toc693482383"/>
      <w:bookmarkStart w:id="2" w:name="_Toc196292766"/>
      <w:bookmarkStart w:id="3" w:name="_Toc199852346"/>
      <w:bookmarkStart w:id="4" w:name="_Toc199852908"/>
      <w:bookmarkStart w:id="5" w:name="_Toc200461750"/>
      <w:bookmarkStart w:id="6" w:name="_Toc200461916"/>
      <w:bookmarkStart w:id="7" w:name="_Toc130976540"/>
      <w:r w:rsidRPr="00582E24">
        <w:lastRenderedPageBreak/>
        <w:t>Prefacio a los estados financieros</w:t>
      </w:r>
      <w:bookmarkEnd w:id="1"/>
      <w:r w:rsidRPr="00582E24">
        <w:t xml:space="preserve"> de 2024</w:t>
      </w:r>
      <w:bookmarkEnd w:id="2"/>
      <w:bookmarkEnd w:id="3"/>
      <w:bookmarkEnd w:id="4"/>
      <w:bookmarkEnd w:id="5"/>
      <w:bookmarkEnd w:id="6"/>
    </w:p>
    <w:p w14:paraId="00779D28" w14:textId="34C4C120" w:rsidR="0066497C" w:rsidRPr="00582E24" w:rsidRDefault="0066497C" w:rsidP="00C5792E">
      <w:pPr>
        <w:jc w:val="both"/>
      </w:pPr>
      <w:r w:rsidRPr="00582E24">
        <w:t>El objetivo de la Unión Internacional de Telecomunicaciones (UIT) es brindar una conexión efectiva a todas las personas, con independencia de su ubicación geográfica.</w:t>
      </w:r>
    </w:p>
    <w:p w14:paraId="07D4B64A" w14:textId="77777777" w:rsidR="0066497C" w:rsidRPr="00582E24" w:rsidRDefault="0066497C" w:rsidP="00C5792E">
      <w:pPr>
        <w:jc w:val="both"/>
      </w:pPr>
      <w:r w:rsidRPr="00582E24">
        <w:t>En calidad de organismo de las Naciones Unidas para las tecnologías digitales, facilitamos la cooperación técnica y movilizamos asociaciones clave a fin de poner las tecnologías digitales al servicio de toda la humanidad.</w:t>
      </w:r>
    </w:p>
    <w:p w14:paraId="0661F58D" w14:textId="70C9C00B" w:rsidR="0066497C" w:rsidRPr="00582E24" w:rsidRDefault="0066497C" w:rsidP="00C5792E">
      <w:pPr>
        <w:jc w:val="both"/>
      </w:pPr>
      <w:r w:rsidRPr="00582E24">
        <w:t xml:space="preserve">Nuestro Plan Estratégico para 2024-2027 se articula en torno a dos objetivos globales: lograr la conectividad universal y propiciar una transformación digital sostenible. La labor de la UIT redunda en beneficio de los usuarios de las redes digitales, acerca </w:t>
      </w:r>
      <w:r w:rsidR="00645F48" w:rsidRPr="00582E24">
        <w:t>d</w:t>
      </w:r>
      <w:r w:rsidRPr="00582E24">
        <w:t>el mundo digital a los</w:t>
      </w:r>
      <w:r w:rsidR="00016319" w:rsidRPr="00582E24">
        <w:t> </w:t>
      </w:r>
      <w:r w:rsidRPr="00582E24">
        <w:t>2</w:t>
      </w:r>
      <w:r w:rsidR="00645F48" w:rsidRPr="00582E24">
        <w:t> </w:t>
      </w:r>
      <w:r w:rsidRPr="00582E24">
        <w:t>600</w:t>
      </w:r>
      <w:r w:rsidR="00EE4758" w:rsidRPr="00582E24">
        <w:t> </w:t>
      </w:r>
      <w:r w:rsidRPr="00582E24">
        <w:t>millones de personas que aún carecen de conexión y ayuda a esos miles de millones que lidian con un acceso inadecuado o unos servicios inasequibles.</w:t>
      </w:r>
    </w:p>
    <w:p w14:paraId="7715D7D5" w14:textId="77777777" w:rsidR="0066497C" w:rsidRPr="00582E24" w:rsidRDefault="0066497C" w:rsidP="00C5792E">
      <w:pPr>
        <w:jc w:val="both"/>
      </w:pPr>
      <w:r w:rsidRPr="00582E24">
        <w:t>En 2024, la UIT aportó contribuciones y conocimientos técnicos decisivos al Pacto Digital Global, el cual se adoptó junto con el Pacto para el Futuro en la reunión de la Asamblea General de las Naciones Unidas de 2024. Actualmente, la Unión codirige, en colaboración con la Oficina de Tecnologías Digitales y Emergentes de las Naciones Unidas, el Grupo de Trabajo de las Naciones Unidas sobre Tecnologías Digitales y, en consecuencia, desempeña un papel fundamental en la aplicación del Pacto Digital Global dentro y fuera de los confines del sistema de las Naciones Unidas.</w:t>
      </w:r>
    </w:p>
    <w:p w14:paraId="1C05F204" w14:textId="77777777" w:rsidR="0066497C" w:rsidRPr="00582E24" w:rsidRDefault="0066497C" w:rsidP="00C5792E">
      <w:pPr>
        <w:pStyle w:val="Headingb"/>
        <w:jc w:val="both"/>
      </w:pPr>
      <w:r w:rsidRPr="00582E24">
        <w:t>Establecer normas para un futuro mejor</w:t>
      </w:r>
    </w:p>
    <w:p w14:paraId="2B22476A" w14:textId="30690EEE" w:rsidR="0066497C" w:rsidRPr="00582E24" w:rsidRDefault="0066497C" w:rsidP="00C5792E">
      <w:pPr>
        <w:jc w:val="both"/>
      </w:pPr>
      <w:r w:rsidRPr="00582E24">
        <w:t>A lo largo del año 2024, seguimos elaborando normas técnicas esenciales y necesarias para construir un futuro digital mejor, abordamos algunas de las principales inquietudes y oportunidades asociadas a la inteligencia artificial (IA) y facilitamos orientación a los países con miras a la prestación de servicios digitales eficientes y centrados en el ciudadano. Las normas de la UIT muestran estrategias tanto para lograr que las tecnologías sean eficientes, asequibles, seguras y accesibles, como para reducir las repercusiones medioambientales.</w:t>
      </w:r>
    </w:p>
    <w:p w14:paraId="5D1A7DAE" w14:textId="3142433E" w:rsidR="0066497C" w:rsidRPr="00582E24" w:rsidRDefault="0066497C" w:rsidP="00C5792E">
      <w:pPr>
        <w:jc w:val="both"/>
      </w:pPr>
      <w:r w:rsidRPr="00582E24">
        <w:t>En nuestra última Asamblea Mundial de Normalización de las Telecomunicaciones (AMNT</w:t>
      </w:r>
      <w:r w:rsidR="00645F48" w:rsidRPr="00582E24">
        <w:noBreakHyphen/>
      </w:r>
      <w:r w:rsidRPr="00582E24">
        <w:t>24), celebrada en Nueva Delhi (India), se adoptaron nuevas resoluciones en materia de IA responsable, aplicaciones del metaverso fiables e interoperables, comunicaciones de emergencia, transporte inteligente, infraestructura pública digital y sostenibilidad, entre otras muchas cuestiones.</w:t>
      </w:r>
    </w:p>
    <w:p w14:paraId="5C5463AF" w14:textId="561A7897" w:rsidR="0066497C" w:rsidRPr="00582E24" w:rsidRDefault="0066497C" w:rsidP="00C5792E">
      <w:pPr>
        <w:pStyle w:val="Headingb"/>
        <w:jc w:val="both"/>
      </w:pPr>
      <w:r w:rsidRPr="00582E24">
        <w:t>Hacer frente a las desigualdades digitales</w:t>
      </w:r>
    </w:p>
    <w:p w14:paraId="2C812ADC" w14:textId="77777777" w:rsidR="0066497C" w:rsidRPr="00582E24" w:rsidRDefault="0066497C" w:rsidP="00C5792E">
      <w:pPr>
        <w:jc w:val="both"/>
      </w:pPr>
      <w:r w:rsidRPr="00582E24">
        <w:t>A medida que las desigualdades entre quienes tienen acceso a la tecnología digital y quienes carecen del mismo se agravan debido a la adopción de otras tecnologías nuevas, tales como la 5G, la UIT facilita las asociaciones necesarias para cerrar las brechas digitales del mundo.</w:t>
      </w:r>
    </w:p>
    <w:p w14:paraId="7255FE2E" w14:textId="77777777" w:rsidR="0066497C" w:rsidRPr="00582E24" w:rsidRDefault="0066497C" w:rsidP="00C5792E">
      <w:pPr>
        <w:jc w:val="both"/>
      </w:pPr>
      <w:r w:rsidRPr="00582E24">
        <w:t>En nuestra iniciativa de inversión en infraestructura digital, puesta en marcha en 2024 con el respaldo de la Presidencia brasileña del G20, participan seis instituciones financieras de desarrollo líderes con el objetivo de movilizar la financiación y las políticas necesarias para brindar una conexión efectiva al mundo de aquí a 2030.</w:t>
      </w:r>
    </w:p>
    <w:p w14:paraId="680516C1" w14:textId="77777777" w:rsidR="0066497C" w:rsidRPr="00582E24" w:rsidRDefault="0066497C" w:rsidP="00C5792E">
      <w:pPr>
        <w:jc w:val="both"/>
      </w:pPr>
      <w:r w:rsidRPr="00582E24">
        <w:t>También seguimos llevando a cabo actividades innovadoras a través de Giga, nuestra iniciativa conjunta con UNICEF para conectar todos los centros escolares del mundo, así como de Partner2Connect, nuestra iniciativa mundial de búsqueda de compromisos para proyectos revolucionarios.</w:t>
      </w:r>
    </w:p>
    <w:p w14:paraId="2646E79F" w14:textId="77777777" w:rsidR="0066497C" w:rsidRPr="00582E24" w:rsidRDefault="0066497C" w:rsidP="00C5792E">
      <w:pPr>
        <w:jc w:val="both"/>
      </w:pPr>
      <w:r w:rsidRPr="00582E24">
        <w:lastRenderedPageBreak/>
        <w:t>Al mismo tiempo, nuestro Órgano Consultivo Internacional para la Resiliencia de los Cables Submarinos, de reciente creación, se dedica a reforzar la red dorsal digital del mundo intensificando la cooperación en materia de infraestructuras de cables submarinos de telecomunicaciones.</w:t>
      </w:r>
    </w:p>
    <w:p w14:paraId="09307BC2" w14:textId="77777777" w:rsidR="0066497C" w:rsidRPr="00582E24" w:rsidRDefault="0066497C" w:rsidP="00C5792E">
      <w:pPr>
        <w:pStyle w:val="Headingb"/>
        <w:jc w:val="both"/>
      </w:pPr>
      <w:r w:rsidRPr="00582E24">
        <w:t>Optimización del uso del espectro y las órbitas</w:t>
      </w:r>
    </w:p>
    <w:p w14:paraId="24086F69" w14:textId="491CD293" w:rsidR="0066497C" w:rsidRPr="00582E24" w:rsidRDefault="0066497C" w:rsidP="00C5792E">
      <w:pPr>
        <w:jc w:val="both"/>
      </w:pPr>
      <w:r w:rsidRPr="00582E24">
        <w:t>La UIT coordina las frecuencias radioeléctricas y las órbitas de los satélites entre países y regiones de todo el mundo, propiciando inversiones multimillonarias para una prestación de servicios con un mínimo de interferencia perjudicial.</w:t>
      </w:r>
    </w:p>
    <w:p w14:paraId="72A6CFE1" w14:textId="77777777" w:rsidR="0066497C" w:rsidRPr="00582E24" w:rsidRDefault="0066497C" w:rsidP="00C5792E">
      <w:pPr>
        <w:jc w:val="both"/>
      </w:pPr>
      <w:r w:rsidRPr="00582E24">
        <w:t>La edición de 2024 del Reglamento de Radiocomunicaciones de la UIT salvaguarda una amplia gama de usos del espectro, al tiempo que permite una innovación cada vez más rápida. A finales de 2024, la UIT reunió a gobiernos, agencias espaciales, miembros del sector privado, grupos de la sociedad civil y otras organizaciones de las Naciones Unidas en su primer Foro sobre Sostenibilidad Espacial, con el objetivo de garantizar un uso responsable y mantener la viabilidad del espacio ultraterrestre para las generaciones futuras.</w:t>
      </w:r>
    </w:p>
    <w:p w14:paraId="0481E88C" w14:textId="77777777" w:rsidR="0066497C" w:rsidRPr="00582E24" w:rsidRDefault="0066497C" w:rsidP="00C5792E">
      <w:pPr>
        <w:jc w:val="both"/>
        <w:rPr>
          <w:b/>
        </w:rPr>
      </w:pPr>
      <w:r w:rsidRPr="00582E24">
        <w:rPr>
          <w:b/>
        </w:rPr>
        <w:t>Aprovechar las tecnologías incipientes en beneficio de la humanidad</w:t>
      </w:r>
    </w:p>
    <w:p w14:paraId="06C2F571" w14:textId="0969442E" w:rsidR="0066497C" w:rsidRPr="00582E24" w:rsidRDefault="0066497C" w:rsidP="00C5792E">
      <w:pPr>
        <w:jc w:val="both"/>
      </w:pPr>
      <w:r w:rsidRPr="00582E24">
        <w:t>Las tecnologías nuevas e incipientes pueden impulsar el progreso en prácticamente todos los ámbitos del desarrollo socioeconómico, desde la agricultura y la industria manufacturera hasta la educación y la sanidad. Ello queda patente en la extensa labor de normalización que la UIT lleva a cabo en el campo de la IA, en colaboración con otras entidades de las Naciones</w:t>
      </w:r>
      <w:r w:rsidR="00EE4758" w:rsidRPr="00582E24">
        <w:t> </w:t>
      </w:r>
      <w:r w:rsidRPr="00582E24">
        <w:t>Unidas, así como con otros organismos de normalización y socios de la industria.</w:t>
      </w:r>
    </w:p>
    <w:p w14:paraId="004E9478" w14:textId="76C67A6E" w:rsidR="0066497C" w:rsidRPr="00582E24" w:rsidRDefault="0066497C" w:rsidP="00C5792E">
      <w:pPr>
        <w:jc w:val="both"/>
      </w:pPr>
      <w:r w:rsidRPr="00582E24">
        <w:t>El programa AI for Good, que la UIT mantiene desde hace ocho años en colaboración con más de 40 socios de las Naciones Unidas, se ha convertido en un espacio para la exposición mundial de soluciones de IA favorables a la consecución de los Objetivos de Desarrollo Sostenible de las Naciones Unidas. Además, brinda un foro clave a efectos de la adopción responsable de la</w:t>
      </w:r>
      <w:r w:rsidR="0069017B" w:rsidRPr="00582E24">
        <w:t> </w:t>
      </w:r>
      <w:r w:rsidRPr="00582E24">
        <w:t>IA, sobre todo, desde que inauguramos el Día de la Gobernanza de la IA en mayo de 2024. Ese mismo año, la UIT presentó la coalición de competencias en IA, cuyo objetivo es garantizar que todos los países y comunidades puedan acceder a la capacitación necesaria.</w:t>
      </w:r>
    </w:p>
    <w:p w14:paraId="61A27DB5" w14:textId="3B7E9BED" w:rsidR="0066497C" w:rsidRPr="00582E24" w:rsidRDefault="0066497C" w:rsidP="00C5792E">
      <w:pPr>
        <w:jc w:val="both"/>
      </w:pPr>
      <w:r w:rsidRPr="00582E24">
        <w:t>Además, hemos fomentado asociaciones más amplias en el ámbito de las tecnologías de la información cuánticas y seguimos impulsando la colaboración respecto de las normas en materia de seguridad y redes. Anticipándonos a un futuro en el que la potencia de cálculo será aún mayor, nos estamos preparando para aprovechar la tecnología cuántica en beneficio de</w:t>
      </w:r>
      <w:r w:rsidR="0069017B" w:rsidRPr="00582E24">
        <w:t> </w:t>
      </w:r>
      <w:r w:rsidRPr="00582E24">
        <w:t>todos.</w:t>
      </w:r>
    </w:p>
    <w:p w14:paraId="31BD78D9" w14:textId="35BE04E1" w:rsidR="0066497C" w:rsidRPr="00582E24" w:rsidRDefault="0066497C" w:rsidP="00C5792E">
      <w:pPr>
        <w:jc w:val="both"/>
        <w:rPr>
          <w:b/>
        </w:rPr>
      </w:pPr>
      <w:r w:rsidRPr="00582E24">
        <w:rPr>
          <w:b/>
        </w:rPr>
        <w:t>Ecologizar las tecnologías digitales</w:t>
      </w:r>
    </w:p>
    <w:p w14:paraId="4CD1FADE" w14:textId="02B88558" w:rsidR="0066497C" w:rsidRPr="00582E24" w:rsidRDefault="0066497C" w:rsidP="00C5792E">
      <w:pPr>
        <w:jc w:val="both"/>
      </w:pPr>
      <w:r w:rsidRPr="00582E24">
        <w:t>En la Conferencia de las Naciones Unidas sobre el Cambio Climático de 2024 (COP29) se elaboró una Declaración sobre la Acción Digital Ecológica que gozó de un amplio respaldo y se inspiró en la Acción Digital Ecológica dirigida por la UIT y ejecutada en colaboración con socios de todo el mundo. Este año se ha consolidado el llamamiento que lanzamos con miras a abordar las repercusiones medioambientales de las tecnologías digitales, promover normas en favor de la sostenibilidad y situar a la industria tecnológica mundial en el camino del progreso.</w:t>
      </w:r>
    </w:p>
    <w:p w14:paraId="2E91EEEA" w14:textId="55B01DFE" w:rsidR="0066497C" w:rsidRPr="00582E24" w:rsidRDefault="0066497C" w:rsidP="00C5792E">
      <w:pPr>
        <w:jc w:val="both"/>
      </w:pPr>
      <w:r w:rsidRPr="00582E24">
        <w:t xml:space="preserve">En un marco en el que las realidades del cambio climático van ganando terreno, la UIT lidera el Pilar 3 de la iniciativa </w:t>
      </w:r>
      <w:r w:rsidR="00961FCA" w:rsidRPr="00582E24">
        <w:t>"</w:t>
      </w:r>
      <w:r w:rsidRPr="00582E24">
        <w:t>Alertas Tempranas para Todos</w:t>
      </w:r>
      <w:r w:rsidR="00961FCA" w:rsidRPr="00582E24">
        <w:t>"</w:t>
      </w:r>
      <w:r w:rsidRPr="00582E24">
        <w:t xml:space="preserve"> del Secretario General de las Naciones Unidas, cuyo objetivo es proteger a todos los habitantes del mundo con ayuda de </w:t>
      </w:r>
      <w:r w:rsidRPr="00582E24">
        <w:lastRenderedPageBreak/>
        <w:t>alertas oportunas en caso de catástrofe. Una nueva iniciativa con otros organismos de las Naciones Unidas aspira a reforzar la resiliencia ante los peligros mediante soluciones basadas en la IA.</w:t>
      </w:r>
    </w:p>
    <w:p w14:paraId="2F875FCD" w14:textId="607B8911" w:rsidR="0066497C" w:rsidRPr="00582E24" w:rsidRDefault="0066497C" w:rsidP="00C5792E">
      <w:pPr>
        <w:jc w:val="both"/>
        <w:rPr>
          <w:b/>
        </w:rPr>
      </w:pPr>
      <w:r w:rsidRPr="00582E24">
        <w:rPr>
          <w:b/>
        </w:rPr>
        <w:t>Fomentar la cooperación digital mundial</w:t>
      </w:r>
    </w:p>
    <w:p w14:paraId="7772F850" w14:textId="77777777" w:rsidR="0066497C" w:rsidRPr="00582E24" w:rsidRDefault="0066497C" w:rsidP="00C5792E">
      <w:pPr>
        <w:jc w:val="both"/>
      </w:pPr>
      <w:r w:rsidRPr="00582E24">
        <w:t>Durante más de 20 años, la UIT ha contribuido a orientar la cooperación y el desarrollo digitales de acuerdo con las Líneas de Acción establecidas en la Cumbre Mundial sobre la Sociedad de la Información (CMSI) de 2003 y 2005. En el marco del actual proceso de consulta multipartita de la CMSI, se examinarán los avances logrados y se determinarán las lagunas que aún persisten. Este mecanismo resultará asimismo útil con miras a la aplicación del Pacto Digital Global con soluciones universales orientadas al desarrollo. El examen de la CMSI+20 permitirá determinar el rumbo que ha de seguir este panorama tecnológico y político en rápida evolución a partir de 2025.</w:t>
      </w:r>
    </w:p>
    <w:p w14:paraId="10AD01C9" w14:textId="77777777" w:rsidR="0066497C" w:rsidRPr="00582E24" w:rsidRDefault="0066497C" w:rsidP="00C5792E">
      <w:pPr>
        <w:jc w:val="both"/>
        <w:rPr>
          <w:b/>
        </w:rPr>
      </w:pPr>
      <w:r w:rsidRPr="00582E24">
        <w:rPr>
          <w:b/>
        </w:rPr>
        <w:t>Compromiso firme</w:t>
      </w:r>
    </w:p>
    <w:p w14:paraId="582A4513" w14:textId="6B5C6C96" w:rsidR="0066497C" w:rsidRPr="00582E24" w:rsidRDefault="0066497C" w:rsidP="00C5792E">
      <w:pPr>
        <w:jc w:val="both"/>
      </w:pPr>
      <w:r w:rsidRPr="00582E24">
        <w:t xml:space="preserve">La coordinación técnica especializada y la </w:t>
      </w:r>
      <w:proofErr w:type="gramStart"/>
      <w:r w:rsidRPr="00582E24">
        <w:t>participación activa</w:t>
      </w:r>
      <w:proofErr w:type="gramEnd"/>
      <w:r w:rsidRPr="00582E24">
        <w:t xml:space="preserve"> de la UIT en el ámbito digital dependen de la agilidad institucional, de la confianza fiduciaria y de una sólida base presupuestaria. En las siguientes páginas de nuestro informe de gestión financiera para 2024 se abordan las asignaciones y los gastos que han hecho posible la labor de la UIT a lo largo del</w:t>
      </w:r>
      <w:r w:rsidR="0069017B" w:rsidRPr="00582E24">
        <w:t> </w:t>
      </w:r>
      <w:r w:rsidRPr="00582E24">
        <w:t>año.</w:t>
      </w:r>
    </w:p>
    <w:p w14:paraId="68A8C790" w14:textId="7CE4D43D" w:rsidR="0066497C" w:rsidRPr="00582E24" w:rsidRDefault="0066497C" w:rsidP="00C5792E">
      <w:pPr>
        <w:jc w:val="both"/>
      </w:pPr>
      <w:r w:rsidRPr="00582E24">
        <w:t xml:space="preserve">En el Informe Anual de la UIT (Documento </w:t>
      </w:r>
      <w:hyperlink r:id="rId10" w:history="1">
        <w:r w:rsidRPr="00582E24">
          <w:rPr>
            <w:rStyle w:val="Hyperlink"/>
          </w:rPr>
          <w:t>C25/35</w:t>
        </w:r>
      </w:hyperlink>
      <w:r w:rsidRPr="00582E24">
        <w:t>) se proporciona más información de carácter operacional, de la que se infiere el compromiso inquebrantable de la organización para con el conocimiento basado en los datos y las estrategias orientadas a los resultados.</w:t>
      </w:r>
    </w:p>
    <w:p w14:paraId="2DFCBB1A" w14:textId="77777777" w:rsidR="0066497C" w:rsidRPr="00582E24" w:rsidRDefault="0066497C" w:rsidP="000D0931">
      <w:r w:rsidRPr="00582E24">
        <w:br w:type="page"/>
      </w:r>
    </w:p>
    <w:p w14:paraId="53A29B7A" w14:textId="77777777" w:rsidR="0066497C" w:rsidRPr="00582E24" w:rsidRDefault="0066497C" w:rsidP="00C5792E">
      <w:pPr>
        <w:pStyle w:val="Heading1"/>
        <w:jc w:val="both"/>
      </w:pPr>
      <w:bookmarkStart w:id="8" w:name="_Toc199852347"/>
      <w:bookmarkStart w:id="9" w:name="_Toc199852909"/>
      <w:bookmarkStart w:id="10" w:name="_Toc200461751"/>
      <w:bookmarkStart w:id="11" w:name="_Toc200461917"/>
      <w:bookmarkStart w:id="12" w:name="_Toc1081405469"/>
      <w:bookmarkStart w:id="13" w:name="_Toc196292767"/>
      <w:r w:rsidRPr="00582E24">
        <w:lastRenderedPageBreak/>
        <w:t>Introducción</w:t>
      </w:r>
      <w:bookmarkEnd w:id="8"/>
      <w:bookmarkEnd w:id="9"/>
      <w:bookmarkEnd w:id="10"/>
      <w:bookmarkEnd w:id="11"/>
    </w:p>
    <w:p w14:paraId="203378A8" w14:textId="1E5E7AA4" w:rsidR="0066497C" w:rsidRPr="00582E24" w:rsidRDefault="000D0931" w:rsidP="00C5792E">
      <w:pPr>
        <w:jc w:val="both"/>
      </w:pPr>
      <w:r w:rsidRPr="00582E24">
        <w:t>1</w:t>
      </w:r>
      <w:r w:rsidRPr="00582E24">
        <w:tab/>
      </w:r>
      <w:r w:rsidR="0066497C" w:rsidRPr="00582E24">
        <w:t>Se presentan los estados financieros y el informe de gestión financiera correspondientes al ejercicio cerrado al 31 de diciembre de 2024, conforme a lo estipulado en el Artículo 30 del Reglamento Financiero de la Unión (edición de 2024).</w:t>
      </w:r>
    </w:p>
    <w:p w14:paraId="71A876A2" w14:textId="2F9543D7" w:rsidR="0066497C" w:rsidRPr="00582E24" w:rsidRDefault="000D0931" w:rsidP="00C5792E">
      <w:pPr>
        <w:jc w:val="both"/>
      </w:pPr>
      <w:r w:rsidRPr="00582E24">
        <w:t>2</w:t>
      </w:r>
      <w:r w:rsidRPr="00582E24">
        <w:tab/>
      </w:r>
      <w:r w:rsidR="0066497C" w:rsidRPr="00582E24">
        <w:t>Los estados financieros se preparan de acuerdo con las Normas Internacionales de Contabilidad del Sector Público (NICSP) y abarcan todas las actividades de la organización, incluidas las financiadas con cargo al presupuesto ordinario, los fondos extrapresupuestarios y los ingresos financieros y de explotación.</w:t>
      </w:r>
    </w:p>
    <w:p w14:paraId="66DC0821" w14:textId="21A12B3F" w:rsidR="0066497C" w:rsidRPr="00582E24" w:rsidRDefault="000D0931" w:rsidP="00C5792E">
      <w:pPr>
        <w:pStyle w:val="enumlev1"/>
        <w:jc w:val="both"/>
      </w:pPr>
      <w:r w:rsidRPr="00582E24">
        <w:t>a)</w:t>
      </w:r>
      <w:r w:rsidRPr="00582E24">
        <w:tab/>
      </w:r>
      <w:r w:rsidR="0066497C" w:rsidRPr="00582E24">
        <w:t>En el Reglamento Financiero se establece un ejercicio financiero bienal; sin embargo, de conformidad con las NICSP, los estados financieros deben presentarse con carácter anual. El presupuesto bienal de la UIT se elabora con arreglo a un formato presupuestario basado en los resultados, cuyo alcance incluye:</w:t>
      </w:r>
    </w:p>
    <w:p w14:paraId="2230CDC1" w14:textId="77777777" w:rsidR="0066497C" w:rsidRPr="00582E24" w:rsidRDefault="0066497C" w:rsidP="00C5792E">
      <w:pPr>
        <w:pStyle w:val="enumlev2"/>
        <w:jc w:val="both"/>
      </w:pPr>
      <w:r w:rsidRPr="00582E24">
        <w:t>i)</w:t>
      </w:r>
      <w:r w:rsidRPr="00582E24">
        <w:tab/>
        <w:t>las contribuciones de los Estados Miembros, así como las de los Miembros de Sector, los Asociados y las Instituciones Académicas;</w:t>
      </w:r>
    </w:p>
    <w:p w14:paraId="455230F1" w14:textId="77777777" w:rsidR="0066497C" w:rsidRPr="00582E24" w:rsidRDefault="0066497C" w:rsidP="00C5792E">
      <w:pPr>
        <w:pStyle w:val="enumlev2"/>
        <w:jc w:val="both"/>
      </w:pPr>
      <w:r w:rsidRPr="00582E24">
        <w:t>ii)</w:t>
      </w:r>
      <w:r w:rsidRPr="00582E24">
        <w:tab/>
        <w:t>otros ingresos de explotación, como pueden ser los ingresos en concepto de recuperación de costes (lo que incluye publicaciones, notificaciones de redes de satélites y fondos extrapresupuestarios), los intereses devengados y otras actividades que generen ingresos; y</w:t>
      </w:r>
    </w:p>
    <w:p w14:paraId="7D2C607E" w14:textId="77777777" w:rsidR="0066497C" w:rsidRPr="00582E24" w:rsidRDefault="0066497C" w:rsidP="00C5792E">
      <w:pPr>
        <w:pStyle w:val="enumlev2"/>
        <w:jc w:val="both"/>
      </w:pPr>
      <w:r w:rsidRPr="00582E24">
        <w:t>iii)</w:t>
      </w:r>
      <w:r w:rsidRPr="00582E24">
        <w:tab/>
        <w:t>en caso necesario, las detracciones de la Cuenta de Provisión.</w:t>
      </w:r>
    </w:p>
    <w:p w14:paraId="2A7EC4E6" w14:textId="69B7F450" w:rsidR="0066497C" w:rsidRPr="00582E24" w:rsidRDefault="000D0931" w:rsidP="00C5792E">
      <w:pPr>
        <w:pStyle w:val="enumlev1"/>
        <w:jc w:val="both"/>
      </w:pPr>
      <w:r w:rsidRPr="00582E24">
        <w:t>b)</w:t>
      </w:r>
      <w:r w:rsidRPr="00582E24">
        <w:tab/>
      </w:r>
      <w:r w:rsidR="0066497C" w:rsidRPr="00582E24">
        <w:t>Los demás ingresos, incluidos los fondos extrapresupuestarios, no se contemplan en el presupuesto de la Unión.</w:t>
      </w:r>
    </w:p>
    <w:p w14:paraId="5C548099" w14:textId="490E2C2B" w:rsidR="0066497C" w:rsidRPr="00582E24" w:rsidRDefault="000D0931" w:rsidP="00C5792E">
      <w:pPr>
        <w:jc w:val="both"/>
      </w:pPr>
      <w:r w:rsidRPr="00582E24">
        <w:t>3</w:t>
      </w:r>
      <w:r w:rsidRPr="00582E24">
        <w:tab/>
      </w:r>
      <w:r w:rsidR="0066497C" w:rsidRPr="00582E24">
        <w:t>La presentación de los estados financieros a tenor de las NICSP no repercute en la preparación o presentación del presupuesto basado en los resultados de la UIT, que sigue elaborándose en base al principio de caja modificado. Dado que el presupuesto y los estados financieros no parten de las mismas bases, en la sección titulada "Estado V: Estado de comparación de los importes presupuestados y efectivos" y en la Nota 21 a los estados financieros se presenta una conciliación entre el presupuesto y el Estado de rendimiento financiero según las NICSP.</w:t>
      </w:r>
    </w:p>
    <w:p w14:paraId="30D64DA4" w14:textId="77777777" w:rsidR="0066497C" w:rsidRPr="00582E24" w:rsidRDefault="0066497C" w:rsidP="00C5792E">
      <w:pPr>
        <w:pStyle w:val="Heading1"/>
        <w:jc w:val="both"/>
      </w:pPr>
      <w:bookmarkStart w:id="14" w:name="_Toc164845530"/>
      <w:bookmarkStart w:id="15" w:name="_Toc168519644"/>
      <w:bookmarkStart w:id="16" w:name="_Toc199852348"/>
      <w:bookmarkStart w:id="17" w:name="_Toc199852910"/>
      <w:bookmarkStart w:id="18" w:name="_Toc200461752"/>
      <w:bookmarkStart w:id="19" w:name="_Toc200461918"/>
      <w:r w:rsidRPr="00582E24">
        <w:t>Aspectos destacados del informe de gestión financiera para 202</w:t>
      </w:r>
      <w:bookmarkEnd w:id="14"/>
      <w:bookmarkEnd w:id="15"/>
      <w:r w:rsidRPr="00582E24">
        <w:t>4</w:t>
      </w:r>
      <w:bookmarkEnd w:id="16"/>
      <w:bookmarkEnd w:id="17"/>
      <w:bookmarkEnd w:id="18"/>
      <w:bookmarkEnd w:id="19"/>
    </w:p>
    <w:p w14:paraId="286D612D" w14:textId="30F267AE" w:rsidR="0066497C" w:rsidRPr="00582E24" w:rsidRDefault="000D0931" w:rsidP="00C5792E">
      <w:pPr>
        <w:jc w:val="both"/>
      </w:pPr>
      <w:r w:rsidRPr="00582E24">
        <w:t>4</w:t>
      </w:r>
      <w:r w:rsidRPr="00582E24">
        <w:tab/>
      </w:r>
      <w:r w:rsidR="0066497C" w:rsidRPr="00582E24">
        <w:t>La contabilidad de la Unión se lleva en francos suizos (CHF). Los estados financieros presentados comprenden todas las fuentes de recursos de la UIT, incluidos el presupuesto ordinario y los fondos extrapresupuestarios.</w:t>
      </w:r>
    </w:p>
    <w:p w14:paraId="0735B199" w14:textId="28251063" w:rsidR="0066497C" w:rsidRPr="00582E24" w:rsidRDefault="000D0931" w:rsidP="00C5792E">
      <w:pPr>
        <w:jc w:val="both"/>
      </w:pPr>
      <w:r w:rsidRPr="00582E24">
        <w:t>5</w:t>
      </w:r>
      <w:r w:rsidRPr="00582E24">
        <w:tab/>
      </w:r>
      <w:r w:rsidR="0066497C" w:rsidRPr="00582E24">
        <w:t>La Figura 1 resume la situación financiera de la UIT en 2024 en comparación con el año anterior.</w:t>
      </w:r>
      <w:bookmarkEnd w:id="7"/>
      <w:bookmarkEnd w:id="12"/>
      <w:bookmarkEnd w:id="13"/>
    </w:p>
    <w:p w14:paraId="31EB018A" w14:textId="77777777" w:rsidR="0066497C" w:rsidRPr="00582E24" w:rsidRDefault="0066497C" w:rsidP="008A5B6E">
      <w:pPr>
        <w:pStyle w:val="Figuretitle"/>
        <w:keepLines/>
        <w:spacing w:after="120"/>
      </w:pPr>
      <w:r w:rsidRPr="00582E24">
        <w:lastRenderedPageBreak/>
        <w:t>Figura 1 – Situación financiera de los años 2024 y 2023</w:t>
      </w:r>
    </w:p>
    <w:p w14:paraId="1FA6E580" w14:textId="77777777" w:rsidR="0066497C" w:rsidRPr="00582E24" w:rsidRDefault="0066497C" w:rsidP="008E27B2">
      <w:pPr>
        <w:keepNext/>
        <w:keepLines/>
        <w:jc w:val="center"/>
        <w:rPr>
          <w:i/>
          <w:iCs/>
        </w:rPr>
      </w:pPr>
      <w:r w:rsidRPr="00582E24">
        <w:rPr>
          <w:i/>
          <w:iCs/>
        </w:rPr>
        <w:t>(en millones CHF)</w:t>
      </w:r>
    </w:p>
    <w:p w14:paraId="60BF1539" w14:textId="0801713B" w:rsidR="0066497C" w:rsidRPr="00582E24" w:rsidRDefault="00540122" w:rsidP="008A5B6E">
      <w:pPr>
        <w:pStyle w:val="Figure"/>
        <w:spacing w:after="240"/>
      </w:pPr>
      <w:r w:rsidRPr="00582E24">
        <w:rPr>
          <w:noProof/>
        </w:rPr>
        <w:drawing>
          <wp:inline distT="0" distB="0" distL="0" distR="0" wp14:anchorId="26F07330" wp14:editId="63E2A8B1">
            <wp:extent cx="4725664" cy="236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4745" cy="2407416"/>
                    </a:xfrm>
                    <a:prstGeom prst="rect">
                      <a:avLst/>
                    </a:prstGeom>
                    <a:noFill/>
                  </pic:spPr>
                </pic:pic>
              </a:graphicData>
            </a:graphic>
          </wp:inline>
        </w:drawing>
      </w:r>
    </w:p>
    <w:p w14:paraId="1D9E0E9D" w14:textId="5CD500F7" w:rsidR="0066497C" w:rsidRPr="00582E24" w:rsidRDefault="008E27B2" w:rsidP="00C5792E">
      <w:pPr>
        <w:jc w:val="both"/>
      </w:pPr>
      <w:r w:rsidRPr="00582E24">
        <w:t>6</w:t>
      </w:r>
      <w:r w:rsidRPr="00582E24">
        <w:tab/>
      </w:r>
      <w:r w:rsidR="0066497C" w:rsidRPr="00582E24">
        <w:t>Según se indica en la Figura 1, en 2024 los ingresos totales aumentaron en</w:t>
      </w:r>
      <w:r w:rsidR="0017096C" w:rsidRPr="00582E24">
        <w:t> </w:t>
      </w:r>
      <w:r w:rsidR="0066497C" w:rsidRPr="00582E24">
        <w:t>4,0</w:t>
      </w:r>
      <w:r w:rsidR="00254E15" w:rsidRPr="00582E24">
        <w:t> </w:t>
      </w:r>
      <w:r w:rsidR="0066497C" w:rsidRPr="00582E24">
        <w:t>millones</w:t>
      </w:r>
      <w:r w:rsidR="00EE4758" w:rsidRPr="00582E24">
        <w:t> </w:t>
      </w:r>
      <w:r w:rsidR="0066497C" w:rsidRPr="00582E24">
        <w:t>CHF con respecto a 2023, debido, principalmente, a un aumento de las contribuciones previstas (3,3 millones CHF). El motivo de dicho aumento es que la UIT ha iniciado un nuevo ciclo presupuestario conforme al plan financiero para 2024-2027 aprobado en la última Conferencia de Plenipotenciarios y a que algunos Estados Miembros han elevado sus niveles de contribución. Los ingresos en concepto de publicaciones aumentaron en</w:t>
      </w:r>
      <w:r w:rsidR="0017096C" w:rsidRPr="00582E24">
        <w:t> </w:t>
      </w:r>
      <w:r w:rsidR="0066497C" w:rsidRPr="00582E24">
        <w:t>2,5</w:t>
      </w:r>
      <w:r w:rsidR="00EE4758" w:rsidRPr="00582E24">
        <w:t> </w:t>
      </w:r>
      <w:r w:rsidR="0066497C" w:rsidRPr="00582E24">
        <w:t>millones CHF y los ingresos vinculados a los fondos extrapresupuestarios en</w:t>
      </w:r>
      <w:r w:rsidR="0017096C" w:rsidRPr="00582E24">
        <w:t> </w:t>
      </w:r>
      <w:r w:rsidR="0066497C" w:rsidRPr="00582E24">
        <w:t>2,3</w:t>
      </w:r>
      <w:r w:rsidR="00EE4758" w:rsidRPr="00582E24">
        <w:t> </w:t>
      </w:r>
      <w:r w:rsidR="0066497C" w:rsidRPr="00582E24">
        <w:t>millones</w:t>
      </w:r>
      <w:r w:rsidR="00EE4758" w:rsidRPr="00582E24">
        <w:t> </w:t>
      </w:r>
      <w:r w:rsidR="0066497C" w:rsidRPr="00582E24">
        <w:t>CHF, lo que se vio contrarrestado por una disminución de otras fuentes de ingresos (incluidas las notificaciones de redes de satélites) de 4,1 millones CHF. En conjunto, los gastos para 2024 aumentaron en 24,8 millones CHF, pasando de 197,2 millones CHF a</w:t>
      </w:r>
      <w:r w:rsidR="0017096C" w:rsidRPr="00582E24">
        <w:t> </w:t>
      </w:r>
      <w:r w:rsidR="0066497C" w:rsidRPr="00582E24">
        <w:t>222,0 millones CHF, debido, principalmente, a una depreciación del proyecto de nuevo edificio de 21,0 millones CHF y al</w:t>
      </w:r>
      <w:r w:rsidR="008A5B6E" w:rsidRPr="00582E24">
        <w:t> </w:t>
      </w:r>
      <w:r w:rsidR="0066497C" w:rsidRPr="00582E24">
        <w:t>reconocimiento de una provisión en las contribuciones previstas de 6,4 millones CHF y una</w:t>
      </w:r>
      <w:r w:rsidR="008A5B6E" w:rsidRPr="00582E24">
        <w:t> </w:t>
      </w:r>
      <w:r w:rsidR="0066497C" w:rsidRPr="00582E24">
        <w:t>provisión para la rescisión de un acuerdo de patrocinio de</w:t>
      </w:r>
      <w:r w:rsidR="0017096C" w:rsidRPr="00582E24">
        <w:t> </w:t>
      </w:r>
      <w:r w:rsidR="0066497C" w:rsidRPr="00582E24">
        <w:t>5,0 millones CHF como consecuencia de la revisión del proyecto de nuevo edificio. Dicho aumento se ve compensado en gran medida por una disminución de los gastos de personal de 8,2</w:t>
      </w:r>
      <w:r w:rsidR="008A5B6E" w:rsidRPr="00582E24">
        <w:t> </w:t>
      </w:r>
      <w:r w:rsidR="0066497C" w:rsidRPr="00582E24">
        <w:t>millones</w:t>
      </w:r>
      <w:r w:rsidR="008A5B6E" w:rsidRPr="00582E24">
        <w:t> </w:t>
      </w:r>
      <w:r w:rsidR="0066497C" w:rsidRPr="00582E24">
        <w:t>CHF.</w:t>
      </w:r>
    </w:p>
    <w:p w14:paraId="53A36DE2" w14:textId="20A6936B" w:rsidR="0066497C" w:rsidRPr="00582E24" w:rsidRDefault="008E27B2" w:rsidP="00C5792E">
      <w:pPr>
        <w:jc w:val="both"/>
      </w:pPr>
      <w:r w:rsidRPr="00582E24">
        <w:t>7</w:t>
      </w:r>
      <w:r w:rsidRPr="00582E24">
        <w:tab/>
      </w:r>
      <w:r w:rsidR="0066497C" w:rsidRPr="00582E24">
        <w:t>Los ingresos/gastos financieros pasaron de arrojar pérdidas por valor de</w:t>
      </w:r>
      <w:r w:rsidR="0017096C" w:rsidRPr="00582E24">
        <w:t> </w:t>
      </w:r>
      <w:r w:rsidR="0066497C" w:rsidRPr="00582E24">
        <w:t>8,3</w:t>
      </w:r>
      <w:r w:rsidR="00EE4758" w:rsidRPr="00582E24">
        <w:t> </w:t>
      </w:r>
      <w:r w:rsidR="0066497C" w:rsidRPr="00582E24">
        <w:t>millones</w:t>
      </w:r>
      <w:r w:rsidR="00EE4758" w:rsidRPr="00582E24">
        <w:t> </w:t>
      </w:r>
      <w:r w:rsidR="0066497C" w:rsidRPr="00582E24">
        <w:t>CHF en 2023 a registrar ganancias por valor de 9,5 millones CHF en 2024. Esta variación de 17,8 millones CHF se debe principalmente a una mejora significativa de las ganancias por tipo de cambio (14,3 millones CHF), tras una evolución favorable de los tipos de cambio, especialmente del dólar estadounidense frente al franco suizo. Además, el valor actual neto de los préstamos de la FIPOI disminuyó en 3,4 millones CHF a raíz de una bajada de los tipos de interés. En cuanto a las inversiones, los tipos de interés se mantuvieron estables en dólares estadounidenses, la principal moneda de inversión de la UIT, lo que permitió obtener ingresos por valor de 4,6 millones CHF, de forma similar al año anterior. No obstante, la UIT está reforzando sus prácticas en materia de gestión de divisas, a fin de adecuar mejor sus inversiones en moneda extranjera a su moneda funcional (CHF), reduciendo así su vulnerabilidad a la volatilidad de los tipos de cambio y garantizando unos resultados financieros más previsibles y estables.</w:t>
      </w:r>
    </w:p>
    <w:p w14:paraId="3FBB5091" w14:textId="72C9B6E8" w:rsidR="0066497C" w:rsidRPr="00582E24" w:rsidRDefault="008E27B2" w:rsidP="00C5792E">
      <w:pPr>
        <w:jc w:val="both"/>
      </w:pPr>
      <w:r w:rsidRPr="00582E24">
        <w:lastRenderedPageBreak/>
        <w:t>8</w:t>
      </w:r>
      <w:r w:rsidRPr="00582E24">
        <w:tab/>
      </w:r>
      <w:r w:rsidR="0066497C" w:rsidRPr="00582E24">
        <w:t>El activo de la organización aumentó en 14,7 millones CHF, debido sobre todo al incremento de la tesorería y los equivalentes de tesorería, así como de las cuentas por cobrar, lo que se vio en parte contrarrestado por una disminución de las inversiones y los activos en construcción. El pasivo aumentó en 74,8 millones CHF, debido sobre todo al incremento del pasivo del fondo del seguro médico posterior a la separación del servicio (ASHI) y de los ingresos diferidos relacionados con acuerdos extrapresupuestarios.</w:t>
      </w:r>
    </w:p>
    <w:p w14:paraId="100E9FDF" w14:textId="0BA08543" w:rsidR="0066497C" w:rsidRPr="00582E24" w:rsidRDefault="008E27B2" w:rsidP="00C5792E">
      <w:pPr>
        <w:jc w:val="both"/>
      </w:pPr>
      <w:r w:rsidRPr="00582E24">
        <w:t>9</w:t>
      </w:r>
      <w:r w:rsidRPr="00582E24">
        <w:tab/>
      </w:r>
      <w:r w:rsidR="0066497C" w:rsidRPr="00582E24">
        <w:t>El déficit de 27,8 millones CHF registrado en 2024 (véase el Estado II) (el cual contrasta con el déficit de 24,8 millones CHF registrado en 2023) representa el monto total de los gastos que excedieron a los ingresos de la Unión durante el año. No obstante, cabe destacar que el superávit del presupuesto por programas de la UIT es de 5,7 millones CHF (véase el Estado V). Las diferencias principales entre el Estado V y el Estado II se deben básicamente a la depreciación del proyecto de nuevo edificio (21,0 millones CHF), a los gastos vinculados al</w:t>
      </w:r>
      <w:r w:rsidR="0017096C" w:rsidRPr="00582E24">
        <w:t> </w:t>
      </w:r>
      <w:r w:rsidR="0066497C" w:rsidRPr="00582E24">
        <w:t>ASHI (7,8 millones CHF) y a las provisiones para deudas de dudoso cobro (6,4 millones CHF) y para la rescisión del contrato de patrocinio relacionado con el proyecto de nuevo edificio (5,0</w:t>
      </w:r>
      <w:r w:rsidR="00EE4758" w:rsidRPr="00582E24">
        <w:t> </w:t>
      </w:r>
      <w:r w:rsidR="0066497C" w:rsidRPr="00582E24">
        <w:t>millones CHF), lo que se vio parcialmente compensado por la capitalización de activos fijos, las ganancias por tipo de cambio en inversiones y operaciones y el ajuste del préstamo de la FIPOI. En el Estado V y la Nota 21 a los estados financieros se facilita más información al respecto. La Secretaria General presentará un documento en virtud del cual se formularán propuestas orientadas a que el Consejo apruebe la financiación de las actividades prioritarias para 2025.</w:t>
      </w:r>
    </w:p>
    <w:p w14:paraId="1C17F5A5" w14:textId="77777777" w:rsidR="0066497C" w:rsidRPr="00582E24" w:rsidRDefault="0066497C" w:rsidP="00C5792E">
      <w:pPr>
        <w:pStyle w:val="Headingb"/>
        <w:spacing w:before="240"/>
        <w:ind w:left="562" w:hanging="562"/>
        <w:jc w:val="both"/>
        <w:rPr>
          <w:sz w:val="32"/>
          <w:szCs w:val="32"/>
        </w:rPr>
      </w:pPr>
      <w:bookmarkStart w:id="20" w:name="_Hlk130992369"/>
      <w:bookmarkStart w:id="21" w:name="_Hlk39136047"/>
      <w:bookmarkStart w:id="22" w:name="_Hlk39136102"/>
      <w:r w:rsidRPr="00582E24">
        <w:rPr>
          <w:sz w:val="32"/>
          <w:szCs w:val="32"/>
        </w:rPr>
        <w:t>Resultados financieros</w:t>
      </w:r>
    </w:p>
    <w:p w14:paraId="5E37874B" w14:textId="77777777" w:rsidR="0066497C" w:rsidRPr="00582E24" w:rsidRDefault="0066497C" w:rsidP="00C5792E">
      <w:pPr>
        <w:pStyle w:val="Headingb"/>
        <w:jc w:val="both"/>
        <w:rPr>
          <w:sz w:val="28"/>
          <w:szCs w:val="28"/>
        </w:rPr>
      </w:pPr>
      <w:r w:rsidRPr="00582E24">
        <w:rPr>
          <w:sz w:val="28"/>
          <w:szCs w:val="28"/>
        </w:rPr>
        <w:t>Ingresos</w:t>
      </w:r>
    </w:p>
    <w:bookmarkEnd w:id="20"/>
    <w:p w14:paraId="134E259C" w14:textId="702429C0" w:rsidR="0066497C" w:rsidRPr="00582E24" w:rsidRDefault="008E27B2" w:rsidP="00C5792E">
      <w:pPr>
        <w:jc w:val="both"/>
      </w:pPr>
      <w:r w:rsidRPr="00582E24">
        <w:t>10</w:t>
      </w:r>
      <w:r w:rsidRPr="00582E24">
        <w:tab/>
      </w:r>
      <w:r w:rsidR="0066497C" w:rsidRPr="00582E24">
        <w:t>En 2024, los ingresos de la UIT ascendieron a 184,6 millones CHF (180,7 millones CHF en</w:t>
      </w:r>
      <w:r w:rsidR="00EE4758" w:rsidRPr="00582E24">
        <w:t> </w:t>
      </w:r>
      <w:r w:rsidR="0066497C" w:rsidRPr="00582E24">
        <w:t>2023). El Cuadro 1 muestra las principales fuentes de ingresos tanto para 2024 como para</w:t>
      </w:r>
      <w:r w:rsidR="00EE4758" w:rsidRPr="00582E24">
        <w:t> </w:t>
      </w:r>
      <w:r w:rsidR="0066497C" w:rsidRPr="00582E24">
        <w:t>2023. Los ingresos en concepto de contribuciones previstas y extrapresupuestarias aumentaron en 5,6 millones CHF. Los ingresos en concepto de publicaciones y tramitación de notificaciones de redes de satélites disminuyeron en 0,5 millones CHF. Otros ingresos disminuyeron en 1,1 millones CHF.</w:t>
      </w:r>
    </w:p>
    <w:p w14:paraId="38059196" w14:textId="1AB849A5" w:rsidR="0066497C" w:rsidRPr="00582E24" w:rsidRDefault="008E27B2" w:rsidP="00C5792E">
      <w:pPr>
        <w:jc w:val="both"/>
      </w:pPr>
      <w:r w:rsidRPr="00582E24">
        <w:t>11</w:t>
      </w:r>
      <w:r w:rsidRPr="00582E24">
        <w:tab/>
      </w:r>
      <w:r w:rsidR="0066497C" w:rsidRPr="00582E24">
        <w:t>Los ingresos financieros globales de la organización aumentaron notablemente en comparación con el año anterior, pasando de unos gastos financieros de 8,3 millones CHF en</w:t>
      </w:r>
      <w:r w:rsidR="00EE4758" w:rsidRPr="00582E24">
        <w:t> </w:t>
      </w:r>
      <w:r w:rsidR="0066497C" w:rsidRPr="00582E24">
        <w:t>2023 a unos ingresos financieros de 9,5 millones CHF en 2024. Ello se debe a una evolución más positiva de los tipos de cambio del dólar estadounidense y el euro con respecto al franco suizo. Además, la reducción del tipo de interés utilizado para la estimación del valor actual neto de los préstamos FIPOI fue favorable en comparación con 2023 (movimiento positivo de</w:t>
      </w:r>
      <w:r w:rsidR="00EE4758" w:rsidRPr="00582E24">
        <w:t> </w:t>
      </w:r>
      <w:r w:rsidR="0066497C" w:rsidRPr="00582E24">
        <w:t>3,4 millones CHF). Los tipos de interés de las inversiones realizadas durante el año se mantuvieron bastante estables y permitieron obtener ingresos por valor de 4,6</w:t>
      </w:r>
      <w:r w:rsidR="00E57572" w:rsidRPr="00582E24">
        <w:t> </w:t>
      </w:r>
      <w:r w:rsidR="0066497C" w:rsidRPr="00582E24">
        <w:t>millones CHF, de forma similar al año anterior.</w:t>
      </w:r>
    </w:p>
    <w:p w14:paraId="48AEFF02" w14:textId="11AC6678" w:rsidR="0066497C" w:rsidRPr="00582E24" w:rsidRDefault="0066497C" w:rsidP="00E57572">
      <w:pPr>
        <w:pStyle w:val="Tabletitle"/>
      </w:pPr>
      <w:r w:rsidRPr="00582E24">
        <w:lastRenderedPageBreak/>
        <w:t xml:space="preserve">Cuadro 1 </w:t>
      </w:r>
      <w:r w:rsidR="00E57572" w:rsidRPr="00582E24">
        <w:t>–</w:t>
      </w:r>
      <w:r w:rsidRPr="00582E24">
        <w:t xml:space="preserve"> Fuentes de ingresos en 2024 y 2023</w:t>
      </w:r>
    </w:p>
    <w:p w14:paraId="7C79CF8E" w14:textId="5325F3D5" w:rsidR="0066497C" w:rsidRPr="00582E24" w:rsidRDefault="00540122" w:rsidP="008E27B2">
      <w:pPr>
        <w:pStyle w:val="Figure"/>
      </w:pPr>
      <w:r w:rsidRPr="00582E24">
        <w:rPr>
          <w:noProof/>
        </w:rPr>
        <w:drawing>
          <wp:inline distT="0" distB="0" distL="0" distR="0" wp14:anchorId="7D8DE1EE" wp14:editId="4B59E7FF">
            <wp:extent cx="4158615" cy="2440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8615" cy="2440940"/>
                    </a:xfrm>
                    <a:prstGeom prst="rect">
                      <a:avLst/>
                    </a:prstGeom>
                    <a:noFill/>
                    <a:ln>
                      <a:noFill/>
                    </a:ln>
                  </pic:spPr>
                </pic:pic>
              </a:graphicData>
            </a:graphic>
          </wp:inline>
        </w:drawing>
      </w:r>
    </w:p>
    <w:p w14:paraId="2973F420" w14:textId="28FC1A3D" w:rsidR="0066497C" w:rsidRPr="00582E24" w:rsidRDefault="0066497C" w:rsidP="00F02D6D">
      <w:pPr>
        <w:pStyle w:val="Figuretitle"/>
        <w:spacing w:before="360"/>
      </w:pPr>
      <w:r w:rsidRPr="00582E24">
        <w:t xml:space="preserve">Figura 2 </w:t>
      </w:r>
      <w:r w:rsidR="00E57572" w:rsidRPr="00582E24">
        <w:t>–</w:t>
      </w:r>
      <w:r w:rsidRPr="00582E24">
        <w:t xml:space="preserve"> Desglose del análisis de ingresos para 2024</w:t>
      </w:r>
    </w:p>
    <w:p w14:paraId="60694365" w14:textId="6AF174FA" w:rsidR="0066497C" w:rsidRPr="00582E24" w:rsidRDefault="00236DCA" w:rsidP="00236DCA">
      <w:pPr>
        <w:pStyle w:val="Figure"/>
        <w:spacing w:after="240"/>
      </w:pPr>
      <w:r>
        <w:rPr>
          <w:noProof/>
        </w:rPr>
        <w:drawing>
          <wp:inline distT="0" distB="0" distL="0" distR="0" wp14:anchorId="2C903A23" wp14:editId="6C06C506">
            <wp:extent cx="4770120" cy="3032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2829" t="5053" r="10690" b="7524"/>
                    <a:stretch/>
                  </pic:blipFill>
                  <pic:spPr bwMode="auto">
                    <a:xfrm>
                      <a:off x="0" y="0"/>
                      <a:ext cx="4770120" cy="3032760"/>
                    </a:xfrm>
                    <a:prstGeom prst="rect">
                      <a:avLst/>
                    </a:prstGeom>
                    <a:noFill/>
                    <a:ln>
                      <a:noFill/>
                    </a:ln>
                    <a:extLst>
                      <a:ext uri="{53640926-AAD7-44D8-BBD7-CCE9431645EC}">
                        <a14:shadowObscured xmlns:a14="http://schemas.microsoft.com/office/drawing/2010/main"/>
                      </a:ext>
                    </a:extLst>
                  </pic:spPr>
                </pic:pic>
              </a:graphicData>
            </a:graphic>
          </wp:inline>
        </w:drawing>
      </w:r>
    </w:p>
    <w:p w14:paraId="414B5661" w14:textId="2F92C2C9" w:rsidR="0066497C" w:rsidRPr="00582E24" w:rsidRDefault="008E27B2" w:rsidP="00C5792E">
      <w:pPr>
        <w:jc w:val="both"/>
      </w:pPr>
      <w:r w:rsidRPr="00582E24">
        <w:t>12</w:t>
      </w:r>
      <w:r w:rsidRPr="00582E24">
        <w:tab/>
      </w:r>
      <w:r w:rsidR="0066497C" w:rsidRPr="00582E24">
        <w:t xml:space="preserve">Como puede observarse en la Figura 2 </w:t>
      </w:r>
      <w:r w:rsidR="0066497C" w:rsidRPr="00582E24">
        <w:rPr>
          <w:i/>
          <w:iCs/>
        </w:rPr>
        <w:t>supra</w:t>
      </w:r>
      <w:r w:rsidR="0066497C" w:rsidRPr="00582E24">
        <w:t>, la principal fuente de ingresos de la UIT son las contribuciones previstas (67</w:t>
      </w:r>
      <w:r w:rsidR="00E57572" w:rsidRPr="00582E24">
        <w:t> </w:t>
      </w:r>
      <w:r w:rsidR="0066497C" w:rsidRPr="00582E24">
        <w:t>% del total), seguidas por otros ingresos de explotación (16</w:t>
      </w:r>
      <w:r w:rsidR="00E57572" w:rsidRPr="00582E24">
        <w:t> </w:t>
      </w:r>
      <w:r w:rsidR="0066497C" w:rsidRPr="00582E24">
        <w:t>% del total), entre los que se incluyen la venta de publicaciones, las notificaciones de redes de satélites (NRS) y otros tipos de ingresos.</w:t>
      </w:r>
    </w:p>
    <w:p w14:paraId="023D952B" w14:textId="0687F864" w:rsidR="0066497C" w:rsidRPr="00582E24" w:rsidRDefault="008E27B2" w:rsidP="00C5792E">
      <w:pPr>
        <w:jc w:val="both"/>
      </w:pPr>
      <w:r w:rsidRPr="00582E24">
        <w:t>13</w:t>
      </w:r>
      <w:r w:rsidRPr="00582E24">
        <w:tab/>
      </w:r>
      <w:r w:rsidR="0066497C" w:rsidRPr="00582E24">
        <w:t>Las contribuciones extrapresupuestarias reconocidas para el ejercicio 2024 representan el 11</w:t>
      </w:r>
      <w:r w:rsidR="00E57572" w:rsidRPr="00582E24">
        <w:t> </w:t>
      </w:r>
      <w:r w:rsidR="0066497C" w:rsidRPr="00582E24">
        <w:t>% del total de ingresos (21,3 millones CHF en 2024 frente a 19 millones CHF en 2023). El</w:t>
      </w:r>
      <w:r w:rsidR="00EE4758" w:rsidRPr="00582E24">
        <w:t> </w:t>
      </w:r>
      <w:r w:rsidR="0066497C" w:rsidRPr="00582E24">
        <w:t>incremento registrado se debe al aumento de la tasa de ejecución y la firma de nuevos acuerdos en 2024 en comparación con 2023.</w:t>
      </w:r>
    </w:p>
    <w:p w14:paraId="0F904281" w14:textId="58B6C444" w:rsidR="0066497C" w:rsidRPr="00582E24" w:rsidRDefault="008E27B2" w:rsidP="00C5792E">
      <w:pPr>
        <w:jc w:val="both"/>
      </w:pPr>
      <w:r w:rsidRPr="00582E24">
        <w:t>14</w:t>
      </w:r>
      <w:r w:rsidRPr="00582E24">
        <w:tab/>
      </w:r>
      <w:r w:rsidR="0066497C" w:rsidRPr="00582E24">
        <w:t>La implementación de las contribuciones extrapresupuestarias generó ingresos por valor de 1,2 millones CHF en 2024 (1,0 millones CHF en 2023)</w:t>
      </w:r>
      <w:bookmarkStart w:id="23" w:name="_Hlk39136284"/>
      <w:bookmarkEnd w:id="21"/>
      <w:bookmarkEnd w:id="22"/>
      <w:r w:rsidR="0066497C" w:rsidRPr="00582E24">
        <w:t xml:space="preserve"> en concepto de gastos de apoyo.</w:t>
      </w:r>
    </w:p>
    <w:p w14:paraId="2C5404F7" w14:textId="77777777" w:rsidR="0066497C" w:rsidRPr="00582E24" w:rsidRDefault="0066497C" w:rsidP="00C5792E">
      <w:pPr>
        <w:pStyle w:val="Headingb"/>
        <w:spacing w:before="240"/>
        <w:ind w:left="562" w:hanging="562"/>
        <w:jc w:val="both"/>
        <w:rPr>
          <w:sz w:val="32"/>
          <w:szCs w:val="32"/>
        </w:rPr>
      </w:pPr>
      <w:r w:rsidRPr="00582E24">
        <w:rPr>
          <w:sz w:val="32"/>
          <w:szCs w:val="32"/>
        </w:rPr>
        <w:lastRenderedPageBreak/>
        <w:t>Recuperación de costes</w:t>
      </w:r>
    </w:p>
    <w:p w14:paraId="2E4F47C1" w14:textId="0EFD4951" w:rsidR="0066497C" w:rsidRPr="00582E24" w:rsidRDefault="008E27B2" w:rsidP="00C5792E">
      <w:pPr>
        <w:jc w:val="both"/>
      </w:pPr>
      <w:r w:rsidRPr="00582E24">
        <w:t>15</w:t>
      </w:r>
      <w:r w:rsidRPr="00582E24">
        <w:tab/>
      </w:r>
      <w:r w:rsidR="0066497C" w:rsidRPr="00582E24">
        <w:t>La UIT hizo todo lo posible por recuperar los gastos de apoyo inherentes a las actividades de servicio mediante un cargo en los gastos vinculados a las contribuciones extrapresupuestarias. En 2024, la Unión recuperó ingresos en concepto de gastos de apoyo por valor de 1,2 millones CHF sobre los gastos de los proyectos, lo que supone una tasa media de gastos de apoyo a programas del 7</w:t>
      </w:r>
      <w:r w:rsidR="00E57572" w:rsidRPr="00582E24">
        <w:t> </w:t>
      </w:r>
      <w:r w:rsidR="0066497C" w:rsidRPr="00582E24">
        <w:t>% (frente a 1,0 millones CHF o el 7</w:t>
      </w:r>
      <w:r w:rsidR="00E57572" w:rsidRPr="00582E24">
        <w:t> </w:t>
      </w:r>
      <w:r w:rsidR="0066497C" w:rsidRPr="00582E24">
        <w:t>% en 2023). Este ligero aumento refleja un mayor volumen de gastos en concepto de proyectos y un cambio en la combinación de recursos en favor de los acuerdos de contribución. Actualmente, se siguen concediendo exenciones de los gastos de apoyo para las contribuciones voluntarias y las solicitudes de los socios en la financiación.</w:t>
      </w:r>
    </w:p>
    <w:p w14:paraId="328090A7" w14:textId="77777777" w:rsidR="0066497C" w:rsidRPr="00582E24" w:rsidRDefault="0066497C" w:rsidP="00C5792E">
      <w:pPr>
        <w:pStyle w:val="Headingb"/>
        <w:spacing w:before="240"/>
        <w:ind w:left="562" w:hanging="562"/>
        <w:jc w:val="both"/>
        <w:rPr>
          <w:sz w:val="32"/>
          <w:szCs w:val="32"/>
        </w:rPr>
      </w:pPr>
      <w:r w:rsidRPr="00582E24">
        <w:rPr>
          <w:sz w:val="32"/>
          <w:szCs w:val="32"/>
        </w:rPr>
        <w:t>Gastos</w:t>
      </w:r>
    </w:p>
    <w:p w14:paraId="093A32D5" w14:textId="358593F5" w:rsidR="0066497C" w:rsidRPr="00582E24" w:rsidRDefault="008E27B2" w:rsidP="00C5792E">
      <w:pPr>
        <w:jc w:val="both"/>
      </w:pPr>
      <w:r w:rsidRPr="00582E24">
        <w:t>16</w:t>
      </w:r>
      <w:r w:rsidRPr="00582E24">
        <w:tab/>
      </w:r>
      <w:r w:rsidR="0066497C" w:rsidRPr="00582E24">
        <w:t>En 2024, los gastos de la UIT ascendieron a 222,0 millones CHF (197,2 millones CHF en</w:t>
      </w:r>
      <w:r w:rsidR="00EE4758" w:rsidRPr="00582E24">
        <w:t> </w:t>
      </w:r>
      <w:r w:rsidR="0066497C" w:rsidRPr="00582E24">
        <w:t>2023), lo que representa un aumento del 1</w:t>
      </w:r>
      <w:r w:rsidR="00E57572" w:rsidRPr="00582E24">
        <w:t>2</w:t>
      </w:r>
      <w:r w:rsidR="0066497C" w:rsidRPr="00582E24">
        <w:t>,6</w:t>
      </w:r>
      <w:r w:rsidR="00E57572" w:rsidRPr="00582E24">
        <w:t> </w:t>
      </w:r>
      <w:r w:rsidR="0066497C" w:rsidRPr="00582E24">
        <w:t>% con respecto a 2023. En el Cuadro 2 se comparan los gastos de 2024 con los de 2023. Cabe señalar que los gastos de personal integran la mayor partida de gastos de 2024 (si bien esta es inferior a la registrada en 2023 en</w:t>
      </w:r>
      <w:r w:rsidR="00EE4758" w:rsidRPr="00582E24">
        <w:t> </w:t>
      </w:r>
      <w:r w:rsidR="0066497C" w:rsidRPr="00582E24">
        <w:t>8,2</w:t>
      </w:r>
      <w:r w:rsidR="00EE4758" w:rsidRPr="00582E24">
        <w:t> </w:t>
      </w:r>
      <w:r w:rsidR="0066497C" w:rsidRPr="00582E24">
        <w:t>millones CHF). El principal aumento de 2024 está relacionado con la depreciación del proyecto de nuevo edificio en 21 millones CHF, fruto de la decisión del Consejo de seguir adelante con el proyecto de edificio reevaluado. Además, la UIT ha tenido que aumentar la provisión para contribuciones previstas en 2024 a 6,4 millones CHF debido a una serie de impagos por parte de Estados Miembros y a la provisión de 5,0 millones CHF por la rescisión de un acuerdo de patrocinio tras la revisión del proyecto de nuevo edificio.</w:t>
      </w:r>
    </w:p>
    <w:p w14:paraId="18BCD8E4" w14:textId="0F025967" w:rsidR="0066497C" w:rsidRPr="00582E24" w:rsidRDefault="0066497C" w:rsidP="00041B22">
      <w:pPr>
        <w:pStyle w:val="Tabletitle"/>
        <w:spacing w:before="240"/>
      </w:pPr>
      <w:r w:rsidRPr="00582E24">
        <w:t xml:space="preserve">Cuadro 2 </w:t>
      </w:r>
      <w:r w:rsidR="00E57572" w:rsidRPr="00582E24">
        <w:t>–</w:t>
      </w:r>
      <w:r w:rsidRPr="00582E24">
        <w:t xml:space="preserve"> Comparación entre los gastos de 2024 y 2023</w:t>
      </w:r>
    </w:p>
    <w:p w14:paraId="1FD96F8F" w14:textId="527F6EA8" w:rsidR="0066497C" w:rsidRPr="00582E24" w:rsidRDefault="00540122" w:rsidP="008E27B2">
      <w:pPr>
        <w:pStyle w:val="Figure"/>
      </w:pPr>
      <w:r w:rsidRPr="00582E24">
        <w:rPr>
          <w:noProof/>
        </w:rPr>
        <w:drawing>
          <wp:inline distT="0" distB="0" distL="0" distR="0" wp14:anchorId="27719399" wp14:editId="4CFAF46A">
            <wp:extent cx="4754880" cy="221043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4880" cy="2210435"/>
                    </a:xfrm>
                    <a:prstGeom prst="rect">
                      <a:avLst/>
                    </a:prstGeom>
                    <a:noFill/>
                    <a:ln>
                      <a:noFill/>
                    </a:ln>
                  </pic:spPr>
                </pic:pic>
              </a:graphicData>
            </a:graphic>
          </wp:inline>
        </w:drawing>
      </w:r>
    </w:p>
    <w:bookmarkEnd w:id="23"/>
    <w:p w14:paraId="7399746C" w14:textId="24CB4F9D" w:rsidR="0066497C" w:rsidRPr="00582E24" w:rsidRDefault="008E27B2" w:rsidP="00C5792E">
      <w:pPr>
        <w:spacing w:before="240"/>
        <w:jc w:val="both"/>
      </w:pPr>
      <w:r w:rsidRPr="00582E24">
        <w:t>17</w:t>
      </w:r>
      <w:r w:rsidRPr="00582E24">
        <w:tab/>
      </w:r>
      <w:r w:rsidR="0066497C" w:rsidRPr="00582E24">
        <w:t xml:space="preserve">En la Figura 3, que ilustra una </w:t>
      </w:r>
      <w:r w:rsidR="00077254" w:rsidRPr="00582E24">
        <w:t>comparación</w:t>
      </w:r>
      <w:r w:rsidR="0066497C" w:rsidRPr="00582E24">
        <w:t xml:space="preserve"> de los gastos de 2024, estos se desglosan por tipo de gasto, lo que pone de manifiesto la gran cantidad de gastos de personal en que incurre la UIT (64,2</w:t>
      </w:r>
      <w:r w:rsidR="003D6537" w:rsidRPr="00582E24">
        <w:t> </w:t>
      </w:r>
      <w:r w:rsidR="0066497C" w:rsidRPr="00582E24">
        <w:t>% del total). Sin embargo, este importe ha disminuido en un 6</w:t>
      </w:r>
      <w:r w:rsidR="003D6537" w:rsidRPr="00582E24">
        <w:t> </w:t>
      </w:r>
      <w:r w:rsidR="0066497C" w:rsidRPr="00582E24">
        <w:t>% en comparación con 2023 debido a una reducción de 3,8 millones CHF en los cargos por servicios netos del ASHI y a la repercusión del programa de separación voluntaria del servicio (3</w:t>
      </w:r>
      <w:r w:rsidR="00EE4758" w:rsidRPr="00582E24">
        <w:t> </w:t>
      </w:r>
      <w:r w:rsidR="0066497C" w:rsidRPr="00582E24">
        <w:t>millones CHF en 2023), el cual propició una reducción del personal equivalente a tiempo completo en 2024 en comparación con 2023. Los servicios por contrata integran la segunda partida más importante (9,3</w:t>
      </w:r>
      <w:r w:rsidR="003D6537" w:rsidRPr="00582E24">
        <w:t> </w:t>
      </w:r>
      <w:r w:rsidR="0066497C" w:rsidRPr="00582E24">
        <w:t xml:space="preserve">%) y se mantienen a un nivel similar al de 2023. En 2024, el </w:t>
      </w:r>
      <w:r w:rsidR="0066497C" w:rsidRPr="00582E24">
        <w:lastRenderedPageBreak/>
        <w:t>aumento de las provisiones para deudas de dudoso cobro y la rescisión de un acuerdo de patrocinio relacionado con el nuevo edificio entrañaron un aumento de otros gastos.</w:t>
      </w:r>
    </w:p>
    <w:p w14:paraId="61144B45" w14:textId="4075071B" w:rsidR="0066497C" w:rsidRPr="00582E24" w:rsidRDefault="0066497C" w:rsidP="00041B22">
      <w:pPr>
        <w:pStyle w:val="Figuretitle"/>
        <w:spacing w:after="240"/>
      </w:pPr>
      <w:r w:rsidRPr="00582E24">
        <w:t xml:space="preserve">Figura 3 </w:t>
      </w:r>
      <w:r w:rsidR="003D6537" w:rsidRPr="00582E24">
        <w:t>–</w:t>
      </w:r>
      <w:r w:rsidRPr="00582E24">
        <w:t xml:space="preserve"> Composición de los gastos en 2024 (222,0 millones CHF)</w:t>
      </w:r>
    </w:p>
    <w:p w14:paraId="62986F9B" w14:textId="54D5ADF7" w:rsidR="0066497C" w:rsidRPr="00582E24" w:rsidRDefault="000111F1" w:rsidP="00BF063F">
      <w:pPr>
        <w:pStyle w:val="Figure"/>
        <w:spacing w:after="240"/>
      </w:pPr>
      <w:r w:rsidRPr="00582E24">
        <w:rPr>
          <w:noProof/>
        </w:rPr>
        <w:drawing>
          <wp:inline distT="0" distB="0" distL="0" distR="0" wp14:anchorId="54B64DF7" wp14:editId="50EE9DEA">
            <wp:extent cx="5071506" cy="284671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5067" b="10628"/>
                    <a:stretch/>
                  </pic:blipFill>
                  <pic:spPr bwMode="auto">
                    <a:xfrm>
                      <a:off x="0" y="0"/>
                      <a:ext cx="5092594" cy="2858554"/>
                    </a:xfrm>
                    <a:prstGeom prst="rect">
                      <a:avLst/>
                    </a:prstGeom>
                    <a:noFill/>
                    <a:ln>
                      <a:noFill/>
                    </a:ln>
                    <a:extLst>
                      <a:ext uri="{53640926-AAD7-44D8-BBD7-CCE9431645EC}">
                        <a14:shadowObscured xmlns:a14="http://schemas.microsoft.com/office/drawing/2010/main"/>
                      </a:ext>
                    </a:extLst>
                  </pic:spPr>
                </pic:pic>
              </a:graphicData>
            </a:graphic>
          </wp:inline>
        </w:drawing>
      </w:r>
    </w:p>
    <w:p w14:paraId="0CFE6979" w14:textId="77777777" w:rsidR="0066497C" w:rsidRPr="00582E24" w:rsidRDefault="0066497C" w:rsidP="00C5792E">
      <w:pPr>
        <w:pStyle w:val="Headingb"/>
        <w:spacing w:before="240"/>
        <w:ind w:left="562" w:hanging="562"/>
        <w:jc w:val="both"/>
        <w:rPr>
          <w:sz w:val="32"/>
          <w:szCs w:val="32"/>
        </w:rPr>
      </w:pPr>
      <w:r w:rsidRPr="00582E24">
        <w:rPr>
          <w:sz w:val="32"/>
          <w:szCs w:val="32"/>
        </w:rPr>
        <w:t>Situación financiera</w:t>
      </w:r>
    </w:p>
    <w:p w14:paraId="17210A78" w14:textId="3EA4A597" w:rsidR="0066497C" w:rsidRPr="00582E24" w:rsidRDefault="008E27B2" w:rsidP="00C5792E">
      <w:pPr>
        <w:jc w:val="both"/>
      </w:pPr>
      <w:r w:rsidRPr="00582E24">
        <w:t>18</w:t>
      </w:r>
      <w:r w:rsidRPr="00582E24">
        <w:tab/>
      </w:r>
      <w:r w:rsidR="0066497C" w:rsidRPr="00582E24">
        <w:t>Al 31 de diciembre de 2024, la Unión contaba con un saldo negativo de activos netos que ascendía a 318,0 millones CHF, con un activo total de 322,7 millones CHF y un pasivo total de 640,7 millones CHF, según se indica en el Cuadro 3. El saldo negativo de activos netos aumentó en 60,6 millones CHF en comparación con 2023. Esta variación negativa se debió en gran medida a la fluctuación de los tipos bancarios y de los supuestos de valoración del ASHI en 2024, año en que se registró una tasa de descuento del 1,40</w:t>
      </w:r>
      <w:r w:rsidR="003D6537" w:rsidRPr="00582E24">
        <w:t> </w:t>
      </w:r>
      <w:r w:rsidR="0066497C" w:rsidRPr="00582E24">
        <w:t>% (1,90</w:t>
      </w:r>
      <w:r w:rsidR="003D6537" w:rsidRPr="00582E24">
        <w:t> </w:t>
      </w:r>
      <w:r w:rsidR="0066497C" w:rsidRPr="00582E24">
        <w:t>% en 2023),</w:t>
      </w:r>
      <w:r w:rsidR="008A5B6E" w:rsidRPr="00582E24">
        <w:t> </w:t>
      </w:r>
      <w:r w:rsidR="0066497C" w:rsidRPr="00582E24">
        <w:t>así como de los estudios demográficos. Estos cambios entrañaron un aumento de 40,5</w:t>
      </w:r>
      <w:r w:rsidR="003D6537" w:rsidRPr="00582E24">
        <w:t> </w:t>
      </w:r>
      <w:r w:rsidR="0066497C" w:rsidRPr="00582E24">
        <w:t>millones CHF del pasivo del ASHI, el cual pasó de 375,3 millones CHF a 415,8</w:t>
      </w:r>
      <w:r w:rsidR="008A5B6E" w:rsidRPr="00582E24">
        <w:t> </w:t>
      </w:r>
      <w:r w:rsidR="0066497C" w:rsidRPr="00582E24">
        <w:t>millones</w:t>
      </w:r>
      <w:r w:rsidR="008A5B6E" w:rsidRPr="00582E24">
        <w:t> </w:t>
      </w:r>
      <w:r w:rsidR="0066497C" w:rsidRPr="00582E24">
        <w:t>CHF.</w:t>
      </w:r>
    </w:p>
    <w:p w14:paraId="699B6A51" w14:textId="311841D6" w:rsidR="0066497C" w:rsidRPr="00582E24" w:rsidRDefault="0066497C" w:rsidP="00041B22">
      <w:pPr>
        <w:pStyle w:val="Tabletitle"/>
        <w:keepNext w:val="0"/>
        <w:spacing w:before="240"/>
      </w:pPr>
      <w:r w:rsidRPr="00582E24">
        <w:t xml:space="preserve">Cuadro 3 </w:t>
      </w:r>
      <w:r w:rsidR="003D6537" w:rsidRPr="00582E24">
        <w:t>–</w:t>
      </w:r>
      <w:r w:rsidRPr="00582E24">
        <w:t xml:space="preserve"> Resumen del activo, el pasivo y los activos netos</w:t>
      </w:r>
    </w:p>
    <w:p w14:paraId="0A4AA5A2" w14:textId="0C383C69" w:rsidR="0066497C" w:rsidRPr="00582E24" w:rsidRDefault="00540122" w:rsidP="00BF063F">
      <w:pPr>
        <w:pStyle w:val="Figure"/>
        <w:keepNext w:val="0"/>
        <w:keepLines w:val="0"/>
        <w:spacing w:after="240"/>
      </w:pPr>
      <w:r w:rsidRPr="00582E24">
        <w:rPr>
          <w:noProof/>
        </w:rPr>
        <w:drawing>
          <wp:inline distT="0" distB="0" distL="0" distR="0" wp14:anchorId="75487842" wp14:editId="1C1C7EC6">
            <wp:extent cx="5422900" cy="1271905"/>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0" cy="1271905"/>
                    </a:xfrm>
                    <a:prstGeom prst="rect">
                      <a:avLst/>
                    </a:prstGeom>
                    <a:noFill/>
                    <a:ln>
                      <a:noFill/>
                    </a:ln>
                  </pic:spPr>
                </pic:pic>
              </a:graphicData>
            </a:graphic>
          </wp:inline>
        </w:drawing>
      </w:r>
    </w:p>
    <w:p w14:paraId="3ED77549" w14:textId="77777777" w:rsidR="0066497C" w:rsidRPr="00582E24" w:rsidRDefault="0066497C" w:rsidP="00C5792E">
      <w:pPr>
        <w:pStyle w:val="Headingb"/>
        <w:keepLines w:val="0"/>
        <w:spacing w:before="240"/>
        <w:ind w:left="562" w:hanging="562"/>
        <w:jc w:val="both"/>
        <w:rPr>
          <w:sz w:val="28"/>
          <w:szCs w:val="28"/>
        </w:rPr>
      </w:pPr>
      <w:r w:rsidRPr="00582E24">
        <w:rPr>
          <w:sz w:val="28"/>
          <w:szCs w:val="28"/>
        </w:rPr>
        <w:t>Activo</w:t>
      </w:r>
    </w:p>
    <w:p w14:paraId="6ABB3FD1" w14:textId="48A9985B" w:rsidR="0066497C" w:rsidRPr="00582E24" w:rsidRDefault="008E27B2" w:rsidP="00C5792E">
      <w:pPr>
        <w:keepNext/>
        <w:jc w:val="both"/>
      </w:pPr>
      <w:r w:rsidRPr="00582E24">
        <w:t>19</w:t>
      </w:r>
      <w:r w:rsidRPr="00582E24">
        <w:tab/>
      </w:r>
      <w:r w:rsidR="0066497C" w:rsidRPr="00582E24">
        <w:t xml:space="preserve">El activo corriente supera al pasivo corriente en 130,3 millones CHF (en comparación con 118,5 millones CHF en 2023), debido principalmente a las contribuciones </w:t>
      </w:r>
      <w:r w:rsidR="0066497C" w:rsidRPr="00582E24">
        <w:lastRenderedPageBreak/>
        <w:t>extrapresupuestarias recibidas en 2024, cuyo valor ascendió a 33 millones CHF (25</w:t>
      </w:r>
      <w:r w:rsidR="00082D78" w:rsidRPr="00582E24">
        <w:t> </w:t>
      </w:r>
      <w:r w:rsidR="0066497C" w:rsidRPr="00582E24">
        <w:t>millones</w:t>
      </w:r>
      <w:r w:rsidR="00082D78" w:rsidRPr="00582E24">
        <w:t> </w:t>
      </w:r>
      <w:r w:rsidR="0066497C" w:rsidRPr="00582E24">
        <w:t>CHF en 2023).</w:t>
      </w:r>
    </w:p>
    <w:p w14:paraId="2C8C2E03" w14:textId="77777777" w:rsidR="0066497C" w:rsidRPr="00582E24" w:rsidRDefault="0066497C" w:rsidP="00C5792E">
      <w:pPr>
        <w:pStyle w:val="Headingb"/>
        <w:jc w:val="both"/>
      </w:pPr>
      <w:r w:rsidRPr="00582E24">
        <w:t>Contribuciones previstas-cuentas por cobrar</w:t>
      </w:r>
    </w:p>
    <w:p w14:paraId="18CDF0F3" w14:textId="0A6EC610" w:rsidR="0066497C" w:rsidRPr="00582E24" w:rsidRDefault="00CC38FB" w:rsidP="00C5792E">
      <w:pPr>
        <w:jc w:val="both"/>
      </w:pPr>
      <w:r w:rsidRPr="00582E24">
        <w:t>20</w:t>
      </w:r>
      <w:r w:rsidRPr="00582E24">
        <w:tab/>
      </w:r>
      <w:r w:rsidR="0066497C" w:rsidRPr="00582E24">
        <w:t>La recaudación de las contribuciones previstas influye de forma directa en la liquidez de la UIT y, por tanto, reviste una importancia crucial para la correcta ejecución del presupuesto ordinario por programas de la Unión. El funcionamiento del fondo de provisión con un nivel mínimo del 6</w:t>
      </w:r>
      <w:r w:rsidR="003D6537" w:rsidRPr="00582E24">
        <w:t> </w:t>
      </w:r>
      <w:r w:rsidR="0066497C" w:rsidRPr="00582E24">
        <w:t>% (10 millones CHF), aunque está aprobado por la Conferencia de Plenipotenciarios, solo representa tres semanas de gastos indispensables para el mantenimiento de las actividades de la organización. El fondo de provisión arroja actualmente un saldo de 30,7 millones CHF, lo que representa 10 semanas de ejecución del presupuesto por programas, de acuerdo con el presupuesto de 2024. La tasa de recaudación del ejercicio cerrado al 31 de diciembre de 2024 rondó el 93 %, frente al 92 % registrado en diciembre de</w:t>
      </w:r>
      <w:r w:rsidR="00082D78" w:rsidRPr="00582E24">
        <w:t> </w:t>
      </w:r>
      <w:r w:rsidR="0066497C" w:rsidRPr="00582E24">
        <w:t>2023.</w:t>
      </w:r>
    </w:p>
    <w:p w14:paraId="2FA1552C" w14:textId="5E384D29" w:rsidR="0066497C" w:rsidRPr="00582E24" w:rsidRDefault="00CC38FB" w:rsidP="00C5792E">
      <w:pPr>
        <w:jc w:val="both"/>
      </w:pPr>
      <w:r w:rsidRPr="00582E24">
        <w:t>21</w:t>
      </w:r>
      <w:r w:rsidRPr="00582E24">
        <w:tab/>
      </w:r>
      <w:r w:rsidR="0066497C" w:rsidRPr="00582E24">
        <w:t>Las contribuciones brutas previstas se adeudan y abonan a la Unión conforme a lo estipulado en la Constitución y el Reglamento Financiero de la UIT. Tal y como exigen las</w:t>
      </w:r>
      <w:r w:rsidR="00082D78" w:rsidRPr="00582E24">
        <w:t> </w:t>
      </w:r>
      <w:r w:rsidR="0066497C" w:rsidRPr="00582E24">
        <w:t>NICSP, las detracciones se efectúan cuando no se espera el pago de contribuciones en virtud del Reglamento Financiero y las Reglas Financieras.</w:t>
      </w:r>
    </w:p>
    <w:p w14:paraId="5B4D49FB" w14:textId="77777777" w:rsidR="0066497C" w:rsidRPr="00582E24" w:rsidRDefault="0066497C" w:rsidP="00C5792E">
      <w:pPr>
        <w:jc w:val="both"/>
        <w:rPr>
          <w:b/>
        </w:rPr>
      </w:pPr>
      <w:r w:rsidRPr="00582E24">
        <w:rPr>
          <w:b/>
        </w:rPr>
        <w:t>Pasivo</w:t>
      </w:r>
    </w:p>
    <w:p w14:paraId="3F1C0996" w14:textId="2490ADAE" w:rsidR="0066497C" w:rsidRPr="00582E24" w:rsidRDefault="00CC38FB" w:rsidP="00C5792E">
      <w:pPr>
        <w:jc w:val="both"/>
      </w:pPr>
      <w:bookmarkStart w:id="24" w:name="_Int_jKsQLKpY"/>
      <w:bookmarkStart w:id="25" w:name="_Int_JyUmrETZ"/>
      <w:r w:rsidRPr="00582E24">
        <w:t>22</w:t>
      </w:r>
      <w:r w:rsidRPr="00582E24">
        <w:tab/>
      </w:r>
      <w:r w:rsidR="0066497C" w:rsidRPr="00582E24">
        <w:t>Al 31 de diciembre de 2024, el pasivo total</w:t>
      </w:r>
      <w:bookmarkEnd w:id="24"/>
      <w:r w:rsidR="0066497C" w:rsidRPr="00582E24">
        <w:t xml:space="preserve"> ascendía a 640,7 millones CHF (frente a</w:t>
      </w:r>
      <w:r w:rsidR="00082D78" w:rsidRPr="00582E24">
        <w:t> </w:t>
      </w:r>
      <w:r w:rsidR="0066497C" w:rsidRPr="00582E24">
        <w:t>565,9</w:t>
      </w:r>
      <w:r w:rsidR="00082D78" w:rsidRPr="00582E24">
        <w:t> </w:t>
      </w:r>
      <w:r w:rsidR="0066497C" w:rsidRPr="00582E24">
        <w:t xml:space="preserve">millones CHF </w:t>
      </w:r>
      <w:bookmarkEnd w:id="25"/>
      <w:r w:rsidR="0066497C" w:rsidRPr="00582E24">
        <w:t>al 31 de diciembre de 2023). El pasivo incluye una provisión de</w:t>
      </w:r>
      <w:r w:rsidR="00082D78" w:rsidRPr="00582E24">
        <w:t> </w:t>
      </w:r>
      <w:r w:rsidR="0066497C" w:rsidRPr="00582E24">
        <w:t>0,8</w:t>
      </w:r>
      <w:r w:rsidR="003D6537" w:rsidRPr="00582E24">
        <w:t> </w:t>
      </w:r>
      <w:r w:rsidR="0066497C" w:rsidRPr="00582E24">
        <w:t xml:space="preserve">millones CHF relacionada con </w:t>
      </w:r>
      <w:r w:rsidR="003D6537" w:rsidRPr="00582E24">
        <w:t>siete</w:t>
      </w:r>
      <w:r w:rsidR="0066497C" w:rsidRPr="00582E24">
        <w:t xml:space="preserve"> casos pendientes ante el Tribunal Administrativo de la Organización Internacional del Trabajo (TAOIT) y los gastos jurídicos correspondientes. En</w:t>
      </w:r>
      <w:r w:rsidR="00082D78" w:rsidRPr="00582E24">
        <w:t> </w:t>
      </w:r>
      <w:r w:rsidR="0066497C" w:rsidRPr="00582E24">
        <w:t xml:space="preserve">2024, el TAOIT dictó sentencia en </w:t>
      </w:r>
      <w:r w:rsidR="003D6537" w:rsidRPr="00582E24">
        <w:t>cuatro</w:t>
      </w:r>
      <w:r w:rsidR="0066497C" w:rsidRPr="00582E24">
        <w:t xml:space="preserve"> casos y la UIT abonó 0,2 millones CHF y redujo la provisión correspondiente en 0,1 millones CHF. Durante ese mismo año, la UIT aumentó la provisión a 20 000 CHF, previa revisión de la estimación anterior, con el objetivo de cubrir un caso adicional que le fue notificado.</w:t>
      </w:r>
    </w:p>
    <w:p w14:paraId="31A88C72" w14:textId="77777777" w:rsidR="0066497C" w:rsidRPr="00582E24" w:rsidRDefault="0066497C" w:rsidP="00C5792E">
      <w:pPr>
        <w:jc w:val="both"/>
        <w:rPr>
          <w:b/>
        </w:rPr>
      </w:pPr>
      <w:r w:rsidRPr="00582E24">
        <w:rPr>
          <w:b/>
        </w:rPr>
        <w:t>Prestaciones a empleados</w:t>
      </w:r>
    </w:p>
    <w:p w14:paraId="2A20B9CC" w14:textId="7CC0C366" w:rsidR="0066497C" w:rsidRPr="00582E24" w:rsidRDefault="00CC38FB" w:rsidP="00C5792E">
      <w:pPr>
        <w:jc w:val="both"/>
      </w:pPr>
      <w:r w:rsidRPr="00582E24">
        <w:t>23</w:t>
      </w:r>
      <w:r w:rsidRPr="00582E24">
        <w:tab/>
      </w:r>
      <w:r w:rsidR="0066497C" w:rsidRPr="00582E24">
        <w:t>El capítulo más importante del pasivo lo protagonizaron las prestaciones a empleados devengadas por los funcionarios y los jubilados. El pasivo del ASHI representaba por sí solo el</w:t>
      </w:r>
      <w:r w:rsidR="00082D78" w:rsidRPr="00582E24">
        <w:t> </w:t>
      </w:r>
      <w:r w:rsidR="0066497C" w:rsidRPr="00582E24">
        <w:t>65</w:t>
      </w:r>
      <w:r w:rsidR="003D6537" w:rsidRPr="00582E24">
        <w:t> </w:t>
      </w:r>
      <w:r w:rsidR="0066497C" w:rsidRPr="00582E24">
        <w:t>% del pasivo total de la UIT al 31 de diciembre de 2024. Dicho pasivo aumentó en</w:t>
      </w:r>
      <w:r w:rsidR="00082D78" w:rsidRPr="00582E24">
        <w:t> </w:t>
      </w:r>
      <w:r w:rsidR="0066497C" w:rsidRPr="00582E24">
        <w:t>40,5</w:t>
      </w:r>
      <w:r w:rsidR="003D6537" w:rsidRPr="00582E24">
        <w:t> </w:t>
      </w:r>
      <w:r w:rsidR="0066497C" w:rsidRPr="00582E24">
        <w:t>millones CHF en 2024 con respecto a 2023. Ello se debió principalmente a una evolución de las hipótesis demográficas y los estudios experimentales realizados.</w:t>
      </w:r>
    </w:p>
    <w:p w14:paraId="44848C6B" w14:textId="2E31F9E4" w:rsidR="0066497C" w:rsidRPr="00582E24" w:rsidRDefault="00CC38FB" w:rsidP="00C5792E">
      <w:pPr>
        <w:jc w:val="both"/>
      </w:pPr>
      <w:r w:rsidRPr="00582E24">
        <w:t>24</w:t>
      </w:r>
      <w:r w:rsidRPr="00582E24">
        <w:tab/>
      </w:r>
      <w:r w:rsidR="0066497C" w:rsidRPr="00582E24">
        <w:t>La UIT financia los pagos adeudados en el marco de su pasivo del ASHI con cargo a los ingresos corrientes. En la Resolución 1417, relativa al presupuesto para 2024-2025, se prevé una detracción anual de la Cuenta de Provisión de 1,0 millones CHF para cubrir el pasivo a largo plazo. De conformidad con la NICSP 39, no se ha realizado compensación alguna entre los activos del plan y este pasivo. Sin embargo, la cuenta especial del ASHI acumulaba un monto de 15 millones CHF al 31 de diciembre de 2024 para cubrir futuros pasivos.</w:t>
      </w:r>
    </w:p>
    <w:p w14:paraId="2C0BBF63" w14:textId="77777777" w:rsidR="0066497C" w:rsidRPr="00582E24" w:rsidRDefault="0066497C" w:rsidP="00C5792E">
      <w:pPr>
        <w:keepNext/>
        <w:jc w:val="both"/>
        <w:rPr>
          <w:b/>
        </w:rPr>
      </w:pPr>
      <w:r w:rsidRPr="00582E24">
        <w:rPr>
          <w:b/>
        </w:rPr>
        <w:t>Préstamos a largo plazo</w:t>
      </w:r>
    </w:p>
    <w:p w14:paraId="59B9FCA0" w14:textId="66F95BEE" w:rsidR="0066497C" w:rsidRPr="00582E24" w:rsidRDefault="00CC38FB" w:rsidP="00082D78">
      <w:pPr>
        <w:keepNext/>
        <w:jc w:val="both"/>
      </w:pPr>
      <w:r w:rsidRPr="00582E24">
        <w:t>25</w:t>
      </w:r>
      <w:r w:rsidRPr="00582E24">
        <w:tab/>
      </w:r>
      <w:r w:rsidR="0066497C" w:rsidRPr="00582E24">
        <w:t>Actualmente, la UIT tiene suscritos cuatro préstamos libres de intereses con la Fundación de Inmuebles para las Organizaciones Internacionales (FIPOI). Al 31 de diciembre de 2024, tres de ellos se reflejaban en los estados financieros con valor razonable. El cuarto</w:t>
      </w:r>
      <w:r w:rsidR="00082D78" w:rsidRPr="00582E24">
        <w:t> </w:t>
      </w:r>
      <w:r w:rsidR="0066497C" w:rsidRPr="00582E24">
        <w:t xml:space="preserve">préstamo todavía no dispone de un plan de amortización, por lo que se evaluará con </w:t>
      </w:r>
      <w:r w:rsidR="0066497C" w:rsidRPr="00582E24">
        <w:lastRenderedPageBreak/>
        <w:t>arreglo al coste amortizado hasta que se inicie su devolución. Véase más información al respecto en la Nota 15.</w:t>
      </w:r>
    </w:p>
    <w:p w14:paraId="4F1D60CA" w14:textId="6B38CCBF" w:rsidR="0066497C" w:rsidRPr="00582E24" w:rsidRDefault="0066497C" w:rsidP="00C5792E">
      <w:pPr>
        <w:jc w:val="both"/>
        <w:rPr>
          <w:b/>
        </w:rPr>
      </w:pPr>
      <w:r w:rsidRPr="00582E24">
        <w:rPr>
          <w:b/>
        </w:rPr>
        <w:t>Resultado del presupuesto frente al resultado de las NICSP</w:t>
      </w:r>
    </w:p>
    <w:p w14:paraId="3516F6FB" w14:textId="2508C085" w:rsidR="0066497C" w:rsidRPr="00582E24" w:rsidRDefault="00CC38FB" w:rsidP="00C5792E">
      <w:pPr>
        <w:jc w:val="both"/>
      </w:pPr>
      <w:r w:rsidRPr="00582E24">
        <w:t>26</w:t>
      </w:r>
      <w:r w:rsidRPr="00582E24">
        <w:tab/>
      </w:r>
      <w:r w:rsidR="0066497C" w:rsidRPr="00582E24">
        <w:t>El Estado V de los estados financieros se elaboró en base al presupuesto ordinario del Marco presupuestario de la UIT y ofrece una visión general de la utilización del presupuesto ordinario aprobado en virtud del principio de caja modificado. Con arreglo a lo anterior, la organización registró un superávit de 5,7 millones CHF con respecto al presupuesto ordinario aprobado.</w:t>
      </w:r>
    </w:p>
    <w:p w14:paraId="4D0DCD9B" w14:textId="14FAEC1C" w:rsidR="0066497C" w:rsidRPr="00582E24" w:rsidRDefault="00CC38FB" w:rsidP="00C5792E">
      <w:pPr>
        <w:jc w:val="both"/>
      </w:pPr>
      <w:r w:rsidRPr="00582E24">
        <w:t>27</w:t>
      </w:r>
      <w:r w:rsidRPr="00582E24">
        <w:tab/>
      </w:r>
      <w:r w:rsidR="0066497C" w:rsidRPr="00582E24">
        <w:t>Los estados financieros, y más específicamente el Estado V, incluyen la conciliación entre los resultados presupuestados y los resultados de las NICSP. Cabe señalar que el Estado de los resultados financieros (Estado II) incluye otros aspectos, tales como las contribuciones extrapresupuestarias, la depreciación y otras diferencias de la entidad, que no se contemplan en el presupuesto. El Estado V pone de relieve las diferencias más importantes entre el presupuesto de la Unión y los ingresos y gastos generales. La Nota 21, relativa a la conciliación de las cifras presupuestadas y las realizadas, contiene más información al respecto.</w:t>
      </w:r>
    </w:p>
    <w:p w14:paraId="259585A8" w14:textId="77777777" w:rsidR="0066497C" w:rsidRPr="00582E24" w:rsidRDefault="0066497C" w:rsidP="00C5792E">
      <w:pPr>
        <w:pStyle w:val="Headingb"/>
        <w:jc w:val="both"/>
        <w:rPr>
          <w:color w:val="4F81BD"/>
        </w:rPr>
      </w:pPr>
      <w:bookmarkStart w:id="26" w:name="_Toc130976543"/>
      <w:bookmarkStart w:id="27" w:name="_Toc131078176"/>
      <w:bookmarkStart w:id="28" w:name="_Toc131156410"/>
      <w:r w:rsidRPr="00582E24">
        <w:rPr>
          <w:color w:val="4F81BD"/>
        </w:rPr>
        <w:t>Responsabilidad</w:t>
      </w:r>
      <w:bookmarkEnd w:id="26"/>
      <w:bookmarkEnd w:id="27"/>
      <w:bookmarkEnd w:id="28"/>
    </w:p>
    <w:p w14:paraId="74354968" w14:textId="2D658076" w:rsidR="0066497C" w:rsidRPr="00582E24" w:rsidRDefault="00CC38FB" w:rsidP="00C5792E">
      <w:pPr>
        <w:jc w:val="both"/>
      </w:pPr>
      <w:r w:rsidRPr="00582E24">
        <w:t>28</w:t>
      </w:r>
      <w:r w:rsidRPr="00582E24">
        <w:tab/>
      </w:r>
      <w:r w:rsidR="0066497C" w:rsidRPr="00582E24">
        <w:t>Conforme a lo estipulado en el Artículo 30 del Reglamento Financiero de la Unión, los estados financieros que figuran a continuación han sido elaborados con arreglo a las NICSP. Los estados financieros y las notas correspondientes, que forman parte integrante del presente documento, presentan una imagen fidedigna de la situación financiera de la Unión al 31 de diciembre de 2024.</w:t>
      </w:r>
    </w:p>
    <w:p w14:paraId="3B4E10A5" w14:textId="002B2EE8" w:rsidR="0066497C" w:rsidRPr="00582E24" w:rsidRDefault="0066497C" w:rsidP="00C5792E">
      <w:pPr>
        <w:pStyle w:val="enumlev1"/>
        <w:jc w:val="both"/>
      </w:pPr>
      <w:r w:rsidRPr="00582E24">
        <w:t>I</w:t>
      </w:r>
      <w:r w:rsidR="00CC38FB" w:rsidRPr="00582E24">
        <w:t>)</w:t>
      </w:r>
      <w:r w:rsidRPr="00582E24">
        <w:tab/>
        <w:t>Estado de la situación financiera al 31 de diciembre de 2024</w:t>
      </w:r>
      <w:r w:rsidR="00CC38FB" w:rsidRPr="00582E24">
        <w:t>.</w:t>
      </w:r>
    </w:p>
    <w:p w14:paraId="3CE15924" w14:textId="13B32658" w:rsidR="0066497C" w:rsidRPr="00582E24" w:rsidRDefault="0066497C" w:rsidP="00C5792E">
      <w:pPr>
        <w:pStyle w:val="enumlev1"/>
        <w:jc w:val="both"/>
      </w:pPr>
      <w:r w:rsidRPr="00582E24">
        <w:t>II</w:t>
      </w:r>
      <w:r w:rsidR="00CC38FB" w:rsidRPr="00582E24">
        <w:t>)</w:t>
      </w:r>
      <w:r w:rsidRPr="00582E24">
        <w:tab/>
        <w:t>Estado de los resultados financieros para el ejercicio cerrado al 31 de diciembre de 2024</w:t>
      </w:r>
      <w:r w:rsidR="00CC38FB" w:rsidRPr="00582E24">
        <w:t>.</w:t>
      </w:r>
    </w:p>
    <w:p w14:paraId="2C2593B2" w14:textId="0827CD0D" w:rsidR="0066497C" w:rsidRPr="00582E24" w:rsidRDefault="0066497C" w:rsidP="00C5792E">
      <w:pPr>
        <w:pStyle w:val="enumlev1"/>
        <w:jc w:val="both"/>
      </w:pPr>
      <w:r w:rsidRPr="00582E24">
        <w:t>III</w:t>
      </w:r>
      <w:r w:rsidR="00CC38FB" w:rsidRPr="00582E24">
        <w:t>)</w:t>
      </w:r>
      <w:r w:rsidRPr="00582E24">
        <w:tab/>
        <w:t>Estado de las variaciones del activo neto para el ejercicio cerrado al 31 de diciembre de</w:t>
      </w:r>
      <w:r w:rsidR="00082D78" w:rsidRPr="00582E24">
        <w:t> </w:t>
      </w:r>
      <w:r w:rsidRPr="00582E24">
        <w:t>2024</w:t>
      </w:r>
      <w:r w:rsidR="00CC38FB" w:rsidRPr="00582E24">
        <w:t>.</w:t>
      </w:r>
    </w:p>
    <w:p w14:paraId="389FD06F" w14:textId="78D12472" w:rsidR="0066497C" w:rsidRPr="00582E24" w:rsidRDefault="0066497C" w:rsidP="00C5792E">
      <w:pPr>
        <w:pStyle w:val="enumlev1"/>
        <w:jc w:val="both"/>
      </w:pPr>
      <w:r w:rsidRPr="00582E24">
        <w:t>IV</w:t>
      </w:r>
      <w:r w:rsidR="00CC38FB" w:rsidRPr="00582E24">
        <w:t>)</w:t>
      </w:r>
      <w:r w:rsidRPr="00582E24">
        <w:tab/>
        <w:t>Estado de los movimientos de tesorería para el ejercicio cerrado al 31 de diciembre de</w:t>
      </w:r>
      <w:r w:rsidR="002727CC" w:rsidRPr="00582E24">
        <w:t> </w:t>
      </w:r>
      <w:r w:rsidRPr="00582E24">
        <w:t>2024</w:t>
      </w:r>
      <w:r w:rsidR="00CC38FB" w:rsidRPr="00582E24">
        <w:t>.</w:t>
      </w:r>
    </w:p>
    <w:p w14:paraId="660BF1B6" w14:textId="0022973A" w:rsidR="0066497C" w:rsidRPr="00582E24" w:rsidRDefault="0066497C" w:rsidP="00C5792E">
      <w:pPr>
        <w:pStyle w:val="enumlev1"/>
        <w:jc w:val="both"/>
      </w:pPr>
      <w:r w:rsidRPr="00582E24">
        <w:t>V</w:t>
      </w:r>
      <w:r w:rsidR="00CC38FB" w:rsidRPr="00582E24">
        <w:t>)</w:t>
      </w:r>
      <w:r w:rsidRPr="00582E24">
        <w:tab/>
        <w:t>Estado de comparación de los importes presupuestados y efectivos para el ejercicio cerrado al 31 de diciembre de 2024</w:t>
      </w:r>
      <w:r w:rsidR="00CC38FB" w:rsidRPr="00582E24">
        <w:t>.</w:t>
      </w:r>
    </w:p>
    <w:p w14:paraId="7344C694" w14:textId="77777777" w:rsidR="0066497C" w:rsidRPr="00582E24" w:rsidRDefault="0066497C" w:rsidP="00C5792E">
      <w:pPr>
        <w:pStyle w:val="Headingb"/>
        <w:jc w:val="both"/>
        <w:rPr>
          <w:color w:val="0070C0"/>
        </w:rPr>
      </w:pPr>
      <w:r w:rsidRPr="00582E24">
        <w:rPr>
          <w:color w:val="0070C0"/>
        </w:rPr>
        <w:t>Auditoría externa de la Unión</w:t>
      </w:r>
    </w:p>
    <w:p w14:paraId="304DB0D8" w14:textId="502AC324" w:rsidR="0066497C" w:rsidRPr="00582E24" w:rsidRDefault="00CC38FB" w:rsidP="00C5792E">
      <w:pPr>
        <w:jc w:val="both"/>
      </w:pPr>
      <w:r w:rsidRPr="00582E24">
        <w:t>29</w:t>
      </w:r>
      <w:r w:rsidRPr="00582E24">
        <w:tab/>
      </w:r>
      <w:r w:rsidR="0066497C" w:rsidRPr="00582E24">
        <w:t>De conformidad con el Artículo 28 del Reglamento Financiero y las Reglas Financieras de la Unión, y en virtud del Acuerdo 621 adoptado por el Consejo en 2020, la Oficina Nacional de Auditoría del Reino Unido de Gran Bretaña e Irlanda del Norte fue nombrada Auditor Externo de las cuentas de la Unión, con arreglo a lo decidido por la Conferencia de Plenipotenciarios de la UIT y por un mandato de cuatro años</w:t>
      </w:r>
      <w:r w:rsidR="00842BA8" w:rsidRPr="00582E24">
        <w:t>.</w:t>
      </w:r>
      <w:r w:rsidR="0066497C" w:rsidRPr="00582E24">
        <w:br w:type="page"/>
      </w:r>
    </w:p>
    <w:p w14:paraId="2F8629BC" w14:textId="77777777" w:rsidR="0066497C" w:rsidRPr="00582E24" w:rsidRDefault="0066497C" w:rsidP="000D0931">
      <w:bookmarkStart w:id="29" w:name="_Toc130976544"/>
    </w:p>
    <w:p w14:paraId="48FBCDEA" w14:textId="77777777" w:rsidR="0066497C" w:rsidRPr="00582E24" w:rsidRDefault="0066497C" w:rsidP="00CC38FB">
      <w:pPr>
        <w:jc w:val="center"/>
      </w:pPr>
      <w:bookmarkStart w:id="30" w:name="CurrentLocation"/>
      <w:bookmarkEnd w:id="30"/>
    </w:p>
    <w:p w14:paraId="7F1761D2" w14:textId="77777777" w:rsidR="0066497C" w:rsidRPr="00582E24" w:rsidRDefault="0066497C" w:rsidP="00CC38FB">
      <w:pPr>
        <w:pStyle w:val="Figure"/>
      </w:pPr>
      <w:r w:rsidRPr="00582E24">
        <w:rPr>
          <w:noProof/>
        </w:rPr>
        <w:drawing>
          <wp:inline distT="0" distB="0" distL="0" distR="0" wp14:anchorId="53A10CED" wp14:editId="6479C3D3">
            <wp:extent cx="682402" cy="720000"/>
            <wp:effectExtent l="0" t="0" r="3810" b="4445"/>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p w14:paraId="3F10B0FF" w14:textId="77777777" w:rsidR="0066497C" w:rsidRPr="00582E24" w:rsidRDefault="0066497C" w:rsidP="00CC38FB">
      <w:pPr>
        <w:jc w:val="center"/>
      </w:pPr>
    </w:p>
    <w:p w14:paraId="7E62FC47" w14:textId="77777777" w:rsidR="0066497C" w:rsidRPr="00582E24" w:rsidRDefault="0066497C" w:rsidP="00CC38FB">
      <w:pPr>
        <w:jc w:val="center"/>
      </w:pPr>
    </w:p>
    <w:p w14:paraId="3675213C" w14:textId="77777777" w:rsidR="0066497C" w:rsidRPr="00582E24" w:rsidRDefault="0066497C" w:rsidP="00CC38FB">
      <w:pPr>
        <w:jc w:val="center"/>
      </w:pPr>
    </w:p>
    <w:p w14:paraId="4688D4EF" w14:textId="77777777" w:rsidR="0066497C" w:rsidRPr="00582E24" w:rsidRDefault="0066497C" w:rsidP="00CC38FB">
      <w:pPr>
        <w:jc w:val="center"/>
      </w:pPr>
    </w:p>
    <w:p w14:paraId="0A5DC25F" w14:textId="77777777" w:rsidR="0066497C" w:rsidRPr="00582E24" w:rsidRDefault="0066497C" w:rsidP="00CC38FB">
      <w:pPr>
        <w:jc w:val="center"/>
      </w:pPr>
    </w:p>
    <w:p w14:paraId="49F67F6B" w14:textId="77777777" w:rsidR="0066497C" w:rsidRPr="00582E24" w:rsidRDefault="0066497C" w:rsidP="00CC38FB">
      <w:pPr>
        <w:jc w:val="center"/>
      </w:pPr>
    </w:p>
    <w:p w14:paraId="1082FB99" w14:textId="77777777" w:rsidR="0066497C" w:rsidRPr="00582E24" w:rsidRDefault="0066497C" w:rsidP="00CC38FB">
      <w:pPr>
        <w:jc w:val="center"/>
      </w:pPr>
    </w:p>
    <w:p w14:paraId="0BFADA40" w14:textId="77777777" w:rsidR="0066497C" w:rsidRPr="00582E24" w:rsidRDefault="0066497C" w:rsidP="00CC38FB">
      <w:pPr>
        <w:pStyle w:val="Rectitle"/>
      </w:pPr>
      <w:bookmarkStart w:id="31" w:name="_Toc196292769"/>
      <w:bookmarkStart w:id="32" w:name="_Toc200461753"/>
      <w:bookmarkStart w:id="33" w:name="_Toc200461919"/>
      <w:r w:rsidRPr="00582E24">
        <w:t>Declaración de control interno correspondiente a 2024</w:t>
      </w:r>
      <w:bookmarkEnd w:id="31"/>
      <w:bookmarkEnd w:id="32"/>
      <w:bookmarkEnd w:id="33"/>
    </w:p>
    <w:p w14:paraId="31938F89" w14:textId="77777777" w:rsidR="0066497C" w:rsidRPr="00582E24" w:rsidRDefault="0066497C" w:rsidP="00AD7939">
      <w:pPr>
        <w:pStyle w:val="Rectitle"/>
        <w:spacing w:before="120"/>
      </w:pPr>
    </w:p>
    <w:p w14:paraId="75869F77" w14:textId="77777777" w:rsidR="0066497C" w:rsidRPr="00582E24" w:rsidRDefault="0066497C" w:rsidP="002727CC">
      <w:pPr>
        <w:pStyle w:val="RecNo"/>
        <w:rPr>
          <w:b/>
          <w:bCs/>
          <w:caps w:val="0"/>
          <w:smallCaps/>
        </w:rPr>
      </w:pPr>
      <w:r w:rsidRPr="00582E24">
        <w:rPr>
          <w:b/>
          <w:bCs/>
          <w:caps w:val="0"/>
          <w:smallCaps/>
        </w:rPr>
        <w:t>Unión Internacional de Telecomunicaciones, Ginebra</w:t>
      </w:r>
    </w:p>
    <w:p w14:paraId="48A09E21" w14:textId="77777777" w:rsidR="0066497C" w:rsidRPr="00582E24" w:rsidRDefault="0066497C" w:rsidP="00CC38FB">
      <w:pPr>
        <w:jc w:val="center"/>
      </w:pPr>
    </w:p>
    <w:p w14:paraId="54DF223E" w14:textId="77777777" w:rsidR="0066497C" w:rsidRPr="00582E24" w:rsidRDefault="0066497C" w:rsidP="00CC38FB">
      <w:pPr>
        <w:jc w:val="center"/>
      </w:pPr>
    </w:p>
    <w:p w14:paraId="0F317E97" w14:textId="77777777" w:rsidR="0066497C" w:rsidRPr="00582E24" w:rsidRDefault="0066497C" w:rsidP="00CC38FB">
      <w:pPr>
        <w:jc w:val="center"/>
      </w:pPr>
    </w:p>
    <w:p w14:paraId="78D22711" w14:textId="77777777" w:rsidR="0066497C" w:rsidRPr="00582E24" w:rsidRDefault="0066497C" w:rsidP="00CC38FB">
      <w:pPr>
        <w:jc w:val="center"/>
      </w:pPr>
    </w:p>
    <w:p w14:paraId="3131AA91" w14:textId="77777777" w:rsidR="0066497C" w:rsidRPr="00582E24" w:rsidRDefault="0066497C" w:rsidP="00CC38FB">
      <w:pPr>
        <w:jc w:val="center"/>
      </w:pPr>
    </w:p>
    <w:p w14:paraId="59694C06" w14:textId="77777777" w:rsidR="0066497C" w:rsidRPr="00582E24" w:rsidRDefault="0066497C" w:rsidP="00CC38FB">
      <w:pPr>
        <w:jc w:val="center"/>
      </w:pPr>
    </w:p>
    <w:p w14:paraId="379669BB" w14:textId="77777777" w:rsidR="0066497C" w:rsidRPr="00582E24" w:rsidRDefault="0066497C" w:rsidP="00CC38FB">
      <w:pPr>
        <w:jc w:val="center"/>
      </w:pPr>
    </w:p>
    <w:p w14:paraId="206305D3" w14:textId="77777777" w:rsidR="0066497C" w:rsidRPr="00582E24" w:rsidRDefault="0066497C" w:rsidP="00CC38FB">
      <w:pPr>
        <w:jc w:val="center"/>
      </w:pPr>
    </w:p>
    <w:p w14:paraId="11E32FCB" w14:textId="77777777" w:rsidR="0066497C" w:rsidRPr="00582E24" w:rsidRDefault="0066497C" w:rsidP="000D0931">
      <w:r w:rsidRPr="00582E24">
        <w:br w:type="page"/>
      </w:r>
    </w:p>
    <w:p w14:paraId="53AD44CE" w14:textId="77777777" w:rsidR="0066497C" w:rsidRPr="00582E24" w:rsidRDefault="0066497C" w:rsidP="00CC38FB">
      <w:pPr>
        <w:pStyle w:val="Annextitle"/>
        <w:rPr>
          <w:color w:val="4F81BD"/>
        </w:rPr>
      </w:pPr>
      <w:r w:rsidRPr="00582E24">
        <w:rPr>
          <w:color w:val="4F81BD"/>
        </w:rPr>
        <w:lastRenderedPageBreak/>
        <w:t>Declaración de control interno correspondiente a 2024</w:t>
      </w:r>
    </w:p>
    <w:p w14:paraId="3935664F" w14:textId="77777777" w:rsidR="0066497C" w:rsidRPr="00582E24" w:rsidRDefault="0066497C" w:rsidP="00C5792E">
      <w:pPr>
        <w:pStyle w:val="Headingb"/>
        <w:jc w:val="both"/>
        <w:rPr>
          <w:color w:val="4F81BD"/>
        </w:rPr>
      </w:pPr>
      <w:r w:rsidRPr="00582E24">
        <w:rPr>
          <w:color w:val="4F81BD"/>
        </w:rPr>
        <w:t>Introducción</w:t>
      </w:r>
    </w:p>
    <w:p w14:paraId="50A2A583" w14:textId="58EB95F7" w:rsidR="0066497C" w:rsidRPr="00582E24" w:rsidRDefault="0066497C" w:rsidP="00C5792E">
      <w:pPr>
        <w:jc w:val="both"/>
      </w:pPr>
      <w:r w:rsidRPr="00582E24">
        <w:t xml:space="preserve">En calidad de Secretaria General, soy responsable de la administración de la UIT y de la ejecución de su mandato, sus programas y sus actividades. En virtud de los números 73 </w:t>
      </w:r>
      <w:r w:rsidRPr="00582E24">
        <w:rPr>
          <w:i/>
          <w:iCs/>
        </w:rPr>
        <w:t>bis</w:t>
      </w:r>
      <w:r w:rsidRPr="00582E24">
        <w:t xml:space="preserve"> y</w:t>
      </w:r>
      <w:r w:rsidR="00082D78" w:rsidRPr="00582E24">
        <w:t> </w:t>
      </w:r>
      <w:r w:rsidRPr="00582E24">
        <w:t>75 de la Constitución (véase el Artículo 11), así como de lo dispuesto en el Reglamento Financiero y las Reglas Financieras, me incumben responsabilidades tales como el mantenimiento de un sistema de controles internos que permita ofrecer garantías razonables en cuanto a la consecución de los objetivos de la UIT, lo que incluye velar por la fiabilidad de los informes presentados, ya sean financieros o de otra índole, por la eficacia y la eficiencia de las operaciones, por el cumplimiento de los reglamentos, normas, órdenes de servicio y políticas aplicables, y por la prevención y detección de actividades fraudulentas.</w:t>
      </w:r>
    </w:p>
    <w:p w14:paraId="0AB47101" w14:textId="77777777" w:rsidR="0066497C" w:rsidRPr="00582E24" w:rsidRDefault="0066497C" w:rsidP="00C5792E">
      <w:pPr>
        <w:jc w:val="both"/>
      </w:pPr>
      <w:r w:rsidRPr="00582E24">
        <w:t>Una vez asumido el cargo de Secretaria General en enero de 2023, empecé a tomar medidas encaminadas a transformar la UIT en una organización capaz de afrontar retos operacionales en rápida evolución, sin dejar de mantener y mejorar los servicios que presta. Ello incluye, en particular, el fomento de una cultura basada en la rendición de cuentas y la transparencia en el lugar de trabajo; la mejora de los sistemas de información; la integración de la gestión de riesgos en los procesos institucionales; el fortalecimiento de los controles internos; y la mejora de la capacidad de respuesta a las recomendaciones de los organismos de verificación independientes.</w:t>
      </w:r>
    </w:p>
    <w:p w14:paraId="475FE1BE" w14:textId="36EAA7A8" w:rsidR="0066497C" w:rsidRPr="00582E24" w:rsidRDefault="0066497C" w:rsidP="00C5792E">
      <w:pPr>
        <w:jc w:val="both"/>
      </w:pPr>
      <w:r w:rsidRPr="00582E24">
        <w:t>En su reunión de 2024, el Consejo aprobó la hoja de ruta de la transformación. El objetivo de esta transformación es preparar a la organización para las exigencias futuras en un contexto tecnológico en rápida evolución. Promotores del cambio de toda la organización han apoyado este proceso. En septiembre de 2024, se nombró al Jefe del Equipo de Transformación y se le otorgó el mandato de facilitar la coordinación de las iniciativas de transformación. A tal efecto, se creó un tablero dedicado a la transformación, en el que los Estados miembros y otras partes interesadas pueden encontrar información actualizada sobre los avances logrados. La transformación se centra en los procesos administrativos, los sistemas auxiliares y los controles internos, no obstante, abarca la organización en su conjunto y requiere de la participación de todos los miembros del personal.</w:t>
      </w:r>
    </w:p>
    <w:p w14:paraId="44642092" w14:textId="77777777" w:rsidR="0066497C" w:rsidRPr="00582E24" w:rsidRDefault="0066497C" w:rsidP="00C5792E">
      <w:pPr>
        <w:pStyle w:val="Headingb"/>
        <w:jc w:val="both"/>
        <w:rPr>
          <w:color w:val="4F81BD"/>
        </w:rPr>
      </w:pPr>
      <w:r w:rsidRPr="00582E24">
        <w:rPr>
          <w:color w:val="4F81BD"/>
        </w:rPr>
        <w:t>Eficacia del sistema de control interno y mejoras continuas</w:t>
      </w:r>
    </w:p>
    <w:p w14:paraId="5042661E" w14:textId="4DC76489" w:rsidR="0066497C" w:rsidRPr="00582E24" w:rsidRDefault="0066497C" w:rsidP="00C5792E">
      <w:pPr>
        <w:jc w:val="both"/>
      </w:pPr>
      <w:r w:rsidRPr="00582E24">
        <w:t>A fin de evaluar y mejorar el sistema de control interno de la organización, la UIT se basa cada vez más en el marco integrado de control interno del Comité de Organizaciones Patrocinadoras de la Comisión Treadway (COSO) de 2013, en el que se fundamentan el modelo y el marco de rendición de cuentas de la UIT que el Consejo aprobó en 2022. El marco del</w:t>
      </w:r>
      <w:r w:rsidR="00082D78" w:rsidRPr="00582E24">
        <w:t> </w:t>
      </w:r>
      <w:r w:rsidRPr="00582E24">
        <w:t>COSO se articula en torno a cinco componentes interrelacionados, a saber: 1)</w:t>
      </w:r>
      <w:r w:rsidR="008F7935" w:rsidRPr="00582E24">
        <w:t> </w:t>
      </w:r>
      <w:r w:rsidRPr="00582E24">
        <w:t>entorno de control, 2) evaluación de los riesgos, 3) actividades de control, 4) información y comunicación, y 5) actividades de supervisión.</w:t>
      </w:r>
    </w:p>
    <w:p w14:paraId="1E546803" w14:textId="77777777" w:rsidR="0066497C" w:rsidRPr="00582E24" w:rsidRDefault="0066497C" w:rsidP="00C5792E">
      <w:pPr>
        <w:jc w:val="both"/>
      </w:pPr>
      <w:r w:rsidRPr="00582E24">
        <w:t xml:space="preserve">Al igual que en años anteriores, se solicitaron cartas de representación internas a los funcionarios de elección y los altos directivos en los que he delegado autoridad y responsabilidad, en virtud tanto del Reglamento Financiero y las Reglas Financieras, como del Estatutos y el Reglamento del Personal de la UIT, en aras de una gestión eficaz de los controles internos dentro de sus ámbitos de autoridad. Anteriormente, el ejercicio de las cartas de representación internas giraba en torno a la gestión de los fondos y los asuntos financieros conexos. Para el ejercicio 2024, en consonancia con los cinco componentes que integran el </w:t>
      </w:r>
      <w:r w:rsidRPr="00582E24">
        <w:lastRenderedPageBreak/>
        <w:t>marco del COSO, este ejercicio se ha ampliado con el objetivo de solicitar una confirmación de la aplicación del sistema de control interno en términos más generales. Esta información se solicitó con miras a sentar una base más sólida no solo para la presente declaración, sino también para las medidas adoptadas a fin de mejorar los controles internos.</w:t>
      </w:r>
    </w:p>
    <w:p w14:paraId="27271023" w14:textId="598670C1" w:rsidR="0066497C" w:rsidRPr="00582E24" w:rsidRDefault="0066497C" w:rsidP="00C5792E">
      <w:pPr>
        <w:jc w:val="both"/>
      </w:pPr>
      <w:r w:rsidRPr="00582E24">
        <w:t xml:space="preserve">Si bien los resultados de este nuevo apartado de autoevaluación del ejercicio de las cartas de representación confirman la opinión de que los controles internos son adecuados en la mayoría de los ámbitos, el ejercicio en cuestión no incluyó cuestiones relativas a la delegación de autoridad. A medida que la UIT sigue trabajando en la mejora de sus controles internos, necesita entablar un diálogo más amplio con los directivos sobre la finalidad del ejercicio de las cartas de representación, dado que sus puntos de vista son fundamentales </w:t>
      </w:r>
      <w:r w:rsidR="0084318D" w:rsidRPr="00582E24">
        <w:t xml:space="preserve">para </w:t>
      </w:r>
      <w:r w:rsidRPr="00582E24">
        <w:t>detectar puntos débiles y ámbitos de mejora en toda la organización.</w:t>
      </w:r>
    </w:p>
    <w:p w14:paraId="20A2C869" w14:textId="77777777" w:rsidR="0066497C" w:rsidRPr="00582E24" w:rsidRDefault="0066497C" w:rsidP="00C5792E">
      <w:pPr>
        <w:jc w:val="both"/>
      </w:pPr>
      <w:r w:rsidRPr="00582E24">
        <w:t>La UIT ha logrado avances en diversos ámbitos, véanse en particular la contratación del Jefe de la nueva Unidad de Supervisión; la mejora de los informes financieros; el refuerzo de la gestión de los acuerdos de servicios especiales (SSA); las constantes medidas adoptadas en respuesta a las recomendaciones de los organismos de verificación independientes; la aprobación de una política de formaciones obligatorias; y el refuerzo de la gobernanza de las tecnologías de la información y la comunicación. Sin embargo, es preciso seguir trabajando para garantizar una integración más sistemática de la gestión de riesgos en los procesos institucionales, la supervisión del control interno y la rendición de cuentas en el ámbito financiero.</w:t>
      </w:r>
    </w:p>
    <w:p w14:paraId="1FEF38BE" w14:textId="0DE7811B" w:rsidR="0066497C" w:rsidRPr="00582E24" w:rsidRDefault="00CC38FB" w:rsidP="00C5792E">
      <w:pPr>
        <w:pStyle w:val="Headingb"/>
        <w:jc w:val="both"/>
        <w:rPr>
          <w:color w:val="4F81BD"/>
        </w:rPr>
      </w:pPr>
      <w:bookmarkStart w:id="34" w:name="_Toc199852349"/>
      <w:bookmarkStart w:id="35" w:name="_Toc199852911"/>
      <w:r w:rsidRPr="00582E24">
        <w:rPr>
          <w:color w:val="4F81BD"/>
        </w:rPr>
        <w:t>1</w:t>
      </w:r>
      <w:r w:rsidRPr="00582E24">
        <w:rPr>
          <w:color w:val="4F81BD"/>
        </w:rPr>
        <w:tab/>
      </w:r>
      <w:r w:rsidR="0066497C" w:rsidRPr="00582E24">
        <w:rPr>
          <w:color w:val="4F81BD"/>
        </w:rPr>
        <w:t>Entorno de control</w:t>
      </w:r>
      <w:bookmarkEnd w:id="34"/>
      <w:bookmarkEnd w:id="35"/>
    </w:p>
    <w:p w14:paraId="37608746" w14:textId="79D54954" w:rsidR="0066497C" w:rsidRPr="00582E24" w:rsidRDefault="0066497C" w:rsidP="00C5792E">
      <w:pPr>
        <w:jc w:val="both"/>
      </w:pPr>
      <w:r w:rsidRPr="00582E24">
        <w:rPr>
          <w:b/>
          <w:bCs/>
          <w:i/>
          <w:iCs/>
        </w:rPr>
        <w:t>Integridad y conflicto de intereses</w:t>
      </w:r>
      <w:r w:rsidRPr="00582E24">
        <w:t>. El equipo directivo predica con el ejemplo, demostrando su compromiso con la integridad y promoviendo una cultura ética sólida, en consonancia con el marco reglamentario de la UIT. Dicho esto, la alta dirección se mantiene alerta. A tal efecto, todos los miembros del personal de la UIT deben presentar anualmente una declaración de intereses y una declaración de cumplimiento, que la Oficina de Ética revisa, conforme a lo estipulado en la Política de la UIT sobre declaración de intereses. Esta política se aplica asimismo a las personas que trabajan para la UIT en virtud de un SSA, junto con una serie de directrices sobre conflictos de intereses. También se han establecido nuevos procedimientos para reforzar la gestión de los contratos SSA, incluida la certificación por parte de los gestores de los resultados antes del pago correspondiente.</w:t>
      </w:r>
    </w:p>
    <w:p w14:paraId="0D324F64" w14:textId="77777777" w:rsidR="0066497C" w:rsidRPr="00582E24" w:rsidRDefault="0066497C" w:rsidP="00C5792E">
      <w:pPr>
        <w:jc w:val="both"/>
      </w:pPr>
      <w:r w:rsidRPr="00582E24">
        <w:rPr>
          <w:b/>
          <w:bCs/>
          <w:i/>
          <w:iCs/>
        </w:rPr>
        <w:t>Gestión de conductas indebidas</w:t>
      </w:r>
      <w:r w:rsidRPr="00582E24">
        <w:t>. Los altos funcionarios consultados en el marco del ejercicio de las cartas de representación consideraron adecuados los canales existentes para denunciar y abordar presuntas conductas indebidas, incluidas sospechas de fraude y otras prácticas prohibidas conexas. A este respecto, la Unidad de Supervisión interna, creada en 2023 con la aprobación del Consejo, concluyó dos investigaciones en 2024: una de ellas permitió corroborar la veracidad de los hechos y la otra se retiró, pero ninguna guardaba relación con un caso de fraude. Cuatro casos seguían siendo objeto de investigación a finales de 2024. De ellos, uno estaba relacionado con un fraude al seguro médico. Este caso ha quedado archivado por falta de pruebas. Ninguno de los asuntos restantes está relacionado con un caso de fraude y todos ellos carecen de repercusiones financieras.</w:t>
      </w:r>
    </w:p>
    <w:p w14:paraId="5E1C6354" w14:textId="77777777" w:rsidR="0066497C" w:rsidRPr="00582E24" w:rsidRDefault="0066497C" w:rsidP="00C5792E">
      <w:pPr>
        <w:jc w:val="both"/>
      </w:pPr>
      <w:r w:rsidRPr="00582E24">
        <w:rPr>
          <w:b/>
          <w:bCs/>
          <w:i/>
          <w:iCs/>
        </w:rPr>
        <w:t>Órganos rectores y alta dirección</w:t>
      </w:r>
      <w:r w:rsidRPr="00582E24">
        <w:t xml:space="preserve">. Conforme a lo estipulado en la Constitución y el Convenio de la UIT, el Consejo, con el apoyo de sus grupos de trabajo, orienta y supervisa las actividades de la UIT en consonancia con las decisiones y resoluciones de las Conferencias de Plenipotenciarios de la Unión. Desde 2023, la gestión de riesgos y los controles internos </w:t>
      </w:r>
      <w:r w:rsidRPr="00582E24">
        <w:lastRenderedPageBreak/>
        <w:t>protagonizan un punto permanente del orden del día de las reuniones del Consejo. En 2024, se decidió que la supervisión de la gestión de riesgos y los controles internos por parte de la alta dirección se coordinase a través del Grupo de Coordinación de la Gestión.</w:t>
      </w:r>
    </w:p>
    <w:p w14:paraId="021B699B" w14:textId="77777777" w:rsidR="0066497C" w:rsidRPr="00582E24" w:rsidRDefault="0066497C" w:rsidP="00C5792E">
      <w:pPr>
        <w:jc w:val="both"/>
      </w:pPr>
      <w:r w:rsidRPr="00582E24">
        <w:rPr>
          <w:b/>
          <w:bCs/>
          <w:i/>
          <w:iCs/>
        </w:rPr>
        <w:t>Asesoramiento y garantías independientes</w:t>
      </w:r>
      <w:r w:rsidRPr="00582E24">
        <w:t xml:space="preserve">. El Comité Asesor Independiente sobre la Gestión (CAIG), subordinado al Consejo, sigue ayudando al Consejo y a la Secretaría a cumplir con sus responsabilidades en términos de gobernanza, entre ellas garantizar la eficacia del sistema de control interno de la UIT, la gestión de riesgos y los procesos de gobernanza. En su reunión de junio de 2024, el Consejo aprobó una nueva Carta de Supervisión Interna de la UIT. </w:t>
      </w:r>
      <w:proofErr w:type="gramStart"/>
      <w:r w:rsidRPr="00582E24">
        <w:t>A día de hoy</w:t>
      </w:r>
      <w:proofErr w:type="gramEnd"/>
      <w:r w:rsidRPr="00582E24">
        <w:t>, la UIT está ultimando la adaptación de las órdenes de servicio y las políticas conexas a la nueva Carta, especialmente, en lo que respecta a la denuncia de presuntas conductas indebidas, pues en esta última se prevé que el Jefe de la Unidad de Supervisión independiente informe funcionalmente al Consejo y al CAIG y administrativamente a la Secretaria General. La Unidad de Supervisión remitió su informe anual al CAIG, el Auditor Externo, la Secretaria General y el Consejo. El 23 de septiembre de 2024 entró en funciones el nuevo Jefe de la Unidad de Supervisión de la UIT, quien se encarga de ofrecer garantías independientes sobre la eficacia del sistema de control interno. También se ha añadido a dicha Unidad una función de evaluación, para la que se ha iniciado el proceso de contratación necesario.</w:t>
      </w:r>
    </w:p>
    <w:p w14:paraId="70AF1BD9" w14:textId="77777777" w:rsidR="0066497C" w:rsidRPr="00582E24" w:rsidRDefault="0066497C" w:rsidP="00C5792E">
      <w:pPr>
        <w:jc w:val="both"/>
      </w:pPr>
      <w:r w:rsidRPr="00582E24">
        <w:rPr>
          <w:b/>
          <w:bCs/>
          <w:i/>
          <w:iCs/>
        </w:rPr>
        <w:t>Recomendaciones de auditoría pendientes</w:t>
      </w:r>
      <w:r w:rsidRPr="00582E24">
        <w:t>. Además del CAIG y de la función de auditoría interna, la Dependencia Común de Inspección y el Auditor Externo también ofrecen garantías de supervisión independientes. En mayo de 2024, la UIT inició un examen de todas las recomendaciones de auditoría pendientes, algunas de las cuales se remontan años atrás. En el marco de este ejercicio, tanto funcionarios como gestores han dedicado y siguen dedicando notables esfuerzos a subsanar las deficiencias en términos de control identificadas en estas recomendaciones y, en consecuencia, a mitigar los riesgos subyacentes. En cuanto a las recomendaciones pendientes formuladas por el anterior Auditor Externo, la Corte dei Conti, cabe señalar que muchas de ellas se aplicaron en el marco de este ejercicio. Las recomendaciones para el cierre de estas recomendaciones se recopilarán en un informe destinado al CAIG, que se discutirá con el actual Auditor Externo, la Oficina Nacional de Auditoría (NAO) del Reino Unido.</w:t>
      </w:r>
    </w:p>
    <w:p w14:paraId="08CC4B0D" w14:textId="1208D095" w:rsidR="0066497C" w:rsidRPr="00582E24" w:rsidRDefault="0066497C" w:rsidP="00C5792E">
      <w:pPr>
        <w:jc w:val="both"/>
      </w:pPr>
      <w:r w:rsidRPr="00582E24">
        <w:rPr>
          <w:b/>
          <w:bCs/>
          <w:i/>
          <w:iCs/>
        </w:rPr>
        <w:t>Desarrollo de conocimientos y competencias</w:t>
      </w:r>
      <w:r w:rsidRPr="00582E24">
        <w:t xml:space="preserve">. </w:t>
      </w:r>
      <w:bookmarkStart w:id="36" w:name="_Hlk199425871"/>
      <w:r w:rsidRPr="00582E24">
        <w:t xml:space="preserve">La alta dirección </w:t>
      </w:r>
      <w:bookmarkEnd w:id="36"/>
      <w:r w:rsidRPr="00582E24">
        <w:t>también se ha comprometido a fomentar una cultura basada en la competencia, el respeto y la integridad en el lugar de trabajo. En agosto de 2024, entr</w:t>
      </w:r>
      <w:r w:rsidR="00964E0E" w:rsidRPr="00582E24">
        <w:t>ó</w:t>
      </w:r>
      <w:r w:rsidRPr="00582E24">
        <w:t xml:space="preserve"> en vigor una nueva política en materia de formaciones obligatorias en la UIT, cuyo objetivo es sentar una base común de conocimientos, promover una cultura institucional compartida y crear conciencia sobre las normas de la organización y las conductas previstas. Las formaciones obligatorias abarcan temas esenciales como son la ética conductual; la seguridad de la información; el género; la prevención del acoso sexual, la explotación sexual y el abuso; la inclusividad en el ámbito de las tecnologías de la información y la comunicación; y la seguridad en los viajes en misión. Por su parte, el Departamento de Gestión de Recursos Humanos (HRMD) puso en marcha en 2024 el programa "Game Shifter", a fin de ayudar a los colegas de los servicios generales a adquirir competencias esenciales para avanzar en sus carreras. A lo largo del año se impartió formación técnica adaptada y específica para cada oficina sobre temas clave, incluidos diversos laboratorios de aprendizaje abiertos a todo el personal sobre temas tecnológicos de vanguardia.</w:t>
      </w:r>
    </w:p>
    <w:p w14:paraId="2067D577" w14:textId="77777777" w:rsidR="0066497C" w:rsidRPr="00582E24" w:rsidRDefault="0066497C" w:rsidP="00C5792E">
      <w:pPr>
        <w:jc w:val="both"/>
      </w:pPr>
      <w:r w:rsidRPr="00582E24">
        <w:rPr>
          <w:b/>
          <w:bCs/>
          <w:i/>
          <w:iCs/>
        </w:rPr>
        <w:t>Gestión del desempeño</w:t>
      </w:r>
      <w:r w:rsidRPr="00582E24">
        <w:t xml:space="preserve">. La UIT ha mejorado la gestión del desempeño racionalizando el proceso, en particular, gracias a la introducción de una herramienta ePMDS simplificada, que permite entablar debates y formular observaciones en la materia de una forma más eficiente. </w:t>
      </w:r>
      <w:r w:rsidRPr="00582E24">
        <w:lastRenderedPageBreak/>
        <w:t>Se ha puesto a disposición una página de gestión del desempeño moderna y fácil de utilizar, que contiene información y directrices clave sobre el proceso. También se impartió formación sobre gestión del desempeño, destinada tanto a miembros del personal como a supervisores, en cuyo marco se destacaron los principales conocimientos y competencias que se necesitan para establecer y evaluar con éxito un plan de trabajo.</w:t>
      </w:r>
    </w:p>
    <w:p w14:paraId="4A75025B" w14:textId="073A2644" w:rsidR="0066497C" w:rsidRPr="00582E24" w:rsidRDefault="0066497C" w:rsidP="00C5792E">
      <w:pPr>
        <w:jc w:val="both"/>
      </w:pPr>
      <w:r w:rsidRPr="00582E24">
        <w:rPr>
          <w:b/>
          <w:bCs/>
          <w:i/>
          <w:iCs/>
        </w:rPr>
        <w:t>Programa de separación voluntaria del servicio</w:t>
      </w:r>
      <w:r w:rsidRPr="00582E24">
        <w:t>. Se puso en marcha la segunda fase del programa de separación voluntaria del servicio, conforme a lo previsto en la Decisión 5 (Rev.</w:t>
      </w:r>
      <w:r w:rsidR="00964E0E" w:rsidRPr="00582E24">
        <w:t> </w:t>
      </w:r>
      <w:r w:rsidRPr="00582E24">
        <w:t>Bucarest, 2022) de la Conferencia de Plenipotenciarios. El objetivo principal de este programa es brindar flexibilidad a la UIT para adquirir aptitudes y competencias adicionales, readecuar sus estructuras y utilizar mejor los recursos necesarios para dar cumplimiento a su mandato.</w:t>
      </w:r>
    </w:p>
    <w:p w14:paraId="05E84BE2" w14:textId="77777777" w:rsidR="0066497C" w:rsidRPr="00582E24" w:rsidRDefault="0066497C" w:rsidP="00C5792E">
      <w:pPr>
        <w:jc w:val="both"/>
      </w:pPr>
      <w:r w:rsidRPr="00582E24">
        <w:rPr>
          <w:b/>
          <w:bCs/>
          <w:i/>
          <w:iCs/>
        </w:rPr>
        <w:t>Bienestar del personal</w:t>
      </w:r>
      <w:r w:rsidRPr="00582E24">
        <w:t>. La alta dirección adoptó medidas efectivas para abordar las cuestiones planteadas en la encuesta sobre salud de las Naciones Unidas de 2023. En los retiros de la alta dirección celebrados en marzo y noviembre de 2024 se definieron iniciativas encaminadas a establecer prioridades, trabajar en la gestión del rendimiento, analizar los reconocimientos y recompensas, emprender proyectos de transformación y revisar el sistema interno de justicia. Basándose en los resultados de la citada encuesta, la UIT elaboró su primer plan de acción en materia de salud mental y bienestar, el cual se centra tanto en las personas como en su entorno laboral. Se organizaron sesiones dedicadas al bienestar en la sede y en las oficinas sobre el terreno, así como 390 sesiones de asesoramiento individuales. A finales de 2024, se impartieron sesiones sobre microagresiones, prevención del acoso y sesgos inconscientes. Tras la conclusión con éxito de la primera sesión del programa de liderazgo inclusivo en 2024, se han organizado sesiones adicionales a principios de 2025 centradas en el liderazgo adaptativo en toda la organización. El objetivo de este programa es mejorar la inclusividad, la colaboración, el respeto y el bienestar en la organización.</w:t>
      </w:r>
    </w:p>
    <w:p w14:paraId="3BB3C304" w14:textId="4E5F2415" w:rsidR="0066497C" w:rsidRPr="00582E24" w:rsidRDefault="0066497C" w:rsidP="00C5792E">
      <w:pPr>
        <w:jc w:val="both"/>
      </w:pPr>
      <w:r w:rsidRPr="00582E24">
        <w:t>En enero de 2025, se llevó a cabo una encuesta al personal de la UIT con miras a determinar el nivel de compromiso, motivación y conexión de los empleados con el trabajo y la organización. El objetivo de esta encuesta es potenciar la eficiencia y la eficacia en el seno de la UIT, y detectar los ámbitos en los que cabe reforzar la cultura del lugar de trabajo, las prácticas de gestión y la eficiencia operacional. La tasa de respuesta del personal fue de un</w:t>
      </w:r>
      <w:r w:rsidR="00082D78" w:rsidRPr="00582E24">
        <w:t> </w:t>
      </w:r>
      <w:r w:rsidRPr="00582E24">
        <w:t>72</w:t>
      </w:r>
      <w:r w:rsidR="00964E0E" w:rsidRPr="00582E24">
        <w:t> </w:t>
      </w:r>
      <w:r w:rsidRPr="00582E24">
        <w:t>% y los resultados relativos al nivel de compromiso de los empleados con su trabajo fueron positivos en términos generales. Entre los ámbitos en los que se requieren mejoras figuran la comunicación interna, los reconocimientos y recompensas, y la gestión de la carga de trabajo. A ese respecto, se han adoptado diversas medidas de seguimiento a fin de propiciar cambios efectivos y mensurables, con el apoyo de una serie de embajadores del compromiso, incluidas sesiones conjuntas de planificación de iniciativas con los distintos departamentos y oficinas en 2025.</w:t>
      </w:r>
    </w:p>
    <w:p w14:paraId="7A4D46D8" w14:textId="4D4E140F" w:rsidR="0066497C" w:rsidRPr="00582E24" w:rsidRDefault="00224270" w:rsidP="00C5792E">
      <w:pPr>
        <w:pStyle w:val="Headingb"/>
        <w:jc w:val="both"/>
        <w:rPr>
          <w:color w:val="4F81BD"/>
        </w:rPr>
      </w:pPr>
      <w:bookmarkStart w:id="37" w:name="_Toc199852350"/>
      <w:bookmarkStart w:id="38" w:name="_Toc199852912"/>
      <w:r w:rsidRPr="00582E24">
        <w:rPr>
          <w:color w:val="4F81BD"/>
        </w:rPr>
        <w:t>2</w:t>
      </w:r>
      <w:r w:rsidRPr="00582E24">
        <w:rPr>
          <w:color w:val="4F81BD"/>
        </w:rPr>
        <w:tab/>
      </w:r>
      <w:r w:rsidR="0066497C" w:rsidRPr="00582E24">
        <w:rPr>
          <w:color w:val="4F81BD"/>
        </w:rPr>
        <w:t>Evaluación de riesgos</w:t>
      </w:r>
      <w:bookmarkEnd w:id="37"/>
      <w:bookmarkEnd w:id="38"/>
    </w:p>
    <w:p w14:paraId="01A3B6DF" w14:textId="4BDE6CCC" w:rsidR="0066497C" w:rsidRPr="00582E24" w:rsidRDefault="0066497C" w:rsidP="00C5792E">
      <w:pPr>
        <w:jc w:val="both"/>
      </w:pPr>
      <w:r w:rsidRPr="00582E24">
        <w:rPr>
          <w:b/>
          <w:bCs/>
          <w:i/>
          <w:iCs/>
        </w:rPr>
        <w:t>Proceso de gestión de riesgos</w:t>
      </w:r>
      <w:r w:rsidRPr="00582E24">
        <w:t>. El proceso de gestión de riesgos de la UIT, el cual abarca desde la identificación y evaluación de riesgos, hasta la adopción de las medidas correspondientes, se consigna en un registro de riesgos institucionales, con arreglo al compromiso contraído por el gestor de los riesgos institucionales de la organización con los propietarios de los riesgos. No obstante, los riesgos importantes son objeto de una supervisión continua y las novedades al respecto se señalan a la atención del Grupo de Coordinación de la Gestión y se publican en la página web del Consejo. Según los últimos datos publicado</w:t>
      </w:r>
      <w:r w:rsidR="00964E0E" w:rsidRPr="00582E24">
        <w:t>s</w:t>
      </w:r>
      <w:r w:rsidRPr="00582E24">
        <w:t xml:space="preserve"> en 2024, el riesgo más </w:t>
      </w:r>
      <w:r w:rsidRPr="00582E24">
        <w:lastRenderedPageBreak/>
        <w:t>importante, relacionado con los métodos de trabajo utilizados en los eventos principales, vio reducida su gravedad gracias a la introducción, en septiembre de 2024, de un módulo de planificación de recursos institucionales (ERP) más resiliente en el sistema de atención al cliente. También se añadió un riesgo financiero adicional a la lista de riesgos importantes, relacionado con los retos presupuestarios que plantean los ingresos por recuperación de costes. Es necesario seguir trabajando en la integración de las actividades de gestión de riesgos con la gestión basada en resultados (GBR), a fin de aplicar el marco de gestión de riesgos institucionales (ERM) prescrito por la política de gestión de riesgos de la UIT de 2020.</w:t>
      </w:r>
    </w:p>
    <w:p w14:paraId="00AB39CB" w14:textId="77777777" w:rsidR="0066497C" w:rsidRPr="00582E24" w:rsidRDefault="0066497C" w:rsidP="00C5792E">
      <w:pPr>
        <w:jc w:val="both"/>
      </w:pPr>
      <w:r w:rsidRPr="00582E24">
        <w:rPr>
          <w:b/>
          <w:bCs/>
          <w:i/>
          <w:iCs/>
        </w:rPr>
        <w:t>Violación de datos</w:t>
      </w:r>
      <w:r w:rsidRPr="00582E24">
        <w:t>. En 2025 se produjo una violación de datos en la Oficina de Normalización de las Telecomunicaciones, que implicó un acceso no autorizado a un conjunto limitado de información. El incidente se contuvo rápidamente y se han aplicado medidas correctivas para mejorar la seguridad del sistema, reforzar los controles de acceso y prevenir futuros percances.</w:t>
      </w:r>
    </w:p>
    <w:p w14:paraId="43D4DDBD" w14:textId="2F00B37D" w:rsidR="0066497C" w:rsidRPr="00582E24" w:rsidRDefault="0066497C" w:rsidP="00C5792E">
      <w:pPr>
        <w:jc w:val="both"/>
      </w:pPr>
      <w:r w:rsidRPr="00582E24">
        <w:rPr>
          <w:b/>
          <w:bCs/>
          <w:i/>
          <w:iCs/>
        </w:rPr>
        <w:t>Puntos débiles de la gestión basada en resultados</w:t>
      </w:r>
      <w:r w:rsidRPr="00582E24">
        <w:t>. Es preciso aclarar los objetivos que deben transmitirse en sentido tanto descendente como transversal en los distintos departamentos, divisiones y unidades, aplicando los principios de gestión basada en resultados. En consonancia con el plan de transformación financiera de 2023 y el plan de control interno de la alta dirección de 2024, se está trabajando en el refuerzo de la gestión basada en resultados a fin de mejorar la eficacia de los programas de la organización. Es preciso redoblar esfuerzos en este ámbito de la hoja de ruta de la transformación.</w:t>
      </w:r>
    </w:p>
    <w:p w14:paraId="584B7B74" w14:textId="73DB9F92" w:rsidR="0066497C" w:rsidRPr="00582E24" w:rsidRDefault="0066497C" w:rsidP="00C5792E">
      <w:pPr>
        <w:jc w:val="both"/>
      </w:pPr>
      <w:r w:rsidRPr="00582E24">
        <w:rPr>
          <w:b/>
          <w:bCs/>
          <w:i/>
          <w:iCs/>
        </w:rPr>
        <w:t>Gestión de riesgos especializada</w:t>
      </w:r>
      <w:r w:rsidRPr="00582E24">
        <w:t>. Existen registros de riesgos asociados a funciones especializadas. Por ejemplo, en relación con la seguridad de la información, se ha desarrollado un marco integral de gestión de riesgos basado en el marco de gobernanza mundialmente aceptado de los Objetivos de Control para la Información y Tecnologías Relacionadas (más</w:t>
      </w:r>
      <w:r w:rsidR="00082D78" w:rsidRPr="00582E24">
        <w:t> </w:t>
      </w:r>
      <w:r w:rsidRPr="00582E24">
        <w:t>conocido como COBIT), al que complementa un registro granular de riesgos asociados a las tecnologías de la información, a efectos de la supervisión de las dinámicas amenazas a los sistemas de información de la UIT y la adopción de medidas conexas. También existe un registro de riesgos específico para el proyecto de nuevo edificio de la sede, gestionado por la División de Gestión de las Instalaciones y del Proyecto de Edificio. El Grupo Asesor de los Estados Miembros (GAEM) ha asumido las funciones de supervisión en este ámbito y remite periódicamente informes financieros al país anfitrión. Además de en el GAEM, la gobernanza de este proyecto también recae en la Junta de Gestión del Nuevo Edificio y la Comisión de Dirección.</w:t>
      </w:r>
    </w:p>
    <w:p w14:paraId="62CBEFEC" w14:textId="73DC8934" w:rsidR="0066497C" w:rsidRPr="00582E24" w:rsidRDefault="00224270" w:rsidP="00C5792E">
      <w:pPr>
        <w:pStyle w:val="Headingb"/>
        <w:jc w:val="both"/>
        <w:rPr>
          <w:color w:val="4F81BD"/>
        </w:rPr>
      </w:pPr>
      <w:bookmarkStart w:id="39" w:name="_Toc199852351"/>
      <w:bookmarkStart w:id="40" w:name="_Toc199852913"/>
      <w:r w:rsidRPr="00582E24">
        <w:rPr>
          <w:color w:val="4F81BD"/>
        </w:rPr>
        <w:t>3</w:t>
      </w:r>
      <w:r w:rsidRPr="00582E24">
        <w:rPr>
          <w:color w:val="4F81BD"/>
        </w:rPr>
        <w:tab/>
      </w:r>
      <w:r w:rsidR="0066497C" w:rsidRPr="00582E24">
        <w:rPr>
          <w:color w:val="4F81BD"/>
        </w:rPr>
        <w:t>Actividades de control</w:t>
      </w:r>
      <w:bookmarkEnd w:id="39"/>
      <w:bookmarkEnd w:id="40"/>
    </w:p>
    <w:p w14:paraId="44C02852" w14:textId="2CF9EC9A" w:rsidR="0066497C" w:rsidRPr="00582E24" w:rsidRDefault="0066497C" w:rsidP="00C5792E">
      <w:pPr>
        <w:jc w:val="both"/>
      </w:pPr>
      <w:r w:rsidRPr="00582E24">
        <w:rPr>
          <w:b/>
          <w:bCs/>
          <w:i/>
          <w:iCs/>
        </w:rPr>
        <w:t>Elaboración de informes financieros</w:t>
      </w:r>
      <w:r w:rsidRPr="00582E24">
        <w:t xml:space="preserve">. La UIT avanza a buen ritmo con los estados financieros de 2024 –que ya envió a la NAO el 10 de marzo de 2025– de cara a su presentación al Consejo dentro de los plazos acordados, gracias a las continuas mejoras introducidas en los procesos de elaboración de informes financieros. A raíz de un examen pormenorizado de los procedimientos contables internos, se han reforzado los controles financieros y se ha mejorado la gestión de la contabilidad de los fondos extrapresupuestarios, lo que ha obrado en favor de la precisión y el cumplimiento de la normativa. La UIT ha actualizado sus políticas contables, ha mejorado sus procesos de conciliación y ha introducido un examen más riguroso al cierre del ejercicio, a fin de abordar problemas detectados en el pasado y racionalizar los flujos de trabajo. No obstante, la UIT reconoce la necesidad de seguir reforzando los controles internos y los mecanismos de elaboración de informes, así como de definir claramente las </w:t>
      </w:r>
      <w:r w:rsidRPr="00582E24">
        <w:lastRenderedPageBreak/>
        <w:t>funciones y responsabilidades conexas, especialmente, en lo que respecta a la gestión de los fondos extrapresupuestarios. Se están desarrollando medidas para mejorar la supervisión, garantizar el cumplimiento de la normativa y reforzar los controles financieros de estos fondos, incluida la elaboración de procedimientos operativos normalizados (PON) claros sobre todos los procesos relacionados con los fondos extrapresupuestarios de la organización, así como para definir claramente las funciones y responsabilidades asociadas a las principales funciones de gestión.</w:t>
      </w:r>
    </w:p>
    <w:p w14:paraId="1AD7A7BC" w14:textId="3EFE554F" w:rsidR="0066497C" w:rsidRPr="00582E24" w:rsidRDefault="0066497C" w:rsidP="00C5792E">
      <w:pPr>
        <w:jc w:val="both"/>
      </w:pPr>
      <w:r w:rsidRPr="00582E24">
        <w:rPr>
          <w:b/>
          <w:bCs/>
          <w:i/>
          <w:iCs/>
        </w:rPr>
        <w:t>Gestión financiera</w:t>
      </w:r>
      <w:r w:rsidRPr="00582E24">
        <w:t xml:space="preserve">. En junio de 2024, el Consejo de la UIT aprobó el Reglamento Financiero revisado y la Secretaria General procedió a actualizar el Reglamento en cuestión, con miras a reforzar el marco de gobernanza para la gestión financiera. Además, la UIT ha adoptado políticas contables más sólidas en relación con las funciones de la Comisión de Tesorería y la gestión de sus inversiones a través de la política </w:t>
      </w:r>
      <w:r w:rsidR="00110277" w:rsidRPr="00582E24">
        <w:t xml:space="preserve">en </w:t>
      </w:r>
      <w:r w:rsidRPr="00582E24">
        <w:t>la materia, garantizando así la aplicación de un enfoque más estructurado y transparente a las operaciones de tesorería. Estas mejoras en curso reflejan el compromiso de la UIT para con el refuerzo de los controles financieros y el respaldo de la fiabilidad e integridad de los informes financieros.</w:t>
      </w:r>
    </w:p>
    <w:p w14:paraId="5E4A97E2" w14:textId="77777777" w:rsidR="0066497C" w:rsidRPr="00582E24" w:rsidRDefault="0066497C" w:rsidP="00C5792E">
      <w:pPr>
        <w:jc w:val="both"/>
      </w:pPr>
      <w:r w:rsidRPr="00582E24">
        <w:t>La diferencia entre los ingresos presupuestados y los ingresos reales en concepto de recuperación de costes sigue planteando un reto. A falta de unos indicadores efectivos de referencia en los que fundamentar las previsiones relativas a la recuperación de costes, la UIT está llevando a cabo revisiones mensuales de los datos anteriores, además de analizar el volumen previsto y la sensibilidad de la demanda.</w:t>
      </w:r>
    </w:p>
    <w:p w14:paraId="6EB1A8F8" w14:textId="77777777" w:rsidR="0066497C" w:rsidRPr="00582E24" w:rsidRDefault="0066497C" w:rsidP="00C5792E">
      <w:pPr>
        <w:jc w:val="both"/>
      </w:pPr>
      <w:r w:rsidRPr="00582E24">
        <w:rPr>
          <w:b/>
          <w:bCs/>
          <w:i/>
          <w:iCs/>
        </w:rPr>
        <w:t>Funciones, responsabilidades y delegación de autoridad</w:t>
      </w:r>
      <w:r w:rsidRPr="00582E24">
        <w:t>. Si bien los altos funcionarios que participaron en el ejercicio de las cartas de representación consideran adecuada la estructura jerárquica, incluidas la delegación de autoridad, la responsabilidad y la rendición de cuentas conexas, un reciente examen realizado por HRMD reveló la necesidad de aclarar conceptos a lo largo y ancho de la organización, especialmente en lo que se refiere, en muchos casos, a la asignación y el desempeño de la autoridad y la responsabilidad delegadas para el control interno de ámbitos específicos. HRMD ya ha destinado recursos al estudio de esta importante cuestión, con miras a la elaboración de un marco integral de delegación de autoridad. A continuación, se entablarán diálogos con gestores de toda la organización para garantizar que dicho marco se aplique correctamente en sus ámbitos de responsabilidad.</w:t>
      </w:r>
    </w:p>
    <w:p w14:paraId="30AC1334" w14:textId="77777777" w:rsidR="0066497C" w:rsidRPr="00582E24" w:rsidRDefault="0066497C" w:rsidP="00C5792E">
      <w:pPr>
        <w:jc w:val="both"/>
      </w:pPr>
      <w:r w:rsidRPr="00582E24">
        <w:rPr>
          <w:b/>
          <w:bCs/>
          <w:i/>
          <w:iCs/>
        </w:rPr>
        <w:t>Segregación de funciones</w:t>
      </w:r>
      <w:r w:rsidRPr="00582E24">
        <w:t>. En el manual de adquisiciones, presentado en septiembre de 2022, se articula el principio de separación de funciones en ese ámbito y se abordan varias recomendaciones de auditoría pendientes. El nuevo Jefe de la División de Adquisiciones, quien entró en funciones a finales de 2024, elaborará una matriz de segregación de funciones conforme a dicho manual y a título informativo para los funcionarios ajenos a su División que participen en cualquier fase de un proceso de adquisición.</w:t>
      </w:r>
    </w:p>
    <w:p w14:paraId="546974F3" w14:textId="77777777" w:rsidR="0066497C" w:rsidRPr="00582E24" w:rsidRDefault="0066497C" w:rsidP="00C5792E">
      <w:pPr>
        <w:jc w:val="both"/>
      </w:pPr>
      <w:r w:rsidRPr="00582E24">
        <w:rPr>
          <w:b/>
          <w:bCs/>
          <w:i/>
          <w:iCs/>
        </w:rPr>
        <w:t>Modernización de las políticas</w:t>
      </w:r>
      <w:r w:rsidRPr="00582E24">
        <w:t xml:space="preserve">. En 2024, HRMD emprendió una iniciativa encaminada a modernizar las políticas de la UIT y atender así las necesidades de los miembros del personal en tiempo presente y futuro. Tomando como referencia otras organizaciones del sistema de las Naciones Unidas, su objetivo fue actualizar las políticas vigentes, o adoptar políticas nuevas, para satisfacer las dinámicas necesidades del personal. En este marco se incluyen procedimientos y directrices para los titulares de contratos SSA y una orden de servicio sobre el establecimiento de la función de Ómbudsman en la UIT, que se publicará en breve. En los próximos meses, la UIT publicará actualizaciones sobre el empleo y la gestión del personal </w:t>
      </w:r>
      <w:r w:rsidRPr="00582E24">
        <w:lastRenderedPageBreak/>
        <w:t>contratado a corto plazo, los subsidios de alquiler, los subsidios de educación y las prestaciones por familiares a cargo.</w:t>
      </w:r>
    </w:p>
    <w:p w14:paraId="6CB87DEB" w14:textId="61DDD228" w:rsidR="0066497C" w:rsidRPr="00582E24" w:rsidRDefault="0066497C" w:rsidP="00C5792E">
      <w:pPr>
        <w:jc w:val="both"/>
      </w:pPr>
      <w:r w:rsidRPr="00582E24">
        <w:rPr>
          <w:b/>
          <w:bCs/>
          <w:i/>
          <w:iCs/>
        </w:rPr>
        <w:t>Control de la tecnología</w:t>
      </w:r>
      <w:r w:rsidRPr="00582E24">
        <w:t>. La Comisión de Gobernanza de las Tecnologías de la Información y la Comunicación (CGTIC) se estableció con el mandato de supervisar y gestionar estratégicamente todos los aspectos relacionados con la gobernanza de las tecnologías de la información (TI), la ciberseguridad y la gobernanza de la información y los datos en el seno de la UIT, lo que incluye optimizar la asignación de recursos de TIC y velar por que se llev</w:t>
      </w:r>
      <w:r w:rsidR="00B30B8E" w:rsidRPr="00582E24">
        <w:t>e</w:t>
      </w:r>
      <w:r w:rsidRPr="00582E24">
        <w:t>n a cabo las actividades adecuadas en materia de gestión de riesgos en el campo de las TI. La creación de la CGTIC, que ha venido celebrando reuniones periódicas, ha permitido abordar diversas recomendaciones de auditoría pendientes.</w:t>
      </w:r>
    </w:p>
    <w:p w14:paraId="7CC392EF" w14:textId="19D48C98" w:rsidR="0066497C" w:rsidRPr="00582E24" w:rsidRDefault="0066497C" w:rsidP="00C5792E">
      <w:pPr>
        <w:jc w:val="both"/>
      </w:pPr>
      <w:r w:rsidRPr="00582E24">
        <w:rPr>
          <w:b/>
          <w:bCs/>
          <w:i/>
          <w:iCs/>
        </w:rPr>
        <w:t>Seguridad y protección</w:t>
      </w:r>
      <w:r w:rsidRPr="00582E24">
        <w:t>. En 2024, la UIT inició una importante actualización de los sistemas de seguridad y protección mediante el despliegue de activos normalizados de TI y seguridad en las oficinas regionales, zonales y de coordinación, de conformidad con los requisitos preceptivos del sistema de gestión de la seguridad de las Naciones Unidas. El objetivo de estas mejoras es garantizar un nivel coherente de seguridad y protección en todas las instalaciones de la UIT, con ayuda de equipos normalizados que reciben apoyo operativo de la sede. Este proceso de actualización ya se</w:t>
      </w:r>
      <w:r w:rsidR="00B30B8E" w:rsidRPr="00582E24">
        <w:t xml:space="preserve"> ha</w:t>
      </w:r>
      <w:r w:rsidRPr="00582E24">
        <w:t xml:space="preserve"> completado con éxito en Bangkok, Yakarta, Nueva Delhi, El</w:t>
      </w:r>
      <w:r w:rsidR="00BF063F" w:rsidRPr="00582E24">
        <w:t> </w:t>
      </w:r>
      <w:r w:rsidRPr="00582E24">
        <w:t>Cairo, Moscú y Addis Abeba. Su instalación en las oficinas restantes concluirá en 2025.</w:t>
      </w:r>
    </w:p>
    <w:p w14:paraId="75E8D0AF" w14:textId="05049D63" w:rsidR="0066497C" w:rsidRPr="00582E24" w:rsidRDefault="00224270" w:rsidP="00C5792E">
      <w:pPr>
        <w:pStyle w:val="Headingb"/>
        <w:jc w:val="both"/>
        <w:rPr>
          <w:color w:val="4F81BD"/>
        </w:rPr>
      </w:pPr>
      <w:bookmarkStart w:id="41" w:name="_Toc199852352"/>
      <w:bookmarkStart w:id="42" w:name="_Toc199852914"/>
      <w:r w:rsidRPr="00582E24">
        <w:rPr>
          <w:color w:val="4F81BD"/>
        </w:rPr>
        <w:t>4</w:t>
      </w:r>
      <w:r w:rsidRPr="00582E24">
        <w:rPr>
          <w:color w:val="4F81BD"/>
        </w:rPr>
        <w:tab/>
      </w:r>
      <w:r w:rsidR="0066497C" w:rsidRPr="00582E24">
        <w:rPr>
          <w:color w:val="4F81BD"/>
        </w:rPr>
        <w:t>Información y comunicación</w:t>
      </w:r>
      <w:bookmarkEnd w:id="41"/>
      <w:bookmarkEnd w:id="42"/>
    </w:p>
    <w:p w14:paraId="7F9ABF22" w14:textId="4503C709" w:rsidR="0066497C" w:rsidRPr="00582E24" w:rsidRDefault="0066497C" w:rsidP="00C5792E">
      <w:pPr>
        <w:jc w:val="both"/>
      </w:pPr>
      <w:r w:rsidRPr="00582E24">
        <w:rPr>
          <w:b/>
          <w:bCs/>
          <w:i/>
          <w:iCs/>
        </w:rPr>
        <w:t>Correos electrónicos del portal, intranet corporativa y asambleas generales</w:t>
      </w:r>
      <w:r w:rsidRPr="00582E24">
        <w:t xml:space="preserve">. Los correos electrónicos del portal y la intranet corporativa proporcionan a los miembros del personal de la UIT toda la información necesaria sobre el funcionamiento y la mejora de los controles internos, por ejemplo, en relación con la adopción de nuevas políticas y actualizaciones de órdenes y notas de servicio, especialmente sobre temas recurrentes y recordatorios de obligaciones del personal. En 2024, HRMD elaboró y publicó documentos exhaustivos de </w:t>
      </w:r>
      <w:r w:rsidR="00B30B8E" w:rsidRPr="00582E24">
        <w:t>"</w:t>
      </w:r>
      <w:r w:rsidRPr="00582E24">
        <w:t>preguntas frecuentes</w:t>
      </w:r>
      <w:r w:rsidR="00B30B8E" w:rsidRPr="00582E24">
        <w:t>"</w:t>
      </w:r>
      <w:r w:rsidRPr="00582E24">
        <w:t>, en particular, sobre las disposiciones relativas al teletrabajo, la puesta en marcha de la segunda fase del programa de separación voluntaria del servicio y la política de formaciones obligatorias. También se facilita periódicamente información relacionada con los controles internos en el marco de asambleas generales, con miras a fomentar la sensibilización del personal de toda la organización.</w:t>
      </w:r>
    </w:p>
    <w:p w14:paraId="6EA37B67" w14:textId="77777777" w:rsidR="0066497C" w:rsidRPr="00582E24" w:rsidRDefault="0066497C" w:rsidP="00C5792E">
      <w:pPr>
        <w:jc w:val="both"/>
      </w:pPr>
      <w:r w:rsidRPr="00582E24">
        <w:rPr>
          <w:b/>
          <w:bCs/>
          <w:i/>
          <w:iCs/>
        </w:rPr>
        <w:t>Proyecto de sitio web de la UIT</w:t>
      </w:r>
      <w:r w:rsidRPr="00582E24">
        <w:t>. Se ha puesto en marcha un proyecto de sitio web de la UIT, con una parte de los fondos asignados por el Consejo en 2024. Este proyecto aspira a subsanar deficiencias atinentes a las funciones de navegación y búsqueda del sitio web, entre otros objetivos.</w:t>
      </w:r>
    </w:p>
    <w:p w14:paraId="10C20898" w14:textId="77777777" w:rsidR="0066497C" w:rsidRPr="00582E24" w:rsidRDefault="0066497C" w:rsidP="00C5792E">
      <w:pPr>
        <w:jc w:val="both"/>
      </w:pPr>
      <w:r w:rsidRPr="00582E24">
        <w:rPr>
          <w:b/>
          <w:bCs/>
          <w:i/>
          <w:iCs/>
        </w:rPr>
        <w:t>Tableros de información</w:t>
      </w:r>
      <w:r w:rsidRPr="00582E24">
        <w:t xml:space="preserve">. Los miembros del personal y los gestores recurren cada vez más a información en tiempo real para desempeñar sus responsabilidades en materia de control interno. Por ejemplo, el tablero de análisis financiero y del desempeño institucional permite realizar análisis dinámicos de tendencias y elaborar informes sobre partidas presupuestarias como pueden ser los gastos de viaje, el libro mayor, la ejecución del presupuesto global y las previsiones. En 2024, se incluyeron los datos referentes a los fondos de TIC y de capitalización de edificios del presupuesto no operativo, así como una función de archivo automática que proporciona registros de auditoría de la evolución de la ejecución presupuestaria. Los fondos extrapresupuestarios se incluirán en los tableros en 2025. Ese mismo año, se celebrarán talleres para familiarizar a los gestores con esta herramienta y con la forma de interpretar las cifras que arroja. Para complementar el portal de análisis de la plantilla de recursos humanos, </w:t>
      </w:r>
      <w:r w:rsidRPr="00582E24">
        <w:lastRenderedPageBreak/>
        <w:t>se han desarrollado tableros adicionales que permiten supervisar el teletrabajo y las tasas de finalización de las formaciones obligatorias.</w:t>
      </w:r>
    </w:p>
    <w:p w14:paraId="7ED07187" w14:textId="06FF7F16" w:rsidR="0066497C" w:rsidRPr="00582E24" w:rsidRDefault="00224270" w:rsidP="00C5792E">
      <w:pPr>
        <w:pStyle w:val="Headingb"/>
        <w:jc w:val="both"/>
        <w:rPr>
          <w:color w:val="4F81BD"/>
        </w:rPr>
      </w:pPr>
      <w:bookmarkStart w:id="43" w:name="_Toc199852353"/>
      <w:bookmarkStart w:id="44" w:name="_Toc199852915"/>
      <w:r w:rsidRPr="00582E24">
        <w:rPr>
          <w:color w:val="4F81BD"/>
        </w:rPr>
        <w:t>5</w:t>
      </w:r>
      <w:r w:rsidRPr="00582E24">
        <w:rPr>
          <w:color w:val="4F81BD"/>
        </w:rPr>
        <w:tab/>
      </w:r>
      <w:r w:rsidR="0066497C" w:rsidRPr="00582E24">
        <w:rPr>
          <w:color w:val="4F81BD"/>
        </w:rPr>
        <w:t>Actividades de seguimiento</w:t>
      </w:r>
      <w:bookmarkEnd w:id="43"/>
      <w:bookmarkEnd w:id="44"/>
    </w:p>
    <w:p w14:paraId="1DA03EBB" w14:textId="77777777" w:rsidR="0066497C" w:rsidRPr="00582E24" w:rsidRDefault="0066497C" w:rsidP="00C5792E">
      <w:pPr>
        <w:jc w:val="both"/>
      </w:pPr>
      <w:r w:rsidRPr="00582E24">
        <w:rPr>
          <w:b/>
          <w:bCs/>
          <w:i/>
          <w:iCs/>
        </w:rPr>
        <w:t>Ejercicios de auditoría interna</w:t>
      </w:r>
      <w:r w:rsidRPr="00582E24">
        <w:t>. En 2024, la función de auditoría interna, que proporciona una garantía independiente en relación con la gobernanza, la gestión de riesgos y la eficacia de los procesos de control interno de la UIT, elaboró cuatro informes de auditoría. Estos informes se pusieron en conocimiento del CAIG y del Auditor Externo. Los ejercicios de auditoría interna se planificaron, llevaron a cabo y notificaron conforme a lo estipulado en la Carta de Supervisión. Las conclusiones obtenidas subrayan la necesidad de mejorar la gobernanza y la eficacia de los controles. Los directores ejecutivos se han comprometido a abordar estas cuestiones y a adoptar las medidas recomendadas. Por su parte, la Unidad de Supervisión realiza un seguimiento de los avances logrados a través del tablero de control del cumplimiento.</w:t>
      </w:r>
    </w:p>
    <w:p w14:paraId="27935AFC" w14:textId="4C6565E1" w:rsidR="0066497C" w:rsidRPr="00582E24" w:rsidRDefault="0066497C" w:rsidP="00C5792E">
      <w:pPr>
        <w:jc w:val="both"/>
      </w:pPr>
      <w:r w:rsidRPr="00582E24">
        <w:rPr>
          <w:b/>
          <w:bCs/>
          <w:i/>
          <w:iCs/>
        </w:rPr>
        <w:t>Exámenes de seguimiento de los controles de segunda línea</w:t>
      </w:r>
      <w:r w:rsidRPr="00582E24">
        <w:t>. En 2024, el gestor de los riesgos institucionales de la organización llevó a cabo y coordinó diversos exámenes de seguimiento de los controles de segunda línea, con el objetivo de evaluar si existían controles internos específicos, si estos eran adecuados y si se habían aplicado y, al mismo tiempo, analizar su correcto funcionamiento y su solidez según procediera. Se realizaron tres</w:t>
      </w:r>
      <w:r w:rsidR="0064058D" w:rsidRPr="00582E24">
        <w:t> </w:t>
      </w:r>
      <w:r w:rsidRPr="00582E24">
        <w:t>exámenes:</w:t>
      </w:r>
    </w:p>
    <w:p w14:paraId="5B164139" w14:textId="31FD920F" w:rsidR="0066497C" w:rsidRPr="00582E24" w:rsidRDefault="0066497C" w:rsidP="00C5792E">
      <w:pPr>
        <w:pStyle w:val="enumlev1"/>
        <w:jc w:val="both"/>
      </w:pPr>
      <w:r w:rsidRPr="00582E24">
        <w:t>1)</w:t>
      </w:r>
      <w:r w:rsidRPr="00582E24">
        <w:tab/>
        <w:t>Examen del cumplimiento de los requisitos de los programas TRIP y BSAFE de las Naciones Unidas;</w:t>
      </w:r>
    </w:p>
    <w:p w14:paraId="7FD11313" w14:textId="4003B32F" w:rsidR="0066497C" w:rsidRPr="00582E24" w:rsidRDefault="0066497C" w:rsidP="00C5792E">
      <w:pPr>
        <w:pStyle w:val="enumlev1"/>
        <w:jc w:val="both"/>
      </w:pPr>
      <w:r w:rsidRPr="00582E24">
        <w:t>2)</w:t>
      </w:r>
      <w:r w:rsidRPr="00582E24">
        <w:tab/>
        <w:t>Gestión de claves criptográficas de servicios en la nube; y</w:t>
      </w:r>
    </w:p>
    <w:p w14:paraId="12D5CB46" w14:textId="690257B4" w:rsidR="0066497C" w:rsidRPr="00582E24" w:rsidRDefault="0066497C" w:rsidP="00C5792E">
      <w:pPr>
        <w:pStyle w:val="enumlev1"/>
        <w:jc w:val="both"/>
      </w:pPr>
      <w:r w:rsidRPr="00582E24">
        <w:t>3)</w:t>
      </w:r>
      <w:r w:rsidRPr="00582E24">
        <w:tab/>
        <w:t>Actividades de adquisición y separación de funciones.</w:t>
      </w:r>
    </w:p>
    <w:p w14:paraId="2EE3EA36" w14:textId="45D94A75" w:rsidR="0066497C" w:rsidRPr="00582E24" w:rsidRDefault="0066497C" w:rsidP="00C5792E">
      <w:pPr>
        <w:jc w:val="both"/>
      </w:pPr>
      <w:r w:rsidRPr="00582E24">
        <w:t>Los resultados de estos exámenes se comunicaron a los gestores responsables, en particular, con el objetivo de que adoptasen medidas correctivas, incluida la notificación de las deficiencias materiales detectadas, en su caso. Si el tiempo y los recursos lo permiten, la UIT ha previsto realizar exámenes adicionales en 2025.</w:t>
      </w:r>
    </w:p>
    <w:p w14:paraId="789CF2C7" w14:textId="77777777" w:rsidR="0066497C" w:rsidRPr="00582E24" w:rsidRDefault="0066497C" w:rsidP="00C5792E">
      <w:pPr>
        <w:pStyle w:val="Headingb"/>
        <w:jc w:val="both"/>
        <w:rPr>
          <w:color w:val="4F81BD"/>
        </w:rPr>
      </w:pPr>
      <w:r w:rsidRPr="00582E24">
        <w:rPr>
          <w:color w:val="4F81BD"/>
        </w:rPr>
        <w:t>Conclusión y compromisos</w:t>
      </w:r>
    </w:p>
    <w:p w14:paraId="381AC257" w14:textId="1E294943" w:rsidR="0066497C" w:rsidRPr="00582E24" w:rsidRDefault="0066497C" w:rsidP="00C5792E">
      <w:pPr>
        <w:keepNext/>
        <w:jc w:val="both"/>
      </w:pPr>
      <w:r w:rsidRPr="00582E24">
        <w:t>De la presente declaración de control interno, correspondiente al ejercicio cerrado al</w:t>
      </w:r>
      <w:r w:rsidR="00082D78" w:rsidRPr="00582E24">
        <w:t> </w:t>
      </w:r>
      <w:r w:rsidRPr="00582E24">
        <w:t>31</w:t>
      </w:r>
      <w:r w:rsidR="00082D78" w:rsidRPr="00582E24">
        <w:t> </w:t>
      </w:r>
      <w:r w:rsidRPr="00582E24">
        <w:t>de</w:t>
      </w:r>
      <w:r w:rsidR="00082D78" w:rsidRPr="00582E24">
        <w:t> </w:t>
      </w:r>
      <w:r w:rsidRPr="00582E24">
        <w:t xml:space="preserve">diciembre de 2024, se infiere nuestro compromiso para con la mejora del sistema de control interno. A lo largo del año, se han logrado avances gracias a la aplicación de diversas iniciativas desde el año 2023, entre ellas, iniciativas encaminadas a consolidar los informes financieros, reforzar la gestión en este ámbito y abordar las recomendaciones de los organismos de verificación independientes. Si bien el sistema de control interno se considera adecuado en términos generales, sigue existiendo margen para introducir mejoras en ámbitos tales como las funciones, las responsabilidades y la correspondiente rendición de cuentas para la gestión de los controles internos. Al abordar estas cuestiones fundamentales, afianzaremos </w:t>
      </w:r>
      <w:r w:rsidRPr="00582E24">
        <w:lastRenderedPageBreak/>
        <w:t>nuestra confianza en la capacidad del sistema de control interno para ofrecer el nivel de garantía que pretendemos alcanzar en el futuro.</w:t>
      </w:r>
    </w:p>
    <w:p w14:paraId="30EC4FB4" w14:textId="74BA875A" w:rsidR="000B18DD" w:rsidRPr="00582E24" w:rsidRDefault="000B18DD" w:rsidP="00DD11B0">
      <w:pPr>
        <w:keepNext/>
        <w:spacing w:before="720" w:after="720"/>
        <w:jc w:val="both"/>
      </w:pPr>
      <w:r w:rsidRPr="00582E24">
        <w:rPr>
          <w:i/>
          <w:iCs/>
        </w:rPr>
        <w:t>(original firmado)</w:t>
      </w:r>
    </w:p>
    <w:p w14:paraId="759E5BCB" w14:textId="77777777" w:rsidR="0066497C" w:rsidRPr="00582E24" w:rsidRDefault="0066497C" w:rsidP="00DD11B0">
      <w:pPr>
        <w:keepNext/>
        <w:spacing w:before="720"/>
        <w:jc w:val="both"/>
      </w:pPr>
      <w:r w:rsidRPr="00582E24">
        <w:t>Doreen Bogdan-Martin</w:t>
      </w:r>
    </w:p>
    <w:p w14:paraId="573472EE" w14:textId="77777777" w:rsidR="0066497C" w:rsidRPr="00582E24" w:rsidRDefault="0066497C" w:rsidP="00C5792E">
      <w:pPr>
        <w:keepNext/>
        <w:jc w:val="both"/>
      </w:pPr>
      <w:r w:rsidRPr="00582E24">
        <w:t>Secretaria General</w:t>
      </w:r>
    </w:p>
    <w:p w14:paraId="1229FBCA" w14:textId="6C3F66E8" w:rsidR="0066497C" w:rsidRPr="00582E24" w:rsidRDefault="0066497C" w:rsidP="00C5792E">
      <w:pPr>
        <w:keepNext/>
        <w:spacing w:before="840"/>
        <w:jc w:val="both"/>
      </w:pPr>
      <w:r w:rsidRPr="00582E24">
        <w:t>Ginebra, 2</w:t>
      </w:r>
      <w:r w:rsidR="000B18DD" w:rsidRPr="00582E24">
        <w:t>9</w:t>
      </w:r>
      <w:r w:rsidRPr="00582E24">
        <w:t xml:space="preserve"> de mayo de 2025</w:t>
      </w:r>
      <w:r w:rsidRPr="00582E24">
        <w:br w:type="page"/>
      </w:r>
    </w:p>
    <w:p w14:paraId="6FAD3A5D" w14:textId="77777777" w:rsidR="0066497C" w:rsidRPr="00582E24" w:rsidRDefault="0066497C" w:rsidP="00B05A90">
      <w:pPr>
        <w:pStyle w:val="Heading1"/>
        <w:jc w:val="center"/>
        <w:rPr>
          <w:color w:val="4F81BD"/>
        </w:rPr>
      </w:pPr>
      <w:bookmarkStart w:id="45" w:name="_Toc1897080030"/>
      <w:bookmarkStart w:id="46" w:name="_Toc196292770"/>
      <w:bookmarkStart w:id="47" w:name="_Toc199852354"/>
      <w:bookmarkStart w:id="48" w:name="_Toc199852916"/>
      <w:bookmarkStart w:id="49" w:name="_Toc200461754"/>
      <w:bookmarkStart w:id="50" w:name="_Toc200461920"/>
      <w:bookmarkEnd w:id="29"/>
      <w:r w:rsidRPr="00582E24">
        <w:rPr>
          <w:color w:val="4F81BD"/>
        </w:rPr>
        <w:lastRenderedPageBreak/>
        <w:t>Opinión de auditoría externa</w:t>
      </w:r>
      <w:bookmarkEnd w:id="45"/>
      <w:bookmarkEnd w:id="46"/>
      <w:bookmarkEnd w:id="47"/>
      <w:bookmarkEnd w:id="48"/>
      <w:bookmarkEnd w:id="49"/>
      <w:bookmarkEnd w:id="50"/>
    </w:p>
    <w:p w14:paraId="063C9601" w14:textId="77777777" w:rsidR="00F10C11" w:rsidRPr="00582E24" w:rsidRDefault="00F10C11" w:rsidP="00B46226">
      <w:pPr>
        <w:pStyle w:val="Headingb"/>
        <w:spacing w:before="360"/>
        <w:jc w:val="both"/>
        <w:rPr>
          <w:color w:val="4F81BD"/>
        </w:rPr>
      </w:pPr>
      <w:r w:rsidRPr="00582E24">
        <w:rPr>
          <w:color w:val="4F81BD"/>
        </w:rPr>
        <w:t>Opinión relativa a los estados financieros</w:t>
      </w:r>
    </w:p>
    <w:p w14:paraId="5D535A29" w14:textId="77777777" w:rsidR="00F10C11" w:rsidRPr="00582E24" w:rsidRDefault="00F10C11" w:rsidP="00B46226">
      <w:pPr>
        <w:jc w:val="both"/>
      </w:pPr>
      <w:r w:rsidRPr="00582E24">
        <w:t>Hemos auditado los estados financieros de la Unión Internacional de Telecomunicaciones para el ejercicio cerrado al 31 de diciembre de 2024, los cuales comprenden:</w:t>
      </w:r>
    </w:p>
    <w:p w14:paraId="61B6C0C4" w14:textId="11EE3CFF" w:rsidR="00F10C11" w:rsidRPr="00582E24" w:rsidRDefault="00F10C11" w:rsidP="00B46226">
      <w:pPr>
        <w:pStyle w:val="enumlev1"/>
        <w:spacing w:before="120"/>
        <w:jc w:val="both"/>
      </w:pPr>
      <w:r w:rsidRPr="00582E24">
        <w:t>–</w:t>
      </w:r>
      <w:r w:rsidRPr="00582E24">
        <w:tab/>
        <w:t>el Estado de la situación financiera al 31 de diciembre de 2024;</w:t>
      </w:r>
    </w:p>
    <w:p w14:paraId="3B0E124B" w14:textId="38B037D5" w:rsidR="00F10C11" w:rsidRPr="00582E24" w:rsidRDefault="00F10C11" w:rsidP="00B46226">
      <w:pPr>
        <w:pStyle w:val="enumlev1"/>
        <w:spacing w:before="120"/>
        <w:jc w:val="both"/>
      </w:pPr>
      <w:r w:rsidRPr="00582E24">
        <w:t>–</w:t>
      </w:r>
      <w:r w:rsidRPr="00582E24">
        <w:tab/>
        <w:t>el Estado de los resultados financieros, el Estado de las variaciones del activo neto, el Estado de los movimientos de tesorería y el Estado de comparación de los importes presupuestados y efectivos para el ejercicio cerrado en dicha fecha; y</w:t>
      </w:r>
    </w:p>
    <w:p w14:paraId="25E0A116" w14:textId="31F3764A" w:rsidR="00F10C11" w:rsidRPr="00582E24" w:rsidRDefault="00F10C11" w:rsidP="00B46226">
      <w:pPr>
        <w:pStyle w:val="enumlev1"/>
        <w:spacing w:before="120"/>
        <w:jc w:val="both"/>
      </w:pPr>
      <w:r w:rsidRPr="00582E24">
        <w:t>–</w:t>
      </w:r>
      <w:r w:rsidRPr="00582E24">
        <w:tab/>
        <w:t>las notas correspondientes, incluidas las políticas contables de interés.</w:t>
      </w:r>
    </w:p>
    <w:p w14:paraId="35909AAA" w14:textId="77777777" w:rsidR="00F10C11" w:rsidRPr="00582E24" w:rsidRDefault="00F10C11" w:rsidP="00B46226">
      <w:pPr>
        <w:jc w:val="both"/>
      </w:pPr>
      <w:r w:rsidRPr="00582E24">
        <w:t>En nuestra opinión, los estados financieros adjuntos presentan fielmente, en todos los aspectos materiales, la situación financiera de la Unión Internacional de Telecomunicaciones al 31 de diciembre de 2024, así como sus resultados financieros y movimientos de tesorería para el ejercicio cerrado en dicha fecha, conforme a lo previsto en las Normas Internacionales de Contabilidad del Sector Público.</w:t>
      </w:r>
    </w:p>
    <w:p w14:paraId="078A4527" w14:textId="77777777" w:rsidR="00F10C11" w:rsidRPr="00582E24" w:rsidRDefault="00F10C11" w:rsidP="00B46226">
      <w:pPr>
        <w:pStyle w:val="Headingb"/>
        <w:spacing w:before="240"/>
        <w:jc w:val="both"/>
        <w:rPr>
          <w:color w:val="4F81BD"/>
        </w:rPr>
      </w:pPr>
      <w:r w:rsidRPr="00582E24">
        <w:rPr>
          <w:color w:val="4F81BD"/>
        </w:rPr>
        <w:t>Opinión relativa a la regularidad</w:t>
      </w:r>
    </w:p>
    <w:p w14:paraId="5E8B9107" w14:textId="77777777" w:rsidR="00F10C11" w:rsidRPr="00582E24" w:rsidRDefault="00F10C11" w:rsidP="00B46226">
      <w:pPr>
        <w:spacing w:after="120"/>
        <w:jc w:val="both"/>
      </w:pPr>
      <w:r w:rsidRPr="00582E24">
        <w:t>En nuestra opinión, en todos los aspectos materiales, los ingresos y gastos responden a los fines previstos por el Consejo de la Unión Internacional de Telecomunicaciones y las operaciones financieras son conformes al Reglamento Financiero de la Unión Internacional de Telecomunicaciones.</w:t>
      </w:r>
    </w:p>
    <w:p w14:paraId="2B47ABA9" w14:textId="77777777" w:rsidR="00F10C11" w:rsidRPr="00582E24" w:rsidRDefault="00F10C11" w:rsidP="00B46226">
      <w:pPr>
        <w:pStyle w:val="Headingb"/>
        <w:spacing w:before="240"/>
        <w:jc w:val="both"/>
        <w:rPr>
          <w:color w:val="4F81BD"/>
        </w:rPr>
      </w:pPr>
      <w:r w:rsidRPr="00582E24">
        <w:rPr>
          <w:color w:val="4F81BD"/>
        </w:rPr>
        <w:t>Fundamento de las opiniones</w:t>
      </w:r>
    </w:p>
    <w:p w14:paraId="77913E5E" w14:textId="6F8AE039" w:rsidR="00F10C11" w:rsidRPr="00582E24" w:rsidRDefault="00F10C11" w:rsidP="00B46226">
      <w:pPr>
        <w:spacing w:after="120"/>
        <w:jc w:val="both"/>
      </w:pPr>
      <w:r w:rsidRPr="00582E24">
        <w:t>Hemos realizado nuestra auditoría de conformidad con las Normas Internacionales de Auditoría (NIA) y el Reglamento Financiero de la Unión Internacional de Telecomunicaciones. Nuestra auditoría en materia de regularidad es conforme a los principios establecidos en las</w:t>
      </w:r>
      <w:r w:rsidR="00F115CF" w:rsidRPr="00582E24">
        <w:t> </w:t>
      </w:r>
      <w:r w:rsidRPr="00582E24">
        <w:t>NIA. Nuestras responsabilidades en virtud de esas normas se describen con más detalle en la sección del informe dedicada a la</w:t>
      </w:r>
      <w:r w:rsidR="00F115CF" w:rsidRPr="00582E24">
        <w:t>s</w:t>
      </w:r>
      <w:r w:rsidRPr="00582E24">
        <w:t xml:space="preserve"> </w:t>
      </w:r>
      <w:r w:rsidRPr="00582E24">
        <w:rPr>
          <w:i/>
          <w:iCs/>
        </w:rPr>
        <w:t>Responsabilidades del auditor en relación con la auditoría de estados financieros</w:t>
      </w:r>
      <w:r w:rsidRPr="00582E24">
        <w:t>.</w:t>
      </w:r>
    </w:p>
    <w:p w14:paraId="1A12A366" w14:textId="77777777" w:rsidR="00F10C11" w:rsidRPr="00582E24" w:rsidRDefault="00F10C11" w:rsidP="00B46226">
      <w:pPr>
        <w:spacing w:after="120"/>
        <w:jc w:val="both"/>
      </w:pPr>
      <w:r w:rsidRPr="00582E24">
        <w:t>Conforme a lo estipulado en el Código de Ética para Contadores Profesionales del Consejo de Normas Internacionales de Ética para Contadores (Código del IESBA), somos independientes de la Unión Internacional de Telecomunicaciones y hemos cumplido nuestras responsabilidades éticas de conformidad con los requisitos aplicables y el Código del IESBA.</w:t>
      </w:r>
    </w:p>
    <w:p w14:paraId="58132E49" w14:textId="77777777" w:rsidR="00F10C11" w:rsidRPr="00582E24" w:rsidRDefault="00F10C11" w:rsidP="00B46226">
      <w:pPr>
        <w:spacing w:after="120"/>
        <w:jc w:val="both"/>
      </w:pPr>
      <w:r w:rsidRPr="00582E24">
        <w:t>Dicho esto, consideramos que las pruebas obtenidas en el marco de la auditoría fundamentan suficiente y adecuadamente nuestras opiniones.</w:t>
      </w:r>
    </w:p>
    <w:p w14:paraId="72E38321" w14:textId="77777777" w:rsidR="00F10C11" w:rsidRPr="00582E24" w:rsidRDefault="00F10C11" w:rsidP="00B46226">
      <w:pPr>
        <w:pStyle w:val="Headingb"/>
        <w:spacing w:before="240"/>
        <w:jc w:val="both"/>
        <w:rPr>
          <w:color w:val="4F81BD"/>
        </w:rPr>
      </w:pPr>
      <w:r w:rsidRPr="00582E24">
        <w:rPr>
          <w:color w:val="4F81BD"/>
        </w:rPr>
        <w:t>Información adicional</w:t>
      </w:r>
    </w:p>
    <w:p w14:paraId="1D2A7650" w14:textId="77777777" w:rsidR="00F10C11" w:rsidRPr="00582E24" w:rsidRDefault="00F10C11" w:rsidP="00F115CF">
      <w:pPr>
        <w:jc w:val="both"/>
      </w:pPr>
      <w:r w:rsidRPr="00582E24">
        <w:t>La dirección es responsable de la información adicional, es decir, de la información incluida en el informe de gestión financiera que no forma parte ni de los estados financieros, ni de nuestro informe de auditoría al respecto.</w:t>
      </w:r>
    </w:p>
    <w:p w14:paraId="01098F24" w14:textId="77777777" w:rsidR="00F10C11" w:rsidRPr="00582E24" w:rsidRDefault="00F10C11" w:rsidP="00F115CF">
      <w:pPr>
        <w:jc w:val="both"/>
      </w:pPr>
      <w:r w:rsidRPr="00582E24">
        <w:t>Nuestra opinión sobre los estados financieros no abarca la información adicional y, a menos que se indique explícitamente lo contrario en nuestro informe, no expresamos ningún tipo de conclusión que constituya una garantía al respecto.</w:t>
      </w:r>
    </w:p>
    <w:p w14:paraId="66C514C5" w14:textId="77777777" w:rsidR="00F10C11" w:rsidRPr="00582E24" w:rsidRDefault="00F10C11" w:rsidP="00F115CF">
      <w:pPr>
        <w:jc w:val="both"/>
      </w:pPr>
      <w:r w:rsidRPr="00582E24">
        <w:lastRenderedPageBreak/>
        <w:t>Es responsabilidad nuestra leer la información adicional y, en ese momento, considerar si dicha información es materialmente incoherente con los estados financieros, o con la información obtenida en el ejercicio de nuestra auditoría, o si, en apariencia, contiene incorrecciones materiales.</w:t>
      </w:r>
    </w:p>
    <w:p w14:paraId="31BAA85A" w14:textId="72D570B4" w:rsidR="00F10C11" w:rsidRPr="00582E24" w:rsidRDefault="00F10C11" w:rsidP="00F115CF">
      <w:pPr>
        <w:jc w:val="both"/>
      </w:pPr>
      <w:r w:rsidRPr="00582E24">
        <w:t xml:space="preserve">En caso de detectar </w:t>
      </w:r>
      <w:proofErr w:type="gramStart"/>
      <w:r w:rsidRPr="00582E24">
        <w:t>incoherencias materiales o incorrecciones materiales</w:t>
      </w:r>
      <w:proofErr w:type="gramEnd"/>
      <w:r w:rsidRPr="00582E24">
        <w:t xml:space="preserve"> aparentes, debemos determinar si ello da lugar a incorrecciones materiales en los propios estados financieros. Si,</w:t>
      </w:r>
      <w:r w:rsidR="002A5F0C" w:rsidRPr="00582E24">
        <w:t> </w:t>
      </w:r>
      <w:r w:rsidRPr="00582E24">
        <w:t>basándonos en la labor realizada, llegamos a la conclusión de que la información adicional contiene incorrecciones materiales, hemos de señalarlo en nuestro informe.</w:t>
      </w:r>
    </w:p>
    <w:p w14:paraId="60D96161" w14:textId="77777777" w:rsidR="00F10C11" w:rsidRPr="00582E24" w:rsidRDefault="00F10C11" w:rsidP="00F115CF">
      <w:pPr>
        <w:jc w:val="both"/>
      </w:pPr>
      <w:r w:rsidRPr="00582E24">
        <w:t>En esta ocasión, no tenemos nada de lo que informar a ese respecto.</w:t>
      </w:r>
    </w:p>
    <w:p w14:paraId="0E79BA88" w14:textId="2D13FAEF" w:rsidR="00F10C11" w:rsidRPr="00582E24" w:rsidRDefault="00F10C11" w:rsidP="00B46226">
      <w:pPr>
        <w:pStyle w:val="Headingb"/>
        <w:tabs>
          <w:tab w:val="left" w:pos="7715"/>
        </w:tabs>
        <w:spacing w:before="240"/>
        <w:jc w:val="both"/>
        <w:rPr>
          <w:color w:val="4F81BD"/>
        </w:rPr>
      </w:pPr>
      <w:r w:rsidRPr="00582E24">
        <w:rPr>
          <w:color w:val="4F81BD"/>
        </w:rPr>
        <w:t>Responsabilidades de la dirección en relación con los estados financieros</w:t>
      </w:r>
    </w:p>
    <w:p w14:paraId="6EF5A348" w14:textId="77777777" w:rsidR="00F10C11" w:rsidRPr="00582E24" w:rsidRDefault="00F10C11" w:rsidP="00F115CF">
      <w:pPr>
        <w:jc w:val="both"/>
      </w:pPr>
      <w:r w:rsidRPr="00582E24">
        <w:t>La dirección es responsable de elaborar y presentar fielmente los estados financieros con arreglo a las Normas Internacionales de Contabilidad del Sector Público, así como de establecer y mantener los controles internos que la propia dirección estime necesarios para que la preparación de los estados financieros esté exenta de incorrecciones materiales, ya sea por fraude o por error.</w:t>
      </w:r>
    </w:p>
    <w:p w14:paraId="608603FB" w14:textId="1BA0ED9D" w:rsidR="00F10C11" w:rsidRPr="00582E24" w:rsidRDefault="00F10C11" w:rsidP="00F115CF">
      <w:pPr>
        <w:jc w:val="both"/>
      </w:pPr>
      <w:r w:rsidRPr="00582E24">
        <w:t>En el marco de la preparación de los estados financieros, la dirección es responsable de evaluar la capacidad de la Unión Internacional de Telecomunicaciones para proseguir su labor, divulgar, en su caso, cuestiones relacionadas con la continuidad de sus actividades y utilizar los principios contables de continuidad de la institución, a menos que la dirección tenga la intención de liquidar la Unión Internacional de Telecomunicaciones o cesar su actividad, o que su única alternativa realista sea proceder de ese modo.</w:t>
      </w:r>
    </w:p>
    <w:p w14:paraId="105393B8" w14:textId="77777777" w:rsidR="00F10C11" w:rsidRPr="00582E24" w:rsidRDefault="00F10C11" w:rsidP="00F115CF">
      <w:pPr>
        <w:jc w:val="both"/>
      </w:pPr>
      <w:r w:rsidRPr="00582E24">
        <w:t>La dirección y los encargados de la gobernanza son los responsables de supervisar el proceso de elaboración de los informes financieros de la Unión Internacional de Telecomunicaciones.</w:t>
      </w:r>
    </w:p>
    <w:p w14:paraId="7156C405" w14:textId="77777777" w:rsidR="00F10C11" w:rsidRPr="00582E24" w:rsidRDefault="00F10C11" w:rsidP="00B46226">
      <w:pPr>
        <w:pStyle w:val="Headingb"/>
        <w:spacing w:before="240"/>
        <w:jc w:val="both"/>
        <w:rPr>
          <w:color w:val="4F81BD"/>
        </w:rPr>
      </w:pPr>
      <w:r w:rsidRPr="00582E24">
        <w:rPr>
          <w:color w:val="4F81BD"/>
        </w:rPr>
        <w:t>Responsabilidades del auditor en relación con la auditoría de los estados financieros</w:t>
      </w:r>
    </w:p>
    <w:p w14:paraId="28AAED47" w14:textId="77777777" w:rsidR="00F10C11" w:rsidRPr="00582E24" w:rsidRDefault="00F10C11" w:rsidP="00F115CF">
      <w:pPr>
        <w:jc w:val="both"/>
      </w:pPr>
      <w:r w:rsidRPr="00582E24">
        <w:t>Nuestros objetivos son obtener garantías razonables de que los estados financieros en su conjunto están exentos de incorrecciones materiales, ya sea por fraude o por error, y emitir un informe de auditoría con nuestra opinión. Entendemos por garantía razonable una garantía de alto nivel, mas no una garantía de que una auditoría efectuada con arreglo a las NIA sea capaz de detectar infaliblemente una incorrección material, de haberla. Las incorrecciones pueden ser fruto de fraude o de error y se considerarán materiales cuando, a título individual o conjunto, quepa esperar, dentro de lo razonable, que influyan en las decisiones económicas que adopten los usuarios sobre la base de estos estados financieros.</w:t>
      </w:r>
    </w:p>
    <w:p w14:paraId="405D8134" w14:textId="77777777" w:rsidR="00F10C11" w:rsidRPr="00582E24" w:rsidRDefault="00F10C11" w:rsidP="00B46226">
      <w:pPr>
        <w:spacing w:before="240"/>
        <w:jc w:val="both"/>
      </w:pPr>
      <w:r w:rsidRPr="00582E24">
        <w:t>En el marco de una auditoría conforme a las NIA:</w:t>
      </w:r>
    </w:p>
    <w:p w14:paraId="5E327B82" w14:textId="77777777" w:rsidR="00F10C11" w:rsidRPr="00582E24" w:rsidRDefault="00F10C11" w:rsidP="00B46226">
      <w:pPr>
        <w:pStyle w:val="enumlev1"/>
        <w:spacing w:before="120" w:after="120"/>
        <w:jc w:val="both"/>
      </w:pPr>
      <w:r w:rsidRPr="00582E24">
        <w:t>•</w:t>
      </w:r>
      <w:r w:rsidRPr="00582E24">
        <w:tab/>
        <w:t>Ejercemos un juicio profesional y mantenemos el escepticismo que exige nuestra profesión durante toda la auditoría.</w:t>
      </w:r>
    </w:p>
    <w:p w14:paraId="51B91F57" w14:textId="77777777" w:rsidR="00F10C11" w:rsidRPr="00582E24" w:rsidRDefault="00F10C11" w:rsidP="00B46226">
      <w:pPr>
        <w:pStyle w:val="enumlev1"/>
        <w:spacing w:before="120" w:after="120"/>
        <w:jc w:val="both"/>
      </w:pPr>
      <w:r w:rsidRPr="00582E24">
        <w:t>•</w:t>
      </w:r>
      <w:r w:rsidRPr="00582E24">
        <w:tab/>
        <w:t>Identificamos y evaluamos el riesgo de que los estados financieros contengan incorrecciones materiales, ya sea por fraude o error; diseñamos y aplicamos procedimientos de auditoría acordes al nivel de riesgo; y obtenemos pruebas de auditoría suficientes y adecuadas para fundamentar nuestra opinión. El riesgo de no detectar una incorrección material resultante de un fraude es mayor que en caso de error, ya que un fraude puede implicar colusión, falsificación, omisión deliberada, falsa declaración o burla de los controles internos.</w:t>
      </w:r>
    </w:p>
    <w:p w14:paraId="45F422C6" w14:textId="77777777" w:rsidR="00F10C11" w:rsidRPr="00582E24" w:rsidRDefault="00F10C11" w:rsidP="00B46226">
      <w:pPr>
        <w:pStyle w:val="enumlev1"/>
        <w:spacing w:before="120" w:after="120"/>
        <w:jc w:val="both"/>
      </w:pPr>
      <w:r w:rsidRPr="00582E24">
        <w:lastRenderedPageBreak/>
        <w:t>•</w:t>
      </w:r>
      <w:r w:rsidRPr="00582E24">
        <w:tab/>
        <w:t>Obtenemos información sobre el funcionamiento de los controles internos pertinentes a la auditoría, a fin de diseñar procedimientos de auditoría adecuados a las circunstancias, sin intención de emitir un dictamen sobre la eficacia de los controles internos de la Unión Internacional de Telecomunicaciones.</w:t>
      </w:r>
    </w:p>
    <w:p w14:paraId="41E6DB6C" w14:textId="77777777" w:rsidR="00F10C11" w:rsidRPr="00582E24" w:rsidRDefault="00F10C11" w:rsidP="00B46226">
      <w:pPr>
        <w:pStyle w:val="enumlev1"/>
        <w:spacing w:before="120" w:after="120"/>
        <w:jc w:val="both"/>
      </w:pPr>
      <w:r w:rsidRPr="00582E24">
        <w:t>•</w:t>
      </w:r>
      <w:r w:rsidRPr="00582E24">
        <w:tab/>
        <w:t>Evaluamos la idoneidad de las políticas contables aplicadas y la sensatez de las estimaciones contables y la información conexa facilitada por la dirección.</w:t>
      </w:r>
    </w:p>
    <w:p w14:paraId="507CA1BD" w14:textId="77777777" w:rsidR="00F10C11" w:rsidRPr="00582E24" w:rsidRDefault="00F10C11" w:rsidP="00B46226">
      <w:pPr>
        <w:pStyle w:val="enumlev1"/>
        <w:spacing w:before="120" w:after="120"/>
        <w:jc w:val="both"/>
      </w:pPr>
      <w:r w:rsidRPr="00582E24">
        <w:t>•</w:t>
      </w:r>
      <w:r w:rsidRPr="00582E24">
        <w:tab/>
        <w:t>Determinamos la idoneidad de la utilización por parte de la dirección de los principios contables de continuidad de la institución y, tomando como base las pruebas obtenidas durante la auditoría, decidimos si existe una incertidumbre material relacionada con acontecimientos o condiciones que puedan arrojar dudas significativas sobre la capacidad de la UIT para continuar su labor. Si determinásemos la existencia de una incertidumbre sustancial de esa índole, estaríamos obligados a señalar en nuestro informe de auditoría la información correspondiente en el marco de los estados financieros o, si dicha información fuese inadecuada, a modificar nuestra opinión. Nuestras conclusiones se apoyan en las pruebas de auditoría obtenidas hasta la fecha del informe. No obstante, existe la posibilidad de que, en el futuro, se presenten acontecimientos o se produzcan situaciones que provoquen el cese de las actividades de la Unión Internacional de Telecomunicaciones.</w:t>
      </w:r>
    </w:p>
    <w:p w14:paraId="5855B1E4" w14:textId="77777777" w:rsidR="00F10C11" w:rsidRPr="00582E24" w:rsidRDefault="00F10C11" w:rsidP="00B46226">
      <w:pPr>
        <w:pStyle w:val="enumlev1"/>
        <w:spacing w:before="120" w:after="120"/>
        <w:jc w:val="both"/>
      </w:pPr>
      <w:r w:rsidRPr="00582E24">
        <w:t>•</w:t>
      </w:r>
      <w:r w:rsidRPr="00582E24">
        <w:tab/>
        <w:t>Evaluamos la presentación, la estructura y el contenido globales de los estados financieros, incluida la información presentada, y determinamos si los estados financieros reflejan fielmente las transacciones y los hechos subyacentes.</w:t>
      </w:r>
    </w:p>
    <w:p w14:paraId="6A9656AF" w14:textId="43C930AD" w:rsidR="00F10C11" w:rsidRPr="00582E24" w:rsidRDefault="00F10C11" w:rsidP="00B46226">
      <w:pPr>
        <w:spacing w:before="240"/>
        <w:jc w:val="both"/>
      </w:pPr>
      <w:r w:rsidRPr="00582E24">
        <w:t>Además, debemos obtener pruebas suficientes y adecuadas para ofrecer garantías razonables de que los ingresos y gastos consignados en los estados financieros responden a los fines previstos por el Consejo de la Unión Internacional de Telecomunicaciones y de que las operaciones financieras son conformes al Reglamento Financiero por el que se rigen.</w:t>
      </w:r>
    </w:p>
    <w:p w14:paraId="24887621" w14:textId="77EA536D" w:rsidR="00F10C11" w:rsidRPr="00582E24" w:rsidRDefault="00F10C11" w:rsidP="00F115CF">
      <w:pPr>
        <w:jc w:val="both"/>
      </w:pPr>
      <w:r w:rsidRPr="00582E24">
        <w:t xml:space="preserve">Del mismo modo, nos comunicamos con los encargados de la gobernanza para tratar temas tales como el alcance y el calendario previstos para la auditoría, así como sus resultados principales, incluidas posibles deficiencias significativas de los </w:t>
      </w:r>
      <w:r w:rsidR="005D3954" w:rsidRPr="00582E24">
        <w:t>c</w:t>
      </w:r>
      <w:r w:rsidRPr="00582E24">
        <w:t>ontroles internos que podamos detectar en el curso de nuestra auditoría.</w:t>
      </w:r>
    </w:p>
    <w:p w14:paraId="2228A1D0" w14:textId="7E61FDDB" w:rsidR="00F10C11" w:rsidRPr="00582E24" w:rsidRDefault="00F10C11" w:rsidP="00F115CF">
      <w:pPr>
        <w:jc w:val="both"/>
      </w:pPr>
      <w:r w:rsidRPr="00582E24">
        <w:t>Por último, proporcionamos a los encargados de la gobernanza una declaración en virtud</w:t>
      </w:r>
      <w:r w:rsidR="005D3954" w:rsidRPr="00582E24">
        <w:t xml:space="preserve"> de</w:t>
      </w:r>
      <w:r w:rsidRPr="00582E24">
        <w:t xml:space="preserve"> la cual afirmamos habernos atenido a los requisitos éticos pertinentes en materia de independencia y señalamos a su atención todas las relaciones y demás cuestiones que, dentro de lo razonable, pueda considerarse que influyen en nuestra independencia, incluidas las salvaguardias correspondientes, en su caso.</w:t>
      </w:r>
    </w:p>
    <w:p w14:paraId="0BD46987" w14:textId="7FDD4F4A" w:rsidR="00F10C11" w:rsidRPr="00582E24" w:rsidRDefault="00F10C11" w:rsidP="00B46226">
      <w:pPr>
        <w:pStyle w:val="Headingb"/>
        <w:spacing w:before="240"/>
        <w:jc w:val="both"/>
        <w:rPr>
          <w:color w:val="4F81BD"/>
        </w:rPr>
      </w:pPr>
      <w:r w:rsidRPr="00582E24">
        <w:rPr>
          <w:color w:val="4F81BD"/>
        </w:rPr>
        <w:lastRenderedPageBreak/>
        <w:t>Informe</w:t>
      </w:r>
    </w:p>
    <w:p w14:paraId="6EE12606" w14:textId="77777777" w:rsidR="00F10C11" w:rsidRPr="00582E24" w:rsidRDefault="00F10C11" w:rsidP="00B46226">
      <w:pPr>
        <w:keepNext/>
        <w:keepLines/>
        <w:jc w:val="both"/>
      </w:pPr>
      <w:r w:rsidRPr="00582E24">
        <w:t>También hemos emitido un informe de auditoría extenso sobre los resultados de nuestra auditoría.</w:t>
      </w:r>
    </w:p>
    <w:p w14:paraId="4E7CA70B" w14:textId="77777777" w:rsidR="00F10C11" w:rsidRPr="00582E24" w:rsidRDefault="00F10C11" w:rsidP="00B46226">
      <w:pPr>
        <w:keepNext/>
        <w:keepLines/>
        <w:spacing w:before="600" w:after="600"/>
        <w:jc w:val="both"/>
        <w:rPr>
          <w:i/>
          <w:iCs/>
        </w:rPr>
      </w:pPr>
      <w:r w:rsidRPr="00582E24">
        <w:rPr>
          <w:i/>
          <w:iCs/>
        </w:rPr>
        <w:t>(original firmado)</w:t>
      </w:r>
    </w:p>
    <w:p w14:paraId="1F213C5F" w14:textId="77777777" w:rsidR="00F10C11" w:rsidRPr="00582E24" w:rsidRDefault="00F10C11" w:rsidP="00B46226">
      <w:pPr>
        <w:keepNext/>
        <w:keepLines/>
        <w:jc w:val="both"/>
      </w:pPr>
      <w:r w:rsidRPr="00582E24">
        <w:t>Gareth Davies</w:t>
      </w:r>
      <w:r w:rsidRPr="00582E24">
        <w:br/>
      </w:r>
      <w:r w:rsidRPr="00582E24">
        <w:rPr>
          <w:b/>
          <w:bCs/>
        </w:rPr>
        <w:t>Interventor y Auditor General del Reino Unido</w:t>
      </w:r>
      <w:r w:rsidRPr="00582E24">
        <w:rPr>
          <w:b/>
          <w:bCs/>
        </w:rPr>
        <w:br/>
      </w:r>
      <w:r w:rsidRPr="00582E24">
        <w:t>Oficina Nacional de Auditoría</w:t>
      </w:r>
      <w:r w:rsidRPr="00582E24">
        <w:br/>
        <w:t>157-197 Buckingham Palace Road</w:t>
      </w:r>
      <w:r w:rsidRPr="00582E24">
        <w:br/>
        <w:t>Victoria</w:t>
      </w:r>
      <w:r w:rsidRPr="00582E24">
        <w:br/>
        <w:t>Londres. SW1W 9SP</w:t>
      </w:r>
      <w:r w:rsidRPr="00582E24">
        <w:br/>
        <w:t>Reino Unido</w:t>
      </w:r>
    </w:p>
    <w:p w14:paraId="4A4A6FAD" w14:textId="5915C727" w:rsidR="0066497C" w:rsidRPr="00582E24" w:rsidRDefault="00F10C11" w:rsidP="00B46226">
      <w:pPr>
        <w:spacing w:before="480"/>
        <w:jc w:val="both"/>
      </w:pPr>
      <w:r w:rsidRPr="00582E24">
        <w:rPr>
          <w:b/>
          <w:bCs/>
        </w:rPr>
        <w:t>Fecha: 30 de mayo de 2025</w:t>
      </w:r>
      <w:r w:rsidR="0066497C" w:rsidRPr="00582E24">
        <w:br w:type="page"/>
      </w:r>
    </w:p>
    <w:p w14:paraId="3B6E49C5" w14:textId="77777777" w:rsidR="0066497C" w:rsidRPr="00582E24" w:rsidRDefault="0066497C" w:rsidP="00F47154">
      <w:pPr>
        <w:pStyle w:val="Rectitle"/>
        <w:rPr>
          <w:color w:val="4F81BD"/>
        </w:rPr>
      </w:pPr>
      <w:bookmarkStart w:id="51" w:name="_Toc1658132885"/>
      <w:bookmarkStart w:id="52" w:name="_Toc196292771"/>
      <w:bookmarkStart w:id="53" w:name="_Toc200461755"/>
      <w:bookmarkStart w:id="54" w:name="_Toc200461921"/>
      <w:bookmarkStart w:id="55" w:name="_Toc131080994"/>
      <w:bookmarkStart w:id="56" w:name="_Toc305764056"/>
      <w:r w:rsidRPr="00582E24">
        <w:rPr>
          <w:color w:val="4F81BD"/>
        </w:rPr>
        <w:lastRenderedPageBreak/>
        <w:t>Estados financieros</w:t>
      </w:r>
      <w:bookmarkEnd w:id="51"/>
      <w:bookmarkEnd w:id="52"/>
      <w:bookmarkEnd w:id="53"/>
      <w:bookmarkEnd w:id="54"/>
    </w:p>
    <w:p w14:paraId="1110EA41" w14:textId="77777777" w:rsidR="0066497C" w:rsidRPr="00582E24" w:rsidRDefault="0066497C" w:rsidP="00224270">
      <w:pPr>
        <w:pStyle w:val="Headingb"/>
        <w:rPr>
          <w:color w:val="4F81BD"/>
          <w:sz w:val="28"/>
          <w:szCs w:val="28"/>
        </w:rPr>
      </w:pPr>
      <w:bookmarkStart w:id="57" w:name="_Hlk131149648"/>
      <w:bookmarkEnd w:id="55"/>
      <w:r w:rsidRPr="00582E24">
        <w:rPr>
          <w:color w:val="4F81BD"/>
          <w:sz w:val="28"/>
          <w:szCs w:val="28"/>
        </w:rPr>
        <w:t>Estado I: Estado de la situación financiera</w:t>
      </w:r>
    </w:p>
    <w:p w14:paraId="3FC4EE01" w14:textId="6F64DC6A" w:rsidR="0066497C" w:rsidRPr="00582E24" w:rsidRDefault="0066497C" w:rsidP="00B53E59">
      <w:pPr>
        <w:spacing w:after="240"/>
        <w:rPr>
          <w:i/>
          <w:iCs/>
          <w:sz w:val="22"/>
          <w:szCs w:val="22"/>
        </w:rPr>
      </w:pPr>
      <w:r w:rsidRPr="00582E24">
        <w:rPr>
          <w:i/>
          <w:iCs/>
          <w:sz w:val="22"/>
          <w:szCs w:val="22"/>
        </w:rPr>
        <w:t>Al</w:t>
      </w:r>
      <w:bookmarkEnd w:id="56"/>
      <w:r w:rsidRPr="00582E24">
        <w:rPr>
          <w:i/>
          <w:iCs/>
          <w:sz w:val="22"/>
          <w:szCs w:val="22"/>
        </w:rPr>
        <w:t xml:space="preserve"> 31 de diciembre</w:t>
      </w:r>
      <w:bookmarkStart w:id="58" w:name="_Toc305764057"/>
      <w:bookmarkEnd w:id="57"/>
      <w:r w:rsidRPr="00582E24">
        <w:rPr>
          <w:i/>
          <w:iCs/>
          <w:sz w:val="22"/>
          <w:szCs w:val="22"/>
        </w:rPr>
        <w:t xml:space="preserve"> de 2024</w:t>
      </w:r>
      <w:r w:rsidR="00224270" w:rsidRPr="00582E24">
        <w:rPr>
          <w:i/>
          <w:iCs/>
          <w:sz w:val="22"/>
          <w:szCs w:val="22"/>
        </w:rPr>
        <w:br/>
      </w:r>
      <w:r w:rsidRPr="00582E24">
        <w:rPr>
          <w:i/>
          <w:iCs/>
          <w:sz w:val="22"/>
          <w:szCs w:val="22"/>
        </w:rPr>
        <w:t>(en miles CHF)</w:t>
      </w:r>
    </w:p>
    <w:p w14:paraId="00EB6174" w14:textId="47DF3276" w:rsidR="0066497C" w:rsidRPr="00582E24" w:rsidRDefault="0024458C" w:rsidP="00224270">
      <w:pPr>
        <w:pStyle w:val="Figure"/>
      </w:pPr>
      <w:bookmarkStart w:id="59" w:name="_1755089378"/>
      <w:bookmarkEnd w:id="59"/>
      <w:r w:rsidRPr="00582E24">
        <w:rPr>
          <w:noProof/>
        </w:rPr>
        <w:drawing>
          <wp:inline distT="0" distB="0" distL="0" distR="0" wp14:anchorId="568691AC" wp14:editId="5998909C">
            <wp:extent cx="5760085" cy="59918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5991860"/>
                    </a:xfrm>
                    <a:prstGeom prst="rect">
                      <a:avLst/>
                    </a:prstGeom>
                    <a:noFill/>
                    <a:ln>
                      <a:noFill/>
                    </a:ln>
                  </pic:spPr>
                </pic:pic>
              </a:graphicData>
            </a:graphic>
          </wp:inline>
        </w:drawing>
      </w:r>
    </w:p>
    <w:p w14:paraId="61063E62" w14:textId="77777777" w:rsidR="0066497C" w:rsidRPr="00582E24" w:rsidRDefault="0066497C" w:rsidP="000D0931">
      <w:r w:rsidRPr="00582E24">
        <w:br w:type="page"/>
      </w:r>
    </w:p>
    <w:p w14:paraId="1A686DEB" w14:textId="77777777" w:rsidR="0066497C" w:rsidRPr="00582E24" w:rsidRDefault="0066497C" w:rsidP="00224270">
      <w:pPr>
        <w:pStyle w:val="Headingb"/>
        <w:rPr>
          <w:color w:val="4F81BD"/>
          <w:sz w:val="28"/>
          <w:szCs w:val="28"/>
        </w:rPr>
      </w:pPr>
      <w:r w:rsidRPr="00582E24">
        <w:rPr>
          <w:color w:val="4F81BD"/>
          <w:sz w:val="28"/>
          <w:szCs w:val="28"/>
        </w:rPr>
        <w:lastRenderedPageBreak/>
        <w:t>Estado II: Estado de los resultados financieros</w:t>
      </w:r>
    </w:p>
    <w:p w14:paraId="3EED7755" w14:textId="65A0EF62" w:rsidR="0066497C" w:rsidRPr="00582E24" w:rsidRDefault="0066497C" w:rsidP="00B53E59">
      <w:pPr>
        <w:spacing w:after="240"/>
        <w:rPr>
          <w:i/>
          <w:iCs/>
          <w:sz w:val="22"/>
          <w:szCs w:val="22"/>
        </w:rPr>
      </w:pPr>
      <w:r w:rsidRPr="00582E24">
        <w:rPr>
          <w:i/>
          <w:iCs/>
          <w:sz w:val="22"/>
          <w:szCs w:val="22"/>
        </w:rPr>
        <w:t>Al 31 de diciembre de 2024</w:t>
      </w:r>
      <w:r w:rsidR="00224270" w:rsidRPr="00582E24">
        <w:rPr>
          <w:i/>
          <w:iCs/>
          <w:sz w:val="22"/>
          <w:szCs w:val="22"/>
        </w:rPr>
        <w:br/>
      </w:r>
      <w:r w:rsidRPr="00582E24">
        <w:rPr>
          <w:i/>
          <w:iCs/>
          <w:sz w:val="22"/>
          <w:szCs w:val="22"/>
        </w:rPr>
        <w:t>(en miles CHF)</w:t>
      </w:r>
    </w:p>
    <w:bookmarkEnd w:id="58"/>
    <w:p w14:paraId="3707D790" w14:textId="0234D07A" w:rsidR="0066497C" w:rsidRPr="00582E24" w:rsidRDefault="00033470" w:rsidP="00224270">
      <w:pPr>
        <w:pStyle w:val="Figure"/>
      </w:pPr>
      <w:r w:rsidRPr="00582E24">
        <w:rPr>
          <w:noProof/>
        </w:rPr>
        <w:drawing>
          <wp:inline distT="0" distB="0" distL="0" distR="0" wp14:anchorId="069E2C94" wp14:editId="5EEE95B3">
            <wp:extent cx="5760085" cy="33997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3399790"/>
                    </a:xfrm>
                    <a:prstGeom prst="rect">
                      <a:avLst/>
                    </a:prstGeom>
                    <a:noFill/>
                    <a:ln>
                      <a:noFill/>
                    </a:ln>
                  </pic:spPr>
                </pic:pic>
              </a:graphicData>
            </a:graphic>
          </wp:inline>
        </w:drawing>
      </w:r>
      <w:r w:rsidR="0066497C" w:rsidRPr="00582E24">
        <w:br w:type="page"/>
      </w:r>
    </w:p>
    <w:p w14:paraId="7A8951D0" w14:textId="77777777" w:rsidR="0066497C" w:rsidRPr="00582E24" w:rsidRDefault="0066497C" w:rsidP="00224270">
      <w:pPr>
        <w:pStyle w:val="Headingb"/>
        <w:rPr>
          <w:color w:val="4F81BD"/>
          <w:sz w:val="28"/>
          <w:szCs w:val="28"/>
        </w:rPr>
      </w:pPr>
      <w:bookmarkStart w:id="60" w:name="_Toc305764058"/>
      <w:r w:rsidRPr="00582E24">
        <w:rPr>
          <w:color w:val="4F81BD"/>
          <w:sz w:val="28"/>
          <w:szCs w:val="28"/>
        </w:rPr>
        <w:lastRenderedPageBreak/>
        <w:t>Estado III: Estado de las variaciones del activo neto</w:t>
      </w:r>
    </w:p>
    <w:p w14:paraId="0B192CDA" w14:textId="05875AC3" w:rsidR="0066497C" w:rsidRPr="00582E24" w:rsidRDefault="0066497C" w:rsidP="00B53E59">
      <w:pPr>
        <w:spacing w:after="240"/>
        <w:rPr>
          <w:i/>
          <w:iCs/>
          <w:sz w:val="22"/>
          <w:szCs w:val="22"/>
        </w:rPr>
      </w:pPr>
      <w:r w:rsidRPr="00582E24">
        <w:rPr>
          <w:i/>
          <w:iCs/>
          <w:sz w:val="22"/>
          <w:szCs w:val="22"/>
        </w:rPr>
        <w:t>Al 31 de diciembre de 2024</w:t>
      </w:r>
      <w:r w:rsidR="00224270" w:rsidRPr="00582E24">
        <w:rPr>
          <w:i/>
          <w:iCs/>
          <w:sz w:val="22"/>
          <w:szCs w:val="22"/>
        </w:rPr>
        <w:br/>
      </w:r>
      <w:r w:rsidRPr="00582E24">
        <w:rPr>
          <w:i/>
          <w:iCs/>
          <w:sz w:val="22"/>
          <w:szCs w:val="22"/>
        </w:rPr>
        <w:t>(en miles CHF)</w:t>
      </w:r>
    </w:p>
    <w:bookmarkEnd w:id="60"/>
    <w:p w14:paraId="5FDA5ECB" w14:textId="2A9657DF" w:rsidR="0066497C" w:rsidRPr="00582E24" w:rsidRDefault="00033470" w:rsidP="00224270">
      <w:pPr>
        <w:pStyle w:val="Figure"/>
      </w:pPr>
      <w:r w:rsidRPr="00582E24">
        <w:rPr>
          <w:noProof/>
        </w:rPr>
        <w:drawing>
          <wp:inline distT="0" distB="0" distL="0" distR="0" wp14:anchorId="2F07FF87" wp14:editId="2DE322D1">
            <wp:extent cx="5760085" cy="161099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1610995"/>
                    </a:xfrm>
                    <a:prstGeom prst="rect">
                      <a:avLst/>
                    </a:prstGeom>
                    <a:noFill/>
                    <a:ln>
                      <a:noFill/>
                    </a:ln>
                  </pic:spPr>
                </pic:pic>
              </a:graphicData>
            </a:graphic>
          </wp:inline>
        </w:drawing>
      </w:r>
    </w:p>
    <w:p w14:paraId="0264B619" w14:textId="77777777" w:rsidR="0066497C" w:rsidRPr="00582E24" w:rsidRDefault="0066497C" w:rsidP="00224270">
      <w:pPr>
        <w:spacing w:before="480"/>
        <w:rPr>
          <w:i/>
          <w:iCs/>
          <w:sz w:val="22"/>
          <w:szCs w:val="22"/>
        </w:rPr>
      </w:pPr>
      <w:r w:rsidRPr="00582E24">
        <w:rPr>
          <w:i/>
          <w:iCs/>
          <w:sz w:val="22"/>
          <w:szCs w:val="22"/>
        </w:rPr>
        <w:t>Para obtener más información al respecto, véase la Nota 4.</w:t>
      </w:r>
    </w:p>
    <w:p w14:paraId="6CAA8A43" w14:textId="77777777" w:rsidR="0066497C" w:rsidRPr="00582E24" w:rsidRDefault="0066497C" w:rsidP="000D0931">
      <w:r w:rsidRPr="00582E24">
        <w:br w:type="page"/>
      </w:r>
      <w:bookmarkStart w:id="61" w:name="_Toc305764059"/>
    </w:p>
    <w:p w14:paraId="0B0FF86B" w14:textId="77777777" w:rsidR="0066497C" w:rsidRPr="00582E24" w:rsidRDefault="0066497C" w:rsidP="00224270">
      <w:pPr>
        <w:pStyle w:val="Headingb"/>
        <w:rPr>
          <w:color w:val="4F81BD"/>
          <w:sz w:val="28"/>
          <w:szCs w:val="28"/>
        </w:rPr>
      </w:pPr>
      <w:r w:rsidRPr="00582E24">
        <w:rPr>
          <w:color w:val="4F81BD"/>
          <w:sz w:val="28"/>
          <w:szCs w:val="28"/>
        </w:rPr>
        <w:lastRenderedPageBreak/>
        <w:t>Estado IV: Estado de los movimientos de tesorería</w:t>
      </w:r>
    </w:p>
    <w:p w14:paraId="390E97C6" w14:textId="70C57115" w:rsidR="0066497C" w:rsidRPr="00582E24" w:rsidRDefault="0066497C" w:rsidP="00B53E59">
      <w:pPr>
        <w:spacing w:after="240"/>
        <w:rPr>
          <w:i/>
          <w:iCs/>
          <w:sz w:val="22"/>
          <w:szCs w:val="22"/>
        </w:rPr>
      </w:pPr>
      <w:r w:rsidRPr="00582E24">
        <w:rPr>
          <w:i/>
          <w:iCs/>
          <w:sz w:val="22"/>
          <w:szCs w:val="22"/>
        </w:rPr>
        <w:t>Para el ejercicio cerrado al 31 de diciembre de 2024</w:t>
      </w:r>
      <w:r w:rsidR="00224270" w:rsidRPr="00582E24">
        <w:rPr>
          <w:i/>
          <w:iCs/>
          <w:sz w:val="22"/>
          <w:szCs w:val="22"/>
        </w:rPr>
        <w:br/>
      </w:r>
      <w:r w:rsidRPr="00582E24">
        <w:rPr>
          <w:i/>
          <w:iCs/>
          <w:sz w:val="22"/>
          <w:szCs w:val="22"/>
        </w:rPr>
        <w:t>(en miles CHF)</w:t>
      </w:r>
    </w:p>
    <w:bookmarkEnd w:id="61"/>
    <w:p w14:paraId="7FE157C6" w14:textId="29A0E683" w:rsidR="0066497C" w:rsidRPr="00582E24" w:rsidRDefault="006446B7" w:rsidP="00224270">
      <w:pPr>
        <w:pStyle w:val="Figure"/>
      </w:pPr>
      <w:r w:rsidRPr="00582E24">
        <w:rPr>
          <w:noProof/>
        </w:rPr>
        <w:drawing>
          <wp:inline distT="0" distB="0" distL="0" distR="0" wp14:anchorId="7C95BA5A" wp14:editId="6E75462D">
            <wp:extent cx="5760085" cy="65868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6586855"/>
                    </a:xfrm>
                    <a:prstGeom prst="rect">
                      <a:avLst/>
                    </a:prstGeom>
                    <a:noFill/>
                    <a:ln>
                      <a:noFill/>
                    </a:ln>
                  </pic:spPr>
                </pic:pic>
              </a:graphicData>
            </a:graphic>
          </wp:inline>
        </w:drawing>
      </w:r>
      <w:r w:rsidR="0066497C" w:rsidRPr="00582E24">
        <w:br w:type="page"/>
      </w:r>
    </w:p>
    <w:p w14:paraId="7D3455D1" w14:textId="77777777" w:rsidR="0066497C" w:rsidRPr="00582E24" w:rsidRDefault="0066497C" w:rsidP="00224270">
      <w:pPr>
        <w:pStyle w:val="Headingb"/>
        <w:rPr>
          <w:color w:val="4F81BD"/>
          <w:sz w:val="28"/>
          <w:szCs w:val="28"/>
        </w:rPr>
      </w:pPr>
      <w:r w:rsidRPr="00582E24">
        <w:rPr>
          <w:color w:val="4F81BD"/>
          <w:sz w:val="28"/>
          <w:szCs w:val="28"/>
        </w:rPr>
        <w:lastRenderedPageBreak/>
        <w:t>Estado V: Estado de comparación de los importes presupuestados y efectivos</w:t>
      </w:r>
    </w:p>
    <w:p w14:paraId="698B891B" w14:textId="7B04B1F4" w:rsidR="0066497C" w:rsidRPr="00582E24" w:rsidRDefault="0066497C" w:rsidP="00B53E59">
      <w:pPr>
        <w:spacing w:after="240"/>
        <w:rPr>
          <w:i/>
          <w:iCs/>
          <w:sz w:val="22"/>
          <w:szCs w:val="22"/>
        </w:rPr>
      </w:pPr>
      <w:r w:rsidRPr="00582E24">
        <w:rPr>
          <w:i/>
          <w:iCs/>
          <w:sz w:val="22"/>
          <w:szCs w:val="22"/>
        </w:rPr>
        <w:t>Para el ejercicio cerrado al 31 de diciembre de 2024</w:t>
      </w:r>
      <w:r w:rsidR="00224270" w:rsidRPr="00582E24">
        <w:rPr>
          <w:i/>
          <w:iCs/>
          <w:sz w:val="22"/>
          <w:szCs w:val="22"/>
        </w:rPr>
        <w:br/>
      </w:r>
      <w:r w:rsidRPr="00582E24">
        <w:rPr>
          <w:i/>
          <w:iCs/>
          <w:sz w:val="22"/>
          <w:szCs w:val="22"/>
        </w:rPr>
        <w:t>(en miles CHF)</w:t>
      </w:r>
    </w:p>
    <w:p w14:paraId="2917D32F" w14:textId="23C21B69" w:rsidR="0066497C" w:rsidRPr="00582E24" w:rsidRDefault="00120405" w:rsidP="00224270">
      <w:pPr>
        <w:pStyle w:val="Figure"/>
      </w:pPr>
      <w:r w:rsidRPr="00582E24">
        <w:rPr>
          <w:noProof/>
        </w:rPr>
        <w:drawing>
          <wp:inline distT="0" distB="0" distL="0" distR="0" wp14:anchorId="7B5CFB8E" wp14:editId="3BEBB566">
            <wp:extent cx="5760085" cy="46120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4612005"/>
                    </a:xfrm>
                    <a:prstGeom prst="rect">
                      <a:avLst/>
                    </a:prstGeom>
                    <a:noFill/>
                    <a:ln>
                      <a:noFill/>
                    </a:ln>
                  </pic:spPr>
                </pic:pic>
              </a:graphicData>
            </a:graphic>
          </wp:inline>
        </w:drawing>
      </w:r>
    </w:p>
    <w:p w14:paraId="2D0DDE0F" w14:textId="77777777" w:rsidR="0066497C" w:rsidRPr="00582E24" w:rsidRDefault="0066497C" w:rsidP="00224270">
      <w:pPr>
        <w:spacing w:before="480"/>
        <w:rPr>
          <w:i/>
          <w:iCs/>
          <w:sz w:val="22"/>
          <w:szCs w:val="22"/>
        </w:rPr>
      </w:pPr>
      <w:r w:rsidRPr="00582E24">
        <w:rPr>
          <w:i/>
          <w:iCs/>
          <w:sz w:val="22"/>
          <w:szCs w:val="22"/>
        </w:rPr>
        <w:t>Para obtener más información sobre las diferencias de base y de entidad, véase la Nota 21.</w:t>
      </w:r>
    </w:p>
    <w:p w14:paraId="080CBE8B" w14:textId="6265A4FB" w:rsidR="0066497C" w:rsidRPr="00582E24" w:rsidRDefault="0066497C" w:rsidP="00C5792E">
      <w:pPr>
        <w:pStyle w:val="Rectitle"/>
        <w:jc w:val="both"/>
      </w:pPr>
      <w:bookmarkStart w:id="62" w:name="_Toc132303498"/>
      <w:r w:rsidRPr="00582E24">
        <w:br w:type="page"/>
      </w:r>
      <w:bookmarkStart w:id="63" w:name="_Toc305764060"/>
      <w:bookmarkStart w:id="64" w:name="_Toc196292772"/>
      <w:bookmarkStart w:id="65" w:name="_Toc199852355"/>
      <w:bookmarkStart w:id="66" w:name="_Toc200461756"/>
      <w:bookmarkStart w:id="67" w:name="_Toc200461922"/>
      <w:r w:rsidRPr="00582E24">
        <w:lastRenderedPageBreak/>
        <w:t>Notas a los estados financieros</w:t>
      </w:r>
      <w:bookmarkEnd w:id="62"/>
      <w:bookmarkEnd w:id="63"/>
      <w:bookmarkEnd w:id="64"/>
      <w:bookmarkEnd w:id="65"/>
      <w:bookmarkEnd w:id="66"/>
      <w:bookmarkEnd w:id="67"/>
    </w:p>
    <w:p w14:paraId="6BF68CD8" w14:textId="4C9C1FE7" w:rsidR="0066497C" w:rsidRPr="00582E24" w:rsidRDefault="0066497C" w:rsidP="00C5792E">
      <w:pPr>
        <w:pStyle w:val="Heading1"/>
        <w:jc w:val="both"/>
        <w:rPr>
          <w:color w:val="4F81BD"/>
        </w:rPr>
      </w:pPr>
      <w:bookmarkStart w:id="68" w:name="_Toc305764061"/>
      <w:bookmarkStart w:id="69" w:name="_Toc465459197"/>
      <w:bookmarkStart w:id="70" w:name="_Toc196292773"/>
      <w:bookmarkStart w:id="71" w:name="_Toc199852917"/>
      <w:bookmarkStart w:id="72" w:name="_Toc200461757"/>
      <w:bookmarkStart w:id="73" w:name="_Toc200461923"/>
      <w:r w:rsidRPr="00582E24">
        <w:rPr>
          <w:color w:val="4F81BD"/>
        </w:rPr>
        <w:t>Nota 1</w:t>
      </w:r>
      <w:bookmarkEnd w:id="68"/>
      <w:r w:rsidRPr="00582E24">
        <w:rPr>
          <w:color w:val="4F81BD"/>
        </w:rPr>
        <w:tab/>
        <w:t>Objetivos de la Unión</w:t>
      </w:r>
      <w:bookmarkEnd w:id="69"/>
      <w:bookmarkEnd w:id="70"/>
      <w:bookmarkEnd w:id="71"/>
      <w:bookmarkEnd w:id="72"/>
      <w:bookmarkEnd w:id="73"/>
    </w:p>
    <w:p w14:paraId="6C863D11" w14:textId="03EEABDB" w:rsidR="0066497C" w:rsidRPr="00582E24" w:rsidRDefault="0066497C" w:rsidP="00C5792E">
      <w:pPr>
        <w:jc w:val="both"/>
      </w:pPr>
      <w:r w:rsidRPr="00582E24">
        <w:t xml:space="preserve">La Unión Internacional de Telecomunicaciones (UIT) es el organismo especializado de las Naciones Unidas para las tecnologías de la información y la comunicación (TIC). Al ejercer de centro de convergencia mundial en el que se reúnen los poderes públicos y el sector privado, la UIT ayuda al mundo a comunicarse a través de su Secretaría General y sus tres Sectores, a saber: el Sector de </w:t>
      </w:r>
      <w:hyperlink r:id="rId23">
        <w:r w:rsidRPr="00582E24">
          <w:rPr>
            <w:rStyle w:val="Hyperlink"/>
          </w:rPr>
          <w:t>Radiocomunicaciones</w:t>
        </w:r>
      </w:hyperlink>
      <w:r w:rsidRPr="00582E24">
        <w:t xml:space="preserve">, el Sector de </w:t>
      </w:r>
      <w:hyperlink r:id="rId24">
        <w:r w:rsidRPr="00582E24">
          <w:rPr>
            <w:rStyle w:val="Hyperlink"/>
          </w:rPr>
          <w:t xml:space="preserve">Normalización de las Telecomunicaciones </w:t>
        </w:r>
      </w:hyperlink>
      <w:r w:rsidRPr="00582E24">
        <w:t xml:space="preserve">y el Sector de </w:t>
      </w:r>
      <w:hyperlink r:id="rId25">
        <w:r w:rsidRPr="00582E24">
          <w:rPr>
            <w:rStyle w:val="Hyperlink"/>
          </w:rPr>
          <w:t>Desarrollo de las Telecomunicaciones</w:t>
        </w:r>
      </w:hyperlink>
      <w:r w:rsidRPr="00582E24">
        <w:t>. La UIT reconoce en toda su plenitud el derecho soberano de cada Estado a reglamentar sus telecomunicaciones.</w:t>
      </w:r>
    </w:p>
    <w:p w14:paraId="74E1A617" w14:textId="77777777" w:rsidR="0066497C" w:rsidRPr="00582E24" w:rsidRDefault="0066497C" w:rsidP="00C5792E">
      <w:pPr>
        <w:jc w:val="both"/>
      </w:pPr>
      <w:r w:rsidRPr="00582E24">
        <w:t xml:space="preserve">La UIT fue la entidad encargada de organizar la </w:t>
      </w:r>
      <w:hyperlink r:id="rId26" w:history="1">
        <w:r w:rsidRPr="00582E24">
          <w:rPr>
            <w:rStyle w:val="Hyperlink"/>
          </w:rPr>
          <w:t>Cumbre Mundial sobre la Sociedad de la Información</w:t>
        </w:r>
      </w:hyperlink>
      <w:r w:rsidRPr="00582E24">
        <w:t>, que se celebró en 2003 y 2005.</w:t>
      </w:r>
    </w:p>
    <w:p w14:paraId="0FADB65F" w14:textId="59D787BC" w:rsidR="0066497C" w:rsidRPr="00582E24" w:rsidRDefault="0066497C" w:rsidP="00C5792E">
      <w:pPr>
        <w:jc w:val="both"/>
      </w:pPr>
      <w:r w:rsidRPr="00582E24">
        <w:t>La organización está formada por 194</w:t>
      </w:r>
      <w:r w:rsidR="000C66A7" w:rsidRPr="00582E24">
        <w:t> </w:t>
      </w:r>
      <w:r w:rsidRPr="00582E24">
        <w:t>Estados Miembros y más de 1 000 empresas, universidades y organizaciones internacionales y regionales. La UIT tiene su sede en Ginebra (Suiza) y dispone de oficinas regionales y zonales en todos los continentes, una oficina de coordinación con las Naciones Unidas en Nueva York y una unidad de coordinación en la sede para Europa. La UIT es el organismo más antiguo de la familia de las Naciones Unidas y lleva conectando al mundo desde los albores del telégrafo en 1865. Su sede se halla en la Place des Nations, 1211 Ginebra 20, Suiza.</w:t>
      </w:r>
    </w:p>
    <w:p w14:paraId="163A114A" w14:textId="77777777" w:rsidR="0066497C" w:rsidRPr="00582E24" w:rsidRDefault="0066497C" w:rsidP="00C5792E">
      <w:pPr>
        <w:jc w:val="both"/>
      </w:pPr>
      <w:r w:rsidRPr="00582E24">
        <w:t>La UIT tiene por objeto:</w:t>
      </w:r>
    </w:p>
    <w:p w14:paraId="4CB5EEE4" w14:textId="18C6770D" w:rsidR="0066497C" w:rsidRPr="00582E24" w:rsidRDefault="00D67D23" w:rsidP="00C5792E">
      <w:pPr>
        <w:pStyle w:val="enumlev1"/>
        <w:jc w:val="both"/>
      </w:pPr>
      <w:r w:rsidRPr="00582E24">
        <w:t>–</w:t>
      </w:r>
      <w:r w:rsidRPr="00582E24">
        <w:tab/>
      </w:r>
      <w:r w:rsidR="0066497C" w:rsidRPr="00582E24">
        <w:t>mantener y ampliar la cooperación internacional entre todos sus Estados Miembros para el mejoramiento y el empleo racional de toda clase de telecomunicaciones;</w:t>
      </w:r>
    </w:p>
    <w:p w14:paraId="7A9A84B4" w14:textId="77777777" w:rsidR="0066497C" w:rsidRPr="00582E24" w:rsidRDefault="0066497C" w:rsidP="00C5792E">
      <w:pPr>
        <w:pStyle w:val="enumlev1"/>
        <w:jc w:val="both"/>
      </w:pPr>
      <w:r w:rsidRPr="00582E24">
        <w:t>–</w:t>
      </w:r>
      <w:r w:rsidRPr="00582E24">
        <w:tab/>
        <w:t>impulsar el desarrollo de los medios técnicos y su más eficaz explotación, a fin de aumentar el rendimiento de los servicios de telecomunicación, acrecentar su utilidad y generalizar lo más posible su utilización por el público;</w:t>
      </w:r>
    </w:p>
    <w:p w14:paraId="14E1F277" w14:textId="77777777" w:rsidR="0066497C" w:rsidRPr="00582E24" w:rsidRDefault="0066497C" w:rsidP="00C5792E">
      <w:pPr>
        <w:pStyle w:val="enumlev1"/>
        <w:jc w:val="both"/>
      </w:pPr>
      <w:r w:rsidRPr="00582E24">
        <w:t>–</w:t>
      </w:r>
      <w:r w:rsidRPr="00582E24">
        <w:tab/>
        <w:t>promover la extensión de los beneficios de las nuevas tecnologías de telecomunicaciones a todos los habitantes del Planeta;</w:t>
      </w:r>
    </w:p>
    <w:p w14:paraId="3B1F897C" w14:textId="77777777" w:rsidR="0066497C" w:rsidRPr="00582E24" w:rsidRDefault="0066497C" w:rsidP="00C5792E">
      <w:pPr>
        <w:pStyle w:val="enumlev1"/>
        <w:jc w:val="both"/>
      </w:pPr>
      <w:r w:rsidRPr="00582E24">
        <w:t>–</w:t>
      </w:r>
      <w:r w:rsidRPr="00582E24">
        <w:tab/>
        <w:t>promover la utilización de los servicios de telecomunicaciones con el fin de facilitar las relaciones pacíficas;</w:t>
      </w:r>
    </w:p>
    <w:p w14:paraId="43EA341C" w14:textId="77777777" w:rsidR="0066497C" w:rsidRPr="00582E24" w:rsidRDefault="0066497C" w:rsidP="00C5792E">
      <w:pPr>
        <w:pStyle w:val="enumlev1"/>
        <w:jc w:val="both"/>
      </w:pPr>
      <w:r w:rsidRPr="00582E24">
        <w:t>–</w:t>
      </w:r>
      <w:r w:rsidRPr="00582E24">
        <w:tab/>
        <w:t>armonizar los esfuerzos de los Estados Miembros y favorecer una cooperación y una asociación fructíferas y constructivas entre los Estados Miembros y los Miembros de los Sectores para la consecución de estos fines; y</w:t>
      </w:r>
    </w:p>
    <w:p w14:paraId="0ADDFCC1" w14:textId="77777777" w:rsidR="0066497C" w:rsidRPr="00582E24" w:rsidRDefault="0066497C" w:rsidP="00C5792E">
      <w:pPr>
        <w:pStyle w:val="enumlev1"/>
        <w:jc w:val="both"/>
      </w:pPr>
      <w:r w:rsidRPr="00582E24">
        <w:t>–</w:t>
      </w:r>
      <w:r w:rsidRPr="00582E24">
        <w:tab/>
        <w:t>promover a nivel internacional la adopción de un enfoque más amplio de las cuestiones de las telecomunicaciones, a causa de la universalización de la economía y la sociedad de la información, cooperando a tal fin con otras organizaciones intergubernamentales mundiales y regionales y con las organizaciones no gubernamentales interesadas en las telecomunicaciones.</w:t>
      </w:r>
    </w:p>
    <w:p w14:paraId="01361EC8" w14:textId="77777777" w:rsidR="0066497C" w:rsidRPr="00582E24" w:rsidRDefault="0066497C" w:rsidP="00C5792E">
      <w:pPr>
        <w:jc w:val="both"/>
      </w:pPr>
      <w:r w:rsidRPr="00582E24">
        <w:t>La Conferencia de Plenipotenciarios es el órgano supremo de la UIT y se reúne con una periodicidad cuatrienal. En el intervalo entre Conferencias de Plenipotenciarios, el Consejo, que se compone de 48 Estados Miembros, actúa en calidad de órgano rector de la Unión en nombre de la Conferencia de Plenipotenciarios, de conformidad con los poderes que le han sido delegados. La Conferencia:</w:t>
      </w:r>
    </w:p>
    <w:p w14:paraId="144787A5" w14:textId="23627DB5" w:rsidR="0066497C" w:rsidRPr="00582E24" w:rsidRDefault="00D67D23" w:rsidP="00C5792E">
      <w:pPr>
        <w:pStyle w:val="enumlev1"/>
        <w:jc w:val="both"/>
      </w:pPr>
      <w:r w:rsidRPr="00582E24">
        <w:rPr>
          <w:rFonts w:eastAsia="Calibri"/>
        </w:rPr>
        <w:lastRenderedPageBreak/>
        <w:t>•</w:t>
      </w:r>
      <w:r w:rsidRPr="00582E24">
        <w:rPr>
          <w:rFonts w:eastAsia="Calibri"/>
        </w:rPr>
        <w:tab/>
      </w:r>
      <w:r w:rsidR="0066497C" w:rsidRPr="00582E24">
        <w:t>establece las políticas generales de la Unión;</w:t>
      </w:r>
    </w:p>
    <w:p w14:paraId="172B8622" w14:textId="62A19388" w:rsidR="0066497C" w:rsidRPr="00582E24" w:rsidRDefault="00D67D23" w:rsidP="00C5792E">
      <w:pPr>
        <w:pStyle w:val="enumlev1"/>
        <w:jc w:val="both"/>
      </w:pPr>
      <w:r w:rsidRPr="00582E24">
        <w:rPr>
          <w:rFonts w:eastAsia="Calibri"/>
        </w:rPr>
        <w:t>•</w:t>
      </w:r>
      <w:r w:rsidRPr="00582E24">
        <w:rPr>
          <w:rFonts w:eastAsia="Calibri"/>
        </w:rPr>
        <w:tab/>
      </w:r>
      <w:r w:rsidR="0066497C" w:rsidRPr="00582E24">
        <w:t>adopta los Planes Estratégico y Financiero cuatrienales;</w:t>
      </w:r>
    </w:p>
    <w:p w14:paraId="7BC58660" w14:textId="2C2170F2" w:rsidR="0066497C" w:rsidRPr="00582E24" w:rsidRDefault="00D67D23" w:rsidP="00C5792E">
      <w:pPr>
        <w:pStyle w:val="enumlev1"/>
        <w:jc w:val="both"/>
      </w:pPr>
      <w:r w:rsidRPr="00582E24">
        <w:rPr>
          <w:rFonts w:eastAsia="Calibri"/>
        </w:rPr>
        <w:t>•</w:t>
      </w:r>
      <w:r w:rsidRPr="00582E24">
        <w:rPr>
          <w:rFonts w:eastAsia="Calibri"/>
        </w:rPr>
        <w:tab/>
      </w:r>
      <w:r w:rsidR="0066497C" w:rsidRPr="00582E24">
        <w:t>examina y, en su caso, aprueba definitivamente las Cuentas de la Unión;</w:t>
      </w:r>
    </w:p>
    <w:p w14:paraId="63C10606" w14:textId="0DB81553" w:rsidR="0066497C" w:rsidRPr="00582E24" w:rsidRDefault="00D67D23" w:rsidP="00C5792E">
      <w:pPr>
        <w:pStyle w:val="enumlev1"/>
        <w:jc w:val="both"/>
      </w:pPr>
      <w:r w:rsidRPr="00582E24">
        <w:rPr>
          <w:rFonts w:eastAsia="Calibri"/>
        </w:rPr>
        <w:t>•</w:t>
      </w:r>
      <w:r w:rsidRPr="00582E24">
        <w:rPr>
          <w:rFonts w:eastAsia="Calibri"/>
        </w:rPr>
        <w:tab/>
      </w:r>
      <w:r w:rsidR="0066497C" w:rsidRPr="00582E24">
        <w:t>elige a los Estados Miembros que han de constituir el Consejo;</w:t>
      </w:r>
    </w:p>
    <w:p w14:paraId="7F11010C" w14:textId="5FE381D7" w:rsidR="0066497C" w:rsidRPr="00582E24" w:rsidRDefault="00D67D23" w:rsidP="00C5792E">
      <w:pPr>
        <w:pStyle w:val="enumlev1"/>
        <w:jc w:val="both"/>
      </w:pPr>
      <w:r w:rsidRPr="00582E24">
        <w:rPr>
          <w:rFonts w:eastAsia="Calibri"/>
        </w:rPr>
        <w:t>•</w:t>
      </w:r>
      <w:r w:rsidRPr="00582E24">
        <w:rPr>
          <w:rFonts w:eastAsia="Calibri"/>
        </w:rPr>
        <w:tab/>
      </w:r>
      <w:r w:rsidR="0066497C" w:rsidRPr="00582E24">
        <w:t>elige al Secretario General, al Vicesecretario General y a los Directores de las Oficinas como funcionarios de elección de la Unión; y</w:t>
      </w:r>
    </w:p>
    <w:p w14:paraId="4A6226A4" w14:textId="057DE86F" w:rsidR="0066497C" w:rsidRPr="00582E24" w:rsidRDefault="00D67D23" w:rsidP="00C5792E">
      <w:pPr>
        <w:pStyle w:val="enumlev1"/>
        <w:jc w:val="both"/>
      </w:pPr>
      <w:r w:rsidRPr="00582E24">
        <w:rPr>
          <w:rFonts w:eastAsia="Calibri"/>
        </w:rPr>
        <w:t>•</w:t>
      </w:r>
      <w:r w:rsidRPr="00582E24">
        <w:rPr>
          <w:rFonts w:eastAsia="Calibri"/>
        </w:rPr>
        <w:tab/>
      </w:r>
      <w:r w:rsidR="0066497C" w:rsidRPr="00582E24">
        <w:t xml:space="preserve">elige a los miembros de la </w:t>
      </w:r>
      <w:hyperlink r:id="rId27">
        <w:r w:rsidR="0066497C" w:rsidRPr="00582E24">
          <w:rPr>
            <w:rStyle w:val="Hyperlink"/>
          </w:rPr>
          <w:t>Junta del Reglamento de Radiocomunicaciones</w:t>
        </w:r>
      </w:hyperlink>
      <w:r w:rsidR="0066497C" w:rsidRPr="00582E24">
        <w:t>.</w:t>
      </w:r>
    </w:p>
    <w:p w14:paraId="32713007" w14:textId="77777777" w:rsidR="0066497C" w:rsidRPr="00582E24" w:rsidRDefault="0066497C" w:rsidP="00C5792E">
      <w:pPr>
        <w:pStyle w:val="Heading1"/>
        <w:jc w:val="both"/>
        <w:rPr>
          <w:color w:val="4F81BD"/>
        </w:rPr>
      </w:pPr>
      <w:bookmarkStart w:id="74" w:name="_Toc684074497"/>
      <w:bookmarkStart w:id="75" w:name="_Toc196292774"/>
      <w:bookmarkStart w:id="76" w:name="_Toc199852918"/>
      <w:bookmarkStart w:id="77" w:name="_Toc200461758"/>
      <w:bookmarkStart w:id="78" w:name="_Toc200461924"/>
      <w:r w:rsidRPr="00582E24">
        <w:rPr>
          <w:color w:val="4F81BD"/>
        </w:rPr>
        <w:t>Nota 2</w:t>
      </w:r>
      <w:r w:rsidRPr="00582E24">
        <w:rPr>
          <w:color w:val="4F81BD"/>
        </w:rPr>
        <w:tab/>
        <w:t>Bases para la preparación y presentación</w:t>
      </w:r>
      <w:bookmarkEnd w:id="74"/>
      <w:bookmarkEnd w:id="75"/>
      <w:bookmarkEnd w:id="76"/>
      <w:bookmarkEnd w:id="77"/>
      <w:bookmarkEnd w:id="78"/>
    </w:p>
    <w:p w14:paraId="3B4C5D33" w14:textId="76FE3777" w:rsidR="0066497C" w:rsidRPr="00582E24" w:rsidRDefault="0066497C" w:rsidP="00C5792E">
      <w:pPr>
        <w:jc w:val="both"/>
      </w:pPr>
      <w:r w:rsidRPr="00582E24">
        <w:t>Los estados financieros de 2024 han sido elaborados de conformidad con las NICSP y se presentan en francos suizos, que es la moneda funcional y de presentación de la UIT. Los valores mostrados se han redondeado al millar más próximo. Las políticas contables se han aplicado de forma sistemática en todos los ejercicios presentados. Un ejercicio financiero abarca desde enero hasta diciembre.</w:t>
      </w:r>
    </w:p>
    <w:p w14:paraId="7BA05380" w14:textId="11A2D3F5" w:rsidR="0066497C" w:rsidRPr="00582E24" w:rsidRDefault="0066497C" w:rsidP="00C5792E">
      <w:pPr>
        <w:jc w:val="both"/>
      </w:pPr>
      <w:r w:rsidRPr="00582E24">
        <w:t>Los estados financieros se elaboran con arreglo a la convención del coste histórico, salvo indicación contraria. Para preparar el Estado de los movimientos de tesorería se utiliza el método indirecto. Los estados financieros se elaboran con arreglo a los criterios contables del devengo y del valor en funcionamiento.</w:t>
      </w:r>
    </w:p>
    <w:p w14:paraId="50B05DDE" w14:textId="4F5057A1" w:rsidR="0066497C" w:rsidRPr="00582E24" w:rsidRDefault="0066497C" w:rsidP="00C5792E">
      <w:pPr>
        <w:jc w:val="both"/>
      </w:pPr>
      <w:r w:rsidRPr="00582E24">
        <w:t>En el Reglamento Financiero y las Reglas Financieras de la UIT se establece un ejercicio financiero bienal; sin embargo, para que la comparación con los estados financieros de 2024 sea significativa, el presupuesto de 2024 se presenta sobre una base anual en el Estado</w:t>
      </w:r>
      <w:r w:rsidR="00254FF2" w:rsidRPr="00582E24">
        <w:t> </w:t>
      </w:r>
      <w:r w:rsidRPr="00582E24">
        <w:t>V (Estado de comparación de los importes presupuestados y de los importes efectivos).</w:t>
      </w:r>
    </w:p>
    <w:p w14:paraId="190DFDF8" w14:textId="77777777" w:rsidR="0066497C" w:rsidRPr="00582E24" w:rsidRDefault="0066497C" w:rsidP="00C5792E">
      <w:pPr>
        <w:jc w:val="both"/>
      </w:pPr>
      <w:r w:rsidRPr="00582E24">
        <w:t>La UIT ha aplicado y cumplido los requisitos de las NICSP en vigor al 1 de enero de 2024. En la Nota 3, relativa a las políticas contables principales, se ofrece más información al respecto.</w:t>
      </w:r>
    </w:p>
    <w:p w14:paraId="48D4D149" w14:textId="77777777" w:rsidR="0066497C" w:rsidRPr="00582E24" w:rsidRDefault="0066497C" w:rsidP="00C5792E">
      <w:pPr>
        <w:pStyle w:val="Headingb"/>
        <w:jc w:val="both"/>
        <w:rPr>
          <w:i/>
          <w:iCs/>
        </w:rPr>
      </w:pPr>
      <w:r w:rsidRPr="00582E24">
        <w:rPr>
          <w:i/>
          <w:iCs/>
        </w:rPr>
        <w:t>Cambios futuros en la contabilidad</w:t>
      </w:r>
    </w:p>
    <w:p w14:paraId="276DAE38" w14:textId="394B40E9" w:rsidR="0066497C" w:rsidRPr="00582E24" w:rsidRDefault="0066497C" w:rsidP="00C5792E">
      <w:pPr>
        <w:spacing w:after="240"/>
        <w:jc w:val="both"/>
      </w:pPr>
      <w:r w:rsidRPr="00582E24">
        <w:t>Al 31 de diciembre de 2024, fecha del Estado de la situación financiera, se habían publicado las siguientes NICSP, sin que hubieran entrado en vigor: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77"/>
        <w:gridCol w:w="2116"/>
        <w:gridCol w:w="1648"/>
        <w:gridCol w:w="4220"/>
      </w:tblGrid>
      <w:tr w:rsidR="0066497C" w:rsidRPr="00582E24" w14:paraId="6C626297" w14:textId="77777777" w:rsidTr="00E12A78">
        <w:trPr>
          <w:tblHeader/>
          <w:jc w:val="center"/>
        </w:trPr>
        <w:tc>
          <w:tcPr>
            <w:tcW w:w="1224" w:type="dxa"/>
            <w:shd w:val="clear" w:color="auto" w:fill="0070C0"/>
          </w:tcPr>
          <w:p w14:paraId="35C165DF" w14:textId="77777777" w:rsidR="0066497C" w:rsidRPr="00582E24" w:rsidRDefault="0066497C" w:rsidP="00D67D23">
            <w:pPr>
              <w:pStyle w:val="Tablehead"/>
            </w:pPr>
            <w:r w:rsidRPr="00582E24">
              <w:t>Norma</w:t>
            </w:r>
          </w:p>
        </w:tc>
        <w:tc>
          <w:tcPr>
            <w:tcW w:w="2445" w:type="dxa"/>
            <w:shd w:val="clear" w:color="auto" w:fill="0070C0"/>
          </w:tcPr>
          <w:p w14:paraId="576DF972" w14:textId="77777777" w:rsidR="0066497C" w:rsidRPr="00582E24" w:rsidRDefault="0066497C" w:rsidP="00D67D23">
            <w:pPr>
              <w:pStyle w:val="Tablehead"/>
            </w:pPr>
            <w:r w:rsidRPr="00582E24">
              <w:t>Título</w:t>
            </w:r>
          </w:p>
        </w:tc>
        <w:tc>
          <w:tcPr>
            <w:tcW w:w="1895" w:type="dxa"/>
            <w:shd w:val="clear" w:color="auto" w:fill="0070C0"/>
          </w:tcPr>
          <w:p w14:paraId="310777A9" w14:textId="77777777" w:rsidR="0066497C" w:rsidRPr="00582E24" w:rsidRDefault="0066497C" w:rsidP="00D67D23">
            <w:pPr>
              <w:pStyle w:val="Tablehead"/>
            </w:pPr>
            <w:r w:rsidRPr="00582E24">
              <w:t>Fecha de entrada en vigor</w:t>
            </w:r>
          </w:p>
        </w:tc>
        <w:tc>
          <w:tcPr>
            <w:tcW w:w="4916" w:type="dxa"/>
            <w:shd w:val="clear" w:color="auto" w:fill="0070C0"/>
          </w:tcPr>
          <w:p w14:paraId="068661CB" w14:textId="77777777" w:rsidR="0066497C" w:rsidRPr="00582E24" w:rsidRDefault="0066497C" w:rsidP="00D67D23">
            <w:pPr>
              <w:pStyle w:val="Tablehead"/>
            </w:pPr>
            <w:r w:rsidRPr="00582E24">
              <w:t>Posibles repercusiones en el año de adopción</w:t>
            </w:r>
          </w:p>
        </w:tc>
      </w:tr>
      <w:tr w:rsidR="0066497C" w:rsidRPr="00582E24" w14:paraId="2523B907" w14:textId="77777777" w:rsidTr="00E12A78">
        <w:trPr>
          <w:jc w:val="center"/>
        </w:trPr>
        <w:tc>
          <w:tcPr>
            <w:tcW w:w="1224" w:type="dxa"/>
          </w:tcPr>
          <w:p w14:paraId="156D1D64" w14:textId="77777777" w:rsidR="0066497C" w:rsidRPr="00582E24" w:rsidRDefault="0066497C" w:rsidP="00D67D23">
            <w:pPr>
              <w:pStyle w:val="Tabletext"/>
            </w:pPr>
            <w:r w:rsidRPr="00582E24">
              <w:t>NICSP 43</w:t>
            </w:r>
          </w:p>
        </w:tc>
        <w:tc>
          <w:tcPr>
            <w:tcW w:w="2445" w:type="dxa"/>
          </w:tcPr>
          <w:p w14:paraId="160D3369" w14:textId="77777777" w:rsidR="0066497C" w:rsidRPr="00582E24" w:rsidRDefault="0066497C" w:rsidP="00D67D23">
            <w:pPr>
              <w:pStyle w:val="Tabletext"/>
            </w:pPr>
            <w:r w:rsidRPr="00582E24">
              <w:t>Arrendamientos (Leases)</w:t>
            </w:r>
          </w:p>
        </w:tc>
        <w:tc>
          <w:tcPr>
            <w:tcW w:w="1895" w:type="dxa"/>
          </w:tcPr>
          <w:p w14:paraId="137A11D3" w14:textId="77777777" w:rsidR="0066497C" w:rsidRPr="00582E24" w:rsidRDefault="0066497C" w:rsidP="00D67D23">
            <w:pPr>
              <w:pStyle w:val="Tabletext"/>
            </w:pPr>
            <w:r w:rsidRPr="00582E24">
              <w:t>1 de enero de 2025</w:t>
            </w:r>
          </w:p>
        </w:tc>
        <w:tc>
          <w:tcPr>
            <w:tcW w:w="4916" w:type="dxa"/>
          </w:tcPr>
          <w:p w14:paraId="4D0A747D" w14:textId="696BA27D" w:rsidR="0066497C" w:rsidRPr="00582E24" w:rsidRDefault="0066497C" w:rsidP="00C5792E">
            <w:pPr>
              <w:pStyle w:val="Tabletext"/>
              <w:jc w:val="both"/>
            </w:pPr>
            <w:r w:rsidRPr="00582E24">
              <w:t>Esta norma establece los principios aplicables a la contabilización, medición, presentación y divulgación de los arrendamientos. La UIT ha examinado su cartera de contratos para identificar los arrendamientos relevantes y, en principio, no se espera que la norma tenga repercusiones importantes en los estados financieros de la</w:t>
            </w:r>
            <w:r w:rsidR="00082D78" w:rsidRPr="00582E24">
              <w:t> </w:t>
            </w:r>
            <w:r w:rsidRPr="00582E24">
              <w:t>UIT.</w:t>
            </w:r>
          </w:p>
        </w:tc>
      </w:tr>
      <w:tr w:rsidR="0066497C" w:rsidRPr="00582E24" w14:paraId="4BC6AC89" w14:textId="77777777" w:rsidTr="00E12A78">
        <w:trPr>
          <w:jc w:val="center"/>
        </w:trPr>
        <w:tc>
          <w:tcPr>
            <w:tcW w:w="1224" w:type="dxa"/>
          </w:tcPr>
          <w:p w14:paraId="667DFE4F" w14:textId="77777777" w:rsidR="0066497C" w:rsidRPr="00582E24" w:rsidRDefault="0066497C" w:rsidP="00120405">
            <w:pPr>
              <w:pStyle w:val="Tabletext"/>
              <w:keepNext/>
            </w:pPr>
            <w:r w:rsidRPr="00582E24">
              <w:lastRenderedPageBreak/>
              <w:t>NICSP 44</w:t>
            </w:r>
          </w:p>
        </w:tc>
        <w:tc>
          <w:tcPr>
            <w:tcW w:w="2445" w:type="dxa"/>
          </w:tcPr>
          <w:p w14:paraId="0A920275" w14:textId="77777777" w:rsidR="0066497C" w:rsidRPr="00582E24" w:rsidRDefault="0066497C" w:rsidP="00120405">
            <w:pPr>
              <w:pStyle w:val="Tabletext"/>
              <w:keepNext/>
            </w:pPr>
            <w:r w:rsidRPr="00582E24">
              <w:t>Activos no corrientes mantenidos para la venta y operaciones discontinuadas (Non</w:t>
            </w:r>
            <w:r w:rsidRPr="00582E24">
              <w:noBreakHyphen/>
              <w:t>current Assets held for Sale and Discontinued Operations)</w:t>
            </w:r>
          </w:p>
        </w:tc>
        <w:tc>
          <w:tcPr>
            <w:tcW w:w="1895" w:type="dxa"/>
          </w:tcPr>
          <w:p w14:paraId="1E74E93F" w14:textId="77777777" w:rsidR="0066497C" w:rsidRPr="00582E24" w:rsidRDefault="0066497C" w:rsidP="00120405">
            <w:pPr>
              <w:pStyle w:val="Tabletext"/>
              <w:keepNext/>
            </w:pPr>
            <w:r w:rsidRPr="00582E24">
              <w:t>1 de enero de 2025</w:t>
            </w:r>
          </w:p>
        </w:tc>
        <w:tc>
          <w:tcPr>
            <w:tcW w:w="4916" w:type="dxa"/>
          </w:tcPr>
          <w:p w14:paraId="0624C5D8" w14:textId="77777777" w:rsidR="0066497C" w:rsidRPr="00582E24" w:rsidRDefault="0066497C" w:rsidP="00C5792E">
            <w:pPr>
              <w:pStyle w:val="Tabletext"/>
              <w:keepNext/>
              <w:jc w:val="both"/>
            </w:pPr>
            <w:r w:rsidRPr="00582E24">
              <w:t>Esta norma detalla la contabilidad de los activos conservados para la venta, así como la presentación y divulgación de las operaciones discontinuadas. Del análisis efectuado se desprende que, actualmente, esta norma no repercute en los estados financieros de la UIT.</w:t>
            </w:r>
          </w:p>
        </w:tc>
      </w:tr>
      <w:tr w:rsidR="0066497C" w:rsidRPr="00582E24" w14:paraId="4987FB11" w14:textId="77777777" w:rsidTr="00E12A78">
        <w:trPr>
          <w:jc w:val="center"/>
        </w:trPr>
        <w:tc>
          <w:tcPr>
            <w:tcW w:w="1224" w:type="dxa"/>
          </w:tcPr>
          <w:p w14:paraId="1FD5DF09" w14:textId="77777777" w:rsidR="0066497C" w:rsidRPr="00582E24" w:rsidRDefault="0066497C" w:rsidP="00D67D23">
            <w:pPr>
              <w:pStyle w:val="Tabletext"/>
            </w:pPr>
            <w:r w:rsidRPr="00582E24">
              <w:t>NICSP 45</w:t>
            </w:r>
          </w:p>
        </w:tc>
        <w:tc>
          <w:tcPr>
            <w:tcW w:w="2445" w:type="dxa"/>
          </w:tcPr>
          <w:p w14:paraId="6ADA18E2" w14:textId="77777777" w:rsidR="0066497C" w:rsidRPr="00582E24" w:rsidRDefault="0066497C" w:rsidP="00D67D23">
            <w:pPr>
              <w:pStyle w:val="Tabletext"/>
            </w:pPr>
            <w:r w:rsidRPr="00582E24">
              <w:t>Propiedades, planta y equipo (Property, plant and equipment)</w:t>
            </w:r>
          </w:p>
        </w:tc>
        <w:tc>
          <w:tcPr>
            <w:tcW w:w="1895" w:type="dxa"/>
          </w:tcPr>
          <w:p w14:paraId="4BF99448" w14:textId="77777777" w:rsidR="0066497C" w:rsidRPr="00582E24" w:rsidRDefault="0066497C" w:rsidP="00D67D23">
            <w:pPr>
              <w:pStyle w:val="Tabletext"/>
            </w:pPr>
            <w:r w:rsidRPr="00582E24">
              <w:t>1 de enero de 2025</w:t>
            </w:r>
          </w:p>
        </w:tc>
        <w:tc>
          <w:tcPr>
            <w:tcW w:w="4916" w:type="dxa"/>
          </w:tcPr>
          <w:p w14:paraId="40BA6380" w14:textId="77777777" w:rsidR="0066497C" w:rsidRPr="00582E24" w:rsidRDefault="0066497C" w:rsidP="00C5792E">
            <w:pPr>
              <w:pStyle w:val="Tabletext"/>
              <w:jc w:val="both"/>
            </w:pPr>
            <w:r w:rsidRPr="00582E24">
              <w:t>Esta norma sustituye a la NICSP 17 (Propiedades, planta y equipo), incorpora el valor operacional corriente como base para la medición en el modelo de valor corriente actualizado de los activos sujetos a la misma e identifica las características de los activos patrimoniales y de infraestructura. La UIT ha examinado lo dispuesto en dicha norma y su cartera de activos, y no prevé repercusiones importantes en sus estados financieros.</w:t>
            </w:r>
          </w:p>
        </w:tc>
      </w:tr>
      <w:tr w:rsidR="0066497C" w:rsidRPr="00582E24" w14:paraId="56DD92FE" w14:textId="77777777" w:rsidTr="00E12A78">
        <w:trPr>
          <w:jc w:val="center"/>
        </w:trPr>
        <w:tc>
          <w:tcPr>
            <w:tcW w:w="1224" w:type="dxa"/>
          </w:tcPr>
          <w:p w14:paraId="00B7A5A7" w14:textId="77777777" w:rsidR="0066497C" w:rsidRPr="00582E24" w:rsidRDefault="0066497C" w:rsidP="00D67D23">
            <w:pPr>
              <w:pStyle w:val="Tabletext"/>
            </w:pPr>
            <w:r w:rsidRPr="00582E24">
              <w:t>NICSP 46</w:t>
            </w:r>
          </w:p>
        </w:tc>
        <w:tc>
          <w:tcPr>
            <w:tcW w:w="2445" w:type="dxa"/>
          </w:tcPr>
          <w:p w14:paraId="205AAF6B" w14:textId="77777777" w:rsidR="0066497C" w:rsidRPr="00582E24" w:rsidRDefault="0066497C" w:rsidP="00D67D23">
            <w:pPr>
              <w:pStyle w:val="Tabletext"/>
            </w:pPr>
            <w:r w:rsidRPr="00582E24">
              <w:t>Medición (Measurement)</w:t>
            </w:r>
          </w:p>
        </w:tc>
        <w:tc>
          <w:tcPr>
            <w:tcW w:w="1895" w:type="dxa"/>
          </w:tcPr>
          <w:p w14:paraId="520854BE" w14:textId="77777777" w:rsidR="0066497C" w:rsidRPr="00582E24" w:rsidRDefault="0066497C" w:rsidP="00D67D23">
            <w:pPr>
              <w:pStyle w:val="Tabletext"/>
            </w:pPr>
            <w:r w:rsidRPr="00582E24">
              <w:t>1 de enero de 2025</w:t>
            </w:r>
          </w:p>
        </w:tc>
        <w:tc>
          <w:tcPr>
            <w:tcW w:w="4916" w:type="dxa"/>
          </w:tcPr>
          <w:p w14:paraId="24A7DD32" w14:textId="41D7C441" w:rsidR="0066497C" w:rsidRPr="00582E24" w:rsidRDefault="0066497C" w:rsidP="00C5792E">
            <w:pPr>
              <w:pStyle w:val="Tabletext"/>
              <w:jc w:val="both"/>
            </w:pPr>
            <w:r w:rsidRPr="00582E24">
              <w:t>La NICSP 46 ofrece orientaciones nuevas en una sola norma sobre la aplicación práctica de las bases de medición más frecuentes. Por primera vez, se facilitan directrices sobre el valor razonable y se introduce el valor operacional corriente, una base de medición del valor corriente específica del sector público que da respuesta a las opiniones de los miembros respecto de la necesidad de utilizar una base de medición del valor corriente alternativa al valor razonable para ciertos activos del sector público. No se espera que esta norma tenga repercusiones importantes en los estados financieros de la</w:t>
            </w:r>
            <w:r w:rsidR="00082D78" w:rsidRPr="00582E24">
              <w:t> </w:t>
            </w:r>
            <w:r w:rsidRPr="00582E24">
              <w:t>UIT.</w:t>
            </w:r>
          </w:p>
        </w:tc>
      </w:tr>
      <w:tr w:rsidR="0066497C" w:rsidRPr="00582E24" w14:paraId="57C1DF6D" w14:textId="77777777" w:rsidTr="00E12A78">
        <w:trPr>
          <w:jc w:val="center"/>
        </w:trPr>
        <w:tc>
          <w:tcPr>
            <w:tcW w:w="1224" w:type="dxa"/>
          </w:tcPr>
          <w:p w14:paraId="0D5CED39" w14:textId="77777777" w:rsidR="0066497C" w:rsidRPr="00582E24" w:rsidRDefault="0066497C" w:rsidP="00120405">
            <w:pPr>
              <w:pStyle w:val="Tabletext"/>
              <w:keepNext/>
            </w:pPr>
            <w:r w:rsidRPr="00582E24">
              <w:lastRenderedPageBreak/>
              <w:t>NICSP 47</w:t>
            </w:r>
          </w:p>
        </w:tc>
        <w:tc>
          <w:tcPr>
            <w:tcW w:w="2445" w:type="dxa"/>
          </w:tcPr>
          <w:p w14:paraId="41055A1B" w14:textId="77777777" w:rsidR="0066497C" w:rsidRPr="00582E24" w:rsidRDefault="0066497C" w:rsidP="00120405">
            <w:pPr>
              <w:pStyle w:val="Tabletext"/>
              <w:keepNext/>
            </w:pPr>
            <w:r w:rsidRPr="00582E24">
              <w:t>Ingresos (Revenue)</w:t>
            </w:r>
          </w:p>
        </w:tc>
        <w:tc>
          <w:tcPr>
            <w:tcW w:w="1895" w:type="dxa"/>
          </w:tcPr>
          <w:p w14:paraId="055E92B5" w14:textId="77777777" w:rsidR="0066497C" w:rsidRPr="00582E24" w:rsidRDefault="0066497C" w:rsidP="00120405">
            <w:pPr>
              <w:pStyle w:val="Tabletext"/>
              <w:keepNext/>
            </w:pPr>
            <w:r w:rsidRPr="00582E24">
              <w:t>1 de enero de 2026</w:t>
            </w:r>
          </w:p>
        </w:tc>
        <w:tc>
          <w:tcPr>
            <w:tcW w:w="4916" w:type="dxa"/>
          </w:tcPr>
          <w:p w14:paraId="182ED584" w14:textId="77777777" w:rsidR="0066497C" w:rsidRPr="00582E24" w:rsidRDefault="0066497C" w:rsidP="00C5792E">
            <w:pPr>
              <w:pStyle w:val="Tabletext"/>
              <w:keepNext/>
              <w:jc w:val="both"/>
            </w:pPr>
            <w:r w:rsidRPr="00582E24">
              <w:t>La NICSP 47 (Ingresos) constituye una fuente única de orientación sobre la contabilidad de los ingresos en el sector público, y presenta dos modelos contables basados en la existencia de un acuerdo vinculante. Esta nueva norma proporciona directrices específicas para ayudar a las entidades a aplicar los principios de contabilidad de las transacciones de ingresos del sector público. Actualmente, la UIT está cuantificando las repercusiones de esta norma en sus cuentas financieras. La norma en cuestión tendrá repercusiones notables en los estados financieros de la UIT.</w:t>
            </w:r>
          </w:p>
        </w:tc>
      </w:tr>
      <w:tr w:rsidR="0066497C" w:rsidRPr="00582E24" w14:paraId="0A74431A" w14:textId="77777777" w:rsidTr="00E12A78">
        <w:trPr>
          <w:jc w:val="center"/>
        </w:trPr>
        <w:tc>
          <w:tcPr>
            <w:tcW w:w="1224" w:type="dxa"/>
          </w:tcPr>
          <w:p w14:paraId="43A53476" w14:textId="77777777" w:rsidR="0066497C" w:rsidRPr="00582E24" w:rsidRDefault="0066497C" w:rsidP="00D67D23">
            <w:pPr>
              <w:pStyle w:val="Tabletext"/>
            </w:pPr>
            <w:r w:rsidRPr="00582E24">
              <w:t>NICSP 48</w:t>
            </w:r>
          </w:p>
        </w:tc>
        <w:tc>
          <w:tcPr>
            <w:tcW w:w="2445" w:type="dxa"/>
          </w:tcPr>
          <w:p w14:paraId="33DA60DE" w14:textId="77777777" w:rsidR="0066497C" w:rsidRPr="00582E24" w:rsidRDefault="0066497C" w:rsidP="00D67D23">
            <w:pPr>
              <w:pStyle w:val="Tabletext"/>
            </w:pPr>
            <w:r w:rsidRPr="00582E24">
              <w:t>Gastos de transferencia (Transfer expenses)</w:t>
            </w:r>
          </w:p>
        </w:tc>
        <w:tc>
          <w:tcPr>
            <w:tcW w:w="1895" w:type="dxa"/>
          </w:tcPr>
          <w:p w14:paraId="5BC301DC" w14:textId="77777777" w:rsidR="0066497C" w:rsidRPr="00582E24" w:rsidRDefault="0066497C" w:rsidP="00D67D23">
            <w:pPr>
              <w:pStyle w:val="Tabletext"/>
            </w:pPr>
            <w:r w:rsidRPr="00582E24">
              <w:t>1 de enero de 2026</w:t>
            </w:r>
          </w:p>
        </w:tc>
        <w:tc>
          <w:tcPr>
            <w:tcW w:w="4916" w:type="dxa"/>
          </w:tcPr>
          <w:p w14:paraId="632B2D43" w14:textId="77777777" w:rsidR="0066497C" w:rsidRPr="00582E24" w:rsidRDefault="0066497C" w:rsidP="00C5792E">
            <w:pPr>
              <w:pStyle w:val="Tabletext"/>
              <w:jc w:val="both"/>
            </w:pPr>
            <w:r w:rsidRPr="00582E24">
              <w:t>La NICSP 48 (Gastos de transferencia) proporciona orientación contable para los gastos de transferencia, que representan una parte importante de los gastos de muchas entidades del sector público. Esta nueva norma colma una laguna importante en la bibliografía del Consejo de las NICSP y ofrece directrices para ayudar a las entidades a contabilizar las transacciones con gastos de transferencia del sector público. Actualmente, la UIT está cuantificando las repercusiones de esta norma en sus cuentas financieras.</w:t>
            </w:r>
          </w:p>
        </w:tc>
      </w:tr>
    </w:tbl>
    <w:p w14:paraId="293EF52B" w14:textId="77777777" w:rsidR="0066497C" w:rsidRPr="00582E24" w:rsidRDefault="0066497C" w:rsidP="00EE4758">
      <w:pPr>
        <w:spacing w:before="240"/>
        <w:jc w:val="both"/>
      </w:pPr>
      <w:r w:rsidRPr="00582E24">
        <w:t>La UIT continúa evaluando las repercusiones de las normas anteriores en los estados financieros futuros antes de su entrada en vigor.</w:t>
      </w:r>
    </w:p>
    <w:p w14:paraId="6F50395A" w14:textId="77777777" w:rsidR="0066497C" w:rsidRPr="00582E24" w:rsidRDefault="0066497C" w:rsidP="00EE4758">
      <w:pPr>
        <w:jc w:val="both"/>
      </w:pPr>
      <w:r w:rsidRPr="00582E24">
        <w:t>Además, la UIT realiza un seguimiento de los proyectos de normas (ED) y colabora activamente con el Consejo de las NICSP por conducto del Grupo de Trabajo sobre Normas de Contabilidad del sistema de las Naciones Unidas, teniendo presente que su aplicación podría repercutir en los futuros estados financieros de la Unión.</w:t>
      </w:r>
    </w:p>
    <w:p w14:paraId="73B51D84" w14:textId="472AA727" w:rsidR="0066497C" w:rsidRPr="00582E24" w:rsidRDefault="0066497C" w:rsidP="00EE4758">
      <w:pPr>
        <w:pStyle w:val="Heading1"/>
        <w:jc w:val="both"/>
        <w:rPr>
          <w:color w:val="4F81BD"/>
        </w:rPr>
      </w:pPr>
      <w:bookmarkStart w:id="79" w:name="_Toc305764063"/>
      <w:bookmarkStart w:id="80" w:name="_Toc747902407"/>
      <w:bookmarkStart w:id="81" w:name="_Toc196292775"/>
      <w:bookmarkStart w:id="82" w:name="_Toc199852919"/>
      <w:bookmarkStart w:id="83" w:name="_Toc200461759"/>
      <w:bookmarkStart w:id="84" w:name="_Toc200461925"/>
      <w:r w:rsidRPr="00582E24">
        <w:rPr>
          <w:color w:val="4F81BD"/>
        </w:rPr>
        <w:t>Nota 3</w:t>
      </w:r>
      <w:r w:rsidRPr="00582E24">
        <w:rPr>
          <w:color w:val="4F81BD"/>
        </w:rPr>
        <w:tab/>
        <w:t xml:space="preserve">Políticas contables </w:t>
      </w:r>
      <w:bookmarkEnd w:id="79"/>
      <w:bookmarkEnd w:id="80"/>
      <w:bookmarkEnd w:id="81"/>
      <w:r w:rsidRPr="00582E24">
        <w:rPr>
          <w:color w:val="4F81BD"/>
        </w:rPr>
        <w:t>principales</w:t>
      </w:r>
      <w:bookmarkEnd w:id="82"/>
      <w:bookmarkEnd w:id="83"/>
      <w:bookmarkEnd w:id="84"/>
    </w:p>
    <w:p w14:paraId="063A397B" w14:textId="77777777" w:rsidR="0066497C" w:rsidRPr="00582E24" w:rsidRDefault="0066497C" w:rsidP="00EE4758">
      <w:pPr>
        <w:pStyle w:val="Headingb"/>
        <w:jc w:val="both"/>
        <w:rPr>
          <w:i/>
          <w:iCs/>
        </w:rPr>
      </w:pPr>
      <w:bookmarkStart w:id="85" w:name="_Toc936643014"/>
      <w:bookmarkStart w:id="86" w:name="_Toc305764064"/>
      <w:bookmarkStart w:id="87" w:name="_Toc131156417"/>
      <w:r w:rsidRPr="00582E24">
        <w:rPr>
          <w:i/>
          <w:iCs/>
        </w:rPr>
        <w:t xml:space="preserve">Transacciones en </w:t>
      </w:r>
      <w:bookmarkEnd w:id="85"/>
      <w:r w:rsidRPr="00582E24">
        <w:rPr>
          <w:i/>
          <w:iCs/>
        </w:rPr>
        <w:t>moneda extranjera</w:t>
      </w:r>
    </w:p>
    <w:bookmarkEnd w:id="86"/>
    <w:bookmarkEnd w:id="87"/>
    <w:p w14:paraId="02BBE626" w14:textId="77777777" w:rsidR="0066497C" w:rsidRPr="00582E24" w:rsidRDefault="0066497C" w:rsidP="00EE4758">
      <w:pPr>
        <w:jc w:val="both"/>
      </w:pPr>
      <w:r w:rsidRPr="00582E24">
        <w:t xml:space="preserve">El franco suizo (CHF) es la moneda funcional de la UIT. Todas las transacciones realizadas en otras divisas se convierten a esa moneda al tipo de cambio operacional de las Naciones Unidas (United Nations Operational Rates of Exchange, UNORE) en la fecha de la transacción. Las pérdidas y ganancias por tipo de cambio, realizadas o no, que resulten de la liquidación de dichas transacciones y de la conversión en la fecha de presentación de los activos y pasivos </w:t>
      </w:r>
      <w:r w:rsidRPr="00582E24">
        <w:lastRenderedPageBreak/>
        <w:t>expresados en divisas distintas de la moneda funcional de la UIT se registran en el Estado de los resultados financieros (Estado II).</w:t>
      </w:r>
    </w:p>
    <w:p w14:paraId="7D78F7B3" w14:textId="4A5B5657" w:rsidR="0066497C" w:rsidRPr="00582E24" w:rsidRDefault="0066497C" w:rsidP="00EE4758">
      <w:pPr>
        <w:jc w:val="both"/>
        <w:rPr>
          <w:b/>
          <w:i/>
          <w:iCs/>
        </w:rPr>
      </w:pPr>
      <w:bookmarkStart w:id="88" w:name="_Toc437528963"/>
      <w:bookmarkStart w:id="89" w:name="_Toc305764065"/>
      <w:r w:rsidRPr="00582E24">
        <w:rPr>
          <w:b/>
          <w:i/>
          <w:iCs/>
        </w:rPr>
        <w:t>Instrumentos financieros</w:t>
      </w:r>
      <w:bookmarkEnd w:id="88"/>
    </w:p>
    <w:p w14:paraId="24C37B34" w14:textId="77777777" w:rsidR="0066497C" w:rsidRPr="00582E24" w:rsidRDefault="0066497C" w:rsidP="00EE4758">
      <w:pPr>
        <w:jc w:val="both"/>
      </w:pPr>
      <w:r w:rsidRPr="00582E24">
        <w:t>Entre los instrumentos financieros de la UIT figuran la tesorería y los depósitos a corto plazo, las inversiones, las cuentas por cobrar vinculadas a transacciones con y sin contrapartida, las deudas comerciales y los préstamos.</w:t>
      </w:r>
    </w:p>
    <w:p w14:paraId="7A5A36F4" w14:textId="6A63AA51" w:rsidR="0066497C" w:rsidRPr="00582E24" w:rsidRDefault="0066497C" w:rsidP="00EE4758">
      <w:pPr>
        <w:pStyle w:val="Call"/>
        <w:jc w:val="both"/>
      </w:pPr>
      <w:r w:rsidRPr="00582E24">
        <w:t>Tesorería y equivalentes de tesorería</w:t>
      </w:r>
    </w:p>
    <w:p w14:paraId="71FB3044" w14:textId="77777777" w:rsidR="0066497C" w:rsidRPr="00582E24" w:rsidRDefault="0066497C" w:rsidP="00EE4758">
      <w:pPr>
        <w:jc w:val="both"/>
      </w:pPr>
      <w:r w:rsidRPr="00582E24">
        <w:t>La tesorería y los equivalentes de tesorería incluyen el efectivo disponible y el efectivo bancario, así como los depósitos a corto plazo que vencen en un plazo máximo de 90 días.</w:t>
      </w:r>
    </w:p>
    <w:p w14:paraId="4C7783D5" w14:textId="5FD4E894" w:rsidR="0066497C" w:rsidRPr="00582E24" w:rsidRDefault="0066497C" w:rsidP="00EE4758">
      <w:pPr>
        <w:pStyle w:val="Call"/>
        <w:jc w:val="both"/>
      </w:pPr>
      <w:r w:rsidRPr="00582E24">
        <w:t>Inversiones</w:t>
      </w:r>
    </w:p>
    <w:p w14:paraId="20096835" w14:textId="77777777" w:rsidR="0066497C" w:rsidRPr="00582E24" w:rsidRDefault="0066497C" w:rsidP="00EE4758">
      <w:pPr>
        <w:jc w:val="both"/>
      </w:pPr>
      <w:r w:rsidRPr="00582E24">
        <w:t>Los depósitos a plazo fijo con un plazo de vencimiento de entre tres y nueve meses, de gran liquidez, convertibles a un importe conocido de tesorería y expuestos a un riesgo ínfimo de cambio de valor se registran al coste amortizado a tenor de la NICSP 41. Las inversiones se presentan en el Estado de la situación financiera como activos corrientes.</w:t>
      </w:r>
    </w:p>
    <w:p w14:paraId="23EF8D53" w14:textId="33E6481B" w:rsidR="0066497C" w:rsidRPr="00582E24" w:rsidRDefault="0066497C" w:rsidP="00EE4758">
      <w:pPr>
        <w:pStyle w:val="Call"/>
        <w:jc w:val="both"/>
      </w:pPr>
      <w:r w:rsidRPr="00582E24">
        <w:t>Pasivos financieros y préstamo de la FIPOI</w:t>
      </w:r>
    </w:p>
    <w:p w14:paraId="380D7B59" w14:textId="4A23EFB2" w:rsidR="0066497C" w:rsidRPr="00582E24" w:rsidRDefault="0066497C" w:rsidP="00EE4758">
      <w:pPr>
        <w:jc w:val="both"/>
      </w:pPr>
      <w:r w:rsidRPr="00582E24">
        <w:t>Los pasivos financieros comprenden los préstamos, las financiaciones de otra índole, los proveedores y las cuentas comerciales por pagar. En el Estado de la situación financiera figuran como pasivos corrientes o no corrientes, según venzan en menos o en más de un</w:t>
      </w:r>
      <w:r w:rsidR="00BD1AAB" w:rsidRPr="00582E24">
        <w:t> </w:t>
      </w:r>
      <w:r w:rsidRPr="00582E24">
        <w:t>año, respectivamente.</w:t>
      </w:r>
    </w:p>
    <w:bookmarkEnd w:id="89"/>
    <w:p w14:paraId="7841E922" w14:textId="06F0C723" w:rsidR="0066497C" w:rsidRPr="00582E24" w:rsidRDefault="0066497C" w:rsidP="00EE4758">
      <w:pPr>
        <w:jc w:val="both"/>
      </w:pPr>
      <w:r w:rsidRPr="00582E24">
        <w:t>Los empréstitos consisten en cuatro préstamos libres de intereses concedidos por la Fundación de Inmuebles para las Organizaciones Internacionales (FIPOI) para financiar la construcción del nuevo edificio de la UIT. El préstamo otorgado para el nuevo edificio de la</w:t>
      </w:r>
      <w:r w:rsidR="00082D78" w:rsidRPr="00582E24">
        <w:t> </w:t>
      </w:r>
      <w:r w:rsidRPr="00582E24">
        <w:t>UIT empezará a reembolsarse tras la entrega final de dicho edificio, prevista actualmente para</w:t>
      </w:r>
      <w:r w:rsidR="00082D78" w:rsidRPr="00582E24">
        <w:t> </w:t>
      </w:r>
      <w:r w:rsidRPr="00582E24">
        <w:t xml:space="preserve">2031 según lo dispuesto en el Acuerdo 640 (véase el Documento </w:t>
      </w:r>
      <w:hyperlink r:id="rId28">
        <w:r w:rsidRPr="00582E24">
          <w:rPr>
            <w:rStyle w:val="Hyperlink"/>
          </w:rPr>
          <w:t>C24/132</w:t>
        </w:r>
      </w:hyperlink>
      <w:r w:rsidRPr="00582E24">
        <w:t>) sobre el proyecto alternativo reevaluado. Tres de los préstamos antes mencionados, cuyo calendario de amortización abarca hasta el año 2051, corresponden al nivel 2 de la jerarquía del valor razonable y se reconocen a su valor razonable con cargo al superávit o déficit, mientras que el cuarto préstamo, para el que aún no se dispone de un calendario de amortización, se reconoce en consecuencia al coste amortizado.</w:t>
      </w:r>
    </w:p>
    <w:p w14:paraId="1399BB75" w14:textId="7C5AD303" w:rsidR="0066497C" w:rsidRPr="00582E24" w:rsidRDefault="0066497C" w:rsidP="00EE4758">
      <w:pPr>
        <w:jc w:val="both"/>
      </w:pPr>
      <w:r w:rsidRPr="00582E24">
        <w:t>Los tres préstamos sujetos a un calendario de amortización se reconocen inicialmente según su coste amortizado y, posteriormente, a su valor razonable con cargo al superávit o al déficit, previo descuento en base al tipo de interés de los bonos a 30 años de la Confederación Suiza, que era del 0,37 % en diciembre de 2024 (0,50 % en 2023). El cuarto</w:t>
      </w:r>
      <w:r w:rsidR="00BD1AAB" w:rsidRPr="00582E24">
        <w:t> </w:t>
      </w:r>
      <w:r w:rsidRPr="00582E24">
        <w:t>préstamo aún carece de calendario de amortización y, por tanto, se reconoce al coste</w:t>
      </w:r>
      <w:r w:rsidR="00BD1AAB" w:rsidRPr="00582E24">
        <w:t> </w:t>
      </w:r>
      <w:r w:rsidRPr="00582E24">
        <w:t>amortizado. En la Nota 15 se facilita más información al respecto.</w:t>
      </w:r>
    </w:p>
    <w:p w14:paraId="0BB945F5" w14:textId="1BB488AA" w:rsidR="0066497C" w:rsidRPr="00582E24" w:rsidRDefault="0066497C" w:rsidP="00EE4758">
      <w:pPr>
        <w:jc w:val="both"/>
      </w:pPr>
      <w:r w:rsidRPr="00582E24">
        <w:t>Los edificios de la Sede de la UIT están situados en un terreno propiedad del cantón de Ginebra. La UIT detenta derechos de superficie, concedidos a título gratuito, sobre ese terreno propiedad del cantón de Ginebra. En virtud del acuerdo en materia de derechos de superficie ("droits de superficie") suscrito, la UIT tiene derecho a utilizar el terreno hasta el</w:t>
      </w:r>
      <w:r w:rsidR="00082D78" w:rsidRPr="00582E24">
        <w:t> </w:t>
      </w:r>
      <w:r w:rsidRPr="00582E24">
        <w:t>31</w:t>
      </w:r>
      <w:r w:rsidR="00082D78" w:rsidRPr="00582E24">
        <w:t> </w:t>
      </w:r>
      <w:r w:rsidRPr="00582E24">
        <w:t>de</w:t>
      </w:r>
      <w:r w:rsidR="00082D78" w:rsidRPr="00582E24">
        <w:t> </w:t>
      </w:r>
      <w:r w:rsidRPr="00582E24">
        <w:t xml:space="preserve">diciembre de 2079. No se ha reconocido valor a la tierra, ya que la Unión no puede enajenar esos derechos en una transacción comercial. La vida útil de los edificios de la Sede </w:t>
      </w:r>
      <w:r w:rsidRPr="00582E24">
        <w:lastRenderedPageBreak/>
        <w:t xml:space="preserve">de la UIT se </w:t>
      </w:r>
      <w:proofErr w:type="gramStart"/>
      <w:r w:rsidRPr="00582E24">
        <w:t>equipara</w:t>
      </w:r>
      <w:proofErr w:type="gramEnd"/>
      <w:r w:rsidRPr="00582E24">
        <w:t xml:space="preserve"> a la menor de las vidas útiles de los componentes pertinentes de los edificios o la duración de los derechos de superficie.</w:t>
      </w:r>
    </w:p>
    <w:p w14:paraId="5DBD824C" w14:textId="4EC98EBD" w:rsidR="0066497C" w:rsidRPr="00582E24" w:rsidRDefault="0066497C" w:rsidP="00EE4758">
      <w:pPr>
        <w:pStyle w:val="Call"/>
        <w:jc w:val="both"/>
      </w:pPr>
      <w:r w:rsidRPr="00582E24">
        <w:t>Cuentas por cobrar</w:t>
      </w:r>
    </w:p>
    <w:p w14:paraId="4A3C8396" w14:textId="77777777" w:rsidR="0066497C" w:rsidRPr="00582E24" w:rsidRDefault="0066497C" w:rsidP="00EE4758">
      <w:pPr>
        <w:jc w:val="both"/>
      </w:pPr>
      <w:r w:rsidRPr="00582E24">
        <w:t>Las cuentas por cobrar de la UIT se clasifican como créditos y préstamos y son activos financieros no derivados, con fechas de vencimiento fijas o determinables, que no se negocian en un mercado activo. Estos se originan en el momento en que la UIT entra en un acuerdo contractual con un tercero y se mantienen hasta que las transferencias de tesorería asociadas a esos activos financieros se han ejecutado y los riesgos y beneficios conexos se han transferido a la Unión. Dichos activos se clasifican como activos corrientes, con la salvedad de aquellos que vencen más de 12 meses después de la fecha de cierre, que se clasifican como activos no corrientes.</w:t>
      </w:r>
    </w:p>
    <w:p w14:paraId="0E90F380" w14:textId="3CDFE966" w:rsidR="0066497C" w:rsidRPr="00582E24" w:rsidRDefault="0066497C" w:rsidP="00EE4758">
      <w:pPr>
        <w:jc w:val="both"/>
      </w:pPr>
      <w:r w:rsidRPr="00582E24">
        <w:t>Las cuentas por cobrar vinculadas a transacciones con contraprestación hallan su origen en la venta de publicaciones o la tramitación de notificaciones de redes de satélites, y las cuentas por cobrar vinculadas a transacciones sin contraprestación emanan de contribuciones previstas y contribuciones extrapresupuestarias.</w:t>
      </w:r>
    </w:p>
    <w:p w14:paraId="69DA3F74" w14:textId="7509BDDA" w:rsidR="0066497C" w:rsidRPr="00582E24" w:rsidRDefault="0066497C" w:rsidP="00EE4758">
      <w:pPr>
        <w:jc w:val="both"/>
      </w:pPr>
      <w:r w:rsidRPr="00582E24">
        <w:t>Las cuentas por cobrar vinculadas a la tramitación de notificaciones de redes de satélites se registran en el momento en que la Oficina de Radiocomunicaciones recibe las notificaciones en cuestión.</w:t>
      </w:r>
    </w:p>
    <w:p w14:paraId="74C129B1" w14:textId="77777777" w:rsidR="0066497C" w:rsidRPr="00582E24" w:rsidRDefault="0066497C" w:rsidP="00EE4758">
      <w:pPr>
        <w:jc w:val="both"/>
      </w:pPr>
      <w:r w:rsidRPr="00582E24">
        <w:t>Las cuentas por cobrar se contabilizan a su valor razonable.</w:t>
      </w:r>
    </w:p>
    <w:p w14:paraId="3169625D" w14:textId="77777777" w:rsidR="0066497C" w:rsidRPr="00582E24" w:rsidRDefault="0066497C" w:rsidP="00EE4758">
      <w:pPr>
        <w:jc w:val="both"/>
      </w:pPr>
      <w:r w:rsidRPr="00582E24">
        <w:t>En cada cierre de ejercicio, la UIT evalúa el valor razonable de las cuentas por cobrar y, en su caso, reconoce una provisión.</w:t>
      </w:r>
    </w:p>
    <w:p w14:paraId="32EF5564" w14:textId="0C2788FD" w:rsidR="0066497C" w:rsidRPr="00582E24" w:rsidRDefault="0066497C" w:rsidP="00EE4758">
      <w:pPr>
        <w:pStyle w:val="Headingb"/>
        <w:jc w:val="both"/>
        <w:rPr>
          <w:i/>
          <w:iCs/>
        </w:rPr>
      </w:pPr>
      <w:bookmarkStart w:id="90" w:name="_Toc305764070"/>
      <w:bookmarkStart w:id="91" w:name="_Toc131156422"/>
      <w:bookmarkStart w:id="92" w:name="_Toc150028697"/>
      <w:r w:rsidRPr="00582E24">
        <w:rPr>
          <w:i/>
          <w:iCs/>
        </w:rPr>
        <w:t>Propiedades, planta y equipo</w:t>
      </w:r>
      <w:bookmarkEnd w:id="90"/>
      <w:bookmarkEnd w:id="91"/>
      <w:bookmarkEnd w:id="92"/>
    </w:p>
    <w:p w14:paraId="22AB9B5F" w14:textId="11C53F32" w:rsidR="0066497C" w:rsidRPr="00582E24" w:rsidRDefault="0066497C" w:rsidP="00EE4758">
      <w:pPr>
        <w:jc w:val="both"/>
      </w:pPr>
      <w:r w:rsidRPr="00582E24">
        <w:t>Las propiedades, planta y equipo se valoran a su coste, del que se deducen las amortizaciones y las pérdidas de valor acumuladas. El equipo se contabiliza como activo si el coste por unidad es de al menos 5 000 CHF y se amortiza linealmente. Las pérdidas y ganancias por enajenación se determinan comparando el capital pagado y el valor contable del activo y se incluyen en el Estado de los resultados financieros. Los activos patrimoniales, incluidas las obras de arte donadas, no se contabilizan en los estados financieros.</w:t>
      </w:r>
    </w:p>
    <w:p w14:paraId="04EBA734" w14:textId="77777777" w:rsidR="0066497C" w:rsidRPr="00582E24" w:rsidRDefault="0066497C" w:rsidP="00EE4758">
      <w:pPr>
        <w:jc w:val="both"/>
      </w:pPr>
      <w:r w:rsidRPr="00582E24">
        <w:t>Los bienes de un valor inferior a 5 000 CHF se capitalizan en el momento de su recepción y, posteriormente, se amortizan en su totalidad en el año de adquisición.</w:t>
      </w:r>
    </w:p>
    <w:p w14:paraId="5F7A2C36" w14:textId="77777777" w:rsidR="0066497C" w:rsidRPr="00582E24" w:rsidRDefault="0066497C" w:rsidP="00EE4758">
      <w:pPr>
        <w:jc w:val="both"/>
      </w:pPr>
      <w:r w:rsidRPr="00582E24">
        <w:t>Las propiedades y los equipos adquiridos en el marco de proyectos realizados como actividades extrapresupuestarias se contabilizan en su totalidad como gastos en el Estado de los resultados financieros al cierre mensual que sigue a la adquisición, pues no se hallan bajo el control de la UIT.</w:t>
      </w:r>
    </w:p>
    <w:p w14:paraId="6CFF07E7" w14:textId="77777777" w:rsidR="0066497C" w:rsidRPr="00582E24" w:rsidRDefault="0066497C" w:rsidP="00C93E80">
      <w:pPr>
        <w:keepNext/>
        <w:spacing w:after="240"/>
        <w:jc w:val="both"/>
      </w:pPr>
      <w:r w:rsidRPr="00582E24">
        <w:lastRenderedPageBreak/>
        <w:t>En el cuadro siguiente se muestra la vida útil estimada de los activos.</w:t>
      </w:r>
    </w:p>
    <w:p w14:paraId="0EDF2587" w14:textId="75242906" w:rsidR="0066497C" w:rsidRPr="00582E24" w:rsidRDefault="0000512A" w:rsidP="00C93E80">
      <w:pPr>
        <w:pStyle w:val="Figure"/>
        <w:spacing w:after="240"/>
      </w:pPr>
      <w:r w:rsidRPr="00582E24">
        <w:rPr>
          <w:noProof/>
        </w:rPr>
        <w:drawing>
          <wp:inline distT="0" distB="0" distL="0" distR="0" wp14:anchorId="20446BAB" wp14:editId="6D5D3A54">
            <wp:extent cx="5517396" cy="509651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9">
                      <a:extLst>
                        <a:ext uri="{28A0092B-C50C-407E-A947-70E740481C1C}">
                          <a14:useLocalDpi xmlns:a14="http://schemas.microsoft.com/office/drawing/2010/main" val="0"/>
                        </a:ext>
                      </a:extLst>
                    </a:blip>
                    <a:srcRect r="4213"/>
                    <a:stretch/>
                  </pic:blipFill>
                  <pic:spPr bwMode="auto">
                    <a:xfrm>
                      <a:off x="0" y="0"/>
                      <a:ext cx="5517396" cy="5096510"/>
                    </a:xfrm>
                    <a:prstGeom prst="rect">
                      <a:avLst/>
                    </a:prstGeom>
                    <a:noFill/>
                    <a:ln>
                      <a:noFill/>
                    </a:ln>
                    <a:extLst>
                      <a:ext uri="{53640926-AAD7-44D8-BBD7-CCE9431645EC}">
                        <a14:shadowObscured xmlns:a14="http://schemas.microsoft.com/office/drawing/2010/main"/>
                      </a:ext>
                    </a:extLst>
                  </pic:spPr>
                </pic:pic>
              </a:graphicData>
            </a:graphic>
          </wp:inline>
        </w:drawing>
      </w:r>
    </w:p>
    <w:p w14:paraId="21AF6238" w14:textId="267511B1" w:rsidR="0066497C" w:rsidRPr="00582E24" w:rsidRDefault="0066497C" w:rsidP="00EE4758">
      <w:pPr>
        <w:spacing w:before="240"/>
        <w:jc w:val="both"/>
      </w:pPr>
      <w:r w:rsidRPr="00582E24">
        <w:t>En cada fecha de cierre anual, la UIT examina si existe algún indicio de que un activo haya podido perder parte de su valor. De existir tal indicio, se estima el valor recuperable del activo y se contabiliza una pérdida de valor en el Estado de los resultados financieros cuando el valor contable es superior al valor recuperable. Durante el ejercicio 2024, la UIT llevó a cabo un examen pormenorizado de los activos en construcción y, en consecuencia, se ha registrado una pérdida de valor de 21 millones CHF en el Estado de los resultados financieros (para</w:t>
      </w:r>
      <w:r w:rsidR="00082D78" w:rsidRPr="00582E24">
        <w:t> </w:t>
      </w:r>
      <w:r w:rsidRPr="00582E24">
        <w:t>obtener más información al respecto, véase la Nota 12).</w:t>
      </w:r>
    </w:p>
    <w:p w14:paraId="6057BE55" w14:textId="77777777" w:rsidR="0066497C" w:rsidRPr="00582E24" w:rsidRDefault="0066497C" w:rsidP="00EE4758">
      <w:pPr>
        <w:pStyle w:val="Headingb"/>
        <w:jc w:val="both"/>
        <w:rPr>
          <w:i/>
          <w:iCs/>
        </w:rPr>
      </w:pPr>
      <w:bookmarkStart w:id="93" w:name="_Toc305764071"/>
      <w:bookmarkStart w:id="94" w:name="_Toc131156423"/>
      <w:bookmarkStart w:id="95" w:name="_Toc1925590882"/>
      <w:r w:rsidRPr="00582E24">
        <w:rPr>
          <w:i/>
          <w:iCs/>
        </w:rPr>
        <w:t xml:space="preserve">Activos </w:t>
      </w:r>
      <w:bookmarkEnd w:id="93"/>
      <w:bookmarkEnd w:id="94"/>
      <w:bookmarkEnd w:id="95"/>
      <w:r w:rsidRPr="00582E24">
        <w:rPr>
          <w:i/>
          <w:iCs/>
        </w:rPr>
        <w:t>intangibles</w:t>
      </w:r>
    </w:p>
    <w:p w14:paraId="212DA15E" w14:textId="77777777" w:rsidR="0066497C" w:rsidRPr="00582E24" w:rsidRDefault="0066497C" w:rsidP="00EE4758">
      <w:pPr>
        <w:jc w:val="both"/>
      </w:pPr>
      <w:r w:rsidRPr="00582E24">
        <w:t xml:space="preserve">Entre los activos intangibles (véanse las licencias y el </w:t>
      </w:r>
      <w:r w:rsidRPr="00582E24">
        <w:rPr>
          <w:i/>
          <w:iCs/>
        </w:rPr>
        <w:t>software</w:t>
      </w:r>
      <w:r w:rsidRPr="00582E24">
        <w:t xml:space="preserve"> de TI) que posee la UIT figuran activos desarrollados a nivel interno y activos adquiridos a nivel externo. Estos se contabilizan sobre la base de su coste histórico, del que se deducen las amortizaciones y las pérdidas de valor acumuladas. Los costes directamente asociados al desarrollo de </w:t>
      </w:r>
      <w:r w:rsidRPr="00582E24">
        <w:rPr>
          <w:i/>
          <w:iCs/>
        </w:rPr>
        <w:t>software</w:t>
      </w:r>
      <w:r w:rsidRPr="00582E24">
        <w:t xml:space="preserve"> a escala interna para la UIT se capitalizan como activos intangibles únicamente si se cumplen los criterios de reconocimiento establecidos en virtud de la NICSP 31.</w:t>
      </w:r>
    </w:p>
    <w:p w14:paraId="6E94487F" w14:textId="2575C01A" w:rsidR="0066497C" w:rsidRPr="00582E24" w:rsidRDefault="0066497C" w:rsidP="00EE4758">
      <w:pPr>
        <w:pStyle w:val="Call"/>
        <w:jc w:val="both"/>
      </w:pPr>
      <w:r w:rsidRPr="00582E24">
        <w:lastRenderedPageBreak/>
        <w:t>Umbrales de capitalización:</w:t>
      </w:r>
    </w:p>
    <w:p w14:paraId="49AE1690" w14:textId="5F8AB41F" w:rsidR="0066497C" w:rsidRPr="00582E24" w:rsidRDefault="000413E4" w:rsidP="00EE4758">
      <w:pPr>
        <w:pStyle w:val="enumlev1"/>
        <w:jc w:val="both"/>
      </w:pPr>
      <w:r w:rsidRPr="00582E24">
        <w:rPr>
          <w:rFonts w:eastAsia="Calibri"/>
        </w:rPr>
        <w:t>•</w:t>
      </w:r>
      <w:r w:rsidRPr="00582E24">
        <w:rPr>
          <w:rFonts w:eastAsia="Calibri"/>
        </w:rPr>
        <w:tab/>
      </w:r>
      <w:r w:rsidR="0066497C" w:rsidRPr="00582E24">
        <w:t xml:space="preserve">Los activos intangibles (licencias y </w:t>
      </w:r>
      <w:r w:rsidR="0066497C" w:rsidRPr="00582E24">
        <w:rPr>
          <w:i/>
          <w:iCs/>
        </w:rPr>
        <w:t>software</w:t>
      </w:r>
      <w:r w:rsidR="0066497C" w:rsidRPr="00582E24">
        <w:t xml:space="preserve"> de TI) adquiridos a nivel externo por un valor inferior a 5 000 CHF se capitalizan y amortizan íntegramente en el mismo ejercicio fiscal, para facilitar el seguimiento de las existencias.</w:t>
      </w:r>
    </w:p>
    <w:p w14:paraId="36A477D7" w14:textId="01C38877" w:rsidR="0066497C" w:rsidRPr="00582E24" w:rsidRDefault="000413E4" w:rsidP="00EE4758">
      <w:pPr>
        <w:pStyle w:val="enumlev1"/>
        <w:jc w:val="both"/>
      </w:pPr>
      <w:r w:rsidRPr="00582E24">
        <w:rPr>
          <w:rFonts w:eastAsia="Calibri"/>
        </w:rPr>
        <w:t>•</w:t>
      </w:r>
      <w:r w:rsidRPr="00582E24">
        <w:rPr>
          <w:rFonts w:eastAsia="Calibri"/>
        </w:rPr>
        <w:tab/>
      </w:r>
      <w:r w:rsidR="0066497C" w:rsidRPr="00582E24">
        <w:t xml:space="preserve">Los activos intangibles (licencias y </w:t>
      </w:r>
      <w:r w:rsidR="0066497C" w:rsidRPr="00582E24">
        <w:rPr>
          <w:i/>
          <w:iCs/>
        </w:rPr>
        <w:t>software</w:t>
      </w:r>
      <w:r w:rsidR="0066497C" w:rsidRPr="00582E24">
        <w:t xml:space="preserve"> de TI) adquiridos a nivel externo por un valor igual o superior a 5 000 CHF se capitalizan y amortizan durante un periodo de tres años o durante el plazo estipulado en virtud de las condiciones contractuales subyacentes.</w:t>
      </w:r>
    </w:p>
    <w:p w14:paraId="5E9651AA" w14:textId="1BC49608" w:rsidR="0066497C" w:rsidRPr="00582E24" w:rsidRDefault="000413E4" w:rsidP="00EE4758">
      <w:pPr>
        <w:pStyle w:val="enumlev1"/>
        <w:jc w:val="both"/>
      </w:pPr>
      <w:r w:rsidRPr="00582E24">
        <w:rPr>
          <w:rFonts w:eastAsia="Calibri"/>
        </w:rPr>
        <w:t>•</w:t>
      </w:r>
      <w:r w:rsidRPr="00582E24">
        <w:rPr>
          <w:rFonts w:eastAsia="Calibri"/>
        </w:rPr>
        <w:tab/>
      </w:r>
      <w:r w:rsidR="0066497C" w:rsidRPr="00582E24">
        <w:t>Los activos intangibles desarrollados a escala interna (</w:t>
      </w:r>
      <w:r w:rsidR="0066497C" w:rsidRPr="00582E24">
        <w:rPr>
          <w:i/>
          <w:iCs/>
        </w:rPr>
        <w:t>software</w:t>
      </w:r>
      <w:r w:rsidR="0066497C" w:rsidRPr="00582E24">
        <w:t>) cuyo valor supere los</w:t>
      </w:r>
      <w:r w:rsidR="00082D78" w:rsidRPr="00582E24">
        <w:t> </w:t>
      </w:r>
      <w:r w:rsidR="0066497C" w:rsidRPr="00582E24">
        <w:t>50</w:t>
      </w:r>
      <w:r w:rsidR="008B2B5A" w:rsidRPr="00582E24">
        <w:t> </w:t>
      </w:r>
      <w:r w:rsidR="0066497C" w:rsidRPr="00582E24">
        <w:t>000</w:t>
      </w:r>
      <w:r w:rsidR="008B2B5A" w:rsidRPr="00582E24">
        <w:t> </w:t>
      </w:r>
      <w:r w:rsidR="0066497C" w:rsidRPr="00582E24">
        <w:t>CHF se capitalizan con una vida económica útil de tres años, como mínimo, según los beneficios económicos que se prevea aporten en un futuro. Solo se capitalizan los costes de desarrollo directamente atribuibles, incluidos los costes de personal y los gastos generales pertinentes. Los costes relacionados con las fases de investigación se contabilizan como gastos.</w:t>
      </w:r>
    </w:p>
    <w:p w14:paraId="47C7C970" w14:textId="142520F4" w:rsidR="0066497C" w:rsidRPr="00582E24" w:rsidRDefault="0066497C" w:rsidP="00EE4758">
      <w:pPr>
        <w:pStyle w:val="Call"/>
        <w:jc w:val="both"/>
      </w:pPr>
      <w:r w:rsidRPr="00582E24">
        <w:t>Amortización y mantenimiento:</w:t>
      </w:r>
    </w:p>
    <w:p w14:paraId="5687AFFE" w14:textId="77777777" w:rsidR="0066497C" w:rsidRPr="00582E24" w:rsidRDefault="0066497C" w:rsidP="00EE4758">
      <w:pPr>
        <w:jc w:val="both"/>
      </w:pPr>
      <w:r w:rsidRPr="00582E24">
        <w:t>La amortización de los activos capitalizados se calcula utilizando el método lineal a lo largo de su vida útil estimada, la cual puede prolongarse en función de las necesidades de la organización y de la duración de los beneficios económicos que se prevea aporten en un futuro.</w:t>
      </w:r>
    </w:p>
    <w:p w14:paraId="2E77891A" w14:textId="77777777" w:rsidR="0066497C" w:rsidRPr="00582E24" w:rsidRDefault="0066497C" w:rsidP="00EE4758">
      <w:pPr>
        <w:jc w:val="both"/>
      </w:pPr>
      <w:r w:rsidRPr="00582E24">
        <w:t>Los costes asociados al mantenimiento de los activos inmateriales se contabilizan como gastos.</w:t>
      </w:r>
    </w:p>
    <w:p w14:paraId="3AD37E84" w14:textId="5DED2106" w:rsidR="0066497C" w:rsidRPr="00582E24" w:rsidRDefault="0066497C" w:rsidP="00EE4758">
      <w:pPr>
        <w:jc w:val="both"/>
      </w:pPr>
      <w:r w:rsidRPr="00582E24">
        <w:t>En cada fecha de cierre anual, la UIT examina si existe algún indicio de que un activo intangible haya podido perder parte de su valor. Independientemente de que existan tales indicios, la</w:t>
      </w:r>
      <w:r w:rsidR="00082D78" w:rsidRPr="00582E24">
        <w:t> </w:t>
      </w:r>
      <w:r w:rsidRPr="00582E24">
        <w:t>UIT comprueba anualmente los activos intangibles que aún no están disponibles para su uso. Con miras a determinar si un activo ha perdido valor, se comparan los valores recuperable y contable. Si el valor contable supera al recuperable, la pérdida de valor correspondiente se registra en el Estado de los resultados financieros.</w:t>
      </w:r>
    </w:p>
    <w:p w14:paraId="5EA96026" w14:textId="77777777" w:rsidR="0066497C" w:rsidRPr="00582E24" w:rsidRDefault="0066497C" w:rsidP="00EE4758">
      <w:pPr>
        <w:pStyle w:val="Headingb"/>
        <w:jc w:val="both"/>
        <w:rPr>
          <w:i/>
          <w:iCs/>
        </w:rPr>
      </w:pPr>
      <w:r w:rsidRPr="00582E24">
        <w:rPr>
          <w:i/>
          <w:iCs/>
        </w:rPr>
        <w:t>Provisiones</w:t>
      </w:r>
    </w:p>
    <w:p w14:paraId="22DA759C" w14:textId="272CCD0E" w:rsidR="0066497C" w:rsidRPr="00582E24" w:rsidRDefault="0066497C" w:rsidP="00EE4758">
      <w:pPr>
        <w:jc w:val="both"/>
      </w:pPr>
      <w:r w:rsidRPr="00582E24">
        <w:t xml:space="preserve">Las provisiones comprenden los compromisos cuya conclusión, plazo o importe son inciertos. </w:t>
      </w:r>
      <w:r w:rsidR="008B2B5A" w:rsidRPr="00582E24">
        <w:t>É</w:t>
      </w:r>
      <w:r w:rsidRPr="00582E24">
        <w:t xml:space="preserve">stas se contabilizan en los casos en que la UIT ha de satisfacer una obligación jurídica o implícita resultante de un acontecimiento pasado, si se vaticina la necesidad de desembolsar recursos para liquidar la obligación o el importe de </w:t>
      </w:r>
      <w:proofErr w:type="gramStart"/>
      <w:r w:rsidRPr="00582E24">
        <w:t>la misma</w:t>
      </w:r>
      <w:proofErr w:type="gramEnd"/>
      <w:r w:rsidRPr="00582E24">
        <w:t xml:space="preserve"> puede estimarse de manera fiable.</w:t>
      </w:r>
    </w:p>
    <w:p w14:paraId="31DEB96A" w14:textId="77777777" w:rsidR="0066497C" w:rsidRPr="00582E24" w:rsidRDefault="0066497C" w:rsidP="00EE4758">
      <w:pPr>
        <w:pStyle w:val="Headingb"/>
        <w:jc w:val="both"/>
        <w:rPr>
          <w:i/>
          <w:iCs/>
        </w:rPr>
      </w:pPr>
      <w:bookmarkStart w:id="96" w:name="_Toc168519659"/>
      <w:r w:rsidRPr="00582E24">
        <w:rPr>
          <w:i/>
          <w:iCs/>
        </w:rPr>
        <w:t>Activos y pasivos eventuales</w:t>
      </w:r>
      <w:bookmarkStart w:id="97" w:name="_Toc164845545"/>
      <w:bookmarkEnd w:id="96"/>
      <w:bookmarkEnd w:id="97"/>
    </w:p>
    <w:p w14:paraId="487BE5E2" w14:textId="77777777" w:rsidR="0066497C" w:rsidRPr="00582E24" w:rsidRDefault="0066497C" w:rsidP="00EE4758">
      <w:pPr>
        <w:jc w:val="both"/>
      </w:pPr>
      <w:r w:rsidRPr="00582E24">
        <w:t>Los eventuales activos y pasivos son derechos y compromisos posibles resultantes de eventos pasados y cuya existencia será confirmada únicamente por el hecho de que sobrevengan o no varios eventos futuros inciertos sobre los cuales la UIT no ejerce un control total.</w:t>
      </w:r>
    </w:p>
    <w:p w14:paraId="542EE8CA" w14:textId="77777777" w:rsidR="0066497C" w:rsidRPr="00582E24" w:rsidRDefault="0066497C" w:rsidP="00EE4758">
      <w:pPr>
        <w:jc w:val="both"/>
      </w:pPr>
      <w:r w:rsidRPr="00582E24">
        <w:t xml:space="preserve">Los pasivos eventuales se comunican cuando un posible compromiso sea </w:t>
      </w:r>
      <w:proofErr w:type="gramStart"/>
      <w:r w:rsidRPr="00582E24">
        <w:t>incierto</w:t>
      </w:r>
      <w:proofErr w:type="gramEnd"/>
      <w:r w:rsidRPr="00582E24">
        <w:t xml:space="preserve"> pero pueda medirse, o cuando la UIT tiene un compromiso presente pero no puede medir de manera fiable el posible desembolso de recursos. Actualmente, la UIT no tiene activos eventuales y no hay pasivos eventuales materiales.</w:t>
      </w:r>
    </w:p>
    <w:p w14:paraId="26A5777C" w14:textId="77777777" w:rsidR="0066497C" w:rsidRPr="00582E24" w:rsidRDefault="0066497C" w:rsidP="00EE4758">
      <w:pPr>
        <w:pStyle w:val="Headingb"/>
        <w:jc w:val="both"/>
        <w:rPr>
          <w:i/>
          <w:iCs/>
        </w:rPr>
      </w:pPr>
      <w:bookmarkStart w:id="98" w:name="_Toc168519660"/>
      <w:r w:rsidRPr="00582E24">
        <w:rPr>
          <w:i/>
          <w:iCs/>
        </w:rPr>
        <w:lastRenderedPageBreak/>
        <w:t>Prestaciones del personal</w:t>
      </w:r>
      <w:bookmarkStart w:id="99" w:name="_Toc164845546"/>
      <w:bookmarkEnd w:id="98"/>
      <w:bookmarkEnd w:id="99"/>
    </w:p>
    <w:p w14:paraId="34E58B51" w14:textId="77777777" w:rsidR="0066497C" w:rsidRPr="00582E24" w:rsidRDefault="0066497C" w:rsidP="00EE4758">
      <w:pPr>
        <w:jc w:val="both"/>
      </w:pPr>
      <w:r w:rsidRPr="00582E24">
        <w:t>Se contabilizan las siguientes prestaciones adeudadas a los empleados:</w:t>
      </w:r>
    </w:p>
    <w:p w14:paraId="651E6FE6" w14:textId="77777777" w:rsidR="0066497C" w:rsidRPr="00582E24" w:rsidRDefault="0066497C" w:rsidP="00EE4758">
      <w:pPr>
        <w:pStyle w:val="enumlev1"/>
        <w:jc w:val="both"/>
      </w:pPr>
      <w:r w:rsidRPr="00582E24">
        <w:t>–</w:t>
      </w:r>
      <w:r w:rsidRPr="00582E24">
        <w:tab/>
        <w:t>Se espera que las prestaciones del personal a corto plazo se abonen menos de 12 meses después de la fecha de presentación del informe y se miden con su valor nominal basado en las ventajas acumuladas con las tarifas vigentes. Las prestaciones del personal a corto plazo comprenden las prestaciones del personal iniciales (subsidios de adscripción), las prestaciones mensuales periódicas (salarios y dietas) y otras prestaciones (asignación escolar, vacaciones en el país de origen, etc.). Los gastos se contabilizan cuando los empleados proporcionan el servicio a la UIT y los pasivos se contabilizan cuando se trata de prestaciones que no se han liquidado en la fecha de presentación del informe.</w:t>
      </w:r>
    </w:p>
    <w:p w14:paraId="5BB7C3B6" w14:textId="77777777" w:rsidR="0066497C" w:rsidRPr="00582E24" w:rsidRDefault="0066497C" w:rsidP="00EE4758">
      <w:pPr>
        <w:pStyle w:val="enumlev1"/>
        <w:jc w:val="both"/>
      </w:pPr>
      <w:r w:rsidRPr="00582E24">
        <w:t>–</w:t>
      </w:r>
      <w:r w:rsidRPr="00582E24">
        <w:tab/>
        <w:t>Otras prestaciones del personal a largo plazo son las prestaciones que se espera abonar más de 12 meses después de la fecha final del periodo de presentación de los informes y están relacionadas con los subsidios de repatriación y las vacaciones acumuladas. El pasivo contabilizado para los subsidios de repatriación es el valor actual de las obligaciones por prestaciones definidas en la fecha de presentación del informe. Un actuario independiente calcula el pasivo utilizando el método de las unidades de crédito proyectadas. El costo de los intereses, el costo de los servicios en curso y las ganancias o pérdidas actuariales derivadas de los cambios en los supuestos actuariales o los ajustes basados en la experiencia se contabilizan en el Estado de los resultados financieros.</w:t>
      </w:r>
    </w:p>
    <w:p w14:paraId="33DC124E" w14:textId="77777777" w:rsidR="0066497C" w:rsidRPr="00582E24" w:rsidRDefault="0066497C" w:rsidP="00EE4758">
      <w:pPr>
        <w:pStyle w:val="enumlev1"/>
        <w:jc w:val="both"/>
      </w:pPr>
      <w:r w:rsidRPr="00582E24">
        <w:t>–</w:t>
      </w:r>
      <w:r w:rsidRPr="00582E24">
        <w:tab/>
        <w:t>Compromisos relativos al seguro médico posterior a la separación del servicio (ASHI).</w:t>
      </w:r>
    </w:p>
    <w:p w14:paraId="1CB71779" w14:textId="77777777" w:rsidR="0066497C" w:rsidRPr="00582E24" w:rsidRDefault="0066497C" w:rsidP="00EE4758">
      <w:pPr>
        <w:pStyle w:val="enumlev1"/>
        <w:jc w:val="both"/>
      </w:pPr>
      <w:r w:rsidRPr="00582E24">
        <w:t>–</w:t>
      </w:r>
      <w:r w:rsidRPr="00582E24">
        <w:tab/>
        <w:t>Compromisos para el antiguo plan de pensiones a fin de definir los compromisos de la UIT en la fecha de cierre del ejercicio.</w:t>
      </w:r>
    </w:p>
    <w:p w14:paraId="370C4E54" w14:textId="32678B78" w:rsidR="0066497C" w:rsidRPr="00582E24" w:rsidRDefault="0066497C" w:rsidP="00EE4758">
      <w:pPr>
        <w:jc w:val="both"/>
      </w:pPr>
      <w:r w:rsidRPr="00582E24">
        <w:t>La UIT participa en la Caja Común de Pensiones del Personal de las Naciones Unidas (CCPPNU), creada por la Asamblea General de las Naciones Unidas para dar a sus empleados las prestaciones de jubilación, deceso, discapacidad y demás prestaciones conexas. La Caja de Pensiones es un plan de prestaciones al que están afiliados diversos empleadores. Como se especifica en el Artículo 3</w:t>
      </w:r>
      <w:r w:rsidR="00D07A4C" w:rsidRPr="00582E24">
        <w:t xml:space="preserve"> </w:t>
      </w:r>
      <w:r w:rsidRPr="00582E24">
        <w:t>b) de los Estatutos de la Caja, en ella pueden participar los organismos especializados y otras organizaciones internacionales e intergubernamentales participantes en el sistema común de salarios, subsidios y otras condiciones de servicio de las Naciones Unidas y sus organismos especializados.</w:t>
      </w:r>
    </w:p>
    <w:p w14:paraId="6E25D064" w14:textId="77777777" w:rsidR="0066497C" w:rsidRPr="00582E24" w:rsidRDefault="0066497C" w:rsidP="00EE4758">
      <w:pPr>
        <w:jc w:val="both"/>
      </w:pPr>
      <w:r w:rsidRPr="00582E24">
        <w:t>El plan expone a las organizaciones participantes a riesgos actuariales asociados con los empleados activos y jubilados de las demás organizaciones participantes en la Caja, por lo que no se dispone de una base fiable y coherente para la atribución de compromisos, activos y costes a cada una de las organizaciones que participan en el plan. La UIT y la CCPPNU, al igual que las demás organizaciones participantes en la Caja, no pueden identificar con suficiente fiabilidad a efectos contables la parte de los compromisos de prestaciones, de activos y de costes asociados con el plan que corresponden a la Unión. Por tanto, la UIT considera el plan como un plan de contribuciones definidas conforme a los requisitos de la NICSP 39, sobre prestaciones a los empleados. Las contribuciones de la UIT al plan durante el ejercicio financiero se contabilizan como gastos en el Estado de resultados financieros.</w:t>
      </w:r>
    </w:p>
    <w:p w14:paraId="3BB89167" w14:textId="77777777" w:rsidR="0066497C" w:rsidRPr="00582E24" w:rsidRDefault="0066497C" w:rsidP="00EE4758">
      <w:pPr>
        <w:jc w:val="both"/>
      </w:pPr>
      <w:r w:rsidRPr="00582E24">
        <w:t xml:space="preserve">Con efecto a partir del 1 de enero de 2020, la UIT se adhirió a la Mutualidad de Seguros del Personal de las Naciones Unidas contra Enfermedad y Accidentes (UNSMIS). Los compromisos relativos al ASHI son objeto de un estudio actuarial conforme a la NICSP 39, con objeto de </w:t>
      </w:r>
      <w:r w:rsidRPr="00582E24">
        <w:lastRenderedPageBreak/>
        <w:t>definir y contabilizar el importe de los compromisos futuros de la UIT con respecto a esas prestaciones.</w:t>
      </w:r>
    </w:p>
    <w:p w14:paraId="32AEE6AC" w14:textId="77777777" w:rsidR="0066497C" w:rsidRPr="00582E24" w:rsidRDefault="0066497C" w:rsidP="00EE4758">
      <w:pPr>
        <w:jc w:val="both"/>
      </w:pPr>
      <w:r w:rsidRPr="00582E24">
        <w:t>Los compromisos de la UIT en el marco del ASHI otorgan el derecho a beneficiarse de la cobertura del ASHI, que se obtiene y acumula durante el servicio activo en la Unión del personal jubilado. El pasivo contabilizado para este plan es el valor actual de las obligaciones por prestaciones definidas en la fecha de presentación del informe. Un actuario independiente calcula el pasivo utilizando el método de las unidades de crédito proyectadas. El costo de los intereses y el costo corriente de los servicios se contabilizan en el Estado de los resultados financieros como componente de los costes de personal. Las ganancias o pérdidas actuariales derivadas de los cambios en los supuestos actuariales o los ajustes basados en la experiencia se contabilizan directamente en el activo neto.</w:t>
      </w:r>
    </w:p>
    <w:p w14:paraId="7682B133" w14:textId="3CFE3C02" w:rsidR="00F92BED" w:rsidRPr="00582E24" w:rsidRDefault="0066497C" w:rsidP="00EE4758">
      <w:pPr>
        <w:jc w:val="both"/>
      </w:pPr>
      <w:r w:rsidRPr="00582E24">
        <w:t>Los supuestos correspondientes a la UIT se describen en la Nota 16, relativa a los beneficios del personal</w:t>
      </w:r>
      <w:r w:rsidR="001F1B74" w:rsidRPr="00582E24">
        <w:t>.</w:t>
      </w:r>
    </w:p>
    <w:p w14:paraId="3F4BDF62" w14:textId="77777777" w:rsidR="00800DCC" w:rsidRPr="00582E24" w:rsidRDefault="00800DCC" w:rsidP="00EE4758">
      <w:pPr>
        <w:pStyle w:val="Headingb"/>
        <w:jc w:val="both"/>
        <w:rPr>
          <w:i/>
          <w:iCs/>
        </w:rPr>
      </w:pPr>
      <w:bookmarkStart w:id="100" w:name="_Toc1795576610"/>
      <w:r w:rsidRPr="00582E24">
        <w:rPr>
          <w:i/>
          <w:iCs/>
        </w:rPr>
        <w:t>Reconocimiento de los productos</w:t>
      </w:r>
      <w:bookmarkEnd w:id="100"/>
    </w:p>
    <w:p w14:paraId="5CC593B5" w14:textId="77777777" w:rsidR="00800DCC" w:rsidRPr="00582E24" w:rsidRDefault="00800DCC" w:rsidP="00EE4758">
      <w:pPr>
        <w:jc w:val="both"/>
      </w:pPr>
      <w:bookmarkStart w:id="101" w:name="_Hlk145689359"/>
      <w:r w:rsidRPr="00582E24">
        <w:t>Los ingresos sin contraprestación en concepto de contribuciones previstas y contribuciones extrapresupuestarias (contribuciones voluntarias y patrocinios) recibidas o confirmadas mediante un acuerdo de vinculación se contabilizan como transacción sin contraprestación en virtud de la NICSP 23.</w:t>
      </w:r>
    </w:p>
    <w:p w14:paraId="22C0702E" w14:textId="783B3CBA" w:rsidR="00800DCC" w:rsidRPr="00582E24" w:rsidRDefault="00FB677B" w:rsidP="00EE4758">
      <w:pPr>
        <w:pStyle w:val="enumlev1"/>
        <w:jc w:val="both"/>
        <w:rPr>
          <w:i/>
          <w:iCs/>
        </w:rPr>
      </w:pPr>
      <w:r w:rsidRPr="00582E24">
        <w:rPr>
          <w:i/>
          <w:iCs/>
          <w:szCs w:val="24"/>
        </w:rPr>
        <w:t>–</w:t>
      </w:r>
      <w:r w:rsidRPr="00582E24">
        <w:rPr>
          <w:i/>
          <w:iCs/>
          <w:szCs w:val="24"/>
        </w:rPr>
        <w:tab/>
      </w:r>
      <w:r w:rsidR="00800DCC" w:rsidRPr="00582E24">
        <w:rPr>
          <w:i/>
          <w:iCs/>
        </w:rPr>
        <w:t>Contribuciones previstas:</w:t>
      </w:r>
    </w:p>
    <w:p w14:paraId="4B9C5DFE" w14:textId="77777777" w:rsidR="00800DCC" w:rsidRPr="00582E24" w:rsidRDefault="00800DCC" w:rsidP="00EE4758">
      <w:pPr>
        <w:jc w:val="both"/>
      </w:pPr>
      <w:r w:rsidRPr="00582E24">
        <w:t>Las contribuciones previstas se refieren a las contribuciones de los Estados Miembros, los Miembros de Sector y los Asociados. La Conferencia de Plenipotenciarios fija el límite superior de la unidad contributiva que servirá de base para el cálculo de los ingresos de la Unión de cara a los presupuestos bienales de los cuatro años siguientes. El límite actual permanecerá vigente hasta el 31 de diciembre de 2027. Los Estados Miembros y los Miembros de Sector eligen libremente la clase en que desean contribuir a los gastos de la Unión, de conformidad con las disposiciones pertinentes de la Constitución de la UIT, y abonan por el año de su adhesión o admisión una contribución calculada, para los Miembros, a partir del primer día del mes de su adhesión o admisión. Estos ingresos se destinan a las actividades de la Unión definidas por esa misma Conferencia de Plenipotenciarios.</w:t>
      </w:r>
    </w:p>
    <w:p w14:paraId="48CEA57A" w14:textId="77777777" w:rsidR="00800DCC" w:rsidRPr="00582E24" w:rsidRDefault="00800DCC" w:rsidP="00EE4758">
      <w:pPr>
        <w:jc w:val="both"/>
      </w:pPr>
      <w:r w:rsidRPr="00582E24">
        <w:t>Las contribuciones previstas se contabilizan como ingresos con carácter anual, el primer día del ejercicio en el que se enmarcan.</w:t>
      </w:r>
    </w:p>
    <w:bookmarkEnd w:id="101"/>
    <w:p w14:paraId="3AAF08BF" w14:textId="2171773B" w:rsidR="00800DCC" w:rsidRPr="00582E24" w:rsidRDefault="00FB677B" w:rsidP="00EE4758">
      <w:pPr>
        <w:pStyle w:val="enumlev1"/>
        <w:jc w:val="both"/>
        <w:rPr>
          <w:i/>
          <w:iCs/>
        </w:rPr>
      </w:pPr>
      <w:r w:rsidRPr="00582E24">
        <w:rPr>
          <w:i/>
          <w:iCs/>
          <w:szCs w:val="24"/>
        </w:rPr>
        <w:t>–</w:t>
      </w:r>
      <w:r w:rsidRPr="00582E24">
        <w:rPr>
          <w:i/>
          <w:iCs/>
          <w:szCs w:val="24"/>
        </w:rPr>
        <w:tab/>
      </w:r>
      <w:r w:rsidR="00800DCC" w:rsidRPr="00582E24">
        <w:rPr>
          <w:i/>
          <w:iCs/>
        </w:rPr>
        <w:t>Contribuciones extrapresupuestarias:</w:t>
      </w:r>
    </w:p>
    <w:p w14:paraId="67EF4F8A" w14:textId="77777777" w:rsidR="00800DCC" w:rsidRPr="00582E24" w:rsidRDefault="00800DCC" w:rsidP="00EE4758">
      <w:pPr>
        <w:jc w:val="both"/>
      </w:pPr>
      <w:r w:rsidRPr="00582E24">
        <w:t>Las contribuciones extrapresupuestarias comprenden contribuciones voluntarias y patrocinios que se contabilizan inicialmente como ingresos, en el momento en que el acuerdo entre la UIT y el donante se vuelve vinculante y se obtiene el control del activo subyacente, a menos que el acuerdo incluya condiciones conformes acordes a la NICSP 23. En caso contrario, los ingresos se reconocen en su totalidad, con arreglo a la NICSP 23.</w:t>
      </w:r>
    </w:p>
    <w:p w14:paraId="62CB5E43" w14:textId="77777777" w:rsidR="00800DCC" w:rsidRPr="00582E24" w:rsidRDefault="00800DCC" w:rsidP="00EE4758">
      <w:pPr>
        <w:jc w:val="both"/>
      </w:pPr>
      <w:r w:rsidRPr="00582E24">
        <w:t>Los acuerdos que contemplan tales condiciones requieren del reconocimiento inicial de un pasivo y del aplazamiento de la contabilización de los ingresos hasta que se liquide dicho pasivo, mediante la aplicación de las condiciones previstas en el acuerdo, e incluyen la obligación aplicable de devolver los importes que no se utilicen de una manera específica. El monto contabilizado como pasivo constituye la mejor estimación de la cuantía que se precisaría para liquidar el compromiso en la fecha de presentación.</w:t>
      </w:r>
    </w:p>
    <w:p w14:paraId="2EEC1738" w14:textId="77777777" w:rsidR="00800DCC" w:rsidRPr="00582E24" w:rsidRDefault="00800DCC" w:rsidP="00EE4758">
      <w:pPr>
        <w:jc w:val="both"/>
      </w:pPr>
      <w:r w:rsidRPr="00582E24">
        <w:lastRenderedPageBreak/>
        <w:t>Si se suscribe un acuerdo de esta índole, no se recibe la correspondiente contribución y el acuerdo es aplicable a periodos financieros futuros, el importe se contabiliza como ingreso aplazado.</w:t>
      </w:r>
    </w:p>
    <w:p w14:paraId="324381E2" w14:textId="6D0BCDE1" w:rsidR="00800DCC" w:rsidRPr="00582E24" w:rsidRDefault="00FB677B" w:rsidP="00EE4758">
      <w:pPr>
        <w:pStyle w:val="enumlev1"/>
        <w:jc w:val="both"/>
        <w:rPr>
          <w:i/>
          <w:iCs/>
          <w:szCs w:val="24"/>
        </w:rPr>
      </w:pPr>
      <w:r w:rsidRPr="00582E24">
        <w:rPr>
          <w:szCs w:val="24"/>
        </w:rPr>
        <w:t>–</w:t>
      </w:r>
      <w:r w:rsidRPr="00582E24">
        <w:rPr>
          <w:szCs w:val="24"/>
        </w:rPr>
        <w:tab/>
      </w:r>
      <w:r w:rsidR="00800DCC" w:rsidRPr="00582E24">
        <w:rPr>
          <w:i/>
          <w:iCs/>
          <w:szCs w:val="24"/>
        </w:rPr>
        <w:t xml:space="preserve">Ingresos aplazados </w:t>
      </w:r>
      <w:r w:rsidR="00C36EA1" w:rsidRPr="00582E24">
        <w:rPr>
          <w:szCs w:val="24"/>
        </w:rPr>
        <w:t>–</w:t>
      </w:r>
      <w:r w:rsidR="00800DCC" w:rsidRPr="00582E24">
        <w:rPr>
          <w:i/>
          <w:iCs/>
          <w:szCs w:val="24"/>
        </w:rPr>
        <w:t xml:space="preserve"> Fondos de terceras partes asignados (Estado de la situación financiera)</w:t>
      </w:r>
    </w:p>
    <w:p w14:paraId="62DA79F7" w14:textId="77777777" w:rsidR="00800DCC" w:rsidRPr="00582E24" w:rsidRDefault="00800DCC" w:rsidP="00EE4758">
      <w:pPr>
        <w:jc w:val="both"/>
      </w:pPr>
      <w:r w:rsidRPr="00582E24">
        <w:t>Estos fondos son aportados por terceros con el objetivo de ayudar a la Unión a ejecutar proyectos en países en desarrollo, incluidos países menos adelantados, pequeños Estados insulares en desarrollo, países en desarrollo sin litoral y países con economías en transición. Esas contribuciones están supeditadas a condiciones contractuales. Estos fondos se reconocen como ingresos únicamente cuando los donantes se comprometen por escrito y a medida que se va incurriendo en gastos. Los proyectos financiados pueden dar inicio en el momento en que los fondos son abonados a la UIT. Al cierre del ejercicio financiero, el saldo no utilizado de dicha financiación se reconoce en el apartado dedicado a los fondos de terceras partes asignados, en el marco de los ingresos aplazados, en el Estado de la situación financiera. En ciertos casos particulares y excepcionales, los fondos se abonan a la UIT para reembolsar gastos ya efectuados.</w:t>
      </w:r>
    </w:p>
    <w:p w14:paraId="7285E1C7" w14:textId="160D7451" w:rsidR="00800DCC" w:rsidRPr="00582E24" w:rsidRDefault="00FB677B" w:rsidP="00EE4758">
      <w:pPr>
        <w:pStyle w:val="enumlev1"/>
        <w:jc w:val="both"/>
        <w:rPr>
          <w:i/>
          <w:iCs/>
        </w:rPr>
      </w:pPr>
      <w:r w:rsidRPr="00582E24">
        <w:rPr>
          <w:i/>
          <w:iCs/>
          <w:szCs w:val="24"/>
        </w:rPr>
        <w:t>–</w:t>
      </w:r>
      <w:r w:rsidRPr="00582E24">
        <w:rPr>
          <w:i/>
          <w:iCs/>
          <w:szCs w:val="24"/>
        </w:rPr>
        <w:tab/>
      </w:r>
      <w:r w:rsidR="00800DCC" w:rsidRPr="00582E24">
        <w:rPr>
          <w:i/>
          <w:iCs/>
        </w:rPr>
        <w:t xml:space="preserve">A </w:t>
      </w:r>
      <w:proofErr w:type="gramStart"/>
      <w:r w:rsidR="00800DCC" w:rsidRPr="00582E24">
        <w:rPr>
          <w:i/>
          <w:iCs/>
        </w:rPr>
        <w:t>continuación</w:t>
      </w:r>
      <w:proofErr w:type="gramEnd"/>
      <w:r w:rsidR="00800DCC" w:rsidRPr="00582E24">
        <w:rPr>
          <w:i/>
          <w:iCs/>
        </w:rPr>
        <w:t xml:space="preserve"> se detallan los fondos de terceras partes asignados en el marco de los ingresos aplazados (Estado de la situación financiera):</w:t>
      </w:r>
    </w:p>
    <w:p w14:paraId="15338276" w14:textId="69A22A66" w:rsidR="00800DCC" w:rsidRPr="00582E24" w:rsidRDefault="00800DCC" w:rsidP="00EE4758">
      <w:pPr>
        <w:pStyle w:val="enumlev2"/>
        <w:numPr>
          <w:ilvl w:val="0"/>
          <w:numId w:val="18"/>
        </w:numPr>
        <w:jc w:val="both"/>
        <w:rPr>
          <w:i/>
          <w:iCs/>
        </w:rPr>
      </w:pPr>
      <w:r w:rsidRPr="00582E24">
        <w:rPr>
          <w:i/>
          <w:iCs/>
        </w:rPr>
        <w:t>Fondos fiduciarios</w:t>
      </w:r>
    </w:p>
    <w:p w14:paraId="7420A362" w14:textId="2E0DCC0C" w:rsidR="00800DCC" w:rsidRPr="00582E24" w:rsidRDefault="00800DCC" w:rsidP="00EE4758">
      <w:pPr>
        <w:pStyle w:val="enumlev2"/>
        <w:ind w:left="562" w:firstLine="0"/>
        <w:jc w:val="both"/>
      </w:pPr>
      <w:r w:rsidRPr="00582E24">
        <w:t>Los Fondos fiduciarios son contribuciones voluntarias, cuya utilización está sujeta a condiciones específicas y restrictivas. Estas contribuciones generan gastos de apoyo durante la ejecución y la realización de los proyectos. En 2024, se contabilizaron 1,2</w:t>
      </w:r>
      <w:r w:rsidR="00C36EA1" w:rsidRPr="00582E24">
        <w:t> </w:t>
      </w:r>
      <w:r w:rsidRPr="00582E24">
        <w:t>millones CHF en gastos de apoyo a la ejecución de proyectos, que se imputaron a los proyectos y se abonaron con cargo al presupuesto de la UIT.</w:t>
      </w:r>
    </w:p>
    <w:p w14:paraId="2328E17C" w14:textId="03A868C3" w:rsidR="00800DCC" w:rsidRPr="00582E24" w:rsidRDefault="00800DCC" w:rsidP="00EE4758">
      <w:pPr>
        <w:pStyle w:val="enumlev2"/>
        <w:numPr>
          <w:ilvl w:val="0"/>
          <w:numId w:val="18"/>
        </w:numPr>
        <w:jc w:val="both"/>
        <w:rPr>
          <w:i/>
          <w:iCs/>
        </w:rPr>
      </w:pPr>
      <w:r w:rsidRPr="00582E24">
        <w:rPr>
          <w:i/>
          <w:iCs/>
        </w:rPr>
        <w:t>Contribuciones voluntarias</w:t>
      </w:r>
    </w:p>
    <w:p w14:paraId="725F27B0" w14:textId="77777777" w:rsidR="00800DCC" w:rsidRPr="00582E24" w:rsidRDefault="00800DCC" w:rsidP="00EE4758">
      <w:pPr>
        <w:pStyle w:val="enumlev2"/>
        <w:ind w:left="562" w:firstLine="0"/>
        <w:jc w:val="both"/>
      </w:pPr>
      <w:r w:rsidRPr="00582E24">
        <w:t>Las contribuciones voluntarias son aportaciones de donantes que completan la financiación de actividades específicas del presupuesto ordinario tales como seminarios, Grupos de Trabajo, Comisiones de Estudio, formaciones y becas. Las contribuciones voluntarias pueden financiar actividades a largo plazo. No hay gastos de apoyo asociados a este tipo de contribuciones.</w:t>
      </w:r>
    </w:p>
    <w:p w14:paraId="47827C61" w14:textId="77777777" w:rsidR="00800DCC" w:rsidRPr="00582E24" w:rsidRDefault="00800DCC" w:rsidP="00EE4758">
      <w:pPr>
        <w:pStyle w:val="enumlev2"/>
        <w:ind w:left="562" w:firstLine="0"/>
        <w:jc w:val="both"/>
      </w:pPr>
      <w:r w:rsidRPr="00582E24">
        <w:t>La UIT lleva la contabilidad de las contribuciones voluntarias en la divisa en que se efectúan estas últimas y gestiona los proyectos en función del presupuesto asignado en esa divisa, a menos que se especifique lo contrario.</w:t>
      </w:r>
    </w:p>
    <w:p w14:paraId="73EA6F60" w14:textId="77777777" w:rsidR="00800DCC" w:rsidRPr="00582E24" w:rsidRDefault="00800DCC" w:rsidP="00EE4758">
      <w:pPr>
        <w:jc w:val="both"/>
      </w:pPr>
      <w:r w:rsidRPr="00582E24">
        <w:t>Los ingresos procedentes de transacciones con contraprestación se reconocen al valor justo de la consideración recibida o por recibir en el momento en que se entregan los bienes y se prestan los servicios, de conformidad con la NICSP 9.</w:t>
      </w:r>
    </w:p>
    <w:p w14:paraId="03BFA36D" w14:textId="77777777" w:rsidR="00800DCC" w:rsidRPr="00582E24" w:rsidRDefault="00800DCC" w:rsidP="00EE4758">
      <w:pPr>
        <w:jc w:val="both"/>
      </w:pPr>
      <w:r w:rsidRPr="00582E24">
        <w:t>Por productos con contraprestación se entienden los productos y servicios a los que la UIT aplica el principio de recuperación de costes, a saber:</w:t>
      </w:r>
    </w:p>
    <w:p w14:paraId="69ED2F4A" w14:textId="6259A8DF" w:rsidR="00800DCC" w:rsidRPr="00582E24" w:rsidRDefault="00800DCC" w:rsidP="00EE4758">
      <w:pPr>
        <w:pStyle w:val="enumlev1"/>
        <w:jc w:val="both"/>
      </w:pPr>
      <w:r w:rsidRPr="00582E24">
        <w:t>–</w:t>
      </w:r>
      <w:r w:rsidRPr="00582E24">
        <w:tab/>
        <w:t>Venta de publicaciones: Los ingresos se contabilizan en el momento en que se expiden las publicaciones o en el que se puede acceder a los datos en formato electrónico.</w:t>
      </w:r>
    </w:p>
    <w:p w14:paraId="4B3C078B" w14:textId="77777777" w:rsidR="00800DCC" w:rsidRPr="00582E24" w:rsidRDefault="00800DCC" w:rsidP="00EE4758">
      <w:pPr>
        <w:pStyle w:val="enumlev1"/>
        <w:jc w:val="both"/>
      </w:pPr>
      <w:r w:rsidRPr="00582E24">
        <w:t>–</w:t>
      </w:r>
      <w:r w:rsidRPr="00582E24">
        <w:tab/>
        <w:t xml:space="preserve">Tramitación de notificaciones de redes de satélites: Los ingresos se contabilizan en el momento en que se publica definitivamente la notificación en la Circular Internacional </w:t>
      </w:r>
      <w:r w:rsidRPr="00582E24">
        <w:lastRenderedPageBreak/>
        <w:t>de Información sobre Frecuencias de la Oficina de Radiocomunicaciones (BR IFIC); hasta entonces, toda la facturación anterior se reconoce en la partida de ingresos aplazados.</w:t>
      </w:r>
    </w:p>
    <w:p w14:paraId="58FA3B48" w14:textId="77777777" w:rsidR="00800DCC" w:rsidRPr="00582E24" w:rsidRDefault="00800DCC" w:rsidP="00EE4758">
      <w:pPr>
        <w:pStyle w:val="enumlev1"/>
        <w:jc w:val="both"/>
      </w:pPr>
      <w:r w:rsidRPr="00582E24">
        <w:t>–</w:t>
      </w:r>
      <w:r w:rsidRPr="00582E24">
        <w:tab/>
        <w:t>Registro de los números universales del servicio internacional de llamada gratuita (UIFN): La UIT percibe contribuciones anticipadas a fin de ofrecer prestaciones para el registro de los números universales del servicio internacional de llamada gratuita (UIFN) y el registro de los números universales del servicio internacional con recargo (UIPRN) y los números universales del servicio internacional con pago compartido (UISCN).</w:t>
      </w:r>
    </w:p>
    <w:p w14:paraId="12C1268E" w14:textId="77777777" w:rsidR="00800DCC" w:rsidRPr="00582E24" w:rsidRDefault="00800DCC" w:rsidP="00EE4758">
      <w:pPr>
        <w:pStyle w:val="Headingb"/>
        <w:jc w:val="both"/>
        <w:rPr>
          <w:i/>
          <w:iCs/>
        </w:rPr>
      </w:pPr>
      <w:bookmarkStart w:id="102" w:name="_MON_1753114325"/>
      <w:bookmarkStart w:id="103" w:name="_MON_1753114393"/>
      <w:bookmarkStart w:id="104" w:name="_MON_1753114467"/>
      <w:bookmarkEnd w:id="102"/>
      <w:bookmarkEnd w:id="103"/>
      <w:bookmarkEnd w:id="104"/>
      <w:r w:rsidRPr="00582E24">
        <w:rPr>
          <w:i/>
          <w:iCs/>
        </w:rPr>
        <w:t>Información por segmentos</w:t>
      </w:r>
    </w:p>
    <w:p w14:paraId="16F0D08F" w14:textId="77777777" w:rsidR="00800DCC" w:rsidRPr="00582E24" w:rsidRDefault="00800DCC" w:rsidP="00EE4758">
      <w:pPr>
        <w:jc w:val="both"/>
      </w:pPr>
      <w:r w:rsidRPr="00582E24">
        <w:t>La información por segmentos se basa en los sectores y actividades principales de la UIT, así como en las fuentes de financiación y otros fondos establecidos para gestionar los recursos financieros de la organización. Los segmentos reflejan el programa de trabajo de la UIT para el periodo 2024-2027.</w:t>
      </w:r>
    </w:p>
    <w:p w14:paraId="2F7DAF8E" w14:textId="77777777" w:rsidR="00800DCC" w:rsidRPr="00582E24" w:rsidRDefault="00800DCC" w:rsidP="00EE4758">
      <w:pPr>
        <w:jc w:val="both"/>
      </w:pPr>
      <w:r w:rsidRPr="00582E24">
        <w:t>Las transferencias entre segmentos abarcan los ingresos y gastos derivados de las mismas. Dichas transferencias se contabilizan a su coste para cada segmento y se eliminan en el momento de su consolidación.</w:t>
      </w:r>
    </w:p>
    <w:p w14:paraId="03C49782" w14:textId="77777777" w:rsidR="00800DCC" w:rsidRPr="00582E24" w:rsidRDefault="00800DCC" w:rsidP="00EE4758">
      <w:pPr>
        <w:jc w:val="both"/>
      </w:pPr>
      <w:r w:rsidRPr="00582E24">
        <w:t>El ajuste anual del ASHI se ha asignado de acuerdo con el recuento de personal de cada Sector.</w:t>
      </w:r>
    </w:p>
    <w:p w14:paraId="27F4FD31" w14:textId="24B05BEA" w:rsidR="00800DCC" w:rsidRPr="00582E24" w:rsidRDefault="00800DCC" w:rsidP="00EE4758">
      <w:pPr>
        <w:jc w:val="both"/>
      </w:pPr>
      <w:r w:rsidRPr="00582E24">
        <w:t>Los activos y pasivos de la Unión, distintos de los que constituyen sus activos netos, son propiedad o responsabilidad de la UIT en su conjunto y no son activos o pasivos de sus elementos constitutivos. Los activos y pasivos de la UIT no se asignan a segmentos individuales, ya que la propietaria es la organización en su conjunto.</w:t>
      </w:r>
    </w:p>
    <w:p w14:paraId="7CA205A8" w14:textId="7BFF40EC" w:rsidR="00800DCC" w:rsidRPr="00582E24" w:rsidRDefault="00800DCC" w:rsidP="00EE4758">
      <w:pPr>
        <w:pStyle w:val="Headingb"/>
        <w:jc w:val="both"/>
        <w:rPr>
          <w:i/>
          <w:iCs/>
        </w:rPr>
      </w:pPr>
      <w:bookmarkStart w:id="105" w:name="_Toc330865252"/>
      <w:bookmarkStart w:id="106" w:name="_Toc305764077"/>
      <w:bookmarkStart w:id="107" w:name="_Toc131156432"/>
      <w:r w:rsidRPr="00582E24">
        <w:rPr>
          <w:i/>
          <w:iCs/>
        </w:rPr>
        <w:t xml:space="preserve">Estado de comparación </w:t>
      </w:r>
      <w:r w:rsidR="00C36EA1" w:rsidRPr="00582E24">
        <w:t>–</w:t>
      </w:r>
      <w:r w:rsidRPr="00582E24">
        <w:rPr>
          <w:i/>
          <w:iCs/>
        </w:rPr>
        <w:t xml:space="preserve"> Importes presupuestados e importes efectivos</w:t>
      </w:r>
      <w:bookmarkEnd w:id="105"/>
      <w:bookmarkEnd w:id="106"/>
      <w:bookmarkEnd w:id="107"/>
    </w:p>
    <w:p w14:paraId="6EBFFB75" w14:textId="77777777" w:rsidR="00800DCC" w:rsidRPr="00582E24" w:rsidRDefault="00800DCC" w:rsidP="00EE4758">
      <w:pPr>
        <w:jc w:val="both"/>
      </w:pPr>
      <w:r w:rsidRPr="00582E24">
        <w:t>El presupuesto de la Unión para 2024 se basa en la Decisión 5 (Rev. Bucarest, 2022), relativa a los ingresos y gastos de la Unión para el periodo 2024-2027, y el Plan Estratégico de la Unión para 2024-2027 que figura en la Resolución 71 (Rev. Bucarest, 2022).</w:t>
      </w:r>
    </w:p>
    <w:p w14:paraId="561EBA67" w14:textId="77777777" w:rsidR="00800DCC" w:rsidRPr="00582E24" w:rsidRDefault="00800DCC" w:rsidP="00EE4758">
      <w:pPr>
        <w:jc w:val="both"/>
      </w:pPr>
      <w:r w:rsidRPr="00582E24">
        <w:t>Además, el presupuesto programático se coordina con los Planes Operacionales de los Sectores y de la Secretaría General.</w:t>
      </w:r>
    </w:p>
    <w:p w14:paraId="73E1E7D8" w14:textId="77777777" w:rsidR="00800DCC" w:rsidRPr="00582E24" w:rsidRDefault="00800DCC" w:rsidP="00EE4758">
      <w:pPr>
        <w:jc w:val="both"/>
      </w:pPr>
      <w:r w:rsidRPr="00582E24">
        <w:t>En virtud de la NICSP 24, los estados financieros anuales (en concreto, el Estado V) ha de incluir una comparación entre los importes presupuestados y los importes efectivos. El presupuesto de la Unión para 2024-2025 comprende dos presupuestos anuales. Se ha efectuado una estimación presupuestaria para cada uno de los ejercicios.</w:t>
      </w:r>
    </w:p>
    <w:p w14:paraId="3C882EEC" w14:textId="3618D67D" w:rsidR="00800DCC" w:rsidRPr="00582E24" w:rsidRDefault="00800DCC" w:rsidP="00EE4758">
      <w:pPr>
        <w:jc w:val="both"/>
      </w:pPr>
      <w:r w:rsidRPr="00582E24">
        <w:t xml:space="preserve">El presupuesto definitivo para el ejercicio de 2024 fue aprobado por el Consejo en su reunión de 2023 con arreglo a la Resolución 1417 (véase el Documento </w:t>
      </w:r>
      <w:hyperlink r:id="rId30" w:history="1">
        <w:r w:rsidRPr="00582E24">
          <w:rPr>
            <w:rStyle w:val="Hyperlink"/>
          </w:rPr>
          <w:t>C23/115</w:t>
        </w:r>
      </w:hyperlink>
      <w:r w:rsidRPr="00582E24">
        <w:t>). El Estado V contiene una comparación entre los importes presupuestados y los importes efectivos. Dado que el presupuesto y los estados financieros se preparan partiendo de bases distintas, el Estado</w:t>
      </w:r>
      <w:r w:rsidR="00C36EA1" w:rsidRPr="00582E24">
        <w:t> </w:t>
      </w:r>
      <w:r w:rsidRPr="00582E24">
        <w:t>V contiene una conciliación entre el presupuesto y el Estado de los resultados financieros (Estado</w:t>
      </w:r>
      <w:r w:rsidR="00C36EA1" w:rsidRPr="00582E24">
        <w:t> </w:t>
      </w:r>
      <w:r w:rsidRPr="00582E24">
        <w:t>II). Las diferencias de entidad representan la integración de los fondos extrapresupuestarios en los estados financieros de la Unión, mientras que las diferencias de base reflejan los gastos e ingresos que no se incluyen en el presupuesto de la UIT o que se tratan de forma distinta conforme a lo estipulado en las NICSP. Para más información, véase la Nota 21.</w:t>
      </w:r>
    </w:p>
    <w:p w14:paraId="4F7CEB7A" w14:textId="77777777" w:rsidR="00800DCC" w:rsidRPr="00582E24" w:rsidRDefault="00800DCC" w:rsidP="00EE4758">
      <w:pPr>
        <w:pStyle w:val="Headingb"/>
        <w:jc w:val="both"/>
        <w:rPr>
          <w:i/>
          <w:iCs/>
        </w:rPr>
      </w:pPr>
      <w:bookmarkStart w:id="108" w:name="_Toc305764078"/>
      <w:bookmarkStart w:id="109" w:name="_Toc2005462053"/>
      <w:r w:rsidRPr="00582E24">
        <w:rPr>
          <w:i/>
          <w:iCs/>
        </w:rPr>
        <w:lastRenderedPageBreak/>
        <w:t>Uso de estimaciones</w:t>
      </w:r>
    </w:p>
    <w:p w14:paraId="066275B3" w14:textId="71E9539F" w:rsidR="00800DCC" w:rsidRPr="00582E24" w:rsidRDefault="00800DCC" w:rsidP="00EE4758">
      <w:pPr>
        <w:jc w:val="both"/>
      </w:pPr>
      <w:r w:rsidRPr="00582E24">
        <w:t>Los estados financieros incluyen importes basados en estimaciones e hipótesis de la dirección. Durante la fase de elaboración de los estados financieros, se comprueba la racionalidad de los criterios utilizados para formular las estimaciones e hipótesis. En concreto, se estiman importes tales como los relativos al ASHI, las primas de repatriación y viajes (cuyo valor calcula un actuario independiente), otros pasivos por prestaciones a empleados, las provisiones para litigios, el riesgo financiero de las cuentas a cobrar, los gastos devengados y la pérdida de valor de los activos tangibles e intangibles. Los importes efectivos pueden diferir de los estimados. Los cambios en las estimaciones se reflejan en el periodo en que se conocen.</w:t>
      </w:r>
    </w:p>
    <w:p w14:paraId="0A4A075B" w14:textId="77777777" w:rsidR="00800DCC" w:rsidRPr="00582E24" w:rsidRDefault="00800DCC" w:rsidP="00EE4758">
      <w:pPr>
        <w:jc w:val="both"/>
        <w:rPr>
          <w:b/>
        </w:rPr>
      </w:pPr>
      <w:r w:rsidRPr="00582E24">
        <w:t>Todos los saldos se presentan en miles de francos suizos, por lo que pueden darse pequeñas diferencias de redondeo.</w:t>
      </w:r>
    </w:p>
    <w:p w14:paraId="5508F1CB" w14:textId="77777777" w:rsidR="00800DCC" w:rsidRPr="00582E24" w:rsidRDefault="00800DCC" w:rsidP="00EE4758">
      <w:pPr>
        <w:pStyle w:val="Heading1"/>
        <w:jc w:val="both"/>
        <w:rPr>
          <w:color w:val="4F81BD"/>
        </w:rPr>
      </w:pPr>
      <w:bookmarkStart w:id="110" w:name="_Toc196292776"/>
      <w:bookmarkStart w:id="111" w:name="_Toc200461760"/>
      <w:bookmarkStart w:id="112" w:name="_Toc200461926"/>
      <w:r w:rsidRPr="00582E24">
        <w:rPr>
          <w:color w:val="4F81BD"/>
        </w:rPr>
        <w:t>Nota 4</w:t>
      </w:r>
      <w:r w:rsidRPr="00582E24">
        <w:rPr>
          <w:color w:val="4F81BD"/>
        </w:rPr>
        <w:tab/>
        <w:t>Gestión de los activos netos</w:t>
      </w:r>
      <w:bookmarkEnd w:id="108"/>
      <w:bookmarkEnd w:id="109"/>
      <w:bookmarkEnd w:id="110"/>
      <w:bookmarkEnd w:id="111"/>
      <w:bookmarkEnd w:id="112"/>
    </w:p>
    <w:p w14:paraId="5330DA60" w14:textId="77777777" w:rsidR="00800DCC" w:rsidRPr="00582E24" w:rsidRDefault="00800DCC" w:rsidP="00EE4758">
      <w:pPr>
        <w:jc w:val="both"/>
      </w:pPr>
      <w:r w:rsidRPr="00582E24">
        <w:t>Al 31 de diciembre de 2024, entre los activos netos de la Unión figuraban los siguientes:</w:t>
      </w:r>
    </w:p>
    <w:p w14:paraId="143688B8" w14:textId="497D9FB1" w:rsidR="00800DCC" w:rsidRPr="00582E24" w:rsidRDefault="00696995" w:rsidP="00EE4758">
      <w:pPr>
        <w:pStyle w:val="enumlev1"/>
        <w:jc w:val="both"/>
      </w:pPr>
      <w:r w:rsidRPr="00582E24">
        <w:t>1)</w:t>
      </w:r>
      <w:r w:rsidRPr="00582E24">
        <w:tab/>
      </w:r>
      <w:r w:rsidR="00800DCC" w:rsidRPr="00582E24">
        <w:t>Cuenta de Provisión de la UIT;</w:t>
      </w:r>
    </w:p>
    <w:p w14:paraId="0B27A748" w14:textId="05F32963" w:rsidR="00800DCC" w:rsidRPr="00582E24" w:rsidRDefault="00696995" w:rsidP="00EE4758">
      <w:pPr>
        <w:pStyle w:val="enumlev1"/>
        <w:jc w:val="both"/>
      </w:pPr>
      <w:r w:rsidRPr="00582E24">
        <w:t>2)</w:t>
      </w:r>
      <w:r w:rsidRPr="00582E24">
        <w:tab/>
      </w:r>
      <w:r w:rsidR="00800DCC" w:rsidRPr="00582E24">
        <w:t>otras provisiones y fondos;</w:t>
      </w:r>
    </w:p>
    <w:p w14:paraId="0B491D9F" w14:textId="5193A302" w:rsidR="00800DCC" w:rsidRPr="00582E24" w:rsidRDefault="00696995" w:rsidP="00EE4758">
      <w:pPr>
        <w:pStyle w:val="enumlev1"/>
        <w:jc w:val="both"/>
      </w:pPr>
      <w:r w:rsidRPr="00582E24">
        <w:t>3)</w:t>
      </w:r>
      <w:r w:rsidRPr="00582E24">
        <w:tab/>
      </w:r>
      <w:r w:rsidR="00800DCC" w:rsidRPr="00582E24">
        <w:t>provisiones extrapresupuestarias;</w:t>
      </w:r>
    </w:p>
    <w:p w14:paraId="0F02138A" w14:textId="0CEBE88C" w:rsidR="00800DCC" w:rsidRPr="00582E24" w:rsidRDefault="00696995" w:rsidP="00EE4758">
      <w:pPr>
        <w:pStyle w:val="enumlev1"/>
        <w:jc w:val="both"/>
      </w:pPr>
      <w:r w:rsidRPr="00582E24">
        <w:t>4)</w:t>
      </w:r>
      <w:r w:rsidRPr="00582E24">
        <w:tab/>
      </w:r>
      <w:r w:rsidR="00800DCC" w:rsidRPr="00582E24">
        <w:t>ganancias/(pérdidas) actuariales del ASHI por medio de activos netos; y</w:t>
      </w:r>
    </w:p>
    <w:p w14:paraId="5DB44024" w14:textId="5FB35B81" w:rsidR="00800DCC" w:rsidRPr="00582E24" w:rsidRDefault="00696995" w:rsidP="00EE4758">
      <w:pPr>
        <w:pStyle w:val="enumlev1"/>
        <w:jc w:val="both"/>
      </w:pPr>
      <w:r w:rsidRPr="00582E24">
        <w:t>5)</w:t>
      </w:r>
      <w:r w:rsidRPr="00582E24">
        <w:tab/>
      </w:r>
      <w:r w:rsidR="00800DCC" w:rsidRPr="00582E24">
        <w:t>superávit/(déficit) acumulado.</w:t>
      </w:r>
    </w:p>
    <w:p w14:paraId="670D88F5" w14:textId="77777777" w:rsidR="00800DCC" w:rsidRPr="00582E24" w:rsidRDefault="00800DCC" w:rsidP="00EE4758">
      <w:pPr>
        <w:pStyle w:val="Headingb"/>
        <w:jc w:val="both"/>
      </w:pPr>
      <w:r w:rsidRPr="00582E24">
        <w:t>Cuenta de Provisión de la UIT</w:t>
      </w:r>
    </w:p>
    <w:p w14:paraId="0D4BFDB7" w14:textId="77777777" w:rsidR="00800DCC" w:rsidRPr="00582E24" w:rsidRDefault="00800DCC" w:rsidP="00EE4758">
      <w:pPr>
        <w:jc w:val="both"/>
      </w:pPr>
      <w:r w:rsidRPr="00582E24">
        <w:t>La Cuenta de Provisión de la UIT se creó de conformidad con el número 485 del Convenio de la UIT y el Artículo 27 de su Reglamento Financiero. Esta se financia a través de:</w:t>
      </w:r>
    </w:p>
    <w:p w14:paraId="37511FBC" w14:textId="7B8D5ED0" w:rsidR="00800DCC" w:rsidRPr="00582E24" w:rsidRDefault="003533DE" w:rsidP="00EE4758">
      <w:pPr>
        <w:pStyle w:val="enumlev1"/>
        <w:jc w:val="both"/>
      </w:pPr>
      <w:r w:rsidRPr="00582E24">
        <w:rPr>
          <w:rFonts w:asciiTheme="minorHAnsi" w:hAnsiTheme="minorHAnsi" w:cstheme="minorHAnsi"/>
          <w:szCs w:val="24"/>
        </w:rPr>
        <w:t>•</w:t>
      </w:r>
      <w:r w:rsidRPr="00582E24">
        <w:rPr>
          <w:rFonts w:asciiTheme="minorHAnsi" w:hAnsiTheme="minorHAnsi" w:cstheme="minorHAnsi"/>
          <w:szCs w:val="24"/>
        </w:rPr>
        <w:tab/>
      </w:r>
      <w:r w:rsidR="00800DCC" w:rsidRPr="00582E24">
        <w:t>saldos positivos o negativos de la ejecución del presupuesto ordinario de cada ejercicio;</w:t>
      </w:r>
    </w:p>
    <w:p w14:paraId="3E3B495C" w14:textId="33195582" w:rsidR="00800DCC" w:rsidRPr="00582E24" w:rsidRDefault="003533DE" w:rsidP="00EE4758">
      <w:pPr>
        <w:pStyle w:val="enumlev1"/>
        <w:jc w:val="both"/>
      </w:pPr>
      <w:r w:rsidRPr="00582E24">
        <w:rPr>
          <w:rFonts w:asciiTheme="minorHAnsi" w:hAnsiTheme="minorHAnsi" w:cstheme="minorHAnsi"/>
          <w:szCs w:val="24"/>
        </w:rPr>
        <w:t>•</w:t>
      </w:r>
      <w:r w:rsidRPr="00582E24">
        <w:rPr>
          <w:rFonts w:asciiTheme="minorHAnsi" w:hAnsiTheme="minorHAnsi" w:cstheme="minorHAnsi"/>
          <w:szCs w:val="24"/>
        </w:rPr>
        <w:tab/>
      </w:r>
      <w:r w:rsidR="00800DCC" w:rsidRPr="00582E24">
        <w:t>transferencias procedentes de otros fondos y/o provisiones, según decida el Consejo;</w:t>
      </w:r>
    </w:p>
    <w:p w14:paraId="037A3501" w14:textId="7B6CB3B6" w:rsidR="00800DCC" w:rsidRPr="00582E24" w:rsidRDefault="003533DE" w:rsidP="00EE4758">
      <w:pPr>
        <w:pStyle w:val="enumlev1"/>
        <w:jc w:val="both"/>
      </w:pPr>
      <w:r w:rsidRPr="00582E24">
        <w:rPr>
          <w:rFonts w:asciiTheme="minorHAnsi" w:hAnsiTheme="minorHAnsi" w:cstheme="minorHAnsi"/>
          <w:szCs w:val="24"/>
        </w:rPr>
        <w:t>•</w:t>
      </w:r>
      <w:r w:rsidRPr="00582E24">
        <w:rPr>
          <w:rFonts w:asciiTheme="minorHAnsi" w:hAnsiTheme="minorHAnsi" w:cstheme="minorHAnsi"/>
          <w:szCs w:val="24"/>
        </w:rPr>
        <w:tab/>
      </w:r>
      <w:r w:rsidR="00800DCC" w:rsidRPr="00582E24">
        <w:t>otros créditos estipulados en las normas contables aplicables.</w:t>
      </w:r>
    </w:p>
    <w:p w14:paraId="02500E08" w14:textId="5760AA0A" w:rsidR="00800DCC" w:rsidRPr="00582E24" w:rsidRDefault="00800DCC" w:rsidP="00EE4758">
      <w:pPr>
        <w:jc w:val="both"/>
      </w:pPr>
      <w:r w:rsidRPr="00582E24">
        <w:t>Cabe señalar que, para efectuar detracciones de la Cuenta de Provisión, se requiere una decisión especial del Consejo y que los fondos de esta Cuenta sólo pued</w:t>
      </w:r>
      <w:r w:rsidR="000617BA" w:rsidRPr="00582E24">
        <w:t>a</w:t>
      </w:r>
      <w:r w:rsidRPr="00582E24">
        <w:t>n utilizarse con el fin</w:t>
      </w:r>
      <w:r w:rsidR="005C0A66" w:rsidRPr="00582E24">
        <w:t> </w:t>
      </w:r>
      <w:r w:rsidRPr="00582E24">
        <w:t>de:</w:t>
      </w:r>
    </w:p>
    <w:p w14:paraId="5436F1E4" w14:textId="41ADF8E9" w:rsidR="00800DCC" w:rsidRPr="00582E24" w:rsidRDefault="003533DE" w:rsidP="00EE4758">
      <w:pPr>
        <w:pStyle w:val="enumlev1"/>
        <w:jc w:val="both"/>
      </w:pPr>
      <w:r w:rsidRPr="00582E24">
        <w:rPr>
          <w:rFonts w:asciiTheme="minorHAnsi" w:hAnsiTheme="minorHAnsi" w:cstheme="minorHAnsi"/>
          <w:szCs w:val="24"/>
        </w:rPr>
        <w:t>•</w:t>
      </w:r>
      <w:r w:rsidRPr="00582E24">
        <w:rPr>
          <w:rFonts w:asciiTheme="minorHAnsi" w:hAnsiTheme="minorHAnsi" w:cstheme="minorHAnsi"/>
          <w:szCs w:val="24"/>
        </w:rPr>
        <w:tab/>
      </w:r>
      <w:r w:rsidR="00800DCC" w:rsidRPr="00582E24">
        <w:t>reducir el importe de la unidad contributiva;</w:t>
      </w:r>
    </w:p>
    <w:p w14:paraId="5AEA9F61" w14:textId="4210D91D" w:rsidR="00800DCC" w:rsidRPr="00582E24" w:rsidRDefault="003533DE" w:rsidP="00EE4758">
      <w:pPr>
        <w:pStyle w:val="enumlev1"/>
        <w:jc w:val="both"/>
      </w:pPr>
      <w:r w:rsidRPr="00582E24">
        <w:rPr>
          <w:rFonts w:asciiTheme="minorHAnsi" w:hAnsiTheme="minorHAnsi" w:cstheme="minorHAnsi"/>
          <w:szCs w:val="24"/>
        </w:rPr>
        <w:t>•</w:t>
      </w:r>
      <w:r w:rsidRPr="00582E24">
        <w:rPr>
          <w:rFonts w:asciiTheme="minorHAnsi" w:hAnsiTheme="minorHAnsi" w:cstheme="minorHAnsi"/>
          <w:szCs w:val="24"/>
        </w:rPr>
        <w:tab/>
      </w:r>
      <w:r w:rsidR="00800DCC" w:rsidRPr="00582E24">
        <w:t>equilibrar el presupuesto de la Unión;</w:t>
      </w:r>
    </w:p>
    <w:p w14:paraId="75F13E20" w14:textId="30948093" w:rsidR="00800DCC" w:rsidRPr="00582E24" w:rsidRDefault="003533DE" w:rsidP="00EE4758">
      <w:pPr>
        <w:pStyle w:val="enumlev1"/>
        <w:jc w:val="both"/>
      </w:pPr>
      <w:r w:rsidRPr="00582E24">
        <w:rPr>
          <w:rFonts w:asciiTheme="minorHAnsi" w:hAnsiTheme="minorHAnsi" w:cstheme="minorHAnsi"/>
          <w:szCs w:val="24"/>
        </w:rPr>
        <w:t>•</w:t>
      </w:r>
      <w:r w:rsidRPr="00582E24">
        <w:rPr>
          <w:rFonts w:asciiTheme="minorHAnsi" w:hAnsiTheme="minorHAnsi" w:cstheme="minorHAnsi"/>
          <w:szCs w:val="24"/>
        </w:rPr>
        <w:tab/>
      </w:r>
      <w:proofErr w:type="gramStart"/>
      <w:r w:rsidR="00800DCC" w:rsidRPr="00582E24">
        <w:t>llevar  a</w:t>
      </w:r>
      <w:proofErr w:type="gramEnd"/>
      <w:r w:rsidR="00800DCC" w:rsidRPr="00582E24">
        <w:t xml:space="preserve"> cabo transferencias a otros fondos o provisiones; y</w:t>
      </w:r>
    </w:p>
    <w:p w14:paraId="42E9556D" w14:textId="007E064F" w:rsidR="00800DCC" w:rsidRPr="00582E24" w:rsidRDefault="003533DE" w:rsidP="00EE4758">
      <w:pPr>
        <w:pStyle w:val="enumlev1"/>
        <w:jc w:val="both"/>
      </w:pPr>
      <w:r w:rsidRPr="00582E24">
        <w:rPr>
          <w:rFonts w:asciiTheme="minorHAnsi" w:hAnsiTheme="minorHAnsi" w:cstheme="minorHAnsi"/>
          <w:szCs w:val="24"/>
        </w:rPr>
        <w:t>•</w:t>
      </w:r>
      <w:r w:rsidRPr="00582E24">
        <w:rPr>
          <w:rFonts w:asciiTheme="minorHAnsi" w:hAnsiTheme="minorHAnsi" w:cstheme="minorHAnsi"/>
          <w:szCs w:val="24"/>
        </w:rPr>
        <w:tab/>
      </w:r>
      <w:r w:rsidR="00800DCC" w:rsidRPr="00582E24">
        <w:t>realizar ajustes prescritos por las normas contables aplicables.</w:t>
      </w:r>
    </w:p>
    <w:p w14:paraId="0C7EFD8F" w14:textId="1D06231F" w:rsidR="00800DCC" w:rsidRPr="00582E24" w:rsidRDefault="00800DCC" w:rsidP="005C0A66">
      <w:pPr>
        <w:keepNext/>
        <w:spacing w:after="240"/>
        <w:jc w:val="both"/>
      </w:pPr>
      <w:r w:rsidRPr="00582E24">
        <w:lastRenderedPageBreak/>
        <w:t>Los movimientos de la Cuenta de Provisión de la UIT se exponen en el siguiente cuadro</w:t>
      </w:r>
      <w:r w:rsidR="000617BA" w:rsidRPr="00582E24">
        <w:t>.</w:t>
      </w:r>
    </w:p>
    <w:p w14:paraId="7ED20AF2" w14:textId="377FAB9B" w:rsidR="00800DCC" w:rsidRPr="00582E24" w:rsidRDefault="000617BA" w:rsidP="005C0A66">
      <w:pPr>
        <w:pStyle w:val="Figure"/>
        <w:spacing w:after="240"/>
      </w:pPr>
      <w:r w:rsidRPr="00582E24">
        <w:rPr>
          <w:noProof/>
        </w:rPr>
        <w:drawing>
          <wp:inline distT="0" distB="0" distL="0" distR="0" wp14:anchorId="7B6907CB" wp14:editId="6C0C2449">
            <wp:extent cx="5760085" cy="171831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85" cy="1718310"/>
                    </a:xfrm>
                    <a:prstGeom prst="rect">
                      <a:avLst/>
                    </a:prstGeom>
                    <a:noFill/>
                    <a:ln>
                      <a:noFill/>
                    </a:ln>
                  </pic:spPr>
                </pic:pic>
              </a:graphicData>
            </a:graphic>
          </wp:inline>
        </w:drawing>
      </w:r>
    </w:p>
    <w:p w14:paraId="5AFAE85D" w14:textId="3CA3BF3B" w:rsidR="00800DCC" w:rsidRPr="00582E24" w:rsidRDefault="00800DCC" w:rsidP="000617BA">
      <w:pPr>
        <w:spacing w:before="240"/>
        <w:jc w:val="both"/>
      </w:pPr>
      <w:r w:rsidRPr="00582E24">
        <w:t>Al 31 de diciembre de 2024, el saldo de la Cuenta de Provisión era de 30,7 millones CHF (26,3</w:t>
      </w:r>
      <w:r w:rsidR="000617BA" w:rsidRPr="00582E24">
        <w:t> </w:t>
      </w:r>
      <w:r w:rsidRPr="00582E24">
        <w:t>millones CHF en 2023). Los activos de la Cuenta de Provisión representan el</w:t>
      </w:r>
      <w:r w:rsidR="005C0A66" w:rsidRPr="00582E24">
        <w:t> </w:t>
      </w:r>
      <w:r w:rsidRPr="00582E24">
        <w:t>18,6</w:t>
      </w:r>
      <w:r w:rsidR="000617BA" w:rsidRPr="00582E24">
        <w:t> </w:t>
      </w:r>
      <w:r w:rsidRPr="00582E24">
        <w:t>%</w:t>
      </w:r>
      <w:r w:rsidR="000617BA" w:rsidRPr="00582E24">
        <w:t> </w:t>
      </w:r>
      <w:r w:rsidRPr="00582E24">
        <w:t>del</w:t>
      </w:r>
      <w:r w:rsidR="000617BA" w:rsidRPr="00582E24">
        <w:t> </w:t>
      </w:r>
      <w:r w:rsidRPr="00582E24">
        <w:t>presupuesto de 2024, porcentaje muy superior al umbral del 6 % estipulado en la Decisión 5 (Rev. Dubái, 2022).</w:t>
      </w:r>
    </w:p>
    <w:p w14:paraId="66B11AC3" w14:textId="77777777" w:rsidR="00800DCC" w:rsidRPr="00582E24" w:rsidRDefault="00800DCC" w:rsidP="00EE4758">
      <w:pPr>
        <w:pStyle w:val="Headingb"/>
        <w:jc w:val="both"/>
      </w:pPr>
      <w:r w:rsidRPr="00582E24">
        <w:t>Otros fondos y provisiones</w:t>
      </w:r>
    </w:p>
    <w:p w14:paraId="335CA905" w14:textId="77777777" w:rsidR="00800DCC" w:rsidRPr="00582E24" w:rsidRDefault="00800DCC" w:rsidP="00EE4758">
      <w:pPr>
        <w:jc w:val="both"/>
      </w:pPr>
      <w:r w:rsidRPr="00582E24">
        <w:t>A fin de apoyar los proyectos a largo plazo, las necesidades operativas y las obligaciones imprevistas de la UIT, se establecen otros fondos y provisiones, incluidos los siguientes:</w:t>
      </w:r>
    </w:p>
    <w:p w14:paraId="04CCFA2A" w14:textId="7840AC1F" w:rsidR="00800DCC" w:rsidRPr="00582E24" w:rsidRDefault="003533DE" w:rsidP="00EE4758">
      <w:pPr>
        <w:pStyle w:val="enumlev1"/>
        <w:jc w:val="both"/>
      </w:pPr>
      <w:r w:rsidRPr="00582E24">
        <w:t>1)</w:t>
      </w:r>
      <w:r w:rsidRPr="00582E24">
        <w:tab/>
      </w:r>
      <w:r w:rsidR="00800DCC" w:rsidRPr="00582E24">
        <w:t>Ahorros del ejercicio anterior: Ahorros acumulados de ciclos presupuestarios anteriores.</w:t>
      </w:r>
    </w:p>
    <w:p w14:paraId="46A5CC76" w14:textId="475F76FB" w:rsidR="00800DCC" w:rsidRPr="00582E24" w:rsidRDefault="003533DE" w:rsidP="00EE4758">
      <w:pPr>
        <w:pStyle w:val="enumlev1"/>
        <w:jc w:val="both"/>
      </w:pPr>
      <w:r w:rsidRPr="00582E24">
        <w:t>2)</w:t>
      </w:r>
      <w:r w:rsidRPr="00582E24">
        <w:tab/>
      </w:r>
      <w:r w:rsidR="00800DCC" w:rsidRPr="00582E24">
        <w:t>Fondos de inversión: Entre ellos el fondo para el mantenimiento de los edificios y el fondo de capital TIC.</w:t>
      </w:r>
    </w:p>
    <w:p w14:paraId="61A1B557" w14:textId="1F2AFA50" w:rsidR="00800DCC" w:rsidRPr="00582E24" w:rsidRDefault="003533DE" w:rsidP="00EE4758">
      <w:pPr>
        <w:pStyle w:val="enumlev1"/>
        <w:jc w:val="both"/>
      </w:pPr>
      <w:r w:rsidRPr="00582E24">
        <w:t>3)</w:t>
      </w:r>
      <w:r w:rsidRPr="00582E24">
        <w:tab/>
      </w:r>
      <w:r w:rsidR="00800DCC" w:rsidRPr="00582E24">
        <w:t>Reserva para el nuevo edificio: Esta reserva se creó como complemento del presupuesto financiado con cargo al préstamo concedido por la FIPOI y asciende a 20,14 millones CHF procedentes de patrocinios y donaciones, así como de ahorros dimanantes del superávit de 2018.</w:t>
      </w:r>
    </w:p>
    <w:p w14:paraId="13B6A8B8" w14:textId="64181FAA" w:rsidR="00800DCC" w:rsidRPr="00582E24" w:rsidRDefault="003533DE" w:rsidP="00EE4758">
      <w:pPr>
        <w:pStyle w:val="enumlev1"/>
        <w:jc w:val="both"/>
      </w:pPr>
      <w:r w:rsidRPr="00582E24">
        <w:t>4)</w:t>
      </w:r>
      <w:r w:rsidRPr="00582E24">
        <w:tab/>
      </w:r>
      <w:r w:rsidR="00800DCC" w:rsidRPr="00582E24">
        <w:t>Fondo del registro de riesgos: Este fondo se creó para sufragar costes adicionales imprevistos relacionados con el proyecto de nuevo edificio.</w:t>
      </w:r>
    </w:p>
    <w:p w14:paraId="617353B6" w14:textId="2B388325" w:rsidR="00800DCC" w:rsidRPr="00582E24" w:rsidRDefault="003533DE" w:rsidP="00EE4758">
      <w:pPr>
        <w:pStyle w:val="enumlev1"/>
        <w:jc w:val="both"/>
      </w:pPr>
      <w:r w:rsidRPr="00582E24">
        <w:t>5)</w:t>
      </w:r>
      <w:r w:rsidRPr="00582E24">
        <w:tab/>
      </w:r>
      <w:r w:rsidR="00800DCC" w:rsidRPr="00582E24">
        <w:t>Fondo de bienestar: Este fondo, gestionado por la Secretaria General, se utiliza para financiar actividades destinadas al personal en concertación con el Consejo de Personal de la UIT. Los principales ingresos proceden de las comisiones pagadas por el servicio de restauración de la UIT y los gastos principales guardan relación con los subsidios concedidos a los clubes de la Unión y la organización de la fiesta del personal.</w:t>
      </w:r>
    </w:p>
    <w:p w14:paraId="205F6827" w14:textId="5A23F263" w:rsidR="00800DCC" w:rsidRPr="00582E24" w:rsidRDefault="003533DE" w:rsidP="00EE4758">
      <w:pPr>
        <w:pStyle w:val="enumlev1"/>
        <w:jc w:val="both"/>
      </w:pPr>
      <w:r w:rsidRPr="00582E24">
        <w:t>6)</w:t>
      </w:r>
      <w:r w:rsidRPr="00582E24">
        <w:tab/>
      </w:r>
      <w:r w:rsidR="00800DCC" w:rsidRPr="00582E24">
        <w:t>Fondo del centenario: Este fondo se creó para celebrar el centenario de la UIT. No obstante, el Consejo decidió destinar los fondos restantes a la modernización de la biblioteca.</w:t>
      </w:r>
    </w:p>
    <w:p w14:paraId="072B5D63" w14:textId="0C83A716" w:rsidR="00800DCC" w:rsidRPr="00582E24" w:rsidRDefault="003533DE" w:rsidP="00EE4758">
      <w:pPr>
        <w:pStyle w:val="enumlev1"/>
        <w:jc w:val="both"/>
      </w:pPr>
      <w:r w:rsidRPr="00582E24">
        <w:t>7)</w:t>
      </w:r>
      <w:r w:rsidRPr="00582E24">
        <w:tab/>
      </w:r>
      <w:r w:rsidR="00800DCC" w:rsidRPr="00582E24">
        <w:t>Caja de Seguros del Personal de la UIT: La Caja comprende el Fondo de reserva y complementos de pensión y el Fondo de intervención. Estos fondos se destinan a las pensiones de los miembros del personal en activo antes del 1 de enero de 1960, fecha en que la UIT se afilió a la Caja Común de Pensiones del Personal de las Naciones Unidas (CCPPNU). De conformidad con el Artículo 86 de sus Estatutos, la Unión administra la Caja de Seguros del Personal de la UIT, cuyo capital se invierte en valores fiduciarios.</w:t>
      </w:r>
    </w:p>
    <w:p w14:paraId="25AA61CE" w14:textId="73C49819" w:rsidR="00800DCC" w:rsidRPr="00582E24" w:rsidRDefault="003533DE" w:rsidP="00EE4758">
      <w:pPr>
        <w:pStyle w:val="enumlev1"/>
        <w:jc w:val="both"/>
      </w:pPr>
      <w:r w:rsidRPr="00582E24">
        <w:t>8)</w:t>
      </w:r>
      <w:r w:rsidRPr="00582E24">
        <w:tab/>
      </w:r>
      <w:r w:rsidR="00800DCC" w:rsidRPr="00582E24">
        <w:t>Fondo del ASHI: Este fondo se creó para financiar el pasivo a largo plazo del ASHI.</w:t>
      </w:r>
    </w:p>
    <w:p w14:paraId="1476D037" w14:textId="1E278CBE" w:rsidR="00800DCC" w:rsidRPr="00582E24" w:rsidRDefault="003533DE" w:rsidP="00EE4758">
      <w:pPr>
        <w:pStyle w:val="enumlev1"/>
        <w:jc w:val="both"/>
      </w:pPr>
      <w:r w:rsidRPr="00582E24">
        <w:lastRenderedPageBreak/>
        <w:t>9)</w:t>
      </w:r>
      <w:r w:rsidRPr="00582E24">
        <w:tab/>
      </w:r>
      <w:r w:rsidR="00800DCC" w:rsidRPr="00582E24">
        <w:t>Fondo del seguro de salud: Este fondo guarda relación con el fondo de garantía del Plan Colectivo de Seguro Médico (PCSM), el cual constituye el fondo de garantía establecido para el plan de seguro médico de la UIT desde 2014, cuando la Organización aún trabajaba con la empresa aseguradora anterior a la UNSMIS.</w:t>
      </w:r>
    </w:p>
    <w:p w14:paraId="1BA22F67" w14:textId="31ADA0CE" w:rsidR="00800DCC" w:rsidRPr="00582E24" w:rsidRDefault="00800DCC" w:rsidP="00B05A90">
      <w:pPr>
        <w:spacing w:after="240"/>
        <w:jc w:val="both"/>
      </w:pPr>
      <w:r w:rsidRPr="00582E24">
        <w:t>En el cuadro siguiente se presentan los movimientos de otros fondos y provisiones de la UIT.</w:t>
      </w:r>
    </w:p>
    <w:p w14:paraId="3801537E" w14:textId="0ABF9A9D" w:rsidR="00800DCC" w:rsidRPr="00582E24" w:rsidDel="009B20C8" w:rsidRDefault="005C0A66" w:rsidP="00D470E5">
      <w:pPr>
        <w:pStyle w:val="Figure"/>
        <w:spacing w:after="240"/>
      </w:pPr>
      <w:r w:rsidRPr="00582E24">
        <w:rPr>
          <w:noProof/>
        </w:rPr>
        <w:drawing>
          <wp:inline distT="0" distB="0" distL="0" distR="0" wp14:anchorId="7DD9133A" wp14:editId="208413D3">
            <wp:extent cx="5760085" cy="3616960"/>
            <wp:effectExtent l="0" t="0" r="0" b="2540"/>
            <wp:docPr id="1246228935" name="Picture 124622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85" cy="3616960"/>
                    </a:xfrm>
                    <a:prstGeom prst="rect">
                      <a:avLst/>
                    </a:prstGeom>
                    <a:noFill/>
                    <a:ln>
                      <a:noFill/>
                    </a:ln>
                  </pic:spPr>
                </pic:pic>
              </a:graphicData>
            </a:graphic>
          </wp:inline>
        </w:drawing>
      </w:r>
    </w:p>
    <w:p w14:paraId="25ECD0C8" w14:textId="4BFCD9D2" w:rsidR="00800DCC" w:rsidRPr="00582E24" w:rsidRDefault="00800DCC" w:rsidP="00EE4758">
      <w:pPr>
        <w:pStyle w:val="Headingb"/>
        <w:jc w:val="both"/>
      </w:pPr>
      <w:r w:rsidRPr="00582E24">
        <w:t>Provisiones extrapresupuestarias</w:t>
      </w:r>
    </w:p>
    <w:p w14:paraId="0912517D" w14:textId="77777777" w:rsidR="00800DCC" w:rsidRPr="00582E24" w:rsidRDefault="00800DCC" w:rsidP="00EE4758">
      <w:pPr>
        <w:jc w:val="both"/>
      </w:pPr>
      <w:r w:rsidRPr="00582E24">
        <w:t>Estas provisiones se destinan a proyectos e iniciativas de la UIT ajenos al marco del presupuesto ordinario e incluyen:</w:t>
      </w:r>
    </w:p>
    <w:p w14:paraId="1ECCF12B" w14:textId="4FC7396C" w:rsidR="00800DCC" w:rsidRPr="00582E24" w:rsidRDefault="000D2D57" w:rsidP="00EE4758">
      <w:pPr>
        <w:pStyle w:val="enumlev1"/>
        <w:jc w:val="both"/>
        <w:rPr>
          <w:i/>
          <w:iCs/>
        </w:rPr>
      </w:pPr>
      <w:r w:rsidRPr="00582E24">
        <w:rPr>
          <w:i/>
          <w:iCs/>
        </w:rPr>
        <w:t>–</w:t>
      </w:r>
      <w:r w:rsidRPr="00582E24">
        <w:rPr>
          <w:i/>
          <w:iCs/>
        </w:rPr>
        <w:tab/>
      </w:r>
      <w:r w:rsidR="00800DCC" w:rsidRPr="00582E24">
        <w:rPr>
          <w:i/>
          <w:iCs/>
        </w:rPr>
        <w:t>Provisiones asignadas</w:t>
      </w:r>
    </w:p>
    <w:p w14:paraId="374CC069" w14:textId="77777777" w:rsidR="00800DCC" w:rsidRPr="00582E24" w:rsidRDefault="00800DCC" w:rsidP="00EE4758">
      <w:pPr>
        <w:jc w:val="both"/>
      </w:pPr>
      <w:r w:rsidRPr="00582E24">
        <w:t>Estas provisiones se han establecido con el objetivo de financiar proyectos internos en curso. Los movimientos conexos representan gastos relacionados con la ejecución de proyectos y la asignación de fondos internos procedentes del presupuesto ordinario o del Fondo para el Desarrollo de las Tecnologías de la Información y la Comunicación (FD-TIC).</w:t>
      </w:r>
    </w:p>
    <w:p w14:paraId="167E420E" w14:textId="1D93BDD4" w:rsidR="00800DCC" w:rsidRPr="00582E24" w:rsidRDefault="006D3F8A" w:rsidP="00EE4758">
      <w:pPr>
        <w:pStyle w:val="enumlev1"/>
        <w:jc w:val="both"/>
        <w:rPr>
          <w:i/>
          <w:iCs/>
        </w:rPr>
      </w:pPr>
      <w:r w:rsidRPr="00582E24">
        <w:t>–</w:t>
      </w:r>
      <w:r w:rsidRPr="00582E24">
        <w:tab/>
      </w:r>
      <w:r w:rsidR="00800DCC" w:rsidRPr="00582E24">
        <w:rPr>
          <w:i/>
          <w:iCs/>
        </w:rPr>
        <w:t>Fondo de Operaciones de las Exposiciones de la UIT</w:t>
      </w:r>
    </w:p>
    <w:p w14:paraId="04B8D8A0" w14:textId="4B3319C8" w:rsidR="00800DCC" w:rsidRPr="00582E24" w:rsidRDefault="00800DCC" w:rsidP="00EE4758">
      <w:pPr>
        <w:jc w:val="both"/>
      </w:pPr>
      <w:r w:rsidRPr="00582E24">
        <w:t>Tras la derogación de la Resolución 11 (Bucarest, 2022), en 2024, en virtud de la Resolución</w:t>
      </w:r>
      <w:r w:rsidR="003102A6" w:rsidRPr="00582E24">
        <w:t> </w:t>
      </w:r>
      <w:r w:rsidRPr="00582E24">
        <w:t xml:space="preserve">1427 (véase el Documento </w:t>
      </w:r>
      <w:hyperlink r:id="rId33" w:history="1">
        <w:r w:rsidRPr="00582E24">
          <w:rPr>
            <w:rStyle w:val="Hyperlink"/>
            <w:color w:val="4F81BD"/>
          </w:rPr>
          <w:t>C24/134</w:t>
        </w:r>
      </w:hyperlink>
      <w:r w:rsidRPr="00582E24">
        <w:t>), se han transferido 465 000 CHF de este fondo al FD-TIC y el saldo restante se conserva en el Fondo de Operaciones de las Exposiciones para cumplir todas las obligaciones pendientes con el personal de Telecom.</w:t>
      </w:r>
    </w:p>
    <w:p w14:paraId="425B14D1" w14:textId="63581277" w:rsidR="00800DCC" w:rsidRPr="00582E24" w:rsidRDefault="006D3F8A" w:rsidP="00EE4758">
      <w:pPr>
        <w:pStyle w:val="enumlev1"/>
        <w:jc w:val="both"/>
        <w:rPr>
          <w:i/>
          <w:iCs/>
        </w:rPr>
      </w:pPr>
      <w:r w:rsidRPr="00582E24">
        <w:t>–</w:t>
      </w:r>
      <w:r w:rsidRPr="00582E24">
        <w:tab/>
      </w:r>
      <w:r w:rsidR="00800DCC" w:rsidRPr="00582E24">
        <w:rPr>
          <w:i/>
          <w:iCs/>
        </w:rPr>
        <w:t>Fondo para el Desarrollo de las TIC</w:t>
      </w:r>
    </w:p>
    <w:p w14:paraId="3B3A7396" w14:textId="047D64D4" w:rsidR="00800DCC" w:rsidRPr="00582E24" w:rsidRDefault="00800DCC" w:rsidP="00EE4758">
      <w:pPr>
        <w:jc w:val="both"/>
      </w:pPr>
      <w:r w:rsidRPr="00582E24">
        <w:t>Con este Fondo se presta apoyo a proyectos nacionales y regionales de desarrollo de las TIC, financiados con cargo al superávit de los eventos de ITU TELECOM y las contribuciones aportadas por miembros o terceras partes. El FD-TIC también incluye contribuciones abonadas por miembros o terceras partes para financiar diversos proyectos de desarrollo de las TIC.</w:t>
      </w:r>
    </w:p>
    <w:p w14:paraId="4C711D47" w14:textId="4AE32330" w:rsidR="00800DCC" w:rsidRPr="00582E24" w:rsidRDefault="006D3F8A" w:rsidP="003102A6">
      <w:pPr>
        <w:pStyle w:val="enumlev1"/>
        <w:keepNext/>
        <w:jc w:val="both"/>
        <w:rPr>
          <w:i/>
          <w:iCs/>
        </w:rPr>
      </w:pPr>
      <w:r w:rsidRPr="00582E24">
        <w:lastRenderedPageBreak/>
        <w:t>–</w:t>
      </w:r>
      <w:r w:rsidRPr="00582E24">
        <w:tab/>
      </w:r>
      <w:r w:rsidR="00800DCC" w:rsidRPr="00582E24">
        <w:rPr>
          <w:i/>
          <w:iCs/>
        </w:rPr>
        <w:t>Otras provisiones no asignadas</w:t>
      </w:r>
    </w:p>
    <w:p w14:paraId="2A7D1A31" w14:textId="77777777" w:rsidR="00800DCC" w:rsidRPr="00582E24" w:rsidRDefault="00800DCC" w:rsidP="003102A6">
      <w:pPr>
        <w:keepNext/>
        <w:jc w:val="both"/>
      </w:pPr>
      <w:r w:rsidRPr="00582E24">
        <w:t>En este apartado se incluyen los saldos remanentes de proyectos internos cerrados, disponibles para financiar nuevos proyectos o iniciativas regionales.</w:t>
      </w:r>
    </w:p>
    <w:p w14:paraId="1C6284C6" w14:textId="77777777" w:rsidR="00800DCC" w:rsidRPr="00582E24" w:rsidRDefault="00800DCC" w:rsidP="004D202E">
      <w:pPr>
        <w:spacing w:after="240"/>
        <w:jc w:val="both"/>
      </w:pPr>
      <w:r w:rsidRPr="00582E24">
        <w:t>En el cuadro siguiente se presentan los movimientos de las provisiones extrapresupuestarias de la UIT.</w:t>
      </w:r>
    </w:p>
    <w:p w14:paraId="0A8C5189" w14:textId="410B6EF4" w:rsidR="00800DCC" w:rsidRPr="00582E24" w:rsidRDefault="006D3F8A" w:rsidP="006D3F8A">
      <w:pPr>
        <w:pStyle w:val="Figure"/>
      </w:pPr>
      <w:r w:rsidRPr="00582E24">
        <w:rPr>
          <w:noProof/>
        </w:rPr>
        <w:drawing>
          <wp:inline distT="0" distB="0" distL="0" distR="0" wp14:anchorId="71C94523" wp14:editId="513A4D4C">
            <wp:extent cx="5760085" cy="20154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085" cy="2015490"/>
                    </a:xfrm>
                    <a:prstGeom prst="rect">
                      <a:avLst/>
                    </a:prstGeom>
                    <a:noFill/>
                    <a:ln>
                      <a:noFill/>
                    </a:ln>
                  </pic:spPr>
                </pic:pic>
              </a:graphicData>
            </a:graphic>
          </wp:inline>
        </w:drawing>
      </w:r>
    </w:p>
    <w:p w14:paraId="4420B1B0" w14:textId="77777777" w:rsidR="00800DCC" w:rsidRPr="00582E24" w:rsidRDefault="00800DCC" w:rsidP="006D3F8A">
      <w:pPr>
        <w:pStyle w:val="Headingb"/>
        <w:ind w:left="0" w:firstLine="0"/>
      </w:pPr>
      <w:r w:rsidRPr="00582E24">
        <w:t>Ganancias/(pérdidas) actuariales relacionadas con el ASHI y contabilizadas en los activos netos</w:t>
      </w:r>
    </w:p>
    <w:p w14:paraId="354D7A44" w14:textId="77777777" w:rsidR="00800DCC" w:rsidRPr="00582E24" w:rsidRDefault="00800DCC" w:rsidP="00800DCC">
      <w:pPr>
        <w:snapToGrid w:val="0"/>
        <w:spacing w:after="120"/>
        <w:jc w:val="both"/>
      </w:pPr>
      <w:r w:rsidRPr="00582E24">
        <w:t>Las pérdidas y ganancias actuariales derivadas de la valoración periódica de las obligaciones relativas al ASHI se contabilizan directamente en los activos netos, conforme a lo estipulado en las NICSP. Estos importes reflejan cambios en las hipótesis actuariales o diferencias entre los resultados previstos y los efectivos.</w:t>
      </w:r>
    </w:p>
    <w:p w14:paraId="7858478F" w14:textId="77777777" w:rsidR="00800DCC" w:rsidRPr="00582E24" w:rsidRDefault="00800DCC" w:rsidP="006D3F8A">
      <w:pPr>
        <w:pStyle w:val="Headingb"/>
      </w:pPr>
      <w:r w:rsidRPr="00582E24">
        <w:t>Superávit/(déficit) acumulado</w:t>
      </w:r>
    </w:p>
    <w:p w14:paraId="6DBE3660" w14:textId="77777777" w:rsidR="00800DCC" w:rsidRPr="00582E24" w:rsidRDefault="00800DCC" w:rsidP="00800DCC">
      <w:pPr>
        <w:snapToGrid w:val="0"/>
        <w:spacing w:after="120"/>
        <w:jc w:val="both"/>
      </w:pPr>
      <w:r w:rsidRPr="00582E24">
        <w:t>Por superávit/(déficit) acumulado se entienden los resultados acumulados de las operaciones de la UIT a lo largo del tiempo, corregidos en función de las transferencias realizadas hacia y desde las provisiones. Los movimientos en el superávit/(déficit) acumulado también se muestran en el Estado de las variaciones del activo neto.</w:t>
      </w:r>
    </w:p>
    <w:p w14:paraId="353903C7" w14:textId="674D6E2E" w:rsidR="00800DCC" w:rsidRPr="00582E24" w:rsidRDefault="00800DCC" w:rsidP="006D3F8A">
      <w:pPr>
        <w:pStyle w:val="Heading1"/>
        <w:rPr>
          <w:color w:val="4F81BD"/>
        </w:rPr>
      </w:pPr>
      <w:bookmarkStart w:id="113" w:name="_Toc1255578816"/>
      <w:bookmarkStart w:id="114" w:name="_Toc196292777"/>
      <w:bookmarkStart w:id="115" w:name="_Toc200461761"/>
      <w:bookmarkStart w:id="116" w:name="_Toc200461927"/>
      <w:r w:rsidRPr="00582E24">
        <w:rPr>
          <w:color w:val="4F81BD"/>
        </w:rPr>
        <w:t>Nota 5</w:t>
      </w:r>
      <w:r w:rsidRPr="00582E24">
        <w:rPr>
          <w:color w:val="4F81BD"/>
        </w:rPr>
        <w:tab/>
        <w:t>Riesgo financiero</w:t>
      </w:r>
      <w:bookmarkEnd w:id="113"/>
      <w:bookmarkEnd w:id="114"/>
      <w:bookmarkEnd w:id="115"/>
      <w:bookmarkEnd w:id="116"/>
    </w:p>
    <w:p w14:paraId="6752A95B" w14:textId="77777777" w:rsidR="00800DCC" w:rsidRPr="00582E24" w:rsidRDefault="00800DCC" w:rsidP="006D3F8A">
      <w:pPr>
        <w:jc w:val="both"/>
      </w:pPr>
      <w:r w:rsidRPr="00582E24">
        <w:t>En el marco de sus actividades, la UIT está expuesta a ciertos riesgos financieros, incluidos riesgos crediticios, riesgos de mercado (tipo de cambio de divisas), riesgos de tipo de interés y riesgos de liquidez. En esta nota se facilita información sobre la exposición de la UIT a cada uno de los riesgos antes mencionados y se exponen los principios adoptados por la Unión para gestionarlos y mantener su capital. La gestión de los riesgos financieros se ha centralizado bajo la responsabilidad de la Secretaria General.</w:t>
      </w:r>
    </w:p>
    <w:p w14:paraId="6937ED82" w14:textId="77777777" w:rsidR="00800DCC" w:rsidRPr="00582E24" w:rsidRDefault="00800DCC" w:rsidP="006D3F8A">
      <w:pPr>
        <w:jc w:val="both"/>
      </w:pPr>
      <w:r w:rsidRPr="00582E24">
        <w:t>Con arreglo al número 41 de las NICSP, la tesorería y los equivalentes de tesorería de la UIT se inscriben en los estados financieros al coste amortizado. Este cálculo expresa la cantidad de efectivo disponible y el valor de los activos que pueden convertirse directamente en cantidades conocidas de efectivo, menos cualesquiera reducciones de valor o degradaciones aplicables, en la fecha de presentación del informe.</w:t>
      </w:r>
    </w:p>
    <w:p w14:paraId="219F922F" w14:textId="77777777" w:rsidR="00800DCC" w:rsidRPr="00582E24" w:rsidRDefault="00800DCC" w:rsidP="006D3F8A">
      <w:pPr>
        <w:jc w:val="both"/>
      </w:pPr>
      <w:r w:rsidRPr="00582E24">
        <w:lastRenderedPageBreak/>
        <w:t>El justo valor de las cuentas por pagar a proveedores y de otros pasivos corrientes y contribuciones voluntarias se aproxima a su valor contable contabilizado debido a su naturaleza a corto plazo.</w:t>
      </w:r>
    </w:p>
    <w:p w14:paraId="01B7D584" w14:textId="72E6575D" w:rsidR="00800DCC" w:rsidRPr="00582E24" w:rsidRDefault="00800DCC" w:rsidP="006D3F8A">
      <w:r w:rsidRPr="00582E24">
        <w:t>Los empréstitos (préstamos) se contabilizan a su valor razonable si ya se dispone de un plan de amortización, o a su coste amortizado en caso contrario (véase la Nota 15).</w:t>
      </w:r>
    </w:p>
    <w:p w14:paraId="0486E486" w14:textId="77777777" w:rsidR="00800DCC" w:rsidRPr="00582E24" w:rsidRDefault="00800DCC" w:rsidP="006D3F8A">
      <w:pPr>
        <w:pStyle w:val="enumlev1"/>
        <w:rPr>
          <w:i/>
          <w:iCs/>
        </w:rPr>
      </w:pPr>
      <w:r w:rsidRPr="00582E24">
        <w:rPr>
          <w:i/>
          <w:iCs/>
        </w:rPr>
        <w:t>a)</w:t>
      </w:r>
      <w:r w:rsidRPr="00582E24">
        <w:rPr>
          <w:i/>
          <w:iCs/>
        </w:rPr>
        <w:tab/>
        <w:t>Riesgo de crédito</w:t>
      </w:r>
    </w:p>
    <w:p w14:paraId="45F9ABAB" w14:textId="67B0C554" w:rsidR="00800DCC" w:rsidRPr="00582E24" w:rsidRDefault="00800DCC" w:rsidP="006D3F8A">
      <w:pPr>
        <w:jc w:val="both"/>
      </w:pPr>
      <w:r w:rsidRPr="00582E24">
        <w:t>El riesgo de crédito es el riesgo de que la UIT sufra pérdidas financieras si un cliente o una contraparte en instrumentos financieros no cumple sus obligaciones contractuales, y se da principalmente en las inversiones, los créditos, y la tesorería y los equivalentes de tesorería. El valor contable de los activos financieros representa el riesgo de crédito máximo. La UIT afronta el riesgo de crédito relacionado con la tesorería y los equivalentes de tesorería, así como con las inversiones, distribuyéndolos entre varias instituciones bancarias con calificaciones crediticias de alto grado, en concreto, de A3 en adelante.</w:t>
      </w:r>
    </w:p>
    <w:p w14:paraId="163B986E" w14:textId="77777777" w:rsidR="00800DCC" w:rsidRPr="00582E24" w:rsidRDefault="00800DCC" w:rsidP="00B05A90">
      <w:pPr>
        <w:spacing w:after="240"/>
        <w:jc w:val="both"/>
      </w:pPr>
      <w:r w:rsidRPr="00582E24">
        <w:t>El riesgo de crédito máximo al 31 de diciembre era el siguiente:</w:t>
      </w:r>
    </w:p>
    <w:p w14:paraId="07536BF0" w14:textId="496F0C7E" w:rsidR="00800DCC" w:rsidRPr="00582E24" w:rsidDel="003F0E08" w:rsidRDefault="006D3F8A" w:rsidP="00B05A90">
      <w:pPr>
        <w:pStyle w:val="Figure"/>
        <w:spacing w:after="240"/>
      </w:pPr>
      <w:r w:rsidRPr="00582E24">
        <w:rPr>
          <w:noProof/>
        </w:rPr>
        <w:drawing>
          <wp:inline distT="0" distB="0" distL="0" distR="0" wp14:anchorId="01276A46" wp14:editId="7EDEEE75">
            <wp:extent cx="4649470" cy="1642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49470" cy="1642745"/>
                    </a:xfrm>
                    <a:prstGeom prst="rect">
                      <a:avLst/>
                    </a:prstGeom>
                    <a:noFill/>
                    <a:ln>
                      <a:noFill/>
                    </a:ln>
                  </pic:spPr>
                </pic:pic>
              </a:graphicData>
            </a:graphic>
          </wp:inline>
        </w:drawing>
      </w:r>
    </w:p>
    <w:p w14:paraId="26607D9A" w14:textId="77777777" w:rsidR="00800DCC" w:rsidRPr="00582E24" w:rsidRDefault="00800DCC" w:rsidP="006D3F8A">
      <w:pPr>
        <w:pStyle w:val="enumlev1"/>
        <w:rPr>
          <w:i/>
          <w:iCs/>
        </w:rPr>
      </w:pPr>
      <w:r w:rsidRPr="00582E24">
        <w:rPr>
          <w:i/>
          <w:iCs/>
        </w:rPr>
        <w:t>b)</w:t>
      </w:r>
      <w:r w:rsidRPr="00582E24">
        <w:rPr>
          <w:i/>
          <w:iCs/>
        </w:rPr>
        <w:tab/>
        <w:t>Calidad de crédito</w:t>
      </w:r>
    </w:p>
    <w:p w14:paraId="5EBF4540" w14:textId="667DF742" w:rsidR="00800DCC" w:rsidRPr="00582E24" w:rsidRDefault="00800DCC" w:rsidP="006D3F8A">
      <w:pPr>
        <w:jc w:val="both"/>
      </w:pPr>
      <w:r w:rsidRPr="00582E24">
        <w:t>La calidad de crédito es el riesgo evaluado de impago de las contrapartes a las que la UIT da crédito y de las partes en las que invierte la organización. La Unión ha examinado los niveles de las cuentas por cobrar procedentes de contribuciones previstas y de otras fuentes. Preocupa el vencimiento de las cuentas por cobrar de los Estados Miembros, los Miembros de Sector y los Asociados. En la Resolución 41 (Rev. Dubái, 2018) de la Conferencia de Plenipotenciarios, sobre atrasos y cuentas especiales de atrasos, se destaca el nivel de los atrasos, se instauran mecanismos para el reembolso y se alienta a quienes incurren en atrasos a realizar los pagos de manera oportuna para garantizar que la UIT disponga de financiación suficiente. Este nivel de atrasos afectará a la estabilidad financiera de la Unión si no se recaudan los importes pendientes. En 2024, se liquidaron 0,2 millones CHF en concepto de principal de deudas por cobrar, junto con 0,2 millones CHF en concepto de intereses de demora. Es necesario seguir trabajando con el objetivo de que la UIT pueda recaudar las cuentas por cobrar de manera oportuna en el futuro.</w:t>
      </w:r>
    </w:p>
    <w:p w14:paraId="6AD08CF4" w14:textId="5AF14243" w:rsidR="00800DCC" w:rsidRPr="00582E24" w:rsidRDefault="00800DCC" w:rsidP="006D3F8A">
      <w:pPr>
        <w:jc w:val="both"/>
      </w:pPr>
      <w:r w:rsidRPr="00582E24">
        <w:t xml:space="preserve">Además, la UIT envía declaraciones trimestrales sobre los atrasos y la suspensión de la participación a fin de alentar a los Estados Miembros, los Miembros de Sector y los Asociados a liquidar sus atrasos. En ese sentido, la pérdida de los derechos de voto por parte de los Estados Miembros es un incentivo adicional para </w:t>
      </w:r>
      <w:r w:rsidRPr="00582E24" w:rsidDel="00A972FF">
        <w:t xml:space="preserve">fomentar el </w:t>
      </w:r>
      <w:r w:rsidRPr="00582E24">
        <w:t>pago puntual y la liquidación de los atrasos.</w:t>
      </w:r>
      <w:bookmarkStart w:id="117" w:name="_Hlk70585493"/>
    </w:p>
    <w:p w14:paraId="5DBC4B46" w14:textId="77777777" w:rsidR="00800DCC" w:rsidRPr="00582E24" w:rsidRDefault="00800DCC" w:rsidP="00F9010B">
      <w:pPr>
        <w:pStyle w:val="enumlev1"/>
        <w:keepNext/>
        <w:rPr>
          <w:i/>
        </w:rPr>
      </w:pPr>
      <w:r w:rsidRPr="00582E24">
        <w:rPr>
          <w:i/>
        </w:rPr>
        <w:lastRenderedPageBreak/>
        <w:t>c)</w:t>
      </w:r>
      <w:r w:rsidRPr="00582E24">
        <w:rPr>
          <w:i/>
        </w:rPr>
        <w:tab/>
        <w:t>Riesgo de tipo de interés</w:t>
      </w:r>
    </w:p>
    <w:p w14:paraId="1BA0A628" w14:textId="2157F469" w:rsidR="00800DCC" w:rsidRPr="00582E24" w:rsidRDefault="00800DCC" w:rsidP="00F9010B">
      <w:pPr>
        <w:keepNext/>
        <w:jc w:val="both"/>
      </w:pPr>
      <w:r w:rsidRPr="00582E24">
        <w:t>La UIT está expuesta a riesgos de tipo de interés en sus inversiones a corto plazo en dólares estadounidenses (USD) y en euros (EUR). La UIT generó 4,6 millones CHF en intereses (4,6</w:t>
      </w:r>
      <w:r w:rsidR="004D202E" w:rsidRPr="00582E24">
        <w:t> </w:t>
      </w:r>
      <w:r w:rsidRPr="00582E24">
        <w:t>millones CHF en 2023).</w:t>
      </w:r>
    </w:p>
    <w:p w14:paraId="7D130B51" w14:textId="77777777" w:rsidR="00800DCC" w:rsidRPr="00582E24" w:rsidRDefault="00800DCC" w:rsidP="00F9010B">
      <w:pPr>
        <w:pStyle w:val="enumlev1"/>
        <w:keepNext/>
        <w:rPr>
          <w:i/>
        </w:rPr>
      </w:pPr>
      <w:r w:rsidRPr="00582E24">
        <w:rPr>
          <w:i/>
        </w:rPr>
        <w:t>d)</w:t>
      </w:r>
      <w:r w:rsidRPr="00582E24">
        <w:rPr>
          <w:i/>
        </w:rPr>
        <w:tab/>
        <w:t>Riesgo de liquidez</w:t>
      </w:r>
    </w:p>
    <w:p w14:paraId="5EA62ADE" w14:textId="07868346" w:rsidR="00800DCC" w:rsidRPr="00582E24" w:rsidRDefault="00800DCC" w:rsidP="00F9010B">
      <w:pPr>
        <w:jc w:val="both"/>
      </w:pPr>
      <w:r w:rsidRPr="00582E24">
        <w:t>El riesgo de liquidez es el riesgo de que la UIT no pueda cumplir con sus obligaciones en su fecha de vencimiento. Para gestionar el riesgo de liquidez, la Unión vela por disponer de suficiente liquidez para cumplir con sus obligaciones a tiempo. En concreto, la organización recurre a las previsiones relativas a los flujos de tesorería, a fin de asegurarse de que dispone de efectivo suficiente para hacer frente a los gastos de explotación previstos.</w:t>
      </w:r>
    </w:p>
    <w:p w14:paraId="27C77E03" w14:textId="4E66C1D6" w:rsidR="00800DCC" w:rsidRPr="00582E24" w:rsidRDefault="00800DCC" w:rsidP="00F9010B">
      <w:pPr>
        <w:jc w:val="both"/>
      </w:pPr>
      <w:r w:rsidRPr="00582E24">
        <w:t>El principal objetivo de la gestión del capital de la UIT es garantizar que exista un nivel de tesorería suficiente para cubrir los requisitos de financiación de la organización, incluidos los gastos de capital, de tal manera que la Unión pueda mantener su solidez financiera.</w:t>
      </w:r>
    </w:p>
    <w:p w14:paraId="2B39FA21" w14:textId="77777777" w:rsidR="00800DCC" w:rsidRPr="00582E24" w:rsidRDefault="00800DCC" w:rsidP="00F9010B">
      <w:pPr>
        <w:pStyle w:val="enumlev1"/>
        <w:keepNext/>
        <w:rPr>
          <w:i/>
        </w:rPr>
      </w:pPr>
      <w:r w:rsidRPr="00582E24">
        <w:rPr>
          <w:i/>
        </w:rPr>
        <w:t>e)</w:t>
      </w:r>
      <w:r w:rsidRPr="00582E24">
        <w:rPr>
          <w:i/>
        </w:rPr>
        <w:tab/>
        <w:t>Riesgo de divisas</w:t>
      </w:r>
    </w:p>
    <w:p w14:paraId="6A3D90F0" w14:textId="4CA63B5D" w:rsidR="00800DCC" w:rsidRPr="00582E24" w:rsidRDefault="00800DCC" w:rsidP="00F9010B">
      <w:pPr>
        <w:jc w:val="both"/>
      </w:pPr>
      <w:r w:rsidRPr="00582E24">
        <w:t>La UIT recibe contribuciones presupuestarias ordinarias y contribuciones de los Estados Miembros en francos suizos, y contribuciones extrapresupuestarias en francos suizos y en otras divisas (en su mayoría, dólares estadounidenses y euros). La UIT no recurre a contratos de cambio a plazo fijo, futuros, permutas u opciones sobre divisas para paliar las pérdidas o ganancias por cambio de divisas realizadas o no realizadas. Siempre que resulta posible, el riesgo de cambio se gestiona atribuyendo directamente las divisas necesarias a las cuentas bancarias apropiadas mantenidas en las mismas divisas.</w:t>
      </w:r>
    </w:p>
    <w:p w14:paraId="56EE35EE" w14:textId="20404165" w:rsidR="00800DCC" w:rsidRPr="00582E24" w:rsidRDefault="00800DCC" w:rsidP="00F9010B">
      <w:pPr>
        <w:jc w:val="both"/>
      </w:pPr>
      <w:r w:rsidRPr="00582E24">
        <w:t>Cabe señalar que los pagos mensuales que se realizan en el marco del seguro de salud se gestionan en francos suizos, lo cual reduce significativamente la exposición a las fluctuaciones de los tipos de cambio. La Unión sigue expuesta a las pérdidas y ganancias por diferencias cambiarias derivadas del pago de contribuciones a la CCPPNU, así como de la contribución extraordinaria pendiente relacionada con la afiliación a la UNSMIS, en dólares estadounidenses. No obstante, habida cuenta de que las contribuciones del personal profesional se contabilizan en dólares estadounidenses y las del personal de servicios generales se contabilizan en francos suizos, y que el número de funcionarios de ambas categorías es más o menos el mismo, las fluctuaciones de los tipos de cambio tienden a equilibrarse.</w:t>
      </w:r>
    </w:p>
    <w:p w14:paraId="0B97D723" w14:textId="5C1974AA" w:rsidR="00800DCC" w:rsidRPr="00582E24" w:rsidRDefault="00800DCC" w:rsidP="00F9010B">
      <w:pPr>
        <w:jc w:val="both"/>
      </w:pPr>
      <w:r w:rsidRPr="00582E24">
        <w:t>Las contribuciones extrapresupuestarias se gestionan en la divisa en la que se reciben y se convierten a francos suizos a efectos de presentación. En el siguiente cuadro se recogen los principales importes conservados en moneda extranjera, en los bancos de la UIT en euros y dólares estadounidenses, en concepto de tesorería y equivalentes de tesorería, e inversiones.</w:t>
      </w:r>
      <w:bookmarkEnd w:id="117"/>
    </w:p>
    <w:p w14:paraId="5B250DDD" w14:textId="77777777" w:rsidR="00800DCC" w:rsidRPr="00582E24" w:rsidRDefault="00800DCC" w:rsidP="00F9010B">
      <w:pPr>
        <w:jc w:val="both"/>
      </w:pPr>
      <w:r w:rsidRPr="00582E24">
        <w:t>La UIT está reforzando sus prácticas de gestión de moneda extranjera con el objetivo de adecuar mejor sus inversiones en dichas monedas a su divisa funcional (CHF), reduciendo así su vulnerabilidad a la volatilidad de los tipos de cambio y garantizando unos resultados financieros más previsibles y estables.</w:t>
      </w:r>
    </w:p>
    <w:p w14:paraId="3791C14F" w14:textId="501149C7" w:rsidR="00800DCC" w:rsidRPr="00582E24" w:rsidRDefault="00F9010B" w:rsidP="00B05A90">
      <w:pPr>
        <w:pStyle w:val="Figure"/>
        <w:spacing w:after="240"/>
        <w:rPr>
          <w:szCs w:val="24"/>
        </w:rPr>
      </w:pPr>
      <w:r w:rsidRPr="00582E24">
        <w:rPr>
          <w:noProof/>
        </w:rPr>
        <w:lastRenderedPageBreak/>
        <w:drawing>
          <wp:inline distT="0" distB="0" distL="0" distR="0" wp14:anchorId="4F921BB8" wp14:editId="234603EC">
            <wp:extent cx="4703445" cy="191389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03445" cy="1913890"/>
                    </a:xfrm>
                    <a:prstGeom prst="rect">
                      <a:avLst/>
                    </a:prstGeom>
                    <a:noFill/>
                    <a:ln>
                      <a:noFill/>
                    </a:ln>
                  </pic:spPr>
                </pic:pic>
              </a:graphicData>
            </a:graphic>
          </wp:inline>
        </w:drawing>
      </w:r>
    </w:p>
    <w:p w14:paraId="6DB1CE5C" w14:textId="77777777" w:rsidR="00800DCC" w:rsidRPr="00582E24" w:rsidRDefault="00800DCC" w:rsidP="00F9010B">
      <w:pPr>
        <w:pStyle w:val="enumlev1"/>
        <w:rPr>
          <w:i/>
          <w:iCs/>
        </w:rPr>
      </w:pPr>
      <w:r w:rsidRPr="00582E24">
        <w:rPr>
          <w:i/>
          <w:iCs/>
        </w:rPr>
        <w:t>f)</w:t>
      </w:r>
      <w:r w:rsidRPr="00582E24">
        <w:rPr>
          <w:i/>
          <w:iCs/>
        </w:rPr>
        <w:tab/>
        <w:t>Riesgo de mercado</w:t>
      </w:r>
    </w:p>
    <w:p w14:paraId="59469761" w14:textId="606D8F4A" w:rsidR="00800DCC" w:rsidRPr="00582E24" w:rsidRDefault="00800DCC" w:rsidP="00F9010B">
      <w:pPr>
        <w:jc w:val="both"/>
      </w:pPr>
      <w:r w:rsidRPr="00582E24">
        <w:t>Por riesgo de mercado se entiende el riesgo de que los precios del mercado varíen, incluidos los tipos de cambio y los tipos de interés, y afecten a los ingresos de la UIT o al valor de sus instrumentos financieros. El objetivo de la gestión del riesgo de mercado es gestionar y controlar la exposición a dicho riesgo dentro de unos parámetros aceptables, optimizando al mismo tiempo la rentabilidad del riesgo.</w:t>
      </w:r>
    </w:p>
    <w:p w14:paraId="042A5D1A" w14:textId="4F0F4875" w:rsidR="00800DCC" w:rsidRPr="00582E24" w:rsidRDefault="00800DCC" w:rsidP="00DB77B3">
      <w:pPr>
        <w:spacing w:after="240"/>
        <w:jc w:val="both"/>
      </w:pPr>
      <w:bookmarkStart w:id="118" w:name="_Int_xMJpduq5"/>
      <w:r w:rsidRPr="00582E24">
        <w:t xml:space="preserve">Los perfiles de vencimiento de los instrumentos financieros de la UIT </w:t>
      </w:r>
      <w:bookmarkEnd w:id="118"/>
      <w:r w:rsidRPr="00582E24">
        <w:t>al 31 de diciembre de</w:t>
      </w:r>
      <w:r w:rsidR="00DB77B3" w:rsidRPr="00582E24">
        <w:t> </w:t>
      </w:r>
      <w:r w:rsidRPr="00582E24">
        <w:t>2024 eran los siguientes:</w:t>
      </w:r>
    </w:p>
    <w:p w14:paraId="68426165" w14:textId="46480575" w:rsidR="00800DCC" w:rsidRPr="00582E24" w:rsidRDefault="00D610C3" w:rsidP="00800DCC">
      <w:pPr>
        <w:tabs>
          <w:tab w:val="clear" w:pos="567"/>
          <w:tab w:val="clear" w:pos="1134"/>
          <w:tab w:val="clear" w:pos="1701"/>
          <w:tab w:val="clear" w:pos="2268"/>
          <w:tab w:val="clear" w:pos="2835"/>
        </w:tabs>
        <w:overflowPunct/>
        <w:autoSpaceDE/>
        <w:autoSpaceDN/>
        <w:adjustRightInd/>
        <w:spacing w:after="120"/>
        <w:jc w:val="center"/>
        <w:textAlignment w:val="auto"/>
        <w:rPr>
          <w:b/>
          <w:color w:val="4F81BD" w:themeColor="accent1"/>
        </w:rPr>
      </w:pPr>
      <w:bookmarkStart w:id="119" w:name="_Toc305764081"/>
      <w:bookmarkStart w:id="120" w:name="_Toc1071002657"/>
      <w:bookmarkStart w:id="121" w:name="_Toc196292778"/>
      <w:r w:rsidRPr="00582E24">
        <w:rPr>
          <w:noProof/>
        </w:rPr>
        <w:drawing>
          <wp:inline distT="0" distB="0" distL="0" distR="0" wp14:anchorId="7AE92F50" wp14:editId="7A6315CB">
            <wp:extent cx="5261610" cy="296799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61610" cy="2967990"/>
                    </a:xfrm>
                    <a:prstGeom prst="rect">
                      <a:avLst/>
                    </a:prstGeom>
                    <a:noFill/>
                    <a:ln>
                      <a:noFill/>
                    </a:ln>
                  </pic:spPr>
                </pic:pic>
              </a:graphicData>
            </a:graphic>
          </wp:inline>
        </w:drawing>
      </w:r>
    </w:p>
    <w:p w14:paraId="559F4D4F" w14:textId="70F7D9E3" w:rsidR="00800DCC" w:rsidRPr="00582E24" w:rsidRDefault="00800DCC" w:rsidP="00D610C3">
      <w:pPr>
        <w:pStyle w:val="Heading1"/>
        <w:rPr>
          <w:color w:val="4F81BD"/>
        </w:rPr>
      </w:pPr>
      <w:bookmarkStart w:id="122" w:name="_Toc200461762"/>
      <w:bookmarkStart w:id="123" w:name="_Toc200461928"/>
      <w:r w:rsidRPr="00582E24">
        <w:rPr>
          <w:color w:val="4F81BD"/>
        </w:rPr>
        <w:t>Nota 6</w:t>
      </w:r>
      <w:r w:rsidRPr="00582E24">
        <w:rPr>
          <w:color w:val="4F81BD"/>
        </w:rPr>
        <w:tab/>
        <w:t>Tesorería y equivalentes de tesorería</w:t>
      </w:r>
      <w:bookmarkEnd w:id="119"/>
      <w:bookmarkEnd w:id="120"/>
      <w:bookmarkEnd w:id="121"/>
      <w:bookmarkEnd w:id="122"/>
      <w:bookmarkEnd w:id="123"/>
    </w:p>
    <w:p w14:paraId="5B65C5EF" w14:textId="3712A34B" w:rsidR="00800DCC" w:rsidRPr="00582E24" w:rsidRDefault="00800DCC" w:rsidP="00D610C3">
      <w:pPr>
        <w:jc w:val="both"/>
        <w:rPr>
          <w:rStyle w:val="normaltextrun"/>
          <w:rFonts w:cs="Calibri"/>
          <w:color w:val="000000"/>
          <w:shd w:val="clear" w:color="auto" w:fill="FFFFFF"/>
        </w:rPr>
      </w:pPr>
      <w:r w:rsidRPr="00582E24">
        <w:t>El siguiente cuadro contiene un desglose de los saldos de tesorería y equivalentes de tesorería al 31 de diciembre de 2024 y 2023.</w:t>
      </w:r>
    </w:p>
    <w:p w14:paraId="6A6753CA" w14:textId="175DC0AC" w:rsidR="00800DCC" w:rsidRPr="00582E24" w:rsidRDefault="00A05A53" w:rsidP="00D8111D">
      <w:pPr>
        <w:pStyle w:val="Figure"/>
        <w:spacing w:after="240"/>
      </w:pPr>
      <w:r w:rsidRPr="00582E24">
        <w:rPr>
          <w:noProof/>
        </w:rPr>
        <w:lastRenderedPageBreak/>
        <w:drawing>
          <wp:inline distT="0" distB="0" distL="0" distR="0" wp14:anchorId="7FDEBEAE" wp14:editId="592263DB">
            <wp:extent cx="4649470" cy="158051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49470" cy="1580515"/>
                    </a:xfrm>
                    <a:prstGeom prst="rect">
                      <a:avLst/>
                    </a:prstGeom>
                    <a:noFill/>
                    <a:ln>
                      <a:noFill/>
                    </a:ln>
                  </pic:spPr>
                </pic:pic>
              </a:graphicData>
            </a:graphic>
          </wp:inline>
        </w:drawing>
      </w:r>
    </w:p>
    <w:p w14:paraId="190650CA" w14:textId="0FE95FB0" w:rsidR="00800DCC" w:rsidRPr="00582E24" w:rsidRDefault="00800DCC" w:rsidP="00DB77B3">
      <w:pPr>
        <w:spacing w:before="240" w:after="240"/>
        <w:jc w:val="both"/>
        <w:rPr>
          <w:rStyle w:val="normaltextrun"/>
          <w:rFonts w:cs="Calibri"/>
          <w:color w:val="000000"/>
          <w:shd w:val="clear" w:color="auto" w:fill="FFFFFF"/>
        </w:rPr>
      </w:pPr>
      <w:r w:rsidRPr="00582E24">
        <w:t>La tesorería y los equivalentes de tesorería limitados para 2024 y 2023 ascienden a</w:t>
      </w:r>
      <w:r w:rsidR="00DB77B3" w:rsidRPr="00582E24">
        <w:t> </w:t>
      </w:r>
      <w:r w:rsidRPr="00582E24">
        <w:t>28,9</w:t>
      </w:r>
      <w:r w:rsidR="00DB77B3" w:rsidRPr="00582E24">
        <w:t> </w:t>
      </w:r>
      <w:r w:rsidRPr="00582E24">
        <w:t>millones CHF y 27,5 millones CHF, respectivamente. Ambas partidas guardan principalmente relación con la FIPOI y las donaciones recibidas para el nuevo edificio, así como con las inversiones relacionadas con el antiguo fondo de pensiones de la UIT.</w:t>
      </w:r>
    </w:p>
    <w:p w14:paraId="22561825" w14:textId="0728AF25" w:rsidR="00800DCC" w:rsidRPr="00582E24" w:rsidRDefault="00A05A53" w:rsidP="00A05A53">
      <w:pPr>
        <w:pStyle w:val="Figure"/>
      </w:pPr>
      <w:r w:rsidRPr="00582E24">
        <w:rPr>
          <w:noProof/>
        </w:rPr>
        <w:drawing>
          <wp:inline distT="0" distB="0" distL="0" distR="0" wp14:anchorId="36EFB170" wp14:editId="09792262">
            <wp:extent cx="4649470" cy="241744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49470" cy="2417445"/>
                    </a:xfrm>
                    <a:prstGeom prst="rect">
                      <a:avLst/>
                    </a:prstGeom>
                    <a:noFill/>
                    <a:ln>
                      <a:noFill/>
                    </a:ln>
                  </pic:spPr>
                </pic:pic>
              </a:graphicData>
            </a:graphic>
          </wp:inline>
        </w:drawing>
      </w:r>
    </w:p>
    <w:p w14:paraId="5BE91736" w14:textId="663913EC" w:rsidR="00800DCC" w:rsidRPr="00582E24" w:rsidRDefault="00800DCC" w:rsidP="00A05A53">
      <w:pPr>
        <w:pStyle w:val="Heading1"/>
        <w:rPr>
          <w:color w:val="4F81BD"/>
        </w:rPr>
      </w:pPr>
      <w:bookmarkStart w:id="124" w:name="_Toc305764082"/>
      <w:bookmarkStart w:id="125" w:name="_Toc1048953102"/>
      <w:bookmarkStart w:id="126" w:name="_Toc196292779"/>
      <w:bookmarkStart w:id="127" w:name="_Toc200461763"/>
      <w:bookmarkStart w:id="128" w:name="_Toc200461929"/>
      <w:r w:rsidRPr="00582E24">
        <w:rPr>
          <w:color w:val="4F81BD"/>
        </w:rPr>
        <w:t>Nota 7</w:t>
      </w:r>
      <w:r w:rsidRPr="00582E24">
        <w:rPr>
          <w:color w:val="4F81BD"/>
        </w:rPr>
        <w:tab/>
        <w:t>Inversiones</w:t>
      </w:r>
      <w:bookmarkEnd w:id="124"/>
      <w:bookmarkEnd w:id="125"/>
      <w:bookmarkEnd w:id="126"/>
      <w:bookmarkEnd w:id="127"/>
      <w:bookmarkEnd w:id="128"/>
    </w:p>
    <w:p w14:paraId="182C4F4E" w14:textId="162DD392" w:rsidR="00800DCC" w:rsidRPr="00582E24" w:rsidRDefault="00800DCC" w:rsidP="00A05A53">
      <w:pPr>
        <w:jc w:val="both"/>
      </w:pPr>
      <w:r w:rsidRPr="00582E24">
        <w:t>Actualmente, la UIT está examinando su estrategia de inversión a medio y largo plazo; ante las incertidumbres que rodeaban a los tipos de cambio y los tipos de interés, la organización decidió no realizar inversiones a medio y largo plazo. En consecuencia, a finales de 2024, la</w:t>
      </w:r>
      <w:r w:rsidR="00EA4E39" w:rsidRPr="00582E24">
        <w:t> </w:t>
      </w:r>
      <w:r w:rsidRPr="00582E24">
        <w:t>UIT carecía de inversiones.</w:t>
      </w:r>
    </w:p>
    <w:p w14:paraId="76EB3142" w14:textId="249A3317" w:rsidR="00800DCC" w:rsidRPr="00582E24" w:rsidRDefault="00800DCC" w:rsidP="00EA4E39">
      <w:pPr>
        <w:spacing w:after="240"/>
        <w:jc w:val="both"/>
        <w:rPr>
          <w:rFonts w:cs="Arial"/>
          <w:lang w:eastAsia="fr-FR"/>
        </w:rPr>
      </w:pPr>
      <w:r w:rsidRPr="00582E24">
        <w:t>El siguiente cuadro contiene un desglose de las inversiones a plazo fijo por fecha de vencimiento (periodo restante) y por divisa:</w:t>
      </w:r>
    </w:p>
    <w:p w14:paraId="37CDAD95" w14:textId="7D31AAC9" w:rsidR="00800DCC" w:rsidRPr="00582E24" w:rsidRDefault="00A05A53" w:rsidP="00800DCC">
      <w:pPr>
        <w:tabs>
          <w:tab w:val="clear" w:pos="567"/>
          <w:tab w:val="clear" w:pos="1134"/>
          <w:tab w:val="clear" w:pos="1701"/>
          <w:tab w:val="clear" w:pos="2268"/>
          <w:tab w:val="clear" w:pos="2835"/>
        </w:tabs>
        <w:overflowPunct/>
        <w:autoSpaceDE/>
        <w:autoSpaceDN/>
        <w:adjustRightInd/>
        <w:spacing w:after="120"/>
        <w:jc w:val="center"/>
        <w:textAlignment w:val="auto"/>
        <w:rPr>
          <w:rFonts w:cs="Arial"/>
          <w:lang w:eastAsia="fr-FR"/>
        </w:rPr>
      </w:pPr>
      <w:r w:rsidRPr="00582E24">
        <w:rPr>
          <w:noProof/>
        </w:rPr>
        <w:drawing>
          <wp:inline distT="0" distB="0" distL="0" distR="0" wp14:anchorId="3A1AA011" wp14:editId="63318113">
            <wp:extent cx="4649470" cy="150304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49470" cy="1503045"/>
                    </a:xfrm>
                    <a:prstGeom prst="rect">
                      <a:avLst/>
                    </a:prstGeom>
                    <a:noFill/>
                    <a:ln>
                      <a:noFill/>
                    </a:ln>
                  </pic:spPr>
                </pic:pic>
              </a:graphicData>
            </a:graphic>
          </wp:inline>
        </w:drawing>
      </w:r>
    </w:p>
    <w:p w14:paraId="688909AA" w14:textId="7A010157" w:rsidR="00800DCC" w:rsidRPr="00582E24" w:rsidRDefault="00800DCC" w:rsidP="00A05A53">
      <w:pPr>
        <w:pStyle w:val="Heading1"/>
        <w:rPr>
          <w:color w:val="4F81BD"/>
        </w:rPr>
      </w:pPr>
      <w:bookmarkStart w:id="129" w:name="_Toc305764083"/>
      <w:bookmarkStart w:id="130" w:name="_Toc1900259113"/>
      <w:bookmarkStart w:id="131" w:name="_Toc196292780"/>
      <w:bookmarkStart w:id="132" w:name="_Toc200461764"/>
      <w:bookmarkStart w:id="133" w:name="_Toc200461930"/>
      <w:r w:rsidRPr="00582E24">
        <w:rPr>
          <w:color w:val="4F81BD"/>
        </w:rPr>
        <w:lastRenderedPageBreak/>
        <w:t>Nota 8</w:t>
      </w:r>
      <w:r w:rsidRPr="00582E24">
        <w:rPr>
          <w:color w:val="4F81BD"/>
        </w:rPr>
        <w:tab/>
        <w:t>Cuentas por cobrar</w:t>
      </w:r>
      <w:bookmarkEnd w:id="129"/>
      <w:bookmarkEnd w:id="130"/>
      <w:bookmarkEnd w:id="131"/>
      <w:bookmarkEnd w:id="132"/>
      <w:bookmarkEnd w:id="133"/>
    </w:p>
    <w:p w14:paraId="6C44A51C" w14:textId="77777777" w:rsidR="00800DCC" w:rsidRPr="00582E24" w:rsidRDefault="00800DCC" w:rsidP="00A05A53">
      <w:pPr>
        <w:jc w:val="both"/>
      </w:pPr>
      <w:r w:rsidRPr="00582E24">
        <w:t>Las cuentas por cobrar representan ingresos no recaudados en concepto de contribuciones previstas y voluntarias, publicaciones y notificaciones de redes de satélites.</w:t>
      </w:r>
    </w:p>
    <w:p w14:paraId="207F01A9" w14:textId="0DEE0268" w:rsidR="00800DCC" w:rsidRPr="00582E24" w:rsidRDefault="00800DCC" w:rsidP="00EA4E39">
      <w:pPr>
        <w:spacing w:after="240"/>
        <w:jc w:val="both"/>
      </w:pPr>
      <w:r w:rsidRPr="00582E24">
        <w:t>Las cuentas por cobrar no corrientes y sin contraprestación reflejan la deuda de ciertos miembros que se han comprometido a reembolsar sus atrasos en el marco de acuerdos de amortización programados durante varios ejercicios, así como cuentas por cobrar extrapresupuestarias relacionadas con proyectos en curso a largo plazo, que se espera percibir en ejercicios sucesivos. El notable aumento registrado con respecto al año anterior se debe a la firma de diversos proyectos adicionales en 2024, que se espera ejecutar en el futuro. Para obtener más información al respecto, véase la Nota 14.</w:t>
      </w:r>
    </w:p>
    <w:p w14:paraId="436F65D2" w14:textId="50CDCB99" w:rsidR="00800DCC" w:rsidRPr="00582E24" w:rsidRDefault="00A05A53" w:rsidP="00A05A53">
      <w:pPr>
        <w:pStyle w:val="Figure"/>
      </w:pPr>
      <w:r w:rsidRPr="00582E24">
        <w:rPr>
          <w:noProof/>
        </w:rPr>
        <w:drawing>
          <wp:inline distT="0" distB="0" distL="0" distR="0" wp14:anchorId="0913936B" wp14:editId="0E21C924">
            <wp:extent cx="5760085" cy="2476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085" cy="2476500"/>
                    </a:xfrm>
                    <a:prstGeom prst="rect">
                      <a:avLst/>
                    </a:prstGeom>
                    <a:noFill/>
                    <a:ln>
                      <a:noFill/>
                    </a:ln>
                  </pic:spPr>
                </pic:pic>
              </a:graphicData>
            </a:graphic>
          </wp:inline>
        </w:drawing>
      </w:r>
    </w:p>
    <w:p w14:paraId="23A1F053" w14:textId="21FC1B7B" w:rsidR="00800DCC" w:rsidRPr="00582E24" w:rsidRDefault="00800DCC" w:rsidP="00A05A53">
      <w:pPr>
        <w:pStyle w:val="Heading1"/>
        <w:rPr>
          <w:color w:val="4F81BD"/>
        </w:rPr>
      </w:pPr>
      <w:bookmarkStart w:id="134" w:name="_Toc305764085"/>
      <w:bookmarkStart w:id="135" w:name="_Toc2085533693"/>
      <w:bookmarkStart w:id="136" w:name="_Toc196292781"/>
      <w:bookmarkStart w:id="137" w:name="_Toc200461765"/>
      <w:bookmarkStart w:id="138" w:name="_Toc200461931"/>
      <w:r w:rsidRPr="00582E24">
        <w:rPr>
          <w:color w:val="4F81BD"/>
        </w:rPr>
        <w:t>Nota 9</w:t>
      </w:r>
      <w:r w:rsidRPr="00582E24">
        <w:rPr>
          <w:color w:val="4F81BD"/>
        </w:rPr>
        <w:tab/>
        <w:t>Otras cuentas por cobrar</w:t>
      </w:r>
      <w:bookmarkEnd w:id="134"/>
      <w:bookmarkEnd w:id="135"/>
      <w:bookmarkEnd w:id="136"/>
      <w:bookmarkEnd w:id="137"/>
      <w:bookmarkEnd w:id="138"/>
    </w:p>
    <w:p w14:paraId="168D5B20" w14:textId="77777777" w:rsidR="00800DCC" w:rsidRPr="00582E24" w:rsidRDefault="00800DCC" w:rsidP="00A05A53">
      <w:pPr>
        <w:jc w:val="both"/>
      </w:pPr>
      <w:r w:rsidRPr="00582E24">
        <w:t>La principal categoría gasto de la partida de otras cuentas por cobrar la integran los gastos anticipados, los cuales aumentaron en aproximadamente 1 millón CHF en comparación con diciembre de 2023, debido, principalmente, a diversos pagos anticipados relacionados con transacciones del PNUD, SSA y otros.</w:t>
      </w:r>
    </w:p>
    <w:p w14:paraId="47ED8C3A" w14:textId="77777777" w:rsidR="00800DCC" w:rsidRPr="00582E24" w:rsidRDefault="00800DCC" w:rsidP="00A05A53">
      <w:pPr>
        <w:jc w:val="both"/>
      </w:pPr>
      <w:r w:rsidRPr="00582E24">
        <w:t>Los anticipos al personal son anticipos ofrecidos a miembros del personal con arreglo al Estatuto del Personal de la UIT.</w:t>
      </w:r>
    </w:p>
    <w:p w14:paraId="7F297059" w14:textId="77777777" w:rsidR="00800DCC" w:rsidRPr="00582E24" w:rsidRDefault="00800DCC" w:rsidP="00A05A53">
      <w:pPr>
        <w:jc w:val="both"/>
      </w:pPr>
      <w:r w:rsidRPr="00582E24">
        <w:t>Los impuestos a cuenta comprenden los impuestos reembolsables por la Administración Tributaria Federal de la Confederación Suiza, así como los impuestos sobre la renta exigibles al Gobierno de los Estados Unidos de América.</w:t>
      </w:r>
    </w:p>
    <w:p w14:paraId="73C7FA05" w14:textId="73EC3F7E" w:rsidR="00800DCC" w:rsidRPr="00582E24" w:rsidRDefault="00A05A53" w:rsidP="00800DCC">
      <w:pPr>
        <w:spacing w:after="120"/>
        <w:jc w:val="center"/>
      </w:pPr>
      <w:r w:rsidRPr="00582E24">
        <w:rPr>
          <w:noProof/>
        </w:rPr>
        <w:lastRenderedPageBreak/>
        <w:drawing>
          <wp:inline distT="0" distB="0" distL="0" distR="0" wp14:anchorId="3084C416" wp14:editId="72B3B9CF">
            <wp:extent cx="4827905" cy="176657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27905" cy="1766570"/>
                    </a:xfrm>
                    <a:prstGeom prst="rect">
                      <a:avLst/>
                    </a:prstGeom>
                    <a:noFill/>
                    <a:ln>
                      <a:noFill/>
                    </a:ln>
                  </pic:spPr>
                </pic:pic>
              </a:graphicData>
            </a:graphic>
          </wp:inline>
        </w:drawing>
      </w:r>
    </w:p>
    <w:p w14:paraId="59CF7D0A" w14:textId="77777777" w:rsidR="00800DCC" w:rsidRPr="00582E24" w:rsidRDefault="00800DCC" w:rsidP="00605930">
      <w:pPr>
        <w:pStyle w:val="Heading1"/>
        <w:rPr>
          <w:color w:val="4F81BD"/>
        </w:rPr>
      </w:pPr>
      <w:bookmarkStart w:id="139" w:name="_Toc305764086"/>
      <w:bookmarkStart w:id="140" w:name="_Toc1888352339"/>
      <w:bookmarkStart w:id="141" w:name="_Toc196292782"/>
      <w:bookmarkStart w:id="142" w:name="_Toc200461766"/>
      <w:bookmarkStart w:id="143" w:name="_Toc200461932"/>
      <w:r w:rsidRPr="00582E24">
        <w:rPr>
          <w:color w:val="4F81BD"/>
        </w:rPr>
        <w:t>Nota 10</w:t>
      </w:r>
      <w:r w:rsidRPr="00582E24">
        <w:rPr>
          <w:color w:val="4F81BD"/>
        </w:rPr>
        <w:tab/>
      </w:r>
      <w:bookmarkEnd w:id="139"/>
      <w:bookmarkEnd w:id="140"/>
      <w:bookmarkEnd w:id="141"/>
      <w:r w:rsidRPr="00582E24">
        <w:rPr>
          <w:color w:val="4F81BD"/>
        </w:rPr>
        <w:t>Propiedades, planta y equipo</w:t>
      </w:r>
      <w:bookmarkEnd w:id="142"/>
      <w:bookmarkEnd w:id="143"/>
    </w:p>
    <w:p w14:paraId="07FCBFC7" w14:textId="77777777" w:rsidR="00800DCC" w:rsidRPr="00582E24" w:rsidRDefault="00800DCC" w:rsidP="009B61C1">
      <w:pPr>
        <w:jc w:val="both"/>
      </w:pPr>
      <w:r w:rsidRPr="00582E24">
        <w:t>Se consideran edificios de la UIT:</w:t>
      </w:r>
    </w:p>
    <w:p w14:paraId="0655F24A" w14:textId="77777777" w:rsidR="00800DCC" w:rsidRPr="00582E24" w:rsidRDefault="00800DCC" w:rsidP="002B0A45">
      <w:pPr>
        <w:pStyle w:val="enumlev1"/>
        <w:jc w:val="both"/>
      </w:pPr>
      <w:r w:rsidRPr="00582E24">
        <w:t>–</w:t>
      </w:r>
      <w:r w:rsidRPr="00582E24">
        <w:tab/>
        <w:t>El edificio de la Torre, sito en la rue de Varembé (Ginebra).</w:t>
      </w:r>
    </w:p>
    <w:p w14:paraId="2A3CAED1" w14:textId="77777777" w:rsidR="00800DCC" w:rsidRPr="00582E24" w:rsidRDefault="00800DCC" w:rsidP="002B0A45">
      <w:pPr>
        <w:pStyle w:val="enumlev1"/>
        <w:jc w:val="both"/>
      </w:pPr>
      <w:r w:rsidRPr="00582E24">
        <w:t>–</w:t>
      </w:r>
      <w:r w:rsidRPr="00582E24">
        <w:tab/>
        <w:t>El edificio Varembé, sito en la rue de Varembé (Ginebra). Este edificio se amortizó totalmente al 31 de diciembre de 2022, en previsión del inicio del proyecto del nuevo edificio, y sigue en uso en la actualidad.</w:t>
      </w:r>
    </w:p>
    <w:p w14:paraId="750B48A9" w14:textId="77777777" w:rsidR="00800DCC" w:rsidRPr="00582E24" w:rsidRDefault="00800DCC" w:rsidP="002B0A45">
      <w:pPr>
        <w:pStyle w:val="enumlev1"/>
        <w:jc w:val="both"/>
      </w:pPr>
      <w:r w:rsidRPr="00582E24">
        <w:t>–</w:t>
      </w:r>
      <w:r w:rsidRPr="00582E24">
        <w:tab/>
        <w:t>La extensión C y la cafetería, sitas en la rue de Varembé (Ginebra).</w:t>
      </w:r>
    </w:p>
    <w:p w14:paraId="4CEF7933" w14:textId="77777777" w:rsidR="00800DCC" w:rsidRPr="00582E24" w:rsidRDefault="00800DCC" w:rsidP="002B0A45">
      <w:pPr>
        <w:pStyle w:val="enumlev1"/>
        <w:jc w:val="both"/>
      </w:pPr>
      <w:r w:rsidRPr="00582E24">
        <w:t>–</w:t>
      </w:r>
      <w:r w:rsidRPr="00582E24">
        <w:tab/>
        <w:t>El edificio Montbrillant, sito en la rue de Varembé (Ginebra).</w:t>
      </w:r>
    </w:p>
    <w:p w14:paraId="1A097278" w14:textId="018E3441" w:rsidR="00800DCC" w:rsidRPr="00582E24" w:rsidRDefault="00800DCC" w:rsidP="002B0A45">
      <w:pPr>
        <w:jc w:val="both"/>
        <w:rPr>
          <w:highlight w:val="cyan"/>
        </w:rPr>
      </w:pPr>
      <w:r w:rsidRPr="00582E24">
        <w:t>La UIT no es propietaria del terreno en el que se sitúan sus instalaciones, sino que detenta los derechos de superficie aplicables, concedidos a título gratuito por el Gobierno, quien conserva la titularidad del terreno. Habida cuenta de que la UIT no puede enajenar esos derechos en una transacción comercial y que, por consiguiente, no es posible contabilizar ni medir de forma fiable el valor razonable del terreno en cuestión con arreglo a las NICSP, estas restricciones se revelan por motivos de transparencia, de conformidad con los requisitos de valoración de las propiedades de las NICSP. Al 31 de diciembre de 2024, no se había pignorado ninguna propiedad o equipo como garantía de pago. La UIT mantiene un inventario completo de propiedades, plantas y equipos. Este inventario incluye los activos plenamente amortizados que siguen utilizándose en el marco de la organización.</w:t>
      </w:r>
    </w:p>
    <w:p w14:paraId="7779305E" w14:textId="77777777" w:rsidR="00800DCC" w:rsidRPr="00582E24" w:rsidRDefault="00800DCC" w:rsidP="00B05A90">
      <w:pPr>
        <w:spacing w:after="240"/>
        <w:jc w:val="both"/>
      </w:pPr>
      <w:r w:rsidRPr="00582E24">
        <w:t>El siguiente cuadro muestra el valor bruto de las propiedades, plantas y equipos plenamente amortizados que seguían en uso al 31 de diciembre de 2024.</w:t>
      </w:r>
    </w:p>
    <w:p w14:paraId="7F4190FD" w14:textId="33BE249F" w:rsidR="00800DCC" w:rsidRPr="00582E24" w:rsidRDefault="00B05A90" w:rsidP="00800DCC">
      <w:pPr>
        <w:snapToGrid w:val="0"/>
        <w:spacing w:after="120"/>
        <w:jc w:val="center"/>
      </w:pPr>
      <w:r w:rsidRPr="00582E24">
        <w:rPr>
          <w:noProof/>
        </w:rPr>
        <w:drawing>
          <wp:inline distT="0" distB="0" distL="0" distR="0" wp14:anchorId="00B26342" wp14:editId="4953ED29">
            <wp:extent cx="3571240" cy="21082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71240" cy="2108200"/>
                    </a:xfrm>
                    <a:prstGeom prst="rect">
                      <a:avLst/>
                    </a:prstGeom>
                    <a:noFill/>
                    <a:ln>
                      <a:noFill/>
                    </a:ln>
                  </pic:spPr>
                </pic:pic>
              </a:graphicData>
            </a:graphic>
          </wp:inline>
        </w:drawing>
      </w:r>
    </w:p>
    <w:p w14:paraId="11642A15" w14:textId="1274E68C" w:rsidR="00800DCC" w:rsidRPr="00582E24" w:rsidRDefault="00800DCC" w:rsidP="00800DCC">
      <w:pPr>
        <w:snapToGrid w:val="0"/>
        <w:spacing w:before="360" w:after="120"/>
        <w:jc w:val="both"/>
      </w:pPr>
      <w:r w:rsidRPr="00582E24">
        <w:lastRenderedPageBreak/>
        <w:t>La UIT posee bienes patrimoniales, denominados obras de arte, que constituyen objetos donados o prestados a la organización por representantes o funcionarios de Estados Miembros, otras entidades públicas o privadas, o particulares. Entre las obras de arte que posee la UIT figuran alfombras, cuadros, esculturas y piezas de mobiliario, entre otros artículos. Al 31 de diciembre de 2024, el valor total de dichos artículos era inferior a</w:t>
      </w:r>
      <w:r w:rsidR="00EA4E39" w:rsidRPr="00582E24">
        <w:t> </w:t>
      </w:r>
      <w:r w:rsidRPr="00582E24">
        <w:t>500</w:t>
      </w:r>
      <w:r w:rsidR="00EA4E39" w:rsidRPr="00582E24">
        <w:t> </w:t>
      </w:r>
      <w:r w:rsidRPr="00582E24">
        <w:t>000</w:t>
      </w:r>
      <w:r w:rsidR="00EA4E39" w:rsidRPr="00582E24">
        <w:t> </w:t>
      </w:r>
      <w:r w:rsidRPr="00582E24">
        <w:t>CHF, motivo por el que la UIT decidió no reconocerlos como activos en el Estado de la situación financiera, a tenor de la NICSP 17.</w:t>
      </w:r>
    </w:p>
    <w:p w14:paraId="3CD9BF13" w14:textId="77777777" w:rsidR="00396079" w:rsidRPr="00582E24" w:rsidRDefault="00800DCC" w:rsidP="00396079">
      <w:pPr>
        <w:snapToGrid w:val="0"/>
        <w:spacing w:after="120"/>
        <w:jc w:val="both"/>
      </w:pPr>
      <w:r w:rsidRPr="00582E24">
        <w:t>En virtud de la Política de la UIT en materia de propiedades, planta y equipo, la organización ha instaurado procesos y procedimientos para la gestión de las obras de arte. Las obras de arte se guardan en almacenes de acceso controlado hasta el momento en que se decide dónde instalarlas. El proceso de inventario físico anual de la organización comprende las obras de arte, y a los donantes que así lo solicitan se les facilita una confirmación oficial de que la obra en cuestión se halla en poder de la UIT.</w:t>
      </w:r>
    </w:p>
    <w:p w14:paraId="4CBA97FE" w14:textId="1A100596" w:rsidR="00396079" w:rsidRPr="00582E24" w:rsidRDefault="00800DCC" w:rsidP="00396079">
      <w:pPr>
        <w:snapToGrid w:val="0"/>
        <w:spacing w:after="240"/>
        <w:jc w:val="both"/>
      </w:pPr>
      <w:r w:rsidRPr="00582E24">
        <w:t xml:space="preserve">En el cuadro siguiente se desglosan los movimientos de propiedades, planta y equipo correspondientes a los ejercicios 2024 y 2023. En el apartado </w:t>
      </w:r>
      <w:r w:rsidR="002528AF" w:rsidRPr="00582E24">
        <w:t>"</w:t>
      </w:r>
      <w:r w:rsidRPr="00582E24">
        <w:t>reclasificaciones</w:t>
      </w:r>
      <w:r w:rsidR="002528AF" w:rsidRPr="00582E24">
        <w:t>"</w:t>
      </w:r>
      <w:r w:rsidRPr="00582E24">
        <w:t xml:space="preserve"> se incluyen los activos en construcción, terminados y puestos en uso durante el ejercicio correspondiente.</w:t>
      </w:r>
    </w:p>
    <w:p w14:paraId="68EB64AA" w14:textId="77777777" w:rsidR="00800DCC" w:rsidRPr="00582E24" w:rsidRDefault="00800DCC" w:rsidP="00396079">
      <w:pPr>
        <w:pStyle w:val="Tabletitle"/>
        <w:keepNext w:val="0"/>
        <w:rPr>
          <w:bCs/>
        </w:rPr>
      </w:pPr>
      <w:r w:rsidRPr="00582E24">
        <w:t>2024</w:t>
      </w:r>
    </w:p>
    <w:p w14:paraId="0050DD97" w14:textId="4A82B82A" w:rsidR="00800DCC" w:rsidRPr="00582E24" w:rsidRDefault="00622308" w:rsidP="00396079">
      <w:pPr>
        <w:pStyle w:val="Figure"/>
        <w:keepNext w:val="0"/>
        <w:keepLines w:val="0"/>
        <w:spacing w:after="240"/>
      </w:pPr>
      <w:r w:rsidRPr="00582E24">
        <w:rPr>
          <w:noProof/>
        </w:rPr>
        <w:drawing>
          <wp:inline distT="0" distB="0" distL="0" distR="0" wp14:anchorId="6F1C6AFF" wp14:editId="2FDF1159">
            <wp:extent cx="5760085" cy="3088640"/>
            <wp:effectExtent l="0" t="0" r="8255" b="825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0085" cy="3088640"/>
                    </a:xfrm>
                    <a:prstGeom prst="rect">
                      <a:avLst/>
                    </a:prstGeom>
                    <a:noFill/>
                    <a:ln>
                      <a:noFill/>
                    </a:ln>
                  </pic:spPr>
                </pic:pic>
              </a:graphicData>
            </a:graphic>
          </wp:inline>
        </w:drawing>
      </w:r>
    </w:p>
    <w:p w14:paraId="6AAE7906" w14:textId="77777777" w:rsidR="00396079" w:rsidRPr="00582E24" w:rsidRDefault="00396079">
      <w:pPr>
        <w:tabs>
          <w:tab w:val="clear" w:pos="567"/>
          <w:tab w:val="clear" w:pos="1134"/>
          <w:tab w:val="clear" w:pos="1701"/>
          <w:tab w:val="clear" w:pos="2268"/>
          <w:tab w:val="clear" w:pos="2835"/>
        </w:tabs>
        <w:overflowPunct/>
        <w:autoSpaceDE/>
        <w:autoSpaceDN/>
        <w:adjustRightInd/>
        <w:spacing w:before="0"/>
        <w:textAlignment w:val="auto"/>
        <w:rPr>
          <w:b/>
        </w:rPr>
      </w:pPr>
      <w:r w:rsidRPr="00582E24">
        <w:br w:type="page"/>
      </w:r>
    </w:p>
    <w:p w14:paraId="07A07926" w14:textId="624E2356" w:rsidR="00800DCC" w:rsidRPr="00582E24" w:rsidRDefault="00800DCC" w:rsidP="00396079">
      <w:pPr>
        <w:pStyle w:val="Tabletitle"/>
        <w:keepNext w:val="0"/>
      </w:pPr>
      <w:r w:rsidRPr="00582E24">
        <w:lastRenderedPageBreak/>
        <w:t>2023</w:t>
      </w:r>
    </w:p>
    <w:p w14:paraId="325450FE" w14:textId="0C98FB54" w:rsidR="00800DCC" w:rsidRPr="00582E24" w:rsidRDefault="007E047D" w:rsidP="002B0A45">
      <w:pPr>
        <w:pStyle w:val="Figure"/>
      </w:pPr>
      <w:r w:rsidRPr="00582E24">
        <w:rPr>
          <w:noProof/>
        </w:rPr>
        <w:drawing>
          <wp:inline distT="0" distB="0" distL="0" distR="0" wp14:anchorId="1ABE2154" wp14:editId="1D114F05">
            <wp:extent cx="5760085" cy="3330575"/>
            <wp:effectExtent l="0" t="0" r="0" b="0"/>
            <wp:docPr id="1846947138" name="Picture 184694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085" cy="3330575"/>
                    </a:xfrm>
                    <a:prstGeom prst="rect">
                      <a:avLst/>
                    </a:prstGeom>
                    <a:noFill/>
                    <a:ln>
                      <a:noFill/>
                    </a:ln>
                  </pic:spPr>
                </pic:pic>
              </a:graphicData>
            </a:graphic>
          </wp:inline>
        </w:drawing>
      </w:r>
    </w:p>
    <w:p w14:paraId="67B3DDDD" w14:textId="0F61E9E7" w:rsidR="00800DCC" w:rsidRPr="00582E24" w:rsidRDefault="00800DCC" w:rsidP="00C245F9">
      <w:pPr>
        <w:pStyle w:val="Heading1"/>
        <w:rPr>
          <w:color w:val="4F81BD"/>
        </w:rPr>
      </w:pPr>
      <w:bookmarkStart w:id="144" w:name="_Toc305764087"/>
      <w:bookmarkStart w:id="145" w:name="_Toc97786674"/>
      <w:bookmarkStart w:id="146" w:name="_Toc196292783"/>
      <w:bookmarkStart w:id="147" w:name="_Toc200461767"/>
      <w:bookmarkStart w:id="148" w:name="_Toc200461933"/>
      <w:r w:rsidRPr="00582E24">
        <w:rPr>
          <w:color w:val="4F81BD"/>
        </w:rPr>
        <w:t>Nota 11</w:t>
      </w:r>
      <w:r w:rsidRPr="00582E24">
        <w:rPr>
          <w:color w:val="4F81BD"/>
        </w:rPr>
        <w:tab/>
        <w:t xml:space="preserve">Activos </w:t>
      </w:r>
      <w:bookmarkEnd w:id="144"/>
      <w:bookmarkEnd w:id="145"/>
      <w:bookmarkEnd w:id="146"/>
      <w:r w:rsidRPr="00582E24">
        <w:rPr>
          <w:color w:val="4F81BD"/>
        </w:rPr>
        <w:t>intangibles</w:t>
      </w:r>
      <w:bookmarkEnd w:id="147"/>
      <w:bookmarkEnd w:id="148"/>
    </w:p>
    <w:p w14:paraId="7A534CF6" w14:textId="77777777" w:rsidR="00800DCC" w:rsidRPr="00582E24" w:rsidRDefault="00800DCC" w:rsidP="00396079">
      <w:pPr>
        <w:spacing w:after="240"/>
        <w:jc w:val="both"/>
      </w:pPr>
      <w:bookmarkStart w:id="149" w:name="_MON_1754218473"/>
      <w:bookmarkEnd w:id="149"/>
      <w:r w:rsidRPr="00582E24">
        <w:t xml:space="preserve">Los activos intangibles de la UIT comprenden licencias y </w:t>
      </w:r>
      <w:r w:rsidRPr="00582E24">
        <w:rPr>
          <w:i/>
          <w:iCs/>
        </w:rPr>
        <w:t>software</w:t>
      </w:r>
      <w:r w:rsidRPr="00582E24">
        <w:t xml:space="preserve"> de TI desarrollados a escala interna y adquiridos de fuentes externas.</w:t>
      </w:r>
    </w:p>
    <w:p w14:paraId="68BC65DC" w14:textId="00F77AF5" w:rsidR="00800DCC" w:rsidRPr="00582E24" w:rsidRDefault="00153350" w:rsidP="00153350">
      <w:pPr>
        <w:pStyle w:val="Figure"/>
        <w:spacing w:after="240"/>
      </w:pPr>
      <w:r w:rsidRPr="00582E24">
        <w:rPr>
          <w:noProof/>
        </w:rPr>
        <w:drawing>
          <wp:inline distT="0" distB="0" distL="0" distR="0" wp14:anchorId="3408FFB4" wp14:editId="2A61B207">
            <wp:extent cx="5518785" cy="2831465"/>
            <wp:effectExtent l="0" t="0" r="5715" b="6985"/>
            <wp:docPr id="1846947139" name="Picture 184694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18785" cy="2831465"/>
                    </a:xfrm>
                    <a:prstGeom prst="rect">
                      <a:avLst/>
                    </a:prstGeom>
                    <a:noFill/>
                    <a:ln>
                      <a:noFill/>
                    </a:ln>
                  </pic:spPr>
                </pic:pic>
              </a:graphicData>
            </a:graphic>
          </wp:inline>
        </w:drawing>
      </w:r>
    </w:p>
    <w:p w14:paraId="1E9CA9BA" w14:textId="77777777" w:rsidR="00800DCC" w:rsidRPr="00582E24" w:rsidRDefault="00800DCC" w:rsidP="00C245F9">
      <w:pPr>
        <w:jc w:val="both"/>
      </w:pPr>
      <w:r w:rsidRPr="00582E24">
        <w:t>De conformidad con la NICSP 31.121(c), se comunican los activos intangibles individuales que son importantes para los estados financieros de la entidad. Al 31 de diciembre de 2024, nuestra evaluación condujo a la identificación de 12 proyectos en la categoría de activos intangibles, que tenían una vida económica útil media de casi cinco años y estaban valorados en 6,5 millones CHF. Estos proyectos abarcan el desarrollo de módulos de administración espacial, SAP y contratación.</w:t>
      </w:r>
    </w:p>
    <w:p w14:paraId="7B280142" w14:textId="4B47073C" w:rsidR="00800DCC" w:rsidRPr="00582E24" w:rsidRDefault="00800DCC" w:rsidP="00C245F9">
      <w:pPr>
        <w:jc w:val="both"/>
      </w:pPr>
      <w:r w:rsidRPr="00582E24">
        <w:lastRenderedPageBreak/>
        <w:t xml:space="preserve">En el apartado </w:t>
      </w:r>
      <w:r w:rsidR="00047537" w:rsidRPr="00582E24">
        <w:rPr>
          <w:rFonts w:cs="Calibri"/>
          <w:color w:val="000000" w:themeColor="text1"/>
        </w:rPr>
        <w:t>"</w:t>
      </w:r>
      <w:r w:rsidRPr="00582E24">
        <w:t>reclasificaciones</w:t>
      </w:r>
      <w:r w:rsidR="00047537" w:rsidRPr="00582E24">
        <w:rPr>
          <w:rFonts w:cs="Calibri"/>
          <w:color w:val="000000" w:themeColor="text1"/>
        </w:rPr>
        <w:t>"</w:t>
      </w:r>
      <w:r w:rsidRPr="00582E24">
        <w:t xml:space="preserve"> se incluyen los activos en construcción, terminados y puestos en uso durante el ejercicio correspondiente.</w:t>
      </w:r>
    </w:p>
    <w:p w14:paraId="48C54620" w14:textId="52382D4B" w:rsidR="00800DCC" w:rsidRPr="00582E24" w:rsidRDefault="00800DCC" w:rsidP="00C245F9">
      <w:pPr>
        <w:pStyle w:val="Heading1"/>
        <w:rPr>
          <w:color w:val="4F81BD"/>
        </w:rPr>
      </w:pPr>
      <w:bookmarkStart w:id="150" w:name="_Toc1415970939"/>
      <w:bookmarkStart w:id="151" w:name="_Toc196292784"/>
      <w:bookmarkStart w:id="152" w:name="_Toc200461768"/>
      <w:bookmarkStart w:id="153" w:name="_Toc200461934"/>
      <w:r w:rsidRPr="00582E24">
        <w:rPr>
          <w:color w:val="4F81BD"/>
        </w:rPr>
        <w:t>Nota 12</w:t>
      </w:r>
      <w:r w:rsidRPr="00582E24">
        <w:rPr>
          <w:color w:val="4F81BD"/>
        </w:rPr>
        <w:tab/>
        <w:t>Activos en construcción</w:t>
      </w:r>
      <w:bookmarkEnd w:id="150"/>
      <w:bookmarkEnd w:id="151"/>
      <w:bookmarkEnd w:id="152"/>
      <w:bookmarkEnd w:id="153"/>
    </w:p>
    <w:p w14:paraId="53200AEC" w14:textId="1D9F3F5E" w:rsidR="00800DCC" w:rsidRPr="00582E24" w:rsidRDefault="00800DCC" w:rsidP="00C245F9">
      <w:pPr>
        <w:jc w:val="both"/>
      </w:pPr>
      <w:r w:rsidRPr="00582E24">
        <w:t xml:space="preserve">En la reunión que el Consejo de la UIT celebró en junio de 2024, la secretaría informó sobre los progresos logrados en relación con el proyecto de nuevo edificio. A la sazón, el Consejo aprobó un proyecto alternativo reevaluado y solicitó a la UIT que examinara y redujera el alcance del proyecto para ajustarlo al presupuesto aprobado de 172,7 millones CHF y a la financiación disponible en virtud del Acuerdo 640 (véase el Documento </w:t>
      </w:r>
      <w:hyperlink r:id="rId47" w:history="1">
        <w:r w:rsidRPr="00582E24">
          <w:rPr>
            <w:rStyle w:val="Hyperlink"/>
          </w:rPr>
          <w:t>C24/132</w:t>
        </w:r>
      </w:hyperlink>
      <w:r w:rsidRPr="00582E24">
        <w:t>).</w:t>
      </w:r>
    </w:p>
    <w:p w14:paraId="0F4FDCA6" w14:textId="77777777" w:rsidR="00800DCC" w:rsidRPr="00582E24" w:rsidRDefault="00800DCC" w:rsidP="00C245F9">
      <w:pPr>
        <w:jc w:val="both"/>
      </w:pPr>
      <w:r w:rsidRPr="00582E24">
        <w:t>A raíz de dicho examen, se llegó a la conclusión de que prácticamente la totalidad de los costes en los que había incurrido la organización había quedado obsoleta en el marco del proyecto reevaluado y, en consecuencia, se reconoció una pérdida de valor de 21 millones CHF en el Estado de los resultados financieros del ejercicio.</w:t>
      </w:r>
    </w:p>
    <w:p w14:paraId="05D088C7" w14:textId="7EED6448" w:rsidR="00800DCC" w:rsidRPr="00582E24" w:rsidRDefault="00800DCC" w:rsidP="00C245F9">
      <w:pPr>
        <w:jc w:val="both"/>
      </w:pPr>
      <w:r w:rsidRPr="00582E24">
        <w:t>La UIT examinó asimismo los acuerdos de patrocinio reconocidos para la financiación de elementos específicos del anterior proyecto de edificio, entre ellos, la sala de reuniones, el vestíbulo, el patio y la cafetería (por un total de 16,9 millones CHF).</w:t>
      </w:r>
    </w:p>
    <w:p w14:paraId="2C1BDDCF" w14:textId="0A7FCED1" w:rsidR="00800DCC" w:rsidRPr="00582E24" w:rsidRDefault="00D470E5" w:rsidP="00D470E5">
      <w:pPr>
        <w:spacing w:after="240"/>
        <w:jc w:val="both"/>
      </w:pPr>
      <w:r w:rsidRPr="00582E24">
        <w:t>Un patrocinador rescindió un acuerdo de patrocinio por valor de 5,0 millones CHF debido a la revisión del proyecto de nuevo edificio y se ha constituido una reserva para su reembolso. Ya se han entablado conversaciones con dicho patrocinador con miras a la posible conclusión de otro acuerdo para el proyecto de nuevo edificio revisado. En respuesta, la Secretaría se ha comprometido a integrar las características solicitadas por el patrocinador en la fase de diseño del nuevo proyecto. La Secretaría está trabajando activamente con todas las partes interesadas para alcanzar un resultado mutuamente satisfactorio.</w:t>
      </w:r>
    </w:p>
    <w:p w14:paraId="44192BC9" w14:textId="28B94170" w:rsidR="00800DCC" w:rsidRPr="00582E24" w:rsidRDefault="00C245F9" w:rsidP="00800DCC">
      <w:pPr>
        <w:pStyle w:val="Reasons"/>
      </w:pPr>
      <w:r w:rsidRPr="00582E24">
        <w:rPr>
          <w:noProof/>
        </w:rPr>
        <w:drawing>
          <wp:inline distT="0" distB="0" distL="0" distR="0" wp14:anchorId="0D682B01" wp14:editId="5F647F5B">
            <wp:extent cx="5760085" cy="16598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085" cy="1659890"/>
                    </a:xfrm>
                    <a:prstGeom prst="rect">
                      <a:avLst/>
                    </a:prstGeom>
                    <a:noFill/>
                    <a:ln>
                      <a:noFill/>
                    </a:ln>
                  </pic:spPr>
                </pic:pic>
              </a:graphicData>
            </a:graphic>
          </wp:inline>
        </w:drawing>
      </w:r>
    </w:p>
    <w:p w14:paraId="14B192D7" w14:textId="69D2478C" w:rsidR="00800DCC" w:rsidRPr="00582E24" w:rsidRDefault="00800DCC" w:rsidP="00C245F9">
      <w:pPr>
        <w:pStyle w:val="Heading1"/>
        <w:rPr>
          <w:color w:val="4F81BD"/>
        </w:rPr>
      </w:pPr>
      <w:bookmarkStart w:id="154" w:name="_Toc635167924"/>
      <w:bookmarkStart w:id="155" w:name="_Toc196292785"/>
      <w:bookmarkStart w:id="156" w:name="_Toc200461769"/>
      <w:bookmarkStart w:id="157" w:name="_Toc200461935"/>
      <w:r w:rsidRPr="00582E24">
        <w:rPr>
          <w:color w:val="4F81BD"/>
        </w:rPr>
        <w:t>Nota 13</w:t>
      </w:r>
      <w:r w:rsidRPr="00582E24">
        <w:rPr>
          <w:color w:val="4F81BD"/>
        </w:rPr>
        <w:tab/>
        <w:t>Acreedores</w:t>
      </w:r>
      <w:bookmarkEnd w:id="154"/>
      <w:bookmarkEnd w:id="155"/>
      <w:bookmarkEnd w:id="156"/>
      <w:bookmarkEnd w:id="157"/>
    </w:p>
    <w:p w14:paraId="7B5B0D41" w14:textId="4316C20F" w:rsidR="00800DCC" w:rsidRPr="00582E24" w:rsidRDefault="00800DCC" w:rsidP="00C245F9">
      <w:pPr>
        <w:jc w:val="both"/>
      </w:pPr>
      <w:r w:rsidRPr="00582E24">
        <w:t xml:space="preserve">En el apartado </w:t>
      </w:r>
      <w:r w:rsidR="00E67D26" w:rsidRPr="00582E24">
        <w:rPr>
          <w:rFonts w:cs="Calibri"/>
          <w:color w:val="000000" w:themeColor="text1"/>
        </w:rPr>
        <w:t>"</w:t>
      </w:r>
      <w:r w:rsidRPr="00582E24">
        <w:t>proveedores</w:t>
      </w:r>
      <w:r w:rsidR="00E67D26" w:rsidRPr="00582E24">
        <w:rPr>
          <w:rFonts w:cs="Calibri"/>
          <w:color w:val="000000" w:themeColor="text1"/>
        </w:rPr>
        <w:t>"</w:t>
      </w:r>
      <w:r w:rsidRPr="00582E24">
        <w:t xml:space="preserve"> se incluyen las facturas, los trabajadores y los anticipos de transacciones vinculadas a comprobantes entre oficinas del PNUD pendientes de liquidación.</w:t>
      </w:r>
    </w:p>
    <w:p w14:paraId="6F187DEE" w14:textId="5B1F87E6" w:rsidR="00800DCC" w:rsidRPr="00582E24" w:rsidRDefault="00800DCC" w:rsidP="00C245F9">
      <w:pPr>
        <w:jc w:val="both"/>
      </w:pPr>
      <w:r w:rsidRPr="00582E24">
        <w:t>Se han recibido pagos anticipados de clientes para notificaciones de redes de satélite, así como para futuras adquisiciones o facturas de publicaciones. Esas cantidades podrían reembolsarse a los beneficiarios o utilizarse para pagar futuras facturas de tramitación de notificaciones de redes de satélite y publicaciones.</w:t>
      </w:r>
    </w:p>
    <w:p w14:paraId="19A41577" w14:textId="77777777" w:rsidR="00800DCC" w:rsidRPr="00582E24" w:rsidRDefault="00800DCC" w:rsidP="00E67D26">
      <w:pPr>
        <w:spacing w:after="240"/>
        <w:jc w:val="both"/>
      </w:pPr>
      <w:r w:rsidRPr="00582E24">
        <w:t xml:space="preserve">Los anticipos para conferencias son pagos efectuados por los países anfitriones a la Unión para la organización de eventos como pueden ser conferencias mundiales. Una vez clausurados los </w:t>
      </w:r>
      <w:r w:rsidRPr="00582E24">
        <w:lastRenderedPageBreak/>
        <w:t>eventos, el saldo restante se reembolsa a los países anfitriones de conformidad con los acuerdos suscritos.</w:t>
      </w:r>
    </w:p>
    <w:p w14:paraId="46D82F67" w14:textId="09B0B17E" w:rsidR="00800DCC" w:rsidRPr="00582E24" w:rsidRDefault="00C245F9" w:rsidP="00C245F9">
      <w:pPr>
        <w:pStyle w:val="Figure"/>
      </w:pPr>
      <w:r w:rsidRPr="00582E24">
        <w:rPr>
          <w:noProof/>
        </w:rPr>
        <w:drawing>
          <wp:inline distT="0" distB="0" distL="0" distR="0" wp14:anchorId="496648ED" wp14:editId="5379FB76">
            <wp:extent cx="4649470" cy="1402715"/>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49470" cy="1402715"/>
                    </a:xfrm>
                    <a:prstGeom prst="rect">
                      <a:avLst/>
                    </a:prstGeom>
                    <a:noFill/>
                    <a:ln>
                      <a:noFill/>
                    </a:ln>
                  </pic:spPr>
                </pic:pic>
              </a:graphicData>
            </a:graphic>
          </wp:inline>
        </w:drawing>
      </w:r>
    </w:p>
    <w:p w14:paraId="6E9F4C98" w14:textId="75BD4255" w:rsidR="00800DCC" w:rsidRPr="00582E24" w:rsidRDefault="00800DCC" w:rsidP="00E67D26">
      <w:pPr>
        <w:pStyle w:val="Heading1"/>
        <w:jc w:val="both"/>
        <w:rPr>
          <w:color w:val="4F81BD"/>
        </w:rPr>
      </w:pPr>
      <w:bookmarkStart w:id="158" w:name="_Toc305764088"/>
      <w:bookmarkStart w:id="159" w:name="_Toc2056268247"/>
      <w:bookmarkStart w:id="160" w:name="_Toc196292786"/>
      <w:bookmarkStart w:id="161" w:name="_Toc200461770"/>
      <w:bookmarkStart w:id="162" w:name="_Toc200461936"/>
      <w:r w:rsidRPr="00582E24">
        <w:rPr>
          <w:color w:val="4F81BD"/>
        </w:rPr>
        <w:t>Nota 14</w:t>
      </w:r>
      <w:r w:rsidRPr="00582E24">
        <w:rPr>
          <w:color w:val="4F81BD"/>
        </w:rPr>
        <w:tab/>
      </w:r>
      <w:bookmarkEnd w:id="158"/>
      <w:bookmarkEnd w:id="159"/>
      <w:bookmarkEnd w:id="160"/>
      <w:r w:rsidRPr="00582E24">
        <w:rPr>
          <w:color w:val="4F81BD"/>
        </w:rPr>
        <w:t>Ingresos aplazados</w:t>
      </w:r>
      <w:bookmarkEnd w:id="161"/>
      <w:bookmarkEnd w:id="162"/>
    </w:p>
    <w:p w14:paraId="704A5CAD" w14:textId="77777777" w:rsidR="00800DCC" w:rsidRPr="00582E24" w:rsidRDefault="00800DCC" w:rsidP="00E67D26">
      <w:pPr>
        <w:jc w:val="both"/>
      </w:pPr>
      <w:r w:rsidRPr="00582E24">
        <w:t>Los ingresos aplazados incluyen:</w:t>
      </w:r>
    </w:p>
    <w:p w14:paraId="6FD2439E" w14:textId="612D363C" w:rsidR="00800DCC" w:rsidRPr="00582E24" w:rsidRDefault="00ED6D92" w:rsidP="00E67D26">
      <w:pPr>
        <w:pStyle w:val="enumlev1"/>
        <w:jc w:val="both"/>
      </w:pPr>
      <w:r w:rsidRPr="00582E24">
        <w:t>•</w:t>
      </w:r>
      <w:r w:rsidRPr="00582E24">
        <w:tab/>
      </w:r>
      <w:r w:rsidR="00800DCC" w:rsidRPr="00582E24">
        <w:t>Contribuciones previstas recibidas de Estados Miembros, Miembros de Sector, Asociados e Instituciones Académicas en relación con el siguiente ejercicio.</w:t>
      </w:r>
    </w:p>
    <w:p w14:paraId="7078FE74" w14:textId="7FAC6C29" w:rsidR="00800DCC" w:rsidRPr="00582E24" w:rsidRDefault="00ED6D92" w:rsidP="00E67D26">
      <w:pPr>
        <w:pStyle w:val="enumlev1"/>
        <w:jc w:val="both"/>
      </w:pPr>
      <w:r w:rsidRPr="00582E24">
        <w:t>•</w:t>
      </w:r>
      <w:r w:rsidRPr="00582E24">
        <w:tab/>
      </w:r>
      <w:r w:rsidR="00800DCC" w:rsidRPr="00582E24">
        <w:t>Notificaciones de redes de satélites que no se hayan publicado en la BR IFIC a finales de</w:t>
      </w:r>
      <w:r w:rsidR="00E67D26" w:rsidRPr="00582E24">
        <w:t> </w:t>
      </w:r>
      <w:r w:rsidR="00800DCC" w:rsidRPr="00582E24">
        <w:t>año.</w:t>
      </w:r>
    </w:p>
    <w:p w14:paraId="6CC6A44B" w14:textId="2C581C2F" w:rsidR="00800DCC" w:rsidRPr="00582E24" w:rsidRDefault="00ED6D92" w:rsidP="00E67D26">
      <w:pPr>
        <w:pStyle w:val="enumlev1"/>
        <w:spacing w:after="240"/>
        <w:ind w:left="562" w:hanging="562"/>
        <w:jc w:val="both"/>
      </w:pPr>
      <w:r w:rsidRPr="00582E24">
        <w:t>•</w:t>
      </w:r>
      <w:r w:rsidRPr="00582E24">
        <w:tab/>
      </w:r>
      <w:r w:rsidR="00800DCC" w:rsidRPr="00582E24">
        <w:t>Contribuciones extrapresupuestarias, corrientes y no corrientes, relacionadas con proyectos en curso cuyas condiciones deban cumplirse el ejercicio o ejercicios siguientes. En concreto, los fondos de terceras partes en proceso de asignación son fondos en proceso de asignación a proyectos específicos y los fondos de terceras partes por recibir son fondos pendientes de recepción que guardan relación con acuerdos firmados y facturados en el ejercicio en curso. Los fondos de terceras partes asignados se refieren a proyectos en curso para los que ya se han recibido fondos o se ha previsto recibirlos en ejercicios siguientes o futuros. El notable aumento de los ingresos extrapresupuestarios se debe a una serie de proyectos a largo plazo, amplios y complejos, firmados con donantes activos, como puede ser la Unión Europea, cuyo objetivo es facilitar la inversión en infraestructuras digitales y la innovación en servicios públicos.</w:t>
      </w:r>
    </w:p>
    <w:p w14:paraId="1B99D0B4" w14:textId="0A6F6A92" w:rsidR="00800DCC" w:rsidRPr="00582E24" w:rsidRDefault="00ED6D92" w:rsidP="00ED6D92">
      <w:pPr>
        <w:pStyle w:val="Figure"/>
      </w:pPr>
      <w:bookmarkStart w:id="163" w:name="_Toc305764089"/>
      <w:r w:rsidRPr="00582E24">
        <w:rPr>
          <w:noProof/>
        </w:rPr>
        <w:lastRenderedPageBreak/>
        <w:drawing>
          <wp:inline distT="0" distB="0" distL="0" distR="0" wp14:anchorId="4D197B15" wp14:editId="3A3E7DDD">
            <wp:extent cx="5703570" cy="36341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03570" cy="3634105"/>
                    </a:xfrm>
                    <a:prstGeom prst="rect">
                      <a:avLst/>
                    </a:prstGeom>
                    <a:noFill/>
                    <a:ln>
                      <a:noFill/>
                    </a:ln>
                  </pic:spPr>
                </pic:pic>
              </a:graphicData>
            </a:graphic>
          </wp:inline>
        </w:drawing>
      </w:r>
    </w:p>
    <w:p w14:paraId="76E83BD0" w14:textId="0627B7BC" w:rsidR="00800DCC" w:rsidRPr="00582E24" w:rsidRDefault="00800DCC" w:rsidP="00ED6D92">
      <w:pPr>
        <w:pStyle w:val="Heading1"/>
        <w:rPr>
          <w:color w:val="4F81BD"/>
        </w:rPr>
      </w:pPr>
      <w:bookmarkStart w:id="164" w:name="_Toc2021876045"/>
      <w:bookmarkStart w:id="165" w:name="_Toc196292787"/>
      <w:bookmarkStart w:id="166" w:name="_Toc200461771"/>
      <w:bookmarkStart w:id="167" w:name="_Toc200461937"/>
      <w:r w:rsidRPr="00582E24">
        <w:rPr>
          <w:color w:val="4F81BD"/>
        </w:rPr>
        <w:t>Nota 15</w:t>
      </w:r>
      <w:r w:rsidRPr="00582E24">
        <w:rPr>
          <w:color w:val="4F81BD"/>
        </w:rPr>
        <w:tab/>
      </w:r>
      <w:bookmarkEnd w:id="163"/>
      <w:bookmarkEnd w:id="164"/>
      <w:bookmarkEnd w:id="165"/>
      <w:r w:rsidRPr="00582E24">
        <w:rPr>
          <w:color w:val="4F81BD"/>
        </w:rPr>
        <w:t>Préstamos y otras deudas financieras</w:t>
      </w:r>
      <w:bookmarkEnd w:id="166"/>
      <w:bookmarkEnd w:id="167"/>
    </w:p>
    <w:p w14:paraId="464BA421" w14:textId="5705B4CB" w:rsidR="00800DCC" w:rsidRPr="00582E24" w:rsidRDefault="00800DCC" w:rsidP="00ED6D92">
      <w:pPr>
        <w:jc w:val="both"/>
      </w:pPr>
      <w:r w:rsidRPr="00582E24">
        <w:t>Actualmente, la UIT tiene suscritos cuatro préstamos libres de intereses con la FIPOI. Al</w:t>
      </w:r>
      <w:r w:rsidR="00E67D26" w:rsidRPr="00582E24">
        <w:t> </w:t>
      </w:r>
      <w:r w:rsidRPr="00582E24">
        <w:t>31</w:t>
      </w:r>
      <w:r w:rsidR="00E67D26" w:rsidRPr="00582E24">
        <w:t> </w:t>
      </w:r>
      <w:r w:rsidRPr="00582E24">
        <w:t>de</w:t>
      </w:r>
      <w:r w:rsidR="00E67D26" w:rsidRPr="00582E24">
        <w:t> </w:t>
      </w:r>
      <w:r w:rsidRPr="00582E24">
        <w:t>diciembre de 2024, tres de ellos se reflejaban en los estados financieros a su valor razonable.</w:t>
      </w:r>
    </w:p>
    <w:p w14:paraId="5EE472B5" w14:textId="77777777" w:rsidR="00800DCC" w:rsidRPr="00582E24" w:rsidRDefault="00800DCC" w:rsidP="00ED6D92">
      <w:pPr>
        <w:jc w:val="both"/>
      </w:pPr>
      <w:r w:rsidRPr="00582E24">
        <w:t>Al 31 de diciembre de 2024, el valor total del monto pendiente era de 54,8 millones CHF y su valor actual neto de 53,3 millones CHF.</w:t>
      </w:r>
    </w:p>
    <w:p w14:paraId="7D117918" w14:textId="3B6C31AF" w:rsidR="00800DCC" w:rsidRPr="00582E24" w:rsidRDefault="00800DCC" w:rsidP="00ED6D92">
      <w:pPr>
        <w:jc w:val="both"/>
      </w:pPr>
      <w:r w:rsidRPr="00582E24">
        <w:t>El importe pendiente de los tres primeros préstamos sobre los edificios existentes ascendía a</w:t>
      </w:r>
      <w:r w:rsidR="00E67D26" w:rsidRPr="00582E24">
        <w:t> </w:t>
      </w:r>
      <w:r w:rsidRPr="00582E24">
        <w:t>32,3 millones CHF y su valor actual neto a 30,8 millones CHF.</w:t>
      </w:r>
    </w:p>
    <w:p w14:paraId="225F8AC7" w14:textId="322DAD05" w:rsidR="00800DCC" w:rsidRPr="00582E24" w:rsidRDefault="00800DCC" w:rsidP="00ED6D92">
      <w:pPr>
        <w:jc w:val="both"/>
      </w:pPr>
      <w:r w:rsidRPr="00582E24">
        <w:t>En 2017, se concedió un nuevo préstamo libre de intereses por valor de 150 millones CHF a la</w:t>
      </w:r>
      <w:r w:rsidR="00E67D26" w:rsidRPr="00582E24">
        <w:t> </w:t>
      </w:r>
      <w:r w:rsidRPr="00582E24">
        <w:t>UIT para su proyecto de nuevo edificio. Al 31 de diciembre de 202</w:t>
      </w:r>
      <w:r w:rsidR="00E67D26" w:rsidRPr="00582E24">
        <w:t>4</w:t>
      </w:r>
      <w:r w:rsidRPr="00582E24">
        <w:t>, la UIT había desembolsado 2</w:t>
      </w:r>
      <w:r w:rsidR="00E67D26" w:rsidRPr="00582E24">
        <w:t>2</w:t>
      </w:r>
      <w:r w:rsidRPr="00582E24">
        <w:t>,5 millones CHF de ese cuarto préstamo.</w:t>
      </w:r>
    </w:p>
    <w:p w14:paraId="465BADEA" w14:textId="77777777" w:rsidR="00800DCC" w:rsidRPr="00582E24" w:rsidRDefault="00800DCC" w:rsidP="00ED6D92">
      <w:pPr>
        <w:jc w:val="both"/>
      </w:pPr>
      <w:r w:rsidRPr="00582E24">
        <w:t>La UIT ha recibido confirmación de que el préstamo puede reasignarse al proyecto de edificio revisado. El Gobierno Federal de Suiza ha aceptado oficialmente la reorientación del préstamo. La UIT sigue manteniendo una comunicación abierta y periódica con las partes financiadoras y las autoridades competentes, a fin de mantenerlas informadas sobre la evolución del proyecto de edificio revisado, en consonancia con la resolución aprobada por el Consejo en 2024.</w:t>
      </w:r>
    </w:p>
    <w:p w14:paraId="462BB7A2" w14:textId="77777777" w:rsidR="00800DCC" w:rsidRPr="00582E24" w:rsidRDefault="00800DCC" w:rsidP="00A10ECE">
      <w:pPr>
        <w:spacing w:after="240"/>
        <w:jc w:val="both"/>
      </w:pPr>
      <w:r w:rsidRPr="00582E24">
        <w:t>El préstamo otorgado para el nuevo edificio de la UIT empezará a reembolsarse tras la entrega final de dicho edificio.</w:t>
      </w:r>
    </w:p>
    <w:p w14:paraId="1630A296" w14:textId="65ABC54A" w:rsidR="00800DCC" w:rsidRPr="00582E24" w:rsidRDefault="00A10ECE" w:rsidP="008E311B">
      <w:pPr>
        <w:pStyle w:val="Figure"/>
        <w:rPr>
          <w:b/>
          <w:bCs/>
        </w:rPr>
      </w:pPr>
      <w:bookmarkStart w:id="168" w:name="_Toc305764090"/>
      <w:r w:rsidRPr="00582E24">
        <w:rPr>
          <w:noProof/>
        </w:rPr>
        <w:lastRenderedPageBreak/>
        <w:drawing>
          <wp:inline distT="0" distB="0" distL="0" distR="0" wp14:anchorId="304F7628" wp14:editId="52AF88D1">
            <wp:extent cx="5760085" cy="2500630"/>
            <wp:effectExtent l="0" t="0" r="0" b="0"/>
            <wp:docPr id="1846947140" name="Picture 184694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2500630"/>
                    </a:xfrm>
                    <a:prstGeom prst="rect">
                      <a:avLst/>
                    </a:prstGeom>
                    <a:noFill/>
                    <a:ln>
                      <a:noFill/>
                    </a:ln>
                  </pic:spPr>
                </pic:pic>
              </a:graphicData>
            </a:graphic>
          </wp:inline>
        </w:drawing>
      </w:r>
    </w:p>
    <w:p w14:paraId="62DA1B13" w14:textId="6DD8C6C0" w:rsidR="00800DCC" w:rsidRPr="00582E24" w:rsidRDefault="00800DCC" w:rsidP="008E311B">
      <w:pPr>
        <w:pStyle w:val="Heading1"/>
        <w:rPr>
          <w:color w:val="4F81BD"/>
        </w:rPr>
      </w:pPr>
      <w:bookmarkStart w:id="169" w:name="_Toc1569757906"/>
      <w:bookmarkStart w:id="170" w:name="_Toc196292788"/>
      <w:bookmarkStart w:id="171" w:name="_Toc200461772"/>
      <w:bookmarkStart w:id="172" w:name="_Toc200461938"/>
      <w:r w:rsidRPr="00582E24">
        <w:rPr>
          <w:color w:val="4F81BD"/>
        </w:rPr>
        <w:t>Nota 16</w:t>
      </w:r>
      <w:r w:rsidRPr="00582E24">
        <w:rPr>
          <w:color w:val="4F81BD"/>
        </w:rPr>
        <w:tab/>
        <w:t>Prestaciones a empleados</w:t>
      </w:r>
      <w:bookmarkEnd w:id="168"/>
      <w:bookmarkEnd w:id="169"/>
      <w:bookmarkEnd w:id="170"/>
      <w:bookmarkEnd w:id="171"/>
      <w:bookmarkEnd w:id="172"/>
    </w:p>
    <w:p w14:paraId="644D85C9" w14:textId="77777777" w:rsidR="00800DCC" w:rsidRPr="00582E24" w:rsidRDefault="00800DCC" w:rsidP="00A10ECE">
      <w:pPr>
        <w:spacing w:after="240"/>
        <w:jc w:val="both"/>
      </w:pPr>
      <w:r w:rsidRPr="00582E24">
        <w:t>Por prestaciones a empleados se entienden todos los beneficios que la UIT ofrece a sus empleados por los servicios prestados. Estos se contabilizan a medida que los empleados los devengan.</w:t>
      </w:r>
      <w:bookmarkStart w:id="173" w:name="_Toc305764091"/>
    </w:p>
    <w:p w14:paraId="0D1260B7" w14:textId="0C540F79" w:rsidR="00800DCC" w:rsidRPr="00582E24" w:rsidRDefault="008E311B" w:rsidP="00A10ECE">
      <w:pPr>
        <w:jc w:val="center"/>
      </w:pPr>
      <w:r w:rsidRPr="00582E24">
        <w:rPr>
          <w:noProof/>
        </w:rPr>
        <w:drawing>
          <wp:inline distT="0" distB="0" distL="0" distR="0" wp14:anchorId="1A6AAD68" wp14:editId="7E2B717F">
            <wp:extent cx="5686926" cy="267391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05474" cy="2682637"/>
                    </a:xfrm>
                    <a:prstGeom prst="rect">
                      <a:avLst/>
                    </a:prstGeom>
                    <a:noFill/>
                    <a:ln>
                      <a:noFill/>
                    </a:ln>
                  </pic:spPr>
                </pic:pic>
              </a:graphicData>
            </a:graphic>
          </wp:inline>
        </w:drawing>
      </w:r>
    </w:p>
    <w:p w14:paraId="15150727" w14:textId="77777777" w:rsidR="00800DCC" w:rsidRPr="00582E24" w:rsidRDefault="00800DCC" w:rsidP="008E311B">
      <w:pPr>
        <w:pStyle w:val="Heading2"/>
        <w:jc w:val="both"/>
        <w:rPr>
          <w:i/>
          <w:iCs/>
        </w:rPr>
      </w:pPr>
      <w:bookmarkStart w:id="174" w:name="_Toc131156448"/>
      <w:bookmarkStart w:id="175" w:name="_Toc1313097152"/>
      <w:bookmarkEnd w:id="173"/>
      <w:r w:rsidRPr="00582E24">
        <w:rPr>
          <w:i/>
          <w:iCs/>
        </w:rPr>
        <w:t xml:space="preserve">16.1 </w:t>
      </w:r>
      <w:r w:rsidRPr="00582E24">
        <w:rPr>
          <w:i/>
          <w:iCs/>
        </w:rPr>
        <w:tab/>
      </w:r>
      <w:bookmarkEnd w:id="174"/>
      <w:bookmarkEnd w:id="175"/>
      <w:r w:rsidRPr="00582E24">
        <w:rPr>
          <w:i/>
          <w:iCs/>
        </w:rPr>
        <w:t>Seguro médico posterior a la separación del servicio</w:t>
      </w:r>
    </w:p>
    <w:p w14:paraId="62C01F42" w14:textId="77777777" w:rsidR="00800DCC" w:rsidRPr="00582E24" w:rsidRDefault="00800DCC" w:rsidP="00314178">
      <w:pPr>
        <w:pStyle w:val="Heading3"/>
        <w:tabs>
          <w:tab w:val="clear" w:pos="1134"/>
          <w:tab w:val="clear" w:pos="1701"/>
          <w:tab w:val="left" w:pos="900"/>
        </w:tabs>
        <w:ind w:left="900" w:hanging="900"/>
        <w:jc w:val="both"/>
        <w:rPr>
          <w:i/>
          <w:iCs/>
        </w:rPr>
      </w:pPr>
      <w:bookmarkStart w:id="176" w:name="_Toc305764093"/>
      <w:bookmarkStart w:id="177" w:name="_Hlk131158609"/>
      <w:r w:rsidRPr="00582E24">
        <w:rPr>
          <w:i/>
          <w:iCs/>
        </w:rPr>
        <w:t>16.1.1</w:t>
      </w:r>
      <w:r w:rsidRPr="00582E24">
        <w:rPr>
          <w:i/>
          <w:iCs/>
        </w:rPr>
        <w:tab/>
        <w:t>Evaluación actuarial de las prestaciones adeudadas tras el cese en el servicio conforme al plan del ASHI</w:t>
      </w:r>
      <w:bookmarkEnd w:id="176"/>
    </w:p>
    <w:p w14:paraId="7F7C1ABD" w14:textId="25D1FAAC" w:rsidR="00800DCC" w:rsidRPr="00582E24" w:rsidRDefault="00800DCC" w:rsidP="008E311B">
      <w:pPr>
        <w:jc w:val="both"/>
      </w:pPr>
      <w:r w:rsidRPr="00582E24">
        <w:t>El importe de los compromisos vinculados al ASHI se determina mediante un estudio actuarial anual realizado por un gabinete de consultoría independiente. La última evaluación se efectuó en enero de 2025 y determinó que los compromisos de la UIT en concepto de prestaciones por enfermedad tras el cese en el servicio adeudados a los funcionarios que cumplían las condiciones aplicables ascendían a 415,8 millones CHF al 31 de diciembre de 2024 (375,3</w:t>
      </w:r>
      <w:r w:rsidR="00A10ECE" w:rsidRPr="00582E24">
        <w:t> </w:t>
      </w:r>
      <w:r w:rsidRPr="00582E24">
        <w:t>millones CHF a finales de 2023). El estudio actuarial se llevó a cabo a partir de los datos (coste reclamado/contribución abonada/población apta) facilitados por la UIT.</w:t>
      </w:r>
      <w:bookmarkStart w:id="178" w:name="_Toc305764094"/>
    </w:p>
    <w:bookmarkEnd w:id="177"/>
    <w:p w14:paraId="571AB6DA" w14:textId="77777777" w:rsidR="00800DCC" w:rsidRPr="00582E24" w:rsidRDefault="00800DCC" w:rsidP="003947DB">
      <w:pPr>
        <w:pStyle w:val="Heading3"/>
        <w:tabs>
          <w:tab w:val="clear" w:pos="1134"/>
          <w:tab w:val="clear" w:pos="1701"/>
          <w:tab w:val="left" w:pos="900"/>
        </w:tabs>
        <w:ind w:left="900" w:hanging="900"/>
        <w:jc w:val="both"/>
        <w:rPr>
          <w:i/>
          <w:iCs/>
        </w:rPr>
      </w:pPr>
      <w:r w:rsidRPr="00582E24">
        <w:rPr>
          <w:i/>
          <w:iCs/>
        </w:rPr>
        <w:lastRenderedPageBreak/>
        <w:t>16.1.2</w:t>
      </w:r>
      <w:r w:rsidRPr="00582E24">
        <w:rPr>
          <w:i/>
          <w:iCs/>
        </w:rPr>
        <w:tab/>
        <w:t>Evaluación actuarial – Hipótesis y métodos</w:t>
      </w:r>
      <w:bookmarkEnd w:id="178"/>
    </w:p>
    <w:p w14:paraId="36E59C24" w14:textId="77777777" w:rsidR="00800DCC" w:rsidRPr="00582E24" w:rsidRDefault="00800DCC" w:rsidP="007D49B5">
      <w:pPr>
        <w:spacing w:after="240"/>
        <w:jc w:val="both"/>
      </w:pPr>
      <w:r w:rsidRPr="00582E24">
        <w:t>En el marco de la evaluación de los compromisos vinculados al plan del ASHI al 31 de diciembre de 2024 y de la contribución para el ejercicio 2024, la UIT valida las hipótesis y los métodos que utilizan los actuarios. Las hipótesis y los métodos utilizados para la evaluación que abarca el ejercicio 2024 se describen a continuación.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5769"/>
      </w:tblGrid>
      <w:tr w:rsidR="00800DCC" w:rsidRPr="00582E24" w14:paraId="3239A219" w14:textId="77777777" w:rsidTr="00663AAF">
        <w:trPr>
          <w:trHeight w:val="276"/>
          <w:jc w:val="center"/>
        </w:trPr>
        <w:tc>
          <w:tcPr>
            <w:tcW w:w="3886" w:type="dxa"/>
          </w:tcPr>
          <w:p w14:paraId="21A3EDD7" w14:textId="77777777" w:rsidR="00800DCC" w:rsidRPr="00582E24" w:rsidRDefault="00800DCC" w:rsidP="00663AAF">
            <w:pPr>
              <w:pStyle w:val="Tabletext"/>
              <w:jc w:val="both"/>
            </w:pPr>
            <w:bookmarkStart w:id="179" w:name="_Hlk37059178"/>
            <w:r w:rsidRPr="00582E24">
              <w:t>Tasa de descuento</w:t>
            </w:r>
          </w:p>
        </w:tc>
        <w:tc>
          <w:tcPr>
            <w:tcW w:w="6599" w:type="dxa"/>
          </w:tcPr>
          <w:p w14:paraId="28E82600" w14:textId="41849B35" w:rsidR="00800DCC" w:rsidRPr="00582E24" w:rsidRDefault="00800DCC" w:rsidP="00663AAF">
            <w:pPr>
              <w:pStyle w:val="Tabletext"/>
              <w:jc w:val="both"/>
            </w:pPr>
            <w:r w:rsidRPr="00582E24">
              <w:t>1,40</w:t>
            </w:r>
            <w:r w:rsidR="00434E7A" w:rsidRPr="00582E24">
              <w:t> </w:t>
            </w:r>
            <w:r w:rsidRPr="00582E24">
              <w:t>% para 2024 y 1,90</w:t>
            </w:r>
            <w:r w:rsidR="00434E7A" w:rsidRPr="00582E24">
              <w:t> </w:t>
            </w:r>
            <w:r w:rsidRPr="00582E24">
              <w:t>% para 2023.</w:t>
            </w:r>
          </w:p>
          <w:p w14:paraId="6D06A01E" w14:textId="38ECCBDC" w:rsidR="00800DCC" w:rsidRPr="00582E24" w:rsidRDefault="00800DCC" w:rsidP="00663AAF">
            <w:pPr>
              <w:pStyle w:val="Tabletext"/>
              <w:jc w:val="both"/>
            </w:pPr>
            <w:r w:rsidRPr="00582E24">
              <w:t xml:space="preserve">En primer lugar, se determinaron las tasas de descuento aplicables a esta evaluación de forma independiente para cada una de las divisas principales (a saber, CHF, USD y EUR), utilizando la </w:t>
            </w:r>
            <w:bookmarkStart w:id="180" w:name="_Hlk200100215"/>
            <w:r w:rsidRPr="00582E24">
              <w:t>curva de rendimiento de los bonos corporativos</w:t>
            </w:r>
            <w:bookmarkEnd w:id="180"/>
            <w:r w:rsidR="00434E7A" w:rsidRPr="00582E24">
              <w:t> </w:t>
            </w:r>
            <w:r w:rsidRPr="00582E24">
              <w:t>AA de Aon al 31 de diciembre de 2024. A</w:t>
            </w:r>
            <w:r w:rsidR="00434E7A" w:rsidRPr="00582E24">
              <w:t> </w:t>
            </w:r>
            <w:r w:rsidRPr="00582E24">
              <w:t>continuación, se determinó la tasa de descuento final promediando las tasas de descuento denominadas en divisas y ponderadas en función de los pagos de prestaciones abonados a los trabajadores inactivos en ese momento en cada divisa.</w:t>
            </w:r>
          </w:p>
        </w:tc>
      </w:tr>
      <w:tr w:rsidR="00800DCC" w:rsidRPr="00582E24" w14:paraId="223A991D" w14:textId="77777777" w:rsidTr="00663AAF">
        <w:trPr>
          <w:trHeight w:val="262"/>
          <w:jc w:val="center"/>
        </w:trPr>
        <w:tc>
          <w:tcPr>
            <w:tcW w:w="3886" w:type="dxa"/>
          </w:tcPr>
          <w:p w14:paraId="680C7504" w14:textId="77777777" w:rsidR="00800DCC" w:rsidRPr="00582E24" w:rsidRDefault="00800DCC" w:rsidP="00663AAF">
            <w:pPr>
              <w:pStyle w:val="Tabletext"/>
              <w:jc w:val="both"/>
            </w:pPr>
            <w:r w:rsidRPr="00582E24">
              <w:t>Aumento de los costes médicos</w:t>
            </w:r>
          </w:p>
        </w:tc>
        <w:tc>
          <w:tcPr>
            <w:tcW w:w="6599" w:type="dxa"/>
          </w:tcPr>
          <w:p w14:paraId="40F215C9" w14:textId="1AA664C4" w:rsidR="00800DCC" w:rsidRPr="00582E24" w:rsidRDefault="00800DCC" w:rsidP="00663AAF">
            <w:pPr>
              <w:pStyle w:val="Tabletext"/>
              <w:jc w:val="both"/>
            </w:pPr>
            <w:r w:rsidRPr="00582E24">
              <w:t>2,40</w:t>
            </w:r>
            <w:r w:rsidR="001E3916" w:rsidRPr="00582E24">
              <w:t> </w:t>
            </w:r>
            <w:r w:rsidRPr="00582E24">
              <w:t>% para 2024 y 2,60</w:t>
            </w:r>
            <w:r w:rsidR="001E3916" w:rsidRPr="00582E24">
              <w:t> </w:t>
            </w:r>
            <w:r w:rsidRPr="00582E24">
              <w:t>% para 2023.</w:t>
            </w:r>
          </w:p>
        </w:tc>
      </w:tr>
      <w:tr w:rsidR="00800DCC" w:rsidRPr="00582E24" w14:paraId="48DEFADE" w14:textId="77777777" w:rsidTr="00663AAF">
        <w:trPr>
          <w:trHeight w:val="261"/>
          <w:jc w:val="center"/>
        </w:trPr>
        <w:tc>
          <w:tcPr>
            <w:tcW w:w="3886" w:type="dxa"/>
          </w:tcPr>
          <w:p w14:paraId="3D109FE3" w14:textId="77777777" w:rsidR="00800DCC" w:rsidRPr="00582E24" w:rsidRDefault="00800DCC" w:rsidP="00663AAF">
            <w:pPr>
              <w:pStyle w:val="Tabletext"/>
              <w:jc w:val="both"/>
            </w:pPr>
            <w:r w:rsidRPr="00582E24">
              <w:t>Aumento de los sueldos</w:t>
            </w:r>
          </w:p>
        </w:tc>
        <w:tc>
          <w:tcPr>
            <w:tcW w:w="6599" w:type="dxa"/>
          </w:tcPr>
          <w:p w14:paraId="41D2A3B4" w14:textId="1F3EA706" w:rsidR="00800DCC" w:rsidRPr="00582E24" w:rsidRDefault="00800DCC" w:rsidP="00663AAF">
            <w:pPr>
              <w:pStyle w:val="Tabletext"/>
              <w:jc w:val="both"/>
            </w:pPr>
            <w:r w:rsidRPr="00582E24">
              <w:t>3,10</w:t>
            </w:r>
            <w:r w:rsidR="001E3916" w:rsidRPr="00582E24">
              <w:t> </w:t>
            </w:r>
            <w:r w:rsidRPr="00582E24">
              <w:t>% para 2024 y 2023 más la escala salarial estática de la</w:t>
            </w:r>
            <w:r w:rsidR="001E3916" w:rsidRPr="00582E24">
              <w:t> </w:t>
            </w:r>
            <w:r w:rsidRPr="00582E24">
              <w:t>CCPPNU.</w:t>
            </w:r>
          </w:p>
        </w:tc>
      </w:tr>
      <w:tr w:rsidR="00800DCC" w:rsidRPr="00582E24" w14:paraId="110B4D30" w14:textId="77777777" w:rsidTr="00663AAF">
        <w:trPr>
          <w:trHeight w:val="276"/>
          <w:jc w:val="center"/>
        </w:trPr>
        <w:tc>
          <w:tcPr>
            <w:tcW w:w="3886" w:type="dxa"/>
          </w:tcPr>
          <w:p w14:paraId="2D4B059E" w14:textId="77777777" w:rsidR="00800DCC" w:rsidRPr="00582E24" w:rsidRDefault="00800DCC" w:rsidP="00663AAF">
            <w:pPr>
              <w:pStyle w:val="Tabletext"/>
              <w:jc w:val="both"/>
            </w:pPr>
            <w:r w:rsidRPr="00582E24">
              <w:t>Aumento de las pensiones</w:t>
            </w:r>
          </w:p>
        </w:tc>
        <w:tc>
          <w:tcPr>
            <w:tcW w:w="6599" w:type="dxa"/>
          </w:tcPr>
          <w:p w14:paraId="3223589D" w14:textId="419A4BC6" w:rsidR="00800DCC" w:rsidRPr="00582E24" w:rsidRDefault="00800DCC" w:rsidP="00663AAF">
            <w:pPr>
              <w:pStyle w:val="Tabletext"/>
              <w:jc w:val="both"/>
            </w:pPr>
            <w:r w:rsidRPr="00582E24">
              <w:t>2,60</w:t>
            </w:r>
            <w:r w:rsidR="001E3916" w:rsidRPr="00582E24">
              <w:t> </w:t>
            </w:r>
            <w:r w:rsidRPr="00582E24">
              <w:t>% para 2024 y 2023.</w:t>
            </w:r>
          </w:p>
        </w:tc>
      </w:tr>
      <w:tr w:rsidR="00800DCC" w:rsidRPr="00582E24" w14:paraId="35280F3C" w14:textId="77777777" w:rsidTr="00663AAF">
        <w:trPr>
          <w:trHeight w:val="1120"/>
          <w:jc w:val="center"/>
        </w:trPr>
        <w:tc>
          <w:tcPr>
            <w:tcW w:w="3886" w:type="dxa"/>
          </w:tcPr>
          <w:p w14:paraId="799CEF38" w14:textId="77777777" w:rsidR="00800DCC" w:rsidRPr="00582E24" w:rsidRDefault="00800DCC" w:rsidP="001E3916">
            <w:pPr>
              <w:pStyle w:val="Tabletext"/>
              <w:keepNext/>
              <w:jc w:val="both"/>
            </w:pPr>
            <w:r w:rsidRPr="00582E24">
              <w:t>Coste anual medio estimado de las solicitudes de reembolso de gastos médicos en 2024 y variación de los gastos médicos en función de la edad</w:t>
            </w:r>
          </w:p>
        </w:tc>
        <w:tc>
          <w:tcPr>
            <w:tcW w:w="6599" w:type="dxa"/>
          </w:tcPr>
          <w:p w14:paraId="14922DCF" w14:textId="77777777" w:rsidR="00800DCC" w:rsidRPr="00582E24" w:rsidRDefault="00800DCC" w:rsidP="00F82238">
            <w:pPr>
              <w:pStyle w:val="Tabletext"/>
              <w:keepNext/>
              <w:spacing w:after="120"/>
              <w:jc w:val="both"/>
            </w:pPr>
            <w:r w:rsidRPr="00582E24">
              <w:t xml:space="preserve">El informe actuarial de 2024 se basa en los costes medios de </w:t>
            </w:r>
            <w:bookmarkStart w:id="181" w:name="_Hlk199944567"/>
            <w:r w:rsidRPr="00582E24">
              <w:t>las solicitudes de reembolso de gastos médicos</w:t>
            </w:r>
            <w:bookmarkEnd w:id="181"/>
            <w:r w:rsidRPr="00582E24">
              <w:t>, los cuales se estiman al final del ejercicio por franja de edad como sigue:</w:t>
            </w:r>
          </w:p>
          <w:tbl>
            <w:tblPr>
              <w:tblStyle w:val="TableGrid"/>
              <w:tblW w:w="0" w:type="auto"/>
              <w:jc w:val="center"/>
              <w:tblLook w:val="06A0" w:firstRow="1" w:lastRow="0" w:firstColumn="1" w:lastColumn="0" w:noHBand="1" w:noVBand="1"/>
            </w:tblPr>
            <w:tblGrid>
              <w:gridCol w:w="1135"/>
              <w:gridCol w:w="1701"/>
              <w:gridCol w:w="1701"/>
            </w:tblGrid>
            <w:tr w:rsidR="00800DCC" w:rsidRPr="00582E24" w14:paraId="3D2BEE3B" w14:textId="77777777" w:rsidTr="00136289">
              <w:trPr>
                <w:trHeight w:val="300"/>
                <w:jc w:val="center"/>
              </w:trPr>
              <w:tc>
                <w:tcPr>
                  <w:tcW w:w="1135" w:type="dxa"/>
                </w:tcPr>
                <w:p w14:paraId="46F4186B" w14:textId="77777777" w:rsidR="00800DCC" w:rsidRPr="00582E24" w:rsidRDefault="00800DCC" w:rsidP="001E3916">
                  <w:pPr>
                    <w:pStyle w:val="Tablehead"/>
                    <w:keepNext/>
                  </w:pPr>
                  <w:r w:rsidRPr="00582E24">
                    <w:t>Rango de edad</w:t>
                  </w:r>
                </w:p>
              </w:tc>
              <w:tc>
                <w:tcPr>
                  <w:tcW w:w="1701" w:type="dxa"/>
                </w:tcPr>
                <w:p w14:paraId="1D599FE2" w14:textId="77777777" w:rsidR="00800DCC" w:rsidRPr="00582E24" w:rsidRDefault="00800DCC" w:rsidP="001E3916">
                  <w:pPr>
                    <w:pStyle w:val="Tablehead"/>
                    <w:keepNext/>
                  </w:pPr>
                  <w:r w:rsidRPr="00582E24">
                    <w:t>Costes de las solicitudes de reembolso (CHF) en 2024</w:t>
                  </w:r>
                </w:p>
              </w:tc>
              <w:tc>
                <w:tcPr>
                  <w:tcW w:w="1701" w:type="dxa"/>
                </w:tcPr>
                <w:p w14:paraId="125760DE" w14:textId="77777777" w:rsidR="00800DCC" w:rsidRPr="00582E24" w:rsidRDefault="00800DCC" w:rsidP="001E3916">
                  <w:pPr>
                    <w:pStyle w:val="Tablehead"/>
                    <w:keepNext/>
                  </w:pPr>
                  <w:r w:rsidRPr="00582E24">
                    <w:t>Costes de las solicitudes de reembolso (CHF) en 2023</w:t>
                  </w:r>
                </w:p>
              </w:tc>
            </w:tr>
            <w:tr w:rsidR="00800DCC" w:rsidRPr="00582E24" w14:paraId="6C6CCEAD" w14:textId="77777777" w:rsidTr="00136289">
              <w:trPr>
                <w:trHeight w:val="300"/>
                <w:jc w:val="center"/>
              </w:trPr>
              <w:tc>
                <w:tcPr>
                  <w:tcW w:w="1135" w:type="dxa"/>
                </w:tcPr>
                <w:p w14:paraId="595F0F25" w14:textId="77777777" w:rsidR="00800DCC" w:rsidRPr="00582E24" w:rsidRDefault="00800DCC" w:rsidP="001E3916">
                  <w:pPr>
                    <w:pStyle w:val="Tabletext"/>
                    <w:keepNext/>
                    <w:jc w:val="center"/>
                  </w:pPr>
                  <w:r w:rsidRPr="00582E24">
                    <w:t>50</w:t>
                  </w:r>
                </w:p>
              </w:tc>
              <w:tc>
                <w:tcPr>
                  <w:tcW w:w="1701" w:type="dxa"/>
                </w:tcPr>
                <w:p w14:paraId="2ED4E3BF" w14:textId="77777777" w:rsidR="00800DCC" w:rsidRPr="00582E24" w:rsidRDefault="00800DCC" w:rsidP="001E3916">
                  <w:pPr>
                    <w:pStyle w:val="Tabletext"/>
                    <w:keepNext/>
                    <w:jc w:val="center"/>
                  </w:pPr>
                  <w:r w:rsidRPr="00582E24">
                    <w:t>4 408</w:t>
                  </w:r>
                </w:p>
              </w:tc>
              <w:tc>
                <w:tcPr>
                  <w:tcW w:w="1701" w:type="dxa"/>
                </w:tcPr>
                <w:p w14:paraId="3831E00B" w14:textId="77777777" w:rsidR="00800DCC" w:rsidRPr="00582E24" w:rsidRDefault="00800DCC" w:rsidP="001E3916">
                  <w:pPr>
                    <w:pStyle w:val="Tabletext"/>
                    <w:keepNext/>
                    <w:jc w:val="center"/>
                  </w:pPr>
                  <w:r w:rsidRPr="00582E24">
                    <w:t>3 226</w:t>
                  </w:r>
                </w:p>
              </w:tc>
            </w:tr>
            <w:tr w:rsidR="00800DCC" w:rsidRPr="00582E24" w14:paraId="696BE8CC" w14:textId="77777777" w:rsidTr="00136289">
              <w:trPr>
                <w:trHeight w:val="300"/>
                <w:jc w:val="center"/>
              </w:trPr>
              <w:tc>
                <w:tcPr>
                  <w:tcW w:w="1135" w:type="dxa"/>
                </w:tcPr>
                <w:p w14:paraId="2541A408" w14:textId="77777777" w:rsidR="00800DCC" w:rsidRPr="00582E24" w:rsidRDefault="00800DCC" w:rsidP="001E3916">
                  <w:pPr>
                    <w:pStyle w:val="Tabletext"/>
                    <w:keepNext/>
                    <w:jc w:val="center"/>
                  </w:pPr>
                  <w:r w:rsidRPr="00582E24">
                    <w:t>55</w:t>
                  </w:r>
                </w:p>
              </w:tc>
              <w:tc>
                <w:tcPr>
                  <w:tcW w:w="1701" w:type="dxa"/>
                </w:tcPr>
                <w:p w14:paraId="623E9102" w14:textId="77777777" w:rsidR="00800DCC" w:rsidRPr="00582E24" w:rsidRDefault="00800DCC" w:rsidP="001E3916">
                  <w:pPr>
                    <w:pStyle w:val="Tabletext"/>
                    <w:keepNext/>
                    <w:jc w:val="center"/>
                  </w:pPr>
                  <w:r w:rsidRPr="00582E24">
                    <w:t>5 441</w:t>
                  </w:r>
                </w:p>
              </w:tc>
              <w:tc>
                <w:tcPr>
                  <w:tcW w:w="1701" w:type="dxa"/>
                </w:tcPr>
                <w:p w14:paraId="154DEC38" w14:textId="77777777" w:rsidR="00800DCC" w:rsidRPr="00582E24" w:rsidRDefault="00800DCC" w:rsidP="001E3916">
                  <w:pPr>
                    <w:pStyle w:val="Tabletext"/>
                    <w:keepNext/>
                    <w:jc w:val="center"/>
                  </w:pPr>
                  <w:r w:rsidRPr="00582E24">
                    <w:t>4 038</w:t>
                  </w:r>
                </w:p>
              </w:tc>
            </w:tr>
            <w:tr w:rsidR="00800DCC" w:rsidRPr="00582E24" w14:paraId="66C42A68" w14:textId="77777777" w:rsidTr="00136289">
              <w:trPr>
                <w:trHeight w:val="300"/>
                <w:jc w:val="center"/>
              </w:trPr>
              <w:tc>
                <w:tcPr>
                  <w:tcW w:w="1135" w:type="dxa"/>
                </w:tcPr>
                <w:p w14:paraId="6BCECCBF" w14:textId="77777777" w:rsidR="00800DCC" w:rsidRPr="00582E24" w:rsidRDefault="00800DCC" w:rsidP="001E3916">
                  <w:pPr>
                    <w:pStyle w:val="Tabletext"/>
                    <w:keepNext/>
                    <w:jc w:val="center"/>
                  </w:pPr>
                  <w:r w:rsidRPr="00582E24">
                    <w:t>60</w:t>
                  </w:r>
                </w:p>
              </w:tc>
              <w:tc>
                <w:tcPr>
                  <w:tcW w:w="1701" w:type="dxa"/>
                </w:tcPr>
                <w:p w14:paraId="7791B824" w14:textId="77777777" w:rsidR="00800DCC" w:rsidRPr="00582E24" w:rsidRDefault="00800DCC" w:rsidP="001E3916">
                  <w:pPr>
                    <w:pStyle w:val="Tabletext"/>
                    <w:keepNext/>
                    <w:jc w:val="center"/>
                  </w:pPr>
                  <w:r w:rsidRPr="00582E24">
                    <w:t>6 620</w:t>
                  </w:r>
                </w:p>
              </w:tc>
              <w:tc>
                <w:tcPr>
                  <w:tcW w:w="1701" w:type="dxa"/>
                </w:tcPr>
                <w:p w14:paraId="2C52278E" w14:textId="77777777" w:rsidR="00800DCC" w:rsidRPr="00582E24" w:rsidRDefault="00800DCC" w:rsidP="001E3916">
                  <w:pPr>
                    <w:pStyle w:val="Tabletext"/>
                    <w:keepNext/>
                    <w:jc w:val="center"/>
                  </w:pPr>
                  <w:r w:rsidRPr="00582E24">
                    <w:t>5 063</w:t>
                  </w:r>
                </w:p>
              </w:tc>
            </w:tr>
            <w:tr w:rsidR="00800DCC" w:rsidRPr="00582E24" w14:paraId="3C389D2A" w14:textId="77777777" w:rsidTr="00136289">
              <w:trPr>
                <w:trHeight w:val="300"/>
                <w:jc w:val="center"/>
              </w:trPr>
              <w:tc>
                <w:tcPr>
                  <w:tcW w:w="1135" w:type="dxa"/>
                </w:tcPr>
                <w:p w14:paraId="0E9BBDFD" w14:textId="77777777" w:rsidR="00800DCC" w:rsidRPr="00582E24" w:rsidRDefault="00800DCC" w:rsidP="001E3916">
                  <w:pPr>
                    <w:pStyle w:val="Tabletext"/>
                    <w:keepNext/>
                    <w:jc w:val="center"/>
                  </w:pPr>
                  <w:r w:rsidRPr="00582E24">
                    <w:t>65</w:t>
                  </w:r>
                </w:p>
              </w:tc>
              <w:tc>
                <w:tcPr>
                  <w:tcW w:w="1701" w:type="dxa"/>
                </w:tcPr>
                <w:p w14:paraId="07D43D19" w14:textId="77777777" w:rsidR="00800DCC" w:rsidRPr="00582E24" w:rsidRDefault="00800DCC" w:rsidP="001E3916">
                  <w:pPr>
                    <w:pStyle w:val="Tabletext"/>
                    <w:keepNext/>
                    <w:jc w:val="center"/>
                  </w:pPr>
                  <w:r w:rsidRPr="00582E24">
                    <w:t>7 938</w:t>
                  </w:r>
                </w:p>
              </w:tc>
              <w:tc>
                <w:tcPr>
                  <w:tcW w:w="1701" w:type="dxa"/>
                </w:tcPr>
                <w:p w14:paraId="7438A5AC" w14:textId="77777777" w:rsidR="00800DCC" w:rsidRPr="00582E24" w:rsidRDefault="00800DCC" w:rsidP="001E3916">
                  <w:pPr>
                    <w:pStyle w:val="Tabletext"/>
                    <w:keepNext/>
                    <w:jc w:val="center"/>
                  </w:pPr>
                  <w:r w:rsidRPr="00582E24">
                    <w:t>6 357</w:t>
                  </w:r>
                </w:p>
              </w:tc>
            </w:tr>
            <w:tr w:rsidR="00800DCC" w:rsidRPr="00582E24" w14:paraId="436C950A" w14:textId="77777777" w:rsidTr="00136289">
              <w:trPr>
                <w:trHeight w:val="300"/>
                <w:jc w:val="center"/>
              </w:trPr>
              <w:tc>
                <w:tcPr>
                  <w:tcW w:w="1135" w:type="dxa"/>
                </w:tcPr>
                <w:p w14:paraId="62F21A77" w14:textId="77777777" w:rsidR="00800DCC" w:rsidRPr="00582E24" w:rsidRDefault="00800DCC" w:rsidP="001E3916">
                  <w:pPr>
                    <w:pStyle w:val="Tabletext"/>
                    <w:keepNext/>
                    <w:jc w:val="center"/>
                  </w:pPr>
                  <w:r w:rsidRPr="00582E24">
                    <w:t>70</w:t>
                  </w:r>
                </w:p>
              </w:tc>
              <w:tc>
                <w:tcPr>
                  <w:tcW w:w="1701" w:type="dxa"/>
                </w:tcPr>
                <w:p w14:paraId="7CEE28A2" w14:textId="77777777" w:rsidR="00800DCC" w:rsidRPr="00582E24" w:rsidRDefault="00800DCC" w:rsidP="001E3916">
                  <w:pPr>
                    <w:pStyle w:val="Tabletext"/>
                    <w:keepNext/>
                    <w:jc w:val="center"/>
                  </w:pPr>
                  <w:r w:rsidRPr="00582E24">
                    <w:t>9 566</w:t>
                  </w:r>
                </w:p>
              </w:tc>
              <w:tc>
                <w:tcPr>
                  <w:tcW w:w="1701" w:type="dxa"/>
                </w:tcPr>
                <w:p w14:paraId="5799D426" w14:textId="77777777" w:rsidR="00800DCC" w:rsidRPr="00582E24" w:rsidRDefault="00800DCC" w:rsidP="001E3916">
                  <w:pPr>
                    <w:pStyle w:val="Tabletext"/>
                    <w:keepNext/>
                    <w:jc w:val="center"/>
                  </w:pPr>
                  <w:r w:rsidRPr="00582E24">
                    <w:t>7 995</w:t>
                  </w:r>
                </w:p>
              </w:tc>
            </w:tr>
            <w:tr w:rsidR="00800DCC" w:rsidRPr="00582E24" w14:paraId="761D89F8" w14:textId="77777777" w:rsidTr="00136289">
              <w:trPr>
                <w:trHeight w:val="300"/>
                <w:jc w:val="center"/>
              </w:trPr>
              <w:tc>
                <w:tcPr>
                  <w:tcW w:w="1135" w:type="dxa"/>
                </w:tcPr>
                <w:p w14:paraId="379E754D" w14:textId="77777777" w:rsidR="00800DCC" w:rsidRPr="00582E24" w:rsidRDefault="00800DCC" w:rsidP="001E3916">
                  <w:pPr>
                    <w:pStyle w:val="Tabletext"/>
                    <w:keepNext/>
                    <w:jc w:val="center"/>
                  </w:pPr>
                  <w:r w:rsidRPr="00582E24">
                    <w:t>75</w:t>
                  </w:r>
                </w:p>
              </w:tc>
              <w:tc>
                <w:tcPr>
                  <w:tcW w:w="1701" w:type="dxa"/>
                </w:tcPr>
                <w:p w14:paraId="5506EE8D" w14:textId="77777777" w:rsidR="00800DCC" w:rsidRPr="00582E24" w:rsidRDefault="00800DCC" w:rsidP="001E3916">
                  <w:pPr>
                    <w:pStyle w:val="Tabletext"/>
                    <w:keepNext/>
                    <w:jc w:val="center"/>
                  </w:pPr>
                  <w:r w:rsidRPr="00582E24">
                    <w:t>10 926</w:t>
                  </w:r>
                </w:p>
              </w:tc>
              <w:tc>
                <w:tcPr>
                  <w:tcW w:w="1701" w:type="dxa"/>
                </w:tcPr>
                <w:p w14:paraId="05FA806D" w14:textId="77777777" w:rsidR="00800DCC" w:rsidRPr="00582E24" w:rsidRDefault="00800DCC" w:rsidP="001E3916">
                  <w:pPr>
                    <w:pStyle w:val="Tabletext"/>
                    <w:keepNext/>
                    <w:jc w:val="center"/>
                  </w:pPr>
                  <w:r w:rsidRPr="00582E24">
                    <w:t>10 074</w:t>
                  </w:r>
                </w:p>
              </w:tc>
            </w:tr>
            <w:tr w:rsidR="00800DCC" w:rsidRPr="00582E24" w14:paraId="108EC86C" w14:textId="77777777" w:rsidTr="00136289">
              <w:trPr>
                <w:trHeight w:val="300"/>
                <w:jc w:val="center"/>
              </w:trPr>
              <w:tc>
                <w:tcPr>
                  <w:tcW w:w="1135" w:type="dxa"/>
                </w:tcPr>
                <w:p w14:paraId="6642EE05" w14:textId="77777777" w:rsidR="00800DCC" w:rsidRPr="00582E24" w:rsidRDefault="00800DCC" w:rsidP="001E3916">
                  <w:pPr>
                    <w:pStyle w:val="Tabletext"/>
                    <w:keepNext/>
                    <w:jc w:val="center"/>
                  </w:pPr>
                  <w:r w:rsidRPr="00582E24">
                    <w:t>80</w:t>
                  </w:r>
                </w:p>
              </w:tc>
              <w:tc>
                <w:tcPr>
                  <w:tcW w:w="1701" w:type="dxa"/>
                </w:tcPr>
                <w:p w14:paraId="30B22AA2" w14:textId="77777777" w:rsidR="00800DCC" w:rsidRPr="00582E24" w:rsidRDefault="00800DCC" w:rsidP="001E3916">
                  <w:pPr>
                    <w:pStyle w:val="Tabletext"/>
                    <w:keepNext/>
                    <w:jc w:val="center"/>
                  </w:pPr>
                  <w:r w:rsidRPr="00582E24">
                    <w:t>12 060</w:t>
                  </w:r>
                </w:p>
              </w:tc>
              <w:tc>
                <w:tcPr>
                  <w:tcW w:w="1701" w:type="dxa"/>
                </w:tcPr>
                <w:p w14:paraId="3E1A4325" w14:textId="77777777" w:rsidR="00800DCC" w:rsidRPr="00582E24" w:rsidRDefault="00800DCC" w:rsidP="001E3916">
                  <w:pPr>
                    <w:pStyle w:val="Tabletext"/>
                    <w:keepNext/>
                    <w:jc w:val="center"/>
                  </w:pPr>
                  <w:r w:rsidRPr="00582E24">
                    <w:t>12 715</w:t>
                  </w:r>
                </w:p>
              </w:tc>
            </w:tr>
            <w:tr w:rsidR="00800DCC" w:rsidRPr="00582E24" w14:paraId="31654742" w14:textId="77777777" w:rsidTr="00136289">
              <w:trPr>
                <w:trHeight w:val="300"/>
                <w:jc w:val="center"/>
              </w:trPr>
              <w:tc>
                <w:tcPr>
                  <w:tcW w:w="1135" w:type="dxa"/>
                </w:tcPr>
                <w:p w14:paraId="50AB92E0" w14:textId="77777777" w:rsidR="00800DCC" w:rsidRPr="00582E24" w:rsidRDefault="00800DCC" w:rsidP="001E3916">
                  <w:pPr>
                    <w:pStyle w:val="Tabletext"/>
                    <w:keepNext/>
                    <w:jc w:val="center"/>
                  </w:pPr>
                  <w:r w:rsidRPr="00582E24">
                    <w:t>85</w:t>
                  </w:r>
                </w:p>
              </w:tc>
              <w:tc>
                <w:tcPr>
                  <w:tcW w:w="1701" w:type="dxa"/>
                </w:tcPr>
                <w:p w14:paraId="612E8BB1" w14:textId="77777777" w:rsidR="00800DCC" w:rsidRPr="00582E24" w:rsidRDefault="00800DCC" w:rsidP="001E3916">
                  <w:pPr>
                    <w:pStyle w:val="Tabletext"/>
                    <w:keepNext/>
                    <w:jc w:val="center"/>
                  </w:pPr>
                  <w:r w:rsidRPr="00582E24">
                    <w:t>14 672</w:t>
                  </w:r>
                </w:p>
              </w:tc>
              <w:tc>
                <w:tcPr>
                  <w:tcW w:w="1701" w:type="dxa"/>
                </w:tcPr>
                <w:p w14:paraId="51B1E9DB" w14:textId="77777777" w:rsidR="00800DCC" w:rsidRPr="00582E24" w:rsidRDefault="00800DCC" w:rsidP="001E3916">
                  <w:pPr>
                    <w:pStyle w:val="Tabletext"/>
                    <w:keepNext/>
                    <w:jc w:val="center"/>
                  </w:pPr>
                  <w:r w:rsidRPr="00582E24">
                    <w:t>14 736</w:t>
                  </w:r>
                </w:p>
              </w:tc>
            </w:tr>
            <w:tr w:rsidR="00800DCC" w:rsidRPr="00582E24" w14:paraId="5E7D58F4" w14:textId="77777777" w:rsidTr="00136289">
              <w:trPr>
                <w:trHeight w:val="300"/>
                <w:jc w:val="center"/>
              </w:trPr>
              <w:tc>
                <w:tcPr>
                  <w:tcW w:w="1135" w:type="dxa"/>
                </w:tcPr>
                <w:p w14:paraId="156B7A82" w14:textId="77777777" w:rsidR="00800DCC" w:rsidRPr="00582E24" w:rsidRDefault="00800DCC" w:rsidP="001E3916">
                  <w:pPr>
                    <w:pStyle w:val="Tabletext"/>
                    <w:keepNext/>
                    <w:jc w:val="center"/>
                  </w:pPr>
                  <w:r w:rsidRPr="00582E24">
                    <w:t>90</w:t>
                  </w:r>
                </w:p>
              </w:tc>
              <w:tc>
                <w:tcPr>
                  <w:tcW w:w="1701" w:type="dxa"/>
                </w:tcPr>
                <w:p w14:paraId="5747844C" w14:textId="77777777" w:rsidR="00800DCC" w:rsidRPr="00582E24" w:rsidRDefault="00800DCC" w:rsidP="001E3916">
                  <w:pPr>
                    <w:pStyle w:val="Tabletext"/>
                    <w:keepNext/>
                    <w:jc w:val="center"/>
                  </w:pPr>
                  <w:r w:rsidRPr="00582E24">
                    <w:t>16 919</w:t>
                  </w:r>
                </w:p>
              </w:tc>
              <w:tc>
                <w:tcPr>
                  <w:tcW w:w="1701" w:type="dxa"/>
                </w:tcPr>
                <w:p w14:paraId="6DAB44DA" w14:textId="77777777" w:rsidR="00800DCC" w:rsidRPr="00582E24" w:rsidRDefault="00800DCC" w:rsidP="001E3916">
                  <w:pPr>
                    <w:pStyle w:val="Tabletext"/>
                    <w:keepNext/>
                    <w:jc w:val="center"/>
                  </w:pPr>
                  <w:r w:rsidRPr="00582E24">
                    <w:t>16 953</w:t>
                  </w:r>
                </w:p>
              </w:tc>
            </w:tr>
          </w:tbl>
          <w:p w14:paraId="09CA68ED" w14:textId="77777777" w:rsidR="00800DCC" w:rsidRPr="00582E24" w:rsidRDefault="00800DCC" w:rsidP="001E3916">
            <w:pPr>
              <w:pStyle w:val="Tabletext"/>
              <w:keepNext/>
              <w:jc w:val="center"/>
            </w:pPr>
          </w:p>
        </w:tc>
      </w:tr>
      <w:tr w:rsidR="00800DCC" w:rsidRPr="00582E24" w14:paraId="5B168BD9" w14:textId="77777777" w:rsidTr="00663AAF">
        <w:trPr>
          <w:trHeight w:val="262"/>
          <w:jc w:val="center"/>
        </w:trPr>
        <w:tc>
          <w:tcPr>
            <w:tcW w:w="3886" w:type="dxa"/>
          </w:tcPr>
          <w:p w14:paraId="5CDD410B" w14:textId="77777777" w:rsidR="00800DCC" w:rsidRPr="00582E24" w:rsidRDefault="00800DCC" w:rsidP="00663AAF">
            <w:pPr>
              <w:pStyle w:val="Tabletext"/>
              <w:jc w:val="both"/>
            </w:pPr>
            <w:r w:rsidRPr="00582E24">
              <w:t>Gastos administrativos</w:t>
            </w:r>
          </w:p>
        </w:tc>
        <w:tc>
          <w:tcPr>
            <w:tcW w:w="6599" w:type="dxa"/>
          </w:tcPr>
          <w:p w14:paraId="2F153171" w14:textId="23A78B54" w:rsidR="00800DCC" w:rsidRPr="00582E24" w:rsidRDefault="00800DCC" w:rsidP="00663AAF">
            <w:pPr>
              <w:pStyle w:val="Tabletext"/>
              <w:jc w:val="both"/>
            </w:pPr>
            <w:r w:rsidRPr="00582E24">
              <w:t>El coste administrativo medio anual por persona se estimó en</w:t>
            </w:r>
            <w:r w:rsidR="001E3916" w:rsidRPr="00582E24">
              <w:t> </w:t>
            </w:r>
            <w:r w:rsidRPr="00582E24">
              <w:t>166 CHF, frente a 164 CHF en 2023.</w:t>
            </w:r>
          </w:p>
        </w:tc>
      </w:tr>
      <w:tr w:rsidR="00800DCC" w:rsidRPr="00582E24" w14:paraId="43B24DE2" w14:textId="77777777" w:rsidTr="00663AAF">
        <w:trPr>
          <w:trHeight w:val="1026"/>
          <w:jc w:val="center"/>
        </w:trPr>
        <w:tc>
          <w:tcPr>
            <w:tcW w:w="3886" w:type="dxa"/>
          </w:tcPr>
          <w:p w14:paraId="0AFFEED5" w14:textId="77777777" w:rsidR="00800DCC" w:rsidRPr="00582E24" w:rsidRDefault="00800DCC" w:rsidP="00663AAF">
            <w:pPr>
              <w:pStyle w:val="Tabletext"/>
              <w:keepNext/>
              <w:jc w:val="both"/>
            </w:pPr>
            <w:r w:rsidRPr="00582E24">
              <w:lastRenderedPageBreak/>
              <w:t>Mortalidad</w:t>
            </w:r>
          </w:p>
        </w:tc>
        <w:tc>
          <w:tcPr>
            <w:tcW w:w="6599" w:type="dxa"/>
          </w:tcPr>
          <w:p w14:paraId="177A238B" w14:textId="1BE8B312" w:rsidR="00800DCC" w:rsidRPr="00582E24" w:rsidRDefault="00800DCC" w:rsidP="00663AAF">
            <w:pPr>
              <w:pStyle w:val="Tabletext"/>
              <w:keepNext/>
              <w:jc w:val="both"/>
            </w:pPr>
            <w:r w:rsidRPr="00582E24">
              <w:t>La mortalidad se basa en los cuadros de mortalidad desglosada por sexos de las Naciones Unidas más recientes (enero</w:t>
            </w:r>
            <w:r w:rsidR="001E3916" w:rsidRPr="00582E24">
              <w:t> </w:t>
            </w:r>
            <w:r w:rsidRPr="00582E24">
              <w:t>de</w:t>
            </w:r>
            <w:r w:rsidR="001E3916" w:rsidRPr="00582E24">
              <w:t> </w:t>
            </w:r>
            <w:r w:rsidRPr="00582E24">
              <w:t>2024), sin mejora de la longevidad para los activos y jubilados con discapacidad y con mejora de la longevidad generacional hasta 2044, siendo el año de referencia 2017 para los jubilados del servicio, las viudas y los viudos.</w:t>
            </w:r>
          </w:p>
        </w:tc>
      </w:tr>
      <w:tr w:rsidR="00800DCC" w:rsidRPr="00582E24" w14:paraId="0D6856D1" w14:textId="77777777" w:rsidTr="00663AAF">
        <w:trPr>
          <w:trHeight w:val="374"/>
          <w:jc w:val="center"/>
        </w:trPr>
        <w:tc>
          <w:tcPr>
            <w:tcW w:w="3886" w:type="dxa"/>
          </w:tcPr>
          <w:p w14:paraId="2A62AE65" w14:textId="77777777" w:rsidR="00800DCC" w:rsidRPr="00582E24" w:rsidRDefault="00800DCC" w:rsidP="00663AAF">
            <w:pPr>
              <w:pStyle w:val="Tabletext"/>
              <w:jc w:val="both"/>
            </w:pPr>
            <w:r w:rsidRPr="00582E24">
              <w:t>Valorización de los activos</w:t>
            </w:r>
          </w:p>
        </w:tc>
        <w:tc>
          <w:tcPr>
            <w:tcW w:w="6599" w:type="dxa"/>
          </w:tcPr>
          <w:p w14:paraId="26C9239F" w14:textId="77777777" w:rsidR="00800DCC" w:rsidRPr="00582E24" w:rsidRDefault="00800DCC" w:rsidP="00663AAF">
            <w:pPr>
              <w:pStyle w:val="Tabletext"/>
              <w:jc w:val="both"/>
            </w:pPr>
            <w:r w:rsidRPr="00582E24">
              <w:t>La UIT carece de activos afectos al plan para el fondo del ASHI (2023: nulo).</w:t>
            </w:r>
          </w:p>
        </w:tc>
      </w:tr>
      <w:tr w:rsidR="00800DCC" w:rsidRPr="00582E24" w14:paraId="6BE3DD5F" w14:textId="77777777" w:rsidTr="00663AAF">
        <w:trPr>
          <w:trHeight w:val="742"/>
          <w:jc w:val="center"/>
        </w:trPr>
        <w:tc>
          <w:tcPr>
            <w:tcW w:w="3886" w:type="dxa"/>
          </w:tcPr>
          <w:p w14:paraId="76D75169" w14:textId="77777777" w:rsidR="00800DCC" w:rsidRPr="00582E24" w:rsidRDefault="00800DCC" w:rsidP="00663AAF">
            <w:pPr>
              <w:pStyle w:val="Tabletext"/>
              <w:jc w:val="both"/>
            </w:pPr>
            <w:r w:rsidRPr="00582E24">
              <w:t>Tasa de discapacidad</w:t>
            </w:r>
          </w:p>
        </w:tc>
        <w:tc>
          <w:tcPr>
            <w:tcW w:w="6599" w:type="dxa"/>
          </w:tcPr>
          <w:p w14:paraId="3D5B1FE8" w14:textId="75F95C62" w:rsidR="00800DCC" w:rsidRPr="00582E24" w:rsidRDefault="00800DCC" w:rsidP="00663AAF">
            <w:pPr>
              <w:pStyle w:val="Tabletext"/>
              <w:jc w:val="both"/>
            </w:pPr>
            <w:r w:rsidRPr="00582E24">
              <w:t>Varía en función de la edad y del sexo del personal del Cuadro Orgánico y de servicios generales, y aumenta con la edad de</w:t>
            </w:r>
            <w:r w:rsidR="001E3916" w:rsidRPr="00582E24">
              <w:t> </w:t>
            </w:r>
            <w:r w:rsidRPr="00582E24">
              <w:t>19</w:t>
            </w:r>
            <w:r w:rsidR="001E3916" w:rsidRPr="00582E24">
              <w:t> </w:t>
            </w:r>
            <w:r w:rsidRPr="00582E24">
              <w:t>a 70 años. Este dato se basa en el cuadro de discapacidad de las Naciones Unidas publicado en enero de 2025 y oscila entre 0,00006 y 0,00550.</w:t>
            </w:r>
          </w:p>
        </w:tc>
      </w:tr>
      <w:tr w:rsidR="00800DCC" w:rsidRPr="00582E24" w14:paraId="55262F11" w14:textId="77777777" w:rsidTr="00663AAF">
        <w:trPr>
          <w:trHeight w:val="509"/>
          <w:jc w:val="center"/>
        </w:trPr>
        <w:tc>
          <w:tcPr>
            <w:tcW w:w="3886" w:type="dxa"/>
          </w:tcPr>
          <w:p w14:paraId="1FB07A67" w14:textId="77777777" w:rsidR="00800DCC" w:rsidRPr="00582E24" w:rsidRDefault="00800DCC" w:rsidP="00663AAF">
            <w:pPr>
              <w:pStyle w:val="Tabletext"/>
              <w:jc w:val="both"/>
            </w:pPr>
            <w:r w:rsidRPr="00582E24">
              <w:t>Rotación de personal</w:t>
            </w:r>
          </w:p>
        </w:tc>
        <w:tc>
          <w:tcPr>
            <w:tcW w:w="6599" w:type="dxa"/>
          </w:tcPr>
          <w:p w14:paraId="505482AE" w14:textId="6B010100" w:rsidR="00800DCC" w:rsidRPr="00582E24" w:rsidRDefault="00800DCC" w:rsidP="00663AAF">
            <w:pPr>
              <w:pStyle w:val="Tabletext"/>
              <w:jc w:val="both"/>
            </w:pPr>
            <w:r w:rsidRPr="00582E24">
              <w:t>La hipótesis sobre la rotación de personal considerada a efectos de la evaluación se ha modificado de acuerdo con los últimos datos disponibles, a fin de brindar una estimación más representativa, y se centra en los empleados que no poseen un contrato a corto plazo, dividiéndolos en dos grupos de edad, a saber, trabajadores menores y mayores de 45 años. Los porcentajes obtenidos fueron del orden del 4</w:t>
            </w:r>
            <w:r w:rsidR="001E3916" w:rsidRPr="00582E24">
              <w:t> </w:t>
            </w:r>
            <w:r w:rsidRPr="00582E24">
              <w:t>% al 2,5</w:t>
            </w:r>
            <w:r w:rsidR="001E3916" w:rsidRPr="00582E24">
              <w:t> </w:t>
            </w:r>
            <w:r w:rsidRPr="00582E24">
              <w:t>%, respectivamente.</w:t>
            </w:r>
          </w:p>
        </w:tc>
      </w:tr>
      <w:tr w:rsidR="00800DCC" w:rsidRPr="00582E24" w14:paraId="7B0AAC8C" w14:textId="77777777" w:rsidTr="00663AAF">
        <w:trPr>
          <w:trHeight w:val="509"/>
          <w:jc w:val="center"/>
        </w:trPr>
        <w:tc>
          <w:tcPr>
            <w:tcW w:w="3886" w:type="dxa"/>
          </w:tcPr>
          <w:p w14:paraId="34E8818F" w14:textId="77777777" w:rsidR="00800DCC" w:rsidRPr="00582E24" w:rsidRDefault="00800DCC" w:rsidP="001E3916">
            <w:pPr>
              <w:pStyle w:val="Tabletext"/>
              <w:keepNext/>
              <w:jc w:val="both"/>
            </w:pPr>
            <w:r w:rsidRPr="00582E24">
              <w:t>Tasa de jubilación</w:t>
            </w:r>
          </w:p>
        </w:tc>
        <w:tc>
          <w:tcPr>
            <w:tcW w:w="6599" w:type="dxa"/>
          </w:tcPr>
          <w:p w14:paraId="56BF1161" w14:textId="77777777" w:rsidR="00800DCC" w:rsidRPr="00582E24" w:rsidRDefault="00800DCC" w:rsidP="001E3916">
            <w:pPr>
              <w:pStyle w:val="Tabletext"/>
              <w:keepNext/>
              <w:jc w:val="both"/>
            </w:pPr>
            <w:r w:rsidRPr="00582E24">
              <w:t>Para todos los miembros del personal, las tasas de jubilación equivalen a las expresadas en el mensaje del Grupo de Tareas de las Naciones Unidas de enero de 2025. Las tasas varían en función de la edad, el sexo, los años de servicio y la categoría profesional.</w:t>
            </w:r>
          </w:p>
        </w:tc>
      </w:tr>
      <w:tr w:rsidR="00800DCC" w:rsidRPr="00582E24" w14:paraId="73B87F06" w14:textId="77777777" w:rsidTr="00663AAF">
        <w:trPr>
          <w:trHeight w:val="262"/>
          <w:jc w:val="center"/>
        </w:trPr>
        <w:tc>
          <w:tcPr>
            <w:tcW w:w="3886" w:type="dxa"/>
          </w:tcPr>
          <w:p w14:paraId="638A6FCB" w14:textId="77777777" w:rsidR="00800DCC" w:rsidRPr="00582E24" w:rsidRDefault="00800DCC" w:rsidP="00663AAF">
            <w:pPr>
              <w:pStyle w:val="Tabletext"/>
              <w:jc w:val="both"/>
            </w:pPr>
            <w:r w:rsidRPr="00582E24">
              <w:t>Participación</w:t>
            </w:r>
          </w:p>
        </w:tc>
        <w:tc>
          <w:tcPr>
            <w:tcW w:w="6599" w:type="dxa"/>
          </w:tcPr>
          <w:p w14:paraId="50EF9F2E" w14:textId="6A9FB9C4" w:rsidR="00800DCC" w:rsidRPr="00582E24" w:rsidRDefault="00800DCC" w:rsidP="00663AAF">
            <w:pPr>
              <w:pStyle w:val="Tabletext"/>
              <w:jc w:val="both"/>
            </w:pPr>
            <w:r w:rsidRPr="00582E24">
              <w:t>El 97,5</w:t>
            </w:r>
            <w:r w:rsidR="001E3916" w:rsidRPr="00582E24">
              <w:t> </w:t>
            </w:r>
            <w:r w:rsidRPr="00582E24">
              <w:t>% de los futuros jubilados optarán por la cobertura del</w:t>
            </w:r>
            <w:r w:rsidR="00F82238" w:rsidRPr="00582E24">
              <w:t> </w:t>
            </w:r>
            <w:r w:rsidRPr="00582E24">
              <w:t>ASHI. Los miembros del personal que se jubilen de la UIT podrán seguir disfrutando de una cobertura de seguro médico en el marco de la UNSMIS si han cotizado a un plan de seguro médico de las Naciones Unidas durante al menos 10 años, si reciben una pensión de la CCPPNU o si gozan de cobertura en el momento de su jubilación. El tiempo cotizado a un plan de seguro médico reconocido de otro organismo de las Naciones</w:t>
            </w:r>
            <w:r w:rsidR="001E3916" w:rsidRPr="00582E24">
              <w:t> </w:t>
            </w:r>
            <w:r w:rsidRPr="00582E24">
              <w:t>Unidas podría computarse de cara al cumplimiento del requisito de los 10 años, siempre que la cobertura haya sido continua.</w:t>
            </w:r>
          </w:p>
          <w:p w14:paraId="13BA78C9" w14:textId="3DB974A0" w:rsidR="00800DCC" w:rsidRPr="00582E24" w:rsidRDefault="00800DCC" w:rsidP="00663AAF">
            <w:pPr>
              <w:pStyle w:val="Tabletext"/>
              <w:jc w:val="both"/>
            </w:pPr>
            <w:r w:rsidRPr="00582E24">
              <w:t xml:space="preserve">Para obtener más información sobre todos los requisitos aplicables, las condiciones de cobertura y las cotizaciones, visítese el sitio web oficial de la UNSMIS en la siguiente dirección: </w:t>
            </w:r>
            <w:hyperlink r:id="rId53" w:history="1">
              <w:r w:rsidRPr="00582E24">
                <w:rPr>
                  <w:rStyle w:val="Hyperlink"/>
                </w:rPr>
                <w:t>https://medical-insurance.unog.ch/en</w:t>
              </w:r>
            </w:hyperlink>
            <w:r w:rsidR="001E3916" w:rsidRPr="00582E24">
              <w:t>.</w:t>
            </w:r>
          </w:p>
        </w:tc>
      </w:tr>
      <w:tr w:rsidR="00800DCC" w:rsidRPr="00582E24" w14:paraId="6E555FA3" w14:textId="77777777" w:rsidTr="00663AAF">
        <w:trPr>
          <w:trHeight w:val="509"/>
          <w:jc w:val="center"/>
        </w:trPr>
        <w:tc>
          <w:tcPr>
            <w:tcW w:w="3886" w:type="dxa"/>
          </w:tcPr>
          <w:p w14:paraId="07EDF861" w14:textId="77777777" w:rsidR="00800DCC" w:rsidRPr="00582E24" w:rsidRDefault="00800DCC" w:rsidP="00663AAF">
            <w:pPr>
              <w:pStyle w:val="Tabletext"/>
              <w:jc w:val="both"/>
            </w:pPr>
            <w:r w:rsidRPr="00582E24">
              <w:t>Cobertura de los cónyuges</w:t>
            </w:r>
          </w:p>
        </w:tc>
        <w:tc>
          <w:tcPr>
            <w:tcW w:w="6599" w:type="dxa"/>
          </w:tcPr>
          <w:p w14:paraId="4F5E43A1" w14:textId="2012C36A" w:rsidR="00800DCC" w:rsidRPr="00582E24" w:rsidRDefault="00800DCC" w:rsidP="00663AAF">
            <w:pPr>
              <w:pStyle w:val="Tabletext"/>
              <w:jc w:val="both"/>
            </w:pPr>
            <w:r w:rsidRPr="00582E24">
              <w:t>Los cónyuges del 75</w:t>
            </w:r>
            <w:r w:rsidR="001E3916" w:rsidRPr="00582E24">
              <w:t> </w:t>
            </w:r>
            <w:r w:rsidRPr="00582E24">
              <w:t>% y el 25</w:t>
            </w:r>
            <w:r w:rsidR="001E3916" w:rsidRPr="00582E24">
              <w:t> </w:t>
            </w:r>
            <w:r w:rsidRPr="00582E24">
              <w:t>% de los jubilados de sexo masculino y femenino, respectivamente, han solicitado la afiliación al ASHI. Se supone que los hombres tienen cinco años más que sus cónyuges.</w:t>
            </w:r>
          </w:p>
        </w:tc>
      </w:tr>
      <w:tr w:rsidR="00800DCC" w:rsidRPr="00582E24" w14:paraId="139028D8" w14:textId="77777777" w:rsidTr="00663AAF">
        <w:trPr>
          <w:trHeight w:val="756"/>
          <w:jc w:val="center"/>
        </w:trPr>
        <w:tc>
          <w:tcPr>
            <w:tcW w:w="3886" w:type="dxa"/>
          </w:tcPr>
          <w:p w14:paraId="5C42DC7C" w14:textId="77777777" w:rsidR="00800DCC" w:rsidRPr="00582E24" w:rsidRDefault="00800DCC" w:rsidP="00663AAF">
            <w:pPr>
              <w:pStyle w:val="Tabletext"/>
              <w:keepNext/>
              <w:jc w:val="both"/>
            </w:pPr>
            <w:r w:rsidRPr="00582E24">
              <w:lastRenderedPageBreak/>
              <w:t>Método actuarial</w:t>
            </w:r>
          </w:p>
        </w:tc>
        <w:tc>
          <w:tcPr>
            <w:tcW w:w="6599" w:type="dxa"/>
          </w:tcPr>
          <w:p w14:paraId="0C116D06" w14:textId="77777777" w:rsidR="00800DCC" w:rsidRPr="00582E24" w:rsidRDefault="00800DCC" w:rsidP="00663AAF">
            <w:pPr>
              <w:pStyle w:val="Tabletext"/>
              <w:keepNext/>
              <w:jc w:val="both"/>
            </w:pPr>
            <w:r w:rsidRPr="00582E24">
              <w:t>Método basado en unidades de crédito con prorrateo de servicio. El periodo de atribución comienza a los 45 </w:t>
            </w:r>
            <w:proofErr w:type="gramStart"/>
            <w:r w:rsidRPr="00582E24">
              <w:t>años de edad</w:t>
            </w:r>
            <w:proofErr w:type="gramEnd"/>
            <w:r w:rsidRPr="00582E24">
              <w:t>, a fin de reflejar el hecho de que los empleados deben tener como mínimo 55 </w:t>
            </w:r>
            <w:proofErr w:type="gramStart"/>
            <w:r w:rsidRPr="00582E24">
              <w:t>años de edad</w:t>
            </w:r>
            <w:proofErr w:type="gramEnd"/>
            <w:r w:rsidRPr="00582E24">
              <w:t xml:space="preserve"> y 10 años de servicio para poder acogerse al servicio.</w:t>
            </w:r>
          </w:p>
        </w:tc>
      </w:tr>
      <w:tr w:rsidR="00800DCC" w:rsidRPr="00582E24" w14:paraId="4FFC6E51" w14:textId="77777777" w:rsidTr="00663AAF">
        <w:trPr>
          <w:trHeight w:val="742"/>
          <w:jc w:val="center"/>
        </w:trPr>
        <w:tc>
          <w:tcPr>
            <w:tcW w:w="3886" w:type="dxa"/>
          </w:tcPr>
          <w:p w14:paraId="1C7B99A6" w14:textId="77777777" w:rsidR="00800DCC" w:rsidRPr="00582E24" w:rsidRDefault="00800DCC" w:rsidP="00663AAF">
            <w:pPr>
              <w:pStyle w:val="Tabletext"/>
              <w:jc w:val="both"/>
            </w:pPr>
            <w:r w:rsidRPr="00582E24">
              <w:t>Enfoque de los activos netos</w:t>
            </w:r>
          </w:p>
        </w:tc>
        <w:tc>
          <w:tcPr>
            <w:tcW w:w="6599" w:type="dxa"/>
          </w:tcPr>
          <w:p w14:paraId="4CC22B1A" w14:textId="77777777" w:rsidR="00800DCC" w:rsidRPr="00582E24" w:rsidRDefault="00800DCC" w:rsidP="00663AAF">
            <w:pPr>
              <w:pStyle w:val="Tabletext"/>
              <w:jc w:val="both"/>
            </w:pPr>
            <w:r w:rsidRPr="00582E24">
              <w:t>Todas las ganancias/pérdidas se contabilizan de inmediato y en su totalidad durante el ejercicio en que se generan, pero no se incluyen ni en el superávit ni en el déficit en el Estado de las variaciones del activo neto.</w:t>
            </w:r>
          </w:p>
        </w:tc>
      </w:tr>
    </w:tbl>
    <w:bookmarkEnd w:id="179"/>
    <w:p w14:paraId="64F3A0AD" w14:textId="363B3DEB" w:rsidR="00800DCC" w:rsidRPr="00582E24" w:rsidRDefault="00800DCC" w:rsidP="001E3916">
      <w:pPr>
        <w:spacing w:before="240"/>
        <w:jc w:val="both"/>
      </w:pPr>
      <w:r w:rsidRPr="00582E24">
        <w:t xml:space="preserve">Los funcionarios que cesan en el servicio con 55 años o más, y sus cónyuges, hijos a cargo y supérstites, tienen derecho a acogerse al seguro médico después del cese en el servicio si han trabajado por lo menos diez años en las Naciones Unidas, o en uno de sus organismos especializados, y si han estado cotizando al plan de salud de la UNSMIS durante los cinco años anteriores a la fecha de cese en el servicio. Las mismas prestaciones se aplican a los funcionarios que perciben una prestación por discapacidad de la Caja Común de Pensiones del Personal de las Naciones Unidas. Este organismo se financia </w:t>
      </w:r>
      <w:proofErr w:type="gramStart"/>
      <w:r w:rsidRPr="00582E24">
        <w:t>conjuntamente con</w:t>
      </w:r>
      <w:proofErr w:type="gramEnd"/>
      <w:r w:rsidRPr="00582E24">
        <w:t xml:space="preserve"> primas de la</w:t>
      </w:r>
      <w:r w:rsidR="00787F16" w:rsidRPr="00582E24">
        <w:t> </w:t>
      </w:r>
      <w:r w:rsidRPr="00582E24">
        <w:t>UIT (2/3) y de los asegurados (1/3).</w:t>
      </w:r>
    </w:p>
    <w:p w14:paraId="7167F5F8" w14:textId="77777777" w:rsidR="00800DCC" w:rsidRPr="00582E24" w:rsidRDefault="00800DCC" w:rsidP="005711A9">
      <w:pPr>
        <w:spacing w:after="240"/>
        <w:jc w:val="both"/>
      </w:pPr>
      <w:r w:rsidRPr="00582E24">
        <w:t>El cuadro siguiente contiene datos y análisis adicionales sobre el pasivo del seguro médico después de la separación del servicio derivado de las indemnizaciones adeudadas a los empleados según el estudio actuarial realizado para obtener los importes al 31 de diciembre de 2024.</w:t>
      </w:r>
    </w:p>
    <w:p w14:paraId="3C54253A" w14:textId="5E561BB8" w:rsidR="00800DCC" w:rsidRPr="00582E24" w:rsidRDefault="00787F16" w:rsidP="00787F16">
      <w:pPr>
        <w:pStyle w:val="Figure"/>
        <w:spacing w:after="240"/>
      </w:pPr>
      <w:r w:rsidRPr="00582E24">
        <w:rPr>
          <w:noProof/>
        </w:rPr>
        <w:drawing>
          <wp:inline distT="0" distB="0" distL="0" distR="0" wp14:anchorId="7A3E5D3C" wp14:editId="7794DE93">
            <wp:extent cx="5760085" cy="2649855"/>
            <wp:effectExtent l="0" t="0" r="0" b="0"/>
            <wp:docPr id="1846947143" name="Picture 1846947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0085" cy="2649855"/>
                    </a:xfrm>
                    <a:prstGeom prst="rect">
                      <a:avLst/>
                    </a:prstGeom>
                    <a:noFill/>
                    <a:ln>
                      <a:noFill/>
                    </a:ln>
                  </pic:spPr>
                </pic:pic>
              </a:graphicData>
            </a:graphic>
          </wp:inline>
        </w:drawing>
      </w:r>
    </w:p>
    <w:p w14:paraId="0324FEE9" w14:textId="66D34D8A" w:rsidR="00800DCC" w:rsidRPr="00582E24" w:rsidRDefault="00800DCC" w:rsidP="00663AAF">
      <w:pPr>
        <w:jc w:val="both"/>
      </w:pPr>
      <w:bookmarkStart w:id="182" w:name="_Hlk39146820"/>
      <w:bookmarkStart w:id="183" w:name="_Hlk39146930"/>
      <w:r w:rsidRPr="00582E24">
        <w:t>El elemento que más repercute en la evaluación del ASHI es la tasa de descuento, que se utiliza para calcular el valor actual de las futuras solicitudes de reembolso. En 2024, la tasa de descuento disminuyó del 1,9</w:t>
      </w:r>
      <w:r w:rsidR="00787F16" w:rsidRPr="00582E24">
        <w:t> </w:t>
      </w:r>
      <w:r w:rsidRPr="00582E24">
        <w:t>% (2023) al 1,4</w:t>
      </w:r>
      <w:r w:rsidR="00787F16" w:rsidRPr="00582E24">
        <w:t> </w:t>
      </w:r>
      <w:r w:rsidRPr="00582E24">
        <w:t>% (2024), lo que confirmó la tendencia observada en 2023, año en que la misma tasa disminuyó del 2,5</w:t>
      </w:r>
      <w:r w:rsidR="00787F16" w:rsidRPr="00582E24">
        <w:t> </w:t>
      </w:r>
      <w:r w:rsidRPr="00582E24">
        <w:t>% (2022) al 1,9</w:t>
      </w:r>
      <w:r w:rsidR="00787F16" w:rsidRPr="00582E24">
        <w:t> </w:t>
      </w:r>
      <w:r w:rsidRPr="00582E24">
        <w:t>% (2023). Estas tendencias dieron lugar a una pérdida actuarial de 20,6 millones CHF en 2024, frente a</w:t>
      </w:r>
      <w:r w:rsidR="00787F16" w:rsidRPr="00582E24">
        <w:t> </w:t>
      </w:r>
      <w:r w:rsidRPr="00582E24">
        <w:t>24,7</w:t>
      </w:r>
      <w:r w:rsidR="00787F16" w:rsidRPr="00582E24">
        <w:t> </w:t>
      </w:r>
      <w:r w:rsidRPr="00582E24">
        <w:t>millones CHF en 2023.</w:t>
      </w:r>
    </w:p>
    <w:p w14:paraId="3D53E625" w14:textId="77777777" w:rsidR="00800DCC" w:rsidRPr="00582E24" w:rsidRDefault="00800DCC" w:rsidP="00663AAF">
      <w:pPr>
        <w:jc w:val="both"/>
      </w:pPr>
      <w:bookmarkStart w:id="184" w:name="_Hlk132877785"/>
      <w:r w:rsidRPr="00582E24">
        <w:t>Entre los elementos adicionales que han repercutido en el pasivo del ASHI figuran los siguientes:</w:t>
      </w:r>
    </w:p>
    <w:p w14:paraId="56B0E771" w14:textId="6FD2A312" w:rsidR="00800DCC" w:rsidRPr="00582E24" w:rsidRDefault="00663AAF" w:rsidP="00663AAF">
      <w:pPr>
        <w:pStyle w:val="enumlev1"/>
        <w:jc w:val="both"/>
      </w:pPr>
      <w:r w:rsidRPr="00582E24">
        <w:lastRenderedPageBreak/>
        <w:t>•</w:t>
      </w:r>
      <w:r w:rsidRPr="00582E24">
        <w:tab/>
      </w:r>
      <w:r w:rsidR="00800DCC" w:rsidRPr="00582E24">
        <w:t>Ajustes en las hipótesis demográficas correspondientes a una pérdida de</w:t>
      </w:r>
      <w:r w:rsidR="007F5E77" w:rsidRPr="00582E24">
        <w:t> </w:t>
      </w:r>
      <w:r w:rsidR="00800DCC" w:rsidRPr="00582E24">
        <w:t>10,6</w:t>
      </w:r>
      <w:r w:rsidR="007F5E77" w:rsidRPr="00582E24">
        <w:t> </w:t>
      </w:r>
      <w:r w:rsidR="00800DCC" w:rsidRPr="00582E24">
        <w:t>millones</w:t>
      </w:r>
      <w:r w:rsidR="007F5E77" w:rsidRPr="00582E24">
        <w:t> </w:t>
      </w:r>
      <w:r w:rsidR="00800DCC" w:rsidRPr="00582E24">
        <w:t>CHF en 2024 (frente a una ganancia de 0,6 millones CHF en 2023), fruto de los nuevos estudios demográficos realizados, de los que se infirieron pérdidas por valor de 6,5 millones CHF en relación con la tasa de rotación, de 3,7 millones CHF atribuibles a los costes de las solicitudes de reembolso de gastos médicos y</w:t>
      </w:r>
      <w:r w:rsidR="007F5E77" w:rsidRPr="00582E24">
        <w:t> </w:t>
      </w:r>
      <w:r w:rsidR="00800DCC" w:rsidRPr="00582E24">
        <w:t>0,4</w:t>
      </w:r>
      <w:r w:rsidR="007F5E77" w:rsidRPr="00582E24">
        <w:t> </w:t>
      </w:r>
      <w:r w:rsidR="00800DCC" w:rsidRPr="00582E24">
        <w:t>millones</w:t>
      </w:r>
      <w:r w:rsidR="007F5E77" w:rsidRPr="00582E24">
        <w:t> </w:t>
      </w:r>
      <w:r w:rsidR="00800DCC" w:rsidRPr="00582E24">
        <w:t>CHF a raíz de la actualización de las tasas de mortalidad.</w:t>
      </w:r>
    </w:p>
    <w:p w14:paraId="5BABCE43" w14:textId="1D7EAE1D" w:rsidR="00800DCC" w:rsidRPr="00582E24" w:rsidRDefault="00663AAF" w:rsidP="00663AAF">
      <w:pPr>
        <w:pStyle w:val="enumlev1"/>
        <w:jc w:val="both"/>
      </w:pPr>
      <w:r w:rsidRPr="00582E24">
        <w:t>•</w:t>
      </w:r>
      <w:r w:rsidRPr="00582E24">
        <w:tab/>
      </w:r>
      <w:r w:rsidR="00800DCC" w:rsidRPr="00582E24">
        <w:t>Pérdidas debidas a la evolución del ejercicio por valor de 1,5 millones CHF (frente a una ganancia de 4,6 millones CHF en 2023), dadas las diferencias observadas en los costes netos reales de las solicitudes de reembolso de gastos médicos incurridos en comparación con los asumidos para el ejercicio.</w:t>
      </w:r>
    </w:p>
    <w:p w14:paraId="6914D5FA" w14:textId="2E7544C5" w:rsidR="00800DCC" w:rsidRPr="00582E24" w:rsidRDefault="00663AAF" w:rsidP="00663AAF">
      <w:pPr>
        <w:pStyle w:val="enumlev1"/>
        <w:jc w:val="both"/>
      </w:pPr>
      <w:r w:rsidRPr="00582E24">
        <w:t>•</w:t>
      </w:r>
      <w:r w:rsidRPr="00582E24">
        <w:tab/>
      </w:r>
      <w:r w:rsidR="00800DCC" w:rsidRPr="00582E24">
        <w:t>Aumento del coste neto de los servicios por valor de 0,9 millones CHF (de</w:t>
      </w:r>
      <w:r w:rsidR="007F5E77" w:rsidRPr="00582E24">
        <w:t> </w:t>
      </w:r>
      <w:r w:rsidR="00800DCC" w:rsidRPr="00582E24">
        <w:t>10,2</w:t>
      </w:r>
      <w:r w:rsidR="007F5E77" w:rsidRPr="00582E24">
        <w:t> </w:t>
      </w:r>
      <w:r w:rsidR="00800DCC" w:rsidRPr="00582E24">
        <w:t>millones</w:t>
      </w:r>
      <w:r w:rsidR="007F5E77" w:rsidRPr="00582E24">
        <w:t> </w:t>
      </w:r>
      <w:r w:rsidR="00800DCC" w:rsidRPr="00582E24">
        <w:t>CHF en 2023 a 11,1 millones CHF en 2024), lo que entraña un incremento del coste de las prestaciones devengadas por los empleados en activo.</w:t>
      </w:r>
    </w:p>
    <w:p w14:paraId="5F61B867" w14:textId="77777777" w:rsidR="00800DCC" w:rsidRPr="00582E24" w:rsidRDefault="00800DCC" w:rsidP="00663AAF">
      <w:pPr>
        <w:jc w:val="both"/>
      </w:pPr>
      <w:r w:rsidRPr="00582E24">
        <w:t>En el marco de la evaluación efectuada por la UIT de conformidad con la NICSP 39, se llevó a cabo un estudio actualizado de las solicitudes de reembolso de gastos médicos, a fin de evaluar los supuestos utilizados con anterioridad para las prestaciones médicas posteriores al cese en el servicio. A tal efecto, se analizaron los datos reales de las solicitudes de reembolso de gastos médicos presentadas entre 2020 y 2023, con objeto de ajustar la tendencia inflacionista del sector médico e indexar las solicitudes en aras de una proyección de costes más precisa. Los resultados de este estudio apuntan a una tendencia al alza en lo que respecta al reembolso de gastos médicos per cápita, lo que hace necesaria una revisión de los supuestos en la materia que utiliza la UIT. Los supuestos actualizados se han aplicado en la evaluación acorde a las NICSP realizada a finales de 2024, con miras a brindar una estimación más precisa de las obligaciones en concepto de prestaciones posteriores al cese en el servicio de la UIT.</w:t>
      </w:r>
    </w:p>
    <w:p w14:paraId="42EC266D" w14:textId="568F43D3" w:rsidR="00800DCC" w:rsidRPr="00582E24" w:rsidRDefault="00800DCC" w:rsidP="00663AAF">
      <w:pPr>
        <w:jc w:val="both"/>
      </w:pPr>
      <w:r w:rsidRPr="00582E24">
        <w:t xml:space="preserve">Las contribuciones abonadas por la organización al ASHI alcanzaron un valor de 10.3 millones </w:t>
      </w:r>
      <w:r w:rsidR="007F5E77" w:rsidRPr="00582E24">
        <w:t>e</w:t>
      </w:r>
      <w:r w:rsidRPr="00582E24">
        <w:t>n 2024 (7</w:t>
      </w:r>
      <w:r w:rsidR="001E70C6" w:rsidRPr="00582E24">
        <w:t>,0</w:t>
      </w:r>
      <w:r w:rsidRPr="00582E24">
        <w:t> millones CHF en 2023). La contribución del empleador prevista para 2025 asciende a unos 9,8 millones CHF.</w:t>
      </w:r>
    </w:p>
    <w:p w14:paraId="788B09B9" w14:textId="5C646AB6" w:rsidR="00800DCC" w:rsidRPr="00582E24" w:rsidRDefault="00800DCC" w:rsidP="00663AAF">
      <w:pPr>
        <w:jc w:val="both"/>
      </w:pPr>
      <w:r w:rsidRPr="00582E24">
        <w:t>Desde enero de 2020, la UIT es parte de la UNSMIS, un fondo de seguro médico para el personal de las Naciones Unidas. Este fondo se creó en 1947 y tiene sede en Ginebra. La</w:t>
      </w:r>
      <w:r w:rsidR="00866617" w:rsidRPr="00582E24">
        <w:t> </w:t>
      </w:r>
      <w:r w:rsidRPr="00582E24">
        <w:t>UNSMIS se encarga de reembolsar los gastos médicos a sus miembros, incluidos gastos por enfermedad, accidentes y maternidad, y se dirige tanto al personal activo de las Naciones</w:t>
      </w:r>
      <w:r w:rsidR="00866617" w:rsidRPr="00582E24">
        <w:t> </w:t>
      </w:r>
      <w:r w:rsidRPr="00582E24">
        <w:t>Unidas como a los jubilados y sus familias.</w:t>
      </w:r>
    </w:p>
    <w:p w14:paraId="0900EE27" w14:textId="77777777" w:rsidR="00800DCC" w:rsidRPr="00582E24" w:rsidRDefault="00800DCC" w:rsidP="00663AAF">
      <w:pPr>
        <w:jc w:val="both"/>
      </w:pPr>
      <w:r w:rsidRPr="00582E24">
        <w:t>La UNSMIS se vale de las contribuciones que aportan las organizaciones participantes y los miembros del personal para reembolsar a sus afiliados los gastos en los que han incurrido por la atención médica recibida, con arreglo a las normas y los reglamentos de dicha mutualidad. Además de gestionar las solicitudes de reembolso, la UNSMIS mantiene acuerdos con proveedores de servicios de la salud y garantiza la estabilidad financiera del plan de seguros.</w:t>
      </w:r>
    </w:p>
    <w:p w14:paraId="03BD1009" w14:textId="1CB4E98B" w:rsidR="00800DCC" w:rsidRPr="00582E24" w:rsidRDefault="00800DCC" w:rsidP="00663AAF">
      <w:pPr>
        <w:jc w:val="both"/>
      </w:pPr>
      <w:r w:rsidRPr="00582E24">
        <w:t>La reserva actuarial para riesgos a largo plazo de la UNSMIS se creó en 1995 con el objetivo de cubrir el continuo incremento de los costes de salud y el progresivo aumento de la edad media de los miembros. El rendimiento generado con esta reserva para riesgos a largo plazo debería permitir limitar el aumento de las primas y absorber cualesquiera costes imprevistos. En el estudio realizado por EY se propuso mantener el importe total de esta reserva en</w:t>
      </w:r>
      <w:r w:rsidR="00866617" w:rsidRPr="00582E24">
        <w:t> </w:t>
      </w:r>
      <w:r w:rsidRPr="00582E24">
        <w:t>58,8</w:t>
      </w:r>
      <w:r w:rsidR="00866617" w:rsidRPr="00582E24">
        <w:t> </w:t>
      </w:r>
      <w:r w:rsidRPr="00582E24">
        <w:t>millones</w:t>
      </w:r>
      <w:r w:rsidR="00866617" w:rsidRPr="00582E24">
        <w:t> </w:t>
      </w:r>
      <w:r w:rsidRPr="00582E24">
        <w:t>USD. Al 31 de diciembre de 2022, esta reserva gozaba de plena financiación.</w:t>
      </w:r>
    </w:p>
    <w:p w14:paraId="071CCFC9" w14:textId="77777777" w:rsidR="00800DCC" w:rsidRPr="00582E24" w:rsidRDefault="00800DCC" w:rsidP="00663AAF">
      <w:pPr>
        <w:jc w:val="both"/>
      </w:pPr>
      <w:r w:rsidRPr="00582E24">
        <w:lastRenderedPageBreak/>
        <w:t>La decisión de adherirse a este plan de seguro médico de las Naciones Unidas ha conllevado ventajas tanto para el personal, dadas la reducción de la tasa de contribución y la supresión de la franquicia, como para la UIT a largo plazo, teniendo presentes las dimensiones del plan. El plan de la UNSMIS reúne a varias organizaciones y organismos especializados de las Naciones Unidas con base en Ginebra. Este plan de seguro incluye también al personal de la Oficina de las Naciones Unidas, el ACNUR y la OMM.</w:t>
      </w:r>
    </w:p>
    <w:p w14:paraId="775C136E" w14:textId="05B7AD23" w:rsidR="00800DCC" w:rsidRPr="00582E24" w:rsidRDefault="00800DCC" w:rsidP="00663AAF">
      <w:pPr>
        <w:jc w:val="both"/>
      </w:pPr>
      <w:r w:rsidRPr="00582E24">
        <w:t>Para adherirse al plan de seguro de la UNSMIS en enero de 2020, la UIT tuvo que contribuir al fondo de reserva de este último con miras a una ecualización. El importe de la contribución se acordó en 19,5 millones USD, que se abonaron con cargo al fondo de garantía del PCSM a principios de 2020. También se acordó abonar una contribución extraordinaria anual durante</w:t>
      </w:r>
      <w:r w:rsidR="00501831" w:rsidRPr="00582E24">
        <w:t> </w:t>
      </w:r>
      <w:r w:rsidRPr="00582E24">
        <w:t>13 años, a contar a partir del año 2020. Esta contribución extraordinaria tiene por objeto compensar las consecuencias de la adhesión de la UIT a dicho plan, teniendo en cuenta la edad de los miembros del personal y de los jubilados, factores demográficos y otros factores acordados. El importe total de esta contribución extraordinaria es de 22,5 millones USD, repartidos anualmente a lo largo de 13 años. En 2024 y 2023 se abonaron a la UNSMIS contribuciones adicionales por valor de 1,7 millones USD (1,5 millones CHF).</w:t>
      </w:r>
    </w:p>
    <w:p w14:paraId="226252C2" w14:textId="3C281FA8" w:rsidR="00800DCC" w:rsidRPr="00582E24" w:rsidRDefault="00800DCC" w:rsidP="00663AAF">
      <w:pPr>
        <w:jc w:val="both"/>
        <w:rPr>
          <w:u w:val="single"/>
        </w:rPr>
      </w:pPr>
      <w:r w:rsidRPr="00582E24">
        <w:t>El seguimiento de la contención de costes corre a cargo del Comité de la UNSMIS, en el que la</w:t>
      </w:r>
      <w:r w:rsidR="00501831" w:rsidRPr="00582E24">
        <w:t> </w:t>
      </w:r>
      <w:r w:rsidRPr="00582E24">
        <w:t xml:space="preserve">UIT participa en calidad de nuevo miembro. Para obtener más información al respecto, véase el Documento </w:t>
      </w:r>
      <w:hyperlink r:id="rId55" w:history="1">
        <w:r w:rsidRPr="00582E24">
          <w:rPr>
            <w:rStyle w:val="Hyperlink"/>
          </w:rPr>
          <w:t>C25/46</w:t>
        </w:r>
      </w:hyperlink>
      <w:r w:rsidRPr="00582E24">
        <w:t xml:space="preserve"> relativo al informe anual sobre el ASHI.</w:t>
      </w:r>
      <w:bookmarkStart w:id="185" w:name="_Hlk52542193"/>
      <w:bookmarkStart w:id="186" w:name="_Hlk53040691"/>
      <w:bookmarkStart w:id="187" w:name="_Hlk131410232"/>
      <w:bookmarkStart w:id="188" w:name="_Toc305764095"/>
      <w:bookmarkEnd w:id="182"/>
      <w:bookmarkEnd w:id="183"/>
      <w:bookmarkEnd w:id="184"/>
    </w:p>
    <w:bookmarkEnd w:id="185"/>
    <w:bookmarkEnd w:id="186"/>
    <w:bookmarkEnd w:id="187"/>
    <w:p w14:paraId="310D9041" w14:textId="5F771D97" w:rsidR="00800DCC" w:rsidRPr="00582E24" w:rsidRDefault="00800DCC" w:rsidP="00F82238">
      <w:pPr>
        <w:pStyle w:val="Heading3"/>
        <w:tabs>
          <w:tab w:val="clear" w:pos="1134"/>
          <w:tab w:val="clear" w:pos="1701"/>
          <w:tab w:val="left" w:pos="900"/>
        </w:tabs>
        <w:ind w:left="900" w:hanging="900"/>
        <w:jc w:val="both"/>
        <w:rPr>
          <w:i/>
          <w:iCs/>
        </w:rPr>
      </w:pPr>
      <w:r w:rsidRPr="00582E24">
        <w:rPr>
          <w:i/>
          <w:iCs/>
        </w:rPr>
        <w:t>16.1.3</w:t>
      </w:r>
      <w:bookmarkEnd w:id="188"/>
      <w:r w:rsidR="007D7080" w:rsidRPr="00582E24">
        <w:rPr>
          <w:i/>
          <w:iCs/>
        </w:rPr>
        <w:tab/>
      </w:r>
      <w:r w:rsidRPr="00582E24">
        <w:rPr>
          <w:i/>
          <w:iCs/>
        </w:rPr>
        <w:t>Información relativa a la sensibilidad del plan de seguro médico</w:t>
      </w:r>
    </w:p>
    <w:p w14:paraId="7063D4CB" w14:textId="69B55876" w:rsidR="00800DCC" w:rsidRPr="00582E24" w:rsidRDefault="00800DCC" w:rsidP="00663AAF">
      <w:pPr>
        <w:jc w:val="both"/>
      </w:pPr>
      <w:r w:rsidRPr="00582E24">
        <w:t xml:space="preserve">A </w:t>
      </w:r>
      <w:proofErr w:type="gramStart"/>
      <w:r w:rsidRPr="00582E24">
        <w:t>continuación</w:t>
      </w:r>
      <w:proofErr w:type="gramEnd"/>
      <w:r w:rsidRPr="00582E24">
        <w:t xml:space="preserve"> se analiza la sensibilidad de los costes por servicios e intereses, así como de las obligaciones en concepto de prestaciones definidas, suponiendo un aumento/disminución del</w:t>
      </w:r>
      <w:r w:rsidR="009770D4" w:rsidRPr="00582E24">
        <w:t> </w:t>
      </w:r>
      <w:r w:rsidRPr="00582E24">
        <w:t>1</w:t>
      </w:r>
      <w:r w:rsidR="009770D4" w:rsidRPr="00582E24">
        <w:t> </w:t>
      </w:r>
      <w:r w:rsidRPr="00582E24">
        <w:t>% de las tasas tendenciales del costo de la atención médica.</w:t>
      </w:r>
    </w:p>
    <w:p w14:paraId="40E75F04" w14:textId="6D0FA1D2" w:rsidR="00800DCC" w:rsidRPr="00582E24" w:rsidRDefault="00800DCC" w:rsidP="009770D4">
      <w:pPr>
        <w:spacing w:after="240"/>
        <w:jc w:val="both"/>
      </w:pPr>
      <w:r w:rsidRPr="00582E24">
        <w:t>La tasa de descuento utilizada para esta evaluación se determinó utilizando las curvas de rendimiento de los bonos corporativos AA de Aon al 31 de diciembre de 2024. Se analiza asimismo la sensibilidad de las obligaciones en concepto de prestaciones definidas, suponiendo un aumento/disminución del 1</w:t>
      </w:r>
      <w:r w:rsidR="009770D4" w:rsidRPr="00582E24">
        <w:t> </w:t>
      </w:r>
      <w:r w:rsidRPr="00582E24">
        <w:t>% de la tasa de descuento.</w:t>
      </w:r>
    </w:p>
    <w:p w14:paraId="0734EC41" w14:textId="6D6C434B" w:rsidR="00800DCC" w:rsidRPr="00582E24" w:rsidRDefault="009770D4" w:rsidP="00AF7CF1">
      <w:pPr>
        <w:pStyle w:val="Figure"/>
        <w:spacing w:after="240"/>
      </w:pPr>
      <w:r w:rsidRPr="00582E24">
        <w:rPr>
          <w:noProof/>
        </w:rPr>
        <w:drawing>
          <wp:inline distT="0" distB="0" distL="0" distR="0" wp14:anchorId="0125A57C" wp14:editId="39554F92">
            <wp:extent cx="5760085" cy="13957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0085" cy="1395730"/>
                    </a:xfrm>
                    <a:prstGeom prst="rect">
                      <a:avLst/>
                    </a:prstGeom>
                    <a:noFill/>
                    <a:ln>
                      <a:noFill/>
                    </a:ln>
                  </pic:spPr>
                </pic:pic>
              </a:graphicData>
            </a:graphic>
          </wp:inline>
        </w:drawing>
      </w:r>
    </w:p>
    <w:p w14:paraId="14583E40" w14:textId="21073B58" w:rsidR="00800DCC" w:rsidRPr="00582E24" w:rsidRDefault="00800DCC" w:rsidP="005711A9">
      <w:pPr>
        <w:pStyle w:val="Heading2"/>
        <w:rPr>
          <w:i/>
          <w:iCs/>
        </w:rPr>
      </w:pPr>
      <w:bookmarkStart w:id="189" w:name="_Toc131156449"/>
      <w:bookmarkStart w:id="190" w:name="_Toc417759981"/>
      <w:r w:rsidRPr="00582E24">
        <w:rPr>
          <w:i/>
          <w:iCs/>
        </w:rPr>
        <w:t>16.2</w:t>
      </w:r>
      <w:r w:rsidRPr="00582E24">
        <w:rPr>
          <w:i/>
          <w:iCs/>
        </w:rPr>
        <w:tab/>
      </w:r>
      <w:bookmarkEnd w:id="189"/>
      <w:bookmarkEnd w:id="190"/>
      <w:r w:rsidRPr="00582E24">
        <w:rPr>
          <w:i/>
          <w:iCs/>
        </w:rPr>
        <w:t>Subsidio de repatriación</w:t>
      </w:r>
    </w:p>
    <w:p w14:paraId="1858DF6A" w14:textId="2D7C59A4" w:rsidR="00800DCC" w:rsidRPr="00582E24" w:rsidRDefault="00800DCC" w:rsidP="00F82238">
      <w:pPr>
        <w:pStyle w:val="Heading3"/>
        <w:tabs>
          <w:tab w:val="clear" w:pos="1134"/>
          <w:tab w:val="clear" w:pos="1701"/>
          <w:tab w:val="left" w:pos="900"/>
        </w:tabs>
        <w:ind w:left="900" w:hanging="900"/>
        <w:jc w:val="both"/>
        <w:rPr>
          <w:i/>
          <w:iCs/>
        </w:rPr>
      </w:pPr>
      <w:r w:rsidRPr="00582E24">
        <w:rPr>
          <w:i/>
          <w:iCs/>
        </w:rPr>
        <w:t>16.2.1</w:t>
      </w:r>
      <w:r w:rsidRPr="00582E24">
        <w:rPr>
          <w:i/>
          <w:iCs/>
        </w:rPr>
        <w:tab/>
        <w:t>Definición</w:t>
      </w:r>
    </w:p>
    <w:p w14:paraId="247FA7E5" w14:textId="77777777" w:rsidR="00800DCC" w:rsidRPr="00582E24" w:rsidRDefault="00800DCC" w:rsidP="00977B8F">
      <w:pPr>
        <w:jc w:val="both"/>
      </w:pPr>
      <w:r w:rsidRPr="00582E24">
        <w:t>En principio, tienen derecho a un subsidio de repatriación los funcionarios que hayan prestado al menos cinco años de servicio de manera ininterrumpida y a quienes la Unión esté obligada a repatriar. En este caso, los costes incluyen el viaje de repatriación y la mudanza en el momento de la repatriación. El Secretario General determinará las condiciones y definiciones relativas a la admisibilidad, así como las pruebas requeridas en cuanto al traslado.</w:t>
      </w:r>
    </w:p>
    <w:p w14:paraId="5058D37B" w14:textId="3020EAC5" w:rsidR="00800DCC" w:rsidRPr="00582E24" w:rsidRDefault="00800DCC" w:rsidP="00977B8F">
      <w:pPr>
        <w:jc w:val="both"/>
      </w:pPr>
      <w:r w:rsidRPr="00582E24">
        <w:lastRenderedPageBreak/>
        <w:t>A fin de calcular el importe total de las obligaciones correspondientes al 31 de diciembre de</w:t>
      </w:r>
      <w:r w:rsidR="00CA26A5" w:rsidRPr="00582E24">
        <w:t> </w:t>
      </w:r>
      <w:r w:rsidRPr="00582E24">
        <w:t>2024, se tuvieron en cuenta la antigüedad en el servicio, el sueldo bruto menos las contribuciones del personal (incluidas las primas de idiomas y el subsidio de no residente, si procede, para el personal de servicios generales). Entre las hipótesis económicas utilizadas figuran una tasa de descuento del 1,4</w:t>
      </w:r>
      <w:r w:rsidR="00CA26A5" w:rsidRPr="00582E24">
        <w:t> </w:t>
      </w:r>
      <w:r w:rsidRPr="00582E24">
        <w:t>% (frente al 1,9</w:t>
      </w:r>
      <w:r w:rsidR="00CA26A5" w:rsidRPr="00582E24">
        <w:t> </w:t>
      </w:r>
      <w:r w:rsidRPr="00582E24">
        <w:t>% en 2023) y una tasa de incremento salarial del 3,1</w:t>
      </w:r>
      <w:r w:rsidR="00CA26A5" w:rsidRPr="00582E24">
        <w:t> </w:t>
      </w:r>
      <w:r w:rsidRPr="00582E24">
        <w:t>%. En la evaluación de 2024, las hipótesis del estudio actuarial sobre el subsidio de repatriación se han armonizado con las hipótesis del ASHI.</w:t>
      </w:r>
    </w:p>
    <w:p w14:paraId="7AB606F9" w14:textId="137AB71F" w:rsidR="00800DCC" w:rsidRPr="00582E24" w:rsidRDefault="00800DCC" w:rsidP="00AF7CF1">
      <w:pPr>
        <w:pStyle w:val="Heading3"/>
        <w:tabs>
          <w:tab w:val="clear" w:pos="1134"/>
          <w:tab w:val="clear" w:pos="1701"/>
          <w:tab w:val="left" w:pos="900"/>
        </w:tabs>
        <w:ind w:left="900" w:hanging="900"/>
        <w:jc w:val="both"/>
        <w:rPr>
          <w:i/>
          <w:iCs/>
        </w:rPr>
      </w:pPr>
      <w:bookmarkStart w:id="191" w:name="_Toc305764097"/>
      <w:r w:rsidRPr="00582E24">
        <w:rPr>
          <w:i/>
          <w:iCs/>
        </w:rPr>
        <w:t>16.2.2</w:t>
      </w:r>
      <w:r w:rsidRPr="00582E24">
        <w:rPr>
          <w:i/>
          <w:iCs/>
        </w:rPr>
        <w:tab/>
      </w:r>
      <w:bookmarkEnd w:id="191"/>
      <w:r w:rsidRPr="00582E24">
        <w:rPr>
          <w:i/>
          <w:iCs/>
        </w:rPr>
        <w:t>Pago del subsidio de repatriación</w:t>
      </w:r>
    </w:p>
    <w:p w14:paraId="343670E0" w14:textId="1E269571" w:rsidR="00800DCC" w:rsidRPr="00582E24" w:rsidRDefault="00800DCC" w:rsidP="00977B8F">
      <w:pPr>
        <w:jc w:val="both"/>
      </w:pPr>
      <w:r w:rsidRPr="00582E24">
        <w:t>El pago del subsidio de repatriación se rige por las condiciones y definiciones mencionadas en el Reglamento y los Estatutos del Personal. Al 31 de diciembre de 2024, el pasivo por prestaciones al personal en concepto de repatriación ascendía a 13,5 millones CHF (12</w:t>
      </w:r>
      <w:r w:rsidR="00CA26A5" w:rsidRPr="00582E24">
        <w:t> </w:t>
      </w:r>
      <w:r w:rsidRPr="00582E24">
        <w:t>millones CHF en 2023). Esta reserva se financia a través de una deducción del uno</w:t>
      </w:r>
      <w:r w:rsidR="00CA26A5" w:rsidRPr="00582E24">
        <w:t> </w:t>
      </w:r>
      <w:r w:rsidRPr="00582E24">
        <w:t>por</w:t>
      </w:r>
      <w:r w:rsidR="00CA26A5" w:rsidRPr="00582E24">
        <w:t> </w:t>
      </w:r>
      <w:r w:rsidRPr="00582E24">
        <w:t>ciento (1</w:t>
      </w:r>
      <w:r w:rsidR="00CA26A5" w:rsidRPr="00582E24">
        <w:t> </w:t>
      </w:r>
      <w:r w:rsidRPr="00582E24">
        <w:t>%) de la remuneración de todos los miembros del personal, salvo los contratados para conferencias y otros servicios de corta duración.</w:t>
      </w:r>
    </w:p>
    <w:p w14:paraId="279502F0" w14:textId="31AF5C03" w:rsidR="00800DCC" w:rsidRPr="00582E24" w:rsidRDefault="00800DCC" w:rsidP="00977B8F">
      <w:pPr>
        <w:jc w:val="both"/>
      </w:pPr>
      <w:r w:rsidRPr="00582E24">
        <w:t>El pasivo reconocido para estas otras prestaciones a largo plazo es el valor actual de las obligaciones por prestaciones definidas en la fecha del informe. El pasivo es calculado por un actuario independiente utilizando el método de las unidades de crédito proyectadas. Los costes por intereses, los costes corrientes por servicios y las ganancias o pérdidas actuariales resultantes de la modificación de los supuestos actuariales o de los ajustes obtenidos en bas</w:t>
      </w:r>
      <w:r w:rsidR="00CA26A5" w:rsidRPr="00582E24">
        <w:t>e</w:t>
      </w:r>
      <w:r w:rsidRPr="00582E24">
        <w:t xml:space="preserve"> a la evolución de ejercicio se contabilizan en el Estado de los resultados financieros.</w:t>
      </w:r>
    </w:p>
    <w:p w14:paraId="1A9E888E" w14:textId="77777777" w:rsidR="00800DCC" w:rsidRPr="00582E24" w:rsidRDefault="00800DCC" w:rsidP="00977B8F">
      <w:pPr>
        <w:jc w:val="both"/>
      </w:pPr>
      <w:r w:rsidRPr="00582E24">
        <w:t>Un gabinete de asesores independientes efectúa cada año una evaluación actuarial conforme a las NICSP.</w:t>
      </w:r>
    </w:p>
    <w:p w14:paraId="4EE9817B" w14:textId="5C1AB27A" w:rsidR="00800DCC" w:rsidRPr="00582E24" w:rsidRDefault="00800DCC" w:rsidP="00977B8F">
      <w:pPr>
        <w:pStyle w:val="Heading2"/>
        <w:rPr>
          <w:i/>
          <w:iCs/>
        </w:rPr>
      </w:pPr>
      <w:r w:rsidRPr="00582E24">
        <w:rPr>
          <w:i/>
          <w:iCs/>
        </w:rPr>
        <w:t>16.3</w:t>
      </w:r>
      <w:r w:rsidRPr="00582E24">
        <w:rPr>
          <w:i/>
          <w:iCs/>
        </w:rPr>
        <w:tab/>
        <w:t>Prestaciones al personal en virtud del plan de pensiones del personal de las Naciones</w:t>
      </w:r>
      <w:r w:rsidR="00CA26A5" w:rsidRPr="00582E24">
        <w:rPr>
          <w:i/>
          <w:iCs/>
        </w:rPr>
        <w:t> </w:t>
      </w:r>
      <w:r w:rsidRPr="00582E24">
        <w:rPr>
          <w:i/>
          <w:iCs/>
        </w:rPr>
        <w:t>Unidas</w:t>
      </w:r>
    </w:p>
    <w:p w14:paraId="6F1939FA" w14:textId="2EE27489" w:rsidR="00800DCC" w:rsidRPr="00582E24" w:rsidRDefault="00800DCC" w:rsidP="00977B8F">
      <w:pPr>
        <w:jc w:val="both"/>
      </w:pPr>
      <w:r w:rsidRPr="00582E24">
        <w:t>La UIT participa en la Caja Común de Pensiones del Personal de las Naciones Unidas (en</w:t>
      </w:r>
      <w:r w:rsidR="00CA26A5" w:rsidRPr="00582E24">
        <w:t> </w:t>
      </w:r>
      <w:r w:rsidRPr="00582E24">
        <w:t>adelante, la "Caja"), creada por la Asamblea General de las Naciones Unidas para ofrecer a sus empleados prestaciones de jubilación, deceso y discapacidad, junto con otra</w:t>
      </w:r>
      <w:r w:rsidR="00CA26A5" w:rsidRPr="00582E24">
        <w:t>s</w:t>
      </w:r>
      <w:r w:rsidRPr="00582E24">
        <w:t xml:space="preserve"> prestaciones conexas. La Caja representa un plan de prestaciones definidas financiado por diversos empleadores. Conforme a lo especificado en el Artículo 3</w:t>
      </w:r>
      <w:r w:rsidR="00CA26A5" w:rsidRPr="00582E24">
        <w:t xml:space="preserve"> </w:t>
      </w:r>
      <w:r w:rsidRPr="00582E24">
        <w:t>b) de los Estatutos de la Caja, en ella pueden participar los organismos especializados y otras organizaciones internacionales e intergubernamentales participantes en el sistema común de salarios, prestaciones y otras condiciones de servicio de las Naciones Unidas y sus organismos especializados.</w:t>
      </w:r>
    </w:p>
    <w:p w14:paraId="35D2140C" w14:textId="75DF260E" w:rsidR="00800DCC" w:rsidRPr="00582E24" w:rsidRDefault="00800DCC" w:rsidP="00977B8F">
      <w:pPr>
        <w:jc w:val="both"/>
      </w:pPr>
      <w:r w:rsidRPr="00582E24">
        <w:t>Habida cuenta de que la Caja expone a las organizaciones participantes a riesgos actuariales asociados con los empleados en activo y jubilados de las demás organizaciones participantes, no se dispone de una base fiable y coherente para la atribución de compromisos, activos y costes a cada una de las organizaciones que participan en la Caja. La UIT y la Caja, al igual que las demás organizaciones participantes en la misma, no pueden identificar con suficiente grado de fiabilidad la parte de los compromisos relativos a las prestaciones, los activos y los costes asociados con el plan que corresponden a la UIT a efectos contables. Por tanto, la UIT considera el plan como un plan de contribuciones definidas conforme a los requisitos de la</w:t>
      </w:r>
      <w:r w:rsidR="00CA26A5" w:rsidRPr="00582E24">
        <w:t> </w:t>
      </w:r>
      <w:r w:rsidRPr="00582E24">
        <w:t>NICSP 39, sobre prestaciones a empleados. Las contribuciones de la UIT a la Caja durante el ejercicio financiero se contabilizan como gastos en el Estado de resultados financieros.</w:t>
      </w:r>
      <w:bookmarkStart w:id="192" w:name="_Int_c93q8bsb"/>
      <w:bookmarkEnd w:id="192"/>
    </w:p>
    <w:p w14:paraId="5757DD4F" w14:textId="53F42363" w:rsidR="00800DCC" w:rsidRPr="00582E24" w:rsidRDefault="00800DCC" w:rsidP="00977B8F">
      <w:pPr>
        <w:jc w:val="both"/>
      </w:pPr>
      <w:r w:rsidRPr="00582E24">
        <w:lastRenderedPageBreak/>
        <w:t>Los Estatutos de la Caja estipulan que el Comité Mixto de Pensiones del Personal debe encomendar, al menos una vez cada tres años, una evaluación actuarial de la Caja al Actuario Consultor de la misma. El Comité Mixto suele convenir en la realización de una evaluación actuarial cada dos años. El principal objetivo de la evaluación actuarial es determinar si los activos actuales y futuros estimados de la Caja bastarán para que esta pueda cumplir sus compromisos con carácter indefinido. En la política de financiación publicada por la Caja (y</w:t>
      </w:r>
      <w:r w:rsidR="00CA26A5" w:rsidRPr="00582E24">
        <w:t> </w:t>
      </w:r>
      <w:r w:rsidRPr="00582E24">
        <w:t xml:space="preserve">disponible en el sitio web de </w:t>
      </w:r>
      <w:proofErr w:type="gramStart"/>
      <w:r w:rsidRPr="00582E24">
        <w:t>la misma</w:t>
      </w:r>
      <w:proofErr w:type="gramEnd"/>
      <w:r w:rsidRPr="00582E24">
        <w:t>) se establecen los métodos, procesos y objetivos que se utilizan para realizar un seguimiento de la posición financiera y los riesgos asociados. En este apartado se incluye también la práctica de utilizar los valores actuariales de los activos, lo que atenúa las ganancias y pérdidas de inversión a corto plazo, para informar sobre la solvencia a largo plazo.</w:t>
      </w:r>
    </w:p>
    <w:p w14:paraId="60D20E71" w14:textId="1F1B0B3D" w:rsidR="00800DCC" w:rsidRPr="00582E24" w:rsidRDefault="00800DCC" w:rsidP="00977B8F">
      <w:pPr>
        <w:jc w:val="both"/>
      </w:pPr>
      <w:r w:rsidRPr="00582E24">
        <w:t>La UIT tiene la obligación de abonar a la Caja su cotización obligatoria al tipo fijado por la Asamblea General de las Naciones Unidas (el cual se sitúa actualmente en el 7,9</w:t>
      </w:r>
      <w:r w:rsidR="001B64CD" w:rsidRPr="00582E24">
        <w:t> </w:t>
      </w:r>
      <w:r w:rsidRPr="00582E24">
        <w:t>% de la remuneración pensionable para los participantes y en el 15,8</w:t>
      </w:r>
      <w:r w:rsidR="001B64CD" w:rsidRPr="00582E24">
        <w:t> </w:t>
      </w:r>
      <w:r w:rsidRPr="00582E24">
        <w:t>% para las organizaciones afiliadas), más la parte correspondiente a cualquier pago exigido en concepto de cobertura del déficit actuarial, conforme a lo estipulado en el Artículo 26 de los Estatutos de la Caja de Pensiones. Para que la Caja pueda exigir dichos pagos, la Asamblea General de las Naciones</w:t>
      </w:r>
      <w:r w:rsidR="001B64CD" w:rsidRPr="00582E24">
        <w:t> </w:t>
      </w:r>
      <w:r w:rsidRPr="00582E24">
        <w:t>Unidas ha de invocar el Artículo 26, tras determinar que los pagos en cuestión son necesarios a la luz de una valoración de la suficiencia actuarial de la Caja realizada en la fecha de la evaluación. Cada organización afiliada aporta una cuantía proporcional al total de sus contribuciones abonadas durante los tres años precedentes a la fecha de la evaluación. Hasta la fecha, nunca ha sido necesario invocar el Artículo 26, ni solicitar pagos compensatorios.</w:t>
      </w:r>
    </w:p>
    <w:p w14:paraId="7580F0B8" w14:textId="77777777" w:rsidR="00800DCC" w:rsidRPr="00582E24" w:rsidRDefault="00800DCC" w:rsidP="00977B8F">
      <w:pPr>
        <w:jc w:val="both"/>
      </w:pPr>
      <w:r w:rsidRPr="00582E24">
        <w:t>La última evaluación actuarial de la Caja se efectuó el 31 de diciembre de 2023 y la Caja extrapolará los datos de participación del 31 de diciembre de 2023 al 31 de diciembre de 2024 para comunicar el valor actuarial actual de las prestaciones acumuladas del plan en sus estados financieros de 2024.</w:t>
      </w:r>
    </w:p>
    <w:p w14:paraId="6E9FC3B8" w14:textId="04593C55" w:rsidR="00800DCC" w:rsidRPr="00582E24" w:rsidRDefault="00800DCC" w:rsidP="00977B8F">
      <w:pPr>
        <w:jc w:val="both"/>
      </w:pPr>
      <w:r w:rsidRPr="00582E24">
        <w:t>La evaluación actuarial correspondiente al 31 de diciembre de 2023 arrojó un coeficiente de capitalización de los activos actuariales con respecto a los pasivos actuariales del 111,0</w:t>
      </w:r>
      <w:r w:rsidR="00113B9D" w:rsidRPr="00582E24">
        <w:t> </w:t>
      </w:r>
      <w:r w:rsidRPr="00582E24">
        <w:t>% (117,0</w:t>
      </w:r>
      <w:r w:rsidR="00113B9D" w:rsidRPr="00582E24">
        <w:t> </w:t>
      </w:r>
      <w:r w:rsidRPr="00582E24">
        <w:t>% en la evaluación de 2021), cuando se tuvieron en cuenta los futuros ajustes previstos de las pensiones (indexación de las prestaciones en función del coste de la vida). El coeficiente de capitalización declarado fue del 152,0</w:t>
      </w:r>
      <w:r w:rsidR="00113B9D" w:rsidRPr="00582E24">
        <w:t> </w:t>
      </w:r>
      <w:r w:rsidRPr="00582E24">
        <w:t>% (158,2</w:t>
      </w:r>
      <w:r w:rsidR="00113B9D" w:rsidRPr="00582E24">
        <w:t> </w:t>
      </w:r>
      <w:r w:rsidRPr="00582E24">
        <w:t>% en la evaluación de 2021), cuando no se tuvo en cuenta el actual sistema de ajuste de las pensiones; esta sería la medida por la que se establece la suficiencia actuarial con arreglo al Artículo 26.</w:t>
      </w:r>
    </w:p>
    <w:p w14:paraId="022453DF" w14:textId="77777777" w:rsidR="00800DCC" w:rsidRPr="00582E24" w:rsidRDefault="00800DCC" w:rsidP="00977B8F">
      <w:pPr>
        <w:jc w:val="both"/>
      </w:pPr>
      <w:r w:rsidRPr="00582E24">
        <w:t>Una vez evaluada la suficiencia actuarial de la Caja, el Actuario Consultor llegó a la conclusión de que, al 31 de diciembre de 2023, no era necesario invocar el Artículo 26 de los Estatutos de la Caja para cubrir el déficit, puesto que el valor actuarial de los activos superaba el valor actuarial de todos los compromisos contraídos por la Caja. En la fecha de elaboración del presente informe, la Asamblea General no había invocado el Artículo 26.</w:t>
      </w:r>
    </w:p>
    <w:p w14:paraId="46B24663" w14:textId="0768B1FA" w:rsidR="00800DCC" w:rsidRPr="00582E24" w:rsidRDefault="00800DCC" w:rsidP="00977B8F">
      <w:pPr>
        <w:jc w:val="both"/>
      </w:pPr>
      <w:r w:rsidRPr="00582E24">
        <w:t>De invocarse el Artículo 26 por deficiencias actuariales, ya sea durante el ejercicio en curso o por la supresión del plan de pensiones de la Caja, los pagos exigibles a las distintas organizaciones afiliadas serían proporcionales a las contribuciones de cada una al total de contribuciones abonadas a la Caja durante los tres años precedentes a la fecha de evaluación. El total de contribuciones abonadas a la Caja durante los tres años precedentes (2021, 2022 y</w:t>
      </w:r>
      <w:r w:rsidR="00113B9D" w:rsidRPr="00582E24">
        <w:t> </w:t>
      </w:r>
      <w:r w:rsidRPr="00582E24">
        <w:t>2023) asciende a 9 499,41 millones USD, de los cuales la UIT ha aportado el 0,92</w:t>
      </w:r>
      <w:r w:rsidR="00113B9D" w:rsidRPr="00582E24">
        <w:t> </w:t>
      </w:r>
      <w:r w:rsidRPr="00582E24">
        <w:t>%.</w:t>
      </w:r>
    </w:p>
    <w:p w14:paraId="40431C88" w14:textId="77777777" w:rsidR="00800DCC" w:rsidRPr="00582E24" w:rsidRDefault="00800DCC" w:rsidP="00977B8F">
      <w:pPr>
        <w:jc w:val="both"/>
      </w:pPr>
      <w:r w:rsidRPr="00582E24">
        <w:lastRenderedPageBreak/>
        <w:t>En 2024, las contribuciones abonadas por la UIT a la Caja ascendieron a 27,3 millones CHF (31,1 millones CHF) (27,2 millones CHF o 30,3 millones USD en 2023). Las contribuciones previstas para 2025 rondan los 28,5 millones CHF (31,6 millones USD).</w:t>
      </w:r>
    </w:p>
    <w:p w14:paraId="69AA72B5" w14:textId="77777777" w:rsidR="00800DCC" w:rsidRPr="00582E24" w:rsidRDefault="00800DCC" w:rsidP="00977B8F">
      <w:pPr>
        <w:jc w:val="both"/>
      </w:pPr>
      <w:r w:rsidRPr="00582E24">
        <w:t>Previa recomendación positiva del Comité Mixto, la Asamblea General de las Naciones Unidas puede acordar el cese de la participación de un miembro en la Caja. En tal caso, se abonaría a la antigua organización afiliada una parte proporcional de los activos totales del Fondo en la fecha de terminación en beneficio exclusivo del personal participante en la Caja hasta esa fecha, de conformidad con el acuerdo mutuo al que llegasen la organización y la Caja. El Comité Mixto de Pensiones del Personal de las Naciones Unidas determinará esa cantidad a partir de una evaluación actuarial del activo y el pasivo de la Caja en la fecha de cese; no se incluiría en la cuantía correspondiente la parte de los activos que superase el pasivo.</w:t>
      </w:r>
      <w:bookmarkStart w:id="193" w:name="_Int_k7T9yV55"/>
      <w:bookmarkEnd w:id="193"/>
    </w:p>
    <w:p w14:paraId="4AFF79C5" w14:textId="36E9CD68" w:rsidR="00800DCC" w:rsidRPr="00582E24" w:rsidRDefault="00800DCC" w:rsidP="00977B8F">
      <w:pPr>
        <w:spacing w:after="240"/>
        <w:jc w:val="both"/>
      </w:pPr>
      <w:r w:rsidRPr="00582E24">
        <w:t>La Junta de Auditores de las Naciones Unidas efectúa anualmente una auditoría de la Caja y presenta un informe al Comité de Pensiones de la Caja y a la Asamblea General de las Naciones</w:t>
      </w:r>
      <w:r w:rsidR="003557D8" w:rsidRPr="00582E24">
        <w:t> </w:t>
      </w:r>
      <w:r w:rsidRPr="00582E24">
        <w:t>Unidas. La Caja publica trimestralmente informes sobre sus inversiones, que puede</w:t>
      </w:r>
      <w:r w:rsidR="003557D8" w:rsidRPr="00582E24">
        <w:t>n</w:t>
      </w:r>
      <w:r w:rsidRPr="00582E24">
        <w:t xml:space="preserve"> consultarse en la página de esta última: </w:t>
      </w:r>
      <w:hyperlink r:id="rId57" w:history="1">
        <w:r w:rsidRPr="00582E24">
          <w:rPr>
            <w:rStyle w:val="Hyperlink"/>
          </w:rPr>
          <w:t>www.unjspf.org</w:t>
        </w:r>
      </w:hyperlink>
      <w:r w:rsidRPr="00582E24">
        <w:t>.</w:t>
      </w:r>
    </w:p>
    <w:p w14:paraId="45EF699C" w14:textId="6A9B8D3A" w:rsidR="00800DCC" w:rsidRPr="00582E24" w:rsidRDefault="00800DCC" w:rsidP="00977B8F">
      <w:pPr>
        <w:pStyle w:val="Tabletitle"/>
      </w:pPr>
      <w:r w:rsidRPr="00582E24">
        <w:t xml:space="preserve">Resumen de las contribuciones a la Caja durante el periodo comprendido </w:t>
      </w:r>
      <w:r w:rsidR="003557D8" w:rsidRPr="00582E24">
        <w:br/>
      </w:r>
      <w:r w:rsidRPr="00582E24">
        <w:t>entre el 1 de enero y el 31 de diciembre de 2024</w:t>
      </w:r>
    </w:p>
    <w:p w14:paraId="0CB366DB" w14:textId="61DF8D83" w:rsidR="00800DCC" w:rsidRPr="00582E24" w:rsidRDefault="00122753" w:rsidP="00294BBB">
      <w:pPr>
        <w:pStyle w:val="Figure"/>
        <w:spacing w:after="240"/>
        <w:rPr>
          <w:b/>
          <w:bCs/>
        </w:rPr>
      </w:pPr>
      <w:r w:rsidRPr="00582E24">
        <w:rPr>
          <w:noProof/>
        </w:rPr>
        <w:drawing>
          <wp:inline distT="0" distB="0" distL="0" distR="0" wp14:anchorId="560C83DE" wp14:editId="3A336CBE">
            <wp:extent cx="5701665" cy="16363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01665" cy="1636395"/>
                    </a:xfrm>
                    <a:prstGeom prst="rect">
                      <a:avLst/>
                    </a:prstGeom>
                    <a:noFill/>
                    <a:ln>
                      <a:noFill/>
                    </a:ln>
                  </pic:spPr>
                </pic:pic>
              </a:graphicData>
            </a:graphic>
          </wp:inline>
        </w:drawing>
      </w:r>
    </w:p>
    <w:p w14:paraId="597DA996" w14:textId="77777777" w:rsidR="00800DCC" w:rsidRPr="00582E24" w:rsidRDefault="00800DCC" w:rsidP="00977B8F">
      <w:pPr>
        <w:jc w:val="both"/>
        <w:rPr>
          <w:u w:val="single"/>
        </w:rPr>
      </w:pPr>
      <w:r w:rsidRPr="00582E24">
        <w:rPr>
          <w:u w:val="single"/>
        </w:rPr>
        <w:t>Obligaciones relativas a otras prestaciones al personal</w:t>
      </w:r>
    </w:p>
    <w:p w14:paraId="44DFCB04" w14:textId="77777777" w:rsidR="00800DCC" w:rsidRPr="00582E24" w:rsidRDefault="00800DCC" w:rsidP="00977B8F">
      <w:pPr>
        <w:jc w:val="both"/>
      </w:pPr>
      <w:r w:rsidRPr="00582E24">
        <w:t>Antes de la constitución de la CCPPNU y de la afiliación de la UIT a esta última, la Unión había creado fondos para la oferta de prestaciones de jubilación, viudedad, discapacidad o seguro médico a los miembros de su personal. Estos fondos creados por la Unión funcionan en caja cerrada desde su afiliación a la Caja. Las obligaciones se indican en el pasivo a largo plazo. Se han celebrado acuerdos entre la UIT y sus fondos para garantizar la financiación de estos últimos.</w:t>
      </w:r>
    </w:p>
    <w:p w14:paraId="587C2507" w14:textId="117E33EB" w:rsidR="00800DCC" w:rsidRPr="00582E24" w:rsidRDefault="00800DCC" w:rsidP="00977B8F">
      <w:pPr>
        <w:jc w:val="both"/>
      </w:pPr>
      <w:r w:rsidRPr="00582E24">
        <w:t>En 2024, la Unión no consideró procedente solicitar un nuevo estudio actuarial para la Caja de Seguros del Personal. Al 31 de diciembre de 2024, se decidió no modificar la reserva para las obligaciones derivadas de las pensiones que se estaban abonando en ese momento a antiguos funcionarios de la Caja de Seguros del Personal de la UIT, reconocida en 2010 por un importe de 54 000 CHF.</w:t>
      </w:r>
    </w:p>
    <w:p w14:paraId="2DA56FCF" w14:textId="10C3B964" w:rsidR="00800DCC" w:rsidRPr="00582E24" w:rsidRDefault="00800DCC" w:rsidP="00977B8F">
      <w:pPr>
        <w:pStyle w:val="Heading1"/>
        <w:rPr>
          <w:color w:val="4F81BD"/>
        </w:rPr>
      </w:pPr>
      <w:bookmarkStart w:id="194" w:name="_Toc1506214376"/>
      <w:bookmarkStart w:id="195" w:name="_Toc196292789"/>
      <w:bookmarkStart w:id="196" w:name="_Toc305764100"/>
      <w:bookmarkStart w:id="197" w:name="_Toc200461773"/>
      <w:bookmarkStart w:id="198" w:name="_Toc200461939"/>
      <w:r w:rsidRPr="00582E24">
        <w:rPr>
          <w:color w:val="4F81BD"/>
        </w:rPr>
        <w:t>Nota 17</w:t>
      </w:r>
      <w:r w:rsidRPr="00582E24">
        <w:rPr>
          <w:color w:val="4F81BD"/>
        </w:rPr>
        <w:tab/>
        <w:t>Otros pasivos</w:t>
      </w:r>
      <w:bookmarkEnd w:id="194"/>
      <w:bookmarkEnd w:id="195"/>
      <w:bookmarkEnd w:id="196"/>
      <w:bookmarkEnd w:id="197"/>
      <w:bookmarkEnd w:id="198"/>
    </w:p>
    <w:p w14:paraId="3EBF321D" w14:textId="77777777" w:rsidR="00800DCC" w:rsidRPr="00582E24" w:rsidRDefault="00800DCC" w:rsidP="00977B8F">
      <w:pPr>
        <w:jc w:val="both"/>
      </w:pPr>
      <w:bookmarkStart w:id="199" w:name="_Toc305764101"/>
      <w:r w:rsidRPr="00582E24">
        <w:t>El saldo de las cuentas por pagar ha aumentado debido a un mayor volumen de actividad hacia finales de año y a un incremento de las deudas pendientes de pago contraídas en el marco de acuerdos interinstitucionales.</w:t>
      </w:r>
    </w:p>
    <w:p w14:paraId="47F25B2D" w14:textId="77777777" w:rsidR="00800DCC" w:rsidRPr="00582E24" w:rsidRDefault="00800DCC" w:rsidP="00294BBB">
      <w:pPr>
        <w:spacing w:after="240"/>
        <w:jc w:val="both"/>
      </w:pPr>
      <w:r w:rsidRPr="00582E24">
        <w:lastRenderedPageBreak/>
        <w:t>La disminución de otros pasivos varios relacionados con el personal se debe a una reducción de las deudas pendientes a tenor de acuerdos de servicios especiales en curso y a las deducciones sobre las indemnizaciones por cese de empleados en el servicio.</w:t>
      </w:r>
    </w:p>
    <w:p w14:paraId="37A0A29E" w14:textId="41D59931" w:rsidR="00800DCC" w:rsidRPr="00582E24" w:rsidRDefault="00977B8F" w:rsidP="00294BBB">
      <w:pPr>
        <w:pStyle w:val="Figure"/>
        <w:keepNext w:val="0"/>
        <w:keepLines w:val="0"/>
        <w:spacing w:after="240"/>
      </w:pPr>
      <w:r w:rsidRPr="00582E24">
        <w:rPr>
          <w:noProof/>
        </w:rPr>
        <w:drawing>
          <wp:inline distT="0" distB="0" distL="0" distR="0" wp14:anchorId="126285F5" wp14:editId="76F576A5">
            <wp:extent cx="5029200" cy="17976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29200" cy="1797685"/>
                    </a:xfrm>
                    <a:prstGeom prst="rect">
                      <a:avLst/>
                    </a:prstGeom>
                    <a:noFill/>
                    <a:ln>
                      <a:noFill/>
                    </a:ln>
                  </pic:spPr>
                </pic:pic>
              </a:graphicData>
            </a:graphic>
          </wp:inline>
        </w:drawing>
      </w:r>
    </w:p>
    <w:p w14:paraId="288B5600" w14:textId="3DD32F54" w:rsidR="00800DCC" w:rsidRPr="00582E24" w:rsidRDefault="00800DCC" w:rsidP="00977B8F">
      <w:pPr>
        <w:jc w:val="both"/>
      </w:pPr>
      <w:r w:rsidRPr="00582E24">
        <w:t>Las reservas representan la estimación más precisa de la dirección, en la fecha de cierre, de las futuras obligaciones asociadas a acontecimientos pasados en relación con las cuales se desconoce tanto el valor final como el momento en que la UIT habrá de desembolsar los recursos correspondientes.</w:t>
      </w:r>
    </w:p>
    <w:p w14:paraId="046F063C" w14:textId="77777777" w:rsidR="00800DCC" w:rsidRPr="00582E24" w:rsidRDefault="00800DCC" w:rsidP="00977B8F">
      <w:pPr>
        <w:jc w:val="both"/>
      </w:pPr>
      <w:r w:rsidRPr="00582E24">
        <w:t xml:space="preserve">Concretamente, comprenden: i) la reserva para riesgos y gastos administrativos relacionados con litigios en curso vinculados a los casos sobre los que el tribunal informa periódicamente; ii) la reserva </w:t>
      </w:r>
      <w:r w:rsidRPr="00582E24">
        <w:rPr>
          <w:bCs/>
        </w:rPr>
        <w:t xml:space="preserve">para las publicaciones gratuitas no reclamadas que las Administraciones tienen derecho a solicitar en relación con sus notificaciones de redes satélites (NRS); y iii) la </w:t>
      </w:r>
      <w:r w:rsidRPr="00582E24">
        <w:t xml:space="preserve">reserva </w:t>
      </w:r>
      <w:r w:rsidRPr="00582E24">
        <w:rPr>
          <w:bCs/>
        </w:rPr>
        <w:t>para la rescisión del acuerdo de patrocinio por valor de 5,0 millones CHF atinente a</w:t>
      </w:r>
      <w:r w:rsidRPr="00582E24">
        <w:t>l proyecto de nuevo edificio.</w:t>
      </w:r>
    </w:p>
    <w:p w14:paraId="324EE32C" w14:textId="77777777" w:rsidR="00800DCC" w:rsidRPr="00582E24" w:rsidRDefault="00800DCC" w:rsidP="00294BBB">
      <w:pPr>
        <w:spacing w:after="240"/>
        <w:jc w:val="both"/>
      </w:pPr>
      <w:r w:rsidRPr="00582E24">
        <w:rPr>
          <w:bCs/>
        </w:rPr>
        <w:t xml:space="preserve">El importe total de la </w:t>
      </w:r>
      <w:r w:rsidRPr="00582E24">
        <w:t>reserva para NRS</w:t>
      </w:r>
      <w:r w:rsidRPr="00582E24">
        <w:rPr>
          <w:bCs/>
        </w:rPr>
        <w:t xml:space="preserve"> se utilizará o desbloqueará durante el ejercicio </w:t>
      </w:r>
      <w:r w:rsidRPr="00582E24">
        <w:t>2025</w:t>
      </w:r>
      <w:r w:rsidRPr="00582E24">
        <w:rPr>
          <w:bCs/>
        </w:rPr>
        <w:t>.</w:t>
      </w:r>
    </w:p>
    <w:p w14:paraId="176DCB61" w14:textId="3B9E4A2D" w:rsidR="00800DCC" w:rsidRPr="00582E24" w:rsidRDefault="00294BBB" w:rsidP="00977B8F">
      <w:pPr>
        <w:pStyle w:val="Figure"/>
      </w:pPr>
      <w:r w:rsidRPr="00582E24">
        <w:rPr>
          <w:noProof/>
        </w:rPr>
        <w:drawing>
          <wp:inline distT="0" distB="0" distL="0" distR="0" wp14:anchorId="56F5347E" wp14:editId="10ED2226">
            <wp:extent cx="5760085" cy="1012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60085" cy="1012825"/>
                    </a:xfrm>
                    <a:prstGeom prst="rect">
                      <a:avLst/>
                    </a:prstGeom>
                    <a:noFill/>
                    <a:ln>
                      <a:noFill/>
                    </a:ln>
                  </pic:spPr>
                </pic:pic>
              </a:graphicData>
            </a:graphic>
          </wp:inline>
        </w:drawing>
      </w:r>
    </w:p>
    <w:p w14:paraId="6A200B26" w14:textId="24A4132F" w:rsidR="00800DCC" w:rsidRPr="00582E24" w:rsidRDefault="00800DCC" w:rsidP="00977B8F">
      <w:pPr>
        <w:pStyle w:val="Heading1"/>
        <w:rPr>
          <w:color w:val="4F81BD"/>
        </w:rPr>
      </w:pPr>
      <w:bookmarkStart w:id="200" w:name="_Toc1546949396"/>
      <w:bookmarkStart w:id="201" w:name="_Toc196292790"/>
      <w:bookmarkStart w:id="202" w:name="_Toc200461774"/>
      <w:bookmarkStart w:id="203" w:name="_Toc200461940"/>
      <w:bookmarkEnd w:id="199"/>
      <w:r w:rsidRPr="00582E24">
        <w:rPr>
          <w:color w:val="4F81BD"/>
        </w:rPr>
        <w:t>Nota 18</w:t>
      </w:r>
      <w:r w:rsidRPr="00582E24">
        <w:rPr>
          <w:color w:val="4F81BD"/>
        </w:rPr>
        <w:tab/>
        <w:t>Ingresos</w:t>
      </w:r>
      <w:bookmarkEnd w:id="200"/>
      <w:bookmarkEnd w:id="201"/>
      <w:bookmarkEnd w:id="202"/>
      <w:bookmarkEnd w:id="203"/>
    </w:p>
    <w:p w14:paraId="6A589282" w14:textId="77777777" w:rsidR="00800DCC" w:rsidRPr="00582E24" w:rsidRDefault="00800DCC" w:rsidP="00977B8F">
      <w:pPr>
        <w:pStyle w:val="Headingb"/>
      </w:pPr>
      <w:r w:rsidRPr="00582E24">
        <w:t>Contribuciones previstas</w:t>
      </w:r>
    </w:p>
    <w:p w14:paraId="62F98008" w14:textId="77777777" w:rsidR="00800DCC" w:rsidRPr="00582E24" w:rsidRDefault="00800DCC" w:rsidP="00977B8F">
      <w:pPr>
        <w:jc w:val="both"/>
      </w:pPr>
      <w:r w:rsidRPr="00582E24">
        <w:t>En virtud de la Resolución 1417 del Consejo, adoptada por este último en su reunión de 2023, se aprobó el presupuesto de la Unión para el periodo 2024-2025.</w:t>
      </w:r>
    </w:p>
    <w:p w14:paraId="18B1A7F2" w14:textId="77777777" w:rsidR="00800DCC" w:rsidRPr="00582E24" w:rsidRDefault="00800DCC" w:rsidP="00977B8F">
      <w:pPr>
        <w:jc w:val="both"/>
      </w:pPr>
      <w:r w:rsidRPr="00582E24">
        <w:t>Los ingresos de los Estados Miembros correspondientes al ejercicio 2024 se ajustan al plan financiero presentado en la PP-22. Las contribuciones previstas de los Estados Miembros se basan en 356 unidades.</w:t>
      </w:r>
    </w:p>
    <w:p w14:paraId="7284BE1C" w14:textId="77777777" w:rsidR="00800DCC" w:rsidRPr="00582E24" w:rsidRDefault="00800DCC" w:rsidP="00977B8F">
      <w:pPr>
        <w:jc w:val="both"/>
      </w:pPr>
      <w:r w:rsidRPr="00582E24">
        <w:t>Se han contabilizado contribuciones de conferencias destinadas a:</w:t>
      </w:r>
    </w:p>
    <w:p w14:paraId="697E3826" w14:textId="00408B24" w:rsidR="00800DCC" w:rsidRPr="00582E24" w:rsidRDefault="00977B8F" w:rsidP="00977B8F">
      <w:pPr>
        <w:pStyle w:val="enumlev1"/>
        <w:jc w:val="both"/>
      </w:pPr>
      <w:r w:rsidRPr="00582E24">
        <w:t>•</w:t>
      </w:r>
      <w:r w:rsidRPr="00582E24">
        <w:tab/>
      </w:r>
      <w:r w:rsidR="00800DCC" w:rsidRPr="00582E24">
        <w:t xml:space="preserve">La Asamblea Mundial de Normalización de las Telecomunicaciones (AMNT-24), que se celebró en Delhi (India). El Gobierno de la India cubrió los gastos de transporte y alojamiento de todo el personal de la UIT que se desplazó hasta la zona. El Gobierno </w:t>
      </w:r>
      <w:r w:rsidR="00800DCC" w:rsidRPr="00582E24">
        <w:lastRenderedPageBreak/>
        <w:t>también proporcionó directamente asistencia logística y veló por la seguridad de todos los participantes.</w:t>
      </w:r>
      <w:bookmarkStart w:id="204" w:name="_Int_mMgixRrO"/>
      <w:bookmarkEnd w:id="204"/>
    </w:p>
    <w:p w14:paraId="2A3CECF0" w14:textId="371D8482" w:rsidR="00800DCC" w:rsidRPr="00582E24" w:rsidRDefault="00977B8F" w:rsidP="00977B8F">
      <w:pPr>
        <w:pStyle w:val="enumlev1"/>
        <w:jc w:val="both"/>
      </w:pPr>
      <w:r w:rsidRPr="00582E24">
        <w:t>•</w:t>
      </w:r>
      <w:r w:rsidRPr="00582E24">
        <w:tab/>
      </w:r>
      <w:r w:rsidR="00800DCC" w:rsidRPr="00582E24">
        <w:t>El Simposio Mundial para Organismos Reguladores (GSR-24), que se celebró en Kampala (Uganda). A tenor del acuerdo celebrado con el país anfitrión, el Gobierno de Uganda financió los gastos de transporte y alojamiento de todo el personal de la UIT que se desplazó hasta la zona, proporcionó directamente asistencia logística y veló por la seguridad de todos los participantes.</w:t>
      </w:r>
    </w:p>
    <w:p w14:paraId="7E5A7293" w14:textId="77777777" w:rsidR="00800DCC" w:rsidRPr="00582E24" w:rsidRDefault="00800DCC" w:rsidP="00122753">
      <w:pPr>
        <w:keepNext/>
        <w:spacing w:after="240"/>
        <w:jc w:val="both"/>
      </w:pPr>
      <w:r w:rsidRPr="00582E24">
        <w:t>En el siguiente cuadro se indican las contribuciones previstas contabilizadas en 2024 y 2023.</w:t>
      </w:r>
    </w:p>
    <w:p w14:paraId="6EEA64DD" w14:textId="0F6099C7" w:rsidR="00800DCC" w:rsidRPr="00582E24" w:rsidRDefault="00977B8F" w:rsidP="00521B8E">
      <w:pPr>
        <w:pStyle w:val="Figure"/>
        <w:spacing w:after="240"/>
      </w:pPr>
      <w:bookmarkStart w:id="205" w:name="_Toc305764104"/>
      <w:bookmarkStart w:id="206" w:name="_Toc305778514"/>
      <w:r w:rsidRPr="00582E24">
        <w:rPr>
          <w:noProof/>
        </w:rPr>
        <w:drawing>
          <wp:inline distT="0" distB="0" distL="0" distR="0" wp14:anchorId="00EF50AE" wp14:editId="706FE2E7">
            <wp:extent cx="4804410" cy="17976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04410" cy="1797685"/>
                    </a:xfrm>
                    <a:prstGeom prst="rect">
                      <a:avLst/>
                    </a:prstGeom>
                    <a:noFill/>
                    <a:ln>
                      <a:noFill/>
                    </a:ln>
                  </pic:spPr>
                </pic:pic>
              </a:graphicData>
            </a:graphic>
          </wp:inline>
        </w:drawing>
      </w:r>
    </w:p>
    <w:p w14:paraId="312C6F0B" w14:textId="77777777" w:rsidR="00800DCC" w:rsidRPr="00582E24" w:rsidRDefault="00800DCC" w:rsidP="00977B8F">
      <w:pPr>
        <w:pStyle w:val="Headingb"/>
        <w:rPr>
          <w:i/>
          <w:iCs/>
        </w:rPr>
      </w:pPr>
      <w:r w:rsidRPr="00582E24">
        <w:rPr>
          <w:i/>
          <w:iCs/>
        </w:rPr>
        <w:t>Contribuciones extrapresupuestarias</w:t>
      </w:r>
    </w:p>
    <w:p w14:paraId="10ACBD1C" w14:textId="77777777" w:rsidR="00800DCC" w:rsidRPr="00582E24" w:rsidRDefault="00800DCC" w:rsidP="00E86525">
      <w:pPr>
        <w:spacing w:after="240"/>
        <w:jc w:val="both"/>
      </w:pPr>
      <w:r w:rsidRPr="00582E24">
        <w:t>Las contribuciones voluntarias y las contribuciones de fondos fiduciarios son fuentes de financiación de terceros de las que se vale la UIT para ejecutar proyectos de desarrollo en favor de países en desarrollo, incluidos países menos adelantados, pequeños Estados insulares en desarrollo, países en desarrollo sin litoral y países con economías en transición, y complementar el presupuesto que destina a actividades ordinarias.</w:t>
      </w:r>
    </w:p>
    <w:p w14:paraId="4DDF92EB" w14:textId="6DEFF9A3" w:rsidR="00800DCC" w:rsidRPr="00582E24" w:rsidRDefault="00977B8F" w:rsidP="00E86525">
      <w:pPr>
        <w:pStyle w:val="Figure"/>
        <w:spacing w:after="240"/>
      </w:pPr>
      <w:r w:rsidRPr="00582E24">
        <w:rPr>
          <w:noProof/>
        </w:rPr>
        <w:drawing>
          <wp:inline distT="0" distB="0" distL="0" distR="0" wp14:anchorId="44AA90DE" wp14:editId="4652B4D4">
            <wp:extent cx="4804410" cy="14566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804410" cy="1456690"/>
                    </a:xfrm>
                    <a:prstGeom prst="rect">
                      <a:avLst/>
                    </a:prstGeom>
                    <a:noFill/>
                    <a:ln>
                      <a:noFill/>
                    </a:ln>
                  </pic:spPr>
                </pic:pic>
              </a:graphicData>
            </a:graphic>
          </wp:inline>
        </w:drawing>
      </w:r>
    </w:p>
    <w:p w14:paraId="1514209C" w14:textId="77777777" w:rsidR="00800DCC" w:rsidRPr="00582E24" w:rsidRDefault="00800DCC" w:rsidP="00977B8F">
      <w:pPr>
        <w:pStyle w:val="Headingb"/>
        <w:rPr>
          <w:i/>
          <w:iCs/>
        </w:rPr>
      </w:pPr>
      <w:r w:rsidRPr="00582E24">
        <w:rPr>
          <w:i/>
          <w:iCs/>
        </w:rPr>
        <w:t>Otros ingresos de explotación</w:t>
      </w:r>
    </w:p>
    <w:p w14:paraId="4033AEFA" w14:textId="7A810A4D" w:rsidR="00800DCC" w:rsidRPr="00582E24" w:rsidRDefault="00800DCC" w:rsidP="00977B8F">
      <w:pPr>
        <w:jc w:val="both"/>
      </w:pPr>
      <w:r w:rsidRPr="00582E24">
        <w:t>En 2024, los ingresos por la venta de publicaciones ascendieron a 19,2 millones CHF, superando las ventas del año anterior en 2,5 millones CHF. Este aumento se debió, principalmente, al calendario de publicaciones del periodo y, más concretamente, a la publicación de las nuevas ediciones del Manual Marítimo y el Reglamento de Radiocomunicaciones durante el cuarto trimestre de dicho ejercicio.</w:t>
      </w:r>
    </w:p>
    <w:p w14:paraId="19CC9067" w14:textId="2D39E70E" w:rsidR="00800DCC" w:rsidRPr="00582E24" w:rsidRDefault="00800DCC" w:rsidP="00977B8F">
      <w:pPr>
        <w:jc w:val="both"/>
      </w:pPr>
      <w:r w:rsidRPr="00582E24">
        <w:t xml:space="preserve">La disminución de los ingresos vinculados a las notificaciones de redes de satélite se debió, principalmente, a los retrasos acumulados a efectos de la publicación final de algunas notificaciones (los ingresos se contabilizan en el momento de la publicación final de las notificaciones en la BR IFIC). Esta situación se deriva de las decisiones adoptadas por </w:t>
      </w:r>
      <w:r w:rsidRPr="00582E24">
        <w:lastRenderedPageBreak/>
        <w:t>la</w:t>
      </w:r>
      <w:r w:rsidR="00E86525" w:rsidRPr="00582E24">
        <w:t> </w:t>
      </w:r>
      <w:r w:rsidRPr="00582E24">
        <w:t>CMR</w:t>
      </w:r>
      <w:r w:rsidR="00E86525" w:rsidRPr="00582E24">
        <w:noBreakHyphen/>
      </w:r>
      <w:r w:rsidRPr="00582E24">
        <w:t xml:space="preserve">23, en cuyo marco se solicitaron ajustes del </w:t>
      </w:r>
      <w:r w:rsidRPr="00582E24">
        <w:rPr>
          <w:i/>
          <w:iCs/>
        </w:rPr>
        <w:t>software</w:t>
      </w:r>
      <w:r w:rsidRPr="00582E24">
        <w:t xml:space="preserve"> conexo, así como un aumento de las comunicaciones en 2024.</w:t>
      </w:r>
    </w:p>
    <w:p w14:paraId="57CC8241" w14:textId="4DC93139" w:rsidR="00800DCC" w:rsidRPr="00582E24" w:rsidRDefault="00800DCC" w:rsidP="00122753">
      <w:pPr>
        <w:spacing w:after="240"/>
        <w:jc w:val="both"/>
      </w:pPr>
      <w:r w:rsidRPr="00582E24">
        <w:t xml:space="preserve">La disminución de la partida de </w:t>
      </w:r>
      <w:r w:rsidR="00E86525" w:rsidRPr="00582E24">
        <w:t>"</w:t>
      </w:r>
      <w:r w:rsidRPr="00582E24">
        <w:t>otros ingresos de explotación</w:t>
      </w:r>
      <w:r w:rsidR="00E86525" w:rsidRPr="00582E24">
        <w:t>"</w:t>
      </w:r>
      <w:r w:rsidRPr="00582E24">
        <w:t xml:space="preserve"> se debió, principalmente, a los ingresos relacionados con las contribuciones percibidas para el proyecto de nuevo edificio en</w:t>
      </w:r>
      <w:r w:rsidR="00E86525" w:rsidRPr="00582E24">
        <w:t> </w:t>
      </w:r>
      <w:r w:rsidRPr="00582E24">
        <w:t>2023, que no se recibieron durante el ejercicio en cuestión.</w:t>
      </w:r>
    </w:p>
    <w:p w14:paraId="5BADD25A" w14:textId="79377EA5" w:rsidR="00800DCC" w:rsidRPr="00582E24" w:rsidRDefault="00F1024B" w:rsidP="007F7725">
      <w:pPr>
        <w:pStyle w:val="Figure"/>
        <w:spacing w:after="240"/>
      </w:pPr>
      <w:r w:rsidRPr="00582E24">
        <w:rPr>
          <w:noProof/>
        </w:rPr>
        <w:drawing>
          <wp:inline distT="0" distB="0" distL="0" distR="0" wp14:anchorId="59AA102F" wp14:editId="0A5BA78D">
            <wp:extent cx="4804410" cy="206121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04410" cy="2061210"/>
                    </a:xfrm>
                    <a:prstGeom prst="rect">
                      <a:avLst/>
                    </a:prstGeom>
                    <a:noFill/>
                    <a:ln>
                      <a:noFill/>
                    </a:ln>
                  </pic:spPr>
                </pic:pic>
              </a:graphicData>
            </a:graphic>
          </wp:inline>
        </w:drawing>
      </w:r>
    </w:p>
    <w:p w14:paraId="366B9F43" w14:textId="77777777" w:rsidR="00800DCC" w:rsidRPr="00582E24" w:rsidRDefault="00800DCC" w:rsidP="00F1024B">
      <w:pPr>
        <w:pStyle w:val="Headingb"/>
        <w:rPr>
          <w:i/>
          <w:iCs/>
        </w:rPr>
      </w:pPr>
      <w:r w:rsidRPr="00582E24">
        <w:rPr>
          <w:i/>
          <w:iCs/>
        </w:rPr>
        <w:t>Ingresos/(gastos) financieros</w:t>
      </w:r>
    </w:p>
    <w:p w14:paraId="59C99BA3" w14:textId="65C74C49" w:rsidR="00800DCC" w:rsidRPr="00582E24" w:rsidRDefault="00800DCC" w:rsidP="00F1024B">
      <w:pPr>
        <w:jc w:val="both"/>
      </w:pPr>
      <w:r w:rsidRPr="00582E24">
        <w:t>El tipo de interés de los depósitos a corto plazo en dólares estadounidenses y euros se ha mantenido relativamente estable a lo largo del año y, en comparación con el año anterior, ha permitido obtener unos ingresos por inversiones comparables que rondan los</w:t>
      </w:r>
      <w:r w:rsidR="007F7725" w:rsidRPr="00582E24">
        <w:t> </w:t>
      </w:r>
      <w:r w:rsidRPr="00582E24">
        <w:t>4,6</w:t>
      </w:r>
      <w:r w:rsidR="007F7725" w:rsidRPr="00582E24">
        <w:t> </w:t>
      </w:r>
      <w:r w:rsidRPr="00582E24">
        <w:t>millones</w:t>
      </w:r>
      <w:r w:rsidR="007F7725" w:rsidRPr="00582E24">
        <w:t> </w:t>
      </w:r>
      <w:r w:rsidRPr="00582E24">
        <w:t>CHF.</w:t>
      </w:r>
    </w:p>
    <w:p w14:paraId="2664B54D" w14:textId="77777777" w:rsidR="00800DCC" w:rsidRPr="00582E24" w:rsidRDefault="00800DCC" w:rsidP="00F1024B">
      <w:pPr>
        <w:jc w:val="both"/>
      </w:pPr>
      <w:r w:rsidRPr="00582E24">
        <w:t>Habida cuenta de que las inversiones se mantienen principalmente en dólares estadounidenses y euros, en 2024, la UIT registró ganancias por tipo de cambio en inversiones por valor de 3,9 millones CHF, lo que contrasta con las pérdidas de 6,2 millones CHF registradas en 2023. Ello se debió, principalmente, a una tendencia más positiva de los tipos de cambio del franco suizo en comparación con el dólar estadounidense.</w:t>
      </w:r>
    </w:p>
    <w:p w14:paraId="008C12D5" w14:textId="77777777" w:rsidR="00800DCC" w:rsidRPr="00582E24" w:rsidRDefault="00800DCC" w:rsidP="00F1024B">
      <w:pPr>
        <w:jc w:val="both"/>
      </w:pPr>
      <w:r w:rsidRPr="00582E24">
        <w:t>Las ganancias por tipo de cambio en operaciones registradas en 2024 son fruto de la evolución de los tipos de cambio descrita para las inversiones, así como del debilitamiento del franco suizo frente al dólar estadounidense.</w:t>
      </w:r>
    </w:p>
    <w:p w14:paraId="18BB3046" w14:textId="50713C15" w:rsidR="00800DCC" w:rsidRPr="00582E24" w:rsidRDefault="00800DCC" w:rsidP="001F0C1E">
      <w:pPr>
        <w:spacing w:after="240"/>
        <w:jc w:val="both"/>
      </w:pPr>
      <w:r w:rsidRPr="00582E24">
        <w:t>El tipo de los bonos del Estado suizo a 30 años a finales de 2024 era del 0,37</w:t>
      </w:r>
      <w:r w:rsidR="001F0C1E" w:rsidRPr="00582E24">
        <w:t> </w:t>
      </w:r>
      <w:r w:rsidRPr="00582E24">
        <w:t>%, mientras que a finales de 2023 era del 0,50</w:t>
      </w:r>
      <w:r w:rsidR="001F0C1E" w:rsidRPr="00582E24">
        <w:t> </w:t>
      </w:r>
      <w:r w:rsidRPr="00582E24">
        <w:t>%. Dicha reducción dio lugar a un aumento del pasivo por préstamos de 0,7 millones CHF.</w:t>
      </w:r>
    </w:p>
    <w:p w14:paraId="6037BE6D" w14:textId="123E2554" w:rsidR="00800DCC" w:rsidRPr="00582E24" w:rsidRDefault="001F0C1E" w:rsidP="00F1024B">
      <w:pPr>
        <w:pStyle w:val="Figure"/>
        <w:keepNext w:val="0"/>
        <w:keepLines w:val="0"/>
      </w:pPr>
      <w:r w:rsidRPr="00582E24">
        <w:rPr>
          <w:noProof/>
        </w:rPr>
        <w:drawing>
          <wp:inline distT="0" distB="0" distL="0" distR="0" wp14:anchorId="1E2F0BED" wp14:editId="6179A1B9">
            <wp:extent cx="5029200" cy="1783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29200" cy="1783080"/>
                    </a:xfrm>
                    <a:prstGeom prst="rect">
                      <a:avLst/>
                    </a:prstGeom>
                    <a:noFill/>
                    <a:ln>
                      <a:noFill/>
                    </a:ln>
                  </pic:spPr>
                </pic:pic>
              </a:graphicData>
            </a:graphic>
          </wp:inline>
        </w:drawing>
      </w:r>
    </w:p>
    <w:p w14:paraId="55914E80" w14:textId="0F4FE944" w:rsidR="00800DCC" w:rsidRPr="00582E24" w:rsidRDefault="00800DCC" w:rsidP="00F1024B">
      <w:pPr>
        <w:pStyle w:val="Heading1"/>
        <w:keepLines w:val="0"/>
        <w:ind w:left="562" w:hanging="562"/>
        <w:rPr>
          <w:color w:val="4F81BD"/>
        </w:rPr>
      </w:pPr>
      <w:bookmarkStart w:id="207" w:name="_Toc2116969957"/>
      <w:bookmarkStart w:id="208" w:name="_Toc196292791"/>
      <w:bookmarkStart w:id="209" w:name="_Toc200461775"/>
      <w:bookmarkStart w:id="210" w:name="_Toc200461941"/>
      <w:bookmarkStart w:id="211" w:name="_Toc305764108"/>
      <w:bookmarkEnd w:id="205"/>
      <w:bookmarkEnd w:id="206"/>
      <w:r w:rsidRPr="00582E24">
        <w:rPr>
          <w:color w:val="4F81BD"/>
        </w:rPr>
        <w:lastRenderedPageBreak/>
        <w:t>Nota 19</w:t>
      </w:r>
      <w:r w:rsidRPr="00582E24">
        <w:rPr>
          <w:color w:val="4F81BD"/>
        </w:rPr>
        <w:tab/>
        <w:t>Gastos</w:t>
      </w:r>
      <w:bookmarkEnd w:id="207"/>
      <w:bookmarkEnd w:id="208"/>
      <w:bookmarkEnd w:id="209"/>
      <w:bookmarkEnd w:id="210"/>
    </w:p>
    <w:p w14:paraId="427D6010" w14:textId="77777777" w:rsidR="00800DCC" w:rsidRPr="00582E24" w:rsidRDefault="00800DCC" w:rsidP="00F1024B">
      <w:pPr>
        <w:pStyle w:val="Headingb"/>
        <w:ind w:left="562" w:hanging="562"/>
        <w:rPr>
          <w:i/>
          <w:iCs/>
        </w:rPr>
      </w:pPr>
      <w:bookmarkStart w:id="212" w:name="_Toc131156460"/>
      <w:r w:rsidRPr="00582E24">
        <w:rPr>
          <w:i/>
          <w:iCs/>
        </w:rPr>
        <w:t xml:space="preserve">Gastos de </w:t>
      </w:r>
      <w:bookmarkEnd w:id="211"/>
      <w:bookmarkEnd w:id="212"/>
      <w:r w:rsidRPr="00582E24">
        <w:rPr>
          <w:i/>
          <w:iCs/>
        </w:rPr>
        <w:t>personal</w:t>
      </w:r>
    </w:p>
    <w:p w14:paraId="5EDB1E4D" w14:textId="752AC94D" w:rsidR="00800DCC" w:rsidRPr="00582E24" w:rsidRDefault="00800DCC" w:rsidP="00F1024B">
      <w:pPr>
        <w:jc w:val="both"/>
      </w:pPr>
      <w:r w:rsidRPr="00582E24">
        <w:t>Los gastos de personal abarcan todas las retribuciones abonadas a los titulares de puestos permanentes y al personal contratado para conferencias o acogido a contratos de corta duración, incluidos el sueldo base, el ajuste por lugar de destino, la prima de idiomas, el subsidio de no residente, las asignaciones familiares y las horas extraordinarias, entre otros gastos de personal.</w:t>
      </w:r>
    </w:p>
    <w:p w14:paraId="17265DAC" w14:textId="77777777" w:rsidR="00800DCC" w:rsidRPr="00582E24" w:rsidRDefault="00800DCC" w:rsidP="00F1024B">
      <w:pPr>
        <w:jc w:val="both"/>
      </w:pPr>
      <w:r w:rsidRPr="00582E24">
        <w:t>En general, los gastos de personal disminuyeron en 2024. Esta disminución es en gran parte fruto de:</w:t>
      </w:r>
    </w:p>
    <w:p w14:paraId="35E43FF7" w14:textId="127153A7" w:rsidR="00800DCC" w:rsidRPr="00582E24" w:rsidRDefault="00F1024B" w:rsidP="00F1024B">
      <w:pPr>
        <w:pStyle w:val="enumlev1"/>
        <w:jc w:val="both"/>
      </w:pPr>
      <w:r w:rsidRPr="00582E24">
        <w:t>•</w:t>
      </w:r>
      <w:r w:rsidRPr="00582E24">
        <w:tab/>
      </w:r>
      <w:r w:rsidR="00800DCC" w:rsidRPr="00582E24">
        <w:t>Una disminución del ajuste del ASHI (3,8 millones CHF), vinculada a los costes netos de los servicios y el coste de los intereses, reducidos por los pagos del ejercicio. La reducción con respecto a 2023 se debe, principalmente, al aumento de este último importe de 7,0 millones CHF en 2023 a 10,3 millones CHF en 2024.</w:t>
      </w:r>
    </w:p>
    <w:p w14:paraId="1076AE37" w14:textId="2B1A85CC" w:rsidR="00800DCC" w:rsidRPr="00582E24" w:rsidRDefault="00F1024B" w:rsidP="00F1024B">
      <w:pPr>
        <w:pStyle w:val="enumlev1"/>
        <w:jc w:val="both"/>
      </w:pPr>
      <w:r w:rsidRPr="00582E24">
        <w:t>•</w:t>
      </w:r>
      <w:r w:rsidRPr="00582E24">
        <w:tab/>
      </w:r>
      <w:r w:rsidR="00800DCC" w:rsidRPr="00582E24">
        <w:t>Una disminución de otros gastos (3,4 millones CHF), relacionada en gran medida con los costes del programa de separación voluntaria del servicio del ejercicio 2023.</w:t>
      </w:r>
    </w:p>
    <w:p w14:paraId="34063266" w14:textId="75B7B7B6" w:rsidR="00800DCC" w:rsidRPr="00582E24" w:rsidRDefault="00F1024B" w:rsidP="0065087A">
      <w:pPr>
        <w:pStyle w:val="enumlev1"/>
        <w:spacing w:after="240"/>
        <w:ind w:left="562" w:hanging="562"/>
        <w:jc w:val="both"/>
      </w:pPr>
      <w:r w:rsidRPr="00582E24">
        <w:t>•</w:t>
      </w:r>
      <w:r w:rsidRPr="00582E24">
        <w:tab/>
      </w:r>
      <w:r w:rsidR="00800DCC" w:rsidRPr="00582E24">
        <w:t>Una disminución de los salarios y las primas (1,4 millones CHF).</w:t>
      </w:r>
    </w:p>
    <w:p w14:paraId="6CC8324B" w14:textId="61924693" w:rsidR="00800DCC" w:rsidRPr="00582E24" w:rsidRDefault="00D2156A" w:rsidP="00753400">
      <w:pPr>
        <w:pStyle w:val="Figure"/>
        <w:spacing w:after="240"/>
      </w:pPr>
      <w:r w:rsidRPr="00582E24">
        <w:rPr>
          <w:noProof/>
        </w:rPr>
        <w:drawing>
          <wp:inline distT="0" distB="0" distL="0" distR="0" wp14:anchorId="0F64EA1E" wp14:editId="4C5E87F3">
            <wp:extent cx="4804410" cy="278193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804410" cy="2781935"/>
                    </a:xfrm>
                    <a:prstGeom prst="rect">
                      <a:avLst/>
                    </a:prstGeom>
                    <a:noFill/>
                    <a:ln>
                      <a:noFill/>
                    </a:ln>
                  </pic:spPr>
                </pic:pic>
              </a:graphicData>
            </a:graphic>
          </wp:inline>
        </w:drawing>
      </w:r>
    </w:p>
    <w:p w14:paraId="573E4CC6" w14:textId="77777777" w:rsidR="00800DCC" w:rsidRPr="00582E24" w:rsidRDefault="00800DCC" w:rsidP="00D2156A">
      <w:pPr>
        <w:pStyle w:val="Headingb"/>
        <w:rPr>
          <w:i/>
          <w:iCs/>
        </w:rPr>
      </w:pPr>
      <w:r w:rsidRPr="00582E24">
        <w:rPr>
          <w:i/>
          <w:iCs/>
        </w:rPr>
        <w:t>Gastos no relacionados con el personal</w:t>
      </w:r>
    </w:p>
    <w:p w14:paraId="0C142691" w14:textId="77777777" w:rsidR="00800DCC" w:rsidRPr="00582E24" w:rsidRDefault="00800DCC" w:rsidP="00C8234A">
      <w:pPr>
        <w:jc w:val="both"/>
        <w:rPr>
          <w:i/>
          <w:iCs/>
        </w:rPr>
      </w:pPr>
      <w:r w:rsidRPr="00582E24">
        <w:rPr>
          <w:i/>
          <w:iCs/>
        </w:rPr>
        <w:t>Gastos de misión</w:t>
      </w:r>
    </w:p>
    <w:p w14:paraId="7C184BF5" w14:textId="49B89D3B" w:rsidR="00800DCC" w:rsidRPr="00582E24" w:rsidRDefault="00800DCC" w:rsidP="00C8234A">
      <w:pPr>
        <w:jc w:val="both"/>
      </w:pPr>
      <w:bookmarkStart w:id="213" w:name="_Toc305764110"/>
      <w:r w:rsidRPr="00582E24">
        <w:t>Los gastos de viaje ascendieron a 8,2 millones CHF en 2024, lo que supone un incremento de</w:t>
      </w:r>
      <w:r w:rsidR="00753400" w:rsidRPr="00582E24">
        <w:t> </w:t>
      </w:r>
      <w:r w:rsidRPr="00582E24">
        <w:t>0,4 millones CHF en comparación con los registrados en 2023.</w:t>
      </w:r>
    </w:p>
    <w:p w14:paraId="4B26FA8D" w14:textId="77777777" w:rsidR="00800DCC" w:rsidRPr="00582E24" w:rsidRDefault="00800DCC" w:rsidP="00C8234A">
      <w:pPr>
        <w:jc w:val="both"/>
        <w:rPr>
          <w:i/>
          <w:iCs/>
        </w:rPr>
      </w:pPr>
      <w:bookmarkStart w:id="214" w:name="_Toc131156462"/>
      <w:r w:rsidRPr="00582E24">
        <w:rPr>
          <w:i/>
          <w:iCs/>
        </w:rPr>
        <w:t>Servicios por contrata</w:t>
      </w:r>
    </w:p>
    <w:p w14:paraId="3166D980" w14:textId="77777777" w:rsidR="00800DCC" w:rsidRPr="00582E24" w:rsidRDefault="00800DCC" w:rsidP="00C8234A">
      <w:pPr>
        <w:jc w:val="both"/>
      </w:pPr>
      <w:r w:rsidRPr="00582E24">
        <w:t>Entran en esta categoría todos los emolumentos, honorarios y gastos abonados a empresas de consultoría en el marco de acuerdos y disposiciones contractuales. También se cuentan en esta categoría los contratos de servicios especiales, los gastos generados por cursos de idiomas en el marco de la formación profesional y los costes de los servicios subcontratados.</w:t>
      </w:r>
    </w:p>
    <w:p w14:paraId="51B2DB04" w14:textId="77777777" w:rsidR="00800DCC" w:rsidRPr="00582E24" w:rsidRDefault="00800DCC" w:rsidP="00C8234A">
      <w:pPr>
        <w:keepNext/>
        <w:jc w:val="both"/>
        <w:rPr>
          <w:i/>
          <w:iCs/>
        </w:rPr>
      </w:pPr>
      <w:r w:rsidRPr="00582E24">
        <w:rPr>
          <w:i/>
          <w:iCs/>
        </w:rPr>
        <w:lastRenderedPageBreak/>
        <w:t>Alquiler y mantenimiento de instalaciones y equipos</w:t>
      </w:r>
    </w:p>
    <w:p w14:paraId="55890849" w14:textId="23246D6F" w:rsidR="00800DCC" w:rsidRPr="00582E24" w:rsidRDefault="00800DCC" w:rsidP="00753400">
      <w:pPr>
        <w:jc w:val="both"/>
      </w:pPr>
      <w:r w:rsidRPr="00582E24">
        <w:t>Los gastos de alquiler y mantenimiento de instalaciones y equipos ascendieron a</w:t>
      </w:r>
      <w:r w:rsidR="00753400" w:rsidRPr="00582E24">
        <w:t> </w:t>
      </w:r>
      <w:r w:rsidRPr="00582E24">
        <w:t>4,0</w:t>
      </w:r>
      <w:r w:rsidR="00753400" w:rsidRPr="00582E24">
        <w:t> </w:t>
      </w:r>
      <w:r w:rsidRPr="00582E24">
        <w:t>millones</w:t>
      </w:r>
      <w:r w:rsidR="00753400" w:rsidRPr="00582E24">
        <w:t> </w:t>
      </w:r>
      <w:r w:rsidRPr="00582E24">
        <w:t>CHF en 2024 (3,5 millones CHF en 2023). Este ligero aumento se debe a la celebración de diversas conferencias en el Centro Internacional de Conferencias de Ginebra, donde se alquilaron instalaciones y equipos audiovisuales.</w:t>
      </w:r>
    </w:p>
    <w:p w14:paraId="050FBE93" w14:textId="77777777" w:rsidR="00800DCC" w:rsidRPr="00582E24" w:rsidRDefault="00800DCC" w:rsidP="00753400">
      <w:pPr>
        <w:keepNext/>
        <w:jc w:val="both"/>
        <w:rPr>
          <w:i/>
          <w:iCs/>
        </w:rPr>
      </w:pPr>
      <w:r w:rsidRPr="00582E24">
        <w:rPr>
          <w:i/>
          <w:iCs/>
        </w:rPr>
        <w:t>Amortizaciones y pérdidas de valor</w:t>
      </w:r>
    </w:p>
    <w:bookmarkEnd w:id="213"/>
    <w:bookmarkEnd w:id="214"/>
    <w:p w14:paraId="480ED003" w14:textId="0065E559" w:rsidR="00800DCC" w:rsidRPr="00582E24" w:rsidRDefault="00800DCC" w:rsidP="00753400">
      <w:pPr>
        <w:keepNext/>
        <w:jc w:val="both"/>
      </w:pPr>
      <w:r w:rsidRPr="00582E24">
        <w:t xml:space="preserve">El pasivo por amortizaciones y pérdidas de valor ha aumentado notablemente a causa del déficit de 21 millones CHF reconocido en el apartado </w:t>
      </w:r>
      <w:r w:rsidR="009B757C" w:rsidRPr="00582E24">
        <w:rPr>
          <w:rFonts w:cs="Calibri"/>
          <w:color w:val="000000" w:themeColor="text1"/>
        </w:rPr>
        <w:t>"</w:t>
      </w:r>
      <w:r w:rsidRPr="00582E24">
        <w:t>activos en construcción</w:t>
      </w:r>
      <w:r w:rsidR="009B757C" w:rsidRPr="00582E24">
        <w:rPr>
          <w:rFonts w:cs="Calibri"/>
          <w:color w:val="000000" w:themeColor="text1"/>
        </w:rPr>
        <w:t>"</w:t>
      </w:r>
      <w:r w:rsidRPr="00582E24">
        <w:t xml:space="preserve"> en relación con el proyecto de nuevo edificio tras la revisión aprobada por el Consejo en 2024. Véase asimismo la Nota 12.</w:t>
      </w:r>
    </w:p>
    <w:p w14:paraId="7B4EEF48" w14:textId="77777777" w:rsidR="00800DCC" w:rsidRPr="00582E24" w:rsidRDefault="00800DCC" w:rsidP="00C8234A">
      <w:pPr>
        <w:jc w:val="both"/>
        <w:rPr>
          <w:i/>
          <w:iCs/>
        </w:rPr>
      </w:pPr>
      <w:r w:rsidRPr="00582E24">
        <w:rPr>
          <w:i/>
          <w:iCs/>
        </w:rPr>
        <w:t>Evolución de las pérdidas de valor/reservas</w:t>
      </w:r>
    </w:p>
    <w:p w14:paraId="1E3EA873" w14:textId="601C35C9" w:rsidR="00800DCC" w:rsidRPr="00582E24" w:rsidRDefault="00800DCC" w:rsidP="00C8234A">
      <w:pPr>
        <w:jc w:val="both"/>
      </w:pPr>
      <w:r w:rsidRPr="00582E24">
        <w:t>El aumento registrado se debe, principalmente, tanto al incremento de la reserva para cuentas de dudoso cobro, contabilizado con el objetivo de afrontar los riesgos inherentes al cobro de las contribuciones pendientes de un Estado Miembro que ha estado experimentando dificultades para hacer frente a pagos internacionales, como a la reserva creada a raíz de la rescisión de un acuerdo de patrocinio del nuevo edificio que está siendo evaluado mientras se ultima el diseño del proyecto revisado.</w:t>
      </w:r>
    </w:p>
    <w:p w14:paraId="64D11107" w14:textId="3548518A" w:rsidR="00800DCC" w:rsidRPr="00582E24" w:rsidRDefault="00800DCC" w:rsidP="00C8234A">
      <w:pPr>
        <w:jc w:val="both"/>
        <w:rPr>
          <w:i/>
          <w:iCs/>
        </w:rPr>
      </w:pPr>
      <w:r w:rsidRPr="00582E24">
        <w:rPr>
          <w:i/>
          <w:iCs/>
        </w:rPr>
        <w:t>Otros gastos</w:t>
      </w:r>
    </w:p>
    <w:p w14:paraId="43871DCC" w14:textId="77777777" w:rsidR="00800DCC" w:rsidRPr="00582E24" w:rsidRDefault="00800DCC" w:rsidP="009B757C">
      <w:pPr>
        <w:spacing w:after="240"/>
        <w:jc w:val="both"/>
        <w:rPr>
          <w:b/>
        </w:rPr>
      </w:pPr>
      <w:r w:rsidRPr="00582E24">
        <w:t>El aumento registrado se debe, principalmente, al incremento de los préstamos al PNUD y a funcionarios interinstitucionales.</w:t>
      </w:r>
    </w:p>
    <w:p w14:paraId="318EF64C" w14:textId="06C781CB" w:rsidR="00800DCC" w:rsidRPr="00582E24" w:rsidRDefault="00C8234A" w:rsidP="00C8234A">
      <w:pPr>
        <w:pStyle w:val="Figure"/>
        <w:rPr>
          <w:b/>
          <w:bCs/>
        </w:rPr>
      </w:pPr>
      <w:r w:rsidRPr="00582E24">
        <w:rPr>
          <w:noProof/>
        </w:rPr>
        <w:drawing>
          <wp:inline distT="0" distB="0" distL="0" distR="0" wp14:anchorId="76CADFCE" wp14:editId="20C027E7">
            <wp:extent cx="4920615" cy="2642235"/>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920615" cy="2642235"/>
                    </a:xfrm>
                    <a:prstGeom prst="rect">
                      <a:avLst/>
                    </a:prstGeom>
                    <a:noFill/>
                    <a:ln>
                      <a:noFill/>
                    </a:ln>
                  </pic:spPr>
                </pic:pic>
              </a:graphicData>
            </a:graphic>
          </wp:inline>
        </w:drawing>
      </w:r>
    </w:p>
    <w:p w14:paraId="69B3D3DA" w14:textId="77777777" w:rsidR="00800DCC" w:rsidRPr="00582E24" w:rsidRDefault="00800DCC" w:rsidP="00800DCC">
      <w:pPr>
        <w:pStyle w:val="Reasons"/>
        <w:sectPr w:rsidR="00800DCC" w:rsidRPr="00582E24" w:rsidSect="00C538FC">
          <w:headerReference w:type="default" r:id="rId67"/>
          <w:headerReference w:type="first" r:id="rId68"/>
          <w:footerReference w:type="first" r:id="rId69"/>
          <w:pgSz w:w="11907" w:h="16834"/>
          <w:pgMar w:top="1418" w:right="1418" w:bottom="1418" w:left="1418" w:header="720" w:footer="720" w:gutter="0"/>
          <w:paperSrc w:first="286" w:other="286"/>
          <w:cols w:space="720"/>
          <w:titlePg/>
        </w:sectPr>
      </w:pPr>
    </w:p>
    <w:p w14:paraId="5979E14B" w14:textId="7E3BF9E8" w:rsidR="00800DCC" w:rsidRPr="00582E24" w:rsidRDefault="00800DCC" w:rsidP="00C8234A">
      <w:pPr>
        <w:pStyle w:val="Heading1"/>
        <w:keepLines w:val="0"/>
        <w:ind w:left="562" w:hanging="562"/>
        <w:rPr>
          <w:color w:val="0070C0"/>
        </w:rPr>
      </w:pPr>
      <w:bookmarkStart w:id="215" w:name="_Toc305764117"/>
      <w:bookmarkStart w:id="216" w:name="_Toc329011659"/>
      <w:bookmarkStart w:id="217" w:name="_Toc237032957"/>
      <w:bookmarkStart w:id="218" w:name="_Toc196292792"/>
      <w:bookmarkStart w:id="219" w:name="_Toc200461776"/>
      <w:bookmarkStart w:id="220" w:name="_Toc200461942"/>
      <w:r w:rsidRPr="00582E24">
        <w:rPr>
          <w:color w:val="0070C0"/>
        </w:rPr>
        <w:lastRenderedPageBreak/>
        <w:t>Nota 20</w:t>
      </w:r>
      <w:r w:rsidRPr="00582E24">
        <w:rPr>
          <w:color w:val="0070C0"/>
        </w:rPr>
        <w:tab/>
        <w:t xml:space="preserve">Información por segmentos </w:t>
      </w:r>
      <w:r w:rsidR="00A10132" w:rsidRPr="00582E24">
        <w:rPr>
          <w:color w:val="0070C0"/>
        </w:rPr>
        <w:t>–</w:t>
      </w:r>
      <w:r w:rsidRPr="00582E24">
        <w:rPr>
          <w:color w:val="0070C0"/>
        </w:rPr>
        <w:t xml:space="preserve"> </w:t>
      </w:r>
      <w:bookmarkEnd w:id="215"/>
      <w:bookmarkEnd w:id="216"/>
      <w:bookmarkEnd w:id="217"/>
      <w:r w:rsidRPr="00582E24">
        <w:rPr>
          <w:color w:val="0070C0"/>
        </w:rPr>
        <w:t>Estado de los resultados financieros de 2024</w:t>
      </w:r>
      <w:bookmarkEnd w:id="218"/>
      <w:bookmarkEnd w:id="219"/>
      <w:bookmarkEnd w:id="220"/>
    </w:p>
    <w:p w14:paraId="33C4E060" w14:textId="66B95913" w:rsidR="00800DCC" w:rsidRPr="00582E24" w:rsidRDefault="003D6687" w:rsidP="00E572A0">
      <w:pPr>
        <w:pStyle w:val="Figure"/>
      </w:pPr>
      <w:r w:rsidRPr="00582E24">
        <w:rPr>
          <w:noProof/>
        </w:rPr>
        <w:drawing>
          <wp:inline distT="0" distB="0" distL="0" distR="0" wp14:anchorId="1198D30F" wp14:editId="77BA7C24">
            <wp:extent cx="8888730" cy="4564380"/>
            <wp:effectExtent l="0" t="0" r="7620" b="7620"/>
            <wp:docPr id="1246228929" name="Picture 124622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888730" cy="4564380"/>
                    </a:xfrm>
                    <a:prstGeom prst="rect">
                      <a:avLst/>
                    </a:prstGeom>
                    <a:noFill/>
                    <a:ln>
                      <a:noFill/>
                    </a:ln>
                  </pic:spPr>
                </pic:pic>
              </a:graphicData>
            </a:graphic>
          </wp:inline>
        </w:drawing>
      </w:r>
    </w:p>
    <w:p w14:paraId="3716B7E0" w14:textId="35BA2DA6" w:rsidR="00800DCC" w:rsidRPr="00582E24" w:rsidRDefault="00800DCC" w:rsidP="002F5AAD">
      <w:pPr>
        <w:pStyle w:val="Tablelegend"/>
      </w:pPr>
      <w:r w:rsidRPr="00582E24">
        <w:rPr>
          <w:i/>
          <w:iCs/>
        </w:rPr>
        <w:t>La eliminación entre segmentos consiste en la imputación de los gastos de apoyo a los proyectos y su transmisión al presupuesto ordinario de la UIT. En</w:t>
      </w:r>
      <w:r w:rsidR="00AA2A4C" w:rsidRPr="00582E24">
        <w:rPr>
          <w:i/>
          <w:iCs/>
        </w:rPr>
        <w:t> </w:t>
      </w:r>
      <w:r w:rsidRPr="00582E24">
        <w:rPr>
          <w:i/>
          <w:iCs/>
        </w:rPr>
        <w:t>2024, los importes del fondo destinado al nuevo edificio se integraron en la Secretaría General.</w:t>
      </w:r>
    </w:p>
    <w:p w14:paraId="619E3DF9" w14:textId="77777777" w:rsidR="00800DCC" w:rsidRPr="00582E24" w:rsidRDefault="00800DCC" w:rsidP="00800DCC">
      <w:pPr>
        <w:pStyle w:val="Reasons"/>
        <w:sectPr w:rsidR="00800DCC" w:rsidRPr="00582E24" w:rsidSect="00800DCC">
          <w:headerReference w:type="first" r:id="rId71"/>
          <w:footerReference w:type="first" r:id="rId72"/>
          <w:pgSz w:w="16834" w:h="11907" w:orient="landscape"/>
          <w:pgMar w:top="1418" w:right="1418" w:bottom="1418" w:left="1418" w:header="720" w:footer="720" w:gutter="0"/>
          <w:paperSrc w:first="286" w:other="286"/>
          <w:cols w:space="720"/>
          <w:titlePg/>
          <w:docGrid w:linePitch="326"/>
        </w:sectPr>
      </w:pPr>
    </w:p>
    <w:p w14:paraId="768A7C99" w14:textId="73B7BBD5" w:rsidR="00A51E99" w:rsidRPr="00245E5A" w:rsidRDefault="00A51E99" w:rsidP="00A51E99">
      <w:pPr>
        <w:pStyle w:val="Headingb"/>
        <w:spacing w:after="240"/>
        <w:ind w:left="562" w:hanging="562"/>
        <w:rPr>
          <w:color w:val="0070C0"/>
        </w:rPr>
      </w:pPr>
      <w:bookmarkStart w:id="221" w:name="_Toc305764118"/>
      <w:bookmarkStart w:id="222" w:name="_Toc329011660"/>
      <w:bookmarkStart w:id="223" w:name="_Toc1399135979"/>
      <w:bookmarkStart w:id="224" w:name="_Toc196292793"/>
      <w:r w:rsidRPr="00245E5A">
        <w:rPr>
          <w:color w:val="0070C0"/>
        </w:rPr>
        <w:lastRenderedPageBreak/>
        <w:t xml:space="preserve">Información por segmentos </w:t>
      </w:r>
      <w:r w:rsidR="0061458C" w:rsidRPr="00582E24">
        <w:rPr>
          <w:color w:val="0070C0"/>
        </w:rPr>
        <w:t>–</w:t>
      </w:r>
      <w:r w:rsidRPr="00245E5A">
        <w:rPr>
          <w:color w:val="0070C0"/>
        </w:rPr>
        <w:t xml:space="preserve"> Estado de los resultados financieros de</w:t>
      </w:r>
      <w:r w:rsidRPr="00582E24">
        <w:rPr>
          <w:color w:val="0070C0"/>
        </w:rPr>
        <w:t xml:space="preserve"> </w:t>
      </w:r>
      <w:r w:rsidRPr="00245E5A">
        <w:rPr>
          <w:color w:val="0070C0"/>
        </w:rPr>
        <w:t>2023</w:t>
      </w:r>
    </w:p>
    <w:p w14:paraId="39DAE541" w14:textId="2E601537" w:rsidR="00A51E99" w:rsidRPr="00582E24" w:rsidRDefault="003D6687" w:rsidP="003D6687">
      <w:pPr>
        <w:pStyle w:val="Figure"/>
        <w:rPr>
          <w:color w:val="0070C0"/>
        </w:rPr>
      </w:pPr>
      <w:r w:rsidRPr="00582E24">
        <w:rPr>
          <w:noProof/>
        </w:rPr>
        <w:drawing>
          <wp:inline distT="0" distB="0" distL="0" distR="0" wp14:anchorId="67AD5C54" wp14:editId="4DB87BFE">
            <wp:extent cx="9519285" cy="4912360"/>
            <wp:effectExtent l="0" t="0" r="5715" b="2540"/>
            <wp:docPr id="1246228931" name="Picture 124622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19285" cy="4912360"/>
                    </a:xfrm>
                    <a:prstGeom prst="rect">
                      <a:avLst/>
                    </a:prstGeom>
                    <a:noFill/>
                    <a:ln>
                      <a:noFill/>
                    </a:ln>
                  </pic:spPr>
                </pic:pic>
              </a:graphicData>
            </a:graphic>
          </wp:inline>
        </w:drawing>
      </w:r>
    </w:p>
    <w:p w14:paraId="1D99C934" w14:textId="77777777" w:rsidR="00A51E99" w:rsidRPr="00582E24" w:rsidRDefault="00A51E99" w:rsidP="00A51E99">
      <w:pPr>
        <w:tabs>
          <w:tab w:val="clear" w:pos="567"/>
          <w:tab w:val="clear" w:pos="1134"/>
          <w:tab w:val="clear" w:pos="1701"/>
          <w:tab w:val="clear" w:pos="2268"/>
          <w:tab w:val="clear" w:pos="2835"/>
        </w:tabs>
        <w:overflowPunct/>
        <w:autoSpaceDE/>
        <w:autoSpaceDN/>
        <w:adjustRightInd/>
        <w:spacing w:before="0"/>
        <w:textAlignment w:val="auto"/>
        <w:rPr>
          <w:b/>
          <w:bCs/>
          <w:color w:val="0070C0"/>
        </w:rPr>
        <w:sectPr w:rsidR="00A51E99" w:rsidRPr="00582E24" w:rsidSect="006379C5">
          <w:footerReference w:type="first" r:id="rId74"/>
          <w:pgSz w:w="16834" w:h="11907" w:orient="landscape"/>
          <w:pgMar w:top="709" w:right="992" w:bottom="992" w:left="851" w:header="720" w:footer="720" w:gutter="0"/>
          <w:paperSrc w:first="15" w:other="15"/>
          <w:cols w:space="720"/>
          <w:docGrid w:linePitch="326"/>
        </w:sectPr>
      </w:pPr>
    </w:p>
    <w:p w14:paraId="2F9A842C" w14:textId="0583E010" w:rsidR="00800DCC" w:rsidRPr="00582E24" w:rsidRDefault="00800DCC" w:rsidP="002F5AAD">
      <w:pPr>
        <w:pStyle w:val="Heading1"/>
        <w:keepLines w:val="0"/>
        <w:ind w:left="562" w:hanging="562"/>
        <w:rPr>
          <w:color w:val="4F81BD"/>
        </w:rPr>
      </w:pPr>
      <w:bookmarkStart w:id="225" w:name="_Toc200461777"/>
      <w:bookmarkStart w:id="226" w:name="_Toc200461943"/>
      <w:r w:rsidRPr="00582E24">
        <w:rPr>
          <w:color w:val="4F81BD"/>
        </w:rPr>
        <w:lastRenderedPageBreak/>
        <w:t>Nota 21</w:t>
      </w:r>
      <w:r w:rsidRPr="00582E24">
        <w:rPr>
          <w:color w:val="4F81BD"/>
        </w:rPr>
        <w:tab/>
        <w:t>Conciliación de los importes presupuestados y efectivos</w:t>
      </w:r>
      <w:bookmarkEnd w:id="225"/>
      <w:bookmarkEnd w:id="226"/>
    </w:p>
    <w:p w14:paraId="55CD4946" w14:textId="77777777" w:rsidR="00800DCC" w:rsidRPr="00582E24" w:rsidRDefault="00800DCC" w:rsidP="002F5AAD">
      <w:pPr>
        <w:jc w:val="both"/>
        <w:rPr>
          <w:b/>
        </w:rPr>
      </w:pPr>
      <w:r w:rsidRPr="00582E24">
        <w:t>Los estados financieros comprenden:</w:t>
      </w:r>
    </w:p>
    <w:p w14:paraId="3F80F299" w14:textId="77777777" w:rsidR="00800DCC" w:rsidRPr="00582E24" w:rsidRDefault="00800DCC" w:rsidP="002F5AAD">
      <w:pPr>
        <w:jc w:val="both"/>
        <w:rPr>
          <w:b/>
        </w:rPr>
      </w:pPr>
      <w:r w:rsidRPr="00582E24">
        <w:t>•</w:t>
      </w:r>
      <w:r w:rsidRPr="00582E24">
        <w:tab/>
        <w:t>el presupuesto ordinario de la UIT;</w:t>
      </w:r>
    </w:p>
    <w:p w14:paraId="50E7AE33" w14:textId="77777777" w:rsidR="00800DCC" w:rsidRPr="00582E24" w:rsidRDefault="00800DCC" w:rsidP="002F5AAD">
      <w:pPr>
        <w:jc w:val="both"/>
      </w:pPr>
      <w:r w:rsidRPr="00582E24">
        <w:t>•</w:t>
      </w:r>
      <w:r w:rsidRPr="00582E24">
        <w:tab/>
        <w:t>otros fondos; y</w:t>
      </w:r>
    </w:p>
    <w:p w14:paraId="6312B377" w14:textId="77777777" w:rsidR="00800DCC" w:rsidRPr="00582E24" w:rsidRDefault="00800DCC" w:rsidP="002F5AAD">
      <w:pPr>
        <w:jc w:val="both"/>
      </w:pPr>
      <w:r w:rsidRPr="00582E24">
        <w:t>•</w:t>
      </w:r>
      <w:r w:rsidRPr="00582E24">
        <w:tab/>
        <w:t>los fondos extrapresupuestarios.</w:t>
      </w:r>
    </w:p>
    <w:p w14:paraId="5F7BCD5F" w14:textId="77777777" w:rsidR="00800DCC" w:rsidRPr="00582E24" w:rsidRDefault="00800DCC" w:rsidP="002F5AAD">
      <w:pPr>
        <w:pStyle w:val="Headingb"/>
      </w:pPr>
      <w:r w:rsidRPr="00582E24">
        <w:t>Conciliación</w:t>
      </w:r>
    </w:p>
    <w:p w14:paraId="2B8299FE" w14:textId="77777777" w:rsidR="00800DCC" w:rsidRPr="00582E24" w:rsidRDefault="00800DCC" w:rsidP="002F5AAD">
      <w:pPr>
        <w:jc w:val="both"/>
      </w:pPr>
      <w:r w:rsidRPr="00582E24">
        <w:t>A fin de elaborar el presupuesto y los estados financieros de la Unión se parte de bases distintas. El presupuesto para 2024-2025 se estableció con arreglo al principio contable de caja modificada, si bien algunos elementos específicos no se someten a una contabilidad acumulativa. Además, el presupuesto de la UIT comprende únicamente las actividades fundamentales de la Unión, obviando aquellas que se financian con cargo a fondos extrapresupuestarios.</w:t>
      </w:r>
    </w:p>
    <w:p w14:paraId="4C5A6F01" w14:textId="77777777" w:rsidR="00800DCC" w:rsidRPr="00582E24" w:rsidRDefault="00800DCC" w:rsidP="002F5AAD">
      <w:pPr>
        <w:jc w:val="both"/>
      </w:pPr>
      <w:r w:rsidRPr="00582E24">
        <w:t>Para preparar los estados financieros de la Unión se emplea la contabilidad acumulativa utilizando una clasificación basada en la naturaleza de los gastos que figuran en el Estado de los resultados financieros (véase el Estado II).</w:t>
      </w:r>
    </w:p>
    <w:p w14:paraId="44614903" w14:textId="77777777" w:rsidR="00800DCC" w:rsidRPr="00582E24" w:rsidRDefault="00800DCC" w:rsidP="002F5AAD">
      <w:pPr>
        <w:jc w:val="both"/>
      </w:pPr>
      <w:r w:rsidRPr="00582E24">
        <w:t>A fin de conciliar los Estados II y V, las transacciones se dividen en dos categorías de diferencias: diferencias de base y diferencias de entidad.</w:t>
      </w:r>
    </w:p>
    <w:p w14:paraId="633AD526" w14:textId="77777777" w:rsidR="00800DCC" w:rsidRPr="00582E24" w:rsidRDefault="00800DCC" w:rsidP="002F5AAD">
      <w:pPr>
        <w:jc w:val="both"/>
      </w:pPr>
      <w:r w:rsidRPr="00582E24">
        <w:t xml:space="preserve">Las </w:t>
      </w:r>
      <w:r w:rsidRPr="00582E24">
        <w:rPr>
          <w:b/>
          <w:bCs/>
        </w:rPr>
        <w:t xml:space="preserve">diferencias de base </w:t>
      </w:r>
      <w:r w:rsidRPr="00582E24">
        <w:t>comprenden los gastos que no se incluyen en el presupuesto de la UIT o que se tratan de forma distinta conforme a lo estipulado en las NICSP. Estos gastos suelen incluir variaciones en la reserva para deudas de dudoso cobro, el reconocimiento de existencias, la capitalización de activos fijos, las amortizaciones, los beneficios y las pérdidas por operaciones de cambio de divisas, el ASHI, el reembolso del préstamo de la FIPOI, y el superávit y/o déficit vinculado a las inversiones.</w:t>
      </w:r>
    </w:p>
    <w:p w14:paraId="63100392" w14:textId="77777777" w:rsidR="00800DCC" w:rsidRPr="00582E24" w:rsidRDefault="00800DCC" w:rsidP="002F5AAD">
      <w:pPr>
        <w:jc w:val="both"/>
      </w:pPr>
      <w:r w:rsidRPr="00582E24">
        <w:t>Las</w:t>
      </w:r>
      <w:r w:rsidRPr="00582E24">
        <w:rPr>
          <w:b/>
          <w:bCs/>
        </w:rPr>
        <w:t xml:space="preserve"> diferencias de entidad </w:t>
      </w:r>
      <w:r w:rsidRPr="00582E24">
        <w:t>suelen referirse a los ingresos y gastos que no se incluyen en el presupuesto para programas de la UIT aprobado, es decir, a los fondos extrapresupuestarios y otros fondos no incluidos en el presupuesto de la Unión.</w:t>
      </w:r>
    </w:p>
    <w:bookmarkEnd w:id="221"/>
    <w:bookmarkEnd w:id="222"/>
    <w:bookmarkEnd w:id="223"/>
    <w:bookmarkEnd w:id="224"/>
    <w:p w14:paraId="7865E009" w14:textId="2D54C7C9" w:rsidR="00800DCC" w:rsidRPr="00582E24" w:rsidRDefault="00AA2A4C" w:rsidP="00AA2A4C">
      <w:pPr>
        <w:pStyle w:val="Figure"/>
        <w:spacing w:after="240"/>
      </w:pPr>
      <w:r w:rsidRPr="00582E24">
        <w:rPr>
          <w:noProof/>
        </w:rPr>
        <w:lastRenderedPageBreak/>
        <w:drawing>
          <wp:inline distT="0" distB="0" distL="0" distR="0" wp14:anchorId="68166006" wp14:editId="74843F8B">
            <wp:extent cx="5760085" cy="31984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60085" cy="3198495"/>
                    </a:xfrm>
                    <a:prstGeom prst="rect">
                      <a:avLst/>
                    </a:prstGeom>
                    <a:noFill/>
                    <a:ln>
                      <a:noFill/>
                    </a:ln>
                  </pic:spPr>
                </pic:pic>
              </a:graphicData>
            </a:graphic>
          </wp:inline>
        </w:drawing>
      </w:r>
    </w:p>
    <w:p w14:paraId="7750BDF7" w14:textId="77777777" w:rsidR="00800DCC" w:rsidRPr="00582E24" w:rsidRDefault="00800DCC" w:rsidP="002F5AAD">
      <w:pPr>
        <w:pStyle w:val="Headingb"/>
      </w:pPr>
      <w:r w:rsidRPr="00582E24">
        <w:t>Resumen de las diferencias entre los importes presupuestados y los importes efectivos</w:t>
      </w:r>
    </w:p>
    <w:p w14:paraId="6F94A0F1" w14:textId="2048FF9E" w:rsidR="00800DCC" w:rsidRPr="00582E24" w:rsidRDefault="00800DCC" w:rsidP="002F5AAD">
      <w:pPr>
        <w:jc w:val="both"/>
      </w:pPr>
      <w:r w:rsidRPr="00582E24">
        <w:t>El Consejo aprobó el presupuesto para 2024 en su reunión de 2023 en virtud de la Resolución</w:t>
      </w:r>
      <w:r w:rsidR="00AA2A4C" w:rsidRPr="00582E24">
        <w:t> </w:t>
      </w:r>
      <w:r w:rsidRPr="00582E24">
        <w:t xml:space="preserve">1417. En un principio, dicho presupuesto se fijó en 164,9 millones CHF; no obstante, se redujo a 164,7 millones CHF a raíz del aplazamiento de </w:t>
      </w:r>
      <w:r w:rsidR="00AA2A4C" w:rsidRPr="00582E24">
        <w:t>tres</w:t>
      </w:r>
      <w:r w:rsidRPr="00582E24">
        <w:t xml:space="preserve"> reuniones preparatorias regionales para la CMDT-25 de 2024 a 2025.</w:t>
      </w:r>
    </w:p>
    <w:p w14:paraId="33EF3344" w14:textId="0A64608F" w:rsidR="00800DCC" w:rsidRPr="00582E24" w:rsidRDefault="00800DCC" w:rsidP="002F5AAD">
      <w:pPr>
        <w:jc w:val="both"/>
      </w:pPr>
      <w:r w:rsidRPr="00582E24">
        <w:t>Los ingresos correspondientes al ejercicio 2024 ascienden a 161,5 millones CHF. Esta cifra es inferior en 3,4 millones CHF a la presupuestada debido, principalmente, a la disminución de los ingresos por recuperación de costes vinculados a la tramitación de notificaciones de redes de satélites (NRS) y se ve parcialmente compensada por un aumento de los ingresos por intereses efectivos, los cuales superan en 2,6 millones CHF la suma presupuestada.</w:t>
      </w:r>
    </w:p>
    <w:p w14:paraId="7A8E78F6" w14:textId="329C0E60" w:rsidR="00800DCC" w:rsidRPr="00582E24" w:rsidRDefault="00800DCC" w:rsidP="002F5AAD">
      <w:pPr>
        <w:jc w:val="both"/>
      </w:pPr>
      <w:r w:rsidRPr="00582E24">
        <w:t xml:space="preserve">Con el objetivo de que la UIT pudiera ceñirse a unos límites de ingresos reducidos, la secretaría llevó a cabo una rigurosa gestión del gasto, lo que incluyó revisiones mensuales e incluso semanales del nivel de gasto para velar por que este último se mantuviera por debajo del nivel </w:t>
      </w:r>
      <w:r w:rsidR="008459E6" w:rsidRPr="00582E24">
        <w:t xml:space="preserve">de </w:t>
      </w:r>
      <w:r w:rsidRPr="00582E24">
        <w:t>ingresos previsto para 2024.</w:t>
      </w:r>
    </w:p>
    <w:p w14:paraId="46C37D96" w14:textId="77777777" w:rsidR="00800DCC" w:rsidRPr="00582E24" w:rsidRDefault="00800DCC" w:rsidP="002F5AAD">
      <w:pPr>
        <w:jc w:val="both"/>
      </w:pPr>
      <w:r w:rsidRPr="00582E24">
        <w:t xml:space="preserve">A </w:t>
      </w:r>
      <w:proofErr w:type="gramStart"/>
      <w:r w:rsidRPr="00582E24">
        <w:t>continuación</w:t>
      </w:r>
      <w:proofErr w:type="gramEnd"/>
      <w:r w:rsidRPr="00582E24">
        <w:t xml:space="preserve"> se detallan las variaciones en la ejecución del presupuesto de 2024 por Sector:</w:t>
      </w:r>
    </w:p>
    <w:p w14:paraId="54B5C606" w14:textId="77777777" w:rsidR="00800DCC" w:rsidRPr="00582E24" w:rsidRDefault="00800DCC" w:rsidP="002F5AAD">
      <w:pPr>
        <w:jc w:val="both"/>
        <w:rPr>
          <w:i/>
        </w:rPr>
      </w:pPr>
      <w:r w:rsidRPr="00582E24">
        <w:rPr>
          <w:i/>
          <w:iCs/>
        </w:rPr>
        <w:t>Secretaría General</w:t>
      </w:r>
    </w:p>
    <w:p w14:paraId="5C7AA88C" w14:textId="61B5A077" w:rsidR="00800DCC" w:rsidRPr="00582E24" w:rsidRDefault="002F5AAD" w:rsidP="002F5AAD">
      <w:pPr>
        <w:pStyle w:val="enumlev1"/>
        <w:jc w:val="both"/>
      </w:pPr>
      <w:r w:rsidRPr="00582E24">
        <w:t>•</w:t>
      </w:r>
      <w:r w:rsidRPr="00582E24">
        <w:tab/>
      </w:r>
      <w:r w:rsidR="00800DCC" w:rsidRPr="00582E24">
        <w:t>En 2024, los gastos totales de la Secretaría General se situaron en 85,6 millones CHF, lo que equivale al 94,3</w:t>
      </w:r>
      <w:r w:rsidR="008459E6" w:rsidRPr="00582E24">
        <w:t> </w:t>
      </w:r>
      <w:r w:rsidR="00800DCC" w:rsidRPr="00582E24">
        <w:t>% de su presupuesto (90,8 millones CHF).</w:t>
      </w:r>
    </w:p>
    <w:p w14:paraId="68A0F0ED" w14:textId="003CBCD6" w:rsidR="00800DCC" w:rsidRPr="00582E24" w:rsidRDefault="002F5AAD" w:rsidP="002F5AAD">
      <w:pPr>
        <w:pStyle w:val="enumlev1"/>
        <w:jc w:val="both"/>
      </w:pPr>
      <w:r w:rsidRPr="00582E24">
        <w:t>•</w:t>
      </w:r>
      <w:r w:rsidRPr="00582E24">
        <w:tab/>
      </w:r>
      <w:r w:rsidR="00800DCC" w:rsidRPr="00582E24">
        <w:t>Los principales ahorros guardaron relación con la documentación.</w:t>
      </w:r>
    </w:p>
    <w:p w14:paraId="0147ADC9" w14:textId="5EABB271" w:rsidR="00800DCC" w:rsidRPr="00582E24" w:rsidRDefault="002F5AAD" w:rsidP="002F5AAD">
      <w:pPr>
        <w:pStyle w:val="enumlev1"/>
        <w:jc w:val="both"/>
      </w:pPr>
      <w:r w:rsidRPr="00582E24">
        <w:t>•</w:t>
      </w:r>
      <w:r w:rsidRPr="00582E24">
        <w:tab/>
      </w:r>
      <w:r w:rsidR="00800DCC" w:rsidRPr="00582E24">
        <w:t>También se lograron ahorros gracias a una reducción de los gastos comunes y a una ocupación más lenta de los puestos vacantes con motivo de la aplicación del programa de separación voluntaria del servicio.</w:t>
      </w:r>
    </w:p>
    <w:p w14:paraId="35E2AAE6" w14:textId="77777777" w:rsidR="00800DCC" w:rsidRPr="00582E24" w:rsidRDefault="00800DCC" w:rsidP="002F5AAD">
      <w:pPr>
        <w:keepNext/>
        <w:jc w:val="both"/>
        <w:rPr>
          <w:i/>
        </w:rPr>
      </w:pPr>
      <w:r w:rsidRPr="00582E24">
        <w:rPr>
          <w:i/>
        </w:rPr>
        <w:t>Sector de Radiocomunicaciones (UIT-R)</w:t>
      </w:r>
    </w:p>
    <w:p w14:paraId="53C2F9D8" w14:textId="6C014DBA" w:rsidR="00800DCC" w:rsidRPr="00582E24" w:rsidRDefault="002F5AAD" w:rsidP="002F5AAD">
      <w:pPr>
        <w:pStyle w:val="enumlev1"/>
        <w:jc w:val="both"/>
      </w:pPr>
      <w:r w:rsidRPr="00582E24">
        <w:t>•</w:t>
      </w:r>
      <w:r w:rsidRPr="00582E24">
        <w:tab/>
      </w:r>
      <w:r w:rsidR="00800DCC" w:rsidRPr="00582E24">
        <w:t>En 2024, los gastos totales del UIT-R ascendieron a 28,7 millones CHF, lo que equivale al</w:t>
      </w:r>
      <w:r w:rsidR="008459E6" w:rsidRPr="00582E24">
        <w:t> </w:t>
      </w:r>
      <w:r w:rsidR="00800DCC" w:rsidRPr="00582E24">
        <w:t>94,8</w:t>
      </w:r>
      <w:r w:rsidR="008459E6" w:rsidRPr="00582E24">
        <w:t> </w:t>
      </w:r>
      <w:r w:rsidR="00800DCC" w:rsidRPr="00582E24">
        <w:t>% de su presupuesto (30,2 millones CHF).</w:t>
      </w:r>
    </w:p>
    <w:p w14:paraId="79F7B2ED" w14:textId="048106D6" w:rsidR="00800DCC" w:rsidRPr="00582E24" w:rsidRDefault="002F5AAD" w:rsidP="002F5AAD">
      <w:pPr>
        <w:pStyle w:val="enumlev1"/>
        <w:jc w:val="both"/>
      </w:pPr>
      <w:r w:rsidRPr="00582E24">
        <w:lastRenderedPageBreak/>
        <w:t>•</w:t>
      </w:r>
      <w:r w:rsidRPr="00582E24">
        <w:tab/>
      </w:r>
      <w:r w:rsidR="00800DCC" w:rsidRPr="00582E24">
        <w:t>Se lograron importantes ahorros en gastos de viaje, traducción y otros gastos operativos y costes de personal con motivo de la aplicación del programa de separación voluntaria del servicio.</w:t>
      </w:r>
    </w:p>
    <w:p w14:paraId="2E9817AC" w14:textId="77777777" w:rsidR="00800DCC" w:rsidRPr="00582E24" w:rsidRDefault="00800DCC" w:rsidP="002F5AAD">
      <w:pPr>
        <w:jc w:val="both"/>
        <w:rPr>
          <w:i/>
        </w:rPr>
      </w:pPr>
      <w:r w:rsidRPr="00582E24">
        <w:rPr>
          <w:i/>
        </w:rPr>
        <w:t>Sector de Normalización de las Telecomunicaciones (UIT-T)</w:t>
      </w:r>
    </w:p>
    <w:p w14:paraId="1BD0F8C7" w14:textId="63E0319D" w:rsidR="00800DCC" w:rsidRPr="00582E24" w:rsidRDefault="002F5AAD" w:rsidP="002F5AAD">
      <w:pPr>
        <w:pStyle w:val="enumlev1"/>
        <w:jc w:val="both"/>
      </w:pPr>
      <w:r w:rsidRPr="00582E24">
        <w:t>•</w:t>
      </w:r>
      <w:r w:rsidRPr="00582E24">
        <w:tab/>
      </w:r>
      <w:r w:rsidR="00800DCC" w:rsidRPr="00582E24">
        <w:t>En 2024, los gastos totales del UIT-T ascendieron a 14,6 millones CHF, lo que equivale al</w:t>
      </w:r>
      <w:r w:rsidR="008459E6" w:rsidRPr="00582E24">
        <w:t> </w:t>
      </w:r>
      <w:r w:rsidR="00800DCC" w:rsidRPr="00582E24">
        <w:t>99,4</w:t>
      </w:r>
      <w:r w:rsidR="008459E6" w:rsidRPr="00582E24">
        <w:t> </w:t>
      </w:r>
      <w:r w:rsidR="00800DCC" w:rsidRPr="00582E24">
        <w:t>% de su presupuesto (14,7 millones CHF).</w:t>
      </w:r>
    </w:p>
    <w:p w14:paraId="3AE4B539" w14:textId="5F0ED70F" w:rsidR="00800DCC" w:rsidRPr="00582E24" w:rsidRDefault="002F5AAD" w:rsidP="002F5AAD">
      <w:pPr>
        <w:pStyle w:val="enumlev1"/>
        <w:jc w:val="both"/>
      </w:pPr>
      <w:r w:rsidRPr="00582E24">
        <w:t>•</w:t>
      </w:r>
      <w:r w:rsidRPr="00582E24">
        <w:tab/>
      </w:r>
      <w:r w:rsidR="00800DCC" w:rsidRPr="00582E24">
        <w:t>Se lograron ahorros limitados, principalmente, en gastos de interpretación durante la</w:t>
      </w:r>
      <w:r w:rsidR="008459E6" w:rsidRPr="00582E24">
        <w:t> </w:t>
      </w:r>
      <w:r w:rsidR="00800DCC" w:rsidRPr="00582E24">
        <w:t>AMNT.</w:t>
      </w:r>
    </w:p>
    <w:p w14:paraId="730917C2" w14:textId="77777777" w:rsidR="00800DCC" w:rsidRPr="00582E24" w:rsidRDefault="00800DCC" w:rsidP="002F5AAD">
      <w:pPr>
        <w:jc w:val="both"/>
        <w:rPr>
          <w:i/>
        </w:rPr>
      </w:pPr>
      <w:r w:rsidRPr="00582E24">
        <w:rPr>
          <w:i/>
        </w:rPr>
        <w:t>Sector de Desarrollo de las Telecomunicaciones (</w:t>
      </w:r>
      <w:r w:rsidRPr="00582E24">
        <w:rPr>
          <w:i/>
          <w:iCs/>
        </w:rPr>
        <w:t>UIT-D</w:t>
      </w:r>
      <w:r w:rsidRPr="00582E24">
        <w:rPr>
          <w:i/>
        </w:rPr>
        <w:t>)</w:t>
      </w:r>
    </w:p>
    <w:p w14:paraId="3EE15554" w14:textId="483B7E1B" w:rsidR="00800DCC" w:rsidRPr="00582E24" w:rsidRDefault="002F5AAD" w:rsidP="002F5AAD">
      <w:pPr>
        <w:pStyle w:val="enumlev1"/>
        <w:jc w:val="both"/>
      </w:pPr>
      <w:r w:rsidRPr="00582E24">
        <w:t>•</w:t>
      </w:r>
      <w:r w:rsidRPr="00582E24">
        <w:tab/>
      </w:r>
      <w:r w:rsidR="00800DCC" w:rsidRPr="00582E24">
        <w:t>En 2024, los gastos totales del UIT-D ascendieron a 26,9 millones CHF, lo que equivale al</w:t>
      </w:r>
      <w:r w:rsidR="008459E6" w:rsidRPr="00582E24">
        <w:t> </w:t>
      </w:r>
      <w:r w:rsidR="00800DCC" w:rsidRPr="00582E24">
        <w:t>93</w:t>
      </w:r>
      <w:r w:rsidR="008459E6" w:rsidRPr="00582E24">
        <w:t> </w:t>
      </w:r>
      <w:r w:rsidR="00800DCC" w:rsidRPr="00582E24">
        <w:t>% de su presupuesto aprobado (29 millones CHF).</w:t>
      </w:r>
    </w:p>
    <w:p w14:paraId="65934810" w14:textId="32989B60" w:rsidR="00800DCC" w:rsidRPr="00582E24" w:rsidRDefault="002F5AAD" w:rsidP="002F5AAD">
      <w:pPr>
        <w:pStyle w:val="enumlev1"/>
        <w:jc w:val="both"/>
      </w:pPr>
      <w:r w:rsidRPr="00582E24">
        <w:t>•</w:t>
      </w:r>
      <w:r w:rsidRPr="00582E24">
        <w:tab/>
      </w:r>
      <w:r w:rsidR="00800DCC" w:rsidRPr="00582E24">
        <w:t>Se lograron importantes ahorros en gastos de viaje y de personal con motivo de la aplicación del programa de separación voluntaria del servicio.</w:t>
      </w:r>
    </w:p>
    <w:p w14:paraId="5E4071C4" w14:textId="77777777" w:rsidR="00800DCC" w:rsidRPr="00582E24" w:rsidRDefault="00800DCC" w:rsidP="002F5AAD">
      <w:pPr>
        <w:jc w:val="both"/>
      </w:pPr>
      <w:r w:rsidRPr="00582E24">
        <w:t>El importe global de ejecución fue de 155,8 millones CHF, 5,7 millones por debajo de los ingresos globales obtenidos en 2024.</w:t>
      </w:r>
    </w:p>
    <w:p w14:paraId="695951E1" w14:textId="2D61ACA0" w:rsidR="00800DCC" w:rsidRPr="00582E24" w:rsidRDefault="00800DCC" w:rsidP="002F5AAD">
      <w:pPr>
        <w:jc w:val="both"/>
      </w:pPr>
      <w:r w:rsidRPr="00582E24">
        <w:t>La UIT adoptó un enfoque conservador a efectos de la liberación de fondos debido a la incertidumbre que rodeó a los ingresos por recuperación de costes durante el ejercicio. De esta forma, garantizó la continuidad de las actividades al tiempo que afianzó la disciplina financiera.</w:t>
      </w:r>
    </w:p>
    <w:p w14:paraId="22A7113D" w14:textId="77777777" w:rsidR="00800DCC" w:rsidRPr="00582E24" w:rsidRDefault="00800DCC" w:rsidP="002F5AAD">
      <w:pPr>
        <w:jc w:val="both"/>
      </w:pPr>
      <w:r w:rsidRPr="00582E24">
        <w:t>Por otro lado, el nivel de ingresos por intereses, superior al previsto, y la positiva tendencia de los tipos de cambio también influyeron en el superávit de 2024, el cual superó las previsiones.</w:t>
      </w:r>
    </w:p>
    <w:p w14:paraId="7E4D053B" w14:textId="6893B22C" w:rsidR="00800DCC" w:rsidRPr="00582E24" w:rsidRDefault="00800DCC" w:rsidP="002F5AAD">
      <w:pPr>
        <w:pStyle w:val="Heading1"/>
        <w:keepLines w:val="0"/>
        <w:ind w:left="562" w:hanging="562"/>
        <w:rPr>
          <w:color w:val="4F81BD"/>
        </w:rPr>
      </w:pPr>
      <w:bookmarkStart w:id="227" w:name="_Toc305764119"/>
      <w:bookmarkStart w:id="228" w:name="_Toc329011661"/>
      <w:bookmarkStart w:id="229" w:name="_Toc433667371"/>
      <w:bookmarkStart w:id="230" w:name="_Toc196292794"/>
      <w:bookmarkStart w:id="231" w:name="_Toc200461778"/>
      <w:bookmarkStart w:id="232" w:name="_Toc200461944"/>
      <w:r w:rsidRPr="00582E24">
        <w:rPr>
          <w:color w:val="4F81BD"/>
        </w:rPr>
        <w:t>Nota 22</w:t>
      </w:r>
      <w:r w:rsidRPr="00582E24">
        <w:rPr>
          <w:color w:val="4F81BD"/>
        </w:rPr>
        <w:tab/>
      </w:r>
      <w:bookmarkEnd w:id="227"/>
      <w:bookmarkEnd w:id="228"/>
      <w:bookmarkEnd w:id="229"/>
      <w:bookmarkEnd w:id="230"/>
      <w:r w:rsidRPr="00582E24">
        <w:rPr>
          <w:color w:val="4F81BD"/>
        </w:rPr>
        <w:t>Presentación de información sobre partes vinculadas</w:t>
      </w:r>
      <w:bookmarkEnd w:id="231"/>
      <w:bookmarkEnd w:id="232"/>
    </w:p>
    <w:p w14:paraId="6BCEB1DA" w14:textId="77777777" w:rsidR="00800DCC" w:rsidRPr="00582E24" w:rsidRDefault="00800DCC" w:rsidP="002F5AAD">
      <w:pPr>
        <w:jc w:val="both"/>
      </w:pPr>
      <w:r w:rsidRPr="00582E24">
        <w:t>Las siguientes se consideran partes vinculadas a la UIT:</w:t>
      </w:r>
    </w:p>
    <w:p w14:paraId="7389D720" w14:textId="4F8654B2" w:rsidR="00800DCC" w:rsidRPr="00582E24" w:rsidRDefault="002F5AAD" w:rsidP="002F5AAD">
      <w:pPr>
        <w:pStyle w:val="enumlev1"/>
        <w:jc w:val="both"/>
      </w:pPr>
      <w:r w:rsidRPr="00582E24">
        <w:t>–</w:t>
      </w:r>
      <w:r w:rsidRPr="00582E24">
        <w:tab/>
      </w:r>
      <w:r w:rsidR="00800DCC" w:rsidRPr="00582E24">
        <w:t>El Consejo de la Unión se compone de 48 Estados Miembros, sin designación nominativa de representantes.</w:t>
      </w:r>
    </w:p>
    <w:p w14:paraId="0A0EEC3A" w14:textId="40A6E13A" w:rsidR="00800DCC" w:rsidRPr="00582E24" w:rsidRDefault="002F5AAD" w:rsidP="002F5AAD">
      <w:pPr>
        <w:pStyle w:val="enumlev1"/>
        <w:jc w:val="both"/>
      </w:pPr>
      <w:r w:rsidRPr="00582E24">
        <w:t>–</w:t>
      </w:r>
      <w:r w:rsidRPr="00582E24">
        <w:tab/>
      </w:r>
      <w:r w:rsidR="00800DCC" w:rsidRPr="00582E24">
        <w:t>La Unión está dirigida por un Secretario General, quien asume la dirección ejecutiva y cuenta con la colaboración de un Vicesecretario General y un Director por cada uno de los tres Sectores (directivos de alto nivel que forman parte del Comité de Coordinación), a saber: el Sector de Radiocomunicaciones (UIT-R), el Sector de Normalización de las Telecomunicaciones (UIT-T) y el Sector de Desarrollo de las Telecomunicaciones (UIT-D).</w:t>
      </w:r>
    </w:p>
    <w:p w14:paraId="79891B73" w14:textId="05273DB2" w:rsidR="00800DCC" w:rsidRPr="00582E24" w:rsidRDefault="00800DCC" w:rsidP="002F5AAD">
      <w:pPr>
        <w:jc w:val="both"/>
        <w:rPr>
          <w:b/>
          <w:bCs/>
        </w:rPr>
      </w:pPr>
      <w:r w:rsidRPr="00582E24">
        <w:t>La remuneración global que perciben estos directivos de alto nivel comprende el sueldo neto, el ajuste por lugar de destino y asignaciones tales como subsidios para gastos de representación, instalación, repatriación, alquiler y traslado de efectos personales, así como vacaciones acumuladas, además de las prestaciones concedidas al personal del Cuadro Orgánico, como pueden ser las vacaciones en el país de origen, el subsidio de educación, el subsidio de alquiler y las prestaciones posteriores al cese en el servicio. El cuadro siguiente ilustra los importes correspondientes a 2024.</w:t>
      </w:r>
    </w:p>
    <w:p w14:paraId="1BEEF554" w14:textId="77A1C460" w:rsidR="00800DCC" w:rsidRPr="00582E24" w:rsidRDefault="002F5AAD" w:rsidP="002F5AAD">
      <w:pPr>
        <w:pStyle w:val="Figure"/>
      </w:pPr>
      <w:bookmarkStart w:id="233" w:name="_Toc305764120"/>
      <w:bookmarkStart w:id="234" w:name="_Toc329011662"/>
      <w:bookmarkStart w:id="235" w:name="_Toc1800894350"/>
      <w:r w:rsidRPr="00582E24">
        <w:rPr>
          <w:noProof/>
        </w:rPr>
        <w:lastRenderedPageBreak/>
        <w:drawing>
          <wp:inline distT="0" distB="0" distL="0" distR="0" wp14:anchorId="11214260" wp14:editId="3B744C59">
            <wp:extent cx="4548505" cy="1045845"/>
            <wp:effectExtent l="0" t="0" r="444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48505" cy="1045845"/>
                    </a:xfrm>
                    <a:prstGeom prst="rect">
                      <a:avLst/>
                    </a:prstGeom>
                    <a:noFill/>
                    <a:ln>
                      <a:noFill/>
                    </a:ln>
                  </pic:spPr>
                </pic:pic>
              </a:graphicData>
            </a:graphic>
          </wp:inline>
        </w:drawing>
      </w:r>
    </w:p>
    <w:p w14:paraId="39465662" w14:textId="17282F4C" w:rsidR="00800DCC" w:rsidRPr="00582E24" w:rsidRDefault="00800DCC" w:rsidP="002F5AAD">
      <w:pPr>
        <w:pStyle w:val="Heading1"/>
        <w:keepLines w:val="0"/>
        <w:ind w:left="562" w:hanging="562"/>
        <w:rPr>
          <w:color w:val="4F81BD"/>
        </w:rPr>
      </w:pPr>
      <w:bookmarkStart w:id="236" w:name="_Toc196292795"/>
      <w:bookmarkStart w:id="237" w:name="_Toc200461779"/>
      <w:bookmarkStart w:id="238" w:name="_Toc200461945"/>
      <w:r w:rsidRPr="00582E24">
        <w:rPr>
          <w:color w:val="4F81BD"/>
        </w:rPr>
        <w:t>Nota 23</w:t>
      </w:r>
      <w:bookmarkEnd w:id="233"/>
      <w:r w:rsidRPr="00582E24">
        <w:rPr>
          <w:color w:val="4F81BD"/>
        </w:rPr>
        <w:tab/>
      </w:r>
      <w:bookmarkEnd w:id="234"/>
      <w:r w:rsidRPr="00582E24">
        <w:rPr>
          <w:color w:val="4F81BD"/>
        </w:rPr>
        <w:t>Compromisos futuros</w:t>
      </w:r>
      <w:bookmarkEnd w:id="235"/>
      <w:bookmarkEnd w:id="236"/>
      <w:bookmarkEnd w:id="237"/>
      <w:bookmarkEnd w:id="238"/>
    </w:p>
    <w:p w14:paraId="5A6CB049" w14:textId="088C3131" w:rsidR="00800DCC" w:rsidRPr="00582E24" w:rsidRDefault="00800DCC" w:rsidP="002F5AAD">
      <w:pPr>
        <w:jc w:val="both"/>
      </w:pPr>
      <w:r w:rsidRPr="00582E24">
        <w:t>El 1 de enero de 2020, la UIT firmó un contrato con la UNSMIS por el que se le exige el pago de una contribución anual adicional hasta el año 2032. Al 31 de diciembre de 2024, las contribuciones adicionales restantes ascendían a 12,8 millones CHF (14,2 millones USD) (al</w:t>
      </w:r>
      <w:r w:rsidR="000B18DD" w:rsidRPr="00582E24">
        <w:t> </w:t>
      </w:r>
      <w:r w:rsidRPr="00582E24">
        <w:t>31</w:t>
      </w:r>
      <w:r w:rsidR="000B18DD" w:rsidRPr="00582E24">
        <w:t> </w:t>
      </w:r>
      <w:r w:rsidRPr="00582E24">
        <w:t>de diciembre de 2023, ascendían a 13,3 millones CHF (15,9 millones USD)).</w:t>
      </w:r>
    </w:p>
    <w:p w14:paraId="16B3D3B0" w14:textId="77777777" w:rsidR="00800DCC" w:rsidRPr="00582E24" w:rsidRDefault="00800DCC" w:rsidP="002F5AAD">
      <w:pPr>
        <w:pStyle w:val="Heading1"/>
        <w:keepLines w:val="0"/>
        <w:ind w:left="562" w:hanging="562"/>
        <w:rPr>
          <w:color w:val="4F81BD"/>
        </w:rPr>
      </w:pPr>
      <w:bookmarkStart w:id="239" w:name="_Toc305764121"/>
      <w:bookmarkStart w:id="240" w:name="_Toc329011663"/>
      <w:bookmarkStart w:id="241" w:name="_Toc1219009599"/>
      <w:bookmarkStart w:id="242" w:name="_Toc196292796"/>
      <w:bookmarkStart w:id="243" w:name="_Toc200461780"/>
      <w:bookmarkStart w:id="244" w:name="_Toc200461946"/>
      <w:bookmarkStart w:id="245" w:name="_Hlk39154510"/>
      <w:r w:rsidRPr="00582E24">
        <w:rPr>
          <w:color w:val="4F81BD"/>
        </w:rPr>
        <w:t>Nota 24</w:t>
      </w:r>
      <w:r w:rsidRPr="00582E24">
        <w:rPr>
          <w:color w:val="4F81BD"/>
        </w:rPr>
        <w:tab/>
        <w:t>Acontecimientos posteriores a la fecha de presentación del informe</w:t>
      </w:r>
      <w:bookmarkEnd w:id="239"/>
      <w:bookmarkEnd w:id="240"/>
      <w:bookmarkEnd w:id="241"/>
      <w:bookmarkEnd w:id="242"/>
      <w:bookmarkEnd w:id="243"/>
      <w:bookmarkEnd w:id="244"/>
    </w:p>
    <w:p w14:paraId="0BCCC163" w14:textId="77777777" w:rsidR="00800DCC" w:rsidRPr="00582E24" w:rsidRDefault="00800DCC" w:rsidP="002F5AAD">
      <w:pPr>
        <w:jc w:val="both"/>
      </w:pPr>
      <w:bookmarkStart w:id="246" w:name="_Toc357006004"/>
      <w:bookmarkEnd w:id="245"/>
      <w:r w:rsidRPr="00582E24">
        <w:t>El informe de la UIT se presentó el 31 de diciembre de 2024 y la publicación de los estados financieros se autorizó ese mismo día con arreglo a la opinión del Auditor Externo.</w:t>
      </w:r>
    </w:p>
    <w:bookmarkEnd w:id="246"/>
    <w:p w14:paraId="49239A27" w14:textId="77777777" w:rsidR="00800DCC" w:rsidRPr="00582E24" w:rsidRDefault="00800DCC" w:rsidP="002F5AAD">
      <w:pPr>
        <w:jc w:val="both"/>
      </w:pPr>
      <w:r w:rsidRPr="00582E24">
        <w:t xml:space="preserve">La función </w:t>
      </w:r>
      <w:r w:rsidRPr="00582E24" w:rsidDel="00167F08">
        <w:t xml:space="preserve">de </w:t>
      </w:r>
      <w:r w:rsidRPr="00582E24">
        <w:t>la UIT como organización intergubernamental que trabaja con gobiernos, entidades del sector privado e instituciones académicas para coordinar las normas mundiales en materia de telecomunicaciones, la gestión del espectro y el desarrollo de infraestructuras es ahora más importante que nunca. La dirección es muy consciente de las posibles incertidumbres derivadas del actual clima geopolítico, así como de la reorientación de las prioridades de los donantes.</w:t>
      </w:r>
    </w:p>
    <w:p w14:paraId="75DDA3EE" w14:textId="77777777" w:rsidR="00800DCC" w:rsidRPr="00582E24" w:rsidRDefault="00800DCC" w:rsidP="002F5AAD">
      <w:pPr>
        <w:jc w:val="both"/>
      </w:pPr>
      <w:r w:rsidRPr="00582E24">
        <w:t>Aunque las contribuciones de los donantes no constituyen sino una parte modesta de los ingresos de la organización, en la fecha de los presentes estados financieros no es posible evaluar con fiabilidad posibles reducciones futuras.</w:t>
      </w:r>
    </w:p>
    <w:p w14:paraId="52E6D287" w14:textId="7D53C554" w:rsidR="00800DCC" w:rsidRPr="00582E24" w:rsidRDefault="00800DCC" w:rsidP="002F5AAD">
      <w:pPr>
        <w:jc w:val="both"/>
      </w:pPr>
      <w:r w:rsidRPr="00582E24">
        <w:t>Para el ejercicio 2024, las contribuciones previstas recibidas de un donante que ya ha anunciado una revisión en curso de sus prioridades en términos de financiación internacional supusieron el 11</w:t>
      </w:r>
      <w:r w:rsidR="000B18DD" w:rsidRPr="00582E24">
        <w:t> </w:t>
      </w:r>
      <w:r w:rsidRPr="00582E24">
        <w:t>% del total de los ingresos por contribuciones previstas de la UIT para dicho ejercicio.</w:t>
      </w:r>
    </w:p>
    <w:p w14:paraId="7C2762A0" w14:textId="7A982808" w:rsidR="00800DCC" w:rsidRPr="00582E24" w:rsidRDefault="00800DCC" w:rsidP="002F5AAD">
      <w:pPr>
        <w:jc w:val="both"/>
      </w:pPr>
      <w:r w:rsidRPr="00582E24">
        <w:t>Actualmente, la UIT está evaluando y gestionando de forma proactiva sus futuras actividades y compromisos financieros de la manera más eficiente posible, con el objetivo de minimizar los riesgos. En la fecha de presentación de los presentes estados financieros, no se ha tomado ninguna decisión de la que puedan emanar contratos de carácter oneroso, ni se han identificado pasivos contingentes cuantificables de forma fiable derivados de las medidas de mitigación ya adoptadas. De conformidad con las NICSP y las prácticas de la UIT, los acuerdos extrapresupuestarios afectos a cualesquiera incertidumbres se consideraron sujetos a condiciones y, en consecuencia, los ingresos correspondientes, vinculados a actividades pendientes de ejecución para las que aún no se habían recibido fondos, se aplazaron (0,9</w:t>
      </w:r>
      <w:r w:rsidR="000B18DD" w:rsidRPr="00582E24">
        <w:t> </w:t>
      </w:r>
      <w:r w:rsidRPr="00582E24">
        <w:t>millones CHF) al 31 de diciembre de 2024. Además, la UIT mantiene su práctica habitual de comenzar la ejecución en el momento en que recibe los fondos del donante, reduciendo así los riesgos de impago. Todas las actividades subyacentes relacionadas con la continuación de este tipo de proyectos se suspenderán hasta nuevo aviso. La Unión está tratando de encontrar fuentes de financiación adicionales para dar continuidad a la ejecución de los proyectos.</w:t>
      </w:r>
    </w:p>
    <w:p w14:paraId="0DFF8F4F" w14:textId="77777777" w:rsidR="00800DCC" w:rsidRPr="00582E24" w:rsidRDefault="00800DCC" w:rsidP="002F5AAD">
      <w:pPr>
        <w:jc w:val="both"/>
      </w:pPr>
      <w:r w:rsidRPr="00582E24">
        <w:lastRenderedPageBreak/>
        <w:t>Gracias a estas medidas, la Unión ha podido cerrar el ejercicio 2024 con unas cuentas equilibradas, limitando las posibles repercusiones de las incertidumbres únicamente a los compromisos y operaciones pendientes de ejecución.</w:t>
      </w:r>
      <w:r w:rsidRPr="00582E24">
        <w:br w:type="page"/>
      </w:r>
    </w:p>
    <w:p w14:paraId="202994DB" w14:textId="77777777" w:rsidR="00800DCC" w:rsidRPr="00582E24" w:rsidRDefault="00800DCC" w:rsidP="00866B81">
      <w:pPr>
        <w:pStyle w:val="AnnexNo"/>
        <w:rPr>
          <w:b/>
        </w:rPr>
      </w:pPr>
      <w:bookmarkStart w:id="247" w:name="Annex_A"/>
      <w:bookmarkStart w:id="248" w:name="_Toc200461947"/>
      <w:bookmarkStart w:id="249" w:name="_Toc1715290932"/>
      <w:bookmarkStart w:id="250" w:name="_Toc196292797"/>
      <w:r w:rsidRPr="00582E24">
        <w:lastRenderedPageBreak/>
        <w:t>ANEXO A</w:t>
      </w:r>
      <w:bookmarkEnd w:id="247"/>
      <w:bookmarkEnd w:id="248"/>
    </w:p>
    <w:p w14:paraId="76405026" w14:textId="77777777" w:rsidR="00800DCC" w:rsidRPr="00582E24" w:rsidRDefault="00800DCC" w:rsidP="00866B81">
      <w:pPr>
        <w:pStyle w:val="AnnexNo"/>
      </w:pPr>
      <w:bookmarkStart w:id="251" w:name="_Toc200461948"/>
      <w:bookmarkEnd w:id="249"/>
      <w:bookmarkEnd w:id="250"/>
      <w:r w:rsidRPr="00582E24">
        <w:t>PROYECTO DE RESOLUCIÓN [...]</w:t>
      </w:r>
      <w:bookmarkEnd w:id="251"/>
    </w:p>
    <w:p w14:paraId="1C4FC3A8" w14:textId="7DC5C6D5" w:rsidR="00800DCC" w:rsidRPr="00582E24" w:rsidRDefault="00800DCC" w:rsidP="00866B81">
      <w:pPr>
        <w:pStyle w:val="Annextitle"/>
      </w:pPr>
      <w:bookmarkStart w:id="252" w:name="_Toc131156200"/>
      <w:r w:rsidRPr="00582E24">
        <w:t xml:space="preserve">Informe de </w:t>
      </w:r>
      <w:proofErr w:type="gramStart"/>
      <w:r w:rsidRPr="00582E24">
        <w:t>gestión financiera y estados financieros</w:t>
      </w:r>
      <w:proofErr w:type="gramEnd"/>
      <w:r w:rsidRPr="00582E24">
        <w:t xml:space="preserve"> </w:t>
      </w:r>
      <w:r w:rsidR="000B18DD" w:rsidRPr="00582E24">
        <w:br/>
      </w:r>
      <w:r w:rsidRPr="00582E24">
        <w:t>auditados para el ejercicio 2024</w:t>
      </w:r>
      <w:bookmarkStart w:id="253" w:name="_Int_ujVKbKfT"/>
      <w:bookmarkEnd w:id="252"/>
      <w:bookmarkEnd w:id="253"/>
    </w:p>
    <w:p w14:paraId="3B11D5A1" w14:textId="77777777" w:rsidR="00800DCC" w:rsidRPr="00582E24" w:rsidRDefault="00800DCC" w:rsidP="00866B81">
      <w:pPr>
        <w:jc w:val="both"/>
      </w:pPr>
      <w:r w:rsidRPr="00582E24">
        <w:t>El Consejo de la UIT,</w:t>
      </w:r>
    </w:p>
    <w:p w14:paraId="363D53E9" w14:textId="77777777" w:rsidR="00800DCC" w:rsidRPr="00582E24" w:rsidRDefault="00800DCC" w:rsidP="00866B81">
      <w:pPr>
        <w:pStyle w:val="Call"/>
      </w:pPr>
      <w:r w:rsidRPr="00582E24">
        <w:t>en vista de</w:t>
      </w:r>
    </w:p>
    <w:p w14:paraId="69C8E3FD" w14:textId="0C8E7F3B" w:rsidR="00800DCC" w:rsidRPr="00582E24" w:rsidRDefault="00800DCC" w:rsidP="00866B81">
      <w:pPr>
        <w:jc w:val="both"/>
      </w:pPr>
      <w:bookmarkStart w:id="254" w:name="lt_pId1373"/>
      <w:r w:rsidRPr="00582E24">
        <w:t xml:space="preserve">el </w:t>
      </w:r>
      <w:hyperlink r:id="rId77" w:history="1">
        <w:r w:rsidRPr="00582E24">
          <w:rPr>
            <w:rStyle w:val="Hyperlink"/>
          </w:rPr>
          <w:t>número 101</w:t>
        </w:r>
      </w:hyperlink>
      <w:r w:rsidRPr="00582E24">
        <w:t xml:space="preserve"> del Convenio de la Unión Internacional de Telecomunicaciones y el </w:t>
      </w:r>
      <w:hyperlink r:id="rId78" w:history="1">
        <w:r w:rsidRPr="00582E24">
          <w:rPr>
            <w:rStyle w:val="Hyperlink"/>
          </w:rPr>
          <w:t>Artículo 30</w:t>
        </w:r>
      </w:hyperlink>
      <w:r w:rsidRPr="00582E24">
        <w:t xml:space="preserve"> del Reglamento Financiero de la Unión,</w:t>
      </w:r>
      <w:bookmarkEnd w:id="254"/>
    </w:p>
    <w:p w14:paraId="5ADF52A6" w14:textId="77777777" w:rsidR="00800DCC" w:rsidRPr="00582E24" w:rsidRDefault="00800DCC" w:rsidP="00866B81">
      <w:pPr>
        <w:pStyle w:val="Call"/>
      </w:pPr>
      <w:r w:rsidRPr="00582E24">
        <w:t>habiendo examinado</w:t>
      </w:r>
    </w:p>
    <w:p w14:paraId="4472A02B" w14:textId="77777777" w:rsidR="00800DCC" w:rsidRPr="00582E24" w:rsidRDefault="00800DCC" w:rsidP="00866B81">
      <w:pPr>
        <w:jc w:val="both"/>
      </w:pPr>
      <w:bookmarkStart w:id="255" w:name="lt_pId1375"/>
      <w:r w:rsidRPr="00582E24">
        <w:t>el informe de gestión financiera auditado para el ejercicio de 2024, el cual abarca las cuentas del presupuesto de la Unión y las cuentas verificadas correspondientes a dicho ejercicio</w:t>
      </w:r>
      <w:bookmarkEnd w:id="255"/>
      <w:r w:rsidRPr="00582E24">
        <w:t>,</w:t>
      </w:r>
    </w:p>
    <w:p w14:paraId="7C7760BE" w14:textId="77777777" w:rsidR="00800DCC" w:rsidRPr="00582E24" w:rsidRDefault="00800DCC" w:rsidP="00866B81">
      <w:pPr>
        <w:pStyle w:val="Call"/>
      </w:pPr>
      <w:bookmarkStart w:id="256" w:name="lt_pId1376"/>
      <w:r w:rsidRPr="00582E24">
        <w:t>habiendo tomado nota</w:t>
      </w:r>
      <w:bookmarkEnd w:id="256"/>
    </w:p>
    <w:p w14:paraId="0AC75209" w14:textId="22EF0AC2" w:rsidR="00800DCC" w:rsidRPr="00582E24" w:rsidRDefault="00800DCC" w:rsidP="00866B81">
      <w:pPr>
        <w:jc w:val="both"/>
      </w:pPr>
      <w:r w:rsidRPr="00582E24">
        <w:t xml:space="preserve">de que el informe del Auditor Externo figura en el Documento </w:t>
      </w:r>
      <w:hyperlink r:id="rId79" w:history="1">
        <w:r w:rsidRPr="00582E24">
          <w:rPr>
            <w:rStyle w:val="Hyperlink"/>
          </w:rPr>
          <w:t>C25/41</w:t>
        </w:r>
      </w:hyperlink>
      <w:r w:rsidRPr="00582E24">
        <w:t>,</w:t>
      </w:r>
    </w:p>
    <w:p w14:paraId="1BA2E43C" w14:textId="77777777" w:rsidR="00800DCC" w:rsidRPr="00582E24" w:rsidRDefault="00800DCC" w:rsidP="00866B81">
      <w:pPr>
        <w:pStyle w:val="Call"/>
      </w:pPr>
      <w:bookmarkStart w:id="257" w:name="_Hlk39237827"/>
      <w:r w:rsidRPr="00582E24">
        <w:t>resuelve</w:t>
      </w:r>
    </w:p>
    <w:p w14:paraId="548B9D9F" w14:textId="2560EB93" w:rsidR="00800DCC" w:rsidRPr="00582E24" w:rsidRDefault="00800DCC" w:rsidP="00866B81">
      <w:pPr>
        <w:jc w:val="both"/>
      </w:pPr>
      <w:r w:rsidRPr="00582E24">
        <w:t xml:space="preserve">aprobar el Informe de gestión financiera para el ejercicio 2024 </w:t>
      </w:r>
      <w:bookmarkStart w:id="258" w:name="_Int_brO3cBdj"/>
      <w:bookmarkEnd w:id="258"/>
      <w:r w:rsidRPr="00582E24">
        <w:t xml:space="preserve">(Documento </w:t>
      </w:r>
      <w:hyperlink r:id="rId80" w:history="1">
        <w:r w:rsidRPr="00582E24">
          <w:rPr>
            <w:rStyle w:val="Hyperlink"/>
          </w:rPr>
          <w:t>C25/40</w:t>
        </w:r>
      </w:hyperlink>
      <w:r w:rsidRPr="00582E24">
        <w:t>), el cua</w:t>
      </w:r>
      <w:r w:rsidR="00683753">
        <w:t>l</w:t>
      </w:r>
      <w:r w:rsidRPr="00582E24">
        <w:t xml:space="preserve"> abarca las cuentas de la Unión correspondientes a dicho ejercicio.</w:t>
      </w:r>
      <w:bookmarkEnd w:id="257"/>
    </w:p>
    <w:p w14:paraId="0EE75FE2" w14:textId="77777777" w:rsidR="000D0931" w:rsidRPr="00582E24" w:rsidRDefault="000D0931" w:rsidP="000D0931">
      <w:pPr>
        <w:pStyle w:val="Reasons"/>
      </w:pPr>
    </w:p>
    <w:p w14:paraId="0ED4DB8E" w14:textId="77777777" w:rsidR="00F92BED" w:rsidRPr="00F92BED" w:rsidRDefault="00F92BED" w:rsidP="00F92BED">
      <w:pPr>
        <w:jc w:val="center"/>
      </w:pPr>
      <w:r w:rsidRPr="00582E24">
        <w:t>______________</w:t>
      </w:r>
    </w:p>
    <w:sectPr w:rsidR="00F92BED" w:rsidRPr="00F92BED" w:rsidSect="00800DCC">
      <w:footerReference w:type="first" r:id="rId81"/>
      <w:pgSz w:w="11907" w:h="16834"/>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08DB" w14:textId="77777777" w:rsidR="0066497C" w:rsidRDefault="0066497C">
      <w:r>
        <w:separator/>
      </w:r>
    </w:p>
  </w:endnote>
  <w:endnote w:type="continuationSeparator" w:id="0">
    <w:p w14:paraId="58FA0EB7" w14:textId="77777777" w:rsidR="0066497C" w:rsidRDefault="0066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86A374E" w14:textId="77777777" w:rsidTr="00E31DCE">
      <w:trPr>
        <w:jc w:val="center"/>
      </w:trPr>
      <w:tc>
        <w:tcPr>
          <w:tcW w:w="1803" w:type="dxa"/>
          <w:vAlign w:val="center"/>
        </w:tcPr>
        <w:p w14:paraId="033190B2" w14:textId="3BC87098" w:rsidR="00F24B71" w:rsidRPr="00016319" w:rsidRDefault="002946E2" w:rsidP="00F24B71">
          <w:pPr>
            <w:pStyle w:val="Header"/>
            <w:jc w:val="left"/>
            <w:rPr>
              <w:noProof/>
              <w:u w:val="single"/>
            </w:rPr>
          </w:pPr>
          <w:hyperlink r:id="rId1" w:history="1">
            <w:r w:rsidRPr="00016319">
              <w:rPr>
                <w:rStyle w:val="Hyperlink"/>
                <w:noProof/>
                <w:color w:val="4F81BD" w:themeColor="accent1"/>
              </w:rPr>
              <w:t>council.itu.int/2025</w:t>
            </w:r>
          </w:hyperlink>
        </w:p>
      </w:tc>
      <w:tc>
        <w:tcPr>
          <w:tcW w:w="8261" w:type="dxa"/>
        </w:tcPr>
        <w:p w14:paraId="1F88A68D" w14:textId="28DEA3AD"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66497C">
            <w:rPr>
              <w:bCs/>
            </w:rPr>
            <w:t>40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11EB40E" w14:textId="77777777" w:rsidR="00131C5B" w:rsidRDefault="00131C5B" w:rsidP="0001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C2D9" w14:textId="77777777" w:rsidR="00AA2A4C" w:rsidRPr="00AA2A4C" w:rsidRDefault="00AA2A4C" w:rsidP="00AA2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0B18" w14:textId="68313330" w:rsidR="00A51E99" w:rsidRPr="00E05F6B" w:rsidRDefault="00A51E99" w:rsidP="005D3458">
    <w:pPr>
      <w:pStyle w:val="Footer"/>
    </w:pPr>
    <w:r>
      <w:rPr>
        <w:color w:val="2B579A"/>
        <w:shd w:val="clear" w:color="auto" w:fill="E6E6E6"/>
      </w:rPr>
      <w:fldChar w:fldCharType="begin"/>
    </w:r>
    <w:r w:rsidRPr="00A51E99">
      <w:rPr>
        <w:lang w:val="en-GB"/>
      </w:rPr>
      <w:instrText xml:space="preserve"> FILENAME \p  \* MERGEFORMAT </w:instrText>
    </w:r>
    <w:r>
      <w:rPr>
        <w:color w:val="2B579A"/>
        <w:shd w:val="clear" w:color="auto" w:fill="E6E6E6"/>
      </w:rPr>
      <w:fldChar w:fldCharType="separate"/>
    </w:r>
    <w:r w:rsidRPr="00A51E99">
      <w:rPr>
        <w:lang w:val="en-GB"/>
      </w:rPr>
      <w:t xml:space="preserve">https://ituint.sharepoint.com/sites/FinancialReport2024/Shared Documentos/02. </w:t>
    </w:r>
    <w:r>
      <w:t>Estados financieros/01. Informe financiero 2024/ITU Financial Statements_2024_250422 CLEAN.docx</w:t>
    </w:r>
    <w:r>
      <w:rPr>
        <w:color w:val="2B579A"/>
        <w:shd w:val="clear" w:color="auto" w:fill="E6E6E6"/>
      </w:rPr>
      <w:fldChar w:fldCharType="end"/>
    </w:r>
    <w:r w:rsidRPr="00E05F6B">
      <w:t xml:space="preserve"> (306162)</w:t>
    </w:r>
    <w:r w:rsidRPr="00E05F6B">
      <w:tab/>
    </w:r>
    <w:r>
      <w:rPr>
        <w:color w:val="2B579A"/>
        <w:shd w:val="clear" w:color="auto" w:fill="E6E6E6"/>
      </w:rPr>
      <w:fldChar w:fldCharType="begin"/>
    </w:r>
    <w:r>
      <w:instrText xml:space="preserve"> SAVEDATE \@ DD.MM.YY </w:instrText>
    </w:r>
    <w:r>
      <w:rPr>
        <w:color w:val="2B579A"/>
        <w:shd w:val="clear" w:color="auto" w:fill="E6E6E6"/>
      </w:rPr>
      <w:fldChar w:fldCharType="separate"/>
    </w:r>
    <w:r w:rsidR="00B46226">
      <w:t>11.06.25</w:t>
    </w:r>
    <w:r>
      <w:rPr>
        <w:color w:val="2B579A"/>
        <w:shd w:val="clear" w:color="auto" w:fill="E6E6E6"/>
      </w:rPr>
      <w:fldChar w:fldCharType="end"/>
    </w:r>
    <w:r w:rsidRPr="00E05F6B">
      <w:tab/>
    </w:r>
    <w:r>
      <w:rPr>
        <w:color w:val="2B579A"/>
        <w:shd w:val="clear" w:color="auto" w:fill="E6E6E6"/>
      </w:rPr>
      <w:fldChar w:fldCharType="begin"/>
    </w:r>
    <w:r>
      <w:instrText xml:space="preserve"> PRINTDATE \@ DD.MM.YY </w:instrText>
    </w:r>
    <w:r>
      <w:rPr>
        <w:color w:val="2B579A"/>
        <w:shd w:val="clear" w:color="auto" w:fill="E6E6E6"/>
      </w:rPr>
      <w:fldChar w:fldCharType="separate"/>
    </w:r>
    <w:r>
      <w:t>19.05.25</w:t>
    </w:r>
    <w:r>
      <w:rPr>
        <w:color w:val="2B579A"/>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59E8" w14:textId="77777777" w:rsidR="002F5AAD" w:rsidRPr="002F5AAD" w:rsidRDefault="002F5AAD" w:rsidP="002F5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4CAA" w14:textId="77777777" w:rsidR="0066497C" w:rsidRDefault="0066497C">
      <w:r>
        <w:t>____________________</w:t>
      </w:r>
    </w:p>
  </w:footnote>
  <w:footnote w:type="continuationSeparator" w:id="0">
    <w:p w14:paraId="7EC3FD3F" w14:textId="77777777" w:rsidR="0066497C" w:rsidRDefault="0066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310A" w14:textId="07CE6996" w:rsidR="002C0A35" w:rsidRPr="00C577E4" w:rsidRDefault="00C577E4" w:rsidP="00C577E4">
    <w:pPr>
      <w:pStyle w:val="Header"/>
      <w:rPr>
        <w:lang w:val="es-ES"/>
      </w:rPr>
    </w:pPr>
    <w:r w:rsidRPr="008A5B6E">
      <w:t xml:space="preserve">INFORME ANUAL DE </w:t>
    </w:r>
    <w:proofErr w:type="gramStart"/>
    <w:r w:rsidRPr="008A5B6E">
      <w:t>GESTIÓN FINANCIERA Y ESTADOS FINANCIEROS</w:t>
    </w:r>
    <w:proofErr w:type="gramEnd"/>
    <w:r w:rsidRPr="008A5B6E">
      <w:t xml:space="preserve"> DE LA UIT PARA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71CE94F5" w14:textId="77777777" w:rsidTr="00666D09">
      <w:trPr>
        <w:trHeight w:val="1104"/>
        <w:jc w:val="center"/>
      </w:trPr>
      <w:tc>
        <w:tcPr>
          <w:tcW w:w="5998" w:type="dxa"/>
          <w:vAlign w:val="center"/>
        </w:tcPr>
        <w:p w14:paraId="7F33D8A8"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E1F1082" wp14:editId="58C8F808">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030BABE8" w14:textId="77777777" w:rsidR="00666D09" w:rsidRDefault="00666D09" w:rsidP="001559F5">
          <w:pPr>
            <w:pStyle w:val="Header"/>
            <w:jc w:val="right"/>
            <w:rPr>
              <w:rFonts w:ascii="Arial" w:hAnsi="Arial" w:cs="Arial"/>
              <w:b/>
              <w:bCs/>
              <w:color w:val="009CD6"/>
              <w:szCs w:val="18"/>
            </w:rPr>
          </w:pPr>
        </w:p>
      </w:tc>
    </w:tr>
  </w:tbl>
  <w:p w14:paraId="1D356542"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0E03C93" wp14:editId="25809BEF">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79DF"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6966" w14:textId="1743EE5D" w:rsidR="00C8234A" w:rsidRPr="00C8234A" w:rsidRDefault="00C8234A" w:rsidP="00C8234A">
    <w:pPr>
      <w:pStyle w:val="Header"/>
      <w:rPr>
        <w:lang w:val="es-ES"/>
      </w:rPr>
    </w:pPr>
    <w:r w:rsidRPr="008A5B6E">
      <w:t xml:space="preserve">INFORME ANUAL DE </w:t>
    </w:r>
    <w:proofErr w:type="gramStart"/>
    <w:r w:rsidRPr="008A5B6E">
      <w:t>GESTIÓN FINANCIERA Y ESTADOS FINANCIEROS</w:t>
    </w:r>
    <w:proofErr w:type="gramEnd"/>
    <w:r w:rsidRPr="008A5B6E">
      <w:t xml:space="preserve"> DE LA UIT PARA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F6E"/>
    <w:multiLevelType w:val="multilevel"/>
    <w:tmpl w:val="70CA6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0130"/>
    <w:multiLevelType w:val="hybridMultilevel"/>
    <w:tmpl w:val="1406890A"/>
    <w:lvl w:ilvl="0" w:tplc="4CBAFD7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E22F73"/>
    <w:multiLevelType w:val="hybridMultilevel"/>
    <w:tmpl w:val="7904E9E2"/>
    <w:lvl w:ilvl="0" w:tplc="8BC2357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D412349"/>
    <w:multiLevelType w:val="hybridMultilevel"/>
    <w:tmpl w:val="6E82FA46"/>
    <w:lvl w:ilvl="0" w:tplc="1F16E56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0111683"/>
    <w:multiLevelType w:val="hybridMultilevel"/>
    <w:tmpl w:val="05284682"/>
    <w:lvl w:ilvl="0" w:tplc="FFFFFFFF">
      <w:numFmt w:val="bullet"/>
      <w:lvlText w:val="-"/>
      <w:lvlJc w:val="left"/>
      <w:pPr>
        <w:ind w:left="1080" w:hanging="360"/>
      </w:pPr>
      <w:rPr>
        <w:rFonts w:ascii="Calibri" w:hAnsi="Calibri" w:hint="default"/>
      </w:rPr>
    </w:lvl>
    <w:lvl w:ilvl="1" w:tplc="FFFFFFFF">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541F92"/>
    <w:multiLevelType w:val="hybridMultilevel"/>
    <w:tmpl w:val="CEB2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67120"/>
    <w:multiLevelType w:val="hybridMultilevel"/>
    <w:tmpl w:val="80A00A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F66253"/>
    <w:multiLevelType w:val="hybridMultilevel"/>
    <w:tmpl w:val="D0C82FFE"/>
    <w:lvl w:ilvl="0" w:tplc="B7C0B94A">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F05726C"/>
    <w:multiLevelType w:val="hybridMultilevel"/>
    <w:tmpl w:val="74380868"/>
    <w:lvl w:ilvl="0" w:tplc="0809001B">
      <w:start w:val="1"/>
      <w:numFmt w:val="lowerRoman"/>
      <w:lvlText w:val="%1."/>
      <w:lvlJc w:val="righ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4B745988"/>
    <w:multiLevelType w:val="hybridMultilevel"/>
    <w:tmpl w:val="A4BC2D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225A6A"/>
    <w:multiLevelType w:val="hybridMultilevel"/>
    <w:tmpl w:val="7F3ED7A4"/>
    <w:lvl w:ilvl="0" w:tplc="DD187A8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A87297C"/>
    <w:multiLevelType w:val="hybridMultilevel"/>
    <w:tmpl w:val="81A8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C2920"/>
    <w:multiLevelType w:val="hybridMultilevel"/>
    <w:tmpl w:val="D55C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994611"/>
    <w:multiLevelType w:val="hybridMultilevel"/>
    <w:tmpl w:val="5E74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815AC"/>
    <w:multiLevelType w:val="hybridMultilevel"/>
    <w:tmpl w:val="4180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D26F9"/>
    <w:multiLevelType w:val="hybridMultilevel"/>
    <w:tmpl w:val="ACCC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10935"/>
    <w:multiLevelType w:val="hybridMultilevel"/>
    <w:tmpl w:val="C6D8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A2C8B"/>
    <w:multiLevelType w:val="hybridMultilevel"/>
    <w:tmpl w:val="35DA5496"/>
    <w:lvl w:ilvl="0" w:tplc="11E26A5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061508">
    <w:abstractNumId w:val="17"/>
  </w:num>
  <w:num w:numId="2" w16cid:durableId="1526097999">
    <w:abstractNumId w:val="8"/>
  </w:num>
  <w:num w:numId="3" w16cid:durableId="944726039">
    <w:abstractNumId w:val="6"/>
  </w:num>
  <w:num w:numId="4" w16cid:durableId="1327830914">
    <w:abstractNumId w:val="0"/>
  </w:num>
  <w:num w:numId="5" w16cid:durableId="105121353">
    <w:abstractNumId w:val="9"/>
  </w:num>
  <w:num w:numId="6" w16cid:durableId="1053231414">
    <w:abstractNumId w:val="4"/>
  </w:num>
  <w:num w:numId="7" w16cid:durableId="1287348374">
    <w:abstractNumId w:val="13"/>
  </w:num>
  <w:num w:numId="8" w16cid:durableId="686639971">
    <w:abstractNumId w:val="5"/>
  </w:num>
  <w:num w:numId="9" w16cid:durableId="119614824">
    <w:abstractNumId w:val="11"/>
  </w:num>
  <w:num w:numId="10" w16cid:durableId="930161772">
    <w:abstractNumId w:val="15"/>
  </w:num>
  <w:num w:numId="11" w16cid:durableId="746607536">
    <w:abstractNumId w:val="16"/>
  </w:num>
  <w:num w:numId="12" w16cid:durableId="1141191307">
    <w:abstractNumId w:val="14"/>
  </w:num>
  <w:num w:numId="13" w16cid:durableId="1708867515">
    <w:abstractNumId w:val="12"/>
  </w:num>
  <w:num w:numId="14" w16cid:durableId="2009626214">
    <w:abstractNumId w:val="7"/>
  </w:num>
  <w:num w:numId="15" w16cid:durableId="1557737835">
    <w:abstractNumId w:val="10"/>
  </w:num>
  <w:num w:numId="16" w16cid:durableId="1504927642">
    <w:abstractNumId w:val="1"/>
  </w:num>
  <w:num w:numId="17" w16cid:durableId="557981160">
    <w:abstractNumId w:val="2"/>
  </w:num>
  <w:num w:numId="18" w16cid:durableId="704058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7C"/>
    <w:rsid w:val="000007D1"/>
    <w:rsid w:val="00002929"/>
    <w:rsid w:val="0000512A"/>
    <w:rsid w:val="000111F1"/>
    <w:rsid w:val="00016319"/>
    <w:rsid w:val="000225AF"/>
    <w:rsid w:val="000230FD"/>
    <w:rsid w:val="00031E0A"/>
    <w:rsid w:val="00033470"/>
    <w:rsid w:val="000413E4"/>
    <w:rsid w:val="00041B22"/>
    <w:rsid w:val="00047537"/>
    <w:rsid w:val="0006007D"/>
    <w:rsid w:val="000617BA"/>
    <w:rsid w:val="00077254"/>
    <w:rsid w:val="00082D78"/>
    <w:rsid w:val="00093EEB"/>
    <w:rsid w:val="000A42B0"/>
    <w:rsid w:val="000B0D00"/>
    <w:rsid w:val="000B14EA"/>
    <w:rsid w:val="000B18DD"/>
    <w:rsid w:val="000B7C15"/>
    <w:rsid w:val="000C66A7"/>
    <w:rsid w:val="000D0931"/>
    <w:rsid w:val="000D1D0F"/>
    <w:rsid w:val="000D2D57"/>
    <w:rsid w:val="000E3F07"/>
    <w:rsid w:val="000F5290"/>
    <w:rsid w:val="00100351"/>
    <w:rsid w:val="0010165C"/>
    <w:rsid w:val="00110277"/>
    <w:rsid w:val="00113B9D"/>
    <w:rsid w:val="00120405"/>
    <w:rsid w:val="00122753"/>
    <w:rsid w:val="00131C5B"/>
    <w:rsid w:val="00146BFB"/>
    <w:rsid w:val="00153350"/>
    <w:rsid w:val="001559F5"/>
    <w:rsid w:val="00157AC4"/>
    <w:rsid w:val="0016169C"/>
    <w:rsid w:val="0016599E"/>
    <w:rsid w:val="0017096C"/>
    <w:rsid w:val="001B64CD"/>
    <w:rsid w:val="001B6E2B"/>
    <w:rsid w:val="001C16B8"/>
    <w:rsid w:val="001C6C19"/>
    <w:rsid w:val="001E3916"/>
    <w:rsid w:val="001E70C6"/>
    <w:rsid w:val="001F0C1E"/>
    <w:rsid w:val="001F14A2"/>
    <w:rsid w:val="001F1B74"/>
    <w:rsid w:val="00224270"/>
    <w:rsid w:val="00235411"/>
    <w:rsid w:val="00236DCA"/>
    <w:rsid w:val="0024050C"/>
    <w:rsid w:val="0024458C"/>
    <w:rsid w:val="00245A95"/>
    <w:rsid w:val="00245E5A"/>
    <w:rsid w:val="00246CA2"/>
    <w:rsid w:val="002528AF"/>
    <w:rsid w:val="00254E15"/>
    <w:rsid w:val="00254FF2"/>
    <w:rsid w:val="002727CC"/>
    <w:rsid w:val="002801AA"/>
    <w:rsid w:val="002946E2"/>
    <w:rsid w:val="00294BBB"/>
    <w:rsid w:val="002A5F0C"/>
    <w:rsid w:val="002B0A45"/>
    <w:rsid w:val="002C0A35"/>
    <w:rsid w:val="002C3F32"/>
    <w:rsid w:val="002C4676"/>
    <w:rsid w:val="002C70B0"/>
    <w:rsid w:val="002F3CC4"/>
    <w:rsid w:val="002F5AAD"/>
    <w:rsid w:val="002F5FE7"/>
    <w:rsid w:val="003032E2"/>
    <w:rsid w:val="003102A6"/>
    <w:rsid w:val="0031300A"/>
    <w:rsid w:val="00314178"/>
    <w:rsid w:val="003273A4"/>
    <w:rsid w:val="0034796E"/>
    <w:rsid w:val="003533DE"/>
    <w:rsid w:val="003557D8"/>
    <w:rsid w:val="00361974"/>
    <w:rsid w:val="00365074"/>
    <w:rsid w:val="00380F68"/>
    <w:rsid w:val="003947DB"/>
    <w:rsid w:val="00396079"/>
    <w:rsid w:val="003A1DCB"/>
    <w:rsid w:val="003B6F85"/>
    <w:rsid w:val="003D6537"/>
    <w:rsid w:val="003D6687"/>
    <w:rsid w:val="00434E7A"/>
    <w:rsid w:val="00473962"/>
    <w:rsid w:val="004852B6"/>
    <w:rsid w:val="004B5D49"/>
    <w:rsid w:val="004D202E"/>
    <w:rsid w:val="004D3A3C"/>
    <w:rsid w:val="00501831"/>
    <w:rsid w:val="00511DE7"/>
    <w:rsid w:val="00513630"/>
    <w:rsid w:val="00521B8E"/>
    <w:rsid w:val="00540122"/>
    <w:rsid w:val="00540319"/>
    <w:rsid w:val="00560125"/>
    <w:rsid w:val="005711A9"/>
    <w:rsid w:val="00582E24"/>
    <w:rsid w:val="00585553"/>
    <w:rsid w:val="00586599"/>
    <w:rsid w:val="005B34D9"/>
    <w:rsid w:val="005C0A66"/>
    <w:rsid w:val="005D0CCF"/>
    <w:rsid w:val="005D3954"/>
    <w:rsid w:val="005F3BCB"/>
    <w:rsid w:val="005F410F"/>
    <w:rsid w:val="005F7749"/>
    <w:rsid w:val="0060149A"/>
    <w:rsid w:val="00601924"/>
    <w:rsid w:val="00605930"/>
    <w:rsid w:val="0061458C"/>
    <w:rsid w:val="00622308"/>
    <w:rsid w:val="0064058D"/>
    <w:rsid w:val="006446B7"/>
    <w:rsid w:val="006447EA"/>
    <w:rsid w:val="0064481D"/>
    <w:rsid w:val="00645F48"/>
    <w:rsid w:val="0064731F"/>
    <w:rsid w:val="0065087A"/>
    <w:rsid w:val="00663AAF"/>
    <w:rsid w:val="00664572"/>
    <w:rsid w:val="0066497C"/>
    <w:rsid w:val="00666D09"/>
    <w:rsid w:val="006710F6"/>
    <w:rsid w:val="00677A97"/>
    <w:rsid w:val="00683753"/>
    <w:rsid w:val="0069017B"/>
    <w:rsid w:val="00692CA4"/>
    <w:rsid w:val="00696995"/>
    <w:rsid w:val="006A2221"/>
    <w:rsid w:val="006C1B56"/>
    <w:rsid w:val="006D3F8A"/>
    <w:rsid w:val="006D4761"/>
    <w:rsid w:val="006E3BCA"/>
    <w:rsid w:val="006E4B97"/>
    <w:rsid w:val="00702E02"/>
    <w:rsid w:val="00726872"/>
    <w:rsid w:val="00741D64"/>
    <w:rsid w:val="00753400"/>
    <w:rsid w:val="00760F1C"/>
    <w:rsid w:val="007657F0"/>
    <w:rsid w:val="0077110E"/>
    <w:rsid w:val="0077252D"/>
    <w:rsid w:val="00787F16"/>
    <w:rsid w:val="0079454E"/>
    <w:rsid w:val="007955DA"/>
    <w:rsid w:val="007A4ADB"/>
    <w:rsid w:val="007D49B5"/>
    <w:rsid w:val="007D7080"/>
    <w:rsid w:val="007E047D"/>
    <w:rsid w:val="007E5DD3"/>
    <w:rsid w:val="007F350B"/>
    <w:rsid w:val="007F5E77"/>
    <w:rsid w:val="007F7725"/>
    <w:rsid w:val="00800DCC"/>
    <w:rsid w:val="0080783A"/>
    <w:rsid w:val="00820BE4"/>
    <w:rsid w:val="00827556"/>
    <w:rsid w:val="00842BA8"/>
    <w:rsid w:val="0084318D"/>
    <w:rsid w:val="008451E8"/>
    <w:rsid w:val="008459E6"/>
    <w:rsid w:val="00866617"/>
    <w:rsid w:val="00866B81"/>
    <w:rsid w:val="008A1604"/>
    <w:rsid w:val="008A5B6E"/>
    <w:rsid w:val="008B2B5A"/>
    <w:rsid w:val="008E27B2"/>
    <w:rsid w:val="008E311B"/>
    <w:rsid w:val="008F6ABC"/>
    <w:rsid w:val="008F7935"/>
    <w:rsid w:val="00902307"/>
    <w:rsid w:val="00913B9C"/>
    <w:rsid w:val="0091580F"/>
    <w:rsid w:val="00927F93"/>
    <w:rsid w:val="009556C3"/>
    <w:rsid w:val="00956E77"/>
    <w:rsid w:val="00961FCA"/>
    <w:rsid w:val="00964E0E"/>
    <w:rsid w:val="009770D4"/>
    <w:rsid w:val="00977B8F"/>
    <w:rsid w:val="009A0076"/>
    <w:rsid w:val="009A338E"/>
    <w:rsid w:val="009B61C1"/>
    <w:rsid w:val="009B757C"/>
    <w:rsid w:val="009E7FF8"/>
    <w:rsid w:val="009F0129"/>
    <w:rsid w:val="009F4811"/>
    <w:rsid w:val="00A05A53"/>
    <w:rsid w:val="00A10132"/>
    <w:rsid w:val="00A10ECE"/>
    <w:rsid w:val="00A1155A"/>
    <w:rsid w:val="00A51E99"/>
    <w:rsid w:val="00A5202B"/>
    <w:rsid w:val="00A80AD8"/>
    <w:rsid w:val="00A91C9F"/>
    <w:rsid w:val="00A94438"/>
    <w:rsid w:val="00AA0C1D"/>
    <w:rsid w:val="00AA2A4C"/>
    <w:rsid w:val="00AA390C"/>
    <w:rsid w:val="00AD7939"/>
    <w:rsid w:val="00AF7CF1"/>
    <w:rsid w:val="00B01FE1"/>
    <w:rsid w:val="00B0200A"/>
    <w:rsid w:val="00B05A90"/>
    <w:rsid w:val="00B060DF"/>
    <w:rsid w:val="00B30B8E"/>
    <w:rsid w:val="00B46226"/>
    <w:rsid w:val="00B50C07"/>
    <w:rsid w:val="00B53E59"/>
    <w:rsid w:val="00B573C5"/>
    <w:rsid w:val="00B574DB"/>
    <w:rsid w:val="00B729C2"/>
    <w:rsid w:val="00B826C2"/>
    <w:rsid w:val="00B8298E"/>
    <w:rsid w:val="00BB6FD8"/>
    <w:rsid w:val="00BD0723"/>
    <w:rsid w:val="00BD1AAB"/>
    <w:rsid w:val="00BD2518"/>
    <w:rsid w:val="00BD65B7"/>
    <w:rsid w:val="00BE1C35"/>
    <w:rsid w:val="00BF063F"/>
    <w:rsid w:val="00BF1D1C"/>
    <w:rsid w:val="00BF511B"/>
    <w:rsid w:val="00C20C59"/>
    <w:rsid w:val="00C245F9"/>
    <w:rsid w:val="00C2727F"/>
    <w:rsid w:val="00C36EA1"/>
    <w:rsid w:val="00C46BDD"/>
    <w:rsid w:val="00C538FC"/>
    <w:rsid w:val="00C55B1F"/>
    <w:rsid w:val="00C577E4"/>
    <w:rsid w:val="00C5792E"/>
    <w:rsid w:val="00C8234A"/>
    <w:rsid w:val="00C8334D"/>
    <w:rsid w:val="00C855FD"/>
    <w:rsid w:val="00C93E80"/>
    <w:rsid w:val="00CA26A5"/>
    <w:rsid w:val="00CC38FB"/>
    <w:rsid w:val="00CF1A67"/>
    <w:rsid w:val="00D07A4C"/>
    <w:rsid w:val="00D2156A"/>
    <w:rsid w:val="00D2750E"/>
    <w:rsid w:val="00D375E0"/>
    <w:rsid w:val="00D470E5"/>
    <w:rsid w:val="00D50A36"/>
    <w:rsid w:val="00D610C3"/>
    <w:rsid w:val="00D62446"/>
    <w:rsid w:val="00D67D23"/>
    <w:rsid w:val="00D800E6"/>
    <w:rsid w:val="00D8111D"/>
    <w:rsid w:val="00D838D1"/>
    <w:rsid w:val="00D96396"/>
    <w:rsid w:val="00DA4EA2"/>
    <w:rsid w:val="00DB77B3"/>
    <w:rsid w:val="00DC3D3E"/>
    <w:rsid w:val="00DD11B0"/>
    <w:rsid w:val="00DE2C90"/>
    <w:rsid w:val="00DE3B24"/>
    <w:rsid w:val="00E06947"/>
    <w:rsid w:val="00E11319"/>
    <w:rsid w:val="00E21444"/>
    <w:rsid w:val="00E34072"/>
    <w:rsid w:val="00E3592D"/>
    <w:rsid w:val="00E50D76"/>
    <w:rsid w:val="00E572A0"/>
    <w:rsid w:val="00E57572"/>
    <w:rsid w:val="00E67D26"/>
    <w:rsid w:val="00E8018B"/>
    <w:rsid w:val="00E86525"/>
    <w:rsid w:val="00E92DE8"/>
    <w:rsid w:val="00EA4E39"/>
    <w:rsid w:val="00EB1212"/>
    <w:rsid w:val="00ED65AB"/>
    <w:rsid w:val="00ED6D92"/>
    <w:rsid w:val="00EE4758"/>
    <w:rsid w:val="00F02D6D"/>
    <w:rsid w:val="00F0743B"/>
    <w:rsid w:val="00F1024B"/>
    <w:rsid w:val="00F10C11"/>
    <w:rsid w:val="00F115CF"/>
    <w:rsid w:val="00F12850"/>
    <w:rsid w:val="00F24B71"/>
    <w:rsid w:val="00F33BF4"/>
    <w:rsid w:val="00F467F4"/>
    <w:rsid w:val="00F47154"/>
    <w:rsid w:val="00F620B6"/>
    <w:rsid w:val="00F62802"/>
    <w:rsid w:val="00F7105E"/>
    <w:rsid w:val="00F75F57"/>
    <w:rsid w:val="00F80199"/>
    <w:rsid w:val="00F82238"/>
    <w:rsid w:val="00F82FEE"/>
    <w:rsid w:val="00F9010B"/>
    <w:rsid w:val="00F92BED"/>
    <w:rsid w:val="00FA3335"/>
    <w:rsid w:val="00FB677B"/>
    <w:rsid w:val="00FD57D3"/>
    <w:rsid w:val="00FE4930"/>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7BCBD0"/>
  <w15:docId w15:val="{75AA59BF-0755-4C33-9EEA-43EE9A09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超级链接,Style 58,超????,超?级链,하이퍼링크2,하이퍼링크21,CEO_Hyperlink"/>
    <w:basedOn w:val="DefaultParagraphFont"/>
    <w:uiPriority w:val="99"/>
    <w:qForma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character" w:styleId="CommentReference">
    <w:name w:val="annotation reference"/>
    <w:uiPriority w:val="99"/>
    <w:unhideWhenUsed/>
    <w:rsid w:val="00800DCC"/>
    <w:rPr>
      <w:sz w:val="16"/>
      <w:szCs w:val="16"/>
    </w:rPr>
  </w:style>
  <w:style w:type="paragraph" w:styleId="CommentText">
    <w:name w:val="annotation text"/>
    <w:basedOn w:val="Normal"/>
    <w:link w:val="CommentTextChar"/>
    <w:uiPriority w:val="99"/>
    <w:unhideWhenUsed/>
    <w:rsid w:val="00800DCC"/>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cs="Arial"/>
      <w:b/>
      <w:sz w:val="20"/>
      <w:lang w:val="fr-FR" w:eastAsia="fr-FR"/>
    </w:rPr>
  </w:style>
  <w:style w:type="character" w:customStyle="1" w:styleId="CommentTextChar">
    <w:name w:val="Comment Text Char"/>
    <w:basedOn w:val="DefaultParagraphFont"/>
    <w:link w:val="CommentText"/>
    <w:uiPriority w:val="99"/>
    <w:rsid w:val="00800DCC"/>
    <w:rPr>
      <w:rFonts w:ascii="Times New Roman" w:hAnsi="Times New Roman" w:cs="Arial"/>
      <w:b/>
      <w:lang w:val="fr-FR" w:eastAsia="fr-FR"/>
    </w:rPr>
  </w:style>
  <w:style w:type="paragraph" w:styleId="ListParagraph">
    <w:name w:val="List Paragraph"/>
    <w:aliases w:val="List Paragraph1,Recommendation,List Paragraph11,Bullet List,FooterText,numbered,Paragraphe de liste1,Bulletr List Paragraph,Bullet 1,Numbered Para 1,Dot pt,No Spacing1,List Paragraph Char Char Char,Indicator Text,Bullet Points,titre"/>
    <w:basedOn w:val="Normal"/>
    <w:link w:val="ListParagraphChar"/>
    <w:uiPriority w:val="34"/>
    <w:qFormat/>
    <w:rsid w:val="00800DCC"/>
    <w:pPr>
      <w:widowControl w:val="0"/>
      <w:tabs>
        <w:tab w:val="clear" w:pos="567"/>
        <w:tab w:val="clear" w:pos="1134"/>
        <w:tab w:val="clear" w:pos="1701"/>
        <w:tab w:val="clear" w:pos="2268"/>
        <w:tab w:val="clear" w:pos="2835"/>
      </w:tabs>
      <w:kinsoku w:val="0"/>
      <w:overflowPunct/>
      <w:autoSpaceDE/>
      <w:autoSpaceDN/>
      <w:adjustRightInd/>
      <w:spacing w:before="0"/>
      <w:ind w:left="720"/>
      <w:contextualSpacing/>
      <w:textAlignment w:val="auto"/>
    </w:pPr>
    <w:rPr>
      <w:rFonts w:ascii="Times New Roman" w:eastAsia="SimSun" w:hAnsi="Times New Roman"/>
      <w:szCs w:val="24"/>
      <w:lang w:val="en-US" w:eastAsia="zh-CN"/>
    </w:rPr>
  </w:style>
  <w:style w:type="character" w:customStyle="1" w:styleId="ListParagraphChar">
    <w:name w:val="List Paragraph Char"/>
    <w:aliases w:val="List Paragraph1 Char,Recommendation Char,List Paragraph11 Char,Bullet List Char,FooterText Char,numbered Char,Paragraphe de liste1 Char,Bulletr List Paragraph Char,Bullet 1 Char,Numbered Para 1 Char,Dot pt Char,No Spacing1 Char"/>
    <w:basedOn w:val="DefaultParagraphFont"/>
    <w:link w:val="ListParagraph"/>
    <w:uiPriority w:val="34"/>
    <w:rsid w:val="00800DCC"/>
    <w:rPr>
      <w:rFonts w:ascii="Times New Roman" w:eastAsia="SimSun" w:hAnsi="Times New Roman"/>
      <w:sz w:val="24"/>
      <w:szCs w:val="24"/>
    </w:rPr>
  </w:style>
  <w:style w:type="character" w:customStyle="1" w:styleId="normaltextrun">
    <w:name w:val="normaltextrun"/>
    <w:basedOn w:val="DefaultParagraphFont"/>
    <w:rsid w:val="00800DCC"/>
  </w:style>
  <w:style w:type="paragraph" w:customStyle="1" w:styleId="xmsonormal">
    <w:name w:val="x_msonormal"/>
    <w:basedOn w:val="Normal"/>
    <w:rsid w:val="00800DCC"/>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Calibri"/>
      <w:sz w:val="22"/>
      <w:szCs w:val="22"/>
      <w:lang w:val="en-GB" w:eastAsia="en-GB"/>
    </w:rPr>
  </w:style>
  <w:style w:type="paragraph" w:styleId="CommentSubject">
    <w:name w:val="annotation subject"/>
    <w:basedOn w:val="CommentText"/>
    <w:next w:val="CommentText"/>
    <w:link w:val="CommentSubjectChar"/>
    <w:semiHidden/>
    <w:unhideWhenUsed/>
    <w:rsid w:val="00A51E9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cs="Times New Roman"/>
      <w:bCs/>
      <w:lang w:val="es-ES_tradnl" w:eastAsia="en-US"/>
    </w:rPr>
  </w:style>
  <w:style w:type="character" w:customStyle="1" w:styleId="CommentSubjectChar">
    <w:name w:val="Comment Subject Char"/>
    <w:basedOn w:val="CommentTextChar"/>
    <w:link w:val="CommentSubject"/>
    <w:semiHidden/>
    <w:rsid w:val="00A51E99"/>
    <w:rPr>
      <w:rFonts w:ascii="Calibri" w:hAnsi="Calibri" w:cs="Arial"/>
      <w:b/>
      <w:bCs/>
      <w:lang w:val="es-ES_tradnl" w:eastAsia="en-US"/>
    </w:rPr>
  </w:style>
  <w:style w:type="paragraph" w:styleId="Revision">
    <w:name w:val="Revision"/>
    <w:hidden/>
    <w:uiPriority w:val="99"/>
    <w:semiHidden/>
    <w:rsid w:val="00A51E99"/>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91479">
      <w:bodyDiv w:val="1"/>
      <w:marLeft w:val="0"/>
      <w:marRight w:val="0"/>
      <w:marTop w:val="0"/>
      <w:marBottom w:val="0"/>
      <w:divBdr>
        <w:top w:val="none" w:sz="0" w:space="0" w:color="auto"/>
        <w:left w:val="none" w:sz="0" w:space="0" w:color="auto"/>
        <w:bottom w:val="none" w:sz="0" w:space="0" w:color="auto"/>
        <w:right w:val="none" w:sz="0" w:space="0" w:color="auto"/>
      </w:divBdr>
    </w:div>
    <w:div w:id="16915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u.int/itu-wsis/implementation/" TargetMode="External"/><Relationship Id="rId21" Type="http://schemas.openxmlformats.org/officeDocument/2006/relationships/image" Target="media/image11.emf"/><Relationship Id="rId42" Type="http://schemas.openxmlformats.org/officeDocument/2006/relationships/image" Target="media/image24.emf"/><Relationship Id="rId47" Type="http://schemas.openxmlformats.org/officeDocument/2006/relationships/hyperlink" Target="https://www.itu.int/md/S24-CL-C-0132/es" TargetMode="External"/><Relationship Id="rId63" Type="http://schemas.openxmlformats.org/officeDocument/2006/relationships/image" Target="media/image41.emf"/><Relationship Id="rId68" Type="http://schemas.openxmlformats.org/officeDocument/2006/relationships/header" Target="header2.xml"/><Relationship Id="rId16" Type="http://schemas.openxmlformats.org/officeDocument/2006/relationships/image" Target="media/image6.emf"/><Relationship Id="rId11" Type="http://schemas.openxmlformats.org/officeDocument/2006/relationships/image" Target="media/image1.png"/><Relationship Id="rId32" Type="http://schemas.openxmlformats.org/officeDocument/2006/relationships/image" Target="media/image15.emf"/><Relationship Id="rId37" Type="http://schemas.openxmlformats.org/officeDocument/2006/relationships/image" Target="media/image19.emf"/><Relationship Id="rId53" Type="http://schemas.openxmlformats.org/officeDocument/2006/relationships/hyperlink" Target="https://medical-insurance.unog.ch/en" TargetMode="External"/><Relationship Id="rId58" Type="http://schemas.openxmlformats.org/officeDocument/2006/relationships/image" Target="media/image36.emf"/><Relationship Id="rId74" Type="http://schemas.openxmlformats.org/officeDocument/2006/relationships/footer" Target="footer3.xml"/><Relationship Id="rId79" Type="http://schemas.openxmlformats.org/officeDocument/2006/relationships/hyperlink" Target="https://www.itu.int/md/S25-CL-C-0041/es" TargetMode="External"/><Relationship Id="rId5" Type="http://schemas.openxmlformats.org/officeDocument/2006/relationships/webSettings" Target="webSettings.xml"/><Relationship Id="rId61" Type="http://schemas.openxmlformats.org/officeDocument/2006/relationships/image" Target="media/image39.emf"/><Relationship Id="rId82" Type="http://schemas.openxmlformats.org/officeDocument/2006/relationships/fontTable" Target="fontTable.xml"/><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yperlink" Target="https://www.itu.int/es/ITU-R/conferences/RRB/Pages/default.aspx" TargetMode="External"/><Relationship Id="rId30" Type="http://schemas.openxmlformats.org/officeDocument/2006/relationships/hyperlink" Target="https://www.itu.int/md/S23-CL-C-0115/es" TargetMode="External"/><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29.emf"/><Relationship Id="rId56" Type="http://schemas.openxmlformats.org/officeDocument/2006/relationships/image" Target="media/image35.emf"/><Relationship Id="rId64" Type="http://schemas.openxmlformats.org/officeDocument/2006/relationships/image" Target="media/image42.emf"/><Relationship Id="rId69" Type="http://schemas.openxmlformats.org/officeDocument/2006/relationships/footer" Target="footer1.xml"/><Relationship Id="rId77" Type="http://schemas.openxmlformats.org/officeDocument/2006/relationships/hyperlink" Target="https://www.itu.int/en/council/Documents/basic-texts/Convention-S.pdf" TargetMode="External"/><Relationship Id="rId8" Type="http://schemas.openxmlformats.org/officeDocument/2006/relationships/hyperlink" Target="https://www.itu.int/en/council/Documents/basic-texts/Convention-S.pdf" TargetMode="External"/><Relationship Id="rId51" Type="http://schemas.openxmlformats.org/officeDocument/2006/relationships/image" Target="media/image32.emf"/><Relationship Id="rId72" Type="http://schemas.openxmlformats.org/officeDocument/2006/relationships/footer" Target="footer2.xml"/><Relationship Id="rId80" Type="http://schemas.openxmlformats.org/officeDocument/2006/relationships/hyperlink" Target="https://www.itu.int/md/S25-CL-C-0040/es"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jpeg"/><Relationship Id="rId25" Type="http://schemas.openxmlformats.org/officeDocument/2006/relationships/hyperlink" Target="https://www.itu.int/es/ITU-D/Pages/default.aspx" TargetMode="External"/><Relationship Id="rId33" Type="http://schemas.openxmlformats.org/officeDocument/2006/relationships/hyperlink" Target="https://www.itu.int/md/S24-CL-C-0134/es" TargetMode="External"/><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37.emf"/><Relationship Id="rId67" Type="http://schemas.openxmlformats.org/officeDocument/2006/relationships/header" Target="header1.xml"/><Relationship Id="rId20" Type="http://schemas.openxmlformats.org/officeDocument/2006/relationships/image" Target="media/image10.emf"/><Relationship Id="rId41" Type="http://schemas.openxmlformats.org/officeDocument/2006/relationships/image" Target="media/image23.emf"/><Relationship Id="rId54" Type="http://schemas.openxmlformats.org/officeDocument/2006/relationships/image" Target="media/image34.emf"/><Relationship Id="rId62" Type="http://schemas.openxmlformats.org/officeDocument/2006/relationships/image" Target="media/image40.emf"/><Relationship Id="rId70" Type="http://schemas.openxmlformats.org/officeDocument/2006/relationships/image" Target="media/image46.emf"/><Relationship Id="rId75" Type="http://schemas.openxmlformats.org/officeDocument/2006/relationships/image" Target="media/image48.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itu.int/es/ITU-R/Pages/default.aspx" TargetMode="External"/><Relationship Id="rId28" Type="http://schemas.openxmlformats.org/officeDocument/2006/relationships/hyperlink" Target="https://www.itu.int/md/S24-CL-C-0132/es" TargetMode="External"/><Relationship Id="rId36" Type="http://schemas.openxmlformats.org/officeDocument/2006/relationships/image" Target="media/image18.emf"/><Relationship Id="rId49" Type="http://schemas.openxmlformats.org/officeDocument/2006/relationships/image" Target="media/image30.emf"/><Relationship Id="rId57" Type="http://schemas.openxmlformats.org/officeDocument/2006/relationships/hyperlink" Target="http://www.unjspf.org" TargetMode="External"/><Relationship Id="rId10" Type="http://schemas.openxmlformats.org/officeDocument/2006/relationships/hyperlink" Target="https://www.itu.int/md/S25-CL-C-0035/es" TargetMode="External"/><Relationship Id="rId31" Type="http://schemas.openxmlformats.org/officeDocument/2006/relationships/image" Target="media/image14.emf"/><Relationship Id="rId44" Type="http://schemas.openxmlformats.org/officeDocument/2006/relationships/image" Target="media/image26.emf"/><Relationship Id="rId52" Type="http://schemas.openxmlformats.org/officeDocument/2006/relationships/image" Target="media/image33.emf"/><Relationship Id="rId60" Type="http://schemas.openxmlformats.org/officeDocument/2006/relationships/image" Target="media/image38.emf"/><Relationship Id="rId65" Type="http://schemas.openxmlformats.org/officeDocument/2006/relationships/image" Target="media/image43.emf"/><Relationship Id="rId73" Type="http://schemas.openxmlformats.org/officeDocument/2006/relationships/image" Target="media/image47.emf"/><Relationship Id="rId78" Type="http://schemas.openxmlformats.org/officeDocument/2006/relationships/hyperlink" Target="https://www.itu.int/en/council/Pages/Financial-Regulations.aspx" TargetMode="External"/><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tu.int/en/council/Pages/Financial-Regulations.aspx" TargetMode="External"/><Relationship Id="rId13" Type="http://schemas.openxmlformats.org/officeDocument/2006/relationships/image" Target="media/image3.png"/><Relationship Id="rId18" Type="http://schemas.openxmlformats.org/officeDocument/2006/relationships/image" Target="media/image8.emf"/><Relationship Id="rId39" Type="http://schemas.openxmlformats.org/officeDocument/2006/relationships/image" Target="media/image21.emf"/><Relationship Id="rId34" Type="http://schemas.openxmlformats.org/officeDocument/2006/relationships/image" Target="media/image16.emf"/><Relationship Id="rId50" Type="http://schemas.openxmlformats.org/officeDocument/2006/relationships/image" Target="media/image31.emf"/><Relationship Id="rId55" Type="http://schemas.openxmlformats.org/officeDocument/2006/relationships/hyperlink" Target="https://www.itu.int/md/S25-CL-C-0046/es" TargetMode="External"/><Relationship Id="rId76" Type="http://schemas.openxmlformats.org/officeDocument/2006/relationships/image" Target="media/image49.emf"/><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image" Target="media/image13.emf"/><Relationship Id="rId24" Type="http://schemas.openxmlformats.org/officeDocument/2006/relationships/hyperlink" Target="https://www.itu.int/en/ITU-T/Pages/default.aspx" TargetMode="External"/><Relationship Id="rId40" Type="http://schemas.openxmlformats.org/officeDocument/2006/relationships/image" Target="media/image22.emf"/><Relationship Id="rId45" Type="http://schemas.openxmlformats.org/officeDocument/2006/relationships/image" Target="media/image27.emf"/><Relationship Id="rId66" Type="http://schemas.openxmlformats.org/officeDocument/2006/relationships/image" Target="media/image44.emf"/></Relationships>
</file>

<file path=word/_rels/footer1.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5.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2582-0B6E-47BD-8C41-E515AA4C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PS_Council25.dotx</Template>
  <TotalTime>2</TotalTime>
  <Pages>82</Pages>
  <Words>27176</Words>
  <Characters>146592</Characters>
  <Application>Microsoft Office Word</Application>
  <DocSecurity>0</DocSecurity>
  <Lines>1221</Lines>
  <Paragraphs>346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de gestión financiera y estados financieros auditados para el ejercicio 2024</vt:lpstr>
    </vt:vector>
  </TitlesOfParts>
  <Manager>Secretaría General - Pool</Manager>
  <Company>International Telecommunication Union</Company>
  <LinksUpToDate>false</LinksUpToDate>
  <CharactersWithSpaces>173422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gestión financiera y estados financieros auditados para el ejercicio 2024</dc:title>
  <dc:subject>ITU Council 2025</dc:subject>
  <dc:creator>TSB (RC)</dc:creator>
  <cp:keywords>C2025, C25, Council-25</cp:keywords>
  <dc:description/>
  <cp:lastModifiedBy>GBS</cp:lastModifiedBy>
  <cp:revision>2</cp:revision>
  <cp:lastPrinted>2006-03-24T09:51:00Z</cp:lastPrinted>
  <dcterms:created xsi:type="dcterms:W3CDTF">2025-06-12T13:06:00Z</dcterms:created>
  <dcterms:modified xsi:type="dcterms:W3CDTF">2025-06-12T13:06:00Z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