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796BD3" w:rsidRPr="00521670" w14:paraId="5624425A" w14:textId="77777777" w:rsidTr="00DA770A">
        <w:trPr>
          <w:cantSplit/>
          <w:trHeight w:val="23"/>
        </w:trPr>
        <w:tc>
          <w:tcPr>
            <w:tcW w:w="3969" w:type="dxa"/>
            <w:vMerge w:val="restart"/>
            <w:tcMar>
              <w:left w:w="0" w:type="dxa"/>
            </w:tcMar>
          </w:tcPr>
          <w:p w14:paraId="0224FDD4" w14:textId="31C15B05" w:rsidR="00796BD3" w:rsidRPr="00521670" w:rsidRDefault="0033025A" w:rsidP="00DA770A">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521670">
              <w:rPr>
                <w:b/>
                <w:lang w:val="ru-RU"/>
              </w:rPr>
              <w:t>Пункт повестки дня:</w:t>
            </w:r>
            <w:r w:rsidR="008C5ED2" w:rsidRPr="00521670">
              <w:rPr>
                <w:b/>
                <w:lang w:val="ru-RU"/>
              </w:rPr>
              <w:t xml:space="preserve"> ADM 2</w:t>
            </w:r>
          </w:p>
        </w:tc>
        <w:tc>
          <w:tcPr>
            <w:tcW w:w="5245" w:type="dxa"/>
          </w:tcPr>
          <w:p w14:paraId="602A69A8" w14:textId="0537E60D" w:rsidR="00796BD3" w:rsidRPr="00521670" w:rsidRDefault="0033025A" w:rsidP="00DA770A">
            <w:pPr>
              <w:tabs>
                <w:tab w:val="left" w:pos="851"/>
              </w:tabs>
              <w:spacing w:before="0" w:line="240" w:lineRule="atLeast"/>
              <w:jc w:val="right"/>
              <w:rPr>
                <w:b/>
                <w:lang w:val="ru-RU"/>
              </w:rPr>
            </w:pPr>
            <w:r w:rsidRPr="00521670">
              <w:rPr>
                <w:b/>
                <w:lang w:val="ru-RU"/>
              </w:rPr>
              <w:t xml:space="preserve">Документ </w:t>
            </w:r>
            <w:r w:rsidR="00796BD3" w:rsidRPr="00521670">
              <w:rPr>
                <w:b/>
                <w:lang w:val="ru-RU"/>
              </w:rPr>
              <w:t>C2</w:t>
            </w:r>
            <w:r w:rsidR="00D631AA" w:rsidRPr="00521670">
              <w:rPr>
                <w:b/>
                <w:lang w:val="ru-RU"/>
              </w:rPr>
              <w:t>5</w:t>
            </w:r>
            <w:r w:rsidR="00796BD3" w:rsidRPr="00521670">
              <w:rPr>
                <w:b/>
                <w:lang w:val="ru-RU"/>
              </w:rPr>
              <w:t>/</w:t>
            </w:r>
            <w:r w:rsidR="008C5ED2" w:rsidRPr="00521670">
              <w:rPr>
                <w:b/>
                <w:lang w:val="ru-RU"/>
              </w:rPr>
              <w:t>40</w:t>
            </w:r>
            <w:r w:rsidR="00796BD3" w:rsidRPr="00521670">
              <w:rPr>
                <w:b/>
                <w:lang w:val="ru-RU"/>
              </w:rPr>
              <w:t>-R</w:t>
            </w:r>
          </w:p>
        </w:tc>
      </w:tr>
      <w:tr w:rsidR="00796BD3" w:rsidRPr="00521670" w14:paraId="7FD44837" w14:textId="77777777" w:rsidTr="00DA770A">
        <w:trPr>
          <w:cantSplit/>
        </w:trPr>
        <w:tc>
          <w:tcPr>
            <w:tcW w:w="3969" w:type="dxa"/>
            <w:vMerge/>
          </w:tcPr>
          <w:p w14:paraId="48124BE3" w14:textId="77777777" w:rsidR="00796BD3" w:rsidRPr="00521670" w:rsidRDefault="00796BD3" w:rsidP="00DA770A">
            <w:pPr>
              <w:tabs>
                <w:tab w:val="left" w:pos="851"/>
              </w:tabs>
              <w:spacing w:line="240" w:lineRule="atLeast"/>
              <w:rPr>
                <w:b/>
                <w:lang w:val="ru-RU"/>
              </w:rPr>
            </w:pPr>
            <w:bookmarkStart w:id="3" w:name="ddate" w:colFirst="1" w:colLast="1"/>
            <w:bookmarkEnd w:id="0"/>
            <w:bookmarkEnd w:id="1"/>
          </w:p>
        </w:tc>
        <w:tc>
          <w:tcPr>
            <w:tcW w:w="5245" w:type="dxa"/>
          </w:tcPr>
          <w:p w14:paraId="00F63177" w14:textId="47BCFF9E" w:rsidR="00796BD3" w:rsidRPr="00521670" w:rsidRDefault="008C5ED2" w:rsidP="00DA770A">
            <w:pPr>
              <w:tabs>
                <w:tab w:val="left" w:pos="851"/>
              </w:tabs>
              <w:spacing w:before="0"/>
              <w:jc w:val="right"/>
              <w:rPr>
                <w:b/>
                <w:lang w:val="ru-RU"/>
              </w:rPr>
            </w:pPr>
            <w:r w:rsidRPr="00521670">
              <w:rPr>
                <w:b/>
                <w:lang w:val="ru-RU"/>
              </w:rPr>
              <w:t>2</w:t>
            </w:r>
            <w:r w:rsidR="00B75E6F" w:rsidRPr="00521670">
              <w:rPr>
                <w:b/>
                <w:lang w:val="ru-RU"/>
              </w:rPr>
              <w:t>9</w:t>
            </w:r>
            <w:r w:rsidRPr="00521670">
              <w:rPr>
                <w:b/>
                <w:lang w:val="ru-RU"/>
              </w:rPr>
              <w:t xml:space="preserve"> мая 2025 года</w:t>
            </w:r>
          </w:p>
        </w:tc>
      </w:tr>
      <w:tr w:rsidR="00796BD3" w:rsidRPr="00521670" w14:paraId="088997BA" w14:textId="77777777" w:rsidTr="00DA770A">
        <w:trPr>
          <w:cantSplit/>
          <w:trHeight w:val="23"/>
        </w:trPr>
        <w:tc>
          <w:tcPr>
            <w:tcW w:w="3969" w:type="dxa"/>
            <w:vMerge/>
          </w:tcPr>
          <w:p w14:paraId="0DE369B5" w14:textId="77777777" w:rsidR="00796BD3" w:rsidRPr="00521670" w:rsidRDefault="00796BD3" w:rsidP="00DA770A">
            <w:pPr>
              <w:tabs>
                <w:tab w:val="left" w:pos="851"/>
              </w:tabs>
              <w:spacing w:line="240" w:lineRule="atLeast"/>
              <w:rPr>
                <w:b/>
                <w:lang w:val="ru-RU"/>
              </w:rPr>
            </w:pPr>
            <w:bookmarkStart w:id="4" w:name="dorlang" w:colFirst="1" w:colLast="1"/>
            <w:bookmarkEnd w:id="3"/>
          </w:p>
        </w:tc>
        <w:tc>
          <w:tcPr>
            <w:tcW w:w="5245" w:type="dxa"/>
          </w:tcPr>
          <w:p w14:paraId="685B1034" w14:textId="77777777" w:rsidR="00796BD3" w:rsidRPr="00521670" w:rsidRDefault="0033025A" w:rsidP="00DA770A">
            <w:pPr>
              <w:tabs>
                <w:tab w:val="left" w:pos="851"/>
              </w:tabs>
              <w:spacing w:before="0" w:line="240" w:lineRule="atLeast"/>
              <w:jc w:val="right"/>
              <w:rPr>
                <w:b/>
                <w:lang w:val="ru-RU"/>
              </w:rPr>
            </w:pPr>
            <w:r w:rsidRPr="00521670">
              <w:rPr>
                <w:b/>
                <w:lang w:val="ru-RU"/>
              </w:rPr>
              <w:t>Оригинал: английский</w:t>
            </w:r>
          </w:p>
        </w:tc>
      </w:tr>
      <w:tr w:rsidR="00796BD3" w:rsidRPr="00521670" w14:paraId="6265E9F1" w14:textId="77777777" w:rsidTr="00DA770A">
        <w:trPr>
          <w:cantSplit/>
          <w:trHeight w:val="23"/>
        </w:trPr>
        <w:tc>
          <w:tcPr>
            <w:tcW w:w="3969" w:type="dxa"/>
          </w:tcPr>
          <w:p w14:paraId="218E5F36" w14:textId="77777777" w:rsidR="00796BD3" w:rsidRPr="00521670" w:rsidRDefault="00796BD3" w:rsidP="00DA770A">
            <w:pPr>
              <w:tabs>
                <w:tab w:val="left" w:pos="851"/>
              </w:tabs>
              <w:spacing w:line="240" w:lineRule="atLeast"/>
              <w:rPr>
                <w:b/>
                <w:lang w:val="ru-RU"/>
              </w:rPr>
            </w:pPr>
          </w:p>
        </w:tc>
        <w:tc>
          <w:tcPr>
            <w:tcW w:w="5245" w:type="dxa"/>
          </w:tcPr>
          <w:p w14:paraId="6DE76DA3" w14:textId="77777777" w:rsidR="00796BD3" w:rsidRPr="00521670" w:rsidRDefault="00796BD3" w:rsidP="00DA770A">
            <w:pPr>
              <w:tabs>
                <w:tab w:val="left" w:pos="851"/>
              </w:tabs>
              <w:spacing w:before="0" w:line="240" w:lineRule="atLeast"/>
              <w:jc w:val="right"/>
              <w:rPr>
                <w:b/>
                <w:lang w:val="ru-RU"/>
              </w:rPr>
            </w:pPr>
          </w:p>
        </w:tc>
      </w:tr>
      <w:tr w:rsidR="00796BD3" w:rsidRPr="00521670" w14:paraId="1AFF474F" w14:textId="77777777" w:rsidTr="00DA770A">
        <w:trPr>
          <w:cantSplit/>
        </w:trPr>
        <w:tc>
          <w:tcPr>
            <w:tcW w:w="9214" w:type="dxa"/>
            <w:gridSpan w:val="2"/>
            <w:tcMar>
              <w:left w:w="0" w:type="dxa"/>
            </w:tcMar>
          </w:tcPr>
          <w:p w14:paraId="7ACCB9C2" w14:textId="77777777" w:rsidR="00796BD3" w:rsidRPr="00521670" w:rsidRDefault="0033025A" w:rsidP="00DA770A">
            <w:pPr>
              <w:pStyle w:val="Source"/>
              <w:jc w:val="left"/>
              <w:rPr>
                <w:sz w:val="32"/>
                <w:szCs w:val="32"/>
                <w:lang w:val="ru-RU"/>
              </w:rPr>
            </w:pPr>
            <w:bookmarkStart w:id="5" w:name="dsource" w:colFirst="0" w:colLast="0"/>
            <w:bookmarkEnd w:id="4"/>
            <w:r w:rsidRPr="00521670">
              <w:rPr>
                <w:rFonts w:cstheme="minorHAnsi"/>
                <w:sz w:val="32"/>
                <w:szCs w:val="32"/>
                <w:lang w:val="ru-RU"/>
              </w:rPr>
              <w:t>Отчет Генерального секретаря</w:t>
            </w:r>
          </w:p>
        </w:tc>
      </w:tr>
      <w:tr w:rsidR="00796BD3" w:rsidRPr="00A818E7" w14:paraId="39A6F8C8" w14:textId="77777777" w:rsidTr="00DA770A">
        <w:trPr>
          <w:cantSplit/>
        </w:trPr>
        <w:tc>
          <w:tcPr>
            <w:tcW w:w="9214" w:type="dxa"/>
            <w:gridSpan w:val="2"/>
            <w:tcMar>
              <w:left w:w="0" w:type="dxa"/>
            </w:tcMar>
          </w:tcPr>
          <w:p w14:paraId="4E5F50AE" w14:textId="2F35DC26" w:rsidR="00796BD3" w:rsidRPr="00521670" w:rsidRDefault="003366BC" w:rsidP="00DA770A">
            <w:pPr>
              <w:pStyle w:val="Subtitle"/>
              <w:framePr w:hSpace="0" w:wrap="auto" w:hAnchor="text" w:xAlign="left" w:yAlign="inline"/>
              <w:rPr>
                <w:sz w:val="32"/>
                <w:szCs w:val="32"/>
                <w:lang w:val="ru-RU"/>
              </w:rPr>
            </w:pPr>
            <w:bookmarkStart w:id="6" w:name="dtitle1" w:colFirst="0" w:colLast="0"/>
            <w:bookmarkEnd w:id="5"/>
            <w:r w:rsidRPr="00521670">
              <w:rPr>
                <w:color w:val="333333"/>
                <w:sz w:val="32"/>
                <w:szCs w:val="32"/>
                <w:shd w:val="clear" w:color="auto" w:fill="FFFFFF"/>
                <w:lang w:val="ru-RU"/>
              </w:rPr>
              <w:t>Отчет</w:t>
            </w:r>
            <w:r w:rsidR="00E00DA7" w:rsidRPr="00521670">
              <w:rPr>
                <w:color w:val="333333"/>
                <w:sz w:val="32"/>
                <w:szCs w:val="32"/>
                <w:shd w:val="clear" w:color="auto" w:fill="FFFFFF"/>
                <w:lang w:val="ru-RU"/>
              </w:rPr>
              <w:t xml:space="preserve"> о финансовой деятельности и</w:t>
            </w:r>
            <w:r w:rsidR="005523E3" w:rsidRPr="00521670">
              <w:rPr>
                <w:color w:val="333333"/>
                <w:sz w:val="32"/>
                <w:szCs w:val="32"/>
                <w:shd w:val="clear" w:color="auto" w:fill="FFFFFF"/>
                <w:lang w:val="ru-RU"/>
              </w:rPr>
              <w:t xml:space="preserve"> проверенная</w:t>
            </w:r>
            <w:r w:rsidR="00E00DA7" w:rsidRPr="00521670">
              <w:rPr>
                <w:color w:val="333333"/>
                <w:sz w:val="32"/>
                <w:szCs w:val="32"/>
                <w:shd w:val="clear" w:color="auto" w:fill="FFFFFF"/>
                <w:lang w:val="ru-RU"/>
              </w:rPr>
              <w:t xml:space="preserve"> финансовая отчетность за 2024 </w:t>
            </w:r>
            <w:r w:rsidR="00B75E6F" w:rsidRPr="00521670">
              <w:rPr>
                <w:color w:val="333333"/>
                <w:sz w:val="32"/>
                <w:szCs w:val="32"/>
                <w:shd w:val="clear" w:color="auto" w:fill="FFFFFF"/>
                <w:lang w:val="ru-RU"/>
              </w:rPr>
              <w:t xml:space="preserve">финансовый </w:t>
            </w:r>
            <w:r w:rsidR="00E00DA7" w:rsidRPr="00521670">
              <w:rPr>
                <w:color w:val="333333"/>
                <w:sz w:val="32"/>
                <w:szCs w:val="32"/>
                <w:shd w:val="clear" w:color="auto" w:fill="FFFFFF"/>
                <w:lang w:val="ru-RU"/>
              </w:rPr>
              <w:t>год</w:t>
            </w:r>
          </w:p>
        </w:tc>
      </w:tr>
      <w:tr w:rsidR="00796BD3" w:rsidRPr="00A818E7" w14:paraId="7A869321" w14:textId="77777777" w:rsidTr="00DA770A">
        <w:trPr>
          <w:cantSplit/>
        </w:trPr>
        <w:tc>
          <w:tcPr>
            <w:tcW w:w="9214" w:type="dxa"/>
            <w:gridSpan w:val="2"/>
            <w:tcBorders>
              <w:top w:val="single" w:sz="4" w:space="0" w:color="auto"/>
              <w:bottom w:val="single" w:sz="4" w:space="0" w:color="auto"/>
            </w:tcBorders>
            <w:tcMar>
              <w:left w:w="0" w:type="dxa"/>
            </w:tcMar>
          </w:tcPr>
          <w:p w14:paraId="55A2D4C4" w14:textId="77777777" w:rsidR="00796BD3" w:rsidRPr="00521670" w:rsidRDefault="0033025A" w:rsidP="00DA770A">
            <w:pPr>
              <w:spacing w:before="160"/>
              <w:rPr>
                <w:b/>
                <w:bCs/>
                <w:sz w:val="24"/>
                <w:szCs w:val="24"/>
                <w:lang w:val="ru-RU"/>
              </w:rPr>
            </w:pPr>
            <w:r w:rsidRPr="00521670">
              <w:rPr>
                <w:b/>
                <w:bCs/>
                <w:sz w:val="24"/>
                <w:szCs w:val="24"/>
                <w:lang w:val="ru-RU"/>
              </w:rPr>
              <w:t>Назначение</w:t>
            </w:r>
          </w:p>
          <w:p w14:paraId="4AB01EE4" w14:textId="067A40CB" w:rsidR="008C5ED2" w:rsidRPr="00521670" w:rsidRDefault="00EF5901" w:rsidP="008C5ED2">
            <w:pPr>
              <w:rPr>
                <w:lang w:val="ru-RU"/>
              </w:rPr>
            </w:pPr>
            <w:r w:rsidRPr="00521670">
              <w:rPr>
                <w:lang w:val="ru-RU"/>
              </w:rPr>
              <w:t>В соответствии с положениями п. 101 Конвенции Международного союза электросвязи и Статьи 30 Финансового регламента Союза Генеральному секретарю поручено ежегодно представлять Совету отчет о финансовой деятельности</w:t>
            </w:r>
            <w:r w:rsidRPr="00521670">
              <w:rPr>
                <w:szCs w:val="22"/>
                <w:lang w:val="ru-RU"/>
              </w:rPr>
              <w:t>.</w:t>
            </w:r>
          </w:p>
          <w:p w14:paraId="619DE439" w14:textId="5E7FC220" w:rsidR="008C5ED2" w:rsidRPr="00521670" w:rsidRDefault="00E00DA7" w:rsidP="008C5ED2">
            <w:pPr>
              <w:rPr>
                <w:lang w:val="ru-RU"/>
              </w:rPr>
            </w:pPr>
            <w:r w:rsidRPr="00521670">
              <w:rPr>
                <w:lang w:val="ru-RU"/>
              </w:rPr>
              <w:t>Отчет о финансовой деятельности за 2024 финансовый год охватывает</w:t>
            </w:r>
            <w:r w:rsidR="008C5ED2" w:rsidRPr="00521670">
              <w:rPr>
                <w:lang w:val="ru-RU"/>
              </w:rPr>
              <w:t>:</w:t>
            </w:r>
          </w:p>
          <w:p w14:paraId="01493EEB" w14:textId="3B86805D" w:rsidR="008C5ED2" w:rsidRPr="00521670" w:rsidRDefault="008C5ED2" w:rsidP="008C5ED2">
            <w:pPr>
              <w:pStyle w:val="enumlev1"/>
              <w:rPr>
                <w:lang w:val="ru-RU"/>
              </w:rPr>
            </w:pPr>
            <w:r w:rsidRPr="00521670">
              <w:rPr>
                <w:lang w:val="ru-RU"/>
              </w:rPr>
              <w:t>•</w:t>
            </w:r>
            <w:r w:rsidRPr="00521670">
              <w:rPr>
                <w:lang w:val="ru-RU"/>
              </w:rPr>
              <w:tab/>
            </w:r>
            <w:r w:rsidR="00E00DA7" w:rsidRPr="00521670">
              <w:rPr>
                <w:lang w:val="ru-RU"/>
              </w:rPr>
              <w:t>проверенные счета бюджета Союза за 2024 финансовый год и внебюджетные средства</w:t>
            </w:r>
            <w:r w:rsidRPr="00521670">
              <w:rPr>
                <w:lang w:val="ru-RU"/>
              </w:rPr>
              <w:t>.</w:t>
            </w:r>
          </w:p>
          <w:p w14:paraId="5DDB794B" w14:textId="77777777" w:rsidR="00796BD3" w:rsidRPr="00521670" w:rsidRDefault="0033025A" w:rsidP="00DA770A">
            <w:pPr>
              <w:spacing w:before="160"/>
              <w:rPr>
                <w:b/>
                <w:bCs/>
                <w:sz w:val="24"/>
                <w:szCs w:val="24"/>
                <w:lang w:val="ru-RU"/>
              </w:rPr>
            </w:pPr>
            <w:r w:rsidRPr="00521670">
              <w:rPr>
                <w:b/>
                <w:bCs/>
                <w:sz w:val="24"/>
                <w:szCs w:val="24"/>
                <w:lang w:val="ru-RU"/>
              </w:rPr>
              <w:t>Необходимые действия Совета</w:t>
            </w:r>
          </w:p>
          <w:p w14:paraId="02214659" w14:textId="1BFDC363" w:rsidR="008C5ED2" w:rsidRPr="00521670" w:rsidRDefault="00E00DA7" w:rsidP="008C5ED2">
            <w:pPr>
              <w:rPr>
                <w:lang w:val="ru-RU"/>
              </w:rPr>
            </w:pPr>
            <w:r w:rsidRPr="00521670">
              <w:rPr>
                <w:lang w:val="ru-RU"/>
              </w:rPr>
              <w:t xml:space="preserve">Отчет о финансовой деятельности по проверенным счетам и проект резолюции, который содержится в </w:t>
            </w:r>
            <w:hyperlink w:anchor="AnnexA" w:history="1">
              <w:r w:rsidRPr="00521670">
                <w:rPr>
                  <w:color w:val="0000FF"/>
                  <w:szCs w:val="22"/>
                  <w:u w:val="single"/>
                  <w:lang w:val="ru-RU"/>
                </w:rPr>
                <w:t>Приложении A</w:t>
              </w:r>
            </w:hyperlink>
            <w:r w:rsidRPr="00521670">
              <w:rPr>
                <w:lang w:val="ru-RU"/>
              </w:rPr>
              <w:t xml:space="preserve">, представляются Совету на </w:t>
            </w:r>
            <w:r w:rsidRPr="00521670">
              <w:rPr>
                <w:b/>
                <w:bCs/>
                <w:lang w:val="ru-RU"/>
              </w:rPr>
              <w:t>рассмотрение</w:t>
            </w:r>
            <w:r w:rsidRPr="00521670">
              <w:rPr>
                <w:lang w:val="ru-RU"/>
              </w:rPr>
              <w:t xml:space="preserve"> и </w:t>
            </w:r>
            <w:r w:rsidRPr="00521670">
              <w:rPr>
                <w:b/>
                <w:bCs/>
                <w:lang w:val="ru-RU"/>
              </w:rPr>
              <w:t>утверждение</w:t>
            </w:r>
            <w:r w:rsidRPr="00521670">
              <w:rPr>
                <w:lang w:val="ru-RU"/>
              </w:rPr>
              <w:t>.</w:t>
            </w:r>
          </w:p>
          <w:p w14:paraId="47C92D47" w14:textId="24268181" w:rsidR="00796BD3" w:rsidRPr="00521670" w:rsidRDefault="00EF5901" w:rsidP="008C5ED2">
            <w:pPr>
              <w:rPr>
                <w:lang w:val="ru-RU"/>
              </w:rPr>
            </w:pPr>
            <w:r w:rsidRPr="00521670">
              <w:rPr>
                <w:lang w:val="ru-RU"/>
              </w:rPr>
              <w:t>После рассмотрения и утверждения Советом отчет будет доведен до сведения Государств</w:t>
            </w:r>
            <w:r w:rsidRPr="00521670">
              <w:rPr>
                <w:lang w:val="ru-RU"/>
              </w:rPr>
              <w:noBreakHyphen/>
              <w:t>Членов и Членов Секторов.</w:t>
            </w:r>
          </w:p>
          <w:p w14:paraId="0D4614EE" w14:textId="77777777" w:rsidR="00796BD3" w:rsidRPr="00521670" w:rsidRDefault="00796BD3" w:rsidP="00DA770A">
            <w:pPr>
              <w:spacing w:before="160"/>
              <w:rPr>
                <w:caps/>
                <w:sz w:val="20"/>
                <w:szCs w:val="18"/>
                <w:lang w:val="ru-RU"/>
              </w:rPr>
            </w:pPr>
            <w:r w:rsidRPr="00521670">
              <w:rPr>
                <w:sz w:val="20"/>
                <w:szCs w:val="18"/>
                <w:lang w:val="ru-RU"/>
              </w:rPr>
              <w:t>__________________</w:t>
            </w:r>
          </w:p>
          <w:p w14:paraId="549DB1D2" w14:textId="77777777" w:rsidR="00796BD3" w:rsidRPr="00521670" w:rsidRDefault="0033025A" w:rsidP="00DA770A">
            <w:pPr>
              <w:spacing w:before="160"/>
              <w:rPr>
                <w:b/>
                <w:bCs/>
                <w:sz w:val="26"/>
                <w:szCs w:val="26"/>
                <w:lang w:val="ru-RU"/>
              </w:rPr>
            </w:pPr>
            <w:r w:rsidRPr="00521670">
              <w:rPr>
                <w:b/>
                <w:bCs/>
                <w:sz w:val="24"/>
                <w:szCs w:val="24"/>
                <w:lang w:val="ru-RU"/>
              </w:rPr>
              <w:t>Справочные материалы</w:t>
            </w:r>
          </w:p>
          <w:p w14:paraId="40BBAA71" w14:textId="056262C8" w:rsidR="00796BD3" w:rsidRPr="00521670" w:rsidRDefault="00EF5901" w:rsidP="0015313A">
            <w:pPr>
              <w:snapToGrid w:val="0"/>
              <w:spacing w:before="160" w:after="120"/>
              <w:rPr>
                <w:i/>
                <w:iCs/>
                <w:lang w:val="ru-RU"/>
              </w:rPr>
            </w:pPr>
            <w:r w:rsidRPr="00521670">
              <w:rPr>
                <w:rFonts w:cs="Calibri"/>
                <w:i/>
                <w:iCs/>
                <w:szCs w:val="22"/>
                <w:lang w:val="ru-RU"/>
              </w:rPr>
              <w:t>Конвенция</w:t>
            </w:r>
            <w:r w:rsidR="008C5ED2" w:rsidRPr="00521670">
              <w:rPr>
                <w:rFonts w:cs="Calibri"/>
                <w:i/>
                <w:iCs/>
                <w:szCs w:val="22"/>
                <w:lang w:val="ru-RU"/>
              </w:rPr>
              <w:t xml:space="preserve">: </w:t>
            </w:r>
            <w:hyperlink r:id="rId8" w:history="1">
              <w:r w:rsidRPr="00521670">
                <w:rPr>
                  <w:i/>
                  <w:iCs/>
                  <w:color w:val="0000E1"/>
                  <w:szCs w:val="22"/>
                  <w:u w:val="single"/>
                  <w:lang w:val="ru-RU"/>
                </w:rPr>
                <w:t>п</w:t>
              </w:r>
              <w:r w:rsidR="008C5ED2" w:rsidRPr="00521670">
                <w:rPr>
                  <w:i/>
                  <w:iCs/>
                  <w:color w:val="0000E1"/>
                  <w:szCs w:val="22"/>
                  <w:u w:val="single"/>
                  <w:lang w:val="ru-RU"/>
                </w:rPr>
                <w:t>. 101</w:t>
              </w:r>
            </w:hyperlink>
            <w:r w:rsidRPr="00521670">
              <w:rPr>
                <w:lang w:val="ru-RU"/>
              </w:rPr>
              <w:br/>
            </w:r>
            <w:r w:rsidRPr="00521670">
              <w:rPr>
                <w:rFonts w:cs="Calibri"/>
                <w:i/>
                <w:iCs/>
                <w:lang w:val="ru-RU"/>
              </w:rPr>
              <w:t>Финансовый регламент Союза</w:t>
            </w:r>
            <w:r w:rsidR="008C5ED2" w:rsidRPr="00521670">
              <w:rPr>
                <w:i/>
                <w:iCs/>
                <w:szCs w:val="22"/>
                <w:lang w:val="ru-RU"/>
              </w:rPr>
              <w:t xml:space="preserve">: </w:t>
            </w:r>
            <w:hyperlink r:id="rId9" w:history="1">
              <w:r w:rsidRPr="00521670">
                <w:rPr>
                  <w:i/>
                  <w:iCs/>
                  <w:color w:val="0000E1"/>
                  <w:szCs w:val="22"/>
                  <w:u w:val="single"/>
                  <w:lang w:val="ru-RU"/>
                </w:rPr>
                <w:t>Статья</w:t>
              </w:r>
              <w:r w:rsidR="008C5ED2" w:rsidRPr="00521670">
                <w:rPr>
                  <w:i/>
                  <w:iCs/>
                  <w:color w:val="0000E1"/>
                  <w:szCs w:val="22"/>
                  <w:u w:val="single"/>
                  <w:lang w:val="ru-RU"/>
                </w:rPr>
                <w:t xml:space="preserve"> 30</w:t>
              </w:r>
            </w:hyperlink>
          </w:p>
        </w:tc>
      </w:tr>
      <w:bookmarkEnd w:id="2"/>
      <w:bookmarkEnd w:id="6"/>
    </w:tbl>
    <w:p w14:paraId="17C75047" w14:textId="77777777" w:rsidR="00796BD3" w:rsidRPr="00521670" w:rsidRDefault="00796BD3" w:rsidP="00796BD3">
      <w:pPr>
        <w:rPr>
          <w:lang w:val="ru-RU"/>
        </w:rPr>
      </w:pPr>
    </w:p>
    <w:p w14:paraId="545F6DDD" w14:textId="77777777" w:rsidR="00165D06" w:rsidRPr="00521670" w:rsidRDefault="00165D06">
      <w:pPr>
        <w:tabs>
          <w:tab w:val="clear" w:pos="794"/>
          <w:tab w:val="clear" w:pos="1191"/>
          <w:tab w:val="clear" w:pos="1588"/>
          <w:tab w:val="clear" w:pos="1985"/>
        </w:tabs>
        <w:overflowPunct/>
        <w:autoSpaceDE/>
        <w:autoSpaceDN/>
        <w:adjustRightInd/>
        <w:spacing w:before="0"/>
        <w:textAlignment w:val="auto"/>
        <w:rPr>
          <w:lang w:val="ru-RU"/>
        </w:rPr>
      </w:pPr>
      <w:r w:rsidRPr="00521670">
        <w:rPr>
          <w:lang w:val="ru-RU"/>
        </w:rPr>
        <w:br w:type="page"/>
      </w:r>
    </w:p>
    <w:p w14:paraId="7901B60A" w14:textId="77777777" w:rsidR="000E459D" w:rsidRPr="00521670" w:rsidRDefault="000E459D" w:rsidP="000E459D">
      <w:pPr>
        <w:pStyle w:val="Annextitle"/>
        <w:rPr>
          <w:lang w:val="ru-RU"/>
        </w:rPr>
      </w:pPr>
      <w:bookmarkStart w:id="7" w:name="_Toc200469254"/>
      <w:r w:rsidRPr="00521670">
        <w:rPr>
          <w:lang w:val="ru-RU"/>
        </w:rPr>
        <w:lastRenderedPageBreak/>
        <w:t>Отчет о финансовой деятельности</w:t>
      </w:r>
      <w:bookmarkEnd w:id="7"/>
    </w:p>
    <w:p w14:paraId="44550270" w14:textId="2060A250" w:rsidR="000E459D" w:rsidRPr="00521670" w:rsidRDefault="000E459D" w:rsidP="000E459D">
      <w:pPr>
        <w:jc w:val="center"/>
        <w:rPr>
          <w:lang w:val="ru-RU"/>
        </w:rPr>
      </w:pPr>
      <w:r w:rsidRPr="00521670">
        <w:rPr>
          <w:lang w:val="ru-RU"/>
        </w:rPr>
        <w:t>СОДЕРЖАНИЕ</w:t>
      </w:r>
    </w:p>
    <w:p w14:paraId="622875FD" w14:textId="038DA7FF" w:rsidR="000E459D" w:rsidRPr="00521670" w:rsidRDefault="002827F7" w:rsidP="002827F7">
      <w:pPr>
        <w:jc w:val="right"/>
        <w:rPr>
          <w:lang w:val="ru-RU"/>
        </w:rPr>
      </w:pPr>
      <w:r w:rsidRPr="00521670">
        <w:rPr>
          <w:lang w:val="ru-RU"/>
        </w:rPr>
        <w:t>Стр.</w:t>
      </w:r>
    </w:p>
    <w:p w14:paraId="1CAB9FCB" w14:textId="6BCCAB6D"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r w:rsidRPr="00521670">
        <w:rPr>
          <w:lang w:val="ru-RU"/>
        </w:rPr>
        <w:fldChar w:fldCharType="begin"/>
      </w:r>
      <w:r w:rsidRPr="00521670">
        <w:rPr>
          <w:lang w:val="ru-RU"/>
        </w:rPr>
        <w:instrText xml:space="preserve"> TOC \o "1-1" \h \z \t "Heading 5,1,Annex_No,1,Res_title,1,Art_title,1" </w:instrText>
      </w:r>
      <w:r w:rsidRPr="00521670">
        <w:rPr>
          <w:lang w:val="ru-RU"/>
        </w:rPr>
        <w:fldChar w:fldCharType="separate"/>
      </w:r>
      <w:hyperlink w:anchor="_Toc200469507" w:history="1">
        <w:r w:rsidRPr="00521670">
          <w:rPr>
            <w:rStyle w:val="Hyperlink"/>
            <w:lang w:val="ru-RU"/>
          </w:rPr>
          <w:t>Предисловие к финансовой отчетности за 2024 год</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_Toc200469507 \h </w:instrText>
        </w:r>
        <w:r w:rsidRPr="00521670">
          <w:rPr>
            <w:webHidden/>
            <w:lang w:val="ru-RU"/>
          </w:rPr>
        </w:r>
        <w:r w:rsidRPr="00521670">
          <w:rPr>
            <w:webHidden/>
            <w:lang w:val="ru-RU"/>
          </w:rPr>
          <w:fldChar w:fldCharType="separate"/>
        </w:r>
        <w:r w:rsidR="002C40E3" w:rsidRPr="00521670">
          <w:rPr>
            <w:webHidden/>
            <w:lang w:val="ru-RU"/>
          </w:rPr>
          <w:t>3</w:t>
        </w:r>
        <w:r w:rsidRPr="00521670">
          <w:rPr>
            <w:webHidden/>
            <w:lang w:val="ru-RU"/>
          </w:rPr>
          <w:fldChar w:fldCharType="end"/>
        </w:r>
      </w:hyperlink>
    </w:p>
    <w:p w14:paraId="7F1DE763" w14:textId="3E110546" w:rsidR="004D3100" w:rsidRPr="00521670" w:rsidRDefault="004D3100" w:rsidP="004D3100">
      <w:pPr>
        <w:pStyle w:val="TOC1"/>
        <w:tabs>
          <w:tab w:val="clear" w:pos="8789"/>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08" w:history="1">
        <w:r w:rsidRPr="00521670">
          <w:rPr>
            <w:rStyle w:val="Hyperlink"/>
            <w:lang w:val="ru-RU"/>
          </w:rPr>
          <w:t>Введение</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_Toc200469508 \h </w:instrText>
        </w:r>
        <w:r w:rsidRPr="00521670">
          <w:rPr>
            <w:webHidden/>
            <w:lang w:val="ru-RU"/>
          </w:rPr>
        </w:r>
        <w:r w:rsidRPr="00521670">
          <w:rPr>
            <w:webHidden/>
            <w:lang w:val="ru-RU"/>
          </w:rPr>
          <w:fldChar w:fldCharType="separate"/>
        </w:r>
        <w:r w:rsidR="002C40E3" w:rsidRPr="00521670">
          <w:rPr>
            <w:webHidden/>
            <w:lang w:val="ru-RU"/>
          </w:rPr>
          <w:t>6</w:t>
        </w:r>
        <w:r w:rsidRPr="00521670">
          <w:rPr>
            <w:webHidden/>
            <w:lang w:val="ru-RU"/>
          </w:rPr>
          <w:fldChar w:fldCharType="end"/>
        </w:r>
      </w:hyperlink>
    </w:p>
    <w:p w14:paraId="3942CD75" w14:textId="5180BBAD" w:rsidR="004D3100" w:rsidRPr="00521670" w:rsidRDefault="004D3100" w:rsidP="004D3100">
      <w:pPr>
        <w:pStyle w:val="TOC1"/>
        <w:tabs>
          <w:tab w:val="clear" w:pos="8789"/>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09" w:history="1">
        <w:r w:rsidRPr="00521670">
          <w:rPr>
            <w:rStyle w:val="Hyperlink"/>
            <w:lang w:val="ru-RU"/>
          </w:rPr>
          <w:t>Основные аспекты Отчета о финансовой деятельности за 2024 год</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_Toc200469509 \h </w:instrText>
        </w:r>
        <w:r w:rsidRPr="00521670">
          <w:rPr>
            <w:webHidden/>
            <w:lang w:val="ru-RU"/>
          </w:rPr>
        </w:r>
        <w:r w:rsidRPr="00521670">
          <w:rPr>
            <w:webHidden/>
            <w:lang w:val="ru-RU"/>
          </w:rPr>
          <w:fldChar w:fldCharType="separate"/>
        </w:r>
        <w:r w:rsidR="002C40E3" w:rsidRPr="00521670">
          <w:rPr>
            <w:webHidden/>
            <w:lang w:val="ru-RU"/>
          </w:rPr>
          <w:t>6</w:t>
        </w:r>
        <w:r w:rsidRPr="00521670">
          <w:rPr>
            <w:webHidden/>
            <w:lang w:val="ru-RU"/>
          </w:rPr>
          <w:fldChar w:fldCharType="end"/>
        </w:r>
      </w:hyperlink>
    </w:p>
    <w:p w14:paraId="046211D8" w14:textId="1808BA58" w:rsidR="004D3100" w:rsidRPr="00521670" w:rsidRDefault="004D3100" w:rsidP="004D3100">
      <w:pPr>
        <w:pStyle w:val="TOC1"/>
        <w:tabs>
          <w:tab w:val="clear" w:pos="8789"/>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14" w:history="1">
        <w:r w:rsidRPr="00521670">
          <w:rPr>
            <w:rStyle w:val="Hyperlink"/>
            <w:lang w:val="ru-RU"/>
          </w:rPr>
          <w:t>Заключение о внутреннем контроле за 2024 год</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_Toc200469514 \h </w:instrText>
        </w:r>
        <w:r w:rsidRPr="00521670">
          <w:rPr>
            <w:webHidden/>
            <w:lang w:val="ru-RU"/>
          </w:rPr>
        </w:r>
        <w:r w:rsidRPr="00521670">
          <w:rPr>
            <w:webHidden/>
            <w:lang w:val="ru-RU"/>
          </w:rPr>
          <w:fldChar w:fldCharType="separate"/>
        </w:r>
        <w:r w:rsidR="002C40E3" w:rsidRPr="00521670">
          <w:rPr>
            <w:webHidden/>
            <w:lang w:val="ru-RU"/>
          </w:rPr>
          <w:t>15</w:t>
        </w:r>
        <w:r w:rsidRPr="00521670">
          <w:rPr>
            <w:webHidden/>
            <w:lang w:val="ru-RU"/>
          </w:rPr>
          <w:fldChar w:fldCharType="end"/>
        </w:r>
      </w:hyperlink>
    </w:p>
    <w:p w14:paraId="256EB09B" w14:textId="573246B2" w:rsidR="004D3100" w:rsidRPr="00521670" w:rsidRDefault="004D3100" w:rsidP="004D3100">
      <w:pPr>
        <w:pStyle w:val="TOC1"/>
        <w:tabs>
          <w:tab w:val="clear" w:pos="8789"/>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0" w:history="1">
        <w:r w:rsidRPr="00521670">
          <w:rPr>
            <w:rStyle w:val="Hyperlink"/>
            <w:lang w:val="ru-RU"/>
          </w:rPr>
          <w:t>Заключение о внешнем аудите</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_Toc200469520 \h </w:instrText>
        </w:r>
        <w:r w:rsidRPr="00521670">
          <w:rPr>
            <w:webHidden/>
            <w:lang w:val="ru-RU"/>
          </w:rPr>
        </w:r>
        <w:r w:rsidRPr="00521670">
          <w:rPr>
            <w:webHidden/>
            <w:lang w:val="ru-RU"/>
          </w:rPr>
          <w:fldChar w:fldCharType="separate"/>
        </w:r>
        <w:r w:rsidR="002C40E3" w:rsidRPr="00521670">
          <w:rPr>
            <w:webHidden/>
            <w:lang w:val="ru-RU"/>
          </w:rPr>
          <w:t>23</w:t>
        </w:r>
        <w:r w:rsidRPr="00521670">
          <w:rPr>
            <w:webHidden/>
            <w:lang w:val="ru-RU"/>
          </w:rPr>
          <w:fldChar w:fldCharType="end"/>
        </w:r>
      </w:hyperlink>
    </w:p>
    <w:p w14:paraId="2279F28B" w14:textId="0F4314BE" w:rsidR="004D3100" w:rsidRPr="00521670" w:rsidRDefault="004D3100" w:rsidP="004D3100">
      <w:pPr>
        <w:pStyle w:val="TOC1"/>
        <w:tabs>
          <w:tab w:val="clear" w:pos="8789"/>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1" w:history="1">
        <w:r w:rsidRPr="00521670">
          <w:rPr>
            <w:rStyle w:val="Hyperlink"/>
            <w:lang w:val="ru-RU"/>
          </w:rPr>
          <w:t>Финансовая отчетность</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_Toc200469521 \h </w:instrText>
        </w:r>
        <w:r w:rsidRPr="00521670">
          <w:rPr>
            <w:webHidden/>
            <w:lang w:val="ru-RU"/>
          </w:rPr>
        </w:r>
        <w:r w:rsidRPr="00521670">
          <w:rPr>
            <w:webHidden/>
            <w:lang w:val="ru-RU"/>
          </w:rPr>
          <w:fldChar w:fldCharType="separate"/>
        </w:r>
        <w:r w:rsidR="002C40E3" w:rsidRPr="00521670">
          <w:rPr>
            <w:webHidden/>
            <w:lang w:val="ru-RU"/>
          </w:rPr>
          <w:t>26</w:t>
        </w:r>
        <w:r w:rsidRPr="00521670">
          <w:rPr>
            <w:webHidden/>
            <w:lang w:val="ru-RU"/>
          </w:rPr>
          <w:fldChar w:fldCharType="end"/>
        </w:r>
      </w:hyperlink>
    </w:p>
    <w:p w14:paraId="021160B2" w14:textId="2E669EB2" w:rsidR="004D3100" w:rsidRPr="00521670" w:rsidRDefault="004D3100" w:rsidP="004D3100">
      <w:pPr>
        <w:pStyle w:val="TOC1"/>
        <w:tabs>
          <w:tab w:val="clear" w:pos="8789"/>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4" w:history="1">
        <w:r w:rsidRPr="00521670">
          <w:rPr>
            <w:rStyle w:val="Hyperlink"/>
            <w:lang w:val="ru-RU"/>
          </w:rPr>
          <w:t>Примечания к финансовой отчетности</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_Toc200469524 \h </w:instrText>
        </w:r>
        <w:r w:rsidRPr="00521670">
          <w:rPr>
            <w:webHidden/>
            <w:lang w:val="ru-RU"/>
          </w:rPr>
        </w:r>
        <w:r w:rsidRPr="00521670">
          <w:rPr>
            <w:webHidden/>
            <w:lang w:val="ru-RU"/>
          </w:rPr>
          <w:fldChar w:fldCharType="separate"/>
        </w:r>
        <w:r w:rsidR="002C40E3" w:rsidRPr="00521670">
          <w:rPr>
            <w:webHidden/>
            <w:lang w:val="ru-RU"/>
          </w:rPr>
          <w:t>31</w:t>
        </w:r>
        <w:r w:rsidRPr="00521670">
          <w:rPr>
            <w:webHidden/>
            <w:lang w:val="ru-RU"/>
          </w:rPr>
          <w:fldChar w:fldCharType="end"/>
        </w:r>
      </w:hyperlink>
    </w:p>
    <w:p w14:paraId="6FB74801" w14:textId="5AF8BFFF"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5" w:history="1">
        <w:r w:rsidRPr="00521670">
          <w:rPr>
            <w:rStyle w:val="Hyperlink"/>
            <w:lang w:val="ru-RU"/>
          </w:rPr>
          <w:t>Примечание 1</w:t>
        </w:r>
        <w:r w:rsidR="00171731" w:rsidRPr="00521670">
          <w:rPr>
            <w:rFonts w:asciiTheme="minorHAnsi" w:eastAsiaTheme="minorEastAsia" w:hAnsiTheme="minorHAnsi" w:cstheme="minorBidi"/>
            <w:kern w:val="2"/>
            <w:sz w:val="24"/>
            <w:szCs w:val="24"/>
            <w:lang w:val="ru-RU" w:eastAsia="en-GB"/>
            <w14:ligatures w14:val="standardContextual"/>
          </w:rPr>
          <w:tab/>
        </w:r>
        <w:r w:rsidRPr="00521670">
          <w:rPr>
            <w:rStyle w:val="Hyperlink"/>
            <w:lang w:val="ru-RU"/>
          </w:rPr>
          <w:t>Задачи Союза</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_Toc200469525 \h </w:instrText>
        </w:r>
        <w:r w:rsidRPr="00521670">
          <w:rPr>
            <w:webHidden/>
            <w:lang w:val="ru-RU"/>
          </w:rPr>
        </w:r>
        <w:r w:rsidRPr="00521670">
          <w:rPr>
            <w:webHidden/>
            <w:lang w:val="ru-RU"/>
          </w:rPr>
          <w:fldChar w:fldCharType="separate"/>
        </w:r>
        <w:r w:rsidR="002C40E3" w:rsidRPr="00521670">
          <w:rPr>
            <w:webHidden/>
            <w:lang w:val="ru-RU"/>
          </w:rPr>
          <w:t>31</w:t>
        </w:r>
        <w:r w:rsidRPr="00521670">
          <w:rPr>
            <w:webHidden/>
            <w:lang w:val="ru-RU"/>
          </w:rPr>
          <w:fldChar w:fldCharType="end"/>
        </w:r>
      </w:hyperlink>
    </w:p>
    <w:p w14:paraId="6552492C" w14:textId="223CD122"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6" w:history="1">
        <w:r w:rsidRPr="00521670">
          <w:rPr>
            <w:rStyle w:val="Hyperlink"/>
            <w:lang w:val="ru-RU"/>
          </w:rPr>
          <w:t>Примечание 2</w:t>
        </w:r>
        <w:r w:rsidR="00171731" w:rsidRPr="00521670">
          <w:rPr>
            <w:rStyle w:val="Hyperlink"/>
            <w:lang w:val="ru-RU"/>
          </w:rPr>
          <w:tab/>
        </w:r>
        <w:r w:rsidRPr="00521670">
          <w:rPr>
            <w:rStyle w:val="Hyperlink"/>
            <w:lang w:val="ru-RU"/>
          </w:rPr>
          <w:t>Основа для подготовки и представления</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_Toc200469526 \h </w:instrText>
        </w:r>
        <w:r w:rsidRPr="00521670">
          <w:rPr>
            <w:webHidden/>
            <w:lang w:val="ru-RU"/>
          </w:rPr>
        </w:r>
        <w:r w:rsidRPr="00521670">
          <w:rPr>
            <w:webHidden/>
            <w:lang w:val="ru-RU"/>
          </w:rPr>
          <w:fldChar w:fldCharType="separate"/>
        </w:r>
        <w:r w:rsidR="002C40E3" w:rsidRPr="00521670">
          <w:rPr>
            <w:webHidden/>
            <w:lang w:val="ru-RU"/>
          </w:rPr>
          <w:t>32</w:t>
        </w:r>
        <w:r w:rsidRPr="00521670">
          <w:rPr>
            <w:webHidden/>
            <w:lang w:val="ru-RU"/>
          </w:rPr>
          <w:fldChar w:fldCharType="end"/>
        </w:r>
      </w:hyperlink>
    </w:p>
    <w:p w14:paraId="20CE02AA" w14:textId="4B379F80"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7" w:history="1">
        <w:r w:rsidRPr="00521670">
          <w:rPr>
            <w:rStyle w:val="Hyperlink"/>
            <w:lang w:val="ru-RU"/>
          </w:rPr>
          <w:t>Примечание 3</w:t>
        </w:r>
        <w:r w:rsidR="00171731" w:rsidRPr="00521670">
          <w:rPr>
            <w:rStyle w:val="Hyperlink"/>
            <w:lang w:val="ru-RU"/>
          </w:rPr>
          <w:tab/>
        </w:r>
        <w:r w:rsidRPr="00521670">
          <w:rPr>
            <w:rStyle w:val="Hyperlink"/>
            <w:lang w:val="ru-RU"/>
          </w:rPr>
          <w:t>Основные методы бухгалтерского учета</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_Toc200469527 \h </w:instrText>
        </w:r>
        <w:r w:rsidRPr="00521670">
          <w:rPr>
            <w:webHidden/>
            <w:lang w:val="ru-RU"/>
          </w:rPr>
        </w:r>
        <w:r w:rsidRPr="00521670">
          <w:rPr>
            <w:webHidden/>
            <w:lang w:val="ru-RU"/>
          </w:rPr>
          <w:fldChar w:fldCharType="separate"/>
        </w:r>
        <w:r w:rsidR="002C40E3" w:rsidRPr="00521670">
          <w:rPr>
            <w:webHidden/>
            <w:lang w:val="ru-RU"/>
          </w:rPr>
          <w:t>33</w:t>
        </w:r>
        <w:r w:rsidRPr="00521670">
          <w:rPr>
            <w:webHidden/>
            <w:lang w:val="ru-RU"/>
          </w:rPr>
          <w:fldChar w:fldCharType="end"/>
        </w:r>
      </w:hyperlink>
    </w:p>
    <w:p w14:paraId="1A48F9E5" w14:textId="11BA84A7"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8" w:history="1">
        <w:r w:rsidRPr="00521670">
          <w:rPr>
            <w:rStyle w:val="Hyperlink"/>
            <w:lang w:val="ru-RU"/>
          </w:rPr>
          <w:t>Примечание 4</w:t>
        </w:r>
        <w:r w:rsidR="00171731" w:rsidRPr="00521670">
          <w:rPr>
            <w:rStyle w:val="Hyperlink"/>
            <w:lang w:val="ru-RU"/>
          </w:rPr>
          <w:tab/>
        </w:r>
        <w:r w:rsidRPr="00521670">
          <w:rPr>
            <w:rStyle w:val="Hyperlink"/>
            <w:lang w:val="ru-RU"/>
          </w:rPr>
          <w:t>Управление чистыми активами</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_Toc200469528 \h </w:instrText>
        </w:r>
        <w:r w:rsidRPr="00521670">
          <w:rPr>
            <w:webHidden/>
            <w:lang w:val="ru-RU"/>
          </w:rPr>
        </w:r>
        <w:r w:rsidRPr="00521670">
          <w:rPr>
            <w:webHidden/>
            <w:lang w:val="ru-RU"/>
          </w:rPr>
          <w:fldChar w:fldCharType="separate"/>
        </w:r>
        <w:r w:rsidR="002C40E3" w:rsidRPr="00521670">
          <w:rPr>
            <w:webHidden/>
            <w:lang w:val="ru-RU"/>
          </w:rPr>
          <w:t>42</w:t>
        </w:r>
        <w:r w:rsidRPr="00521670">
          <w:rPr>
            <w:webHidden/>
            <w:lang w:val="ru-RU"/>
          </w:rPr>
          <w:fldChar w:fldCharType="end"/>
        </w:r>
      </w:hyperlink>
    </w:p>
    <w:p w14:paraId="7CA77A43" w14:textId="6CF6203D"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29" w:history="1">
        <w:r w:rsidRPr="00521670">
          <w:rPr>
            <w:rStyle w:val="Hyperlink"/>
            <w:lang w:val="ru-RU"/>
          </w:rPr>
          <w:t>Примечание 5</w:t>
        </w:r>
        <w:r w:rsidR="00171731" w:rsidRPr="00521670">
          <w:rPr>
            <w:rStyle w:val="Hyperlink"/>
            <w:lang w:val="ru-RU"/>
          </w:rPr>
          <w:tab/>
        </w:r>
        <w:r w:rsidRPr="00521670">
          <w:rPr>
            <w:rStyle w:val="Hyperlink"/>
            <w:lang w:val="ru-RU"/>
          </w:rPr>
          <w:t>Финансовые риски</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_Toc200469529 \h </w:instrText>
        </w:r>
        <w:r w:rsidRPr="00521670">
          <w:rPr>
            <w:webHidden/>
            <w:lang w:val="ru-RU"/>
          </w:rPr>
        </w:r>
        <w:r w:rsidRPr="00521670">
          <w:rPr>
            <w:webHidden/>
            <w:lang w:val="ru-RU"/>
          </w:rPr>
          <w:fldChar w:fldCharType="separate"/>
        </w:r>
        <w:r w:rsidR="002C40E3" w:rsidRPr="00521670">
          <w:rPr>
            <w:webHidden/>
            <w:lang w:val="ru-RU"/>
          </w:rPr>
          <w:t>45</w:t>
        </w:r>
        <w:r w:rsidRPr="00521670">
          <w:rPr>
            <w:webHidden/>
            <w:lang w:val="ru-RU"/>
          </w:rPr>
          <w:fldChar w:fldCharType="end"/>
        </w:r>
      </w:hyperlink>
    </w:p>
    <w:p w14:paraId="400A65C2" w14:textId="52A705D8"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0" w:history="1">
        <w:r w:rsidRPr="00521670">
          <w:rPr>
            <w:rStyle w:val="Hyperlink"/>
            <w:lang w:val="ru-RU"/>
          </w:rPr>
          <w:t>Примечание 6</w:t>
        </w:r>
        <w:r w:rsidR="00171731" w:rsidRPr="00521670">
          <w:rPr>
            <w:rStyle w:val="Hyperlink"/>
            <w:lang w:val="ru-RU"/>
          </w:rPr>
          <w:tab/>
        </w:r>
        <w:r w:rsidRPr="00521670">
          <w:rPr>
            <w:rStyle w:val="Hyperlink"/>
            <w:lang w:val="ru-RU"/>
          </w:rPr>
          <w:t>Денежные средства и эквиваленты денежных средств</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_Toc200469530 \h </w:instrText>
        </w:r>
        <w:r w:rsidRPr="00521670">
          <w:rPr>
            <w:webHidden/>
            <w:lang w:val="ru-RU"/>
          </w:rPr>
        </w:r>
        <w:r w:rsidRPr="00521670">
          <w:rPr>
            <w:webHidden/>
            <w:lang w:val="ru-RU"/>
          </w:rPr>
          <w:fldChar w:fldCharType="separate"/>
        </w:r>
        <w:r w:rsidR="002C40E3" w:rsidRPr="00521670">
          <w:rPr>
            <w:webHidden/>
            <w:lang w:val="ru-RU"/>
          </w:rPr>
          <w:t>48</w:t>
        </w:r>
        <w:r w:rsidRPr="00521670">
          <w:rPr>
            <w:webHidden/>
            <w:lang w:val="ru-RU"/>
          </w:rPr>
          <w:fldChar w:fldCharType="end"/>
        </w:r>
      </w:hyperlink>
    </w:p>
    <w:p w14:paraId="69EEA269" w14:textId="37B8F435"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1" w:history="1">
        <w:r w:rsidRPr="00521670">
          <w:rPr>
            <w:rStyle w:val="Hyperlink"/>
            <w:lang w:val="ru-RU"/>
          </w:rPr>
          <w:t>Примечание 7</w:t>
        </w:r>
        <w:r w:rsidR="00171731" w:rsidRPr="00521670">
          <w:rPr>
            <w:rStyle w:val="Hyperlink"/>
            <w:lang w:val="ru-RU"/>
          </w:rPr>
          <w:tab/>
        </w:r>
        <w:r w:rsidRPr="00521670">
          <w:rPr>
            <w:rStyle w:val="Hyperlink"/>
            <w:lang w:val="ru-RU"/>
          </w:rPr>
          <w:t>Инвестиции</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_Toc200469531 \h </w:instrText>
        </w:r>
        <w:r w:rsidRPr="00521670">
          <w:rPr>
            <w:webHidden/>
            <w:lang w:val="ru-RU"/>
          </w:rPr>
        </w:r>
        <w:r w:rsidRPr="00521670">
          <w:rPr>
            <w:webHidden/>
            <w:lang w:val="ru-RU"/>
          </w:rPr>
          <w:fldChar w:fldCharType="separate"/>
        </w:r>
        <w:r w:rsidR="002C40E3" w:rsidRPr="00521670">
          <w:rPr>
            <w:webHidden/>
            <w:lang w:val="ru-RU"/>
          </w:rPr>
          <w:t>49</w:t>
        </w:r>
        <w:r w:rsidRPr="00521670">
          <w:rPr>
            <w:webHidden/>
            <w:lang w:val="ru-RU"/>
          </w:rPr>
          <w:fldChar w:fldCharType="end"/>
        </w:r>
      </w:hyperlink>
    </w:p>
    <w:p w14:paraId="02D9754F" w14:textId="689F4587"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2" w:history="1">
        <w:r w:rsidRPr="00521670">
          <w:rPr>
            <w:rStyle w:val="Hyperlink"/>
            <w:lang w:val="ru-RU"/>
          </w:rPr>
          <w:t>Примечание 8</w:t>
        </w:r>
        <w:r w:rsidR="00171731" w:rsidRPr="00521670">
          <w:rPr>
            <w:rStyle w:val="Hyperlink"/>
            <w:lang w:val="ru-RU"/>
          </w:rPr>
          <w:tab/>
        </w:r>
        <w:r w:rsidRPr="00521670">
          <w:rPr>
            <w:rStyle w:val="Hyperlink"/>
            <w:lang w:val="ru-RU"/>
          </w:rPr>
          <w:t>Долговые обязательства</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_Toc200469532 \h </w:instrText>
        </w:r>
        <w:r w:rsidRPr="00521670">
          <w:rPr>
            <w:webHidden/>
            <w:lang w:val="ru-RU"/>
          </w:rPr>
        </w:r>
        <w:r w:rsidRPr="00521670">
          <w:rPr>
            <w:webHidden/>
            <w:lang w:val="ru-RU"/>
          </w:rPr>
          <w:fldChar w:fldCharType="separate"/>
        </w:r>
        <w:r w:rsidR="002C40E3" w:rsidRPr="00521670">
          <w:rPr>
            <w:webHidden/>
            <w:lang w:val="ru-RU"/>
          </w:rPr>
          <w:t>49</w:t>
        </w:r>
        <w:r w:rsidRPr="00521670">
          <w:rPr>
            <w:webHidden/>
            <w:lang w:val="ru-RU"/>
          </w:rPr>
          <w:fldChar w:fldCharType="end"/>
        </w:r>
      </w:hyperlink>
    </w:p>
    <w:p w14:paraId="6B75FF09" w14:textId="5A4E333A"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3" w:history="1">
        <w:r w:rsidRPr="00521670">
          <w:rPr>
            <w:rStyle w:val="Hyperlink"/>
            <w:lang w:val="ru-RU"/>
          </w:rPr>
          <w:t>Примечание 9</w:t>
        </w:r>
        <w:r w:rsidR="00171731" w:rsidRPr="00521670">
          <w:rPr>
            <w:rStyle w:val="Hyperlink"/>
            <w:lang w:val="ru-RU"/>
          </w:rPr>
          <w:tab/>
        </w:r>
        <w:r w:rsidRPr="00521670">
          <w:rPr>
            <w:rStyle w:val="Hyperlink"/>
            <w:lang w:val="ru-RU"/>
          </w:rPr>
          <w:t>Прочие долговые обязательства</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_Toc200469533 \h </w:instrText>
        </w:r>
        <w:r w:rsidRPr="00521670">
          <w:rPr>
            <w:webHidden/>
            <w:lang w:val="ru-RU"/>
          </w:rPr>
        </w:r>
        <w:r w:rsidRPr="00521670">
          <w:rPr>
            <w:webHidden/>
            <w:lang w:val="ru-RU"/>
          </w:rPr>
          <w:fldChar w:fldCharType="separate"/>
        </w:r>
        <w:r w:rsidR="002C40E3" w:rsidRPr="00521670">
          <w:rPr>
            <w:webHidden/>
            <w:lang w:val="ru-RU"/>
          </w:rPr>
          <w:t>50</w:t>
        </w:r>
        <w:r w:rsidRPr="00521670">
          <w:rPr>
            <w:webHidden/>
            <w:lang w:val="ru-RU"/>
          </w:rPr>
          <w:fldChar w:fldCharType="end"/>
        </w:r>
      </w:hyperlink>
    </w:p>
    <w:p w14:paraId="28C5E3F9" w14:textId="67E440CC"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4" w:history="1">
        <w:r w:rsidRPr="00521670">
          <w:rPr>
            <w:rStyle w:val="Hyperlink"/>
            <w:lang w:val="ru-RU"/>
          </w:rPr>
          <w:t>Примечание 10</w:t>
        </w:r>
        <w:r w:rsidR="00171731" w:rsidRPr="00521670">
          <w:rPr>
            <w:rStyle w:val="Hyperlink"/>
            <w:lang w:val="ru-RU"/>
          </w:rPr>
          <w:tab/>
        </w:r>
        <w:r w:rsidRPr="00521670">
          <w:rPr>
            <w:rStyle w:val="Hyperlink"/>
            <w:lang w:val="ru-RU"/>
          </w:rPr>
          <w:t>Материальные активы</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_Toc200469534 \h </w:instrText>
        </w:r>
        <w:r w:rsidRPr="00521670">
          <w:rPr>
            <w:webHidden/>
            <w:lang w:val="ru-RU"/>
          </w:rPr>
        </w:r>
        <w:r w:rsidRPr="00521670">
          <w:rPr>
            <w:webHidden/>
            <w:lang w:val="ru-RU"/>
          </w:rPr>
          <w:fldChar w:fldCharType="separate"/>
        </w:r>
        <w:r w:rsidR="002C40E3" w:rsidRPr="00521670">
          <w:rPr>
            <w:webHidden/>
            <w:lang w:val="ru-RU"/>
          </w:rPr>
          <w:t>50</w:t>
        </w:r>
        <w:r w:rsidRPr="00521670">
          <w:rPr>
            <w:webHidden/>
            <w:lang w:val="ru-RU"/>
          </w:rPr>
          <w:fldChar w:fldCharType="end"/>
        </w:r>
      </w:hyperlink>
    </w:p>
    <w:p w14:paraId="4AC7A0FF" w14:textId="4662B523"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5" w:history="1">
        <w:r w:rsidRPr="00521670">
          <w:rPr>
            <w:rStyle w:val="Hyperlink"/>
            <w:lang w:val="ru-RU"/>
          </w:rPr>
          <w:t>Примечание 11</w:t>
        </w:r>
        <w:r w:rsidR="00171731" w:rsidRPr="00521670">
          <w:rPr>
            <w:rStyle w:val="Hyperlink"/>
            <w:lang w:val="ru-RU"/>
          </w:rPr>
          <w:tab/>
        </w:r>
        <w:r w:rsidRPr="00521670">
          <w:rPr>
            <w:rStyle w:val="Hyperlink"/>
            <w:lang w:val="ru-RU"/>
          </w:rPr>
          <w:t>Нематериальные активы</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_Toc200469535 \h </w:instrText>
        </w:r>
        <w:r w:rsidRPr="00521670">
          <w:rPr>
            <w:webHidden/>
            <w:lang w:val="ru-RU"/>
          </w:rPr>
        </w:r>
        <w:r w:rsidRPr="00521670">
          <w:rPr>
            <w:webHidden/>
            <w:lang w:val="ru-RU"/>
          </w:rPr>
          <w:fldChar w:fldCharType="separate"/>
        </w:r>
        <w:r w:rsidR="002C40E3" w:rsidRPr="00521670">
          <w:rPr>
            <w:webHidden/>
            <w:lang w:val="ru-RU"/>
          </w:rPr>
          <w:t>53</w:t>
        </w:r>
        <w:r w:rsidRPr="00521670">
          <w:rPr>
            <w:webHidden/>
            <w:lang w:val="ru-RU"/>
          </w:rPr>
          <w:fldChar w:fldCharType="end"/>
        </w:r>
      </w:hyperlink>
    </w:p>
    <w:p w14:paraId="677832CC" w14:textId="3C995CBD"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6" w:history="1">
        <w:r w:rsidRPr="00521670">
          <w:rPr>
            <w:rStyle w:val="Hyperlink"/>
            <w:lang w:val="ru-RU"/>
          </w:rPr>
          <w:t>Примечание 12</w:t>
        </w:r>
        <w:r w:rsidR="00171731" w:rsidRPr="00521670">
          <w:rPr>
            <w:rStyle w:val="Hyperlink"/>
            <w:lang w:val="ru-RU"/>
          </w:rPr>
          <w:tab/>
        </w:r>
        <w:r w:rsidRPr="00521670">
          <w:rPr>
            <w:rStyle w:val="Hyperlink"/>
            <w:lang w:val="ru-RU"/>
          </w:rPr>
          <w:t>Активы на этапе строительства</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_Toc200469536 \h </w:instrText>
        </w:r>
        <w:r w:rsidRPr="00521670">
          <w:rPr>
            <w:webHidden/>
            <w:lang w:val="ru-RU"/>
          </w:rPr>
        </w:r>
        <w:r w:rsidRPr="00521670">
          <w:rPr>
            <w:webHidden/>
            <w:lang w:val="ru-RU"/>
          </w:rPr>
          <w:fldChar w:fldCharType="separate"/>
        </w:r>
        <w:r w:rsidR="002C40E3" w:rsidRPr="00521670">
          <w:rPr>
            <w:webHidden/>
            <w:lang w:val="ru-RU"/>
          </w:rPr>
          <w:t>53</w:t>
        </w:r>
        <w:r w:rsidRPr="00521670">
          <w:rPr>
            <w:webHidden/>
            <w:lang w:val="ru-RU"/>
          </w:rPr>
          <w:fldChar w:fldCharType="end"/>
        </w:r>
      </w:hyperlink>
    </w:p>
    <w:p w14:paraId="0941A5FD" w14:textId="36B67BBE"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7" w:history="1">
        <w:r w:rsidRPr="00521670">
          <w:rPr>
            <w:rStyle w:val="Hyperlink"/>
            <w:lang w:val="ru-RU"/>
          </w:rPr>
          <w:t>Примечание 13</w:t>
        </w:r>
        <w:r w:rsidR="00171731" w:rsidRPr="00521670">
          <w:rPr>
            <w:rStyle w:val="Hyperlink"/>
            <w:lang w:val="ru-RU"/>
          </w:rPr>
          <w:tab/>
        </w:r>
        <w:r w:rsidRPr="00521670">
          <w:rPr>
            <w:rStyle w:val="Hyperlink"/>
            <w:lang w:val="ru-RU"/>
          </w:rPr>
          <w:t>Кредиторская задолженность</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_Toc200469537 \h </w:instrText>
        </w:r>
        <w:r w:rsidRPr="00521670">
          <w:rPr>
            <w:webHidden/>
            <w:lang w:val="ru-RU"/>
          </w:rPr>
        </w:r>
        <w:r w:rsidRPr="00521670">
          <w:rPr>
            <w:webHidden/>
            <w:lang w:val="ru-RU"/>
          </w:rPr>
          <w:fldChar w:fldCharType="separate"/>
        </w:r>
        <w:r w:rsidR="002C40E3" w:rsidRPr="00521670">
          <w:rPr>
            <w:webHidden/>
            <w:lang w:val="ru-RU"/>
          </w:rPr>
          <w:t>54</w:t>
        </w:r>
        <w:r w:rsidRPr="00521670">
          <w:rPr>
            <w:webHidden/>
            <w:lang w:val="ru-RU"/>
          </w:rPr>
          <w:fldChar w:fldCharType="end"/>
        </w:r>
      </w:hyperlink>
    </w:p>
    <w:p w14:paraId="36898146" w14:textId="69295FE6"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8" w:history="1">
        <w:r w:rsidRPr="00521670">
          <w:rPr>
            <w:rStyle w:val="Hyperlink"/>
            <w:lang w:val="ru-RU"/>
          </w:rPr>
          <w:t>Примечание 14</w:t>
        </w:r>
        <w:r w:rsidR="00171731" w:rsidRPr="00521670">
          <w:rPr>
            <w:rStyle w:val="Hyperlink"/>
            <w:lang w:val="ru-RU"/>
          </w:rPr>
          <w:tab/>
        </w:r>
        <w:r w:rsidRPr="00521670">
          <w:rPr>
            <w:rStyle w:val="Hyperlink"/>
            <w:lang w:val="ru-RU"/>
          </w:rPr>
          <w:t>Доходы будущих периодов</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_Toc200469538 \h </w:instrText>
        </w:r>
        <w:r w:rsidRPr="00521670">
          <w:rPr>
            <w:webHidden/>
            <w:lang w:val="ru-RU"/>
          </w:rPr>
        </w:r>
        <w:r w:rsidRPr="00521670">
          <w:rPr>
            <w:webHidden/>
            <w:lang w:val="ru-RU"/>
          </w:rPr>
          <w:fldChar w:fldCharType="separate"/>
        </w:r>
        <w:r w:rsidR="002C40E3" w:rsidRPr="00521670">
          <w:rPr>
            <w:webHidden/>
            <w:lang w:val="ru-RU"/>
          </w:rPr>
          <w:t>54</w:t>
        </w:r>
        <w:r w:rsidRPr="00521670">
          <w:rPr>
            <w:webHidden/>
            <w:lang w:val="ru-RU"/>
          </w:rPr>
          <w:fldChar w:fldCharType="end"/>
        </w:r>
      </w:hyperlink>
    </w:p>
    <w:p w14:paraId="54313445" w14:textId="3459929B"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39" w:history="1">
        <w:r w:rsidRPr="00521670">
          <w:rPr>
            <w:rStyle w:val="Hyperlink"/>
            <w:lang w:val="ru-RU"/>
          </w:rPr>
          <w:t>Примечание 15</w:t>
        </w:r>
        <w:r w:rsidR="00171731" w:rsidRPr="00521670">
          <w:rPr>
            <w:rStyle w:val="Hyperlink"/>
            <w:lang w:val="ru-RU"/>
          </w:rPr>
          <w:tab/>
        </w:r>
        <w:r w:rsidRPr="00521670">
          <w:rPr>
            <w:rStyle w:val="Hyperlink"/>
            <w:lang w:val="ru-RU"/>
          </w:rPr>
          <w:t>Займы и прочая финансовая задолженность</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_Toc200469539 \h </w:instrText>
        </w:r>
        <w:r w:rsidRPr="00521670">
          <w:rPr>
            <w:webHidden/>
            <w:lang w:val="ru-RU"/>
          </w:rPr>
        </w:r>
        <w:r w:rsidRPr="00521670">
          <w:rPr>
            <w:webHidden/>
            <w:lang w:val="ru-RU"/>
          </w:rPr>
          <w:fldChar w:fldCharType="separate"/>
        </w:r>
        <w:r w:rsidR="002C40E3" w:rsidRPr="00521670">
          <w:rPr>
            <w:webHidden/>
            <w:lang w:val="ru-RU"/>
          </w:rPr>
          <w:t>55</w:t>
        </w:r>
        <w:r w:rsidRPr="00521670">
          <w:rPr>
            <w:webHidden/>
            <w:lang w:val="ru-RU"/>
          </w:rPr>
          <w:fldChar w:fldCharType="end"/>
        </w:r>
      </w:hyperlink>
    </w:p>
    <w:p w14:paraId="7EAF0CBC" w14:textId="0254AAF0"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40" w:history="1">
        <w:r w:rsidRPr="00521670">
          <w:rPr>
            <w:rStyle w:val="Hyperlink"/>
            <w:lang w:val="ru-RU"/>
          </w:rPr>
          <w:t>Примечание 16</w:t>
        </w:r>
        <w:r w:rsidR="00171731" w:rsidRPr="00521670">
          <w:rPr>
            <w:rStyle w:val="Hyperlink"/>
            <w:lang w:val="ru-RU"/>
          </w:rPr>
          <w:tab/>
        </w:r>
        <w:r w:rsidRPr="00521670">
          <w:rPr>
            <w:rStyle w:val="Hyperlink"/>
            <w:lang w:val="ru-RU"/>
          </w:rPr>
          <w:t>Вознаграждение сотрудников</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_Toc200469540 \h </w:instrText>
        </w:r>
        <w:r w:rsidRPr="00521670">
          <w:rPr>
            <w:webHidden/>
            <w:lang w:val="ru-RU"/>
          </w:rPr>
        </w:r>
        <w:r w:rsidRPr="00521670">
          <w:rPr>
            <w:webHidden/>
            <w:lang w:val="ru-RU"/>
          </w:rPr>
          <w:fldChar w:fldCharType="separate"/>
        </w:r>
        <w:r w:rsidR="002C40E3" w:rsidRPr="00521670">
          <w:rPr>
            <w:webHidden/>
            <w:lang w:val="ru-RU"/>
          </w:rPr>
          <w:t>56</w:t>
        </w:r>
        <w:r w:rsidRPr="00521670">
          <w:rPr>
            <w:webHidden/>
            <w:lang w:val="ru-RU"/>
          </w:rPr>
          <w:fldChar w:fldCharType="end"/>
        </w:r>
      </w:hyperlink>
    </w:p>
    <w:p w14:paraId="1C88880D" w14:textId="7E940326"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41" w:history="1">
        <w:r w:rsidRPr="00521670">
          <w:rPr>
            <w:rStyle w:val="Hyperlink"/>
            <w:lang w:val="ru-RU"/>
          </w:rPr>
          <w:t>Примечание 17</w:t>
        </w:r>
        <w:r w:rsidR="00171731" w:rsidRPr="00521670">
          <w:rPr>
            <w:rStyle w:val="Hyperlink"/>
            <w:lang w:val="ru-RU"/>
          </w:rPr>
          <w:tab/>
        </w:r>
        <w:r w:rsidRPr="00521670">
          <w:rPr>
            <w:rStyle w:val="Hyperlink"/>
            <w:lang w:val="ru-RU"/>
          </w:rPr>
          <w:t>Прочие обязательства</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_Toc200469541 \h </w:instrText>
        </w:r>
        <w:r w:rsidRPr="00521670">
          <w:rPr>
            <w:webHidden/>
            <w:lang w:val="ru-RU"/>
          </w:rPr>
        </w:r>
        <w:r w:rsidRPr="00521670">
          <w:rPr>
            <w:webHidden/>
            <w:lang w:val="ru-RU"/>
          </w:rPr>
          <w:fldChar w:fldCharType="separate"/>
        </w:r>
        <w:r w:rsidR="002C40E3" w:rsidRPr="00521670">
          <w:rPr>
            <w:webHidden/>
            <w:lang w:val="ru-RU"/>
          </w:rPr>
          <w:t>64</w:t>
        </w:r>
        <w:r w:rsidRPr="00521670">
          <w:rPr>
            <w:webHidden/>
            <w:lang w:val="ru-RU"/>
          </w:rPr>
          <w:fldChar w:fldCharType="end"/>
        </w:r>
      </w:hyperlink>
    </w:p>
    <w:p w14:paraId="3CD82906" w14:textId="44B9E822"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42" w:history="1">
        <w:r w:rsidRPr="00521670">
          <w:rPr>
            <w:rStyle w:val="Hyperlink"/>
            <w:lang w:val="ru-RU"/>
          </w:rPr>
          <w:t>Примечание 18</w:t>
        </w:r>
        <w:r w:rsidR="00171731" w:rsidRPr="00521670">
          <w:rPr>
            <w:rStyle w:val="Hyperlink"/>
            <w:lang w:val="ru-RU"/>
          </w:rPr>
          <w:tab/>
        </w:r>
        <w:r w:rsidRPr="00521670">
          <w:rPr>
            <w:rStyle w:val="Hyperlink"/>
            <w:lang w:val="ru-RU"/>
          </w:rPr>
          <w:t>Доходы</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_Toc200469542 \h </w:instrText>
        </w:r>
        <w:r w:rsidRPr="00521670">
          <w:rPr>
            <w:webHidden/>
            <w:lang w:val="ru-RU"/>
          </w:rPr>
        </w:r>
        <w:r w:rsidRPr="00521670">
          <w:rPr>
            <w:webHidden/>
            <w:lang w:val="ru-RU"/>
          </w:rPr>
          <w:fldChar w:fldCharType="separate"/>
        </w:r>
        <w:r w:rsidR="002C40E3" w:rsidRPr="00521670">
          <w:rPr>
            <w:webHidden/>
            <w:lang w:val="ru-RU"/>
          </w:rPr>
          <w:t>65</w:t>
        </w:r>
        <w:r w:rsidRPr="00521670">
          <w:rPr>
            <w:webHidden/>
            <w:lang w:val="ru-RU"/>
          </w:rPr>
          <w:fldChar w:fldCharType="end"/>
        </w:r>
      </w:hyperlink>
    </w:p>
    <w:p w14:paraId="4BAA9DE6" w14:textId="3C777EDF"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43" w:history="1">
        <w:r w:rsidRPr="00521670">
          <w:rPr>
            <w:rStyle w:val="Hyperlink"/>
            <w:lang w:val="ru-RU"/>
          </w:rPr>
          <w:t>Примечание 19</w:t>
        </w:r>
        <w:r w:rsidR="00171731" w:rsidRPr="00521670">
          <w:rPr>
            <w:rStyle w:val="Hyperlink"/>
            <w:lang w:val="ru-RU"/>
          </w:rPr>
          <w:tab/>
        </w:r>
        <w:r w:rsidRPr="00521670">
          <w:rPr>
            <w:rStyle w:val="Hyperlink"/>
            <w:lang w:val="ru-RU"/>
          </w:rPr>
          <w:t>Расходы</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_Toc200469543 \h </w:instrText>
        </w:r>
        <w:r w:rsidRPr="00521670">
          <w:rPr>
            <w:webHidden/>
            <w:lang w:val="ru-RU"/>
          </w:rPr>
        </w:r>
        <w:r w:rsidRPr="00521670">
          <w:rPr>
            <w:webHidden/>
            <w:lang w:val="ru-RU"/>
          </w:rPr>
          <w:fldChar w:fldCharType="separate"/>
        </w:r>
        <w:r w:rsidR="002C40E3" w:rsidRPr="00521670">
          <w:rPr>
            <w:webHidden/>
            <w:lang w:val="ru-RU"/>
          </w:rPr>
          <w:t>67</w:t>
        </w:r>
        <w:r w:rsidRPr="00521670">
          <w:rPr>
            <w:webHidden/>
            <w:lang w:val="ru-RU"/>
          </w:rPr>
          <w:fldChar w:fldCharType="end"/>
        </w:r>
      </w:hyperlink>
    </w:p>
    <w:p w14:paraId="6B786EC6" w14:textId="53201479" w:rsidR="004D3100" w:rsidRPr="00521670" w:rsidRDefault="004D3100" w:rsidP="00C8554E">
      <w:pPr>
        <w:pStyle w:val="TOC1"/>
        <w:tabs>
          <w:tab w:val="clear" w:pos="8789"/>
          <w:tab w:val="left" w:pos="1890"/>
          <w:tab w:val="right" w:pos="9071"/>
        </w:tabs>
        <w:spacing w:before="80"/>
        <w:ind w:left="1888" w:right="1134" w:hanging="1888"/>
        <w:rPr>
          <w:rFonts w:asciiTheme="minorHAnsi" w:eastAsiaTheme="minorEastAsia" w:hAnsiTheme="minorHAnsi" w:cstheme="minorBidi"/>
          <w:kern w:val="2"/>
          <w:sz w:val="24"/>
          <w:szCs w:val="24"/>
          <w:lang w:val="ru-RU" w:eastAsia="en-GB"/>
          <w14:ligatures w14:val="standardContextual"/>
        </w:rPr>
      </w:pPr>
      <w:hyperlink w:anchor="_Toc200469544" w:history="1">
        <w:r w:rsidRPr="00521670">
          <w:rPr>
            <w:rStyle w:val="Hyperlink"/>
            <w:lang w:val="ru-RU"/>
          </w:rPr>
          <w:t>Примечание 20</w:t>
        </w:r>
        <w:r w:rsidR="00171731" w:rsidRPr="00521670">
          <w:rPr>
            <w:rStyle w:val="Hyperlink"/>
            <w:lang w:val="ru-RU"/>
          </w:rPr>
          <w:tab/>
        </w:r>
        <w:r w:rsidRPr="00521670">
          <w:rPr>
            <w:rStyle w:val="Hyperlink"/>
            <w:lang w:val="ru-RU"/>
          </w:rPr>
          <w:t>Информация по сегментам – Отчет о результатах финансовой деятельности за 2024 год</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_Toc200469544 \h </w:instrText>
        </w:r>
        <w:r w:rsidRPr="00521670">
          <w:rPr>
            <w:webHidden/>
            <w:lang w:val="ru-RU"/>
          </w:rPr>
        </w:r>
        <w:r w:rsidRPr="00521670">
          <w:rPr>
            <w:webHidden/>
            <w:lang w:val="ru-RU"/>
          </w:rPr>
          <w:fldChar w:fldCharType="separate"/>
        </w:r>
        <w:r w:rsidR="002C40E3" w:rsidRPr="00521670">
          <w:rPr>
            <w:webHidden/>
            <w:lang w:val="ru-RU"/>
          </w:rPr>
          <w:t>69</w:t>
        </w:r>
        <w:r w:rsidRPr="00521670">
          <w:rPr>
            <w:webHidden/>
            <w:lang w:val="ru-RU"/>
          </w:rPr>
          <w:fldChar w:fldCharType="end"/>
        </w:r>
      </w:hyperlink>
    </w:p>
    <w:p w14:paraId="063E8331" w14:textId="06FF62D9" w:rsidR="004D3100" w:rsidRPr="00521670" w:rsidRDefault="004D3100" w:rsidP="00C8554E">
      <w:pPr>
        <w:pStyle w:val="TOC1"/>
        <w:tabs>
          <w:tab w:val="clear" w:pos="8789"/>
          <w:tab w:val="left" w:pos="1890"/>
          <w:tab w:val="right" w:pos="9071"/>
        </w:tabs>
        <w:spacing w:before="80"/>
        <w:ind w:left="1888" w:right="1134" w:hanging="1888"/>
        <w:rPr>
          <w:rFonts w:asciiTheme="minorHAnsi" w:eastAsiaTheme="minorEastAsia" w:hAnsiTheme="minorHAnsi" w:cstheme="minorBidi"/>
          <w:kern w:val="2"/>
          <w:sz w:val="24"/>
          <w:szCs w:val="24"/>
          <w:lang w:val="ru-RU" w:eastAsia="en-GB"/>
          <w14:ligatures w14:val="standardContextual"/>
        </w:rPr>
      </w:pPr>
      <w:hyperlink w:anchor="_Toc200469545" w:history="1">
        <w:r w:rsidRPr="00521670">
          <w:rPr>
            <w:rStyle w:val="Hyperlink"/>
            <w:lang w:val="ru-RU"/>
          </w:rPr>
          <w:t>Примечание 21</w:t>
        </w:r>
        <w:r w:rsidR="00171731" w:rsidRPr="00521670">
          <w:rPr>
            <w:rStyle w:val="Hyperlink"/>
            <w:lang w:val="ru-RU"/>
          </w:rPr>
          <w:tab/>
        </w:r>
        <w:r w:rsidRPr="00521670">
          <w:rPr>
            <w:rStyle w:val="Hyperlink"/>
            <w:lang w:val="ru-RU"/>
          </w:rPr>
          <w:t>Сопоставление предусмотренных в бюджете сумм с фактическими суммами</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_Toc200469545 \h </w:instrText>
        </w:r>
        <w:r w:rsidRPr="00521670">
          <w:rPr>
            <w:webHidden/>
            <w:lang w:val="ru-RU"/>
          </w:rPr>
        </w:r>
        <w:r w:rsidRPr="00521670">
          <w:rPr>
            <w:webHidden/>
            <w:lang w:val="ru-RU"/>
          </w:rPr>
          <w:fldChar w:fldCharType="separate"/>
        </w:r>
        <w:r w:rsidR="002C40E3" w:rsidRPr="00521670">
          <w:rPr>
            <w:webHidden/>
            <w:lang w:val="ru-RU"/>
          </w:rPr>
          <w:t>71</w:t>
        </w:r>
        <w:r w:rsidRPr="00521670">
          <w:rPr>
            <w:webHidden/>
            <w:lang w:val="ru-RU"/>
          </w:rPr>
          <w:fldChar w:fldCharType="end"/>
        </w:r>
      </w:hyperlink>
    </w:p>
    <w:p w14:paraId="273B9996" w14:textId="69A8AD22"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46" w:history="1">
        <w:r w:rsidRPr="00521670">
          <w:rPr>
            <w:rStyle w:val="Hyperlink"/>
            <w:lang w:val="ru-RU"/>
          </w:rPr>
          <w:t>Примечание 22</w:t>
        </w:r>
        <w:r w:rsidR="00171731" w:rsidRPr="00521670">
          <w:rPr>
            <w:rStyle w:val="Hyperlink"/>
            <w:lang w:val="ru-RU"/>
          </w:rPr>
          <w:tab/>
        </w:r>
        <w:r w:rsidRPr="00521670">
          <w:rPr>
            <w:rStyle w:val="Hyperlink"/>
            <w:lang w:val="ru-RU"/>
          </w:rPr>
          <w:t>Информация, касающаяся связанных сторон</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_Toc200469546 \h </w:instrText>
        </w:r>
        <w:r w:rsidRPr="00521670">
          <w:rPr>
            <w:webHidden/>
            <w:lang w:val="ru-RU"/>
          </w:rPr>
        </w:r>
        <w:r w:rsidRPr="00521670">
          <w:rPr>
            <w:webHidden/>
            <w:lang w:val="ru-RU"/>
          </w:rPr>
          <w:fldChar w:fldCharType="separate"/>
        </w:r>
        <w:r w:rsidR="002C40E3" w:rsidRPr="00521670">
          <w:rPr>
            <w:webHidden/>
            <w:lang w:val="ru-RU"/>
          </w:rPr>
          <w:t>73</w:t>
        </w:r>
        <w:r w:rsidRPr="00521670">
          <w:rPr>
            <w:webHidden/>
            <w:lang w:val="ru-RU"/>
          </w:rPr>
          <w:fldChar w:fldCharType="end"/>
        </w:r>
      </w:hyperlink>
    </w:p>
    <w:p w14:paraId="347FDE78" w14:textId="060C6A96"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47" w:history="1">
        <w:r w:rsidRPr="00521670">
          <w:rPr>
            <w:rStyle w:val="Hyperlink"/>
            <w:lang w:val="ru-RU"/>
          </w:rPr>
          <w:t>Примечание 23</w:t>
        </w:r>
        <w:r w:rsidR="00171731" w:rsidRPr="00521670">
          <w:rPr>
            <w:rStyle w:val="Hyperlink"/>
            <w:lang w:val="ru-RU"/>
          </w:rPr>
          <w:tab/>
        </w:r>
        <w:r w:rsidRPr="00521670">
          <w:rPr>
            <w:rStyle w:val="Hyperlink"/>
            <w:lang w:val="ru-RU"/>
          </w:rPr>
          <w:t>Будущие обязательства</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_Toc200469547 \h </w:instrText>
        </w:r>
        <w:r w:rsidRPr="00521670">
          <w:rPr>
            <w:webHidden/>
            <w:lang w:val="ru-RU"/>
          </w:rPr>
        </w:r>
        <w:r w:rsidRPr="00521670">
          <w:rPr>
            <w:webHidden/>
            <w:lang w:val="ru-RU"/>
          </w:rPr>
          <w:fldChar w:fldCharType="separate"/>
        </w:r>
        <w:r w:rsidR="002C40E3" w:rsidRPr="00521670">
          <w:rPr>
            <w:webHidden/>
            <w:lang w:val="ru-RU"/>
          </w:rPr>
          <w:t>73</w:t>
        </w:r>
        <w:r w:rsidRPr="00521670">
          <w:rPr>
            <w:webHidden/>
            <w:lang w:val="ru-RU"/>
          </w:rPr>
          <w:fldChar w:fldCharType="end"/>
        </w:r>
      </w:hyperlink>
    </w:p>
    <w:p w14:paraId="2886664E" w14:textId="541150A9" w:rsidR="004D3100" w:rsidRPr="00521670" w:rsidRDefault="004D3100" w:rsidP="00171731">
      <w:pPr>
        <w:pStyle w:val="TOC1"/>
        <w:tabs>
          <w:tab w:val="clear" w:pos="8789"/>
          <w:tab w:val="left" w:pos="1890"/>
          <w:tab w:val="right" w:pos="9071"/>
        </w:tabs>
        <w:spacing w:before="80"/>
        <w:ind w:left="562" w:hanging="562"/>
        <w:rPr>
          <w:rFonts w:asciiTheme="minorHAnsi" w:eastAsiaTheme="minorEastAsia" w:hAnsiTheme="minorHAnsi" w:cstheme="minorBidi"/>
          <w:kern w:val="2"/>
          <w:sz w:val="24"/>
          <w:szCs w:val="24"/>
          <w:lang w:val="ru-RU" w:eastAsia="en-GB"/>
          <w14:ligatures w14:val="standardContextual"/>
        </w:rPr>
      </w:pPr>
      <w:hyperlink w:anchor="_Toc200469548" w:history="1">
        <w:r w:rsidRPr="00521670">
          <w:rPr>
            <w:rStyle w:val="Hyperlink"/>
            <w:lang w:val="ru-RU"/>
          </w:rPr>
          <w:t>Примечание 24</w:t>
        </w:r>
        <w:r w:rsidR="00171731" w:rsidRPr="00521670">
          <w:rPr>
            <w:rStyle w:val="Hyperlink"/>
            <w:lang w:val="ru-RU"/>
          </w:rPr>
          <w:tab/>
        </w:r>
        <w:r w:rsidRPr="00521670">
          <w:rPr>
            <w:rStyle w:val="Hyperlink"/>
            <w:lang w:val="ru-RU"/>
          </w:rPr>
          <w:t>Мероприятия, следующие за датой представления отчетности</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_Toc200469548 \h </w:instrText>
        </w:r>
        <w:r w:rsidRPr="00521670">
          <w:rPr>
            <w:webHidden/>
            <w:lang w:val="ru-RU"/>
          </w:rPr>
        </w:r>
        <w:r w:rsidRPr="00521670">
          <w:rPr>
            <w:webHidden/>
            <w:lang w:val="ru-RU"/>
          </w:rPr>
          <w:fldChar w:fldCharType="separate"/>
        </w:r>
        <w:r w:rsidR="002C40E3" w:rsidRPr="00521670">
          <w:rPr>
            <w:webHidden/>
            <w:lang w:val="ru-RU"/>
          </w:rPr>
          <w:t>73</w:t>
        </w:r>
        <w:r w:rsidRPr="00521670">
          <w:rPr>
            <w:webHidden/>
            <w:lang w:val="ru-RU"/>
          </w:rPr>
          <w:fldChar w:fldCharType="end"/>
        </w:r>
      </w:hyperlink>
    </w:p>
    <w:p w14:paraId="39CCC4DC" w14:textId="22CAF876" w:rsidR="004D3100" w:rsidRPr="00521670" w:rsidRDefault="004D3100" w:rsidP="00C8554E">
      <w:pPr>
        <w:pStyle w:val="TOC1"/>
        <w:tabs>
          <w:tab w:val="clear" w:pos="8789"/>
          <w:tab w:val="left" w:pos="1890"/>
          <w:tab w:val="right" w:pos="9071"/>
        </w:tabs>
        <w:spacing w:before="80"/>
        <w:ind w:left="1888" w:right="1134" w:hanging="1888"/>
        <w:rPr>
          <w:rFonts w:asciiTheme="minorHAnsi" w:eastAsiaTheme="minorEastAsia" w:hAnsiTheme="minorHAnsi" w:cstheme="minorBidi"/>
          <w:kern w:val="2"/>
          <w:sz w:val="24"/>
          <w:szCs w:val="24"/>
          <w:lang w:val="ru-RU" w:eastAsia="en-GB"/>
          <w14:ligatures w14:val="standardContextual"/>
        </w:rPr>
      </w:pPr>
      <w:hyperlink w:anchor="_Toc200469549" w:history="1">
        <w:r w:rsidRPr="00521670">
          <w:rPr>
            <w:rStyle w:val="Hyperlink"/>
            <w:lang w:val="ru-RU"/>
          </w:rPr>
          <w:t>ПРИЛОЖЕНИЕ А</w:t>
        </w:r>
      </w:hyperlink>
      <w:r w:rsidR="00171731" w:rsidRPr="00521670">
        <w:rPr>
          <w:lang w:val="ru-RU"/>
        </w:rPr>
        <w:tab/>
      </w:r>
      <w:hyperlink w:anchor="_Toc200469550" w:history="1">
        <w:r w:rsidRPr="00521670">
          <w:rPr>
            <w:rStyle w:val="Hyperlink"/>
            <w:lang w:val="ru-RU"/>
          </w:rPr>
          <w:t>Отчет о финансовой деятельности и проверенная финансовая отчетность за 2024 финансовый год</w:t>
        </w:r>
        <w:r w:rsidRPr="00521670">
          <w:rPr>
            <w:webHidden/>
            <w:lang w:val="ru-RU"/>
          </w:rPr>
          <w:tab/>
        </w:r>
        <w:r w:rsidRPr="00521670">
          <w:rPr>
            <w:webHidden/>
            <w:lang w:val="ru-RU"/>
          </w:rPr>
          <w:tab/>
        </w:r>
        <w:r w:rsidRPr="00521670">
          <w:rPr>
            <w:webHidden/>
            <w:lang w:val="ru-RU"/>
          </w:rPr>
          <w:fldChar w:fldCharType="begin"/>
        </w:r>
        <w:r w:rsidRPr="00521670">
          <w:rPr>
            <w:webHidden/>
            <w:lang w:val="ru-RU"/>
          </w:rPr>
          <w:instrText xml:space="preserve"> PAGEREF _Toc200469550 \h </w:instrText>
        </w:r>
        <w:r w:rsidRPr="00521670">
          <w:rPr>
            <w:webHidden/>
            <w:lang w:val="ru-RU"/>
          </w:rPr>
        </w:r>
        <w:r w:rsidRPr="00521670">
          <w:rPr>
            <w:webHidden/>
            <w:lang w:val="ru-RU"/>
          </w:rPr>
          <w:fldChar w:fldCharType="separate"/>
        </w:r>
        <w:r w:rsidR="002C40E3" w:rsidRPr="00521670">
          <w:rPr>
            <w:webHidden/>
            <w:lang w:val="ru-RU"/>
          </w:rPr>
          <w:t>75</w:t>
        </w:r>
        <w:r w:rsidRPr="00521670">
          <w:rPr>
            <w:webHidden/>
            <w:lang w:val="ru-RU"/>
          </w:rPr>
          <w:fldChar w:fldCharType="end"/>
        </w:r>
      </w:hyperlink>
    </w:p>
    <w:p w14:paraId="01008008" w14:textId="7FA90396" w:rsidR="002827F7" w:rsidRPr="00521670" w:rsidRDefault="004D3100" w:rsidP="004D3100">
      <w:pPr>
        <w:tabs>
          <w:tab w:val="right" w:pos="9071"/>
        </w:tabs>
        <w:spacing w:before="80"/>
        <w:rPr>
          <w:lang w:val="ru-RU"/>
        </w:rPr>
      </w:pPr>
      <w:r w:rsidRPr="00521670">
        <w:rPr>
          <w:lang w:val="ru-RU"/>
        </w:rPr>
        <w:fldChar w:fldCharType="end"/>
      </w:r>
    </w:p>
    <w:p w14:paraId="51A9F96D" w14:textId="0E8D6A02" w:rsidR="00320C4F" w:rsidRPr="00521670" w:rsidRDefault="00320C4F" w:rsidP="000E459D">
      <w:pPr>
        <w:rPr>
          <w:lang w:val="ru-RU"/>
        </w:rPr>
      </w:pPr>
      <w:r w:rsidRPr="00521670">
        <w:rPr>
          <w:lang w:val="ru-RU"/>
        </w:rPr>
        <w:br w:type="page"/>
      </w:r>
    </w:p>
    <w:p w14:paraId="50D5C1E6" w14:textId="37161F06" w:rsidR="006007EC" w:rsidRPr="00521670" w:rsidRDefault="00834722" w:rsidP="00B43699">
      <w:pPr>
        <w:pStyle w:val="Heading1"/>
        <w:rPr>
          <w:lang w:val="ru-RU"/>
        </w:rPr>
      </w:pPr>
      <w:bookmarkStart w:id="8" w:name="_Toc200469507"/>
      <w:r w:rsidRPr="00521670">
        <w:rPr>
          <w:lang w:val="ru-RU"/>
        </w:rPr>
        <w:lastRenderedPageBreak/>
        <w:t>Предисловие к финансовой отчетности за 2024 год</w:t>
      </w:r>
      <w:bookmarkEnd w:id="8"/>
    </w:p>
    <w:p w14:paraId="337C816D" w14:textId="4A349059" w:rsidR="006007EC" w:rsidRPr="00521670" w:rsidRDefault="00834722" w:rsidP="006007EC">
      <w:pPr>
        <w:rPr>
          <w:lang w:val="ru-RU"/>
        </w:rPr>
      </w:pPr>
      <w:r w:rsidRPr="00521670">
        <w:rPr>
          <w:rFonts w:cs="Calibri"/>
          <w:lang w:val="ru-RU"/>
        </w:rPr>
        <w:t>Международный союз электросвязи (МСЭ) привержен идее обеспечить реальную возможность установления соединений для всех и всюду.</w:t>
      </w:r>
    </w:p>
    <w:p w14:paraId="4A7E0984" w14:textId="579F716A" w:rsidR="006007EC" w:rsidRPr="00521670" w:rsidRDefault="00834722" w:rsidP="006007EC">
      <w:pPr>
        <w:rPr>
          <w:lang w:val="ru-RU"/>
        </w:rPr>
      </w:pPr>
      <w:r w:rsidRPr="00521670">
        <w:rPr>
          <w:rFonts w:cs="Calibri"/>
          <w:lang w:val="ru-RU"/>
        </w:rPr>
        <w:t>Как учреждение Организации Объединенных Наций, отвечающее за цифровые технологии, мы содействуем техническому сотрудничеству и мобилизуем ключевые партнерские связи, стремясь поставить цифровые технологии на службу всему человечеству</w:t>
      </w:r>
      <w:r w:rsidR="00A15DC8" w:rsidRPr="00521670">
        <w:rPr>
          <w:rFonts w:cs="Calibri"/>
          <w:lang w:val="ru-RU"/>
        </w:rPr>
        <w:t>.</w:t>
      </w:r>
    </w:p>
    <w:p w14:paraId="603FDB67" w14:textId="25444347" w:rsidR="006007EC" w:rsidRPr="00521670" w:rsidRDefault="00834722" w:rsidP="006007EC">
      <w:pPr>
        <w:rPr>
          <w:lang w:val="ru-RU"/>
        </w:rPr>
      </w:pPr>
      <w:r w:rsidRPr="00521670">
        <w:rPr>
          <w:rFonts w:cs="Calibri"/>
          <w:lang w:val="ru-RU"/>
        </w:rPr>
        <w:t>Наш Стратегический план на 2024−2027 годы направлен на достижение двух главных целей − обеспечения универсальной возможности установления соединений и устойчивой цифровой трансформации. Работа МСЭ приносит пользу всем, кто имеет подключени</w:t>
      </w:r>
      <w:r w:rsidR="00A15DC8" w:rsidRPr="00521670">
        <w:rPr>
          <w:rFonts w:cs="Calibri"/>
          <w:lang w:val="ru-RU"/>
        </w:rPr>
        <w:t>е</w:t>
      </w:r>
      <w:r w:rsidRPr="00521670">
        <w:rPr>
          <w:rFonts w:cs="Calibri"/>
          <w:lang w:val="ru-RU"/>
        </w:rPr>
        <w:t xml:space="preserve"> к цифровым сетям, приближает перспективы присоединения к цифровому миру для 2,6 млрд. человек, которые еще не имеют подключений, и помогает миллиардам других людей преодолеть проблему недостаточного доступа или неприемлемых в ценовом отношении услуг.</w:t>
      </w:r>
    </w:p>
    <w:p w14:paraId="0CD0DF14" w14:textId="6CAECAE2" w:rsidR="006007EC" w:rsidRPr="00521670" w:rsidRDefault="00834722" w:rsidP="006007EC">
      <w:pPr>
        <w:rPr>
          <w:lang w:val="ru-RU"/>
        </w:rPr>
      </w:pPr>
      <w:r w:rsidRPr="00521670">
        <w:rPr>
          <w:rFonts w:cs="Calibri"/>
          <w:lang w:val="ru-RU"/>
        </w:rPr>
        <w:t xml:space="preserve">В 2024 году МСЭ внес важнейший вклад и оказал экспертную поддержку в </w:t>
      </w:r>
      <w:r w:rsidR="00A15DC8" w:rsidRPr="00521670">
        <w:rPr>
          <w:rFonts w:cs="Calibri"/>
          <w:lang w:val="ru-RU"/>
        </w:rPr>
        <w:t>создание</w:t>
      </w:r>
      <w:r w:rsidRPr="00521670">
        <w:rPr>
          <w:rFonts w:cs="Calibri"/>
          <w:lang w:val="ru-RU"/>
        </w:rPr>
        <w:t xml:space="preserve"> Глобального цифрового договора, принятого вместе с Пактом во имя будущего на Генеральной Ассамблее ООН 2024 года, и в настоящее время он совместно с Управлением цифровы</w:t>
      </w:r>
      <w:r w:rsidR="005B54F5" w:rsidRPr="00521670">
        <w:rPr>
          <w:rFonts w:cs="Calibri"/>
          <w:lang w:val="ru-RU"/>
        </w:rPr>
        <w:t>х</w:t>
      </w:r>
      <w:r w:rsidRPr="00521670">
        <w:rPr>
          <w:rFonts w:cs="Calibri"/>
          <w:lang w:val="ru-RU"/>
        </w:rPr>
        <w:t xml:space="preserve"> и </w:t>
      </w:r>
      <w:r w:rsidR="005B54F5" w:rsidRPr="00521670">
        <w:rPr>
          <w:rFonts w:cs="Calibri"/>
          <w:lang w:val="ru-RU"/>
        </w:rPr>
        <w:t xml:space="preserve">новейших </w:t>
      </w:r>
      <w:r w:rsidRPr="00521670">
        <w:rPr>
          <w:rFonts w:cs="Calibri"/>
          <w:lang w:val="ru-RU"/>
        </w:rPr>
        <w:t>технологи</w:t>
      </w:r>
      <w:r w:rsidR="005B54F5" w:rsidRPr="00521670">
        <w:rPr>
          <w:rFonts w:cs="Calibri"/>
          <w:lang w:val="ru-RU"/>
        </w:rPr>
        <w:t>й ООН</w:t>
      </w:r>
      <w:r w:rsidRPr="00521670">
        <w:rPr>
          <w:rFonts w:cs="Calibri"/>
          <w:lang w:val="ru-RU"/>
        </w:rPr>
        <w:t xml:space="preserve"> возглавляет Рабочую группу ООН по цифровым технологиям и, соответственно, играет ключевую роль в осуществлении Глобального цифрового договора в рамках системы ООН и за ее пределами.</w:t>
      </w:r>
    </w:p>
    <w:p w14:paraId="440AC1E1" w14:textId="4AF63A5F" w:rsidR="006007EC" w:rsidRPr="00521670" w:rsidRDefault="00834722" w:rsidP="00B43699">
      <w:pPr>
        <w:pStyle w:val="Headingb"/>
        <w:rPr>
          <w:lang w:val="ru-RU"/>
        </w:rPr>
      </w:pPr>
      <w:r w:rsidRPr="00521670">
        <w:rPr>
          <w:lang w:val="ru-RU"/>
        </w:rPr>
        <w:t>Установление стандартов во имя лучшего будущего</w:t>
      </w:r>
    </w:p>
    <w:p w14:paraId="6BBCB6BE" w14:textId="06EA8186" w:rsidR="006007EC" w:rsidRPr="00521670" w:rsidRDefault="00130AF1" w:rsidP="006007EC">
      <w:pPr>
        <w:rPr>
          <w:lang w:val="ru-RU"/>
        </w:rPr>
      </w:pPr>
      <w:r w:rsidRPr="00521670">
        <w:rPr>
          <w:lang w:val="ru-RU"/>
        </w:rPr>
        <w:t xml:space="preserve">В течение 2024 года мы продолжали разрабатывать ключевые технические стандарты, необходимые для построения лучшего цифрового будущего, рассматривали важнейшие проблемы и возможности, связанные с искусственным интеллектом (ИИ), а также </w:t>
      </w:r>
      <w:r w:rsidR="00A15DC8" w:rsidRPr="00521670">
        <w:rPr>
          <w:lang w:val="ru-RU"/>
        </w:rPr>
        <w:t>предоставляли</w:t>
      </w:r>
      <w:r w:rsidRPr="00521670">
        <w:rPr>
          <w:lang w:val="ru-RU"/>
        </w:rPr>
        <w:t xml:space="preserve"> странам </w:t>
      </w:r>
      <w:r w:rsidR="00A15DC8" w:rsidRPr="00521670">
        <w:rPr>
          <w:lang w:val="ru-RU"/>
        </w:rPr>
        <w:t>руководящие указания</w:t>
      </w:r>
      <w:r w:rsidRPr="00521670">
        <w:rPr>
          <w:lang w:val="ru-RU"/>
        </w:rPr>
        <w:t xml:space="preserve"> по </w:t>
      </w:r>
      <w:r w:rsidR="00A15DC8" w:rsidRPr="00521670">
        <w:rPr>
          <w:lang w:val="ru-RU"/>
        </w:rPr>
        <w:t>оказанию</w:t>
      </w:r>
      <w:r w:rsidRPr="00521670">
        <w:rPr>
          <w:lang w:val="ru-RU"/>
        </w:rPr>
        <w:t xml:space="preserve"> гибких цифровых услуг, ориентированных на </w:t>
      </w:r>
      <w:r w:rsidR="00B03F0E" w:rsidRPr="00521670">
        <w:rPr>
          <w:lang w:val="ru-RU"/>
        </w:rPr>
        <w:t xml:space="preserve">потребности </w:t>
      </w:r>
      <w:r w:rsidRPr="00521670">
        <w:rPr>
          <w:lang w:val="ru-RU"/>
        </w:rPr>
        <w:t xml:space="preserve">граждан. </w:t>
      </w:r>
      <w:r w:rsidR="00427A92" w:rsidRPr="00521670">
        <w:rPr>
          <w:lang w:val="ru-RU"/>
        </w:rPr>
        <w:t>Стандарты МСЭ подсказывают, как сделать технологии эффективными, приемлемыми в ценовом отношении, безопасными и доступными, а также как снизить воздействие на окружающую среду.</w:t>
      </w:r>
    </w:p>
    <w:p w14:paraId="41BB8757" w14:textId="44EFAF87" w:rsidR="006007EC" w:rsidRPr="00521670" w:rsidRDefault="00427A92" w:rsidP="006007EC">
      <w:pPr>
        <w:rPr>
          <w:lang w:val="ru-RU"/>
        </w:rPr>
      </w:pPr>
      <w:r w:rsidRPr="00521670">
        <w:rPr>
          <w:lang w:val="ru-RU"/>
        </w:rPr>
        <w:t xml:space="preserve">На </w:t>
      </w:r>
      <w:r w:rsidR="005B54F5" w:rsidRPr="00521670">
        <w:rPr>
          <w:lang w:val="ru-RU"/>
        </w:rPr>
        <w:t xml:space="preserve">нашей </w:t>
      </w:r>
      <w:r w:rsidRPr="00521670">
        <w:rPr>
          <w:lang w:val="ru-RU"/>
        </w:rPr>
        <w:t xml:space="preserve">Всемирной ассамблее по стандартизации электросвязи (ВАСЭ-24), состоявшейся в Нью-Дели, Индия, были представлены новые Резолюции по ответственному </w:t>
      </w:r>
      <w:r w:rsidR="00C02F08" w:rsidRPr="00521670">
        <w:rPr>
          <w:lang w:val="ru-RU"/>
        </w:rPr>
        <w:t xml:space="preserve">использованию </w:t>
      </w:r>
      <w:r w:rsidRPr="00521670">
        <w:rPr>
          <w:lang w:val="ru-RU"/>
        </w:rPr>
        <w:t>ИИ, надежным и функционально совместимым приложениям метавселенной, связи в чрезвычайных ситуациях, интеллектуальному транспорту, цифровой инфраструктуре</w:t>
      </w:r>
      <w:r w:rsidR="00C02F08" w:rsidRPr="00521670">
        <w:rPr>
          <w:lang w:val="ru-RU"/>
        </w:rPr>
        <w:t xml:space="preserve"> общего пользования</w:t>
      </w:r>
      <w:r w:rsidRPr="00521670">
        <w:rPr>
          <w:lang w:val="ru-RU"/>
        </w:rPr>
        <w:t>, устойчивости и многому другому.</w:t>
      </w:r>
    </w:p>
    <w:p w14:paraId="5243F93C" w14:textId="0D75ACD3" w:rsidR="006007EC" w:rsidRPr="00521670" w:rsidRDefault="00C02F08" w:rsidP="006007EC">
      <w:pPr>
        <w:pStyle w:val="Headingb"/>
        <w:rPr>
          <w:lang w:val="ru-RU"/>
        </w:rPr>
      </w:pPr>
      <w:r w:rsidRPr="00521670">
        <w:rPr>
          <w:lang w:val="ru-RU"/>
        </w:rPr>
        <w:t>Борьба с цифровым неравенством</w:t>
      </w:r>
    </w:p>
    <w:p w14:paraId="14BD4A77" w14:textId="52516018" w:rsidR="006007EC" w:rsidRPr="00521670" w:rsidRDefault="004E1A82" w:rsidP="006007EC">
      <w:pPr>
        <w:rPr>
          <w:lang w:val="ru-RU"/>
        </w:rPr>
      </w:pPr>
      <w:r w:rsidRPr="00521670">
        <w:rPr>
          <w:lang w:val="ru-RU"/>
        </w:rPr>
        <w:t xml:space="preserve">На фоне </w:t>
      </w:r>
      <w:r w:rsidR="00A15DC8" w:rsidRPr="00521670">
        <w:rPr>
          <w:lang w:val="ru-RU"/>
        </w:rPr>
        <w:t>увеличения</w:t>
      </w:r>
      <w:r w:rsidRPr="00521670">
        <w:rPr>
          <w:lang w:val="ru-RU"/>
        </w:rPr>
        <w:t xml:space="preserve"> разрыва между цифровыми имущими и неимущими из-за внедрения новых технологий, включая 5G, МСЭ способствует налаживанию партнерских связей, необходимых для сокращения цифровых разрывов в мире.</w:t>
      </w:r>
    </w:p>
    <w:p w14:paraId="3CDE7EA3" w14:textId="758900D5" w:rsidR="006007EC" w:rsidRPr="00521670" w:rsidRDefault="004E1A82" w:rsidP="006007EC">
      <w:pPr>
        <w:rPr>
          <w:lang w:val="ru-RU"/>
        </w:rPr>
      </w:pPr>
      <w:r w:rsidRPr="00521670">
        <w:rPr>
          <w:lang w:val="ru-RU"/>
        </w:rPr>
        <w:t>В рамках нашей Инициативы по инвестициям в цифровую инфраструктуру, реализация которой началась в 2024 году при поддержке бразильского председательства</w:t>
      </w:r>
      <w:r w:rsidR="00A15DC8" w:rsidRPr="00521670">
        <w:rPr>
          <w:lang w:val="ru-RU"/>
        </w:rPr>
        <w:t xml:space="preserve"> в "Группе двадцати"</w:t>
      </w:r>
      <w:r w:rsidRPr="00521670">
        <w:rPr>
          <w:lang w:val="ru-RU"/>
        </w:rPr>
        <w:t xml:space="preserve">, шесть ведущих учреждений по финансированию развития объединили усилия с целью мобилизовать </w:t>
      </w:r>
      <w:r w:rsidR="00A15DC8" w:rsidRPr="00521670">
        <w:rPr>
          <w:lang w:val="ru-RU"/>
        </w:rPr>
        <w:t>финансовые средства</w:t>
      </w:r>
      <w:r w:rsidRPr="00521670">
        <w:rPr>
          <w:lang w:val="ru-RU"/>
        </w:rPr>
        <w:t xml:space="preserve"> и меры политики для обеспечения </w:t>
      </w:r>
      <w:r w:rsidR="00A15DC8" w:rsidRPr="00521670">
        <w:rPr>
          <w:lang w:val="ru-RU"/>
        </w:rPr>
        <w:t xml:space="preserve">к 2030 году </w:t>
      </w:r>
      <w:r w:rsidRPr="00521670">
        <w:rPr>
          <w:lang w:val="ru-RU"/>
        </w:rPr>
        <w:t>реальных подключений для всех.</w:t>
      </w:r>
    </w:p>
    <w:p w14:paraId="3EAD1107" w14:textId="546F9162" w:rsidR="006007EC" w:rsidRPr="00521670" w:rsidRDefault="004E1A82" w:rsidP="006007EC">
      <w:pPr>
        <w:rPr>
          <w:lang w:val="ru-RU"/>
        </w:rPr>
      </w:pPr>
      <w:r w:rsidRPr="00521670">
        <w:rPr>
          <w:lang w:val="ru-RU"/>
        </w:rPr>
        <w:t xml:space="preserve">Мы также продолжаем новаторскую работу в рамках Giga – нашей с ЮНИСЕФ </w:t>
      </w:r>
      <w:r w:rsidR="0062525E" w:rsidRPr="00521670">
        <w:rPr>
          <w:lang w:val="ru-RU"/>
        </w:rPr>
        <w:t xml:space="preserve">совместной </w:t>
      </w:r>
      <w:r w:rsidRPr="00521670">
        <w:rPr>
          <w:lang w:val="ru-RU"/>
        </w:rPr>
        <w:t xml:space="preserve">инициативы по подключению всех школ в мире, и Partner2Connect – нашей глобальной кампании по представлению обязательств </w:t>
      </w:r>
      <w:r w:rsidR="0062525E" w:rsidRPr="00521670">
        <w:rPr>
          <w:lang w:val="ru-RU"/>
        </w:rPr>
        <w:t>для реализации</w:t>
      </w:r>
      <w:r w:rsidRPr="00521670">
        <w:rPr>
          <w:lang w:val="ru-RU"/>
        </w:rPr>
        <w:t xml:space="preserve"> проектов, имеющих переломное</w:t>
      </w:r>
      <w:r w:rsidR="00F46C3C" w:rsidRPr="00521670">
        <w:rPr>
          <w:lang w:val="ru-RU"/>
        </w:rPr>
        <w:t> </w:t>
      </w:r>
      <w:r w:rsidRPr="00521670">
        <w:rPr>
          <w:lang w:val="ru-RU"/>
        </w:rPr>
        <w:t>значение.</w:t>
      </w:r>
    </w:p>
    <w:p w14:paraId="1072FCE8" w14:textId="4B674014" w:rsidR="006007EC" w:rsidRPr="00521670" w:rsidRDefault="0062525E" w:rsidP="006007EC">
      <w:pPr>
        <w:rPr>
          <w:lang w:val="ru-RU"/>
        </w:rPr>
      </w:pPr>
      <w:r w:rsidRPr="00521670">
        <w:rPr>
          <w:lang w:val="ru-RU"/>
        </w:rPr>
        <w:t>Одновременно</w:t>
      </w:r>
      <w:r w:rsidR="00AC0D0A" w:rsidRPr="00521670">
        <w:rPr>
          <w:lang w:val="ru-RU"/>
        </w:rPr>
        <w:t xml:space="preserve"> наш недавно созданный Международный консультативный </w:t>
      </w:r>
      <w:r w:rsidR="005B54F5" w:rsidRPr="00521670">
        <w:rPr>
          <w:lang w:val="ru-RU"/>
        </w:rPr>
        <w:t xml:space="preserve">орган </w:t>
      </w:r>
      <w:r w:rsidR="00AC0D0A" w:rsidRPr="00521670">
        <w:rPr>
          <w:lang w:val="ru-RU"/>
        </w:rPr>
        <w:t xml:space="preserve">по устойчивости подводных кабелей ведет целенаправленную работу по укреплению мировой </w:t>
      </w:r>
      <w:r w:rsidR="00AC0D0A" w:rsidRPr="00521670">
        <w:rPr>
          <w:lang w:val="ru-RU"/>
        </w:rPr>
        <w:lastRenderedPageBreak/>
        <w:t xml:space="preserve">цифровой магистрали </w:t>
      </w:r>
      <w:r w:rsidRPr="00521670">
        <w:rPr>
          <w:lang w:val="ru-RU"/>
        </w:rPr>
        <w:t>путем</w:t>
      </w:r>
      <w:r w:rsidR="00AC0D0A" w:rsidRPr="00521670">
        <w:rPr>
          <w:lang w:val="ru-RU"/>
        </w:rPr>
        <w:t xml:space="preserve"> наращивания сотрудничества в области инфраструктуры подводных кабелей электросвязи.</w:t>
      </w:r>
    </w:p>
    <w:p w14:paraId="265D0F13" w14:textId="3614B2B8" w:rsidR="006007EC" w:rsidRPr="00521670" w:rsidRDefault="003A1464" w:rsidP="006007EC">
      <w:pPr>
        <w:pStyle w:val="Headingb"/>
        <w:rPr>
          <w:lang w:val="ru-RU"/>
        </w:rPr>
      </w:pPr>
      <w:r w:rsidRPr="00521670">
        <w:rPr>
          <w:bCs/>
          <w:lang w:val="ru-RU"/>
        </w:rPr>
        <w:t>Оптимизация использования спектра и орбиты</w:t>
      </w:r>
    </w:p>
    <w:p w14:paraId="5B18079E" w14:textId="38B71AD9" w:rsidR="006007EC" w:rsidRPr="00521670" w:rsidRDefault="003A1464" w:rsidP="006007EC">
      <w:pPr>
        <w:rPr>
          <w:lang w:val="ru-RU"/>
        </w:rPr>
      </w:pPr>
      <w:r w:rsidRPr="00521670">
        <w:rPr>
          <w:lang w:val="ru-RU"/>
        </w:rPr>
        <w:t>МСЭ осуществляет координацию радиочастот и спутниковых орбит между странами и регионами мира, что позволяет направлять многомиллионные инвестиции на предоставление услуг, минимизируя вредные помехи.</w:t>
      </w:r>
    </w:p>
    <w:p w14:paraId="43E92FAF" w14:textId="19A13A81" w:rsidR="006007EC" w:rsidRPr="00521670" w:rsidRDefault="003A1464" w:rsidP="006007EC">
      <w:pPr>
        <w:rPr>
          <w:lang w:val="ru-RU"/>
        </w:rPr>
      </w:pPr>
      <w:r w:rsidRPr="00521670">
        <w:rPr>
          <w:lang w:val="ru-RU"/>
        </w:rPr>
        <w:t xml:space="preserve">В издании Регламента радиосвязи 2024 года закреплен широкий круг существующих применений спектра при </w:t>
      </w:r>
      <w:r w:rsidR="0062525E" w:rsidRPr="00521670">
        <w:rPr>
          <w:lang w:val="ru-RU"/>
        </w:rPr>
        <w:t>одновременном сохранении</w:t>
      </w:r>
      <w:r w:rsidRPr="00521670">
        <w:rPr>
          <w:lang w:val="ru-RU"/>
        </w:rPr>
        <w:t xml:space="preserve"> возможности быстрого ускорения инноваций. В конце 2024 года МСЭ </w:t>
      </w:r>
      <w:r w:rsidR="00AA1077" w:rsidRPr="00521670">
        <w:rPr>
          <w:lang w:val="ru-RU"/>
        </w:rPr>
        <w:t>организовал</w:t>
      </w:r>
      <w:r w:rsidRPr="00521670">
        <w:rPr>
          <w:lang w:val="ru-RU"/>
        </w:rPr>
        <w:t xml:space="preserve"> первый Форум по устойчивости космической деятельности, на котором собрались представители правительств, космических агентств, частного сектора, групп гражданского общества и других организаций системы ООН с целью обеспечить ответственное использование космического пространства и сохранить его жизнеспособным для будущих поколений.</w:t>
      </w:r>
    </w:p>
    <w:p w14:paraId="63D72D01" w14:textId="0848CFC1" w:rsidR="006007EC" w:rsidRPr="00521670" w:rsidRDefault="00AA1077" w:rsidP="006007EC">
      <w:pPr>
        <w:pStyle w:val="Headingb"/>
        <w:rPr>
          <w:lang w:val="ru-RU"/>
        </w:rPr>
      </w:pPr>
      <w:r w:rsidRPr="00521670">
        <w:rPr>
          <w:rFonts w:cs="Calibri"/>
          <w:bCs/>
          <w:lang w:val="ru-RU"/>
        </w:rPr>
        <w:t>Использование появляющихся технологий в интересах человечества</w:t>
      </w:r>
    </w:p>
    <w:p w14:paraId="50E676CC" w14:textId="4DC8FBA1" w:rsidR="006007EC" w:rsidRPr="00521670" w:rsidRDefault="00AA1077" w:rsidP="006007EC">
      <w:pPr>
        <w:rPr>
          <w:lang w:val="ru-RU"/>
        </w:rPr>
      </w:pPr>
      <w:r w:rsidRPr="00521670">
        <w:rPr>
          <w:lang w:val="ru-RU"/>
        </w:rPr>
        <w:t xml:space="preserve">Новые и появляющиеся технологии способны подстегивать прогресс практически во всех областях социально-экономического развития, от сельского хозяйства и производства до образования и здравоохранения. Это понятно по широкому охвату </w:t>
      </w:r>
      <w:r w:rsidR="0062525E" w:rsidRPr="00521670">
        <w:rPr>
          <w:lang w:val="ru-RU"/>
        </w:rPr>
        <w:t>деятельности</w:t>
      </w:r>
      <w:r w:rsidRPr="00521670">
        <w:rPr>
          <w:lang w:val="ru-RU"/>
        </w:rPr>
        <w:t xml:space="preserve"> МСЭ в области стандартов ИИ, которая </w:t>
      </w:r>
      <w:r w:rsidR="0062525E" w:rsidRPr="00521670">
        <w:rPr>
          <w:lang w:val="ru-RU"/>
        </w:rPr>
        <w:t>осуществляется</w:t>
      </w:r>
      <w:r w:rsidRPr="00521670">
        <w:rPr>
          <w:lang w:val="ru-RU"/>
        </w:rPr>
        <w:t xml:space="preserve"> совместно с другими структурами ООН, а также другими организациями по разработке стандартов и отраслевыми партнерами.</w:t>
      </w:r>
    </w:p>
    <w:p w14:paraId="34685E7B" w14:textId="20E13467" w:rsidR="006007EC" w:rsidRPr="00521670" w:rsidRDefault="00AA1077" w:rsidP="006007EC">
      <w:pPr>
        <w:rPr>
          <w:lang w:val="ru-RU"/>
        </w:rPr>
      </w:pPr>
      <w:r w:rsidRPr="00521670">
        <w:rPr>
          <w:lang w:val="ru-RU"/>
        </w:rPr>
        <w:t xml:space="preserve">Реализуемая в течение уже восьми лет МСЭ совместно с более чем 40 партнерами – учреждениями ООН программа </w:t>
      </w:r>
      <w:r w:rsidR="0062525E" w:rsidRPr="00521670">
        <w:rPr>
          <w:lang w:val="ru-RU"/>
        </w:rPr>
        <w:t>"</w:t>
      </w:r>
      <w:r w:rsidRPr="00521670">
        <w:rPr>
          <w:lang w:val="ru-RU"/>
        </w:rPr>
        <w:t>ИИ во благо</w:t>
      </w:r>
      <w:r w:rsidR="0062525E" w:rsidRPr="00521670">
        <w:rPr>
          <w:lang w:val="ru-RU"/>
        </w:rPr>
        <w:t>"</w:t>
      </w:r>
      <w:r w:rsidRPr="00521670">
        <w:rPr>
          <w:lang w:val="ru-RU"/>
        </w:rPr>
        <w:t xml:space="preserve"> стала </w:t>
      </w:r>
      <w:r w:rsidR="0062525E" w:rsidRPr="00521670">
        <w:rPr>
          <w:lang w:val="ru-RU"/>
        </w:rPr>
        <w:t xml:space="preserve">для всего мира </w:t>
      </w:r>
      <w:r w:rsidRPr="00521670">
        <w:rPr>
          <w:lang w:val="ru-RU"/>
        </w:rPr>
        <w:t xml:space="preserve">наглядным примером того, как решения на основе ИИ </w:t>
      </w:r>
      <w:r w:rsidR="0062525E" w:rsidRPr="00521670">
        <w:rPr>
          <w:lang w:val="ru-RU"/>
        </w:rPr>
        <w:t>служат достижению</w:t>
      </w:r>
      <w:r w:rsidRPr="00521670">
        <w:rPr>
          <w:lang w:val="ru-RU"/>
        </w:rPr>
        <w:t xml:space="preserve"> Целей ООН в области устойчивого развития. Она также стала ключев</w:t>
      </w:r>
      <w:r w:rsidR="004303C2" w:rsidRPr="00521670">
        <w:rPr>
          <w:lang w:val="ru-RU"/>
        </w:rPr>
        <w:t>ым форумом по ответственному внедрению ИИ, в особенности со времени проведения нашего первого Дня управления ИИ в мае 2024 года.</w:t>
      </w:r>
      <w:r w:rsidRPr="00521670">
        <w:rPr>
          <w:lang w:val="ru-RU"/>
        </w:rPr>
        <w:t xml:space="preserve"> </w:t>
      </w:r>
      <w:r w:rsidR="004303C2" w:rsidRPr="00521670">
        <w:rPr>
          <w:lang w:val="ru-RU"/>
        </w:rPr>
        <w:t>В 2024 году МСЭ объявил о запуске Инициативы по навыкам в области ИИ, призванной обеспечить всем странам и сообществам доступ к получению необходимых навыков.</w:t>
      </w:r>
    </w:p>
    <w:p w14:paraId="22FD5D84" w14:textId="123674D7" w:rsidR="006007EC" w:rsidRPr="00521670" w:rsidRDefault="004303C2" w:rsidP="006007EC">
      <w:pPr>
        <w:rPr>
          <w:lang w:val="ru-RU"/>
        </w:rPr>
      </w:pPr>
      <w:r w:rsidRPr="00521670">
        <w:rPr>
          <w:lang w:val="ru-RU"/>
        </w:rPr>
        <w:t xml:space="preserve">Кроме того, мы способствовали построению более широких партнерских отношений в области квантовых информационных технологий и продолжали поощрять сотрудничество в </w:t>
      </w:r>
      <w:r w:rsidR="00BC4DEE" w:rsidRPr="00521670">
        <w:rPr>
          <w:lang w:val="ru-RU"/>
        </w:rPr>
        <w:t>сфере</w:t>
      </w:r>
      <w:r w:rsidRPr="00521670">
        <w:rPr>
          <w:lang w:val="ru-RU"/>
        </w:rPr>
        <w:t xml:space="preserve"> разработки сетевых стандартов и стандартов безопасности. Предвосхищая будущее, в котором вычислительная мощность будет значительно выше, мы готовимся использовать квантовые технологии во благо.</w:t>
      </w:r>
    </w:p>
    <w:p w14:paraId="6CF959B5" w14:textId="44B8E1CE" w:rsidR="006007EC" w:rsidRPr="00521670" w:rsidRDefault="004303C2" w:rsidP="006007EC">
      <w:pPr>
        <w:pStyle w:val="Headingb"/>
        <w:rPr>
          <w:lang w:val="ru-RU"/>
        </w:rPr>
      </w:pPr>
      <w:r w:rsidRPr="00521670">
        <w:rPr>
          <w:lang w:val="ru-RU"/>
        </w:rPr>
        <w:t>Экологи</w:t>
      </w:r>
      <w:r w:rsidR="00B96046" w:rsidRPr="00521670">
        <w:rPr>
          <w:lang w:val="ru-RU"/>
        </w:rPr>
        <w:t xml:space="preserve">зация </w:t>
      </w:r>
      <w:r w:rsidRPr="00521670">
        <w:rPr>
          <w:lang w:val="ru-RU"/>
        </w:rPr>
        <w:t>цифровы</w:t>
      </w:r>
      <w:r w:rsidR="00B96046" w:rsidRPr="00521670">
        <w:rPr>
          <w:lang w:val="ru-RU"/>
        </w:rPr>
        <w:t>х</w:t>
      </w:r>
      <w:r w:rsidRPr="00521670">
        <w:rPr>
          <w:lang w:val="ru-RU"/>
        </w:rPr>
        <w:t xml:space="preserve"> технологи</w:t>
      </w:r>
      <w:r w:rsidR="00B96046" w:rsidRPr="00521670">
        <w:rPr>
          <w:lang w:val="ru-RU"/>
        </w:rPr>
        <w:t>й</w:t>
      </w:r>
    </w:p>
    <w:p w14:paraId="34F35CE8" w14:textId="057B60A1" w:rsidR="006007EC" w:rsidRPr="00521670" w:rsidRDefault="004303C2" w:rsidP="006007EC">
      <w:pPr>
        <w:rPr>
          <w:lang w:val="ru-RU"/>
        </w:rPr>
      </w:pPr>
      <w:r w:rsidRPr="00521670">
        <w:rPr>
          <w:lang w:val="ru-RU"/>
        </w:rPr>
        <w:t xml:space="preserve">По итогам Конференции ООН по изменению климата (КС-29) была опубликована </w:t>
      </w:r>
      <w:r w:rsidR="00CA2533" w:rsidRPr="00521670">
        <w:rPr>
          <w:lang w:val="ru-RU"/>
        </w:rPr>
        <w:t>получившая широкое одобрение</w:t>
      </w:r>
      <w:r w:rsidRPr="00521670">
        <w:rPr>
          <w:lang w:val="ru-RU"/>
        </w:rPr>
        <w:t xml:space="preserve"> </w:t>
      </w:r>
      <w:r w:rsidR="00CA2533" w:rsidRPr="00521670">
        <w:rPr>
          <w:lang w:val="ru-RU"/>
        </w:rPr>
        <w:t xml:space="preserve">Декларация КС-29 о "Зеленой цифровой кампании", основанная на идее возглавляемой МСЭ инициативы "Зеленая цифровая кампания", которая осуществляется совместно с партнерами по всему миру. Минувший год укрепил наше стремление бороться с воздействием цифровых технологий на окружающую среду, поощрять стандарты экологической устойчивости и способствовать упрочению </w:t>
      </w:r>
      <w:r w:rsidR="00BC4DEE" w:rsidRPr="00521670">
        <w:rPr>
          <w:lang w:val="ru-RU"/>
        </w:rPr>
        <w:t>положительной</w:t>
      </w:r>
      <w:r w:rsidR="00CA2533" w:rsidRPr="00521670">
        <w:rPr>
          <w:lang w:val="ru-RU"/>
        </w:rPr>
        <w:t xml:space="preserve"> роли мировой технологической отрасли в истории.</w:t>
      </w:r>
    </w:p>
    <w:p w14:paraId="773FF656" w14:textId="5A417C2B" w:rsidR="006007EC" w:rsidRPr="00521670" w:rsidRDefault="00CA2533" w:rsidP="006007EC">
      <w:pPr>
        <w:rPr>
          <w:lang w:val="ru-RU"/>
        </w:rPr>
      </w:pPr>
      <w:r w:rsidRPr="00521670">
        <w:rPr>
          <w:lang w:val="ru-RU"/>
        </w:rPr>
        <w:t>В условиях</w:t>
      </w:r>
      <w:r w:rsidR="00BC4DEE" w:rsidRPr="00521670">
        <w:rPr>
          <w:lang w:val="ru-RU"/>
        </w:rPr>
        <w:t>,</w:t>
      </w:r>
      <w:r w:rsidRPr="00521670">
        <w:rPr>
          <w:lang w:val="ru-RU"/>
        </w:rPr>
        <w:t xml:space="preserve"> </w:t>
      </w:r>
      <w:r w:rsidR="00BC4DEE" w:rsidRPr="00521670">
        <w:rPr>
          <w:lang w:val="ru-RU"/>
        </w:rPr>
        <w:t>когда изменение</w:t>
      </w:r>
      <w:r w:rsidRPr="00521670">
        <w:rPr>
          <w:lang w:val="ru-RU"/>
        </w:rPr>
        <w:t xml:space="preserve"> климата </w:t>
      </w:r>
      <w:r w:rsidR="00BC4DEE" w:rsidRPr="00521670">
        <w:rPr>
          <w:lang w:val="ru-RU"/>
        </w:rPr>
        <w:t xml:space="preserve">становится реальностью, </w:t>
      </w:r>
      <w:r w:rsidRPr="00521670">
        <w:rPr>
          <w:lang w:val="ru-RU"/>
        </w:rPr>
        <w:t>МСЭ возглавляет работу по третьему направлению инициативы Генерального секретаря ООН "Раннее оповещение для всех", призванной обеспечить защиту каждого жителя планеты с помощью системы своевременного оповещения о стихийных бедствиях. Новая инициатива, реализуемая совместно с другими учреждениями ООН, способствует повышению устойчивости к стихийным бедствиям при помощи решений на основе ИИ.</w:t>
      </w:r>
    </w:p>
    <w:p w14:paraId="6BDA3B13" w14:textId="77B2C090" w:rsidR="006007EC" w:rsidRPr="00521670" w:rsidRDefault="00CA2533" w:rsidP="006007EC">
      <w:pPr>
        <w:pStyle w:val="Headingb"/>
        <w:rPr>
          <w:lang w:val="ru-RU"/>
        </w:rPr>
      </w:pPr>
      <w:r w:rsidRPr="00521670">
        <w:rPr>
          <w:lang w:val="ru-RU"/>
        </w:rPr>
        <w:lastRenderedPageBreak/>
        <w:t>Содействие глобальному цифровому сотрудничеству</w:t>
      </w:r>
    </w:p>
    <w:p w14:paraId="2E192F3B" w14:textId="482E5013" w:rsidR="006007EC" w:rsidRPr="00521670" w:rsidRDefault="00C66162" w:rsidP="006007EC">
      <w:pPr>
        <w:rPr>
          <w:lang w:val="ru-RU"/>
        </w:rPr>
      </w:pPr>
      <w:r w:rsidRPr="00521670">
        <w:rPr>
          <w:lang w:val="ru-RU"/>
        </w:rPr>
        <w:t>Вот уже больше</w:t>
      </w:r>
      <w:r w:rsidR="002737B7" w:rsidRPr="00521670">
        <w:rPr>
          <w:lang w:val="ru-RU"/>
        </w:rPr>
        <w:t xml:space="preserve"> 20 лет МСЭ помогает направлять цифровое сотрудничество и развитие в соответствии с </w:t>
      </w:r>
      <w:r w:rsidR="00CE3A0A" w:rsidRPr="00521670">
        <w:rPr>
          <w:lang w:val="ru-RU"/>
        </w:rPr>
        <w:t>направлениями деятельности, определенными на Всемирной встрече на высшем уровне по вопросам информационного общества (ВВУИО) в 2003</w:t>
      </w:r>
      <w:r w:rsidR="00B96046" w:rsidRPr="00521670">
        <w:rPr>
          <w:lang w:val="ru-RU"/>
        </w:rPr>
        <w:t>−</w:t>
      </w:r>
      <w:r w:rsidR="00CE3A0A" w:rsidRPr="00521670">
        <w:rPr>
          <w:lang w:val="ru-RU"/>
        </w:rPr>
        <w:t xml:space="preserve">2005 годах. В рамках текущего процесса консультаций ВВУИО с участием многих заинтересованных сторон будет рассмотрен достигнутый прогресс и выявлены сохраняющиеся недочеты. Он также станет полезным механизмом </w:t>
      </w:r>
      <w:r w:rsidRPr="00521670">
        <w:rPr>
          <w:lang w:val="ru-RU"/>
        </w:rPr>
        <w:t>для выполнения</w:t>
      </w:r>
      <w:r w:rsidR="00CE3A0A" w:rsidRPr="00521670">
        <w:rPr>
          <w:lang w:val="ru-RU"/>
        </w:rPr>
        <w:t xml:space="preserve"> Глобального цифрового договора за счет применения ориентированных на развитие решений для всех. Обзор ВВУИО+20 позволит определить дальнейшие меры в условиях быстро развивающихся технологий и политики на период после 2025 года.</w:t>
      </w:r>
    </w:p>
    <w:p w14:paraId="1735B07F" w14:textId="7836AF0C" w:rsidR="006007EC" w:rsidRPr="00521670" w:rsidRDefault="00CE3A0A" w:rsidP="006007EC">
      <w:pPr>
        <w:pStyle w:val="Headingb"/>
        <w:rPr>
          <w:lang w:val="ru-RU"/>
        </w:rPr>
      </w:pPr>
      <w:r w:rsidRPr="00521670">
        <w:rPr>
          <w:bCs/>
          <w:lang w:val="ru-RU"/>
        </w:rPr>
        <w:t>Твердая приверженность делу</w:t>
      </w:r>
    </w:p>
    <w:p w14:paraId="01C0A53F" w14:textId="7ACE102F" w:rsidR="006007EC" w:rsidRPr="00521670" w:rsidRDefault="00C66162" w:rsidP="006007EC">
      <w:pPr>
        <w:rPr>
          <w:lang w:val="ru-RU"/>
        </w:rPr>
      </w:pPr>
      <w:r w:rsidRPr="00521670">
        <w:rPr>
          <w:lang w:val="ru-RU"/>
        </w:rPr>
        <w:t>Профильная</w:t>
      </w:r>
      <w:r w:rsidR="00DB52F6" w:rsidRPr="00521670">
        <w:rPr>
          <w:lang w:val="ru-RU"/>
        </w:rPr>
        <w:t xml:space="preserve"> работа МСЭ по технической координации и активное участие в </w:t>
      </w:r>
      <w:r w:rsidR="001B384B" w:rsidRPr="00521670">
        <w:rPr>
          <w:lang w:val="ru-RU"/>
        </w:rPr>
        <w:t>решении вопросов, касающихся</w:t>
      </w:r>
      <w:r w:rsidR="00DB52F6" w:rsidRPr="00521670">
        <w:rPr>
          <w:lang w:val="ru-RU"/>
        </w:rPr>
        <w:t xml:space="preserve"> цифровых технологий</w:t>
      </w:r>
      <w:r w:rsidR="001B384B" w:rsidRPr="00521670">
        <w:rPr>
          <w:lang w:val="ru-RU"/>
        </w:rPr>
        <w:t>,</w:t>
      </w:r>
      <w:r w:rsidR="00DB52F6" w:rsidRPr="00521670">
        <w:rPr>
          <w:lang w:val="ru-RU"/>
        </w:rPr>
        <w:t xml:space="preserve"> зависят от </w:t>
      </w:r>
      <w:r w:rsidR="001B384B" w:rsidRPr="00521670">
        <w:rPr>
          <w:lang w:val="ru-RU"/>
        </w:rPr>
        <w:t>организационной</w:t>
      </w:r>
      <w:r w:rsidR="00DB52F6" w:rsidRPr="00521670">
        <w:rPr>
          <w:lang w:val="ru-RU"/>
        </w:rPr>
        <w:t xml:space="preserve"> гибкости, фидуциарного доверия и прочной бюджетной основы. На последующих страницах нашего Отчета о финансовой деятельности за 2024 год приводятся данные</w:t>
      </w:r>
      <w:r w:rsidR="001B384B" w:rsidRPr="00521670">
        <w:rPr>
          <w:lang w:val="ru-RU"/>
        </w:rPr>
        <w:t xml:space="preserve"> об ассигнованиях и </w:t>
      </w:r>
      <w:r w:rsidRPr="00521670">
        <w:rPr>
          <w:lang w:val="ru-RU"/>
        </w:rPr>
        <w:t>расходах</w:t>
      </w:r>
      <w:r w:rsidR="001B384B" w:rsidRPr="00521670">
        <w:rPr>
          <w:lang w:val="ru-RU"/>
        </w:rPr>
        <w:t>, связанных с обеспечением функционирования МСЭ в течение года.</w:t>
      </w:r>
    </w:p>
    <w:p w14:paraId="569022B3" w14:textId="420FC69D" w:rsidR="006007EC" w:rsidRPr="00521670" w:rsidRDefault="001B384B" w:rsidP="006007EC">
      <w:pPr>
        <w:rPr>
          <w:lang w:val="ru-RU"/>
        </w:rPr>
      </w:pPr>
      <w:r w:rsidRPr="00521670">
        <w:rPr>
          <w:lang w:val="ru-RU"/>
        </w:rPr>
        <w:t xml:space="preserve">В Ежегодном отчете МСЭ (Документ </w:t>
      </w:r>
      <w:hyperlink r:id="rId10" w:history="1">
        <w:r w:rsidRPr="00521670">
          <w:rPr>
            <w:rStyle w:val="Hyperlink"/>
            <w:rFonts w:cs="Calibri"/>
            <w:color w:val="0000E1"/>
            <w:lang w:val="ru-RU"/>
          </w:rPr>
          <w:t>C25/35</w:t>
        </w:r>
      </w:hyperlink>
      <w:r w:rsidRPr="00521670">
        <w:rPr>
          <w:lang w:val="ru-RU"/>
        </w:rPr>
        <w:t xml:space="preserve">) </w:t>
      </w:r>
      <w:r w:rsidR="003664B0" w:rsidRPr="00521670">
        <w:rPr>
          <w:lang w:val="ru-RU"/>
        </w:rPr>
        <w:t>будет представлена дополнительная подробная информация об оперативной деятельности, отражающая твердую приверженность организации использованию аналитики данных и стратегиям, ориентированным на результаты.</w:t>
      </w:r>
    </w:p>
    <w:p w14:paraId="0CB6F4F0" w14:textId="10D69372" w:rsidR="006007EC" w:rsidRPr="00521670" w:rsidRDefault="006007EC" w:rsidP="006007EC">
      <w:pPr>
        <w:rPr>
          <w:lang w:val="ru-RU"/>
        </w:rPr>
      </w:pPr>
      <w:r w:rsidRPr="00521670">
        <w:rPr>
          <w:lang w:val="ru-RU"/>
        </w:rPr>
        <w:br w:type="page"/>
      </w:r>
    </w:p>
    <w:p w14:paraId="7DBD77D1" w14:textId="77777777" w:rsidR="00921A7B" w:rsidRPr="00521670" w:rsidRDefault="00921A7B" w:rsidP="00921A7B">
      <w:pPr>
        <w:pStyle w:val="Heading1"/>
        <w:rPr>
          <w:lang w:val="ru-RU"/>
        </w:rPr>
      </w:pPr>
      <w:bookmarkStart w:id="9" w:name="_Toc168578435"/>
      <w:bookmarkStart w:id="10" w:name="_Toc180681784"/>
      <w:bookmarkStart w:id="11" w:name="_Toc200469508"/>
      <w:r w:rsidRPr="00521670">
        <w:rPr>
          <w:lang w:val="ru-RU"/>
        </w:rPr>
        <w:lastRenderedPageBreak/>
        <w:t>Введение</w:t>
      </w:r>
      <w:bookmarkEnd w:id="9"/>
      <w:bookmarkEnd w:id="10"/>
      <w:bookmarkEnd w:id="11"/>
    </w:p>
    <w:p w14:paraId="66E17594" w14:textId="4CEDD68A" w:rsidR="00921A7B" w:rsidRPr="00521670" w:rsidRDefault="00921A7B" w:rsidP="00921A7B">
      <w:pPr>
        <w:rPr>
          <w:highlight w:val="lightGray"/>
          <w:lang w:val="ru-RU"/>
        </w:rPr>
      </w:pPr>
      <w:bookmarkStart w:id="12" w:name="lt_pId008"/>
      <w:bookmarkStart w:id="13" w:name="_Toc130976541"/>
      <w:bookmarkStart w:id="14" w:name="_Toc131078174"/>
      <w:bookmarkStart w:id="15" w:name="_Toc131156408"/>
      <w:bookmarkStart w:id="16" w:name="_Toc2017588476"/>
      <w:bookmarkStart w:id="17" w:name="_Toc196292768"/>
      <w:r w:rsidRPr="00521670">
        <w:rPr>
          <w:lang w:val="ru-RU"/>
        </w:rPr>
        <w:t>1</w:t>
      </w:r>
      <w:r w:rsidRPr="00521670">
        <w:rPr>
          <w:lang w:val="ru-RU"/>
        </w:rPr>
        <w:tab/>
        <w:t xml:space="preserve">Финансовая отчетность и отчет о финансовой деятельности за год, завершившийся 31 декабря 2024 года, представлены в соответствии со Статьей 30 Финансового регламента Союза </w:t>
      </w:r>
      <w:bookmarkEnd w:id="12"/>
      <w:r w:rsidR="000268E3" w:rsidRPr="00521670">
        <w:rPr>
          <w:lang w:val="ru-RU"/>
        </w:rPr>
        <w:t>в редакции 2024 года.</w:t>
      </w:r>
    </w:p>
    <w:p w14:paraId="7268A945" w14:textId="77777777" w:rsidR="00921A7B" w:rsidRPr="00521670" w:rsidRDefault="00921A7B" w:rsidP="00921A7B">
      <w:pPr>
        <w:rPr>
          <w:lang w:val="ru-RU"/>
        </w:rPr>
      </w:pPr>
      <w:bookmarkStart w:id="18" w:name="lt_pId009"/>
      <w:r w:rsidRPr="00521670">
        <w:rPr>
          <w:lang w:val="ru-RU"/>
        </w:rPr>
        <w:t>2</w:t>
      </w:r>
      <w:r w:rsidRPr="00521670">
        <w:rPr>
          <w:lang w:val="ru-RU"/>
        </w:rPr>
        <w:tab/>
        <w:t>Финансовая отчетность подготовлена в соответствии с Международными стандартами финансовой отчетности для общественного сектора (IPSAS) и охватывает все виды деятельности организации, в том числе финансируемые из регулярного бюджета, за счет внебюджетных ресурсов, а также операционных и финансовых доходов.</w:t>
      </w:r>
      <w:bookmarkEnd w:id="18"/>
    </w:p>
    <w:p w14:paraId="3432BB98" w14:textId="77777777" w:rsidR="00921A7B" w:rsidRPr="00521670" w:rsidRDefault="00921A7B" w:rsidP="00921A7B">
      <w:pPr>
        <w:pStyle w:val="enumlev1"/>
        <w:rPr>
          <w:lang w:val="ru-RU"/>
        </w:rPr>
      </w:pPr>
      <w:bookmarkStart w:id="19" w:name="lt_pId010"/>
      <w:r w:rsidRPr="00521670">
        <w:rPr>
          <w:lang w:val="ru-RU"/>
        </w:rPr>
        <w:t>a)</w:t>
      </w:r>
      <w:r w:rsidRPr="00521670">
        <w:rPr>
          <w:lang w:val="ru-RU"/>
        </w:rPr>
        <w:tab/>
        <w:t>В Финансовом регламенте определен двухгодичный финансовый период; однако в соответствии с IPSAS необходимо представлять ежегодную финансовую отчетность. Двухгодичный бюджет МСЭ составляется в формате бюджета, ориентированного на результаты, в который входят:</w:t>
      </w:r>
      <w:bookmarkEnd w:id="19"/>
    </w:p>
    <w:p w14:paraId="1953960E" w14:textId="32CB19B0" w:rsidR="00921A7B" w:rsidRPr="00521670" w:rsidRDefault="00921A7B" w:rsidP="001950F8">
      <w:pPr>
        <w:pStyle w:val="enumlev2"/>
        <w:rPr>
          <w:lang w:val="ru-RU"/>
        </w:rPr>
      </w:pPr>
      <w:bookmarkStart w:id="20" w:name="lt_pId012"/>
      <w:r w:rsidRPr="00521670">
        <w:rPr>
          <w:lang w:val="ru-RU"/>
        </w:rPr>
        <w:t>i)</w:t>
      </w:r>
      <w:r w:rsidRPr="00521670">
        <w:rPr>
          <w:lang w:val="ru-RU"/>
        </w:rPr>
        <w:tab/>
        <w:t>взносы Государств-Членов, а также Членов Секторов, Ассоциированных членов и Академических организаций – Членов МСЭ;</w:t>
      </w:r>
    </w:p>
    <w:p w14:paraId="36B056C7" w14:textId="6ECF9759" w:rsidR="00921A7B" w:rsidRPr="00521670" w:rsidRDefault="00921A7B" w:rsidP="001950F8">
      <w:pPr>
        <w:pStyle w:val="enumlev2"/>
        <w:rPr>
          <w:lang w:val="ru-RU"/>
        </w:rPr>
      </w:pPr>
      <w:r w:rsidRPr="00521670">
        <w:rPr>
          <w:lang w:val="ru-RU"/>
        </w:rPr>
        <w:t>ii)</w:t>
      </w:r>
      <w:r w:rsidRPr="00521670">
        <w:rPr>
          <w:lang w:val="ru-RU"/>
        </w:rPr>
        <w:tab/>
        <w:t>прочие доходы от деятельности, которые составляют доходы по линии возмещения затрат (включая публикации, заявки на регистрацию спутниковых сетей</w:t>
      </w:r>
      <w:r w:rsidR="000268E3" w:rsidRPr="00521670">
        <w:rPr>
          <w:lang w:val="ru-RU"/>
        </w:rPr>
        <w:t xml:space="preserve"> и внебюджетные финансовые средства</w:t>
      </w:r>
      <w:r w:rsidRPr="00521670">
        <w:rPr>
          <w:lang w:val="ru-RU"/>
        </w:rPr>
        <w:t>), доходы в виде процентов и другие виды деятельности, приносящие доход;</w:t>
      </w:r>
    </w:p>
    <w:p w14:paraId="25FDD2E8" w14:textId="77777777" w:rsidR="00921A7B" w:rsidRPr="00521670" w:rsidRDefault="00921A7B" w:rsidP="001950F8">
      <w:pPr>
        <w:pStyle w:val="enumlev2"/>
        <w:rPr>
          <w:lang w:val="ru-RU"/>
        </w:rPr>
      </w:pPr>
      <w:r w:rsidRPr="00521670">
        <w:rPr>
          <w:lang w:val="ru-RU"/>
        </w:rPr>
        <w:t>iii)</w:t>
      </w:r>
      <w:r w:rsidRPr="00521670">
        <w:rPr>
          <w:lang w:val="ru-RU"/>
        </w:rPr>
        <w:tab/>
        <w:t>при необходимости, снятие средств с резервного счета.</w:t>
      </w:r>
      <w:bookmarkEnd w:id="20"/>
    </w:p>
    <w:p w14:paraId="1590D41E" w14:textId="77777777" w:rsidR="00921A7B" w:rsidRPr="00521670" w:rsidRDefault="00921A7B" w:rsidP="00921A7B">
      <w:pPr>
        <w:pStyle w:val="enumlev1"/>
        <w:rPr>
          <w:lang w:val="ru-RU"/>
        </w:rPr>
      </w:pPr>
      <w:bookmarkStart w:id="21" w:name="lt_pId014"/>
      <w:r w:rsidRPr="00521670">
        <w:rPr>
          <w:lang w:val="ru-RU"/>
        </w:rPr>
        <w:t>b)</w:t>
      </w:r>
      <w:r w:rsidRPr="00521670">
        <w:rPr>
          <w:lang w:val="ru-RU"/>
        </w:rPr>
        <w:tab/>
        <w:t>Прочие доходы, включая внебюджетные средства, не отражаются в бюджете Союза.</w:t>
      </w:r>
      <w:bookmarkEnd w:id="21"/>
    </w:p>
    <w:p w14:paraId="70264176" w14:textId="4472DDF9" w:rsidR="00921A7B" w:rsidRPr="00521670" w:rsidRDefault="00921A7B" w:rsidP="00921A7B">
      <w:pPr>
        <w:rPr>
          <w:lang w:val="ru-RU"/>
        </w:rPr>
      </w:pPr>
      <w:r w:rsidRPr="00521670">
        <w:rPr>
          <w:lang w:val="ru-RU"/>
        </w:rPr>
        <w:t>3</w:t>
      </w:r>
      <w:r w:rsidRPr="00521670">
        <w:rPr>
          <w:lang w:val="ru-RU"/>
        </w:rPr>
        <w:tab/>
        <w:t>Представление финансовой отчетности на основе IPSAS не влияет ни на подготовку бюджета МСЭ, ориентированного на результаты, ни на отчетность по нему, которая по</w:t>
      </w:r>
      <w:r w:rsidRPr="00521670">
        <w:rPr>
          <w:lang w:val="ru-RU"/>
        </w:rPr>
        <w:noBreakHyphen/>
        <w:t>прежнему составляется с использованием модифицированного кассового метода. Ввиду того, что основы составления бюджета и финансовой отчетности различаются, сопоставление бюджета и отчета о результатах финансовой деятельности согласно IPSAS представлено в разделе "Отчет V: Отчет о сопоставлении бюджета и фактических сумм" в Примечании 21 к финансовой отчетности.</w:t>
      </w:r>
    </w:p>
    <w:p w14:paraId="025BBF8D" w14:textId="07236932" w:rsidR="006007EC" w:rsidRPr="00521670" w:rsidRDefault="00921A7B" w:rsidP="00A55437">
      <w:pPr>
        <w:pStyle w:val="Heading1"/>
        <w:rPr>
          <w:w w:val="105"/>
          <w:lang w:val="ru-RU"/>
        </w:rPr>
      </w:pPr>
      <w:bookmarkStart w:id="22" w:name="lt_pId017"/>
      <w:bookmarkStart w:id="23" w:name="_Toc167956612"/>
      <w:bookmarkStart w:id="24" w:name="_Toc167956851"/>
      <w:bookmarkStart w:id="25" w:name="_Toc167957155"/>
      <w:bookmarkStart w:id="26" w:name="_Toc168578436"/>
      <w:bookmarkStart w:id="27" w:name="_Toc180681785"/>
      <w:bookmarkStart w:id="28" w:name="_Toc200469509"/>
      <w:bookmarkEnd w:id="13"/>
      <w:bookmarkEnd w:id="14"/>
      <w:bookmarkEnd w:id="15"/>
      <w:bookmarkEnd w:id="16"/>
      <w:bookmarkEnd w:id="17"/>
      <w:r w:rsidRPr="00521670">
        <w:rPr>
          <w:lang w:val="ru-RU"/>
        </w:rPr>
        <w:t>Основные аспекты Отчета о финансовой деятельности за 202</w:t>
      </w:r>
      <w:bookmarkEnd w:id="22"/>
      <w:r w:rsidRPr="00521670">
        <w:rPr>
          <w:lang w:val="ru-RU"/>
        </w:rPr>
        <w:t>4 год</w:t>
      </w:r>
      <w:bookmarkEnd w:id="23"/>
      <w:bookmarkEnd w:id="24"/>
      <w:bookmarkEnd w:id="25"/>
      <w:bookmarkEnd w:id="26"/>
      <w:bookmarkEnd w:id="27"/>
      <w:bookmarkEnd w:id="28"/>
    </w:p>
    <w:p w14:paraId="06D4E96F" w14:textId="77777777" w:rsidR="00921A7B" w:rsidRPr="00521670" w:rsidRDefault="00921A7B" w:rsidP="00921A7B">
      <w:pPr>
        <w:rPr>
          <w:lang w:val="ru-RU"/>
        </w:rPr>
      </w:pPr>
      <w:r w:rsidRPr="00521670">
        <w:rPr>
          <w:lang w:val="ru-RU"/>
        </w:rPr>
        <w:t>4</w:t>
      </w:r>
      <w:r w:rsidRPr="00521670">
        <w:rPr>
          <w:lang w:val="ru-RU"/>
        </w:rPr>
        <w:tab/>
        <w:t>Счета Союза ведутся в швейцарских франках. Представленная финансовая отчетность включает все источники средств МСЭ, включая регулярный бюджет и внебюджетные средства.</w:t>
      </w:r>
    </w:p>
    <w:p w14:paraId="310C09DD" w14:textId="4FF75C8A" w:rsidR="00921A7B" w:rsidRPr="00521670" w:rsidRDefault="00921A7B" w:rsidP="00921A7B">
      <w:pPr>
        <w:rPr>
          <w:lang w:val="ru-RU"/>
        </w:rPr>
      </w:pPr>
      <w:bookmarkStart w:id="29" w:name="lt_pId020"/>
      <w:r w:rsidRPr="00521670">
        <w:rPr>
          <w:lang w:val="ru-RU"/>
        </w:rPr>
        <w:t>5</w:t>
      </w:r>
      <w:r w:rsidRPr="00521670">
        <w:rPr>
          <w:lang w:val="ru-RU"/>
        </w:rPr>
        <w:tab/>
        <w:t>В Таблице 1, ниже, в обобщенной форме представлено финансовое положение МСЭ в 2024 году по сравнению с предыдущим годом.</w:t>
      </w:r>
      <w:bookmarkEnd w:id="29"/>
    </w:p>
    <w:p w14:paraId="35E32227" w14:textId="77777777" w:rsidR="00921A7B" w:rsidRPr="00521670" w:rsidRDefault="00921A7B" w:rsidP="00921A7B">
      <w:pPr>
        <w:tabs>
          <w:tab w:val="clear" w:pos="794"/>
          <w:tab w:val="clear" w:pos="1191"/>
          <w:tab w:val="clear" w:pos="1588"/>
          <w:tab w:val="clear" w:pos="1985"/>
        </w:tabs>
        <w:overflowPunct/>
        <w:autoSpaceDE/>
        <w:autoSpaceDN/>
        <w:adjustRightInd/>
        <w:spacing w:before="0"/>
        <w:textAlignment w:val="auto"/>
        <w:rPr>
          <w:lang w:val="ru-RU"/>
        </w:rPr>
      </w:pPr>
      <w:r w:rsidRPr="00521670">
        <w:rPr>
          <w:lang w:val="ru-RU"/>
        </w:rPr>
        <w:br w:type="page"/>
      </w:r>
    </w:p>
    <w:p w14:paraId="6E861470" w14:textId="5F42122D" w:rsidR="006007EC" w:rsidRPr="00521670" w:rsidRDefault="00D7472B" w:rsidP="00002ADF">
      <w:pPr>
        <w:pStyle w:val="Figuretitle"/>
        <w:spacing w:after="240"/>
        <w:rPr>
          <w:lang w:val="ru-RU"/>
        </w:rPr>
      </w:pPr>
      <w:r w:rsidRPr="00521670">
        <w:rPr>
          <w:lang w:val="ru-RU"/>
        </w:rPr>
        <w:lastRenderedPageBreak/>
        <w:t>Рисунок</w:t>
      </w:r>
      <w:r w:rsidR="006007EC" w:rsidRPr="00521670">
        <w:rPr>
          <w:lang w:val="ru-RU"/>
        </w:rPr>
        <w:t xml:space="preserve"> 1</w:t>
      </w:r>
      <w:r w:rsidR="006A6B9A" w:rsidRPr="00521670">
        <w:rPr>
          <w:lang w:val="ru-RU"/>
        </w:rPr>
        <w:t xml:space="preserve">: </w:t>
      </w:r>
      <w:r w:rsidRPr="00521670">
        <w:rPr>
          <w:lang w:val="ru-RU"/>
        </w:rPr>
        <w:t>Финансовое положение в</w:t>
      </w:r>
      <w:r w:rsidR="006007EC" w:rsidRPr="00521670">
        <w:rPr>
          <w:lang w:val="ru-RU"/>
        </w:rPr>
        <w:t xml:space="preserve"> 2024 </w:t>
      </w:r>
      <w:r w:rsidRPr="00521670">
        <w:rPr>
          <w:lang w:val="ru-RU"/>
        </w:rPr>
        <w:t>и</w:t>
      </w:r>
      <w:r w:rsidR="006007EC" w:rsidRPr="00521670">
        <w:rPr>
          <w:lang w:val="ru-RU"/>
        </w:rPr>
        <w:t xml:space="preserve"> 2023</w:t>
      </w:r>
      <w:r w:rsidRPr="00521670">
        <w:rPr>
          <w:lang w:val="ru-RU"/>
        </w:rPr>
        <w:t xml:space="preserve"> годах</w:t>
      </w:r>
    </w:p>
    <w:p w14:paraId="28CB1223" w14:textId="02BB3C31" w:rsidR="006007EC" w:rsidRPr="00521670" w:rsidRDefault="006007EC" w:rsidP="00D7472B">
      <w:pPr>
        <w:keepNext/>
        <w:keepLines/>
        <w:spacing w:before="0"/>
        <w:jc w:val="center"/>
        <w:rPr>
          <w:i/>
          <w:iCs/>
          <w:lang w:val="ru-RU"/>
        </w:rPr>
      </w:pPr>
      <w:r w:rsidRPr="00521670">
        <w:rPr>
          <w:lang w:val="ru-RU"/>
        </w:rPr>
        <w:t>(</w:t>
      </w:r>
      <w:r w:rsidR="000268E3" w:rsidRPr="00521670">
        <w:rPr>
          <w:i/>
          <w:iCs/>
          <w:lang w:val="ru-RU"/>
        </w:rPr>
        <w:t>млн</w:t>
      </w:r>
      <w:r w:rsidR="00D7472B" w:rsidRPr="00521670">
        <w:rPr>
          <w:i/>
          <w:iCs/>
          <w:lang w:val="ru-RU"/>
        </w:rPr>
        <w:t>. шф. фр.</w:t>
      </w:r>
      <w:r w:rsidRPr="00521670">
        <w:rPr>
          <w:lang w:val="ru-RU"/>
        </w:rPr>
        <w:t>)</w:t>
      </w:r>
    </w:p>
    <w:p w14:paraId="75D531D4" w14:textId="41890B90" w:rsidR="00FE1F76" w:rsidRPr="00521670" w:rsidRDefault="00FE1F76" w:rsidP="00190C2B">
      <w:pPr>
        <w:pStyle w:val="Figure"/>
        <w:rPr>
          <w:lang w:val="ru-RU"/>
        </w:rPr>
      </w:pPr>
      <w:r w:rsidRPr="00521670">
        <w:rPr>
          <w:noProof/>
          <w:lang w:val="ru-RU"/>
        </w:rPr>
        <w:drawing>
          <wp:inline distT="0" distB="0" distL="0" distR="0" wp14:anchorId="418D7026" wp14:editId="24360837">
            <wp:extent cx="3544459" cy="2253136"/>
            <wp:effectExtent l="0" t="0" r="0" b="0"/>
            <wp:docPr id="1401845292" name="Picture 1" descr="A graph of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45292" name="Picture 1" descr="A graph of blue and white bars&#10;&#10;AI-generated content may be incorrect."/>
                    <pic:cNvPicPr/>
                  </pic:nvPicPr>
                  <pic:blipFill>
                    <a:blip r:embed="rId11"/>
                    <a:stretch>
                      <a:fillRect/>
                    </a:stretch>
                  </pic:blipFill>
                  <pic:spPr>
                    <a:xfrm>
                      <a:off x="0" y="0"/>
                      <a:ext cx="3560378" cy="2263256"/>
                    </a:xfrm>
                    <a:prstGeom prst="rect">
                      <a:avLst/>
                    </a:prstGeom>
                  </pic:spPr>
                </pic:pic>
              </a:graphicData>
            </a:graphic>
          </wp:inline>
        </w:drawing>
      </w:r>
    </w:p>
    <w:p w14:paraId="3E2D03B1" w14:textId="3F111AA6" w:rsidR="00A55437" w:rsidRPr="00521670" w:rsidRDefault="00A55437" w:rsidP="008460FD">
      <w:pPr>
        <w:rPr>
          <w:lang w:val="ru-RU"/>
        </w:rPr>
      </w:pPr>
      <w:r w:rsidRPr="00521670">
        <w:rPr>
          <w:lang w:val="ru-RU"/>
        </w:rPr>
        <w:t>6</w:t>
      </w:r>
      <w:r w:rsidRPr="00521670">
        <w:rPr>
          <w:lang w:val="ru-RU"/>
        </w:rPr>
        <w:tab/>
      </w:r>
      <w:r w:rsidR="00C12342" w:rsidRPr="00521670">
        <w:rPr>
          <w:lang w:val="ru-RU"/>
        </w:rPr>
        <w:t xml:space="preserve">Как показано на Рисунке 1, выше, </w:t>
      </w:r>
      <w:r w:rsidR="00931AA7" w:rsidRPr="00521670">
        <w:rPr>
          <w:lang w:val="ru-RU"/>
        </w:rPr>
        <w:t xml:space="preserve">в 2024 году </w:t>
      </w:r>
      <w:r w:rsidR="001C3681" w:rsidRPr="00521670">
        <w:rPr>
          <w:lang w:val="ru-RU"/>
        </w:rPr>
        <w:t>отмечалось</w:t>
      </w:r>
      <w:r w:rsidR="00C12342" w:rsidRPr="00521670">
        <w:rPr>
          <w:lang w:val="ru-RU"/>
        </w:rPr>
        <w:t xml:space="preserve"> повышение общих доходов </w:t>
      </w:r>
      <w:r w:rsidR="00931AA7" w:rsidRPr="00521670">
        <w:rPr>
          <w:lang w:val="ru-RU"/>
        </w:rPr>
        <w:t xml:space="preserve">на 4 млн. швейцарских франков </w:t>
      </w:r>
      <w:r w:rsidR="00C12342" w:rsidRPr="00521670">
        <w:rPr>
          <w:lang w:val="ru-RU"/>
        </w:rPr>
        <w:t xml:space="preserve">по сравнению с 2023 годом. </w:t>
      </w:r>
      <w:r w:rsidR="00931AA7" w:rsidRPr="00521670">
        <w:rPr>
          <w:lang w:val="ru-RU"/>
        </w:rPr>
        <w:t xml:space="preserve">Главным образом оно обусловлено увеличением размеров начисленных взносов (3,3 млн. шв. фр.). Это увеличение начисленных взносов объясняется тем, что МСЭ начал новый бюджетный цикл в соответствии с финансовым планом на 2024–2027 годы, утвержденным на последней Полномочной конференции, и ряд Государств-Членов повысил уровень своих взносов. Доходы от продажи публикаций выросли на 2,5 млн. швейцарских франков, а поступления внебюджетных средств на 2,3 млн. швейцарских франков, что компенсируется уменьшением доходов из других источников (включая обработку заявок на регистрацию спутниковых сетей (SNF)) на 4,1 млн. швейцарских франков. В целом расходы в 2024 году выросли на 24,8 млн. швейцарских франков – со 197,2 млн. швейцарских франков до 222,0 млн. швейцарских франков, – что обусловлено главным образом обесценением проекта нового здания на сумму 21,0 млн. швейцарских франков и признанием зарезервированных средств по начисленным взносам в размере 6,4 млн. швейцарских франков и резерва на случай расторжения соглашения о спонсорской поддержке в размере 5,0 млн. швейцарских франков в результате пересмотра проекта строительства нового здания. </w:t>
      </w:r>
      <w:r w:rsidR="008E1B3B" w:rsidRPr="00521670">
        <w:rPr>
          <w:lang w:val="ru-RU"/>
        </w:rPr>
        <w:t>В значительной мере это компенсируется сокращением расходов по персоналу на 8,2 млн. швейцарских франков.</w:t>
      </w:r>
    </w:p>
    <w:p w14:paraId="5FF38527" w14:textId="2B642E67" w:rsidR="00A55437" w:rsidRPr="00521670" w:rsidRDefault="00A55437" w:rsidP="008460FD">
      <w:pPr>
        <w:rPr>
          <w:lang w:val="ru-RU"/>
        </w:rPr>
      </w:pPr>
      <w:r w:rsidRPr="00521670">
        <w:rPr>
          <w:lang w:val="ru-RU"/>
        </w:rPr>
        <w:t>7</w:t>
      </w:r>
      <w:r w:rsidRPr="00521670">
        <w:rPr>
          <w:lang w:val="ru-RU"/>
        </w:rPr>
        <w:tab/>
      </w:r>
      <w:r w:rsidR="008E1B3B" w:rsidRPr="00521670">
        <w:rPr>
          <w:lang w:val="ru-RU"/>
        </w:rPr>
        <w:t xml:space="preserve">Финансовые доходы/затраты изменились с убытка в размере 8,3 млн. швейцарских франков в 2023 году на доход в размере 9,5 млн. швейцарских франков в 2024 году. </w:t>
      </w:r>
      <w:r w:rsidR="001C3681" w:rsidRPr="00521670">
        <w:rPr>
          <w:lang w:val="ru-RU"/>
        </w:rPr>
        <w:t>Такая</w:t>
      </w:r>
      <w:r w:rsidR="00AA495F" w:rsidRPr="00521670">
        <w:rPr>
          <w:lang w:val="ru-RU"/>
        </w:rPr>
        <w:t> </w:t>
      </w:r>
      <w:r w:rsidR="001C3681" w:rsidRPr="00521670">
        <w:rPr>
          <w:lang w:val="ru-RU"/>
        </w:rPr>
        <w:t>разница в</w:t>
      </w:r>
      <w:r w:rsidR="007A0782" w:rsidRPr="00521670">
        <w:rPr>
          <w:lang w:val="ru-RU"/>
        </w:rPr>
        <w:t xml:space="preserve"> 17,8 млн. швейцарских франков объясняется главным образом значительным увеличением курсовой прибыли на 14,3 млн. швейцарских франков благодаря более благоприятной тенденции в курсах обмена валют, особенно доллара США к швейцарскому франку.</w:t>
      </w:r>
      <w:r w:rsidR="00BE45A7" w:rsidRPr="00521670">
        <w:rPr>
          <w:lang w:val="ru-RU"/>
        </w:rPr>
        <w:t xml:space="preserve"> Кроме того, чистая приведенная стоимость ссуд ФИПОИ уменьшилась на 3,4</w:t>
      </w:r>
      <w:r w:rsidR="00AA495F" w:rsidRPr="00521670">
        <w:rPr>
          <w:lang w:val="ru-RU"/>
        </w:rPr>
        <w:t> </w:t>
      </w:r>
      <w:r w:rsidR="00BE45A7" w:rsidRPr="00521670">
        <w:rPr>
          <w:lang w:val="ru-RU"/>
        </w:rPr>
        <w:t>млн.</w:t>
      </w:r>
      <w:r w:rsidR="00AA495F" w:rsidRPr="00521670">
        <w:rPr>
          <w:lang w:val="ru-RU"/>
        </w:rPr>
        <w:t> </w:t>
      </w:r>
      <w:r w:rsidR="00BE45A7" w:rsidRPr="00521670">
        <w:rPr>
          <w:lang w:val="ru-RU"/>
        </w:rPr>
        <w:t xml:space="preserve">швейцарских франков в связи со снижением процентной ставки. Что касается инвестиций, то процентные ставки по ним оставались стабильными в долларах США – основной инвестиционной валюте МСЭ, – и поступления по ним составили, аналогично предыдущем году, 4,6 млн. швейцарских франков. </w:t>
      </w:r>
      <w:r w:rsidR="00CE30AD" w:rsidRPr="00521670">
        <w:rPr>
          <w:lang w:val="ru-RU"/>
        </w:rPr>
        <w:t xml:space="preserve">Однако МСЭ в настоящее время работает над усовершенствованием своей практики управления иностранной валютой, с тем чтобы привести свои инвестиции в иностранной валюте в соответствие с </w:t>
      </w:r>
      <w:r w:rsidR="001C3681" w:rsidRPr="00521670">
        <w:rPr>
          <w:lang w:val="ru-RU"/>
        </w:rPr>
        <w:t xml:space="preserve">рабочей </w:t>
      </w:r>
      <w:r w:rsidR="00CE30AD" w:rsidRPr="00521670">
        <w:rPr>
          <w:lang w:val="ru-RU"/>
        </w:rPr>
        <w:t>валютой (швейцарский франк), снизив таким образом риск, связанный с волатильностью обменного курса, и обеспечив большую предсказуемость и стабильность финансовых результатов.</w:t>
      </w:r>
    </w:p>
    <w:p w14:paraId="1C480508" w14:textId="053148CA" w:rsidR="00A55437" w:rsidRPr="00521670" w:rsidRDefault="00A55437" w:rsidP="008460FD">
      <w:pPr>
        <w:rPr>
          <w:lang w:val="ru-RU"/>
        </w:rPr>
      </w:pPr>
      <w:r w:rsidRPr="00521670">
        <w:rPr>
          <w:lang w:val="ru-RU"/>
        </w:rPr>
        <w:t>8</w:t>
      </w:r>
      <w:r w:rsidRPr="00521670">
        <w:rPr>
          <w:lang w:val="ru-RU"/>
        </w:rPr>
        <w:tab/>
      </w:r>
      <w:r w:rsidR="00CE30AD" w:rsidRPr="00521670">
        <w:rPr>
          <w:lang w:val="ru-RU"/>
        </w:rPr>
        <w:t xml:space="preserve">Активы организации увеличились на 14,7 млн. швейцарских франков, главным образом </w:t>
      </w:r>
      <w:r w:rsidR="001C3681" w:rsidRPr="00521670">
        <w:rPr>
          <w:lang w:val="ru-RU"/>
        </w:rPr>
        <w:t>за счет</w:t>
      </w:r>
      <w:r w:rsidR="00CE30AD" w:rsidRPr="00521670">
        <w:rPr>
          <w:lang w:val="ru-RU"/>
        </w:rPr>
        <w:t xml:space="preserve"> увеличения денежных средств, эквивалентов денежных средств и долговых обязательств, что частично компенсируется уменьшением инвестиций и активов на этапе </w:t>
      </w:r>
      <w:r w:rsidR="00CE30AD" w:rsidRPr="00521670">
        <w:rPr>
          <w:lang w:val="ru-RU"/>
        </w:rPr>
        <w:lastRenderedPageBreak/>
        <w:t xml:space="preserve">строительства. </w:t>
      </w:r>
      <w:r w:rsidR="003366BC" w:rsidRPr="00521670">
        <w:rPr>
          <w:lang w:val="ru-RU"/>
        </w:rPr>
        <w:t>Пассивы увеличились на 74,8 млн</w:t>
      </w:r>
      <w:r w:rsidR="002C40E3" w:rsidRPr="00521670">
        <w:rPr>
          <w:lang w:val="ru-RU"/>
        </w:rPr>
        <w:t>.</w:t>
      </w:r>
      <w:r w:rsidR="003366BC" w:rsidRPr="00521670">
        <w:rPr>
          <w:lang w:val="ru-RU"/>
        </w:rPr>
        <w:t xml:space="preserve"> швейцарских франков, в основном за счет увеличения обязательств по фонду медицинского страхования после выхода в отставку (АСХИ) и отложенных поступлений, связанных с внебюджетными соглашениями.</w:t>
      </w:r>
    </w:p>
    <w:p w14:paraId="11F5D1E9" w14:textId="26D68057" w:rsidR="00A55437" w:rsidRPr="00521670" w:rsidRDefault="00A55437" w:rsidP="008460FD">
      <w:pPr>
        <w:rPr>
          <w:lang w:val="ru-RU"/>
        </w:rPr>
      </w:pPr>
      <w:r w:rsidRPr="00521670">
        <w:rPr>
          <w:lang w:val="ru-RU"/>
        </w:rPr>
        <w:t>9</w:t>
      </w:r>
      <w:r w:rsidRPr="00521670">
        <w:rPr>
          <w:lang w:val="ru-RU"/>
        </w:rPr>
        <w:tab/>
      </w:r>
      <w:r w:rsidR="00CF55AA" w:rsidRPr="00521670">
        <w:rPr>
          <w:lang w:val="ru-RU"/>
        </w:rPr>
        <w:t xml:space="preserve">Дефицит в размере 27,8 млн. швейцарских франков (Отчет II) </w:t>
      </w:r>
      <w:r w:rsidR="001C3681" w:rsidRPr="00521670">
        <w:rPr>
          <w:lang w:val="ru-RU"/>
        </w:rPr>
        <w:t xml:space="preserve">в 2024 году </w:t>
      </w:r>
      <w:r w:rsidR="00A377DC" w:rsidRPr="00521670">
        <w:rPr>
          <w:lang w:val="ru-RU"/>
        </w:rPr>
        <w:t>(</w:t>
      </w:r>
      <w:r w:rsidR="00CF55AA" w:rsidRPr="00521670">
        <w:rPr>
          <w:lang w:val="ru-RU"/>
        </w:rPr>
        <w:t>по</w:t>
      </w:r>
      <w:r w:rsidR="00AA495F" w:rsidRPr="00521670">
        <w:rPr>
          <w:lang w:val="ru-RU"/>
        </w:rPr>
        <w:t> </w:t>
      </w:r>
      <w:r w:rsidR="00CF55AA" w:rsidRPr="00521670">
        <w:rPr>
          <w:lang w:val="ru-RU"/>
        </w:rPr>
        <w:t>сравнению с дефицитом в размере 24,8 млн. швейцарских франков в 202</w:t>
      </w:r>
      <w:r w:rsidR="001C3681" w:rsidRPr="00521670">
        <w:rPr>
          <w:lang w:val="ru-RU"/>
        </w:rPr>
        <w:t>3</w:t>
      </w:r>
      <w:r w:rsidR="00CF55AA" w:rsidRPr="00521670">
        <w:rPr>
          <w:lang w:val="ru-RU"/>
        </w:rPr>
        <w:t xml:space="preserve"> г</w:t>
      </w:r>
      <w:r w:rsidR="00422857" w:rsidRPr="00521670">
        <w:rPr>
          <w:lang w:val="ru-RU"/>
        </w:rPr>
        <w:t>од</w:t>
      </w:r>
      <w:r w:rsidR="00CF55AA" w:rsidRPr="00521670">
        <w:rPr>
          <w:lang w:val="ru-RU"/>
        </w:rPr>
        <w:t>) является чистым результатом общих расходов, превышающих доходы за год для МСЭ. Вместе с тем примечательно, что активное сальдо бюджета МСЭ по программам составляет 5,7</w:t>
      </w:r>
      <w:r w:rsidR="00AA495F" w:rsidRPr="00521670">
        <w:rPr>
          <w:lang w:val="ru-RU"/>
        </w:rPr>
        <w:t> </w:t>
      </w:r>
      <w:r w:rsidR="00CF55AA" w:rsidRPr="00521670">
        <w:rPr>
          <w:lang w:val="ru-RU"/>
        </w:rPr>
        <w:t>млн.</w:t>
      </w:r>
      <w:r w:rsidR="00AA495F" w:rsidRPr="00521670">
        <w:rPr>
          <w:lang w:val="ru-RU"/>
        </w:rPr>
        <w:t> </w:t>
      </w:r>
      <w:r w:rsidR="00CF55AA" w:rsidRPr="00521670">
        <w:rPr>
          <w:lang w:val="ru-RU"/>
        </w:rPr>
        <w:t xml:space="preserve">швейцарских франков (Отчет V). </w:t>
      </w:r>
      <w:r w:rsidR="003E43B4" w:rsidRPr="00521670">
        <w:rPr>
          <w:lang w:val="ru-RU"/>
        </w:rPr>
        <w:t xml:space="preserve">Основные различия между Отчетом V и Отчетом II в первую очередь объясняются обесценением нового здания (21 млн. швейцарских франков), отчислениями по АСХИ (7,8 млн. швейцарских франков) и резервными фондами для сомнительных долгов (6,4 млн. швейцарских франков) </w:t>
      </w:r>
      <w:r w:rsidR="00A377DC" w:rsidRPr="00521670">
        <w:rPr>
          <w:lang w:val="ru-RU"/>
        </w:rPr>
        <w:t>и на случай прекращения</w:t>
      </w:r>
      <w:r w:rsidR="003E43B4" w:rsidRPr="00521670">
        <w:rPr>
          <w:lang w:val="ru-RU"/>
        </w:rPr>
        <w:t xml:space="preserve"> спонсорской поддержки проекта строительства нового здания (5 млн. швейцарских франков), что частично компенсируется за счет капитализации основных средств, курсовой прибыли от инвестиций и операций и корректировки ссуды ФИПОИ. Подробнее </w:t>
      </w:r>
      <w:r w:rsidR="00A377DC" w:rsidRPr="00521670">
        <w:rPr>
          <w:lang w:val="ru-RU"/>
        </w:rPr>
        <w:t>это отражено</w:t>
      </w:r>
      <w:r w:rsidR="003E43B4" w:rsidRPr="00521670">
        <w:rPr>
          <w:lang w:val="ru-RU"/>
        </w:rPr>
        <w:t xml:space="preserve"> в Отчете V и </w:t>
      </w:r>
      <w:r w:rsidR="00A377DC" w:rsidRPr="00521670">
        <w:rPr>
          <w:lang w:val="ru-RU"/>
        </w:rPr>
        <w:t xml:space="preserve">описано в </w:t>
      </w:r>
      <w:r w:rsidR="003E43B4" w:rsidRPr="00521670">
        <w:rPr>
          <w:lang w:val="ru-RU"/>
        </w:rPr>
        <w:t>Примечании 21 к финансовой отчетности. Генеральный секретарь представит документ, в котором предложения по финансированию приоритетных видов деятельности в 2025 году будут вынесены на утверждение Совета.</w:t>
      </w:r>
    </w:p>
    <w:p w14:paraId="7C91E631" w14:textId="13987D60" w:rsidR="00A55437" w:rsidRPr="00521670" w:rsidRDefault="00D7472B" w:rsidP="00A55437">
      <w:pPr>
        <w:pStyle w:val="Heading1"/>
        <w:rPr>
          <w:lang w:val="ru-RU"/>
        </w:rPr>
      </w:pPr>
      <w:bookmarkStart w:id="30" w:name="_Toc167956613"/>
      <w:bookmarkStart w:id="31" w:name="_Toc167956852"/>
      <w:bookmarkStart w:id="32" w:name="_Toc167957156"/>
      <w:bookmarkStart w:id="33" w:name="_Toc168578437"/>
      <w:bookmarkStart w:id="34" w:name="_Toc180681786"/>
      <w:bookmarkStart w:id="35" w:name="_Toc200469510"/>
      <w:bookmarkStart w:id="36" w:name="_Hlk130992369"/>
      <w:r w:rsidRPr="00521670">
        <w:rPr>
          <w:lang w:val="ru-RU"/>
        </w:rPr>
        <w:t>Результаты финансовой деятельности</w:t>
      </w:r>
      <w:bookmarkEnd w:id="30"/>
      <w:bookmarkEnd w:id="31"/>
      <w:bookmarkEnd w:id="32"/>
      <w:bookmarkEnd w:id="33"/>
      <w:bookmarkEnd w:id="34"/>
      <w:bookmarkEnd w:id="35"/>
    </w:p>
    <w:p w14:paraId="0438CEA1" w14:textId="7BBC6EEB" w:rsidR="00A55437" w:rsidRPr="00521670" w:rsidRDefault="00D7472B" w:rsidP="000E459D">
      <w:pPr>
        <w:pStyle w:val="Headingb"/>
        <w:rPr>
          <w:lang w:val="ru-RU"/>
        </w:rPr>
      </w:pPr>
      <w:r w:rsidRPr="00521670">
        <w:rPr>
          <w:lang w:val="ru-RU"/>
        </w:rPr>
        <w:t>Доходы</w:t>
      </w:r>
    </w:p>
    <w:bookmarkEnd w:id="36"/>
    <w:p w14:paraId="125BAE76" w14:textId="2A5A5772" w:rsidR="00A55437" w:rsidRPr="00521670" w:rsidRDefault="000E459D" w:rsidP="008460FD">
      <w:pPr>
        <w:rPr>
          <w:lang w:val="ru-RU"/>
        </w:rPr>
      </w:pPr>
      <w:r w:rsidRPr="00521670">
        <w:rPr>
          <w:lang w:val="ru-RU"/>
        </w:rPr>
        <w:t>10</w:t>
      </w:r>
      <w:r w:rsidRPr="00521670">
        <w:rPr>
          <w:lang w:val="ru-RU"/>
        </w:rPr>
        <w:tab/>
      </w:r>
      <w:r w:rsidR="003E43B4" w:rsidRPr="00521670">
        <w:rPr>
          <w:lang w:val="ru-RU"/>
        </w:rPr>
        <w:t xml:space="preserve">Доходы МСЭ в 2024 году составили 184,6 млн. швейцарских франков по сравнению с 180,7 млн. швейцарских франков в 2023 году. </w:t>
      </w:r>
      <w:r w:rsidR="007E022F" w:rsidRPr="00521670">
        <w:rPr>
          <w:lang w:val="ru-RU"/>
        </w:rPr>
        <w:t>В Таблице 1, ниже, показаны основные источники дохода в 2024 и 2023 годах. Доходы по линии начисленных и внебюджетных взносов увеличились на 5,6 млн. швейцарских франков. Доходы от продажи публикаций и обработки заявок на регистрацию спутниковых сетей сократились на 0,5 млн. швейцарских франков. Прочие доходы сократились на 1,1 млн.</w:t>
      </w:r>
      <w:r w:rsidR="00AA495F" w:rsidRPr="00521670">
        <w:rPr>
          <w:lang w:val="ru-RU"/>
        </w:rPr>
        <w:t xml:space="preserve"> швейцарских франков.</w:t>
      </w:r>
    </w:p>
    <w:p w14:paraId="6240B2A4" w14:textId="179A3C40" w:rsidR="00A55437" w:rsidRPr="00521670" w:rsidRDefault="000E459D" w:rsidP="008460FD">
      <w:pPr>
        <w:rPr>
          <w:lang w:val="ru-RU"/>
        </w:rPr>
      </w:pPr>
      <w:r w:rsidRPr="00521670">
        <w:rPr>
          <w:lang w:val="ru-RU"/>
        </w:rPr>
        <w:t>11</w:t>
      </w:r>
      <w:r w:rsidRPr="00521670">
        <w:rPr>
          <w:lang w:val="ru-RU"/>
        </w:rPr>
        <w:tab/>
      </w:r>
      <w:r w:rsidR="007E022F" w:rsidRPr="00521670">
        <w:rPr>
          <w:lang w:val="ru-RU"/>
        </w:rPr>
        <w:t xml:space="preserve">Совокупный финансовый доход организации значительно вырос по сравнению с предыдущим годом, превратившись из финансовых затрат в размере 8,3 млн. швейцарских франков в 2023 году в финансовый доход в размере 9,5 млн. швейцарских франков в 2024 году. </w:t>
      </w:r>
      <w:r w:rsidR="00A35F3E" w:rsidRPr="00521670">
        <w:rPr>
          <w:lang w:val="ru-RU"/>
        </w:rPr>
        <w:t>Это прямое следствие более благоприятной динамики обменных курсов доллара США и евро к швейцарскому франку. Кроме того, благоприятным в сравнении с 2023 годом было снижение процентной ставки, используемой для оценки чистой приведенной стоимости ссуд ФИПОИ, (положительное изменение на 3,4 млн. швейцарских франков). Процентные ставки по инвестициям, размещенным в течение года, были достаточно стабильными и позволили получить доход в размере 4,6 млн. швейцарских франков, что соответствует уровню предыдущего года.</w:t>
      </w:r>
    </w:p>
    <w:p w14:paraId="3E38A3B9" w14:textId="1DEDC58E" w:rsidR="00AA495F" w:rsidRPr="00521670" w:rsidRDefault="00AA495F">
      <w:pPr>
        <w:tabs>
          <w:tab w:val="clear" w:pos="794"/>
          <w:tab w:val="clear" w:pos="1191"/>
          <w:tab w:val="clear" w:pos="1588"/>
          <w:tab w:val="clear" w:pos="1985"/>
        </w:tabs>
        <w:overflowPunct/>
        <w:autoSpaceDE/>
        <w:autoSpaceDN/>
        <w:adjustRightInd/>
        <w:spacing w:before="0"/>
        <w:textAlignment w:val="auto"/>
        <w:rPr>
          <w:lang w:val="ru-RU"/>
        </w:rPr>
      </w:pPr>
      <w:r w:rsidRPr="00521670">
        <w:rPr>
          <w:lang w:val="ru-RU"/>
        </w:rPr>
        <w:br w:type="page"/>
      </w:r>
    </w:p>
    <w:p w14:paraId="0D810DD6" w14:textId="1B3BA13D" w:rsidR="001950F8" w:rsidRPr="00521670" w:rsidRDefault="00A04621" w:rsidP="00D7472B">
      <w:pPr>
        <w:pStyle w:val="Tabletitle"/>
        <w:spacing w:before="360"/>
        <w:rPr>
          <w:lang w:val="ru-RU"/>
        </w:rPr>
      </w:pPr>
      <w:bookmarkStart w:id="37" w:name="lt_pId040"/>
      <w:r w:rsidRPr="00521670">
        <w:rPr>
          <w:lang w:val="ru-RU"/>
        </w:rPr>
        <w:lastRenderedPageBreak/>
        <w:t xml:space="preserve">Таблица </w:t>
      </w:r>
      <w:r w:rsidR="00FC4191" w:rsidRPr="00521670">
        <w:rPr>
          <w:lang w:val="ru-RU"/>
        </w:rPr>
        <w:t>1</w:t>
      </w:r>
      <w:r w:rsidRPr="00521670">
        <w:rPr>
          <w:lang w:val="ru-RU"/>
        </w:rPr>
        <w:t xml:space="preserve"> – Источники дохода в 202</w:t>
      </w:r>
      <w:r w:rsidR="00CD140E" w:rsidRPr="00521670">
        <w:rPr>
          <w:lang w:val="ru-RU"/>
        </w:rPr>
        <w:t>4</w:t>
      </w:r>
      <w:r w:rsidRPr="00521670">
        <w:rPr>
          <w:lang w:val="ru-RU"/>
        </w:rPr>
        <w:t xml:space="preserve"> и 202</w:t>
      </w:r>
      <w:bookmarkEnd w:id="37"/>
      <w:r w:rsidR="00CD140E" w:rsidRPr="00521670">
        <w:rPr>
          <w:lang w:val="ru-RU"/>
        </w:rPr>
        <w:t>3</w:t>
      </w:r>
      <w:r w:rsidRPr="00521670">
        <w:rPr>
          <w:lang w:val="ru-RU"/>
        </w:rPr>
        <w:t xml:space="preserve"> годах</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5"/>
        <w:gridCol w:w="1558"/>
        <w:gridCol w:w="1558"/>
      </w:tblGrid>
      <w:tr w:rsidR="001950F8" w:rsidRPr="00521670" w14:paraId="5146A6DE" w14:textId="77777777" w:rsidTr="00B43699">
        <w:trPr>
          <w:tblHeader/>
        </w:trPr>
        <w:tc>
          <w:tcPr>
            <w:tcW w:w="3282" w:type="pct"/>
            <w:shd w:val="clear" w:color="auto" w:fill="0070C0"/>
            <w:noWrap/>
            <w:vAlign w:val="center"/>
            <w:hideMark/>
          </w:tcPr>
          <w:p w14:paraId="746F6B03" w14:textId="77777777" w:rsidR="001950F8" w:rsidRPr="00521670" w:rsidRDefault="001950F8" w:rsidP="00BA023A">
            <w:pPr>
              <w:pStyle w:val="Tablehead"/>
              <w:jc w:val="left"/>
              <w:rPr>
                <w:szCs w:val="18"/>
                <w:lang w:val="ru-RU" w:eastAsia="en-GB"/>
              </w:rPr>
            </w:pPr>
            <w:r w:rsidRPr="00521670">
              <w:rPr>
                <w:szCs w:val="18"/>
                <w:lang w:val="ru-RU" w:eastAsia="en-GB"/>
              </w:rPr>
              <w:t>Описание (млн. шв. фр.)</w:t>
            </w:r>
          </w:p>
        </w:tc>
        <w:tc>
          <w:tcPr>
            <w:tcW w:w="859" w:type="pct"/>
            <w:shd w:val="clear" w:color="auto" w:fill="0070C0"/>
            <w:noWrap/>
            <w:vAlign w:val="center"/>
            <w:hideMark/>
          </w:tcPr>
          <w:p w14:paraId="71694720" w14:textId="4C5BF46B" w:rsidR="001950F8" w:rsidRPr="00521670" w:rsidRDefault="001950F8" w:rsidP="0062136F">
            <w:pPr>
              <w:pStyle w:val="Tablehead"/>
              <w:jc w:val="right"/>
              <w:rPr>
                <w:bCs/>
                <w:szCs w:val="18"/>
                <w:lang w:val="ru-RU"/>
              </w:rPr>
            </w:pPr>
            <w:r w:rsidRPr="00521670">
              <w:rPr>
                <w:bCs/>
                <w:szCs w:val="18"/>
                <w:lang w:val="ru-RU"/>
              </w:rPr>
              <w:t>2024 г.</w:t>
            </w:r>
          </w:p>
        </w:tc>
        <w:tc>
          <w:tcPr>
            <w:tcW w:w="859" w:type="pct"/>
            <w:shd w:val="clear" w:color="auto" w:fill="0070C0"/>
            <w:vAlign w:val="center"/>
            <w:hideMark/>
          </w:tcPr>
          <w:p w14:paraId="6EDA8C56" w14:textId="22F2F57F" w:rsidR="001950F8" w:rsidRPr="00521670" w:rsidRDefault="001950F8" w:rsidP="0062136F">
            <w:pPr>
              <w:pStyle w:val="Tablehead"/>
              <w:jc w:val="right"/>
              <w:rPr>
                <w:bCs/>
                <w:szCs w:val="18"/>
                <w:lang w:val="ru-RU"/>
              </w:rPr>
            </w:pPr>
            <w:r w:rsidRPr="00521670">
              <w:rPr>
                <w:bCs/>
                <w:szCs w:val="18"/>
                <w:lang w:val="ru-RU"/>
              </w:rPr>
              <w:t>2023 г.</w:t>
            </w:r>
          </w:p>
        </w:tc>
      </w:tr>
      <w:tr w:rsidR="001950F8" w:rsidRPr="00521670" w14:paraId="4E95D7F1" w14:textId="77777777" w:rsidTr="000B0DA8">
        <w:tc>
          <w:tcPr>
            <w:tcW w:w="3282" w:type="pct"/>
            <w:noWrap/>
            <w:hideMark/>
          </w:tcPr>
          <w:p w14:paraId="1E7C7495" w14:textId="77777777" w:rsidR="001950F8" w:rsidRPr="00521670" w:rsidRDefault="001950F8" w:rsidP="001950F8">
            <w:pPr>
              <w:pStyle w:val="Tabletext"/>
              <w:spacing w:before="20" w:after="20"/>
              <w:rPr>
                <w:szCs w:val="18"/>
                <w:lang w:val="ru-RU"/>
              </w:rPr>
            </w:pPr>
            <w:r w:rsidRPr="00521670">
              <w:rPr>
                <w:szCs w:val="18"/>
                <w:lang w:val="ru-RU" w:eastAsia="fr-FR"/>
              </w:rPr>
              <w:t>Начисленные взносы</w:t>
            </w:r>
          </w:p>
        </w:tc>
        <w:tc>
          <w:tcPr>
            <w:tcW w:w="859" w:type="pct"/>
            <w:noWrap/>
          </w:tcPr>
          <w:p w14:paraId="27913B1E" w14:textId="13CF4EB5" w:rsidR="001950F8" w:rsidRPr="00521670" w:rsidRDefault="001950F8" w:rsidP="001950F8">
            <w:pPr>
              <w:pStyle w:val="Tabletext"/>
              <w:spacing w:before="20" w:after="20"/>
              <w:jc w:val="right"/>
              <w:rPr>
                <w:color w:val="000000"/>
                <w:szCs w:val="18"/>
                <w:lang w:val="ru-RU" w:eastAsia="en-GB"/>
              </w:rPr>
            </w:pPr>
            <w:r w:rsidRPr="00521670">
              <w:rPr>
                <w:lang w:val="ru-RU"/>
              </w:rPr>
              <w:t>130,9</w:t>
            </w:r>
          </w:p>
        </w:tc>
        <w:tc>
          <w:tcPr>
            <w:tcW w:w="859" w:type="pct"/>
            <w:noWrap/>
            <w:vAlign w:val="bottom"/>
          </w:tcPr>
          <w:p w14:paraId="0995B037" w14:textId="23A828EF" w:rsidR="001950F8" w:rsidRPr="00521670" w:rsidRDefault="001950F8" w:rsidP="001950F8">
            <w:pPr>
              <w:pStyle w:val="Tabletext"/>
              <w:spacing w:before="20" w:after="20"/>
              <w:jc w:val="right"/>
              <w:rPr>
                <w:color w:val="000000"/>
                <w:szCs w:val="18"/>
                <w:lang w:val="ru-RU" w:eastAsia="en-GB"/>
              </w:rPr>
            </w:pPr>
            <w:r w:rsidRPr="00521670">
              <w:rPr>
                <w:color w:val="000000"/>
                <w:szCs w:val="18"/>
                <w:lang w:val="ru-RU" w:eastAsia="en-GB"/>
              </w:rPr>
              <w:t>127,6</w:t>
            </w:r>
          </w:p>
        </w:tc>
      </w:tr>
      <w:tr w:rsidR="001950F8" w:rsidRPr="00521670" w14:paraId="2DBC9A6E" w14:textId="77777777" w:rsidTr="000B0DA8">
        <w:tc>
          <w:tcPr>
            <w:tcW w:w="3282" w:type="pct"/>
            <w:noWrap/>
            <w:hideMark/>
          </w:tcPr>
          <w:p w14:paraId="658A0799" w14:textId="77777777" w:rsidR="001950F8" w:rsidRPr="00521670" w:rsidRDefault="001950F8" w:rsidP="001950F8">
            <w:pPr>
              <w:pStyle w:val="Tabletext"/>
              <w:spacing w:before="20" w:after="20"/>
              <w:rPr>
                <w:szCs w:val="18"/>
                <w:lang w:val="ru-RU"/>
              </w:rPr>
            </w:pPr>
            <w:r w:rsidRPr="00521670">
              <w:rPr>
                <w:color w:val="000000"/>
                <w:szCs w:val="18"/>
                <w:lang w:val="ru-RU" w:eastAsia="en-GB"/>
              </w:rPr>
              <w:t>Внебюджетные взносы</w:t>
            </w:r>
          </w:p>
        </w:tc>
        <w:tc>
          <w:tcPr>
            <w:tcW w:w="859" w:type="pct"/>
            <w:noWrap/>
          </w:tcPr>
          <w:p w14:paraId="7B526A9F" w14:textId="77777777" w:rsidR="001950F8" w:rsidRPr="00521670" w:rsidRDefault="001950F8" w:rsidP="001950F8">
            <w:pPr>
              <w:pStyle w:val="Tabletext"/>
              <w:spacing w:before="20" w:after="20"/>
              <w:jc w:val="right"/>
              <w:rPr>
                <w:color w:val="000000"/>
                <w:szCs w:val="18"/>
                <w:lang w:val="ru-RU" w:eastAsia="en-GB"/>
              </w:rPr>
            </w:pPr>
          </w:p>
        </w:tc>
        <w:tc>
          <w:tcPr>
            <w:tcW w:w="859" w:type="pct"/>
            <w:noWrap/>
            <w:vAlign w:val="bottom"/>
          </w:tcPr>
          <w:p w14:paraId="23D14123" w14:textId="77777777" w:rsidR="001950F8" w:rsidRPr="00521670" w:rsidRDefault="001950F8" w:rsidP="001950F8">
            <w:pPr>
              <w:pStyle w:val="Tabletext"/>
              <w:spacing w:before="20" w:after="20"/>
              <w:jc w:val="right"/>
              <w:rPr>
                <w:color w:val="000000"/>
                <w:szCs w:val="18"/>
                <w:lang w:val="ru-RU" w:eastAsia="en-GB"/>
              </w:rPr>
            </w:pPr>
          </w:p>
        </w:tc>
      </w:tr>
      <w:tr w:rsidR="001950F8" w:rsidRPr="00521670" w14:paraId="4DC01E0D" w14:textId="77777777" w:rsidTr="000B0DA8">
        <w:tc>
          <w:tcPr>
            <w:tcW w:w="3282" w:type="pct"/>
            <w:noWrap/>
            <w:hideMark/>
          </w:tcPr>
          <w:p w14:paraId="377D4913" w14:textId="77777777" w:rsidR="001950F8" w:rsidRPr="00521670" w:rsidRDefault="001950F8" w:rsidP="001950F8">
            <w:pPr>
              <w:pStyle w:val="Tabletext"/>
              <w:spacing w:before="20" w:after="20"/>
              <w:rPr>
                <w:i/>
                <w:iCs/>
                <w:szCs w:val="18"/>
                <w:lang w:val="ru-RU"/>
              </w:rPr>
            </w:pPr>
            <w:r w:rsidRPr="00521670">
              <w:rPr>
                <w:i/>
                <w:iCs/>
                <w:color w:val="000000"/>
                <w:szCs w:val="18"/>
                <w:lang w:val="ru-RU" w:eastAsia="en-GB"/>
              </w:rPr>
              <w:sym w:font="Symbol" w:char="F02D"/>
            </w:r>
            <w:r w:rsidRPr="00521670">
              <w:rPr>
                <w:i/>
                <w:iCs/>
                <w:color w:val="000000"/>
                <w:szCs w:val="18"/>
                <w:lang w:val="ru-RU" w:eastAsia="en-GB"/>
              </w:rPr>
              <w:tab/>
              <w:t>Добровольные взносы</w:t>
            </w:r>
          </w:p>
        </w:tc>
        <w:tc>
          <w:tcPr>
            <w:tcW w:w="859" w:type="pct"/>
            <w:noWrap/>
          </w:tcPr>
          <w:p w14:paraId="5C6932F2" w14:textId="130B26FC" w:rsidR="001950F8" w:rsidRPr="00521670" w:rsidRDefault="001950F8" w:rsidP="001950F8">
            <w:pPr>
              <w:pStyle w:val="Tabletext"/>
              <w:spacing w:before="20" w:after="20"/>
              <w:jc w:val="right"/>
              <w:rPr>
                <w:i/>
                <w:iCs/>
                <w:color w:val="000000"/>
                <w:szCs w:val="18"/>
                <w:lang w:val="ru-RU" w:eastAsia="en-GB"/>
              </w:rPr>
            </w:pPr>
            <w:r w:rsidRPr="00521670">
              <w:rPr>
                <w:lang w:val="ru-RU"/>
              </w:rPr>
              <w:t>4,9</w:t>
            </w:r>
          </w:p>
        </w:tc>
        <w:tc>
          <w:tcPr>
            <w:tcW w:w="859" w:type="pct"/>
            <w:noWrap/>
            <w:vAlign w:val="bottom"/>
          </w:tcPr>
          <w:p w14:paraId="4AD44DF9" w14:textId="05371AB1" w:rsidR="001950F8" w:rsidRPr="00521670" w:rsidRDefault="001950F8" w:rsidP="001950F8">
            <w:pPr>
              <w:pStyle w:val="Tabletext"/>
              <w:spacing w:before="20" w:after="20"/>
              <w:jc w:val="right"/>
              <w:rPr>
                <w:color w:val="000000"/>
                <w:szCs w:val="18"/>
                <w:lang w:val="ru-RU" w:eastAsia="en-GB"/>
              </w:rPr>
            </w:pPr>
            <w:r w:rsidRPr="00521670">
              <w:rPr>
                <w:i/>
                <w:iCs/>
                <w:color w:val="000000"/>
                <w:szCs w:val="18"/>
                <w:lang w:val="ru-RU" w:eastAsia="en-GB"/>
              </w:rPr>
              <w:t>3,9</w:t>
            </w:r>
          </w:p>
        </w:tc>
      </w:tr>
      <w:tr w:rsidR="001950F8" w:rsidRPr="00521670" w14:paraId="47E9CFEA" w14:textId="77777777" w:rsidTr="000B0DA8">
        <w:tc>
          <w:tcPr>
            <w:tcW w:w="3282" w:type="pct"/>
            <w:noWrap/>
            <w:hideMark/>
          </w:tcPr>
          <w:p w14:paraId="5E4DB555" w14:textId="77777777" w:rsidR="001950F8" w:rsidRPr="00521670" w:rsidRDefault="001950F8" w:rsidP="001950F8">
            <w:pPr>
              <w:pStyle w:val="Tabletext"/>
              <w:spacing w:before="20" w:after="20"/>
              <w:rPr>
                <w:i/>
                <w:iCs/>
                <w:szCs w:val="18"/>
                <w:lang w:val="ru-RU"/>
              </w:rPr>
            </w:pPr>
            <w:r w:rsidRPr="00521670">
              <w:rPr>
                <w:i/>
                <w:iCs/>
                <w:color w:val="000000"/>
                <w:szCs w:val="18"/>
                <w:lang w:val="ru-RU" w:eastAsia="en-GB"/>
              </w:rPr>
              <w:sym w:font="Symbol" w:char="F02D"/>
            </w:r>
            <w:r w:rsidRPr="00521670">
              <w:rPr>
                <w:i/>
                <w:iCs/>
                <w:color w:val="000000"/>
                <w:szCs w:val="18"/>
                <w:lang w:val="ru-RU" w:eastAsia="en-GB"/>
              </w:rPr>
              <w:tab/>
              <w:t>Взносы в целевые фонды</w:t>
            </w:r>
          </w:p>
        </w:tc>
        <w:tc>
          <w:tcPr>
            <w:tcW w:w="859" w:type="pct"/>
            <w:tcBorders>
              <w:bottom w:val="single" w:sz="4" w:space="0" w:color="auto"/>
            </w:tcBorders>
            <w:noWrap/>
          </w:tcPr>
          <w:p w14:paraId="66326B33" w14:textId="2DE351FD" w:rsidR="001950F8" w:rsidRPr="00521670" w:rsidRDefault="001950F8" w:rsidP="001950F8">
            <w:pPr>
              <w:pStyle w:val="Tabletext"/>
              <w:spacing w:before="20" w:after="20"/>
              <w:jc w:val="right"/>
              <w:rPr>
                <w:i/>
                <w:iCs/>
                <w:color w:val="000000"/>
                <w:szCs w:val="18"/>
                <w:lang w:val="ru-RU" w:eastAsia="en-GB"/>
              </w:rPr>
            </w:pPr>
            <w:r w:rsidRPr="00521670">
              <w:rPr>
                <w:lang w:val="ru-RU"/>
              </w:rPr>
              <w:t>16,4</w:t>
            </w:r>
          </w:p>
        </w:tc>
        <w:tc>
          <w:tcPr>
            <w:tcW w:w="859" w:type="pct"/>
            <w:tcBorders>
              <w:bottom w:val="single" w:sz="4" w:space="0" w:color="auto"/>
            </w:tcBorders>
            <w:noWrap/>
            <w:vAlign w:val="bottom"/>
          </w:tcPr>
          <w:p w14:paraId="37475DE4" w14:textId="2E079ED1" w:rsidR="001950F8" w:rsidRPr="00521670" w:rsidRDefault="001950F8" w:rsidP="001950F8">
            <w:pPr>
              <w:pStyle w:val="Tabletext"/>
              <w:spacing w:before="20" w:after="20"/>
              <w:jc w:val="right"/>
              <w:rPr>
                <w:color w:val="000000"/>
                <w:szCs w:val="18"/>
                <w:lang w:val="ru-RU" w:eastAsia="en-GB"/>
              </w:rPr>
            </w:pPr>
            <w:r w:rsidRPr="00521670">
              <w:rPr>
                <w:i/>
                <w:iCs/>
                <w:color w:val="000000"/>
                <w:szCs w:val="18"/>
                <w:lang w:val="ru-RU" w:eastAsia="en-GB"/>
              </w:rPr>
              <w:t>15,1</w:t>
            </w:r>
          </w:p>
        </w:tc>
      </w:tr>
      <w:tr w:rsidR="001950F8" w:rsidRPr="00521670" w14:paraId="41B1213E" w14:textId="77777777" w:rsidTr="000B0DA8">
        <w:tc>
          <w:tcPr>
            <w:tcW w:w="3282" w:type="pct"/>
            <w:noWrap/>
            <w:hideMark/>
          </w:tcPr>
          <w:p w14:paraId="6FDA26E9" w14:textId="77777777" w:rsidR="001950F8" w:rsidRPr="00521670" w:rsidRDefault="001950F8" w:rsidP="001950F8">
            <w:pPr>
              <w:pStyle w:val="Tabletext"/>
              <w:spacing w:before="20" w:after="20"/>
              <w:rPr>
                <w:i/>
                <w:iCs/>
                <w:szCs w:val="18"/>
                <w:lang w:val="ru-RU"/>
              </w:rPr>
            </w:pPr>
            <w:r w:rsidRPr="00521670">
              <w:rPr>
                <w:i/>
                <w:iCs/>
                <w:szCs w:val="18"/>
                <w:lang w:val="ru-RU"/>
              </w:rPr>
              <w:t xml:space="preserve">Всего: </w:t>
            </w:r>
            <w:r w:rsidRPr="00521670">
              <w:rPr>
                <w:i/>
                <w:iCs/>
                <w:color w:val="000000"/>
                <w:szCs w:val="18"/>
                <w:lang w:val="ru-RU" w:eastAsia="en-GB"/>
              </w:rPr>
              <w:t>внебюджетные взносы</w:t>
            </w:r>
          </w:p>
        </w:tc>
        <w:tc>
          <w:tcPr>
            <w:tcW w:w="859" w:type="pct"/>
            <w:tcBorders>
              <w:top w:val="single" w:sz="4" w:space="0" w:color="auto"/>
            </w:tcBorders>
            <w:noWrap/>
          </w:tcPr>
          <w:p w14:paraId="1F13AFDC" w14:textId="04CD127B" w:rsidR="001950F8" w:rsidRPr="00521670" w:rsidRDefault="001950F8" w:rsidP="001950F8">
            <w:pPr>
              <w:pStyle w:val="Tabletext"/>
              <w:spacing w:before="20" w:after="20"/>
              <w:jc w:val="right"/>
              <w:rPr>
                <w:i/>
                <w:iCs/>
                <w:color w:val="000000"/>
                <w:szCs w:val="18"/>
                <w:lang w:val="ru-RU" w:eastAsia="en-GB"/>
              </w:rPr>
            </w:pPr>
            <w:r w:rsidRPr="00521670">
              <w:rPr>
                <w:lang w:val="ru-RU"/>
              </w:rPr>
              <w:t>21,3</w:t>
            </w:r>
          </w:p>
        </w:tc>
        <w:tc>
          <w:tcPr>
            <w:tcW w:w="859" w:type="pct"/>
            <w:tcBorders>
              <w:top w:val="single" w:sz="4" w:space="0" w:color="auto"/>
            </w:tcBorders>
            <w:noWrap/>
            <w:vAlign w:val="bottom"/>
          </w:tcPr>
          <w:p w14:paraId="514E3E19" w14:textId="75647956" w:rsidR="001950F8" w:rsidRPr="00521670" w:rsidRDefault="001950F8" w:rsidP="001950F8">
            <w:pPr>
              <w:pStyle w:val="Tabletext"/>
              <w:spacing w:before="20" w:after="20"/>
              <w:jc w:val="right"/>
              <w:rPr>
                <w:i/>
                <w:iCs/>
                <w:color w:val="000000"/>
                <w:szCs w:val="18"/>
                <w:lang w:val="ru-RU" w:eastAsia="en-GB"/>
              </w:rPr>
            </w:pPr>
            <w:r w:rsidRPr="00521670">
              <w:rPr>
                <w:i/>
                <w:iCs/>
                <w:color w:val="000000"/>
                <w:szCs w:val="18"/>
                <w:lang w:val="ru-RU" w:eastAsia="en-GB"/>
              </w:rPr>
              <w:t>19,0</w:t>
            </w:r>
          </w:p>
        </w:tc>
      </w:tr>
      <w:tr w:rsidR="001950F8" w:rsidRPr="00521670" w14:paraId="465995CF" w14:textId="77777777" w:rsidTr="001950F8">
        <w:tc>
          <w:tcPr>
            <w:tcW w:w="3282" w:type="pct"/>
            <w:noWrap/>
            <w:hideMark/>
          </w:tcPr>
          <w:p w14:paraId="43553166" w14:textId="77777777" w:rsidR="001950F8" w:rsidRPr="00521670" w:rsidRDefault="001950F8" w:rsidP="001950F8">
            <w:pPr>
              <w:pStyle w:val="Tabletext"/>
              <w:spacing w:before="20" w:after="20"/>
              <w:rPr>
                <w:szCs w:val="18"/>
                <w:lang w:val="ru-RU"/>
              </w:rPr>
            </w:pPr>
          </w:p>
        </w:tc>
        <w:tc>
          <w:tcPr>
            <w:tcW w:w="859" w:type="pct"/>
            <w:noWrap/>
            <w:vAlign w:val="bottom"/>
          </w:tcPr>
          <w:p w14:paraId="3654E2C8" w14:textId="77777777" w:rsidR="001950F8" w:rsidRPr="00521670" w:rsidRDefault="001950F8" w:rsidP="001950F8">
            <w:pPr>
              <w:pStyle w:val="Tabletext"/>
              <w:spacing w:before="20" w:after="20"/>
              <w:jc w:val="right"/>
              <w:rPr>
                <w:i/>
                <w:iCs/>
                <w:color w:val="000000"/>
                <w:szCs w:val="18"/>
                <w:lang w:val="ru-RU" w:eastAsia="en-GB"/>
              </w:rPr>
            </w:pPr>
          </w:p>
        </w:tc>
        <w:tc>
          <w:tcPr>
            <w:tcW w:w="859" w:type="pct"/>
            <w:noWrap/>
            <w:vAlign w:val="bottom"/>
          </w:tcPr>
          <w:p w14:paraId="718CEC7E" w14:textId="77777777" w:rsidR="001950F8" w:rsidRPr="00521670" w:rsidRDefault="001950F8" w:rsidP="001950F8">
            <w:pPr>
              <w:pStyle w:val="Tabletext"/>
              <w:spacing w:before="20" w:after="20"/>
              <w:jc w:val="right"/>
              <w:rPr>
                <w:color w:val="000000"/>
                <w:szCs w:val="18"/>
                <w:lang w:val="ru-RU" w:eastAsia="en-GB"/>
              </w:rPr>
            </w:pPr>
          </w:p>
        </w:tc>
      </w:tr>
      <w:tr w:rsidR="001950F8" w:rsidRPr="00521670" w14:paraId="7E708AB9" w14:textId="77777777" w:rsidTr="001950F8">
        <w:tc>
          <w:tcPr>
            <w:tcW w:w="3282" w:type="pct"/>
            <w:noWrap/>
            <w:hideMark/>
          </w:tcPr>
          <w:p w14:paraId="75D4FFBC" w14:textId="77777777" w:rsidR="001950F8" w:rsidRPr="00521670" w:rsidRDefault="001950F8" w:rsidP="001950F8">
            <w:pPr>
              <w:pStyle w:val="Tabletext"/>
              <w:spacing w:before="20" w:after="20"/>
              <w:rPr>
                <w:i/>
                <w:iCs/>
                <w:color w:val="000000"/>
                <w:szCs w:val="18"/>
                <w:lang w:val="ru-RU" w:eastAsia="en-GB"/>
              </w:rPr>
            </w:pPr>
            <w:r w:rsidRPr="00521670">
              <w:rPr>
                <w:i/>
                <w:iCs/>
                <w:color w:val="000000"/>
                <w:szCs w:val="18"/>
                <w:lang w:val="ru-RU" w:eastAsia="en-GB"/>
              </w:rPr>
              <w:t>Прочие доходы от деятельности</w:t>
            </w:r>
          </w:p>
        </w:tc>
        <w:tc>
          <w:tcPr>
            <w:tcW w:w="859" w:type="pct"/>
            <w:noWrap/>
            <w:vAlign w:val="bottom"/>
          </w:tcPr>
          <w:p w14:paraId="0763D1D3" w14:textId="77777777" w:rsidR="001950F8" w:rsidRPr="00521670" w:rsidRDefault="001950F8" w:rsidP="001950F8">
            <w:pPr>
              <w:pStyle w:val="Tabletext"/>
              <w:spacing w:before="20" w:after="20"/>
              <w:jc w:val="right"/>
              <w:rPr>
                <w:i/>
                <w:iCs/>
                <w:color w:val="000000"/>
                <w:szCs w:val="18"/>
                <w:lang w:val="ru-RU" w:eastAsia="en-GB"/>
              </w:rPr>
            </w:pPr>
          </w:p>
        </w:tc>
        <w:tc>
          <w:tcPr>
            <w:tcW w:w="859" w:type="pct"/>
            <w:noWrap/>
            <w:vAlign w:val="bottom"/>
          </w:tcPr>
          <w:p w14:paraId="1B754F51" w14:textId="77777777" w:rsidR="001950F8" w:rsidRPr="00521670" w:rsidRDefault="001950F8" w:rsidP="001950F8">
            <w:pPr>
              <w:pStyle w:val="Tabletext"/>
              <w:spacing w:before="20" w:after="20"/>
              <w:jc w:val="right"/>
              <w:rPr>
                <w:color w:val="000000"/>
                <w:szCs w:val="18"/>
                <w:lang w:val="ru-RU" w:eastAsia="en-GB"/>
              </w:rPr>
            </w:pPr>
          </w:p>
        </w:tc>
      </w:tr>
      <w:tr w:rsidR="001950F8" w:rsidRPr="00521670" w14:paraId="3140803D" w14:textId="77777777" w:rsidTr="00C56FFF">
        <w:tc>
          <w:tcPr>
            <w:tcW w:w="3282" w:type="pct"/>
            <w:noWrap/>
            <w:hideMark/>
          </w:tcPr>
          <w:p w14:paraId="3E86D32B" w14:textId="77777777" w:rsidR="001950F8" w:rsidRPr="00521670" w:rsidRDefault="001950F8" w:rsidP="001950F8">
            <w:pPr>
              <w:pStyle w:val="Tabletext"/>
              <w:spacing w:before="20" w:after="20"/>
              <w:rPr>
                <w:i/>
                <w:iCs/>
                <w:szCs w:val="18"/>
                <w:lang w:val="ru-RU"/>
              </w:rPr>
            </w:pPr>
            <w:r w:rsidRPr="00521670">
              <w:rPr>
                <w:i/>
                <w:iCs/>
                <w:color w:val="000000"/>
                <w:szCs w:val="18"/>
                <w:lang w:val="ru-RU" w:eastAsia="en-GB"/>
              </w:rPr>
              <w:sym w:font="Symbol" w:char="F02D"/>
            </w:r>
            <w:r w:rsidRPr="00521670">
              <w:rPr>
                <w:i/>
                <w:iCs/>
                <w:color w:val="000000"/>
                <w:szCs w:val="18"/>
                <w:lang w:val="ru-RU" w:eastAsia="en-GB"/>
              </w:rPr>
              <w:tab/>
              <w:t>Публикации</w:t>
            </w:r>
          </w:p>
        </w:tc>
        <w:tc>
          <w:tcPr>
            <w:tcW w:w="859" w:type="pct"/>
            <w:noWrap/>
          </w:tcPr>
          <w:p w14:paraId="555FEB1E" w14:textId="4A4ABBAB" w:rsidR="001950F8" w:rsidRPr="00521670" w:rsidRDefault="001950F8" w:rsidP="001950F8">
            <w:pPr>
              <w:pStyle w:val="Tabletext"/>
              <w:spacing w:before="20" w:after="20"/>
              <w:jc w:val="right"/>
              <w:rPr>
                <w:i/>
                <w:iCs/>
                <w:color w:val="000000"/>
                <w:szCs w:val="18"/>
                <w:lang w:val="ru-RU" w:eastAsia="en-GB"/>
              </w:rPr>
            </w:pPr>
            <w:r w:rsidRPr="00521670">
              <w:rPr>
                <w:lang w:val="ru-RU"/>
              </w:rPr>
              <w:t>19,2</w:t>
            </w:r>
          </w:p>
        </w:tc>
        <w:tc>
          <w:tcPr>
            <w:tcW w:w="859" w:type="pct"/>
            <w:noWrap/>
            <w:vAlign w:val="bottom"/>
          </w:tcPr>
          <w:p w14:paraId="5BCBB736" w14:textId="2A8FC809" w:rsidR="001950F8" w:rsidRPr="00521670" w:rsidRDefault="001950F8" w:rsidP="001950F8">
            <w:pPr>
              <w:pStyle w:val="Tabletext"/>
              <w:spacing w:before="20" w:after="20"/>
              <w:jc w:val="right"/>
              <w:rPr>
                <w:color w:val="000000"/>
                <w:szCs w:val="18"/>
                <w:lang w:val="ru-RU" w:eastAsia="en-GB"/>
              </w:rPr>
            </w:pPr>
            <w:r w:rsidRPr="00521670">
              <w:rPr>
                <w:i/>
                <w:iCs/>
                <w:color w:val="000000"/>
                <w:szCs w:val="18"/>
                <w:lang w:val="ru-RU" w:eastAsia="en-GB"/>
              </w:rPr>
              <w:t>16,7</w:t>
            </w:r>
          </w:p>
        </w:tc>
      </w:tr>
      <w:tr w:rsidR="001950F8" w:rsidRPr="00521670" w14:paraId="588E06A2" w14:textId="77777777" w:rsidTr="00C56FFF">
        <w:tc>
          <w:tcPr>
            <w:tcW w:w="3282" w:type="pct"/>
            <w:noWrap/>
            <w:hideMark/>
          </w:tcPr>
          <w:p w14:paraId="12847409" w14:textId="77777777" w:rsidR="001950F8" w:rsidRPr="00521670" w:rsidRDefault="001950F8" w:rsidP="001950F8">
            <w:pPr>
              <w:pStyle w:val="Tabletext"/>
              <w:spacing w:before="20" w:after="20"/>
              <w:rPr>
                <w:i/>
                <w:iCs/>
                <w:szCs w:val="18"/>
                <w:lang w:val="ru-RU"/>
              </w:rPr>
            </w:pPr>
            <w:r w:rsidRPr="00521670">
              <w:rPr>
                <w:i/>
                <w:iCs/>
                <w:color w:val="000000"/>
                <w:szCs w:val="18"/>
                <w:lang w:val="ru-RU" w:eastAsia="en-GB"/>
              </w:rPr>
              <w:sym w:font="Symbol" w:char="F02D"/>
            </w:r>
            <w:r w:rsidRPr="00521670">
              <w:rPr>
                <w:i/>
                <w:iCs/>
                <w:color w:val="000000"/>
                <w:szCs w:val="18"/>
                <w:lang w:val="ru-RU" w:eastAsia="en-GB"/>
              </w:rPr>
              <w:tab/>
              <w:t>Обработка заявок на регистрацию спутниковых сетей (SNF)</w:t>
            </w:r>
          </w:p>
        </w:tc>
        <w:tc>
          <w:tcPr>
            <w:tcW w:w="859" w:type="pct"/>
            <w:noWrap/>
          </w:tcPr>
          <w:p w14:paraId="7E6448DE" w14:textId="300E77CC" w:rsidR="001950F8" w:rsidRPr="00521670" w:rsidRDefault="001950F8" w:rsidP="001950F8">
            <w:pPr>
              <w:pStyle w:val="Tabletext"/>
              <w:spacing w:before="20" w:after="20"/>
              <w:jc w:val="right"/>
              <w:rPr>
                <w:i/>
                <w:iCs/>
                <w:color w:val="000000"/>
                <w:szCs w:val="18"/>
                <w:lang w:val="ru-RU" w:eastAsia="en-GB"/>
              </w:rPr>
            </w:pPr>
            <w:r w:rsidRPr="00521670">
              <w:rPr>
                <w:lang w:val="ru-RU"/>
              </w:rPr>
              <w:t>7,6</w:t>
            </w:r>
          </w:p>
        </w:tc>
        <w:tc>
          <w:tcPr>
            <w:tcW w:w="859" w:type="pct"/>
            <w:noWrap/>
            <w:vAlign w:val="bottom"/>
          </w:tcPr>
          <w:p w14:paraId="684C776A" w14:textId="68F9DB68" w:rsidR="001950F8" w:rsidRPr="00521670" w:rsidRDefault="001950F8" w:rsidP="001950F8">
            <w:pPr>
              <w:pStyle w:val="Tabletext"/>
              <w:spacing w:before="20" w:after="20"/>
              <w:jc w:val="right"/>
              <w:rPr>
                <w:color w:val="000000"/>
                <w:szCs w:val="18"/>
                <w:lang w:val="ru-RU" w:eastAsia="en-GB"/>
              </w:rPr>
            </w:pPr>
            <w:r w:rsidRPr="00521670">
              <w:rPr>
                <w:i/>
                <w:iCs/>
                <w:color w:val="000000"/>
                <w:szCs w:val="18"/>
                <w:lang w:val="ru-RU" w:eastAsia="en-GB"/>
              </w:rPr>
              <w:t>10,6</w:t>
            </w:r>
          </w:p>
        </w:tc>
      </w:tr>
      <w:tr w:rsidR="001950F8" w:rsidRPr="00521670" w14:paraId="428BACA2" w14:textId="77777777" w:rsidTr="00C56FFF">
        <w:tc>
          <w:tcPr>
            <w:tcW w:w="3282" w:type="pct"/>
            <w:noWrap/>
            <w:hideMark/>
          </w:tcPr>
          <w:p w14:paraId="5BA1489F" w14:textId="77777777" w:rsidR="001950F8" w:rsidRPr="00521670" w:rsidRDefault="001950F8" w:rsidP="001950F8">
            <w:pPr>
              <w:pStyle w:val="Tabletext"/>
              <w:spacing w:before="20" w:after="20"/>
              <w:rPr>
                <w:i/>
                <w:iCs/>
                <w:szCs w:val="18"/>
                <w:lang w:val="ru-RU"/>
              </w:rPr>
            </w:pPr>
            <w:r w:rsidRPr="00521670">
              <w:rPr>
                <w:i/>
                <w:iCs/>
                <w:color w:val="000000"/>
                <w:szCs w:val="18"/>
                <w:lang w:val="ru-RU" w:eastAsia="en-GB"/>
              </w:rPr>
              <w:sym w:font="Symbol" w:char="F02D"/>
            </w:r>
            <w:r w:rsidRPr="00521670">
              <w:rPr>
                <w:i/>
                <w:iCs/>
                <w:color w:val="000000"/>
                <w:szCs w:val="18"/>
                <w:lang w:val="ru-RU" w:eastAsia="en-GB"/>
              </w:rPr>
              <w:tab/>
              <w:t>Прочие доходы</w:t>
            </w:r>
          </w:p>
        </w:tc>
        <w:tc>
          <w:tcPr>
            <w:tcW w:w="859" w:type="pct"/>
            <w:tcBorders>
              <w:bottom w:val="single" w:sz="4" w:space="0" w:color="auto"/>
            </w:tcBorders>
            <w:noWrap/>
          </w:tcPr>
          <w:p w14:paraId="556BD872" w14:textId="36169D6F" w:rsidR="001950F8" w:rsidRPr="00521670" w:rsidRDefault="001950F8" w:rsidP="001950F8">
            <w:pPr>
              <w:pStyle w:val="Tabletext"/>
              <w:spacing w:before="20" w:after="20"/>
              <w:jc w:val="right"/>
              <w:rPr>
                <w:i/>
                <w:iCs/>
                <w:color w:val="000000"/>
                <w:szCs w:val="18"/>
                <w:lang w:val="ru-RU" w:eastAsia="en-GB"/>
              </w:rPr>
            </w:pPr>
            <w:r w:rsidRPr="00521670">
              <w:rPr>
                <w:lang w:val="ru-RU"/>
              </w:rPr>
              <w:t>5,7</w:t>
            </w:r>
          </w:p>
        </w:tc>
        <w:tc>
          <w:tcPr>
            <w:tcW w:w="859" w:type="pct"/>
            <w:tcBorders>
              <w:bottom w:val="single" w:sz="4" w:space="0" w:color="auto"/>
            </w:tcBorders>
            <w:noWrap/>
            <w:vAlign w:val="bottom"/>
          </w:tcPr>
          <w:p w14:paraId="255B81B4" w14:textId="54631253" w:rsidR="001950F8" w:rsidRPr="00521670" w:rsidRDefault="001950F8" w:rsidP="001950F8">
            <w:pPr>
              <w:pStyle w:val="Tabletext"/>
              <w:spacing w:before="20" w:after="20"/>
              <w:jc w:val="right"/>
              <w:rPr>
                <w:color w:val="000000"/>
                <w:szCs w:val="18"/>
                <w:lang w:val="ru-RU" w:eastAsia="en-GB"/>
              </w:rPr>
            </w:pPr>
            <w:r w:rsidRPr="00521670">
              <w:rPr>
                <w:i/>
                <w:iCs/>
                <w:color w:val="000000"/>
                <w:szCs w:val="18"/>
                <w:lang w:val="ru-RU" w:eastAsia="en-GB"/>
              </w:rPr>
              <w:t>6,8</w:t>
            </w:r>
          </w:p>
        </w:tc>
      </w:tr>
      <w:tr w:rsidR="001950F8" w:rsidRPr="00521670" w14:paraId="16FE8A28" w14:textId="77777777" w:rsidTr="00C56FFF">
        <w:tc>
          <w:tcPr>
            <w:tcW w:w="3282" w:type="pct"/>
            <w:noWrap/>
            <w:hideMark/>
          </w:tcPr>
          <w:p w14:paraId="036A9F51" w14:textId="77777777" w:rsidR="001950F8" w:rsidRPr="00521670" w:rsidRDefault="001950F8" w:rsidP="001950F8">
            <w:pPr>
              <w:pStyle w:val="Tabletext"/>
              <w:spacing w:before="20" w:after="20"/>
              <w:rPr>
                <w:i/>
                <w:iCs/>
                <w:szCs w:val="18"/>
                <w:lang w:val="ru-RU"/>
              </w:rPr>
            </w:pPr>
            <w:r w:rsidRPr="00521670">
              <w:rPr>
                <w:i/>
                <w:iCs/>
                <w:szCs w:val="18"/>
                <w:lang w:val="ru-RU"/>
              </w:rPr>
              <w:t>Всего: прочие доходы от деятельности</w:t>
            </w:r>
          </w:p>
        </w:tc>
        <w:tc>
          <w:tcPr>
            <w:tcW w:w="859" w:type="pct"/>
            <w:tcBorders>
              <w:top w:val="single" w:sz="4" w:space="0" w:color="auto"/>
            </w:tcBorders>
            <w:noWrap/>
          </w:tcPr>
          <w:p w14:paraId="2C6E9F73" w14:textId="1CA27A60" w:rsidR="001950F8" w:rsidRPr="00521670" w:rsidRDefault="001950F8" w:rsidP="001950F8">
            <w:pPr>
              <w:pStyle w:val="Tabletext"/>
              <w:spacing w:before="20" w:after="20"/>
              <w:jc w:val="right"/>
              <w:rPr>
                <w:i/>
                <w:iCs/>
                <w:color w:val="000000"/>
                <w:szCs w:val="18"/>
                <w:lang w:val="ru-RU" w:eastAsia="en-GB"/>
              </w:rPr>
            </w:pPr>
            <w:r w:rsidRPr="00521670">
              <w:rPr>
                <w:lang w:val="ru-RU"/>
              </w:rPr>
              <w:t>32,5</w:t>
            </w:r>
          </w:p>
        </w:tc>
        <w:tc>
          <w:tcPr>
            <w:tcW w:w="859" w:type="pct"/>
            <w:tcBorders>
              <w:top w:val="single" w:sz="4" w:space="0" w:color="auto"/>
            </w:tcBorders>
            <w:noWrap/>
            <w:vAlign w:val="bottom"/>
          </w:tcPr>
          <w:p w14:paraId="2AE7BB05" w14:textId="77C2E96B" w:rsidR="001950F8" w:rsidRPr="00521670" w:rsidRDefault="001950F8" w:rsidP="001950F8">
            <w:pPr>
              <w:pStyle w:val="Tabletext"/>
              <w:spacing w:before="20" w:after="20"/>
              <w:jc w:val="right"/>
              <w:rPr>
                <w:i/>
                <w:iCs/>
                <w:color w:val="000000"/>
                <w:szCs w:val="18"/>
                <w:lang w:val="ru-RU" w:eastAsia="en-GB"/>
              </w:rPr>
            </w:pPr>
            <w:r w:rsidRPr="00521670">
              <w:rPr>
                <w:i/>
                <w:iCs/>
                <w:color w:val="000000"/>
                <w:szCs w:val="18"/>
                <w:lang w:val="ru-RU" w:eastAsia="en-GB"/>
              </w:rPr>
              <w:t>34,1</w:t>
            </w:r>
          </w:p>
        </w:tc>
      </w:tr>
      <w:tr w:rsidR="001950F8" w:rsidRPr="00521670" w14:paraId="7CAE4B3B" w14:textId="77777777" w:rsidTr="001950F8">
        <w:tc>
          <w:tcPr>
            <w:tcW w:w="3282" w:type="pct"/>
            <w:shd w:val="clear" w:color="auto" w:fill="0070C0"/>
            <w:noWrap/>
            <w:vAlign w:val="center"/>
            <w:hideMark/>
          </w:tcPr>
          <w:p w14:paraId="3E06E41E" w14:textId="77777777" w:rsidR="001950F8" w:rsidRPr="00521670" w:rsidRDefault="001950F8" w:rsidP="001950F8">
            <w:pPr>
              <w:pStyle w:val="Tabletext"/>
              <w:rPr>
                <w:b/>
                <w:bCs/>
                <w:szCs w:val="18"/>
                <w:lang w:val="ru-RU"/>
              </w:rPr>
            </w:pPr>
            <w:r w:rsidRPr="00521670">
              <w:rPr>
                <w:b/>
                <w:bCs/>
                <w:color w:val="000000"/>
                <w:szCs w:val="18"/>
                <w:lang w:val="ru-RU" w:eastAsia="en-GB"/>
              </w:rPr>
              <w:t>Всего: Доходы</w:t>
            </w:r>
          </w:p>
        </w:tc>
        <w:tc>
          <w:tcPr>
            <w:tcW w:w="859" w:type="pct"/>
            <w:shd w:val="clear" w:color="auto" w:fill="0070C0"/>
            <w:noWrap/>
            <w:vAlign w:val="center"/>
          </w:tcPr>
          <w:p w14:paraId="296A2698" w14:textId="676EF616" w:rsidR="001950F8" w:rsidRPr="00521670" w:rsidRDefault="001950F8" w:rsidP="001950F8">
            <w:pPr>
              <w:pStyle w:val="Tabletext"/>
              <w:jc w:val="right"/>
              <w:rPr>
                <w:b/>
                <w:bCs/>
                <w:color w:val="000000"/>
                <w:szCs w:val="18"/>
                <w:lang w:val="ru-RU" w:eastAsia="en-GB"/>
              </w:rPr>
            </w:pPr>
            <w:r w:rsidRPr="00521670">
              <w:rPr>
                <w:b/>
                <w:bCs/>
                <w:color w:val="000000"/>
                <w:szCs w:val="18"/>
                <w:lang w:val="ru-RU" w:eastAsia="en-GB"/>
              </w:rPr>
              <w:t>184,7</w:t>
            </w:r>
          </w:p>
        </w:tc>
        <w:tc>
          <w:tcPr>
            <w:tcW w:w="859" w:type="pct"/>
            <w:shd w:val="clear" w:color="auto" w:fill="0070C0"/>
            <w:noWrap/>
            <w:vAlign w:val="center"/>
          </w:tcPr>
          <w:p w14:paraId="68576AEF" w14:textId="0B81A3F6" w:rsidR="001950F8" w:rsidRPr="00521670" w:rsidRDefault="001950F8" w:rsidP="001950F8">
            <w:pPr>
              <w:pStyle w:val="Tabletext"/>
              <w:jc w:val="right"/>
              <w:rPr>
                <w:b/>
                <w:bCs/>
                <w:color w:val="000000"/>
                <w:szCs w:val="18"/>
                <w:lang w:val="ru-RU" w:eastAsia="en-GB"/>
              </w:rPr>
            </w:pPr>
            <w:r w:rsidRPr="00521670">
              <w:rPr>
                <w:b/>
                <w:bCs/>
                <w:color w:val="000000"/>
                <w:szCs w:val="18"/>
                <w:lang w:val="ru-RU" w:eastAsia="en-GB"/>
              </w:rPr>
              <w:t>180,7</w:t>
            </w:r>
          </w:p>
        </w:tc>
      </w:tr>
    </w:tbl>
    <w:p w14:paraId="1BF64E23" w14:textId="228070C2" w:rsidR="00BE366D" w:rsidRPr="00521670" w:rsidRDefault="00BE366D" w:rsidP="00810FF1">
      <w:pPr>
        <w:pStyle w:val="Figuretitle"/>
        <w:rPr>
          <w:lang w:val="ru-RU"/>
        </w:rPr>
      </w:pPr>
      <w:bookmarkStart w:id="38" w:name="lt_pId041"/>
      <w:r w:rsidRPr="00521670">
        <w:rPr>
          <w:lang w:val="ru-RU"/>
        </w:rPr>
        <w:t xml:space="preserve">Рисунок </w:t>
      </w:r>
      <w:r w:rsidR="00AF2326" w:rsidRPr="00521670">
        <w:rPr>
          <w:lang w:val="ru-RU"/>
        </w:rPr>
        <w:t>2</w:t>
      </w:r>
      <w:r w:rsidRPr="00521670">
        <w:rPr>
          <w:lang w:val="ru-RU"/>
        </w:rPr>
        <w:t xml:space="preserve"> – Анализ структуры доходов в 202</w:t>
      </w:r>
      <w:r w:rsidR="00AF2326" w:rsidRPr="00521670">
        <w:rPr>
          <w:lang w:val="ru-RU"/>
        </w:rPr>
        <w:t>4</w:t>
      </w:r>
      <w:r w:rsidRPr="00521670">
        <w:rPr>
          <w:lang w:val="ru-RU"/>
        </w:rPr>
        <w:t xml:space="preserve"> году</w:t>
      </w:r>
      <w:bookmarkEnd w:id="38"/>
    </w:p>
    <w:p w14:paraId="024C4C55" w14:textId="6D39E91A" w:rsidR="006007EC" w:rsidRPr="00521670" w:rsidRDefault="004E19F3" w:rsidP="00BE366D">
      <w:pPr>
        <w:pStyle w:val="Figure"/>
        <w:rPr>
          <w:lang w:val="ru-RU"/>
        </w:rPr>
      </w:pPr>
      <w:r w:rsidRPr="00521670">
        <w:rPr>
          <w:noProof/>
          <w:lang w:val="ru-RU"/>
        </w:rPr>
        <w:drawing>
          <wp:inline distT="0" distB="0" distL="0" distR="0" wp14:anchorId="10C23F79" wp14:editId="1D864F56">
            <wp:extent cx="5182223" cy="2833133"/>
            <wp:effectExtent l="0" t="0" r="0" b="5715"/>
            <wp:docPr id="164093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4345" cy="2839760"/>
                    </a:xfrm>
                    <a:prstGeom prst="rect">
                      <a:avLst/>
                    </a:prstGeom>
                    <a:noFill/>
                  </pic:spPr>
                </pic:pic>
              </a:graphicData>
            </a:graphic>
          </wp:inline>
        </w:drawing>
      </w:r>
    </w:p>
    <w:p w14:paraId="6BA03AE0" w14:textId="00A0BBBF" w:rsidR="008460FD" w:rsidRPr="00521670" w:rsidRDefault="008460FD" w:rsidP="008460FD">
      <w:pPr>
        <w:rPr>
          <w:lang w:val="ru-RU"/>
        </w:rPr>
      </w:pPr>
      <w:r w:rsidRPr="00521670">
        <w:rPr>
          <w:lang w:val="ru-RU"/>
        </w:rPr>
        <w:t>12</w:t>
      </w:r>
      <w:r w:rsidRPr="00521670">
        <w:rPr>
          <w:lang w:val="ru-RU"/>
        </w:rPr>
        <w:tab/>
        <w:t xml:space="preserve">Как видно </w:t>
      </w:r>
      <w:r w:rsidR="00D14097" w:rsidRPr="00521670">
        <w:rPr>
          <w:lang w:val="ru-RU"/>
        </w:rPr>
        <w:t>на Рисунке</w:t>
      </w:r>
      <w:r w:rsidRPr="00521670">
        <w:rPr>
          <w:lang w:val="ru-RU"/>
        </w:rPr>
        <w:t xml:space="preserve"> 2, выше, основным источником доходов МСЭ являются начисленные взносы, составляющие 67 процентов</w:t>
      </w:r>
      <w:r w:rsidR="00D14097" w:rsidRPr="00521670">
        <w:rPr>
          <w:lang w:val="ru-RU"/>
        </w:rPr>
        <w:t>;</w:t>
      </w:r>
      <w:r w:rsidRPr="00521670">
        <w:rPr>
          <w:lang w:val="ru-RU"/>
        </w:rPr>
        <w:t xml:space="preserve"> за </w:t>
      </w:r>
      <w:r w:rsidR="00D14097" w:rsidRPr="00521670">
        <w:rPr>
          <w:lang w:val="ru-RU"/>
        </w:rPr>
        <w:t>ними</w:t>
      </w:r>
      <w:r w:rsidRPr="00521670">
        <w:rPr>
          <w:lang w:val="ru-RU"/>
        </w:rPr>
        <w:t xml:space="preserve"> следуют прочие доходы от деятельности, составляющие 16 процентов, к которым относятся продажа публикаций</w:t>
      </w:r>
      <w:r w:rsidR="00D14097" w:rsidRPr="00521670">
        <w:rPr>
          <w:lang w:val="ru-RU"/>
        </w:rPr>
        <w:t>,</w:t>
      </w:r>
      <w:r w:rsidRPr="00521670">
        <w:rPr>
          <w:lang w:val="ru-RU"/>
        </w:rPr>
        <w:t xml:space="preserve"> обработка заявок на регистрацию спутниковых сетей (SNF)</w:t>
      </w:r>
      <w:r w:rsidRPr="00521670">
        <w:rPr>
          <w:rFonts w:asciiTheme="minorHAnsi" w:hAnsiTheme="minorHAnsi" w:cstheme="minorBidi"/>
          <w:lang w:val="ru-RU"/>
        </w:rPr>
        <w:t xml:space="preserve"> </w:t>
      </w:r>
      <w:r w:rsidR="00D14097" w:rsidRPr="00521670">
        <w:rPr>
          <w:rFonts w:asciiTheme="minorHAnsi" w:hAnsiTheme="minorHAnsi" w:cstheme="minorBidi"/>
          <w:lang w:val="ru-RU"/>
        </w:rPr>
        <w:t>и прочие доходы</w:t>
      </w:r>
      <w:r w:rsidRPr="00521670">
        <w:rPr>
          <w:lang w:val="ru-RU"/>
        </w:rPr>
        <w:t>.</w:t>
      </w:r>
    </w:p>
    <w:p w14:paraId="7CFF8275" w14:textId="5D0B1F97" w:rsidR="008460FD" w:rsidRPr="00521670" w:rsidRDefault="008460FD" w:rsidP="008460FD">
      <w:pPr>
        <w:rPr>
          <w:rFonts w:cstheme="minorHAnsi"/>
          <w:lang w:val="ru-RU"/>
        </w:rPr>
      </w:pPr>
      <w:bookmarkStart w:id="39" w:name="lt_pId043"/>
      <w:r w:rsidRPr="00521670">
        <w:rPr>
          <w:lang w:val="ru-RU"/>
        </w:rPr>
        <w:t>13</w:t>
      </w:r>
      <w:r w:rsidRPr="00521670">
        <w:rPr>
          <w:lang w:val="ru-RU"/>
        </w:rPr>
        <w:tab/>
        <w:t xml:space="preserve">Внебюджетные взносы, </w:t>
      </w:r>
      <w:r w:rsidR="00686796" w:rsidRPr="00521670">
        <w:rPr>
          <w:lang w:val="ru-RU"/>
        </w:rPr>
        <w:t>учтенные</w:t>
      </w:r>
      <w:r w:rsidRPr="00521670">
        <w:rPr>
          <w:lang w:val="ru-RU"/>
        </w:rPr>
        <w:t xml:space="preserve"> за</w:t>
      </w:r>
      <w:r w:rsidRPr="00521670">
        <w:rPr>
          <w:rFonts w:cstheme="minorHAnsi"/>
          <w:lang w:val="ru-RU"/>
        </w:rPr>
        <w:t xml:space="preserve"> 2024 год, составляют 11 процентов всех доходов</w:t>
      </w:r>
      <w:r w:rsidR="00D14097" w:rsidRPr="00521670">
        <w:rPr>
          <w:rFonts w:cstheme="minorHAnsi"/>
          <w:lang w:val="ru-RU"/>
        </w:rPr>
        <w:t xml:space="preserve"> </w:t>
      </w:r>
      <w:r w:rsidR="00686796" w:rsidRPr="00521670">
        <w:rPr>
          <w:lang w:val="ru-RU"/>
        </w:rPr>
        <w:t>в 2024 году</w:t>
      </w:r>
      <w:r w:rsidR="00686796" w:rsidRPr="00521670">
        <w:rPr>
          <w:rFonts w:cstheme="minorHAnsi"/>
          <w:lang w:val="ru-RU"/>
        </w:rPr>
        <w:t xml:space="preserve"> </w:t>
      </w:r>
      <w:r w:rsidR="00D14097" w:rsidRPr="00521670">
        <w:rPr>
          <w:rFonts w:cstheme="minorHAnsi"/>
          <w:lang w:val="ru-RU"/>
        </w:rPr>
        <w:t>в размере</w:t>
      </w:r>
      <w:r w:rsidRPr="00521670">
        <w:rPr>
          <w:rFonts w:cstheme="minorHAnsi"/>
          <w:lang w:val="ru-RU"/>
        </w:rPr>
        <w:t xml:space="preserve"> 21,3 млн. шв</w:t>
      </w:r>
      <w:r w:rsidR="00D14097" w:rsidRPr="00521670">
        <w:rPr>
          <w:rFonts w:cstheme="minorHAnsi"/>
          <w:lang w:val="ru-RU"/>
        </w:rPr>
        <w:t>ейцарских</w:t>
      </w:r>
      <w:r w:rsidRPr="00521670">
        <w:rPr>
          <w:lang w:val="ru-RU"/>
        </w:rPr>
        <w:t xml:space="preserve"> фр</w:t>
      </w:r>
      <w:r w:rsidR="00D14097" w:rsidRPr="00521670">
        <w:rPr>
          <w:lang w:val="ru-RU"/>
        </w:rPr>
        <w:t>анков</w:t>
      </w:r>
      <w:r w:rsidRPr="00521670">
        <w:rPr>
          <w:lang w:val="ru-RU"/>
        </w:rPr>
        <w:t xml:space="preserve"> </w:t>
      </w:r>
      <w:r w:rsidRPr="00521670">
        <w:rPr>
          <w:rFonts w:cstheme="minorHAnsi"/>
          <w:lang w:val="ru-RU"/>
        </w:rPr>
        <w:t>(19 млн. шв</w:t>
      </w:r>
      <w:r w:rsidR="00D14097" w:rsidRPr="00521670">
        <w:rPr>
          <w:rFonts w:cstheme="minorHAnsi"/>
          <w:lang w:val="ru-RU"/>
        </w:rPr>
        <w:t>ейцарских</w:t>
      </w:r>
      <w:r w:rsidRPr="00521670">
        <w:rPr>
          <w:lang w:val="ru-RU"/>
        </w:rPr>
        <w:t xml:space="preserve"> фр</w:t>
      </w:r>
      <w:r w:rsidR="00D14097" w:rsidRPr="00521670">
        <w:rPr>
          <w:lang w:val="ru-RU"/>
        </w:rPr>
        <w:t>анков</w:t>
      </w:r>
      <w:r w:rsidRPr="00521670">
        <w:rPr>
          <w:lang w:val="ru-RU"/>
        </w:rPr>
        <w:t xml:space="preserve"> в </w:t>
      </w:r>
      <w:r w:rsidRPr="00521670">
        <w:rPr>
          <w:rFonts w:cstheme="minorHAnsi"/>
          <w:lang w:val="ru-RU"/>
        </w:rPr>
        <w:t>2023 г</w:t>
      </w:r>
      <w:r w:rsidR="00D14097" w:rsidRPr="00521670">
        <w:rPr>
          <w:rFonts w:cstheme="minorHAnsi"/>
          <w:lang w:val="ru-RU"/>
        </w:rPr>
        <w:t>оду</w:t>
      </w:r>
      <w:r w:rsidRPr="00521670">
        <w:rPr>
          <w:rFonts w:cstheme="minorHAnsi"/>
          <w:lang w:val="ru-RU"/>
        </w:rPr>
        <w:t xml:space="preserve">). </w:t>
      </w:r>
      <w:r w:rsidR="00D14097" w:rsidRPr="00521670">
        <w:rPr>
          <w:lang w:val="ru-RU"/>
        </w:rPr>
        <w:t>Это у</w:t>
      </w:r>
      <w:r w:rsidRPr="00521670">
        <w:rPr>
          <w:lang w:val="ru-RU"/>
        </w:rPr>
        <w:t xml:space="preserve">величение </w:t>
      </w:r>
      <w:r w:rsidR="00D14097" w:rsidRPr="00521670">
        <w:rPr>
          <w:lang w:val="ru-RU"/>
        </w:rPr>
        <w:t>обусловлено</w:t>
      </w:r>
      <w:r w:rsidRPr="00521670">
        <w:rPr>
          <w:lang w:val="ru-RU"/>
        </w:rPr>
        <w:t xml:space="preserve"> ростом темпов освоения </w:t>
      </w:r>
      <w:r w:rsidR="00D14097" w:rsidRPr="00521670">
        <w:rPr>
          <w:lang w:val="ru-RU"/>
        </w:rPr>
        <w:t>и подписанием новых соглашений</w:t>
      </w:r>
      <w:r w:rsidRPr="00521670">
        <w:rPr>
          <w:lang w:val="ru-RU"/>
        </w:rPr>
        <w:t xml:space="preserve"> в </w:t>
      </w:r>
      <w:r w:rsidRPr="00521670">
        <w:rPr>
          <w:rFonts w:cstheme="minorHAnsi"/>
          <w:lang w:val="ru-RU"/>
        </w:rPr>
        <w:t xml:space="preserve">2024 году </w:t>
      </w:r>
      <w:r w:rsidRPr="00521670">
        <w:rPr>
          <w:lang w:val="ru-RU"/>
        </w:rPr>
        <w:t xml:space="preserve">по сравнению с </w:t>
      </w:r>
      <w:r w:rsidRPr="00521670">
        <w:rPr>
          <w:rFonts w:cstheme="minorHAnsi"/>
          <w:lang w:val="ru-RU"/>
        </w:rPr>
        <w:t>2023 годом.</w:t>
      </w:r>
    </w:p>
    <w:bookmarkEnd w:id="39"/>
    <w:p w14:paraId="713CAFAC" w14:textId="254767EB" w:rsidR="008460FD" w:rsidRPr="00521670" w:rsidRDefault="008460FD" w:rsidP="008460FD">
      <w:pPr>
        <w:rPr>
          <w:rFonts w:cstheme="minorHAnsi"/>
          <w:lang w:val="ru-RU"/>
        </w:rPr>
      </w:pPr>
      <w:r w:rsidRPr="00521670">
        <w:rPr>
          <w:rFonts w:cstheme="minorHAnsi"/>
          <w:lang w:val="ru-RU"/>
        </w:rPr>
        <w:t>14</w:t>
      </w:r>
      <w:r w:rsidRPr="00521670">
        <w:rPr>
          <w:rFonts w:cstheme="minorHAnsi"/>
          <w:lang w:val="ru-RU"/>
        </w:rPr>
        <w:tab/>
      </w:r>
      <w:r w:rsidR="00686796" w:rsidRPr="00521670">
        <w:rPr>
          <w:rFonts w:asciiTheme="minorHAnsi" w:hAnsiTheme="minorHAnsi" w:cstheme="minorBidi"/>
          <w:lang w:val="ru-RU"/>
        </w:rPr>
        <w:t>Использование</w:t>
      </w:r>
      <w:r w:rsidRPr="00521670">
        <w:rPr>
          <w:rFonts w:asciiTheme="minorHAnsi" w:hAnsiTheme="minorHAnsi" w:cstheme="minorBidi"/>
          <w:lang w:val="ru-RU"/>
        </w:rPr>
        <w:t xml:space="preserve"> </w:t>
      </w:r>
      <w:r w:rsidR="00D14097" w:rsidRPr="00521670">
        <w:rPr>
          <w:rFonts w:asciiTheme="minorHAnsi" w:hAnsiTheme="minorHAnsi" w:cstheme="minorBidi"/>
          <w:lang w:val="ru-RU"/>
        </w:rPr>
        <w:t>внебюджетных взносов</w:t>
      </w:r>
      <w:r w:rsidR="00686796" w:rsidRPr="00521670">
        <w:rPr>
          <w:rFonts w:asciiTheme="minorHAnsi" w:hAnsiTheme="minorHAnsi" w:cstheme="minorBidi"/>
          <w:lang w:val="ru-RU"/>
        </w:rPr>
        <w:t xml:space="preserve"> </w:t>
      </w:r>
      <w:r w:rsidR="00686796" w:rsidRPr="00521670">
        <w:rPr>
          <w:rFonts w:cstheme="minorHAnsi"/>
          <w:lang w:val="ru-RU"/>
        </w:rPr>
        <w:t xml:space="preserve">в 2024 году </w:t>
      </w:r>
      <w:r w:rsidR="00686796" w:rsidRPr="00521670">
        <w:rPr>
          <w:rFonts w:asciiTheme="minorHAnsi" w:hAnsiTheme="minorHAnsi" w:cstheme="minorBidi"/>
          <w:lang w:val="ru-RU"/>
        </w:rPr>
        <w:t xml:space="preserve">принесло </w:t>
      </w:r>
      <w:r w:rsidRPr="00521670">
        <w:rPr>
          <w:rFonts w:asciiTheme="minorHAnsi" w:hAnsiTheme="minorHAnsi" w:cstheme="minorBidi"/>
          <w:lang w:val="ru-RU"/>
        </w:rPr>
        <w:t xml:space="preserve">доход в размере </w:t>
      </w:r>
      <w:r w:rsidRPr="00521670">
        <w:rPr>
          <w:rFonts w:cstheme="minorHAnsi"/>
          <w:lang w:val="ru-RU"/>
        </w:rPr>
        <w:t>1,2 млн. швейцарск</w:t>
      </w:r>
      <w:r w:rsidRPr="00521670">
        <w:rPr>
          <w:lang w:val="ru-RU"/>
        </w:rPr>
        <w:t xml:space="preserve">их франков </w:t>
      </w:r>
      <w:r w:rsidRPr="00521670">
        <w:rPr>
          <w:rFonts w:cstheme="minorHAnsi"/>
          <w:lang w:val="ru-RU"/>
        </w:rPr>
        <w:t xml:space="preserve">(1,0 млн. </w:t>
      </w:r>
      <w:r w:rsidR="00D14097" w:rsidRPr="00521670">
        <w:rPr>
          <w:rFonts w:cstheme="minorHAnsi"/>
          <w:lang w:val="ru-RU"/>
        </w:rPr>
        <w:t>швейцарских франков</w:t>
      </w:r>
      <w:r w:rsidRPr="00521670">
        <w:rPr>
          <w:lang w:val="ru-RU"/>
        </w:rPr>
        <w:t xml:space="preserve"> </w:t>
      </w:r>
      <w:r w:rsidRPr="00521670">
        <w:rPr>
          <w:rFonts w:cstheme="minorHAnsi"/>
          <w:lang w:val="ru-RU"/>
        </w:rPr>
        <w:t>в 2023 г</w:t>
      </w:r>
      <w:r w:rsidR="00D14097" w:rsidRPr="00521670">
        <w:rPr>
          <w:rFonts w:cstheme="minorHAnsi"/>
          <w:lang w:val="ru-RU"/>
        </w:rPr>
        <w:t>оду</w:t>
      </w:r>
      <w:r w:rsidRPr="00521670">
        <w:rPr>
          <w:rFonts w:cstheme="minorHAnsi"/>
          <w:lang w:val="ru-RU"/>
        </w:rPr>
        <w:t xml:space="preserve">) </w:t>
      </w:r>
      <w:r w:rsidRPr="00521670">
        <w:rPr>
          <w:rFonts w:asciiTheme="minorHAnsi" w:hAnsiTheme="minorHAnsi" w:cstheme="minorBidi"/>
          <w:lang w:val="ru-RU"/>
        </w:rPr>
        <w:t>по линии вспомогательных</w:t>
      </w:r>
      <w:r w:rsidR="00422857" w:rsidRPr="00521670">
        <w:rPr>
          <w:rFonts w:asciiTheme="minorHAnsi" w:hAnsiTheme="minorHAnsi" w:cstheme="minorBidi"/>
          <w:lang w:val="ru-RU"/>
        </w:rPr>
        <w:t> </w:t>
      </w:r>
      <w:r w:rsidRPr="00521670">
        <w:rPr>
          <w:rFonts w:asciiTheme="minorHAnsi" w:hAnsiTheme="minorHAnsi" w:cstheme="minorBidi"/>
          <w:lang w:val="ru-RU"/>
        </w:rPr>
        <w:t>затрат</w:t>
      </w:r>
      <w:r w:rsidRPr="00521670">
        <w:rPr>
          <w:rFonts w:cstheme="minorHAnsi"/>
          <w:lang w:val="ru-RU"/>
        </w:rPr>
        <w:t>.</w:t>
      </w:r>
    </w:p>
    <w:p w14:paraId="15AEC200" w14:textId="2A643795" w:rsidR="00FC4191" w:rsidRPr="00521670" w:rsidRDefault="006532B3" w:rsidP="00FC4191">
      <w:pPr>
        <w:pStyle w:val="Heading1"/>
        <w:rPr>
          <w:sz w:val="28"/>
          <w:szCs w:val="22"/>
          <w:lang w:val="ru-RU"/>
        </w:rPr>
      </w:pPr>
      <w:bookmarkStart w:id="40" w:name="_Toc200469511"/>
      <w:r w:rsidRPr="00521670">
        <w:rPr>
          <w:lang w:val="ru-RU"/>
        </w:rPr>
        <w:lastRenderedPageBreak/>
        <w:t>Возмещение затрат</w:t>
      </w:r>
      <w:bookmarkEnd w:id="40"/>
    </w:p>
    <w:p w14:paraId="6C553DF5" w14:textId="6E4C6D6A" w:rsidR="00FC4191" w:rsidRPr="00521670" w:rsidRDefault="00FC4191" w:rsidP="008460FD">
      <w:pPr>
        <w:rPr>
          <w:lang w:val="ru-RU"/>
        </w:rPr>
      </w:pPr>
      <w:r w:rsidRPr="00521670">
        <w:rPr>
          <w:lang w:val="ru-RU"/>
        </w:rPr>
        <w:t>15</w:t>
      </w:r>
      <w:r w:rsidRPr="00521670">
        <w:rPr>
          <w:lang w:val="ru-RU"/>
        </w:rPr>
        <w:tab/>
      </w:r>
      <w:r w:rsidR="006532B3" w:rsidRPr="00521670">
        <w:rPr>
          <w:lang w:val="ru-RU"/>
        </w:rPr>
        <w:t xml:space="preserve">МСЭ приложил все силы для возмещения вспомогательных затрат на деятельность по обслуживанию за счет отнесения </w:t>
      </w:r>
      <w:r w:rsidR="00A331F2" w:rsidRPr="00521670">
        <w:rPr>
          <w:lang w:val="ru-RU"/>
        </w:rPr>
        <w:t>расходов</w:t>
      </w:r>
      <w:r w:rsidR="006532B3" w:rsidRPr="00521670">
        <w:rPr>
          <w:lang w:val="ru-RU"/>
        </w:rPr>
        <w:t xml:space="preserve"> по внебюджетным взносам.</w:t>
      </w:r>
      <w:r w:rsidR="00A331F2" w:rsidRPr="00521670">
        <w:rPr>
          <w:lang w:val="ru-RU"/>
        </w:rPr>
        <w:t xml:space="preserve"> В 2024 году МСЭ получил поступления от вспомогательных </w:t>
      </w:r>
      <w:r w:rsidR="004A1FEB" w:rsidRPr="00521670">
        <w:rPr>
          <w:lang w:val="ru-RU"/>
        </w:rPr>
        <w:t>затрат</w:t>
      </w:r>
      <w:r w:rsidR="00A331F2" w:rsidRPr="00521670">
        <w:rPr>
          <w:lang w:val="ru-RU"/>
        </w:rPr>
        <w:t xml:space="preserve"> по проектам в размере 1,2 млн. швейцарских франков, в результате чего средний уровень вспомогательных затрат по программам составил</w:t>
      </w:r>
      <w:r w:rsidR="00422857" w:rsidRPr="00521670">
        <w:rPr>
          <w:lang w:val="ru-RU"/>
        </w:rPr>
        <w:t> </w:t>
      </w:r>
      <w:r w:rsidR="00A331F2" w:rsidRPr="00521670">
        <w:rPr>
          <w:lang w:val="ru-RU"/>
        </w:rPr>
        <w:t>7% (1,0 млн. швейцарских франков, или 7%</w:t>
      </w:r>
      <w:r w:rsidR="00487615" w:rsidRPr="00521670">
        <w:rPr>
          <w:lang w:val="ru-RU"/>
        </w:rPr>
        <w:t>,</w:t>
      </w:r>
      <w:r w:rsidR="00A331F2" w:rsidRPr="00521670">
        <w:rPr>
          <w:lang w:val="ru-RU"/>
        </w:rPr>
        <w:t xml:space="preserve"> в 2023 году). </w:t>
      </w:r>
      <w:r w:rsidR="00820C9C" w:rsidRPr="00521670">
        <w:rPr>
          <w:lang w:val="ru-RU"/>
        </w:rPr>
        <w:t>Это незначительное увеличение свидетельствует о</w:t>
      </w:r>
      <w:r w:rsidR="00487615" w:rsidRPr="00521670">
        <w:rPr>
          <w:lang w:val="ru-RU"/>
        </w:rPr>
        <w:t xml:space="preserve"> росте </w:t>
      </w:r>
      <w:r w:rsidR="00820C9C" w:rsidRPr="00521670">
        <w:rPr>
          <w:lang w:val="ru-RU"/>
        </w:rPr>
        <w:t>объемов расходов по проектам и изменении распределения ресурсов в пользу соглашений о взносах. В настоящее время освобождение от возмещения вспомогательных затрат по-прежнему распространяется на добровольные взносы и запросы партнеров по финансированию.</w:t>
      </w:r>
    </w:p>
    <w:p w14:paraId="1D36D68B" w14:textId="2EDD48AF" w:rsidR="00FC4191" w:rsidRPr="00521670" w:rsidRDefault="004E19F3" w:rsidP="00FC4191">
      <w:pPr>
        <w:pStyle w:val="Heading1"/>
        <w:rPr>
          <w:lang w:val="ru-RU"/>
        </w:rPr>
      </w:pPr>
      <w:bookmarkStart w:id="41" w:name="_Toc200469512"/>
      <w:r w:rsidRPr="00521670">
        <w:rPr>
          <w:lang w:val="ru-RU"/>
        </w:rPr>
        <w:t>Расходы</w:t>
      </w:r>
      <w:bookmarkEnd w:id="41"/>
    </w:p>
    <w:p w14:paraId="5BD153C2" w14:textId="710EB693" w:rsidR="00FC4191" w:rsidRPr="00521670" w:rsidRDefault="00FC4191" w:rsidP="00B43699">
      <w:pPr>
        <w:rPr>
          <w:lang w:val="ru-RU"/>
        </w:rPr>
      </w:pPr>
      <w:r w:rsidRPr="00521670">
        <w:rPr>
          <w:lang w:val="ru-RU"/>
        </w:rPr>
        <w:t>16</w:t>
      </w:r>
      <w:r w:rsidRPr="00521670">
        <w:rPr>
          <w:lang w:val="ru-RU"/>
        </w:rPr>
        <w:tab/>
      </w:r>
      <w:r w:rsidR="00820C9C" w:rsidRPr="00521670">
        <w:rPr>
          <w:lang w:val="ru-RU"/>
        </w:rPr>
        <w:t>В 2024 году расходы МСЭ составили 222,0 млн. швейцарских франков (197,2</w:t>
      </w:r>
      <w:r w:rsidR="00422857" w:rsidRPr="00521670">
        <w:rPr>
          <w:lang w:val="ru-RU"/>
        </w:rPr>
        <w:t> </w:t>
      </w:r>
      <w:r w:rsidR="00820C9C" w:rsidRPr="00521670">
        <w:rPr>
          <w:lang w:val="ru-RU"/>
        </w:rPr>
        <w:t>млн.</w:t>
      </w:r>
      <w:r w:rsidR="00422857" w:rsidRPr="00521670">
        <w:rPr>
          <w:lang w:val="ru-RU"/>
        </w:rPr>
        <w:t> </w:t>
      </w:r>
      <w:r w:rsidR="00820C9C" w:rsidRPr="00521670">
        <w:rPr>
          <w:lang w:val="ru-RU"/>
        </w:rPr>
        <w:t>швейцарских франков в 2023 году), то есть выросли на 12,6% по сравнению с 2023</w:t>
      </w:r>
      <w:r w:rsidR="00422857" w:rsidRPr="00521670">
        <w:rPr>
          <w:lang w:val="ru-RU"/>
        </w:rPr>
        <w:t> </w:t>
      </w:r>
      <w:r w:rsidR="00820C9C" w:rsidRPr="00521670">
        <w:rPr>
          <w:lang w:val="ru-RU"/>
        </w:rPr>
        <w:t xml:space="preserve">годом. В Таблице 2 приведено сравнение расходов за 2024 и 2023 годы. Отмечается, что наибольшие расходы в 2024 году </w:t>
      </w:r>
      <w:r w:rsidR="00675BAA" w:rsidRPr="00521670">
        <w:rPr>
          <w:lang w:val="ru-RU"/>
        </w:rPr>
        <w:t>–</w:t>
      </w:r>
      <w:r w:rsidR="00820C9C" w:rsidRPr="00521670">
        <w:rPr>
          <w:lang w:val="ru-RU"/>
        </w:rPr>
        <w:t xml:space="preserve"> это</w:t>
      </w:r>
      <w:r w:rsidR="00675BAA" w:rsidRPr="00521670">
        <w:rPr>
          <w:lang w:val="ru-RU"/>
        </w:rPr>
        <w:t xml:space="preserve"> </w:t>
      </w:r>
      <w:r w:rsidR="00820C9C" w:rsidRPr="00521670">
        <w:rPr>
          <w:lang w:val="ru-RU"/>
        </w:rPr>
        <w:t xml:space="preserve">расходы по персоналу (которые на 8,2 млн. швейцарских франков ниже, чем в 2023 году). </w:t>
      </w:r>
      <w:r w:rsidR="00D8685E" w:rsidRPr="00521670">
        <w:rPr>
          <w:lang w:val="ru-RU"/>
        </w:rPr>
        <w:t xml:space="preserve">Основное увеличение расходов в 2024 году связано с обесценением нового здания на 21 млн. швейцарских франков в связи с решением Совета продолжить реализацию проекта здания с переоценкой. Кроме того, МСЭ </w:t>
      </w:r>
      <w:r w:rsidR="00DA3607" w:rsidRPr="00521670">
        <w:rPr>
          <w:lang w:val="ru-RU"/>
        </w:rPr>
        <w:t xml:space="preserve">в 2024 году </w:t>
      </w:r>
      <w:r w:rsidR="00D8685E" w:rsidRPr="00521670">
        <w:rPr>
          <w:lang w:val="ru-RU"/>
        </w:rPr>
        <w:t>пришлось увеличить резервный фонд начисленных взносов до 6,4 млн. швейцарских франков в связи с неуплатой Государствами-Членами и резерв в размере 5,0 млн. швейцарских франков после прекращения действия соглашения о спонсорской поддержке в связи с пересмотром проекта нового здания.</w:t>
      </w:r>
    </w:p>
    <w:p w14:paraId="5BC1747E" w14:textId="1904DF56" w:rsidR="00CD140E" w:rsidRPr="00521670" w:rsidRDefault="00E31485" w:rsidP="008460FD">
      <w:pPr>
        <w:pStyle w:val="Tabletitle"/>
        <w:spacing w:before="360"/>
        <w:rPr>
          <w:rFonts w:asciiTheme="minorHAnsi" w:hAnsiTheme="minorHAnsi" w:cstheme="minorHAnsi"/>
          <w:lang w:val="ru-RU"/>
        </w:rPr>
      </w:pPr>
      <w:bookmarkStart w:id="42" w:name="lt_pId053"/>
      <w:r w:rsidRPr="00521670">
        <w:rPr>
          <w:rFonts w:asciiTheme="minorHAnsi" w:hAnsiTheme="minorHAnsi" w:cstheme="minorHAnsi"/>
          <w:bCs/>
          <w:lang w:val="ru-RU"/>
        </w:rPr>
        <w:t xml:space="preserve">Таблица 2 – </w:t>
      </w:r>
      <w:r w:rsidRPr="00521670">
        <w:rPr>
          <w:lang w:val="ru-RU"/>
        </w:rPr>
        <w:t>Сравнение расходов в</w:t>
      </w:r>
      <w:r w:rsidRPr="00521670">
        <w:rPr>
          <w:rFonts w:asciiTheme="minorHAnsi" w:hAnsiTheme="minorHAnsi" w:cstheme="minorHAnsi"/>
          <w:bCs/>
          <w:lang w:val="ru-RU"/>
        </w:rPr>
        <w:t xml:space="preserve"> 2024 и 202</w:t>
      </w:r>
      <w:bookmarkEnd w:id="42"/>
      <w:r w:rsidRPr="00521670">
        <w:rPr>
          <w:rFonts w:asciiTheme="minorHAnsi" w:hAnsiTheme="minorHAnsi" w:cstheme="minorHAnsi"/>
          <w:bCs/>
          <w:lang w:val="ru-RU"/>
        </w:rPr>
        <w:t>3 годах</w:t>
      </w:r>
    </w:p>
    <w:tbl>
      <w:tblPr>
        <w:tblW w:w="5000" w:type="pct"/>
        <w:jc w:val="center"/>
        <w:tblLook w:val="04A0" w:firstRow="1" w:lastRow="0" w:firstColumn="1" w:lastColumn="0" w:noHBand="0" w:noVBand="1"/>
      </w:tblPr>
      <w:tblGrid>
        <w:gridCol w:w="6219"/>
        <w:gridCol w:w="1446"/>
        <w:gridCol w:w="1406"/>
      </w:tblGrid>
      <w:tr w:rsidR="00867C2B" w:rsidRPr="00521670" w14:paraId="65E6D52C" w14:textId="77777777" w:rsidTr="001B756A">
        <w:trPr>
          <w:trHeight w:val="480"/>
          <w:jc w:val="center"/>
        </w:trPr>
        <w:tc>
          <w:tcPr>
            <w:tcW w:w="3428" w:type="pct"/>
            <w:tcBorders>
              <w:top w:val="nil"/>
              <w:left w:val="nil"/>
              <w:bottom w:val="nil"/>
              <w:right w:val="nil"/>
            </w:tcBorders>
            <w:shd w:val="clear" w:color="000000" w:fill="538DD5"/>
            <w:noWrap/>
            <w:vAlign w:val="center"/>
            <w:hideMark/>
          </w:tcPr>
          <w:p w14:paraId="22974255" w14:textId="4BBCF7A2" w:rsidR="00867C2B" w:rsidRPr="00521670" w:rsidRDefault="00867C2B" w:rsidP="00BA023A">
            <w:pPr>
              <w:pStyle w:val="Tablehead"/>
              <w:jc w:val="left"/>
              <w:rPr>
                <w:lang w:val="ru-RU" w:eastAsia="en-GB"/>
              </w:rPr>
            </w:pPr>
            <w:r w:rsidRPr="00521670">
              <w:rPr>
                <w:lang w:val="ru-RU" w:eastAsia="en-GB"/>
              </w:rPr>
              <w:t>В тыс. шв. фр.</w:t>
            </w:r>
          </w:p>
        </w:tc>
        <w:tc>
          <w:tcPr>
            <w:tcW w:w="797" w:type="pct"/>
            <w:tcBorders>
              <w:top w:val="nil"/>
              <w:left w:val="nil"/>
              <w:bottom w:val="nil"/>
              <w:right w:val="nil"/>
            </w:tcBorders>
            <w:shd w:val="clear" w:color="000000" w:fill="538DD5"/>
            <w:noWrap/>
            <w:vAlign w:val="center"/>
            <w:hideMark/>
          </w:tcPr>
          <w:p w14:paraId="1FD87AD7" w14:textId="7CAD66CF" w:rsidR="00867C2B" w:rsidRPr="00521670" w:rsidRDefault="00867C2B" w:rsidP="00BA023A">
            <w:pPr>
              <w:pStyle w:val="Tablehead"/>
              <w:jc w:val="right"/>
              <w:rPr>
                <w:lang w:val="ru-RU"/>
              </w:rPr>
            </w:pPr>
            <w:r w:rsidRPr="00521670">
              <w:rPr>
                <w:lang w:val="ru-RU"/>
              </w:rPr>
              <w:t>2024 г.</w:t>
            </w:r>
          </w:p>
        </w:tc>
        <w:tc>
          <w:tcPr>
            <w:tcW w:w="775" w:type="pct"/>
            <w:tcBorders>
              <w:top w:val="nil"/>
              <w:left w:val="nil"/>
              <w:bottom w:val="nil"/>
              <w:right w:val="nil"/>
            </w:tcBorders>
            <w:shd w:val="clear" w:color="000000" w:fill="538DD5"/>
            <w:vAlign w:val="center"/>
            <w:hideMark/>
          </w:tcPr>
          <w:p w14:paraId="02AD3D46" w14:textId="65D3B1E6" w:rsidR="00867C2B" w:rsidRPr="00521670" w:rsidRDefault="00867C2B" w:rsidP="00BA023A">
            <w:pPr>
              <w:pStyle w:val="Tablehead"/>
              <w:jc w:val="right"/>
              <w:rPr>
                <w:lang w:val="ru-RU"/>
              </w:rPr>
            </w:pPr>
            <w:r w:rsidRPr="00521670">
              <w:rPr>
                <w:lang w:val="ru-RU"/>
              </w:rPr>
              <w:t>2023 г.</w:t>
            </w:r>
          </w:p>
        </w:tc>
      </w:tr>
      <w:tr w:rsidR="00867C2B" w:rsidRPr="00521670" w14:paraId="0F2604DE" w14:textId="77777777" w:rsidTr="001B756A">
        <w:trPr>
          <w:trHeight w:val="139"/>
          <w:jc w:val="center"/>
        </w:trPr>
        <w:tc>
          <w:tcPr>
            <w:tcW w:w="5000" w:type="pct"/>
            <w:gridSpan w:val="3"/>
            <w:tcBorders>
              <w:top w:val="nil"/>
              <w:left w:val="nil"/>
              <w:bottom w:val="nil"/>
              <w:right w:val="nil"/>
            </w:tcBorders>
            <w:shd w:val="clear" w:color="auto" w:fill="auto"/>
            <w:noWrap/>
            <w:vAlign w:val="bottom"/>
            <w:hideMark/>
          </w:tcPr>
          <w:p w14:paraId="71DF196C" w14:textId="77777777" w:rsidR="00867C2B" w:rsidRPr="00521670" w:rsidRDefault="00867C2B" w:rsidP="00867C2B">
            <w:pPr>
              <w:pStyle w:val="Tabletext"/>
              <w:rPr>
                <w:rFonts w:ascii="Times New Roman" w:hAnsi="Times New Roman"/>
                <w:lang w:val="ru-RU" w:eastAsia="en-GB"/>
              </w:rPr>
            </w:pPr>
          </w:p>
        </w:tc>
      </w:tr>
      <w:tr w:rsidR="00867C2B" w:rsidRPr="00521670" w14:paraId="75FC170E" w14:textId="77777777" w:rsidTr="001B756A">
        <w:trPr>
          <w:trHeight w:val="255"/>
          <w:jc w:val="center"/>
        </w:trPr>
        <w:tc>
          <w:tcPr>
            <w:tcW w:w="3428" w:type="pct"/>
            <w:tcBorders>
              <w:top w:val="nil"/>
              <w:left w:val="nil"/>
              <w:bottom w:val="nil"/>
              <w:right w:val="nil"/>
            </w:tcBorders>
            <w:shd w:val="clear" w:color="auto" w:fill="auto"/>
            <w:noWrap/>
            <w:hideMark/>
          </w:tcPr>
          <w:p w14:paraId="40957497" w14:textId="2B195C4B" w:rsidR="00867C2B" w:rsidRPr="00521670" w:rsidRDefault="00867C2B" w:rsidP="00867C2B">
            <w:pPr>
              <w:pStyle w:val="Tabletext"/>
              <w:rPr>
                <w:lang w:val="ru-RU"/>
              </w:rPr>
            </w:pPr>
            <w:r w:rsidRPr="00521670">
              <w:rPr>
                <w:lang w:val="ru-RU"/>
              </w:rPr>
              <w:t>Расходы по персоналу</w:t>
            </w:r>
          </w:p>
        </w:tc>
        <w:tc>
          <w:tcPr>
            <w:tcW w:w="797" w:type="pct"/>
            <w:tcBorders>
              <w:top w:val="nil"/>
              <w:left w:val="nil"/>
              <w:bottom w:val="nil"/>
              <w:right w:val="nil"/>
            </w:tcBorders>
            <w:shd w:val="clear" w:color="auto" w:fill="auto"/>
            <w:noWrap/>
            <w:vAlign w:val="bottom"/>
            <w:hideMark/>
          </w:tcPr>
          <w:p w14:paraId="40A6AAAF" w14:textId="2FAB3FCE" w:rsidR="00867C2B" w:rsidRPr="00521670" w:rsidRDefault="00867C2B" w:rsidP="00867C2B">
            <w:pPr>
              <w:pStyle w:val="Tabletext"/>
              <w:jc w:val="right"/>
              <w:rPr>
                <w:lang w:val="ru-RU"/>
              </w:rPr>
            </w:pPr>
            <w:r w:rsidRPr="00521670">
              <w:rPr>
                <w:lang w:val="ru-RU"/>
              </w:rPr>
              <w:t>142,5</w:t>
            </w:r>
          </w:p>
        </w:tc>
        <w:tc>
          <w:tcPr>
            <w:tcW w:w="775" w:type="pct"/>
            <w:tcBorders>
              <w:top w:val="nil"/>
              <w:left w:val="nil"/>
              <w:bottom w:val="nil"/>
              <w:right w:val="nil"/>
            </w:tcBorders>
            <w:shd w:val="clear" w:color="auto" w:fill="auto"/>
            <w:noWrap/>
            <w:vAlign w:val="bottom"/>
            <w:hideMark/>
          </w:tcPr>
          <w:p w14:paraId="68A0BF23" w14:textId="57BB9BE6" w:rsidR="00867C2B" w:rsidRPr="00521670" w:rsidRDefault="00867C2B" w:rsidP="00867C2B">
            <w:pPr>
              <w:pStyle w:val="Tabletext"/>
              <w:jc w:val="right"/>
              <w:rPr>
                <w:lang w:val="ru-RU"/>
              </w:rPr>
            </w:pPr>
            <w:r w:rsidRPr="00521670">
              <w:rPr>
                <w:lang w:val="ru-RU"/>
              </w:rPr>
              <w:t>150,7</w:t>
            </w:r>
          </w:p>
        </w:tc>
      </w:tr>
      <w:tr w:rsidR="00867C2B" w:rsidRPr="00521670" w14:paraId="506C131A" w14:textId="77777777" w:rsidTr="001B756A">
        <w:trPr>
          <w:trHeight w:val="252"/>
          <w:jc w:val="center"/>
        </w:trPr>
        <w:tc>
          <w:tcPr>
            <w:tcW w:w="3428" w:type="pct"/>
            <w:tcBorders>
              <w:top w:val="nil"/>
              <w:left w:val="nil"/>
              <w:bottom w:val="nil"/>
              <w:right w:val="nil"/>
            </w:tcBorders>
            <w:shd w:val="clear" w:color="auto" w:fill="auto"/>
            <w:hideMark/>
          </w:tcPr>
          <w:p w14:paraId="630D68E6" w14:textId="39B0D8EF" w:rsidR="00867C2B" w:rsidRPr="00521670" w:rsidRDefault="00867C2B" w:rsidP="00867C2B">
            <w:pPr>
              <w:pStyle w:val="Tabletext"/>
              <w:rPr>
                <w:lang w:val="ru-RU"/>
              </w:rPr>
            </w:pPr>
            <w:r w:rsidRPr="00521670">
              <w:rPr>
                <w:lang w:val="ru-RU"/>
              </w:rPr>
              <w:t>Служебные командировки</w:t>
            </w:r>
          </w:p>
        </w:tc>
        <w:tc>
          <w:tcPr>
            <w:tcW w:w="797" w:type="pct"/>
            <w:tcBorders>
              <w:top w:val="nil"/>
              <w:left w:val="nil"/>
              <w:bottom w:val="nil"/>
              <w:right w:val="nil"/>
            </w:tcBorders>
            <w:shd w:val="clear" w:color="auto" w:fill="auto"/>
            <w:noWrap/>
            <w:vAlign w:val="bottom"/>
            <w:hideMark/>
          </w:tcPr>
          <w:p w14:paraId="147E204A" w14:textId="20277EBB" w:rsidR="00867C2B" w:rsidRPr="00521670" w:rsidRDefault="00867C2B" w:rsidP="00867C2B">
            <w:pPr>
              <w:pStyle w:val="Tabletext"/>
              <w:jc w:val="right"/>
              <w:rPr>
                <w:lang w:val="ru-RU"/>
              </w:rPr>
            </w:pPr>
            <w:r w:rsidRPr="00521670">
              <w:rPr>
                <w:lang w:val="ru-RU"/>
              </w:rPr>
              <w:t>8,2</w:t>
            </w:r>
          </w:p>
        </w:tc>
        <w:tc>
          <w:tcPr>
            <w:tcW w:w="775" w:type="pct"/>
            <w:tcBorders>
              <w:top w:val="nil"/>
              <w:left w:val="nil"/>
              <w:bottom w:val="nil"/>
              <w:right w:val="nil"/>
            </w:tcBorders>
            <w:shd w:val="clear" w:color="auto" w:fill="auto"/>
            <w:noWrap/>
            <w:vAlign w:val="bottom"/>
            <w:hideMark/>
          </w:tcPr>
          <w:p w14:paraId="123F1C1E" w14:textId="6D2C3367" w:rsidR="00867C2B" w:rsidRPr="00521670" w:rsidRDefault="00867C2B" w:rsidP="00867C2B">
            <w:pPr>
              <w:pStyle w:val="Tabletext"/>
              <w:jc w:val="right"/>
              <w:rPr>
                <w:lang w:val="ru-RU"/>
              </w:rPr>
            </w:pPr>
            <w:r w:rsidRPr="00521670">
              <w:rPr>
                <w:lang w:val="ru-RU"/>
              </w:rPr>
              <w:t>7,8</w:t>
            </w:r>
          </w:p>
        </w:tc>
      </w:tr>
      <w:tr w:rsidR="00867C2B" w:rsidRPr="00521670" w14:paraId="53E290D4" w14:textId="77777777" w:rsidTr="001B756A">
        <w:trPr>
          <w:trHeight w:val="252"/>
          <w:jc w:val="center"/>
        </w:trPr>
        <w:tc>
          <w:tcPr>
            <w:tcW w:w="3428" w:type="pct"/>
            <w:tcBorders>
              <w:top w:val="nil"/>
              <w:left w:val="nil"/>
              <w:bottom w:val="nil"/>
              <w:right w:val="nil"/>
            </w:tcBorders>
            <w:shd w:val="clear" w:color="auto" w:fill="auto"/>
            <w:hideMark/>
          </w:tcPr>
          <w:p w14:paraId="5D25AEE6" w14:textId="35B2A457" w:rsidR="00867C2B" w:rsidRPr="00521670" w:rsidRDefault="00867C2B" w:rsidP="00867C2B">
            <w:pPr>
              <w:pStyle w:val="Tabletext"/>
              <w:rPr>
                <w:lang w:val="ru-RU"/>
              </w:rPr>
            </w:pPr>
            <w:r w:rsidRPr="00521670">
              <w:rPr>
                <w:lang w:val="ru-RU"/>
              </w:rPr>
              <w:t>Контрактные услуги</w:t>
            </w:r>
          </w:p>
        </w:tc>
        <w:tc>
          <w:tcPr>
            <w:tcW w:w="797" w:type="pct"/>
            <w:tcBorders>
              <w:top w:val="nil"/>
              <w:left w:val="nil"/>
              <w:bottom w:val="nil"/>
              <w:right w:val="nil"/>
            </w:tcBorders>
            <w:shd w:val="clear" w:color="auto" w:fill="auto"/>
            <w:noWrap/>
            <w:vAlign w:val="bottom"/>
            <w:hideMark/>
          </w:tcPr>
          <w:p w14:paraId="09B3A153" w14:textId="0F1B34FA" w:rsidR="00867C2B" w:rsidRPr="00521670" w:rsidRDefault="00867C2B" w:rsidP="00867C2B">
            <w:pPr>
              <w:pStyle w:val="Tabletext"/>
              <w:jc w:val="right"/>
              <w:rPr>
                <w:lang w:val="ru-RU"/>
              </w:rPr>
            </w:pPr>
            <w:r w:rsidRPr="00521670">
              <w:rPr>
                <w:lang w:val="ru-RU"/>
              </w:rPr>
              <w:t>20,6</w:t>
            </w:r>
          </w:p>
        </w:tc>
        <w:tc>
          <w:tcPr>
            <w:tcW w:w="775" w:type="pct"/>
            <w:tcBorders>
              <w:top w:val="nil"/>
              <w:left w:val="nil"/>
              <w:bottom w:val="nil"/>
              <w:right w:val="nil"/>
            </w:tcBorders>
            <w:shd w:val="clear" w:color="auto" w:fill="auto"/>
            <w:noWrap/>
            <w:vAlign w:val="bottom"/>
            <w:hideMark/>
          </w:tcPr>
          <w:p w14:paraId="07458A59" w14:textId="4D569EE9" w:rsidR="00867C2B" w:rsidRPr="00521670" w:rsidRDefault="00867C2B" w:rsidP="00867C2B">
            <w:pPr>
              <w:pStyle w:val="Tabletext"/>
              <w:jc w:val="right"/>
              <w:rPr>
                <w:lang w:val="ru-RU"/>
              </w:rPr>
            </w:pPr>
            <w:r w:rsidRPr="00521670">
              <w:rPr>
                <w:lang w:val="ru-RU"/>
              </w:rPr>
              <w:t>21,8</w:t>
            </w:r>
          </w:p>
        </w:tc>
      </w:tr>
      <w:tr w:rsidR="00867C2B" w:rsidRPr="00521670" w14:paraId="5328FE63" w14:textId="77777777" w:rsidTr="001B756A">
        <w:trPr>
          <w:trHeight w:val="252"/>
          <w:jc w:val="center"/>
        </w:trPr>
        <w:tc>
          <w:tcPr>
            <w:tcW w:w="3428" w:type="pct"/>
            <w:tcBorders>
              <w:top w:val="nil"/>
              <w:left w:val="nil"/>
              <w:bottom w:val="nil"/>
              <w:right w:val="nil"/>
            </w:tcBorders>
            <w:shd w:val="clear" w:color="auto" w:fill="auto"/>
            <w:hideMark/>
          </w:tcPr>
          <w:p w14:paraId="35DAE723" w14:textId="319CD876" w:rsidR="00867C2B" w:rsidRPr="00521670" w:rsidRDefault="00867C2B" w:rsidP="00867C2B">
            <w:pPr>
              <w:pStyle w:val="Tabletext"/>
              <w:rPr>
                <w:lang w:val="ru-RU"/>
              </w:rPr>
            </w:pPr>
            <w:r w:rsidRPr="00521670">
              <w:rPr>
                <w:lang w:val="ru-RU"/>
              </w:rPr>
              <w:t>Аренда и эксплуатация помещений и оборудования</w:t>
            </w:r>
          </w:p>
        </w:tc>
        <w:tc>
          <w:tcPr>
            <w:tcW w:w="797" w:type="pct"/>
            <w:tcBorders>
              <w:top w:val="nil"/>
              <w:left w:val="nil"/>
              <w:bottom w:val="nil"/>
              <w:right w:val="nil"/>
            </w:tcBorders>
            <w:shd w:val="clear" w:color="auto" w:fill="auto"/>
            <w:noWrap/>
            <w:vAlign w:val="bottom"/>
            <w:hideMark/>
          </w:tcPr>
          <w:p w14:paraId="29E2068D" w14:textId="0BF6BE62" w:rsidR="00867C2B" w:rsidRPr="00521670" w:rsidRDefault="00867C2B" w:rsidP="00867C2B">
            <w:pPr>
              <w:pStyle w:val="Tabletext"/>
              <w:jc w:val="right"/>
              <w:rPr>
                <w:lang w:val="ru-RU"/>
              </w:rPr>
            </w:pPr>
            <w:r w:rsidRPr="00521670">
              <w:rPr>
                <w:lang w:val="ru-RU"/>
              </w:rPr>
              <w:t>4,0</w:t>
            </w:r>
          </w:p>
        </w:tc>
        <w:tc>
          <w:tcPr>
            <w:tcW w:w="775" w:type="pct"/>
            <w:tcBorders>
              <w:top w:val="nil"/>
              <w:left w:val="nil"/>
              <w:bottom w:val="nil"/>
              <w:right w:val="nil"/>
            </w:tcBorders>
            <w:shd w:val="clear" w:color="auto" w:fill="auto"/>
            <w:noWrap/>
            <w:vAlign w:val="bottom"/>
            <w:hideMark/>
          </w:tcPr>
          <w:p w14:paraId="3CDBB8FE" w14:textId="5358AD21" w:rsidR="00867C2B" w:rsidRPr="00521670" w:rsidRDefault="00867C2B" w:rsidP="00867C2B">
            <w:pPr>
              <w:pStyle w:val="Tabletext"/>
              <w:jc w:val="right"/>
              <w:rPr>
                <w:lang w:val="ru-RU"/>
              </w:rPr>
            </w:pPr>
            <w:r w:rsidRPr="00521670">
              <w:rPr>
                <w:lang w:val="ru-RU"/>
              </w:rPr>
              <w:t>3,5</w:t>
            </w:r>
          </w:p>
        </w:tc>
      </w:tr>
      <w:tr w:rsidR="00867C2B" w:rsidRPr="00521670" w14:paraId="520C7253" w14:textId="77777777" w:rsidTr="001B756A">
        <w:trPr>
          <w:trHeight w:val="252"/>
          <w:jc w:val="center"/>
        </w:trPr>
        <w:tc>
          <w:tcPr>
            <w:tcW w:w="3428" w:type="pct"/>
            <w:tcBorders>
              <w:top w:val="nil"/>
              <w:left w:val="nil"/>
              <w:bottom w:val="nil"/>
              <w:right w:val="nil"/>
            </w:tcBorders>
            <w:shd w:val="clear" w:color="auto" w:fill="auto"/>
            <w:hideMark/>
          </w:tcPr>
          <w:p w14:paraId="66B3FBB9" w14:textId="62976DBF" w:rsidR="00867C2B" w:rsidRPr="00521670" w:rsidRDefault="00867C2B" w:rsidP="00867C2B">
            <w:pPr>
              <w:pStyle w:val="Tabletext"/>
              <w:rPr>
                <w:lang w:val="ru-RU"/>
              </w:rPr>
            </w:pPr>
            <w:r w:rsidRPr="00521670">
              <w:rPr>
                <w:lang w:val="ru-RU"/>
              </w:rPr>
              <w:t>Оборудование и предметы снабжения</w:t>
            </w:r>
          </w:p>
        </w:tc>
        <w:tc>
          <w:tcPr>
            <w:tcW w:w="797" w:type="pct"/>
            <w:tcBorders>
              <w:top w:val="nil"/>
              <w:left w:val="nil"/>
              <w:bottom w:val="nil"/>
              <w:right w:val="nil"/>
            </w:tcBorders>
            <w:shd w:val="clear" w:color="auto" w:fill="auto"/>
            <w:noWrap/>
            <w:vAlign w:val="bottom"/>
            <w:hideMark/>
          </w:tcPr>
          <w:p w14:paraId="21CCC74B" w14:textId="13F25E97" w:rsidR="00867C2B" w:rsidRPr="00521670" w:rsidRDefault="00867C2B" w:rsidP="00867C2B">
            <w:pPr>
              <w:pStyle w:val="Tabletext"/>
              <w:jc w:val="right"/>
              <w:rPr>
                <w:lang w:val="ru-RU"/>
              </w:rPr>
            </w:pPr>
            <w:r w:rsidRPr="00521670">
              <w:rPr>
                <w:lang w:val="ru-RU"/>
              </w:rPr>
              <w:t>3,2</w:t>
            </w:r>
          </w:p>
        </w:tc>
        <w:tc>
          <w:tcPr>
            <w:tcW w:w="775" w:type="pct"/>
            <w:tcBorders>
              <w:top w:val="nil"/>
              <w:left w:val="nil"/>
              <w:bottom w:val="nil"/>
              <w:right w:val="nil"/>
            </w:tcBorders>
            <w:shd w:val="clear" w:color="auto" w:fill="auto"/>
            <w:noWrap/>
            <w:vAlign w:val="bottom"/>
            <w:hideMark/>
          </w:tcPr>
          <w:p w14:paraId="3510B8A5" w14:textId="69C6E3D9" w:rsidR="00867C2B" w:rsidRPr="00521670" w:rsidRDefault="00867C2B" w:rsidP="00867C2B">
            <w:pPr>
              <w:pStyle w:val="Tabletext"/>
              <w:jc w:val="right"/>
              <w:rPr>
                <w:lang w:val="ru-RU"/>
              </w:rPr>
            </w:pPr>
            <w:r w:rsidRPr="00521670">
              <w:rPr>
                <w:lang w:val="ru-RU"/>
              </w:rPr>
              <w:t>3,2</w:t>
            </w:r>
          </w:p>
        </w:tc>
      </w:tr>
      <w:tr w:rsidR="00867C2B" w:rsidRPr="00521670" w14:paraId="18FA9C31" w14:textId="77777777" w:rsidTr="001B756A">
        <w:trPr>
          <w:trHeight w:val="252"/>
          <w:jc w:val="center"/>
        </w:trPr>
        <w:tc>
          <w:tcPr>
            <w:tcW w:w="3428" w:type="pct"/>
            <w:tcBorders>
              <w:top w:val="nil"/>
              <w:left w:val="nil"/>
              <w:bottom w:val="nil"/>
              <w:right w:val="nil"/>
            </w:tcBorders>
            <w:shd w:val="clear" w:color="auto" w:fill="auto"/>
            <w:hideMark/>
          </w:tcPr>
          <w:p w14:paraId="428AB591" w14:textId="2B6E0ABB" w:rsidR="00867C2B" w:rsidRPr="00521670" w:rsidRDefault="00867C2B" w:rsidP="00867C2B">
            <w:pPr>
              <w:pStyle w:val="Tabletext"/>
              <w:rPr>
                <w:lang w:val="ru-RU"/>
              </w:rPr>
            </w:pPr>
            <w:r w:rsidRPr="00521670">
              <w:rPr>
                <w:lang w:val="ru-RU"/>
              </w:rPr>
              <w:t>Амортизация и потеря стоимости</w:t>
            </w:r>
          </w:p>
        </w:tc>
        <w:tc>
          <w:tcPr>
            <w:tcW w:w="797" w:type="pct"/>
            <w:tcBorders>
              <w:top w:val="nil"/>
              <w:left w:val="nil"/>
              <w:bottom w:val="nil"/>
              <w:right w:val="nil"/>
            </w:tcBorders>
            <w:shd w:val="clear" w:color="auto" w:fill="auto"/>
            <w:noWrap/>
            <w:vAlign w:val="bottom"/>
            <w:hideMark/>
          </w:tcPr>
          <w:p w14:paraId="5E64463A" w14:textId="5423880B" w:rsidR="00867C2B" w:rsidRPr="00521670" w:rsidRDefault="00867C2B" w:rsidP="00867C2B">
            <w:pPr>
              <w:pStyle w:val="Tabletext"/>
              <w:jc w:val="right"/>
              <w:rPr>
                <w:lang w:val="ru-RU"/>
              </w:rPr>
            </w:pPr>
            <w:r w:rsidRPr="00521670">
              <w:rPr>
                <w:lang w:val="ru-RU"/>
              </w:rPr>
              <w:t>26,3</w:t>
            </w:r>
          </w:p>
        </w:tc>
        <w:tc>
          <w:tcPr>
            <w:tcW w:w="775" w:type="pct"/>
            <w:tcBorders>
              <w:top w:val="nil"/>
              <w:left w:val="nil"/>
              <w:bottom w:val="nil"/>
              <w:right w:val="nil"/>
            </w:tcBorders>
            <w:shd w:val="clear" w:color="auto" w:fill="auto"/>
            <w:noWrap/>
            <w:vAlign w:val="bottom"/>
            <w:hideMark/>
          </w:tcPr>
          <w:p w14:paraId="071DC3D3" w14:textId="7226E8E2" w:rsidR="00867C2B" w:rsidRPr="00521670" w:rsidRDefault="00867C2B" w:rsidP="00867C2B">
            <w:pPr>
              <w:pStyle w:val="Tabletext"/>
              <w:jc w:val="right"/>
              <w:rPr>
                <w:lang w:val="ru-RU"/>
              </w:rPr>
            </w:pPr>
            <w:r w:rsidRPr="00521670">
              <w:rPr>
                <w:lang w:val="ru-RU"/>
              </w:rPr>
              <w:t>5,7</w:t>
            </w:r>
          </w:p>
        </w:tc>
      </w:tr>
      <w:tr w:rsidR="00867C2B" w:rsidRPr="00521670" w14:paraId="366BBCBA" w14:textId="77777777" w:rsidTr="001B756A">
        <w:trPr>
          <w:trHeight w:val="252"/>
          <w:jc w:val="center"/>
        </w:trPr>
        <w:tc>
          <w:tcPr>
            <w:tcW w:w="3428" w:type="pct"/>
            <w:tcBorders>
              <w:top w:val="nil"/>
              <w:left w:val="nil"/>
              <w:bottom w:val="nil"/>
              <w:right w:val="nil"/>
            </w:tcBorders>
            <w:shd w:val="clear" w:color="auto" w:fill="auto"/>
            <w:hideMark/>
          </w:tcPr>
          <w:p w14:paraId="6146BF4B" w14:textId="15ED56F3" w:rsidR="00867C2B" w:rsidRPr="00521670" w:rsidRDefault="00D8685E" w:rsidP="00867C2B">
            <w:pPr>
              <w:pStyle w:val="Tabletext"/>
              <w:rPr>
                <w:lang w:val="ru-RU"/>
              </w:rPr>
            </w:pPr>
            <w:r w:rsidRPr="00521670">
              <w:rPr>
                <w:lang w:val="ru-RU"/>
              </w:rPr>
              <w:t>Движение под обесценение/резервный фонд</w:t>
            </w:r>
          </w:p>
        </w:tc>
        <w:tc>
          <w:tcPr>
            <w:tcW w:w="797" w:type="pct"/>
            <w:tcBorders>
              <w:top w:val="nil"/>
              <w:left w:val="nil"/>
              <w:bottom w:val="nil"/>
              <w:right w:val="nil"/>
            </w:tcBorders>
            <w:shd w:val="clear" w:color="auto" w:fill="auto"/>
            <w:noWrap/>
            <w:vAlign w:val="bottom"/>
            <w:hideMark/>
          </w:tcPr>
          <w:p w14:paraId="722582A0" w14:textId="59C10C9A" w:rsidR="00867C2B" w:rsidRPr="00521670" w:rsidRDefault="00867C2B" w:rsidP="00867C2B">
            <w:pPr>
              <w:pStyle w:val="Tabletext"/>
              <w:jc w:val="right"/>
              <w:rPr>
                <w:lang w:val="ru-RU"/>
              </w:rPr>
            </w:pPr>
            <w:r w:rsidRPr="00521670">
              <w:rPr>
                <w:lang w:val="ru-RU"/>
              </w:rPr>
              <w:t>11,4</w:t>
            </w:r>
          </w:p>
        </w:tc>
        <w:tc>
          <w:tcPr>
            <w:tcW w:w="775" w:type="pct"/>
            <w:tcBorders>
              <w:top w:val="nil"/>
              <w:left w:val="nil"/>
              <w:bottom w:val="nil"/>
              <w:right w:val="nil"/>
            </w:tcBorders>
            <w:shd w:val="clear" w:color="auto" w:fill="auto"/>
            <w:noWrap/>
            <w:vAlign w:val="bottom"/>
            <w:hideMark/>
          </w:tcPr>
          <w:p w14:paraId="4028CDAF" w14:textId="1ECF5D39" w:rsidR="00867C2B" w:rsidRPr="00521670" w:rsidRDefault="00867C2B" w:rsidP="00867C2B">
            <w:pPr>
              <w:pStyle w:val="Tabletext"/>
              <w:jc w:val="right"/>
              <w:rPr>
                <w:lang w:val="ru-RU"/>
              </w:rPr>
            </w:pPr>
            <w:r w:rsidRPr="00521670">
              <w:rPr>
                <w:lang w:val="ru-RU"/>
              </w:rPr>
              <w:t>0,0</w:t>
            </w:r>
          </w:p>
        </w:tc>
      </w:tr>
      <w:tr w:rsidR="00867C2B" w:rsidRPr="00521670" w14:paraId="35392578" w14:textId="77777777" w:rsidTr="001B756A">
        <w:trPr>
          <w:trHeight w:val="252"/>
          <w:jc w:val="center"/>
        </w:trPr>
        <w:tc>
          <w:tcPr>
            <w:tcW w:w="3428" w:type="pct"/>
            <w:tcBorders>
              <w:top w:val="nil"/>
              <w:left w:val="nil"/>
              <w:bottom w:val="nil"/>
              <w:right w:val="nil"/>
            </w:tcBorders>
            <w:shd w:val="clear" w:color="auto" w:fill="auto"/>
            <w:hideMark/>
          </w:tcPr>
          <w:p w14:paraId="5E33EEC8" w14:textId="50C57480" w:rsidR="00867C2B" w:rsidRPr="00521670" w:rsidRDefault="00D8685E" w:rsidP="00867C2B">
            <w:pPr>
              <w:pStyle w:val="Tabletext"/>
              <w:rPr>
                <w:lang w:val="ru-RU"/>
              </w:rPr>
            </w:pPr>
            <w:r w:rsidRPr="00521670">
              <w:rPr>
                <w:lang w:val="ru-RU"/>
              </w:rPr>
              <w:t>Расходы по перевозке, электросвязи и услугам</w:t>
            </w:r>
          </w:p>
        </w:tc>
        <w:tc>
          <w:tcPr>
            <w:tcW w:w="797" w:type="pct"/>
            <w:tcBorders>
              <w:top w:val="nil"/>
              <w:left w:val="nil"/>
              <w:bottom w:val="nil"/>
              <w:right w:val="nil"/>
            </w:tcBorders>
            <w:shd w:val="clear" w:color="auto" w:fill="auto"/>
            <w:noWrap/>
            <w:vAlign w:val="bottom"/>
            <w:hideMark/>
          </w:tcPr>
          <w:p w14:paraId="095C45E0" w14:textId="5E0D5C5D" w:rsidR="00867C2B" w:rsidRPr="00521670" w:rsidRDefault="00867C2B" w:rsidP="00867C2B">
            <w:pPr>
              <w:pStyle w:val="Tabletext"/>
              <w:jc w:val="right"/>
              <w:rPr>
                <w:lang w:val="ru-RU"/>
              </w:rPr>
            </w:pPr>
            <w:r w:rsidRPr="00521670">
              <w:rPr>
                <w:lang w:val="ru-RU"/>
              </w:rPr>
              <w:t>2,1</w:t>
            </w:r>
          </w:p>
        </w:tc>
        <w:tc>
          <w:tcPr>
            <w:tcW w:w="775" w:type="pct"/>
            <w:tcBorders>
              <w:top w:val="nil"/>
              <w:left w:val="nil"/>
              <w:bottom w:val="nil"/>
              <w:right w:val="nil"/>
            </w:tcBorders>
            <w:shd w:val="clear" w:color="auto" w:fill="auto"/>
            <w:noWrap/>
            <w:vAlign w:val="bottom"/>
            <w:hideMark/>
          </w:tcPr>
          <w:p w14:paraId="4EEFC16A" w14:textId="2EE3ED17" w:rsidR="00867C2B" w:rsidRPr="00521670" w:rsidRDefault="00867C2B" w:rsidP="00867C2B">
            <w:pPr>
              <w:pStyle w:val="Tabletext"/>
              <w:jc w:val="right"/>
              <w:rPr>
                <w:lang w:val="ru-RU"/>
              </w:rPr>
            </w:pPr>
            <w:r w:rsidRPr="00521670">
              <w:rPr>
                <w:lang w:val="ru-RU"/>
              </w:rPr>
              <w:t>2,7</w:t>
            </w:r>
          </w:p>
        </w:tc>
      </w:tr>
      <w:tr w:rsidR="00867C2B" w:rsidRPr="00521670" w14:paraId="4B4EC8EF" w14:textId="77777777" w:rsidTr="001B756A">
        <w:trPr>
          <w:trHeight w:val="252"/>
          <w:jc w:val="center"/>
        </w:trPr>
        <w:tc>
          <w:tcPr>
            <w:tcW w:w="3428" w:type="pct"/>
            <w:tcBorders>
              <w:top w:val="nil"/>
              <w:left w:val="nil"/>
              <w:bottom w:val="nil"/>
              <w:right w:val="nil"/>
            </w:tcBorders>
            <w:shd w:val="clear" w:color="auto" w:fill="auto"/>
            <w:hideMark/>
          </w:tcPr>
          <w:p w14:paraId="6C5F30DA" w14:textId="1D36DFB9" w:rsidR="00867C2B" w:rsidRPr="00521670" w:rsidRDefault="00D8685E" w:rsidP="00867C2B">
            <w:pPr>
              <w:pStyle w:val="Tabletext"/>
              <w:rPr>
                <w:lang w:val="ru-RU"/>
              </w:rPr>
            </w:pPr>
            <w:r w:rsidRPr="00521670">
              <w:rPr>
                <w:lang w:val="ru-RU"/>
              </w:rPr>
              <w:t>Прочие расходы</w:t>
            </w:r>
          </w:p>
        </w:tc>
        <w:tc>
          <w:tcPr>
            <w:tcW w:w="797" w:type="pct"/>
            <w:tcBorders>
              <w:top w:val="nil"/>
              <w:left w:val="nil"/>
              <w:bottom w:val="nil"/>
              <w:right w:val="nil"/>
            </w:tcBorders>
            <w:shd w:val="clear" w:color="auto" w:fill="auto"/>
            <w:noWrap/>
            <w:vAlign w:val="bottom"/>
            <w:hideMark/>
          </w:tcPr>
          <w:p w14:paraId="1AE2073F" w14:textId="1596C9DB" w:rsidR="00867C2B" w:rsidRPr="00521670" w:rsidRDefault="00867C2B" w:rsidP="00867C2B">
            <w:pPr>
              <w:pStyle w:val="Tabletext"/>
              <w:jc w:val="right"/>
              <w:rPr>
                <w:lang w:val="ru-RU"/>
              </w:rPr>
            </w:pPr>
            <w:r w:rsidRPr="00521670">
              <w:rPr>
                <w:lang w:val="ru-RU"/>
              </w:rPr>
              <w:t>3,7</w:t>
            </w:r>
          </w:p>
        </w:tc>
        <w:tc>
          <w:tcPr>
            <w:tcW w:w="775" w:type="pct"/>
            <w:tcBorders>
              <w:top w:val="nil"/>
              <w:left w:val="nil"/>
              <w:bottom w:val="nil"/>
              <w:right w:val="nil"/>
            </w:tcBorders>
            <w:shd w:val="clear" w:color="auto" w:fill="auto"/>
            <w:noWrap/>
            <w:vAlign w:val="bottom"/>
            <w:hideMark/>
          </w:tcPr>
          <w:p w14:paraId="6EB8D91C" w14:textId="26A7FCB7" w:rsidR="00867C2B" w:rsidRPr="00521670" w:rsidRDefault="00867C2B" w:rsidP="00867C2B">
            <w:pPr>
              <w:pStyle w:val="Tabletext"/>
              <w:jc w:val="right"/>
              <w:rPr>
                <w:lang w:val="ru-RU"/>
              </w:rPr>
            </w:pPr>
            <w:r w:rsidRPr="00521670">
              <w:rPr>
                <w:lang w:val="ru-RU"/>
              </w:rPr>
              <w:t>1,8</w:t>
            </w:r>
          </w:p>
        </w:tc>
      </w:tr>
      <w:tr w:rsidR="00867C2B" w:rsidRPr="00521670" w14:paraId="59E985F8" w14:textId="77777777" w:rsidTr="001B756A">
        <w:trPr>
          <w:trHeight w:val="150"/>
          <w:jc w:val="center"/>
        </w:trPr>
        <w:tc>
          <w:tcPr>
            <w:tcW w:w="5000" w:type="pct"/>
            <w:gridSpan w:val="3"/>
            <w:tcBorders>
              <w:top w:val="nil"/>
              <w:left w:val="nil"/>
              <w:bottom w:val="nil"/>
              <w:right w:val="nil"/>
            </w:tcBorders>
            <w:shd w:val="clear" w:color="auto" w:fill="auto"/>
            <w:noWrap/>
            <w:vAlign w:val="bottom"/>
            <w:hideMark/>
          </w:tcPr>
          <w:p w14:paraId="11C14EFD" w14:textId="77777777" w:rsidR="00867C2B" w:rsidRPr="00521670" w:rsidRDefault="00867C2B" w:rsidP="00867C2B">
            <w:pPr>
              <w:pStyle w:val="Tabletext"/>
              <w:rPr>
                <w:lang w:val="ru-RU"/>
              </w:rPr>
            </w:pPr>
          </w:p>
        </w:tc>
      </w:tr>
      <w:tr w:rsidR="00867C2B" w:rsidRPr="00521670" w14:paraId="4AF70352" w14:textId="77777777" w:rsidTr="001B756A">
        <w:trPr>
          <w:trHeight w:val="420"/>
          <w:jc w:val="center"/>
        </w:trPr>
        <w:tc>
          <w:tcPr>
            <w:tcW w:w="3428" w:type="pct"/>
            <w:tcBorders>
              <w:top w:val="nil"/>
              <w:left w:val="nil"/>
              <w:bottom w:val="nil"/>
              <w:right w:val="nil"/>
            </w:tcBorders>
            <w:shd w:val="clear" w:color="000000" w:fill="538DD5"/>
            <w:noWrap/>
            <w:vAlign w:val="center"/>
            <w:hideMark/>
          </w:tcPr>
          <w:p w14:paraId="6EC57347" w14:textId="72D0296E" w:rsidR="00867C2B" w:rsidRPr="00521670" w:rsidRDefault="00867C2B" w:rsidP="00867C2B">
            <w:pPr>
              <w:pStyle w:val="Tabletext"/>
              <w:rPr>
                <w:b/>
                <w:bCs/>
                <w:lang w:val="ru-RU"/>
              </w:rPr>
            </w:pPr>
            <w:r w:rsidRPr="00521670">
              <w:rPr>
                <w:b/>
                <w:bCs/>
                <w:lang w:val="ru-RU"/>
              </w:rPr>
              <w:t>Всего: расходы</w:t>
            </w:r>
          </w:p>
        </w:tc>
        <w:tc>
          <w:tcPr>
            <w:tcW w:w="797" w:type="pct"/>
            <w:tcBorders>
              <w:top w:val="nil"/>
              <w:left w:val="nil"/>
              <w:bottom w:val="nil"/>
              <w:right w:val="nil"/>
            </w:tcBorders>
            <w:shd w:val="clear" w:color="000000" w:fill="538DD5"/>
            <w:noWrap/>
            <w:vAlign w:val="center"/>
            <w:hideMark/>
          </w:tcPr>
          <w:p w14:paraId="27E4521F" w14:textId="3D28F990" w:rsidR="00867C2B" w:rsidRPr="00521670" w:rsidRDefault="00867C2B" w:rsidP="00867C2B">
            <w:pPr>
              <w:pStyle w:val="Tabletext"/>
              <w:jc w:val="right"/>
              <w:rPr>
                <w:b/>
                <w:bCs/>
                <w:lang w:val="ru-RU"/>
              </w:rPr>
            </w:pPr>
            <w:r w:rsidRPr="00521670">
              <w:rPr>
                <w:b/>
                <w:bCs/>
                <w:lang w:val="ru-RU"/>
              </w:rPr>
              <w:t>222,0</w:t>
            </w:r>
          </w:p>
        </w:tc>
        <w:tc>
          <w:tcPr>
            <w:tcW w:w="775" w:type="pct"/>
            <w:tcBorders>
              <w:top w:val="nil"/>
              <w:left w:val="nil"/>
              <w:bottom w:val="nil"/>
              <w:right w:val="nil"/>
            </w:tcBorders>
            <w:shd w:val="clear" w:color="000000" w:fill="538DD5"/>
            <w:noWrap/>
            <w:vAlign w:val="center"/>
            <w:hideMark/>
          </w:tcPr>
          <w:p w14:paraId="171D5E43" w14:textId="5356004A" w:rsidR="00867C2B" w:rsidRPr="00521670" w:rsidRDefault="00867C2B" w:rsidP="00867C2B">
            <w:pPr>
              <w:pStyle w:val="Tabletext"/>
              <w:jc w:val="right"/>
              <w:rPr>
                <w:b/>
                <w:bCs/>
                <w:lang w:val="ru-RU"/>
              </w:rPr>
            </w:pPr>
            <w:r w:rsidRPr="00521670">
              <w:rPr>
                <w:b/>
                <w:bCs/>
                <w:lang w:val="ru-RU"/>
              </w:rPr>
              <w:t>197,2</w:t>
            </w:r>
          </w:p>
        </w:tc>
      </w:tr>
    </w:tbl>
    <w:p w14:paraId="3C87843D" w14:textId="5D91EC30" w:rsidR="004111CD" w:rsidRPr="00521670" w:rsidRDefault="004111CD" w:rsidP="008460FD">
      <w:pPr>
        <w:rPr>
          <w:lang w:val="ru-RU"/>
        </w:rPr>
      </w:pPr>
      <w:r w:rsidRPr="00521670">
        <w:rPr>
          <w:lang w:val="ru-RU"/>
        </w:rPr>
        <w:t>17</w:t>
      </w:r>
      <w:r w:rsidRPr="00521670">
        <w:rPr>
          <w:lang w:val="ru-RU"/>
        </w:rPr>
        <w:tab/>
      </w:r>
      <w:r w:rsidR="00D8685E" w:rsidRPr="00521670">
        <w:rPr>
          <w:lang w:val="ru-RU"/>
        </w:rPr>
        <w:t xml:space="preserve">На Рисунке 3 о сравнении расходов в 2024 году показана разбивка расходов по типам, отражающая высокий уровень расходов по персоналу МСЭ, которые составили 64,2 процента всех расходов. Однако этот показатель снизился на 6 процентов по сравнению с 2023 годом за счет </w:t>
      </w:r>
      <w:r w:rsidR="009F274D" w:rsidRPr="00521670">
        <w:rPr>
          <w:lang w:val="ru-RU"/>
        </w:rPr>
        <w:t xml:space="preserve">уменьшения чистых выплат по АСХИ на 3,8 млн. швейцарских франков, а также в результате применения программы добровольного </w:t>
      </w:r>
      <w:r w:rsidR="00DA3607" w:rsidRPr="00521670">
        <w:rPr>
          <w:lang w:val="ru-RU"/>
        </w:rPr>
        <w:t>прекращения службы</w:t>
      </w:r>
      <w:r w:rsidR="009F274D" w:rsidRPr="00521670">
        <w:rPr>
          <w:lang w:val="ru-RU"/>
        </w:rPr>
        <w:t xml:space="preserve"> (3 млн. швейцарских франков в 2023 году), которая привела к сокращению численности сотрудников в эквивалентах полной занятости в 2024 году по сравнению с 2023 годом. Следующая по величине категория расходов – контрактные услуги, которые составляют 9,3 процента, что сопоставимо с </w:t>
      </w:r>
      <w:r w:rsidR="009F274D" w:rsidRPr="00521670">
        <w:rPr>
          <w:lang w:val="ru-RU"/>
        </w:rPr>
        <w:lastRenderedPageBreak/>
        <w:t>2023</w:t>
      </w:r>
      <w:r w:rsidR="00B43699" w:rsidRPr="00521670">
        <w:rPr>
          <w:lang w:val="ru-RU"/>
        </w:rPr>
        <w:t> </w:t>
      </w:r>
      <w:r w:rsidR="009F274D" w:rsidRPr="00521670">
        <w:rPr>
          <w:lang w:val="ru-RU"/>
        </w:rPr>
        <w:t xml:space="preserve">годом. Прочие расходы увеличились в 2024 году в связи с увеличением резервного фонда для сомнительных долговых обязательств, а также </w:t>
      </w:r>
      <w:r w:rsidR="00186CF3" w:rsidRPr="00521670">
        <w:rPr>
          <w:lang w:val="ru-RU"/>
        </w:rPr>
        <w:t>на случай прекращения</w:t>
      </w:r>
      <w:r w:rsidR="009F274D" w:rsidRPr="00521670">
        <w:rPr>
          <w:lang w:val="ru-RU"/>
        </w:rPr>
        <w:t xml:space="preserve"> действия соглашения о спонсорской поддержке </w:t>
      </w:r>
      <w:r w:rsidR="00186CF3" w:rsidRPr="00521670">
        <w:rPr>
          <w:lang w:val="ru-RU"/>
        </w:rPr>
        <w:t xml:space="preserve">строительства </w:t>
      </w:r>
      <w:r w:rsidR="009F274D" w:rsidRPr="00521670">
        <w:rPr>
          <w:lang w:val="ru-RU"/>
        </w:rPr>
        <w:t>нового здания.</w:t>
      </w:r>
    </w:p>
    <w:p w14:paraId="5AC8CDF0" w14:textId="4AADA87F" w:rsidR="00FB73C5" w:rsidRPr="00521670" w:rsidRDefault="00FB73C5" w:rsidP="008460FD">
      <w:pPr>
        <w:pStyle w:val="Tabletitle"/>
        <w:spacing w:before="360"/>
        <w:rPr>
          <w:lang w:val="ru-RU"/>
        </w:rPr>
      </w:pPr>
      <w:bookmarkStart w:id="43" w:name="lt_pId056"/>
      <w:r w:rsidRPr="00521670">
        <w:rPr>
          <w:lang w:val="ru-RU"/>
        </w:rPr>
        <w:t>Рисунок 3 –</w:t>
      </w:r>
      <w:r w:rsidR="004E19F3" w:rsidRPr="00521670">
        <w:rPr>
          <w:lang w:val="ru-RU"/>
        </w:rPr>
        <w:t>С</w:t>
      </w:r>
      <w:r w:rsidRPr="00521670">
        <w:rPr>
          <w:lang w:val="ru-RU"/>
        </w:rPr>
        <w:t>труктур</w:t>
      </w:r>
      <w:r w:rsidR="004E19F3" w:rsidRPr="00521670">
        <w:rPr>
          <w:lang w:val="ru-RU"/>
        </w:rPr>
        <w:t xml:space="preserve">а </w:t>
      </w:r>
      <w:r w:rsidRPr="00521670">
        <w:rPr>
          <w:lang w:val="ru-RU"/>
        </w:rPr>
        <w:t>расходов в 202</w:t>
      </w:r>
      <w:r w:rsidR="00661EC9" w:rsidRPr="00521670">
        <w:rPr>
          <w:lang w:val="ru-RU"/>
        </w:rPr>
        <w:t>4</w:t>
      </w:r>
      <w:r w:rsidRPr="00521670">
        <w:rPr>
          <w:lang w:val="ru-RU"/>
        </w:rPr>
        <w:t xml:space="preserve"> году (</w:t>
      </w:r>
      <w:r w:rsidR="00661EC9" w:rsidRPr="00521670">
        <w:rPr>
          <w:lang w:val="ru-RU"/>
        </w:rPr>
        <w:t>222</w:t>
      </w:r>
      <w:r w:rsidRPr="00521670">
        <w:rPr>
          <w:lang w:val="ru-RU"/>
        </w:rPr>
        <w:t>,</w:t>
      </w:r>
      <w:r w:rsidR="00661EC9" w:rsidRPr="00521670">
        <w:rPr>
          <w:lang w:val="ru-RU"/>
        </w:rPr>
        <w:t>0</w:t>
      </w:r>
      <w:r w:rsidRPr="00521670">
        <w:rPr>
          <w:lang w:val="ru-RU"/>
        </w:rPr>
        <w:t> млн. шв</w:t>
      </w:r>
      <w:r w:rsidR="004E19F3" w:rsidRPr="00521670">
        <w:rPr>
          <w:lang w:val="ru-RU"/>
        </w:rPr>
        <w:t>.</w:t>
      </w:r>
      <w:r w:rsidRPr="00521670">
        <w:rPr>
          <w:lang w:val="ru-RU"/>
        </w:rPr>
        <w:t xml:space="preserve"> </w:t>
      </w:r>
      <w:r w:rsidR="004E19F3" w:rsidRPr="00521670">
        <w:rPr>
          <w:lang w:val="ru-RU"/>
        </w:rPr>
        <w:t>ф</w:t>
      </w:r>
      <w:r w:rsidRPr="00521670">
        <w:rPr>
          <w:lang w:val="ru-RU"/>
        </w:rPr>
        <w:t>р</w:t>
      </w:r>
      <w:r w:rsidR="004E19F3" w:rsidRPr="00521670">
        <w:rPr>
          <w:lang w:val="ru-RU"/>
        </w:rPr>
        <w:t>.</w:t>
      </w:r>
      <w:r w:rsidRPr="00521670">
        <w:rPr>
          <w:lang w:val="ru-RU"/>
        </w:rPr>
        <w:t>)</w:t>
      </w:r>
      <w:bookmarkEnd w:id="43"/>
    </w:p>
    <w:p w14:paraId="436F3E36" w14:textId="199981E6" w:rsidR="00CD140E" w:rsidRPr="00521670" w:rsidRDefault="003D5F38" w:rsidP="006A6B9A">
      <w:pPr>
        <w:pStyle w:val="Figure"/>
        <w:rPr>
          <w:lang w:val="ru-RU"/>
        </w:rPr>
      </w:pPr>
      <w:r w:rsidRPr="00521670">
        <w:rPr>
          <w:noProof/>
          <w:lang w:val="ru-RU"/>
        </w:rPr>
        <w:drawing>
          <wp:inline distT="0" distB="0" distL="0" distR="0" wp14:anchorId="33B2BFBD" wp14:editId="76DBD200">
            <wp:extent cx="621030" cy="172720"/>
            <wp:effectExtent l="0" t="0" r="0" b="0"/>
            <wp:docPr id="914226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 cy="172720"/>
                    </a:xfrm>
                    <a:prstGeom prst="rect">
                      <a:avLst/>
                    </a:prstGeom>
                    <a:noFill/>
                    <a:ln>
                      <a:noFill/>
                    </a:ln>
                  </pic:spPr>
                </pic:pic>
              </a:graphicData>
            </a:graphic>
          </wp:inline>
        </w:drawing>
      </w:r>
      <w:r w:rsidRPr="00521670">
        <w:rPr>
          <w:noProof/>
          <w:lang w:val="ru-RU"/>
        </w:rPr>
        <w:drawing>
          <wp:inline distT="0" distB="0" distL="0" distR="0" wp14:anchorId="502F19DD" wp14:editId="40F525C4">
            <wp:extent cx="6251359" cy="3234866"/>
            <wp:effectExtent l="0" t="0" r="0" b="0"/>
            <wp:docPr id="785277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6373" cy="3242635"/>
                    </a:xfrm>
                    <a:prstGeom prst="rect">
                      <a:avLst/>
                    </a:prstGeom>
                    <a:noFill/>
                  </pic:spPr>
                </pic:pic>
              </a:graphicData>
            </a:graphic>
          </wp:inline>
        </w:drawing>
      </w:r>
    </w:p>
    <w:p w14:paraId="139E3E53" w14:textId="05E6DB62" w:rsidR="004111CD" w:rsidRPr="00521670" w:rsidRDefault="004E19F3" w:rsidP="004111CD">
      <w:pPr>
        <w:pStyle w:val="Heading1"/>
        <w:rPr>
          <w:lang w:val="ru-RU"/>
        </w:rPr>
      </w:pPr>
      <w:bookmarkStart w:id="44" w:name="_Toc167956614"/>
      <w:bookmarkStart w:id="45" w:name="_Toc167956853"/>
      <w:bookmarkStart w:id="46" w:name="_Toc167957157"/>
      <w:bookmarkStart w:id="47" w:name="_Toc168578438"/>
      <w:bookmarkStart w:id="48" w:name="_Toc180681787"/>
      <w:bookmarkStart w:id="49" w:name="_Toc200469513"/>
      <w:r w:rsidRPr="00521670">
        <w:rPr>
          <w:lang w:val="ru-RU"/>
        </w:rPr>
        <w:t>Финансовое положение</w:t>
      </w:r>
      <w:bookmarkEnd w:id="44"/>
      <w:bookmarkEnd w:id="45"/>
      <w:bookmarkEnd w:id="46"/>
      <w:bookmarkEnd w:id="47"/>
      <w:bookmarkEnd w:id="48"/>
      <w:bookmarkEnd w:id="49"/>
    </w:p>
    <w:p w14:paraId="38C9A5E2" w14:textId="0EC8B84D" w:rsidR="004111CD" w:rsidRPr="00521670" w:rsidRDefault="004111CD" w:rsidP="008460FD">
      <w:pPr>
        <w:rPr>
          <w:lang w:val="ru-RU"/>
        </w:rPr>
      </w:pPr>
      <w:r w:rsidRPr="00521670">
        <w:rPr>
          <w:lang w:val="ru-RU"/>
        </w:rPr>
        <w:t>18</w:t>
      </w:r>
      <w:r w:rsidRPr="00521670">
        <w:rPr>
          <w:lang w:val="ru-RU"/>
        </w:rPr>
        <w:tab/>
      </w:r>
      <w:r w:rsidR="002B2179" w:rsidRPr="00521670">
        <w:rPr>
          <w:lang w:val="ru-RU"/>
        </w:rPr>
        <w:t xml:space="preserve">По состоянию на 31 декабря </w:t>
      </w:r>
      <w:r w:rsidR="002B2179" w:rsidRPr="00521670">
        <w:rPr>
          <w:rFonts w:asciiTheme="minorHAnsi" w:hAnsiTheme="minorHAnsi" w:cstheme="minorBidi"/>
          <w:lang w:val="ru-RU"/>
        </w:rPr>
        <w:t xml:space="preserve">2024 года </w:t>
      </w:r>
      <w:r w:rsidR="002B2179" w:rsidRPr="00521670">
        <w:rPr>
          <w:lang w:val="ru-RU"/>
        </w:rPr>
        <w:t>чистые активы организации имели отрицательное значение 318,0</w:t>
      </w:r>
      <w:r w:rsidR="002B2179" w:rsidRPr="00521670">
        <w:rPr>
          <w:rFonts w:asciiTheme="minorHAnsi" w:hAnsiTheme="minorHAnsi" w:cstheme="minorBidi"/>
          <w:lang w:val="ru-RU"/>
        </w:rPr>
        <w:t> млн. швейцарск</w:t>
      </w:r>
      <w:r w:rsidR="002B2179" w:rsidRPr="00521670">
        <w:rPr>
          <w:lang w:val="ru-RU"/>
        </w:rPr>
        <w:t>их франков</w:t>
      </w:r>
      <w:r w:rsidR="002B2179" w:rsidRPr="00521670">
        <w:rPr>
          <w:rFonts w:asciiTheme="minorHAnsi" w:hAnsiTheme="minorHAnsi" w:cstheme="minorBidi"/>
          <w:lang w:val="ru-RU"/>
        </w:rPr>
        <w:t xml:space="preserve">, </w:t>
      </w:r>
      <w:r w:rsidR="002B2179" w:rsidRPr="00521670">
        <w:rPr>
          <w:lang w:val="ru-RU"/>
        </w:rPr>
        <w:t xml:space="preserve">при этом общие активы составили </w:t>
      </w:r>
      <w:r w:rsidR="002B2179" w:rsidRPr="00521670">
        <w:rPr>
          <w:rFonts w:asciiTheme="minorHAnsi" w:hAnsiTheme="minorHAnsi" w:cstheme="minorBidi"/>
          <w:lang w:val="ru-RU"/>
        </w:rPr>
        <w:t>322,7 млн. швейцарск</w:t>
      </w:r>
      <w:r w:rsidR="002B2179" w:rsidRPr="00521670">
        <w:rPr>
          <w:lang w:val="ru-RU"/>
        </w:rPr>
        <w:t>их франков,</w:t>
      </w:r>
      <w:r w:rsidR="002B2179" w:rsidRPr="00521670">
        <w:rPr>
          <w:rFonts w:asciiTheme="minorHAnsi" w:hAnsiTheme="minorHAnsi" w:cstheme="minorBidi"/>
          <w:lang w:val="ru-RU"/>
        </w:rPr>
        <w:t xml:space="preserve"> </w:t>
      </w:r>
      <w:r w:rsidR="002B2179" w:rsidRPr="00521670">
        <w:rPr>
          <w:lang w:val="ru-RU"/>
        </w:rPr>
        <w:t xml:space="preserve">а общий размер пассивов составил </w:t>
      </w:r>
      <w:r w:rsidR="002B2179" w:rsidRPr="00521670">
        <w:rPr>
          <w:rFonts w:asciiTheme="minorHAnsi" w:hAnsiTheme="minorHAnsi" w:cstheme="minorBidi"/>
          <w:lang w:val="ru-RU"/>
        </w:rPr>
        <w:t>640,7 млн. швейцарск</w:t>
      </w:r>
      <w:r w:rsidR="002B2179" w:rsidRPr="00521670">
        <w:rPr>
          <w:lang w:val="ru-RU"/>
        </w:rPr>
        <w:t>их франков,</w:t>
      </w:r>
      <w:r w:rsidR="002B2179" w:rsidRPr="00521670">
        <w:rPr>
          <w:rFonts w:asciiTheme="minorHAnsi" w:hAnsiTheme="minorHAnsi" w:cstheme="minorBidi"/>
          <w:lang w:val="ru-RU"/>
        </w:rPr>
        <w:t xml:space="preserve"> </w:t>
      </w:r>
      <w:r w:rsidR="002B2179" w:rsidRPr="00521670">
        <w:rPr>
          <w:lang w:val="ru-RU"/>
        </w:rPr>
        <w:t xml:space="preserve">как показано в Таблице </w:t>
      </w:r>
      <w:r w:rsidR="002B2179" w:rsidRPr="00521670">
        <w:rPr>
          <w:rFonts w:asciiTheme="minorHAnsi" w:hAnsiTheme="minorHAnsi" w:cstheme="minorBidi"/>
          <w:lang w:val="ru-RU"/>
        </w:rPr>
        <w:t xml:space="preserve">3, ниже. </w:t>
      </w:r>
      <w:r w:rsidR="006C66E0" w:rsidRPr="00521670">
        <w:rPr>
          <w:lang w:val="ru-RU"/>
        </w:rPr>
        <w:t>Отрицательное значение чистых активов увеличилось на</w:t>
      </w:r>
      <w:r w:rsidR="002B2179" w:rsidRPr="00521670">
        <w:rPr>
          <w:lang w:val="ru-RU"/>
        </w:rPr>
        <w:t xml:space="preserve"> </w:t>
      </w:r>
      <w:r w:rsidR="002B2179" w:rsidRPr="00521670">
        <w:rPr>
          <w:rFonts w:asciiTheme="minorHAnsi" w:hAnsiTheme="minorHAnsi" w:cstheme="minorBidi"/>
          <w:lang w:val="ru-RU"/>
        </w:rPr>
        <w:t>60,6 млн. швейцарск</w:t>
      </w:r>
      <w:r w:rsidR="002B2179" w:rsidRPr="00521670">
        <w:rPr>
          <w:lang w:val="ru-RU"/>
        </w:rPr>
        <w:t>их франков</w:t>
      </w:r>
      <w:r w:rsidR="002B2179" w:rsidRPr="00521670">
        <w:rPr>
          <w:rFonts w:asciiTheme="minorHAnsi" w:hAnsiTheme="minorHAnsi" w:cstheme="minorBidi"/>
          <w:lang w:val="ru-RU"/>
        </w:rPr>
        <w:t xml:space="preserve"> </w:t>
      </w:r>
      <w:r w:rsidR="002B2179" w:rsidRPr="00521670">
        <w:rPr>
          <w:lang w:val="ru-RU"/>
        </w:rPr>
        <w:t xml:space="preserve">по сравнению с </w:t>
      </w:r>
      <w:r w:rsidR="002B2179" w:rsidRPr="00521670">
        <w:rPr>
          <w:rFonts w:asciiTheme="minorHAnsi" w:hAnsiTheme="minorHAnsi" w:cstheme="minorBidi"/>
          <w:lang w:val="ru-RU"/>
        </w:rPr>
        <w:t xml:space="preserve">2023 годом. Это </w:t>
      </w:r>
      <w:r w:rsidR="00F60EF3" w:rsidRPr="00521670">
        <w:rPr>
          <w:rFonts w:asciiTheme="minorHAnsi" w:hAnsiTheme="minorHAnsi" w:cstheme="minorBidi"/>
          <w:lang w:val="ru-RU"/>
        </w:rPr>
        <w:t xml:space="preserve">отрицательное движение </w:t>
      </w:r>
      <w:r w:rsidR="002B2179" w:rsidRPr="00521670">
        <w:rPr>
          <w:rFonts w:asciiTheme="minorHAnsi" w:hAnsiTheme="minorHAnsi" w:cstheme="minorBidi"/>
          <w:lang w:val="ru-RU"/>
        </w:rPr>
        <w:t xml:space="preserve">в значительной </w:t>
      </w:r>
      <w:r w:rsidR="00F60EF3" w:rsidRPr="00521670">
        <w:rPr>
          <w:rFonts w:asciiTheme="minorHAnsi" w:hAnsiTheme="minorHAnsi" w:cstheme="minorBidi"/>
          <w:lang w:val="ru-RU"/>
        </w:rPr>
        <w:t>мере</w:t>
      </w:r>
      <w:r w:rsidR="002B2179" w:rsidRPr="00521670">
        <w:rPr>
          <w:rFonts w:asciiTheme="minorHAnsi" w:hAnsiTheme="minorHAnsi" w:cstheme="minorBidi"/>
          <w:lang w:val="ru-RU"/>
        </w:rPr>
        <w:t xml:space="preserve"> обусловлено </w:t>
      </w:r>
      <w:r w:rsidR="00195ACA" w:rsidRPr="00521670">
        <w:rPr>
          <w:rFonts w:asciiTheme="minorHAnsi" w:hAnsiTheme="minorHAnsi" w:cstheme="minorBidi"/>
          <w:lang w:val="ru-RU"/>
        </w:rPr>
        <w:t>изменениями в</w:t>
      </w:r>
      <w:r w:rsidR="002B2179" w:rsidRPr="00521670">
        <w:rPr>
          <w:rFonts w:asciiTheme="minorHAnsi" w:hAnsiTheme="minorHAnsi" w:cstheme="minorBidi"/>
          <w:lang w:val="ru-RU"/>
        </w:rPr>
        <w:t xml:space="preserve"> став</w:t>
      </w:r>
      <w:r w:rsidR="00195ACA" w:rsidRPr="00521670">
        <w:rPr>
          <w:rFonts w:asciiTheme="minorHAnsi" w:hAnsiTheme="minorHAnsi" w:cstheme="minorBidi"/>
          <w:lang w:val="ru-RU"/>
        </w:rPr>
        <w:t>ах</w:t>
      </w:r>
      <w:r w:rsidR="002B2179" w:rsidRPr="00521670">
        <w:rPr>
          <w:rFonts w:asciiTheme="minorHAnsi" w:hAnsiTheme="minorHAnsi" w:cstheme="minorBidi"/>
          <w:lang w:val="ru-RU"/>
        </w:rPr>
        <w:t xml:space="preserve"> дисконтирования и допущени</w:t>
      </w:r>
      <w:r w:rsidR="00195ACA" w:rsidRPr="00521670">
        <w:rPr>
          <w:rFonts w:asciiTheme="minorHAnsi" w:hAnsiTheme="minorHAnsi" w:cstheme="minorBidi"/>
          <w:lang w:val="ru-RU"/>
        </w:rPr>
        <w:t>ях</w:t>
      </w:r>
      <w:r w:rsidR="002B2179" w:rsidRPr="00521670">
        <w:rPr>
          <w:rFonts w:asciiTheme="minorHAnsi" w:hAnsiTheme="minorHAnsi" w:cstheme="minorBidi"/>
          <w:lang w:val="ru-RU"/>
        </w:rPr>
        <w:t>, использованных для оценки АСХИ в 2024 году</w:t>
      </w:r>
      <w:r w:rsidR="00F60EF3" w:rsidRPr="00521670">
        <w:rPr>
          <w:rFonts w:asciiTheme="minorHAnsi" w:hAnsiTheme="minorHAnsi" w:cstheme="minorBidi"/>
          <w:lang w:val="ru-RU"/>
        </w:rPr>
        <w:t>,</w:t>
      </w:r>
      <w:r w:rsidR="006C66E0" w:rsidRPr="00521670">
        <w:rPr>
          <w:rFonts w:asciiTheme="minorHAnsi" w:hAnsiTheme="minorHAnsi" w:cstheme="minorBidi"/>
          <w:lang w:val="ru-RU"/>
        </w:rPr>
        <w:t xml:space="preserve"> при ставке дисконтирования 1,40%</w:t>
      </w:r>
      <w:r w:rsidR="002B2179" w:rsidRPr="00521670">
        <w:rPr>
          <w:rFonts w:asciiTheme="minorHAnsi" w:hAnsiTheme="minorHAnsi" w:cstheme="minorBidi"/>
          <w:lang w:val="ru-RU"/>
        </w:rPr>
        <w:t xml:space="preserve"> по сравнению с 2023 годом (1,90%), </w:t>
      </w:r>
      <w:r w:rsidR="006C66E0" w:rsidRPr="00521670">
        <w:rPr>
          <w:rFonts w:asciiTheme="minorHAnsi" w:hAnsiTheme="minorHAnsi" w:cstheme="minorBidi"/>
          <w:lang w:val="ru-RU"/>
        </w:rPr>
        <w:t>а также демографически</w:t>
      </w:r>
      <w:r w:rsidR="00195ACA" w:rsidRPr="00521670">
        <w:rPr>
          <w:rFonts w:asciiTheme="minorHAnsi" w:hAnsiTheme="minorHAnsi" w:cstheme="minorBidi"/>
          <w:lang w:val="ru-RU"/>
        </w:rPr>
        <w:t>х</w:t>
      </w:r>
      <w:r w:rsidR="006C66E0" w:rsidRPr="00521670">
        <w:rPr>
          <w:rFonts w:asciiTheme="minorHAnsi" w:hAnsiTheme="minorHAnsi" w:cstheme="minorBidi"/>
          <w:lang w:val="ru-RU"/>
        </w:rPr>
        <w:t xml:space="preserve"> исследовани</w:t>
      </w:r>
      <w:r w:rsidR="00195ACA" w:rsidRPr="00521670">
        <w:rPr>
          <w:rFonts w:asciiTheme="minorHAnsi" w:hAnsiTheme="minorHAnsi" w:cstheme="minorBidi"/>
          <w:lang w:val="ru-RU"/>
        </w:rPr>
        <w:t>ях</w:t>
      </w:r>
      <w:r w:rsidR="002B2179" w:rsidRPr="00521670">
        <w:rPr>
          <w:rFonts w:asciiTheme="minorHAnsi" w:hAnsiTheme="minorHAnsi" w:cstheme="minorBidi"/>
          <w:lang w:val="ru-RU"/>
        </w:rPr>
        <w:t>. Эти изменения привели к увеличению обязательств по медицинскому страхованию после выхода в отставку (АСХИ) на 40,5 млн. швейцарских франков с 375,3 млн. швейцарских франков до 415,8 млн.</w:t>
      </w:r>
      <w:r w:rsidR="003804A8" w:rsidRPr="00521670">
        <w:rPr>
          <w:rFonts w:asciiTheme="minorHAnsi" w:hAnsiTheme="minorHAnsi" w:cstheme="minorBidi"/>
          <w:lang w:val="ru-RU"/>
        </w:rPr>
        <w:t> </w:t>
      </w:r>
      <w:r w:rsidR="002B2179" w:rsidRPr="00521670">
        <w:rPr>
          <w:rFonts w:asciiTheme="minorHAnsi" w:hAnsiTheme="minorHAnsi" w:cstheme="minorBidi"/>
          <w:lang w:val="ru-RU"/>
        </w:rPr>
        <w:t>швейцарских франков.</w:t>
      </w:r>
    </w:p>
    <w:p w14:paraId="6CA9C762" w14:textId="45531081" w:rsidR="004111CD" w:rsidRPr="00521670" w:rsidRDefault="00C33692" w:rsidP="00C33692">
      <w:pPr>
        <w:pStyle w:val="Tabletitle"/>
        <w:spacing w:before="360"/>
        <w:rPr>
          <w:lang w:val="ru-RU"/>
        </w:rPr>
      </w:pPr>
      <w:bookmarkStart w:id="50" w:name="lt_pId064"/>
      <w:r w:rsidRPr="00521670">
        <w:rPr>
          <w:lang w:val="ru-RU"/>
        </w:rPr>
        <w:t>Таблица 3 – Сводные данные об активах, пассивах</w:t>
      </w:r>
      <w:r w:rsidR="004E19F3" w:rsidRPr="00521670">
        <w:rPr>
          <w:lang w:val="ru-RU"/>
        </w:rPr>
        <w:t xml:space="preserve"> и</w:t>
      </w:r>
      <w:r w:rsidRPr="00521670">
        <w:rPr>
          <w:lang w:val="ru-RU"/>
        </w:rPr>
        <w:t xml:space="preserve"> чистых активах</w:t>
      </w:r>
      <w:bookmarkEnd w:id="50"/>
    </w:p>
    <w:tbl>
      <w:tblPr>
        <w:tblW w:w="5000" w:type="pct"/>
        <w:jc w:val="center"/>
        <w:tblLook w:val="04A0" w:firstRow="1" w:lastRow="0" w:firstColumn="1" w:lastColumn="0" w:noHBand="0" w:noVBand="1"/>
      </w:tblPr>
      <w:tblGrid>
        <w:gridCol w:w="4673"/>
        <w:gridCol w:w="1693"/>
        <w:gridCol w:w="1622"/>
        <w:gridCol w:w="1083"/>
      </w:tblGrid>
      <w:tr w:rsidR="00C33692" w:rsidRPr="00521670" w14:paraId="1C519DDD" w14:textId="77777777" w:rsidTr="00461C1B">
        <w:trPr>
          <w:trHeight w:val="184"/>
          <w:jc w:val="center"/>
        </w:trPr>
        <w:tc>
          <w:tcPr>
            <w:tcW w:w="2576" w:type="pct"/>
            <w:tcBorders>
              <w:top w:val="nil"/>
              <w:left w:val="nil"/>
              <w:bottom w:val="nil"/>
              <w:right w:val="nil"/>
            </w:tcBorders>
            <w:shd w:val="clear" w:color="000000" w:fill="538DD5"/>
            <w:noWrap/>
            <w:vAlign w:val="center"/>
            <w:hideMark/>
          </w:tcPr>
          <w:p w14:paraId="2A534986" w14:textId="21ACDCA7" w:rsidR="00C33692" w:rsidRPr="00521670" w:rsidRDefault="00C33692" w:rsidP="00BA023A">
            <w:pPr>
              <w:pStyle w:val="Tablehead"/>
              <w:jc w:val="left"/>
              <w:rPr>
                <w:lang w:val="ru-RU" w:eastAsia="en-GB"/>
              </w:rPr>
            </w:pPr>
            <w:r w:rsidRPr="00521670">
              <w:rPr>
                <w:lang w:val="ru-RU" w:eastAsia="en-GB"/>
              </w:rPr>
              <w:t xml:space="preserve">В </w:t>
            </w:r>
            <w:r w:rsidR="004E19F3" w:rsidRPr="00521670">
              <w:rPr>
                <w:lang w:val="ru-RU" w:eastAsia="en-GB"/>
              </w:rPr>
              <w:t>млн</w:t>
            </w:r>
            <w:r w:rsidRPr="00521670">
              <w:rPr>
                <w:lang w:val="ru-RU" w:eastAsia="en-GB"/>
              </w:rPr>
              <w:t>. шв. фр.</w:t>
            </w:r>
          </w:p>
        </w:tc>
        <w:tc>
          <w:tcPr>
            <w:tcW w:w="933" w:type="pct"/>
            <w:tcBorders>
              <w:top w:val="nil"/>
              <w:left w:val="nil"/>
              <w:bottom w:val="nil"/>
              <w:right w:val="nil"/>
            </w:tcBorders>
            <w:shd w:val="clear" w:color="000000" w:fill="538DD5"/>
            <w:noWrap/>
            <w:vAlign w:val="center"/>
            <w:hideMark/>
          </w:tcPr>
          <w:p w14:paraId="583864FB" w14:textId="123C1C44" w:rsidR="00C33692" w:rsidRPr="00521670" w:rsidRDefault="00C33692" w:rsidP="00BA023A">
            <w:pPr>
              <w:pStyle w:val="Tablehead"/>
              <w:jc w:val="right"/>
              <w:rPr>
                <w:lang w:val="ru-RU" w:eastAsia="en-GB"/>
              </w:rPr>
            </w:pPr>
            <w:r w:rsidRPr="00521670">
              <w:rPr>
                <w:lang w:val="ru-RU" w:eastAsia="en-GB"/>
              </w:rPr>
              <w:t>2024 г.</w:t>
            </w:r>
          </w:p>
        </w:tc>
        <w:tc>
          <w:tcPr>
            <w:tcW w:w="894" w:type="pct"/>
            <w:tcBorders>
              <w:top w:val="nil"/>
              <w:left w:val="nil"/>
              <w:bottom w:val="nil"/>
              <w:right w:val="nil"/>
            </w:tcBorders>
            <w:shd w:val="clear" w:color="000000" w:fill="538DD5"/>
            <w:vAlign w:val="center"/>
            <w:hideMark/>
          </w:tcPr>
          <w:p w14:paraId="0686E015" w14:textId="53D7BD3F" w:rsidR="00C33692" w:rsidRPr="00521670" w:rsidRDefault="00C33692" w:rsidP="00BA023A">
            <w:pPr>
              <w:pStyle w:val="Tablehead"/>
              <w:jc w:val="right"/>
              <w:rPr>
                <w:lang w:val="ru-RU" w:eastAsia="en-GB"/>
              </w:rPr>
            </w:pPr>
            <w:r w:rsidRPr="00521670">
              <w:rPr>
                <w:lang w:val="ru-RU" w:eastAsia="en-GB"/>
              </w:rPr>
              <w:t>2023 г.</w:t>
            </w:r>
          </w:p>
        </w:tc>
        <w:tc>
          <w:tcPr>
            <w:tcW w:w="597" w:type="pct"/>
            <w:tcBorders>
              <w:top w:val="nil"/>
              <w:left w:val="nil"/>
              <w:bottom w:val="nil"/>
              <w:right w:val="nil"/>
            </w:tcBorders>
            <w:shd w:val="clear" w:color="000000" w:fill="538DD5"/>
            <w:noWrap/>
            <w:vAlign w:val="center"/>
            <w:hideMark/>
          </w:tcPr>
          <w:p w14:paraId="7F4F3282" w14:textId="6671E3E6" w:rsidR="00C33692" w:rsidRPr="00521670" w:rsidRDefault="00C33692" w:rsidP="00BA023A">
            <w:pPr>
              <w:pStyle w:val="Tablehead"/>
              <w:jc w:val="right"/>
              <w:rPr>
                <w:lang w:val="ru-RU" w:eastAsia="en-GB"/>
              </w:rPr>
            </w:pPr>
            <w:r w:rsidRPr="00521670">
              <w:rPr>
                <w:lang w:val="ru-RU" w:eastAsia="en-GB"/>
              </w:rPr>
              <w:t>Разница</w:t>
            </w:r>
          </w:p>
        </w:tc>
      </w:tr>
      <w:tr w:rsidR="00C33692" w:rsidRPr="00521670" w14:paraId="206942A3" w14:textId="77777777" w:rsidTr="00461C1B">
        <w:trPr>
          <w:trHeight w:val="202"/>
          <w:jc w:val="center"/>
        </w:trPr>
        <w:tc>
          <w:tcPr>
            <w:tcW w:w="5000" w:type="pct"/>
            <w:gridSpan w:val="4"/>
            <w:tcBorders>
              <w:top w:val="nil"/>
              <w:left w:val="nil"/>
              <w:bottom w:val="nil"/>
              <w:right w:val="nil"/>
            </w:tcBorders>
            <w:shd w:val="clear" w:color="auto" w:fill="auto"/>
            <w:noWrap/>
            <w:vAlign w:val="center"/>
            <w:hideMark/>
          </w:tcPr>
          <w:p w14:paraId="698EA553" w14:textId="77777777" w:rsidR="00C33692" w:rsidRPr="00521670" w:rsidRDefault="00C33692" w:rsidP="00C33692">
            <w:pPr>
              <w:pStyle w:val="Tabletext"/>
              <w:rPr>
                <w:rFonts w:ascii="Times New Roman" w:hAnsi="Times New Roman"/>
                <w:lang w:val="ru-RU" w:eastAsia="en-GB"/>
              </w:rPr>
            </w:pPr>
          </w:p>
        </w:tc>
      </w:tr>
      <w:tr w:rsidR="00C33692" w:rsidRPr="00521670" w14:paraId="17348ED3" w14:textId="77777777" w:rsidTr="00461C1B">
        <w:trPr>
          <w:trHeight w:val="157"/>
          <w:jc w:val="center"/>
        </w:trPr>
        <w:tc>
          <w:tcPr>
            <w:tcW w:w="2576" w:type="pct"/>
            <w:tcBorders>
              <w:top w:val="nil"/>
              <w:left w:val="nil"/>
              <w:bottom w:val="nil"/>
              <w:right w:val="nil"/>
            </w:tcBorders>
            <w:shd w:val="clear" w:color="auto" w:fill="auto"/>
            <w:noWrap/>
            <w:vAlign w:val="center"/>
            <w:hideMark/>
          </w:tcPr>
          <w:p w14:paraId="012E26C2" w14:textId="13666821" w:rsidR="00C33692" w:rsidRPr="00521670" w:rsidRDefault="00C33692" w:rsidP="00C33692">
            <w:pPr>
              <w:pStyle w:val="Tabletext"/>
              <w:rPr>
                <w:lang w:val="ru-RU" w:eastAsia="en-GB"/>
              </w:rPr>
            </w:pPr>
            <w:r w:rsidRPr="00521670">
              <w:rPr>
                <w:lang w:val="ru-RU" w:eastAsia="en-GB"/>
              </w:rPr>
              <w:t>Активы</w:t>
            </w:r>
          </w:p>
        </w:tc>
        <w:tc>
          <w:tcPr>
            <w:tcW w:w="933" w:type="pct"/>
            <w:tcBorders>
              <w:top w:val="nil"/>
              <w:left w:val="nil"/>
              <w:bottom w:val="nil"/>
              <w:right w:val="nil"/>
            </w:tcBorders>
            <w:shd w:val="clear" w:color="auto" w:fill="auto"/>
            <w:noWrap/>
            <w:vAlign w:val="center"/>
            <w:hideMark/>
          </w:tcPr>
          <w:p w14:paraId="62919526" w14:textId="22502216" w:rsidR="00C33692" w:rsidRPr="00521670" w:rsidRDefault="00C33692" w:rsidP="00C33692">
            <w:pPr>
              <w:pStyle w:val="Tabletext"/>
              <w:jc w:val="right"/>
              <w:rPr>
                <w:b/>
                <w:bCs/>
                <w:lang w:val="ru-RU" w:eastAsia="en-GB"/>
              </w:rPr>
            </w:pPr>
            <w:r w:rsidRPr="00521670">
              <w:rPr>
                <w:b/>
                <w:bCs/>
                <w:lang w:val="ru-RU" w:eastAsia="en-GB"/>
              </w:rPr>
              <w:t>322,7</w:t>
            </w:r>
          </w:p>
        </w:tc>
        <w:tc>
          <w:tcPr>
            <w:tcW w:w="894" w:type="pct"/>
            <w:tcBorders>
              <w:top w:val="nil"/>
              <w:left w:val="nil"/>
              <w:bottom w:val="nil"/>
              <w:right w:val="nil"/>
            </w:tcBorders>
            <w:shd w:val="clear" w:color="auto" w:fill="auto"/>
            <w:noWrap/>
            <w:vAlign w:val="center"/>
            <w:hideMark/>
          </w:tcPr>
          <w:p w14:paraId="0613C740" w14:textId="4CC3A91A" w:rsidR="00C33692" w:rsidRPr="00521670" w:rsidRDefault="00C33692" w:rsidP="00C33692">
            <w:pPr>
              <w:pStyle w:val="Tabletext"/>
              <w:jc w:val="right"/>
              <w:rPr>
                <w:b/>
                <w:bCs/>
                <w:lang w:val="ru-RU" w:eastAsia="en-GB"/>
              </w:rPr>
            </w:pPr>
            <w:r w:rsidRPr="00521670">
              <w:rPr>
                <w:b/>
                <w:bCs/>
                <w:lang w:val="ru-RU" w:eastAsia="en-GB"/>
              </w:rPr>
              <w:t>308,5</w:t>
            </w:r>
          </w:p>
        </w:tc>
        <w:tc>
          <w:tcPr>
            <w:tcW w:w="597" w:type="pct"/>
            <w:tcBorders>
              <w:top w:val="nil"/>
              <w:left w:val="nil"/>
              <w:bottom w:val="nil"/>
              <w:right w:val="nil"/>
            </w:tcBorders>
            <w:shd w:val="clear" w:color="auto" w:fill="auto"/>
            <w:noWrap/>
            <w:vAlign w:val="center"/>
            <w:hideMark/>
          </w:tcPr>
          <w:p w14:paraId="3FCF852B" w14:textId="3E087AC3" w:rsidR="00C33692" w:rsidRPr="00521670" w:rsidRDefault="00C33692" w:rsidP="00C33692">
            <w:pPr>
              <w:pStyle w:val="Tabletext"/>
              <w:jc w:val="right"/>
              <w:rPr>
                <w:b/>
                <w:bCs/>
                <w:lang w:val="ru-RU" w:eastAsia="en-GB"/>
              </w:rPr>
            </w:pPr>
            <w:r w:rsidRPr="00521670">
              <w:rPr>
                <w:b/>
                <w:bCs/>
                <w:lang w:val="ru-RU" w:eastAsia="en-GB"/>
              </w:rPr>
              <w:t>14,2</w:t>
            </w:r>
          </w:p>
        </w:tc>
      </w:tr>
      <w:tr w:rsidR="00C33692" w:rsidRPr="00521670" w14:paraId="5177E546" w14:textId="77777777" w:rsidTr="00461C1B">
        <w:trPr>
          <w:trHeight w:val="211"/>
          <w:jc w:val="center"/>
        </w:trPr>
        <w:tc>
          <w:tcPr>
            <w:tcW w:w="2576" w:type="pct"/>
            <w:tcBorders>
              <w:top w:val="nil"/>
              <w:left w:val="nil"/>
              <w:bottom w:val="nil"/>
              <w:right w:val="nil"/>
            </w:tcBorders>
            <w:shd w:val="clear" w:color="auto" w:fill="auto"/>
            <w:noWrap/>
            <w:vAlign w:val="center"/>
            <w:hideMark/>
          </w:tcPr>
          <w:p w14:paraId="56580413" w14:textId="35926305" w:rsidR="00C33692" w:rsidRPr="00521670" w:rsidRDefault="00C33692" w:rsidP="00C33692">
            <w:pPr>
              <w:pStyle w:val="Tabletext"/>
              <w:rPr>
                <w:lang w:val="ru-RU" w:eastAsia="en-GB"/>
              </w:rPr>
            </w:pPr>
            <w:r w:rsidRPr="00521670">
              <w:rPr>
                <w:lang w:val="ru-RU" w:eastAsia="en-GB"/>
              </w:rPr>
              <w:t>Пассивы</w:t>
            </w:r>
          </w:p>
        </w:tc>
        <w:tc>
          <w:tcPr>
            <w:tcW w:w="933" w:type="pct"/>
            <w:tcBorders>
              <w:top w:val="nil"/>
              <w:left w:val="nil"/>
              <w:bottom w:val="nil"/>
              <w:right w:val="nil"/>
            </w:tcBorders>
            <w:shd w:val="clear" w:color="auto" w:fill="auto"/>
            <w:noWrap/>
            <w:vAlign w:val="center"/>
            <w:hideMark/>
          </w:tcPr>
          <w:p w14:paraId="09A13B6D" w14:textId="4E8146C8" w:rsidR="00C33692" w:rsidRPr="00521670" w:rsidRDefault="00C33692" w:rsidP="00C33692">
            <w:pPr>
              <w:pStyle w:val="Tabletext"/>
              <w:jc w:val="right"/>
              <w:rPr>
                <w:b/>
                <w:bCs/>
                <w:lang w:val="ru-RU" w:eastAsia="en-GB"/>
              </w:rPr>
            </w:pPr>
            <w:r w:rsidRPr="00521670">
              <w:rPr>
                <w:b/>
                <w:bCs/>
                <w:lang w:val="ru-RU" w:eastAsia="en-GB"/>
              </w:rPr>
              <w:t>(640,7)</w:t>
            </w:r>
          </w:p>
        </w:tc>
        <w:tc>
          <w:tcPr>
            <w:tcW w:w="894" w:type="pct"/>
            <w:tcBorders>
              <w:top w:val="nil"/>
              <w:left w:val="nil"/>
              <w:bottom w:val="nil"/>
              <w:right w:val="nil"/>
            </w:tcBorders>
            <w:shd w:val="clear" w:color="auto" w:fill="auto"/>
            <w:noWrap/>
            <w:vAlign w:val="center"/>
            <w:hideMark/>
          </w:tcPr>
          <w:p w14:paraId="09717501" w14:textId="2DAC4E33" w:rsidR="00C33692" w:rsidRPr="00521670" w:rsidRDefault="00C33692" w:rsidP="00C33692">
            <w:pPr>
              <w:pStyle w:val="Tabletext"/>
              <w:jc w:val="right"/>
              <w:rPr>
                <w:b/>
                <w:bCs/>
                <w:lang w:val="ru-RU" w:eastAsia="en-GB"/>
              </w:rPr>
            </w:pPr>
            <w:r w:rsidRPr="00521670">
              <w:rPr>
                <w:b/>
                <w:bCs/>
                <w:lang w:val="ru-RU" w:eastAsia="en-GB"/>
              </w:rPr>
              <w:t>(565,9)</w:t>
            </w:r>
          </w:p>
        </w:tc>
        <w:tc>
          <w:tcPr>
            <w:tcW w:w="597" w:type="pct"/>
            <w:tcBorders>
              <w:top w:val="nil"/>
              <w:left w:val="nil"/>
              <w:bottom w:val="nil"/>
              <w:right w:val="nil"/>
            </w:tcBorders>
            <w:shd w:val="clear" w:color="auto" w:fill="auto"/>
            <w:noWrap/>
            <w:vAlign w:val="center"/>
            <w:hideMark/>
          </w:tcPr>
          <w:p w14:paraId="60A267E0" w14:textId="19F6D73F" w:rsidR="00C33692" w:rsidRPr="00521670" w:rsidRDefault="00C33692" w:rsidP="00C33692">
            <w:pPr>
              <w:pStyle w:val="Tabletext"/>
              <w:jc w:val="right"/>
              <w:rPr>
                <w:b/>
                <w:bCs/>
                <w:lang w:val="ru-RU" w:eastAsia="en-GB"/>
              </w:rPr>
            </w:pPr>
            <w:r w:rsidRPr="00521670">
              <w:rPr>
                <w:b/>
                <w:bCs/>
                <w:lang w:val="ru-RU" w:eastAsia="en-GB"/>
              </w:rPr>
              <w:t>(74,8)</w:t>
            </w:r>
          </w:p>
        </w:tc>
      </w:tr>
      <w:tr w:rsidR="00C33692" w:rsidRPr="00521670" w14:paraId="470A2311" w14:textId="77777777" w:rsidTr="00461C1B">
        <w:trPr>
          <w:trHeight w:val="74"/>
          <w:jc w:val="center"/>
        </w:trPr>
        <w:tc>
          <w:tcPr>
            <w:tcW w:w="5000" w:type="pct"/>
            <w:gridSpan w:val="4"/>
            <w:tcBorders>
              <w:top w:val="nil"/>
              <w:left w:val="nil"/>
              <w:bottom w:val="nil"/>
              <w:right w:val="nil"/>
            </w:tcBorders>
            <w:shd w:val="clear" w:color="auto" w:fill="auto"/>
            <w:noWrap/>
            <w:vAlign w:val="center"/>
            <w:hideMark/>
          </w:tcPr>
          <w:p w14:paraId="0FD705E7" w14:textId="77777777" w:rsidR="00C33692" w:rsidRPr="00521670" w:rsidRDefault="00C33692" w:rsidP="00C33692">
            <w:pPr>
              <w:pStyle w:val="Tabletext"/>
              <w:jc w:val="right"/>
              <w:rPr>
                <w:rFonts w:ascii="Times New Roman" w:hAnsi="Times New Roman"/>
                <w:lang w:val="ru-RU" w:eastAsia="en-GB"/>
              </w:rPr>
            </w:pPr>
          </w:p>
        </w:tc>
      </w:tr>
      <w:tr w:rsidR="00C33692" w:rsidRPr="00521670" w14:paraId="00CB2674" w14:textId="77777777" w:rsidTr="00461C1B">
        <w:trPr>
          <w:trHeight w:val="202"/>
          <w:jc w:val="center"/>
        </w:trPr>
        <w:tc>
          <w:tcPr>
            <w:tcW w:w="2576" w:type="pct"/>
            <w:tcBorders>
              <w:top w:val="nil"/>
              <w:left w:val="nil"/>
              <w:bottom w:val="nil"/>
              <w:right w:val="nil"/>
            </w:tcBorders>
            <w:shd w:val="clear" w:color="000000" w:fill="538DD5"/>
            <w:noWrap/>
            <w:vAlign w:val="center"/>
            <w:hideMark/>
          </w:tcPr>
          <w:p w14:paraId="6AF02D32" w14:textId="719AD831" w:rsidR="00C33692" w:rsidRPr="00521670" w:rsidRDefault="00C33692" w:rsidP="00C33692">
            <w:pPr>
              <w:pStyle w:val="Tabletext"/>
              <w:rPr>
                <w:b/>
                <w:bCs/>
                <w:lang w:val="ru-RU" w:eastAsia="en-GB"/>
              </w:rPr>
            </w:pPr>
            <w:r w:rsidRPr="00521670">
              <w:rPr>
                <w:b/>
                <w:bCs/>
                <w:lang w:val="ru-RU" w:eastAsia="en-GB"/>
              </w:rPr>
              <w:t>Чистые активы</w:t>
            </w:r>
          </w:p>
        </w:tc>
        <w:tc>
          <w:tcPr>
            <w:tcW w:w="933" w:type="pct"/>
            <w:tcBorders>
              <w:top w:val="nil"/>
              <w:left w:val="nil"/>
              <w:bottom w:val="nil"/>
              <w:right w:val="nil"/>
            </w:tcBorders>
            <w:shd w:val="clear" w:color="000000" w:fill="538DD5"/>
            <w:noWrap/>
            <w:vAlign w:val="center"/>
            <w:hideMark/>
          </w:tcPr>
          <w:p w14:paraId="1B02D831" w14:textId="0E69EE7B" w:rsidR="00C33692" w:rsidRPr="00521670" w:rsidRDefault="00C33692" w:rsidP="00C33692">
            <w:pPr>
              <w:pStyle w:val="Tabletext"/>
              <w:jc w:val="right"/>
              <w:rPr>
                <w:b/>
                <w:bCs/>
                <w:lang w:val="ru-RU" w:eastAsia="en-GB"/>
              </w:rPr>
            </w:pPr>
            <w:r w:rsidRPr="00521670">
              <w:rPr>
                <w:b/>
                <w:bCs/>
                <w:lang w:val="ru-RU" w:eastAsia="en-GB"/>
              </w:rPr>
              <w:t>(318,0)</w:t>
            </w:r>
          </w:p>
        </w:tc>
        <w:tc>
          <w:tcPr>
            <w:tcW w:w="894" w:type="pct"/>
            <w:tcBorders>
              <w:top w:val="nil"/>
              <w:left w:val="nil"/>
              <w:bottom w:val="nil"/>
              <w:right w:val="nil"/>
            </w:tcBorders>
            <w:shd w:val="clear" w:color="000000" w:fill="538DD5"/>
            <w:noWrap/>
            <w:vAlign w:val="center"/>
            <w:hideMark/>
          </w:tcPr>
          <w:p w14:paraId="572CA18C" w14:textId="2E3318D7" w:rsidR="00C33692" w:rsidRPr="00521670" w:rsidRDefault="00C33692" w:rsidP="00C33692">
            <w:pPr>
              <w:pStyle w:val="Tabletext"/>
              <w:jc w:val="right"/>
              <w:rPr>
                <w:b/>
                <w:bCs/>
                <w:lang w:val="ru-RU" w:eastAsia="en-GB"/>
              </w:rPr>
            </w:pPr>
            <w:r w:rsidRPr="00521670">
              <w:rPr>
                <w:b/>
                <w:bCs/>
                <w:lang w:val="ru-RU" w:eastAsia="en-GB"/>
              </w:rPr>
              <w:t>(257,4)</w:t>
            </w:r>
          </w:p>
        </w:tc>
        <w:tc>
          <w:tcPr>
            <w:tcW w:w="597" w:type="pct"/>
            <w:tcBorders>
              <w:top w:val="nil"/>
              <w:left w:val="nil"/>
              <w:bottom w:val="nil"/>
              <w:right w:val="nil"/>
            </w:tcBorders>
            <w:shd w:val="clear" w:color="000000" w:fill="538DD5"/>
            <w:noWrap/>
            <w:vAlign w:val="center"/>
            <w:hideMark/>
          </w:tcPr>
          <w:p w14:paraId="663E5837" w14:textId="1195DE78" w:rsidR="00C33692" w:rsidRPr="00521670" w:rsidRDefault="00C33692" w:rsidP="00C33692">
            <w:pPr>
              <w:pStyle w:val="Tabletext"/>
              <w:jc w:val="right"/>
              <w:rPr>
                <w:b/>
                <w:bCs/>
                <w:lang w:val="ru-RU" w:eastAsia="en-GB"/>
              </w:rPr>
            </w:pPr>
            <w:r w:rsidRPr="00521670">
              <w:rPr>
                <w:b/>
                <w:bCs/>
                <w:lang w:val="ru-RU" w:eastAsia="en-GB"/>
              </w:rPr>
              <w:t>(60,6)</w:t>
            </w:r>
          </w:p>
        </w:tc>
      </w:tr>
    </w:tbl>
    <w:p w14:paraId="633EE346" w14:textId="3F44254F" w:rsidR="004111CD" w:rsidRPr="00521670" w:rsidRDefault="004E19F3" w:rsidP="003D5F38">
      <w:pPr>
        <w:pStyle w:val="Headingb"/>
        <w:rPr>
          <w:lang w:val="ru-RU"/>
        </w:rPr>
      </w:pPr>
      <w:r w:rsidRPr="00521670">
        <w:rPr>
          <w:lang w:val="ru-RU"/>
        </w:rPr>
        <w:lastRenderedPageBreak/>
        <w:t>Активы</w:t>
      </w:r>
    </w:p>
    <w:p w14:paraId="7EA1EF9C" w14:textId="21329062" w:rsidR="004111CD" w:rsidRPr="00521670" w:rsidRDefault="004111CD" w:rsidP="00D86FCF">
      <w:pPr>
        <w:rPr>
          <w:lang w:val="ru-RU"/>
        </w:rPr>
      </w:pPr>
      <w:r w:rsidRPr="00521670">
        <w:rPr>
          <w:lang w:val="ru-RU"/>
        </w:rPr>
        <w:t>19</w:t>
      </w:r>
      <w:r w:rsidRPr="00521670">
        <w:rPr>
          <w:lang w:val="ru-RU"/>
        </w:rPr>
        <w:tab/>
      </w:r>
      <w:r w:rsidR="00F60EF3" w:rsidRPr="00521670">
        <w:rPr>
          <w:lang w:val="ru-RU"/>
        </w:rPr>
        <w:t>Текущие активы превышают текущие пассивы на 130,3 млн. швейцарских франков (по</w:t>
      </w:r>
      <w:r w:rsidR="003804A8" w:rsidRPr="00521670">
        <w:rPr>
          <w:lang w:val="ru-RU"/>
        </w:rPr>
        <w:t> </w:t>
      </w:r>
      <w:r w:rsidR="00F60EF3" w:rsidRPr="00521670">
        <w:rPr>
          <w:lang w:val="ru-RU"/>
        </w:rPr>
        <w:t>сравнению с 118,5 млн. швейцарских франков в 2023 году), в основном за счет внебюджетных взносов, полученных в 2024 году в объеме 33 млн. швейцарских франков (по</w:t>
      </w:r>
      <w:r w:rsidR="003804A8" w:rsidRPr="00521670">
        <w:rPr>
          <w:lang w:val="ru-RU"/>
        </w:rPr>
        <w:t> </w:t>
      </w:r>
      <w:r w:rsidR="00F60EF3" w:rsidRPr="00521670">
        <w:rPr>
          <w:lang w:val="ru-RU"/>
        </w:rPr>
        <w:t>сравнению с 25</w:t>
      </w:r>
      <w:r w:rsidR="004A1FEB" w:rsidRPr="00521670">
        <w:rPr>
          <w:lang w:val="ru-RU"/>
        </w:rPr>
        <w:t> </w:t>
      </w:r>
      <w:r w:rsidR="00F60EF3" w:rsidRPr="00521670">
        <w:rPr>
          <w:lang w:val="ru-RU"/>
        </w:rPr>
        <w:t>млн. швейцарских франков в 2023 году).</w:t>
      </w:r>
    </w:p>
    <w:p w14:paraId="25722531" w14:textId="67918768" w:rsidR="004111CD" w:rsidRPr="00521670" w:rsidRDefault="00F60EF3" w:rsidP="004111CD">
      <w:pPr>
        <w:pStyle w:val="Headingb"/>
        <w:rPr>
          <w:lang w:val="ru-RU"/>
        </w:rPr>
      </w:pPr>
      <w:r w:rsidRPr="00521670">
        <w:rPr>
          <w:bCs/>
          <w:lang w:val="ru-RU"/>
        </w:rPr>
        <w:t>Долговые обязательства по начисленным взносам</w:t>
      </w:r>
    </w:p>
    <w:p w14:paraId="27098379" w14:textId="5C4FDA10" w:rsidR="004111CD" w:rsidRPr="00521670" w:rsidRDefault="004111CD" w:rsidP="003D5F38">
      <w:pPr>
        <w:rPr>
          <w:lang w:val="ru-RU"/>
        </w:rPr>
      </w:pPr>
      <w:r w:rsidRPr="00521670">
        <w:rPr>
          <w:lang w:val="ru-RU"/>
        </w:rPr>
        <w:t>20</w:t>
      </w:r>
      <w:r w:rsidRPr="00521670">
        <w:rPr>
          <w:lang w:val="ru-RU"/>
        </w:rPr>
        <w:tab/>
      </w:r>
      <w:r w:rsidR="00D86FCF" w:rsidRPr="00521670">
        <w:rPr>
          <w:lang w:val="ru-RU"/>
        </w:rPr>
        <w:t>Сбор начисленных взносов оказывает прямое влияние на наличие ликвидных средств МСЭ и, как таковой, чрезвычайно важен для планомерного выполнения выделенного бюджета регулярных программ МСЭ. Полномочная конференция утвер</w:t>
      </w:r>
      <w:r w:rsidR="000F16BC" w:rsidRPr="00521670">
        <w:rPr>
          <w:lang w:val="ru-RU"/>
        </w:rPr>
        <w:t>дила</w:t>
      </w:r>
      <w:r w:rsidR="00D86FCF" w:rsidRPr="00521670">
        <w:rPr>
          <w:lang w:val="ru-RU"/>
        </w:rPr>
        <w:t xml:space="preserve"> функционирование Резервного фонда на минимальном уровне 6</w:t>
      </w:r>
      <w:r w:rsidR="000F16BC" w:rsidRPr="00521670">
        <w:rPr>
          <w:lang w:val="ru-RU"/>
        </w:rPr>
        <w:t xml:space="preserve"> процентов</w:t>
      </w:r>
      <w:r w:rsidR="00D86FCF" w:rsidRPr="00521670">
        <w:rPr>
          <w:lang w:val="ru-RU"/>
        </w:rPr>
        <w:t xml:space="preserve"> (10 млн.</w:t>
      </w:r>
      <w:r w:rsidR="00E13261" w:rsidRPr="00521670">
        <w:rPr>
          <w:lang w:val="ru-RU"/>
        </w:rPr>
        <w:t xml:space="preserve"> швейцарских франков</w:t>
      </w:r>
      <w:r w:rsidR="00D86FCF" w:rsidRPr="00521670">
        <w:rPr>
          <w:lang w:val="ru-RU"/>
        </w:rPr>
        <w:t xml:space="preserve">), однако это составляет лишь три недели расходов, необходимых для поддержания работоспособности организации. Объем Резервного фонда в настоящее время составляет 30,7 млн. швейцарских франков, что </w:t>
      </w:r>
      <w:r w:rsidR="000867F6" w:rsidRPr="00521670">
        <w:rPr>
          <w:lang w:val="ru-RU"/>
        </w:rPr>
        <w:t xml:space="preserve">соответствует десяти неделям исполнения бюджета программы, исходя из бюджета на 2024 год. </w:t>
      </w:r>
      <w:r w:rsidR="00D86FCF" w:rsidRPr="00521670">
        <w:rPr>
          <w:lang w:val="ru-RU"/>
        </w:rPr>
        <w:t>Уровень собираемости взносов за год, завершившийся 31 декабря 2024 года, составил около 93% по сравнению с 92% в декабре</w:t>
      </w:r>
      <w:r w:rsidR="003804A8" w:rsidRPr="00521670">
        <w:rPr>
          <w:lang w:val="ru-RU"/>
        </w:rPr>
        <w:t> </w:t>
      </w:r>
      <w:r w:rsidR="00D86FCF" w:rsidRPr="00521670">
        <w:rPr>
          <w:lang w:val="ru-RU"/>
        </w:rPr>
        <w:t>2023 года.</w:t>
      </w:r>
    </w:p>
    <w:p w14:paraId="3305750D" w14:textId="48ADB9D4" w:rsidR="004111CD" w:rsidRPr="00521670" w:rsidRDefault="004111CD" w:rsidP="003D5F38">
      <w:pPr>
        <w:rPr>
          <w:lang w:val="ru-RU"/>
        </w:rPr>
      </w:pPr>
      <w:r w:rsidRPr="00521670">
        <w:rPr>
          <w:lang w:val="ru-RU"/>
        </w:rPr>
        <w:t>21</w:t>
      </w:r>
      <w:r w:rsidRPr="00521670">
        <w:rPr>
          <w:lang w:val="ru-RU"/>
        </w:rPr>
        <w:tab/>
      </w:r>
      <w:r w:rsidR="00D86FCF" w:rsidRPr="00521670">
        <w:rPr>
          <w:lang w:val="ru-RU"/>
        </w:rPr>
        <w:t>Валовые начисленные взносы причитаются и подлежат уплате МСЭ в соответствии с Уставом и Финансовым регламентом. Однако, как того требуют IPSAS, если уплата взносов не ожидается, производится компенсация в соответствии с Финансовым регламентом и</w:t>
      </w:r>
      <w:r w:rsidR="003804A8" w:rsidRPr="00521670">
        <w:rPr>
          <w:lang w:val="ru-RU"/>
        </w:rPr>
        <w:t> </w:t>
      </w:r>
      <w:r w:rsidR="00D86FCF" w:rsidRPr="00521670">
        <w:rPr>
          <w:lang w:val="ru-RU"/>
        </w:rPr>
        <w:t>правилами.</w:t>
      </w:r>
    </w:p>
    <w:p w14:paraId="7368411F" w14:textId="768CFF82" w:rsidR="004111CD" w:rsidRPr="00521670" w:rsidRDefault="004E19F3" w:rsidP="003D5F38">
      <w:pPr>
        <w:pStyle w:val="Headingb"/>
        <w:rPr>
          <w:lang w:val="ru-RU"/>
        </w:rPr>
      </w:pPr>
      <w:bookmarkStart w:id="51" w:name="_Toc167956616"/>
      <w:bookmarkStart w:id="52" w:name="_Toc167956855"/>
      <w:bookmarkStart w:id="53" w:name="_Toc167957159"/>
      <w:bookmarkStart w:id="54" w:name="_Toc168578440"/>
      <w:bookmarkStart w:id="55" w:name="_Toc180681789"/>
      <w:r w:rsidRPr="00521670">
        <w:rPr>
          <w:lang w:val="ru-RU"/>
        </w:rPr>
        <w:t>Пассивы</w:t>
      </w:r>
      <w:bookmarkEnd w:id="51"/>
      <w:bookmarkEnd w:id="52"/>
      <w:bookmarkEnd w:id="53"/>
      <w:bookmarkEnd w:id="54"/>
      <w:bookmarkEnd w:id="55"/>
    </w:p>
    <w:p w14:paraId="01973475" w14:textId="5E601709" w:rsidR="004111CD" w:rsidRPr="00521670" w:rsidRDefault="004111CD" w:rsidP="00D86FCF">
      <w:pPr>
        <w:rPr>
          <w:lang w:val="ru-RU"/>
        </w:rPr>
      </w:pPr>
      <w:r w:rsidRPr="00521670">
        <w:rPr>
          <w:lang w:val="ru-RU"/>
        </w:rPr>
        <w:t>22</w:t>
      </w:r>
      <w:r w:rsidRPr="00521670">
        <w:rPr>
          <w:lang w:val="ru-RU"/>
        </w:rPr>
        <w:tab/>
      </w:r>
      <w:r w:rsidR="00AF00FE" w:rsidRPr="00521670">
        <w:rPr>
          <w:lang w:val="ru-RU"/>
        </w:rPr>
        <w:t>Общий размер пассивов по состоянию на 31 декабря 2024 года составил 640,7</w:t>
      </w:r>
      <w:r w:rsidR="00806177" w:rsidRPr="00521670">
        <w:rPr>
          <w:lang w:val="ru-RU"/>
        </w:rPr>
        <w:t> </w:t>
      </w:r>
      <w:r w:rsidR="00AF00FE" w:rsidRPr="00521670">
        <w:rPr>
          <w:lang w:val="ru-RU"/>
        </w:rPr>
        <w:t>млн.</w:t>
      </w:r>
      <w:r w:rsidR="00806177" w:rsidRPr="00521670">
        <w:rPr>
          <w:lang w:val="ru-RU"/>
        </w:rPr>
        <w:t> </w:t>
      </w:r>
      <w:r w:rsidR="00AF00FE" w:rsidRPr="00521670">
        <w:rPr>
          <w:lang w:val="ru-RU"/>
        </w:rPr>
        <w:t>швейцарских франков (по сравнению с 565,9 млн. швейцарских франков на 31</w:t>
      </w:r>
      <w:r w:rsidR="00806177" w:rsidRPr="00521670">
        <w:rPr>
          <w:lang w:val="ru-RU"/>
        </w:rPr>
        <w:t> </w:t>
      </w:r>
      <w:r w:rsidR="00AF00FE" w:rsidRPr="00521670">
        <w:rPr>
          <w:lang w:val="ru-RU"/>
        </w:rPr>
        <w:t>декабря 2023</w:t>
      </w:r>
      <w:r w:rsidR="004A1FEB" w:rsidRPr="00521670">
        <w:rPr>
          <w:lang w:val="ru-RU"/>
        </w:rPr>
        <w:t> </w:t>
      </w:r>
      <w:r w:rsidR="00AF00FE" w:rsidRPr="00521670">
        <w:rPr>
          <w:lang w:val="ru-RU"/>
        </w:rPr>
        <w:t>года). Пассивы включают в себя резервный фонд в размере 0,8</w:t>
      </w:r>
      <w:r w:rsidR="00806177" w:rsidRPr="00521670">
        <w:rPr>
          <w:lang w:val="ru-RU"/>
        </w:rPr>
        <w:t> </w:t>
      </w:r>
      <w:r w:rsidR="00AF00FE" w:rsidRPr="00521670">
        <w:rPr>
          <w:lang w:val="ru-RU"/>
        </w:rPr>
        <w:t>млн.</w:t>
      </w:r>
      <w:r w:rsidR="00806177" w:rsidRPr="00521670">
        <w:rPr>
          <w:lang w:val="ru-RU"/>
        </w:rPr>
        <w:t> </w:t>
      </w:r>
      <w:r w:rsidR="00AF00FE" w:rsidRPr="00521670">
        <w:rPr>
          <w:lang w:val="ru-RU"/>
        </w:rPr>
        <w:t>швейцарских франков, касающийся семи незавершенных дел АТМОТ, а также соответствующих судебных издержек. В 2024 году АТМОТ вынес решение по четырем делам, а МСЭ выплатил 0,2 млн. швейцарских франков и сократил резервный фонд на 0,1</w:t>
      </w:r>
      <w:r w:rsidR="00806177" w:rsidRPr="00521670">
        <w:rPr>
          <w:lang w:val="ru-RU"/>
        </w:rPr>
        <w:t> </w:t>
      </w:r>
      <w:r w:rsidR="00AF00FE" w:rsidRPr="00521670">
        <w:rPr>
          <w:lang w:val="ru-RU"/>
        </w:rPr>
        <w:t>млн.</w:t>
      </w:r>
      <w:r w:rsidR="00806177" w:rsidRPr="00521670">
        <w:rPr>
          <w:lang w:val="ru-RU"/>
        </w:rPr>
        <w:t> </w:t>
      </w:r>
      <w:r w:rsidR="00AF00FE" w:rsidRPr="00521670">
        <w:rPr>
          <w:lang w:val="ru-RU"/>
        </w:rPr>
        <w:t xml:space="preserve">швейцарских франков. В течение года МСЭ увеличил резервный фонд </w:t>
      </w:r>
      <w:r w:rsidR="00DA6EF0" w:rsidRPr="00521670">
        <w:rPr>
          <w:lang w:val="ru-RU"/>
        </w:rPr>
        <w:t>до</w:t>
      </w:r>
      <w:r w:rsidR="00AF00FE" w:rsidRPr="00521670">
        <w:rPr>
          <w:lang w:val="ru-RU"/>
        </w:rPr>
        <w:t xml:space="preserve"> 20</w:t>
      </w:r>
      <w:r w:rsidR="00806177" w:rsidRPr="00521670">
        <w:rPr>
          <w:lang w:val="ru-RU"/>
        </w:rPr>
        <w:t> </w:t>
      </w:r>
      <w:r w:rsidR="00AF00FE" w:rsidRPr="00521670">
        <w:rPr>
          <w:lang w:val="ru-RU"/>
        </w:rPr>
        <w:t>тыс</w:t>
      </w:r>
      <w:r w:rsidR="00AA54A5" w:rsidRPr="00521670">
        <w:rPr>
          <w:lang w:val="ru-RU"/>
        </w:rPr>
        <w:t>.</w:t>
      </w:r>
      <w:r w:rsidR="00806177" w:rsidRPr="00521670">
        <w:rPr>
          <w:lang w:val="ru-RU"/>
        </w:rPr>
        <w:t> </w:t>
      </w:r>
      <w:r w:rsidR="00AF00FE" w:rsidRPr="00521670">
        <w:rPr>
          <w:lang w:val="ru-RU"/>
        </w:rPr>
        <w:t>швейцарских франков после пересмотра предыдущей сметы и в целях покрытия расходов по еще одному возбужденному делу.</w:t>
      </w:r>
    </w:p>
    <w:p w14:paraId="20C41917" w14:textId="41560D89" w:rsidR="004111CD" w:rsidRPr="00521670" w:rsidRDefault="004E19F3" w:rsidP="004111CD">
      <w:pPr>
        <w:pStyle w:val="Headingb"/>
        <w:rPr>
          <w:lang w:val="ru-RU"/>
        </w:rPr>
      </w:pPr>
      <w:r w:rsidRPr="00521670">
        <w:rPr>
          <w:lang w:val="ru-RU"/>
        </w:rPr>
        <w:t>Вознаграждение сотрудников</w:t>
      </w:r>
    </w:p>
    <w:p w14:paraId="1E033DC2" w14:textId="4E7800CC" w:rsidR="004111CD" w:rsidRPr="00521670" w:rsidRDefault="004111CD" w:rsidP="00D86FCF">
      <w:pPr>
        <w:rPr>
          <w:lang w:val="ru-RU"/>
        </w:rPr>
      </w:pPr>
      <w:r w:rsidRPr="00521670">
        <w:rPr>
          <w:lang w:val="ru-RU"/>
        </w:rPr>
        <w:t>23</w:t>
      </w:r>
      <w:r w:rsidRPr="00521670">
        <w:rPr>
          <w:lang w:val="ru-RU"/>
        </w:rPr>
        <w:tab/>
      </w:r>
      <w:r w:rsidR="00D86FCF" w:rsidRPr="00521670">
        <w:rPr>
          <w:lang w:val="ru-RU"/>
        </w:rPr>
        <w:t>Наиболее значительные пассивы связаны с будущим вознаграждением сотрудников, накапливаемым как членами персонала, так и вышедшими в отставку сотрудниками</w:t>
      </w:r>
      <w:r w:rsidR="00D86FCF" w:rsidRPr="00521670">
        <w:rPr>
          <w:rFonts w:asciiTheme="minorHAnsi" w:hAnsiTheme="minorHAnsi" w:cstheme="minorBidi"/>
          <w:lang w:val="ru-RU"/>
        </w:rPr>
        <w:t xml:space="preserve">. </w:t>
      </w:r>
      <w:bookmarkStart w:id="56" w:name="lt_pId079"/>
      <w:r w:rsidR="00D86FCF" w:rsidRPr="00521670">
        <w:rPr>
          <w:rFonts w:asciiTheme="minorHAnsi" w:hAnsiTheme="minorHAnsi" w:cstheme="minorBidi"/>
          <w:lang w:val="ru-RU"/>
        </w:rPr>
        <w:t>Только</w:t>
      </w:r>
      <w:r w:rsidR="00283BFC" w:rsidRPr="00521670">
        <w:rPr>
          <w:rFonts w:asciiTheme="minorHAnsi" w:hAnsiTheme="minorHAnsi" w:cstheme="minorBidi"/>
          <w:lang w:val="ru-RU"/>
        </w:rPr>
        <w:t> </w:t>
      </w:r>
      <w:r w:rsidR="00D86FCF" w:rsidRPr="00521670">
        <w:rPr>
          <w:rFonts w:asciiTheme="minorHAnsi" w:hAnsiTheme="minorHAnsi" w:cstheme="minorBidi"/>
          <w:lang w:val="ru-RU"/>
        </w:rPr>
        <w:t>обязательства по медицинскому страхованию после выхода в отставку (АСХИ) составляют 65 процентов общих пассивов МСЭ по состоянию на 31 декабря 2024 года. Эти</w:t>
      </w:r>
      <w:r w:rsidR="00283BFC" w:rsidRPr="00521670">
        <w:rPr>
          <w:rFonts w:asciiTheme="minorHAnsi" w:hAnsiTheme="minorHAnsi" w:cstheme="minorBidi"/>
          <w:lang w:val="ru-RU"/>
        </w:rPr>
        <w:t> </w:t>
      </w:r>
      <w:r w:rsidR="00D86FCF" w:rsidRPr="00521670">
        <w:rPr>
          <w:rFonts w:asciiTheme="minorHAnsi" w:hAnsiTheme="minorHAnsi" w:cstheme="minorBidi"/>
          <w:lang w:val="ru-RU"/>
        </w:rPr>
        <w:t>обязательства по АСХИ возросли в 202</w:t>
      </w:r>
      <w:r w:rsidR="00AF00FE" w:rsidRPr="00521670">
        <w:rPr>
          <w:rFonts w:asciiTheme="minorHAnsi" w:hAnsiTheme="minorHAnsi" w:cstheme="minorBidi"/>
          <w:lang w:val="ru-RU"/>
        </w:rPr>
        <w:t>4</w:t>
      </w:r>
      <w:r w:rsidR="00D86FCF" w:rsidRPr="00521670">
        <w:rPr>
          <w:rFonts w:asciiTheme="minorHAnsi" w:hAnsiTheme="minorHAnsi" w:cstheme="minorBidi"/>
          <w:lang w:val="ru-RU"/>
        </w:rPr>
        <w:t xml:space="preserve"> году на 40,5 млн. швейцарских франков по сравнению с 2023 годом. В основном это было обусловлено </w:t>
      </w:r>
      <w:r w:rsidR="00AF00FE" w:rsidRPr="00521670">
        <w:rPr>
          <w:rFonts w:asciiTheme="minorHAnsi" w:hAnsiTheme="minorHAnsi" w:cstheme="minorBidi"/>
          <w:lang w:val="ru-RU"/>
        </w:rPr>
        <w:t>изменениями в демографических допущениях и проведенными исследованиями практического опыта</w:t>
      </w:r>
      <w:r w:rsidR="00D86FCF" w:rsidRPr="00521670">
        <w:rPr>
          <w:rFonts w:asciiTheme="minorHAnsi" w:hAnsiTheme="minorHAnsi" w:cstheme="minorBidi"/>
          <w:lang w:val="ru-RU"/>
        </w:rPr>
        <w:t>.</w:t>
      </w:r>
      <w:bookmarkEnd w:id="56"/>
    </w:p>
    <w:p w14:paraId="7D64F581" w14:textId="08D84E2E" w:rsidR="004111CD" w:rsidRPr="00521670" w:rsidRDefault="004111CD" w:rsidP="00D86FCF">
      <w:pPr>
        <w:rPr>
          <w:lang w:val="ru-RU"/>
        </w:rPr>
      </w:pPr>
      <w:r w:rsidRPr="00521670">
        <w:rPr>
          <w:lang w:val="ru-RU"/>
        </w:rPr>
        <w:t>24</w:t>
      </w:r>
      <w:r w:rsidRPr="00521670">
        <w:rPr>
          <w:lang w:val="ru-RU"/>
        </w:rPr>
        <w:tab/>
      </w:r>
      <w:r w:rsidR="00D86FCF" w:rsidRPr="00521670">
        <w:rPr>
          <w:rFonts w:asciiTheme="minorHAnsi" w:hAnsiTheme="minorHAnsi" w:cstheme="minorBidi"/>
          <w:lang w:val="ru-RU"/>
        </w:rPr>
        <w:t>МСЭ финансирует платежи, причитающиеся по его обязательствам по АСХИ, на распределительной основе. Резолюция 1417 о бюджете на 2024−2025 годы предусматривает снятие за каждый двухгодичный период 1,0 млн. швейцарских франков с резервного счета для финансирования долгосрочных обязательств. В соответствии с IPSAS-39 активы плана не были зачтены в счет обязательств</w:t>
      </w:r>
      <w:r w:rsidR="00BA5A57" w:rsidRPr="00521670">
        <w:rPr>
          <w:rFonts w:asciiTheme="minorHAnsi" w:hAnsiTheme="minorHAnsi" w:cstheme="minorBidi"/>
          <w:lang w:val="ru-RU"/>
        </w:rPr>
        <w:t xml:space="preserve">. Однако </w:t>
      </w:r>
      <w:r w:rsidR="00D86FCF" w:rsidRPr="00521670">
        <w:rPr>
          <w:rFonts w:asciiTheme="minorHAnsi" w:hAnsiTheme="minorHAnsi" w:cstheme="minorBidi"/>
          <w:lang w:val="ru-RU"/>
        </w:rPr>
        <w:t>по состоянию на 31 декабря 2024 года на специальном счете АСХИ была накоплена сумма в размере 15 млн. швейцарских франков для покрытия будущих обязательств.</w:t>
      </w:r>
    </w:p>
    <w:p w14:paraId="252B5D00" w14:textId="5A48B0F1" w:rsidR="004111CD" w:rsidRPr="00521670" w:rsidRDefault="004E19F3" w:rsidP="004111CD">
      <w:pPr>
        <w:pStyle w:val="Headingb"/>
        <w:rPr>
          <w:lang w:val="ru-RU"/>
        </w:rPr>
      </w:pPr>
      <w:r w:rsidRPr="00521670">
        <w:rPr>
          <w:lang w:val="ru-RU"/>
        </w:rPr>
        <w:lastRenderedPageBreak/>
        <w:t>Долгосрочные займы</w:t>
      </w:r>
    </w:p>
    <w:p w14:paraId="0B9B7FED" w14:textId="6CC37D8E" w:rsidR="004111CD" w:rsidRPr="00521670" w:rsidRDefault="004111CD" w:rsidP="00D86FCF">
      <w:pPr>
        <w:rPr>
          <w:rFonts w:eastAsiaTheme="minorEastAsia"/>
          <w:lang w:val="ru-RU"/>
        </w:rPr>
      </w:pPr>
      <w:r w:rsidRPr="00521670">
        <w:rPr>
          <w:lang w:val="ru-RU"/>
        </w:rPr>
        <w:t>25</w:t>
      </w:r>
      <w:r w:rsidRPr="00521670">
        <w:rPr>
          <w:lang w:val="ru-RU"/>
        </w:rPr>
        <w:tab/>
      </w:r>
      <w:r w:rsidR="00D86FCF" w:rsidRPr="00521670">
        <w:rPr>
          <w:lang w:val="ru-RU"/>
        </w:rPr>
        <w:t>В настоящее время у МСЭ есть четыре беспроцентных ссуды в Фонде недвижимого имущества для международных организаций (ФИПОИ). По состоянию на 31 декабря 2024 года три из этих ссуд отражены в финансовой отчетности по справедливой стоимости. Для четвертой ссуды график погашения в настоящее время отсутствует, и поэтому до начала выплат по ней она оценивается по амортизированной стоимости. Дополнительная информация представлена в Примечании 15.</w:t>
      </w:r>
    </w:p>
    <w:p w14:paraId="6787600B" w14:textId="03DC745C" w:rsidR="004111CD" w:rsidRPr="00521670" w:rsidRDefault="004E19F3" w:rsidP="004111CD">
      <w:pPr>
        <w:pStyle w:val="Headingb"/>
        <w:rPr>
          <w:lang w:val="ru-RU"/>
        </w:rPr>
      </w:pPr>
      <w:bookmarkStart w:id="57" w:name="lt_pId093"/>
      <w:r w:rsidRPr="00521670">
        <w:rPr>
          <w:rFonts w:asciiTheme="minorHAnsi" w:hAnsiTheme="minorHAnsi" w:cstheme="minorHAnsi"/>
          <w:bCs/>
          <w:lang w:val="ru-RU"/>
        </w:rPr>
        <w:t>Предусмотренный в бюджете результат и результат согласно IPSAS</w:t>
      </w:r>
      <w:bookmarkEnd w:id="57"/>
    </w:p>
    <w:p w14:paraId="4F7C61A2" w14:textId="5F39A30D" w:rsidR="004111CD" w:rsidRPr="00521670" w:rsidRDefault="004111CD" w:rsidP="00D86FCF">
      <w:pPr>
        <w:rPr>
          <w:lang w:val="ru-RU"/>
        </w:rPr>
      </w:pPr>
      <w:r w:rsidRPr="00521670">
        <w:rPr>
          <w:lang w:val="ru-RU"/>
        </w:rPr>
        <w:t>26</w:t>
      </w:r>
      <w:r w:rsidRPr="00521670">
        <w:rPr>
          <w:lang w:val="ru-RU"/>
        </w:rPr>
        <w:tab/>
      </w:r>
      <w:r w:rsidR="00097506" w:rsidRPr="00521670">
        <w:rPr>
          <w:rFonts w:asciiTheme="minorHAnsi" w:hAnsiTheme="minorHAnsi" w:cstheme="minorBidi"/>
          <w:lang w:val="ru-RU"/>
        </w:rPr>
        <w:t xml:space="preserve">Отчет V о финансовой деятельности был подготовлен на основе регулярного бюджета согласно структуре бюджета МСЭ и дает представление об использовании </w:t>
      </w:r>
      <w:r w:rsidR="00BA5A57" w:rsidRPr="00521670">
        <w:rPr>
          <w:rFonts w:asciiTheme="minorHAnsi" w:hAnsiTheme="minorHAnsi" w:cstheme="minorBidi"/>
          <w:lang w:val="ru-RU"/>
        </w:rPr>
        <w:t>утвержденного</w:t>
      </w:r>
      <w:r w:rsidR="00097506" w:rsidRPr="00521670">
        <w:rPr>
          <w:rFonts w:asciiTheme="minorHAnsi" w:hAnsiTheme="minorHAnsi" w:cstheme="minorBidi"/>
          <w:lang w:val="ru-RU"/>
        </w:rPr>
        <w:t xml:space="preserve"> регулярного бюджета на основе модифицированного кассового метода. Исходя из этого, организация достигла активного сальдо по сравнению с</w:t>
      </w:r>
      <w:r w:rsidR="00BA5A57" w:rsidRPr="00521670">
        <w:rPr>
          <w:rFonts w:asciiTheme="minorHAnsi" w:hAnsiTheme="minorHAnsi" w:cstheme="minorBidi"/>
          <w:lang w:val="ru-RU"/>
        </w:rPr>
        <w:t xml:space="preserve">о </w:t>
      </w:r>
      <w:r w:rsidR="00097506" w:rsidRPr="00521670">
        <w:rPr>
          <w:rFonts w:asciiTheme="minorHAnsi" w:hAnsiTheme="minorHAnsi" w:cstheme="minorBidi"/>
          <w:lang w:val="ru-RU"/>
        </w:rPr>
        <w:t xml:space="preserve">средствами </w:t>
      </w:r>
      <w:r w:rsidR="00BA5A57" w:rsidRPr="00521670">
        <w:rPr>
          <w:rFonts w:asciiTheme="minorHAnsi" w:hAnsiTheme="minorHAnsi" w:cstheme="minorBidi"/>
          <w:lang w:val="ru-RU"/>
        </w:rPr>
        <w:t xml:space="preserve">утвержденного </w:t>
      </w:r>
      <w:r w:rsidR="00097506" w:rsidRPr="00521670">
        <w:rPr>
          <w:rFonts w:asciiTheme="minorHAnsi" w:hAnsiTheme="minorHAnsi" w:cstheme="minorBidi"/>
          <w:lang w:val="ru-RU"/>
        </w:rPr>
        <w:t>регулярного бюджета в размере 5,7 млн. швейцарских франков.</w:t>
      </w:r>
    </w:p>
    <w:p w14:paraId="71BA634F" w14:textId="7C4AC077" w:rsidR="004111CD" w:rsidRPr="00521670" w:rsidRDefault="004111CD" w:rsidP="00D86FCF">
      <w:pPr>
        <w:rPr>
          <w:rFonts w:cstheme="minorHAnsi"/>
          <w:lang w:val="ru-RU"/>
        </w:rPr>
      </w:pPr>
      <w:r w:rsidRPr="00521670">
        <w:rPr>
          <w:lang w:val="ru-RU"/>
        </w:rPr>
        <w:t>27</w:t>
      </w:r>
      <w:r w:rsidRPr="00521670">
        <w:rPr>
          <w:lang w:val="ru-RU"/>
        </w:rPr>
        <w:tab/>
      </w:r>
      <w:r w:rsidR="00097506" w:rsidRPr="00521670">
        <w:rPr>
          <w:rFonts w:asciiTheme="minorHAnsi" w:hAnsiTheme="minorHAnsi" w:cstheme="minorBidi"/>
          <w:lang w:val="ru-RU"/>
        </w:rPr>
        <w:t>Сопоставление предусмотренных в бюджете результатов и результатов согласно IPSAS включены в финансовую отчетность (Отчет V). Следует отметить, что отчет о результатах финансовой деятельности (Отчет II) включает другие области, такие как внебюджетные взносы, амортизация и другие структурные различия, которые не включены в бюджет. Отчет V содержит основные различия между бюджетом организации и общими доходами и расходами.</w:t>
      </w:r>
      <w:r w:rsidR="000F24DC" w:rsidRPr="00521670">
        <w:rPr>
          <w:rFonts w:asciiTheme="minorHAnsi" w:hAnsiTheme="minorHAnsi" w:cstheme="minorHAnsi"/>
          <w:lang w:val="ru-RU"/>
        </w:rPr>
        <w:t xml:space="preserve"> </w:t>
      </w:r>
      <w:r w:rsidR="00BA5A57" w:rsidRPr="00521670">
        <w:rPr>
          <w:rFonts w:asciiTheme="minorHAnsi" w:hAnsiTheme="minorHAnsi" w:cstheme="minorHAnsi"/>
          <w:lang w:val="ru-RU"/>
        </w:rPr>
        <w:t>Более подробная информация о сопоставлении предусмотренных в бюджете сумм и фактических сумм содержится в Примечании 21.</w:t>
      </w:r>
    </w:p>
    <w:p w14:paraId="1680B747" w14:textId="3B7A5FC2" w:rsidR="004111CD" w:rsidRPr="00521670" w:rsidRDefault="004E19F3" w:rsidP="004111CD">
      <w:pPr>
        <w:pStyle w:val="Headingb"/>
        <w:rPr>
          <w:lang w:val="ru-RU"/>
        </w:rPr>
      </w:pPr>
      <w:r w:rsidRPr="00521670">
        <w:rPr>
          <w:rFonts w:asciiTheme="minorHAnsi" w:hAnsiTheme="minorHAnsi" w:cstheme="minorHAnsi"/>
          <w:bCs/>
          <w:lang w:val="ru-RU"/>
        </w:rPr>
        <w:t>Ответственность</w:t>
      </w:r>
    </w:p>
    <w:p w14:paraId="6303CFB8" w14:textId="16B6D5D7" w:rsidR="004111CD" w:rsidRPr="00521670" w:rsidRDefault="004111CD" w:rsidP="00D86FCF">
      <w:pPr>
        <w:rPr>
          <w:lang w:val="ru-RU"/>
        </w:rPr>
      </w:pPr>
      <w:r w:rsidRPr="00521670">
        <w:rPr>
          <w:lang w:val="ru-RU"/>
        </w:rPr>
        <w:t>28</w:t>
      </w:r>
      <w:r w:rsidRPr="00521670">
        <w:rPr>
          <w:lang w:val="ru-RU"/>
        </w:rPr>
        <w:tab/>
      </w:r>
      <w:r w:rsidR="000F24DC" w:rsidRPr="00521670">
        <w:rPr>
          <w:lang w:val="ru-RU"/>
        </w:rPr>
        <w:t>Как предусмотрено в Статье 30 Финансового регламента Союза, представленная ниже финансовая отчетность была подготовлена в соответствии со стандартами IPSAS. Финансовая отчетность и примечания к ней являются неотъемлемой частью настоящего документа и правдиво отражают финансовое положение Союза на 31 декабря 2024 года.</w:t>
      </w:r>
    </w:p>
    <w:p w14:paraId="5C4610B9" w14:textId="339174F8" w:rsidR="000F24DC" w:rsidRPr="00521670" w:rsidRDefault="000F24DC" w:rsidP="000F24DC">
      <w:pPr>
        <w:pStyle w:val="enumlev1"/>
        <w:rPr>
          <w:lang w:val="ru-RU"/>
        </w:rPr>
      </w:pPr>
      <w:bookmarkStart w:id="58" w:name="_Toc167956617"/>
      <w:bookmarkStart w:id="59" w:name="_Toc167956856"/>
      <w:bookmarkStart w:id="60" w:name="_Toc167957160"/>
      <w:r w:rsidRPr="00521670">
        <w:rPr>
          <w:lang w:val="ru-RU"/>
        </w:rPr>
        <w:t>I</w:t>
      </w:r>
      <w:r w:rsidRPr="00521670">
        <w:rPr>
          <w:lang w:val="ru-RU"/>
        </w:rPr>
        <w:tab/>
        <w:t>Отчет о финансовом положении по состоянию на 31 декабря 2024 года.</w:t>
      </w:r>
    </w:p>
    <w:p w14:paraId="06FC6CA4" w14:textId="27CC9129" w:rsidR="000F24DC" w:rsidRPr="00521670" w:rsidRDefault="000F24DC" w:rsidP="000F24DC">
      <w:pPr>
        <w:pStyle w:val="enumlev1"/>
        <w:rPr>
          <w:lang w:val="ru-RU"/>
        </w:rPr>
      </w:pPr>
      <w:r w:rsidRPr="00521670">
        <w:rPr>
          <w:lang w:val="ru-RU"/>
        </w:rPr>
        <w:t>II</w:t>
      </w:r>
      <w:r w:rsidRPr="00521670">
        <w:rPr>
          <w:lang w:val="ru-RU"/>
        </w:rPr>
        <w:tab/>
        <w:t>Отчет о результатах финансовой деятельности за год, завершившийся 31 декабря 2024 года.</w:t>
      </w:r>
    </w:p>
    <w:p w14:paraId="1CE0847B" w14:textId="51CBAE58" w:rsidR="000F24DC" w:rsidRPr="00521670" w:rsidRDefault="000F24DC" w:rsidP="000F24DC">
      <w:pPr>
        <w:pStyle w:val="enumlev1"/>
        <w:rPr>
          <w:lang w:val="ru-RU"/>
        </w:rPr>
      </w:pPr>
      <w:r w:rsidRPr="00521670">
        <w:rPr>
          <w:lang w:val="ru-RU"/>
        </w:rPr>
        <w:t>III</w:t>
      </w:r>
      <w:r w:rsidRPr="00521670">
        <w:rPr>
          <w:lang w:val="ru-RU"/>
        </w:rPr>
        <w:tab/>
        <w:t>Отчет об изменениях в чистых активах за год, завершившийся 31 декабря 2024 года.</w:t>
      </w:r>
    </w:p>
    <w:p w14:paraId="6C471F4C" w14:textId="3CEB27C4" w:rsidR="000F24DC" w:rsidRPr="00521670" w:rsidRDefault="000F24DC" w:rsidP="000F24DC">
      <w:pPr>
        <w:pStyle w:val="enumlev1"/>
        <w:rPr>
          <w:lang w:val="ru-RU"/>
        </w:rPr>
      </w:pPr>
      <w:r w:rsidRPr="00521670">
        <w:rPr>
          <w:lang w:val="ru-RU"/>
        </w:rPr>
        <w:t>IV</w:t>
      </w:r>
      <w:r w:rsidRPr="00521670">
        <w:rPr>
          <w:lang w:val="ru-RU"/>
        </w:rPr>
        <w:tab/>
        <w:t>Отчет о движении денежных средств за год, завершившийся 31 декабря 2024 года.</w:t>
      </w:r>
    </w:p>
    <w:p w14:paraId="7F88A4C9" w14:textId="46FD0F08" w:rsidR="000F24DC" w:rsidRPr="00521670" w:rsidRDefault="000F24DC" w:rsidP="000F24DC">
      <w:pPr>
        <w:pStyle w:val="enumlev1"/>
        <w:rPr>
          <w:lang w:val="ru-RU"/>
        </w:rPr>
      </w:pPr>
      <w:r w:rsidRPr="00521670">
        <w:rPr>
          <w:lang w:val="ru-RU"/>
        </w:rPr>
        <w:t>V</w:t>
      </w:r>
      <w:r w:rsidRPr="00521670">
        <w:rPr>
          <w:lang w:val="ru-RU"/>
        </w:rPr>
        <w:tab/>
        <w:t>Отчет о сопоставлении бюджета и фактических сумм за год, завершившийся 31 декабря 2024 года.</w:t>
      </w:r>
    </w:p>
    <w:p w14:paraId="2FAEEF84" w14:textId="148D0CCE" w:rsidR="004111CD" w:rsidRPr="00521670" w:rsidRDefault="00FC48C7" w:rsidP="004111CD">
      <w:pPr>
        <w:pStyle w:val="Headingb"/>
        <w:rPr>
          <w:lang w:val="ru-RU"/>
        </w:rPr>
      </w:pPr>
      <w:r w:rsidRPr="00521670">
        <w:rPr>
          <w:lang w:val="ru-RU"/>
        </w:rPr>
        <w:t>Внешняя аудиторская проверка Союза</w:t>
      </w:r>
      <w:bookmarkEnd w:id="58"/>
      <w:bookmarkEnd w:id="59"/>
      <w:bookmarkEnd w:id="60"/>
    </w:p>
    <w:p w14:paraId="65277816" w14:textId="6734DF9D" w:rsidR="004111CD" w:rsidRPr="00521670" w:rsidRDefault="004111CD" w:rsidP="00D86FCF">
      <w:pPr>
        <w:rPr>
          <w:lang w:val="ru-RU"/>
        </w:rPr>
      </w:pPr>
      <w:r w:rsidRPr="00521670">
        <w:rPr>
          <w:lang w:val="ru-RU"/>
        </w:rPr>
        <w:t>29</w:t>
      </w:r>
      <w:r w:rsidRPr="00521670">
        <w:rPr>
          <w:lang w:val="ru-RU"/>
        </w:rPr>
        <w:tab/>
      </w:r>
      <w:r w:rsidR="000F24DC" w:rsidRPr="00521670">
        <w:rPr>
          <w:rFonts w:asciiTheme="minorHAnsi" w:hAnsiTheme="minorHAnsi"/>
          <w:lang w:val="ru-RU"/>
        </w:rPr>
        <w:t>В соответствии со Статьей 28 Финансового регламента и Финансовых правил, а также в соответствии с Решением 621 Совета 2020 года, Внешним аудитором счетов Союза было назначено Национальное ревизионное управление Соединенного Королевства Великобритании и Северной Ирландии в порядке, определяемом Полномочной конференцией МСЭ, на четырехлетний срок.</w:t>
      </w:r>
    </w:p>
    <w:p w14:paraId="4F639094" w14:textId="62111F99" w:rsidR="004111CD" w:rsidRPr="00521670" w:rsidRDefault="004111CD" w:rsidP="004111CD">
      <w:pPr>
        <w:rPr>
          <w:lang w:val="ru-RU"/>
        </w:rPr>
      </w:pPr>
      <w:r w:rsidRPr="00521670">
        <w:rPr>
          <w:lang w:val="ru-RU"/>
        </w:rPr>
        <w:br w:type="page"/>
      </w:r>
    </w:p>
    <w:p w14:paraId="4E8416F6" w14:textId="77777777" w:rsidR="004111CD" w:rsidRPr="00521670" w:rsidRDefault="004111CD" w:rsidP="004111CD">
      <w:pPr>
        <w:tabs>
          <w:tab w:val="left" w:pos="284"/>
          <w:tab w:val="right" w:pos="5670"/>
          <w:tab w:val="right" w:pos="7655"/>
          <w:tab w:val="left" w:pos="8789"/>
        </w:tabs>
        <w:spacing w:before="720"/>
        <w:jc w:val="center"/>
        <w:rPr>
          <w:b/>
          <w:lang w:val="ru-RU"/>
        </w:rPr>
      </w:pPr>
      <w:bookmarkStart w:id="61" w:name="_Toc131156412"/>
      <w:r w:rsidRPr="00521670">
        <w:rPr>
          <w:noProof/>
          <w:lang w:val="ru-RU" w:eastAsia="zh-CN"/>
        </w:rPr>
        <w:lastRenderedPageBreak/>
        <w:drawing>
          <wp:inline distT="0" distB="0" distL="0" distR="0" wp14:anchorId="7524B7EE" wp14:editId="1CB113D5">
            <wp:extent cx="682402" cy="720000"/>
            <wp:effectExtent l="0" t="0" r="3810" b="4445"/>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p w14:paraId="3C71C34B" w14:textId="32D7B58F" w:rsidR="004111CD" w:rsidRPr="00521670" w:rsidRDefault="004111CD" w:rsidP="004111CD">
      <w:pPr>
        <w:tabs>
          <w:tab w:val="left" w:pos="284"/>
          <w:tab w:val="right" w:pos="5670"/>
          <w:tab w:val="right" w:pos="7655"/>
          <w:tab w:val="left" w:pos="8789"/>
        </w:tabs>
        <w:spacing w:before="3000"/>
        <w:jc w:val="center"/>
        <w:rPr>
          <w:rFonts w:asciiTheme="minorHAnsi" w:hAnsiTheme="minorHAnsi"/>
          <w:sz w:val="26"/>
          <w:szCs w:val="26"/>
          <w:lang w:val="ru-RU"/>
        </w:rPr>
      </w:pPr>
      <w:r w:rsidRPr="00521670">
        <w:rPr>
          <w:rFonts w:asciiTheme="minorHAnsi" w:hAnsiTheme="minorHAnsi"/>
          <w:b/>
          <w:sz w:val="26"/>
          <w:szCs w:val="26"/>
          <w:lang w:val="ru-RU"/>
        </w:rPr>
        <w:t>Заключение о внутреннем контроле за 2024 год</w:t>
      </w:r>
    </w:p>
    <w:p w14:paraId="735DEB9C" w14:textId="77777777" w:rsidR="004111CD" w:rsidRPr="00521670" w:rsidRDefault="004111CD" w:rsidP="004111CD">
      <w:pPr>
        <w:tabs>
          <w:tab w:val="left" w:pos="284"/>
          <w:tab w:val="right" w:pos="5670"/>
          <w:tab w:val="right" w:pos="7655"/>
          <w:tab w:val="left" w:pos="8789"/>
        </w:tabs>
        <w:spacing w:before="1080"/>
        <w:jc w:val="center"/>
        <w:rPr>
          <w:rFonts w:asciiTheme="minorHAnsi" w:hAnsiTheme="minorHAnsi"/>
          <w:b/>
          <w:smallCaps/>
          <w:sz w:val="26"/>
          <w:szCs w:val="26"/>
          <w:lang w:val="ru-RU"/>
        </w:rPr>
      </w:pPr>
      <w:bookmarkStart w:id="62" w:name="lt_pId115"/>
      <w:r w:rsidRPr="00521670">
        <w:rPr>
          <w:rFonts w:asciiTheme="minorHAnsi" w:hAnsiTheme="minorHAnsi"/>
          <w:b/>
          <w:smallCaps/>
          <w:sz w:val="26"/>
          <w:szCs w:val="26"/>
          <w:lang w:val="ru-RU"/>
        </w:rPr>
        <w:t xml:space="preserve">Международный Союз Электросвязи, </w:t>
      </w:r>
      <w:bookmarkEnd w:id="62"/>
      <w:r w:rsidRPr="00521670">
        <w:rPr>
          <w:rFonts w:asciiTheme="minorHAnsi" w:hAnsiTheme="minorHAnsi"/>
          <w:b/>
          <w:smallCaps/>
          <w:sz w:val="26"/>
          <w:szCs w:val="26"/>
          <w:lang w:val="ru-RU"/>
        </w:rPr>
        <w:t>Женева</w:t>
      </w:r>
    </w:p>
    <w:bookmarkEnd w:id="61"/>
    <w:p w14:paraId="45F629AB" w14:textId="77777777" w:rsidR="004111CD" w:rsidRPr="00521670" w:rsidRDefault="004111CD" w:rsidP="006007EC">
      <w:pPr>
        <w:rPr>
          <w:lang w:val="ru-RU"/>
        </w:rPr>
      </w:pPr>
    </w:p>
    <w:p w14:paraId="12E33C7B" w14:textId="4A56E2EC" w:rsidR="006007EC" w:rsidRPr="00521670" w:rsidRDefault="006007EC" w:rsidP="006007EC">
      <w:pPr>
        <w:rPr>
          <w:lang w:val="ru-RU"/>
        </w:rPr>
      </w:pPr>
      <w:r w:rsidRPr="00521670">
        <w:rPr>
          <w:lang w:val="ru-RU"/>
        </w:rPr>
        <w:br w:type="page"/>
      </w:r>
    </w:p>
    <w:p w14:paraId="4DE14FE4" w14:textId="378A3A96" w:rsidR="0023083A" w:rsidRPr="00521670" w:rsidRDefault="0023083A" w:rsidP="0023083A">
      <w:pPr>
        <w:pStyle w:val="Arttitle"/>
        <w:rPr>
          <w:bCs/>
          <w:color w:val="4F81BD" w:themeColor="accent1"/>
          <w:lang w:val="ru-RU"/>
        </w:rPr>
      </w:pPr>
      <w:bookmarkStart w:id="63" w:name="_Toc167956618"/>
      <w:bookmarkStart w:id="64" w:name="_Toc167956857"/>
      <w:bookmarkStart w:id="65" w:name="_Toc167957161"/>
      <w:bookmarkStart w:id="66" w:name="_Toc200469514"/>
      <w:r w:rsidRPr="00521670">
        <w:rPr>
          <w:bCs/>
          <w:color w:val="4F81BD" w:themeColor="accent1"/>
          <w:lang w:val="ru-RU"/>
        </w:rPr>
        <w:lastRenderedPageBreak/>
        <w:t>Заключение о внутреннем контроле за 2024 год</w:t>
      </w:r>
      <w:bookmarkEnd w:id="63"/>
      <w:bookmarkEnd w:id="64"/>
      <w:bookmarkEnd w:id="65"/>
      <w:bookmarkEnd w:id="66"/>
    </w:p>
    <w:p w14:paraId="5C941BFD" w14:textId="496AE81C" w:rsidR="0023083A" w:rsidRPr="00521670" w:rsidRDefault="001D1347" w:rsidP="0023083A">
      <w:pPr>
        <w:pStyle w:val="Headingb"/>
        <w:rPr>
          <w:color w:val="4F81BD" w:themeColor="accent1"/>
          <w:lang w:val="ru-RU"/>
        </w:rPr>
      </w:pPr>
      <w:r w:rsidRPr="00521670">
        <w:rPr>
          <w:bCs/>
          <w:color w:val="4F81BD" w:themeColor="accent1"/>
          <w:lang w:val="ru-RU"/>
        </w:rPr>
        <w:t>Введение</w:t>
      </w:r>
    </w:p>
    <w:p w14:paraId="33238611" w14:textId="64708AFC" w:rsidR="0023083A" w:rsidRPr="00521670" w:rsidRDefault="00C54083" w:rsidP="0023083A">
      <w:pPr>
        <w:rPr>
          <w:rFonts w:eastAsia="SimSun"/>
          <w:lang w:val="ru-RU" w:eastAsia="zh-CN"/>
        </w:rPr>
      </w:pPr>
      <w:bookmarkStart w:id="67" w:name="lt_pId118"/>
      <w:r w:rsidRPr="00521670">
        <w:rPr>
          <w:rFonts w:eastAsia="SimSun"/>
          <w:lang w:val="ru-RU" w:eastAsia="zh-CN"/>
        </w:rPr>
        <w:t>Являясь Генеральным секретарем, я отвечаю за управление МСЭ в целях обеспечения выполнения его мандата, программ и ведения иной деятельности. В соответствии с пунктами 73</w:t>
      </w:r>
      <w:r w:rsidRPr="00521670">
        <w:rPr>
          <w:rFonts w:eastAsia="SimSun"/>
          <w:i/>
          <w:iCs/>
          <w:lang w:val="ru-RU" w:eastAsia="zh-CN"/>
        </w:rPr>
        <w:t>bis</w:t>
      </w:r>
      <w:r w:rsidRPr="00521670">
        <w:rPr>
          <w:rFonts w:eastAsia="SimSun"/>
          <w:lang w:val="ru-RU" w:eastAsia="zh-CN"/>
        </w:rPr>
        <w:t xml:space="preserve"> и 75 Устава (Статья 11), а также Финансовым регламентом и Финансовыми правилами на меня возложены обязанности</w:t>
      </w:r>
      <w:r w:rsidR="00C0370B" w:rsidRPr="00521670">
        <w:rPr>
          <w:rFonts w:eastAsia="SimSun"/>
          <w:lang w:val="ru-RU" w:eastAsia="zh-CN"/>
        </w:rPr>
        <w:t xml:space="preserve"> по</w:t>
      </w:r>
      <w:r w:rsidRPr="00521670">
        <w:rPr>
          <w:rFonts w:eastAsia="SimSun"/>
          <w:lang w:val="ru-RU" w:eastAsia="zh-CN"/>
        </w:rPr>
        <w:t xml:space="preserve"> поддержани</w:t>
      </w:r>
      <w:r w:rsidR="00C0370B" w:rsidRPr="00521670">
        <w:rPr>
          <w:rFonts w:eastAsia="SimSun"/>
          <w:lang w:val="ru-RU" w:eastAsia="zh-CN"/>
        </w:rPr>
        <w:t>ю</w:t>
      </w:r>
      <w:r w:rsidRPr="00521670">
        <w:rPr>
          <w:rFonts w:eastAsia="SimSun"/>
          <w:lang w:val="ru-RU" w:eastAsia="zh-CN"/>
        </w:rPr>
        <w:t xml:space="preserve"> системы внутреннего контроля, предназначенной для обеспечения достаточных гарантий выполнения задач </w:t>
      </w:r>
      <w:r w:rsidR="00C0370B" w:rsidRPr="00521670">
        <w:rPr>
          <w:rFonts w:eastAsia="SimSun"/>
          <w:lang w:val="ru-RU" w:eastAsia="zh-CN"/>
        </w:rPr>
        <w:t>МСЭ, к которым относятся обеспечение</w:t>
      </w:r>
      <w:r w:rsidRPr="00521670">
        <w:rPr>
          <w:rFonts w:eastAsia="SimSun"/>
          <w:lang w:val="ru-RU" w:eastAsia="zh-CN"/>
        </w:rPr>
        <w:t xml:space="preserve"> надежной финансовой и нефинансовой отчетности</w:t>
      </w:r>
      <w:r w:rsidR="00C0370B" w:rsidRPr="00521670">
        <w:rPr>
          <w:rFonts w:eastAsia="SimSun"/>
          <w:lang w:val="ru-RU" w:eastAsia="zh-CN"/>
        </w:rPr>
        <w:t>;</w:t>
      </w:r>
      <w:r w:rsidRPr="00521670">
        <w:rPr>
          <w:rFonts w:eastAsia="SimSun"/>
          <w:lang w:val="ru-RU" w:eastAsia="zh-CN"/>
        </w:rPr>
        <w:t xml:space="preserve"> эффективные и действенные операции</w:t>
      </w:r>
      <w:r w:rsidR="00C0370B" w:rsidRPr="00521670">
        <w:rPr>
          <w:rFonts w:eastAsia="SimSun"/>
          <w:lang w:val="ru-RU" w:eastAsia="zh-CN"/>
        </w:rPr>
        <w:t>;</w:t>
      </w:r>
      <w:r w:rsidRPr="00521670">
        <w:rPr>
          <w:rFonts w:eastAsia="SimSun"/>
          <w:lang w:val="ru-RU" w:eastAsia="zh-CN"/>
        </w:rPr>
        <w:t xml:space="preserve"> соблюдение нормативных положений, правил, служебных приказов и политики</w:t>
      </w:r>
      <w:r w:rsidR="00C0370B" w:rsidRPr="00521670">
        <w:rPr>
          <w:rFonts w:eastAsia="SimSun"/>
          <w:lang w:val="ru-RU" w:eastAsia="zh-CN"/>
        </w:rPr>
        <w:t xml:space="preserve">; и </w:t>
      </w:r>
      <w:r w:rsidRPr="00521670">
        <w:rPr>
          <w:rFonts w:eastAsia="SimSun"/>
          <w:lang w:val="ru-RU" w:eastAsia="zh-CN"/>
        </w:rPr>
        <w:t>предотвращени</w:t>
      </w:r>
      <w:r w:rsidR="00C0370B" w:rsidRPr="00521670">
        <w:rPr>
          <w:rFonts w:eastAsia="SimSun"/>
          <w:lang w:val="ru-RU" w:eastAsia="zh-CN"/>
        </w:rPr>
        <w:t>е</w:t>
      </w:r>
      <w:r w:rsidRPr="00521670">
        <w:rPr>
          <w:rFonts w:eastAsia="SimSun"/>
          <w:lang w:val="ru-RU" w:eastAsia="zh-CN"/>
        </w:rPr>
        <w:t xml:space="preserve"> и обнаружени</w:t>
      </w:r>
      <w:r w:rsidR="00C0370B" w:rsidRPr="00521670">
        <w:rPr>
          <w:rFonts w:eastAsia="SimSun"/>
          <w:lang w:val="ru-RU" w:eastAsia="zh-CN"/>
        </w:rPr>
        <w:t>е</w:t>
      </w:r>
      <w:r w:rsidRPr="00521670">
        <w:rPr>
          <w:rFonts w:eastAsia="SimSun"/>
          <w:lang w:val="ru-RU" w:eastAsia="zh-CN"/>
        </w:rPr>
        <w:t xml:space="preserve"> мошеннических действий.</w:t>
      </w:r>
    </w:p>
    <w:p w14:paraId="74DB11EA" w14:textId="5C3B2098" w:rsidR="0023083A" w:rsidRPr="00521670" w:rsidRDefault="0014763C" w:rsidP="0023083A">
      <w:pPr>
        <w:rPr>
          <w:rFonts w:eastAsia="SimSun"/>
          <w:lang w:val="ru-RU" w:eastAsia="zh-CN"/>
        </w:rPr>
      </w:pPr>
      <w:r w:rsidRPr="00521670">
        <w:rPr>
          <w:rFonts w:eastAsia="SimSun"/>
          <w:lang w:val="ru-RU" w:eastAsia="zh-CN"/>
        </w:rPr>
        <w:t>Вступив в должность Генерального секретаря в январе 2023 года, я приступила к работе по преобразованию МСЭ для решения быстро меняющихся оперативных задач по поддержанию и улучшению предоставления услуг.</w:t>
      </w:r>
      <w:r w:rsidR="004745BE" w:rsidRPr="00521670">
        <w:rPr>
          <w:rFonts w:eastAsia="SimSun"/>
          <w:lang w:val="ru-RU" w:eastAsia="zh-CN"/>
        </w:rPr>
        <w:t xml:space="preserve"> Речь, в частности, идет</w:t>
      </w:r>
      <w:r w:rsidRPr="00521670">
        <w:rPr>
          <w:rFonts w:eastAsia="SimSun"/>
          <w:lang w:val="ru-RU" w:eastAsia="zh-CN"/>
        </w:rPr>
        <w:t xml:space="preserve"> </w:t>
      </w:r>
      <w:r w:rsidR="004745BE" w:rsidRPr="00521670">
        <w:rPr>
          <w:rFonts w:eastAsia="SimSun"/>
          <w:lang w:val="ru-RU" w:eastAsia="zh-CN"/>
        </w:rPr>
        <w:t>о содействии формированию культуры подотчетности и прозрачности на рабочем месте; усовершенствовании информационных систем; внедрении управления рисками в бизнес-процессы; укреплении системы внутреннего контроля и повышении эффективности учета рекомендаций независимых поставщиков услуг.</w:t>
      </w:r>
    </w:p>
    <w:p w14:paraId="671AC99D" w14:textId="3C27B2F9" w:rsidR="0023083A" w:rsidRPr="00521670" w:rsidRDefault="00F74F2A" w:rsidP="0023083A">
      <w:pPr>
        <w:rPr>
          <w:rFonts w:cstheme="minorHAnsi"/>
          <w:lang w:val="ru-RU"/>
        </w:rPr>
      </w:pPr>
      <w:r w:rsidRPr="00521670">
        <w:rPr>
          <w:rFonts w:eastAsia="SimSun"/>
          <w:lang w:val="ru-RU" w:eastAsia="zh-CN"/>
        </w:rPr>
        <w:t xml:space="preserve">Дорожная карта трансформации была утверждена Советом в 2024 году. Цель этих преобразований </w:t>
      </w:r>
      <w:r w:rsidR="00A531A3" w:rsidRPr="00521670">
        <w:rPr>
          <w:rFonts w:eastAsia="SimSun"/>
          <w:lang w:val="ru-RU" w:eastAsia="zh-CN"/>
        </w:rPr>
        <w:t>−</w:t>
      </w:r>
      <w:r w:rsidRPr="00521670">
        <w:rPr>
          <w:rFonts w:eastAsia="SimSun"/>
          <w:lang w:val="ru-RU" w:eastAsia="zh-CN"/>
        </w:rPr>
        <w:t xml:space="preserve"> подготовить организацию к будущим потребностям в стремительно меняющ</w:t>
      </w:r>
      <w:r w:rsidR="009D111D" w:rsidRPr="00521670">
        <w:rPr>
          <w:rFonts w:eastAsia="SimSun"/>
          <w:lang w:val="ru-RU" w:eastAsia="zh-CN"/>
        </w:rPr>
        <w:t>емся</w:t>
      </w:r>
      <w:r w:rsidRPr="00521670">
        <w:rPr>
          <w:rFonts w:eastAsia="SimSun"/>
          <w:lang w:val="ru-RU" w:eastAsia="zh-CN"/>
        </w:rPr>
        <w:t xml:space="preserve"> технологическ</w:t>
      </w:r>
      <w:r w:rsidR="009D111D" w:rsidRPr="00521670">
        <w:rPr>
          <w:rFonts w:eastAsia="SimSun"/>
          <w:lang w:val="ru-RU" w:eastAsia="zh-CN"/>
        </w:rPr>
        <w:t>ом</w:t>
      </w:r>
      <w:r w:rsidRPr="00521670">
        <w:rPr>
          <w:rFonts w:eastAsia="SimSun"/>
          <w:lang w:val="ru-RU" w:eastAsia="zh-CN"/>
        </w:rPr>
        <w:t xml:space="preserve"> </w:t>
      </w:r>
      <w:r w:rsidR="009D111D" w:rsidRPr="00521670">
        <w:rPr>
          <w:rFonts w:eastAsia="SimSun"/>
          <w:lang w:val="ru-RU" w:eastAsia="zh-CN"/>
        </w:rPr>
        <w:t>контексте</w:t>
      </w:r>
      <w:r w:rsidRPr="00521670">
        <w:rPr>
          <w:rFonts w:eastAsia="SimSun"/>
          <w:lang w:val="ru-RU" w:eastAsia="zh-CN"/>
        </w:rPr>
        <w:t>. Этому процессу способствуют проводники перемен в различных подразделениях организации. В сентябре 2024 года для содействия координации усилий по трансформации был назначен руководитель Группы по трансформации. В этих целях была внедрена информационная панель по трансформации, предоставляющая Государствам</w:t>
      </w:r>
      <w:r w:rsidR="00892891" w:rsidRPr="00521670">
        <w:rPr>
          <w:rFonts w:eastAsia="SimSun"/>
          <w:lang w:val="ru-RU" w:eastAsia="zh-CN"/>
        </w:rPr>
        <w:t>­</w:t>
      </w:r>
      <w:r w:rsidRPr="00521670">
        <w:rPr>
          <w:rFonts w:eastAsia="SimSun"/>
          <w:lang w:val="ru-RU" w:eastAsia="zh-CN"/>
        </w:rPr>
        <w:t xml:space="preserve">Членам и другим заинтересованным сторонам актуальные данные о ходе работы по трансформации. </w:t>
      </w:r>
      <w:r w:rsidR="009D111D" w:rsidRPr="00521670">
        <w:rPr>
          <w:rFonts w:eastAsia="SimSun"/>
          <w:lang w:val="ru-RU" w:eastAsia="zh-CN"/>
        </w:rPr>
        <w:t>Целью процесса трансформации являются в первую очередь</w:t>
      </w:r>
      <w:r w:rsidRPr="00521670">
        <w:rPr>
          <w:rFonts w:eastAsia="SimSun"/>
          <w:lang w:val="ru-RU" w:eastAsia="zh-CN"/>
        </w:rPr>
        <w:t xml:space="preserve"> административные процессы, вспомогательные системы и средства внутреннего контроля, однако </w:t>
      </w:r>
      <w:r w:rsidR="009D111D" w:rsidRPr="00521670">
        <w:rPr>
          <w:rFonts w:eastAsia="SimSun"/>
          <w:lang w:val="ru-RU" w:eastAsia="zh-CN"/>
        </w:rPr>
        <w:t xml:space="preserve">это </w:t>
      </w:r>
      <w:r w:rsidRPr="00521670">
        <w:rPr>
          <w:rFonts w:eastAsia="SimSun"/>
          <w:lang w:val="ru-RU" w:eastAsia="zh-CN"/>
        </w:rPr>
        <w:t>требует общеорганизационных действий с привлечением всех сотрудников.</w:t>
      </w:r>
    </w:p>
    <w:bookmarkEnd w:id="67"/>
    <w:p w14:paraId="09B58366" w14:textId="5A09D4BF" w:rsidR="0023083A" w:rsidRPr="00521670" w:rsidRDefault="00F42DAA" w:rsidP="0023083A">
      <w:pPr>
        <w:pStyle w:val="Headingb"/>
        <w:rPr>
          <w:color w:val="4F81BD" w:themeColor="accent1"/>
          <w:lang w:val="ru-RU"/>
        </w:rPr>
      </w:pPr>
      <w:r w:rsidRPr="00521670">
        <w:rPr>
          <w:bCs/>
          <w:color w:val="4F81BD" w:themeColor="accent1"/>
          <w:lang w:val="ru-RU"/>
        </w:rPr>
        <w:t>Эффективность системы внутреннего контроля и постоянное совершенствование</w:t>
      </w:r>
    </w:p>
    <w:p w14:paraId="50675B57" w14:textId="1843469B" w:rsidR="0023083A" w:rsidRPr="00521670" w:rsidRDefault="00F42DAA" w:rsidP="0023083A">
      <w:pPr>
        <w:rPr>
          <w:lang w:val="ru-RU"/>
        </w:rPr>
      </w:pPr>
      <w:bookmarkStart w:id="68" w:name="lt_pId128"/>
      <w:r w:rsidRPr="00521670">
        <w:rPr>
          <w:lang w:val="ru-RU"/>
        </w:rPr>
        <w:t>В процессе оценки и совершенствования системы внутреннего контроля МСЭ все больше опирается на Комплексную систему внутреннего контроля, разработанную Комитетом организаций − спонсоров Комиссии Тредуэя (COSO), которая легла в основу модели и системы подотчетности МСЭ, одобренных Советом в 2022 году. В системе COSO выделяются пять взаимосвязанных компонентов: 1) среда контроля; 2) оценка рисков; 3) деятельность по контролю; 4) информационно-коммуникационная деятельность; 5) деятельность по мониторингу контроля.</w:t>
      </w:r>
    </w:p>
    <w:p w14:paraId="2827FC56" w14:textId="6BA9B7CC" w:rsidR="0023083A" w:rsidRPr="00521670" w:rsidRDefault="00F42DAA" w:rsidP="0023083A">
      <w:pPr>
        <w:rPr>
          <w:lang w:val="ru-RU"/>
        </w:rPr>
      </w:pPr>
      <w:r w:rsidRPr="00521670">
        <w:rPr>
          <w:lang w:val="ru-RU"/>
        </w:rPr>
        <w:t xml:space="preserve">Как и в предыдущие годы, были направлены внутренние сопроводительные от избираемых должностных лиц и старших руководителей, которым я делегировала полномочия и ответственность в соответствии с Финансовым регламентом и Финансовыми правилами и Положениями и Правилами о персонале для эффективного управления средствами внутреннего </w:t>
      </w:r>
      <w:r w:rsidR="009C3005" w:rsidRPr="00521670">
        <w:rPr>
          <w:lang w:val="ru-RU"/>
        </w:rPr>
        <w:t xml:space="preserve">контроля </w:t>
      </w:r>
      <w:r w:rsidRPr="00521670">
        <w:rPr>
          <w:lang w:val="ru-RU"/>
        </w:rPr>
        <w:t xml:space="preserve">в рамках их сфер полномочий. </w:t>
      </w:r>
      <w:r w:rsidR="00210E97" w:rsidRPr="00521670">
        <w:rPr>
          <w:lang w:val="ru-RU"/>
        </w:rPr>
        <w:t xml:space="preserve">В прошлом внутренние сопроводительные письма </w:t>
      </w:r>
      <w:r w:rsidR="009C3005" w:rsidRPr="00521670">
        <w:rPr>
          <w:lang w:val="ru-RU"/>
        </w:rPr>
        <w:t>направлялись</w:t>
      </w:r>
      <w:r w:rsidR="00210E97" w:rsidRPr="00521670">
        <w:rPr>
          <w:lang w:val="ru-RU"/>
        </w:rPr>
        <w:t xml:space="preserve"> главным образом </w:t>
      </w:r>
      <w:r w:rsidR="009C3005" w:rsidRPr="00521670">
        <w:rPr>
          <w:lang w:val="ru-RU"/>
        </w:rPr>
        <w:t>по вопросам управления</w:t>
      </w:r>
      <w:r w:rsidR="00210E97" w:rsidRPr="00521670">
        <w:rPr>
          <w:lang w:val="ru-RU"/>
        </w:rPr>
        <w:t xml:space="preserve"> средствами и связанным с этим финансовым вопросам. Но в 2024 финансовом году в соответствии с пятью компонентами системы COSO объем информации, запрашиваемой в рамках данно</w:t>
      </w:r>
      <w:r w:rsidR="009750FF" w:rsidRPr="00521670">
        <w:rPr>
          <w:lang w:val="ru-RU"/>
        </w:rPr>
        <w:t>й</w:t>
      </w:r>
      <w:r w:rsidR="00210E97" w:rsidRPr="00521670">
        <w:rPr>
          <w:lang w:val="ru-RU"/>
        </w:rPr>
        <w:t xml:space="preserve"> </w:t>
      </w:r>
      <w:r w:rsidR="009750FF" w:rsidRPr="00521670">
        <w:rPr>
          <w:lang w:val="ru-RU"/>
        </w:rPr>
        <w:t>процедуры</w:t>
      </w:r>
      <w:r w:rsidR="00210E97" w:rsidRPr="00521670">
        <w:rPr>
          <w:lang w:val="ru-RU"/>
        </w:rPr>
        <w:t>, был расширен с целью получить их подтверждения в отношении применения системы внутреннего контроля в более широком смысле.</w:t>
      </w:r>
      <w:r w:rsidR="00A668CA" w:rsidRPr="00521670">
        <w:rPr>
          <w:lang w:val="ru-RU"/>
        </w:rPr>
        <w:t xml:space="preserve"> Такие более </w:t>
      </w:r>
      <w:r w:rsidR="00EC11BC" w:rsidRPr="00521670">
        <w:rPr>
          <w:lang w:val="ru-RU"/>
        </w:rPr>
        <w:t>развернутые</w:t>
      </w:r>
      <w:r w:rsidR="00A668CA" w:rsidRPr="00521670">
        <w:rPr>
          <w:lang w:val="ru-RU"/>
        </w:rPr>
        <w:t xml:space="preserve"> оценки были необходимы не только для того, чтобы лучше обосновать данный Отчет, но и для того, чтобы лучше организовать работу по совершенствованию системы внутреннего контроля.</w:t>
      </w:r>
    </w:p>
    <w:p w14:paraId="21084004" w14:textId="47EE807E" w:rsidR="0023083A" w:rsidRPr="00521670" w:rsidRDefault="009750FF" w:rsidP="0023083A">
      <w:pPr>
        <w:rPr>
          <w:rFonts w:eastAsiaTheme="majorEastAsia"/>
          <w:lang w:val="ru-RU"/>
        </w:rPr>
      </w:pPr>
      <w:r w:rsidRPr="00521670">
        <w:rPr>
          <w:rFonts w:eastAsiaTheme="majorEastAsia"/>
          <w:lang w:val="ru-RU"/>
        </w:rPr>
        <w:lastRenderedPageBreak/>
        <w:t xml:space="preserve">Хотя результаты этого нового компонента самооценки в рамках процедуры представления сопроводительных писем подтверждают мнение о том, что в большинстве областей средства внутреннего контроля являются адекватными, данное мероприятие не охватывало вопросы, касающиеся делегирования полномочий. </w:t>
      </w:r>
      <w:r w:rsidR="003D0104" w:rsidRPr="00521670">
        <w:rPr>
          <w:rFonts w:eastAsiaTheme="majorEastAsia"/>
          <w:lang w:val="ru-RU"/>
        </w:rPr>
        <w:t>По мере продолжения работы по дальнейшему укреплению механизмов внутреннего контроля МСЭ должен также далее взаимодействовать с руководителями, разъясняя им цели процедуры представления сопроводительных писем, поскольку их мнение необходимо для выявления слабых мест и областей, требующих улучшения в рамках организации.</w:t>
      </w:r>
    </w:p>
    <w:p w14:paraId="392C8BC2" w14:textId="6840FEA9" w:rsidR="0023083A" w:rsidRPr="00521670" w:rsidRDefault="003D0104" w:rsidP="0023083A">
      <w:pPr>
        <w:rPr>
          <w:lang w:val="ru-RU"/>
        </w:rPr>
      </w:pPr>
      <w:r w:rsidRPr="00521670">
        <w:rPr>
          <w:rFonts w:eastAsiaTheme="majorEastAsia"/>
          <w:lang w:val="ru-RU"/>
        </w:rPr>
        <w:t xml:space="preserve">МСЭ добился улучшений в ряде областей, в частности в найме на работу руководителя нового </w:t>
      </w:r>
      <w:r w:rsidR="00DB6A01" w:rsidRPr="00521670">
        <w:rPr>
          <w:rFonts w:eastAsiaTheme="majorEastAsia"/>
          <w:lang w:val="ru-RU"/>
        </w:rPr>
        <w:t>П</w:t>
      </w:r>
      <w:r w:rsidRPr="00521670">
        <w:rPr>
          <w:rFonts w:eastAsiaTheme="majorEastAsia"/>
          <w:lang w:val="ru-RU"/>
        </w:rPr>
        <w:t xml:space="preserve">одразделения по надзору; усовершенствовал финансовую отчетность; оптимизировал управление в области </w:t>
      </w:r>
      <w:r w:rsidR="00A531A3" w:rsidRPr="00521670">
        <w:rPr>
          <w:rFonts w:eastAsiaTheme="majorEastAsia"/>
          <w:lang w:val="ru-RU"/>
        </w:rPr>
        <w:t xml:space="preserve">соглашений о </w:t>
      </w:r>
      <w:r w:rsidR="002E47E6" w:rsidRPr="00521670">
        <w:rPr>
          <w:rFonts w:eastAsiaTheme="majorEastAsia"/>
          <w:lang w:val="ru-RU"/>
        </w:rPr>
        <w:t xml:space="preserve">специальных </w:t>
      </w:r>
      <w:r w:rsidRPr="00521670">
        <w:rPr>
          <w:rFonts w:eastAsiaTheme="majorEastAsia"/>
          <w:lang w:val="ru-RU"/>
        </w:rPr>
        <w:t xml:space="preserve">услугах (SSA); продолжил работу по выполнению оставшихся </w:t>
      </w:r>
      <w:r w:rsidR="00DB6A01" w:rsidRPr="00521670">
        <w:rPr>
          <w:rFonts w:eastAsiaTheme="majorEastAsia"/>
          <w:lang w:val="ru-RU"/>
        </w:rPr>
        <w:t xml:space="preserve">невыполненными </w:t>
      </w:r>
      <w:r w:rsidRPr="00521670">
        <w:rPr>
          <w:rFonts w:eastAsiaTheme="majorEastAsia"/>
          <w:lang w:val="ru-RU"/>
        </w:rPr>
        <w:t xml:space="preserve">рекомендаций </w:t>
      </w:r>
      <w:r w:rsidR="00A82F6C" w:rsidRPr="00521670">
        <w:rPr>
          <w:rFonts w:eastAsiaTheme="majorEastAsia"/>
          <w:lang w:val="ru-RU"/>
        </w:rPr>
        <w:t>надзорных органов</w:t>
      </w:r>
      <w:r w:rsidRPr="00521670">
        <w:rPr>
          <w:rFonts w:eastAsiaTheme="majorEastAsia"/>
          <w:lang w:val="ru-RU"/>
        </w:rPr>
        <w:t xml:space="preserve">; </w:t>
      </w:r>
      <w:r w:rsidR="00DB6A01" w:rsidRPr="00521670">
        <w:rPr>
          <w:rFonts w:eastAsiaTheme="majorEastAsia"/>
          <w:lang w:val="ru-RU"/>
        </w:rPr>
        <w:t>внедрил</w:t>
      </w:r>
      <w:r w:rsidRPr="00521670">
        <w:rPr>
          <w:rFonts w:eastAsiaTheme="majorEastAsia"/>
          <w:lang w:val="ru-RU"/>
        </w:rPr>
        <w:t xml:space="preserve"> политику обязательной профессиональной подготовки; и укрепил систему управления информационно-коммуникационными технологиями. Вместе с тем </w:t>
      </w:r>
      <w:r w:rsidR="002E7FB0" w:rsidRPr="00521670">
        <w:rPr>
          <w:rFonts w:eastAsiaTheme="majorEastAsia"/>
          <w:lang w:val="ru-RU"/>
        </w:rPr>
        <w:t>требуются последовательные усилия, для того чтобы обеспечить более систематическое внедрение управления рисками в бизнес-процессы, мониторинг средств внутреннего контроля и финансовую подотчетность.</w:t>
      </w:r>
    </w:p>
    <w:p w14:paraId="0CB36724" w14:textId="7A15AB43" w:rsidR="00D85935" w:rsidRPr="00521670" w:rsidRDefault="00202A07" w:rsidP="00202A07">
      <w:pPr>
        <w:pStyle w:val="Heading1"/>
        <w:rPr>
          <w:color w:val="4F81BD" w:themeColor="accent1"/>
          <w:lang w:val="ru-RU"/>
        </w:rPr>
      </w:pPr>
      <w:bookmarkStart w:id="69" w:name="_Toc200469139"/>
      <w:bookmarkStart w:id="70" w:name="_Toc200469262"/>
      <w:bookmarkStart w:id="71" w:name="_Toc200469515"/>
      <w:bookmarkEnd w:id="68"/>
      <w:r w:rsidRPr="00521670">
        <w:rPr>
          <w:color w:val="4F81BD" w:themeColor="accent1"/>
          <w:lang w:val="ru-RU"/>
        </w:rPr>
        <w:t>1</w:t>
      </w:r>
      <w:r w:rsidRPr="00521670">
        <w:rPr>
          <w:color w:val="4F81BD" w:themeColor="accent1"/>
          <w:lang w:val="ru-RU"/>
        </w:rPr>
        <w:tab/>
      </w:r>
      <w:r w:rsidR="002E7FB0" w:rsidRPr="00521670">
        <w:rPr>
          <w:color w:val="4F81BD" w:themeColor="accent1"/>
          <w:lang w:val="ru-RU"/>
        </w:rPr>
        <w:t>Среда контроля</w:t>
      </w:r>
      <w:bookmarkEnd w:id="69"/>
      <w:bookmarkEnd w:id="70"/>
      <w:bookmarkEnd w:id="71"/>
    </w:p>
    <w:p w14:paraId="598875EA" w14:textId="27F7312F" w:rsidR="00D85935" w:rsidRPr="00521670" w:rsidRDefault="002E7FB0" w:rsidP="00202A07">
      <w:pPr>
        <w:rPr>
          <w:lang w:val="ru-RU"/>
        </w:rPr>
      </w:pPr>
      <w:r w:rsidRPr="00521670">
        <w:rPr>
          <w:b/>
          <w:bCs/>
          <w:i/>
          <w:iCs/>
          <w:lang w:val="ru-RU"/>
        </w:rPr>
        <w:t>Добросовестность и конфликт интересов</w:t>
      </w:r>
      <w:r w:rsidR="00D85935" w:rsidRPr="00521670">
        <w:rPr>
          <w:i/>
          <w:iCs/>
          <w:lang w:val="ru-RU"/>
        </w:rPr>
        <w:t xml:space="preserve">. </w:t>
      </w:r>
      <w:r w:rsidRPr="00521670">
        <w:rPr>
          <w:lang w:val="ru-RU"/>
        </w:rPr>
        <w:t>Руководящее звено задает "тон сверху", демонстрируя нашу приверженность принципам добросовестности и содействуя формированию строгой этической культуры в соответствии с регуляторной базой МСЭ. Тем не менее высшее руководство не теряет бдительности. Поэтому в соответствии с требованиями Политики МСЭ</w:t>
      </w:r>
      <w:r w:rsidR="002E47E6" w:rsidRPr="00521670">
        <w:rPr>
          <w:lang w:val="ru-RU"/>
        </w:rPr>
        <w:t xml:space="preserve"> в области представления заявлений о заинтересованности все сотрудники МСЭ ежегодно представляют</w:t>
      </w:r>
      <w:r w:rsidR="002E47E6" w:rsidRPr="00521670">
        <w:rPr>
          <w:rFonts w:ascii="Segoe UI" w:hAnsi="Segoe UI" w:cs="Segoe UI"/>
          <w:color w:val="000000"/>
          <w:sz w:val="20"/>
          <w:shd w:val="clear" w:color="auto" w:fill="FFFFFF"/>
          <w:lang w:val="ru-RU"/>
        </w:rPr>
        <w:t xml:space="preserve"> </w:t>
      </w:r>
      <w:r w:rsidR="002E47E6" w:rsidRPr="00521670">
        <w:rPr>
          <w:lang w:val="ru-RU"/>
        </w:rPr>
        <w:t>декларацию об интересах и заявление о соответствии, которые рассматриваются Управлением по вопросам этики.</w:t>
      </w:r>
      <w:r w:rsidRPr="00521670">
        <w:rPr>
          <w:lang w:val="ru-RU"/>
        </w:rPr>
        <w:t xml:space="preserve"> </w:t>
      </w:r>
      <w:r w:rsidR="002E47E6" w:rsidRPr="00521670">
        <w:rPr>
          <w:lang w:val="ru-RU"/>
        </w:rPr>
        <w:t xml:space="preserve">Политика распространяется также на лиц, работающих на основании </w:t>
      </w:r>
      <w:r w:rsidR="00A531A3" w:rsidRPr="00521670">
        <w:rPr>
          <w:lang w:val="ru-RU"/>
        </w:rPr>
        <w:t xml:space="preserve">соглашений о </w:t>
      </w:r>
      <w:r w:rsidR="002E47E6" w:rsidRPr="00521670">
        <w:rPr>
          <w:lang w:val="ru-RU"/>
        </w:rPr>
        <w:t>специальных услугах (SSA), с соответствующими руководящими указаниями в отношении конфликта интересов.</w:t>
      </w:r>
      <w:r w:rsidRPr="00521670">
        <w:rPr>
          <w:lang w:val="ru-RU"/>
        </w:rPr>
        <w:t xml:space="preserve"> </w:t>
      </w:r>
      <w:r w:rsidR="002E47E6" w:rsidRPr="00521670">
        <w:rPr>
          <w:lang w:val="ru-RU"/>
        </w:rPr>
        <w:t>Кроме того, введены новые процедуры для укрепления управления в области контрактов SSA, включая подтверждение руководителями результатов работы до ее оплаты.</w:t>
      </w:r>
    </w:p>
    <w:p w14:paraId="632087CB" w14:textId="0E0A40F6" w:rsidR="00D85935" w:rsidRPr="00521670" w:rsidRDefault="002E47E6" w:rsidP="00202A07">
      <w:pPr>
        <w:rPr>
          <w:lang w:val="ru-RU"/>
        </w:rPr>
      </w:pPr>
      <w:r w:rsidRPr="00521670">
        <w:rPr>
          <w:b/>
          <w:bCs/>
          <w:i/>
          <w:iCs/>
          <w:lang w:val="ru-RU"/>
        </w:rPr>
        <w:t>Борьба с неправомерными действиями</w:t>
      </w:r>
      <w:r w:rsidR="00D85935" w:rsidRPr="00521670">
        <w:rPr>
          <w:lang w:val="ru-RU"/>
        </w:rPr>
        <w:t xml:space="preserve">. </w:t>
      </w:r>
      <w:r w:rsidR="00F87BB9" w:rsidRPr="00521670">
        <w:rPr>
          <w:lang w:val="ru-RU"/>
        </w:rPr>
        <w:t>Старшие должностные лица, с которыми проводились консультации в рамках процедуры представления сопроводительных писем, сочли надлежащими каналы, используемые для сообщения о предполагаемых неправомерных действиях, включая подозрение в мошенничестве и связанной с ним запрещенной практике. В</w:t>
      </w:r>
      <w:r w:rsidR="00892891" w:rsidRPr="00521670">
        <w:rPr>
          <w:lang w:val="ru-RU"/>
        </w:rPr>
        <w:t> </w:t>
      </w:r>
      <w:r w:rsidR="00F87BB9" w:rsidRPr="00521670">
        <w:rPr>
          <w:lang w:val="ru-RU"/>
        </w:rPr>
        <w:t>этом контексте подразделение внутреннего надзора, созданное в 2023 году по решению Совета, в 2024 году завершило два расследования, одно из которых было признано обоснованным, а второе прекращено; ни одно из них не было связано с мошенничеством. По</w:t>
      </w:r>
      <w:r w:rsidR="00892891" w:rsidRPr="00521670">
        <w:rPr>
          <w:lang w:val="ru-RU"/>
        </w:rPr>
        <w:t> </w:t>
      </w:r>
      <w:r w:rsidR="00F87BB9" w:rsidRPr="00521670">
        <w:rPr>
          <w:lang w:val="ru-RU"/>
        </w:rPr>
        <w:t>состоянию на конец 2024 года расследования велись по четырем вопросам. Один из них касался мошенничества с медицинской страховкой. Затем данное дело было прекращено как необоснованное. Ни один из оставшихся вопросов не был связан с мошенничеством и не имел финансовых последствий.</w:t>
      </w:r>
    </w:p>
    <w:p w14:paraId="72066543" w14:textId="3A6AE0CE" w:rsidR="00D85935" w:rsidRPr="00521670" w:rsidRDefault="005D42E7" w:rsidP="00202A07">
      <w:pPr>
        <w:rPr>
          <w:lang w:val="ru-RU"/>
        </w:rPr>
      </w:pPr>
      <w:r w:rsidRPr="00521670">
        <w:rPr>
          <w:b/>
          <w:bCs/>
          <w:i/>
          <w:iCs/>
          <w:lang w:val="ru-RU"/>
        </w:rPr>
        <w:t>Руководящие органы и высшее руководство</w:t>
      </w:r>
      <w:r w:rsidRPr="00521670">
        <w:rPr>
          <w:lang w:val="ru-RU"/>
        </w:rPr>
        <w:t>.</w:t>
      </w:r>
      <w:r w:rsidRPr="00521670">
        <w:rPr>
          <w:b/>
          <w:bCs/>
          <w:i/>
          <w:iCs/>
          <w:lang w:val="ru-RU"/>
        </w:rPr>
        <w:t xml:space="preserve"> </w:t>
      </w:r>
      <w:r w:rsidRPr="00521670">
        <w:rPr>
          <w:lang w:val="ru-RU"/>
        </w:rPr>
        <w:t xml:space="preserve">В соответствии с Уставом и Конвенцией МСЭ Совет при поддержке своих рабочих групп направляет деятельность МСЭ и осуществляет за ней надзор, руководствуясь решениями и резолюциями </w:t>
      </w:r>
      <w:r w:rsidR="00320716" w:rsidRPr="00521670">
        <w:rPr>
          <w:lang w:val="ru-RU"/>
        </w:rPr>
        <w:t>п</w:t>
      </w:r>
      <w:r w:rsidRPr="00521670">
        <w:rPr>
          <w:lang w:val="ru-RU"/>
        </w:rPr>
        <w:t xml:space="preserve">олномочных конференций МСЭ. </w:t>
      </w:r>
      <w:r w:rsidR="00A800AD" w:rsidRPr="00521670">
        <w:rPr>
          <w:lang w:val="ru-RU"/>
        </w:rPr>
        <w:t>Начиная с 2023 года управление рисками и средства внутреннего контроля постоянно находятся на повестке дня сессий Совета. С 2024 года деятельность высшего руководство по надзору управления рисками и системы внутреннего контроля координируется Руководящей координационной группой.</w:t>
      </w:r>
    </w:p>
    <w:p w14:paraId="7A67B878" w14:textId="25F454A3" w:rsidR="00D85935" w:rsidRPr="00521670" w:rsidRDefault="00B42862" w:rsidP="00202A07">
      <w:pPr>
        <w:rPr>
          <w:lang w:val="ru-RU"/>
        </w:rPr>
      </w:pPr>
      <w:r w:rsidRPr="00521670">
        <w:rPr>
          <w:b/>
          <w:bCs/>
          <w:i/>
          <w:iCs/>
          <w:lang w:val="ru-RU"/>
        </w:rPr>
        <w:lastRenderedPageBreak/>
        <w:t>Независимые рекомендации и гарантии</w:t>
      </w:r>
      <w:r w:rsidRPr="00521670">
        <w:rPr>
          <w:lang w:val="ru-RU"/>
        </w:rPr>
        <w:t xml:space="preserve">. Независимый консультативный комитет по управлению (IMAC), подотчетный Совету, также продолжает оказывать ему и секретариату помощь в </w:t>
      </w:r>
      <w:r w:rsidR="00320716" w:rsidRPr="00521670">
        <w:rPr>
          <w:lang w:val="ru-RU"/>
        </w:rPr>
        <w:t>осуществлении</w:t>
      </w:r>
      <w:r w:rsidRPr="00521670">
        <w:rPr>
          <w:lang w:val="ru-RU"/>
        </w:rPr>
        <w:t xml:space="preserve"> функций по управлению, в том числе в обеспечении эффективности систем внутреннего контроля МСЭ, процессов управления рисками и руководства.</w:t>
      </w:r>
      <w:r w:rsidR="00A82F6C" w:rsidRPr="00521670">
        <w:rPr>
          <w:lang w:val="ru-RU"/>
        </w:rPr>
        <w:t xml:space="preserve"> Совет на своей сессии в июне 2024 года утвердил новый Устав внутреннего надзора МСЭ. В настоящее время МСЭ завершает работу по приведению </w:t>
      </w:r>
      <w:r w:rsidR="00320716" w:rsidRPr="00521670">
        <w:rPr>
          <w:lang w:val="ru-RU"/>
        </w:rPr>
        <w:t xml:space="preserve">соответствующих </w:t>
      </w:r>
      <w:r w:rsidR="00A82F6C" w:rsidRPr="00521670">
        <w:rPr>
          <w:lang w:val="ru-RU"/>
        </w:rPr>
        <w:t xml:space="preserve">служебных приказов и политики в соответствие с новым Уставом, в том числе в отношении сообщения о предполагаемых неправомерных действиях, в котором предусматривается, что руководитель независимого подразделения по надзору должен быть функционально подотчетен Совету и IMAC, но находиться в </w:t>
      </w:r>
      <w:r w:rsidR="00320716" w:rsidRPr="00521670">
        <w:rPr>
          <w:lang w:val="ru-RU"/>
        </w:rPr>
        <w:t>административном отношении подчиняться</w:t>
      </w:r>
      <w:r w:rsidR="00A82F6C" w:rsidRPr="00521670">
        <w:rPr>
          <w:lang w:val="ru-RU"/>
        </w:rPr>
        <w:t xml:space="preserve"> Генерально</w:t>
      </w:r>
      <w:r w:rsidR="00320716" w:rsidRPr="00521670">
        <w:rPr>
          <w:lang w:val="ru-RU"/>
        </w:rPr>
        <w:t>му</w:t>
      </w:r>
      <w:r w:rsidR="00A82F6C" w:rsidRPr="00521670">
        <w:rPr>
          <w:lang w:val="ru-RU"/>
        </w:rPr>
        <w:t xml:space="preserve"> секретар</w:t>
      </w:r>
      <w:r w:rsidR="00320716" w:rsidRPr="00521670">
        <w:rPr>
          <w:lang w:val="ru-RU"/>
        </w:rPr>
        <w:t>ю</w:t>
      </w:r>
      <w:r w:rsidR="00A82F6C" w:rsidRPr="00521670">
        <w:rPr>
          <w:lang w:val="ru-RU"/>
        </w:rPr>
        <w:t>. Подразделение по надзору направило свой ежегодный отчет IMAC, Внешнему аудитору, Генеральному секретарю и Совету. 23 сентября 2024 года новый руководитель присоединился к МСЭ, чтобы возглавить подразделение по надзору, которое предоставляет независимые гарантии эффективности системы внутреннего контроля. Также данное подразделение было наделено функцией по оценке; в настоящее время идет процесс набора персонала.</w:t>
      </w:r>
    </w:p>
    <w:p w14:paraId="781CBA9E" w14:textId="1330D7E6" w:rsidR="00D85935" w:rsidRPr="00521670" w:rsidRDefault="00A82F6C" w:rsidP="00202A07">
      <w:pPr>
        <w:rPr>
          <w:lang w:val="ru-RU"/>
        </w:rPr>
      </w:pPr>
      <w:r w:rsidRPr="00521670">
        <w:rPr>
          <w:b/>
          <w:bCs/>
          <w:i/>
          <w:iCs/>
          <w:lang w:val="ru-RU"/>
        </w:rPr>
        <w:t>Невыполненные рекомендации надзорных органов</w:t>
      </w:r>
      <w:r w:rsidRPr="00521670">
        <w:rPr>
          <w:lang w:val="ru-RU"/>
        </w:rPr>
        <w:t xml:space="preserve">. Наряду с IMAC и </w:t>
      </w:r>
      <w:r w:rsidR="007D0A82" w:rsidRPr="00521670">
        <w:rPr>
          <w:lang w:val="ru-RU"/>
        </w:rPr>
        <w:t>отделом</w:t>
      </w:r>
      <w:r w:rsidRPr="00521670">
        <w:rPr>
          <w:lang w:val="ru-RU"/>
        </w:rPr>
        <w:t xml:space="preserve"> внутреннего аудита независимый надзор обеспечивается также Объединенной инспекционной группой и Внешним аудитором.</w:t>
      </w:r>
      <w:r w:rsidR="0059091F" w:rsidRPr="00521670">
        <w:rPr>
          <w:lang w:val="ru-RU"/>
        </w:rPr>
        <w:t xml:space="preserve"> В мае 2024 года МСЭ инициировал проведение обзора всех невыполненных рекомендаций надзорных органов, некоторые из которых были вынесены еще несколько лет назад. В рамках этой работы сотрудники и руководители дополнительно расширили действующие меры по устранению различных недочетов в системе контроля, выявленных в этих рекомендациях, </w:t>
      </w:r>
      <w:r w:rsidR="007D0A82" w:rsidRPr="00521670">
        <w:rPr>
          <w:lang w:val="ru-RU"/>
        </w:rPr>
        <w:t>чтобы помочь</w:t>
      </w:r>
      <w:r w:rsidR="0059091F" w:rsidRPr="00521670">
        <w:rPr>
          <w:lang w:val="ru-RU"/>
        </w:rPr>
        <w:t xml:space="preserve"> снизить связанные с ними риски. Что</w:t>
      </w:r>
      <w:r w:rsidR="00626B82" w:rsidRPr="00521670">
        <w:rPr>
          <w:lang w:val="ru-RU"/>
        </w:rPr>
        <w:t> </w:t>
      </w:r>
      <w:r w:rsidR="0059091F" w:rsidRPr="00521670">
        <w:rPr>
          <w:lang w:val="ru-RU"/>
        </w:rPr>
        <w:t xml:space="preserve">касается невыполненных рекомендаций предыдущего Внешнего аудитора </w:t>
      </w:r>
      <w:r w:rsidR="0027544A" w:rsidRPr="00521670">
        <w:rPr>
          <w:lang w:val="ru-RU"/>
        </w:rPr>
        <w:t>−</w:t>
      </w:r>
      <w:r w:rsidR="0059091F" w:rsidRPr="00521670">
        <w:rPr>
          <w:lang w:val="ru-RU"/>
        </w:rPr>
        <w:t xml:space="preserve"> Государственной счетной палаты Италии, </w:t>
      </w:r>
      <w:r w:rsidR="0027544A" w:rsidRPr="00521670">
        <w:rPr>
          <w:lang w:val="ru-RU"/>
        </w:rPr>
        <w:t>−</w:t>
      </w:r>
      <w:r w:rsidR="0059091F" w:rsidRPr="00521670">
        <w:rPr>
          <w:lang w:val="ru-RU"/>
        </w:rPr>
        <w:t xml:space="preserve"> то значительное их число было выполнено в рамках этой работы.</w:t>
      </w:r>
      <w:r w:rsidR="00D85935" w:rsidRPr="00521670">
        <w:rPr>
          <w:lang w:val="ru-RU"/>
        </w:rPr>
        <w:t xml:space="preserve"> </w:t>
      </w:r>
      <w:r w:rsidR="0059091F" w:rsidRPr="00521670">
        <w:rPr>
          <w:lang w:val="ru-RU"/>
        </w:rPr>
        <w:t xml:space="preserve">Рекомендации по их снятию будут сведены в отчете для IMAC, который будет обсуждаться с нынешним Внешним аудитором </w:t>
      </w:r>
      <w:r w:rsidR="0027544A" w:rsidRPr="00521670">
        <w:rPr>
          <w:lang w:val="ru-RU"/>
        </w:rPr>
        <w:t>−</w:t>
      </w:r>
      <w:r w:rsidR="0059091F" w:rsidRPr="00521670">
        <w:rPr>
          <w:lang w:val="ru-RU"/>
        </w:rPr>
        <w:t xml:space="preserve"> Национальным ревизионным управлением (NAO) Соединенного Королевства.</w:t>
      </w:r>
    </w:p>
    <w:p w14:paraId="01303650" w14:textId="05FC8331" w:rsidR="00D85935" w:rsidRPr="00521670" w:rsidRDefault="0059091F" w:rsidP="00202A07">
      <w:pPr>
        <w:rPr>
          <w:lang w:val="ru-RU"/>
        </w:rPr>
      </w:pPr>
      <w:r w:rsidRPr="00521670">
        <w:rPr>
          <w:b/>
          <w:bCs/>
          <w:i/>
          <w:iCs/>
          <w:lang w:val="ru-RU"/>
        </w:rPr>
        <w:t>Развитие знаний и навыков</w:t>
      </w:r>
      <w:r w:rsidR="00D85935" w:rsidRPr="00521670">
        <w:rPr>
          <w:lang w:val="ru-RU"/>
        </w:rPr>
        <w:t xml:space="preserve">. </w:t>
      </w:r>
      <w:r w:rsidRPr="00521670">
        <w:rPr>
          <w:lang w:val="ru-RU"/>
        </w:rPr>
        <w:t>Высшее руководство также привержено делу поощрения производственной культуры, основанной на компетентности, уважении и добросовестности.</w:t>
      </w:r>
      <w:r w:rsidR="006A1673" w:rsidRPr="00521670">
        <w:rPr>
          <w:lang w:val="ru-RU"/>
        </w:rPr>
        <w:t xml:space="preserve"> В</w:t>
      </w:r>
      <w:r w:rsidR="00626B82" w:rsidRPr="00521670">
        <w:rPr>
          <w:lang w:val="ru-RU"/>
        </w:rPr>
        <w:t> </w:t>
      </w:r>
      <w:r w:rsidR="006A1673" w:rsidRPr="00521670">
        <w:rPr>
          <w:lang w:val="ru-RU"/>
        </w:rPr>
        <w:t xml:space="preserve">августе 2024 года была внедрена новая Политика обязательного обучения МСЭ, призванная сформировать единую основу знаний, с тем чтобы способствовать </w:t>
      </w:r>
      <w:r w:rsidR="00AD2086" w:rsidRPr="00521670">
        <w:rPr>
          <w:lang w:val="ru-RU"/>
        </w:rPr>
        <w:t>формированию</w:t>
      </w:r>
      <w:r w:rsidR="006A1673" w:rsidRPr="00521670">
        <w:rPr>
          <w:lang w:val="ru-RU"/>
        </w:rPr>
        <w:t xml:space="preserve"> общей организационной культуры, а также повысить осведомленность об организационных стандартах и ожидаемых моделях поведения. Обязательные учебные курсы охватывают основные аспекты этичного поведения; информационную безопасность; гендерную </w:t>
      </w:r>
      <w:r w:rsidR="00BF51C7" w:rsidRPr="00521670">
        <w:rPr>
          <w:lang w:val="ru-RU"/>
        </w:rPr>
        <w:t>проблематику</w:t>
      </w:r>
      <w:r w:rsidR="006A1673" w:rsidRPr="00521670">
        <w:rPr>
          <w:lang w:val="ru-RU"/>
        </w:rPr>
        <w:t xml:space="preserve">; </w:t>
      </w:r>
      <w:r w:rsidR="00BF51C7" w:rsidRPr="00521670">
        <w:rPr>
          <w:lang w:val="ru-RU"/>
        </w:rPr>
        <w:t>предотвращение сексуальных домогательств, сексуальной эксплуатации и надругательств; охват информационно-коммуникационными технологиями; и безопасность служебных командировок.</w:t>
      </w:r>
      <w:r w:rsidRPr="00521670">
        <w:rPr>
          <w:i/>
          <w:iCs/>
          <w:lang w:val="ru-RU"/>
        </w:rPr>
        <w:t xml:space="preserve"> </w:t>
      </w:r>
      <w:r w:rsidR="00BF51C7" w:rsidRPr="00521670">
        <w:rPr>
          <w:lang w:val="ru-RU"/>
        </w:rPr>
        <w:t>В 2024 году Департамент управления людскими ресурсами (HRMD) приступил к реализации программы Game Shifter, чтобы помочь коллегам из категории общего обслуживания приобрести важнейшие навыки для продвижения по службе. В течение года проводились специализированные занятия для технических бюро по ключевым темам, в том числе на базе серии открытых для всех сотрудников учебных лабораторий по актуальным техническим темам.</w:t>
      </w:r>
    </w:p>
    <w:p w14:paraId="31A058BB" w14:textId="70951430" w:rsidR="00D85935" w:rsidRPr="00521670" w:rsidRDefault="00BF51C7" w:rsidP="00202A07">
      <w:pPr>
        <w:rPr>
          <w:lang w:val="ru-RU"/>
        </w:rPr>
      </w:pPr>
      <w:r w:rsidRPr="00521670">
        <w:rPr>
          <w:b/>
          <w:bCs/>
          <w:i/>
          <w:iCs/>
          <w:lang w:val="ru-RU"/>
        </w:rPr>
        <w:t>Управление показателями деятельности</w:t>
      </w:r>
      <w:r w:rsidR="00D85935" w:rsidRPr="00521670">
        <w:rPr>
          <w:lang w:val="ru-RU"/>
        </w:rPr>
        <w:t xml:space="preserve">. </w:t>
      </w:r>
      <w:r w:rsidR="00874578" w:rsidRPr="00521670">
        <w:rPr>
          <w:lang w:val="ru-RU"/>
        </w:rPr>
        <w:t xml:space="preserve">МСЭ усовершенствовал управление показателями деятельности, оптимизировав данный процесс, в частности путем внедрения упрощенного инструмента ePMDS, позволяющего </w:t>
      </w:r>
      <w:r w:rsidR="00E9799B" w:rsidRPr="00521670">
        <w:rPr>
          <w:lang w:val="ru-RU"/>
        </w:rPr>
        <w:t>более эффективно проводить</w:t>
      </w:r>
      <w:r w:rsidR="00874578" w:rsidRPr="00521670">
        <w:rPr>
          <w:lang w:val="ru-RU"/>
        </w:rPr>
        <w:t xml:space="preserve"> обсуждения показателей деятельности и получать </w:t>
      </w:r>
      <w:r w:rsidR="00E9799B" w:rsidRPr="00521670">
        <w:rPr>
          <w:lang w:val="ru-RU"/>
        </w:rPr>
        <w:t>отзывы</w:t>
      </w:r>
      <w:r w:rsidR="00874578" w:rsidRPr="00521670">
        <w:rPr>
          <w:lang w:val="ru-RU"/>
        </w:rPr>
        <w:t xml:space="preserve">. Была создана современная, удобная для пользователей страница по вопросам показателей деятельности, на которой </w:t>
      </w:r>
      <w:r w:rsidR="00E9799B" w:rsidRPr="00521670">
        <w:rPr>
          <w:lang w:val="ru-RU"/>
        </w:rPr>
        <w:t>публикуются</w:t>
      </w:r>
      <w:r w:rsidR="00874578" w:rsidRPr="00521670">
        <w:rPr>
          <w:lang w:val="ru-RU"/>
        </w:rPr>
        <w:t xml:space="preserve"> основные сведения и руководящие указания по этому процессу.</w:t>
      </w:r>
      <w:r w:rsidR="00325D3D" w:rsidRPr="00521670">
        <w:rPr>
          <w:lang w:val="ru-RU"/>
        </w:rPr>
        <w:t xml:space="preserve"> Помимо этого, для персонала и руководителей был организован учебный курс по показателям деятельности, </w:t>
      </w:r>
      <w:r w:rsidR="00A109A1" w:rsidRPr="00521670">
        <w:rPr>
          <w:lang w:val="ru-RU"/>
        </w:rPr>
        <w:t>посвященный ключевым знаниям и навыкам, необходимым для успешного составления и оценки планов работы.</w:t>
      </w:r>
    </w:p>
    <w:p w14:paraId="6F78C437" w14:textId="5C0EC447" w:rsidR="00D85935" w:rsidRPr="00521670" w:rsidRDefault="00A109A1" w:rsidP="00202A07">
      <w:pPr>
        <w:rPr>
          <w:lang w:val="ru-RU"/>
        </w:rPr>
      </w:pPr>
      <w:r w:rsidRPr="00521670">
        <w:rPr>
          <w:b/>
          <w:bCs/>
          <w:i/>
          <w:iCs/>
          <w:lang w:val="ru-RU"/>
        </w:rPr>
        <w:lastRenderedPageBreak/>
        <w:t>Программа добровольного прекращения службы</w:t>
      </w:r>
      <w:r w:rsidRPr="00521670">
        <w:rPr>
          <w:lang w:val="ru-RU"/>
        </w:rPr>
        <w:t xml:space="preserve">. В соответствии с </w:t>
      </w:r>
      <w:r w:rsidR="00626B82" w:rsidRPr="00521670">
        <w:rPr>
          <w:lang w:val="ru-RU"/>
        </w:rPr>
        <w:t xml:space="preserve">Решением </w:t>
      </w:r>
      <w:r w:rsidRPr="00521670">
        <w:rPr>
          <w:lang w:val="ru-RU"/>
        </w:rPr>
        <w:t>5 (Пересм.</w:t>
      </w:r>
      <w:r w:rsidR="00626B82" w:rsidRPr="00521670">
        <w:rPr>
          <w:lang w:val="ru-RU"/>
        </w:rPr>
        <w:t> </w:t>
      </w:r>
      <w:r w:rsidRPr="00521670">
        <w:rPr>
          <w:lang w:val="ru-RU"/>
        </w:rPr>
        <w:t xml:space="preserve">Бухарест, 2022 г.) Полномочной конференции был запущен второй этап Программы добровольного прекращения службы. Среди основных задач программы – </w:t>
      </w:r>
      <w:r w:rsidR="00F23063" w:rsidRPr="00521670">
        <w:rPr>
          <w:lang w:val="ru-RU"/>
        </w:rPr>
        <w:t>наделение</w:t>
      </w:r>
      <w:r w:rsidRPr="00521670">
        <w:rPr>
          <w:lang w:val="ru-RU"/>
        </w:rPr>
        <w:t xml:space="preserve"> МСЭ гибкостью, с тем чтобы он мог </w:t>
      </w:r>
      <w:r w:rsidR="00E9799B" w:rsidRPr="00521670">
        <w:rPr>
          <w:lang w:val="ru-RU"/>
        </w:rPr>
        <w:t>получить</w:t>
      </w:r>
      <w:r w:rsidRPr="00521670">
        <w:rPr>
          <w:lang w:val="ru-RU"/>
        </w:rPr>
        <w:t xml:space="preserve"> дополнительны</w:t>
      </w:r>
      <w:r w:rsidR="00E9799B" w:rsidRPr="00521670">
        <w:rPr>
          <w:lang w:val="ru-RU"/>
        </w:rPr>
        <w:t>е</w:t>
      </w:r>
      <w:r w:rsidRPr="00521670">
        <w:rPr>
          <w:lang w:val="ru-RU"/>
        </w:rPr>
        <w:t xml:space="preserve"> навыки и компетенции, реорганизовать свои структуры и оптимальнее использовать собственные ресурсы, необходимые для выполнения своего мандата.</w:t>
      </w:r>
    </w:p>
    <w:p w14:paraId="070C65DC" w14:textId="24AF7105" w:rsidR="00D85935" w:rsidRPr="00521670" w:rsidRDefault="0064333F" w:rsidP="00202A07">
      <w:pPr>
        <w:rPr>
          <w:lang w:val="ru-RU"/>
        </w:rPr>
      </w:pPr>
      <w:r w:rsidRPr="00521670">
        <w:rPr>
          <w:b/>
          <w:i/>
          <w:lang w:val="ru-RU"/>
        </w:rPr>
        <w:t>Благополучие персонала</w:t>
      </w:r>
      <w:r w:rsidR="00D85935" w:rsidRPr="00521670">
        <w:rPr>
          <w:lang w:val="ru-RU"/>
        </w:rPr>
        <w:t xml:space="preserve">. </w:t>
      </w:r>
      <w:r w:rsidRPr="00521670">
        <w:rPr>
          <w:lang w:val="ru-RU"/>
        </w:rPr>
        <w:t xml:space="preserve">Старшие руководители предприняли действенные шаги по решению вопросов, поднятых в ходе Общесистемного санитарно-медицинского обзора ООН. </w:t>
      </w:r>
      <w:r w:rsidR="00F23063" w:rsidRPr="00521670">
        <w:rPr>
          <w:lang w:val="ru-RU"/>
        </w:rPr>
        <w:t>На</w:t>
      </w:r>
      <w:r w:rsidR="00626B82" w:rsidRPr="00521670">
        <w:rPr>
          <w:lang w:val="ru-RU"/>
        </w:rPr>
        <w:t> </w:t>
      </w:r>
      <w:r w:rsidR="00F23063" w:rsidRPr="00521670">
        <w:rPr>
          <w:lang w:val="ru-RU"/>
        </w:rPr>
        <w:t>выездных совещаниях старших руководителей в марте и ноябре 2024 года были разработаны меры, в том числе мероприятие по определению приоритетов, работа по управлению эффективностью, поощрени</w:t>
      </w:r>
      <w:r w:rsidR="001640CB" w:rsidRPr="00521670">
        <w:rPr>
          <w:lang w:val="ru-RU"/>
        </w:rPr>
        <w:t>е</w:t>
      </w:r>
      <w:r w:rsidR="00F23063" w:rsidRPr="00521670">
        <w:rPr>
          <w:lang w:val="ru-RU"/>
        </w:rPr>
        <w:t xml:space="preserve"> и признани</w:t>
      </w:r>
      <w:r w:rsidR="001640CB" w:rsidRPr="00521670">
        <w:rPr>
          <w:lang w:val="ru-RU"/>
        </w:rPr>
        <w:t>е</w:t>
      </w:r>
      <w:r w:rsidR="00F23063" w:rsidRPr="00521670">
        <w:rPr>
          <w:lang w:val="ru-RU"/>
        </w:rPr>
        <w:t xml:space="preserve"> достижений, инициативы по трансформации и пересмотр внутренней системы правосудия. Опираясь на результаты обследования, МСЭ разработал первый </w:t>
      </w:r>
      <w:r w:rsidR="001640CB" w:rsidRPr="00521670">
        <w:rPr>
          <w:lang w:val="ru-RU"/>
        </w:rPr>
        <w:t xml:space="preserve">за все время План </w:t>
      </w:r>
      <w:r w:rsidR="00F23063" w:rsidRPr="00521670">
        <w:rPr>
          <w:lang w:val="ru-RU"/>
        </w:rPr>
        <w:t xml:space="preserve">действий по охране психического здоровья и обеспечению благополучия, в котором основное внимание уделяется как самим людям, так и обстановке, в которой они работают. </w:t>
      </w:r>
      <w:r w:rsidR="008F49BC" w:rsidRPr="00521670">
        <w:rPr>
          <w:lang w:val="ru-RU"/>
        </w:rPr>
        <w:t xml:space="preserve">В штаб-квартире и в отделениях на местах были </w:t>
      </w:r>
      <w:r w:rsidR="001640CB" w:rsidRPr="00521670">
        <w:rPr>
          <w:lang w:val="ru-RU"/>
        </w:rPr>
        <w:t>организованы</w:t>
      </w:r>
      <w:r w:rsidR="008F49BC" w:rsidRPr="00521670">
        <w:rPr>
          <w:lang w:val="ru-RU"/>
        </w:rPr>
        <w:t xml:space="preserve"> сессии, посвященные вопросам обеспечения благополучия, а также 390</w:t>
      </w:r>
      <w:r w:rsidR="00626B82" w:rsidRPr="00521670">
        <w:rPr>
          <w:lang w:val="ru-RU"/>
        </w:rPr>
        <w:t> </w:t>
      </w:r>
      <w:r w:rsidR="008F49BC" w:rsidRPr="00521670">
        <w:rPr>
          <w:lang w:val="ru-RU"/>
        </w:rPr>
        <w:t xml:space="preserve">индивидуальных консультаций. В конце 2024 года были проведены сессии по проблеме микроагрессии, предотвращению домогательств и борьбе с неосознанной </w:t>
      </w:r>
      <w:r w:rsidR="001640CB" w:rsidRPr="00521670">
        <w:rPr>
          <w:lang w:val="ru-RU"/>
        </w:rPr>
        <w:t>предвзятостью</w:t>
      </w:r>
      <w:r w:rsidR="008F49BC" w:rsidRPr="00521670">
        <w:rPr>
          <w:lang w:val="ru-RU"/>
        </w:rPr>
        <w:t xml:space="preserve">. </w:t>
      </w:r>
      <w:r w:rsidR="000E7D8F" w:rsidRPr="00521670">
        <w:rPr>
          <w:lang w:val="ru-RU"/>
        </w:rPr>
        <w:t>В</w:t>
      </w:r>
      <w:r w:rsidR="00626B82" w:rsidRPr="00521670">
        <w:rPr>
          <w:lang w:val="ru-RU"/>
        </w:rPr>
        <w:t> </w:t>
      </w:r>
      <w:r w:rsidR="000E7D8F" w:rsidRPr="00521670">
        <w:rPr>
          <w:lang w:val="ru-RU"/>
        </w:rPr>
        <w:t>2024 году завершилась первая сессия инклюзивной программы по подготовке руководителей, а в начале 2025 года запланирована еще одна сессия, посвященная адаптивному руководству в рамках всей организации. Задача программы состоит в содействии обеспечению открытости для всех, сотрудничеству, уважению и благополучию в рамках всего</w:t>
      </w:r>
      <w:r w:rsidR="00626B82" w:rsidRPr="00521670">
        <w:rPr>
          <w:lang w:val="ru-RU"/>
        </w:rPr>
        <w:t> </w:t>
      </w:r>
      <w:r w:rsidR="000E7D8F" w:rsidRPr="00521670">
        <w:rPr>
          <w:lang w:val="ru-RU"/>
        </w:rPr>
        <w:t>МСЭ.</w:t>
      </w:r>
    </w:p>
    <w:p w14:paraId="01AC6C23" w14:textId="1632F5A1" w:rsidR="00D85935" w:rsidRPr="00521670" w:rsidRDefault="000E7D8F" w:rsidP="00202A07">
      <w:pPr>
        <w:rPr>
          <w:lang w:val="ru-RU"/>
        </w:rPr>
      </w:pPr>
      <w:r w:rsidRPr="00521670">
        <w:rPr>
          <w:lang w:val="ru-RU"/>
        </w:rPr>
        <w:t xml:space="preserve">В </w:t>
      </w:r>
      <w:r w:rsidR="001640CB" w:rsidRPr="00521670">
        <w:rPr>
          <w:lang w:val="ru-RU"/>
        </w:rPr>
        <w:t>январе 2025 года</w:t>
      </w:r>
      <w:r w:rsidRPr="00521670">
        <w:rPr>
          <w:lang w:val="ru-RU"/>
        </w:rPr>
        <w:t xml:space="preserve"> было </w:t>
      </w:r>
      <w:r w:rsidR="001640CB" w:rsidRPr="00521670">
        <w:rPr>
          <w:lang w:val="ru-RU"/>
        </w:rPr>
        <w:t>начато</w:t>
      </w:r>
      <w:r w:rsidRPr="00521670">
        <w:rPr>
          <w:lang w:val="ru-RU"/>
        </w:rPr>
        <w:t xml:space="preserve"> Обследование вовлеченности персонала МСЭ с целью оценить уровень приверженности делу, мотивации сотрудников и их чувства сопричастности к работе и организации. Обследование призвано способствовать повышению эффективности и результативности в рамках МСЭ и определению областей, требующих повышения производственной культуры, </w:t>
      </w:r>
      <w:r w:rsidR="00B908DA" w:rsidRPr="00521670">
        <w:rPr>
          <w:lang w:val="ru-RU"/>
        </w:rPr>
        <w:t>улучшения</w:t>
      </w:r>
      <w:r w:rsidRPr="00521670">
        <w:rPr>
          <w:lang w:val="ru-RU"/>
        </w:rPr>
        <w:t xml:space="preserve"> практических методов управления и </w:t>
      </w:r>
      <w:r w:rsidR="00B908DA" w:rsidRPr="00521670">
        <w:rPr>
          <w:lang w:val="ru-RU"/>
        </w:rPr>
        <w:t>эксплуатационной эффективности.</w:t>
      </w:r>
      <w:r w:rsidRPr="00521670">
        <w:rPr>
          <w:lang w:val="ru-RU"/>
        </w:rPr>
        <w:t xml:space="preserve"> </w:t>
      </w:r>
      <w:r w:rsidR="00B908DA" w:rsidRPr="00521670">
        <w:rPr>
          <w:lang w:val="ru-RU"/>
        </w:rPr>
        <w:t xml:space="preserve">Показатель участия сотрудников в обследовании достиг 72%, </w:t>
      </w:r>
      <w:r w:rsidR="001640CB" w:rsidRPr="00521670">
        <w:rPr>
          <w:lang w:val="ru-RU"/>
        </w:rPr>
        <w:t>причем</w:t>
      </w:r>
      <w:r w:rsidR="00B908DA" w:rsidRPr="00521670">
        <w:rPr>
          <w:lang w:val="ru-RU"/>
        </w:rPr>
        <w:t xml:space="preserve"> в отношении вовлеченности сотрудников в свою работу были получены в целом положительные результаты</w:t>
      </w:r>
      <w:r w:rsidR="001640CB" w:rsidRPr="00521670">
        <w:rPr>
          <w:lang w:val="ru-RU"/>
        </w:rPr>
        <w:t>;</w:t>
      </w:r>
      <w:r w:rsidR="00B908DA" w:rsidRPr="00521670">
        <w:rPr>
          <w:lang w:val="ru-RU"/>
        </w:rPr>
        <w:t xml:space="preserve"> при этом были отмечены области для улучшения, такие как внутренняя связь, поощрение и признание заслуг, а также управление рабочей нагрузкой.</w:t>
      </w:r>
      <w:r w:rsidR="00F02697" w:rsidRPr="00521670">
        <w:rPr>
          <w:lang w:val="ru-RU"/>
        </w:rPr>
        <w:t xml:space="preserve"> В</w:t>
      </w:r>
      <w:r w:rsidR="00626B82" w:rsidRPr="00521670">
        <w:rPr>
          <w:lang w:val="ru-RU"/>
        </w:rPr>
        <w:t> </w:t>
      </w:r>
      <w:r w:rsidR="00F02697" w:rsidRPr="00521670">
        <w:rPr>
          <w:lang w:val="ru-RU"/>
        </w:rPr>
        <w:t>настоящее время при поддержке сторонников вовлеченности реализуется ряд мер</w:t>
      </w:r>
      <w:r w:rsidR="001640CB" w:rsidRPr="00521670">
        <w:rPr>
          <w:lang w:val="ru-RU"/>
        </w:rPr>
        <w:t xml:space="preserve"> </w:t>
      </w:r>
      <w:r w:rsidR="00181457" w:rsidRPr="00521670">
        <w:rPr>
          <w:lang w:val="ru-RU"/>
        </w:rPr>
        <w:t xml:space="preserve">по итогам обследования, чтобы привнести значимые и измеримые изменения; в рамках этих мер </w:t>
      </w:r>
      <w:r w:rsidR="00F02697" w:rsidRPr="00521670">
        <w:rPr>
          <w:lang w:val="ru-RU"/>
        </w:rPr>
        <w:t>в 2025</w:t>
      </w:r>
      <w:r w:rsidR="003D5F38" w:rsidRPr="00521670">
        <w:rPr>
          <w:lang w:val="ru-RU"/>
        </w:rPr>
        <w:t> </w:t>
      </w:r>
      <w:r w:rsidR="00F02697" w:rsidRPr="00521670">
        <w:rPr>
          <w:lang w:val="ru-RU"/>
        </w:rPr>
        <w:t>году проходят совместные сессии по планированию действий с бюро и департаментами.</w:t>
      </w:r>
    </w:p>
    <w:p w14:paraId="4EBD2B91" w14:textId="0AF784C8" w:rsidR="00D85935" w:rsidRPr="00521670" w:rsidRDefault="00202A07" w:rsidP="00202A07">
      <w:pPr>
        <w:pStyle w:val="Heading1"/>
        <w:rPr>
          <w:color w:val="4F81BD" w:themeColor="accent1"/>
          <w:lang w:val="ru-RU"/>
        </w:rPr>
      </w:pPr>
      <w:bookmarkStart w:id="72" w:name="_Toc200469140"/>
      <w:bookmarkStart w:id="73" w:name="_Toc200469263"/>
      <w:bookmarkStart w:id="74" w:name="_Toc200469516"/>
      <w:r w:rsidRPr="00521670">
        <w:rPr>
          <w:color w:val="4F81BD" w:themeColor="accent1"/>
          <w:lang w:val="ru-RU"/>
        </w:rPr>
        <w:t>2</w:t>
      </w:r>
      <w:r w:rsidRPr="00521670">
        <w:rPr>
          <w:color w:val="4F81BD" w:themeColor="accent1"/>
          <w:lang w:val="ru-RU"/>
        </w:rPr>
        <w:tab/>
      </w:r>
      <w:r w:rsidR="00F02697" w:rsidRPr="00521670">
        <w:rPr>
          <w:color w:val="4F81BD" w:themeColor="accent1"/>
          <w:lang w:val="ru-RU"/>
        </w:rPr>
        <w:t>Оценка рисков</w:t>
      </w:r>
      <w:bookmarkEnd w:id="72"/>
      <w:bookmarkEnd w:id="73"/>
      <w:bookmarkEnd w:id="74"/>
    </w:p>
    <w:p w14:paraId="4A3D4400" w14:textId="044004E8" w:rsidR="00D85935" w:rsidRPr="00521670" w:rsidRDefault="00F02697" w:rsidP="00202A07">
      <w:pPr>
        <w:rPr>
          <w:lang w:val="ru-RU"/>
        </w:rPr>
      </w:pPr>
      <w:r w:rsidRPr="00521670">
        <w:rPr>
          <w:b/>
          <w:bCs/>
          <w:i/>
          <w:iCs/>
          <w:lang w:val="ru-RU"/>
        </w:rPr>
        <w:t>Процесс управления рисками</w:t>
      </w:r>
      <w:r w:rsidR="00D85935" w:rsidRPr="00521670">
        <w:rPr>
          <w:lang w:val="ru-RU"/>
        </w:rPr>
        <w:t xml:space="preserve">. </w:t>
      </w:r>
      <w:r w:rsidR="007D20B2" w:rsidRPr="00521670">
        <w:rPr>
          <w:lang w:val="ru-RU"/>
        </w:rPr>
        <w:t>Процесс управления рисками МСЭ, предполагающий выявление и оценку рисков, а также соответствующие меры реагирования на риски, фиксируется в реестре корпоративных рисков по итогам взаимодействия специалиста по управлению организационными деловыми рисками с ответственными за риски. Тем не менее значительные риски постоянно отслеживаются, а обновленная информация доводится до сведения Руководящей координационной группы и размещается на веб-странице Совета. В</w:t>
      </w:r>
      <w:r w:rsidR="00A81193" w:rsidRPr="00521670">
        <w:rPr>
          <w:lang w:val="ru-RU"/>
        </w:rPr>
        <w:t> </w:t>
      </w:r>
      <w:r w:rsidR="007D20B2" w:rsidRPr="00521670">
        <w:rPr>
          <w:lang w:val="ru-RU"/>
        </w:rPr>
        <w:t xml:space="preserve">последнем обновлении в 2024 году было отмечено снижение серьезности наиболее значительного риска, связанного с методами работы на крупных мероприятиях, благодаря внедрению в сентябре 2024 года более устойчивого модуля ERP для системы обслуживания клиентов. В категорию значительных рисков был включен еще один финансовый риск, связанный с бюджетными трудностями, которые касаются получения дохода по линии возмещения затрат. Необходима дальнейшая работа по интеграции </w:t>
      </w:r>
      <w:r w:rsidR="00181457" w:rsidRPr="00521670">
        <w:rPr>
          <w:lang w:val="ru-RU"/>
        </w:rPr>
        <w:t>мер</w:t>
      </w:r>
      <w:r w:rsidR="007D20B2" w:rsidRPr="00521670">
        <w:rPr>
          <w:lang w:val="ru-RU"/>
        </w:rPr>
        <w:t xml:space="preserve"> по управлению </w:t>
      </w:r>
      <w:r w:rsidR="007D20B2" w:rsidRPr="00521670">
        <w:rPr>
          <w:lang w:val="ru-RU"/>
        </w:rPr>
        <w:lastRenderedPageBreak/>
        <w:t>рисками с управлением, ориентированным на результаты (УОР), что позволило бы внедрить систему управления рисками предприятия (ЭСВ), предписанную Политикой управления рисками МСЭ 2020 года.</w:t>
      </w:r>
    </w:p>
    <w:p w14:paraId="2B669B2E" w14:textId="7B4134CF" w:rsidR="00D85935" w:rsidRPr="00521670" w:rsidRDefault="00E21FE2" w:rsidP="00202A07">
      <w:pPr>
        <w:rPr>
          <w:lang w:val="ru-RU"/>
        </w:rPr>
      </w:pPr>
      <w:r w:rsidRPr="00521670">
        <w:rPr>
          <w:b/>
          <w:bCs/>
          <w:i/>
          <w:iCs/>
          <w:lang w:val="ru-RU"/>
        </w:rPr>
        <w:t>Утечка данных</w:t>
      </w:r>
      <w:r w:rsidR="00D85935" w:rsidRPr="00521670">
        <w:rPr>
          <w:lang w:val="ru-RU"/>
        </w:rPr>
        <w:t xml:space="preserve">. </w:t>
      </w:r>
      <w:r w:rsidR="00191514" w:rsidRPr="00521670">
        <w:rPr>
          <w:lang w:val="ru-RU"/>
        </w:rPr>
        <w:t xml:space="preserve">В 2025 году в Бюро стандартизации электросвязи имела место утечка данных, связанная с получением несанкционированного доступа к ограниченному массиву информации. Утечка была оперативно </w:t>
      </w:r>
      <w:r w:rsidR="00DC5DC7" w:rsidRPr="00521670">
        <w:rPr>
          <w:lang w:val="ru-RU"/>
        </w:rPr>
        <w:t>локализована</w:t>
      </w:r>
      <w:r w:rsidR="00191514" w:rsidRPr="00521670">
        <w:rPr>
          <w:lang w:val="ru-RU"/>
        </w:rPr>
        <w:t>, а также были приняты корректирующие меры в целях повышения системной безопасности, улучшения контроля доступа и предотвращения подобных инцидентов в будущем.</w:t>
      </w:r>
    </w:p>
    <w:p w14:paraId="1A5BEBC3" w14:textId="25272EDB" w:rsidR="00D85935" w:rsidRPr="00521670" w:rsidRDefault="00191514" w:rsidP="00202A07">
      <w:pPr>
        <w:rPr>
          <w:lang w:val="ru-RU"/>
        </w:rPr>
      </w:pPr>
      <w:r w:rsidRPr="00521670">
        <w:rPr>
          <w:b/>
          <w:bCs/>
          <w:i/>
          <w:iCs/>
          <w:lang w:val="ru-RU"/>
        </w:rPr>
        <w:t>Недочеты управления, ориентированного на результаты</w:t>
      </w:r>
      <w:r w:rsidRPr="00521670">
        <w:rPr>
          <w:lang w:val="ru-RU"/>
        </w:rPr>
        <w:t>.</w:t>
      </w:r>
      <w:r w:rsidR="00181457" w:rsidRPr="00521670">
        <w:rPr>
          <w:lang w:val="ru-RU"/>
        </w:rPr>
        <w:t xml:space="preserve"> </w:t>
      </w:r>
      <w:r w:rsidR="00956601" w:rsidRPr="00521670">
        <w:rPr>
          <w:lang w:val="ru-RU"/>
        </w:rPr>
        <w:t xml:space="preserve">Требуется дополнительно внести ясность в отношении целей, которые при помощи управления, ориентированного на результаты, должны распространяться на уровне департаментов, отделов или подразделений. В целях повышения эффективности программ организации ведется работа по укреплению УОР в соответствии с Планом финансовой трансформации на 2023 год и Планом внутреннего контроля высшего руководства на 2024 год. </w:t>
      </w:r>
      <w:r w:rsidR="00695AA3" w:rsidRPr="00521670">
        <w:rPr>
          <w:lang w:val="ru-RU"/>
        </w:rPr>
        <w:t>В данной области, охватываемой дорожной картой по трансформации, необходима серьезная дополнительная работа.</w:t>
      </w:r>
    </w:p>
    <w:p w14:paraId="53704638" w14:textId="56FB8DA2" w:rsidR="00D85935" w:rsidRPr="00521670" w:rsidRDefault="00695AA3" w:rsidP="00202A07">
      <w:pPr>
        <w:rPr>
          <w:lang w:val="ru-RU"/>
        </w:rPr>
      </w:pPr>
      <w:r w:rsidRPr="00521670">
        <w:rPr>
          <w:b/>
          <w:bCs/>
          <w:i/>
          <w:iCs/>
          <w:lang w:val="ru-RU"/>
        </w:rPr>
        <w:t>Специализированное управление рисками</w:t>
      </w:r>
      <w:r w:rsidR="00D85935" w:rsidRPr="00521670">
        <w:rPr>
          <w:lang w:val="ru-RU"/>
        </w:rPr>
        <w:t xml:space="preserve">. </w:t>
      </w:r>
      <w:r w:rsidRPr="00521670">
        <w:rPr>
          <w:lang w:val="ru-RU"/>
        </w:rPr>
        <w:t>Реестры рисков также поддерживаются специализированными функциями. К их числу относится функция информационной безопасности - отлаженная система управления рисками, основанная на общепринятых принципах контроля за информационными и смежными технологиями (более известн</w:t>
      </w:r>
      <w:r w:rsidR="00E76DA3" w:rsidRPr="00521670">
        <w:rPr>
          <w:lang w:val="ru-RU"/>
        </w:rPr>
        <w:t>ых</w:t>
      </w:r>
      <w:r w:rsidRPr="00521670">
        <w:rPr>
          <w:lang w:val="ru-RU"/>
        </w:rPr>
        <w:t xml:space="preserve"> как просто COBIT) и опирающаяся на подробные данные реестра рисков ИТ для мониторинга быстро меняющихся угроз информационным системам МСЭ и реагирования на них. </w:t>
      </w:r>
      <w:r w:rsidR="007839FB" w:rsidRPr="00521670">
        <w:rPr>
          <w:lang w:val="ru-RU"/>
        </w:rPr>
        <w:t>Существует также</w:t>
      </w:r>
      <w:r w:rsidR="00E76DA3" w:rsidRPr="00521670">
        <w:rPr>
          <w:lang w:val="ru-RU"/>
        </w:rPr>
        <w:t xml:space="preserve"> отдельный</w:t>
      </w:r>
      <w:r w:rsidR="007839FB" w:rsidRPr="00521670">
        <w:rPr>
          <w:lang w:val="ru-RU"/>
        </w:rPr>
        <w:t xml:space="preserve"> реестр рисков</w:t>
      </w:r>
      <w:r w:rsidR="00E76DA3" w:rsidRPr="00521670">
        <w:rPr>
          <w:lang w:val="ru-RU"/>
        </w:rPr>
        <w:t xml:space="preserve"> для проекта</w:t>
      </w:r>
      <w:r w:rsidR="007839FB" w:rsidRPr="00521670">
        <w:rPr>
          <w:lang w:val="ru-RU"/>
        </w:rPr>
        <w:t xml:space="preserve"> строительства нового здания штаб-квартиры, которым руководит Отдел административно-хозяйственного управления и проекта строительства здания. Надзор осуществляется Консультативной группой Государств-Членов (КГГЧ), причем ее финансовые отчеты регулярно направляются принимающей стране. Помимо КГГЧ, руководство проектом осуществляют Правление проекта по строительству нового здания и Руководящий комитет.</w:t>
      </w:r>
    </w:p>
    <w:p w14:paraId="1542BCE5" w14:textId="22E42AE7" w:rsidR="00D85935" w:rsidRPr="00521670" w:rsidRDefault="00202A07" w:rsidP="00202A07">
      <w:pPr>
        <w:pStyle w:val="Heading1"/>
        <w:rPr>
          <w:color w:val="4F81BD" w:themeColor="accent1"/>
          <w:lang w:val="ru-RU"/>
        </w:rPr>
      </w:pPr>
      <w:bookmarkStart w:id="75" w:name="_Toc200469141"/>
      <w:bookmarkStart w:id="76" w:name="_Toc200469264"/>
      <w:bookmarkStart w:id="77" w:name="_Toc200469517"/>
      <w:r w:rsidRPr="00521670">
        <w:rPr>
          <w:color w:val="4F81BD" w:themeColor="accent1"/>
          <w:lang w:val="ru-RU"/>
        </w:rPr>
        <w:t>3</w:t>
      </w:r>
      <w:r w:rsidRPr="00521670">
        <w:rPr>
          <w:color w:val="4F81BD" w:themeColor="accent1"/>
          <w:lang w:val="ru-RU"/>
        </w:rPr>
        <w:tab/>
      </w:r>
      <w:r w:rsidR="007839FB" w:rsidRPr="00521670">
        <w:rPr>
          <w:color w:val="4F81BD" w:themeColor="accent1"/>
          <w:lang w:val="ru-RU"/>
        </w:rPr>
        <w:t>Деятельность по контролю</w:t>
      </w:r>
      <w:bookmarkEnd w:id="75"/>
      <w:bookmarkEnd w:id="76"/>
      <w:bookmarkEnd w:id="77"/>
    </w:p>
    <w:p w14:paraId="3C555BE8" w14:textId="23F2934B" w:rsidR="00D85935" w:rsidRPr="00521670" w:rsidRDefault="007839FB" w:rsidP="00202A07">
      <w:pPr>
        <w:rPr>
          <w:lang w:val="ru-RU"/>
        </w:rPr>
      </w:pPr>
      <w:r w:rsidRPr="00521670">
        <w:rPr>
          <w:b/>
          <w:bCs/>
          <w:i/>
          <w:iCs/>
          <w:lang w:val="ru-RU"/>
        </w:rPr>
        <w:t>Финансовая отчетность</w:t>
      </w:r>
      <w:r w:rsidR="00D85935" w:rsidRPr="00521670">
        <w:rPr>
          <w:lang w:val="ru-RU"/>
        </w:rPr>
        <w:t xml:space="preserve">. </w:t>
      </w:r>
      <w:r w:rsidRPr="00521670">
        <w:rPr>
          <w:lang w:val="ru-RU"/>
        </w:rPr>
        <w:t>МСЭ продолжает следовать графику подготовки финансовой отчетности за 2024 год, которая была направлена НРУ 10 марта 2025 года и будет представлена Совету в согласованные сроки. Это свидетельствует о дальнейшем улучшении процесса представления финансовой отчетности.</w:t>
      </w:r>
      <w:r w:rsidR="00604D84" w:rsidRPr="00521670">
        <w:rPr>
          <w:lang w:val="ru-RU"/>
        </w:rPr>
        <w:t xml:space="preserve"> Проведенный всеобъемлющий обзор внутренних процессов учета способствовал укреплению системы внутреннего контроля и улучшению управления учетом внебюджетных средств, обеспечив большую точность и соответствие требованиям. </w:t>
      </w:r>
      <w:r w:rsidR="00DC1802" w:rsidRPr="00521670">
        <w:rPr>
          <w:lang w:val="ru-RU"/>
        </w:rPr>
        <w:t xml:space="preserve">МСЭ обновил свою учетную политику, усовершенствовал процессы выверки и ввел более строгий анализ закрытия финансового года, устранив имевшиеся ранее проблемы и упорядочив рабочие процессы. Вместе с тем Союз признает необходимость дальнейшего укрепления средств внутреннего контроля, механизмов отчетности и четкого определения функций и обязанностей, в особенности в сфере управления внебюджетными средствами. </w:t>
      </w:r>
      <w:r w:rsidR="00A67ABC" w:rsidRPr="00521670">
        <w:rPr>
          <w:lang w:val="ru-RU"/>
        </w:rPr>
        <w:t>Разрабатываются</w:t>
      </w:r>
      <w:r w:rsidR="00DC1802" w:rsidRPr="00521670">
        <w:rPr>
          <w:lang w:val="ru-RU"/>
        </w:rPr>
        <w:t xml:space="preserve"> меры в целях улучшения надзора, обеспечения соответствия требованиям и усовершенствования механизмов финансового контроля </w:t>
      </w:r>
      <w:r w:rsidR="00A67ABC" w:rsidRPr="00521670">
        <w:rPr>
          <w:lang w:val="ru-RU"/>
        </w:rPr>
        <w:t xml:space="preserve">использования </w:t>
      </w:r>
      <w:r w:rsidR="00DC1802" w:rsidRPr="00521670">
        <w:rPr>
          <w:lang w:val="ru-RU"/>
        </w:rPr>
        <w:t xml:space="preserve">этих средств, </w:t>
      </w:r>
      <w:r w:rsidR="00A67ABC" w:rsidRPr="00521670">
        <w:rPr>
          <w:lang w:val="ru-RU"/>
        </w:rPr>
        <w:t>например готовятся четкие стандартные рабочие процедуры (SOP) по сквозным процессам для всей внебюджетной деятельности, касающейся организации</w:t>
      </w:r>
      <w:r w:rsidR="00604D84" w:rsidRPr="00521670">
        <w:rPr>
          <w:lang w:val="ru-RU"/>
        </w:rPr>
        <w:t xml:space="preserve"> в целом</w:t>
      </w:r>
      <w:r w:rsidR="00A67ABC" w:rsidRPr="00521670">
        <w:rPr>
          <w:lang w:val="ru-RU"/>
        </w:rPr>
        <w:t xml:space="preserve">, и четко определяются </w:t>
      </w:r>
      <w:r w:rsidR="00604D84" w:rsidRPr="00521670">
        <w:rPr>
          <w:lang w:val="ru-RU"/>
        </w:rPr>
        <w:t>роли</w:t>
      </w:r>
      <w:r w:rsidR="00A67ABC" w:rsidRPr="00521670">
        <w:rPr>
          <w:lang w:val="ru-RU"/>
        </w:rPr>
        <w:t xml:space="preserve"> и обязанности, связанные с ключевыми функциями управления.</w:t>
      </w:r>
    </w:p>
    <w:p w14:paraId="31B3AE65" w14:textId="7E7828A7" w:rsidR="00D85935" w:rsidRPr="00521670" w:rsidRDefault="00A67ABC" w:rsidP="00202A07">
      <w:pPr>
        <w:rPr>
          <w:lang w:val="ru-RU"/>
        </w:rPr>
      </w:pPr>
      <w:r w:rsidRPr="00521670">
        <w:rPr>
          <w:b/>
          <w:bCs/>
          <w:i/>
          <w:iCs/>
          <w:lang w:val="ru-RU"/>
        </w:rPr>
        <w:t>Управление финансами</w:t>
      </w:r>
      <w:r w:rsidR="00D85935" w:rsidRPr="00521670">
        <w:rPr>
          <w:lang w:val="ru-RU"/>
        </w:rPr>
        <w:t xml:space="preserve">. </w:t>
      </w:r>
      <w:r w:rsidRPr="00521670">
        <w:rPr>
          <w:lang w:val="ru-RU"/>
        </w:rPr>
        <w:t xml:space="preserve">В июне 2024 года Совет МСЭ утвердил пересмотренный Финансовый регламент, а Генеральный секретарь обновила Финансовые правила, тем самым укрепив структуру руководства для управления финансами. Помимо этого, МСЭ ввел более строгую </w:t>
      </w:r>
      <w:r w:rsidRPr="00521670">
        <w:rPr>
          <w:lang w:val="ru-RU"/>
        </w:rPr>
        <w:lastRenderedPageBreak/>
        <w:t xml:space="preserve">учетную политику в отношении функций Казначейского комитета и управления его инвестициями с помощью инвестиционной политики, обеспечив таким образом более структурированный и прозрачный подход к казначейским операциям. Эти </w:t>
      </w:r>
      <w:r w:rsidR="00C01C96" w:rsidRPr="00521670">
        <w:rPr>
          <w:lang w:val="ru-RU"/>
        </w:rPr>
        <w:t>продолжающиеся</w:t>
      </w:r>
      <w:r w:rsidRPr="00521670">
        <w:rPr>
          <w:lang w:val="ru-RU"/>
        </w:rPr>
        <w:t xml:space="preserve"> усовершенствования подтверждают приверженность МСЭ укреплению системы финансового контроля и обеспечению надежности и </w:t>
      </w:r>
      <w:r w:rsidR="009F13FE" w:rsidRPr="00521670">
        <w:rPr>
          <w:lang w:val="ru-RU"/>
        </w:rPr>
        <w:t xml:space="preserve">достоверности </w:t>
      </w:r>
      <w:r w:rsidRPr="00521670">
        <w:rPr>
          <w:lang w:val="ru-RU"/>
        </w:rPr>
        <w:t>финансовой отчетности.</w:t>
      </w:r>
    </w:p>
    <w:p w14:paraId="55362DBC" w14:textId="1FE23C58" w:rsidR="00D85935" w:rsidRPr="00521670" w:rsidRDefault="009F13FE" w:rsidP="00202A07">
      <w:pPr>
        <w:rPr>
          <w:lang w:val="ru-RU"/>
        </w:rPr>
      </w:pPr>
      <w:r w:rsidRPr="00521670">
        <w:rPr>
          <w:lang w:val="ru-RU"/>
        </w:rPr>
        <w:t>Сохраняется проблема расхождения между предусмотренными в бюджете и фактическими доходами по линии возмещения затрат. В отсутствие значимых опережающих показателей, позволяющих обосновать прогноз возмещения затрат, МСЭ проводит ежемесячный пересмотр данных за прошлые периоды, запланированного объема</w:t>
      </w:r>
      <w:r w:rsidR="00C01C96" w:rsidRPr="00521670">
        <w:rPr>
          <w:lang w:val="ru-RU"/>
        </w:rPr>
        <w:t>, а также</w:t>
      </w:r>
      <w:r w:rsidRPr="00521670">
        <w:rPr>
          <w:lang w:val="ru-RU"/>
        </w:rPr>
        <w:t xml:space="preserve"> анализ спроса и</w:t>
      </w:r>
      <w:r w:rsidR="00BA023A" w:rsidRPr="00521670">
        <w:rPr>
          <w:lang w:val="ru-RU"/>
        </w:rPr>
        <w:t> </w:t>
      </w:r>
      <w:r w:rsidRPr="00521670">
        <w:rPr>
          <w:lang w:val="ru-RU"/>
        </w:rPr>
        <w:t>чувствительности.</w:t>
      </w:r>
    </w:p>
    <w:p w14:paraId="1A85655C" w14:textId="13ECBBF5" w:rsidR="00D85935" w:rsidRPr="00521670" w:rsidRDefault="005D401E" w:rsidP="00202A07">
      <w:pPr>
        <w:rPr>
          <w:lang w:val="ru-RU"/>
        </w:rPr>
      </w:pPr>
      <w:r w:rsidRPr="00521670">
        <w:rPr>
          <w:b/>
          <w:bCs/>
          <w:lang w:val="ru-RU"/>
        </w:rPr>
        <w:t>Роли, обязанности и делегирование полномочий</w:t>
      </w:r>
      <w:r w:rsidR="00D85935" w:rsidRPr="00521670">
        <w:rPr>
          <w:lang w:val="ru-RU"/>
        </w:rPr>
        <w:t xml:space="preserve">. </w:t>
      </w:r>
      <w:r w:rsidRPr="00521670">
        <w:rPr>
          <w:lang w:val="ru-RU"/>
        </w:rPr>
        <w:t xml:space="preserve">Несмотря на то, что старшие должностные лица, с которыми осуществляются консультации через процедуру представления сопроводительных писем, считают надлежащей структуру отчетности, предусматривающую делегирование полномочий, ответственности и соответствующей подотчетности, недавний обзор, проведенный HRMD, выявил необходимость более глубокого понимания на всех уровнях организации в целом, особенно в отношении того, что касается многочисленных случаев распределения и исполнения делегированных полномочий и ответственности за </w:t>
      </w:r>
      <w:r w:rsidR="00C01C96" w:rsidRPr="00521670">
        <w:rPr>
          <w:lang w:val="ru-RU"/>
        </w:rPr>
        <w:t>внутренний контроль в конкретных областях</w:t>
      </w:r>
      <w:r w:rsidRPr="00521670">
        <w:rPr>
          <w:lang w:val="ru-RU"/>
        </w:rPr>
        <w:t xml:space="preserve">. Для решения этого существенного вопроса HRMD уже выделил ресурсы на разработку всеобъемлющей системы делегирования полномочий. </w:t>
      </w:r>
      <w:r w:rsidR="00C60415" w:rsidRPr="00521670">
        <w:rPr>
          <w:lang w:val="ru-RU"/>
        </w:rPr>
        <w:t>После этого будет проведена работа с руководителями всех структур организации в целях надлежащего внедрения системы в рамках их сфер ответственности.</w:t>
      </w:r>
    </w:p>
    <w:p w14:paraId="0A8E28A8" w14:textId="5D27595A" w:rsidR="00D85935" w:rsidRPr="00521670" w:rsidRDefault="00C60415" w:rsidP="00202A07">
      <w:pPr>
        <w:rPr>
          <w:lang w:val="ru-RU"/>
        </w:rPr>
      </w:pPr>
      <w:r w:rsidRPr="00521670">
        <w:rPr>
          <w:b/>
          <w:bCs/>
          <w:i/>
          <w:iCs/>
          <w:lang w:val="ru-RU"/>
        </w:rPr>
        <w:t>Разделение обязанностей</w:t>
      </w:r>
      <w:r w:rsidR="00D85935" w:rsidRPr="00521670">
        <w:rPr>
          <w:lang w:val="ru-RU"/>
        </w:rPr>
        <w:t xml:space="preserve">. </w:t>
      </w:r>
      <w:r w:rsidRPr="00521670">
        <w:rPr>
          <w:lang w:val="ru-RU"/>
        </w:rPr>
        <w:t>В сентябре 2022 года было представлено Руководство по закупкам, в котором</w:t>
      </w:r>
      <w:r w:rsidR="00F035B4" w:rsidRPr="00521670">
        <w:rPr>
          <w:lang w:val="ru-RU"/>
        </w:rPr>
        <w:t xml:space="preserve"> был</w:t>
      </w:r>
      <w:r w:rsidRPr="00521670">
        <w:rPr>
          <w:lang w:val="ru-RU"/>
        </w:rPr>
        <w:t xml:space="preserve"> сформулирован принцип разделения обязанностей в процессе закупок и </w:t>
      </w:r>
      <w:r w:rsidR="00C01C96" w:rsidRPr="00521670">
        <w:rPr>
          <w:lang w:val="ru-RU"/>
        </w:rPr>
        <w:t>учтен</w:t>
      </w:r>
      <w:r w:rsidRPr="00521670">
        <w:rPr>
          <w:lang w:val="ru-RU"/>
        </w:rPr>
        <w:t xml:space="preserve"> ряд невыполненных рекомендаций надзорных органов. </w:t>
      </w:r>
      <w:r w:rsidR="00F035B4" w:rsidRPr="00521670">
        <w:rPr>
          <w:lang w:val="ru-RU"/>
        </w:rPr>
        <w:t>Новый руководитель Отдела закупок, вступивший в должность в конце 2024 года, разработает матрицу разделения обязанностей на основе Руководства для удобства сотрудников, не связанных с закупками, которые привлекаются к этой работе на любом этапе процесса закупок.</w:t>
      </w:r>
    </w:p>
    <w:p w14:paraId="0ABA6B48" w14:textId="7B58D82E" w:rsidR="00D85935" w:rsidRPr="00521670" w:rsidRDefault="00F035B4" w:rsidP="00202A07">
      <w:pPr>
        <w:rPr>
          <w:lang w:val="ru-RU"/>
        </w:rPr>
      </w:pPr>
      <w:r w:rsidRPr="00521670">
        <w:rPr>
          <w:b/>
          <w:bCs/>
          <w:i/>
          <w:iCs/>
          <w:lang w:val="ru-RU"/>
        </w:rPr>
        <w:t>Модернизация политики</w:t>
      </w:r>
      <w:r w:rsidR="00D85935" w:rsidRPr="00521670">
        <w:rPr>
          <w:lang w:val="ru-RU"/>
        </w:rPr>
        <w:t xml:space="preserve">. </w:t>
      </w:r>
      <w:r w:rsidRPr="00521670">
        <w:rPr>
          <w:lang w:val="ru-RU"/>
        </w:rPr>
        <w:t>В 2024 году</w:t>
      </w:r>
      <w:r w:rsidR="00D85935" w:rsidRPr="00521670">
        <w:rPr>
          <w:lang w:val="ru-RU"/>
        </w:rPr>
        <w:t xml:space="preserve"> HRMD </w:t>
      </w:r>
      <w:r w:rsidRPr="00521670">
        <w:rPr>
          <w:lang w:val="ru-RU"/>
        </w:rPr>
        <w:t xml:space="preserve">приступил к реализации инициативы по модернизации политики МСЭ в целях удовлетворения потребностей как нынешних, так и будущих его сотрудников. Ориентируясь на другие организации системы Организации Объединенных Наций, он преследует цель обновления существующих или внедрения новых мер политики для учета меняющихся потребностей МСЭ в </w:t>
      </w:r>
      <w:r w:rsidR="00C01C96" w:rsidRPr="00521670">
        <w:rPr>
          <w:lang w:val="ru-RU"/>
        </w:rPr>
        <w:t>кадрах</w:t>
      </w:r>
      <w:r w:rsidRPr="00521670">
        <w:rPr>
          <w:lang w:val="ru-RU"/>
        </w:rPr>
        <w:t xml:space="preserve">. </w:t>
      </w:r>
      <w:r w:rsidR="004B54B3" w:rsidRPr="00521670">
        <w:rPr>
          <w:lang w:val="ru-RU"/>
        </w:rPr>
        <w:t>К таким мерам политики относятся процедуры и руководящие указания для сотрудников, имеющих контракты SSA, а также служебный приказ об учреждении в МСЭ функции омбудсмена, который будет издан в ближайшее время.</w:t>
      </w:r>
      <w:r w:rsidR="004B54B3" w:rsidRPr="00521670">
        <w:rPr>
          <w:color w:val="333333"/>
          <w:sz w:val="26"/>
          <w:szCs w:val="26"/>
          <w:shd w:val="clear" w:color="auto" w:fill="FFFFFF"/>
          <w:lang w:val="ru-RU"/>
        </w:rPr>
        <w:t xml:space="preserve"> </w:t>
      </w:r>
      <w:r w:rsidR="004B54B3" w:rsidRPr="00521670">
        <w:rPr>
          <w:lang w:val="ru-RU"/>
        </w:rPr>
        <w:t>В предстоящие месяцы МСЭ опубликует обновленную информацию об использовании персонала, работающего по краткосрочным контрактам, и управлении им, субсидиях на аренду жилья, субсидиях на образование и надбавках на иждивенцев.</w:t>
      </w:r>
    </w:p>
    <w:p w14:paraId="2CB2701D" w14:textId="5AA72033" w:rsidR="00D85935" w:rsidRPr="00521670" w:rsidRDefault="00082049" w:rsidP="00202A07">
      <w:pPr>
        <w:rPr>
          <w:lang w:val="ru-RU"/>
        </w:rPr>
      </w:pPr>
      <w:r w:rsidRPr="00521670">
        <w:rPr>
          <w:b/>
          <w:bCs/>
          <w:i/>
          <w:iCs/>
          <w:lang w:val="ru-RU"/>
        </w:rPr>
        <w:t>Контроль над технологиями</w:t>
      </w:r>
      <w:r w:rsidR="00D85935" w:rsidRPr="00521670">
        <w:rPr>
          <w:lang w:val="ru-RU"/>
        </w:rPr>
        <w:t>.</w:t>
      </w:r>
      <w:r w:rsidR="00D85935" w:rsidRPr="00521670" w:rsidDel="00DA2C81">
        <w:rPr>
          <w:lang w:val="ru-RU"/>
        </w:rPr>
        <w:t xml:space="preserve"> </w:t>
      </w:r>
      <w:r w:rsidRPr="00521670">
        <w:rPr>
          <w:lang w:val="ru-RU"/>
        </w:rPr>
        <w:t xml:space="preserve">Для целей надзора и стратегического руководства всеми аспектами управления в области информационных технологий (ИТ), кибербезопасности и управления информацией/данными в МСЭ, включая оптимизацию распределения ресурсов ИКТ и осуществление надлежащей деятельности по управлению рисками, связанными с ИТ, был учрежден Комитет по управлению информационно-коммуникационными технологиями (ICTGC). </w:t>
      </w:r>
      <w:r w:rsidR="00C01C96" w:rsidRPr="00521670">
        <w:rPr>
          <w:lang w:val="ru-RU"/>
        </w:rPr>
        <w:t>Создание</w:t>
      </w:r>
      <w:r w:rsidRPr="00521670">
        <w:rPr>
          <w:lang w:val="ru-RU"/>
        </w:rPr>
        <w:t xml:space="preserve"> ICTGC, который проводит регулярные сессии, позволило выполнить несколько рекомендаций по надзору, которые были вынесены ранее</w:t>
      </w:r>
      <w:r w:rsidR="00F65E6F" w:rsidRPr="00521670">
        <w:rPr>
          <w:lang w:val="ru-RU"/>
        </w:rPr>
        <w:t xml:space="preserve"> и</w:t>
      </w:r>
      <w:r w:rsidR="006379EC" w:rsidRPr="00521670">
        <w:rPr>
          <w:lang w:val="ru-RU"/>
        </w:rPr>
        <w:t xml:space="preserve"> еще</w:t>
      </w:r>
      <w:r w:rsidR="00F65E6F" w:rsidRPr="00521670">
        <w:rPr>
          <w:lang w:val="ru-RU"/>
        </w:rPr>
        <w:t xml:space="preserve"> не выполнены</w:t>
      </w:r>
      <w:r w:rsidRPr="00521670">
        <w:rPr>
          <w:lang w:val="ru-RU"/>
        </w:rPr>
        <w:t>.</w:t>
      </w:r>
    </w:p>
    <w:p w14:paraId="5483E2E6" w14:textId="00DD0EB5" w:rsidR="00D85935" w:rsidRPr="00521670" w:rsidRDefault="006379EC" w:rsidP="00202A07">
      <w:pPr>
        <w:rPr>
          <w:lang w:val="ru-RU"/>
        </w:rPr>
      </w:pPr>
      <w:r w:rsidRPr="00521670">
        <w:rPr>
          <w:b/>
          <w:bCs/>
          <w:i/>
          <w:iCs/>
          <w:lang w:val="ru-RU"/>
        </w:rPr>
        <w:t>Охрана и безопасность</w:t>
      </w:r>
      <w:r w:rsidR="00C32225" w:rsidRPr="00521670">
        <w:rPr>
          <w:lang w:val="ru-RU"/>
        </w:rPr>
        <w:t>.</w:t>
      </w:r>
      <w:r w:rsidR="00D85935" w:rsidRPr="00521670">
        <w:rPr>
          <w:lang w:val="ru-RU"/>
        </w:rPr>
        <w:t xml:space="preserve"> </w:t>
      </w:r>
      <w:r w:rsidRPr="00521670">
        <w:rPr>
          <w:lang w:val="ru-RU"/>
        </w:rPr>
        <w:t xml:space="preserve">В 2024 году МСЭ приступил к важной работе по модернизации систем охраны и безопасности путем развертывания стандартизированных средств ИТ и безопасности в региональных, зональных отделениях и представительствах в соответствии с обязательными требованиями Системы управления безопасностью Организации Объединенных Наций. </w:t>
      </w:r>
      <w:r w:rsidR="007F6676" w:rsidRPr="00521670">
        <w:rPr>
          <w:lang w:val="ru-RU"/>
        </w:rPr>
        <w:t>Модернизация</w:t>
      </w:r>
      <w:r w:rsidRPr="00521670">
        <w:rPr>
          <w:lang w:val="ru-RU"/>
        </w:rPr>
        <w:t xml:space="preserve"> проводится в целях достижения стабильного уровня охраны и безопасности во </w:t>
      </w:r>
      <w:r w:rsidRPr="00521670">
        <w:rPr>
          <w:lang w:val="ru-RU"/>
        </w:rPr>
        <w:lastRenderedPageBreak/>
        <w:t xml:space="preserve">всех помещениях МСЭ путем использования стандартизированного оборудования, обеспечиваемого оперативной поддержкой из штаб-квартиры. Модернизация завершена в Бангкоке, Джакарте, Нью-Дели, Каире, Москве и Аддис-Абебе. </w:t>
      </w:r>
      <w:r w:rsidR="007F6676" w:rsidRPr="00521670">
        <w:rPr>
          <w:lang w:val="ru-RU"/>
        </w:rPr>
        <w:t>Оснащение</w:t>
      </w:r>
      <w:r w:rsidRPr="00521670">
        <w:rPr>
          <w:lang w:val="ru-RU"/>
        </w:rPr>
        <w:t xml:space="preserve"> оставшихся отделений и представительств будет завершен</w:t>
      </w:r>
      <w:r w:rsidR="007F6676" w:rsidRPr="00521670">
        <w:rPr>
          <w:lang w:val="ru-RU"/>
        </w:rPr>
        <w:t>о</w:t>
      </w:r>
      <w:r w:rsidRPr="00521670">
        <w:rPr>
          <w:lang w:val="ru-RU"/>
        </w:rPr>
        <w:t xml:space="preserve"> в 2025 году.</w:t>
      </w:r>
    </w:p>
    <w:p w14:paraId="62A46DA4" w14:textId="106C6593" w:rsidR="00D85935" w:rsidRPr="00521670" w:rsidRDefault="00202A07" w:rsidP="00202A07">
      <w:pPr>
        <w:pStyle w:val="Heading1"/>
        <w:rPr>
          <w:color w:val="4F81BD" w:themeColor="accent1"/>
          <w:lang w:val="ru-RU"/>
        </w:rPr>
      </w:pPr>
      <w:bookmarkStart w:id="78" w:name="_Toc200469142"/>
      <w:bookmarkStart w:id="79" w:name="_Toc200469265"/>
      <w:bookmarkStart w:id="80" w:name="_Toc200469518"/>
      <w:r w:rsidRPr="00521670">
        <w:rPr>
          <w:color w:val="4F81BD" w:themeColor="accent1"/>
          <w:lang w:val="ru-RU"/>
        </w:rPr>
        <w:t>4</w:t>
      </w:r>
      <w:r w:rsidRPr="00521670">
        <w:rPr>
          <w:color w:val="4F81BD" w:themeColor="accent1"/>
          <w:lang w:val="ru-RU"/>
        </w:rPr>
        <w:tab/>
      </w:r>
      <w:r w:rsidR="00D14B0A" w:rsidRPr="00521670">
        <w:rPr>
          <w:color w:val="4F81BD" w:themeColor="accent1"/>
          <w:lang w:val="ru-RU"/>
        </w:rPr>
        <w:t>Информационно-коммуникационная деятельность</w:t>
      </w:r>
      <w:bookmarkEnd w:id="78"/>
      <w:bookmarkEnd w:id="79"/>
      <w:bookmarkEnd w:id="80"/>
    </w:p>
    <w:p w14:paraId="590F0F7B" w14:textId="1B6BED1C" w:rsidR="00D85935" w:rsidRPr="00521670" w:rsidRDefault="00D14B0A" w:rsidP="00202A07">
      <w:pPr>
        <w:rPr>
          <w:lang w:val="ru-RU"/>
        </w:rPr>
      </w:pPr>
      <w:r w:rsidRPr="00521670">
        <w:rPr>
          <w:b/>
          <w:bCs/>
          <w:i/>
          <w:iCs/>
          <w:lang w:val="ru-RU"/>
        </w:rPr>
        <w:t>Электронная почта на портале, корпоративн</w:t>
      </w:r>
      <w:r w:rsidR="00DE6D95" w:rsidRPr="00521670">
        <w:rPr>
          <w:b/>
          <w:bCs/>
          <w:i/>
          <w:iCs/>
          <w:lang w:val="ru-RU"/>
        </w:rPr>
        <w:t xml:space="preserve">ая внутренняя сеть </w:t>
      </w:r>
      <w:r w:rsidRPr="00521670">
        <w:rPr>
          <w:b/>
          <w:bCs/>
          <w:i/>
          <w:iCs/>
          <w:lang w:val="ru-RU"/>
        </w:rPr>
        <w:t>и общие собрания</w:t>
      </w:r>
      <w:r w:rsidR="00D85935" w:rsidRPr="00521670">
        <w:rPr>
          <w:lang w:val="ru-RU"/>
        </w:rPr>
        <w:t xml:space="preserve">. </w:t>
      </w:r>
      <w:r w:rsidR="003D2A97" w:rsidRPr="00521670">
        <w:rPr>
          <w:lang w:val="ru-RU"/>
        </w:rPr>
        <w:t>При</w:t>
      </w:r>
      <w:r w:rsidR="00A81193" w:rsidRPr="00521670">
        <w:rPr>
          <w:lang w:val="ru-RU"/>
        </w:rPr>
        <w:t> </w:t>
      </w:r>
      <w:r w:rsidR="003D2A97" w:rsidRPr="00521670">
        <w:rPr>
          <w:lang w:val="ru-RU"/>
        </w:rPr>
        <w:t xml:space="preserve">помощи электронной почты на портале и корпоративной внутренней сети сотрудники МСЭ получают необходимую информацию о функционировании и </w:t>
      </w:r>
      <w:r w:rsidR="00181457" w:rsidRPr="00521670">
        <w:rPr>
          <w:lang w:val="ru-RU"/>
        </w:rPr>
        <w:t>совершенствовании</w:t>
      </w:r>
      <w:r w:rsidR="003D2A97" w:rsidRPr="00521670">
        <w:rPr>
          <w:lang w:val="ru-RU"/>
        </w:rPr>
        <w:t xml:space="preserve"> средств внутреннего контроля, например о введении новой политики, обновлениях служебных инструкций и различных служебных записках, в частности по регулярным темам, а также напоминания о различных обязанностях персонала. В 2024 году HRMD подготовил и опубликовал всеобъемлющие документы по часто задаваемым вопросам, в частности касающимся организации телеработы, </w:t>
      </w:r>
      <w:r w:rsidR="00E76DA3" w:rsidRPr="00521670">
        <w:rPr>
          <w:lang w:val="ru-RU"/>
        </w:rPr>
        <w:t>начала</w:t>
      </w:r>
      <w:r w:rsidR="003D2A97" w:rsidRPr="00521670">
        <w:rPr>
          <w:lang w:val="ru-RU"/>
        </w:rPr>
        <w:t xml:space="preserve"> второго этапа Программы добровольного прекращения службы и политики обязательного обучения. Кроме того, информация по вопросам внутреннего контроля также сообщается в ходе регулярных общих собраний, что обеспечивает широкую осведомленность сотрудников в рамках</w:t>
      </w:r>
      <w:r w:rsidR="00E76DA3" w:rsidRPr="00521670">
        <w:rPr>
          <w:lang w:val="ru-RU"/>
        </w:rPr>
        <w:t xml:space="preserve"> всей</w:t>
      </w:r>
      <w:r w:rsidR="003D2A97" w:rsidRPr="00521670">
        <w:rPr>
          <w:lang w:val="ru-RU"/>
        </w:rPr>
        <w:t xml:space="preserve"> организации.</w:t>
      </w:r>
    </w:p>
    <w:p w14:paraId="31D1D8E5" w14:textId="7F780CE5" w:rsidR="00D85935" w:rsidRPr="00521670" w:rsidRDefault="00992914" w:rsidP="00202A07">
      <w:pPr>
        <w:rPr>
          <w:lang w:val="ru-RU"/>
        </w:rPr>
      </w:pPr>
      <w:r w:rsidRPr="00521670">
        <w:rPr>
          <w:b/>
          <w:bCs/>
          <w:i/>
          <w:iCs/>
          <w:lang w:val="ru-RU"/>
        </w:rPr>
        <w:t>Проект создания веб-сайта МСЭ</w:t>
      </w:r>
      <w:r w:rsidR="00D85935" w:rsidRPr="00521670">
        <w:rPr>
          <w:lang w:val="ru-RU"/>
        </w:rPr>
        <w:t xml:space="preserve">. </w:t>
      </w:r>
      <w:r w:rsidRPr="00521670">
        <w:rPr>
          <w:lang w:val="ru-RU"/>
        </w:rPr>
        <w:t xml:space="preserve">Началась реализация проекта по созданию веб-сайта МСЭ, частичное финансирование для которого было выделено Советом 2024 года. Проект призван устранить недостатки </w:t>
      </w:r>
      <w:r w:rsidR="00181457" w:rsidRPr="00521670">
        <w:rPr>
          <w:lang w:val="ru-RU"/>
        </w:rPr>
        <w:t xml:space="preserve">функционала </w:t>
      </w:r>
      <w:r w:rsidRPr="00521670">
        <w:rPr>
          <w:lang w:val="ru-RU"/>
        </w:rPr>
        <w:t>навигации и поиска</w:t>
      </w:r>
      <w:r w:rsidR="00181457" w:rsidRPr="00521670">
        <w:rPr>
          <w:lang w:val="ru-RU"/>
        </w:rPr>
        <w:t xml:space="preserve"> по сайту</w:t>
      </w:r>
      <w:r w:rsidRPr="00521670">
        <w:rPr>
          <w:lang w:val="ru-RU"/>
        </w:rPr>
        <w:t>.</w:t>
      </w:r>
    </w:p>
    <w:p w14:paraId="5A7AA2A8" w14:textId="685F2F20" w:rsidR="00D85935" w:rsidRPr="00521670" w:rsidRDefault="00992914" w:rsidP="00202A07">
      <w:pPr>
        <w:rPr>
          <w:lang w:val="ru-RU"/>
        </w:rPr>
      </w:pPr>
      <w:r w:rsidRPr="00521670">
        <w:rPr>
          <w:b/>
          <w:bCs/>
          <w:i/>
          <w:iCs/>
          <w:lang w:val="ru-RU"/>
        </w:rPr>
        <w:t>Информационные панели</w:t>
      </w:r>
      <w:r w:rsidR="00D85935" w:rsidRPr="00521670">
        <w:rPr>
          <w:lang w:val="ru-RU"/>
        </w:rPr>
        <w:t xml:space="preserve">. </w:t>
      </w:r>
      <w:r w:rsidRPr="00521670">
        <w:rPr>
          <w:lang w:val="ru-RU"/>
        </w:rPr>
        <w:t xml:space="preserve">Информация, поступающая в режиме реального времени, все чаще используется для помощи персоналу и руководству в выполнении их обязанностей по внутреннему контролю. Так, информационная </w:t>
      </w:r>
      <w:r w:rsidR="00C10BD2" w:rsidRPr="00521670">
        <w:rPr>
          <w:lang w:val="ru-RU"/>
        </w:rPr>
        <w:t>аналитическая панель по</w:t>
      </w:r>
      <w:r w:rsidRPr="00521670">
        <w:rPr>
          <w:lang w:val="ru-RU"/>
        </w:rPr>
        <w:t xml:space="preserve"> корпоративны</w:t>
      </w:r>
      <w:r w:rsidR="00C10BD2" w:rsidRPr="00521670">
        <w:rPr>
          <w:lang w:val="ru-RU"/>
        </w:rPr>
        <w:t>м</w:t>
      </w:r>
      <w:r w:rsidRPr="00521670">
        <w:rPr>
          <w:lang w:val="ru-RU"/>
        </w:rPr>
        <w:t xml:space="preserve"> финанс</w:t>
      </w:r>
      <w:r w:rsidR="00C10BD2" w:rsidRPr="00521670">
        <w:rPr>
          <w:lang w:val="ru-RU"/>
        </w:rPr>
        <w:t>ам</w:t>
      </w:r>
      <w:r w:rsidRPr="00521670">
        <w:rPr>
          <w:lang w:val="ru-RU"/>
        </w:rPr>
        <w:t xml:space="preserve"> и результат</w:t>
      </w:r>
      <w:r w:rsidR="00C10BD2" w:rsidRPr="00521670">
        <w:rPr>
          <w:lang w:val="ru-RU"/>
        </w:rPr>
        <w:t>ам</w:t>
      </w:r>
      <w:r w:rsidRPr="00521670">
        <w:rPr>
          <w:lang w:val="ru-RU"/>
        </w:rPr>
        <w:t xml:space="preserve"> деятельности позволяет проводить динамический анализ тенденций и формировать отчеты по таким статьям как командировочные расходы, главная бухгалтерская книга, общее исполнение бюджета и </w:t>
      </w:r>
      <w:r w:rsidR="00353EE3" w:rsidRPr="00521670">
        <w:rPr>
          <w:lang w:val="ru-RU"/>
        </w:rPr>
        <w:t>прогнозирование</w:t>
      </w:r>
      <w:r w:rsidRPr="00521670">
        <w:rPr>
          <w:lang w:val="ru-RU"/>
        </w:rPr>
        <w:t xml:space="preserve">. </w:t>
      </w:r>
      <w:r w:rsidR="00C10BD2" w:rsidRPr="00521670">
        <w:rPr>
          <w:lang w:val="ru-RU"/>
        </w:rPr>
        <w:t xml:space="preserve">В 2024 году были добавлены данные по неоперационным бюджетным средствам ИКТ и фондам капитализации зданий, а также введена функция автоматического архивирования, позволяющая </w:t>
      </w:r>
      <w:r w:rsidR="00181457" w:rsidRPr="00521670">
        <w:rPr>
          <w:lang w:val="ru-RU"/>
        </w:rPr>
        <w:t>осуществлять проверку хода исполнения</w:t>
      </w:r>
      <w:r w:rsidR="00C10BD2" w:rsidRPr="00521670">
        <w:rPr>
          <w:lang w:val="ru-RU"/>
        </w:rPr>
        <w:t xml:space="preserve"> бюджета. Данные по внебюджетным средствам будут размещаться на информационной панели с 2025 года. Помимо этого, в 2025 году будут организованы семинары-практикумы для ознакомления руководителей с этим инструментом и способами толкования получаемых </w:t>
      </w:r>
      <w:r w:rsidR="00181457" w:rsidRPr="00521670">
        <w:rPr>
          <w:lang w:val="ru-RU"/>
        </w:rPr>
        <w:t>показателей</w:t>
      </w:r>
      <w:r w:rsidR="00C10BD2" w:rsidRPr="00521670">
        <w:rPr>
          <w:lang w:val="ru-RU"/>
        </w:rPr>
        <w:t>. В дополнение к аналитическому порталу по людским ресурсам и кадрам разработаны дополнительные информационные панели для мониторинга показателей телеработы и прохождения обязательного обучения.</w:t>
      </w:r>
    </w:p>
    <w:p w14:paraId="2DBEDC3A" w14:textId="7E82EF24" w:rsidR="00D85935" w:rsidRPr="00521670" w:rsidRDefault="00202A07" w:rsidP="00202A07">
      <w:pPr>
        <w:pStyle w:val="Heading1"/>
        <w:rPr>
          <w:color w:val="4F81BD" w:themeColor="accent1"/>
          <w:lang w:val="ru-RU"/>
        </w:rPr>
      </w:pPr>
      <w:bookmarkStart w:id="81" w:name="_Toc200469143"/>
      <w:bookmarkStart w:id="82" w:name="_Toc200469266"/>
      <w:bookmarkStart w:id="83" w:name="_Toc200469519"/>
      <w:r w:rsidRPr="00521670">
        <w:rPr>
          <w:color w:val="4F81BD" w:themeColor="accent1"/>
          <w:lang w:val="ru-RU"/>
        </w:rPr>
        <w:t>5</w:t>
      </w:r>
      <w:r w:rsidRPr="00521670">
        <w:rPr>
          <w:color w:val="4F81BD" w:themeColor="accent1"/>
          <w:lang w:val="ru-RU"/>
        </w:rPr>
        <w:tab/>
      </w:r>
      <w:r w:rsidR="00C10BD2" w:rsidRPr="00521670">
        <w:rPr>
          <w:bCs/>
          <w:color w:val="4F81BD" w:themeColor="accent1"/>
          <w:lang w:val="ru-RU"/>
        </w:rPr>
        <w:t>Деятельность по мониторингу</w:t>
      </w:r>
      <w:bookmarkEnd w:id="81"/>
      <w:bookmarkEnd w:id="82"/>
      <w:bookmarkEnd w:id="83"/>
    </w:p>
    <w:p w14:paraId="0E1364B5" w14:textId="46DA8FF6" w:rsidR="00D85935" w:rsidRPr="00521670" w:rsidRDefault="00C10BD2" w:rsidP="00202A07">
      <w:pPr>
        <w:rPr>
          <w:lang w:val="ru-RU"/>
        </w:rPr>
      </w:pPr>
      <w:r w:rsidRPr="00521670">
        <w:rPr>
          <w:b/>
          <w:bCs/>
          <w:i/>
          <w:iCs/>
          <w:lang w:val="ru-RU"/>
        </w:rPr>
        <w:t>Внутренние аудиторские проверки</w:t>
      </w:r>
      <w:r w:rsidR="00D85935" w:rsidRPr="00521670">
        <w:rPr>
          <w:lang w:val="ru-RU"/>
        </w:rPr>
        <w:t xml:space="preserve">. </w:t>
      </w:r>
      <w:r w:rsidRPr="00521670">
        <w:rPr>
          <w:lang w:val="ru-RU"/>
        </w:rPr>
        <w:t>В 2024 году в рамках функции внутреннего аудита, которая обеспечивает независимые гарантии, касающиеся руководства, управления рисками и эффективности процессов внутреннего контроля МСЭ, было опубликовано четыре отчета об аудиторских проверках.</w:t>
      </w:r>
      <w:r w:rsidR="00800C71" w:rsidRPr="00521670">
        <w:rPr>
          <w:lang w:val="ru-RU"/>
        </w:rPr>
        <w:t xml:space="preserve"> Они были также направлены IMAC и Внешнему аудитору.</w:t>
      </w:r>
      <w:r w:rsidRPr="00521670">
        <w:rPr>
          <w:lang w:val="ru-RU"/>
        </w:rPr>
        <w:t xml:space="preserve"> </w:t>
      </w:r>
      <w:r w:rsidR="00800C71" w:rsidRPr="00521670">
        <w:rPr>
          <w:lang w:val="ru-RU"/>
        </w:rPr>
        <w:t>В</w:t>
      </w:r>
      <w:r w:rsidR="00A81193" w:rsidRPr="00521670">
        <w:rPr>
          <w:lang w:val="ru-RU"/>
        </w:rPr>
        <w:t> </w:t>
      </w:r>
      <w:r w:rsidR="00800C71" w:rsidRPr="00521670">
        <w:rPr>
          <w:lang w:val="ru-RU"/>
        </w:rPr>
        <w:t xml:space="preserve">соответствии с уставом надзора были запланированы и проведены аудиторские проверки, по результатам которых были представлены соответствующие отчеты. Выводы, сделанные по итогам внутренних аудиторских проверок, указывают на необходимость повышения эффективности руководства и контроля. Руководители взяли на себя обязательство решить выявленные проблемы путем выполнения рекомендованных шагов, а </w:t>
      </w:r>
      <w:r w:rsidR="00181457" w:rsidRPr="00521670">
        <w:rPr>
          <w:lang w:val="ru-RU"/>
        </w:rPr>
        <w:t>П</w:t>
      </w:r>
      <w:r w:rsidR="00800C71" w:rsidRPr="00521670">
        <w:rPr>
          <w:lang w:val="ru-RU"/>
        </w:rPr>
        <w:t>одразделение по надзору будет отслеживать прогресс при помощи информационной панели по вопросам</w:t>
      </w:r>
      <w:r w:rsidR="00A81193" w:rsidRPr="00521670">
        <w:rPr>
          <w:lang w:val="ru-RU"/>
        </w:rPr>
        <w:t> </w:t>
      </w:r>
      <w:r w:rsidR="00800C71" w:rsidRPr="00521670">
        <w:rPr>
          <w:lang w:val="ru-RU"/>
        </w:rPr>
        <w:t>осуществления.</w:t>
      </w:r>
    </w:p>
    <w:p w14:paraId="190B19BF" w14:textId="74C7F1E8" w:rsidR="00D85935" w:rsidRPr="00521670" w:rsidRDefault="00800C71" w:rsidP="00202A07">
      <w:pPr>
        <w:rPr>
          <w:lang w:val="ru-RU"/>
        </w:rPr>
      </w:pPr>
      <w:r w:rsidRPr="00521670">
        <w:rPr>
          <w:b/>
          <w:bCs/>
          <w:i/>
          <w:iCs/>
          <w:lang w:val="ru-RU"/>
        </w:rPr>
        <w:lastRenderedPageBreak/>
        <w:t>Контрольные проверки второ</w:t>
      </w:r>
      <w:r w:rsidR="0027544A" w:rsidRPr="00521670">
        <w:rPr>
          <w:b/>
          <w:bCs/>
          <w:i/>
          <w:iCs/>
          <w:lang w:val="ru-RU"/>
        </w:rPr>
        <w:t>й</w:t>
      </w:r>
      <w:r w:rsidRPr="00521670">
        <w:rPr>
          <w:b/>
          <w:bCs/>
          <w:i/>
          <w:iCs/>
          <w:lang w:val="ru-RU"/>
        </w:rPr>
        <w:t xml:space="preserve"> </w:t>
      </w:r>
      <w:r w:rsidR="0027544A" w:rsidRPr="00521670">
        <w:rPr>
          <w:b/>
          <w:bCs/>
          <w:i/>
          <w:iCs/>
          <w:lang w:val="ru-RU"/>
        </w:rPr>
        <w:t>линии</w:t>
      </w:r>
      <w:r w:rsidRPr="00521670">
        <w:rPr>
          <w:lang w:val="ru-RU"/>
        </w:rPr>
        <w:t>. В 2024 году специалист по управлению деловыми рисками проводил или координировал контрольные проверки второ</w:t>
      </w:r>
      <w:r w:rsidR="0027544A" w:rsidRPr="00521670">
        <w:rPr>
          <w:lang w:val="ru-RU"/>
        </w:rPr>
        <w:t>й</w:t>
      </w:r>
      <w:r w:rsidRPr="00521670">
        <w:rPr>
          <w:lang w:val="ru-RU"/>
        </w:rPr>
        <w:t xml:space="preserve"> </w:t>
      </w:r>
      <w:r w:rsidR="0027544A" w:rsidRPr="00521670">
        <w:rPr>
          <w:lang w:val="ru-RU"/>
        </w:rPr>
        <w:t xml:space="preserve">линии </w:t>
      </w:r>
      <w:r w:rsidRPr="00521670">
        <w:rPr>
          <w:lang w:val="ru-RU"/>
        </w:rPr>
        <w:t xml:space="preserve">для оценки наличия, адекватности и соблюдения конкретных механизмов внутреннего контроля, а также для оценки их надлежащего функционирования и надежности, </w:t>
      </w:r>
      <w:r w:rsidR="003C1118" w:rsidRPr="00521670">
        <w:rPr>
          <w:lang w:val="ru-RU"/>
        </w:rPr>
        <w:t>при необходимости</w:t>
      </w:r>
      <w:r w:rsidRPr="00521670">
        <w:rPr>
          <w:lang w:val="ru-RU"/>
        </w:rPr>
        <w:t>.</w:t>
      </w:r>
      <w:r w:rsidR="003C1118" w:rsidRPr="00521670">
        <w:rPr>
          <w:lang w:val="ru-RU"/>
        </w:rPr>
        <w:t xml:space="preserve"> Было проведено три проверки:</w:t>
      </w:r>
    </w:p>
    <w:p w14:paraId="59E76B62" w14:textId="6AB11C85" w:rsidR="00D85935" w:rsidRPr="00521670" w:rsidRDefault="00D85935" w:rsidP="00202A07">
      <w:pPr>
        <w:pStyle w:val="enumlev1"/>
        <w:rPr>
          <w:lang w:val="ru-RU"/>
        </w:rPr>
      </w:pPr>
      <w:r w:rsidRPr="00521670">
        <w:rPr>
          <w:lang w:val="ru-RU"/>
        </w:rPr>
        <w:t>1)</w:t>
      </w:r>
      <w:r w:rsidRPr="00521670">
        <w:rPr>
          <w:lang w:val="ru-RU"/>
        </w:rPr>
        <w:tab/>
      </w:r>
      <w:r w:rsidR="003C1118" w:rsidRPr="00521670">
        <w:rPr>
          <w:lang w:val="ru-RU"/>
        </w:rPr>
        <w:t>проверка соответствия требованиям ООН TRIP &amp; BSAFE;</w:t>
      </w:r>
    </w:p>
    <w:p w14:paraId="1E0F74E2" w14:textId="49D1A20A" w:rsidR="00D85935" w:rsidRPr="00521670" w:rsidRDefault="00D85935" w:rsidP="00202A07">
      <w:pPr>
        <w:pStyle w:val="enumlev1"/>
        <w:rPr>
          <w:lang w:val="ru-RU"/>
        </w:rPr>
      </w:pPr>
      <w:r w:rsidRPr="00521670">
        <w:rPr>
          <w:lang w:val="ru-RU"/>
        </w:rPr>
        <w:t>2)</w:t>
      </w:r>
      <w:r w:rsidRPr="00521670">
        <w:rPr>
          <w:lang w:val="ru-RU"/>
        </w:rPr>
        <w:tab/>
      </w:r>
      <w:r w:rsidR="003C1118" w:rsidRPr="00521670">
        <w:rPr>
          <w:lang w:val="ru-RU"/>
        </w:rPr>
        <w:t>управление криптографическими ключами для облачных услуг; и</w:t>
      </w:r>
    </w:p>
    <w:p w14:paraId="5203B341" w14:textId="608CEFF6" w:rsidR="00D85935" w:rsidRPr="00521670" w:rsidRDefault="00D85935" w:rsidP="00202A07">
      <w:pPr>
        <w:pStyle w:val="enumlev1"/>
        <w:rPr>
          <w:lang w:val="ru-RU"/>
        </w:rPr>
      </w:pPr>
      <w:r w:rsidRPr="00521670">
        <w:rPr>
          <w:lang w:val="ru-RU"/>
        </w:rPr>
        <w:t>3)</w:t>
      </w:r>
      <w:r w:rsidRPr="00521670">
        <w:rPr>
          <w:lang w:val="ru-RU"/>
        </w:rPr>
        <w:tab/>
      </w:r>
      <w:r w:rsidR="003C1118" w:rsidRPr="00521670">
        <w:rPr>
          <w:lang w:val="ru-RU"/>
        </w:rPr>
        <w:t>деятельность по закупкам и разделение обязанностей.</w:t>
      </w:r>
    </w:p>
    <w:p w14:paraId="7300A472" w14:textId="4A85DE46" w:rsidR="00D85935" w:rsidRPr="00521670" w:rsidRDefault="003C1118" w:rsidP="00202A07">
      <w:pPr>
        <w:rPr>
          <w:lang w:val="ru-RU"/>
        </w:rPr>
      </w:pPr>
      <w:r w:rsidRPr="00521670">
        <w:rPr>
          <w:lang w:val="ru-RU"/>
        </w:rPr>
        <w:t>Результаты данных проверок были доведены до сведения ответственных руководителей, в частности в целях принятия коррекционных мер, в том числе для распространения информации о выявленных недостатках, при необходимости. Если позволят время и ресурсы, МСЭ планирует провести дополнительные проверки в 2025 году.</w:t>
      </w:r>
    </w:p>
    <w:p w14:paraId="7AB18F77" w14:textId="0A423307" w:rsidR="00D85935" w:rsidRPr="00521670" w:rsidRDefault="00320716" w:rsidP="00202A07">
      <w:pPr>
        <w:pStyle w:val="Headingb"/>
        <w:rPr>
          <w:color w:val="4F81BD" w:themeColor="accent1"/>
          <w:lang w:val="ru-RU"/>
        </w:rPr>
      </w:pPr>
      <w:r w:rsidRPr="00521670">
        <w:rPr>
          <w:color w:val="4F81BD" w:themeColor="accent1"/>
          <w:lang w:val="ru-RU"/>
        </w:rPr>
        <w:t>Заключение</w:t>
      </w:r>
      <w:r w:rsidR="003C1118" w:rsidRPr="00521670">
        <w:rPr>
          <w:color w:val="4F81BD" w:themeColor="accent1"/>
          <w:lang w:val="ru-RU"/>
        </w:rPr>
        <w:t xml:space="preserve"> и обязательства</w:t>
      </w:r>
    </w:p>
    <w:p w14:paraId="08D9B15C" w14:textId="210458FB" w:rsidR="00D85935" w:rsidRPr="00521670" w:rsidRDefault="003C1118" w:rsidP="00202A07">
      <w:pPr>
        <w:rPr>
          <w:lang w:val="ru-RU"/>
        </w:rPr>
      </w:pPr>
      <w:r w:rsidRPr="00521670">
        <w:rPr>
          <w:lang w:val="ru-RU"/>
        </w:rPr>
        <w:t>В настоящем Заключении о внутреннем контроле за год, завершившийся 31 декабря 2024 года, подтверждается наша приверженность усовершенствованию системы внутреннего контроля. В</w:t>
      </w:r>
      <w:r w:rsidR="00A81193" w:rsidRPr="00521670">
        <w:rPr>
          <w:lang w:val="ru-RU"/>
        </w:rPr>
        <w:t> </w:t>
      </w:r>
      <w:r w:rsidRPr="00521670">
        <w:rPr>
          <w:lang w:val="ru-RU"/>
        </w:rPr>
        <w:t>течени</w:t>
      </w:r>
      <w:r w:rsidR="001640CB" w:rsidRPr="00521670">
        <w:rPr>
          <w:lang w:val="ru-RU"/>
        </w:rPr>
        <w:t>е</w:t>
      </w:r>
      <w:r w:rsidRPr="00521670">
        <w:rPr>
          <w:lang w:val="ru-RU"/>
        </w:rPr>
        <w:t xml:space="preserve"> года</w:t>
      </w:r>
      <w:r w:rsidR="0043200D" w:rsidRPr="00521670">
        <w:rPr>
          <w:lang w:val="ru-RU"/>
        </w:rPr>
        <w:t xml:space="preserve"> был достигнут прогресс, который стал возможен благодаря реализации с 2023 года различных инициатив, в том числе по оптимизации представления финансовой отчетности и управления финансами, а также усилиям по выполнению рекомендаций </w:t>
      </w:r>
      <w:r w:rsidR="001640CB" w:rsidRPr="00521670">
        <w:rPr>
          <w:lang w:val="ru-RU"/>
        </w:rPr>
        <w:t>поставщиков независимых гарантий</w:t>
      </w:r>
      <w:r w:rsidR="0043200D" w:rsidRPr="00521670">
        <w:rPr>
          <w:lang w:val="ru-RU"/>
        </w:rPr>
        <w:t>.</w:t>
      </w:r>
      <w:r w:rsidRPr="00521670">
        <w:rPr>
          <w:lang w:val="ru-RU"/>
        </w:rPr>
        <w:t xml:space="preserve"> </w:t>
      </w:r>
      <w:r w:rsidR="0043200D" w:rsidRPr="00521670">
        <w:rPr>
          <w:lang w:val="ru-RU"/>
        </w:rPr>
        <w:t xml:space="preserve">Несмотря на общую адекватность системы внутреннего контроля, остаются области, требующие улучшения, в том числе роли, обязанности и соответствующая подотчетность за управление </w:t>
      </w:r>
      <w:r w:rsidR="001640CB" w:rsidRPr="00521670">
        <w:rPr>
          <w:lang w:val="ru-RU"/>
        </w:rPr>
        <w:t>средствами внутреннего контроля</w:t>
      </w:r>
      <w:r w:rsidR="0043200D" w:rsidRPr="00521670">
        <w:rPr>
          <w:lang w:val="ru-RU"/>
        </w:rPr>
        <w:t>. Решение</w:t>
      </w:r>
      <w:r w:rsidR="00BA023A" w:rsidRPr="00521670">
        <w:rPr>
          <w:lang w:val="ru-RU"/>
        </w:rPr>
        <w:t> </w:t>
      </w:r>
      <w:r w:rsidR="0043200D" w:rsidRPr="00521670">
        <w:rPr>
          <w:lang w:val="ru-RU"/>
        </w:rPr>
        <w:t>этих ключевых вопросов подкрепит мою уверенность в эффективности системы внутреннего контроля, способной обеспечить тот уровень гарантий, к которому мы стремимся в будущем.</w:t>
      </w:r>
    </w:p>
    <w:p w14:paraId="7869A32B" w14:textId="0DCB05D4" w:rsidR="00C01C96" w:rsidRPr="00521670" w:rsidRDefault="00C01C96" w:rsidP="00331F14">
      <w:pPr>
        <w:spacing w:before="480"/>
        <w:rPr>
          <w:lang w:val="ru-RU"/>
        </w:rPr>
      </w:pPr>
      <w:r w:rsidRPr="00521670">
        <w:rPr>
          <w:lang w:val="ru-RU"/>
        </w:rPr>
        <w:t>(</w:t>
      </w:r>
      <w:r w:rsidRPr="00521670">
        <w:rPr>
          <w:i/>
          <w:iCs/>
          <w:lang w:val="ru-RU"/>
        </w:rPr>
        <w:t>оригинал подписан</w:t>
      </w:r>
      <w:r w:rsidRPr="00521670">
        <w:rPr>
          <w:lang w:val="ru-RU"/>
        </w:rPr>
        <w:t>)</w:t>
      </w:r>
    </w:p>
    <w:p w14:paraId="2664C8AE" w14:textId="6D3BF451" w:rsidR="00202A07" w:rsidRPr="00521670" w:rsidRDefault="00202A07" w:rsidP="00A81193">
      <w:pPr>
        <w:spacing w:before="480"/>
        <w:rPr>
          <w:lang w:val="ru-RU"/>
        </w:rPr>
      </w:pPr>
      <w:r w:rsidRPr="00521670">
        <w:rPr>
          <w:lang w:val="ru-RU"/>
        </w:rPr>
        <w:t>Дорин Богдан-Мартин</w:t>
      </w:r>
      <w:r w:rsidR="00331F14" w:rsidRPr="00521670">
        <w:rPr>
          <w:lang w:val="ru-RU"/>
        </w:rPr>
        <w:br/>
      </w:r>
      <w:r w:rsidRPr="00521670">
        <w:rPr>
          <w:lang w:val="ru-RU"/>
        </w:rPr>
        <w:t>Генеральный секретарь</w:t>
      </w:r>
    </w:p>
    <w:p w14:paraId="74EB33FA" w14:textId="77777777" w:rsidR="003D5F38" w:rsidRPr="00521670" w:rsidRDefault="00202A07" w:rsidP="00A81193">
      <w:pPr>
        <w:spacing w:before="480"/>
        <w:rPr>
          <w:lang w:val="ru-RU"/>
        </w:rPr>
      </w:pPr>
      <w:r w:rsidRPr="00521670">
        <w:rPr>
          <w:lang w:val="ru-RU"/>
        </w:rPr>
        <w:t>Женева, 2</w:t>
      </w:r>
      <w:r w:rsidR="00C01C96" w:rsidRPr="00521670">
        <w:rPr>
          <w:lang w:val="ru-RU"/>
        </w:rPr>
        <w:t>9</w:t>
      </w:r>
      <w:r w:rsidRPr="00521670">
        <w:rPr>
          <w:lang w:val="ru-RU"/>
        </w:rPr>
        <w:t xml:space="preserve"> мая 2025 года</w:t>
      </w:r>
    </w:p>
    <w:p w14:paraId="1C48A38B" w14:textId="71F23BC0" w:rsidR="00202A07" w:rsidRPr="00521670" w:rsidRDefault="00202A07" w:rsidP="003D5F38">
      <w:pPr>
        <w:rPr>
          <w:lang w:val="ru-RU"/>
        </w:rPr>
      </w:pPr>
      <w:r w:rsidRPr="00521670">
        <w:rPr>
          <w:lang w:val="ru-RU"/>
        </w:rPr>
        <w:br w:type="page"/>
      </w:r>
    </w:p>
    <w:p w14:paraId="6CB6171D" w14:textId="77777777" w:rsidR="00FC48C7" w:rsidRPr="00521670" w:rsidRDefault="00FC48C7" w:rsidP="00FC48C7">
      <w:pPr>
        <w:pStyle w:val="Heading1"/>
        <w:spacing w:before="0" w:after="240"/>
        <w:jc w:val="center"/>
        <w:rPr>
          <w:color w:val="0070C0"/>
          <w:lang w:val="ru-RU"/>
        </w:rPr>
      </w:pPr>
      <w:bookmarkStart w:id="84" w:name="_Toc168578442"/>
      <w:bookmarkStart w:id="85" w:name="_Toc180681791"/>
      <w:bookmarkStart w:id="86" w:name="_Toc200469520"/>
      <w:r w:rsidRPr="00521670">
        <w:rPr>
          <w:color w:val="0070C0"/>
          <w:lang w:val="ru-RU"/>
        </w:rPr>
        <w:lastRenderedPageBreak/>
        <w:t>Заключение о внешнем аудите</w:t>
      </w:r>
      <w:bookmarkEnd w:id="84"/>
      <w:bookmarkEnd w:id="85"/>
      <w:bookmarkEnd w:id="86"/>
    </w:p>
    <w:p w14:paraId="309D293B" w14:textId="77777777" w:rsidR="001D1347" w:rsidRPr="00521670" w:rsidRDefault="001D1347" w:rsidP="00705927">
      <w:pPr>
        <w:pStyle w:val="Headingb"/>
        <w:rPr>
          <w:color w:val="4F81BD" w:themeColor="accent1"/>
          <w:lang w:val="ru-RU"/>
        </w:rPr>
      </w:pPr>
      <w:r w:rsidRPr="00521670">
        <w:rPr>
          <w:color w:val="4F81BD" w:themeColor="accent1"/>
          <w:lang w:val="ru-RU"/>
        </w:rPr>
        <w:t>Заключение о финансовой отчетности</w:t>
      </w:r>
    </w:p>
    <w:p w14:paraId="184390CE" w14:textId="7FB55BFF" w:rsidR="001D1347" w:rsidRPr="00521670" w:rsidRDefault="001D1347" w:rsidP="00705927">
      <w:pPr>
        <w:rPr>
          <w:lang w:val="ru-RU"/>
        </w:rPr>
      </w:pPr>
      <w:r w:rsidRPr="00521670">
        <w:rPr>
          <w:lang w:val="ru-RU"/>
        </w:rPr>
        <w:t>Я провел аудиторскую проверку финансовой отчетности Международного союза электросвязи за год, закончившийся 31 декабря 2024 года, которая включает в себя:</w:t>
      </w:r>
    </w:p>
    <w:p w14:paraId="7316F68A" w14:textId="67A04B3C" w:rsidR="001D1347" w:rsidRPr="00521670" w:rsidRDefault="001D1347" w:rsidP="00705927">
      <w:pPr>
        <w:pStyle w:val="enumlev1"/>
        <w:rPr>
          <w:lang w:val="ru-RU"/>
        </w:rPr>
      </w:pPr>
      <w:r w:rsidRPr="00521670">
        <w:rPr>
          <w:lang w:val="ru-RU"/>
        </w:rPr>
        <w:t>–</w:t>
      </w:r>
      <w:r w:rsidRPr="00521670">
        <w:rPr>
          <w:lang w:val="ru-RU"/>
        </w:rPr>
        <w:tab/>
        <w:t>Отчет о финансовом положении по состоянию на 31 декабря 2024 года,</w:t>
      </w:r>
    </w:p>
    <w:p w14:paraId="52FD05D1" w14:textId="0B731BF6" w:rsidR="001D1347" w:rsidRPr="00521670" w:rsidRDefault="001D1347" w:rsidP="00705927">
      <w:pPr>
        <w:pStyle w:val="enumlev1"/>
        <w:rPr>
          <w:lang w:val="ru-RU"/>
        </w:rPr>
      </w:pPr>
      <w:r w:rsidRPr="00521670">
        <w:rPr>
          <w:lang w:val="ru-RU"/>
        </w:rPr>
        <w:t>–</w:t>
      </w:r>
      <w:r w:rsidRPr="00521670">
        <w:rPr>
          <w:lang w:val="ru-RU"/>
        </w:rPr>
        <w:tab/>
        <w:t>Отчет о результатах финансовой деятельности, Отчет об изменениях в чистых активах, Отчет о движении денежных средств и Отчет о сравнении предусмотренных в бюджете сумм и фактических сумм за закончившийся на указанную дату год, и</w:t>
      </w:r>
    </w:p>
    <w:p w14:paraId="4FD4FC2A" w14:textId="5A0453B4" w:rsidR="001D1347" w:rsidRPr="00521670" w:rsidRDefault="001D1347" w:rsidP="00705927">
      <w:pPr>
        <w:pStyle w:val="enumlev1"/>
        <w:rPr>
          <w:lang w:val="ru-RU"/>
        </w:rPr>
      </w:pPr>
      <w:r w:rsidRPr="00521670">
        <w:rPr>
          <w:lang w:val="ru-RU"/>
        </w:rPr>
        <w:t>–</w:t>
      </w:r>
      <w:r w:rsidRPr="00521670">
        <w:rPr>
          <w:lang w:val="ru-RU"/>
        </w:rPr>
        <w:tab/>
        <w:t>соответствующие примечания, в том числе основные методы бухгалтерского учета.</w:t>
      </w:r>
    </w:p>
    <w:p w14:paraId="38DABDE9" w14:textId="77777777" w:rsidR="001D1347" w:rsidRPr="00521670" w:rsidRDefault="001D1347" w:rsidP="00705927">
      <w:pPr>
        <w:rPr>
          <w:lang w:val="ru-RU"/>
        </w:rPr>
      </w:pPr>
      <w:r w:rsidRPr="00521670">
        <w:rPr>
          <w:lang w:val="ru-RU"/>
        </w:rPr>
        <w:t>По моему мнению, прилагаемая финансовая отчетность объективно отражает во всех существенных аспектах финансовое положение Международного союза электросвязи по состоянию на 31 декабря 2024 года, а также результаты финансовой деятельности и движение денежных средств за завершившийся на указанную дату год в соответствии с Международными стандартами учета в государственном секторе.</w:t>
      </w:r>
    </w:p>
    <w:p w14:paraId="3AB467A4" w14:textId="77777777" w:rsidR="001D1347" w:rsidRPr="00521670" w:rsidRDefault="001D1347" w:rsidP="00705927">
      <w:pPr>
        <w:pStyle w:val="Headingb"/>
        <w:rPr>
          <w:color w:val="4F81BD" w:themeColor="accent1"/>
          <w:lang w:val="ru-RU"/>
        </w:rPr>
      </w:pPr>
      <w:r w:rsidRPr="00521670">
        <w:rPr>
          <w:color w:val="4F81BD" w:themeColor="accent1"/>
          <w:lang w:val="ru-RU"/>
        </w:rPr>
        <w:t>Заключение о соблюдении установленных правил</w:t>
      </w:r>
    </w:p>
    <w:p w14:paraId="35F8C9CF" w14:textId="77777777" w:rsidR="001D1347" w:rsidRPr="00521670" w:rsidRDefault="001D1347" w:rsidP="00705927">
      <w:pPr>
        <w:rPr>
          <w:lang w:val="ru-RU"/>
        </w:rPr>
      </w:pPr>
      <w:r w:rsidRPr="00521670">
        <w:rPr>
          <w:lang w:val="ru-RU"/>
        </w:rPr>
        <w:t>Считаю, что во всех существенных аспектах доходы и расходы использовались для достижения целей, предусмотренных Советом Международного союза электросвязи, и финансовые операции соответствуют Финансовому регламенту Международного союза электросвязи.</w:t>
      </w:r>
    </w:p>
    <w:p w14:paraId="2462CBC3" w14:textId="77777777" w:rsidR="001D1347" w:rsidRPr="00521670" w:rsidRDefault="001D1347" w:rsidP="00705927">
      <w:pPr>
        <w:pStyle w:val="Headingb"/>
        <w:rPr>
          <w:color w:val="4F81BD" w:themeColor="accent1"/>
          <w:lang w:val="ru-RU"/>
        </w:rPr>
      </w:pPr>
      <w:r w:rsidRPr="00521670">
        <w:rPr>
          <w:color w:val="4F81BD" w:themeColor="accent1"/>
          <w:lang w:val="ru-RU"/>
        </w:rPr>
        <w:t>Основание для заключений</w:t>
      </w:r>
    </w:p>
    <w:p w14:paraId="7D2FCF34" w14:textId="730C0817" w:rsidR="001D1347" w:rsidRPr="00521670" w:rsidRDefault="001D1347" w:rsidP="00705927">
      <w:pPr>
        <w:rPr>
          <w:lang w:val="ru-RU"/>
        </w:rPr>
      </w:pPr>
      <w:r w:rsidRPr="00521670">
        <w:rPr>
          <w:lang w:val="ru-RU"/>
        </w:rPr>
        <w:t>Я проводил проверку в соответствии с Международными стандартами аудита (ISA) и Финансовым регламентом Международного союза электросвязи. Проверка соблюдения установленных правил проводилась мной в соответствии с принципами, изложенными в ISA. Мои обязанности в соответствии с этими стандартами более подробно описаны в разделе моего отчета "Ответственность аудитора за проверку финансовой отчетности".</w:t>
      </w:r>
    </w:p>
    <w:p w14:paraId="2E2CF627" w14:textId="77777777" w:rsidR="001D1347" w:rsidRPr="00521670" w:rsidRDefault="001D1347" w:rsidP="00705927">
      <w:pPr>
        <w:rPr>
          <w:lang w:val="ru-RU"/>
        </w:rPr>
      </w:pPr>
      <w:r w:rsidRPr="00521670">
        <w:rPr>
          <w:lang w:val="ru-RU"/>
        </w:rPr>
        <w:t>Я независим от Международного союза электросвязи, как того требует Кодекс этики профессиональных бухгалтеров Совета по международным этическим стандартам для бухгалтеров (Кодекс IESBA), и выполняю другие свои этические обязанности в соответствии с этими требованиями и Кодексом IESBA.</w:t>
      </w:r>
    </w:p>
    <w:p w14:paraId="0DEBFE2D" w14:textId="77777777" w:rsidR="001D1347" w:rsidRPr="00521670" w:rsidRDefault="001D1347" w:rsidP="00705927">
      <w:pPr>
        <w:rPr>
          <w:lang w:val="ru-RU"/>
        </w:rPr>
      </w:pPr>
      <w:r w:rsidRPr="00521670">
        <w:rPr>
          <w:lang w:val="ru-RU"/>
        </w:rPr>
        <w:t>Считаю, что собранные мной доказательные данные аудита обеспечивают достаточную и адекватную основу для моих заключений.</w:t>
      </w:r>
    </w:p>
    <w:p w14:paraId="3182CD2E" w14:textId="77777777" w:rsidR="001D1347" w:rsidRPr="00521670" w:rsidRDefault="001D1347" w:rsidP="00705927">
      <w:pPr>
        <w:pStyle w:val="Headingb"/>
        <w:rPr>
          <w:color w:val="4F81BD" w:themeColor="accent1"/>
          <w:lang w:val="ru-RU"/>
        </w:rPr>
      </w:pPr>
      <w:r w:rsidRPr="00521670">
        <w:rPr>
          <w:color w:val="4F81BD" w:themeColor="accent1"/>
          <w:lang w:val="ru-RU"/>
        </w:rPr>
        <w:t>Прочая информация</w:t>
      </w:r>
    </w:p>
    <w:p w14:paraId="02062678" w14:textId="77777777" w:rsidR="001D1347" w:rsidRPr="00521670" w:rsidRDefault="001D1347" w:rsidP="00705927">
      <w:pPr>
        <w:rPr>
          <w:lang w:val="ru-RU"/>
        </w:rPr>
      </w:pPr>
      <w:r w:rsidRPr="00521670">
        <w:rPr>
          <w:lang w:val="ru-RU"/>
        </w:rPr>
        <w:t>Ответственность за прочую информацию несет руководство. К прочей информации относятся данные, вошедшие в Отчет о финансовой деятельности, кроме финансовой отчетности и моего аудиторского отчета по ним.</w:t>
      </w:r>
    </w:p>
    <w:p w14:paraId="40FE8B62" w14:textId="77777777" w:rsidR="001D1347" w:rsidRPr="00521670" w:rsidRDefault="001D1347" w:rsidP="00705927">
      <w:pPr>
        <w:rPr>
          <w:lang w:val="ru-RU"/>
        </w:rPr>
      </w:pPr>
      <w:r w:rsidRPr="00521670">
        <w:rPr>
          <w:lang w:val="ru-RU"/>
        </w:rPr>
        <w:t>Мое заключение о финансовой отчетности не охватывает прочую информацию, и, за исключением случаев, прямо указанных в моем отчете, я не выражаю каким бы то ни было образом заключение о достоверности по этой отчетности.</w:t>
      </w:r>
    </w:p>
    <w:p w14:paraId="0035F484" w14:textId="77777777" w:rsidR="001D1347" w:rsidRPr="00521670" w:rsidRDefault="001D1347" w:rsidP="00705927">
      <w:pPr>
        <w:rPr>
          <w:lang w:val="ru-RU"/>
        </w:rPr>
      </w:pPr>
      <w:r w:rsidRPr="00521670">
        <w:rPr>
          <w:lang w:val="ru-RU"/>
        </w:rPr>
        <w:t>В мои обязанности входит ознакомиться с прочей информацией и по итогам этого решить, насколько эта прочая информация в существенной мере не соответствует финансовой отчетности либо представлению, полученному в ходе аудита, либо иным образом представляется существенно искаженной.</w:t>
      </w:r>
    </w:p>
    <w:p w14:paraId="30F22221" w14:textId="77777777" w:rsidR="001D1347" w:rsidRPr="00521670" w:rsidRDefault="001D1347" w:rsidP="00705927">
      <w:pPr>
        <w:rPr>
          <w:lang w:val="ru-RU"/>
        </w:rPr>
      </w:pPr>
      <w:r w:rsidRPr="00521670">
        <w:rPr>
          <w:lang w:val="ru-RU"/>
        </w:rPr>
        <w:t xml:space="preserve">Если я выявляю такие существенные несоответствия или очевидные существенные искажения, я должен определить, приводит ли это к существенному искажению в самой финансовой </w:t>
      </w:r>
      <w:r w:rsidRPr="00521670">
        <w:rPr>
          <w:lang w:val="ru-RU"/>
        </w:rPr>
        <w:lastRenderedPageBreak/>
        <w:t>отчетности. Если по итогам проделанной работы я приду к выводу, что имеется существенное искажение этой другой информации, я обязан сообщить об этом факте.</w:t>
      </w:r>
    </w:p>
    <w:p w14:paraId="54140BFA" w14:textId="77777777" w:rsidR="001D1347" w:rsidRPr="00521670" w:rsidRDefault="001D1347" w:rsidP="00705927">
      <w:pPr>
        <w:rPr>
          <w:lang w:val="ru-RU"/>
        </w:rPr>
      </w:pPr>
      <w:r w:rsidRPr="00521670">
        <w:rPr>
          <w:lang w:val="ru-RU"/>
        </w:rPr>
        <w:t>У меня нет ничего, о чем можно было бы сообщить в этом отношении.</w:t>
      </w:r>
    </w:p>
    <w:p w14:paraId="201C62B2" w14:textId="2F9F432E" w:rsidR="001D1347" w:rsidRPr="00521670" w:rsidRDefault="001D1347" w:rsidP="00705927">
      <w:pPr>
        <w:pStyle w:val="Headingb"/>
        <w:rPr>
          <w:color w:val="4F81BD" w:themeColor="accent1"/>
          <w:lang w:val="ru-RU"/>
        </w:rPr>
      </w:pPr>
      <w:r w:rsidRPr="00521670">
        <w:rPr>
          <w:color w:val="4F81BD" w:themeColor="accent1"/>
          <w:lang w:val="ru-RU"/>
        </w:rPr>
        <w:t>Ответственность руководства за финансовую отчетность</w:t>
      </w:r>
    </w:p>
    <w:p w14:paraId="7C02F737" w14:textId="55B10C22" w:rsidR="001D1347" w:rsidRPr="00521670" w:rsidRDefault="001D1347" w:rsidP="00705927">
      <w:pPr>
        <w:rPr>
          <w:lang w:val="ru-RU"/>
        </w:rPr>
      </w:pPr>
      <w:r w:rsidRPr="00521670">
        <w:rPr>
          <w:lang w:val="ru-RU"/>
        </w:rPr>
        <w:t>Руководство несет ответственность за подготовку и объективное представление финансовой отчетности в соответствии с Международными стандартами финансовой отчетности для общественного сектора, а также за такой внутренний контроль, который руководство считает необходимым для обеспечения подготовки финансовой отчетности, в которой отсутствуют существенные искажения, будь то вследствие недобросовестных действий или в результате</w:t>
      </w:r>
      <w:r w:rsidR="00043441" w:rsidRPr="00521670">
        <w:rPr>
          <w:lang w:val="ru-RU"/>
        </w:rPr>
        <w:t> </w:t>
      </w:r>
      <w:r w:rsidRPr="00521670">
        <w:rPr>
          <w:lang w:val="ru-RU"/>
        </w:rPr>
        <w:t>ошибок.</w:t>
      </w:r>
    </w:p>
    <w:p w14:paraId="18D2EDCC" w14:textId="77777777" w:rsidR="001D1347" w:rsidRPr="00521670" w:rsidRDefault="001D1347" w:rsidP="00705927">
      <w:pPr>
        <w:rPr>
          <w:lang w:val="ru-RU"/>
        </w:rPr>
      </w:pPr>
      <w:r w:rsidRPr="00521670">
        <w:rPr>
          <w:lang w:val="ru-RU"/>
        </w:rPr>
        <w:t>При подготовке финансовой отчетности руководство отвечает за оценку способности Международного союза электросвязи продолжать непрерывную деятельность, раскрывая в зависимости от обстоятельств вопросы, касающиеся непрерывности деятельности, и используя принцип непрерывности деятельности в отчетности, если только руководство не намерено ликвидировать Международный союз электросвязи либо прекратить деятельность или не будет иметь реальной альтернативы этому.</w:t>
      </w:r>
    </w:p>
    <w:p w14:paraId="6EF9657A" w14:textId="77777777" w:rsidR="001D1347" w:rsidRPr="00521670" w:rsidRDefault="001D1347" w:rsidP="00705927">
      <w:pPr>
        <w:rPr>
          <w:lang w:val="ru-RU"/>
        </w:rPr>
      </w:pPr>
      <w:r w:rsidRPr="00521670">
        <w:rPr>
          <w:lang w:val="ru-RU"/>
        </w:rPr>
        <w:t>Руководство и лица, которым поручено осуществлять управление, отвечают за надзор за процессом финансовой отчетности Международного союза электросвязи.</w:t>
      </w:r>
    </w:p>
    <w:p w14:paraId="70B6E643" w14:textId="77777777" w:rsidR="001D1347" w:rsidRPr="00521670" w:rsidRDefault="001D1347" w:rsidP="00705927">
      <w:pPr>
        <w:pStyle w:val="Headingb"/>
        <w:rPr>
          <w:color w:val="4F81BD" w:themeColor="accent1"/>
          <w:lang w:val="ru-RU"/>
        </w:rPr>
      </w:pPr>
      <w:r w:rsidRPr="00521670">
        <w:rPr>
          <w:color w:val="4F81BD" w:themeColor="accent1"/>
          <w:lang w:val="ru-RU"/>
        </w:rPr>
        <w:t>Ответственность аудитора за проверку финансовой отчетности</w:t>
      </w:r>
    </w:p>
    <w:p w14:paraId="33AC9CBD" w14:textId="0F829B86" w:rsidR="001D1347" w:rsidRPr="00521670" w:rsidRDefault="001D1347" w:rsidP="00705927">
      <w:pPr>
        <w:rPr>
          <w:lang w:val="ru-RU"/>
        </w:rPr>
      </w:pPr>
      <w:r w:rsidRPr="00521670">
        <w:rPr>
          <w:lang w:val="ru-RU"/>
        </w:rPr>
        <w:t>В мои задачи входит получение разумной уверенности в том, что финансовая отчетность в целом не содержит существенных искажений, будь то в результате недобросовестных действий или ошибки, а также представление аудиторского отчета, содержащего мое заключение. Разумная уверенность – это высокая степень уверенности, но не гарантия того, что проводимая в соответствии с ISA аудиторская проверка всегда способна обнаружить существенное искажение, в случае если таковое имеет место. Искажения могут быть вызваны недобросовестными действиями либо ошибкой, и они считаются существенными, если вполне разумно ожидать, что, отдельно либо в совокупности, они могут оказать влияние на экономические решения пользователей, принимаемые на основе такой финансовой</w:t>
      </w:r>
      <w:r w:rsidR="00043441" w:rsidRPr="00521670">
        <w:rPr>
          <w:lang w:val="ru-RU"/>
        </w:rPr>
        <w:t> </w:t>
      </w:r>
      <w:r w:rsidRPr="00521670">
        <w:rPr>
          <w:lang w:val="ru-RU"/>
        </w:rPr>
        <w:t>отчетности.</w:t>
      </w:r>
    </w:p>
    <w:p w14:paraId="0005D701" w14:textId="77777777" w:rsidR="001D1347" w:rsidRPr="00521670" w:rsidRDefault="001D1347" w:rsidP="00705927">
      <w:pPr>
        <w:rPr>
          <w:lang w:val="ru-RU"/>
        </w:rPr>
      </w:pPr>
      <w:r w:rsidRPr="00521670">
        <w:rPr>
          <w:lang w:val="ru-RU"/>
        </w:rPr>
        <w:t>В рамках аудиторской проверки в соответствии с ISA:</w:t>
      </w:r>
    </w:p>
    <w:p w14:paraId="7B15FAC1" w14:textId="77777777" w:rsidR="001D1347" w:rsidRPr="00521670" w:rsidRDefault="001D1347" w:rsidP="00705927">
      <w:pPr>
        <w:pStyle w:val="enumlev1"/>
        <w:rPr>
          <w:lang w:val="ru-RU"/>
        </w:rPr>
      </w:pPr>
      <w:r w:rsidRPr="00521670">
        <w:rPr>
          <w:lang w:val="ru-RU"/>
        </w:rPr>
        <w:t>•</w:t>
      </w:r>
      <w:r w:rsidRPr="00521670">
        <w:rPr>
          <w:lang w:val="ru-RU"/>
        </w:rPr>
        <w:tab/>
        <w:t>На протяжении всего аудита я руководствуюсь профессиональным суждением и сохраняю профессиональный скептицизм.</w:t>
      </w:r>
    </w:p>
    <w:p w14:paraId="1541C391" w14:textId="77777777" w:rsidR="001D1347" w:rsidRPr="00521670" w:rsidRDefault="001D1347" w:rsidP="00705927">
      <w:pPr>
        <w:pStyle w:val="enumlev1"/>
        <w:rPr>
          <w:lang w:val="ru-RU"/>
        </w:rPr>
      </w:pPr>
      <w:r w:rsidRPr="00521670">
        <w:rPr>
          <w:lang w:val="ru-RU"/>
        </w:rPr>
        <w:t>•</w:t>
      </w:r>
      <w:r w:rsidRPr="00521670">
        <w:rPr>
          <w:lang w:val="ru-RU"/>
        </w:rPr>
        <w:tab/>
        <w:t>Я выявляю и оцениваю риски существенных искажений финансовой отчетности, будь то в результате недобросовестных действий или ошибки, разрабатываю и провожу аудиторские процедуры с учетом этих рисков, а также получаю достаточные и надлежащие доказательные данные аудиторской проверки для обоснования моего заключения. Риск необнаружения существенного искажения в результате недобросовестных действий выше, чем риск обнаружения существенного искажения в результате ошибки, поскольку недобросовестные действия могут включать в себя сговор, подлог, намеренное упущение, введение в заблуждение или игнорирование мер внутреннего контроля.</w:t>
      </w:r>
    </w:p>
    <w:p w14:paraId="16F83FE9" w14:textId="77777777" w:rsidR="001D1347" w:rsidRPr="00521670" w:rsidRDefault="001D1347" w:rsidP="00705927">
      <w:pPr>
        <w:pStyle w:val="enumlev1"/>
        <w:rPr>
          <w:lang w:val="ru-RU"/>
        </w:rPr>
      </w:pPr>
      <w:r w:rsidRPr="00521670">
        <w:rPr>
          <w:lang w:val="ru-RU"/>
        </w:rPr>
        <w:t>•</w:t>
      </w:r>
      <w:r w:rsidRPr="00521670">
        <w:rPr>
          <w:lang w:val="ru-RU"/>
        </w:rPr>
        <w:tab/>
        <w:t>Я получаю представление о внутреннем контроле, касающемся аудиторской проверки, для разработки соответствующих условиям процедур аудита, но не для целей выражения заключения об эффективности внутреннего контроля в Международном союзе электросвязи.</w:t>
      </w:r>
    </w:p>
    <w:p w14:paraId="4CB883E4" w14:textId="77777777" w:rsidR="001D1347" w:rsidRPr="00521670" w:rsidRDefault="001D1347" w:rsidP="00705927">
      <w:pPr>
        <w:pStyle w:val="enumlev1"/>
        <w:rPr>
          <w:lang w:val="ru-RU"/>
        </w:rPr>
      </w:pPr>
      <w:r w:rsidRPr="00521670">
        <w:rPr>
          <w:lang w:val="ru-RU"/>
        </w:rPr>
        <w:t>•</w:t>
      </w:r>
      <w:r w:rsidRPr="00521670">
        <w:rPr>
          <w:lang w:val="ru-RU"/>
        </w:rPr>
        <w:tab/>
        <w:t>Я оцениваю уместность используемой учетной политики и обоснованность учетных оценок, а также соответствующего раскрытия информации руководством.</w:t>
      </w:r>
    </w:p>
    <w:p w14:paraId="5DA8AF26" w14:textId="135E22EE" w:rsidR="001D1347" w:rsidRPr="00521670" w:rsidRDefault="001D1347" w:rsidP="00705927">
      <w:pPr>
        <w:pStyle w:val="enumlev1"/>
        <w:rPr>
          <w:lang w:val="ru-RU"/>
        </w:rPr>
      </w:pPr>
      <w:r w:rsidRPr="00521670">
        <w:rPr>
          <w:lang w:val="ru-RU"/>
        </w:rPr>
        <w:lastRenderedPageBreak/>
        <w:t>•</w:t>
      </w:r>
      <w:r w:rsidRPr="00521670">
        <w:rPr>
          <w:lang w:val="ru-RU"/>
        </w:rPr>
        <w:tab/>
        <w:t>Я делаю заключение о надлежащем использовании руководством при учете принципа непрерывной деятельности и, на основе полученных доказательных данных аудита, о наличии значительной неуверенности, связанной с событиями либо условиями, которые могут в значительной степени породить сомнение в способности Международного союза электросвязи продолжать свою деятельность в качестве организации. Если я приду к заключению о наличии значительной неопределенности, я обязан привлечь внимание в моем аудиторском отчете к соответствующим раскрытым сведениям в финансовой отчетности либо, если такое раскрытие сведений не является надлежащим, изменить мое заключение. Мои выводы основаны на доказательных данных аудиторской проверки, полученных вплоть до даты моего аудиторского отчета. Однако будущие события или условия могут заставить Международный союз электросвязи перестать быть непрерывно действующей</w:t>
      </w:r>
      <w:r w:rsidR="00043441" w:rsidRPr="00521670">
        <w:rPr>
          <w:lang w:val="ru-RU"/>
        </w:rPr>
        <w:t> </w:t>
      </w:r>
      <w:r w:rsidRPr="00521670">
        <w:rPr>
          <w:lang w:val="ru-RU"/>
        </w:rPr>
        <w:t>организацией.</w:t>
      </w:r>
    </w:p>
    <w:p w14:paraId="2B541F2B" w14:textId="3C39FC5C" w:rsidR="001D1347" w:rsidRPr="00521670" w:rsidRDefault="001D1347" w:rsidP="00705927">
      <w:pPr>
        <w:pStyle w:val="enumlev1"/>
        <w:rPr>
          <w:lang w:val="ru-RU"/>
        </w:rPr>
      </w:pPr>
      <w:r w:rsidRPr="00521670">
        <w:rPr>
          <w:lang w:val="ru-RU"/>
        </w:rPr>
        <w:t>•</w:t>
      </w:r>
      <w:r w:rsidRPr="00521670">
        <w:rPr>
          <w:lang w:val="ru-RU"/>
        </w:rPr>
        <w:tab/>
        <w:t>Я оцениваю общее представление, структуру и содержание финансовой отчетности, в том числе раскрываемые сведения, а также то, в достаточной ли мере финансовая отчетность представляет основные сделки и события и соответствует их объективному</w:t>
      </w:r>
      <w:r w:rsidR="00043441" w:rsidRPr="00521670">
        <w:rPr>
          <w:lang w:val="ru-RU"/>
        </w:rPr>
        <w:t> </w:t>
      </w:r>
      <w:r w:rsidRPr="00521670">
        <w:rPr>
          <w:lang w:val="ru-RU"/>
        </w:rPr>
        <w:t>представлению.</w:t>
      </w:r>
    </w:p>
    <w:p w14:paraId="553C90B5" w14:textId="2A2AD50A" w:rsidR="001D1347" w:rsidRPr="00521670" w:rsidRDefault="001D1347" w:rsidP="00705927">
      <w:pPr>
        <w:rPr>
          <w:lang w:val="ru-RU"/>
        </w:rPr>
      </w:pPr>
      <w:r w:rsidRPr="00521670">
        <w:rPr>
          <w:lang w:val="ru-RU"/>
        </w:rPr>
        <w:t>Кроме того, я обязан получить доказательства, достаточные для того, чтобы дать разумные гарантии того, что представленные в финансовой отчетности доходы были использованы и расходы производились в целях, предусмотренных Советом Международного союза электросвязи, и что финансовые операции соответствуют Финансовому регламенту, который их</w:t>
      </w:r>
      <w:r w:rsidR="00043441" w:rsidRPr="00521670">
        <w:rPr>
          <w:lang w:val="ru-RU"/>
        </w:rPr>
        <w:t> </w:t>
      </w:r>
      <w:r w:rsidRPr="00521670">
        <w:rPr>
          <w:lang w:val="ru-RU"/>
        </w:rPr>
        <w:t>регулирует.</w:t>
      </w:r>
    </w:p>
    <w:p w14:paraId="0F8852AA" w14:textId="77777777" w:rsidR="001D1347" w:rsidRPr="00521670" w:rsidRDefault="001D1347" w:rsidP="00705927">
      <w:pPr>
        <w:rPr>
          <w:lang w:val="ru-RU"/>
        </w:rPr>
      </w:pPr>
      <w:r w:rsidRPr="00521670">
        <w:rPr>
          <w:lang w:val="ru-RU"/>
        </w:rPr>
        <w:t>Я нахожусь в контакте с лицами, которым поручено осуществлять управление в отношении, среди прочего, планирования охвата аудиторской проверки и сроков ее проведения, а также важных выводов аудита, в том числе о наличии каких-либо значительных недостатков в системе внутреннего контроля, которые я выявил в ходе проверки.</w:t>
      </w:r>
    </w:p>
    <w:p w14:paraId="7BD7EE3D" w14:textId="5BC7F9EE" w:rsidR="001D1347" w:rsidRPr="00521670" w:rsidRDefault="001D1347" w:rsidP="00705927">
      <w:pPr>
        <w:rPr>
          <w:lang w:val="ru-RU"/>
        </w:rPr>
      </w:pPr>
      <w:r w:rsidRPr="00521670">
        <w:rPr>
          <w:lang w:val="ru-RU"/>
        </w:rPr>
        <w:t>Кроме того, я предоставляю лицам, ответственным за управление, заявление о том, что я выполнил соответствующие этические требования, касающиеся независимости, и сообщаю им обо всех взаимоотношениях и других вопросах, которые могут обоснованно рассматриваться как имеющие отношение к моей независимости, и, где это применимо, о соответствующих</w:t>
      </w:r>
      <w:r w:rsidR="00043441" w:rsidRPr="00521670">
        <w:rPr>
          <w:lang w:val="ru-RU"/>
        </w:rPr>
        <w:t> </w:t>
      </w:r>
      <w:r w:rsidRPr="00521670">
        <w:rPr>
          <w:lang w:val="ru-RU"/>
        </w:rPr>
        <w:t>гарантиях.</w:t>
      </w:r>
    </w:p>
    <w:p w14:paraId="25DB99FD" w14:textId="00B15119" w:rsidR="001D1347" w:rsidRPr="00521670" w:rsidRDefault="001D1347" w:rsidP="00705927">
      <w:pPr>
        <w:pStyle w:val="Headingb"/>
        <w:rPr>
          <w:color w:val="4F81BD" w:themeColor="accent1"/>
          <w:lang w:val="ru-RU"/>
        </w:rPr>
      </w:pPr>
      <w:r w:rsidRPr="00521670">
        <w:rPr>
          <w:color w:val="4F81BD" w:themeColor="accent1"/>
          <w:lang w:val="ru-RU"/>
        </w:rPr>
        <w:t>Отчет</w:t>
      </w:r>
    </w:p>
    <w:p w14:paraId="74AF5440" w14:textId="77777777" w:rsidR="001D1347" w:rsidRPr="00521670" w:rsidRDefault="001D1347" w:rsidP="00705927">
      <w:pPr>
        <w:rPr>
          <w:lang w:val="ru-RU"/>
        </w:rPr>
      </w:pPr>
      <w:r w:rsidRPr="00521670">
        <w:rPr>
          <w:lang w:val="ru-RU"/>
        </w:rPr>
        <w:t>Кроме того, я выпустил подробный отчет о результатах проверки.</w:t>
      </w:r>
    </w:p>
    <w:p w14:paraId="0540172F" w14:textId="77777777" w:rsidR="001D1347" w:rsidRPr="00521670" w:rsidRDefault="001D1347" w:rsidP="006C6604">
      <w:pPr>
        <w:tabs>
          <w:tab w:val="clear" w:pos="794"/>
          <w:tab w:val="clear" w:pos="1191"/>
          <w:tab w:val="clear" w:pos="1588"/>
          <w:tab w:val="clear" w:pos="1985"/>
          <w:tab w:val="left" w:pos="567"/>
          <w:tab w:val="left" w:pos="1134"/>
          <w:tab w:val="left" w:pos="1701"/>
          <w:tab w:val="left" w:pos="2268"/>
          <w:tab w:val="left" w:pos="2835"/>
        </w:tabs>
        <w:spacing w:before="480"/>
        <w:rPr>
          <w:i/>
          <w:iCs/>
          <w:szCs w:val="22"/>
          <w:lang w:val="ru-RU"/>
        </w:rPr>
      </w:pPr>
      <w:r w:rsidRPr="00521670">
        <w:rPr>
          <w:szCs w:val="22"/>
          <w:lang w:val="ru-RU"/>
        </w:rPr>
        <w:t>(</w:t>
      </w:r>
      <w:r w:rsidRPr="00521670">
        <w:rPr>
          <w:i/>
          <w:iCs/>
          <w:szCs w:val="22"/>
          <w:lang w:val="ru-RU"/>
        </w:rPr>
        <w:t>В соответствии с подписанным оригиналом</w:t>
      </w:r>
      <w:r w:rsidRPr="00521670">
        <w:rPr>
          <w:szCs w:val="22"/>
          <w:lang w:val="ru-RU"/>
        </w:rPr>
        <w:t>)</w:t>
      </w:r>
    </w:p>
    <w:p w14:paraId="06C62A56" w14:textId="2F362262" w:rsidR="001D1347" w:rsidRPr="00521670" w:rsidRDefault="001D1347" w:rsidP="00705927">
      <w:pPr>
        <w:spacing w:before="480"/>
        <w:rPr>
          <w:lang w:val="ru-RU"/>
        </w:rPr>
      </w:pPr>
      <w:r w:rsidRPr="00521670">
        <w:rPr>
          <w:lang w:val="ru-RU"/>
        </w:rPr>
        <w:t>Гарет Дэвис</w:t>
      </w:r>
      <w:r w:rsidR="00705927" w:rsidRPr="00521670">
        <w:rPr>
          <w:lang w:val="ru-RU"/>
        </w:rPr>
        <w:br/>
      </w:r>
      <w:r w:rsidRPr="00521670">
        <w:rPr>
          <w:b/>
          <w:bCs/>
          <w:lang w:val="ru-RU"/>
        </w:rPr>
        <w:t>Контролер и Генеральный аудитор</w:t>
      </w:r>
      <w:r w:rsidR="00705927" w:rsidRPr="00521670">
        <w:rPr>
          <w:b/>
          <w:bCs/>
          <w:lang w:val="ru-RU"/>
        </w:rPr>
        <w:br/>
      </w:r>
      <w:r w:rsidRPr="00521670">
        <w:rPr>
          <w:b/>
          <w:bCs/>
          <w:lang w:val="ru-RU"/>
        </w:rPr>
        <w:t>Национального ревизионного управления Соединенного Королевства</w:t>
      </w:r>
      <w:r w:rsidR="00705927" w:rsidRPr="00521670">
        <w:rPr>
          <w:b/>
          <w:bCs/>
          <w:lang w:val="ru-RU"/>
        </w:rPr>
        <w:br/>
      </w:r>
      <w:r w:rsidRPr="00521670">
        <w:rPr>
          <w:lang w:val="ru-RU"/>
        </w:rPr>
        <w:t>157-197 Buckingham Palace Road</w:t>
      </w:r>
      <w:r w:rsidR="00705927" w:rsidRPr="00521670">
        <w:rPr>
          <w:lang w:val="ru-RU"/>
        </w:rPr>
        <w:br/>
      </w:r>
      <w:r w:rsidRPr="00521670">
        <w:rPr>
          <w:lang w:val="ru-RU"/>
        </w:rPr>
        <w:t>Victoria</w:t>
      </w:r>
      <w:r w:rsidR="00705927" w:rsidRPr="00521670">
        <w:rPr>
          <w:lang w:val="ru-RU"/>
        </w:rPr>
        <w:br/>
      </w:r>
      <w:r w:rsidRPr="00521670">
        <w:rPr>
          <w:lang w:val="ru-RU"/>
        </w:rPr>
        <w:t>London</w:t>
      </w:r>
      <w:r w:rsidR="00705927" w:rsidRPr="00521670">
        <w:rPr>
          <w:lang w:val="ru-RU"/>
        </w:rPr>
        <w:br/>
      </w:r>
      <w:r w:rsidRPr="00521670">
        <w:rPr>
          <w:lang w:val="ru-RU"/>
        </w:rPr>
        <w:t>SW1W 9SP Великобритания</w:t>
      </w:r>
    </w:p>
    <w:p w14:paraId="7B52EAEC" w14:textId="3E0A731C" w:rsidR="001D1347" w:rsidRPr="00521670" w:rsidRDefault="001D1347" w:rsidP="006C6604">
      <w:pPr>
        <w:tabs>
          <w:tab w:val="clear" w:pos="794"/>
          <w:tab w:val="clear" w:pos="1191"/>
          <w:tab w:val="clear" w:pos="1588"/>
          <w:tab w:val="clear" w:pos="1985"/>
          <w:tab w:val="left" w:pos="567"/>
          <w:tab w:val="left" w:pos="1134"/>
          <w:tab w:val="left" w:pos="1701"/>
          <w:tab w:val="left" w:pos="2268"/>
          <w:tab w:val="left" w:pos="2835"/>
        </w:tabs>
        <w:spacing w:before="480"/>
        <w:rPr>
          <w:b/>
          <w:bCs/>
          <w:szCs w:val="22"/>
          <w:lang w:val="ru-RU"/>
        </w:rPr>
      </w:pPr>
      <w:r w:rsidRPr="00521670">
        <w:rPr>
          <w:b/>
          <w:bCs/>
          <w:szCs w:val="22"/>
          <w:lang w:val="ru-RU"/>
        </w:rPr>
        <w:t>Дата: 30 мая</w:t>
      </w:r>
      <w:r w:rsidR="00044531" w:rsidRPr="00521670">
        <w:rPr>
          <w:b/>
          <w:bCs/>
          <w:szCs w:val="22"/>
          <w:lang w:val="ru-RU"/>
        </w:rPr>
        <w:t xml:space="preserve"> </w:t>
      </w:r>
      <w:r w:rsidRPr="00521670">
        <w:rPr>
          <w:b/>
          <w:bCs/>
          <w:szCs w:val="22"/>
          <w:lang w:val="ru-RU"/>
        </w:rPr>
        <w:t>2025 года</w:t>
      </w:r>
    </w:p>
    <w:p w14:paraId="24028888" w14:textId="462AB534" w:rsidR="00D85935" w:rsidRPr="00521670" w:rsidRDefault="00D85935" w:rsidP="00D85935">
      <w:pPr>
        <w:rPr>
          <w:lang w:val="ru-RU"/>
        </w:rPr>
      </w:pPr>
      <w:r w:rsidRPr="00521670">
        <w:rPr>
          <w:lang w:val="ru-RU"/>
        </w:rPr>
        <w:br w:type="page"/>
      </w:r>
    </w:p>
    <w:p w14:paraId="3B3F9658" w14:textId="77777777" w:rsidR="00202A07" w:rsidRPr="00521670" w:rsidRDefault="00202A07" w:rsidP="006E0EBC">
      <w:pPr>
        <w:pStyle w:val="Arttitle"/>
        <w:spacing w:before="0"/>
        <w:rPr>
          <w:b w:val="0"/>
          <w:bCs/>
          <w:color w:val="4F81BD" w:themeColor="accent1"/>
          <w:sz w:val="28"/>
          <w:szCs w:val="28"/>
          <w:lang w:val="ru-RU"/>
        </w:rPr>
      </w:pPr>
      <w:bookmarkStart w:id="87" w:name="_Toc167956620"/>
      <w:bookmarkStart w:id="88" w:name="_Toc167956859"/>
      <w:bookmarkStart w:id="89" w:name="_Toc167957163"/>
      <w:bookmarkStart w:id="90" w:name="_Toc200469521"/>
      <w:bookmarkStart w:id="91" w:name="_Toc131080994"/>
      <w:bookmarkStart w:id="92" w:name="_Toc131156413"/>
      <w:bookmarkStart w:id="93" w:name="_Toc305764056"/>
      <w:r w:rsidRPr="00521670">
        <w:rPr>
          <w:color w:val="4F81BD" w:themeColor="accent1"/>
          <w:lang w:val="ru-RU"/>
        </w:rPr>
        <w:lastRenderedPageBreak/>
        <w:t>Финансовая отчетность</w:t>
      </w:r>
      <w:bookmarkEnd w:id="87"/>
      <w:bookmarkEnd w:id="88"/>
      <w:bookmarkEnd w:id="89"/>
      <w:bookmarkEnd w:id="90"/>
    </w:p>
    <w:p w14:paraId="1177893C" w14:textId="77777777" w:rsidR="00202A07" w:rsidRPr="00521670" w:rsidRDefault="00202A07" w:rsidP="00202A07">
      <w:pPr>
        <w:pStyle w:val="Arttitle"/>
        <w:jc w:val="left"/>
        <w:rPr>
          <w:b w:val="0"/>
          <w:bCs/>
          <w:color w:val="4F81BD" w:themeColor="accent1"/>
          <w:sz w:val="28"/>
          <w:szCs w:val="28"/>
          <w:lang w:val="ru-RU"/>
        </w:rPr>
      </w:pPr>
      <w:bookmarkStart w:id="94" w:name="lt_pId301"/>
      <w:bookmarkStart w:id="95" w:name="_Toc167956621"/>
      <w:bookmarkStart w:id="96" w:name="_Toc167956860"/>
      <w:bookmarkStart w:id="97" w:name="_Toc167957164"/>
      <w:bookmarkStart w:id="98" w:name="_Toc200469522"/>
      <w:bookmarkStart w:id="99" w:name="_Hlk131149648"/>
      <w:bookmarkEnd w:id="91"/>
      <w:bookmarkEnd w:id="92"/>
      <w:r w:rsidRPr="00521670">
        <w:rPr>
          <w:color w:val="4F81BD" w:themeColor="accent1"/>
          <w:lang w:val="ru-RU"/>
        </w:rPr>
        <w:t xml:space="preserve">Отчет I: </w:t>
      </w:r>
      <w:bookmarkEnd w:id="94"/>
      <w:r w:rsidRPr="00521670">
        <w:rPr>
          <w:color w:val="4F81BD" w:themeColor="accent1"/>
          <w:lang w:val="ru-RU"/>
        </w:rPr>
        <w:t>Отчет о финансовом положении</w:t>
      </w:r>
      <w:bookmarkEnd w:id="95"/>
      <w:bookmarkEnd w:id="96"/>
      <w:bookmarkEnd w:id="97"/>
      <w:bookmarkEnd w:id="98"/>
    </w:p>
    <w:p w14:paraId="5FE6DD49" w14:textId="05BBA3C3" w:rsidR="00B84295" w:rsidRPr="00521670" w:rsidRDefault="0043200D" w:rsidP="002C40E3">
      <w:pPr>
        <w:rPr>
          <w:i/>
          <w:iCs/>
          <w:lang w:val="ru-RU"/>
        </w:rPr>
      </w:pPr>
      <w:bookmarkStart w:id="100" w:name="lt_pId302"/>
      <w:r w:rsidRPr="00521670">
        <w:rPr>
          <w:i/>
          <w:iCs/>
          <w:lang w:val="ru-RU"/>
        </w:rPr>
        <w:t>по состоянию на</w:t>
      </w:r>
      <w:r w:rsidR="00202A07" w:rsidRPr="00521670">
        <w:rPr>
          <w:i/>
          <w:iCs/>
          <w:lang w:val="ru-RU"/>
        </w:rPr>
        <w:t xml:space="preserve"> 31 декабря </w:t>
      </w:r>
      <w:bookmarkEnd w:id="93"/>
      <w:r w:rsidR="00202A07" w:rsidRPr="00521670">
        <w:rPr>
          <w:i/>
          <w:iCs/>
          <w:lang w:val="ru-RU"/>
        </w:rPr>
        <w:t>202</w:t>
      </w:r>
      <w:bookmarkEnd w:id="99"/>
      <w:bookmarkEnd w:id="100"/>
      <w:r w:rsidR="006E0EBC" w:rsidRPr="00521670">
        <w:rPr>
          <w:i/>
          <w:iCs/>
          <w:lang w:val="ru-RU"/>
        </w:rPr>
        <w:t>4</w:t>
      </w:r>
      <w:r w:rsidR="00202A07" w:rsidRPr="00521670">
        <w:rPr>
          <w:i/>
          <w:iCs/>
          <w:lang w:val="ru-RU"/>
        </w:rPr>
        <w:t> года</w:t>
      </w:r>
      <w:bookmarkStart w:id="101" w:name="lt_pId303"/>
    </w:p>
    <w:p w14:paraId="599CDD53" w14:textId="32A786B0" w:rsidR="00202A07" w:rsidRPr="00521670" w:rsidRDefault="00202A07" w:rsidP="00851412">
      <w:pPr>
        <w:spacing w:before="0" w:after="120"/>
        <w:rPr>
          <w:i/>
          <w:iCs/>
          <w:sz w:val="18"/>
          <w:szCs w:val="16"/>
          <w:lang w:val="ru-RU"/>
        </w:rPr>
      </w:pPr>
      <w:r w:rsidRPr="00521670">
        <w:rPr>
          <w:i/>
          <w:iCs/>
          <w:sz w:val="18"/>
          <w:szCs w:val="16"/>
          <w:lang w:val="ru-RU"/>
        </w:rPr>
        <w:t>(</w:t>
      </w:r>
      <w:bookmarkEnd w:id="101"/>
      <w:r w:rsidRPr="00521670">
        <w:rPr>
          <w:i/>
          <w:iCs/>
          <w:sz w:val="18"/>
          <w:szCs w:val="16"/>
          <w:lang w:val="ru-RU"/>
        </w:rPr>
        <w:t>в тыс. шв</w:t>
      </w:r>
      <w:r w:rsidR="00FC48C7" w:rsidRPr="00521670">
        <w:rPr>
          <w:i/>
          <w:iCs/>
          <w:sz w:val="18"/>
          <w:szCs w:val="16"/>
          <w:lang w:val="ru-RU"/>
        </w:rPr>
        <w:t>.</w:t>
      </w:r>
      <w:r w:rsidRPr="00521670">
        <w:rPr>
          <w:i/>
          <w:iCs/>
          <w:sz w:val="18"/>
          <w:szCs w:val="16"/>
          <w:lang w:val="ru-RU"/>
        </w:rPr>
        <w:t xml:space="preserve"> фр</w:t>
      </w:r>
      <w:r w:rsidR="00FC48C7" w:rsidRPr="00521670">
        <w:rPr>
          <w:i/>
          <w:iCs/>
          <w:sz w:val="18"/>
          <w:szCs w:val="16"/>
          <w:lang w:val="ru-RU"/>
        </w:rPr>
        <w:t>.</w:t>
      </w:r>
      <w:r w:rsidRPr="00521670">
        <w:rPr>
          <w:i/>
          <w:iCs/>
          <w:sz w:val="18"/>
          <w:szCs w:val="16"/>
          <w:lang w:val="ru-RU"/>
        </w:rPr>
        <w:t>)</w:t>
      </w:r>
    </w:p>
    <w:tbl>
      <w:tblPr>
        <w:tblW w:w="5000" w:type="pct"/>
        <w:tblLook w:val="04A0" w:firstRow="1" w:lastRow="0" w:firstColumn="1" w:lastColumn="0" w:noHBand="0" w:noVBand="1"/>
      </w:tblPr>
      <w:tblGrid>
        <w:gridCol w:w="4411"/>
        <w:gridCol w:w="1210"/>
        <w:gridCol w:w="1656"/>
        <w:gridCol w:w="1794"/>
      </w:tblGrid>
      <w:tr w:rsidR="00467C57" w:rsidRPr="00521670" w14:paraId="48BE9478" w14:textId="77777777" w:rsidTr="00BA023A">
        <w:trPr>
          <w:trHeight w:val="645"/>
        </w:trPr>
        <w:tc>
          <w:tcPr>
            <w:tcW w:w="2432" w:type="pct"/>
            <w:tcBorders>
              <w:top w:val="nil"/>
              <w:left w:val="nil"/>
              <w:bottom w:val="nil"/>
              <w:right w:val="nil"/>
            </w:tcBorders>
            <w:shd w:val="clear" w:color="000000" w:fill="0070C0"/>
            <w:noWrap/>
            <w:vAlign w:val="center"/>
            <w:hideMark/>
          </w:tcPr>
          <w:p w14:paraId="40B7A912" w14:textId="182DFEF1" w:rsidR="00467C57" w:rsidRPr="00521670" w:rsidRDefault="006E0EBC" w:rsidP="00467C57">
            <w:pPr>
              <w:pStyle w:val="Tablehead"/>
              <w:rPr>
                <w:szCs w:val="18"/>
                <w:lang w:val="ru-RU" w:eastAsia="en-GB"/>
              </w:rPr>
            </w:pPr>
            <w:r w:rsidRPr="00521670">
              <w:rPr>
                <w:szCs w:val="18"/>
                <w:lang w:val="ru-RU"/>
              </w:rPr>
              <w:t>Описание</w:t>
            </w:r>
          </w:p>
        </w:tc>
        <w:tc>
          <w:tcPr>
            <w:tcW w:w="666" w:type="pct"/>
            <w:tcBorders>
              <w:top w:val="nil"/>
              <w:left w:val="nil"/>
              <w:bottom w:val="nil"/>
              <w:right w:val="nil"/>
            </w:tcBorders>
            <w:shd w:val="clear" w:color="000000" w:fill="0070C0"/>
            <w:noWrap/>
            <w:vAlign w:val="center"/>
            <w:hideMark/>
          </w:tcPr>
          <w:p w14:paraId="60DE00E3" w14:textId="08883E80" w:rsidR="00467C57" w:rsidRPr="00521670" w:rsidRDefault="006E0EBC" w:rsidP="00467C57">
            <w:pPr>
              <w:pStyle w:val="Tablehead"/>
              <w:rPr>
                <w:szCs w:val="18"/>
                <w:lang w:val="ru-RU" w:eastAsia="en-GB"/>
              </w:rPr>
            </w:pPr>
            <w:r w:rsidRPr="00521670">
              <w:rPr>
                <w:szCs w:val="18"/>
                <w:lang w:val="ru-RU"/>
              </w:rPr>
              <w:t>Примечания</w:t>
            </w:r>
          </w:p>
        </w:tc>
        <w:tc>
          <w:tcPr>
            <w:tcW w:w="913" w:type="pct"/>
            <w:tcBorders>
              <w:top w:val="nil"/>
              <w:left w:val="nil"/>
              <w:bottom w:val="nil"/>
              <w:right w:val="nil"/>
            </w:tcBorders>
            <w:shd w:val="clear" w:color="000000" w:fill="0070C0"/>
            <w:noWrap/>
            <w:vAlign w:val="center"/>
            <w:hideMark/>
          </w:tcPr>
          <w:p w14:paraId="3FD4ED24" w14:textId="32495FEB" w:rsidR="00467C57" w:rsidRPr="00521670" w:rsidRDefault="00467C57" w:rsidP="00467C57">
            <w:pPr>
              <w:pStyle w:val="Tablehead"/>
              <w:jc w:val="right"/>
              <w:rPr>
                <w:szCs w:val="18"/>
                <w:lang w:val="ru-RU" w:eastAsia="en-GB"/>
              </w:rPr>
            </w:pPr>
            <w:r w:rsidRPr="00521670">
              <w:rPr>
                <w:szCs w:val="18"/>
                <w:lang w:val="ru-RU" w:eastAsia="en-GB"/>
              </w:rPr>
              <w:t xml:space="preserve">31 </w:t>
            </w:r>
            <w:r w:rsidR="006E0EBC" w:rsidRPr="00521670">
              <w:rPr>
                <w:szCs w:val="18"/>
                <w:lang w:val="ru-RU" w:eastAsia="en-GB"/>
              </w:rPr>
              <w:t>декабря</w:t>
            </w:r>
            <w:r w:rsidRPr="00521670">
              <w:rPr>
                <w:szCs w:val="18"/>
                <w:lang w:val="ru-RU" w:eastAsia="en-GB"/>
              </w:rPr>
              <w:t xml:space="preserve"> 2024</w:t>
            </w:r>
            <w:r w:rsidR="006E0EBC" w:rsidRPr="00521670">
              <w:rPr>
                <w:szCs w:val="18"/>
                <w:lang w:val="ru-RU" w:eastAsia="en-GB"/>
              </w:rPr>
              <w:t> г.</w:t>
            </w:r>
          </w:p>
        </w:tc>
        <w:tc>
          <w:tcPr>
            <w:tcW w:w="990" w:type="pct"/>
            <w:tcBorders>
              <w:top w:val="nil"/>
              <w:left w:val="nil"/>
              <w:bottom w:val="nil"/>
              <w:right w:val="nil"/>
            </w:tcBorders>
            <w:shd w:val="clear" w:color="000000" w:fill="0070C0"/>
            <w:noWrap/>
            <w:vAlign w:val="center"/>
            <w:hideMark/>
          </w:tcPr>
          <w:p w14:paraId="669A4E66" w14:textId="11253DAA" w:rsidR="00467C57" w:rsidRPr="00521670" w:rsidRDefault="00467C57" w:rsidP="00467C57">
            <w:pPr>
              <w:pStyle w:val="Tablehead"/>
              <w:jc w:val="right"/>
              <w:rPr>
                <w:szCs w:val="18"/>
                <w:lang w:val="ru-RU" w:eastAsia="en-GB"/>
              </w:rPr>
            </w:pPr>
            <w:r w:rsidRPr="00521670">
              <w:rPr>
                <w:szCs w:val="18"/>
                <w:lang w:val="ru-RU" w:eastAsia="en-GB"/>
              </w:rPr>
              <w:t xml:space="preserve">31 </w:t>
            </w:r>
            <w:r w:rsidR="006E0EBC" w:rsidRPr="00521670">
              <w:rPr>
                <w:szCs w:val="18"/>
                <w:lang w:val="ru-RU" w:eastAsia="en-GB"/>
              </w:rPr>
              <w:t>декабря</w:t>
            </w:r>
            <w:r w:rsidRPr="00521670">
              <w:rPr>
                <w:szCs w:val="18"/>
                <w:lang w:val="ru-RU" w:eastAsia="en-GB"/>
              </w:rPr>
              <w:t xml:space="preserve"> 2023</w:t>
            </w:r>
            <w:r w:rsidR="006E0EBC" w:rsidRPr="00521670">
              <w:rPr>
                <w:szCs w:val="18"/>
                <w:lang w:val="ru-RU" w:eastAsia="en-GB"/>
              </w:rPr>
              <w:t> г.</w:t>
            </w:r>
          </w:p>
        </w:tc>
      </w:tr>
      <w:tr w:rsidR="00467C57" w:rsidRPr="00521670" w14:paraId="7A203A93" w14:textId="77777777" w:rsidTr="00BA023A">
        <w:trPr>
          <w:trHeight w:val="193"/>
        </w:trPr>
        <w:tc>
          <w:tcPr>
            <w:tcW w:w="2432" w:type="pct"/>
            <w:tcBorders>
              <w:top w:val="nil"/>
              <w:left w:val="nil"/>
              <w:bottom w:val="nil"/>
              <w:right w:val="nil"/>
            </w:tcBorders>
            <w:shd w:val="clear" w:color="auto" w:fill="auto"/>
            <w:noWrap/>
            <w:hideMark/>
          </w:tcPr>
          <w:p w14:paraId="52528B45" w14:textId="00955C5C" w:rsidR="00467C57" w:rsidRPr="00521670" w:rsidRDefault="006E0EBC" w:rsidP="00467C57">
            <w:pPr>
              <w:pStyle w:val="Tabletext"/>
              <w:rPr>
                <w:b/>
                <w:bCs/>
                <w:color w:val="000000"/>
                <w:szCs w:val="18"/>
                <w:lang w:val="ru-RU" w:eastAsia="en-GB"/>
              </w:rPr>
            </w:pPr>
            <w:r w:rsidRPr="00521670">
              <w:rPr>
                <w:b/>
                <w:bCs/>
                <w:szCs w:val="18"/>
                <w:lang w:val="ru-RU" w:eastAsia="zh-CN"/>
              </w:rPr>
              <w:t>АКТИВЫ</w:t>
            </w:r>
          </w:p>
        </w:tc>
        <w:tc>
          <w:tcPr>
            <w:tcW w:w="666" w:type="pct"/>
            <w:tcBorders>
              <w:top w:val="nil"/>
              <w:left w:val="nil"/>
              <w:bottom w:val="nil"/>
              <w:right w:val="nil"/>
            </w:tcBorders>
            <w:shd w:val="clear" w:color="auto" w:fill="auto"/>
            <w:noWrap/>
            <w:hideMark/>
          </w:tcPr>
          <w:p w14:paraId="43B5C170" w14:textId="77777777" w:rsidR="00467C57" w:rsidRPr="00521670" w:rsidRDefault="00467C57" w:rsidP="00467C57">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hideMark/>
          </w:tcPr>
          <w:p w14:paraId="2ECACAB1" w14:textId="77777777" w:rsidR="00467C57" w:rsidRPr="00521670" w:rsidRDefault="00467C57" w:rsidP="00467C57">
            <w:pPr>
              <w:pStyle w:val="Tabletext"/>
              <w:jc w:val="right"/>
              <w:rPr>
                <w:rFonts w:ascii="Times New Roman" w:hAnsi="Times New Roman"/>
                <w:szCs w:val="18"/>
                <w:lang w:val="ru-RU" w:eastAsia="en-GB"/>
              </w:rPr>
            </w:pPr>
          </w:p>
        </w:tc>
        <w:tc>
          <w:tcPr>
            <w:tcW w:w="990" w:type="pct"/>
            <w:tcBorders>
              <w:top w:val="nil"/>
              <w:left w:val="nil"/>
              <w:bottom w:val="nil"/>
              <w:right w:val="nil"/>
            </w:tcBorders>
            <w:shd w:val="clear" w:color="auto" w:fill="auto"/>
            <w:noWrap/>
            <w:hideMark/>
          </w:tcPr>
          <w:p w14:paraId="34CEBC72" w14:textId="77777777" w:rsidR="00467C57" w:rsidRPr="00521670" w:rsidRDefault="00467C57" w:rsidP="00467C57">
            <w:pPr>
              <w:pStyle w:val="Tabletext"/>
              <w:jc w:val="right"/>
              <w:rPr>
                <w:rFonts w:ascii="Times New Roman" w:hAnsi="Times New Roman"/>
                <w:szCs w:val="18"/>
                <w:lang w:val="ru-RU" w:eastAsia="en-GB"/>
              </w:rPr>
            </w:pPr>
          </w:p>
        </w:tc>
      </w:tr>
      <w:tr w:rsidR="00467C57" w:rsidRPr="00521670" w14:paraId="57988239" w14:textId="77777777" w:rsidTr="00BA023A">
        <w:trPr>
          <w:trHeight w:val="247"/>
        </w:trPr>
        <w:tc>
          <w:tcPr>
            <w:tcW w:w="2432" w:type="pct"/>
            <w:tcBorders>
              <w:top w:val="nil"/>
              <w:left w:val="nil"/>
              <w:bottom w:val="nil"/>
              <w:right w:val="nil"/>
            </w:tcBorders>
            <w:shd w:val="clear" w:color="auto" w:fill="auto"/>
            <w:noWrap/>
            <w:hideMark/>
          </w:tcPr>
          <w:p w14:paraId="41741F73" w14:textId="00C9283A" w:rsidR="00467C57" w:rsidRPr="00521670" w:rsidRDefault="006E0EBC" w:rsidP="00467C57">
            <w:pPr>
              <w:pStyle w:val="Tabletext"/>
              <w:rPr>
                <w:b/>
                <w:bCs/>
                <w:color w:val="000000"/>
                <w:szCs w:val="18"/>
                <w:lang w:val="ru-RU" w:eastAsia="en-GB"/>
              </w:rPr>
            </w:pPr>
            <w:r w:rsidRPr="00521670">
              <w:rPr>
                <w:b/>
                <w:bCs/>
                <w:szCs w:val="18"/>
                <w:lang w:val="ru-RU" w:eastAsia="en-GB"/>
              </w:rPr>
              <w:t>Текущие активы</w:t>
            </w:r>
          </w:p>
        </w:tc>
        <w:tc>
          <w:tcPr>
            <w:tcW w:w="666" w:type="pct"/>
            <w:tcBorders>
              <w:top w:val="nil"/>
              <w:left w:val="nil"/>
              <w:bottom w:val="nil"/>
              <w:right w:val="nil"/>
            </w:tcBorders>
            <w:shd w:val="clear" w:color="auto" w:fill="auto"/>
            <w:noWrap/>
            <w:hideMark/>
          </w:tcPr>
          <w:p w14:paraId="1EE756F8" w14:textId="77777777" w:rsidR="00467C57" w:rsidRPr="00521670" w:rsidRDefault="00467C57" w:rsidP="00467C57">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hideMark/>
          </w:tcPr>
          <w:p w14:paraId="2C0039EB" w14:textId="77777777" w:rsidR="00467C57" w:rsidRPr="00521670" w:rsidRDefault="00467C57" w:rsidP="00467C57">
            <w:pPr>
              <w:pStyle w:val="Tabletext"/>
              <w:jc w:val="right"/>
              <w:rPr>
                <w:rFonts w:ascii="Times New Roman" w:hAnsi="Times New Roman"/>
                <w:szCs w:val="18"/>
                <w:lang w:val="ru-RU" w:eastAsia="en-GB"/>
              </w:rPr>
            </w:pPr>
          </w:p>
        </w:tc>
        <w:tc>
          <w:tcPr>
            <w:tcW w:w="990" w:type="pct"/>
            <w:tcBorders>
              <w:top w:val="nil"/>
              <w:left w:val="nil"/>
              <w:bottom w:val="nil"/>
              <w:right w:val="nil"/>
            </w:tcBorders>
            <w:shd w:val="clear" w:color="auto" w:fill="auto"/>
            <w:noWrap/>
            <w:hideMark/>
          </w:tcPr>
          <w:p w14:paraId="1FBAAD56" w14:textId="77777777" w:rsidR="00467C57" w:rsidRPr="00521670" w:rsidRDefault="00467C57" w:rsidP="00467C57">
            <w:pPr>
              <w:pStyle w:val="Tabletext"/>
              <w:jc w:val="right"/>
              <w:rPr>
                <w:rFonts w:ascii="Times New Roman" w:hAnsi="Times New Roman"/>
                <w:szCs w:val="18"/>
                <w:lang w:val="ru-RU" w:eastAsia="en-GB"/>
              </w:rPr>
            </w:pPr>
          </w:p>
        </w:tc>
      </w:tr>
      <w:tr w:rsidR="00467C57" w:rsidRPr="00521670" w14:paraId="6943F01C" w14:textId="77777777" w:rsidTr="00BA023A">
        <w:trPr>
          <w:trHeight w:val="282"/>
        </w:trPr>
        <w:tc>
          <w:tcPr>
            <w:tcW w:w="2432" w:type="pct"/>
            <w:tcBorders>
              <w:top w:val="nil"/>
              <w:left w:val="nil"/>
              <w:bottom w:val="nil"/>
              <w:right w:val="nil"/>
            </w:tcBorders>
            <w:shd w:val="clear" w:color="auto" w:fill="auto"/>
            <w:noWrap/>
            <w:hideMark/>
          </w:tcPr>
          <w:p w14:paraId="10C8B793" w14:textId="468E01F5" w:rsidR="00467C57" w:rsidRPr="00521670" w:rsidRDefault="006E0EBC" w:rsidP="00467C57">
            <w:pPr>
              <w:pStyle w:val="Tabletext"/>
              <w:rPr>
                <w:color w:val="000000"/>
                <w:szCs w:val="18"/>
                <w:lang w:val="ru-RU" w:eastAsia="en-GB"/>
              </w:rPr>
            </w:pPr>
            <w:r w:rsidRPr="00521670">
              <w:rPr>
                <w:szCs w:val="18"/>
                <w:lang w:val="ru-RU"/>
              </w:rPr>
              <w:t>Денежные средства и эквиваленты денежных средств</w:t>
            </w:r>
          </w:p>
        </w:tc>
        <w:tc>
          <w:tcPr>
            <w:tcW w:w="666" w:type="pct"/>
            <w:tcBorders>
              <w:top w:val="nil"/>
              <w:left w:val="nil"/>
              <w:bottom w:val="nil"/>
              <w:right w:val="nil"/>
            </w:tcBorders>
            <w:shd w:val="clear" w:color="auto" w:fill="auto"/>
            <w:noWrap/>
            <w:hideMark/>
          </w:tcPr>
          <w:p w14:paraId="7F374755"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6</w:t>
            </w:r>
          </w:p>
        </w:tc>
        <w:tc>
          <w:tcPr>
            <w:tcW w:w="913" w:type="pct"/>
            <w:tcBorders>
              <w:top w:val="nil"/>
              <w:left w:val="nil"/>
              <w:bottom w:val="nil"/>
              <w:right w:val="nil"/>
            </w:tcBorders>
            <w:shd w:val="clear" w:color="auto" w:fill="auto"/>
            <w:noWrap/>
            <w:hideMark/>
          </w:tcPr>
          <w:p w14:paraId="06B88C48" w14:textId="6D9AF0BE" w:rsidR="00467C57" w:rsidRPr="00521670" w:rsidRDefault="00467C57" w:rsidP="00467C57">
            <w:pPr>
              <w:pStyle w:val="Tabletext"/>
              <w:jc w:val="right"/>
              <w:rPr>
                <w:color w:val="000000"/>
                <w:szCs w:val="18"/>
                <w:lang w:val="ru-RU" w:eastAsia="en-GB"/>
              </w:rPr>
            </w:pPr>
            <w:r w:rsidRPr="00521670">
              <w:rPr>
                <w:color w:val="000000"/>
                <w:szCs w:val="18"/>
                <w:lang w:val="ru-RU" w:eastAsia="en-GB"/>
              </w:rPr>
              <w:t>210 030</w:t>
            </w:r>
          </w:p>
        </w:tc>
        <w:tc>
          <w:tcPr>
            <w:tcW w:w="990" w:type="pct"/>
            <w:tcBorders>
              <w:top w:val="nil"/>
              <w:left w:val="nil"/>
              <w:bottom w:val="nil"/>
              <w:right w:val="nil"/>
            </w:tcBorders>
            <w:shd w:val="clear" w:color="auto" w:fill="auto"/>
            <w:noWrap/>
            <w:vAlign w:val="bottom"/>
            <w:hideMark/>
          </w:tcPr>
          <w:p w14:paraId="70EA5821" w14:textId="7579CA76" w:rsidR="00467C57" w:rsidRPr="00521670" w:rsidRDefault="00467C57" w:rsidP="00467C57">
            <w:pPr>
              <w:pStyle w:val="Tabletext"/>
              <w:jc w:val="right"/>
              <w:rPr>
                <w:szCs w:val="18"/>
                <w:lang w:val="ru-RU" w:eastAsia="en-GB"/>
              </w:rPr>
            </w:pPr>
            <w:r w:rsidRPr="00521670">
              <w:rPr>
                <w:szCs w:val="18"/>
                <w:lang w:val="ru-RU" w:eastAsia="en-GB"/>
              </w:rPr>
              <w:t>155 868</w:t>
            </w:r>
          </w:p>
        </w:tc>
      </w:tr>
      <w:tr w:rsidR="00467C57" w:rsidRPr="00521670" w14:paraId="10E2E880" w14:textId="77777777" w:rsidTr="00BA023A">
        <w:trPr>
          <w:trHeight w:val="282"/>
        </w:trPr>
        <w:tc>
          <w:tcPr>
            <w:tcW w:w="2432" w:type="pct"/>
            <w:tcBorders>
              <w:top w:val="nil"/>
              <w:left w:val="nil"/>
              <w:bottom w:val="nil"/>
              <w:right w:val="nil"/>
            </w:tcBorders>
            <w:shd w:val="clear" w:color="auto" w:fill="auto"/>
            <w:noWrap/>
            <w:hideMark/>
          </w:tcPr>
          <w:p w14:paraId="6E5F4167" w14:textId="17641C54" w:rsidR="00467C57" w:rsidRPr="00521670" w:rsidRDefault="006E0EBC" w:rsidP="00467C57">
            <w:pPr>
              <w:pStyle w:val="Tabletext"/>
              <w:rPr>
                <w:color w:val="000000"/>
                <w:szCs w:val="18"/>
                <w:lang w:val="ru-RU" w:eastAsia="en-GB"/>
              </w:rPr>
            </w:pPr>
            <w:r w:rsidRPr="00521670">
              <w:rPr>
                <w:szCs w:val="18"/>
                <w:lang w:val="ru-RU"/>
              </w:rPr>
              <w:t>Инвестиции</w:t>
            </w:r>
          </w:p>
        </w:tc>
        <w:tc>
          <w:tcPr>
            <w:tcW w:w="666" w:type="pct"/>
            <w:tcBorders>
              <w:top w:val="nil"/>
              <w:left w:val="nil"/>
              <w:bottom w:val="nil"/>
              <w:right w:val="nil"/>
            </w:tcBorders>
            <w:shd w:val="clear" w:color="auto" w:fill="auto"/>
            <w:noWrap/>
            <w:hideMark/>
          </w:tcPr>
          <w:p w14:paraId="575D0773"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7</w:t>
            </w:r>
          </w:p>
        </w:tc>
        <w:tc>
          <w:tcPr>
            <w:tcW w:w="913" w:type="pct"/>
            <w:tcBorders>
              <w:top w:val="nil"/>
              <w:left w:val="nil"/>
              <w:bottom w:val="nil"/>
              <w:right w:val="nil"/>
            </w:tcBorders>
            <w:shd w:val="clear" w:color="auto" w:fill="auto"/>
            <w:noWrap/>
            <w:hideMark/>
          </w:tcPr>
          <w:p w14:paraId="26F3AA82" w14:textId="279E5238" w:rsidR="00467C57" w:rsidRPr="00521670" w:rsidRDefault="00467C57" w:rsidP="00467C57">
            <w:pPr>
              <w:pStyle w:val="Tabletext"/>
              <w:jc w:val="right"/>
              <w:rPr>
                <w:color w:val="000000"/>
                <w:szCs w:val="18"/>
                <w:lang w:val="ru-RU" w:eastAsia="en-GB"/>
              </w:rPr>
            </w:pPr>
            <w:r w:rsidRPr="00521670">
              <w:rPr>
                <w:color w:val="000000"/>
                <w:szCs w:val="18"/>
                <w:lang w:val="ru-RU" w:eastAsia="en-GB"/>
              </w:rPr>
              <w:t>−</w:t>
            </w:r>
          </w:p>
        </w:tc>
        <w:tc>
          <w:tcPr>
            <w:tcW w:w="990" w:type="pct"/>
            <w:tcBorders>
              <w:top w:val="nil"/>
              <w:left w:val="nil"/>
              <w:bottom w:val="nil"/>
              <w:right w:val="nil"/>
            </w:tcBorders>
            <w:shd w:val="clear" w:color="auto" w:fill="auto"/>
            <w:noWrap/>
            <w:vAlign w:val="bottom"/>
            <w:hideMark/>
          </w:tcPr>
          <w:p w14:paraId="6CE10DFF" w14:textId="5C5908FA" w:rsidR="00467C57" w:rsidRPr="00521670" w:rsidRDefault="00467C57" w:rsidP="00467C57">
            <w:pPr>
              <w:pStyle w:val="Tabletext"/>
              <w:jc w:val="right"/>
              <w:rPr>
                <w:szCs w:val="18"/>
                <w:lang w:val="ru-RU" w:eastAsia="en-GB"/>
              </w:rPr>
            </w:pPr>
            <w:r w:rsidRPr="00521670">
              <w:rPr>
                <w:szCs w:val="18"/>
                <w:lang w:val="ru-RU" w:eastAsia="en-GB"/>
              </w:rPr>
              <w:t>35 070</w:t>
            </w:r>
          </w:p>
        </w:tc>
      </w:tr>
      <w:tr w:rsidR="00467C57" w:rsidRPr="00521670" w14:paraId="12331D97" w14:textId="77777777" w:rsidTr="00BA023A">
        <w:trPr>
          <w:trHeight w:val="282"/>
        </w:trPr>
        <w:tc>
          <w:tcPr>
            <w:tcW w:w="2432" w:type="pct"/>
            <w:tcBorders>
              <w:top w:val="nil"/>
              <w:left w:val="nil"/>
              <w:bottom w:val="nil"/>
              <w:right w:val="nil"/>
            </w:tcBorders>
            <w:shd w:val="clear" w:color="auto" w:fill="auto"/>
            <w:noWrap/>
            <w:hideMark/>
          </w:tcPr>
          <w:p w14:paraId="6BFE2986" w14:textId="04CB2969" w:rsidR="00467C57" w:rsidRPr="00521670" w:rsidRDefault="006E0EBC" w:rsidP="00467C57">
            <w:pPr>
              <w:pStyle w:val="Tabletext"/>
              <w:rPr>
                <w:color w:val="000000"/>
                <w:szCs w:val="18"/>
                <w:lang w:val="ru-RU" w:eastAsia="en-GB"/>
              </w:rPr>
            </w:pPr>
            <w:r w:rsidRPr="00521670">
              <w:rPr>
                <w:szCs w:val="18"/>
                <w:lang w:val="ru-RU"/>
              </w:rPr>
              <w:t>Долговые обязательства</w:t>
            </w:r>
          </w:p>
        </w:tc>
        <w:tc>
          <w:tcPr>
            <w:tcW w:w="666" w:type="pct"/>
            <w:tcBorders>
              <w:top w:val="nil"/>
              <w:left w:val="nil"/>
              <w:bottom w:val="nil"/>
              <w:right w:val="nil"/>
            </w:tcBorders>
            <w:shd w:val="clear" w:color="auto" w:fill="auto"/>
            <w:noWrap/>
            <w:hideMark/>
          </w:tcPr>
          <w:p w14:paraId="108BEE45"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8</w:t>
            </w:r>
          </w:p>
        </w:tc>
        <w:tc>
          <w:tcPr>
            <w:tcW w:w="913" w:type="pct"/>
            <w:tcBorders>
              <w:top w:val="nil"/>
              <w:left w:val="nil"/>
              <w:bottom w:val="nil"/>
              <w:right w:val="nil"/>
            </w:tcBorders>
            <w:shd w:val="clear" w:color="auto" w:fill="auto"/>
            <w:noWrap/>
            <w:hideMark/>
          </w:tcPr>
          <w:p w14:paraId="634098D1" w14:textId="6C129824" w:rsidR="00467C57" w:rsidRPr="00521670" w:rsidRDefault="00467C57" w:rsidP="00467C57">
            <w:pPr>
              <w:pStyle w:val="Tabletext"/>
              <w:jc w:val="right"/>
              <w:rPr>
                <w:color w:val="000000"/>
                <w:szCs w:val="18"/>
                <w:lang w:val="ru-RU" w:eastAsia="en-GB"/>
              </w:rPr>
            </w:pPr>
            <w:r w:rsidRPr="00521670">
              <w:rPr>
                <w:color w:val="000000"/>
                <w:szCs w:val="18"/>
                <w:lang w:val="ru-RU" w:eastAsia="en-GB"/>
              </w:rPr>
              <w:t>20 546</w:t>
            </w:r>
          </w:p>
        </w:tc>
        <w:tc>
          <w:tcPr>
            <w:tcW w:w="990" w:type="pct"/>
            <w:tcBorders>
              <w:top w:val="nil"/>
              <w:left w:val="nil"/>
              <w:bottom w:val="nil"/>
              <w:right w:val="nil"/>
            </w:tcBorders>
            <w:shd w:val="clear" w:color="auto" w:fill="auto"/>
            <w:noWrap/>
            <w:vAlign w:val="bottom"/>
            <w:hideMark/>
          </w:tcPr>
          <w:p w14:paraId="40337C44" w14:textId="5EBA3F40" w:rsidR="00467C57" w:rsidRPr="00521670" w:rsidRDefault="00467C57" w:rsidP="00467C57">
            <w:pPr>
              <w:pStyle w:val="Tabletext"/>
              <w:jc w:val="right"/>
              <w:rPr>
                <w:szCs w:val="18"/>
                <w:lang w:val="ru-RU" w:eastAsia="en-GB"/>
              </w:rPr>
            </w:pPr>
            <w:r w:rsidRPr="00521670">
              <w:rPr>
                <w:szCs w:val="18"/>
                <w:lang w:val="ru-RU" w:eastAsia="en-GB"/>
              </w:rPr>
              <w:t>19 578</w:t>
            </w:r>
          </w:p>
        </w:tc>
      </w:tr>
      <w:tr w:rsidR="00467C57" w:rsidRPr="00521670" w14:paraId="6E3C78E4" w14:textId="77777777" w:rsidTr="00BA023A">
        <w:trPr>
          <w:trHeight w:val="282"/>
        </w:trPr>
        <w:tc>
          <w:tcPr>
            <w:tcW w:w="2432" w:type="pct"/>
            <w:tcBorders>
              <w:top w:val="nil"/>
              <w:left w:val="nil"/>
              <w:bottom w:val="nil"/>
              <w:right w:val="nil"/>
            </w:tcBorders>
            <w:shd w:val="clear" w:color="auto" w:fill="auto"/>
            <w:noWrap/>
            <w:hideMark/>
          </w:tcPr>
          <w:p w14:paraId="4E02D803" w14:textId="52A70D29" w:rsidR="00467C57" w:rsidRPr="00521670" w:rsidRDefault="006E0EBC" w:rsidP="00467C57">
            <w:pPr>
              <w:pStyle w:val="Tabletext"/>
              <w:rPr>
                <w:color w:val="000000"/>
                <w:szCs w:val="18"/>
                <w:lang w:val="ru-RU" w:eastAsia="en-GB"/>
              </w:rPr>
            </w:pPr>
            <w:r w:rsidRPr="00521670">
              <w:rPr>
                <w:szCs w:val="18"/>
                <w:lang w:val="ru-RU"/>
              </w:rPr>
              <w:t>Прочие долговые обязательства</w:t>
            </w:r>
          </w:p>
        </w:tc>
        <w:tc>
          <w:tcPr>
            <w:tcW w:w="666" w:type="pct"/>
            <w:tcBorders>
              <w:top w:val="nil"/>
              <w:left w:val="nil"/>
              <w:bottom w:val="nil"/>
              <w:right w:val="nil"/>
            </w:tcBorders>
            <w:shd w:val="clear" w:color="auto" w:fill="auto"/>
            <w:noWrap/>
            <w:hideMark/>
          </w:tcPr>
          <w:p w14:paraId="5E25C0BB"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9</w:t>
            </w:r>
          </w:p>
        </w:tc>
        <w:tc>
          <w:tcPr>
            <w:tcW w:w="913" w:type="pct"/>
            <w:tcBorders>
              <w:top w:val="nil"/>
              <w:left w:val="nil"/>
              <w:bottom w:val="nil"/>
              <w:right w:val="nil"/>
            </w:tcBorders>
            <w:shd w:val="clear" w:color="auto" w:fill="auto"/>
            <w:noWrap/>
            <w:hideMark/>
          </w:tcPr>
          <w:p w14:paraId="695FB75F" w14:textId="2063854E" w:rsidR="00467C57" w:rsidRPr="00521670" w:rsidRDefault="00467C57" w:rsidP="00467C57">
            <w:pPr>
              <w:pStyle w:val="Tabletext"/>
              <w:jc w:val="right"/>
              <w:rPr>
                <w:color w:val="000000"/>
                <w:szCs w:val="18"/>
                <w:lang w:val="ru-RU" w:eastAsia="en-GB"/>
              </w:rPr>
            </w:pPr>
            <w:r w:rsidRPr="00521670">
              <w:rPr>
                <w:color w:val="000000"/>
                <w:szCs w:val="18"/>
                <w:lang w:val="ru-RU" w:eastAsia="en-GB"/>
              </w:rPr>
              <w:t>7 349</w:t>
            </w:r>
          </w:p>
        </w:tc>
        <w:tc>
          <w:tcPr>
            <w:tcW w:w="990" w:type="pct"/>
            <w:tcBorders>
              <w:top w:val="nil"/>
              <w:left w:val="nil"/>
              <w:bottom w:val="nil"/>
              <w:right w:val="nil"/>
            </w:tcBorders>
            <w:shd w:val="clear" w:color="auto" w:fill="auto"/>
            <w:noWrap/>
            <w:vAlign w:val="bottom"/>
            <w:hideMark/>
          </w:tcPr>
          <w:p w14:paraId="180AB7DE" w14:textId="2A1971B0" w:rsidR="00467C57" w:rsidRPr="00521670" w:rsidRDefault="00467C57" w:rsidP="00467C57">
            <w:pPr>
              <w:pStyle w:val="Tabletext"/>
              <w:jc w:val="right"/>
              <w:rPr>
                <w:szCs w:val="18"/>
                <w:lang w:val="ru-RU" w:eastAsia="en-GB"/>
              </w:rPr>
            </w:pPr>
            <w:r w:rsidRPr="00521670">
              <w:rPr>
                <w:szCs w:val="18"/>
                <w:lang w:val="ru-RU" w:eastAsia="en-GB"/>
              </w:rPr>
              <w:t>6 238</w:t>
            </w:r>
          </w:p>
        </w:tc>
      </w:tr>
      <w:tr w:rsidR="00467C57" w:rsidRPr="00521670" w14:paraId="79AC79A0" w14:textId="77777777" w:rsidTr="00BA023A">
        <w:trPr>
          <w:trHeight w:val="259"/>
        </w:trPr>
        <w:tc>
          <w:tcPr>
            <w:tcW w:w="2432" w:type="pct"/>
            <w:tcBorders>
              <w:top w:val="nil"/>
              <w:left w:val="nil"/>
              <w:bottom w:val="nil"/>
              <w:right w:val="nil"/>
            </w:tcBorders>
            <w:shd w:val="clear" w:color="auto" w:fill="auto"/>
            <w:noWrap/>
            <w:hideMark/>
          </w:tcPr>
          <w:p w14:paraId="20F6BA57" w14:textId="1AA669E3" w:rsidR="00467C57" w:rsidRPr="00521670" w:rsidRDefault="006E0EBC" w:rsidP="00467C57">
            <w:pPr>
              <w:pStyle w:val="Tabletext"/>
              <w:rPr>
                <w:b/>
                <w:bCs/>
                <w:color w:val="000000"/>
                <w:szCs w:val="18"/>
                <w:lang w:val="ru-RU" w:eastAsia="en-GB"/>
              </w:rPr>
            </w:pPr>
            <w:r w:rsidRPr="00521670">
              <w:rPr>
                <w:b/>
                <w:bCs/>
                <w:szCs w:val="18"/>
                <w:lang w:val="ru-RU"/>
              </w:rPr>
              <w:t>Всего: текущие активы</w:t>
            </w:r>
          </w:p>
        </w:tc>
        <w:tc>
          <w:tcPr>
            <w:tcW w:w="666" w:type="pct"/>
            <w:tcBorders>
              <w:top w:val="nil"/>
              <w:left w:val="nil"/>
              <w:bottom w:val="nil"/>
              <w:right w:val="nil"/>
            </w:tcBorders>
            <w:shd w:val="clear" w:color="auto" w:fill="auto"/>
            <w:noWrap/>
            <w:hideMark/>
          </w:tcPr>
          <w:p w14:paraId="34576AA8" w14:textId="77777777" w:rsidR="00467C57" w:rsidRPr="00521670" w:rsidRDefault="00467C57" w:rsidP="00467C57">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vAlign w:val="bottom"/>
            <w:hideMark/>
          </w:tcPr>
          <w:p w14:paraId="18A37AB6" w14:textId="24FDCE4A"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237 925</w:t>
            </w:r>
          </w:p>
        </w:tc>
        <w:tc>
          <w:tcPr>
            <w:tcW w:w="990" w:type="pct"/>
            <w:tcBorders>
              <w:top w:val="nil"/>
              <w:left w:val="nil"/>
              <w:bottom w:val="nil"/>
              <w:right w:val="nil"/>
            </w:tcBorders>
            <w:shd w:val="clear" w:color="auto" w:fill="auto"/>
            <w:noWrap/>
            <w:vAlign w:val="bottom"/>
            <w:hideMark/>
          </w:tcPr>
          <w:p w14:paraId="52A75D20" w14:textId="2D2B34F2"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216 754</w:t>
            </w:r>
          </w:p>
        </w:tc>
      </w:tr>
      <w:tr w:rsidR="00467C57" w:rsidRPr="00521670" w14:paraId="15D0DE83" w14:textId="77777777" w:rsidTr="00BA023A">
        <w:trPr>
          <w:trHeight w:val="74"/>
        </w:trPr>
        <w:tc>
          <w:tcPr>
            <w:tcW w:w="5000" w:type="pct"/>
            <w:gridSpan w:val="4"/>
            <w:tcBorders>
              <w:top w:val="nil"/>
              <w:left w:val="nil"/>
              <w:bottom w:val="nil"/>
              <w:right w:val="nil"/>
            </w:tcBorders>
            <w:shd w:val="clear" w:color="auto" w:fill="auto"/>
            <w:noWrap/>
            <w:hideMark/>
          </w:tcPr>
          <w:p w14:paraId="52D022B8" w14:textId="77777777" w:rsidR="00467C57" w:rsidRPr="00521670" w:rsidRDefault="00467C57" w:rsidP="00467C57">
            <w:pPr>
              <w:pStyle w:val="Tabletext"/>
              <w:spacing w:before="0" w:after="0"/>
              <w:jc w:val="right"/>
              <w:rPr>
                <w:rFonts w:ascii="Times New Roman" w:hAnsi="Times New Roman"/>
                <w:szCs w:val="18"/>
                <w:lang w:val="ru-RU" w:eastAsia="en-GB"/>
              </w:rPr>
            </w:pPr>
          </w:p>
        </w:tc>
      </w:tr>
      <w:tr w:rsidR="00467C57" w:rsidRPr="00521670" w14:paraId="4A858557" w14:textId="77777777" w:rsidTr="00BA023A">
        <w:trPr>
          <w:trHeight w:val="139"/>
        </w:trPr>
        <w:tc>
          <w:tcPr>
            <w:tcW w:w="2432" w:type="pct"/>
            <w:tcBorders>
              <w:top w:val="nil"/>
              <w:left w:val="nil"/>
              <w:bottom w:val="nil"/>
              <w:right w:val="nil"/>
            </w:tcBorders>
            <w:shd w:val="clear" w:color="auto" w:fill="auto"/>
            <w:noWrap/>
            <w:hideMark/>
          </w:tcPr>
          <w:p w14:paraId="08F51020" w14:textId="3DB6D6B4" w:rsidR="00467C57" w:rsidRPr="00521670" w:rsidRDefault="006E0EBC" w:rsidP="00467C57">
            <w:pPr>
              <w:pStyle w:val="Tabletext"/>
              <w:rPr>
                <w:b/>
                <w:bCs/>
                <w:color w:val="000000"/>
                <w:szCs w:val="18"/>
                <w:lang w:val="ru-RU" w:eastAsia="en-GB"/>
              </w:rPr>
            </w:pPr>
            <w:r w:rsidRPr="00521670">
              <w:rPr>
                <w:b/>
                <w:bCs/>
                <w:szCs w:val="18"/>
                <w:lang w:val="ru-RU"/>
              </w:rPr>
              <w:t>Нетекущие активы</w:t>
            </w:r>
          </w:p>
        </w:tc>
        <w:tc>
          <w:tcPr>
            <w:tcW w:w="666" w:type="pct"/>
            <w:tcBorders>
              <w:top w:val="nil"/>
              <w:left w:val="nil"/>
              <w:bottom w:val="nil"/>
              <w:right w:val="nil"/>
            </w:tcBorders>
            <w:shd w:val="clear" w:color="auto" w:fill="auto"/>
            <w:noWrap/>
            <w:hideMark/>
          </w:tcPr>
          <w:p w14:paraId="3C784882" w14:textId="77777777" w:rsidR="00467C57" w:rsidRPr="00521670" w:rsidRDefault="00467C57" w:rsidP="00467C57">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hideMark/>
          </w:tcPr>
          <w:p w14:paraId="6D82757F" w14:textId="77777777" w:rsidR="00467C57" w:rsidRPr="00521670" w:rsidRDefault="00467C57" w:rsidP="00467C57">
            <w:pPr>
              <w:pStyle w:val="Tabletext"/>
              <w:jc w:val="right"/>
              <w:rPr>
                <w:rFonts w:ascii="Times New Roman" w:hAnsi="Times New Roman"/>
                <w:szCs w:val="18"/>
                <w:lang w:val="ru-RU" w:eastAsia="en-GB"/>
              </w:rPr>
            </w:pPr>
          </w:p>
        </w:tc>
        <w:tc>
          <w:tcPr>
            <w:tcW w:w="990" w:type="pct"/>
            <w:tcBorders>
              <w:top w:val="nil"/>
              <w:left w:val="nil"/>
              <w:bottom w:val="nil"/>
              <w:right w:val="nil"/>
            </w:tcBorders>
            <w:shd w:val="clear" w:color="auto" w:fill="auto"/>
            <w:noWrap/>
            <w:vAlign w:val="bottom"/>
            <w:hideMark/>
          </w:tcPr>
          <w:p w14:paraId="40E273E9" w14:textId="77777777" w:rsidR="00467C57" w:rsidRPr="00521670" w:rsidRDefault="00467C57" w:rsidP="00467C57">
            <w:pPr>
              <w:pStyle w:val="Tabletext"/>
              <w:jc w:val="right"/>
              <w:rPr>
                <w:rFonts w:ascii="Times New Roman" w:hAnsi="Times New Roman"/>
                <w:szCs w:val="18"/>
                <w:lang w:val="ru-RU" w:eastAsia="en-GB"/>
              </w:rPr>
            </w:pPr>
          </w:p>
        </w:tc>
      </w:tr>
      <w:tr w:rsidR="00467C57" w:rsidRPr="00521670" w14:paraId="753A225C" w14:textId="77777777" w:rsidTr="00BA023A">
        <w:trPr>
          <w:trHeight w:val="259"/>
        </w:trPr>
        <w:tc>
          <w:tcPr>
            <w:tcW w:w="2432" w:type="pct"/>
            <w:tcBorders>
              <w:top w:val="nil"/>
              <w:left w:val="nil"/>
              <w:bottom w:val="nil"/>
              <w:right w:val="nil"/>
            </w:tcBorders>
            <w:shd w:val="clear" w:color="auto" w:fill="auto"/>
            <w:noWrap/>
            <w:hideMark/>
          </w:tcPr>
          <w:p w14:paraId="7F593052" w14:textId="43124CE2" w:rsidR="00467C57" w:rsidRPr="00521670" w:rsidRDefault="006E0EBC" w:rsidP="00467C57">
            <w:pPr>
              <w:pStyle w:val="Tabletext"/>
              <w:rPr>
                <w:color w:val="000000"/>
                <w:szCs w:val="18"/>
                <w:lang w:val="ru-RU" w:eastAsia="en-GB"/>
              </w:rPr>
            </w:pPr>
            <w:r w:rsidRPr="00521670">
              <w:rPr>
                <w:szCs w:val="18"/>
                <w:lang w:val="ru-RU"/>
              </w:rPr>
              <w:t>Материальные активы</w:t>
            </w:r>
          </w:p>
        </w:tc>
        <w:tc>
          <w:tcPr>
            <w:tcW w:w="666" w:type="pct"/>
            <w:tcBorders>
              <w:top w:val="nil"/>
              <w:left w:val="nil"/>
              <w:bottom w:val="nil"/>
              <w:right w:val="nil"/>
            </w:tcBorders>
            <w:shd w:val="clear" w:color="auto" w:fill="auto"/>
            <w:noWrap/>
            <w:hideMark/>
          </w:tcPr>
          <w:p w14:paraId="1B9FB234"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10</w:t>
            </w:r>
          </w:p>
        </w:tc>
        <w:tc>
          <w:tcPr>
            <w:tcW w:w="913" w:type="pct"/>
            <w:tcBorders>
              <w:top w:val="nil"/>
              <w:left w:val="nil"/>
              <w:bottom w:val="nil"/>
              <w:right w:val="nil"/>
            </w:tcBorders>
            <w:shd w:val="clear" w:color="auto" w:fill="auto"/>
            <w:noWrap/>
            <w:hideMark/>
          </w:tcPr>
          <w:p w14:paraId="58842478" w14:textId="37DFB544" w:rsidR="00467C57" w:rsidRPr="00521670" w:rsidRDefault="00467C57" w:rsidP="00467C57">
            <w:pPr>
              <w:pStyle w:val="Tabletext"/>
              <w:jc w:val="right"/>
              <w:rPr>
                <w:color w:val="000000"/>
                <w:szCs w:val="18"/>
                <w:lang w:val="ru-RU" w:eastAsia="en-GB"/>
              </w:rPr>
            </w:pPr>
            <w:r w:rsidRPr="00521670">
              <w:rPr>
                <w:color w:val="000000"/>
                <w:szCs w:val="18"/>
                <w:lang w:val="ru-RU" w:eastAsia="en-GB"/>
              </w:rPr>
              <w:t>57 210</w:t>
            </w:r>
          </w:p>
        </w:tc>
        <w:tc>
          <w:tcPr>
            <w:tcW w:w="990" w:type="pct"/>
            <w:tcBorders>
              <w:top w:val="nil"/>
              <w:left w:val="nil"/>
              <w:bottom w:val="nil"/>
              <w:right w:val="nil"/>
            </w:tcBorders>
            <w:shd w:val="clear" w:color="auto" w:fill="auto"/>
            <w:noWrap/>
            <w:vAlign w:val="bottom"/>
            <w:hideMark/>
          </w:tcPr>
          <w:p w14:paraId="6077F68B" w14:textId="04A44638" w:rsidR="00467C57" w:rsidRPr="00521670" w:rsidRDefault="00467C57" w:rsidP="00467C57">
            <w:pPr>
              <w:pStyle w:val="Tabletext"/>
              <w:jc w:val="right"/>
              <w:rPr>
                <w:szCs w:val="18"/>
                <w:lang w:val="ru-RU" w:eastAsia="en-GB"/>
              </w:rPr>
            </w:pPr>
            <w:r w:rsidRPr="00521670">
              <w:rPr>
                <w:szCs w:val="18"/>
                <w:lang w:val="ru-RU" w:eastAsia="en-GB"/>
              </w:rPr>
              <w:t>59 459</w:t>
            </w:r>
          </w:p>
        </w:tc>
      </w:tr>
      <w:tr w:rsidR="00467C57" w:rsidRPr="00521670" w14:paraId="630D5F30" w14:textId="77777777" w:rsidTr="00BA023A">
        <w:trPr>
          <w:trHeight w:val="259"/>
        </w:trPr>
        <w:tc>
          <w:tcPr>
            <w:tcW w:w="2432" w:type="pct"/>
            <w:tcBorders>
              <w:top w:val="nil"/>
              <w:left w:val="nil"/>
              <w:bottom w:val="nil"/>
              <w:right w:val="nil"/>
            </w:tcBorders>
            <w:shd w:val="clear" w:color="auto" w:fill="auto"/>
            <w:noWrap/>
            <w:hideMark/>
          </w:tcPr>
          <w:p w14:paraId="52452AE4" w14:textId="0D931F78" w:rsidR="00467C57" w:rsidRPr="00521670" w:rsidRDefault="006E0EBC" w:rsidP="00467C57">
            <w:pPr>
              <w:pStyle w:val="Tabletext"/>
              <w:rPr>
                <w:color w:val="000000"/>
                <w:szCs w:val="18"/>
                <w:lang w:val="ru-RU" w:eastAsia="en-GB"/>
              </w:rPr>
            </w:pPr>
            <w:r w:rsidRPr="00521670">
              <w:rPr>
                <w:szCs w:val="18"/>
                <w:lang w:val="ru-RU"/>
              </w:rPr>
              <w:t>Нематериальные активы</w:t>
            </w:r>
          </w:p>
        </w:tc>
        <w:tc>
          <w:tcPr>
            <w:tcW w:w="666" w:type="pct"/>
            <w:tcBorders>
              <w:top w:val="nil"/>
              <w:left w:val="nil"/>
              <w:bottom w:val="nil"/>
              <w:right w:val="nil"/>
            </w:tcBorders>
            <w:shd w:val="clear" w:color="auto" w:fill="auto"/>
            <w:noWrap/>
            <w:hideMark/>
          </w:tcPr>
          <w:p w14:paraId="428B5641"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11</w:t>
            </w:r>
          </w:p>
        </w:tc>
        <w:tc>
          <w:tcPr>
            <w:tcW w:w="913" w:type="pct"/>
            <w:tcBorders>
              <w:top w:val="nil"/>
              <w:left w:val="nil"/>
              <w:bottom w:val="nil"/>
              <w:right w:val="nil"/>
            </w:tcBorders>
            <w:shd w:val="clear" w:color="auto" w:fill="auto"/>
            <w:noWrap/>
            <w:hideMark/>
          </w:tcPr>
          <w:p w14:paraId="7678C4E4" w14:textId="6D2EC89A" w:rsidR="00467C57" w:rsidRPr="00521670" w:rsidRDefault="00467C57" w:rsidP="00467C57">
            <w:pPr>
              <w:pStyle w:val="Tabletext"/>
              <w:jc w:val="right"/>
              <w:rPr>
                <w:color w:val="000000"/>
                <w:szCs w:val="18"/>
                <w:lang w:val="ru-RU" w:eastAsia="en-GB"/>
              </w:rPr>
            </w:pPr>
            <w:r w:rsidRPr="00521670">
              <w:rPr>
                <w:color w:val="000000"/>
                <w:szCs w:val="18"/>
                <w:lang w:val="ru-RU" w:eastAsia="en-GB"/>
              </w:rPr>
              <w:t>6 999</w:t>
            </w:r>
          </w:p>
        </w:tc>
        <w:tc>
          <w:tcPr>
            <w:tcW w:w="990" w:type="pct"/>
            <w:tcBorders>
              <w:top w:val="nil"/>
              <w:left w:val="nil"/>
              <w:bottom w:val="nil"/>
              <w:right w:val="nil"/>
            </w:tcBorders>
            <w:shd w:val="clear" w:color="auto" w:fill="auto"/>
            <w:noWrap/>
            <w:vAlign w:val="bottom"/>
            <w:hideMark/>
          </w:tcPr>
          <w:p w14:paraId="12265166" w14:textId="5A2F2116" w:rsidR="00467C57" w:rsidRPr="00521670" w:rsidRDefault="00467C57" w:rsidP="00467C57">
            <w:pPr>
              <w:pStyle w:val="Tabletext"/>
              <w:jc w:val="right"/>
              <w:rPr>
                <w:szCs w:val="18"/>
                <w:lang w:val="ru-RU" w:eastAsia="en-GB"/>
              </w:rPr>
            </w:pPr>
            <w:r w:rsidRPr="00521670">
              <w:rPr>
                <w:szCs w:val="18"/>
                <w:lang w:val="ru-RU" w:eastAsia="en-GB"/>
              </w:rPr>
              <w:t>2 949</w:t>
            </w:r>
          </w:p>
        </w:tc>
      </w:tr>
      <w:tr w:rsidR="00467C57" w:rsidRPr="00521670" w14:paraId="259C3691" w14:textId="77777777" w:rsidTr="00BA023A">
        <w:trPr>
          <w:trHeight w:val="259"/>
        </w:trPr>
        <w:tc>
          <w:tcPr>
            <w:tcW w:w="2432" w:type="pct"/>
            <w:tcBorders>
              <w:top w:val="nil"/>
              <w:left w:val="nil"/>
              <w:bottom w:val="nil"/>
              <w:right w:val="nil"/>
            </w:tcBorders>
            <w:shd w:val="clear" w:color="auto" w:fill="auto"/>
            <w:noWrap/>
            <w:hideMark/>
          </w:tcPr>
          <w:p w14:paraId="1309A9EE" w14:textId="1CE5CF29" w:rsidR="00467C57" w:rsidRPr="00521670" w:rsidRDefault="006E0EBC" w:rsidP="00467C57">
            <w:pPr>
              <w:pStyle w:val="Tabletext"/>
              <w:rPr>
                <w:color w:val="000000"/>
                <w:szCs w:val="18"/>
                <w:lang w:val="ru-RU" w:eastAsia="en-GB"/>
              </w:rPr>
            </w:pPr>
            <w:r w:rsidRPr="00521670">
              <w:rPr>
                <w:szCs w:val="18"/>
                <w:lang w:val="ru-RU"/>
              </w:rPr>
              <w:t>Активы на этапе строительства</w:t>
            </w:r>
          </w:p>
        </w:tc>
        <w:tc>
          <w:tcPr>
            <w:tcW w:w="666" w:type="pct"/>
            <w:tcBorders>
              <w:top w:val="nil"/>
              <w:left w:val="nil"/>
              <w:bottom w:val="nil"/>
              <w:right w:val="nil"/>
            </w:tcBorders>
            <w:shd w:val="clear" w:color="auto" w:fill="auto"/>
            <w:noWrap/>
            <w:hideMark/>
          </w:tcPr>
          <w:p w14:paraId="74C8BBBE"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12</w:t>
            </w:r>
          </w:p>
        </w:tc>
        <w:tc>
          <w:tcPr>
            <w:tcW w:w="913" w:type="pct"/>
            <w:tcBorders>
              <w:top w:val="nil"/>
              <w:left w:val="nil"/>
              <w:bottom w:val="nil"/>
              <w:right w:val="nil"/>
            </w:tcBorders>
            <w:shd w:val="clear" w:color="auto" w:fill="auto"/>
            <w:noWrap/>
            <w:hideMark/>
          </w:tcPr>
          <w:p w14:paraId="53D74F46" w14:textId="1C39B704" w:rsidR="00467C57" w:rsidRPr="00521670" w:rsidRDefault="00467C57" w:rsidP="00467C57">
            <w:pPr>
              <w:pStyle w:val="Tabletext"/>
              <w:jc w:val="right"/>
              <w:rPr>
                <w:color w:val="000000"/>
                <w:szCs w:val="18"/>
                <w:lang w:val="ru-RU" w:eastAsia="en-GB"/>
              </w:rPr>
            </w:pPr>
            <w:r w:rsidRPr="00521670">
              <w:rPr>
                <w:color w:val="000000"/>
                <w:szCs w:val="18"/>
                <w:lang w:val="ru-RU" w:eastAsia="en-GB"/>
              </w:rPr>
              <w:t>4 592</w:t>
            </w:r>
          </w:p>
        </w:tc>
        <w:tc>
          <w:tcPr>
            <w:tcW w:w="990" w:type="pct"/>
            <w:tcBorders>
              <w:top w:val="nil"/>
              <w:left w:val="nil"/>
              <w:bottom w:val="nil"/>
              <w:right w:val="nil"/>
            </w:tcBorders>
            <w:shd w:val="clear" w:color="auto" w:fill="auto"/>
            <w:noWrap/>
            <w:vAlign w:val="bottom"/>
            <w:hideMark/>
          </w:tcPr>
          <w:p w14:paraId="060915F6" w14:textId="2D267EB4" w:rsidR="00467C57" w:rsidRPr="00521670" w:rsidRDefault="00467C57" w:rsidP="00467C57">
            <w:pPr>
              <w:pStyle w:val="Tabletext"/>
              <w:jc w:val="right"/>
              <w:rPr>
                <w:szCs w:val="18"/>
                <w:lang w:val="ru-RU" w:eastAsia="en-GB"/>
              </w:rPr>
            </w:pPr>
            <w:r w:rsidRPr="00521670">
              <w:rPr>
                <w:szCs w:val="18"/>
                <w:lang w:val="ru-RU" w:eastAsia="en-GB"/>
              </w:rPr>
              <w:t>26 597</w:t>
            </w:r>
          </w:p>
        </w:tc>
      </w:tr>
      <w:tr w:rsidR="00467C57" w:rsidRPr="00521670" w14:paraId="6D8B3114" w14:textId="77777777" w:rsidTr="00BA023A">
        <w:trPr>
          <w:trHeight w:val="259"/>
        </w:trPr>
        <w:tc>
          <w:tcPr>
            <w:tcW w:w="2432" w:type="pct"/>
            <w:tcBorders>
              <w:top w:val="nil"/>
              <w:left w:val="nil"/>
              <w:bottom w:val="nil"/>
              <w:right w:val="nil"/>
            </w:tcBorders>
            <w:shd w:val="clear" w:color="auto" w:fill="auto"/>
            <w:noWrap/>
            <w:hideMark/>
          </w:tcPr>
          <w:p w14:paraId="74E614FD" w14:textId="1966FEC4" w:rsidR="00467C57" w:rsidRPr="00521670" w:rsidRDefault="006E0EBC" w:rsidP="00467C57">
            <w:pPr>
              <w:pStyle w:val="Tabletext"/>
              <w:rPr>
                <w:color w:val="000000"/>
                <w:szCs w:val="18"/>
                <w:lang w:val="ru-RU" w:eastAsia="en-GB"/>
              </w:rPr>
            </w:pPr>
            <w:r w:rsidRPr="00521670">
              <w:rPr>
                <w:szCs w:val="18"/>
                <w:lang w:val="ru-RU"/>
              </w:rPr>
              <w:t>Долговые обязательства</w:t>
            </w:r>
            <w:r w:rsidR="00467C57" w:rsidRPr="00521670">
              <w:rPr>
                <w:color w:val="000000"/>
                <w:szCs w:val="18"/>
                <w:lang w:val="ru-RU" w:eastAsia="en-GB"/>
              </w:rPr>
              <w:t xml:space="preserve">, </w:t>
            </w:r>
            <w:r w:rsidRPr="00521670">
              <w:rPr>
                <w:bCs/>
                <w:color w:val="000000"/>
                <w:szCs w:val="18"/>
                <w:lang w:val="ru-RU"/>
              </w:rPr>
              <w:t>н</w:t>
            </w:r>
            <w:r w:rsidRPr="00521670">
              <w:rPr>
                <w:bCs/>
                <w:szCs w:val="18"/>
                <w:lang w:val="ru-RU"/>
              </w:rPr>
              <w:t>етекущие</w:t>
            </w:r>
          </w:p>
        </w:tc>
        <w:tc>
          <w:tcPr>
            <w:tcW w:w="666" w:type="pct"/>
            <w:tcBorders>
              <w:top w:val="nil"/>
              <w:left w:val="nil"/>
              <w:bottom w:val="nil"/>
              <w:right w:val="nil"/>
            </w:tcBorders>
            <w:shd w:val="clear" w:color="auto" w:fill="auto"/>
            <w:noWrap/>
            <w:hideMark/>
          </w:tcPr>
          <w:p w14:paraId="39C03694"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8</w:t>
            </w:r>
          </w:p>
        </w:tc>
        <w:tc>
          <w:tcPr>
            <w:tcW w:w="913" w:type="pct"/>
            <w:tcBorders>
              <w:top w:val="nil"/>
              <w:left w:val="nil"/>
              <w:bottom w:val="nil"/>
              <w:right w:val="nil"/>
            </w:tcBorders>
            <w:shd w:val="clear" w:color="auto" w:fill="auto"/>
            <w:noWrap/>
            <w:hideMark/>
          </w:tcPr>
          <w:p w14:paraId="1DFAB198" w14:textId="36D2A5F8" w:rsidR="00467C57" w:rsidRPr="00521670" w:rsidRDefault="00467C57" w:rsidP="00467C57">
            <w:pPr>
              <w:pStyle w:val="Tabletext"/>
              <w:jc w:val="right"/>
              <w:rPr>
                <w:color w:val="000000"/>
                <w:szCs w:val="18"/>
                <w:lang w:val="ru-RU" w:eastAsia="en-GB"/>
              </w:rPr>
            </w:pPr>
            <w:r w:rsidRPr="00521670">
              <w:rPr>
                <w:color w:val="000000"/>
                <w:szCs w:val="18"/>
                <w:lang w:val="ru-RU" w:eastAsia="en-GB"/>
              </w:rPr>
              <w:t>15 986</w:t>
            </w:r>
          </w:p>
        </w:tc>
        <w:tc>
          <w:tcPr>
            <w:tcW w:w="990" w:type="pct"/>
            <w:tcBorders>
              <w:top w:val="nil"/>
              <w:left w:val="nil"/>
              <w:bottom w:val="nil"/>
              <w:right w:val="nil"/>
            </w:tcBorders>
            <w:shd w:val="clear" w:color="auto" w:fill="auto"/>
            <w:noWrap/>
            <w:vAlign w:val="bottom"/>
            <w:hideMark/>
          </w:tcPr>
          <w:p w14:paraId="357BE84A" w14:textId="38D7873F" w:rsidR="00467C57" w:rsidRPr="00521670" w:rsidRDefault="00467C57" w:rsidP="00467C57">
            <w:pPr>
              <w:pStyle w:val="Tabletext"/>
              <w:jc w:val="right"/>
              <w:rPr>
                <w:szCs w:val="18"/>
                <w:lang w:val="ru-RU" w:eastAsia="en-GB"/>
              </w:rPr>
            </w:pPr>
            <w:r w:rsidRPr="00521670">
              <w:rPr>
                <w:szCs w:val="18"/>
                <w:lang w:val="ru-RU" w:eastAsia="en-GB"/>
              </w:rPr>
              <w:t>2 780</w:t>
            </w:r>
          </w:p>
        </w:tc>
      </w:tr>
      <w:tr w:rsidR="00467C57" w:rsidRPr="00521670" w14:paraId="32E6ABD1" w14:textId="77777777" w:rsidTr="00BA023A">
        <w:trPr>
          <w:trHeight w:val="259"/>
        </w:trPr>
        <w:tc>
          <w:tcPr>
            <w:tcW w:w="2432" w:type="pct"/>
            <w:tcBorders>
              <w:top w:val="nil"/>
              <w:left w:val="nil"/>
              <w:bottom w:val="nil"/>
              <w:right w:val="nil"/>
            </w:tcBorders>
            <w:shd w:val="clear" w:color="auto" w:fill="auto"/>
            <w:noWrap/>
            <w:hideMark/>
          </w:tcPr>
          <w:p w14:paraId="0FE6B013" w14:textId="29664DB1" w:rsidR="00467C57" w:rsidRPr="00521670" w:rsidRDefault="006E0EBC" w:rsidP="00467C57">
            <w:pPr>
              <w:pStyle w:val="Tabletext"/>
              <w:rPr>
                <w:b/>
                <w:bCs/>
                <w:color w:val="000000"/>
                <w:szCs w:val="18"/>
                <w:lang w:val="ru-RU" w:eastAsia="en-GB"/>
              </w:rPr>
            </w:pPr>
            <w:r w:rsidRPr="00521670">
              <w:rPr>
                <w:b/>
                <w:bCs/>
                <w:szCs w:val="18"/>
                <w:lang w:val="ru-RU"/>
              </w:rPr>
              <w:t>Всего: нетекущие активы</w:t>
            </w:r>
          </w:p>
        </w:tc>
        <w:tc>
          <w:tcPr>
            <w:tcW w:w="666" w:type="pct"/>
            <w:tcBorders>
              <w:top w:val="nil"/>
              <w:left w:val="nil"/>
              <w:bottom w:val="nil"/>
              <w:right w:val="nil"/>
            </w:tcBorders>
            <w:shd w:val="clear" w:color="auto" w:fill="auto"/>
            <w:noWrap/>
            <w:hideMark/>
          </w:tcPr>
          <w:p w14:paraId="1FFD7A48" w14:textId="77777777" w:rsidR="00467C57" w:rsidRPr="00521670" w:rsidRDefault="00467C57" w:rsidP="00467C57">
            <w:pPr>
              <w:pStyle w:val="Tabletext"/>
              <w:jc w:val="center"/>
              <w:rPr>
                <w:b/>
                <w:bCs/>
                <w:color w:val="000000"/>
                <w:szCs w:val="18"/>
                <w:lang w:val="ru-RU" w:eastAsia="en-GB"/>
              </w:rPr>
            </w:pPr>
          </w:p>
        </w:tc>
        <w:tc>
          <w:tcPr>
            <w:tcW w:w="913" w:type="pct"/>
            <w:tcBorders>
              <w:top w:val="nil"/>
              <w:left w:val="nil"/>
              <w:bottom w:val="nil"/>
              <w:right w:val="nil"/>
            </w:tcBorders>
            <w:shd w:val="clear" w:color="auto" w:fill="auto"/>
            <w:noWrap/>
            <w:vAlign w:val="bottom"/>
            <w:hideMark/>
          </w:tcPr>
          <w:p w14:paraId="5A48EA88" w14:textId="4A35F5D5"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84 787</w:t>
            </w:r>
          </w:p>
        </w:tc>
        <w:tc>
          <w:tcPr>
            <w:tcW w:w="990" w:type="pct"/>
            <w:tcBorders>
              <w:top w:val="nil"/>
              <w:left w:val="nil"/>
              <w:bottom w:val="nil"/>
              <w:right w:val="nil"/>
            </w:tcBorders>
            <w:shd w:val="clear" w:color="auto" w:fill="auto"/>
            <w:noWrap/>
            <w:vAlign w:val="bottom"/>
            <w:hideMark/>
          </w:tcPr>
          <w:p w14:paraId="3A5A3D19" w14:textId="3F6C5D25"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91 785</w:t>
            </w:r>
          </w:p>
        </w:tc>
      </w:tr>
      <w:tr w:rsidR="00467C57" w:rsidRPr="00521670" w14:paraId="3FF7B317" w14:textId="77777777" w:rsidTr="00BA023A">
        <w:trPr>
          <w:trHeight w:val="74"/>
        </w:trPr>
        <w:tc>
          <w:tcPr>
            <w:tcW w:w="5000" w:type="pct"/>
            <w:gridSpan w:val="4"/>
            <w:tcBorders>
              <w:top w:val="nil"/>
              <w:left w:val="nil"/>
              <w:bottom w:val="nil"/>
              <w:right w:val="nil"/>
            </w:tcBorders>
            <w:shd w:val="clear" w:color="auto" w:fill="auto"/>
            <w:noWrap/>
            <w:hideMark/>
          </w:tcPr>
          <w:p w14:paraId="36E66684" w14:textId="77777777" w:rsidR="00467C57" w:rsidRPr="00521670" w:rsidRDefault="00467C57" w:rsidP="00467C57">
            <w:pPr>
              <w:pStyle w:val="Tabletext"/>
              <w:spacing w:before="0" w:after="0"/>
              <w:jc w:val="right"/>
              <w:rPr>
                <w:rFonts w:ascii="Times New Roman" w:hAnsi="Times New Roman"/>
                <w:szCs w:val="18"/>
                <w:lang w:val="ru-RU" w:eastAsia="en-GB"/>
              </w:rPr>
            </w:pPr>
          </w:p>
        </w:tc>
      </w:tr>
      <w:tr w:rsidR="00467C57" w:rsidRPr="00521670" w14:paraId="735047D2" w14:textId="77777777" w:rsidTr="00BA023A">
        <w:trPr>
          <w:trHeight w:val="193"/>
        </w:trPr>
        <w:tc>
          <w:tcPr>
            <w:tcW w:w="2432" w:type="pct"/>
            <w:tcBorders>
              <w:top w:val="nil"/>
              <w:left w:val="nil"/>
              <w:bottom w:val="nil"/>
              <w:right w:val="nil"/>
            </w:tcBorders>
            <w:shd w:val="clear" w:color="auto" w:fill="auto"/>
            <w:noWrap/>
            <w:vAlign w:val="center"/>
            <w:hideMark/>
          </w:tcPr>
          <w:p w14:paraId="1C9E4ABB" w14:textId="4AE78F8D" w:rsidR="00467C57" w:rsidRPr="00521670" w:rsidRDefault="006E0EBC" w:rsidP="00467C57">
            <w:pPr>
              <w:pStyle w:val="Tabletext"/>
              <w:rPr>
                <w:b/>
                <w:bCs/>
                <w:color w:val="000000"/>
                <w:szCs w:val="18"/>
                <w:lang w:val="ru-RU" w:eastAsia="en-GB"/>
              </w:rPr>
            </w:pPr>
            <w:r w:rsidRPr="00521670">
              <w:rPr>
                <w:b/>
                <w:bCs/>
                <w:szCs w:val="18"/>
                <w:lang w:val="ru-RU"/>
              </w:rPr>
              <w:t>ВСЕГО: АКТИВЫ</w:t>
            </w:r>
          </w:p>
        </w:tc>
        <w:tc>
          <w:tcPr>
            <w:tcW w:w="666" w:type="pct"/>
            <w:tcBorders>
              <w:top w:val="nil"/>
              <w:left w:val="nil"/>
              <w:bottom w:val="nil"/>
              <w:right w:val="nil"/>
            </w:tcBorders>
            <w:shd w:val="clear" w:color="auto" w:fill="auto"/>
            <w:noWrap/>
            <w:vAlign w:val="center"/>
            <w:hideMark/>
          </w:tcPr>
          <w:p w14:paraId="7FA5A572" w14:textId="77777777" w:rsidR="00467C57" w:rsidRPr="00521670" w:rsidRDefault="00467C57" w:rsidP="00467C57">
            <w:pPr>
              <w:pStyle w:val="Tabletext"/>
              <w:jc w:val="center"/>
              <w:rPr>
                <w:b/>
                <w:bCs/>
                <w:color w:val="000000"/>
                <w:szCs w:val="18"/>
                <w:lang w:val="ru-RU" w:eastAsia="en-GB"/>
              </w:rPr>
            </w:pPr>
          </w:p>
        </w:tc>
        <w:tc>
          <w:tcPr>
            <w:tcW w:w="913" w:type="pct"/>
            <w:tcBorders>
              <w:top w:val="nil"/>
              <w:left w:val="nil"/>
              <w:bottom w:val="nil"/>
              <w:right w:val="nil"/>
            </w:tcBorders>
            <w:shd w:val="clear" w:color="auto" w:fill="auto"/>
            <w:noWrap/>
            <w:vAlign w:val="center"/>
            <w:hideMark/>
          </w:tcPr>
          <w:p w14:paraId="10C90B7D" w14:textId="1324C4F2"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322 712</w:t>
            </w:r>
          </w:p>
        </w:tc>
        <w:tc>
          <w:tcPr>
            <w:tcW w:w="990" w:type="pct"/>
            <w:tcBorders>
              <w:top w:val="nil"/>
              <w:left w:val="nil"/>
              <w:bottom w:val="nil"/>
              <w:right w:val="nil"/>
            </w:tcBorders>
            <w:shd w:val="clear" w:color="auto" w:fill="auto"/>
            <w:noWrap/>
            <w:vAlign w:val="center"/>
            <w:hideMark/>
          </w:tcPr>
          <w:p w14:paraId="0BCA84AB" w14:textId="3B3E2571"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308 539</w:t>
            </w:r>
          </w:p>
        </w:tc>
      </w:tr>
      <w:tr w:rsidR="00467C57" w:rsidRPr="00521670" w14:paraId="72BFB292" w14:textId="77777777" w:rsidTr="00BA023A">
        <w:trPr>
          <w:trHeight w:val="166"/>
        </w:trPr>
        <w:tc>
          <w:tcPr>
            <w:tcW w:w="2432" w:type="pct"/>
            <w:tcBorders>
              <w:top w:val="nil"/>
              <w:left w:val="nil"/>
              <w:bottom w:val="nil"/>
              <w:right w:val="nil"/>
            </w:tcBorders>
            <w:shd w:val="clear" w:color="auto" w:fill="auto"/>
            <w:noWrap/>
            <w:hideMark/>
          </w:tcPr>
          <w:p w14:paraId="69E029DD" w14:textId="0B6CEF4E" w:rsidR="00467C57" w:rsidRPr="00521670" w:rsidRDefault="006E0EBC" w:rsidP="00467C57">
            <w:pPr>
              <w:pStyle w:val="Tabletext"/>
              <w:rPr>
                <w:b/>
                <w:bCs/>
                <w:color w:val="000000"/>
                <w:szCs w:val="18"/>
                <w:lang w:val="ru-RU" w:eastAsia="en-GB"/>
              </w:rPr>
            </w:pPr>
            <w:r w:rsidRPr="00521670">
              <w:rPr>
                <w:b/>
                <w:szCs w:val="18"/>
                <w:lang w:val="ru-RU"/>
              </w:rPr>
              <w:t>ПАССИВЫ</w:t>
            </w:r>
          </w:p>
        </w:tc>
        <w:tc>
          <w:tcPr>
            <w:tcW w:w="666" w:type="pct"/>
            <w:tcBorders>
              <w:top w:val="nil"/>
              <w:left w:val="nil"/>
              <w:bottom w:val="nil"/>
              <w:right w:val="nil"/>
            </w:tcBorders>
            <w:shd w:val="clear" w:color="auto" w:fill="auto"/>
            <w:noWrap/>
            <w:hideMark/>
          </w:tcPr>
          <w:p w14:paraId="57B2F6C0" w14:textId="77777777" w:rsidR="00467C57" w:rsidRPr="00521670" w:rsidRDefault="00467C57" w:rsidP="00467C57">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hideMark/>
          </w:tcPr>
          <w:p w14:paraId="07B0FA12" w14:textId="77777777" w:rsidR="00467C57" w:rsidRPr="00521670" w:rsidRDefault="00467C57" w:rsidP="00467C57">
            <w:pPr>
              <w:pStyle w:val="Tabletext"/>
              <w:jc w:val="right"/>
              <w:rPr>
                <w:rFonts w:ascii="Times New Roman" w:hAnsi="Times New Roman"/>
                <w:szCs w:val="18"/>
                <w:lang w:val="ru-RU" w:eastAsia="en-GB"/>
              </w:rPr>
            </w:pPr>
          </w:p>
        </w:tc>
        <w:tc>
          <w:tcPr>
            <w:tcW w:w="990" w:type="pct"/>
            <w:tcBorders>
              <w:top w:val="nil"/>
              <w:left w:val="nil"/>
              <w:bottom w:val="nil"/>
              <w:right w:val="nil"/>
            </w:tcBorders>
            <w:shd w:val="clear" w:color="auto" w:fill="auto"/>
            <w:noWrap/>
            <w:vAlign w:val="bottom"/>
            <w:hideMark/>
          </w:tcPr>
          <w:p w14:paraId="2B76419B" w14:textId="77777777" w:rsidR="00467C57" w:rsidRPr="00521670" w:rsidRDefault="00467C57" w:rsidP="00467C57">
            <w:pPr>
              <w:pStyle w:val="Tabletext"/>
              <w:jc w:val="right"/>
              <w:rPr>
                <w:rFonts w:ascii="Times New Roman" w:hAnsi="Times New Roman"/>
                <w:szCs w:val="18"/>
                <w:lang w:val="ru-RU" w:eastAsia="en-GB"/>
              </w:rPr>
            </w:pPr>
          </w:p>
        </w:tc>
      </w:tr>
      <w:tr w:rsidR="00467C57" w:rsidRPr="00521670" w14:paraId="4FA2249C" w14:textId="77777777" w:rsidTr="00BA023A">
        <w:trPr>
          <w:trHeight w:val="229"/>
        </w:trPr>
        <w:tc>
          <w:tcPr>
            <w:tcW w:w="2432" w:type="pct"/>
            <w:tcBorders>
              <w:top w:val="nil"/>
              <w:left w:val="nil"/>
              <w:bottom w:val="nil"/>
              <w:right w:val="nil"/>
            </w:tcBorders>
            <w:shd w:val="clear" w:color="auto" w:fill="auto"/>
            <w:noWrap/>
            <w:hideMark/>
          </w:tcPr>
          <w:p w14:paraId="3F326E05" w14:textId="6844D174" w:rsidR="00467C57" w:rsidRPr="00521670" w:rsidRDefault="006E0EBC" w:rsidP="00467C57">
            <w:pPr>
              <w:pStyle w:val="Tabletext"/>
              <w:rPr>
                <w:b/>
                <w:bCs/>
                <w:color w:val="000000"/>
                <w:szCs w:val="18"/>
                <w:lang w:val="ru-RU" w:eastAsia="en-GB"/>
              </w:rPr>
            </w:pPr>
            <w:r w:rsidRPr="00521670">
              <w:rPr>
                <w:b/>
                <w:bCs/>
                <w:szCs w:val="18"/>
                <w:lang w:val="ru-RU" w:eastAsia="en-GB"/>
              </w:rPr>
              <w:t>Текущие пассивы</w:t>
            </w:r>
          </w:p>
        </w:tc>
        <w:tc>
          <w:tcPr>
            <w:tcW w:w="666" w:type="pct"/>
            <w:tcBorders>
              <w:top w:val="nil"/>
              <w:left w:val="nil"/>
              <w:bottom w:val="nil"/>
              <w:right w:val="nil"/>
            </w:tcBorders>
            <w:shd w:val="clear" w:color="auto" w:fill="auto"/>
            <w:noWrap/>
            <w:hideMark/>
          </w:tcPr>
          <w:p w14:paraId="0CB38DB6" w14:textId="77777777" w:rsidR="00467C57" w:rsidRPr="00521670" w:rsidRDefault="00467C57" w:rsidP="00467C57">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hideMark/>
          </w:tcPr>
          <w:p w14:paraId="5F503510" w14:textId="77777777" w:rsidR="00467C57" w:rsidRPr="00521670" w:rsidRDefault="00467C57" w:rsidP="00467C57">
            <w:pPr>
              <w:pStyle w:val="Tabletext"/>
              <w:jc w:val="right"/>
              <w:rPr>
                <w:rFonts w:ascii="Times New Roman" w:hAnsi="Times New Roman"/>
                <w:szCs w:val="18"/>
                <w:lang w:val="ru-RU" w:eastAsia="en-GB"/>
              </w:rPr>
            </w:pPr>
          </w:p>
        </w:tc>
        <w:tc>
          <w:tcPr>
            <w:tcW w:w="990" w:type="pct"/>
            <w:tcBorders>
              <w:top w:val="nil"/>
              <w:left w:val="nil"/>
              <w:bottom w:val="nil"/>
              <w:right w:val="nil"/>
            </w:tcBorders>
            <w:shd w:val="clear" w:color="auto" w:fill="auto"/>
            <w:noWrap/>
            <w:vAlign w:val="bottom"/>
            <w:hideMark/>
          </w:tcPr>
          <w:p w14:paraId="23109EA0" w14:textId="77777777" w:rsidR="00467C57" w:rsidRPr="00521670" w:rsidRDefault="00467C57" w:rsidP="00467C57">
            <w:pPr>
              <w:pStyle w:val="Tabletext"/>
              <w:jc w:val="right"/>
              <w:rPr>
                <w:rFonts w:ascii="Times New Roman" w:hAnsi="Times New Roman"/>
                <w:szCs w:val="18"/>
                <w:lang w:val="ru-RU" w:eastAsia="en-GB"/>
              </w:rPr>
            </w:pPr>
          </w:p>
        </w:tc>
      </w:tr>
      <w:tr w:rsidR="009D75AF" w:rsidRPr="00521670" w14:paraId="3C296635" w14:textId="77777777" w:rsidTr="00BA023A">
        <w:trPr>
          <w:trHeight w:val="259"/>
        </w:trPr>
        <w:tc>
          <w:tcPr>
            <w:tcW w:w="2432" w:type="pct"/>
            <w:tcBorders>
              <w:top w:val="nil"/>
              <w:left w:val="nil"/>
              <w:bottom w:val="nil"/>
              <w:right w:val="nil"/>
            </w:tcBorders>
            <w:shd w:val="clear" w:color="auto" w:fill="auto"/>
            <w:noWrap/>
            <w:hideMark/>
          </w:tcPr>
          <w:p w14:paraId="1A634F43" w14:textId="77034E9A" w:rsidR="009D75AF" w:rsidRPr="00521670" w:rsidRDefault="009D75AF" w:rsidP="009D75AF">
            <w:pPr>
              <w:pStyle w:val="Tabletext"/>
              <w:rPr>
                <w:color w:val="000000"/>
                <w:szCs w:val="18"/>
                <w:lang w:val="ru-RU" w:eastAsia="en-GB"/>
              </w:rPr>
            </w:pPr>
            <w:r w:rsidRPr="00521670">
              <w:rPr>
                <w:szCs w:val="18"/>
                <w:lang w:val="ru-RU" w:eastAsia="en-GB"/>
              </w:rPr>
              <w:t>Подлежащие уплате средства</w:t>
            </w:r>
          </w:p>
        </w:tc>
        <w:tc>
          <w:tcPr>
            <w:tcW w:w="666" w:type="pct"/>
            <w:tcBorders>
              <w:top w:val="nil"/>
              <w:left w:val="nil"/>
              <w:bottom w:val="nil"/>
              <w:right w:val="nil"/>
            </w:tcBorders>
            <w:shd w:val="clear" w:color="auto" w:fill="auto"/>
            <w:noWrap/>
            <w:hideMark/>
          </w:tcPr>
          <w:p w14:paraId="6EE487F7" w14:textId="77777777" w:rsidR="009D75AF" w:rsidRPr="00521670" w:rsidRDefault="009D75AF" w:rsidP="009D75AF">
            <w:pPr>
              <w:pStyle w:val="Tabletext"/>
              <w:jc w:val="center"/>
              <w:rPr>
                <w:color w:val="000000"/>
                <w:szCs w:val="18"/>
                <w:lang w:val="ru-RU" w:eastAsia="en-GB"/>
              </w:rPr>
            </w:pPr>
            <w:r w:rsidRPr="00521670">
              <w:rPr>
                <w:color w:val="000000"/>
                <w:szCs w:val="18"/>
                <w:lang w:val="ru-RU" w:eastAsia="en-GB"/>
              </w:rPr>
              <w:t>13</w:t>
            </w:r>
          </w:p>
        </w:tc>
        <w:tc>
          <w:tcPr>
            <w:tcW w:w="913" w:type="pct"/>
            <w:tcBorders>
              <w:top w:val="nil"/>
              <w:left w:val="nil"/>
              <w:bottom w:val="nil"/>
              <w:right w:val="nil"/>
            </w:tcBorders>
            <w:shd w:val="clear" w:color="auto" w:fill="auto"/>
            <w:noWrap/>
            <w:hideMark/>
          </w:tcPr>
          <w:p w14:paraId="50410BA3" w14:textId="5485EB9B" w:rsidR="009D75AF" w:rsidRPr="00521670" w:rsidRDefault="009D75AF" w:rsidP="009D75AF">
            <w:pPr>
              <w:pStyle w:val="Tabletext"/>
              <w:jc w:val="right"/>
              <w:rPr>
                <w:color w:val="000000"/>
                <w:szCs w:val="18"/>
                <w:lang w:val="ru-RU" w:eastAsia="en-GB"/>
              </w:rPr>
            </w:pPr>
            <w:r w:rsidRPr="00521670">
              <w:rPr>
                <w:color w:val="000000"/>
                <w:szCs w:val="18"/>
                <w:lang w:val="ru-RU" w:eastAsia="en-GB"/>
              </w:rPr>
              <w:t>11 478</w:t>
            </w:r>
          </w:p>
        </w:tc>
        <w:tc>
          <w:tcPr>
            <w:tcW w:w="990" w:type="pct"/>
            <w:tcBorders>
              <w:top w:val="nil"/>
              <w:left w:val="nil"/>
              <w:bottom w:val="nil"/>
              <w:right w:val="nil"/>
            </w:tcBorders>
            <w:shd w:val="clear" w:color="auto" w:fill="auto"/>
            <w:noWrap/>
            <w:vAlign w:val="bottom"/>
            <w:hideMark/>
          </w:tcPr>
          <w:p w14:paraId="6A683E42" w14:textId="625AE812" w:rsidR="009D75AF" w:rsidRPr="00521670" w:rsidRDefault="009D75AF" w:rsidP="009D75AF">
            <w:pPr>
              <w:pStyle w:val="Tabletext"/>
              <w:jc w:val="right"/>
              <w:rPr>
                <w:szCs w:val="18"/>
                <w:lang w:val="ru-RU" w:eastAsia="en-GB"/>
              </w:rPr>
            </w:pPr>
            <w:r w:rsidRPr="00521670">
              <w:rPr>
                <w:szCs w:val="18"/>
                <w:lang w:val="ru-RU" w:eastAsia="en-GB"/>
              </w:rPr>
              <w:t>13 042</w:t>
            </w:r>
          </w:p>
        </w:tc>
      </w:tr>
      <w:tr w:rsidR="009D75AF" w:rsidRPr="00521670" w14:paraId="55C80F6B" w14:textId="77777777" w:rsidTr="00BA023A">
        <w:trPr>
          <w:trHeight w:val="259"/>
        </w:trPr>
        <w:tc>
          <w:tcPr>
            <w:tcW w:w="2432" w:type="pct"/>
            <w:tcBorders>
              <w:top w:val="nil"/>
              <w:left w:val="nil"/>
              <w:bottom w:val="nil"/>
              <w:right w:val="nil"/>
            </w:tcBorders>
            <w:shd w:val="clear" w:color="auto" w:fill="auto"/>
            <w:noWrap/>
            <w:hideMark/>
          </w:tcPr>
          <w:p w14:paraId="1B42DF3D" w14:textId="057BE82A" w:rsidR="009D75AF" w:rsidRPr="00521670" w:rsidRDefault="007D4675" w:rsidP="009D75AF">
            <w:pPr>
              <w:pStyle w:val="Tabletext"/>
              <w:rPr>
                <w:color w:val="000000"/>
                <w:szCs w:val="18"/>
                <w:lang w:val="ru-RU" w:eastAsia="en-GB"/>
              </w:rPr>
            </w:pPr>
            <w:r w:rsidRPr="00521670">
              <w:rPr>
                <w:szCs w:val="18"/>
                <w:lang w:val="ru-RU" w:eastAsia="en-GB"/>
              </w:rPr>
              <w:t>Доходы будущих периодов</w:t>
            </w:r>
          </w:p>
        </w:tc>
        <w:tc>
          <w:tcPr>
            <w:tcW w:w="666" w:type="pct"/>
            <w:tcBorders>
              <w:top w:val="nil"/>
              <w:left w:val="nil"/>
              <w:bottom w:val="nil"/>
              <w:right w:val="nil"/>
            </w:tcBorders>
            <w:shd w:val="clear" w:color="auto" w:fill="auto"/>
            <w:noWrap/>
            <w:hideMark/>
          </w:tcPr>
          <w:p w14:paraId="6F7AF4C9" w14:textId="77777777" w:rsidR="009D75AF" w:rsidRPr="00521670" w:rsidRDefault="009D75AF" w:rsidP="009D75AF">
            <w:pPr>
              <w:pStyle w:val="Tabletext"/>
              <w:jc w:val="center"/>
              <w:rPr>
                <w:color w:val="000000"/>
                <w:szCs w:val="18"/>
                <w:lang w:val="ru-RU" w:eastAsia="en-GB"/>
              </w:rPr>
            </w:pPr>
            <w:r w:rsidRPr="00521670">
              <w:rPr>
                <w:color w:val="000000"/>
                <w:szCs w:val="18"/>
                <w:lang w:val="ru-RU" w:eastAsia="en-GB"/>
              </w:rPr>
              <w:t>14</w:t>
            </w:r>
          </w:p>
        </w:tc>
        <w:tc>
          <w:tcPr>
            <w:tcW w:w="913" w:type="pct"/>
            <w:tcBorders>
              <w:top w:val="nil"/>
              <w:left w:val="nil"/>
              <w:bottom w:val="nil"/>
              <w:right w:val="nil"/>
            </w:tcBorders>
            <w:shd w:val="clear" w:color="auto" w:fill="auto"/>
            <w:noWrap/>
            <w:hideMark/>
          </w:tcPr>
          <w:p w14:paraId="5B0DA3C0" w14:textId="30AC76D2" w:rsidR="009D75AF" w:rsidRPr="00521670" w:rsidRDefault="009D75AF" w:rsidP="009D75AF">
            <w:pPr>
              <w:pStyle w:val="Tabletext"/>
              <w:jc w:val="right"/>
              <w:rPr>
                <w:color w:val="000000"/>
                <w:szCs w:val="18"/>
                <w:lang w:val="ru-RU" w:eastAsia="en-GB"/>
              </w:rPr>
            </w:pPr>
            <w:r w:rsidRPr="00521670">
              <w:rPr>
                <w:color w:val="000000"/>
                <w:szCs w:val="18"/>
                <w:lang w:val="ru-RU" w:eastAsia="en-GB"/>
              </w:rPr>
              <w:t>85 662</w:t>
            </w:r>
          </w:p>
        </w:tc>
        <w:tc>
          <w:tcPr>
            <w:tcW w:w="990" w:type="pct"/>
            <w:tcBorders>
              <w:top w:val="nil"/>
              <w:left w:val="nil"/>
              <w:bottom w:val="nil"/>
              <w:right w:val="nil"/>
            </w:tcBorders>
            <w:shd w:val="clear" w:color="auto" w:fill="auto"/>
            <w:noWrap/>
            <w:vAlign w:val="bottom"/>
            <w:hideMark/>
          </w:tcPr>
          <w:p w14:paraId="354FE9C6" w14:textId="507CE49B" w:rsidR="009D75AF" w:rsidRPr="00521670" w:rsidRDefault="009D75AF" w:rsidP="009D75AF">
            <w:pPr>
              <w:pStyle w:val="Tabletext"/>
              <w:jc w:val="right"/>
              <w:rPr>
                <w:szCs w:val="18"/>
                <w:lang w:val="ru-RU" w:eastAsia="en-GB"/>
              </w:rPr>
            </w:pPr>
            <w:r w:rsidRPr="00521670">
              <w:rPr>
                <w:szCs w:val="18"/>
                <w:lang w:val="ru-RU" w:eastAsia="en-GB"/>
              </w:rPr>
              <w:t>78 493</w:t>
            </w:r>
          </w:p>
        </w:tc>
      </w:tr>
      <w:tr w:rsidR="009D75AF" w:rsidRPr="00521670" w14:paraId="242FB468" w14:textId="77777777" w:rsidTr="00BA023A">
        <w:trPr>
          <w:trHeight w:val="259"/>
        </w:trPr>
        <w:tc>
          <w:tcPr>
            <w:tcW w:w="2432" w:type="pct"/>
            <w:tcBorders>
              <w:top w:val="nil"/>
              <w:left w:val="nil"/>
              <w:bottom w:val="nil"/>
              <w:right w:val="nil"/>
            </w:tcBorders>
            <w:shd w:val="clear" w:color="auto" w:fill="auto"/>
            <w:noWrap/>
            <w:vAlign w:val="center"/>
            <w:hideMark/>
          </w:tcPr>
          <w:p w14:paraId="77046870" w14:textId="36E9682E" w:rsidR="009D75AF" w:rsidRPr="00521670" w:rsidRDefault="009D75AF" w:rsidP="009D75AF">
            <w:pPr>
              <w:pStyle w:val="Tabletext"/>
              <w:rPr>
                <w:color w:val="000000"/>
                <w:szCs w:val="18"/>
                <w:lang w:val="ru-RU" w:eastAsia="en-GB"/>
              </w:rPr>
            </w:pPr>
            <w:r w:rsidRPr="00521670">
              <w:rPr>
                <w:szCs w:val="18"/>
                <w:lang w:val="ru-RU"/>
              </w:rPr>
              <w:t>Займы и финансовая задолженность</w:t>
            </w:r>
          </w:p>
        </w:tc>
        <w:tc>
          <w:tcPr>
            <w:tcW w:w="666" w:type="pct"/>
            <w:tcBorders>
              <w:top w:val="nil"/>
              <w:left w:val="nil"/>
              <w:bottom w:val="nil"/>
              <w:right w:val="nil"/>
            </w:tcBorders>
            <w:shd w:val="clear" w:color="auto" w:fill="auto"/>
            <w:noWrap/>
            <w:hideMark/>
          </w:tcPr>
          <w:p w14:paraId="7F279874" w14:textId="77777777" w:rsidR="009D75AF" w:rsidRPr="00521670" w:rsidRDefault="009D75AF" w:rsidP="009D75AF">
            <w:pPr>
              <w:pStyle w:val="Tabletext"/>
              <w:jc w:val="center"/>
              <w:rPr>
                <w:color w:val="000000"/>
                <w:szCs w:val="18"/>
                <w:lang w:val="ru-RU" w:eastAsia="en-GB"/>
              </w:rPr>
            </w:pPr>
            <w:r w:rsidRPr="00521670">
              <w:rPr>
                <w:color w:val="000000"/>
                <w:szCs w:val="18"/>
                <w:lang w:val="ru-RU" w:eastAsia="en-GB"/>
              </w:rPr>
              <w:t>15</w:t>
            </w:r>
          </w:p>
        </w:tc>
        <w:tc>
          <w:tcPr>
            <w:tcW w:w="913" w:type="pct"/>
            <w:tcBorders>
              <w:top w:val="nil"/>
              <w:left w:val="nil"/>
              <w:bottom w:val="nil"/>
              <w:right w:val="nil"/>
            </w:tcBorders>
            <w:shd w:val="clear" w:color="auto" w:fill="auto"/>
            <w:noWrap/>
            <w:hideMark/>
          </w:tcPr>
          <w:p w14:paraId="2D109F71" w14:textId="79290393" w:rsidR="009D75AF" w:rsidRPr="00521670" w:rsidRDefault="009D75AF" w:rsidP="009D75AF">
            <w:pPr>
              <w:pStyle w:val="Tabletext"/>
              <w:jc w:val="right"/>
              <w:rPr>
                <w:color w:val="000000"/>
                <w:szCs w:val="18"/>
                <w:lang w:val="ru-RU" w:eastAsia="en-GB"/>
              </w:rPr>
            </w:pPr>
            <w:r w:rsidRPr="00521670">
              <w:rPr>
                <w:color w:val="000000"/>
                <w:szCs w:val="18"/>
                <w:lang w:val="ru-RU" w:eastAsia="en-GB"/>
              </w:rPr>
              <w:t>1 391</w:t>
            </w:r>
          </w:p>
        </w:tc>
        <w:tc>
          <w:tcPr>
            <w:tcW w:w="990" w:type="pct"/>
            <w:tcBorders>
              <w:top w:val="nil"/>
              <w:left w:val="nil"/>
              <w:bottom w:val="nil"/>
              <w:right w:val="nil"/>
            </w:tcBorders>
            <w:shd w:val="clear" w:color="auto" w:fill="auto"/>
            <w:noWrap/>
            <w:vAlign w:val="bottom"/>
            <w:hideMark/>
          </w:tcPr>
          <w:p w14:paraId="71C16AEB" w14:textId="357B2666" w:rsidR="009D75AF" w:rsidRPr="00521670" w:rsidRDefault="009D75AF" w:rsidP="009D75AF">
            <w:pPr>
              <w:pStyle w:val="Tabletext"/>
              <w:jc w:val="right"/>
              <w:rPr>
                <w:szCs w:val="18"/>
                <w:lang w:val="ru-RU" w:eastAsia="en-GB"/>
              </w:rPr>
            </w:pPr>
            <w:r w:rsidRPr="00521670">
              <w:rPr>
                <w:szCs w:val="18"/>
                <w:lang w:val="ru-RU" w:eastAsia="en-GB"/>
              </w:rPr>
              <w:t>1 391</w:t>
            </w:r>
          </w:p>
        </w:tc>
      </w:tr>
      <w:tr w:rsidR="009D75AF" w:rsidRPr="00521670" w14:paraId="686E5C49" w14:textId="77777777" w:rsidTr="00BA023A">
        <w:trPr>
          <w:trHeight w:val="259"/>
        </w:trPr>
        <w:tc>
          <w:tcPr>
            <w:tcW w:w="2432" w:type="pct"/>
            <w:tcBorders>
              <w:top w:val="nil"/>
              <w:left w:val="nil"/>
              <w:bottom w:val="nil"/>
              <w:right w:val="nil"/>
            </w:tcBorders>
            <w:shd w:val="clear" w:color="auto" w:fill="auto"/>
            <w:noWrap/>
            <w:vAlign w:val="center"/>
            <w:hideMark/>
          </w:tcPr>
          <w:p w14:paraId="5528B726" w14:textId="244A977B" w:rsidR="009D75AF" w:rsidRPr="00521670" w:rsidRDefault="009D75AF" w:rsidP="009D75AF">
            <w:pPr>
              <w:pStyle w:val="Tabletext"/>
              <w:rPr>
                <w:color w:val="000000"/>
                <w:szCs w:val="18"/>
                <w:lang w:val="ru-RU" w:eastAsia="en-GB"/>
              </w:rPr>
            </w:pPr>
            <w:r w:rsidRPr="00521670">
              <w:rPr>
                <w:szCs w:val="18"/>
                <w:lang w:val="ru-RU"/>
              </w:rPr>
              <w:t>Вознаграждение сотрудников</w:t>
            </w:r>
            <w:r w:rsidR="00311CA3" w:rsidRPr="00521670">
              <w:rPr>
                <w:szCs w:val="18"/>
                <w:lang w:val="ru-RU"/>
              </w:rPr>
              <w:t xml:space="preserve">, </w:t>
            </w:r>
            <w:r w:rsidR="007932F3" w:rsidRPr="00521670">
              <w:rPr>
                <w:szCs w:val="18"/>
                <w:lang w:val="ru-RU"/>
              </w:rPr>
              <w:t>текущее</w:t>
            </w:r>
          </w:p>
        </w:tc>
        <w:tc>
          <w:tcPr>
            <w:tcW w:w="666" w:type="pct"/>
            <w:tcBorders>
              <w:top w:val="nil"/>
              <w:left w:val="nil"/>
              <w:bottom w:val="nil"/>
              <w:right w:val="nil"/>
            </w:tcBorders>
            <w:shd w:val="clear" w:color="auto" w:fill="auto"/>
            <w:noWrap/>
            <w:hideMark/>
          </w:tcPr>
          <w:p w14:paraId="1606FD95" w14:textId="77777777" w:rsidR="009D75AF" w:rsidRPr="00521670" w:rsidRDefault="009D75AF" w:rsidP="009D75AF">
            <w:pPr>
              <w:pStyle w:val="Tabletext"/>
              <w:jc w:val="center"/>
              <w:rPr>
                <w:color w:val="000000"/>
                <w:szCs w:val="18"/>
                <w:lang w:val="ru-RU" w:eastAsia="en-GB"/>
              </w:rPr>
            </w:pPr>
            <w:r w:rsidRPr="00521670">
              <w:rPr>
                <w:color w:val="000000"/>
                <w:szCs w:val="18"/>
                <w:lang w:val="ru-RU" w:eastAsia="en-GB"/>
              </w:rPr>
              <w:t>16</w:t>
            </w:r>
          </w:p>
        </w:tc>
        <w:tc>
          <w:tcPr>
            <w:tcW w:w="913" w:type="pct"/>
            <w:tcBorders>
              <w:top w:val="nil"/>
              <w:left w:val="nil"/>
              <w:bottom w:val="nil"/>
              <w:right w:val="nil"/>
            </w:tcBorders>
            <w:shd w:val="clear" w:color="auto" w:fill="auto"/>
            <w:noWrap/>
            <w:hideMark/>
          </w:tcPr>
          <w:p w14:paraId="253AE943" w14:textId="169E72C2" w:rsidR="009D75AF" w:rsidRPr="00521670" w:rsidRDefault="009D75AF" w:rsidP="009D75AF">
            <w:pPr>
              <w:pStyle w:val="Tabletext"/>
              <w:jc w:val="right"/>
              <w:rPr>
                <w:color w:val="000000"/>
                <w:szCs w:val="18"/>
                <w:lang w:val="ru-RU" w:eastAsia="en-GB"/>
              </w:rPr>
            </w:pPr>
            <w:r w:rsidRPr="00521670">
              <w:rPr>
                <w:color w:val="000000"/>
                <w:szCs w:val="18"/>
                <w:lang w:val="ru-RU" w:eastAsia="en-GB"/>
              </w:rPr>
              <w:t>318</w:t>
            </w:r>
          </w:p>
        </w:tc>
        <w:tc>
          <w:tcPr>
            <w:tcW w:w="990" w:type="pct"/>
            <w:tcBorders>
              <w:top w:val="nil"/>
              <w:left w:val="nil"/>
              <w:bottom w:val="nil"/>
              <w:right w:val="nil"/>
            </w:tcBorders>
            <w:shd w:val="clear" w:color="auto" w:fill="auto"/>
            <w:noWrap/>
            <w:vAlign w:val="bottom"/>
            <w:hideMark/>
          </w:tcPr>
          <w:p w14:paraId="601388A7" w14:textId="33EFEE87" w:rsidR="009D75AF" w:rsidRPr="00521670" w:rsidRDefault="009D75AF" w:rsidP="009D75AF">
            <w:pPr>
              <w:pStyle w:val="Tabletext"/>
              <w:jc w:val="right"/>
              <w:rPr>
                <w:szCs w:val="18"/>
                <w:lang w:val="ru-RU" w:eastAsia="en-GB"/>
              </w:rPr>
            </w:pPr>
            <w:r w:rsidRPr="00521670">
              <w:rPr>
                <w:szCs w:val="18"/>
                <w:lang w:val="ru-RU" w:eastAsia="en-GB"/>
              </w:rPr>
              <w:t>527</w:t>
            </w:r>
          </w:p>
        </w:tc>
      </w:tr>
      <w:tr w:rsidR="00467C57" w:rsidRPr="00521670" w14:paraId="6ACBF68C" w14:textId="77777777" w:rsidTr="00BA023A">
        <w:trPr>
          <w:trHeight w:val="259"/>
        </w:trPr>
        <w:tc>
          <w:tcPr>
            <w:tcW w:w="2432" w:type="pct"/>
            <w:tcBorders>
              <w:top w:val="nil"/>
              <w:left w:val="nil"/>
              <w:bottom w:val="nil"/>
              <w:right w:val="nil"/>
            </w:tcBorders>
            <w:shd w:val="clear" w:color="auto" w:fill="auto"/>
            <w:noWrap/>
            <w:hideMark/>
          </w:tcPr>
          <w:p w14:paraId="6CD752C1" w14:textId="77325239" w:rsidR="00467C57" w:rsidRPr="00521670" w:rsidRDefault="009D75AF" w:rsidP="00467C57">
            <w:pPr>
              <w:pStyle w:val="Tabletext"/>
              <w:rPr>
                <w:color w:val="000000"/>
                <w:szCs w:val="18"/>
                <w:lang w:val="ru-RU" w:eastAsia="en-GB"/>
              </w:rPr>
            </w:pPr>
            <w:r w:rsidRPr="00521670">
              <w:rPr>
                <w:szCs w:val="18"/>
                <w:lang w:val="ru-RU"/>
              </w:rPr>
              <w:t>Прочие</w:t>
            </w:r>
            <w:r w:rsidRPr="00521670">
              <w:rPr>
                <w:color w:val="000000"/>
                <w:szCs w:val="18"/>
                <w:lang w:val="ru-RU" w:eastAsia="en-GB"/>
              </w:rPr>
              <w:t xml:space="preserve"> пассивы</w:t>
            </w:r>
          </w:p>
        </w:tc>
        <w:tc>
          <w:tcPr>
            <w:tcW w:w="666" w:type="pct"/>
            <w:tcBorders>
              <w:top w:val="nil"/>
              <w:left w:val="nil"/>
              <w:bottom w:val="nil"/>
              <w:right w:val="nil"/>
            </w:tcBorders>
            <w:shd w:val="clear" w:color="auto" w:fill="auto"/>
            <w:noWrap/>
            <w:hideMark/>
          </w:tcPr>
          <w:p w14:paraId="1B8EA815"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17</w:t>
            </w:r>
          </w:p>
        </w:tc>
        <w:tc>
          <w:tcPr>
            <w:tcW w:w="913" w:type="pct"/>
            <w:tcBorders>
              <w:top w:val="nil"/>
              <w:left w:val="nil"/>
              <w:bottom w:val="nil"/>
              <w:right w:val="nil"/>
            </w:tcBorders>
            <w:shd w:val="clear" w:color="auto" w:fill="auto"/>
            <w:noWrap/>
            <w:hideMark/>
          </w:tcPr>
          <w:p w14:paraId="4AD2EBBE" w14:textId="0895BA8B" w:rsidR="00467C57" w:rsidRPr="00521670" w:rsidRDefault="00467C57" w:rsidP="00467C57">
            <w:pPr>
              <w:pStyle w:val="Tabletext"/>
              <w:jc w:val="right"/>
              <w:rPr>
                <w:color w:val="000000"/>
                <w:szCs w:val="18"/>
                <w:lang w:val="ru-RU" w:eastAsia="en-GB"/>
              </w:rPr>
            </w:pPr>
            <w:r w:rsidRPr="00521670">
              <w:rPr>
                <w:color w:val="000000"/>
                <w:szCs w:val="18"/>
                <w:lang w:val="ru-RU" w:eastAsia="en-GB"/>
              </w:rPr>
              <w:t>8 765</w:t>
            </w:r>
          </w:p>
        </w:tc>
        <w:tc>
          <w:tcPr>
            <w:tcW w:w="990" w:type="pct"/>
            <w:tcBorders>
              <w:top w:val="nil"/>
              <w:left w:val="nil"/>
              <w:bottom w:val="nil"/>
              <w:right w:val="nil"/>
            </w:tcBorders>
            <w:shd w:val="clear" w:color="auto" w:fill="auto"/>
            <w:noWrap/>
            <w:vAlign w:val="bottom"/>
            <w:hideMark/>
          </w:tcPr>
          <w:p w14:paraId="18AAC81E" w14:textId="0E0FA0BA" w:rsidR="00467C57" w:rsidRPr="00521670" w:rsidRDefault="00467C57" w:rsidP="00467C57">
            <w:pPr>
              <w:pStyle w:val="Tabletext"/>
              <w:jc w:val="right"/>
              <w:rPr>
                <w:szCs w:val="18"/>
                <w:lang w:val="ru-RU" w:eastAsia="en-GB"/>
              </w:rPr>
            </w:pPr>
            <w:r w:rsidRPr="00521670">
              <w:rPr>
                <w:szCs w:val="18"/>
                <w:lang w:val="ru-RU" w:eastAsia="en-GB"/>
              </w:rPr>
              <w:t>4 835</w:t>
            </w:r>
          </w:p>
        </w:tc>
      </w:tr>
      <w:tr w:rsidR="00467C57" w:rsidRPr="00521670" w14:paraId="1A8444DA" w14:textId="77777777" w:rsidTr="00BA023A">
        <w:trPr>
          <w:trHeight w:val="259"/>
        </w:trPr>
        <w:tc>
          <w:tcPr>
            <w:tcW w:w="2432" w:type="pct"/>
            <w:tcBorders>
              <w:top w:val="nil"/>
              <w:left w:val="nil"/>
              <w:bottom w:val="nil"/>
              <w:right w:val="nil"/>
            </w:tcBorders>
            <w:shd w:val="clear" w:color="auto" w:fill="auto"/>
            <w:noWrap/>
            <w:hideMark/>
          </w:tcPr>
          <w:p w14:paraId="2DBE35EC" w14:textId="480DDE93" w:rsidR="00467C57" w:rsidRPr="00521670" w:rsidRDefault="009D75AF" w:rsidP="00467C57">
            <w:pPr>
              <w:pStyle w:val="Tabletext"/>
              <w:rPr>
                <w:b/>
                <w:bCs/>
                <w:color w:val="000000"/>
                <w:szCs w:val="18"/>
                <w:lang w:val="ru-RU" w:eastAsia="en-GB"/>
              </w:rPr>
            </w:pPr>
            <w:r w:rsidRPr="00521670">
              <w:rPr>
                <w:b/>
                <w:bCs/>
                <w:szCs w:val="18"/>
                <w:lang w:val="ru-RU" w:eastAsia="fr-FR"/>
              </w:rPr>
              <w:t>Всего: текущие пассивы</w:t>
            </w:r>
          </w:p>
        </w:tc>
        <w:tc>
          <w:tcPr>
            <w:tcW w:w="666" w:type="pct"/>
            <w:tcBorders>
              <w:top w:val="nil"/>
              <w:left w:val="nil"/>
              <w:bottom w:val="nil"/>
              <w:right w:val="nil"/>
            </w:tcBorders>
            <w:shd w:val="clear" w:color="auto" w:fill="auto"/>
            <w:noWrap/>
            <w:hideMark/>
          </w:tcPr>
          <w:p w14:paraId="75276949" w14:textId="77777777" w:rsidR="00467C57" w:rsidRPr="00521670" w:rsidRDefault="00467C57" w:rsidP="00467C57">
            <w:pPr>
              <w:pStyle w:val="Tabletext"/>
              <w:jc w:val="center"/>
              <w:rPr>
                <w:b/>
                <w:bCs/>
                <w:color w:val="000000"/>
                <w:szCs w:val="18"/>
                <w:lang w:val="ru-RU" w:eastAsia="en-GB"/>
              </w:rPr>
            </w:pPr>
          </w:p>
        </w:tc>
        <w:tc>
          <w:tcPr>
            <w:tcW w:w="913" w:type="pct"/>
            <w:tcBorders>
              <w:top w:val="nil"/>
              <w:left w:val="nil"/>
              <w:bottom w:val="nil"/>
              <w:right w:val="nil"/>
            </w:tcBorders>
            <w:shd w:val="clear" w:color="auto" w:fill="auto"/>
            <w:noWrap/>
            <w:vAlign w:val="bottom"/>
            <w:hideMark/>
          </w:tcPr>
          <w:p w14:paraId="03FF0B76" w14:textId="7BEC5056"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107 614</w:t>
            </w:r>
          </w:p>
        </w:tc>
        <w:tc>
          <w:tcPr>
            <w:tcW w:w="990" w:type="pct"/>
            <w:tcBorders>
              <w:top w:val="nil"/>
              <w:left w:val="nil"/>
              <w:bottom w:val="nil"/>
              <w:right w:val="nil"/>
            </w:tcBorders>
            <w:shd w:val="clear" w:color="auto" w:fill="auto"/>
            <w:noWrap/>
            <w:vAlign w:val="bottom"/>
            <w:hideMark/>
          </w:tcPr>
          <w:p w14:paraId="6A675DBE" w14:textId="61AE6F2F"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98 288</w:t>
            </w:r>
          </w:p>
        </w:tc>
      </w:tr>
      <w:tr w:rsidR="00467C57" w:rsidRPr="00521670" w14:paraId="2DD9E25F" w14:textId="77777777" w:rsidTr="00BA023A">
        <w:trPr>
          <w:trHeight w:val="150"/>
        </w:trPr>
        <w:tc>
          <w:tcPr>
            <w:tcW w:w="5000" w:type="pct"/>
            <w:gridSpan w:val="4"/>
            <w:tcBorders>
              <w:top w:val="nil"/>
              <w:left w:val="nil"/>
              <w:bottom w:val="nil"/>
              <w:right w:val="nil"/>
            </w:tcBorders>
            <w:shd w:val="clear" w:color="auto" w:fill="auto"/>
            <w:noWrap/>
            <w:hideMark/>
          </w:tcPr>
          <w:p w14:paraId="3931280A" w14:textId="77777777" w:rsidR="00467C57" w:rsidRPr="00521670" w:rsidRDefault="00467C57" w:rsidP="00467C57">
            <w:pPr>
              <w:pStyle w:val="Tabletext"/>
              <w:spacing w:before="0" w:after="0"/>
              <w:jc w:val="right"/>
              <w:rPr>
                <w:rFonts w:ascii="Times New Roman" w:hAnsi="Times New Roman"/>
                <w:szCs w:val="18"/>
                <w:lang w:val="ru-RU" w:eastAsia="en-GB"/>
              </w:rPr>
            </w:pPr>
          </w:p>
        </w:tc>
      </w:tr>
      <w:tr w:rsidR="00467C57" w:rsidRPr="00521670" w14:paraId="2FAFB0E7" w14:textId="77777777" w:rsidTr="00BA023A">
        <w:trPr>
          <w:trHeight w:val="259"/>
        </w:trPr>
        <w:tc>
          <w:tcPr>
            <w:tcW w:w="2432" w:type="pct"/>
            <w:tcBorders>
              <w:top w:val="nil"/>
              <w:left w:val="nil"/>
              <w:bottom w:val="nil"/>
              <w:right w:val="nil"/>
            </w:tcBorders>
            <w:shd w:val="clear" w:color="auto" w:fill="auto"/>
            <w:noWrap/>
            <w:hideMark/>
          </w:tcPr>
          <w:p w14:paraId="1ACE2F14" w14:textId="75226308" w:rsidR="00467C57" w:rsidRPr="00521670" w:rsidRDefault="00311CA3" w:rsidP="00467C57">
            <w:pPr>
              <w:pStyle w:val="Tabletext"/>
              <w:rPr>
                <w:b/>
                <w:bCs/>
                <w:color w:val="000000"/>
                <w:szCs w:val="18"/>
                <w:lang w:val="ru-RU" w:eastAsia="en-GB"/>
              </w:rPr>
            </w:pPr>
            <w:r w:rsidRPr="00521670">
              <w:rPr>
                <w:b/>
                <w:bCs/>
                <w:szCs w:val="18"/>
                <w:lang w:val="ru-RU"/>
              </w:rPr>
              <w:t>Нетекущие пассивы</w:t>
            </w:r>
          </w:p>
        </w:tc>
        <w:tc>
          <w:tcPr>
            <w:tcW w:w="666" w:type="pct"/>
            <w:tcBorders>
              <w:top w:val="nil"/>
              <w:left w:val="nil"/>
              <w:bottom w:val="nil"/>
              <w:right w:val="nil"/>
            </w:tcBorders>
            <w:shd w:val="clear" w:color="auto" w:fill="auto"/>
            <w:noWrap/>
            <w:hideMark/>
          </w:tcPr>
          <w:p w14:paraId="72F0E090" w14:textId="77777777" w:rsidR="00467C57" w:rsidRPr="00521670" w:rsidRDefault="00467C57" w:rsidP="00467C57">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hideMark/>
          </w:tcPr>
          <w:p w14:paraId="1DE3ED66" w14:textId="77777777" w:rsidR="00467C57" w:rsidRPr="00521670" w:rsidRDefault="00467C57" w:rsidP="00467C57">
            <w:pPr>
              <w:pStyle w:val="Tabletext"/>
              <w:jc w:val="right"/>
              <w:rPr>
                <w:rFonts w:ascii="Times New Roman" w:hAnsi="Times New Roman"/>
                <w:szCs w:val="18"/>
                <w:lang w:val="ru-RU" w:eastAsia="en-GB"/>
              </w:rPr>
            </w:pPr>
          </w:p>
        </w:tc>
        <w:tc>
          <w:tcPr>
            <w:tcW w:w="990" w:type="pct"/>
            <w:tcBorders>
              <w:top w:val="nil"/>
              <w:left w:val="nil"/>
              <w:bottom w:val="nil"/>
              <w:right w:val="nil"/>
            </w:tcBorders>
            <w:shd w:val="clear" w:color="auto" w:fill="auto"/>
            <w:noWrap/>
            <w:vAlign w:val="bottom"/>
            <w:hideMark/>
          </w:tcPr>
          <w:p w14:paraId="4C1729E9" w14:textId="77777777" w:rsidR="00467C57" w:rsidRPr="00521670" w:rsidRDefault="00467C57" w:rsidP="00467C57">
            <w:pPr>
              <w:pStyle w:val="Tabletext"/>
              <w:jc w:val="right"/>
              <w:rPr>
                <w:rFonts w:ascii="Times New Roman" w:hAnsi="Times New Roman"/>
                <w:szCs w:val="18"/>
                <w:lang w:val="ru-RU" w:eastAsia="en-GB"/>
              </w:rPr>
            </w:pPr>
          </w:p>
        </w:tc>
      </w:tr>
      <w:tr w:rsidR="00467C57" w:rsidRPr="00521670" w14:paraId="34B944D6" w14:textId="77777777" w:rsidTr="00BA023A">
        <w:trPr>
          <w:trHeight w:val="259"/>
        </w:trPr>
        <w:tc>
          <w:tcPr>
            <w:tcW w:w="2432" w:type="pct"/>
            <w:tcBorders>
              <w:top w:val="nil"/>
              <w:left w:val="nil"/>
              <w:bottom w:val="nil"/>
              <w:right w:val="nil"/>
            </w:tcBorders>
            <w:shd w:val="clear" w:color="auto" w:fill="auto"/>
            <w:noWrap/>
            <w:hideMark/>
          </w:tcPr>
          <w:p w14:paraId="02225EEB" w14:textId="78832CBC" w:rsidR="00467C57" w:rsidRPr="00521670" w:rsidRDefault="00311CA3" w:rsidP="00467C57">
            <w:pPr>
              <w:pStyle w:val="Tabletext"/>
              <w:rPr>
                <w:color w:val="000000"/>
                <w:szCs w:val="18"/>
                <w:lang w:val="ru-RU" w:eastAsia="en-GB"/>
              </w:rPr>
            </w:pPr>
            <w:r w:rsidRPr="00521670">
              <w:rPr>
                <w:szCs w:val="18"/>
                <w:lang w:val="ru-RU"/>
              </w:rPr>
              <w:t>Займы</w:t>
            </w:r>
          </w:p>
        </w:tc>
        <w:tc>
          <w:tcPr>
            <w:tcW w:w="666" w:type="pct"/>
            <w:tcBorders>
              <w:top w:val="nil"/>
              <w:left w:val="nil"/>
              <w:bottom w:val="nil"/>
              <w:right w:val="nil"/>
            </w:tcBorders>
            <w:shd w:val="clear" w:color="auto" w:fill="auto"/>
            <w:noWrap/>
            <w:hideMark/>
          </w:tcPr>
          <w:p w14:paraId="7BA01E68"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15</w:t>
            </w:r>
          </w:p>
        </w:tc>
        <w:tc>
          <w:tcPr>
            <w:tcW w:w="913" w:type="pct"/>
            <w:tcBorders>
              <w:top w:val="nil"/>
              <w:left w:val="nil"/>
              <w:bottom w:val="nil"/>
              <w:right w:val="nil"/>
            </w:tcBorders>
            <w:shd w:val="clear" w:color="auto" w:fill="auto"/>
            <w:noWrap/>
            <w:hideMark/>
          </w:tcPr>
          <w:p w14:paraId="48BB6F19" w14:textId="2D60C423" w:rsidR="00467C57" w:rsidRPr="00521670" w:rsidRDefault="00467C57" w:rsidP="00467C57">
            <w:pPr>
              <w:pStyle w:val="Tabletext"/>
              <w:jc w:val="right"/>
              <w:rPr>
                <w:color w:val="000000"/>
                <w:szCs w:val="18"/>
                <w:lang w:val="ru-RU" w:eastAsia="en-GB"/>
              </w:rPr>
            </w:pPr>
            <w:r w:rsidRPr="00521670">
              <w:rPr>
                <w:color w:val="000000"/>
                <w:szCs w:val="18"/>
                <w:lang w:val="ru-RU" w:eastAsia="en-GB"/>
              </w:rPr>
              <w:t>51 918</w:t>
            </w:r>
          </w:p>
        </w:tc>
        <w:tc>
          <w:tcPr>
            <w:tcW w:w="990" w:type="pct"/>
            <w:tcBorders>
              <w:top w:val="nil"/>
              <w:left w:val="nil"/>
              <w:bottom w:val="nil"/>
              <w:right w:val="nil"/>
            </w:tcBorders>
            <w:shd w:val="clear" w:color="auto" w:fill="auto"/>
            <w:noWrap/>
            <w:hideMark/>
          </w:tcPr>
          <w:p w14:paraId="59A1F177" w14:textId="29BF5D08" w:rsidR="00467C57" w:rsidRPr="00521670" w:rsidRDefault="00467C57" w:rsidP="00467C57">
            <w:pPr>
              <w:pStyle w:val="Tabletext"/>
              <w:jc w:val="right"/>
              <w:rPr>
                <w:color w:val="000000"/>
                <w:szCs w:val="18"/>
                <w:lang w:val="ru-RU" w:eastAsia="en-GB"/>
              </w:rPr>
            </w:pPr>
            <w:r w:rsidRPr="00521670">
              <w:rPr>
                <w:color w:val="000000"/>
                <w:szCs w:val="18"/>
                <w:lang w:val="ru-RU" w:eastAsia="en-GB"/>
              </w:rPr>
              <w:t>51 657</w:t>
            </w:r>
          </w:p>
        </w:tc>
      </w:tr>
      <w:tr w:rsidR="00467C57" w:rsidRPr="00521670" w14:paraId="31EE5DB9" w14:textId="77777777" w:rsidTr="00BA023A">
        <w:trPr>
          <w:trHeight w:val="259"/>
        </w:trPr>
        <w:tc>
          <w:tcPr>
            <w:tcW w:w="2432" w:type="pct"/>
            <w:tcBorders>
              <w:top w:val="nil"/>
              <w:left w:val="nil"/>
              <w:bottom w:val="nil"/>
              <w:right w:val="nil"/>
            </w:tcBorders>
            <w:shd w:val="clear" w:color="auto" w:fill="auto"/>
            <w:noWrap/>
            <w:hideMark/>
          </w:tcPr>
          <w:p w14:paraId="4292A114" w14:textId="04C8756B" w:rsidR="00467C57" w:rsidRPr="00521670" w:rsidRDefault="00311CA3" w:rsidP="00467C57">
            <w:pPr>
              <w:pStyle w:val="Tabletext"/>
              <w:rPr>
                <w:color w:val="000000"/>
                <w:szCs w:val="18"/>
                <w:lang w:val="ru-RU" w:eastAsia="en-GB"/>
              </w:rPr>
            </w:pPr>
            <w:r w:rsidRPr="00521670">
              <w:rPr>
                <w:szCs w:val="18"/>
                <w:lang w:val="ru-RU"/>
              </w:rPr>
              <w:t>Вознаграждение сотрудников</w:t>
            </w:r>
            <w:r w:rsidR="00467C57" w:rsidRPr="00521670">
              <w:rPr>
                <w:color w:val="000000"/>
                <w:szCs w:val="18"/>
                <w:lang w:val="ru-RU" w:eastAsia="en-GB"/>
              </w:rPr>
              <w:t xml:space="preserve">, </w:t>
            </w:r>
            <w:r w:rsidR="00FC48C7" w:rsidRPr="00521670">
              <w:rPr>
                <w:bCs/>
                <w:color w:val="000000"/>
                <w:szCs w:val="18"/>
                <w:lang w:val="ru-RU"/>
              </w:rPr>
              <w:t>н</w:t>
            </w:r>
            <w:r w:rsidR="00FC48C7" w:rsidRPr="00521670">
              <w:rPr>
                <w:bCs/>
                <w:szCs w:val="18"/>
                <w:lang w:val="ru-RU"/>
              </w:rPr>
              <w:t>етекущее</w:t>
            </w:r>
          </w:p>
        </w:tc>
        <w:tc>
          <w:tcPr>
            <w:tcW w:w="666" w:type="pct"/>
            <w:tcBorders>
              <w:top w:val="nil"/>
              <w:left w:val="nil"/>
              <w:bottom w:val="nil"/>
              <w:right w:val="nil"/>
            </w:tcBorders>
            <w:shd w:val="clear" w:color="auto" w:fill="auto"/>
            <w:noWrap/>
            <w:hideMark/>
          </w:tcPr>
          <w:p w14:paraId="0E3A6638"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16</w:t>
            </w:r>
          </w:p>
        </w:tc>
        <w:tc>
          <w:tcPr>
            <w:tcW w:w="913" w:type="pct"/>
            <w:tcBorders>
              <w:top w:val="nil"/>
              <w:left w:val="nil"/>
              <w:bottom w:val="nil"/>
              <w:right w:val="nil"/>
            </w:tcBorders>
            <w:shd w:val="clear" w:color="auto" w:fill="auto"/>
            <w:noWrap/>
            <w:hideMark/>
          </w:tcPr>
          <w:p w14:paraId="71701FAC" w14:textId="5A241471" w:rsidR="00467C57" w:rsidRPr="00521670" w:rsidRDefault="00467C57" w:rsidP="00467C57">
            <w:pPr>
              <w:pStyle w:val="Tabletext"/>
              <w:jc w:val="right"/>
              <w:rPr>
                <w:color w:val="000000"/>
                <w:szCs w:val="18"/>
                <w:lang w:val="ru-RU" w:eastAsia="en-GB"/>
              </w:rPr>
            </w:pPr>
            <w:r w:rsidRPr="00521670">
              <w:rPr>
                <w:color w:val="000000"/>
                <w:szCs w:val="18"/>
                <w:lang w:val="ru-RU" w:eastAsia="en-GB"/>
              </w:rPr>
              <w:t>441 110</w:t>
            </w:r>
          </w:p>
        </w:tc>
        <w:tc>
          <w:tcPr>
            <w:tcW w:w="990" w:type="pct"/>
            <w:tcBorders>
              <w:top w:val="nil"/>
              <w:left w:val="nil"/>
              <w:bottom w:val="nil"/>
              <w:right w:val="nil"/>
            </w:tcBorders>
            <w:shd w:val="clear" w:color="auto" w:fill="auto"/>
            <w:noWrap/>
            <w:hideMark/>
          </w:tcPr>
          <w:p w14:paraId="757C0590" w14:textId="35310D4D" w:rsidR="00467C57" w:rsidRPr="00521670" w:rsidRDefault="00467C57" w:rsidP="00467C57">
            <w:pPr>
              <w:pStyle w:val="Tabletext"/>
              <w:jc w:val="right"/>
              <w:rPr>
                <w:color w:val="000000"/>
                <w:szCs w:val="18"/>
                <w:lang w:val="ru-RU" w:eastAsia="en-GB"/>
              </w:rPr>
            </w:pPr>
            <w:r w:rsidRPr="00521670">
              <w:rPr>
                <w:color w:val="000000"/>
                <w:szCs w:val="18"/>
                <w:lang w:val="ru-RU" w:eastAsia="en-GB"/>
              </w:rPr>
              <w:t>398 861</w:t>
            </w:r>
          </w:p>
        </w:tc>
      </w:tr>
      <w:tr w:rsidR="00467C57" w:rsidRPr="00521670" w14:paraId="4A6A894F" w14:textId="77777777" w:rsidTr="00BA023A">
        <w:trPr>
          <w:trHeight w:val="259"/>
        </w:trPr>
        <w:tc>
          <w:tcPr>
            <w:tcW w:w="2432" w:type="pct"/>
            <w:tcBorders>
              <w:top w:val="nil"/>
              <w:left w:val="nil"/>
              <w:bottom w:val="nil"/>
              <w:right w:val="nil"/>
            </w:tcBorders>
            <w:shd w:val="clear" w:color="auto" w:fill="auto"/>
            <w:noWrap/>
            <w:hideMark/>
          </w:tcPr>
          <w:p w14:paraId="208E5827" w14:textId="4FCFFDE9" w:rsidR="00467C57" w:rsidRPr="00521670" w:rsidRDefault="00FC48C7" w:rsidP="00467C57">
            <w:pPr>
              <w:pStyle w:val="Tabletext"/>
              <w:rPr>
                <w:color w:val="000000"/>
                <w:szCs w:val="18"/>
                <w:lang w:val="ru-RU" w:eastAsia="en-GB"/>
              </w:rPr>
            </w:pPr>
            <w:r w:rsidRPr="00521670">
              <w:rPr>
                <w:szCs w:val="18"/>
                <w:lang w:val="ru-RU"/>
              </w:rPr>
              <w:t>Доходы будущих периодов</w:t>
            </w:r>
            <w:r w:rsidR="00467C57" w:rsidRPr="00521670">
              <w:rPr>
                <w:color w:val="000000"/>
                <w:szCs w:val="18"/>
                <w:lang w:val="ru-RU" w:eastAsia="en-GB"/>
              </w:rPr>
              <w:t xml:space="preserve">, </w:t>
            </w:r>
            <w:r w:rsidRPr="00521670">
              <w:rPr>
                <w:color w:val="000000"/>
                <w:szCs w:val="18"/>
                <w:lang w:val="ru-RU" w:eastAsia="en-GB"/>
              </w:rPr>
              <w:t>нетекущие</w:t>
            </w:r>
          </w:p>
        </w:tc>
        <w:tc>
          <w:tcPr>
            <w:tcW w:w="666" w:type="pct"/>
            <w:tcBorders>
              <w:top w:val="nil"/>
              <w:left w:val="nil"/>
              <w:bottom w:val="nil"/>
              <w:right w:val="nil"/>
            </w:tcBorders>
            <w:shd w:val="clear" w:color="auto" w:fill="auto"/>
            <w:noWrap/>
            <w:hideMark/>
          </w:tcPr>
          <w:p w14:paraId="0FD890C2" w14:textId="77777777" w:rsidR="00467C57" w:rsidRPr="00521670" w:rsidRDefault="00467C57" w:rsidP="00467C57">
            <w:pPr>
              <w:pStyle w:val="Tabletext"/>
              <w:jc w:val="center"/>
              <w:rPr>
                <w:color w:val="000000"/>
                <w:szCs w:val="18"/>
                <w:lang w:val="ru-RU" w:eastAsia="en-GB"/>
              </w:rPr>
            </w:pPr>
            <w:r w:rsidRPr="00521670">
              <w:rPr>
                <w:color w:val="000000"/>
                <w:szCs w:val="18"/>
                <w:lang w:val="ru-RU" w:eastAsia="en-GB"/>
              </w:rPr>
              <w:t>14</w:t>
            </w:r>
          </w:p>
        </w:tc>
        <w:tc>
          <w:tcPr>
            <w:tcW w:w="913" w:type="pct"/>
            <w:tcBorders>
              <w:top w:val="nil"/>
              <w:left w:val="nil"/>
              <w:bottom w:val="nil"/>
              <w:right w:val="nil"/>
            </w:tcBorders>
            <w:shd w:val="clear" w:color="auto" w:fill="auto"/>
            <w:noWrap/>
            <w:hideMark/>
          </w:tcPr>
          <w:p w14:paraId="02362BFC" w14:textId="506EBFD8" w:rsidR="00467C57" w:rsidRPr="00521670" w:rsidRDefault="00467C57" w:rsidP="00467C57">
            <w:pPr>
              <w:pStyle w:val="Tabletext"/>
              <w:jc w:val="right"/>
              <w:rPr>
                <w:color w:val="000000"/>
                <w:szCs w:val="18"/>
                <w:lang w:val="ru-RU" w:eastAsia="en-GB"/>
              </w:rPr>
            </w:pPr>
            <w:r w:rsidRPr="00521670">
              <w:rPr>
                <w:color w:val="000000"/>
                <w:szCs w:val="18"/>
                <w:lang w:val="ru-RU" w:eastAsia="en-GB"/>
              </w:rPr>
              <w:t>40 038</w:t>
            </w:r>
          </w:p>
        </w:tc>
        <w:tc>
          <w:tcPr>
            <w:tcW w:w="990" w:type="pct"/>
            <w:tcBorders>
              <w:top w:val="nil"/>
              <w:left w:val="nil"/>
              <w:bottom w:val="nil"/>
              <w:right w:val="nil"/>
            </w:tcBorders>
            <w:shd w:val="clear" w:color="auto" w:fill="auto"/>
            <w:noWrap/>
            <w:hideMark/>
          </w:tcPr>
          <w:p w14:paraId="73421D4A" w14:textId="43C2A6C6" w:rsidR="00467C57" w:rsidRPr="00521670" w:rsidRDefault="00467C57" w:rsidP="00467C57">
            <w:pPr>
              <w:pStyle w:val="Tabletext"/>
              <w:jc w:val="right"/>
              <w:rPr>
                <w:color w:val="000000"/>
                <w:szCs w:val="18"/>
                <w:lang w:val="ru-RU" w:eastAsia="en-GB"/>
              </w:rPr>
            </w:pPr>
            <w:r w:rsidRPr="00521670">
              <w:rPr>
                <w:color w:val="000000"/>
                <w:szCs w:val="18"/>
                <w:lang w:val="ru-RU" w:eastAsia="en-GB"/>
              </w:rPr>
              <w:t>17 088</w:t>
            </w:r>
          </w:p>
        </w:tc>
      </w:tr>
      <w:tr w:rsidR="00467C57" w:rsidRPr="00521670" w14:paraId="6E092418" w14:textId="77777777" w:rsidTr="00BA023A">
        <w:trPr>
          <w:trHeight w:val="259"/>
        </w:trPr>
        <w:tc>
          <w:tcPr>
            <w:tcW w:w="2432" w:type="pct"/>
            <w:tcBorders>
              <w:top w:val="nil"/>
              <w:left w:val="nil"/>
              <w:bottom w:val="nil"/>
              <w:right w:val="nil"/>
            </w:tcBorders>
            <w:shd w:val="clear" w:color="auto" w:fill="auto"/>
            <w:noWrap/>
            <w:hideMark/>
          </w:tcPr>
          <w:p w14:paraId="74227BFB" w14:textId="43F2D828" w:rsidR="00467C57" w:rsidRPr="00521670" w:rsidRDefault="00311CA3" w:rsidP="00467C57">
            <w:pPr>
              <w:pStyle w:val="Tabletext"/>
              <w:rPr>
                <w:b/>
                <w:bCs/>
                <w:color w:val="000000"/>
                <w:szCs w:val="18"/>
                <w:lang w:val="ru-RU" w:eastAsia="en-GB"/>
              </w:rPr>
            </w:pPr>
            <w:r w:rsidRPr="00521670">
              <w:rPr>
                <w:b/>
                <w:bCs/>
                <w:szCs w:val="18"/>
                <w:lang w:val="ru-RU" w:eastAsia="fr-FR"/>
              </w:rPr>
              <w:t>Всего: нетекущие пассивы</w:t>
            </w:r>
          </w:p>
        </w:tc>
        <w:tc>
          <w:tcPr>
            <w:tcW w:w="666" w:type="pct"/>
            <w:tcBorders>
              <w:top w:val="nil"/>
              <w:left w:val="nil"/>
              <w:bottom w:val="nil"/>
              <w:right w:val="nil"/>
            </w:tcBorders>
            <w:shd w:val="clear" w:color="auto" w:fill="auto"/>
            <w:noWrap/>
            <w:hideMark/>
          </w:tcPr>
          <w:p w14:paraId="69FB35AE" w14:textId="77777777" w:rsidR="00467C57" w:rsidRPr="00521670" w:rsidRDefault="00467C57" w:rsidP="00467C57">
            <w:pPr>
              <w:pStyle w:val="Tabletext"/>
              <w:jc w:val="center"/>
              <w:rPr>
                <w:b/>
                <w:bCs/>
                <w:color w:val="000000"/>
                <w:szCs w:val="18"/>
                <w:lang w:val="ru-RU" w:eastAsia="en-GB"/>
              </w:rPr>
            </w:pPr>
          </w:p>
        </w:tc>
        <w:tc>
          <w:tcPr>
            <w:tcW w:w="913" w:type="pct"/>
            <w:tcBorders>
              <w:top w:val="nil"/>
              <w:left w:val="nil"/>
              <w:bottom w:val="nil"/>
              <w:right w:val="nil"/>
            </w:tcBorders>
            <w:shd w:val="clear" w:color="auto" w:fill="auto"/>
            <w:noWrap/>
            <w:vAlign w:val="bottom"/>
            <w:hideMark/>
          </w:tcPr>
          <w:p w14:paraId="65474AD2" w14:textId="2E329AA7"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533 066</w:t>
            </w:r>
          </w:p>
        </w:tc>
        <w:tc>
          <w:tcPr>
            <w:tcW w:w="990" w:type="pct"/>
            <w:tcBorders>
              <w:top w:val="nil"/>
              <w:left w:val="nil"/>
              <w:bottom w:val="nil"/>
              <w:right w:val="nil"/>
            </w:tcBorders>
            <w:shd w:val="clear" w:color="auto" w:fill="auto"/>
            <w:noWrap/>
            <w:vAlign w:val="bottom"/>
            <w:hideMark/>
          </w:tcPr>
          <w:p w14:paraId="7B0E48BB" w14:textId="6108EB2A" w:rsidR="00467C57" w:rsidRPr="00521670" w:rsidRDefault="00467C57" w:rsidP="00467C57">
            <w:pPr>
              <w:pStyle w:val="Tabletext"/>
              <w:jc w:val="right"/>
              <w:rPr>
                <w:b/>
                <w:bCs/>
                <w:color w:val="000000"/>
                <w:szCs w:val="18"/>
                <w:lang w:val="ru-RU" w:eastAsia="en-GB"/>
              </w:rPr>
            </w:pPr>
            <w:r w:rsidRPr="00521670">
              <w:rPr>
                <w:b/>
                <w:bCs/>
                <w:color w:val="000000"/>
                <w:szCs w:val="18"/>
                <w:lang w:val="ru-RU" w:eastAsia="en-GB"/>
              </w:rPr>
              <w:t>467 606</w:t>
            </w:r>
          </w:p>
        </w:tc>
      </w:tr>
      <w:tr w:rsidR="00467C57" w:rsidRPr="00521670" w14:paraId="4B33EB68" w14:textId="77777777" w:rsidTr="00BA023A">
        <w:trPr>
          <w:trHeight w:val="79"/>
        </w:trPr>
        <w:tc>
          <w:tcPr>
            <w:tcW w:w="5000" w:type="pct"/>
            <w:gridSpan w:val="4"/>
            <w:tcBorders>
              <w:top w:val="nil"/>
              <w:left w:val="nil"/>
              <w:bottom w:val="nil"/>
              <w:right w:val="nil"/>
            </w:tcBorders>
            <w:shd w:val="clear" w:color="auto" w:fill="auto"/>
            <w:noWrap/>
            <w:vAlign w:val="center"/>
            <w:hideMark/>
          </w:tcPr>
          <w:p w14:paraId="3EA7ECCB" w14:textId="77777777" w:rsidR="00467C57" w:rsidRPr="00521670" w:rsidRDefault="00467C57" w:rsidP="00467C57">
            <w:pPr>
              <w:pStyle w:val="Tabletext"/>
              <w:spacing w:before="0" w:after="0"/>
              <w:jc w:val="right"/>
              <w:rPr>
                <w:rFonts w:ascii="Times New Roman" w:hAnsi="Times New Roman"/>
                <w:szCs w:val="18"/>
                <w:lang w:val="ru-RU" w:eastAsia="en-GB"/>
              </w:rPr>
            </w:pPr>
          </w:p>
        </w:tc>
      </w:tr>
      <w:tr w:rsidR="00311CA3" w:rsidRPr="00521670" w14:paraId="216238A4" w14:textId="77777777" w:rsidTr="00BA023A">
        <w:trPr>
          <w:trHeight w:val="256"/>
        </w:trPr>
        <w:tc>
          <w:tcPr>
            <w:tcW w:w="2432" w:type="pct"/>
            <w:tcBorders>
              <w:top w:val="nil"/>
              <w:left w:val="nil"/>
              <w:bottom w:val="nil"/>
              <w:right w:val="nil"/>
            </w:tcBorders>
            <w:shd w:val="clear" w:color="auto" w:fill="auto"/>
            <w:noWrap/>
            <w:vAlign w:val="center"/>
            <w:hideMark/>
          </w:tcPr>
          <w:p w14:paraId="21DACF72" w14:textId="7DF21C1E" w:rsidR="00311CA3" w:rsidRPr="00521670" w:rsidRDefault="00311CA3" w:rsidP="00311CA3">
            <w:pPr>
              <w:pStyle w:val="Tabletext"/>
              <w:rPr>
                <w:b/>
                <w:bCs/>
                <w:color w:val="000000"/>
                <w:szCs w:val="18"/>
                <w:lang w:val="ru-RU" w:eastAsia="en-GB"/>
              </w:rPr>
            </w:pPr>
            <w:r w:rsidRPr="00521670">
              <w:rPr>
                <w:b/>
                <w:bCs/>
                <w:szCs w:val="18"/>
                <w:lang w:val="ru-RU"/>
              </w:rPr>
              <w:t>ВСЕГО: ПАССИВЫ</w:t>
            </w:r>
          </w:p>
        </w:tc>
        <w:tc>
          <w:tcPr>
            <w:tcW w:w="666" w:type="pct"/>
            <w:tcBorders>
              <w:top w:val="nil"/>
              <w:left w:val="nil"/>
              <w:bottom w:val="nil"/>
              <w:right w:val="nil"/>
            </w:tcBorders>
            <w:shd w:val="clear" w:color="auto" w:fill="auto"/>
            <w:noWrap/>
            <w:vAlign w:val="center"/>
            <w:hideMark/>
          </w:tcPr>
          <w:p w14:paraId="62551A02" w14:textId="77777777" w:rsidR="00311CA3" w:rsidRPr="00521670" w:rsidRDefault="00311CA3" w:rsidP="00311CA3">
            <w:pPr>
              <w:pStyle w:val="Tabletext"/>
              <w:jc w:val="center"/>
              <w:rPr>
                <w:b/>
                <w:bCs/>
                <w:color w:val="000000"/>
                <w:szCs w:val="18"/>
                <w:lang w:val="ru-RU" w:eastAsia="en-GB"/>
              </w:rPr>
            </w:pPr>
          </w:p>
        </w:tc>
        <w:tc>
          <w:tcPr>
            <w:tcW w:w="913" w:type="pct"/>
            <w:tcBorders>
              <w:top w:val="nil"/>
              <w:left w:val="nil"/>
              <w:bottom w:val="nil"/>
              <w:right w:val="nil"/>
            </w:tcBorders>
            <w:shd w:val="clear" w:color="auto" w:fill="auto"/>
            <w:noWrap/>
            <w:vAlign w:val="center"/>
            <w:hideMark/>
          </w:tcPr>
          <w:p w14:paraId="75D3B782" w14:textId="5D75702D" w:rsidR="00311CA3" w:rsidRPr="00521670" w:rsidRDefault="00311CA3" w:rsidP="00311CA3">
            <w:pPr>
              <w:pStyle w:val="Tabletext"/>
              <w:jc w:val="right"/>
              <w:rPr>
                <w:b/>
                <w:bCs/>
                <w:color w:val="000000"/>
                <w:szCs w:val="18"/>
                <w:lang w:val="ru-RU" w:eastAsia="en-GB"/>
              </w:rPr>
            </w:pPr>
            <w:r w:rsidRPr="00521670">
              <w:rPr>
                <w:b/>
                <w:bCs/>
                <w:color w:val="000000"/>
                <w:szCs w:val="18"/>
                <w:lang w:val="ru-RU" w:eastAsia="en-GB"/>
              </w:rPr>
              <w:t>640 680</w:t>
            </w:r>
          </w:p>
        </w:tc>
        <w:tc>
          <w:tcPr>
            <w:tcW w:w="990" w:type="pct"/>
            <w:tcBorders>
              <w:top w:val="nil"/>
              <w:left w:val="nil"/>
              <w:bottom w:val="nil"/>
              <w:right w:val="nil"/>
            </w:tcBorders>
            <w:shd w:val="clear" w:color="auto" w:fill="auto"/>
            <w:noWrap/>
            <w:vAlign w:val="center"/>
            <w:hideMark/>
          </w:tcPr>
          <w:p w14:paraId="5633EEEF" w14:textId="21B2A520" w:rsidR="00311CA3" w:rsidRPr="00521670" w:rsidRDefault="00311CA3" w:rsidP="00311CA3">
            <w:pPr>
              <w:pStyle w:val="Tabletext"/>
              <w:jc w:val="right"/>
              <w:rPr>
                <w:b/>
                <w:bCs/>
                <w:color w:val="000000"/>
                <w:szCs w:val="18"/>
                <w:lang w:val="ru-RU" w:eastAsia="en-GB"/>
              </w:rPr>
            </w:pPr>
            <w:r w:rsidRPr="00521670">
              <w:rPr>
                <w:b/>
                <w:bCs/>
                <w:color w:val="000000"/>
                <w:szCs w:val="18"/>
                <w:lang w:val="ru-RU" w:eastAsia="en-GB"/>
              </w:rPr>
              <w:t>565 894</w:t>
            </w:r>
          </w:p>
        </w:tc>
      </w:tr>
      <w:tr w:rsidR="00311CA3" w:rsidRPr="00521670" w14:paraId="3290AC73" w14:textId="77777777" w:rsidTr="00BA023A">
        <w:trPr>
          <w:trHeight w:val="220"/>
        </w:trPr>
        <w:tc>
          <w:tcPr>
            <w:tcW w:w="2432" w:type="pct"/>
            <w:tcBorders>
              <w:top w:val="nil"/>
              <w:left w:val="nil"/>
              <w:bottom w:val="nil"/>
              <w:right w:val="nil"/>
            </w:tcBorders>
            <w:shd w:val="clear" w:color="auto" w:fill="auto"/>
            <w:noWrap/>
            <w:vAlign w:val="center"/>
            <w:hideMark/>
          </w:tcPr>
          <w:p w14:paraId="5023C20B" w14:textId="0D1E4C3C" w:rsidR="00311CA3" w:rsidRPr="00521670" w:rsidRDefault="00311CA3" w:rsidP="00311CA3">
            <w:pPr>
              <w:pStyle w:val="Tabletext"/>
              <w:rPr>
                <w:b/>
                <w:bCs/>
                <w:color w:val="000000"/>
                <w:szCs w:val="18"/>
                <w:lang w:val="ru-RU" w:eastAsia="en-GB"/>
              </w:rPr>
            </w:pPr>
            <w:r w:rsidRPr="00521670">
              <w:rPr>
                <w:b/>
                <w:bCs/>
                <w:szCs w:val="18"/>
                <w:lang w:val="ru-RU"/>
              </w:rPr>
              <w:t>ВСЕГО: ЧИСТЫЕ АКТИВЫ</w:t>
            </w:r>
          </w:p>
        </w:tc>
        <w:tc>
          <w:tcPr>
            <w:tcW w:w="666" w:type="pct"/>
            <w:tcBorders>
              <w:top w:val="nil"/>
              <w:left w:val="nil"/>
              <w:bottom w:val="nil"/>
              <w:right w:val="nil"/>
            </w:tcBorders>
            <w:shd w:val="clear" w:color="auto" w:fill="auto"/>
            <w:noWrap/>
            <w:vAlign w:val="center"/>
            <w:hideMark/>
          </w:tcPr>
          <w:p w14:paraId="06D8115E" w14:textId="77777777" w:rsidR="00311CA3" w:rsidRPr="00521670" w:rsidRDefault="00311CA3" w:rsidP="00311CA3">
            <w:pPr>
              <w:pStyle w:val="Tabletext"/>
              <w:jc w:val="center"/>
              <w:rPr>
                <w:b/>
                <w:bCs/>
                <w:color w:val="000000"/>
                <w:szCs w:val="18"/>
                <w:lang w:val="ru-RU" w:eastAsia="en-GB"/>
              </w:rPr>
            </w:pPr>
          </w:p>
        </w:tc>
        <w:tc>
          <w:tcPr>
            <w:tcW w:w="913" w:type="pct"/>
            <w:tcBorders>
              <w:top w:val="nil"/>
              <w:left w:val="nil"/>
              <w:bottom w:val="nil"/>
              <w:right w:val="nil"/>
            </w:tcBorders>
            <w:shd w:val="clear" w:color="auto" w:fill="auto"/>
            <w:noWrap/>
            <w:vAlign w:val="center"/>
            <w:hideMark/>
          </w:tcPr>
          <w:p w14:paraId="2A1EEFCF" w14:textId="7E792D2D" w:rsidR="00311CA3" w:rsidRPr="00521670" w:rsidRDefault="00311CA3" w:rsidP="00311CA3">
            <w:pPr>
              <w:pStyle w:val="Tabletext"/>
              <w:jc w:val="right"/>
              <w:rPr>
                <w:b/>
                <w:bCs/>
                <w:color w:val="000000"/>
                <w:szCs w:val="18"/>
                <w:lang w:val="ru-RU" w:eastAsia="en-GB"/>
              </w:rPr>
            </w:pPr>
            <w:r w:rsidRPr="00521670">
              <w:rPr>
                <w:b/>
                <w:bCs/>
                <w:color w:val="000000"/>
                <w:szCs w:val="18"/>
                <w:lang w:val="ru-RU" w:eastAsia="en-GB"/>
              </w:rPr>
              <w:t>(317 968)</w:t>
            </w:r>
          </w:p>
        </w:tc>
        <w:tc>
          <w:tcPr>
            <w:tcW w:w="990" w:type="pct"/>
            <w:tcBorders>
              <w:top w:val="nil"/>
              <w:left w:val="nil"/>
              <w:bottom w:val="nil"/>
              <w:right w:val="nil"/>
            </w:tcBorders>
            <w:shd w:val="clear" w:color="auto" w:fill="auto"/>
            <w:noWrap/>
            <w:vAlign w:val="center"/>
            <w:hideMark/>
          </w:tcPr>
          <w:p w14:paraId="7FE29590" w14:textId="09C70C77" w:rsidR="00311CA3" w:rsidRPr="00521670" w:rsidRDefault="00311CA3" w:rsidP="00311CA3">
            <w:pPr>
              <w:pStyle w:val="Tabletext"/>
              <w:jc w:val="right"/>
              <w:rPr>
                <w:b/>
                <w:bCs/>
                <w:color w:val="000000"/>
                <w:szCs w:val="18"/>
                <w:lang w:val="ru-RU" w:eastAsia="en-GB"/>
              </w:rPr>
            </w:pPr>
            <w:r w:rsidRPr="00521670">
              <w:rPr>
                <w:b/>
                <w:bCs/>
                <w:color w:val="000000"/>
                <w:szCs w:val="18"/>
                <w:lang w:val="ru-RU" w:eastAsia="en-GB"/>
              </w:rPr>
              <w:t>(257 355)</w:t>
            </w:r>
          </w:p>
        </w:tc>
      </w:tr>
      <w:tr w:rsidR="00467C57" w:rsidRPr="00521670" w14:paraId="07D1D334" w14:textId="77777777" w:rsidTr="00BA023A">
        <w:trPr>
          <w:trHeight w:val="120"/>
        </w:trPr>
        <w:tc>
          <w:tcPr>
            <w:tcW w:w="5000" w:type="pct"/>
            <w:gridSpan w:val="4"/>
            <w:tcBorders>
              <w:top w:val="nil"/>
              <w:left w:val="nil"/>
              <w:bottom w:val="nil"/>
              <w:right w:val="nil"/>
            </w:tcBorders>
            <w:shd w:val="clear" w:color="auto" w:fill="auto"/>
            <w:noWrap/>
            <w:hideMark/>
          </w:tcPr>
          <w:p w14:paraId="58992FF6" w14:textId="77777777" w:rsidR="00467C57" w:rsidRPr="00521670" w:rsidRDefault="00467C57" w:rsidP="00467C57">
            <w:pPr>
              <w:pStyle w:val="Tabletext"/>
              <w:spacing w:before="0" w:after="0"/>
              <w:jc w:val="right"/>
              <w:rPr>
                <w:rFonts w:ascii="Times New Roman" w:hAnsi="Times New Roman"/>
                <w:szCs w:val="18"/>
                <w:lang w:val="ru-RU" w:eastAsia="en-GB"/>
              </w:rPr>
            </w:pPr>
          </w:p>
        </w:tc>
      </w:tr>
      <w:tr w:rsidR="00311CA3" w:rsidRPr="00521670" w14:paraId="000870D9" w14:textId="77777777" w:rsidTr="00BA023A">
        <w:trPr>
          <w:trHeight w:val="300"/>
        </w:trPr>
        <w:tc>
          <w:tcPr>
            <w:tcW w:w="2432" w:type="pct"/>
            <w:tcBorders>
              <w:top w:val="nil"/>
              <w:left w:val="nil"/>
              <w:bottom w:val="nil"/>
              <w:right w:val="nil"/>
            </w:tcBorders>
            <w:shd w:val="clear" w:color="auto" w:fill="auto"/>
            <w:noWrap/>
            <w:hideMark/>
          </w:tcPr>
          <w:p w14:paraId="17A01569" w14:textId="73A5562C" w:rsidR="00311CA3" w:rsidRPr="00521670" w:rsidRDefault="00311CA3" w:rsidP="00311CA3">
            <w:pPr>
              <w:pStyle w:val="Tabletext"/>
              <w:rPr>
                <w:color w:val="000000"/>
                <w:szCs w:val="18"/>
                <w:lang w:val="ru-RU" w:eastAsia="en-GB"/>
              </w:rPr>
            </w:pPr>
            <w:r w:rsidRPr="00521670">
              <w:rPr>
                <w:szCs w:val="18"/>
                <w:lang w:val="ru-RU" w:eastAsia="en-GB"/>
              </w:rPr>
              <w:t>Резервный счет МСЭ</w:t>
            </w:r>
          </w:p>
        </w:tc>
        <w:tc>
          <w:tcPr>
            <w:tcW w:w="666" w:type="pct"/>
            <w:tcBorders>
              <w:top w:val="nil"/>
              <w:left w:val="nil"/>
              <w:bottom w:val="nil"/>
              <w:right w:val="nil"/>
            </w:tcBorders>
            <w:shd w:val="clear" w:color="auto" w:fill="auto"/>
            <w:noWrap/>
            <w:hideMark/>
          </w:tcPr>
          <w:p w14:paraId="7362145D" w14:textId="77777777" w:rsidR="00311CA3" w:rsidRPr="00521670" w:rsidRDefault="00311CA3" w:rsidP="00311CA3">
            <w:pPr>
              <w:pStyle w:val="Tabletext"/>
              <w:jc w:val="center"/>
              <w:rPr>
                <w:color w:val="000000"/>
                <w:szCs w:val="18"/>
                <w:lang w:val="ru-RU" w:eastAsia="en-GB"/>
              </w:rPr>
            </w:pPr>
            <w:r w:rsidRPr="00521670">
              <w:rPr>
                <w:color w:val="000000"/>
                <w:szCs w:val="18"/>
                <w:lang w:val="ru-RU" w:eastAsia="en-GB"/>
              </w:rPr>
              <w:t>4</w:t>
            </w:r>
          </w:p>
        </w:tc>
        <w:tc>
          <w:tcPr>
            <w:tcW w:w="913" w:type="pct"/>
            <w:tcBorders>
              <w:top w:val="nil"/>
              <w:left w:val="nil"/>
              <w:bottom w:val="nil"/>
              <w:right w:val="nil"/>
            </w:tcBorders>
            <w:shd w:val="clear" w:color="auto" w:fill="auto"/>
            <w:noWrap/>
            <w:hideMark/>
          </w:tcPr>
          <w:p w14:paraId="14B42EF8" w14:textId="13213C6A" w:rsidR="00311CA3" w:rsidRPr="00521670" w:rsidRDefault="00311CA3" w:rsidP="00311CA3">
            <w:pPr>
              <w:pStyle w:val="Tabletext"/>
              <w:jc w:val="right"/>
              <w:rPr>
                <w:color w:val="000000"/>
                <w:szCs w:val="18"/>
                <w:lang w:val="ru-RU" w:eastAsia="en-GB"/>
              </w:rPr>
            </w:pPr>
            <w:r w:rsidRPr="00521670">
              <w:rPr>
                <w:color w:val="000000"/>
                <w:szCs w:val="18"/>
                <w:lang w:val="ru-RU" w:eastAsia="en-GB"/>
              </w:rPr>
              <w:t>30 667</w:t>
            </w:r>
          </w:p>
        </w:tc>
        <w:tc>
          <w:tcPr>
            <w:tcW w:w="990" w:type="pct"/>
            <w:tcBorders>
              <w:top w:val="nil"/>
              <w:left w:val="nil"/>
              <w:bottom w:val="nil"/>
              <w:right w:val="nil"/>
            </w:tcBorders>
            <w:shd w:val="clear" w:color="auto" w:fill="auto"/>
            <w:noWrap/>
            <w:hideMark/>
          </w:tcPr>
          <w:p w14:paraId="5F7AAB3F" w14:textId="7D176607" w:rsidR="00311CA3" w:rsidRPr="00521670" w:rsidRDefault="00311CA3" w:rsidP="00311CA3">
            <w:pPr>
              <w:pStyle w:val="Tabletext"/>
              <w:jc w:val="right"/>
              <w:rPr>
                <w:color w:val="000000"/>
                <w:szCs w:val="18"/>
                <w:lang w:val="ru-RU" w:eastAsia="en-GB"/>
              </w:rPr>
            </w:pPr>
            <w:r w:rsidRPr="00521670">
              <w:rPr>
                <w:color w:val="000000"/>
                <w:szCs w:val="18"/>
                <w:lang w:val="ru-RU" w:eastAsia="en-GB"/>
              </w:rPr>
              <w:t>26 271</w:t>
            </w:r>
          </w:p>
        </w:tc>
      </w:tr>
      <w:tr w:rsidR="00311CA3" w:rsidRPr="00521670" w14:paraId="6D38A17D" w14:textId="77777777" w:rsidTr="00BA023A">
        <w:trPr>
          <w:trHeight w:val="300"/>
        </w:trPr>
        <w:tc>
          <w:tcPr>
            <w:tcW w:w="2432" w:type="pct"/>
            <w:tcBorders>
              <w:top w:val="nil"/>
              <w:left w:val="nil"/>
              <w:bottom w:val="nil"/>
              <w:right w:val="nil"/>
            </w:tcBorders>
            <w:shd w:val="clear" w:color="auto" w:fill="auto"/>
            <w:noWrap/>
            <w:hideMark/>
          </w:tcPr>
          <w:p w14:paraId="5EDDE9F4" w14:textId="5D620288" w:rsidR="00311CA3" w:rsidRPr="00521670" w:rsidRDefault="00311CA3" w:rsidP="00311CA3">
            <w:pPr>
              <w:pStyle w:val="Tabletext"/>
              <w:rPr>
                <w:color w:val="000000"/>
                <w:szCs w:val="18"/>
                <w:lang w:val="ru-RU" w:eastAsia="en-GB"/>
              </w:rPr>
            </w:pPr>
            <w:r w:rsidRPr="00521670">
              <w:rPr>
                <w:szCs w:val="18"/>
                <w:lang w:val="ru-RU" w:eastAsia="en-GB"/>
              </w:rPr>
              <w:t>Прочие резервы и фонды</w:t>
            </w:r>
          </w:p>
        </w:tc>
        <w:tc>
          <w:tcPr>
            <w:tcW w:w="666" w:type="pct"/>
            <w:tcBorders>
              <w:top w:val="nil"/>
              <w:left w:val="nil"/>
              <w:bottom w:val="nil"/>
              <w:right w:val="nil"/>
            </w:tcBorders>
            <w:shd w:val="clear" w:color="auto" w:fill="auto"/>
            <w:noWrap/>
            <w:hideMark/>
          </w:tcPr>
          <w:p w14:paraId="02652D88" w14:textId="77777777" w:rsidR="00311CA3" w:rsidRPr="00521670" w:rsidRDefault="00311CA3" w:rsidP="00311CA3">
            <w:pPr>
              <w:pStyle w:val="Tabletext"/>
              <w:jc w:val="center"/>
              <w:rPr>
                <w:color w:val="000000"/>
                <w:szCs w:val="18"/>
                <w:lang w:val="ru-RU" w:eastAsia="en-GB"/>
              </w:rPr>
            </w:pPr>
            <w:r w:rsidRPr="00521670">
              <w:rPr>
                <w:color w:val="000000"/>
                <w:szCs w:val="18"/>
                <w:lang w:val="ru-RU" w:eastAsia="en-GB"/>
              </w:rPr>
              <w:t>4</w:t>
            </w:r>
          </w:p>
        </w:tc>
        <w:tc>
          <w:tcPr>
            <w:tcW w:w="913" w:type="pct"/>
            <w:tcBorders>
              <w:top w:val="nil"/>
              <w:left w:val="nil"/>
              <w:bottom w:val="nil"/>
              <w:right w:val="nil"/>
            </w:tcBorders>
            <w:shd w:val="clear" w:color="auto" w:fill="auto"/>
            <w:noWrap/>
            <w:hideMark/>
          </w:tcPr>
          <w:p w14:paraId="7E906D21" w14:textId="05B20B3D" w:rsidR="00311CA3" w:rsidRPr="00521670" w:rsidRDefault="00311CA3" w:rsidP="00311CA3">
            <w:pPr>
              <w:pStyle w:val="Tabletext"/>
              <w:jc w:val="right"/>
              <w:rPr>
                <w:color w:val="000000"/>
                <w:szCs w:val="18"/>
                <w:lang w:val="ru-RU" w:eastAsia="en-GB"/>
              </w:rPr>
            </w:pPr>
            <w:r w:rsidRPr="00521670">
              <w:rPr>
                <w:color w:val="000000"/>
                <w:szCs w:val="18"/>
                <w:lang w:val="ru-RU" w:eastAsia="en-GB"/>
              </w:rPr>
              <w:t>65 050</w:t>
            </w:r>
          </w:p>
        </w:tc>
        <w:tc>
          <w:tcPr>
            <w:tcW w:w="990" w:type="pct"/>
            <w:tcBorders>
              <w:top w:val="nil"/>
              <w:left w:val="nil"/>
              <w:bottom w:val="nil"/>
              <w:right w:val="nil"/>
            </w:tcBorders>
            <w:shd w:val="clear" w:color="auto" w:fill="auto"/>
            <w:noWrap/>
            <w:hideMark/>
          </w:tcPr>
          <w:p w14:paraId="05B78A13" w14:textId="1A65DDD5" w:rsidR="00311CA3" w:rsidRPr="00521670" w:rsidRDefault="00311CA3" w:rsidP="00311CA3">
            <w:pPr>
              <w:pStyle w:val="Tabletext"/>
              <w:jc w:val="right"/>
              <w:rPr>
                <w:color w:val="000000"/>
                <w:szCs w:val="18"/>
                <w:lang w:val="ru-RU" w:eastAsia="en-GB"/>
              </w:rPr>
            </w:pPr>
            <w:r w:rsidRPr="00521670">
              <w:rPr>
                <w:color w:val="000000"/>
                <w:szCs w:val="18"/>
                <w:lang w:val="ru-RU" w:eastAsia="en-GB"/>
              </w:rPr>
              <w:t>65 556</w:t>
            </w:r>
          </w:p>
        </w:tc>
      </w:tr>
      <w:tr w:rsidR="00311CA3" w:rsidRPr="00521670" w14:paraId="23B64D4E" w14:textId="77777777" w:rsidTr="00BA023A">
        <w:trPr>
          <w:trHeight w:val="300"/>
        </w:trPr>
        <w:tc>
          <w:tcPr>
            <w:tcW w:w="2432" w:type="pct"/>
            <w:tcBorders>
              <w:top w:val="nil"/>
              <w:left w:val="nil"/>
              <w:bottom w:val="nil"/>
              <w:right w:val="nil"/>
            </w:tcBorders>
            <w:shd w:val="clear" w:color="auto" w:fill="auto"/>
            <w:noWrap/>
            <w:hideMark/>
          </w:tcPr>
          <w:p w14:paraId="30982728" w14:textId="10442478" w:rsidR="00311CA3" w:rsidRPr="00521670" w:rsidRDefault="00311CA3" w:rsidP="00311CA3">
            <w:pPr>
              <w:pStyle w:val="Tabletext"/>
              <w:rPr>
                <w:color w:val="000000"/>
                <w:szCs w:val="18"/>
                <w:lang w:val="ru-RU" w:eastAsia="en-GB"/>
              </w:rPr>
            </w:pPr>
            <w:r w:rsidRPr="00521670">
              <w:rPr>
                <w:szCs w:val="18"/>
                <w:lang w:val="ru-RU" w:eastAsia="en-GB"/>
              </w:rPr>
              <w:t>Внебюджетные средства</w:t>
            </w:r>
          </w:p>
        </w:tc>
        <w:tc>
          <w:tcPr>
            <w:tcW w:w="666" w:type="pct"/>
            <w:tcBorders>
              <w:top w:val="nil"/>
              <w:left w:val="nil"/>
              <w:bottom w:val="nil"/>
              <w:right w:val="nil"/>
            </w:tcBorders>
            <w:shd w:val="clear" w:color="auto" w:fill="auto"/>
            <w:noWrap/>
            <w:hideMark/>
          </w:tcPr>
          <w:p w14:paraId="5822EEFD" w14:textId="77777777" w:rsidR="00311CA3" w:rsidRPr="00521670" w:rsidRDefault="00311CA3" w:rsidP="00311CA3">
            <w:pPr>
              <w:pStyle w:val="Tabletext"/>
              <w:jc w:val="center"/>
              <w:rPr>
                <w:color w:val="000000"/>
                <w:szCs w:val="18"/>
                <w:lang w:val="ru-RU" w:eastAsia="en-GB"/>
              </w:rPr>
            </w:pPr>
            <w:r w:rsidRPr="00521670">
              <w:rPr>
                <w:color w:val="000000"/>
                <w:szCs w:val="18"/>
                <w:lang w:val="ru-RU" w:eastAsia="en-GB"/>
              </w:rPr>
              <w:t>4</w:t>
            </w:r>
          </w:p>
        </w:tc>
        <w:tc>
          <w:tcPr>
            <w:tcW w:w="913" w:type="pct"/>
            <w:tcBorders>
              <w:top w:val="nil"/>
              <w:left w:val="nil"/>
              <w:bottom w:val="nil"/>
              <w:right w:val="nil"/>
            </w:tcBorders>
            <w:shd w:val="clear" w:color="auto" w:fill="auto"/>
            <w:noWrap/>
            <w:hideMark/>
          </w:tcPr>
          <w:p w14:paraId="4F37485C" w14:textId="0CA07CFF" w:rsidR="00311CA3" w:rsidRPr="00521670" w:rsidRDefault="00311CA3" w:rsidP="00311CA3">
            <w:pPr>
              <w:pStyle w:val="Tabletext"/>
              <w:jc w:val="right"/>
              <w:rPr>
                <w:color w:val="000000"/>
                <w:szCs w:val="18"/>
                <w:lang w:val="ru-RU" w:eastAsia="en-GB"/>
              </w:rPr>
            </w:pPr>
            <w:r w:rsidRPr="00521670">
              <w:rPr>
                <w:color w:val="000000"/>
                <w:szCs w:val="18"/>
                <w:lang w:val="ru-RU" w:eastAsia="en-GB"/>
              </w:rPr>
              <w:t>14 363</w:t>
            </w:r>
          </w:p>
        </w:tc>
        <w:tc>
          <w:tcPr>
            <w:tcW w:w="990" w:type="pct"/>
            <w:tcBorders>
              <w:top w:val="nil"/>
              <w:left w:val="nil"/>
              <w:bottom w:val="nil"/>
              <w:right w:val="nil"/>
            </w:tcBorders>
            <w:shd w:val="clear" w:color="auto" w:fill="auto"/>
            <w:noWrap/>
            <w:hideMark/>
          </w:tcPr>
          <w:p w14:paraId="16DFD335" w14:textId="036674EE" w:rsidR="00311CA3" w:rsidRPr="00521670" w:rsidRDefault="00311CA3" w:rsidP="00311CA3">
            <w:pPr>
              <w:pStyle w:val="Tabletext"/>
              <w:jc w:val="right"/>
              <w:rPr>
                <w:color w:val="000000"/>
                <w:szCs w:val="18"/>
                <w:lang w:val="ru-RU" w:eastAsia="en-GB"/>
              </w:rPr>
            </w:pPr>
            <w:r w:rsidRPr="00521670">
              <w:rPr>
                <w:color w:val="000000"/>
                <w:szCs w:val="18"/>
                <w:lang w:val="ru-RU" w:eastAsia="en-GB"/>
              </w:rPr>
              <w:t>13 354</w:t>
            </w:r>
          </w:p>
        </w:tc>
      </w:tr>
      <w:tr w:rsidR="00311CA3" w:rsidRPr="00521670" w14:paraId="313AE22A" w14:textId="77777777" w:rsidTr="00BA023A">
        <w:trPr>
          <w:trHeight w:val="300"/>
        </w:trPr>
        <w:tc>
          <w:tcPr>
            <w:tcW w:w="2432" w:type="pct"/>
            <w:tcBorders>
              <w:top w:val="nil"/>
              <w:left w:val="nil"/>
              <w:bottom w:val="nil"/>
              <w:right w:val="nil"/>
            </w:tcBorders>
            <w:shd w:val="clear" w:color="auto" w:fill="auto"/>
            <w:noWrap/>
            <w:hideMark/>
          </w:tcPr>
          <w:p w14:paraId="23C073E4" w14:textId="71C50C69" w:rsidR="00311CA3" w:rsidRPr="00521670" w:rsidRDefault="00311CA3" w:rsidP="00311CA3">
            <w:pPr>
              <w:pStyle w:val="Tabletext"/>
              <w:rPr>
                <w:color w:val="000000"/>
                <w:szCs w:val="18"/>
                <w:lang w:val="ru-RU" w:eastAsia="en-GB"/>
              </w:rPr>
            </w:pPr>
            <w:r w:rsidRPr="00521670">
              <w:rPr>
                <w:szCs w:val="18"/>
                <w:lang w:val="ru-RU"/>
              </w:rPr>
              <w:t>Актуарные прибыли/(потери) АСХИ</w:t>
            </w:r>
          </w:p>
        </w:tc>
        <w:tc>
          <w:tcPr>
            <w:tcW w:w="666" w:type="pct"/>
            <w:tcBorders>
              <w:top w:val="nil"/>
              <w:left w:val="nil"/>
              <w:bottom w:val="nil"/>
              <w:right w:val="nil"/>
            </w:tcBorders>
            <w:shd w:val="clear" w:color="auto" w:fill="auto"/>
            <w:noWrap/>
            <w:hideMark/>
          </w:tcPr>
          <w:p w14:paraId="292AC167" w14:textId="77777777" w:rsidR="00311CA3" w:rsidRPr="00521670" w:rsidRDefault="00311CA3" w:rsidP="00311CA3">
            <w:pPr>
              <w:pStyle w:val="Tabletext"/>
              <w:jc w:val="center"/>
              <w:rPr>
                <w:color w:val="000000"/>
                <w:szCs w:val="18"/>
                <w:lang w:val="ru-RU" w:eastAsia="en-GB"/>
              </w:rPr>
            </w:pPr>
            <w:r w:rsidRPr="00521670">
              <w:rPr>
                <w:color w:val="000000"/>
                <w:szCs w:val="18"/>
                <w:lang w:val="ru-RU" w:eastAsia="en-GB"/>
              </w:rPr>
              <w:t>16</w:t>
            </w:r>
          </w:p>
        </w:tc>
        <w:tc>
          <w:tcPr>
            <w:tcW w:w="913" w:type="pct"/>
            <w:tcBorders>
              <w:top w:val="nil"/>
              <w:left w:val="nil"/>
              <w:bottom w:val="nil"/>
              <w:right w:val="nil"/>
            </w:tcBorders>
            <w:shd w:val="clear" w:color="auto" w:fill="auto"/>
            <w:noWrap/>
            <w:vAlign w:val="bottom"/>
            <w:hideMark/>
          </w:tcPr>
          <w:p w14:paraId="684A6282" w14:textId="774D5A7F" w:rsidR="00311CA3" w:rsidRPr="00521670" w:rsidRDefault="00311CA3" w:rsidP="00311CA3">
            <w:pPr>
              <w:pStyle w:val="Tabletext"/>
              <w:jc w:val="right"/>
              <w:rPr>
                <w:szCs w:val="18"/>
                <w:lang w:val="ru-RU" w:eastAsia="en-GB"/>
              </w:rPr>
            </w:pPr>
            <w:r w:rsidRPr="00521670">
              <w:rPr>
                <w:szCs w:val="18"/>
                <w:lang w:val="ru-RU" w:eastAsia="en-GB"/>
              </w:rPr>
              <w:t>(837)</w:t>
            </w:r>
          </w:p>
        </w:tc>
        <w:tc>
          <w:tcPr>
            <w:tcW w:w="990" w:type="pct"/>
            <w:tcBorders>
              <w:top w:val="nil"/>
              <w:left w:val="nil"/>
              <w:bottom w:val="nil"/>
              <w:right w:val="nil"/>
            </w:tcBorders>
            <w:shd w:val="clear" w:color="auto" w:fill="auto"/>
            <w:noWrap/>
            <w:hideMark/>
          </w:tcPr>
          <w:p w14:paraId="08B20A1E" w14:textId="395369CB" w:rsidR="00311CA3" w:rsidRPr="00521670" w:rsidRDefault="00311CA3" w:rsidP="00311CA3">
            <w:pPr>
              <w:pStyle w:val="Tabletext"/>
              <w:jc w:val="right"/>
              <w:rPr>
                <w:color w:val="000000"/>
                <w:szCs w:val="18"/>
                <w:lang w:val="ru-RU" w:eastAsia="en-GB"/>
              </w:rPr>
            </w:pPr>
            <w:r w:rsidRPr="00521670">
              <w:rPr>
                <w:color w:val="000000"/>
                <w:szCs w:val="18"/>
                <w:lang w:val="ru-RU" w:eastAsia="en-GB"/>
              </w:rPr>
              <w:t>31 911</w:t>
            </w:r>
          </w:p>
        </w:tc>
      </w:tr>
      <w:tr w:rsidR="00311CA3" w:rsidRPr="00521670" w14:paraId="67893FAA" w14:textId="77777777" w:rsidTr="00BA023A">
        <w:trPr>
          <w:trHeight w:val="300"/>
        </w:trPr>
        <w:tc>
          <w:tcPr>
            <w:tcW w:w="2432" w:type="pct"/>
            <w:tcBorders>
              <w:top w:val="nil"/>
              <w:left w:val="nil"/>
              <w:bottom w:val="nil"/>
              <w:right w:val="nil"/>
            </w:tcBorders>
            <w:shd w:val="clear" w:color="auto" w:fill="auto"/>
            <w:noWrap/>
            <w:hideMark/>
          </w:tcPr>
          <w:p w14:paraId="3B0320C0" w14:textId="75DA6FFB" w:rsidR="00311CA3" w:rsidRPr="00521670" w:rsidRDefault="00311CA3" w:rsidP="00311CA3">
            <w:pPr>
              <w:pStyle w:val="Tabletext"/>
              <w:rPr>
                <w:color w:val="000000"/>
                <w:szCs w:val="18"/>
                <w:lang w:val="ru-RU" w:eastAsia="en-GB"/>
              </w:rPr>
            </w:pPr>
            <w:r w:rsidRPr="00521670">
              <w:rPr>
                <w:szCs w:val="18"/>
                <w:lang w:val="ru-RU" w:eastAsia="en-GB"/>
              </w:rPr>
              <w:t>Накопленные излишки/(дефицит)</w:t>
            </w:r>
          </w:p>
        </w:tc>
        <w:tc>
          <w:tcPr>
            <w:tcW w:w="666" w:type="pct"/>
            <w:tcBorders>
              <w:top w:val="nil"/>
              <w:left w:val="nil"/>
              <w:bottom w:val="nil"/>
              <w:right w:val="nil"/>
            </w:tcBorders>
            <w:shd w:val="clear" w:color="auto" w:fill="auto"/>
            <w:noWrap/>
            <w:hideMark/>
          </w:tcPr>
          <w:p w14:paraId="020C4823" w14:textId="77777777" w:rsidR="00311CA3" w:rsidRPr="00521670" w:rsidRDefault="00311CA3" w:rsidP="00311CA3">
            <w:pPr>
              <w:pStyle w:val="Tabletext"/>
              <w:jc w:val="center"/>
              <w:rPr>
                <w:color w:val="000000"/>
                <w:szCs w:val="18"/>
                <w:lang w:val="ru-RU" w:eastAsia="en-GB"/>
              </w:rPr>
            </w:pPr>
          </w:p>
        </w:tc>
        <w:tc>
          <w:tcPr>
            <w:tcW w:w="913" w:type="pct"/>
            <w:tcBorders>
              <w:top w:val="nil"/>
              <w:left w:val="nil"/>
              <w:bottom w:val="nil"/>
              <w:right w:val="nil"/>
            </w:tcBorders>
            <w:shd w:val="clear" w:color="auto" w:fill="auto"/>
            <w:noWrap/>
            <w:vAlign w:val="bottom"/>
            <w:hideMark/>
          </w:tcPr>
          <w:p w14:paraId="2C3806C9" w14:textId="500E6BC9" w:rsidR="00311CA3" w:rsidRPr="00521670" w:rsidRDefault="00311CA3" w:rsidP="00311CA3">
            <w:pPr>
              <w:pStyle w:val="Tabletext"/>
              <w:jc w:val="right"/>
              <w:rPr>
                <w:szCs w:val="18"/>
                <w:lang w:val="ru-RU" w:eastAsia="en-GB"/>
              </w:rPr>
            </w:pPr>
            <w:r w:rsidRPr="00521670">
              <w:rPr>
                <w:szCs w:val="18"/>
                <w:lang w:val="ru-RU" w:eastAsia="en-GB"/>
              </w:rPr>
              <w:t>(427 211)</w:t>
            </w:r>
          </w:p>
        </w:tc>
        <w:tc>
          <w:tcPr>
            <w:tcW w:w="990" w:type="pct"/>
            <w:tcBorders>
              <w:top w:val="nil"/>
              <w:left w:val="nil"/>
              <w:bottom w:val="nil"/>
              <w:right w:val="nil"/>
            </w:tcBorders>
            <w:shd w:val="clear" w:color="auto" w:fill="auto"/>
            <w:noWrap/>
            <w:vAlign w:val="bottom"/>
            <w:hideMark/>
          </w:tcPr>
          <w:p w14:paraId="7C691CF8" w14:textId="2E2798E6" w:rsidR="00311CA3" w:rsidRPr="00521670" w:rsidRDefault="00311CA3" w:rsidP="00311CA3">
            <w:pPr>
              <w:pStyle w:val="Tabletext"/>
              <w:jc w:val="right"/>
              <w:rPr>
                <w:szCs w:val="18"/>
                <w:lang w:val="ru-RU" w:eastAsia="en-GB"/>
              </w:rPr>
            </w:pPr>
            <w:r w:rsidRPr="00521670">
              <w:rPr>
                <w:szCs w:val="18"/>
                <w:lang w:val="ru-RU" w:eastAsia="en-GB"/>
              </w:rPr>
              <w:t>(394 447)</w:t>
            </w:r>
          </w:p>
        </w:tc>
      </w:tr>
      <w:tr w:rsidR="00467C57" w:rsidRPr="00521670" w14:paraId="248692FD" w14:textId="77777777" w:rsidTr="00BA023A">
        <w:trPr>
          <w:trHeight w:val="364"/>
        </w:trPr>
        <w:tc>
          <w:tcPr>
            <w:tcW w:w="2432" w:type="pct"/>
            <w:tcBorders>
              <w:top w:val="nil"/>
              <w:left w:val="nil"/>
              <w:bottom w:val="nil"/>
              <w:right w:val="nil"/>
            </w:tcBorders>
            <w:shd w:val="clear" w:color="000000" w:fill="0070C0"/>
            <w:noWrap/>
            <w:vAlign w:val="center"/>
            <w:hideMark/>
          </w:tcPr>
          <w:p w14:paraId="175C5A6A" w14:textId="775BA033" w:rsidR="00467C57" w:rsidRPr="00521670" w:rsidRDefault="00311CA3" w:rsidP="00467C57">
            <w:pPr>
              <w:pStyle w:val="Tabletext"/>
              <w:rPr>
                <w:b/>
                <w:bCs/>
                <w:szCs w:val="18"/>
                <w:lang w:val="ru-RU" w:eastAsia="en-GB"/>
              </w:rPr>
            </w:pPr>
            <w:r w:rsidRPr="00521670">
              <w:rPr>
                <w:b/>
                <w:bCs/>
                <w:szCs w:val="18"/>
                <w:lang w:val="ru-RU" w:eastAsia="en-GB"/>
              </w:rPr>
              <w:t>РЕЗЕРВЫ И ОСТАТКИ СРЕДСТВ</w:t>
            </w:r>
          </w:p>
        </w:tc>
        <w:tc>
          <w:tcPr>
            <w:tcW w:w="666" w:type="pct"/>
            <w:tcBorders>
              <w:top w:val="nil"/>
              <w:left w:val="nil"/>
              <w:bottom w:val="nil"/>
              <w:right w:val="nil"/>
            </w:tcBorders>
            <w:shd w:val="clear" w:color="000000" w:fill="0070C0"/>
            <w:noWrap/>
            <w:vAlign w:val="center"/>
            <w:hideMark/>
          </w:tcPr>
          <w:p w14:paraId="4D055F70" w14:textId="4C09B6EB" w:rsidR="00467C57" w:rsidRPr="00521670" w:rsidRDefault="00467C57" w:rsidP="00467C57">
            <w:pPr>
              <w:pStyle w:val="Tabletext"/>
              <w:jc w:val="center"/>
              <w:rPr>
                <w:b/>
                <w:bCs/>
                <w:szCs w:val="18"/>
                <w:lang w:val="ru-RU" w:eastAsia="en-GB"/>
              </w:rPr>
            </w:pPr>
          </w:p>
        </w:tc>
        <w:tc>
          <w:tcPr>
            <w:tcW w:w="913" w:type="pct"/>
            <w:tcBorders>
              <w:top w:val="nil"/>
              <w:left w:val="nil"/>
              <w:bottom w:val="nil"/>
              <w:right w:val="nil"/>
            </w:tcBorders>
            <w:shd w:val="clear" w:color="000000" w:fill="0070C0"/>
            <w:noWrap/>
            <w:vAlign w:val="center"/>
            <w:hideMark/>
          </w:tcPr>
          <w:p w14:paraId="622B17BD" w14:textId="60C92310" w:rsidR="00467C57" w:rsidRPr="00521670" w:rsidRDefault="00467C57" w:rsidP="00467C57">
            <w:pPr>
              <w:pStyle w:val="Tabletext"/>
              <w:jc w:val="right"/>
              <w:rPr>
                <w:b/>
                <w:bCs/>
                <w:szCs w:val="18"/>
                <w:lang w:val="ru-RU" w:eastAsia="en-GB"/>
              </w:rPr>
            </w:pPr>
            <w:r w:rsidRPr="00521670">
              <w:rPr>
                <w:b/>
                <w:bCs/>
                <w:szCs w:val="18"/>
                <w:lang w:val="ru-RU" w:eastAsia="en-GB"/>
              </w:rPr>
              <w:t>(317 968)</w:t>
            </w:r>
          </w:p>
        </w:tc>
        <w:tc>
          <w:tcPr>
            <w:tcW w:w="990" w:type="pct"/>
            <w:tcBorders>
              <w:top w:val="nil"/>
              <w:left w:val="nil"/>
              <w:bottom w:val="nil"/>
              <w:right w:val="nil"/>
            </w:tcBorders>
            <w:shd w:val="clear" w:color="000000" w:fill="0070C0"/>
            <w:noWrap/>
            <w:vAlign w:val="center"/>
            <w:hideMark/>
          </w:tcPr>
          <w:p w14:paraId="2A3A9583" w14:textId="1F52F861" w:rsidR="00467C57" w:rsidRPr="00521670" w:rsidRDefault="00467C57" w:rsidP="00467C57">
            <w:pPr>
              <w:pStyle w:val="Tabletext"/>
              <w:jc w:val="right"/>
              <w:rPr>
                <w:b/>
                <w:bCs/>
                <w:szCs w:val="18"/>
                <w:lang w:val="ru-RU" w:eastAsia="en-GB"/>
              </w:rPr>
            </w:pPr>
            <w:r w:rsidRPr="00521670">
              <w:rPr>
                <w:b/>
                <w:bCs/>
                <w:szCs w:val="18"/>
                <w:lang w:val="ru-RU" w:eastAsia="en-GB"/>
              </w:rPr>
              <w:t>(257 355)</w:t>
            </w:r>
          </w:p>
        </w:tc>
      </w:tr>
    </w:tbl>
    <w:p w14:paraId="01D17A68" w14:textId="77777777" w:rsidR="004625BD" w:rsidRPr="00521670" w:rsidRDefault="004625BD" w:rsidP="004625BD">
      <w:pPr>
        <w:pStyle w:val="Arttitle"/>
        <w:jc w:val="left"/>
        <w:rPr>
          <w:color w:val="4F81BD" w:themeColor="accent1"/>
          <w:lang w:val="ru-RU"/>
        </w:rPr>
      </w:pPr>
      <w:bookmarkStart w:id="102" w:name="lt_pId306"/>
      <w:bookmarkStart w:id="103" w:name="_Toc167957165"/>
      <w:bookmarkStart w:id="104" w:name="_Toc200469523"/>
      <w:r w:rsidRPr="00521670">
        <w:rPr>
          <w:color w:val="4F81BD" w:themeColor="accent1"/>
          <w:lang w:val="ru-RU"/>
        </w:rPr>
        <w:lastRenderedPageBreak/>
        <w:t xml:space="preserve">Отчет II: </w:t>
      </w:r>
      <w:bookmarkEnd w:id="102"/>
      <w:r w:rsidRPr="00521670">
        <w:rPr>
          <w:color w:val="4F81BD" w:themeColor="accent1"/>
          <w:lang w:val="ru-RU"/>
        </w:rPr>
        <w:t>Отчет о результатах финансовой деятельности</w:t>
      </w:r>
      <w:bookmarkEnd w:id="103"/>
      <w:bookmarkEnd w:id="104"/>
    </w:p>
    <w:p w14:paraId="5C51A05A" w14:textId="4D66B39E" w:rsidR="004625BD" w:rsidRPr="00521670" w:rsidRDefault="007932F3" w:rsidP="004625BD">
      <w:pPr>
        <w:rPr>
          <w:i/>
          <w:iCs/>
          <w:lang w:val="ru-RU"/>
        </w:rPr>
      </w:pPr>
      <w:bookmarkStart w:id="105" w:name="_Hlk160100266"/>
      <w:r w:rsidRPr="00521670">
        <w:rPr>
          <w:i/>
          <w:iCs/>
          <w:lang w:val="ru-RU"/>
        </w:rPr>
        <w:t>по состоянию на</w:t>
      </w:r>
      <w:r w:rsidR="004625BD" w:rsidRPr="00521670">
        <w:rPr>
          <w:i/>
          <w:iCs/>
          <w:lang w:val="ru-RU"/>
        </w:rPr>
        <w:t xml:space="preserve"> 31 декабря 202</w:t>
      </w:r>
      <w:r w:rsidR="00FC48C7" w:rsidRPr="00521670">
        <w:rPr>
          <w:i/>
          <w:iCs/>
          <w:lang w:val="ru-RU"/>
        </w:rPr>
        <w:t>4</w:t>
      </w:r>
      <w:r w:rsidR="004625BD" w:rsidRPr="00521670">
        <w:rPr>
          <w:i/>
          <w:iCs/>
          <w:lang w:val="ru-RU"/>
        </w:rPr>
        <w:t xml:space="preserve"> года</w:t>
      </w:r>
    </w:p>
    <w:p w14:paraId="42817BDB" w14:textId="11CB91E6" w:rsidR="004625BD" w:rsidRPr="00521670" w:rsidRDefault="004625BD" w:rsidP="002C40E3">
      <w:pPr>
        <w:spacing w:before="0" w:after="120"/>
        <w:rPr>
          <w:i/>
          <w:iCs/>
          <w:sz w:val="20"/>
          <w:lang w:val="ru-RU"/>
        </w:rPr>
      </w:pPr>
      <w:r w:rsidRPr="00521670">
        <w:rPr>
          <w:i/>
          <w:iCs/>
          <w:sz w:val="18"/>
          <w:szCs w:val="16"/>
          <w:lang w:val="ru-RU"/>
        </w:rPr>
        <w:t>(в тыс. шв</w:t>
      </w:r>
      <w:r w:rsidR="00FC48C7" w:rsidRPr="00521670">
        <w:rPr>
          <w:i/>
          <w:iCs/>
          <w:sz w:val="18"/>
          <w:szCs w:val="16"/>
          <w:lang w:val="ru-RU"/>
        </w:rPr>
        <w:t>.</w:t>
      </w:r>
      <w:r w:rsidRPr="00521670">
        <w:rPr>
          <w:i/>
          <w:iCs/>
          <w:sz w:val="18"/>
          <w:szCs w:val="16"/>
          <w:lang w:val="ru-RU"/>
        </w:rPr>
        <w:t xml:space="preserve"> фр</w:t>
      </w:r>
      <w:r w:rsidR="00FC48C7" w:rsidRPr="00521670">
        <w:rPr>
          <w:i/>
          <w:iCs/>
          <w:sz w:val="18"/>
          <w:szCs w:val="16"/>
          <w:lang w:val="ru-RU"/>
        </w:rPr>
        <w:t>.</w:t>
      </w:r>
      <w:r w:rsidRPr="00521670">
        <w:rPr>
          <w:i/>
          <w:iCs/>
          <w:sz w:val="18"/>
          <w:szCs w:val="16"/>
          <w:lang w:val="ru-RU"/>
        </w:rPr>
        <w:t>)</w:t>
      </w:r>
      <w:bookmarkEnd w:id="105"/>
    </w:p>
    <w:tbl>
      <w:tblPr>
        <w:tblW w:w="5000" w:type="pct"/>
        <w:tblLook w:val="04A0" w:firstRow="1" w:lastRow="0" w:firstColumn="1" w:lastColumn="0" w:noHBand="0" w:noVBand="1"/>
      </w:tblPr>
      <w:tblGrid>
        <w:gridCol w:w="4297"/>
        <w:gridCol w:w="1210"/>
        <w:gridCol w:w="1781"/>
        <w:gridCol w:w="1783"/>
      </w:tblGrid>
      <w:tr w:rsidR="004625BD" w:rsidRPr="00521670" w14:paraId="694F9342" w14:textId="77777777" w:rsidTr="00BA023A">
        <w:trPr>
          <w:trHeight w:val="529"/>
        </w:trPr>
        <w:tc>
          <w:tcPr>
            <w:tcW w:w="2287" w:type="pct"/>
            <w:tcBorders>
              <w:top w:val="nil"/>
              <w:left w:val="nil"/>
              <w:bottom w:val="nil"/>
              <w:right w:val="nil"/>
            </w:tcBorders>
            <w:shd w:val="clear" w:color="000000" w:fill="0070C0"/>
            <w:noWrap/>
            <w:vAlign w:val="center"/>
            <w:hideMark/>
          </w:tcPr>
          <w:p w14:paraId="2AB69BA0" w14:textId="747FD895" w:rsidR="004625BD" w:rsidRPr="00521670" w:rsidRDefault="000E0EB3" w:rsidP="00851412">
            <w:pPr>
              <w:pStyle w:val="Tablehead"/>
              <w:rPr>
                <w:szCs w:val="18"/>
                <w:lang w:val="ru-RU" w:eastAsia="en-GB"/>
              </w:rPr>
            </w:pPr>
            <w:r w:rsidRPr="00521670">
              <w:rPr>
                <w:rFonts w:cs="Calibri"/>
                <w:szCs w:val="18"/>
                <w:lang w:val="ru-RU" w:eastAsia="en-GB"/>
              </w:rPr>
              <w:t>Описание</w:t>
            </w:r>
          </w:p>
        </w:tc>
        <w:tc>
          <w:tcPr>
            <w:tcW w:w="679" w:type="pct"/>
            <w:tcBorders>
              <w:top w:val="nil"/>
              <w:left w:val="nil"/>
              <w:bottom w:val="nil"/>
              <w:right w:val="nil"/>
            </w:tcBorders>
            <w:shd w:val="clear" w:color="000000" w:fill="0070C0"/>
            <w:vAlign w:val="center"/>
            <w:hideMark/>
          </w:tcPr>
          <w:p w14:paraId="3A7D03A5" w14:textId="10458AB7" w:rsidR="004625BD" w:rsidRPr="00521670" w:rsidRDefault="000E0EB3" w:rsidP="000E0EB3">
            <w:pPr>
              <w:pStyle w:val="Tablehead"/>
              <w:rPr>
                <w:szCs w:val="18"/>
                <w:lang w:val="ru-RU" w:eastAsia="en-GB"/>
              </w:rPr>
            </w:pPr>
            <w:r w:rsidRPr="00521670">
              <w:rPr>
                <w:rFonts w:cs="Calibri"/>
                <w:szCs w:val="18"/>
                <w:lang w:val="ru-RU" w:eastAsia="en-GB"/>
              </w:rPr>
              <w:t>Примечания</w:t>
            </w:r>
          </w:p>
        </w:tc>
        <w:tc>
          <w:tcPr>
            <w:tcW w:w="1024" w:type="pct"/>
            <w:tcBorders>
              <w:top w:val="nil"/>
              <w:left w:val="nil"/>
              <w:bottom w:val="nil"/>
              <w:right w:val="nil"/>
            </w:tcBorders>
            <w:shd w:val="clear" w:color="000000" w:fill="0070C0"/>
            <w:vAlign w:val="center"/>
            <w:hideMark/>
          </w:tcPr>
          <w:p w14:paraId="7F357582" w14:textId="397DE564" w:rsidR="004625BD" w:rsidRPr="00521670" w:rsidRDefault="004625BD" w:rsidP="000E0EB3">
            <w:pPr>
              <w:pStyle w:val="Tablehead"/>
              <w:rPr>
                <w:szCs w:val="18"/>
                <w:lang w:val="ru-RU" w:eastAsia="en-GB"/>
              </w:rPr>
            </w:pPr>
            <w:r w:rsidRPr="00521670">
              <w:rPr>
                <w:szCs w:val="18"/>
                <w:lang w:val="ru-RU" w:eastAsia="en-GB"/>
              </w:rPr>
              <w:t xml:space="preserve">32 </w:t>
            </w:r>
            <w:r w:rsidR="000E0EB3" w:rsidRPr="00521670">
              <w:rPr>
                <w:szCs w:val="18"/>
                <w:lang w:val="ru-RU" w:eastAsia="en-GB"/>
              </w:rPr>
              <w:t>декабря</w:t>
            </w:r>
            <w:r w:rsidRPr="00521670">
              <w:rPr>
                <w:szCs w:val="18"/>
                <w:lang w:val="ru-RU" w:eastAsia="en-GB"/>
              </w:rPr>
              <w:t xml:space="preserve"> 2024</w:t>
            </w:r>
            <w:r w:rsidR="000E0EB3" w:rsidRPr="00521670">
              <w:rPr>
                <w:szCs w:val="18"/>
                <w:lang w:val="ru-RU" w:eastAsia="en-GB"/>
              </w:rPr>
              <w:t xml:space="preserve"> г.</w:t>
            </w:r>
          </w:p>
        </w:tc>
        <w:tc>
          <w:tcPr>
            <w:tcW w:w="1010" w:type="pct"/>
            <w:tcBorders>
              <w:top w:val="nil"/>
              <w:left w:val="nil"/>
              <w:bottom w:val="nil"/>
              <w:right w:val="nil"/>
            </w:tcBorders>
            <w:shd w:val="clear" w:color="000000" w:fill="0070C0"/>
            <w:vAlign w:val="center"/>
            <w:hideMark/>
          </w:tcPr>
          <w:p w14:paraId="40E9EDAB" w14:textId="1AA90ACB" w:rsidR="004625BD" w:rsidRPr="00521670" w:rsidRDefault="004625BD" w:rsidP="000E0EB3">
            <w:pPr>
              <w:pStyle w:val="Tablehead"/>
              <w:rPr>
                <w:szCs w:val="18"/>
                <w:lang w:val="ru-RU" w:eastAsia="en-GB"/>
              </w:rPr>
            </w:pPr>
            <w:r w:rsidRPr="00521670">
              <w:rPr>
                <w:szCs w:val="18"/>
                <w:lang w:val="ru-RU" w:eastAsia="en-GB"/>
              </w:rPr>
              <w:t xml:space="preserve">31 </w:t>
            </w:r>
            <w:r w:rsidR="000E0EB3" w:rsidRPr="00521670">
              <w:rPr>
                <w:szCs w:val="18"/>
                <w:lang w:val="ru-RU" w:eastAsia="en-GB"/>
              </w:rPr>
              <w:t>декабря</w:t>
            </w:r>
            <w:r w:rsidRPr="00521670">
              <w:rPr>
                <w:szCs w:val="18"/>
                <w:lang w:val="ru-RU" w:eastAsia="en-GB"/>
              </w:rPr>
              <w:t xml:space="preserve"> 2023</w:t>
            </w:r>
            <w:r w:rsidR="000E0EB3" w:rsidRPr="00521670">
              <w:rPr>
                <w:szCs w:val="18"/>
                <w:lang w:val="ru-RU" w:eastAsia="en-GB"/>
              </w:rPr>
              <w:t xml:space="preserve"> г.</w:t>
            </w:r>
          </w:p>
        </w:tc>
      </w:tr>
      <w:tr w:rsidR="000E0EB3" w:rsidRPr="00521670" w14:paraId="6A2142E2" w14:textId="77777777" w:rsidTr="00BA023A">
        <w:trPr>
          <w:trHeight w:val="150"/>
        </w:trPr>
        <w:tc>
          <w:tcPr>
            <w:tcW w:w="5000" w:type="pct"/>
            <w:gridSpan w:val="4"/>
            <w:tcBorders>
              <w:top w:val="nil"/>
              <w:left w:val="nil"/>
              <w:bottom w:val="nil"/>
              <w:right w:val="nil"/>
            </w:tcBorders>
            <w:shd w:val="clear" w:color="auto" w:fill="auto"/>
            <w:noWrap/>
            <w:vAlign w:val="bottom"/>
            <w:hideMark/>
          </w:tcPr>
          <w:p w14:paraId="46C0B65F" w14:textId="77777777" w:rsidR="000E0EB3" w:rsidRPr="00521670" w:rsidRDefault="000E0EB3" w:rsidP="000E0EB3">
            <w:pPr>
              <w:pStyle w:val="Tabletext"/>
              <w:rPr>
                <w:szCs w:val="18"/>
                <w:lang w:val="ru-RU" w:eastAsia="en-GB"/>
              </w:rPr>
            </w:pPr>
          </w:p>
        </w:tc>
      </w:tr>
      <w:tr w:rsidR="004625BD" w:rsidRPr="00521670" w14:paraId="3415E300" w14:textId="77777777" w:rsidTr="00BA023A">
        <w:trPr>
          <w:trHeight w:val="255"/>
        </w:trPr>
        <w:tc>
          <w:tcPr>
            <w:tcW w:w="2287" w:type="pct"/>
            <w:tcBorders>
              <w:top w:val="nil"/>
              <w:left w:val="nil"/>
              <w:bottom w:val="nil"/>
              <w:right w:val="nil"/>
            </w:tcBorders>
            <w:shd w:val="clear" w:color="auto" w:fill="auto"/>
            <w:noWrap/>
            <w:hideMark/>
          </w:tcPr>
          <w:p w14:paraId="190FD948" w14:textId="7705811C" w:rsidR="004625BD" w:rsidRPr="00521670" w:rsidRDefault="000E0EB3" w:rsidP="000E0EB3">
            <w:pPr>
              <w:pStyle w:val="Tabletext"/>
              <w:rPr>
                <w:szCs w:val="18"/>
                <w:lang w:val="ru-RU" w:eastAsia="en-GB"/>
              </w:rPr>
            </w:pPr>
            <w:r w:rsidRPr="00521670">
              <w:rPr>
                <w:rFonts w:cs="Calibri"/>
                <w:b/>
                <w:bCs/>
                <w:szCs w:val="18"/>
                <w:lang w:val="ru-RU" w:eastAsia="fr-FR"/>
              </w:rPr>
              <w:t>ДОХОДЫ</w:t>
            </w:r>
          </w:p>
        </w:tc>
        <w:tc>
          <w:tcPr>
            <w:tcW w:w="679" w:type="pct"/>
            <w:tcBorders>
              <w:top w:val="nil"/>
              <w:left w:val="nil"/>
              <w:bottom w:val="nil"/>
              <w:right w:val="nil"/>
            </w:tcBorders>
            <w:shd w:val="clear" w:color="auto" w:fill="auto"/>
            <w:noWrap/>
            <w:hideMark/>
          </w:tcPr>
          <w:p w14:paraId="100F5854" w14:textId="77777777" w:rsidR="004625BD" w:rsidRPr="00521670" w:rsidRDefault="004625BD" w:rsidP="000E0EB3">
            <w:pPr>
              <w:pStyle w:val="Tabletext"/>
              <w:jc w:val="center"/>
              <w:rPr>
                <w:szCs w:val="18"/>
                <w:lang w:val="ru-RU" w:eastAsia="en-GB"/>
              </w:rPr>
            </w:pPr>
            <w:r w:rsidRPr="00521670">
              <w:rPr>
                <w:szCs w:val="18"/>
                <w:lang w:val="ru-RU" w:eastAsia="en-GB"/>
              </w:rPr>
              <w:t>18</w:t>
            </w:r>
          </w:p>
        </w:tc>
        <w:tc>
          <w:tcPr>
            <w:tcW w:w="1024" w:type="pct"/>
            <w:tcBorders>
              <w:top w:val="nil"/>
              <w:left w:val="nil"/>
              <w:bottom w:val="nil"/>
              <w:right w:val="nil"/>
            </w:tcBorders>
            <w:shd w:val="clear" w:color="auto" w:fill="auto"/>
            <w:noWrap/>
            <w:hideMark/>
          </w:tcPr>
          <w:p w14:paraId="4FA377C2" w14:textId="77777777" w:rsidR="004625BD" w:rsidRPr="00521670" w:rsidRDefault="004625BD" w:rsidP="000E0EB3">
            <w:pPr>
              <w:pStyle w:val="Tabletext"/>
              <w:jc w:val="right"/>
              <w:rPr>
                <w:szCs w:val="18"/>
                <w:lang w:val="ru-RU" w:eastAsia="en-GB"/>
              </w:rPr>
            </w:pPr>
          </w:p>
        </w:tc>
        <w:tc>
          <w:tcPr>
            <w:tcW w:w="1010" w:type="pct"/>
            <w:tcBorders>
              <w:top w:val="nil"/>
              <w:left w:val="nil"/>
              <w:bottom w:val="nil"/>
              <w:right w:val="nil"/>
            </w:tcBorders>
            <w:shd w:val="clear" w:color="auto" w:fill="auto"/>
            <w:noWrap/>
            <w:hideMark/>
          </w:tcPr>
          <w:p w14:paraId="4D36382D" w14:textId="77777777" w:rsidR="004625BD" w:rsidRPr="00521670" w:rsidRDefault="004625BD" w:rsidP="000E0EB3">
            <w:pPr>
              <w:pStyle w:val="Tabletext"/>
              <w:jc w:val="right"/>
              <w:rPr>
                <w:szCs w:val="18"/>
                <w:lang w:val="ru-RU" w:eastAsia="en-GB"/>
              </w:rPr>
            </w:pPr>
          </w:p>
        </w:tc>
      </w:tr>
      <w:tr w:rsidR="000E0EB3" w:rsidRPr="00521670" w14:paraId="7FCD419E" w14:textId="77777777" w:rsidTr="00BA023A">
        <w:trPr>
          <w:trHeight w:val="150"/>
        </w:trPr>
        <w:tc>
          <w:tcPr>
            <w:tcW w:w="5000" w:type="pct"/>
            <w:gridSpan w:val="4"/>
            <w:tcBorders>
              <w:top w:val="nil"/>
              <w:left w:val="nil"/>
              <w:bottom w:val="nil"/>
              <w:right w:val="nil"/>
            </w:tcBorders>
            <w:shd w:val="clear" w:color="auto" w:fill="auto"/>
            <w:noWrap/>
            <w:hideMark/>
          </w:tcPr>
          <w:p w14:paraId="5C6091FB" w14:textId="77777777" w:rsidR="000E0EB3" w:rsidRPr="00521670" w:rsidRDefault="000E0EB3" w:rsidP="000E0EB3">
            <w:pPr>
              <w:pStyle w:val="Tabletext"/>
              <w:jc w:val="right"/>
              <w:rPr>
                <w:szCs w:val="18"/>
                <w:lang w:val="ru-RU" w:eastAsia="en-GB"/>
              </w:rPr>
            </w:pPr>
          </w:p>
        </w:tc>
      </w:tr>
      <w:tr w:rsidR="000E0EB3" w:rsidRPr="00521670" w14:paraId="77B32C37" w14:textId="77777777" w:rsidTr="00BA023A">
        <w:trPr>
          <w:trHeight w:val="300"/>
        </w:trPr>
        <w:tc>
          <w:tcPr>
            <w:tcW w:w="2287" w:type="pct"/>
            <w:tcBorders>
              <w:top w:val="nil"/>
              <w:left w:val="nil"/>
              <w:bottom w:val="nil"/>
              <w:right w:val="nil"/>
            </w:tcBorders>
            <w:shd w:val="clear" w:color="auto" w:fill="auto"/>
            <w:noWrap/>
            <w:hideMark/>
          </w:tcPr>
          <w:p w14:paraId="005B38C6" w14:textId="2E7A989F" w:rsidR="000E0EB3" w:rsidRPr="00521670" w:rsidRDefault="000E0EB3" w:rsidP="000E0EB3">
            <w:pPr>
              <w:pStyle w:val="Tabletext"/>
              <w:rPr>
                <w:szCs w:val="18"/>
                <w:lang w:val="ru-RU" w:eastAsia="en-GB"/>
              </w:rPr>
            </w:pPr>
            <w:r w:rsidRPr="00521670">
              <w:rPr>
                <w:rFonts w:cs="Calibri"/>
                <w:szCs w:val="18"/>
                <w:lang w:val="ru-RU" w:eastAsia="fr-FR"/>
              </w:rPr>
              <w:t>Начисленные взносы</w:t>
            </w:r>
          </w:p>
        </w:tc>
        <w:tc>
          <w:tcPr>
            <w:tcW w:w="679" w:type="pct"/>
            <w:tcBorders>
              <w:top w:val="nil"/>
              <w:left w:val="nil"/>
              <w:bottom w:val="nil"/>
              <w:right w:val="nil"/>
            </w:tcBorders>
            <w:shd w:val="clear" w:color="auto" w:fill="auto"/>
            <w:noWrap/>
            <w:hideMark/>
          </w:tcPr>
          <w:p w14:paraId="469DA679"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3C7FE8A1" w14:textId="3D7660F8" w:rsidR="000E0EB3" w:rsidRPr="00521670" w:rsidRDefault="000E0EB3" w:rsidP="000E0EB3">
            <w:pPr>
              <w:pStyle w:val="Tabletext"/>
              <w:jc w:val="right"/>
              <w:rPr>
                <w:szCs w:val="18"/>
                <w:lang w:val="ru-RU" w:eastAsia="en-GB"/>
              </w:rPr>
            </w:pPr>
            <w:r w:rsidRPr="00521670">
              <w:rPr>
                <w:szCs w:val="18"/>
                <w:lang w:val="ru-RU" w:eastAsia="en-GB"/>
              </w:rPr>
              <w:t>130 917</w:t>
            </w:r>
          </w:p>
        </w:tc>
        <w:tc>
          <w:tcPr>
            <w:tcW w:w="1010" w:type="pct"/>
            <w:tcBorders>
              <w:top w:val="nil"/>
              <w:left w:val="nil"/>
              <w:bottom w:val="nil"/>
              <w:right w:val="nil"/>
            </w:tcBorders>
            <w:shd w:val="clear" w:color="auto" w:fill="auto"/>
            <w:noWrap/>
            <w:vAlign w:val="bottom"/>
            <w:hideMark/>
          </w:tcPr>
          <w:p w14:paraId="120C29FB" w14:textId="3029134A" w:rsidR="000E0EB3" w:rsidRPr="00521670" w:rsidRDefault="000E0EB3" w:rsidP="000E0EB3">
            <w:pPr>
              <w:pStyle w:val="Tabletext"/>
              <w:jc w:val="right"/>
              <w:rPr>
                <w:szCs w:val="18"/>
                <w:lang w:val="ru-RU" w:eastAsia="en-GB"/>
              </w:rPr>
            </w:pPr>
            <w:r w:rsidRPr="00521670">
              <w:rPr>
                <w:szCs w:val="18"/>
                <w:lang w:val="ru-RU" w:eastAsia="en-GB"/>
              </w:rPr>
              <w:t>127 562</w:t>
            </w:r>
          </w:p>
        </w:tc>
      </w:tr>
      <w:tr w:rsidR="000E0EB3" w:rsidRPr="00521670" w14:paraId="70830249" w14:textId="77777777" w:rsidTr="00BA023A">
        <w:trPr>
          <w:trHeight w:val="300"/>
        </w:trPr>
        <w:tc>
          <w:tcPr>
            <w:tcW w:w="2287" w:type="pct"/>
            <w:tcBorders>
              <w:top w:val="nil"/>
              <w:left w:val="nil"/>
              <w:bottom w:val="nil"/>
              <w:right w:val="nil"/>
            </w:tcBorders>
            <w:shd w:val="clear" w:color="auto" w:fill="auto"/>
            <w:noWrap/>
            <w:hideMark/>
          </w:tcPr>
          <w:p w14:paraId="2FB4365D" w14:textId="4E371DCD" w:rsidR="000E0EB3" w:rsidRPr="00521670" w:rsidRDefault="000E0EB3" w:rsidP="000E0EB3">
            <w:pPr>
              <w:pStyle w:val="Tabletext"/>
              <w:rPr>
                <w:szCs w:val="18"/>
                <w:lang w:val="ru-RU" w:eastAsia="en-GB"/>
              </w:rPr>
            </w:pPr>
            <w:r w:rsidRPr="00521670">
              <w:rPr>
                <w:rFonts w:cs="Calibri"/>
                <w:szCs w:val="18"/>
                <w:lang w:val="ru-RU" w:eastAsia="en-GB"/>
              </w:rPr>
              <w:t>Внебюджетные взносы</w:t>
            </w:r>
          </w:p>
        </w:tc>
        <w:tc>
          <w:tcPr>
            <w:tcW w:w="679" w:type="pct"/>
            <w:tcBorders>
              <w:top w:val="nil"/>
              <w:left w:val="nil"/>
              <w:bottom w:val="nil"/>
              <w:right w:val="nil"/>
            </w:tcBorders>
            <w:shd w:val="clear" w:color="auto" w:fill="auto"/>
            <w:noWrap/>
            <w:hideMark/>
          </w:tcPr>
          <w:p w14:paraId="2F965558"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12B01C2E" w14:textId="6D35A135" w:rsidR="000E0EB3" w:rsidRPr="00521670" w:rsidRDefault="000E0EB3" w:rsidP="000E0EB3">
            <w:pPr>
              <w:pStyle w:val="Tabletext"/>
              <w:jc w:val="right"/>
              <w:rPr>
                <w:szCs w:val="18"/>
                <w:lang w:val="ru-RU" w:eastAsia="en-GB"/>
              </w:rPr>
            </w:pPr>
            <w:r w:rsidRPr="00521670">
              <w:rPr>
                <w:szCs w:val="18"/>
                <w:lang w:val="ru-RU" w:eastAsia="en-GB"/>
              </w:rPr>
              <w:t>21 291</w:t>
            </w:r>
          </w:p>
        </w:tc>
        <w:tc>
          <w:tcPr>
            <w:tcW w:w="1010" w:type="pct"/>
            <w:tcBorders>
              <w:top w:val="nil"/>
              <w:left w:val="nil"/>
              <w:bottom w:val="nil"/>
              <w:right w:val="nil"/>
            </w:tcBorders>
            <w:shd w:val="clear" w:color="auto" w:fill="auto"/>
            <w:noWrap/>
            <w:vAlign w:val="bottom"/>
            <w:hideMark/>
          </w:tcPr>
          <w:p w14:paraId="0935D041" w14:textId="32D5D148" w:rsidR="000E0EB3" w:rsidRPr="00521670" w:rsidRDefault="000E0EB3" w:rsidP="000E0EB3">
            <w:pPr>
              <w:pStyle w:val="Tabletext"/>
              <w:jc w:val="right"/>
              <w:rPr>
                <w:szCs w:val="18"/>
                <w:lang w:val="ru-RU" w:eastAsia="en-GB"/>
              </w:rPr>
            </w:pPr>
            <w:r w:rsidRPr="00521670">
              <w:rPr>
                <w:szCs w:val="18"/>
                <w:lang w:val="ru-RU" w:eastAsia="en-GB"/>
              </w:rPr>
              <w:t>18 952</w:t>
            </w:r>
          </w:p>
        </w:tc>
      </w:tr>
      <w:tr w:rsidR="000E0EB3" w:rsidRPr="00521670" w14:paraId="404DD4E7" w14:textId="77777777" w:rsidTr="00BA023A">
        <w:trPr>
          <w:trHeight w:val="300"/>
        </w:trPr>
        <w:tc>
          <w:tcPr>
            <w:tcW w:w="2287" w:type="pct"/>
            <w:tcBorders>
              <w:top w:val="nil"/>
              <w:left w:val="nil"/>
              <w:bottom w:val="nil"/>
              <w:right w:val="nil"/>
            </w:tcBorders>
            <w:shd w:val="clear" w:color="auto" w:fill="auto"/>
            <w:noWrap/>
            <w:hideMark/>
          </w:tcPr>
          <w:p w14:paraId="6CFB9EF5" w14:textId="315E1A2C" w:rsidR="000E0EB3" w:rsidRPr="00521670" w:rsidRDefault="000E0EB3" w:rsidP="000E0EB3">
            <w:pPr>
              <w:pStyle w:val="Tabletext"/>
              <w:rPr>
                <w:szCs w:val="18"/>
                <w:lang w:val="ru-RU" w:eastAsia="en-GB"/>
              </w:rPr>
            </w:pPr>
            <w:r w:rsidRPr="00521670">
              <w:rPr>
                <w:rFonts w:cs="Calibri"/>
                <w:szCs w:val="18"/>
                <w:lang w:val="ru-RU" w:eastAsia="fr-FR"/>
              </w:rPr>
              <w:t xml:space="preserve">Прочие доходы от деятельности </w:t>
            </w:r>
          </w:p>
        </w:tc>
        <w:tc>
          <w:tcPr>
            <w:tcW w:w="679" w:type="pct"/>
            <w:tcBorders>
              <w:top w:val="nil"/>
              <w:left w:val="nil"/>
              <w:bottom w:val="nil"/>
              <w:right w:val="nil"/>
            </w:tcBorders>
            <w:shd w:val="clear" w:color="auto" w:fill="auto"/>
            <w:noWrap/>
            <w:hideMark/>
          </w:tcPr>
          <w:p w14:paraId="0C0E0156"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4DB59D08" w14:textId="0172E789" w:rsidR="000E0EB3" w:rsidRPr="00521670" w:rsidRDefault="000E0EB3" w:rsidP="000E0EB3">
            <w:pPr>
              <w:pStyle w:val="Tabletext"/>
              <w:jc w:val="right"/>
              <w:rPr>
                <w:szCs w:val="18"/>
                <w:lang w:val="ru-RU" w:eastAsia="en-GB"/>
              </w:rPr>
            </w:pPr>
            <w:r w:rsidRPr="00521670">
              <w:rPr>
                <w:szCs w:val="18"/>
                <w:lang w:val="ru-RU" w:eastAsia="en-GB"/>
              </w:rPr>
              <w:t>32 440</w:t>
            </w:r>
          </w:p>
        </w:tc>
        <w:tc>
          <w:tcPr>
            <w:tcW w:w="1010" w:type="pct"/>
            <w:tcBorders>
              <w:top w:val="nil"/>
              <w:left w:val="nil"/>
              <w:bottom w:val="nil"/>
              <w:right w:val="nil"/>
            </w:tcBorders>
            <w:shd w:val="clear" w:color="auto" w:fill="auto"/>
            <w:noWrap/>
            <w:vAlign w:val="bottom"/>
            <w:hideMark/>
          </w:tcPr>
          <w:p w14:paraId="4B561419" w14:textId="4FCA7C80" w:rsidR="000E0EB3" w:rsidRPr="00521670" w:rsidRDefault="000E0EB3" w:rsidP="000E0EB3">
            <w:pPr>
              <w:pStyle w:val="Tabletext"/>
              <w:jc w:val="right"/>
              <w:rPr>
                <w:szCs w:val="18"/>
                <w:lang w:val="ru-RU" w:eastAsia="en-GB"/>
              </w:rPr>
            </w:pPr>
            <w:r w:rsidRPr="00521670">
              <w:rPr>
                <w:szCs w:val="18"/>
                <w:lang w:val="ru-RU" w:eastAsia="en-GB"/>
              </w:rPr>
              <w:t>34 145</w:t>
            </w:r>
          </w:p>
        </w:tc>
      </w:tr>
      <w:tr w:rsidR="000E0EB3" w:rsidRPr="00521670" w14:paraId="1BDD0AC5" w14:textId="77777777" w:rsidTr="00BA023A">
        <w:trPr>
          <w:trHeight w:val="150"/>
        </w:trPr>
        <w:tc>
          <w:tcPr>
            <w:tcW w:w="5000" w:type="pct"/>
            <w:gridSpan w:val="4"/>
            <w:tcBorders>
              <w:top w:val="nil"/>
              <w:left w:val="nil"/>
              <w:bottom w:val="nil"/>
              <w:right w:val="nil"/>
            </w:tcBorders>
            <w:shd w:val="clear" w:color="auto" w:fill="auto"/>
            <w:noWrap/>
          </w:tcPr>
          <w:p w14:paraId="6558D47F" w14:textId="156C7B89" w:rsidR="000E0EB3" w:rsidRPr="00521670" w:rsidRDefault="000E0EB3" w:rsidP="000E0EB3">
            <w:pPr>
              <w:pStyle w:val="Tabletext"/>
              <w:jc w:val="right"/>
              <w:rPr>
                <w:szCs w:val="18"/>
                <w:lang w:val="ru-RU" w:eastAsia="en-GB"/>
              </w:rPr>
            </w:pPr>
          </w:p>
        </w:tc>
      </w:tr>
      <w:tr w:rsidR="004625BD" w:rsidRPr="00521670" w14:paraId="22EF2980" w14:textId="77777777" w:rsidTr="00BA023A">
        <w:trPr>
          <w:trHeight w:val="289"/>
        </w:trPr>
        <w:tc>
          <w:tcPr>
            <w:tcW w:w="2287" w:type="pct"/>
            <w:tcBorders>
              <w:top w:val="nil"/>
              <w:left w:val="nil"/>
              <w:bottom w:val="nil"/>
              <w:right w:val="nil"/>
            </w:tcBorders>
            <w:shd w:val="clear" w:color="auto" w:fill="auto"/>
            <w:noWrap/>
            <w:vAlign w:val="center"/>
            <w:hideMark/>
          </w:tcPr>
          <w:p w14:paraId="09F2D9FF" w14:textId="7FDE257C" w:rsidR="004625BD" w:rsidRPr="00521670" w:rsidRDefault="000E0EB3" w:rsidP="000E0EB3">
            <w:pPr>
              <w:pStyle w:val="Tabletext"/>
              <w:rPr>
                <w:b/>
                <w:bCs/>
                <w:szCs w:val="18"/>
                <w:lang w:val="ru-RU" w:eastAsia="en-GB"/>
              </w:rPr>
            </w:pPr>
            <w:r w:rsidRPr="00521670">
              <w:rPr>
                <w:rFonts w:cs="Calibri"/>
                <w:b/>
                <w:bCs/>
                <w:szCs w:val="18"/>
                <w:lang w:val="ru-RU" w:eastAsia="fr-FR"/>
              </w:rPr>
              <w:t>Всего: доходы</w:t>
            </w:r>
          </w:p>
        </w:tc>
        <w:tc>
          <w:tcPr>
            <w:tcW w:w="679" w:type="pct"/>
            <w:tcBorders>
              <w:top w:val="nil"/>
              <w:left w:val="nil"/>
              <w:bottom w:val="nil"/>
              <w:right w:val="nil"/>
            </w:tcBorders>
            <w:shd w:val="clear" w:color="auto" w:fill="auto"/>
            <w:noWrap/>
            <w:vAlign w:val="center"/>
            <w:hideMark/>
          </w:tcPr>
          <w:p w14:paraId="44A1C87B" w14:textId="77777777" w:rsidR="004625BD" w:rsidRPr="00521670" w:rsidRDefault="004625BD" w:rsidP="000E0EB3">
            <w:pPr>
              <w:pStyle w:val="Tabletext"/>
              <w:jc w:val="right"/>
              <w:rPr>
                <w:b/>
                <w:bCs/>
                <w:szCs w:val="18"/>
                <w:lang w:val="ru-RU" w:eastAsia="en-GB"/>
              </w:rPr>
            </w:pPr>
          </w:p>
        </w:tc>
        <w:tc>
          <w:tcPr>
            <w:tcW w:w="1024" w:type="pct"/>
            <w:tcBorders>
              <w:top w:val="nil"/>
              <w:left w:val="nil"/>
              <w:bottom w:val="nil"/>
              <w:right w:val="nil"/>
            </w:tcBorders>
            <w:shd w:val="clear" w:color="auto" w:fill="auto"/>
            <w:noWrap/>
            <w:vAlign w:val="center"/>
            <w:hideMark/>
          </w:tcPr>
          <w:p w14:paraId="22F0B7FA" w14:textId="25638C40" w:rsidR="004625BD" w:rsidRPr="00521670" w:rsidRDefault="004625BD" w:rsidP="000E0EB3">
            <w:pPr>
              <w:pStyle w:val="Tabletext"/>
              <w:jc w:val="right"/>
              <w:rPr>
                <w:b/>
                <w:bCs/>
                <w:szCs w:val="18"/>
                <w:lang w:val="ru-RU" w:eastAsia="en-GB"/>
              </w:rPr>
            </w:pPr>
            <w:r w:rsidRPr="00521670">
              <w:rPr>
                <w:b/>
                <w:bCs/>
                <w:szCs w:val="18"/>
                <w:lang w:val="ru-RU" w:eastAsia="en-GB"/>
              </w:rPr>
              <w:t>184 648</w:t>
            </w:r>
          </w:p>
        </w:tc>
        <w:tc>
          <w:tcPr>
            <w:tcW w:w="1010" w:type="pct"/>
            <w:tcBorders>
              <w:top w:val="nil"/>
              <w:left w:val="nil"/>
              <w:bottom w:val="nil"/>
              <w:right w:val="nil"/>
            </w:tcBorders>
            <w:shd w:val="clear" w:color="auto" w:fill="auto"/>
            <w:noWrap/>
            <w:vAlign w:val="center"/>
            <w:hideMark/>
          </w:tcPr>
          <w:p w14:paraId="07CEC884" w14:textId="058DA0EE" w:rsidR="004625BD" w:rsidRPr="00521670" w:rsidRDefault="004625BD" w:rsidP="000E0EB3">
            <w:pPr>
              <w:pStyle w:val="Tabletext"/>
              <w:jc w:val="right"/>
              <w:rPr>
                <w:b/>
                <w:bCs/>
                <w:szCs w:val="18"/>
                <w:lang w:val="ru-RU" w:eastAsia="en-GB"/>
              </w:rPr>
            </w:pPr>
            <w:r w:rsidRPr="00521670">
              <w:rPr>
                <w:b/>
                <w:bCs/>
                <w:szCs w:val="18"/>
                <w:lang w:val="ru-RU" w:eastAsia="en-GB"/>
              </w:rPr>
              <w:t>180 659</w:t>
            </w:r>
          </w:p>
        </w:tc>
      </w:tr>
      <w:tr w:rsidR="000E0EB3" w:rsidRPr="00521670" w14:paraId="63ADAA7F" w14:textId="77777777" w:rsidTr="00BA023A">
        <w:trPr>
          <w:trHeight w:val="300"/>
        </w:trPr>
        <w:tc>
          <w:tcPr>
            <w:tcW w:w="5000" w:type="pct"/>
            <w:gridSpan w:val="4"/>
            <w:tcBorders>
              <w:top w:val="nil"/>
              <w:left w:val="nil"/>
              <w:bottom w:val="nil"/>
              <w:right w:val="nil"/>
            </w:tcBorders>
            <w:shd w:val="clear" w:color="auto" w:fill="auto"/>
            <w:noWrap/>
            <w:hideMark/>
          </w:tcPr>
          <w:p w14:paraId="3DE3B543" w14:textId="77777777" w:rsidR="000E0EB3" w:rsidRPr="00521670" w:rsidRDefault="000E0EB3" w:rsidP="000E0EB3">
            <w:pPr>
              <w:pStyle w:val="Tabletext"/>
              <w:jc w:val="right"/>
              <w:rPr>
                <w:szCs w:val="18"/>
                <w:lang w:val="ru-RU" w:eastAsia="en-GB"/>
              </w:rPr>
            </w:pPr>
          </w:p>
        </w:tc>
      </w:tr>
      <w:tr w:rsidR="004625BD" w:rsidRPr="00521670" w14:paraId="19A4D4B5" w14:textId="77777777" w:rsidTr="00BA023A">
        <w:trPr>
          <w:trHeight w:val="300"/>
        </w:trPr>
        <w:tc>
          <w:tcPr>
            <w:tcW w:w="2287" w:type="pct"/>
            <w:tcBorders>
              <w:top w:val="nil"/>
              <w:left w:val="nil"/>
              <w:bottom w:val="nil"/>
              <w:right w:val="nil"/>
            </w:tcBorders>
            <w:shd w:val="clear" w:color="auto" w:fill="auto"/>
            <w:noWrap/>
            <w:vAlign w:val="bottom"/>
            <w:hideMark/>
          </w:tcPr>
          <w:p w14:paraId="1872BE34" w14:textId="18DFA200" w:rsidR="004625BD" w:rsidRPr="00521670" w:rsidRDefault="000E0EB3" w:rsidP="000E0EB3">
            <w:pPr>
              <w:pStyle w:val="Tabletext"/>
              <w:rPr>
                <w:b/>
                <w:bCs/>
                <w:szCs w:val="18"/>
                <w:lang w:val="ru-RU" w:eastAsia="en-GB"/>
              </w:rPr>
            </w:pPr>
            <w:r w:rsidRPr="00521670">
              <w:rPr>
                <w:rFonts w:cs="Calibri"/>
                <w:b/>
                <w:bCs/>
                <w:szCs w:val="18"/>
                <w:lang w:val="ru-RU" w:eastAsia="fr-FR"/>
              </w:rPr>
              <w:t>РАСХОДЫ</w:t>
            </w:r>
          </w:p>
        </w:tc>
        <w:tc>
          <w:tcPr>
            <w:tcW w:w="679" w:type="pct"/>
            <w:tcBorders>
              <w:top w:val="nil"/>
              <w:left w:val="nil"/>
              <w:bottom w:val="nil"/>
              <w:right w:val="nil"/>
            </w:tcBorders>
            <w:shd w:val="clear" w:color="auto" w:fill="auto"/>
            <w:noWrap/>
            <w:hideMark/>
          </w:tcPr>
          <w:p w14:paraId="04F7923B" w14:textId="77777777" w:rsidR="004625BD" w:rsidRPr="00521670" w:rsidRDefault="004625BD" w:rsidP="000E0EB3">
            <w:pPr>
              <w:pStyle w:val="Tabletext"/>
              <w:jc w:val="center"/>
              <w:rPr>
                <w:szCs w:val="18"/>
                <w:lang w:val="ru-RU" w:eastAsia="en-GB"/>
              </w:rPr>
            </w:pPr>
            <w:r w:rsidRPr="00521670">
              <w:rPr>
                <w:szCs w:val="18"/>
                <w:lang w:val="ru-RU" w:eastAsia="en-GB"/>
              </w:rPr>
              <w:t>19</w:t>
            </w:r>
          </w:p>
        </w:tc>
        <w:tc>
          <w:tcPr>
            <w:tcW w:w="1024" w:type="pct"/>
            <w:tcBorders>
              <w:top w:val="nil"/>
              <w:left w:val="nil"/>
              <w:bottom w:val="nil"/>
              <w:right w:val="nil"/>
            </w:tcBorders>
            <w:shd w:val="clear" w:color="auto" w:fill="auto"/>
            <w:noWrap/>
            <w:hideMark/>
          </w:tcPr>
          <w:p w14:paraId="41E96674" w14:textId="77777777" w:rsidR="004625BD" w:rsidRPr="00521670" w:rsidRDefault="004625BD" w:rsidP="000E0EB3">
            <w:pPr>
              <w:pStyle w:val="Tabletext"/>
              <w:jc w:val="right"/>
              <w:rPr>
                <w:szCs w:val="18"/>
                <w:lang w:val="ru-RU" w:eastAsia="en-GB"/>
              </w:rPr>
            </w:pPr>
          </w:p>
        </w:tc>
        <w:tc>
          <w:tcPr>
            <w:tcW w:w="1010" w:type="pct"/>
            <w:tcBorders>
              <w:top w:val="nil"/>
              <w:left w:val="nil"/>
              <w:bottom w:val="nil"/>
              <w:right w:val="nil"/>
            </w:tcBorders>
            <w:shd w:val="clear" w:color="auto" w:fill="auto"/>
            <w:noWrap/>
            <w:hideMark/>
          </w:tcPr>
          <w:p w14:paraId="320C36F3" w14:textId="77777777" w:rsidR="004625BD" w:rsidRPr="00521670" w:rsidRDefault="004625BD" w:rsidP="000E0EB3">
            <w:pPr>
              <w:pStyle w:val="Tabletext"/>
              <w:jc w:val="right"/>
              <w:rPr>
                <w:b/>
                <w:bCs/>
                <w:szCs w:val="18"/>
                <w:lang w:val="ru-RU" w:eastAsia="en-GB"/>
              </w:rPr>
            </w:pPr>
          </w:p>
        </w:tc>
      </w:tr>
      <w:tr w:rsidR="000E0EB3" w:rsidRPr="00521670" w14:paraId="76B92186" w14:textId="77777777" w:rsidTr="00BA023A">
        <w:trPr>
          <w:trHeight w:val="150"/>
        </w:trPr>
        <w:tc>
          <w:tcPr>
            <w:tcW w:w="5000" w:type="pct"/>
            <w:gridSpan w:val="4"/>
            <w:tcBorders>
              <w:top w:val="nil"/>
              <w:left w:val="nil"/>
              <w:bottom w:val="nil"/>
              <w:right w:val="nil"/>
            </w:tcBorders>
            <w:shd w:val="clear" w:color="auto" w:fill="auto"/>
            <w:noWrap/>
            <w:hideMark/>
          </w:tcPr>
          <w:p w14:paraId="5FF28A86" w14:textId="77777777" w:rsidR="000E0EB3" w:rsidRPr="00521670" w:rsidRDefault="000E0EB3" w:rsidP="000E0EB3">
            <w:pPr>
              <w:pStyle w:val="Tabletext"/>
              <w:jc w:val="right"/>
              <w:rPr>
                <w:szCs w:val="18"/>
                <w:lang w:val="ru-RU" w:eastAsia="en-GB"/>
              </w:rPr>
            </w:pPr>
          </w:p>
        </w:tc>
      </w:tr>
      <w:tr w:rsidR="000E0EB3" w:rsidRPr="00521670" w14:paraId="5C7206AB" w14:textId="77777777" w:rsidTr="00BA023A">
        <w:trPr>
          <w:trHeight w:val="300"/>
        </w:trPr>
        <w:tc>
          <w:tcPr>
            <w:tcW w:w="2287" w:type="pct"/>
            <w:tcBorders>
              <w:top w:val="nil"/>
              <w:left w:val="nil"/>
              <w:bottom w:val="nil"/>
              <w:right w:val="nil"/>
            </w:tcBorders>
            <w:shd w:val="clear" w:color="auto" w:fill="auto"/>
            <w:noWrap/>
            <w:hideMark/>
          </w:tcPr>
          <w:p w14:paraId="374812A2" w14:textId="4E18411D" w:rsidR="000E0EB3" w:rsidRPr="00521670" w:rsidRDefault="000E0EB3" w:rsidP="000E0EB3">
            <w:pPr>
              <w:pStyle w:val="Tabletext"/>
              <w:rPr>
                <w:szCs w:val="18"/>
                <w:lang w:val="ru-RU" w:eastAsia="en-GB"/>
              </w:rPr>
            </w:pPr>
            <w:r w:rsidRPr="00521670">
              <w:rPr>
                <w:rFonts w:cs="Calibri"/>
                <w:szCs w:val="18"/>
                <w:lang w:val="ru-RU" w:eastAsia="fr-FR"/>
              </w:rPr>
              <w:t xml:space="preserve">Расходы по персоналу </w:t>
            </w:r>
          </w:p>
        </w:tc>
        <w:tc>
          <w:tcPr>
            <w:tcW w:w="679" w:type="pct"/>
            <w:tcBorders>
              <w:top w:val="nil"/>
              <w:left w:val="nil"/>
              <w:bottom w:val="nil"/>
              <w:right w:val="nil"/>
            </w:tcBorders>
            <w:shd w:val="clear" w:color="auto" w:fill="auto"/>
            <w:noWrap/>
            <w:hideMark/>
          </w:tcPr>
          <w:p w14:paraId="62FF9B8E"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1D15B0EF" w14:textId="78D70DB4" w:rsidR="000E0EB3" w:rsidRPr="00521670" w:rsidRDefault="000E0EB3" w:rsidP="000E0EB3">
            <w:pPr>
              <w:pStyle w:val="Tabletext"/>
              <w:jc w:val="right"/>
              <w:rPr>
                <w:szCs w:val="18"/>
                <w:lang w:val="ru-RU" w:eastAsia="en-GB"/>
              </w:rPr>
            </w:pPr>
            <w:r w:rsidRPr="00521670">
              <w:rPr>
                <w:szCs w:val="18"/>
                <w:lang w:val="ru-RU" w:eastAsia="en-GB"/>
              </w:rPr>
              <w:t>142 549</w:t>
            </w:r>
          </w:p>
        </w:tc>
        <w:tc>
          <w:tcPr>
            <w:tcW w:w="1010" w:type="pct"/>
            <w:tcBorders>
              <w:top w:val="nil"/>
              <w:left w:val="nil"/>
              <w:bottom w:val="nil"/>
              <w:right w:val="nil"/>
            </w:tcBorders>
            <w:shd w:val="clear" w:color="auto" w:fill="auto"/>
            <w:noWrap/>
            <w:vAlign w:val="bottom"/>
            <w:hideMark/>
          </w:tcPr>
          <w:p w14:paraId="64319019" w14:textId="26172BAE" w:rsidR="000E0EB3" w:rsidRPr="00521670" w:rsidRDefault="000E0EB3" w:rsidP="000E0EB3">
            <w:pPr>
              <w:pStyle w:val="Tabletext"/>
              <w:jc w:val="right"/>
              <w:rPr>
                <w:szCs w:val="18"/>
                <w:lang w:val="ru-RU" w:eastAsia="en-GB"/>
              </w:rPr>
            </w:pPr>
            <w:r w:rsidRPr="00521670">
              <w:rPr>
                <w:szCs w:val="18"/>
                <w:lang w:val="ru-RU" w:eastAsia="en-GB"/>
              </w:rPr>
              <w:t>150 724</w:t>
            </w:r>
          </w:p>
        </w:tc>
      </w:tr>
      <w:tr w:rsidR="000E0EB3" w:rsidRPr="00521670" w14:paraId="2042EE81" w14:textId="77777777" w:rsidTr="00BA023A">
        <w:trPr>
          <w:trHeight w:val="300"/>
        </w:trPr>
        <w:tc>
          <w:tcPr>
            <w:tcW w:w="2287" w:type="pct"/>
            <w:tcBorders>
              <w:top w:val="nil"/>
              <w:left w:val="nil"/>
              <w:bottom w:val="nil"/>
              <w:right w:val="nil"/>
            </w:tcBorders>
            <w:shd w:val="clear" w:color="auto" w:fill="auto"/>
            <w:noWrap/>
            <w:hideMark/>
          </w:tcPr>
          <w:p w14:paraId="1D76A411" w14:textId="348F55E7" w:rsidR="000E0EB3" w:rsidRPr="00521670" w:rsidRDefault="000E0EB3" w:rsidP="000E0EB3">
            <w:pPr>
              <w:pStyle w:val="Tabletext"/>
              <w:rPr>
                <w:szCs w:val="18"/>
                <w:lang w:val="ru-RU" w:eastAsia="en-GB"/>
              </w:rPr>
            </w:pPr>
            <w:r w:rsidRPr="00521670">
              <w:rPr>
                <w:rFonts w:cs="Calibri"/>
                <w:szCs w:val="18"/>
                <w:lang w:val="ru-RU" w:eastAsia="fr-FR"/>
              </w:rPr>
              <w:t>Служебные командировки</w:t>
            </w:r>
          </w:p>
        </w:tc>
        <w:tc>
          <w:tcPr>
            <w:tcW w:w="679" w:type="pct"/>
            <w:tcBorders>
              <w:top w:val="nil"/>
              <w:left w:val="nil"/>
              <w:bottom w:val="nil"/>
              <w:right w:val="nil"/>
            </w:tcBorders>
            <w:shd w:val="clear" w:color="auto" w:fill="auto"/>
            <w:noWrap/>
            <w:hideMark/>
          </w:tcPr>
          <w:p w14:paraId="6B80E0C3"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68F868EF" w14:textId="7C4186A3" w:rsidR="000E0EB3" w:rsidRPr="00521670" w:rsidRDefault="000E0EB3" w:rsidP="000E0EB3">
            <w:pPr>
              <w:pStyle w:val="Tabletext"/>
              <w:jc w:val="right"/>
              <w:rPr>
                <w:szCs w:val="18"/>
                <w:lang w:val="ru-RU" w:eastAsia="en-GB"/>
              </w:rPr>
            </w:pPr>
            <w:r w:rsidRPr="00521670">
              <w:rPr>
                <w:szCs w:val="18"/>
                <w:lang w:val="ru-RU" w:eastAsia="en-GB"/>
              </w:rPr>
              <w:t>8 177</w:t>
            </w:r>
          </w:p>
        </w:tc>
        <w:tc>
          <w:tcPr>
            <w:tcW w:w="1010" w:type="pct"/>
            <w:tcBorders>
              <w:top w:val="nil"/>
              <w:left w:val="nil"/>
              <w:bottom w:val="nil"/>
              <w:right w:val="nil"/>
            </w:tcBorders>
            <w:shd w:val="clear" w:color="auto" w:fill="auto"/>
            <w:noWrap/>
            <w:vAlign w:val="bottom"/>
            <w:hideMark/>
          </w:tcPr>
          <w:p w14:paraId="1CDE8938" w14:textId="61F38707" w:rsidR="000E0EB3" w:rsidRPr="00521670" w:rsidRDefault="000E0EB3" w:rsidP="000E0EB3">
            <w:pPr>
              <w:pStyle w:val="Tabletext"/>
              <w:jc w:val="right"/>
              <w:rPr>
                <w:szCs w:val="18"/>
                <w:lang w:val="ru-RU" w:eastAsia="en-GB"/>
              </w:rPr>
            </w:pPr>
            <w:r w:rsidRPr="00521670">
              <w:rPr>
                <w:szCs w:val="18"/>
                <w:lang w:val="ru-RU" w:eastAsia="en-GB"/>
              </w:rPr>
              <w:t>7 788</w:t>
            </w:r>
          </w:p>
        </w:tc>
      </w:tr>
      <w:tr w:rsidR="000E0EB3" w:rsidRPr="00521670" w14:paraId="2E005D35" w14:textId="77777777" w:rsidTr="00BA023A">
        <w:trPr>
          <w:trHeight w:val="300"/>
        </w:trPr>
        <w:tc>
          <w:tcPr>
            <w:tcW w:w="2287" w:type="pct"/>
            <w:tcBorders>
              <w:top w:val="nil"/>
              <w:left w:val="nil"/>
              <w:bottom w:val="nil"/>
              <w:right w:val="nil"/>
            </w:tcBorders>
            <w:shd w:val="clear" w:color="auto" w:fill="auto"/>
            <w:noWrap/>
            <w:hideMark/>
          </w:tcPr>
          <w:p w14:paraId="42C49771" w14:textId="07DB81F9" w:rsidR="000E0EB3" w:rsidRPr="00521670" w:rsidRDefault="000E0EB3" w:rsidP="000E0EB3">
            <w:pPr>
              <w:pStyle w:val="Tabletext"/>
              <w:rPr>
                <w:szCs w:val="18"/>
                <w:lang w:val="ru-RU" w:eastAsia="en-GB"/>
              </w:rPr>
            </w:pPr>
            <w:r w:rsidRPr="00521670">
              <w:rPr>
                <w:rFonts w:cs="Calibri"/>
                <w:szCs w:val="18"/>
                <w:lang w:val="ru-RU" w:eastAsia="fr-FR"/>
              </w:rPr>
              <w:t xml:space="preserve">Контрактные услуги </w:t>
            </w:r>
          </w:p>
        </w:tc>
        <w:tc>
          <w:tcPr>
            <w:tcW w:w="679" w:type="pct"/>
            <w:tcBorders>
              <w:top w:val="nil"/>
              <w:left w:val="nil"/>
              <w:bottom w:val="nil"/>
              <w:right w:val="nil"/>
            </w:tcBorders>
            <w:shd w:val="clear" w:color="auto" w:fill="auto"/>
            <w:noWrap/>
            <w:hideMark/>
          </w:tcPr>
          <w:p w14:paraId="0AF295F5"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2D499F3A" w14:textId="2DA3B41D" w:rsidR="000E0EB3" w:rsidRPr="00521670" w:rsidRDefault="000E0EB3" w:rsidP="000E0EB3">
            <w:pPr>
              <w:pStyle w:val="Tabletext"/>
              <w:jc w:val="right"/>
              <w:rPr>
                <w:szCs w:val="18"/>
                <w:lang w:val="ru-RU" w:eastAsia="en-GB"/>
              </w:rPr>
            </w:pPr>
            <w:r w:rsidRPr="00521670">
              <w:rPr>
                <w:szCs w:val="18"/>
                <w:lang w:val="ru-RU" w:eastAsia="en-GB"/>
              </w:rPr>
              <w:t>20 637</w:t>
            </w:r>
          </w:p>
        </w:tc>
        <w:tc>
          <w:tcPr>
            <w:tcW w:w="1010" w:type="pct"/>
            <w:tcBorders>
              <w:top w:val="nil"/>
              <w:left w:val="nil"/>
              <w:bottom w:val="nil"/>
              <w:right w:val="nil"/>
            </w:tcBorders>
            <w:shd w:val="clear" w:color="auto" w:fill="auto"/>
            <w:noWrap/>
            <w:vAlign w:val="bottom"/>
            <w:hideMark/>
          </w:tcPr>
          <w:p w14:paraId="7C6E4956" w14:textId="5690090F" w:rsidR="000E0EB3" w:rsidRPr="00521670" w:rsidRDefault="000E0EB3" w:rsidP="000E0EB3">
            <w:pPr>
              <w:pStyle w:val="Tabletext"/>
              <w:jc w:val="right"/>
              <w:rPr>
                <w:szCs w:val="18"/>
                <w:lang w:val="ru-RU" w:eastAsia="en-GB"/>
              </w:rPr>
            </w:pPr>
            <w:r w:rsidRPr="00521670">
              <w:rPr>
                <w:szCs w:val="18"/>
                <w:lang w:val="ru-RU" w:eastAsia="en-GB"/>
              </w:rPr>
              <w:t>21 821</w:t>
            </w:r>
          </w:p>
        </w:tc>
      </w:tr>
      <w:tr w:rsidR="000E0EB3" w:rsidRPr="00521670" w14:paraId="443746EF" w14:textId="77777777" w:rsidTr="00BA023A">
        <w:trPr>
          <w:trHeight w:val="300"/>
        </w:trPr>
        <w:tc>
          <w:tcPr>
            <w:tcW w:w="2287" w:type="pct"/>
            <w:tcBorders>
              <w:top w:val="nil"/>
              <w:left w:val="nil"/>
              <w:bottom w:val="nil"/>
              <w:right w:val="nil"/>
            </w:tcBorders>
            <w:shd w:val="clear" w:color="auto" w:fill="auto"/>
            <w:noWrap/>
            <w:hideMark/>
          </w:tcPr>
          <w:p w14:paraId="5F04828F" w14:textId="60604E22" w:rsidR="000E0EB3" w:rsidRPr="00521670" w:rsidRDefault="000E0EB3" w:rsidP="000E0EB3">
            <w:pPr>
              <w:pStyle w:val="Tabletext"/>
              <w:rPr>
                <w:szCs w:val="18"/>
                <w:lang w:val="ru-RU" w:eastAsia="en-GB"/>
              </w:rPr>
            </w:pPr>
            <w:r w:rsidRPr="00521670">
              <w:rPr>
                <w:rFonts w:cs="Calibri"/>
                <w:szCs w:val="18"/>
                <w:lang w:val="ru-RU" w:eastAsia="fr-FR"/>
              </w:rPr>
              <w:t xml:space="preserve">Аренда и эксплуатация помещений и оборудования </w:t>
            </w:r>
          </w:p>
        </w:tc>
        <w:tc>
          <w:tcPr>
            <w:tcW w:w="679" w:type="pct"/>
            <w:tcBorders>
              <w:top w:val="nil"/>
              <w:left w:val="nil"/>
              <w:bottom w:val="nil"/>
              <w:right w:val="nil"/>
            </w:tcBorders>
            <w:shd w:val="clear" w:color="auto" w:fill="auto"/>
            <w:noWrap/>
            <w:hideMark/>
          </w:tcPr>
          <w:p w14:paraId="4B118CA7"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70FD909E" w14:textId="2EC744B6" w:rsidR="000E0EB3" w:rsidRPr="00521670" w:rsidRDefault="000E0EB3" w:rsidP="000E0EB3">
            <w:pPr>
              <w:pStyle w:val="Tabletext"/>
              <w:jc w:val="right"/>
              <w:rPr>
                <w:szCs w:val="18"/>
                <w:lang w:val="ru-RU" w:eastAsia="en-GB"/>
              </w:rPr>
            </w:pPr>
            <w:r w:rsidRPr="00521670">
              <w:rPr>
                <w:szCs w:val="18"/>
                <w:lang w:val="ru-RU" w:eastAsia="en-GB"/>
              </w:rPr>
              <w:t>4 002</w:t>
            </w:r>
          </w:p>
        </w:tc>
        <w:tc>
          <w:tcPr>
            <w:tcW w:w="1010" w:type="pct"/>
            <w:tcBorders>
              <w:top w:val="nil"/>
              <w:left w:val="nil"/>
              <w:bottom w:val="nil"/>
              <w:right w:val="nil"/>
            </w:tcBorders>
            <w:shd w:val="clear" w:color="auto" w:fill="auto"/>
            <w:noWrap/>
            <w:vAlign w:val="bottom"/>
            <w:hideMark/>
          </w:tcPr>
          <w:p w14:paraId="4AA20219" w14:textId="3FFDA8E9" w:rsidR="000E0EB3" w:rsidRPr="00521670" w:rsidRDefault="000E0EB3" w:rsidP="000E0EB3">
            <w:pPr>
              <w:pStyle w:val="Tabletext"/>
              <w:jc w:val="right"/>
              <w:rPr>
                <w:szCs w:val="18"/>
                <w:lang w:val="ru-RU" w:eastAsia="en-GB"/>
              </w:rPr>
            </w:pPr>
            <w:r w:rsidRPr="00521670">
              <w:rPr>
                <w:szCs w:val="18"/>
                <w:lang w:val="ru-RU" w:eastAsia="en-GB"/>
              </w:rPr>
              <w:t>3 537</w:t>
            </w:r>
          </w:p>
        </w:tc>
      </w:tr>
      <w:tr w:rsidR="000E0EB3" w:rsidRPr="00521670" w14:paraId="003DC895" w14:textId="77777777" w:rsidTr="00BA023A">
        <w:trPr>
          <w:trHeight w:val="300"/>
        </w:trPr>
        <w:tc>
          <w:tcPr>
            <w:tcW w:w="2287" w:type="pct"/>
            <w:tcBorders>
              <w:top w:val="nil"/>
              <w:left w:val="nil"/>
              <w:bottom w:val="nil"/>
              <w:right w:val="nil"/>
            </w:tcBorders>
            <w:shd w:val="clear" w:color="auto" w:fill="auto"/>
            <w:noWrap/>
            <w:hideMark/>
          </w:tcPr>
          <w:p w14:paraId="17A90E1A" w14:textId="157E2606" w:rsidR="000E0EB3" w:rsidRPr="00521670" w:rsidRDefault="000E0EB3" w:rsidP="000E0EB3">
            <w:pPr>
              <w:pStyle w:val="Tabletext"/>
              <w:rPr>
                <w:szCs w:val="18"/>
                <w:lang w:val="ru-RU" w:eastAsia="en-GB"/>
              </w:rPr>
            </w:pPr>
            <w:r w:rsidRPr="00521670">
              <w:rPr>
                <w:rFonts w:cs="Calibri"/>
                <w:szCs w:val="18"/>
                <w:lang w:val="ru-RU" w:eastAsia="fr-FR"/>
              </w:rPr>
              <w:t>Оборудование и предметы снабжения</w:t>
            </w:r>
          </w:p>
        </w:tc>
        <w:tc>
          <w:tcPr>
            <w:tcW w:w="679" w:type="pct"/>
            <w:tcBorders>
              <w:top w:val="nil"/>
              <w:left w:val="nil"/>
              <w:bottom w:val="nil"/>
              <w:right w:val="nil"/>
            </w:tcBorders>
            <w:shd w:val="clear" w:color="auto" w:fill="auto"/>
            <w:noWrap/>
            <w:hideMark/>
          </w:tcPr>
          <w:p w14:paraId="4B8EB5AA" w14:textId="77777777" w:rsidR="000E0EB3" w:rsidRPr="00521670" w:rsidRDefault="000E0EB3"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62D55A54" w14:textId="75C50882" w:rsidR="000E0EB3" w:rsidRPr="00521670" w:rsidRDefault="000E0EB3" w:rsidP="000E0EB3">
            <w:pPr>
              <w:pStyle w:val="Tabletext"/>
              <w:jc w:val="right"/>
              <w:rPr>
                <w:szCs w:val="18"/>
                <w:lang w:val="ru-RU" w:eastAsia="en-GB"/>
              </w:rPr>
            </w:pPr>
            <w:r w:rsidRPr="00521670">
              <w:rPr>
                <w:szCs w:val="18"/>
                <w:lang w:val="ru-RU" w:eastAsia="en-GB"/>
              </w:rPr>
              <w:t>3 177</w:t>
            </w:r>
          </w:p>
        </w:tc>
        <w:tc>
          <w:tcPr>
            <w:tcW w:w="1010" w:type="pct"/>
            <w:tcBorders>
              <w:top w:val="nil"/>
              <w:left w:val="nil"/>
              <w:bottom w:val="nil"/>
              <w:right w:val="nil"/>
            </w:tcBorders>
            <w:shd w:val="clear" w:color="auto" w:fill="auto"/>
            <w:noWrap/>
            <w:vAlign w:val="bottom"/>
            <w:hideMark/>
          </w:tcPr>
          <w:p w14:paraId="2DF73876" w14:textId="22E4636E" w:rsidR="000E0EB3" w:rsidRPr="00521670" w:rsidRDefault="000E0EB3" w:rsidP="000E0EB3">
            <w:pPr>
              <w:pStyle w:val="Tabletext"/>
              <w:jc w:val="right"/>
              <w:rPr>
                <w:szCs w:val="18"/>
                <w:lang w:val="ru-RU" w:eastAsia="en-GB"/>
              </w:rPr>
            </w:pPr>
            <w:r w:rsidRPr="00521670">
              <w:rPr>
                <w:szCs w:val="18"/>
                <w:lang w:val="ru-RU" w:eastAsia="en-GB"/>
              </w:rPr>
              <w:t>3 150</w:t>
            </w:r>
          </w:p>
        </w:tc>
      </w:tr>
      <w:tr w:rsidR="004625BD" w:rsidRPr="00521670" w14:paraId="1B9C7F1F" w14:textId="77777777" w:rsidTr="00BA023A">
        <w:trPr>
          <w:trHeight w:val="300"/>
        </w:trPr>
        <w:tc>
          <w:tcPr>
            <w:tcW w:w="2287" w:type="pct"/>
            <w:tcBorders>
              <w:top w:val="nil"/>
              <w:left w:val="nil"/>
              <w:bottom w:val="nil"/>
              <w:right w:val="nil"/>
            </w:tcBorders>
            <w:shd w:val="clear" w:color="auto" w:fill="auto"/>
            <w:noWrap/>
            <w:hideMark/>
          </w:tcPr>
          <w:p w14:paraId="5D44BB11" w14:textId="2EC33F1A" w:rsidR="004625BD" w:rsidRPr="00521670" w:rsidRDefault="007D4675" w:rsidP="000E0EB3">
            <w:pPr>
              <w:pStyle w:val="Tabletext"/>
              <w:rPr>
                <w:szCs w:val="18"/>
                <w:lang w:val="ru-RU" w:eastAsia="en-GB"/>
              </w:rPr>
            </w:pPr>
            <w:r w:rsidRPr="00521670">
              <w:rPr>
                <w:rFonts w:cs="Calibri"/>
                <w:szCs w:val="18"/>
                <w:lang w:val="ru-RU" w:eastAsia="fr-FR"/>
              </w:rPr>
              <w:t>Обесценение, а</w:t>
            </w:r>
            <w:r w:rsidR="00FC48C7" w:rsidRPr="00521670">
              <w:rPr>
                <w:rFonts w:cs="Calibri"/>
                <w:szCs w:val="18"/>
                <w:lang w:val="ru-RU" w:eastAsia="fr-FR"/>
              </w:rPr>
              <w:t>мортизация и потеря стоимости</w:t>
            </w:r>
          </w:p>
        </w:tc>
        <w:tc>
          <w:tcPr>
            <w:tcW w:w="679" w:type="pct"/>
            <w:tcBorders>
              <w:top w:val="nil"/>
              <w:left w:val="nil"/>
              <w:bottom w:val="nil"/>
              <w:right w:val="nil"/>
            </w:tcBorders>
            <w:shd w:val="clear" w:color="auto" w:fill="auto"/>
            <w:noWrap/>
            <w:hideMark/>
          </w:tcPr>
          <w:p w14:paraId="30C96B32" w14:textId="77777777" w:rsidR="004625BD" w:rsidRPr="00521670" w:rsidRDefault="004625BD"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4D3A97D2" w14:textId="198A82AA" w:rsidR="004625BD" w:rsidRPr="00521670" w:rsidRDefault="004625BD" w:rsidP="000E0EB3">
            <w:pPr>
              <w:pStyle w:val="Tabletext"/>
              <w:jc w:val="right"/>
              <w:rPr>
                <w:szCs w:val="18"/>
                <w:lang w:val="ru-RU" w:eastAsia="en-GB"/>
              </w:rPr>
            </w:pPr>
            <w:r w:rsidRPr="00521670">
              <w:rPr>
                <w:szCs w:val="18"/>
                <w:lang w:val="ru-RU" w:eastAsia="en-GB"/>
              </w:rPr>
              <w:t>26 295</w:t>
            </w:r>
          </w:p>
        </w:tc>
        <w:tc>
          <w:tcPr>
            <w:tcW w:w="1010" w:type="pct"/>
            <w:tcBorders>
              <w:top w:val="nil"/>
              <w:left w:val="nil"/>
              <w:bottom w:val="nil"/>
              <w:right w:val="nil"/>
            </w:tcBorders>
            <w:shd w:val="clear" w:color="auto" w:fill="auto"/>
            <w:noWrap/>
            <w:vAlign w:val="bottom"/>
            <w:hideMark/>
          </w:tcPr>
          <w:p w14:paraId="5BDF2BB4" w14:textId="74FF650E" w:rsidR="004625BD" w:rsidRPr="00521670" w:rsidRDefault="004625BD" w:rsidP="000E0EB3">
            <w:pPr>
              <w:pStyle w:val="Tabletext"/>
              <w:jc w:val="right"/>
              <w:rPr>
                <w:szCs w:val="18"/>
                <w:lang w:val="ru-RU" w:eastAsia="en-GB"/>
              </w:rPr>
            </w:pPr>
            <w:r w:rsidRPr="00521670">
              <w:rPr>
                <w:szCs w:val="18"/>
                <w:lang w:val="ru-RU" w:eastAsia="en-GB"/>
              </w:rPr>
              <w:t>5 660</w:t>
            </w:r>
          </w:p>
        </w:tc>
      </w:tr>
      <w:tr w:rsidR="004625BD" w:rsidRPr="00521670" w14:paraId="09823ABA" w14:textId="77777777" w:rsidTr="00BA023A">
        <w:trPr>
          <w:trHeight w:val="300"/>
        </w:trPr>
        <w:tc>
          <w:tcPr>
            <w:tcW w:w="2287" w:type="pct"/>
            <w:tcBorders>
              <w:top w:val="nil"/>
              <w:left w:val="nil"/>
              <w:bottom w:val="nil"/>
              <w:right w:val="nil"/>
            </w:tcBorders>
            <w:shd w:val="clear" w:color="auto" w:fill="auto"/>
            <w:noWrap/>
            <w:hideMark/>
          </w:tcPr>
          <w:p w14:paraId="5DC57CDC" w14:textId="1297A1B0" w:rsidR="004625BD" w:rsidRPr="00521670" w:rsidRDefault="000E0EB3" w:rsidP="000E0EB3">
            <w:pPr>
              <w:pStyle w:val="Tabletext"/>
              <w:rPr>
                <w:szCs w:val="18"/>
                <w:lang w:val="ru-RU" w:eastAsia="en-GB"/>
              </w:rPr>
            </w:pPr>
            <w:r w:rsidRPr="00521670">
              <w:rPr>
                <w:rFonts w:cs="Calibri"/>
                <w:szCs w:val="18"/>
                <w:lang w:val="ru-RU" w:eastAsia="fr-FR"/>
              </w:rPr>
              <w:t>Расходы по перевозке, электросвязи и услугам</w:t>
            </w:r>
          </w:p>
        </w:tc>
        <w:tc>
          <w:tcPr>
            <w:tcW w:w="679" w:type="pct"/>
            <w:tcBorders>
              <w:top w:val="nil"/>
              <w:left w:val="nil"/>
              <w:bottom w:val="nil"/>
              <w:right w:val="nil"/>
            </w:tcBorders>
            <w:shd w:val="clear" w:color="auto" w:fill="auto"/>
            <w:noWrap/>
            <w:hideMark/>
          </w:tcPr>
          <w:p w14:paraId="7C53F164" w14:textId="77777777" w:rsidR="004625BD" w:rsidRPr="00521670" w:rsidRDefault="004625BD"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7DF40154" w14:textId="70396375" w:rsidR="004625BD" w:rsidRPr="00521670" w:rsidRDefault="004625BD" w:rsidP="000E0EB3">
            <w:pPr>
              <w:pStyle w:val="Tabletext"/>
              <w:jc w:val="right"/>
              <w:rPr>
                <w:szCs w:val="18"/>
                <w:lang w:val="ru-RU" w:eastAsia="en-GB"/>
              </w:rPr>
            </w:pPr>
            <w:r w:rsidRPr="00521670">
              <w:rPr>
                <w:szCs w:val="18"/>
                <w:lang w:val="ru-RU" w:eastAsia="en-GB"/>
              </w:rPr>
              <w:t>2 125</w:t>
            </w:r>
          </w:p>
        </w:tc>
        <w:tc>
          <w:tcPr>
            <w:tcW w:w="1010" w:type="pct"/>
            <w:tcBorders>
              <w:top w:val="nil"/>
              <w:left w:val="nil"/>
              <w:bottom w:val="nil"/>
              <w:right w:val="nil"/>
            </w:tcBorders>
            <w:shd w:val="clear" w:color="auto" w:fill="auto"/>
            <w:noWrap/>
            <w:vAlign w:val="bottom"/>
            <w:hideMark/>
          </w:tcPr>
          <w:p w14:paraId="14E3FD89" w14:textId="1861C436" w:rsidR="004625BD" w:rsidRPr="00521670" w:rsidRDefault="004625BD" w:rsidP="000E0EB3">
            <w:pPr>
              <w:pStyle w:val="Tabletext"/>
              <w:jc w:val="right"/>
              <w:rPr>
                <w:szCs w:val="18"/>
                <w:lang w:val="ru-RU" w:eastAsia="en-GB"/>
              </w:rPr>
            </w:pPr>
            <w:r w:rsidRPr="00521670">
              <w:rPr>
                <w:szCs w:val="18"/>
                <w:lang w:val="ru-RU" w:eastAsia="en-GB"/>
              </w:rPr>
              <w:t>2 673</w:t>
            </w:r>
          </w:p>
        </w:tc>
      </w:tr>
      <w:tr w:rsidR="004625BD" w:rsidRPr="00521670" w14:paraId="1C07F0BD" w14:textId="77777777" w:rsidTr="00BA023A">
        <w:trPr>
          <w:trHeight w:val="300"/>
        </w:trPr>
        <w:tc>
          <w:tcPr>
            <w:tcW w:w="2287" w:type="pct"/>
            <w:tcBorders>
              <w:top w:val="nil"/>
              <w:left w:val="nil"/>
              <w:bottom w:val="nil"/>
              <w:right w:val="nil"/>
            </w:tcBorders>
            <w:shd w:val="clear" w:color="auto" w:fill="auto"/>
            <w:noWrap/>
            <w:hideMark/>
          </w:tcPr>
          <w:p w14:paraId="6413AFC2" w14:textId="0910BDC1" w:rsidR="004625BD" w:rsidRPr="00521670" w:rsidRDefault="00FC48C7" w:rsidP="000E0EB3">
            <w:pPr>
              <w:pStyle w:val="Tabletext"/>
              <w:rPr>
                <w:szCs w:val="18"/>
                <w:lang w:val="ru-RU" w:eastAsia="en-GB"/>
              </w:rPr>
            </w:pPr>
            <w:r w:rsidRPr="00521670">
              <w:rPr>
                <w:rFonts w:cs="Calibri"/>
                <w:szCs w:val="18"/>
                <w:lang w:val="ru-RU" w:eastAsia="fr-FR"/>
              </w:rPr>
              <w:t>Движение под обесценение/резервный фонд</w:t>
            </w:r>
          </w:p>
        </w:tc>
        <w:tc>
          <w:tcPr>
            <w:tcW w:w="679" w:type="pct"/>
            <w:tcBorders>
              <w:top w:val="nil"/>
              <w:left w:val="nil"/>
              <w:bottom w:val="nil"/>
              <w:right w:val="nil"/>
            </w:tcBorders>
            <w:shd w:val="clear" w:color="auto" w:fill="auto"/>
            <w:noWrap/>
            <w:hideMark/>
          </w:tcPr>
          <w:p w14:paraId="624A9C89" w14:textId="77777777" w:rsidR="004625BD" w:rsidRPr="00521670" w:rsidRDefault="004625BD"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1405A1D5" w14:textId="25665922" w:rsidR="004625BD" w:rsidRPr="00521670" w:rsidRDefault="004625BD" w:rsidP="000E0EB3">
            <w:pPr>
              <w:pStyle w:val="Tabletext"/>
              <w:jc w:val="right"/>
              <w:rPr>
                <w:szCs w:val="18"/>
                <w:lang w:val="ru-RU" w:eastAsia="en-GB"/>
              </w:rPr>
            </w:pPr>
            <w:r w:rsidRPr="00521670">
              <w:rPr>
                <w:szCs w:val="18"/>
                <w:lang w:val="ru-RU" w:eastAsia="en-GB"/>
              </w:rPr>
              <w:t>11 401</w:t>
            </w:r>
          </w:p>
        </w:tc>
        <w:tc>
          <w:tcPr>
            <w:tcW w:w="1010" w:type="pct"/>
            <w:tcBorders>
              <w:top w:val="nil"/>
              <w:left w:val="nil"/>
              <w:bottom w:val="nil"/>
              <w:right w:val="nil"/>
            </w:tcBorders>
            <w:shd w:val="clear" w:color="auto" w:fill="auto"/>
            <w:noWrap/>
            <w:vAlign w:val="bottom"/>
            <w:hideMark/>
          </w:tcPr>
          <w:p w14:paraId="371E2F43" w14:textId="74819261" w:rsidR="004625BD" w:rsidRPr="00521670" w:rsidRDefault="004625BD" w:rsidP="000E0EB3">
            <w:pPr>
              <w:pStyle w:val="Tabletext"/>
              <w:jc w:val="right"/>
              <w:rPr>
                <w:szCs w:val="18"/>
                <w:lang w:val="ru-RU" w:eastAsia="en-GB"/>
              </w:rPr>
            </w:pPr>
            <w:r w:rsidRPr="00521670">
              <w:rPr>
                <w:szCs w:val="18"/>
                <w:lang w:val="ru-RU" w:eastAsia="en-GB"/>
              </w:rPr>
              <w:t>4</w:t>
            </w:r>
          </w:p>
        </w:tc>
      </w:tr>
      <w:tr w:rsidR="004625BD" w:rsidRPr="00521670" w14:paraId="0CEFB88D" w14:textId="77777777" w:rsidTr="00BA023A">
        <w:trPr>
          <w:trHeight w:val="255"/>
        </w:trPr>
        <w:tc>
          <w:tcPr>
            <w:tcW w:w="2287" w:type="pct"/>
            <w:tcBorders>
              <w:top w:val="nil"/>
              <w:left w:val="nil"/>
              <w:bottom w:val="nil"/>
              <w:right w:val="nil"/>
            </w:tcBorders>
            <w:shd w:val="clear" w:color="auto" w:fill="auto"/>
            <w:noWrap/>
            <w:hideMark/>
          </w:tcPr>
          <w:p w14:paraId="77AB3C80" w14:textId="76EE6BBE" w:rsidR="004625BD" w:rsidRPr="00521670" w:rsidRDefault="000E0EB3" w:rsidP="000E0EB3">
            <w:pPr>
              <w:pStyle w:val="Tabletext"/>
              <w:rPr>
                <w:szCs w:val="18"/>
                <w:lang w:val="ru-RU" w:eastAsia="en-GB"/>
              </w:rPr>
            </w:pPr>
            <w:r w:rsidRPr="00521670">
              <w:rPr>
                <w:rFonts w:cs="Calibri"/>
                <w:szCs w:val="18"/>
                <w:lang w:val="ru-RU" w:eastAsia="fr-FR"/>
              </w:rPr>
              <w:t>Прочие расходы</w:t>
            </w:r>
          </w:p>
        </w:tc>
        <w:tc>
          <w:tcPr>
            <w:tcW w:w="679" w:type="pct"/>
            <w:tcBorders>
              <w:top w:val="nil"/>
              <w:left w:val="nil"/>
              <w:bottom w:val="nil"/>
              <w:right w:val="nil"/>
            </w:tcBorders>
            <w:shd w:val="clear" w:color="auto" w:fill="auto"/>
            <w:noWrap/>
            <w:hideMark/>
          </w:tcPr>
          <w:p w14:paraId="7F3D0364" w14:textId="77777777" w:rsidR="004625BD" w:rsidRPr="00521670" w:rsidRDefault="004625BD" w:rsidP="000E0EB3">
            <w:pPr>
              <w:pStyle w:val="Tabletext"/>
              <w:jc w:val="right"/>
              <w:rPr>
                <w:szCs w:val="18"/>
                <w:lang w:val="ru-RU" w:eastAsia="en-GB"/>
              </w:rPr>
            </w:pPr>
          </w:p>
        </w:tc>
        <w:tc>
          <w:tcPr>
            <w:tcW w:w="1024" w:type="pct"/>
            <w:tcBorders>
              <w:top w:val="nil"/>
              <w:left w:val="nil"/>
              <w:bottom w:val="nil"/>
              <w:right w:val="nil"/>
            </w:tcBorders>
            <w:shd w:val="clear" w:color="auto" w:fill="auto"/>
            <w:noWrap/>
            <w:hideMark/>
          </w:tcPr>
          <w:p w14:paraId="4A032377" w14:textId="688A37F3" w:rsidR="004625BD" w:rsidRPr="00521670" w:rsidRDefault="004625BD" w:rsidP="000E0EB3">
            <w:pPr>
              <w:pStyle w:val="Tabletext"/>
              <w:jc w:val="right"/>
              <w:rPr>
                <w:szCs w:val="18"/>
                <w:lang w:val="ru-RU" w:eastAsia="en-GB"/>
              </w:rPr>
            </w:pPr>
            <w:r w:rsidRPr="00521670">
              <w:rPr>
                <w:szCs w:val="18"/>
                <w:lang w:val="ru-RU" w:eastAsia="en-GB"/>
              </w:rPr>
              <w:t>3 653</w:t>
            </w:r>
          </w:p>
        </w:tc>
        <w:tc>
          <w:tcPr>
            <w:tcW w:w="1010" w:type="pct"/>
            <w:tcBorders>
              <w:top w:val="nil"/>
              <w:left w:val="nil"/>
              <w:bottom w:val="nil"/>
              <w:right w:val="nil"/>
            </w:tcBorders>
            <w:shd w:val="clear" w:color="auto" w:fill="auto"/>
            <w:noWrap/>
            <w:vAlign w:val="bottom"/>
            <w:hideMark/>
          </w:tcPr>
          <w:p w14:paraId="75746265" w14:textId="76A4B73F" w:rsidR="004625BD" w:rsidRPr="00521670" w:rsidRDefault="004625BD" w:rsidP="000E0EB3">
            <w:pPr>
              <w:pStyle w:val="Tabletext"/>
              <w:jc w:val="right"/>
              <w:rPr>
                <w:szCs w:val="18"/>
                <w:lang w:val="ru-RU" w:eastAsia="en-GB"/>
              </w:rPr>
            </w:pPr>
            <w:r w:rsidRPr="00521670">
              <w:rPr>
                <w:szCs w:val="18"/>
                <w:lang w:val="ru-RU" w:eastAsia="en-GB"/>
              </w:rPr>
              <w:t>1 804</w:t>
            </w:r>
          </w:p>
        </w:tc>
      </w:tr>
      <w:tr w:rsidR="000E0EB3" w:rsidRPr="00521670" w14:paraId="3D68044C" w14:textId="77777777" w:rsidTr="00BA023A">
        <w:trPr>
          <w:trHeight w:val="289"/>
        </w:trPr>
        <w:tc>
          <w:tcPr>
            <w:tcW w:w="2287" w:type="pct"/>
            <w:tcBorders>
              <w:top w:val="nil"/>
              <w:left w:val="nil"/>
              <w:bottom w:val="nil"/>
              <w:right w:val="nil"/>
            </w:tcBorders>
            <w:shd w:val="clear" w:color="auto" w:fill="auto"/>
            <w:noWrap/>
            <w:hideMark/>
          </w:tcPr>
          <w:p w14:paraId="6387B670" w14:textId="7850EFF5" w:rsidR="000E0EB3" w:rsidRPr="00521670" w:rsidRDefault="000E0EB3" w:rsidP="000E0EB3">
            <w:pPr>
              <w:pStyle w:val="Tabletext"/>
              <w:rPr>
                <w:b/>
                <w:bCs/>
                <w:szCs w:val="18"/>
                <w:lang w:val="ru-RU" w:eastAsia="en-GB"/>
              </w:rPr>
            </w:pPr>
            <w:r w:rsidRPr="00521670">
              <w:rPr>
                <w:rFonts w:cs="Calibri"/>
                <w:b/>
                <w:bCs/>
                <w:szCs w:val="18"/>
                <w:lang w:val="ru-RU" w:eastAsia="fr-FR"/>
              </w:rPr>
              <w:t>Всего: расходы</w:t>
            </w:r>
          </w:p>
        </w:tc>
        <w:tc>
          <w:tcPr>
            <w:tcW w:w="679" w:type="pct"/>
            <w:tcBorders>
              <w:top w:val="nil"/>
              <w:left w:val="nil"/>
              <w:bottom w:val="nil"/>
              <w:right w:val="nil"/>
            </w:tcBorders>
            <w:shd w:val="clear" w:color="auto" w:fill="auto"/>
            <w:noWrap/>
            <w:vAlign w:val="center"/>
            <w:hideMark/>
          </w:tcPr>
          <w:p w14:paraId="686ECFE2" w14:textId="77777777" w:rsidR="000E0EB3" w:rsidRPr="00521670" w:rsidRDefault="000E0EB3" w:rsidP="000E0EB3">
            <w:pPr>
              <w:pStyle w:val="Tabletext"/>
              <w:jc w:val="right"/>
              <w:rPr>
                <w:b/>
                <w:bCs/>
                <w:szCs w:val="18"/>
                <w:lang w:val="ru-RU" w:eastAsia="en-GB"/>
              </w:rPr>
            </w:pPr>
          </w:p>
        </w:tc>
        <w:tc>
          <w:tcPr>
            <w:tcW w:w="1024" w:type="pct"/>
            <w:tcBorders>
              <w:top w:val="nil"/>
              <w:left w:val="nil"/>
              <w:bottom w:val="nil"/>
              <w:right w:val="nil"/>
            </w:tcBorders>
            <w:shd w:val="clear" w:color="auto" w:fill="auto"/>
            <w:noWrap/>
            <w:vAlign w:val="center"/>
            <w:hideMark/>
          </w:tcPr>
          <w:p w14:paraId="2F092D75" w14:textId="0F558398" w:rsidR="000E0EB3" w:rsidRPr="00521670" w:rsidRDefault="000E0EB3" w:rsidP="000E0EB3">
            <w:pPr>
              <w:pStyle w:val="Tabletext"/>
              <w:jc w:val="right"/>
              <w:rPr>
                <w:b/>
                <w:bCs/>
                <w:szCs w:val="18"/>
                <w:lang w:val="ru-RU" w:eastAsia="en-GB"/>
              </w:rPr>
            </w:pPr>
            <w:r w:rsidRPr="00521670">
              <w:rPr>
                <w:b/>
                <w:bCs/>
                <w:szCs w:val="18"/>
                <w:lang w:val="ru-RU" w:eastAsia="en-GB"/>
              </w:rPr>
              <w:t>222 016</w:t>
            </w:r>
          </w:p>
        </w:tc>
        <w:tc>
          <w:tcPr>
            <w:tcW w:w="1010" w:type="pct"/>
            <w:tcBorders>
              <w:top w:val="nil"/>
              <w:left w:val="nil"/>
              <w:bottom w:val="nil"/>
              <w:right w:val="nil"/>
            </w:tcBorders>
            <w:shd w:val="clear" w:color="auto" w:fill="auto"/>
            <w:noWrap/>
            <w:vAlign w:val="center"/>
            <w:hideMark/>
          </w:tcPr>
          <w:p w14:paraId="0E21AFF5" w14:textId="270CA84A" w:rsidR="000E0EB3" w:rsidRPr="00521670" w:rsidRDefault="000E0EB3" w:rsidP="000E0EB3">
            <w:pPr>
              <w:pStyle w:val="Tabletext"/>
              <w:jc w:val="right"/>
              <w:rPr>
                <w:b/>
                <w:bCs/>
                <w:szCs w:val="18"/>
                <w:lang w:val="ru-RU" w:eastAsia="en-GB"/>
              </w:rPr>
            </w:pPr>
            <w:r w:rsidRPr="00521670">
              <w:rPr>
                <w:b/>
                <w:bCs/>
                <w:szCs w:val="18"/>
                <w:lang w:val="ru-RU" w:eastAsia="en-GB"/>
              </w:rPr>
              <w:t>197 161</w:t>
            </w:r>
          </w:p>
        </w:tc>
      </w:tr>
      <w:tr w:rsidR="000E0EB3" w:rsidRPr="00521670" w14:paraId="1E360751" w14:textId="77777777" w:rsidTr="00BA023A">
        <w:trPr>
          <w:trHeight w:val="289"/>
        </w:trPr>
        <w:tc>
          <w:tcPr>
            <w:tcW w:w="2287" w:type="pct"/>
            <w:tcBorders>
              <w:top w:val="nil"/>
              <w:left w:val="nil"/>
              <w:bottom w:val="nil"/>
              <w:right w:val="nil"/>
            </w:tcBorders>
            <w:shd w:val="clear" w:color="auto" w:fill="auto"/>
            <w:noWrap/>
            <w:hideMark/>
          </w:tcPr>
          <w:p w14:paraId="5A79BD96" w14:textId="124BC957" w:rsidR="000E0EB3" w:rsidRPr="00521670" w:rsidRDefault="000E0EB3" w:rsidP="000E0EB3">
            <w:pPr>
              <w:pStyle w:val="Tabletext"/>
              <w:rPr>
                <w:szCs w:val="18"/>
                <w:lang w:val="ru-RU" w:eastAsia="en-GB"/>
              </w:rPr>
            </w:pPr>
            <w:r w:rsidRPr="00521670">
              <w:rPr>
                <w:rFonts w:cs="Calibri"/>
                <w:szCs w:val="18"/>
                <w:lang w:val="ru-RU" w:eastAsia="en-GB"/>
              </w:rPr>
              <w:t>Финансовые доходы/(затраты)</w:t>
            </w:r>
          </w:p>
        </w:tc>
        <w:tc>
          <w:tcPr>
            <w:tcW w:w="679" w:type="pct"/>
            <w:tcBorders>
              <w:top w:val="nil"/>
              <w:left w:val="nil"/>
              <w:bottom w:val="nil"/>
              <w:right w:val="nil"/>
            </w:tcBorders>
            <w:shd w:val="clear" w:color="auto" w:fill="auto"/>
            <w:noWrap/>
            <w:hideMark/>
          </w:tcPr>
          <w:p w14:paraId="0B6B0580" w14:textId="77777777" w:rsidR="000E0EB3" w:rsidRPr="00521670" w:rsidRDefault="000E0EB3" w:rsidP="000E0EB3">
            <w:pPr>
              <w:pStyle w:val="Tabletext"/>
              <w:jc w:val="center"/>
              <w:rPr>
                <w:szCs w:val="18"/>
                <w:lang w:val="ru-RU" w:eastAsia="en-GB"/>
              </w:rPr>
            </w:pPr>
            <w:r w:rsidRPr="00521670">
              <w:rPr>
                <w:szCs w:val="18"/>
                <w:lang w:val="ru-RU" w:eastAsia="en-GB"/>
              </w:rPr>
              <w:t>20</w:t>
            </w:r>
          </w:p>
        </w:tc>
        <w:tc>
          <w:tcPr>
            <w:tcW w:w="1024" w:type="pct"/>
            <w:tcBorders>
              <w:top w:val="nil"/>
              <w:left w:val="nil"/>
              <w:bottom w:val="nil"/>
              <w:right w:val="nil"/>
            </w:tcBorders>
            <w:shd w:val="clear" w:color="auto" w:fill="auto"/>
            <w:noWrap/>
            <w:hideMark/>
          </w:tcPr>
          <w:p w14:paraId="69434BB1" w14:textId="4F55E270" w:rsidR="000E0EB3" w:rsidRPr="00521670" w:rsidRDefault="000E0EB3" w:rsidP="000E0EB3">
            <w:pPr>
              <w:pStyle w:val="Tabletext"/>
              <w:jc w:val="right"/>
              <w:rPr>
                <w:szCs w:val="18"/>
                <w:lang w:val="ru-RU" w:eastAsia="en-GB"/>
              </w:rPr>
            </w:pPr>
            <w:r w:rsidRPr="00521670">
              <w:rPr>
                <w:szCs w:val="18"/>
                <w:lang w:val="ru-RU" w:eastAsia="en-GB"/>
              </w:rPr>
              <w:t>9 503</w:t>
            </w:r>
          </w:p>
        </w:tc>
        <w:tc>
          <w:tcPr>
            <w:tcW w:w="1010" w:type="pct"/>
            <w:tcBorders>
              <w:top w:val="nil"/>
              <w:left w:val="nil"/>
              <w:bottom w:val="nil"/>
              <w:right w:val="nil"/>
            </w:tcBorders>
            <w:shd w:val="clear" w:color="auto" w:fill="auto"/>
            <w:noWrap/>
            <w:vAlign w:val="bottom"/>
            <w:hideMark/>
          </w:tcPr>
          <w:p w14:paraId="55BBBC5C" w14:textId="70679B76" w:rsidR="000E0EB3" w:rsidRPr="00521670" w:rsidRDefault="000E0EB3" w:rsidP="000E0EB3">
            <w:pPr>
              <w:pStyle w:val="Tabletext"/>
              <w:jc w:val="right"/>
              <w:rPr>
                <w:szCs w:val="18"/>
                <w:lang w:val="ru-RU" w:eastAsia="en-GB"/>
              </w:rPr>
            </w:pPr>
            <w:r w:rsidRPr="00521670">
              <w:rPr>
                <w:szCs w:val="18"/>
                <w:lang w:val="ru-RU" w:eastAsia="en-GB"/>
              </w:rPr>
              <w:t>(8 272)</w:t>
            </w:r>
          </w:p>
        </w:tc>
      </w:tr>
      <w:tr w:rsidR="000E0EB3" w:rsidRPr="00521670" w14:paraId="66983142" w14:textId="77777777" w:rsidTr="00BA023A">
        <w:trPr>
          <w:trHeight w:val="150"/>
        </w:trPr>
        <w:tc>
          <w:tcPr>
            <w:tcW w:w="5000" w:type="pct"/>
            <w:gridSpan w:val="4"/>
            <w:tcBorders>
              <w:top w:val="nil"/>
              <w:left w:val="nil"/>
              <w:bottom w:val="nil"/>
              <w:right w:val="nil"/>
            </w:tcBorders>
            <w:shd w:val="clear" w:color="auto" w:fill="auto"/>
            <w:noWrap/>
            <w:vAlign w:val="center"/>
            <w:hideMark/>
          </w:tcPr>
          <w:p w14:paraId="5BC66EDE" w14:textId="77777777" w:rsidR="000E0EB3" w:rsidRPr="00521670" w:rsidRDefault="000E0EB3" w:rsidP="000E0EB3">
            <w:pPr>
              <w:pStyle w:val="Tabletext"/>
              <w:rPr>
                <w:szCs w:val="18"/>
                <w:lang w:val="ru-RU" w:eastAsia="en-GB"/>
              </w:rPr>
            </w:pPr>
          </w:p>
        </w:tc>
      </w:tr>
      <w:tr w:rsidR="004625BD" w:rsidRPr="00521670" w14:paraId="24B023F8" w14:textId="77777777" w:rsidTr="00BA023A">
        <w:trPr>
          <w:trHeight w:val="499"/>
        </w:trPr>
        <w:tc>
          <w:tcPr>
            <w:tcW w:w="2287" w:type="pct"/>
            <w:tcBorders>
              <w:top w:val="nil"/>
              <w:left w:val="nil"/>
              <w:bottom w:val="nil"/>
              <w:right w:val="nil"/>
            </w:tcBorders>
            <w:shd w:val="clear" w:color="000000" w:fill="0070C0"/>
            <w:noWrap/>
            <w:vAlign w:val="center"/>
            <w:hideMark/>
          </w:tcPr>
          <w:p w14:paraId="77A69F6B" w14:textId="31937E35" w:rsidR="004625BD" w:rsidRPr="00521670" w:rsidRDefault="000E0EB3" w:rsidP="004625BD">
            <w:pPr>
              <w:pStyle w:val="Tabletext"/>
              <w:rPr>
                <w:b/>
                <w:bCs/>
                <w:szCs w:val="18"/>
                <w:lang w:val="ru-RU" w:eastAsia="en-GB"/>
              </w:rPr>
            </w:pPr>
            <w:r w:rsidRPr="00521670">
              <w:rPr>
                <w:rFonts w:cs="Calibri"/>
                <w:b/>
                <w:bCs/>
                <w:szCs w:val="18"/>
                <w:lang w:val="ru-RU" w:eastAsia="fr-FR"/>
              </w:rPr>
              <w:t>Активное сальдо/(дефицит) за финансовый период</w:t>
            </w:r>
          </w:p>
        </w:tc>
        <w:tc>
          <w:tcPr>
            <w:tcW w:w="679" w:type="pct"/>
            <w:tcBorders>
              <w:top w:val="nil"/>
              <w:left w:val="nil"/>
              <w:bottom w:val="nil"/>
              <w:right w:val="nil"/>
            </w:tcBorders>
            <w:shd w:val="clear" w:color="000000" w:fill="0070C0"/>
            <w:noWrap/>
            <w:vAlign w:val="center"/>
            <w:hideMark/>
          </w:tcPr>
          <w:p w14:paraId="4E3EC208" w14:textId="77777777" w:rsidR="004625BD" w:rsidRPr="00521670" w:rsidRDefault="004625BD" w:rsidP="004625BD">
            <w:pPr>
              <w:pStyle w:val="Tabletext"/>
              <w:rPr>
                <w:b/>
                <w:bCs/>
                <w:szCs w:val="18"/>
                <w:lang w:val="ru-RU" w:eastAsia="en-GB"/>
              </w:rPr>
            </w:pPr>
            <w:r w:rsidRPr="00521670">
              <w:rPr>
                <w:b/>
                <w:bCs/>
                <w:szCs w:val="18"/>
                <w:lang w:val="ru-RU" w:eastAsia="en-GB"/>
              </w:rPr>
              <w:t> </w:t>
            </w:r>
          </w:p>
        </w:tc>
        <w:tc>
          <w:tcPr>
            <w:tcW w:w="1024" w:type="pct"/>
            <w:tcBorders>
              <w:top w:val="nil"/>
              <w:left w:val="nil"/>
              <w:bottom w:val="nil"/>
              <w:right w:val="nil"/>
            </w:tcBorders>
            <w:shd w:val="clear" w:color="000000" w:fill="0070C0"/>
            <w:noWrap/>
            <w:vAlign w:val="center"/>
            <w:hideMark/>
          </w:tcPr>
          <w:p w14:paraId="0A214151" w14:textId="51C3FEA1" w:rsidR="004625BD" w:rsidRPr="00521670" w:rsidRDefault="004625BD" w:rsidP="000E0EB3">
            <w:pPr>
              <w:pStyle w:val="Tabletext"/>
              <w:jc w:val="right"/>
              <w:rPr>
                <w:b/>
                <w:bCs/>
                <w:szCs w:val="18"/>
                <w:lang w:val="ru-RU" w:eastAsia="en-GB"/>
              </w:rPr>
            </w:pPr>
            <w:r w:rsidRPr="00521670">
              <w:rPr>
                <w:b/>
                <w:bCs/>
                <w:szCs w:val="18"/>
                <w:lang w:val="ru-RU" w:eastAsia="en-GB"/>
              </w:rPr>
              <w:t>(27 865)</w:t>
            </w:r>
          </w:p>
        </w:tc>
        <w:tc>
          <w:tcPr>
            <w:tcW w:w="1010" w:type="pct"/>
            <w:tcBorders>
              <w:top w:val="nil"/>
              <w:left w:val="nil"/>
              <w:bottom w:val="nil"/>
              <w:right w:val="nil"/>
            </w:tcBorders>
            <w:shd w:val="clear" w:color="000000" w:fill="0070C0"/>
            <w:noWrap/>
            <w:vAlign w:val="center"/>
            <w:hideMark/>
          </w:tcPr>
          <w:p w14:paraId="38D37EB1" w14:textId="5FCCBCFE" w:rsidR="004625BD" w:rsidRPr="00521670" w:rsidRDefault="004625BD" w:rsidP="000E0EB3">
            <w:pPr>
              <w:pStyle w:val="Tabletext"/>
              <w:jc w:val="right"/>
              <w:rPr>
                <w:b/>
                <w:bCs/>
                <w:szCs w:val="18"/>
                <w:lang w:val="ru-RU" w:eastAsia="en-GB"/>
              </w:rPr>
            </w:pPr>
            <w:r w:rsidRPr="00521670">
              <w:rPr>
                <w:b/>
                <w:bCs/>
                <w:szCs w:val="18"/>
                <w:lang w:val="ru-RU" w:eastAsia="en-GB"/>
              </w:rPr>
              <w:t>(24 774)</w:t>
            </w:r>
          </w:p>
        </w:tc>
      </w:tr>
    </w:tbl>
    <w:p w14:paraId="61F60332" w14:textId="77777777" w:rsidR="004625BD" w:rsidRPr="00521670" w:rsidRDefault="004625BD" w:rsidP="005A05B6">
      <w:pPr>
        <w:rPr>
          <w:lang w:val="ru-RU"/>
        </w:rPr>
      </w:pPr>
    </w:p>
    <w:p w14:paraId="57952802" w14:textId="18F3F476" w:rsidR="006E0EBC" w:rsidRPr="00521670" w:rsidRDefault="006E0EBC" w:rsidP="005A05B6">
      <w:pPr>
        <w:rPr>
          <w:lang w:val="ru-RU"/>
        </w:rPr>
      </w:pPr>
      <w:r w:rsidRPr="00521670">
        <w:rPr>
          <w:lang w:val="ru-RU"/>
        </w:rPr>
        <w:br w:type="page"/>
      </w:r>
    </w:p>
    <w:p w14:paraId="0023DC1A" w14:textId="77777777" w:rsidR="00FC48C7" w:rsidRPr="00521670" w:rsidRDefault="00FC48C7" w:rsidP="00FC48C7">
      <w:pPr>
        <w:pStyle w:val="Annextitle"/>
        <w:jc w:val="left"/>
        <w:rPr>
          <w:color w:val="0070C0"/>
          <w:w w:val="105"/>
          <w:lang w:val="ru-RU"/>
        </w:rPr>
      </w:pPr>
      <w:bookmarkStart w:id="106" w:name="lt_pId311"/>
      <w:bookmarkStart w:id="107" w:name="_Toc168578446"/>
      <w:r w:rsidRPr="00521670">
        <w:rPr>
          <w:color w:val="0070C0"/>
          <w:w w:val="105"/>
          <w:lang w:val="ru-RU"/>
        </w:rPr>
        <w:lastRenderedPageBreak/>
        <w:t xml:space="preserve">Отчет III: </w:t>
      </w:r>
      <w:bookmarkEnd w:id="106"/>
      <w:r w:rsidRPr="00521670">
        <w:rPr>
          <w:color w:val="0070C0"/>
          <w:w w:val="105"/>
          <w:lang w:val="ru-RU"/>
        </w:rPr>
        <w:t>Отчет об изменениях в чистых активах</w:t>
      </w:r>
      <w:bookmarkEnd w:id="107"/>
    </w:p>
    <w:p w14:paraId="7ABF7AE1" w14:textId="0A41F84F" w:rsidR="00FC48C7" w:rsidRPr="00521670" w:rsidRDefault="008121C7" w:rsidP="00FC48C7">
      <w:pPr>
        <w:rPr>
          <w:i/>
          <w:iCs/>
          <w:lang w:val="ru-RU"/>
        </w:rPr>
      </w:pPr>
      <w:r w:rsidRPr="00521670">
        <w:rPr>
          <w:i/>
          <w:iCs/>
          <w:lang w:val="ru-RU"/>
        </w:rPr>
        <w:t>по состоянию на</w:t>
      </w:r>
      <w:r w:rsidR="00FC48C7" w:rsidRPr="00521670">
        <w:rPr>
          <w:i/>
          <w:iCs/>
          <w:lang w:val="ru-RU"/>
        </w:rPr>
        <w:t xml:space="preserve"> 31 декабря 2024 года</w:t>
      </w:r>
    </w:p>
    <w:p w14:paraId="1ED9F4BD" w14:textId="77777777" w:rsidR="00FC48C7" w:rsidRPr="00521670" w:rsidRDefault="00FC48C7" w:rsidP="00851412">
      <w:pPr>
        <w:spacing w:before="0" w:after="120"/>
        <w:rPr>
          <w:i/>
          <w:iCs/>
          <w:sz w:val="18"/>
          <w:szCs w:val="18"/>
          <w:lang w:val="ru-RU"/>
        </w:rPr>
      </w:pPr>
      <w:r w:rsidRPr="00521670">
        <w:rPr>
          <w:i/>
          <w:iCs/>
          <w:sz w:val="18"/>
          <w:szCs w:val="18"/>
          <w:lang w:val="ru-RU"/>
        </w:rPr>
        <w:t>(В тыс. шв. фр.)</w:t>
      </w:r>
    </w:p>
    <w:tbl>
      <w:tblPr>
        <w:tblW w:w="5000" w:type="pct"/>
        <w:tblLook w:val="04A0" w:firstRow="1" w:lastRow="0" w:firstColumn="1" w:lastColumn="0" w:noHBand="0" w:noVBand="1"/>
      </w:tblPr>
      <w:tblGrid>
        <w:gridCol w:w="2393"/>
        <w:gridCol w:w="1082"/>
        <w:gridCol w:w="1087"/>
        <w:gridCol w:w="1134"/>
        <w:gridCol w:w="1088"/>
        <w:gridCol w:w="1213"/>
        <w:gridCol w:w="1074"/>
      </w:tblGrid>
      <w:tr w:rsidR="00FC48C7" w:rsidRPr="00521670" w14:paraId="1ADEF884" w14:textId="77777777" w:rsidTr="00015883">
        <w:trPr>
          <w:trHeight w:val="960"/>
        </w:trPr>
        <w:tc>
          <w:tcPr>
            <w:tcW w:w="1328" w:type="pct"/>
            <w:tcBorders>
              <w:top w:val="nil"/>
              <w:left w:val="nil"/>
              <w:bottom w:val="nil"/>
              <w:right w:val="nil"/>
            </w:tcBorders>
            <w:shd w:val="clear" w:color="000000" w:fill="0070C0"/>
            <w:noWrap/>
            <w:vAlign w:val="center"/>
            <w:hideMark/>
          </w:tcPr>
          <w:p w14:paraId="65089F30" w14:textId="73A8D54E" w:rsidR="00FC48C7" w:rsidRPr="00521670" w:rsidRDefault="0025646F" w:rsidP="00FC48C7">
            <w:pPr>
              <w:pStyle w:val="Tablehead"/>
              <w:rPr>
                <w:bCs/>
                <w:szCs w:val="18"/>
                <w:lang w:val="ru-RU" w:eastAsia="en-GB"/>
              </w:rPr>
            </w:pPr>
            <w:r w:rsidRPr="00521670">
              <w:rPr>
                <w:szCs w:val="18"/>
                <w:lang w:val="ru-RU"/>
              </w:rPr>
              <w:t>Описание</w:t>
            </w:r>
          </w:p>
        </w:tc>
        <w:tc>
          <w:tcPr>
            <w:tcW w:w="554" w:type="pct"/>
            <w:tcBorders>
              <w:top w:val="nil"/>
              <w:left w:val="nil"/>
              <w:bottom w:val="nil"/>
              <w:right w:val="nil"/>
            </w:tcBorders>
            <w:shd w:val="clear" w:color="000000" w:fill="0070C0"/>
            <w:vAlign w:val="center"/>
            <w:hideMark/>
          </w:tcPr>
          <w:p w14:paraId="16CFDB77" w14:textId="1FED07C4" w:rsidR="00FC48C7" w:rsidRPr="00521670" w:rsidRDefault="0025646F" w:rsidP="00FC48C7">
            <w:pPr>
              <w:pStyle w:val="Tablehead"/>
              <w:rPr>
                <w:bCs/>
                <w:szCs w:val="18"/>
                <w:lang w:val="ru-RU" w:eastAsia="en-GB"/>
              </w:rPr>
            </w:pPr>
            <w:r w:rsidRPr="00521670">
              <w:rPr>
                <w:szCs w:val="18"/>
                <w:lang w:val="ru-RU"/>
              </w:rPr>
              <w:t>Резервный счет МСЭ</w:t>
            </w:r>
          </w:p>
        </w:tc>
        <w:tc>
          <w:tcPr>
            <w:tcW w:w="608" w:type="pct"/>
            <w:tcBorders>
              <w:top w:val="nil"/>
              <w:left w:val="nil"/>
              <w:bottom w:val="nil"/>
              <w:right w:val="nil"/>
            </w:tcBorders>
            <w:shd w:val="clear" w:color="000000" w:fill="0070C0"/>
            <w:vAlign w:val="center"/>
            <w:hideMark/>
          </w:tcPr>
          <w:p w14:paraId="3F2334B4" w14:textId="223224C8" w:rsidR="00FC48C7" w:rsidRPr="00521670" w:rsidRDefault="0025646F" w:rsidP="00FC48C7">
            <w:pPr>
              <w:pStyle w:val="Tablehead"/>
              <w:rPr>
                <w:bCs/>
                <w:szCs w:val="18"/>
                <w:lang w:val="ru-RU" w:eastAsia="en-GB"/>
              </w:rPr>
            </w:pPr>
            <w:r w:rsidRPr="00521670">
              <w:rPr>
                <w:szCs w:val="18"/>
                <w:lang w:val="ru-RU"/>
              </w:rPr>
              <w:t>Прочие резервы и фонды</w:t>
            </w:r>
          </w:p>
        </w:tc>
        <w:tc>
          <w:tcPr>
            <w:tcW w:w="625" w:type="pct"/>
            <w:tcBorders>
              <w:top w:val="nil"/>
              <w:left w:val="nil"/>
              <w:bottom w:val="nil"/>
              <w:right w:val="nil"/>
            </w:tcBorders>
            <w:shd w:val="clear" w:color="000000" w:fill="0070C0"/>
            <w:vAlign w:val="center"/>
            <w:hideMark/>
          </w:tcPr>
          <w:p w14:paraId="44A9BA60" w14:textId="3A6BF3A0" w:rsidR="00FC48C7" w:rsidRPr="00521670" w:rsidRDefault="0025646F" w:rsidP="006C6604">
            <w:pPr>
              <w:pStyle w:val="Tablehead"/>
              <w:ind w:left="-57" w:right="-57"/>
              <w:rPr>
                <w:bCs/>
                <w:szCs w:val="18"/>
                <w:lang w:val="ru-RU" w:eastAsia="en-GB"/>
              </w:rPr>
            </w:pPr>
            <w:r w:rsidRPr="00521670">
              <w:rPr>
                <w:szCs w:val="18"/>
                <w:lang w:val="ru-RU"/>
              </w:rPr>
              <w:t xml:space="preserve">Внебюджет-ные </w:t>
            </w:r>
            <w:r w:rsidRPr="00521670">
              <w:rPr>
                <w:szCs w:val="18"/>
                <w:lang w:val="ru-RU"/>
              </w:rPr>
              <w:br/>
              <w:t>резервы</w:t>
            </w:r>
          </w:p>
        </w:tc>
        <w:tc>
          <w:tcPr>
            <w:tcW w:w="608" w:type="pct"/>
            <w:tcBorders>
              <w:top w:val="nil"/>
              <w:left w:val="nil"/>
              <w:bottom w:val="nil"/>
              <w:right w:val="nil"/>
            </w:tcBorders>
            <w:shd w:val="clear" w:color="000000" w:fill="0070C0"/>
            <w:vAlign w:val="center"/>
            <w:hideMark/>
          </w:tcPr>
          <w:p w14:paraId="3E5FDEAD" w14:textId="2E9E13BB" w:rsidR="00FC48C7" w:rsidRPr="00521670" w:rsidRDefault="0025646F" w:rsidP="00FC48C7">
            <w:pPr>
              <w:pStyle w:val="Tablehead"/>
              <w:rPr>
                <w:bCs/>
                <w:szCs w:val="18"/>
                <w:lang w:val="ru-RU" w:eastAsia="en-GB"/>
              </w:rPr>
            </w:pPr>
            <w:r w:rsidRPr="00521670">
              <w:rPr>
                <w:szCs w:val="18"/>
                <w:lang w:val="ru-RU" w:eastAsia="en-GB"/>
              </w:rPr>
              <w:t>Актуарные прибыли/</w:t>
            </w:r>
            <w:r w:rsidRPr="00521670">
              <w:rPr>
                <w:szCs w:val="18"/>
                <w:lang w:val="ru-RU" w:eastAsia="en-GB"/>
              </w:rPr>
              <w:br/>
              <w:t>(потери) АСХИ</w:t>
            </w:r>
          </w:p>
        </w:tc>
        <w:tc>
          <w:tcPr>
            <w:tcW w:w="669" w:type="pct"/>
            <w:tcBorders>
              <w:top w:val="nil"/>
              <w:left w:val="nil"/>
              <w:bottom w:val="nil"/>
              <w:right w:val="nil"/>
            </w:tcBorders>
            <w:shd w:val="clear" w:color="000000" w:fill="0070C0"/>
            <w:vAlign w:val="center"/>
            <w:hideMark/>
          </w:tcPr>
          <w:p w14:paraId="7EEE589A" w14:textId="28D8BA16" w:rsidR="00FC48C7" w:rsidRPr="00521670" w:rsidRDefault="0025646F" w:rsidP="00807A29">
            <w:pPr>
              <w:pStyle w:val="Tablehead"/>
              <w:ind w:left="-57" w:right="-57"/>
              <w:rPr>
                <w:bCs/>
                <w:szCs w:val="18"/>
                <w:lang w:val="ru-RU" w:eastAsia="en-GB"/>
              </w:rPr>
            </w:pPr>
            <w:r w:rsidRPr="00521670">
              <w:rPr>
                <w:szCs w:val="18"/>
                <w:lang w:val="ru-RU" w:eastAsia="en-GB"/>
              </w:rPr>
              <w:t>Накопленное активное сальдо/</w:t>
            </w:r>
            <w:r w:rsidRPr="00521670">
              <w:rPr>
                <w:szCs w:val="18"/>
                <w:lang w:val="ru-RU" w:eastAsia="en-GB"/>
              </w:rPr>
              <w:br/>
              <w:t>(дефицит)</w:t>
            </w:r>
          </w:p>
        </w:tc>
        <w:tc>
          <w:tcPr>
            <w:tcW w:w="608" w:type="pct"/>
            <w:tcBorders>
              <w:top w:val="nil"/>
              <w:left w:val="nil"/>
              <w:bottom w:val="nil"/>
              <w:right w:val="nil"/>
            </w:tcBorders>
            <w:shd w:val="clear" w:color="000000" w:fill="0070C0"/>
            <w:vAlign w:val="center"/>
            <w:hideMark/>
          </w:tcPr>
          <w:p w14:paraId="18CA1045" w14:textId="2EF6B3A4" w:rsidR="00FC48C7" w:rsidRPr="00521670" w:rsidRDefault="0025646F" w:rsidP="00FC48C7">
            <w:pPr>
              <w:pStyle w:val="Tablehead"/>
              <w:rPr>
                <w:bCs/>
                <w:szCs w:val="18"/>
                <w:lang w:val="ru-RU" w:eastAsia="en-GB"/>
              </w:rPr>
            </w:pPr>
            <w:r w:rsidRPr="00521670">
              <w:rPr>
                <w:szCs w:val="18"/>
                <w:lang w:val="ru-RU" w:eastAsia="en-GB"/>
              </w:rPr>
              <w:t>Общие чистые активы</w:t>
            </w:r>
          </w:p>
        </w:tc>
      </w:tr>
      <w:tr w:rsidR="00FC48C7" w:rsidRPr="00521670" w14:paraId="0577CFF6" w14:textId="77777777" w:rsidTr="00015883">
        <w:trPr>
          <w:trHeight w:val="310"/>
        </w:trPr>
        <w:tc>
          <w:tcPr>
            <w:tcW w:w="1328" w:type="pct"/>
            <w:tcBorders>
              <w:top w:val="nil"/>
              <w:left w:val="nil"/>
              <w:bottom w:val="nil"/>
              <w:right w:val="nil"/>
            </w:tcBorders>
            <w:shd w:val="clear" w:color="000000" w:fill="D9E1F2"/>
            <w:vAlign w:val="center"/>
            <w:hideMark/>
          </w:tcPr>
          <w:p w14:paraId="76F0A46F" w14:textId="0A3EDE63" w:rsidR="00FC48C7" w:rsidRPr="00521670" w:rsidRDefault="00FC48C7" w:rsidP="00FC48C7">
            <w:pPr>
              <w:pStyle w:val="Tabletext"/>
              <w:rPr>
                <w:b/>
                <w:bCs/>
                <w:lang w:val="ru-RU" w:eastAsia="en-GB"/>
              </w:rPr>
            </w:pPr>
            <w:r w:rsidRPr="00521670">
              <w:rPr>
                <w:b/>
                <w:bCs/>
                <w:lang w:val="ru-RU" w:eastAsia="en-GB"/>
              </w:rPr>
              <w:t xml:space="preserve">31 </w:t>
            </w:r>
            <w:r w:rsidR="0025646F" w:rsidRPr="00521670">
              <w:rPr>
                <w:b/>
                <w:bCs/>
                <w:lang w:val="ru-RU" w:eastAsia="en-GB"/>
              </w:rPr>
              <w:t>декабря</w:t>
            </w:r>
            <w:r w:rsidRPr="00521670">
              <w:rPr>
                <w:b/>
                <w:bCs/>
                <w:lang w:val="ru-RU" w:eastAsia="en-GB"/>
              </w:rPr>
              <w:t xml:space="preserve"> 2022</w:t>
            </w:r>
            <w:r w:rsidR="0025646F" w:rsidRPr="00521670">
              <w:rPr>
                <w:b/>
                <w:bCs/>
                <w:lang w:val="ru-RU" w:eastAsia="en-GB"/>
              </w:rPr>
              <w:t xml:space="preserve"> г.</w:t>
            </w:r>
          </w:p>
        </w:tc>
        <w:tc>
          <w:tcPr>
            <w:tcW w:w="554" w:type="pct"/>
            <w:tcBorders>
              <w:top w:val="nil"/>
              <w:left w:val="nil"/>
              <w:bottom w:val="nil"/>
              <w:right w:val="nil"/>
            </w:tcBorders>
            <w:shd w:val="clear" w:color="000000" w:fill="D9E1F2"/>
            <w:noWrap/>
            <w:vAlign w:val="center"/>
            <w:hideMark/>
          </w:tcPr>
          <w:p w14:paraId="08E13748" w14:textId="269BB7C0" w:rsidR="00FC48C7" w:rsidRPr="00521670" w:rsidRDefault="00FC48C7" w:rsidP="0025646F">
            <w:pPr>
              <w:pStyle w:val="Tabletext"/>
              <w:jc w:val="right"/>
              <w:rPr>
                <w:b/>
                <w:bCs/>
                <w:lang w:val="ru-RU" w:eastAsia="en-GB"/>
              </w:rPr>
            </w:pPr>
            <w:r w:rsidRPr="00521670">
              <w:rPr>
                <w:b/>
                <w:bCs/>
                <w:lang w:val="ru-RU" w:eastAsia="en-GB"/>
              </w:rPr>
              <w:t>28 388</w:t>
            </w:r>
          </w:p>
        </w:tc>
        <w:tc>
          <w:tcPr>
            <w:tcW w:w="608" w:type="pct"/>
            <w:tcBorders>
              <w:top w:val="nil"/>
              <w:left w:val="nil"/>
              <w:bottom w:val="nil"/>
              <w:right w:val="nil"/>
            </w:tcBorders>
            <w:shd w:val="clear" w:color="000000" w:fill="D9E1F2"/>
            <w:noWrap/>
            <w:vAlign w:val="center"/>
            <w:hideMark/>
          </w:tcPr>
          <w:p w14:paraId="4312697F" w14:textId="3EE507A2" w:rsidR="00FC48C7" w:rsidRPr="00521670" w:rsidRDefault="00FC48C7" w:rsidP="0025646F">
            <w:pPr>
              <w:pStyle w:val="Tabletext"/>
              <w:jc w:val="right"/>
              <w:rPr>
                <w:b/>
                <w:bCs/>
                <w:lang w:val="ru-RU" w:eastAsia="en-GB"/>
              </w:rPr>
            </w:pPr>
            <w:r w:rsidRPr="00521670">
              <w:rPr>
                <w:b/>
                <w:bCs/>
                <w:lang w:val="ru-RU" w:eastAsia="en-GB"/>
              </w:rPr>
              <w:t>64 322</w:t>
            </w:r>
          </w:p>
        </w:tc>
        <w:tc>
          <w:tcPr>
            <w:tcW w:w="625" w:type="pct"/>
            <w:tcBorders>
              <w:top w:val="nil"/>
              <w:left w:val="nil"/>
              <w:bottom w:val="nil"/>
              <w:right w:val="nil"/>
            </w:tcBorders>
            <w:shd w:val="clear" w:color="000000" w:fill="D9E1F2"/>
            <w:noWrap/>
            <w:vAlign w:val="center"/>
            <w:hideMark/>
          </w:tcPr>
          <w:p w14:paraId="34660AA6" w14:textId="7362A53E" w:rsidR="00FC48C7" w:rsidRPr="00521670" w:rsidRDefault="00FC48C7" w:rsidP="0025646F">
            <w:pPr>
              <w:pStyle w:val="Tabletext"/>
              <w:jc w:val="right"/>
              <w:rPr>
                <w:b/>
                <w:bCs/>
                <w:lang w:val="ru-RU" w:eastAsia="en-GB"/>
              </w:rPr>
            </w:pPr>
            <w:r w:rsidRPr="00521670">
              <w:rPr>
                <w:b/>
                <w:bCs/>
                <w:lang w:val="ru-RU" w:eastAsia="en-GB"/>
              </w:rPr>
              <w:t>14 036</w:t>
            </w:r>
          </w:p>
        </w:tc>
        <w:tc>
          <w:tcPr>
            <w:tcW w:w="608" w:type="pct"/>
            <w:tcBorders>
              <w:top w:val="nil"/>
              <w:left w:val="nil"/>
              <w:bottom w:val="nil"/>
              <w:right w:val="nil"/>
            </w:tcBorders>
            <w:shd w:val="clear" w:color="000000" w:fill="D9E1F2"/>
            <w:noWrap/>
            <w:vAlign w:val="center"/>
            <w:hideMark/>
          </w:tcPr>
          <w:p w14:paraId="49B35028" w14:textId="2A6A4219" w:rsidR="00FC48C7" w:rsidRPr="00521670" w:rsidRDefault="00FC48C7" w:rsidP="0025646F">
            <w:pPr>
              <w:pStyle w:val="Tabletext"/>
              <w:jc w:val="right"/>
              <w:rPr>
                <w:b/>
                <w:bCs/>
                <w:lang w:val="ru-RU" w:eastAsia="en-GB"/>
              </w:rPr>
            </w:pPr>
            <w:r w:rsidRPr="00521670">
              <w:rPr>
                <w:b/>
                <w:bCs/>
                <w:lang w:val="ru-RU" w:eastAsia="en-GB"/>
              </w:rPr>
              <w:t>51 435</w:t>
            </w:r>
          </w:p>
        </w:tc>
        <w:tc>
          <w:tcPr>
            <w:tcW w:w="669" w:type="pct"/>
            <w:tcBorders>
              <w:top w:val="nil"/>
              <w:left w:val="nil"/>
              <w:bottom w:val="nil"/>
              <w:right w:val="nil"/>
            </w:tcBorders>
            <w:shd w:val="clear" w:color="000000" w:fill="D9E1F2"/>
            <w:noWrap/>
            <w:vAlign w:val="center"/>
            <w:hideMark/>
          </w:tcPr>
          <w:p w14:paraId="7F16DDCD" w14:textId="44E6ADB6" w:rsidR="00FC48C7" w:rsidRPr="00521670" w:rsidRDefault="00FC48C7" w:rsidP="0025646F">
            <w:pPr>
              <w:pStyle w:val="Tabletext"/>
              <w:jc w:val="right"/>
              <w:rPr>
                <w:b/>
                <w:bCs/>
                <w:lang w:val="ru-RU" w:eastAsia="en-GB"/>
              </w:rPr>
            </w:pPr>
            <w:r w:rsidRPr="00521670">
              <w:rPr>
                <w:b/>
                <w:bCs/>
                <w:lang w:val="ru-RU" w:eastAsia="en-GB"/>
              </w:rPr>
              <w:t>(371 238)</w:t>
            </w:r>
          </w:p>
        </w:tc>
        <w:tc>
          <w:tcPr>
            <w:tcW w:w="608" w:type="pct"/>
            <w:tcBorders>
              <w:top w:val="nil"/>
              <w:left w:val="nil"/>
              <w:bottom w:val="nil"/>
              <w:right w:val="nil"/>
            </w:tcBorders>
            <w:shd w:val="clear" w:color="000000" w:fill="D9E1F2"/>
            <w:noWrap/>
            <w:vAlign w:val="center"/>
            <w:hideMark/>
          </w:tcPr>
          <w:p w14:paraId="2B48086C" w14:textId="6760BEBC" w:rsidR="00FC48C7" w:rsidRPr="00521670" w:rsidRDefault="00FC48C7" w:rsidP="0025646F">
            <w:pPr>
              <w:pStyle w:val="Tabletext"/>
              <w:jc w:val="right"/>
              <w:rPr>
                <w:b/>
                <w:bCs/>
                <w:lang w:val="ru-RU" w:eastAsia="en-GB"/>
              </w:rPr>
            </w:pPr>
            <w:r w:rsidRPr="00521670">
              <w:rPr>
                <w:b/>
                <w:bCs/>
                <w:lang w:val="ru-RU" w:eastAsia="en-GB"/>
              </w:rPr>
              <w:t>(213 057)</w:t>
            </w:r>
          </w:p>
        </w:tc>
      </w:tr>
      <w:tr w:rsidR="00FC48C7" w:rsidRPr="00521670" w14:paraId="1E17A6BC" w14:textId="77777777" w:rsidTr="00015883">
        <w:trPr>
          <w:trHeight w:val="255"/>
        </w:trPr>
        <w:tc>
          <w:tcPr>
            <w:tcW w:w="1328" w:type="pct"/>
            <w:tcBorders>
              <w:top w:val="nil"/>
              <w:left w:val="nil"/>
              <w:bottom w:val="nil"/>
              <w:right w:val="nil"/>
            </w:tcBorders>
            <w:shd w:val="clear" w:color="auto" w:fill="auto"/>
            <w:vAlign w:val="center"/>
            <w:hideMark/>
          </w:tcPr>
          <w:p w14:paraId="6071B0BC" w14:textId="7BE22CAF" w:rsidR="00FC48C7" w:rsidRPr="00521670" w:rsidRDefault="0025646F" w:rsidP="00FC48C7">
            <w:pPr>
              <w:pStyle w:val="Tabletext"/>
              <w:rPr>
                <w:szCs w:val="18"/>
                <w:lang w:val="ru-RU" w:eastAsia="en-GB"/>
              </w:rPr>
            </w:pPr>
            <w:r w:rsidRPr="00521670">
              <w:rPr>
                <w:szCs w:val="18"/>
                <w:lang w:val="ru-RU" w:eastAsia="en-GB"/>
              </w:rPr>
              <w:t>Активное сальдо/(дефицит) за 2023 г. (пересчитанные)</w:t>
            </w:r>
          </w:p>
        </w:tc>
        <w:tc>
          <w:tcPr>
            <w:tcW w:w="554" w:type="pct"/>
            <w:tcBorders>
              <w:top w:val="nil"/>
              <w:left w:val="nil"/>
              <w:bottom w:val="nil"/>
              <w:right w:val="nil"/>
            </w:tcBorders>
            <w:shd w:val="clear" w:color="auto" w:fill="auto"/>
            <w:noWrap/>
            <w:vAlign w:val="center"/>
            <w:hideMark/>
          </w:tcPr>
          <w:p w14:paraId="0496081F" w14:textId="6B43336D" w:rsidR="00FC48C7" w:rsidRPr="00521670" w:rsidRDefault="00FC48C7" w:rsidP="0025646F">
            <w:pPr>
              <w:pStyle w:val="Tabletext"/>
              <w:jc w:val="right"/>
              <w:rPr>
                <w:szCs w:val="18"/>
                <w:lang w:val="ru-RU" w:eastAsia="en-GB"/>
              </w:rPr>
            </w:pPr>
            <w:r w:rsidRPr="00521670">
              <w:rPr>
                <w:szCs w:val="18"/>
                <w:lang w:val="ru-RU" w:eastAsia="en-GB"/>
              </w:rPr>
              <w:t>(2 117)</w:t>
            </w:r>
          </w:p>
        </w:tc>
        <w:tc>
          <w:tcPr>
            <w:tcW w:w="608" w:type="pct"/>
            <w:tcBorders>
              <w:top w:val="nil"/>
              <w:left w:val="nil"/>
              <w:bottom w:val="nil"/>
              <w:right w:val="nil"/>
            </w:tcBorders>
            <w:shd w:val="clear" w:color="auto" w:fill="auto"/>
            <w:noWrap/>
            <w:vAlign w:val="center"/>
            <w:hideMark/>
          </w:tcPr>
          <w:p w14:paraId="0AC24F5A" w14:textId="5EF72C0B" w:rsidR="00FC48C7" w:rsidRPr="00521670" w:rsidRDefault="00FC48C7" w:rsidP="0025646F">
            <w:pPr>
              <w:pStyle w:val="Tabletext"/>
              <w:jc w:val="right"/>
              <w:rPr>
                <w:szCs w:val="18"/>
                <w:lang w:val="ru-RU" w:eastAsia="en-GB"/>
              </w:rPr>
            </w:pPr>
            <w:r w:rsidRPr="00521670">
              <w:rPr>
                <w:szCs w:val="18"/>
                <w:lang w:val="ru-RU" w:eastAsia="en-GB"/>
              </w:rPr>
              <w:t>1 235</w:t>
            </w:r>
          </w:p>
        </w:tc>
        <w:tc>
          <w:tcPr>
            <w:tcW w:w="625" w:type="pct"/>
            <w:tcBorders>
              <w:top w:val="nil"/>
              <w:left w:val="nil"/>
              <w:bottom w:val="nil"/>
              <w:right w:val="nil"/>
            </w:tcBorders>
            <w:shd w:val="clear" w:color="auto" w:fill="auto"/>
            <w:noWrap/>
            <w:vAlign w:val="center"/>
            <w:hideMark/>
          </w:tcPr>
          <w:p w14:paraId="5B6AEB1D" w14:textId="2C944792" w:rsidR="00FC48C7" w:rsidRPr="00521670" w:rsidRDefault="00FC48C7" w:rsidP="0025646F">
            <w:pPr>
              <w:pStyle w:val="Tabletext"/>
              <w:jc w:val="right"/>
              <w:rPr>
                <w:szCs w:val="18"/>
                <w:lang w:val="ru-RU" w:eastAsia="en-GB"/>
              </w:rPr>
            </w:pPr>
            <w:r w:rsidRPr="00521670">
              <w:rPr>
                <w:szCs w:val="18"/>
                <w:lang w:val="ru-RU" w:eastAsia="en-GB"/>
              </w:rPr>
              <w:t>(683)</w:t>
            </w:r>
          </w:p>
        </w:tc>
        <w:tc>
          <w:tcPr>
            <w:tcW w:w="608" w:type="pct"/>
            <w:tcBorders>
              <w:top w:val="nil"/>
              <w:left w:val="nil"/>
              <w:bottom w:val="nil"/>
              <w:right w:val="nil"/>
            </w:tcBorders>
            <w:shd w:val="clear" w:color="auto" w:fill="auto"/>
            <w:noWrap/>
            <w:vAlign w:val="center"/>
            <w:hideMark/>
          </w:tcPr>
          <w:p w14:paraId="2FCA92F3" w14:textId="77777777" w:rsidR="00FC48C7" w:rsidRPr="00521670" w:rsidRDefault="00FC48C7" w:rsidP="0025646F">
            <w:pPr>
              <w:pStyle w:val="Tabletext"/>
              <w:jc w:val="right"/>
              <w:rPr>
                <w:szCs w:val="18"/>
                <w:lang w:val="ru-RU" w:eastAsia="en-GB"/>
              </w:rPr>
            </w:pPr>
          </w:p>
        </w:tc>
        <w:tc>
          <w:tcPr>
            <w:tcW w:w="669" w:type="pct"/>
            <w:tcBorders>
              <w:top w:val="nil"/>
              <w:left w:val="nil"/>
              <w:bottom w:val="nil"/>
              <w:right w:val="nil"/>
            </w:tcBorders>
            <w:shd w:val="clear" w:color="auto" w:fill="auto"/>
            <w:noWrap/>
            <w:vAlign w:val="center"/>
            <w:hideMark/>
          </w:tcPr>
          <w:p w14:paraId="09743ED6" w14:textId="0C1A2A23" w:rsidR="00FC48C7" w:rsidRPr="00521670" w:rsidRDefault="00FC48C7" w:rsidP="0025646F">
            <w:pPr>
              <w:pStyle w:val="Tabletext"/>
              <w:jc w:val="right"/>
              <w:rPr>
                <w:szCs w:val="18"/>
                <w:lang w:val="ru-RU" w:eastAsia="en-GB"/>
              </w:rPr>
            </w:pPr>
            <w:r w:rsidRPr="00521670">
              <w:rPr>
                <w:szCs w:val="18"/>
                <w:lang w:val="ru-RU" w:eastAsia="en-GB"/>
              </w:rPr>
              <w:t>(23 209)</w:t>
            </w:r>
          </w:p>
        </w:tc>
        <w:tc>
          <w:tcPr>
            <w:tcW w:w="608" w:type="pct"/>
            <w:tcBorders>
              <w:top w:val="nil"/>
              <w:left w:val="nil"/>
              <w:bottom w:val="nil"/>
              <w:right w:val="nil"/>
            </w:tcBorders>
            <w:shd w:val="clear" w:color="auto" w:fill="auto"/>
            <w:noWrap/>
            <w:vAlign w:val="center"/>
            <w:hideMark/>
          </w:tcPr>
          <w:p w14:paraId="4B9B40F4" w14:textId="3FED062D" w:rsidR="00FC48C7" w:rsidRPr="00521670" w:rsidRDefault="00FC48C7" w:rsidP="0025646F">
            <w:pPr>
              <w:pStyle w:val="Tabletext"/>
              <w:jc w:val="right"/>
              <w:rPr>
                <w:b/>
                <w:bCs/>
                <w:szCs w:val="18"/>
                <w:lang w:val="ru-RU" w:eastAsia="en-GB"/>
              </w:rPr>
            </w:pPr>
            <w:r w:rsidRPr="00521670">
              <w:rPr>
                <w:b/>
                <w:bCs/>
                <w:szCs w:val="18"/>
                <w:lang w:val="ru-RU" w:eastAsia="en-GB"/>
              </w:rPr>
              <w:t>(24 774)</w:t>
            </w:r>
          </w:p>
        </w:tc>
      </w:tr>
      <w:tr w:rsidR="00FC48C7" w:rsidRPr="00521670" w14:paraId="495DCCBD" w14:textId="77777777" w:rsidTr="00015883">
        <w:trPr>
          <w:trHeight w:val="184"/>
        </w:trPr>
        <w:tc>
          <w:tcPr>
            <w:tcW w:w="1328" w:type="pct"/>
            <w:tcBorders>
              <w:top w:val="nil"/>
              <w:left w:val="nil"/>
              <w:bottom w:val="nil"/>
              <w:right w:val="nil"/>
            </w:tcBorders>
            <w:shd w:val="clear" w:color="auto" w:fill="auto"/>
            <w:vAlign w:val="center"/>
            <w:hideMark/>
          </w:tcPr>
          <w:p w14:paraId="0C6448D3" w14:textId="44AEAF2B" w:rsidR="00FC48C7" w:rsidRPr="00521670" w:rsidRDefault="0025646F" w:rsidP="00FC48C7">
            <w:pPr>
              <w:pStyle w:val="Tabletext"/>
              <w:rPr>
                <w:szCs w:val="18"/>
                <w:lang w:val="ru-RU" w:eastAsia="en-GB"/>
              </w:rPr>
            </w:pPr>
            <w:r w:rsidRPr="00521670">
              <w:rPr>
                <w:szCs w:val="18"/>
                <w:lang w:val="ru-RU" w:eastAsia="en-GB"/>
              </w:rPr>
              <w:t>Другие корректировки</w:t>
            </w:r>
          </w:p>
        </w:tc>
        <w:tc>
          <w:tcPr>
            <w:tcW w:w="554" w:type="pct"/>
            <w:tcBorders>
              <w:top w:val="nil"/>
              <w:left w:val="nil"/>
              <w:bottom w:val="nil"/>
              <w:right w:val="nil"/>
            </w:tcBorders>
            <w:shd w:val="clear" w:color="auto" w:fill="auto"/>
            <w:noWrap/>
            <w:vAlign w:val="center"/>
            <w:hideMark/>
          </w:tcPr>
          <w:p w14:paraId="7E4A87E9" w14:textId="77777777" w:rsidR="00FC48C7" w:rsidRPr="00521670" w:rsidRDefault="00FC48C7" w:rsidP="0025646F">
            <w:pPr>
              <w:pStyle w:val="Tabletext"/>
              <w:jc w:val="right"/>
              <w:rPr>
                <w:szCs w:val="18"/>
                <w:lang w:val="ru-RU" w:eastAsia="en-GB"/>
              </w:rPr>
            </w:pPr>
          </w:p>
        </w:tc>
        <w:tc>
          <w:tcPr>
            <w:tcW w:w="608" w:type="pct"/>
            <w:tcBorders>
              <w:top w:val="nil"/>
              <w:left w:val="nil"/>
              <w:bottom w:val="nil"/>
              <w:right w:val="nil"/>
            </w:tcBorders>
            <w:shd w:val="clear" w:color="auto" w:fill="auto"/>
            <w:noWrap/>
            <w:vAlign w:val="center"/>
            <w:hideMark/>
          </w:tcPr>
          <w:p w14:paraId="0C4CFDDE" w14:textId="77777777" w:rsidR="00FC48C7" w:rsidRPr="00521670" w:rsidRDefault="00FC48C7" w:rsidP="0025646F">
            <w:pPr>
              <w:pStyle w:val="Tabletext"/>
              <w:jc w:val="right"/>
              <w:rPr>
                <w:szCs w:val="18"/>
                <w:lang w:val="ru-RU" w:eastAsia="en-GB"/>
              </w:rPr>
            </w:pPr>
          </w:p>
        </w:tc>
        <w:tc>
          <w:tcPr>
            <w:tcW w:w="625" w:type="pct"/>
            <w:tcBorders>
              <w:top w:val="nil"/>
              <w:left w:val="nil"/>
              <w:bottom w:val="nil"/>
              <w:right w:val="nil"/>
            </w:tcBorders>
            <w:shd w:val="clear" w:color="auto" w:fill="auto"/>
            <w:noWrap/>
            <w:vAlign w:val="center"/>
            <w:hideMark/>
          </w:tcPr>
          <w:p w14:paraId="00B3E9D2" w14:textId="77777777" w:rsidR="00FC48C7" w:rsidRPr="00521670" w:rsidRDefault="00FC48C7" w:rsidP="0025646F">
            <w:pPr>
              <w:pStyle w:val="Tabletext"/>
              <w:jc w:val="right"/>
              <w:rPr>
                <w:szCs w:val="18"/>
                <w:lang w:val="ru-RU" w:eastAsia="en-GB"/>
              </w:rPr>
            </w:pPr>
          </w:p>
        </w:tc>
        <w:tc>
          <w:tcPr>
            <w:tcW w:w="608" w:type="pct"/>
            <w:tcBorders>
              <w:top w:val="nil"/>
              <w:left w:val="nil"/>
              <w:bottom w:val="nil"/>
              <w:right w:val="nil"/>
            </w:tcBorders>
            <w:shd w:val="clear" w:color="auto" w:fill="auto"/>
            <w:noWrap/>
            <w:vAlign w:val="center"/>
            <w:hideMark/>
          </w:tcPr>
          <w:p w14:paraId="111DCB4C" w14:textId="7F72B1D3" w:rsidR="00FC48C7" w:rsidRPr="00521670" w:rsidRDefault="00FC48C7" w:rsidP="0025646F">
            <w:pPr>
              <w:pStyle w:val="Tabletext"/>
              <w:jc w:val="right"/>
              <w:rPr>
                <w:szCs w:val="18"/>
                <w:lang w:val="ru-RU" w:eastAsia="en-GB"/>
              </w:rPr>
            </w:pPr>
            <w:r w:rsidRPr="00521670">
              <w:rPr>
                <w:szCs w:val="18"/>
                <w:lang w:val="ru-RU" w:eastAsia="en-GB"/>
              </w:rPr>
              <w:t>(19 524)</w:t>
            </w:r>
          </w:p>
        </w:tc>
        <w:tc>
          <w:tcPr>
            <w:tcW w:w="669" w:type="pct"/>
            <w:tcBorders>
              <w:top w:val="nil"/>
              <w:left w:val="nil"/>
              <w:bottom w:val="nil"/>
              <w:right w:val="nil"/>
            </w:tcBorders>
            <w:shd w:val="clear" w:color="auto" w:fill="auto"/>
            <w:noWrap/>
            <w:vAlign w:val="center"/>
            <w:hideMark/>
          </w:tcPr>
          <w:p w14:paraId="3F0CEA51" w14:textId="77777777" w:rsidR="00FC48C7" w:rsidRPr="00521670" w:rsidRDefault="00FC48C7" w:rsidP="0025646F">
            <w:pPr>
              <w:pStyle w:val="Tabletext"/>
              <w:jc w:val="right"/>
              <w:rPr>
                <w:szCs w:val="18"/>
                <w:lang w:val="ru-RU" w:eastAsia="en-GB"/>
              </w:rPr>
            </w:pPr>
          </w:p>
        </w:tc>
        <w:tc>
          <w:tcPr>
            <w:tcW w:w="608" w:type="pct"/>
            <w:tcBorders>
              <w:top w:val="nil"/>
              <w:left w:val="nil"/>
              <w:bottom w:val="nil"/>
              <w:right w:val="nil"/>
            </w:tcBorders>
            <w:shd w:val="clear" w:color="auto" w:fill="auto"/>
            <w:noWrap/>
            <w:vAlign w:val="center"/>
            <w:hideMark/>
          </w:tcPr>
          <w:p w14:paraId="6D86043F" w14:textId="04E5EBC7" w:rsidR="00FC48C7" w:rsidRPr="00521670" w:rsidRDefault="00FC48C7" w:rsidP="0025646F">
            <w:pPr>
              <w:pStyle w:val="Tabletext"/>
              <w:jc w:val="right"/>
              <w:rPr>
                <w:b/>
                <w:bCs/>
                <w:szCs w:val="18"/>
                <w:lang w:val="ru-RU" w:eastAsia="en-GB"/>
              </w:rPr>
            </w:pPr>
            <w:r w:rsidRPr="00521670">
              <w:rPr>
                <w:b/>
                <w:bCs/>
                <w:szCs w:val="18"/>
                <w:lang w:val="ru-RU" w:eastAsia="en-GB"/>
              </w:rPr>
              <w:t>(19 524)</w:t>
            </w:r>
          </w:p>
        </w:tc>
      </w:tr>
      <w:tr w:rsidR="00FC48C7" w:rsidRPr="00521670" w14:paraId="61979D2E" w14:textId="77777777" w:rsidTr="00015883">
        <w:trPr>
          <w:trHeight w:val="247"/>
        </w:trPr>
        <w:tc>
          <w:tcPr>
            <w:tcW w:w="1328" w:type="pct"/>
            <w:tcBorders>
              <w:top w:val="nil"/>
              <w:left w:val="nil"/>
              <w:bottom w:val="nil"/>
              <w:right w:val="nil"/>
            </w:tcBorders>
            <w:shd w:val="clear" w:color="000000" w:fill="D9E1F2"/>
            <w:vAlign w:val="center"/>
            <w:hideMark/>
          </w:tcPr>
          <w:p w14:paraId="2E843F36" w14:textId="3F5FC0E0" w:rsidR="00FC48C7" w:rsidRPr="00521670" w:rsidRDefault="00FC48C7" w:rsidP="00FC48C7">
            <w:pPr>
              <w:pStyle w:val="Tabletext"/>
              <w:rPr>
                <w:b/>
                <w:bCs/>
                <w:szCs w:val="18"/>
                <w:lang w:val="ru-RU" w:eastAsia="en-GB"/>
              </w:rPr>
            </w:pPr>
            <w:r w:rsidRPr="00521670">
              <w:rPr>
                <w:b/>
                <w:bCs/>
                <w:szCs w:val="18"/>
                <w:lang w:val="ru-RU" w:eastAsia="en-GB"/>
              </w:rPr>
              <w:t xml:space="preserve">31 </w:t>
            </w:r>
            <w:r w:rsidR="0025646F" w:rsidRPr="00521670">
              <w:rPr>
                <w:b/>
                <w:bCs/>
                <w:szCs w:val="18"/>
                <w:lang w:val="ru-RU" w:eastAsia="en-GB"/>
              </w:rPr>
              <w:t>декабря</w:t>
            </w:r>
            <w:r w:rsidRPr="00521670">
              <w:rPr>
                <w:b/>
                <w:bCs/>
                <w:szCs w:val="18"/>
                <w:lang w:val="ru-RU" w:eastAsia="en-GB"/>
              </w:rPr>
              <w:t xml:space="preserve"> 2023</w:t>
            </w:r>
            <w:r w:rsidR="0025646F" w:rsidRPr="00521670">
              <w:rPr>
                <w:b/>
                <w:bCs/>
                <w:szCs w:val="18"/>
                <w:lang w:val="ru-RU" w:eastAsia="en-GB"/>
              </w:rPr>
              <w:t xml:space="preserve"> г.</w:t>
            </w:r>
          </w:p>
        </w:tc>
        <w:tc>
          <w:tcPr>
            <w:tcW w:w="554" w:type="pct"/>
            <w:tcBorders>
              <w:top w:val="nil"/>
              <w:left w:val="nil"/>
              <w:bottom w:val="nil"/>
              <w:right w:val="nil"/>
            </w:tcBorders>
            <w:shd w:val="clear" w:color="000000" w:fill="D9E1F2"/>
            <w:noWrap/>
            <w:vAlign w:val="center"/>
            <w:hideMark/>
          </w:tcPr>
          <w:p w14:paraId="2279B836" w14:textId="327DFE90" w:rsidR="00FC48C7" w:rsidRPr="00521670" w:rsidRDefault="00FC48C7" w:rsidP="0025646F">
            <w:pPr>
              <w:pStyle w:val="Tabletext"/>
              <w:jc w:val="right"/>
              <w:rPr>
                <w:b/>
                <w:bCs/>
                <w:szCs w:val="18"/>
                <w:lang w:val="ru-RU" w:eastAsia="en-GB"/>
              </w:rPr>
            </w:pPr>
            <w:r w:rsidRPr="00521670">
              <w:rPr>
                <w:b/>
                <w:bCs/>
                <w:szCs w:val="18"/>
                <w:lang w:val="ru-RU" w:eastAsia="en-GB"/>
              </w:rPr>
              <w:t>26 271</w:t>
            </w:r>
          </w:p>
        </w:tc>
        <w:tc>
          <w:tcPr>
            <w:tcW w:w="608" w:type="pct"/>
            <w:tcBorders>
              <w:top w:val="nil"/>
              <w:left w:val="nil"/>
              <w:bottom w:val="nil"/>
              <w:right w:val="nil"/>
            </w:tcBorders>
            <w:shd w:val="clear" w:color="000000" w:fill="D9E1F2"/>
            <w:noWrap/>
            <w:vAlign w:val="center"/>
            <w:hideMark/>
          </w:tcPr>
          <w:p w14:paraId="329CAEEF" w14:textId="6E4D9C9C" w:rsidR="00FC48C7" w:rsidRPr="00521670" w:rsidRDefault="00FC48C7" w:rsidP="0025646F">
            <w:pPr>
              <w:pStyle w:val="Tabletext"/>
              <w:jc w:val="right"/>
              <w:rPr>
                <w:b/>
                <w:bCs/>
                <w:szCs w:val="18"/>
                <w:lang w:val="ru-RU" w:eastAsia="en-GB"/>
              </w:rPr>
            </w:pPr>
            <w:r w:rsidRPr="00521670">
              <w:rPr>
                <w:b/>
                <w:bCs/>
                <w:szCs w:val="18"/>
                <w:lang w:val="ru-RU" w:eastAsia="en-GB"/>
              </w:rPr>
              <w:t>65 557</w:t>
            </w:r>
          </w:p>
        </w:tc>
        <w:tc>
          <w:tcPr>
            <w:tcW w:w="625" w:type="pct"/>
            <w:tcBorders>
              <w:top w:val="nil"/>
              <w:left w:val="nil"/>
              <w:bottom w:val="nil"/>
              <w:right w:val="nil"/>
            </w:tcBorders>
            <w:shd w:val="clear" w:color="000000" w:fill="D9E1F2"/>
            <w:noWrap/>
            <w:vAlign w:val="center"/>
            <w:hideMark/>
          </w:tcPr>
          <w:p w14:paraId="3FEFCCF5" w14:textId="4B619A7B" w:rsidR="00FC48C7" w:rsidRPr="00521670" w:rsidRDefault="00FC48C7" w:rsidP="0025646F">
            <w:pPr>
              <w:pStyle w:val="Tabletext"/>
              <w:jc w:val="right"/>
              <w:rPr>
                <w:b/>
                <w:bCs/>
                <w:szCs w:val="18"/>
                <w:lang w:val="ru-RU" w:eastAsia="en-GB"/>
              </w:rPr>
            </w:pPr>
            <w:r w:rsidRPr="00521670">
              <w:rPr>
                <w:b/>
                <w:bCs/>
                <w:szCs w:val="18"/>
                <w:lang w:val="ru-RU" w:eastAsia="en-GB"/>
              </w:rPr>
              <w:t>13 353</w:t>
            </w:r>
          </w:p>
        </w:tc>
        <w:tc>
          <w:tcPr>
            <w:tcW w:w="608" w:type="pct"/>
            <w:tcBorders>
              <w:top w:val="nil"/>
              <w:left w:val="nil"/>
              <w:bottom w:val="nil"/>
              <w:right w:val="nil"/>
            </w:tcBorders>
            <w:shd w:val="clear" w:color="000000" w:fill="D9E1F2"/>
            <w:noWrap/>
            <w:vAlign w:val="center"/>
            <w:hideMark/>
          </w:tcPr>
          <w:p w14:paraId="6D96AD71" w14:textId="7A703D84" w:rsidR="00FC48C7" w:rsidRPr="00521670" w:rsidRDefault="00FC48C7" w:rsidP="0025646F">
            <w:pPr>
              <w:pStyle w:val="Tabletext"/>
              <w:jc w:val="right"/>
              <w:rPr>
                <w:b/>
                <w:bCs/>
                <w:szCs w:val="18"/>
                <w:lang w:val="ru-RU" w:eastAsia="en-GB"/>
              </w:rPr>
            </w:pPr>
            <w:r w:rsidRPr="00521670">
              <w:rPr>
                <w:b/>
                <w:bCs/>
                <w:szCs w:val="18"/>
                <w:lang w:val="ru-RU" w:eastAsia="en-GB"/>
              </w:rPr>
              <w:t>31 911</w:t>
            </w:r>
          </w:p>
        </w:tc>
        <w:tc>
          <w:tcPr>
            <w:tcW w:w="669" w:type="pct"/>
            <w:tcBorders>
              <w:top w:val="nil"/>
              <w:left w:val="nil"/>
              <w:bottom w:val="nil"/>
              <w:right w:val="nil"/>
            </w:tcBorders>
            <w:shd w:val="clear" w:color="000000" w:fill="D9E1F2"/>
            <w:noWrap/>
            <w:vAlign w:val="center"/>
            <w:hideMark/>
          </w:tcPr>
          <w:p w14:paraId="4888AB1B" w14:textId="7A2ADA62" w:rsidR="00FC48C7" w:rsidRPr="00521670" w:rsidRDefault="00FC48C7" w:rsidP="0025646F">
            <w:pPr>
              <w:pStyle w:val="Tabletext"/>
              <w:jc w:val="right"/>
              <w:rPr>
                <w:b/>
                <w:bCs/>
                <w:szCs w:val="18"/>
                <w:lang w:val="ru-RU" w:eastAsia="en-GB"/>
              </w:rPr>
            </w:pPr>
            <w:r w:rsidRPr="00521670">
              <w:rPr>
                <w:b/>
                <w:bCs/>
                <w:szCs w:val="18"/>
                <w:lang w:val="ru-RU" w:eastAsia="en-GB"/>
              </w:rPr>
              <w:t>(394 447)</w:t>
            </w:r>
          </w:p>
        </w:tc>
        <w:tc>
          <w:tcPr>
            <w:tcW w:w="608" w:type="pct"/>
            <w:tcBorders>
              <w:top w:val="nil"/>
              <w:left w:val="nil"/>
              <w:bottom w:val="nil"/>
              <w:right w:val="nil"/>
            </w:tcBorders>
            <w:shd w:val="clear" w:color="000000" w:fill="D9E1F2"/>
            <w:noWrap/>
            <w:vAlign w:val="center"/>
            <w:hideMark/>
          </w:tcPr>
          <w:p w14:paraId="3E1909BE" w14:textId="43D718A7" w:rsidR="00FC48C7" w:rsidRPr="00521670" w:rsidRDefault="00FC48C7" w:rsidP="0025646F">
            <w:pPr>
              <w:pStyle w:val="Tabletext"/>
              <w:jc w:val="right"/>
              <w:rPr>
                <w:b/>
                <w:bCs/>
                <w:szCs w:val="18"/>
                <w:lang w:val="ru-RU" w:eastAsia="en-GB"/>
              </w:rPr>
            </w:pPr>
            <w:r w:rsidRPr="00521670">
              <w:rPr>
                <w:b/>
                <w:bCs/>
                <w:szCs w:val="18"/>
                <w:lang w:val="ru-RU" w:eastAsia="en-GB"/>
              </w:rPr>
              <w:t>(257 355)</w:t>
            </w:r>
          </w:p>
        </w:tc>
      </w:tr>
      <w:tr w:rsidR="00FC48C7" w:rsidRPr="00521670" w14:paraId="071C7A10" w14:textId="77777777" w:rsidTr="00015883">
        <w:trPr>
          <w:trHeight w:val="360"/>
        </w:trPr>
        <w:tc>
          <w:tcPr>
            <w:tcW w:w="1328" w:type="pct"/>
            <w:tcBorders>
              <w:top w:val="nil"/>
              <w:left w:val="nil"/>
              <w:bottom w:val="nil"/>
              <w:right w:val="nil"/>
            </w:tcBorders>
            <w:shd w:val="clear" w:color="auto" w:fill="auto"/>
            <w:vAlign w:val="center"/>
            <w:hideMark/>
          </w:tcPr>
          <w:p w14:paraId="1075E1C7" w14:textId="397BEE27" w:rsidR="00FC48C7" w:rsidRPr="00521670" w:rsidRDefault="0025646F" w:rsidP="00FC48C7">
            <w:pPr>
              <w:pStyle w:val="Tabletext"/>
              <w:rPr>
                <w:szCs w:val="18"/>
                <w:lang w:val="ru-RU" w:eastAsia="en-GB"/>
              </w:rPr>
            </w:pPr>
            <w:r w:rsidRPr="00521670">
              <w:rPr>
                <w:szCs w:val="18"/>
                <w:lang w:val="ru-RU" w:eastAsia="en-GB"/>
              </w:rPr>
              <w:t>Активное сальдо/(дефицит) за 2024</w:t>
            </w:r>
            <w:r w:rsidR="00015883" w:rsidRPr="00521670">
              <w:rPr>
                <w:szCs w:val="18"/>
                <w:lang w:val="ru-RU" w:eastAsia="en-GB"/>
              </w:rPr>
              <w:t> </w:t>
            </w:r>
            <w:r w:rsidRPr="00521670">
              <w:rPr>
                <w:szCs w:val="18"/>
                <w:lang w:val="ru-RU" w:eastAsia="en-GB"/>
              </w:rPr>
              <w:t>г.</w:t>
            </w:r>
          </w:p>
        </w:tc>
        <w:tc>
          <w:tcPr>
            <w:tcW w:w="554" w:type="pct"/>
            <w:tcBorders>
              <w:top w:val="nil"/>
              <w:left w:val="nil"/>
              <w:bottom w:val="nil"/>
              <w:right w:val="nil"/>
            </w:tcBorders>
            <w:shd w:val="clear" w:color="auto" w:fill="auto"/>
            <w:noWrap/>
            <w:vAlign w:val="center"/>
            <w:hideMark/>
          </w:tcPr>
          <w:p w14:paraId="156350A2" w14:textId="49767540" w:rsidR="00FC48C7" w:rsidRPr="00521670" w:rsidRDefault="00FC48C7" w:rsidP="0025646F">
            <w:pPr>
              <w:pStyle w:val="Tabletext"/>
              <w:jc w:val="right"/>
              <w:rPr>
                <w:szCs w:val="18"/>
                <w:lang w:val="ru-RU" w:eastAsia="en-GB"/>
              </w:rPr>
            </w:pPr>
            <w:r w:rsidRPr="00521670">
              <w:rPr>
                <w:szCs w:val="18"/>
                <w:lang w:val="ru-RU" w:eastAsia="en-GB"/>
              </w:rPr>
              <w:t>5 396</w:t>
            </w:r>
          </w:p>
        </w:tc>
        <w:tc>
          <w:tcPr>
            <w:tcW w:w="608" w:type="pct"/>
            <w:tcBorders>
              <w:top w:val="nil"/>
              <w:left w:val="nil"/>
              <w:bottom w:val="nil"/>
              <w:right w:val="nil"/>
            </w:tcBorders>
            <w:shd w:val="clear" w:color="auto" w:fill="auto"/>
            <w:noWrap/>
            <w:vAlign w:val="center"/>
            <w:hideMark/>
          </w:tcPr>
          <w:p w14:paraId="1E191951" w14:textId="40172E0C" w:rsidR="00FC48C7" w:rsidRPr="00521670" w:rsidRDefault="00FC48C7" w:rsidP="0025646F">
            <w:pPr>
              <w:pStyle w:val="Tabletext"/>
              <w:jc w:val="right"/>
              <w:rPr>
                <w:szCs w:val="18"/>
                <w:lang w:val="ru-RU" w:eastAsia="en-GB"/>
              </w:rPr>
            </w:pPr>
            <w:r w:rsidRPr="00521670">
              <w:rPr>
                <w:szCs w:val="18"/>
                <w:lang w:val="ru-RU" w:eastAsia="en-GB"/>
              </w:rPr>
              <w:t>(1 507)</w:t>
            </w:r>
          </w:p>
        </w:tc>
        <w:tc>
          <w:tcPr>
            <w:tcW w:w="625" w:type="pct"/>
            <w:tcBorders>
              <w:top w:val="nil"/>
              <w:left w:val="nil"/>
              <w:bottom w:val="nil"/>
              <w:right w:val="nil"/>
            </w:tcBorders>
            <w:shd w:val="clear" w:color="auto" w:fill="auto"/>
            <w:noWrap/>
            <w:vAlign w:val="center"/>
            <w:hideMark/>
          </w:tcPr>
          <w:p w14:paraId="43ECF053" w14:textId="01F20F40" w:rsidR="00FC48C7" w:rsidRPr="00521670" w:rsidRDefault="00FC48C7" w:rsidP="0025646F">
            <w:pPr>
              <w:pStyle w:val="Tabletext"/>
              <w:jc w:val="right"/>
              <w:rPr>
                <w:szCs w:val="18"/>
                <w:lang w:val="ru-RU" w:eastAsia="en-GB"/>
              </w:rPr>
            </w:pPr>
            <w:r w:rsidRPr="00521670">
              <w:rPr>
                <w:szCs w:val="18"/>
                <w:lang w:val="ru-RU" w:eastAsia="en-GB"/>
              </w:rPr>
              <w:t>1 010</w:t>
            </w:r>
          </w:p>
        </w:tc>
        <w:tc>
          <w:tcPr>
            <w:tcW w:w="608" w:type="pct"/>
            <w:tcBorders>
              <w:top w:val="nil"/>
              <w:left w:val="nil"/>
              <w:bottom w:val="nil"/>
              <w:right w:val="nil"/>
            </w:tcBorders>
            <w:shd w:val="clear" w:color="auto" w:fill="auto"/>
            <w:noWrap/>
            <w:vAlign w:val="center"/>
            <w:hideMark/>
          </w:tcPr>
          <w:p w14:paraId="73CC66F5" w14:textId="77777777" w:rsidR="00FC48C7" w:rsidRPr="00521670" w:rsidRDefault="00FC48C7" w:rsidP="0025646F">
            <w:pPr>
              <w:pStyle w:val="Tabletext"/>
              <w:jc w:val="right"/>
              <w:rPr>
                <w:szCs w:val="18"/>
                <w:lang w:val="ru-RU" w:eastAsia="en-GB"/>
              </w:rPr>
            </w:pPr>
          </w:p>
        </w:tc>
        <w:tc>
          <w:tcPr>
            <w:tcW w:w="669" w:type="pct"/>
            <w:tcBorders>
              <w:top w:val="nil"/>
              <w:left w:val="nil"/>
              <w:bottom w:val="nil"/>
              <w:right w:val="nil"/>
            </w:tcBorders>
            <w:shd w:val="clear" w:color="auto" w:fill="auto"/>
            <w:noWrap/>
            <w:vAlign w:val="center"/>
            <w:hideMark/>
          </w:tcPr>
          <w:p w14:paraId="0396B7CC" w14:textId="61BFF710" w:rsidR="00FC48C7" w:rsidRPr="00521670" w:rsidRDefault="00FC48C7" w:rsidP="0025646F">
            <w:pPr>
              <w:pStyle w:val="Tabletext"/>
              <w:jc w:val="right"/>
              <w:rPr>
                <w:szCs w:val="18"/>
                <w:lang w:val="ru-RU" w:eastAsia="en-GB"/>
              </w:rPr>
            </w:pPr>
            <w:r w:rsidRPr="00521670">
              <w:rPr>
                <w:szCs w:val="18"/>
                <w:lang w:val="ru-RU" w:eastAsia="en-GB"/>
              </w:rPr>
              <w:t>(32 764)</w:t>
            </w:r>
          </w:p>
        </w:tc>
        <w:tc>
          <w:tcPr>
            <w:tcW w:w="608" w:type="pct"/>
            <w:tcBorders>
              <w:top w:val="nil"/>
              <w:left w:val="nil"/>
              <w:bottom w:val="nil"/>
              <w:right w:val="nil"/>
            </w:tcBorders>
            <w:shd w:val="clear" w:color="auto" w:fill="auto"/>
            <w:noWrap/>
            <w:vAlign w:val="center"/>
            <w:hideMark/>
          </w:tcPr>
          <w:p w14:paraId="4815CB13" w14:textId="76C43753" w:rsidR="00FC48C7" w:rsidRPr="00521670" w:rsidRDefault="00FC48C7" w:rsidP="0025646F">
            <w:pPr>
              <w:pStyle w:val="Tabletext"/>
              <w:jc w:val="right"/>
              <w:rPr>
                <w:b/>
                <w:bCs/>
                <w:szCs w:val="18"/>
                <w:lang w:val="ru-RU" w:eastAsia="en-GB"/>
              </w:rPr>
            </w:pPr>
            <w:r w:rsidRPr="00521670">
              <w:rPr>
                <w:b/>
                <w:bCs/>
                <w:szCs w:val="18"/>
                <w:lang w:val="ru-RU" w:eastAsia="en-GB"/>
              </w:rPr>
              <w:t>(27 865)</w:t>
            </w:r>
          </w:p>
        </w:tc>
      </w:tr>
      <w:tr w:rsidR="00FC48C7" w:rsidRPr="00521670" w14:paraId="043C407B" w14:textId="77777777" w:rsidTr="00015883">
        <w:trPr>
          <w:trHeight w:val="274"/>
        </w:trPr>
        <w:tc>
          <w:tcPr>
            <w:tcW w:w="1328" w:type="pct"/>
            <w:tcBorders>
              <w:top w:val="nil"/>
              <w:left w:val="nil"/>
              <w:bottom w:val="nil"/>
              <w:right w:val="nil"/>
            </w:tcBorders>
            <w:shd w:val="clear" w:color="auto" w:fill="auto"/>
            <w:vAlign w:val="center"/>
            <w:hideMark/>
          </w:tcPr>
          <w:p w14:paraId="6A836956" w14:textId="327C1FA4" w:rsidR="00FC48C7" w:rsidRPr="00521670" w:rsidRDefault="0025646F" w:rsidP="00FC48C7">
            <w:pPr>
              <w:pStyle w:val="Tabletext"/>
              <w:rPr>
                <w:szCs w:val="18"/>
                <w:lang w:val="ru-RU" w:eastAsia="en-GB"/>
              </w:rPr>
            </w:pPr>
            <w:r w:rsidRPr="00521670">
              <w:rPr>
                <w:szCs w:val="18"/>
                <w:lang w:val="ru-RU" w:eastAsia="en-GB"/>
              </w:rPr>
              <w:t>Другие корректировки</w:t>
            </w:r>
          </w:p>
        </w:tc>
        <w:tc>
          <w:tcPr>
            <w:tcW w:w="554" w:type="pct"/>
            <w:tcBorders>
              <w:top w:val="nil"/>
              <w:left w:val="nil"/>
              <w:bottom w:val="nil"/>
              <w:right w:val="nil"/>
            </w:tcBorders>
            <w:shd w:val="clear" w:color="auto" w:fill="auto"/>
            <w:noWrap/>
            <w:vAlign w:val="center"/>
            <w:hideMark/>
          </w:tcPr>
          <w:p w14:paraId="4E6D0AEB" w14:textId="31E210DC" w:rsidR="00FC48C7" w:rsidRPr="00521670" w:rsidRDefault="00FC48C7" w:rsidP="0025646F">
            <w:pPr>
              <w:pStyle w:val="Tabletext"/>
              <w:jc w:val="right"/>
              <w:rPr>
                <w:szCs w:val="18"/>
                <w:lang w:val="ru-RU" w:eastAsia="en-GB"/>
              </w:rPr>
            </w:pPr>
            <w:r w:rsidRPr="00521670">
              <w:rPr>
                <w:szCs w:val="18"/>
                <w:lang w:val="ru-RU" w:eastAsia="en-GB"/>
              </w:rPr>
              <w:t>(1 000)</w:t>
            </w:r>
          </w:p>
        </w:tc>
        <w:tc>
          <w:tcPr>
            <w:tcW w:w="608" w:type="pct"/>
            <w:tcBorders>
              <w:top w:val="nil"/>
              <w:left w:val="nil"/>
              <w:bottom w:val="nil"/>
              <w:right w:val="nil"/>
            </w:tcBorders>
            <w:shd w:val="clear" w:color="auto" w:fill="auto"/>
            <w:noWrap/>
            <w:vAlign w:val="center"/>
            <w:hideMark/>
          </w:tcPr>
          <w:p w14:paraId="4848AAD1" w14:textId="76BE69E9" w:rsidR="00FC48C7" w:rsidRPr="00521670" w:rsidRDefault="00FC48C7" w:rsidP="0025646F">
            <w:pPr>
              <w:pStyle w:val="Tabletext"/>
              <w:jc w:val="right"/>
              <w:rPr>
                <w:szCs w:val="18"/>
                <w:lang w:val="ru-RU" w:eastAsia="en-GB"/>
              </w:rPr>
            </w:pPr>
            <w:r w:rsidRPr="00521670">
              <w:rPr>
                <w:szCs w:val="18"/>
                <w:lang w:val="ru-RU" w:eastAsia="en-GB"/>
              </w:rPr>
              <w:t>1 000</w:t>
            </w:r>
          </w:p>
        </w:tc>
        <w:tc>
          <w:tcPr>
            <w:tcW w:w="625" w:type="pct"/>
            <w:tcBorders>
              <w:top w:val="nil"/>
              <w:left w:val="nil"/>
              <w:bottom w:val="nil"/>
              <w:right w:val="nil"/>
            </w:tcBorders>
            <w:shd w:val="clear" w:color="auto" w:fill="auto"/>
            <w:noWrap/>
            <w:vAlign w:val="center"/>
            <w:hideMark/>
          </w:tcPr>
          <w:p w14:paraId="26CDFEC6" w14:textId="6C36B708" w:rsidR="00FC48C7" w:rsidRPr="00521670" w:rsidRDefault="00FC48C7" w:rsidP="0025646F">
            <w:pPr>
              <w:pStyle w:val="Tabletext"/>
              <w:jc w:val="right"/>
              <w:rPr>
                <w:szCs w:val="18"/>
                <w:lang w:val="ru-RU" w:eastAsia="en-GB"/>
              </w:rPr>
            </w:pPr>
          </w:p>
        </w:tc>
        <w:tc>
          <w:tcPr>
            <w:tcW w:w="608" w:type="pct"/>
            <w:tcBorders>
              <w:top w:val="nil"/>
              <w:left w:val="nil"/>
              <w:bottom w:val="nil"/>
              <w:right w:val="nil"/>
            </w:tcBorders>
            <w:shd w:val="clear" w:color="auto" w:fill="auto"/>
            <w:noWrap/>
            <w:vAlign w:val="center"/>
            <w:hideMark/>
          </w:tcPr>
          <w:p w14:paraId="47B3CC85" w14:textId="6BA36A8B" w:rsidR="00FC48C7" w:rsidRPr="00521670" w:rsidRDefault="00FC48C7" w:rsidP="0025646F">
            <w:pPr>
              <w:pStyle w:val="Tabletext"/>
              <w:jc w:val="right"/>
              <w:rPr>
                <w:szCs w:val="18"/>
                <w:lang w:val="ru-RU" w:eastAsia="en-GB"/>
              </w:rPr>
            </w:pPr>
            <w:r w:rsidRPr="00521670">
              <w:rPr>
                <w:szCs w:val="18"/>
                <w:lang w:val="ru-RU" w:eastAsia="en-GB"/>
              </w:rPr>
              <w:t>(32 748)</w:t>
            </w:r>
          </w:p>
        </w:tc>
        <w:tc>
          <w:tcPr>
            <w:tcW w:w="669" w:type="pct"/>
            <w:tcBorders>
              <w:top w:val="nil"/>
              <w:left w:val="nil"/>
              <w:bottom w:val="nil"/>
              <w:right w:val="nil"/>
            </w:tcBorders>
            <w:shd w:val="clear" w:color="auto" w:fill="auto"/>
            <w:noWrap/>
            <w:vAlign w:val="center"/>
            <w:hideMark/>
          </w:tcPr>
          <w:p w14:paraId="57B9D4F2" w14:textId="77777777" w:rsidR="00FC48C7" w:rsidRPr="00521670" w:rsidRDefault="00FC48C7" w:rsidP="0025646F">
            <w:pPr>
              <w:pStyle w:val="Tabletext"/>
              <w:jc w:val="right"/>
              <w:rPr>
                <w:szCs w:val="18"/>
                <w:lang w:val="ru-RU" w:eastAsia="en-GB"/>
              </w:rPr>
            </w:pPr>
          </w:p>
        </w:tc>
        <w:tc>
          <w:tcPr>
            <w:tcW w:w="608" w:type="pct"/>
            <w:tcBorders>
              <w:top w:val="nil"/>
              <w:left w:val="nil"/>
              <w:bottom w:val="nil"/>
              <w:right w:val="nil"/>
            </w:tcBorders>
            <w:shd w:val="clear" w:color="auto" w:fill="auto"/>
            <w:noWrap/>
            <w:vAlign w:val="center"/>
            <w:hideMark/>
          </w:tcPr>
          <w:p w14:paraId="0F2B1E76" w14:textId="37F31FF3" w:rsidR="00FC48C7" w:rsidRPr="00521670" w:rsidRDefault="00FC48C7" w:rsidP="0025646F">
            <w:pPr>
              <w:pStyle w:val="Tabletext"/>
              <w:jc w:val="right"/>
              <w:rPr>
                <w:b/>
                <w:bCs/>
                <w:szCs w:val="18"/>
                <w:lang w:val="ru-RU" w:eastAsia="en-GB"/>
              </w:rPr>
            </w:pPr>
            <w:r w:rsidRPr="00521670">
              <w:rPr>
                <w:b/>
                <w:bCs/>
                <w:szCs w:val="18"/>
                <w:lang w:val="ru-RU" w:eastAsia="en-GB"/>
              </w:rPr>
              <w:t>(32 748)</w:t>
            </w:r>
          </w:p>
        </w:tc>
      </w:tr>
      <w:tr w:rsidR="00FC48C7" w:rsidRPr="00521670" w14:paraId="457C42FF" w14:textId="77777777" w:rsidTr="00015883">
        <w:trPr>
          <w:trHeight w:val="265"/>
        </w:trPr>
        <w:tc>
          <w:tcPr>
            <w:tcW w:w="1328" w:type="pct"/>
            <w:tcBorders>
              <w:top w:val="nil"/>
              <w:left w:val="nil"/>
              <w:bottom w:val="nil"/>
              <w:right w:val="nil"/>
            </w:tcBorders>
            <w:shd w:val="clear" w:color="000000" w:fill="0070C0"/>
            <w:vAlign w:val="center"/>
            <w:hideMark/>
          </w:tcPr>
          <w:p w14:paraId="16825739" w14:textId="33B628F2" w:rsidR="00FC48C7" w:rsidRPr="00521670" w:rsidRDefault="00FC48C7" w:rsidP="00FC48C7">
            <w:pPr>
              <w:pStyle w:val="Tabletext"/>
              <w:rPr>
                <w:b/>
                <w:bCs/>
                <w:lang w:val="ru-RU" w:eastAsia="en-GB"/>
              </w:rPr>
            </w:pPr>
            <w:r w:rsidRPr="00521670">
              <w:rPr>
                <w:b/>
                <w:bCs/>
                <w:lang w:val="ru-RU" w:eastAsia="en-GB"/>
              </w:rPr>
              <w:t xml:space="preserve">31 </w:t>
            </w:r>
            <w:r w:rsidR="0025646F" w:rsidRPr="00521670">
              <w:rPr>
                <w:b/>
                <w:bCs/>
                <w:lang w:val="ru-RU" w:eastAsia="en-GB"/>
              </w:rPr>
              <w:t>декабря</w:t>
            </w:r>
            <w:r w:rsidRPr="00521670">
              <w:rPr>
                <w:b/>
                <w:bCs/>
                <w:lang w:val="ru-RU" w:eastAsia="en-GB"/>
              </w:rPr>
              <w:t xml:space="preserve"> 2024</w:t>
            </w:r>
            <w:r w:rsidR="0025646F" w:rsidRPr="00521670">
              <w:rPr>
                <w:b/>
                <w:bCs/>
                <w:lang w:val="ru-RU" w:eastAsia="en-GB"/>
              </w:rPr>
              <w:t xml:space="preserve"> г.</w:t>
            </w:r>
          </w:p>
        </w:tc>
        <w:tc>
          <w:tcPr>
            <w:tcW w:w="554" w:type="pct"/>
            <w:tcBorders>
              <w:top w:val="nil"/>
              <w:left w:val="nil"/>
              <w:bottom w:val="nil"/>
              <w:right w:val="nil"/>
            </w:tcBorders>
            <w:shd w:val="clear" w:color="000000" w:fill="0070C0"/>
            <w:noWrap/>
            <w:vAlign w:val="center"/>
            <w:hideMark/>
          </w:tcPr>
          <w:p w14:paraId="2158E373" w14:textId="607CEC9E" w:rsidR="00FC48C7" w:rsidRPr="00521670" w:rsidRDefault="00FC48C7" w:rsidP="0025646F">
            <w:pPr>
              <w:pStyle w:val="Tabletext"/>
              <w:jc w:val="right"/>
              <w:rPr>
                <w:b/>
                <w:bCs/>
                <w:lang w:val="ru-RU" w:eastAsia="en-GB"/>
              </w:rPr>
            </w:pPr>
            <w:r w:rsidRPr="00521670">
              <w:rPr>
                <w:b/>
                <w:bCs/>
                <w:lang w:val="ru-RU" w:eastAsia="en-GB"/>
              </w:rPr>
              <w:t>30 667</w:t>
            </w:r>
          </w:p>
        </w:tc>
        <w:tc>
          <w:tcPr>
            <w:tcW w:w="608" w:type="pct"/>
            <w:tcBorders>
              <w:top w:val="nil"/>
              <w:left w:val="nil"/>
              <w:bottom w:val="nil"/>
              <w:right w:val="nil"/>
            </w:tcBorders>
            <w:shd w:val="clear" w:color="000000" w:fill="0070C0"/>
            <w:noWrap/>
            <w:vAlign w:val="center"/>
            <w:hideMark/>
          </w:tcPr>
          <w:p w14:paraId="6A1A8007" w14:textId="338E5778" w:rsidR="00FC48C7" w:rsidRPr="00521670" w:rsidRDefault="00FC48C7" w:rsidP="0025646F">
            <w:pPr>
              <w:pStyle w:val="Tabletext"/>
              <w:jc w:val="right"/>
              <w:rPr>
                <w:b/>
                <w:bCs/>
                <w:lang w:val="ru-RU" w:eastAsia="en-GB"/>
              </w:rPr>
            </w:pPr>
            <w:r w:rsidRPr="00521670">
              <w:rPr>
                <w:b/>
                <w:bCs/>
                <w:lang w:val="ru-RU" w:eastAsia="en-GB"/>
              </w:rPr>
              <w:t>65 050</w:t>
            </w:r>
          </w:p>
        </w:tc>
        <w:tc>
          <w:tcPr>
            <w:tcW w:w="625" w:type="pct"/>
            <w:tcBorders>
              <w:top w:val="nil"/>
              <w:left w:val="nil"/>
              <w:bottom w:val="nil"/>
              <w:right w:val="nil"/>
            </w:tcBorders>
            <w:shd w:val="clear" w:color="000000" w:fill="0070C0"/>
            <w:noWrap/>
            <w:vAlign w:val="center"/>
            <w:hideMark/>
          </w:tcPr>
          <w:p w14:paraId="15AE70CD" w14:textId="4D7CB156" w:rsidR="00FC48C7" w:rsidRPr="00521670" w:rsidRDefault="00FC48C7" w:rsidP="0025646F">
            <w:pPr>
              <w:pStyle w:val="Tabletext"/>
              <w:jc w:val="right"/>
              <w:rPr>
                <w:b/>
                <w:bCs/>
                <w:lang w:val="ru-RU" w:eastAsia="en-GB"/>
              </w:rPr>
            </w:pPr>
            <w:r w:rsidRPr="00521670">
              <w:rPr>
                <w:b/>
                <w:bCs/>
                <w:lang w:val="ru-RU" w:eastAsia="en-GB"/>
              </w:rPr>
              <w:t>14 363</w:t>
            </w:r>
          </w:p>
        </w:tc>
        <w:tc>
          <w:tcPr>
            <w:tcW w:w="608" w:type="pct"/>
            <w:tcBorders>
              <w:top w:val="nil"/>
              <w:left w:val="nil"/>
              <w:bottom w:val="nil"/>
              <w:right w:val="nil"/>
            </w:tcBorders>
            <w:shd w:val="clear" w:color="000000" w:fill="0070C0"/>
            <w:noWrap/>
            <w:vAlign w:val="center"/>
            <w:hideMark/>
          </w:tcPr>
          <w:p w14:paraId="602A1D4C" w14:textId="203F6A28" w:rsidR="00FC48C7" w:rsidRPr="00521670" w:rsidRDefault="00FC48C7" w:rsidP="0025646F">
            <w:pPr>
              <w:pStyle w:val="Tabletext"/>
              <w:jc w:val="right"/>
              <w:rPr>
                <w:b/>
                <w:bCs/>
                <w:lang w:val="ru-RU" w:eastAsia="en-GB"/>
              </w:rPr>
            </w:pPr>
            <w:r w:rsidRPr="00521670">
              <w:rPr>
                <w:b/>
                <w:bCs/>
                <w:lang w:val="ru-RU" w:eastAsia="en-GB"/>
              </w:rPr>
              <w:t>(837)</w:t>
            </w:r>
          </w:p>
        </w:tc>
        <w:tc>
          <w:tcPr>
            <w:tcW w:w="669" w:type="pct"/>
            <w:tcBorders>
              <w:top w:val="nil"/>
              <w:left w:val="nil"/>
              <w:bottom w:val="nil"/>
              <w:right w:val="nil"/>
            </w:tcBorders>
            <w:shd w:val="clear" w:color="000000" w:fill="0070C0"/>
            <w:noWrap/>
            <w:vAlign w:val="center"/>
            <w:hideMark/>
          </w:tcPr>
          <w:p w14:paraId="4AB2C89F" w14:textId="744C747C" w:rsidR="00FC48C7" w:rsidRPr="00521670" w:rsidRDefault="00FC48C7" w:rsidP="0025646F">
            <w:pPr>
              <w:pStyle w:val="Tabletext"/>
              <w:jc w:val="right"/>
              <w:rPr>
                <w:b/>
                <w:bCs/>
                <w:lang w:val="ru-RU" w:eastAsia="en-GB"/>
              </w:rPr>
            </w:pPr>
            <w:r w:rsidRPr="00521670">
              <w:rPr>
                <w:b/>
                <w:bCs/>
                <w:lang w:val="ru-RU" w:eastAsia="en-GB"/>
              </w:rPr>
              <w:t>(427 211)</w:t>
            </w:r>
          </w:p>
        </w:tc>
        <w:tc>
          <w:tcPr>
            <w:tcW w:w="608" w:type="pct"/>
            <w:tcBorders>
              <w:top w:val="nil"/>
              <w:left w:val="nil"/>
              <w:bottom w:val="nil"/>
              <w:right w:val="nil"/>
            </w:tcBorders>
            <w:shd w:val="clear" w:color="000000" w:fill="0070C0"/>
            <w:noWrap/>
            <w:vAlign w:val="center"/>
            <w:hideMark/>
          </w:tcPr>
          <w:p w14:paraId="47C757B3" w14:textId="7281079E" w:rsidR="00FC48C7" w:rsidRPr="00521670" w:rsidRDefault="00FC48C7" w:rsidP="0025646F">
            <w:pPr>
              <w:pStyle w:val="Tabletext"/>
              <w:jc w:val="right"/>
              <w:rPr>
                <w:b/>
                <w:bCs/>
                <w:lang w:val="ru-RU" w:eastAsia="en-GB"/>
              </w:rPr>
            </w:pPr>
            <w:r w:rsidRPr="00521670">
              <w:rPr>
                <w:b/>
                <w:bCs/>
                <w:lang w:val="ru-RU" w:eastAsia="en-GB"/>
              </w:rPr>
              <w:t>(317 968)</w:t>
            </w:r>
          </w:p>
        </w:tc>
      </w:tr>
    </w:tbl>
    <w:p w14:paraId="4BFC6FC9" w14:textId="77777777" w:rsidR="0025646F" w:rsidRPr="00521670" w:rsidRDefault="0025646F" w:rsidP="0025646F">
      <w:pPr>
        <w:spacing w:before="240"/>
        <w:rPr>
          <w:i/>
          <w:iCs/>
          <w:lang w:val="ru-RU"/>
        </w:rPr>
      </w:pPr>
      <w:r w:rsidRPr="00521670">
        <w:rPr>
          <w:i/>
          <w:iCs/>
          <w:lang w:val="ru-RU"/>
        </w:rPr>
        <w:t>Более подробная информация приводится в Примечании 4.</w:t>
      </w:r>
    </w:p>
    <w:p w14:paraId="24AE3C5A" w14:textId="77777777" w:rsidR="0025646F" w:rsidRPr="00521670" w:rsidRDefault="0025646F" w:rsidP="0025646F">
      <w:pPr>
        <w:rPr>
          <w:lang w:val="ru-RU"/>
        </w:rPr>
      </w:pPr>
      <w:r w:rsidRPr="00521670">
        <w:rPr>
          <w:lang w:val="ru-RU"/>
        </w:rPr>
        <w:br w:type="page"/>
      </w:r>
    </w:p>
    <w:p w14:paraId="68EFEA13" w14:textId="77777777" w:rsidR="0025646F" w:rsidRPr="00521670" w:rsidRDefault="0025646F" w:rsidP="00F14E41">
      <w:pPr>
        <w:pStyle w:val="Annextitle"/>
        <w:spacing w:before="0" w:after="120"/>
        <w:jc w:val="left"/>
        <w:rPr>
          <w:color w:val="0070C0"/>
          <w:w w:val="105"/>
          <w:lang w:val="ru-RU"/>
        </w:rPr>
      </w:pPr>
      <w:bookmarkStart w:id="108" w:name="lt_pId316"/>
      <w:bookmarkStart w:id="109" w:name="_Toc168578447"/>
      <w:bookmarkStart w:id="110" w:name="_Toc305764059"/>
      <w:r w:rsidRPr="00521670">
        <w:rPr>
          <w:color w:val="0070C0"/>
          <w:w w:val="105"/>
          <w:lang w:val="ru-RU"/>
        </w:rPr>
        <w:lastRenderedPageBreak/>
        <w:t xml:space="preserve">Отчет IV: </w:t>
      </w:r>
      <w:bookmarkEnd w:id="108"/>
      <w:r w:rsidRPr="00521670">
        <w:rPr>
          <w:color w:val="0070C0"/>
          <w:w w:val="105"/>
          <w:lang w:val="ru-RU"/>
        </w:rPr>
        <w:t>Отчет о движении денежных средств</w:t>
      </w:r>
      <w:bookmarkEnd w:id="109"/>
    </w:p>
    <w:p w14:paraId="56F3D5A2" w14:textId="34EF12B1" w:rsidR="0025646F" w:rsidRPr="00521670" w:rsidRDefault="008121C7" w:rsidP="0025646F">
      <w:pPr>
        <w:rPr>
          <w:i/>
          <w:iCs/>
          <w:lang w:val="ru-RU"/>
        </w:rPr>
      </w:pPr>
      <w:bookmarkStart w:id="111" w:name="_Hlk160112883"/>
      <w:r w:rsidRPr="00521670">
        <w:rPr>
          <w:i/>
          <w:iCs/>
          <w:lang w:val="ru-RU"/>
        </w:rPr>
        <w:t>по состоянию на</w:t>
      </w:r>
      <w:r w:rsidR="0025646F" w:rsidRPr="00521670">
        <w:rPr>
          <w:i/>
          <w:iCs/>
          <w:lang w:val="ru-RU"/>
        </w:rPr>
        <w:t xml:space="preserve"> 31 декабря 2024 года</w:t>
      </w:r>
    </w:p>
    <w:p w14:paraId="635795EB" w14:textId="77777777" w:rsidR="0025646F" w:rsidRPr="00521670" w:rsidRDefault="0025646F" w:rsidP="00851412">
      <w:pPr>
        <w:spacing w:before="0" w:after="120"/>
        <w:rPr>
          <w:i/>
          <w:iCs/>
          <w:sz w:val="18"/>
          <w:szCs w:val="18"/>
          <w:lang w:val="ru-RU"/>
        </w:rPr>
      </w:pPr>
      <w:r w:rsidRPr="00521670">
        <w:rPr>
          <w:i/>
          <w:iCs/>
          <w:sz w:val="18"/>
          <w:szCs w:val="18"/>
          <w:lang w:val="ru-RU"/>
        </w:rPr>
        <w:t>(В тыс. шв. фр.)</w:t>
      </w:r>
      <w:bookmarkEnd w:id="11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1167"/>
        <w:gridCol w:w="1401"/>
        <w:gridCol w:w="1401"/>
      </w:tblGrid>
      <w:tr w:rsidR="0025646F" w:rsidRPr="00521670" w14:paraId="63F46C46" w14:textId="77777777" w:rsidTr="00015883">
        <w:tc>
          <w:tcPr>
            <w:tcW w:w="2812" w:type="pct"/>
            <w:shd w:val="clear" w:color="auto" w:fill="0070C0"/>
            <w:noWrap/>
            <w:vAlign w:val="center"/>
            <w:hideMark/>
          </w:tcPr>
          <w:bookmarkEnd w:id="110"/>
          <w:p w14:paraId="1F94F8A5" w14:textId="77777777" w:rsidR="0025646F" w:rsidRPr="00521670" w:rsidRDefault="0025646F" w:rsidP="004D5642">
            <w:pPr>
              <w:pStyle w:val="Tablehead"/>
              <w:ind w:left="-57" w:right="-57"/>
              <w:rPr>
                <w:szCs w:val="18"/>
                <w:lang w:val="ru-RU"/>
              </w:rPr>
            </w:pPr>
            <w:r w:rsidRPr="00521670">
              <w:rPr>
                <w:szCs w:val="18"/>
                <w:lang w:val="ru-RU"/>
              </w:rPr>
              <w:t>Описание</w:t>
            </w:r>
          </w:p>
        </w:tc>
        <w:tc>
          <w:tcPr>
            <w:tcW w:w="643" w:type="pct"/>
            <w:shd w:val="clear" w:color="auto" w:fill="0070C0"/>
            <w:noWrap/>
            <w:vAlign w:val="center"/>
            <w:hideMark/>
          </w:tcPr>
          <w:p w14:paraId="31138A70" w14:textId="77777777" w:rsidR="0025646F" w:rsidRPr="00521670" w:rsidRDefault="0025646F" w:rsidP="004D5642">
            <w:pPr>
              <w:pStyle w:val="Tablehead"/>
              <w:ind w:left="-57" w:right="-57"/>
              <w:rPr>
                <w:szCs w:val="18"/>
                <w:lang w:val="ru-RU"/>
              </w:rPr>
            </w:pPr>
            <w:r w:rsidRPr="00521670">
              <w:rPr>
                <w:szCs w:val="18"/>
                <w:lang w:val="ru-RU"/>
              </w:rPr>
              <w:t>Примечания</w:t>
            </w:r>
          </w:p>
        </w:tc>
        <w:tc>
          <w:tcPr>
            <w:tcW w:w="772" w:type="pct"/>
            <w:shd w:val="clear" w:color="auto" w:fill="0070C0"/>
            <w:vAlign w:val="center"/>
            <w:hideMark/>
          </w:tcPr>
          <w:p w14:paraId="55B2C2E1" w14:textId="471D2C5C" w:rsidR="0025646F" w:rsidRPr="00521670" w:rsidRDefault="0025646F" w:rsidP="004D5642">
            <w:pPr>
              <w:pStyle w:val="Tablehead"/>
              <w:ind w:left="-57" w:right="-57"/>
              <w:rPr>
                <w:szCs w:val="18"/>
                <w:lang w:val="ru-RU"/>
              </w:rPr>
            </w:pPr>
            <w:r w:rsidRPr="00521670">
              <w:rPr>
                <w:szCs w:val="18"/>
                <w:lang w:val="ru-RU"/>
              </w:rPr>
              <w:t>31 декабря 2024 г.</w:t>
            </w:r>
          </w:p>
        </w:tc>
        <w:tc>
          <w:tcPr>
            <w:tcW w:w="772" w:type="pct"/>
            <w:shd w:val="clear" w:color="auto" w:fill="0070C0"/>
            <w:hideMark/>
          </w:tcPr>
          <w:p w14:paraId="45EB038F" w14:textId="4D579A07" w:rsidR="0025646F" w:rsidRPr="00521670" w:rsidRDefault="0025646F" w:rsidP="004D5642">
            <w:pPr>
              <w:pStyle w:val="Tablehead"/>
              <w:ind w:left="-57" w:right="-57"/>
              <w:rPr>
                <w:szCs w:val="18"/>
                <w:lang w:val="ru-RU"/>
              </w:rPr>
            </w:pPr>
            <w:r w:rsidRPr="00521670">
              <w:rPr>
                <w:szCs w:val="18"/>
                <w:lang w:val="ru-RU"/>
              </w:rPr>
              <w:t>31 декабря 2023 г.</w:t>
            </w:r>
          </w:p>
        </w:tc>
      </w:tr>
      <w:tr w:rsidR="0025646F" w:rsidRPr="00521670" w14:paraId="7B67192B" w14:textId="77777777" w:rsidTr="00015883">
        <w:tc>
          <w:tcPr>
            <w:tcW w:w="2812" w:type="pct"/>
            <w:hideMark/>
          </w:tcPr>
          <w:p w14:paraId="32EAA5C7" w14:textId="5621F9DC" w:rsidR="0025646F" w:rsidRPr="00521670" w:rsidRDefault="0025646F" w:rsidP="00015883">
            <w:pPr>
              <w:pStyle w:val="Tabletext"/>
              <w:spacing w:before="20" w:after="20" w:line="196" w:lineRule="exact"/>
              <w:rPr>
                <w:szCs w:val="18"/>
                <w:lang w:val="ru-RU"/>
              </w:rPr>
            </w:pPr>
            <w:r w:rsidRPr="00521670">
              <w:rPr>
                <w:b/>
                <w:bCs/>
                <w:szCs w:val="18"/>
                <w:lang w:val="ru-RU" w:eastAsia="en-GB"/>
              </w:rPr>
              <w:t>Движение денежных средств в результате оперативной</w:t>
            </w:r>
            <w:r w:rsidR="00015883" w:rsidRPr="00521670">
              <w:rPr>
                <w:b/>
                <w:bCs/>
                <w:szCs w:val="18"/>
                <w:lang w:val="ru-RU" w:eastAsia="en-GB"/>
              </w:rPr>
              <w:t> </w:t>
            </w:r>
            <w:r w:rsidRPr="00521670">
              <w:rPr>
                <w:b/>
                <w:bCs/>
                <w:szCs w:val="18"/>
                <w:lang w:val="ru-RU" w:eastAsia="en-GB"/>
              </w:rPr>
              <w:t>деятельности</w:t>
            </w:r>
          </w:p>
        </w:tc>
        <w:tc>
          <w:tcPr>
            <w:tcW w:w="643" w:type="pct"/>
            <w:vAlign w:val="bottom"/>
            <w:hideMark/>
          </w:tcPr>
          <w:p w14:paraId="6EE68FCB" w14:textId="77777777" w:rsidR="0025646F" w:rsidRPr="00521670" w:rsidRDefault="0025646F" w:rsidP="00015883">
            <w:pPr>
              <w:pStyle w:val="Tabletext"/>
              <w:spacing w:before="20" w:after="20" w:line="196" w:lineRule="exact"/>
              <w:jc w:val="center"/>
              <w:rPr>
                <w:szCs w:val="18"/>
                <w:lang w:val="ru-RU" w:eastAsia="en-GB"/>
              </w:rPr>
            </w:pPr>
          </w:p>
        </w:tc>
        <w:tc>
          <w:tcPr>
            <w:tcW w:w="772" w:type="pct"/>
            <w:noWrap/>
            <w:vAlign w:val="bottom"/>
            <w:hideMark/>
          </w:tcPr>
          <w:p w14:paraId="1E274A0C" w14:textId="77777777" w:rsidR="0025646F" w:rsidRPr="00521670" w:rsidRDefault="0025646F" w:rsidP="00015883">
            <w:pPr>
              <w:pStyle w:val="Tabletext"/>
              <w:spacing w:before="20" w:after="20" w:line="196" w:lineRule="exact"/>
              <w:jc w:val="right"/>
              <w:rPr>
                <w:szCs w:val="18"/>
                <w:lang w:val="ru-RU" w:eastAsia="en-GB"/>
              </w:rPr>
            </w:pPr>
          </w:p>
        </w:tc>
        <w:tc>
          <w:tcPr>
            <w:tcW w:w="772" w:type="pct"/>
            <w:noWrap/>
            <w:vAlign w:val="bottom"/>
            <w:hideMark/>
          </w:tcPr>
          <w:p w14:paraId="64506607" w14:textId="77777777" w:rsidR="0025646F" w:rsidRPr="00521670" w:rsidRDefault="0025646F" w:rsidP="00015883">
            <w:pPr>
              <w:pStyle w:val="Tabletext"/>
              <w:spacing w:before="20" w:after="20" w:line="196" w:lineRule="exact"/>
              <w:jc w:val="right"/>
              <w:rPr>
                <w:szCs w:val="18"/>
                <w:lang w:val="ru-RU" w:eastAsia="en-GB"/>
              </w:rPr>
            </w:pPr>
          </w:p>
        </w:tc>
      </w:tr>
      <w:tr w:rsidR="0025646F" w:rsidRPr="00521670" w14:paraId="132ECF00" w14:textId="77777777" w:rsidTr="00015883">
        <w:trPr>
          <w:trHeight w:val="194"/>
        </w:trPr>
        <w:tc>
          <w:tcPr>
            <w:tcW w:w="2812" w:type="pct"/>
          </w:tcPr>
          <w:p w14:paraId="3D3D85C6" w14:textId="77777777" w:rsidR="0025646F" w:rsidRPr="00521670" w:rsidRDefault="0025646F" w:rsidP="00015883">
            <w:pPr>
              <w:pStyle w:val="Tabletext"/>
              <w:spacing w:before="20" w:after="20" w:line="196" w:lineRule="exact"/>
              <w:rPr>
                <w:b/>
                <w:bCs/>
                <w:sz w:val="6"/>
                <w:szCs w:val="6"/>
                <w:lang w:val="ru-RU" w:eastAsia="en-GB"/>
              </w:rPr>
            </w:pPr>
          </w:p>
        </w:tc>
        <w:tc>
          <w:tcPr>
            <w:tcW w:w="643" w:type="pct"/>
            <w:vAlign w:val="bottom"/>
          </w:tcPr>
          <w:p w14:paraId="7C41E035" w14:textId="77777777" w:rsidR="0025646F" w:rsidRPr="00521670" w:rsidRDefault="0025646F" w:rsidP="00015883">
            <w:pPr>
              <w:pStyle w:val="Tabletext"/>
              <w:spacing w:before="20" w:after="20" w:line="196" w:lineRule="exact"/>
              <w:jc w:val="center"/>
              <w:rPr>
                <w:sz w:val="6"/>
                <w:szCs w:val="6"/>
                <w:lang w:val="ru-RU" w:eastAsia="en-GB"/>
              </w:rPr>
            </w:pPr>
          </w:p>
        </w:tc>
        <w:tc>
          <w:tcPr>
            <w:tcW w:w="772" w:type="pct"/>
            <w:noWrap/>
            <w:vAlign w:val="bottom"/>
          </w:tcPr>
          <w:p w14:paraId="064344F2" w14:textId="77777777" w:rsidR="0025646F" w:rsidRPr="00521670" w:rsidRDefault="0025646F" w:rsidP="00015883">
            <w:pPr>
              <w:pStyle w:val="Tabletext"/>
              <w:spacing w:before="20" w:after="20" w:line="196" w:lineRule="exact"/>
              <w:jc w:val="right"/>
              <w:rPr>
                <w:sz w:val="6"/>
                <w:szCs w:val="6"/>
                <w:lang w:val="ru-RU" w:eastAsia="en-GB"/>
              </w:rPr>
            </w:pPr>
          </w:p>
        </w:tc>
        <w:tc>
          <w:tcPr>
            <w:tcW w:w="772" w:type="pct"/>
            <w:noWrap/>
            <w:vAlign w:val="bottom"/>
          </w:tcPr>
          <w:p w14:paraId="5DB8BCC6" w14:textId="77777777" w:rsidR="0025646F" w:rsidRPr="00521670" w:rsidRDefault="0025646F" w:rsidP="00015883">
            <w:pPr>
              <w:pStyle w:val="Tabletext"/>
              <w:spacing w:before="20" w:after="20" w:line="196" w:lineRule="exact"/>
              <w:jc w:val="right"/>
              <w:rPr>
                <w:sz w:val="6"/>
                <w:szCs w:val="6"/>
                <w:lang w:val="ru-RU" w:eastAsia="en-GB"/>
              </w:rPr>
            </w:pPr>
          </w:p>
        </w:tc>
      </w:tr>
      <w:tr w:rsidR="00EC6BD5" w:rsidRPr="00521670" w14:paraId="23DF28FF" w14:textId="77777777" w:rsidTr="00015883">
        <w:tc>
          <w:tcPr>
            <w:tcW w:w="2812" w:type="pct"/>
            <w:vAlign w:val="center"/>
            <w:hideMark/>
          </w:tcPr>
          <w:p w14:paraId="05C7E907" w14:textId="44E01736" w:rsidR="00EC6BD5" w:rsidRPr="00521670" w:rsidRDefault="00EC6BD5" w:rsidP="00015883">
            <w:pPr>
              <w:pStyle w:val="Tabletext"/>
              <w:spacing w:before="20" w:after="20" w:line="196" w:lineRule="exact"/>
              <w:rPr>
                <w:szCs w:val="18"/>
                <w:lang w:val="ru-RU"/>
              </w:rPr>
            </w:pPr>
            <w:r w:rsidRPr="00521670">
              <w:rPr>
                <w:szCs w:val="18"/>
                <w:lang w:val="ru-RU" w:eastAsia="en-GB"/>
              </w:rPr>
              <w:t xml:space="preserve">Общее </w:t>
            </w:r>
            <w:r w:rsidRPr="00521670">
              <w:rPr>
                <w:szCs w:val="18"/>
                <w:lang w:val="ru-RU"/>
              </w:rPr>
              <w:t>активное сальдо (дефицит) за период</w:t>
            </w:r>
          </w:p>
        </w:tc>
        <w:tc>
          <w:tcPr>
            <w:tcW w:w="643" w:type="pct"/>
            <w:vAlign w:val="bottom"/>
            <w:hideMark/>
          </w:tcPr>
          <w:p w14:paraId="61436398" w14:textId="77777777"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Отчет II</w:t>
            </w:r>
          </w:p>
        </w:tc>
        <w:tc>
          <w:tcPr>
            <w:tcW w:w="772" w:type="pct"/>
            <w:noWrap/>
            <w:vAlign w:val="bottom"/>
            <w:hideMark/>
          </w:tcPr>
          <w:p w14:paraId="7150A4F1" w14:textId="20AF483D" w:rsidR="00EC6BD5" w:rsidRPr="00521670" w:rsidRDefault="00EC6BD5" w:rsidP="00015883">
            <w:pPr>
              <w:pStyle w:val="Tabletext"/>
              <w:spacing w:before="20" w:after="20"/>
              <w:jc w:val="right"/>
              <w:rPr>
                <w:lang w:val="ru-RU" w:eastAsia="en-GB"/>
              </w:rPr>
            </w:pPr>
            <w:r w:rsidRPr="00521670">
              <w:rPr>
                <w:lang w:val="ru-RU"/>
              </w:rPr>
              <w:t>(27 865)</w:t>
            </w:r>
          </w:p>
        </w:tc>
        <w:tc>
          <w:tcPr>
            <w:tcW w:w="772" w:type="pct"/>
            <w:noWrap/>
            <w:vAlign w:val="center"/>
            <w:hideMark/>
          </w:tcPr>
          <w:p w14:paraId="3DD4B2E1" w14:textId="7D523904" w:rsidR="00EC6BD5" w:rsidRPr="00521670" w:rsidRDefault="00EC6BD5" w:rsidP="00015883">
            <w:pPr>
              <w:pStyle w:val="Tabletext"/>
              <w:spacing w:before="20" w:after="20"/>
              <w:jc w:val="right"/>
              <w:rPr>
                <w:lang w:val="ru-RU" w:eastAsia="en-GB"/>
              </w:rPr>
            </w:pPr>
            <w:r w:rsidRPr="00521670">
              <w:rPr>
                <w:lang w:val="ru-RU"/>
              </w:rPr>
              <w:t>(24 774)</w:t>
            </w:r>
          </w:p>
        </w:tc>
      </w:tr>
      <w:tr w:rsidR="00EC6BD5" w:rsidRPr="00521670" w14:paraId="724DFC38" w14:textId="77777777" w:rsidTr="00015883">
        <w:tc>
          <w:tcPr>
            <w:tcW w:w="2812" w:type="pct"/>
            <w:vAlign w:val="center"/>
            <w:hideMark/>
          </w:tcPr>
          <w:p w14:paraId="43348E83" w14:textId="7FE965C3" w:rsidR="00EC6BD5" w:rsidRPr="00521670" w:rsidRDefault="00EC6BD5" w:rsidP="00015883">
            <w:pPr>
              <w:pStyle w:val="Tabletext"/>
              <w:spacing w:before="20" w:after="20" w:line="196" w:lineRule="exact"/>
              <w:rPr>
                <w:szCs w:val="18"/>
                <w:lang w:val="ru-RU"/>
              </w:rPr>
            </w:pPr>
            <w:r w:rsidRPr="00521670">
              <w:rPr>
                <w:szCs w:val="18"/>
                <w:lang w:val="ru-RU"/>
              </w:rPr>
              <w:t>Обесценение</w:t>
            </w:r>
            <w:r w:rsidR="003C62CE" w:rsidRPr="00521670">
              <w:rPr>
                <w:szCs w:val="18"/>
                <w:lang w:val="ru-RU"/>
              </w:rPr>
              <w:t>, амортизация и потеря стоимости</w:t>
            </w:r>
          </w:p>
        </w:tc>
        <w:tc>
          <w:tcPr>
            <w:tcW w:w="643" w:type="pct"/>
            <w:vAlign w:val="center"/>
            <w:hideMark/>
          </w:tcPr>
          <w:p w14:paraId="524C0331" w14:textId="29431895"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10,11</w:t>
            </w:r>
          </w:p>
        </w:tc>
        <w:tc>
          <w:tcPr>
            <w:tcW w:w="772" w:type="pct"/>
            <w:noWrap/>
            <w:vAlign w:val="bottom"/>
            <w:hideMark/>
          </w:tcPr>
          <w:p w14:paraId="49235334" w14:textId="4EDFFA39" w:rsidR="00EC6BD5" w:rsidRPr="00521670" w:rsidRDefault="00EC6BD5" w:rsidP="00015883">
            <w:pPr>
              <w:pStyle w:val="Tabletext"/>
              <w:spacing w:before="20" w:after="20"/>
              <w:jc w:val="right"/>
              <w:rPr>
                <w:lang w:val="ru-RU" w:eastAsia="en-GB"/>
              </w:rPr>
            </w:pPr>
            <w:r w:rsidRPr="00521670">
              <w:rPr>
                <w:lang w:val="ru-RU"/>
              </w:rPr>
              <w:t>26 295</w:t>
            </w:r>
          </w:p>
        </w:tc>
        <w:tc>
          <w:tcPr>
            <w:tcW w:w="772" w:type="pct"/>
            <w:noWrap/>
            <w:vAlign w:val="center"/>
            <w:hideMark/>
          </w:tcPr>
          <w:p w14:paraId="6B3BDB03" w14:textId="6F62DC90" w:rsidR="00EC6BD5" w:rsidRPr="00521670" w:rsidRDefault="00EC6BD5" w:rsidP="00015883">
            <w:pPr>
              <w:pStyle w:val="Tabletext"/>
              <w:spacing w:before="20" w:after="20"/>
              <w:jc w:val="right"/>
              <w:rPr>
                <w:lang w:val="ru-RU" w:eastAsia="en-GB"/>
              </w:rPr>
            </w:pPr>
            <w:r w:rsidRPr="00521670">
              <w:rPr>
                <w:lang w:val="ru-RU"/>
              </w:rPr>
              <w:t>5 660</w:t>
            </w:r>
          </w:p>
        </w:tc>
      </w:tr>
      <w:tr w:rsidR="00EC6BD5" w:rsidRPr="00521670" w14:paraId="3B75BBB3" w14:textId="77777777" w:rsidTr="00015883">
        <w:tc>
          <w:tcPr>
            <w:tcW w:w="2812" w:type="pct"/>
            <w:vAlign w:val="center"/>
            <w:hideMark/>
          </w:tcPr>
          <w:p w14:paraId="34D1F38B" w14:textId="77777777" w:rsidR="00EC6BD5" w:rsidRPr="00521670" w:rsidRDefault="00EC6BD5" w:rsidP="00015883">
            <w:pPr>
              <w:pStyle w:val="Tabletext"/>
              <w:spacing w:before="20" w:after="20" w:line="196" w:lineRule="exact"/>
              <w:rPr>
                <w:szCs w:val="18"/>
                <w:lang w:val="ru-RU"/>
              </w:rPr>
            </w:pPr>
            <w:r w:rsidRPr="00521670">
              <w:rPr>
                <w:szCs w:val="18"/>
                <w:lang w:val="ru-RU"/>
              </w:rPr>
              <w:t>Фонд АСХИ</w:t>
            </w:r>
          </w:p>
        </w:tc>
        <w:tc>
          <w:tcPr>
            <w:tcW w:w="643" w:type="pct"/>
            <w:vAlign w:val="center"/>
            <w:hideMark/>
          </w:tcPr>
          <w:p w14:paraId="7578F76E" w14:textId="03F0C515"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19</w:t>
            </w:r>
          </w:p>
        </w:tc>
        <w:tc>
          <w:tcPr>
            <w:tcW w:w="772" w:type="pct"/>
            <w:noWrap/>
            <w:vAlign w:val="bottom"/>
            <w:hideMark/>
          </w:tcPr>
          <w:p w14:paraId="3CB9324B" w14:textId="018F3EA4" w:rsidR="00EC6BD5" w:rsidRPr="00521670" w:rsidRDefault="00EC6BD5" w:rsidP="00015883">
            <w:pPr>
              <w:pStyle w:val="Tabletext"/>
              <w:spacing w:before="20" w:after="20"/>
              <w:jc w:val="right"/>
              <w:rPr>
                <w:lang w:val="ru-RU" w:eastAsia="en-GB"/>
              </w:rPr>
            </w:pPr>
            <w:r w:rsidRPr="00521670">
              <w:rPr>
                <w:lang w:val="ru-RU"/>
              </w:rPr>
              <w:t>7 816</w:t>
            </w:r>
          </w:p>
        </w:tc>
        <w:tc>
          <w:tcPr>
            <w:tcW w:w="772" w:type="pct"/>
            <w:noWrap/>
            <w:vAlign w:val="center"/>
            <w:hideMark/>
          </w:tcPr>
          <w:p w14:paraId="27CB407D" w14:textId="3EB468FD" w:rsidR="00EC6BD5" w:rsidRPr="00521670" w:rsidRDefault="00EC6BD5" w:rsidP="00015883">
            <w:pPr>
              <w:pStyle w:val="Tabletext"/>
              <w:spacing w:before="20" w:after="20"/>
              <w:jc w:val="right"/>
              <w:rPr>
                <w:lang w:val="ru-RU" w:eastAsia="en-GB"/>
              </w:rPr>
            </w:pPr>
            <w:r w:rsidRPr="00521670">
              <w:rPr>
                <w:lang w:val="ru-RU"/>
              </w:rPr>
              <w:t>11 645</w:t>
            </w:r>
          </w:p>
        </w:tc>
      </w:tr>
      <w:tr w:rsidR="00EC6BD5" w:rsidRPr="00521670" w14:paraId="3359221B" w14:textId="77777777" w:rsidTr="00015883">
        <w:tc>
          <w:tcPr>
            <w:tcW w:w="2812" w:type="pct"/>
            <w:vAlign w:val="center"/>
            <w:hideMark/>
          </w:tcPr>
          <w:p w14:paraId="2EAE9606" w14:textId="77777777" w:rsidR="00EC6BD5" w:rsidRPr="00521670" w:rsidRDefault="00EC6BD5" w:rsidP="00015883">
            <w:pPr>
              <w:pStyle w:val="Tabletext"/>
              <w:spacing w:before="20" w:after="20" w:line="196" w:lineRule="exact"/>
              <w:rPr>
                <w:szCs w:val="18"/>
                <w:lang w:val="ru-RU"/>
              </w:rPr>
            </w:pPr>
            <w:r w:rsidRPr="00521670">
              <w:rPr>
                <w:szCs w:val="18"/>
                <w:lang w:val="ru-RU" w:eastAsia="en-GB"/>
              </w:rPr>
              <w:t>(Увеличение)/уменьшение долговых обязательств</w:t>
            </w:r>
          </w:p>
        </w:tc>
        <w:tc>
          <w:tcPr>
            <w:tcW w:w="643" w:type="pct"/>
            <w:vAlign w:val="center"/>
            <w:hideMark/>
          </w:tcPr>
          <w:p w14:paraId="7ABE2F68" w14:textId="1F929353"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8</w:t>
            </w:r>
          </w:p>
        </w:tc>
        <w:tc>
          <w:tcPr>
            <w:tcW w:w="772" w:type="pct"/>
            <w:noWrap/>
            <w:vAlign w:val="bottom"/>
            <w:hideMark/>
          </w:tcPr>
          <w:p w14:paraId="6D2D90B4" w14:textId="2F07B98F" w:rsidR="00EC6BD5" w:rsidRPr="00521670" w:rsidRDefault="00EC6BD5" w:rsidP="00015883">
            <w:pPr>
              <w:pStyle w:val="Tabletext"/>
              <w:spacing w:before="20" w:after="20"/>
              <w:jc w:val="right"/>
              <w:rPr>
                <w:lang w:val="ru-RU" w:eastAsia="en-GB"/>
              </w:rPr>
            </w:pPr>
            <w:r w:rsidRPr="00521670">
              <w:rPr>
                <w:lang w:val="ru-RU"/>
              </w:rPr>
              <w:t>(20 344)</w:t>
            </w:r>
          </w:p>
        </w:tc>
        <w:tc>
          <w:tcPr>
            <w:tcW w:w="772" w:type="pct"/>
            <w:noWrap/>
            <w:vAlign w:val="center"/>
            <w:hideMark/>
          </w:tcPr>
          <w:p w14:paraId="08154733" w14:textId="539FA848" w:rsidR="00EC6BD5" w:rsidRPr="00521670" w:rsidRDefault="00EC6BD5" w:rsidP="00015883">
            <w:pPr>
              <w:pStyle w:val="Tabletext"/>
              <w:spacing w:before="20" w:after="20"/>
              <w:jc w:val="right"/>
              <w:rPr>
                <w:lang w:val="ru-RU" w:eastAsia="en-GB"/>
              </w:rPr>
            </w:pPr>
            <w:r w:rsidRPr="00521670">
              <w:rPr>
                <w:lang w:val="ru-RU"/>
              </w:rPr>
              <w:t>(6 706)</w:t>
            </w:r>
          </w:p>
        </w:tc>
      </w:tr>
      <w:tr w:rsidR="00EC6BD5" w:rsidRPr="00521670" w14:paraId="71C23FD0" w14:textId="77777777" w:rsidTr="00015883">
        <w:tc>
          <w:tcPr>
            <w:tcW w:w="2812" w:type="pct"/>
            <w:vAlign w:val="center"/>
            <w:hideMark/>
          </w:tcPr>
          <w:p w14:paraId="7D7E3095" w14:textId="77777777" w:rsidR="00EC6BD5" w:rsidRPr="00521670" w:rsidRDefault="00EC6BD5" w:rsidP="00015883">
            <w:pPr>
              <w:pStyle w:val="Tabletext"/>
              <w:spacing w:before="20" w:after="20" w:line="196" w:lineRule="exact"/>
              <w:rPr>
                <w:szCs w:val="18"/>
                <w:lang w:val="ru-RU"/>
              </w:rPr>
            </w:pPr>
            <w:r w:rsidRPr="00521670">
              <w:rPr>
                <w:szCs w:val="18"/>
                <w:lang w:val="ru-RU" w:eastAsia="en-GB"/>
              </w:rPr>
              <w:t>(Увеличение)/уменьшение прочих долговых обязательств</w:t>
            </w:r>
          </w:p>
        </w:tc>
        <w:tc>
          <w:tcPr>
            <w:tcW w:w="643" w:type="pct"/>
            <w:vAlign w:val="center"/>
            <w:hideMark/>
          </w:tcPr>
          <w:p w14:paraId="6D1ACEF8" w14:textId="6133D930"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9</w:t>
            </w:r>
          </w:p>
        </w:tc>
        <w:tc>
          <w:tcPr>
            <w:tcW w:w="772" w:type="pct"/>
            <w:noWrap/>
            <w:vAlign w:val="bottom"/>
            <w:hideMark/>
          </w:tcPr>
          <w:p w14:paraId="3882F043" w14:textId="32DFB94D" w:rsidR="00EC6BD5" w:rsidRPr="00521670" w:rsidRDefault="00EC6BD5" w:rsidP="00015883">
            <w:pPr>
              <w:pStyle w:val="Tabletext"/>
              <w:spacing w:before="20" w:after="20"/>
              <w:jc w:val="right"/>
              <w:rPr>
                <w:lang w:val="ru-RU" w:eastAsia="en-GB"/>
              </w:rPr>
            </w:pPr>
            <w:r w:rsidRPr="00521670">
              <w:rPr>
                <w:lang w:val="ru-RU"/>
              </w:rPr>
              <w:t>(1 007)</w:t>
            </w:r>
          </w:p>
        </w:tc>
        <w:tc>
          <w:tcPr>
            <w:tcW w:w="772" w:type="pct"/>
            <w:noWrap/>
            <w:vAlign w:val="center"/>
            <w:hideMark/>
          </w:tcPr>
          <w:p w14:paraId="12481109" w14:textId="32E398AC" w:rsidR="00EC6BD5" w:rsidRPr="00521670" w:rsidRDefault="00EC6BD5" w:rsidP="00015883">
            <w:pPr>
              <w:pStyle w:val="Tabletext"/>
              <w:spacing w:before="20" w:after="20"/>
              <w:jc w:val="right"/>
              <w:rPr>
                <w:lang w:val="ru-RU" w:eastAsia="en-GB"/>
              </w:rPr>
            </w:pPr>
            <w:r w:rsidRPr="00521670">
              <w:rPr>
                <w:lang w:val="ru-RU"/>
              </w:rPr>
              <w:t>(1 084)</w:t>
            </w:r>
          </w:p>
        </w:tc>
      </w:tr>
      <w:tr w:rsidR="00EC6BD5" w:rsidRPr="00521670" w14:paraId="7B0D2A73" w14:textId="77777777" w:rsidTr="00015883">
        <w:tc>
          <w:tcPr>
            <w:tcW w:w="2812" w:type="pct"/>
            <w:vAlign w:val="center"/>
            <w:hideMark/>
          </w:tcPr>
          <w:p w14:paraId="4416FB95" w14:textId="77777777" w:rsidR="00EC6BD5" w:rsidRPr="00521670" w:rsidRDefault="00EC6BD5" w:rsidP="00015883">
            <w:pPr>
              <w:pStyle w:val="Tabletext"/>
              <w:spacing w:before="20" w:after="20" w:line="196" w:lineRule="exact"/>
              <w:rPr>
                <w:szCs w:val="18"/>
                <w:lang w:val="ru-RU"/>
              </w:rPr>
            </w:pPr>
            <w:r w:rsidRPr="00521670">
              <w:rPr>
                <w:szCs w:val="18"/>
                <w:lang w:val="ru-RU" w:eastAsia="en-GB"/>
              </w:rPr>
              <w:t>(Увеличение)/уменьшение запасов</w:t>
            </w:r>
          </w:p>
        </w:tc>
        <w:tc>
          <w:tcPr>
            <w:tcW w:w="643" w:type="pct"/>
            <w:vAlign w:val="bottom"/>
            <w:hideMark/>
          </w:tcPr>
          <w:p w14:paraId="40BE680F" w14:textId="77777777" w:rsidR="00EC6BD5" w:rsidRPr="00521670" w:rsidRDefault="00EC6BD5" w:rsidP="00015883">
            <w:pPr>
              <w:pStyle w:val="Tabletext"/>
              <w:spacing w:before="20" w:after="20" w:line="196" w:lineRule="exact"/>
              <w:jc w:val="center"/>
              <w:rPr>
                <w:szCs w:val="18"/>
                <w:lang w:val="ru-RU" w:eastAsia="en-GB"/>
              </w:rPr>
            </w:pPr>
          </w:p>
        </w:tc>
        <w:tc>
          <w:tcPr>
            <w:tcW w:w="772" w:type="pct"/>
            <w:noWrap/>
            <w:vAlign w:val="bottom"/>
            <w:hideMark/>
          </w:tcPr>
          <w:p w14:paraId="63AAD4A0" w14:textId="46EE7AA3" w:rsidR="00EC6BD5" w:rsidRPr="00521670" w:rsidRDefault="00015883" w:rsidP="00015883">
            <w:pPr>
              <w:pStyle w:val="Tabletext"/>
              <w:spacing w:before="20" w:after="20"/>
              <w:jc w:val="right"/>
              <w:rPr>
                <w:lang w:val="ru-RU" w:eastAsia="en-GB"/>
              </w:rPr>
            </w:pPr>
            <w:r w:rsidRPr="00521670">
              <w:rPr>
                <w:lang w:val="ru-RU" w:eastAsia="en-GB"/>
              </w:rPr>
              <w:sym w:font="Symbol" w:char="F02D"/>
            </w:r>
          </w:p>
        </w:tc>
        <w:tc>
          <w:tcPr>
            <w:tcW w:w="772" w:type="pct"/>
            <w:noWrap/>
            <w:vAlign w:val="center"/>
            <w:hideMark/>
          </w:tcPr>
          <w:p w14:paraId="2BABDB6A" w14:textId="2A2C8DD9" w:rsidR="00EC6BD5" w:rsidRPr="00521670" w:rsidRDefault="00EC6BD5" w:rsidP="00015883">
            <w:pPr>
              <w:pStyle w:val="Tabletext"/>
              <w:spacing w:before="20" w:after="20"/>
              <w:jc w:val="right"/>
              <w:rPr>
                <w:lang w:val="ru-RU" w:eastAsia="en-GB"/>
              </w:rPr>
            </w:pPr>
            <w:r w:rsidRPr="00521670">
              <w:rPr>
                <w:lang w:val="ru-RU"/>
              </w:rPr>
              <w:t>307</w:t>
            </w:r>
          </w:p>
        </w:tc>
      </w:tr>
      <w:tr w:rsidR="00EC6BD5" w:rsidRPr="00521670" w14:paraId="376DA6AD" w14:textId="77777777" w:rsidTr="00015883">
        <w:tc>
          <w:tcPr>
            <w:tcW w:w="2812" w:type="pct"/>
            <w:vAlign w:val="center"/>
            <w:hideMark/>
          </w:tcPr>
          <w:p w14:paraId="43227FC7" w14:textId="77777777" w:rsidR="00EC6BD5" w:rsidRPr="00521670" w:rsidRDefault="00EC6BD5" w:rsidP="00015883">
            <w:pPr>
              <w:pStyle w:val="Tabletext"/>
              <w:spacing w:before="20" w:after="20" w:line="196" w:lineRule="exact"/>
              <w:rPr>
                <w:szCs w:val="18"/>
                <w:lang w:val="ru-RU"/>
              </w:rPr>
            </w:pPr>
            <w:r w:rsidRPr="00521670">
              <w:rPr>
                <w:szCs w:val="18"/>
                <w:lang w:val="ru-RU"/>
              </w:rPr>
              <w:t>Увеличение/(уменьшение) суммы подлежащих уплате средств</w:t>
            </w:r>
          </w:p>
        </w:tc>
        <w:tc>
          <w:tcPr>
            <w:tcW w:w="643" w:type="pct"/>
            <w:vAlign w:val="center"/>
            <w:hideMark/>
          </w:tcPr>
          <w:p w14:paraId="1D8CD4D4" w14:textId="3B419C63"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13</w:t>
            </w:r>
          </w:p>
        </w:tc>
        <w:tc>
          <w:tcPr>
            <w:tcW w:w="772" w:type="pct"/>
            <w:noWrap/>
            <w:vAlign w:val="bottom"/>
            <w:hideMark/>
          </w:tcPr>
          <w:p w14:paraId="3ECD9332" w14:textId="69EE9B8F" w:rsidR="00EC6BD5" w:rsidRPr="00521670" w:rsidRDefault="00EC6BD5" w:rsidP="00015883">
            <w:pPr>
              <w:pStyle w:val="Tabletext"/>
              <w:spacing w:before="20" w:after="20"/>
              <w:jc w:val="right"/>
              <w:rPr>
                <w:lang w:val="ru-RU"/>
              </w:rPr>
            </w:pPr>
            <w:r w:rsidRPr="00521670">
              <w:rPr>
                <w:lang w:val="ru-RU"/>
              </w:rPr>
              <w:t>(1 665)</w:t>
            </w:r>
          </w:p>
        </w:tc>
        <w:tc>
          <w:tcPr>
            <w:tcW w:w="772" w:type="pct"/>
            <w:noWrap/>
            <w:vAlign w:val="center"/>
            <w:hideMark/>
          </w:tcPr>
          <w:p w14:paraId="6F94B842" w14:textId="0C8434C8" w:rsidR="00EC6BD5" w:rsidRPr="00521670" w:rsidRDefault="00EC6BD5" w:rsidP="00015883">
            <w:pPr>
              <w:pStyle w:val="Tabletext"/>
              <w:spacing w:before="20" w:after="20"/>
              <w:jc w:val="right"/>
              <w:rPr>
                <w:lang w:val="ru-RU"/>
              </w:rPr>
            </w:pPr>
            <w:r w:rsidRPr="00521670">
              <w:rPr>
                <w:lang w:val="ru-RU"/>
              </w:rPr>
              <w:t>2 497</w:t>
            </w:r>
          </w:p>
        </w:tc>
      </w:tr>
      <w:tr w:rsidR="00EC6BD5" w:rsidRPr="00521670" w14:paraId="6D045AF0" w14:textId="77777777" w:rsidTr="00015883">
        <w:tc>
          <w:tcPr>
            <w:tcW w:w="2812" w:type="pct"/>
            <w:hideMark/>
          </w:tcPr>
          <w:p w14:paraId="2E125C69" w14:textId="77777777" w:rsidR="00EC6BD5" w:rsidRPr="00521670" w:rsidRDefault="00EC6BD5" w:rsidP="00015883">
            <w:pPr>
              <w:pStyle w:val="Tabletext"/>
              <w:spacing w:before="20" w:after="20" w:line="196" w:lineRule="exact"/>
              <w:rPr>
                <w:szCs w:val="18"/>
                <w:lang w:val="ru-RU"/>
              </w:rPr>
            </w:pPr>
            <w:r w:rsidRPr="00521670">
              <w:rPr>
                <w:szCs w:val="18"/>
                <w:lang w:val="ru-RU"/>
              </w:rPr>
              <w:t>Увеличение/(уменьшение) доходов будущих периодов</w:t>
            </w:r>
          </w:p>
        </w:tc>
        <w:tc>
          <w:tcPr>
            <w:tcW w:w="643" w:type="pct"/>
            <w:vAlign w:val="center"/>
            <w:hideMark/>
          </w:tcPr>
          <w:p w14:paraId="116FF240" w14:textId="68431DC5"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14</w:t>
            </w:r>
          </w:p>
        </w:tc>
        <w:tc>
          <w:tcPr>
            <w:tcW w:w="772" w:type="pct"/>
            <w:noWrap/>
            <w:vAlign w:val="bottom"/>
            <w:hideMark/>
          </w:tcPr>
          <w:p w14:paraId="0EAD4D61" w14:textId="0CBDC951" w:rsidR="00EC6BD5" w:rsidRPr="00521670" w:rsidRDefault="00EC6BD5" w:rsidP="00015883">
            <w:pPr>
              <w:pStyle w:val="Tabletext"/>
              <w:spacing w:before="20" w:after="20"/>
              <w:jc w:val="right"/>
              <w:rPr>
                <w:lang w:val="ru-RU"/>
              </w:rPr>
            </w:pPr>
            <w:r w:rsidRPr="00521670">
              <w:rPr>
                <w:lang w:val="ru-RU"/>
              </w:rPr>
              <w:t>27 879</w:t>
            </w:r>
          </w:p>
        </w:tc>
        <w:tc>
          <w:tcPr>
            <w:tcW w:w="772" w:type="pct"/>
            <w:noWrap/>
            <w:vAlign w:val="center"/>
            <w:hideMark/>
          </w:tcPr>
          <w:p w14:paraId="297E4AB2" w14:textId="07E57092" w:rsidR="00EC6BD5" w:rsidRPr="00521670" w:rsidRDefault="00EC6BD5" w:rsidP="00015883">
            <w:pPr>
              <w:pStyle w:val="Tabletext"/>
              <w:spacing w:before="20" w:after="20"/>
              <w:jc w:val="right"/>
              <w:rPr>
                <w:lang w:val="ru-RU"/>
              </w:rPr>
            </w:pPr>
            <w:r w:rsidRPr="00521670">
              <w:rPr>
                <w:lang w:val="ru-RU"/>
              </w:rPr>
              <w:t>(830)</w:t>
            </w:r>
          </w:p>
        </w:tc>
      </w:tr>
      <w:tr w:rsidR="00EC6BD5" w:rsidRPr="00521670" w14:paraId="22DC7292" w14:textId="77777777" w:rsidTr="00015883">
        <w:tc>
          <w:tcPr>
            <w:tcW w:w="2812" w:type="pct"/>
            <w:hideMark/>
          </w:tcPr>
          <w:p w14:paraId="5B21A5F1" w14:textId="5E3B2136" w:rsidR="00EC6BD5" w:rsidRPr="00521670" w:rsidRDefault="00EC6BD5" w:rsidP="00015883">
            <w:pPr>
              <w:pStyle w:val="Tabletext"/>
              <w:spacing w:before="20" w:after="20" w:line="196" w:lineRule="exact"/>
              <w:rPr>
                <w:szCs w:val="18"/>
                <w:lang w:val="ru-RU"/>
              </w:rPr>
            </w:pPr>
            <w:r w:rsidRPr="00521670">
              <w:rPr>
                <w:szCs w:val="18"/>
                <w:lang w:val="ru-RU"/>
              </w:rPr>
              <w:t>Увеличение/(уменьшение) вознаграждения сотрудников</w:t>
            </w:r>
          </w:p>
        </w:tc>
        <w:tc>
          <w:tcPr>
            <w:tcW w:w="643" w:type="pct"/>
            <w:vAlign w:val="center"/>
            <w:hideMark/>
          </w:tcPr>
          <w:p w14:paraId="34E7F906" w14:textId="506DA72D"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16</w:t>
            </w:r>
          </w:p>
        </w:tc>
        <w:tc>
          <w:tcPr>
            <w:tcW w:w="772" w:type="pct"/>
            <w:noWrap/>
            <w:vAlign w:val="bottom"/>
            <w:hideMark/>
          </w:tcPr>
          <w:p w14:paraId="4249394A" w14:textId="26BC4041" w:rsidR="00EC6BD5" w:rsidRPr="00521670" w:rsidRDefault="00EC6BD5" w:rsidP="00015883">
            <w:pPr>
              <w:pStyle w:val="Tabletext"/>
              <w:spacing w:before="20" w:after="20"/>
              <w:jc w:val="right"/>
              <w:rPr>
                <w:lang w:val="ru-RU"/>
              </w:rPr>
            </w:pPr>
            <w:r w:rsidRPr="00521670">
              <w:rPr>
                <w:lang w:val="ru-RU"/>
              </w:rPr>
              <w:t>1 476</w:t>
            </w:r>
          </w:p>
        </w:tc>
        <w:tc>
          <w:tcPr>
            <w:tcW w:w="772" w:type="pct"/>
            <w:noWrap/>
            <w:vAlign w:val="center"/>
            <w:hideMark/>
          </w:tcPr>
          <w:p w14:paraId="0E27AB1F" w14:textId="7289E17A" w:rsidR="00EC6BD5" w:rsidRPr="00521670" w:rsidRDefault="00EC6BD5" w:rsidP="00015883">
            <w:pPr>
              <w:pStyle w:val="Tabletext"/>
              <w:spacing w:before="20" w:after="20"/>
              <w:jc w:val="right"/>
              <w:rPr>
                <w:lang w:val="ru-RU"/>
              </w:rPr>
            </w:pPr>
            <w:r w:rsidRPr="00521670">
              <w:rPr>
                <w:lang w:val="ru-RU"/>
              </w:rPr>
              <w:t>(498)</w:t>
            </w:r>
          </w:p>
        </w:tc>
      </w:tr>
      <w:tr w:rsidR="00EC6BD5" w:rsidRPr="00521670" w14:paraId="21E656BF" w14:textId="77777777" w:rsidTr="00015883">
        <w:tc>
          <w:tcPr>
            <w:tcW w:w="2812" w:type="pct"/>
            <w:vAlign w:val="center"/>
            <w:hideMark/>
          </w:tcPr>
          <w:p w14:paraId="59433EC9" w14:textId="4125AFC0" w:rsidR="00EC6BD5" w:rsidRPr="00521670" w:rsidRDefault="00EC6BD5" w:rsidP="00015883">
            <w:pPr>
              <w:pStyle w:val="Tabletext"/>
              <w:spacing w:before="20" w:after="20" w:line="196" w:lineRule="exact"/>
              <w:rPr>
                <w:szCs w:val="18"/>
                <w:lang w:val="ru-RU"/>
              </w:rPr>
            </w:pPr>
            <w:r w:rsidRPr="00521670">
              <w:rPr>
                <w:szCs w:val="18"/>
                <w:lang w:val="ru-RU"/>
              </w:rPr>
              <w:t>Увеличение</w:t>
            </w:r>
            <w:r w:rsidRPr="00521670">
              <w:rPr>
                <w:szCs w:val="18"/>
                <w:lang w:val="ru-RU" w:eastAsia="en-GB"/>
              </w:rPr>
              <w:t>/(</w:t>
            </w:r>
            <w:r w:rsidRPr="00521670">
              <w:rPr>
                <w:szCs w:val="18"/>
                <w:lang w:val="ru-RU"/>
              </w:rPr>
              <w:t>уменьшение</w:t>
            </w:r>
            <w:r w:rsidRPr="00521670">
              <w:rPr>
                <w:szCs w:val="18"/>
                <w:lang w:val="ru-RU" w:eastAsia="en-GB"/>
              </w:rPr>
              <w:t xml:space="preserve">) </w:t>
            </w:r>
            <w:r w:rsidRPr="00521670">
              <w:rPr>
                <w:szCs w:val="18"/>
                <w:lang w:val="ru-RU"/>
              </w:rPr>
              <w:t xml:space="preserve">прочих </w:t>
            </w:r>
            <w:r w:rsidR="003C62CE" w:rsidRPr="00521670">
              <w:rPr>
                <w:szCs w:val="18"/>
                <w:lang w:val="ru-RU"/>
              </w:rPr>
              <w:t>пассивов</w:t>
            </w:r>
          </w:p>
        </w:tc>
        <w:tc>
          <w:tcPr>
            <w:tcW w:w="643" w:type="pct"/>
            <w:vAlign w:val="center"/>
            <w:hideMark/>
          </w:tcPr>
          <w:p w14:paraId="03CC8B00" w14:textId="0DD1D25A"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17</w:t>
            </w:r>
          </w:p>
        </w:tc>
        <w:tc>
          <w:tcPr>
            <w:tcW w:w="772" w:type="pct"/>
            <w:noWrap/>
            <w:vAlign w:val="bottom"/>
            <w:hideMark/>
          </w:tcPr>
          <w:p w14:paraId="58FD3AA4" w14:textId="06D4A4A0" w:rsidR="00EC6BD5" w:rsidRPr="00521670" w:rsidRDefault="00EC6BD5" w:rsidP="00015883">
            <w:pPr>
              <w:pStyle w:val="Tabletext"/>
              <w:spacing w:before="20" w:after="20"/>
              <w:jc w:val="right"/>
              <w:rPr>
                <w:lang w:val="ru-RU"/>
              </w:rPr>
            </w:pPr>
            <w:r w:rsidRPr="00521670">
              <w:rPr>
                <w:lang w:val="ru-RU"/>
              </w:rPr>
              <w:t>3 967</w:t>
            </w:r>
          </w:p>
        </w:tc>
        <w:tc>
          <w:tcPr>
            <w:tcW w:w="772" w:type="pct"/>
            <w:noWrap/>
            <w:vAlign w:val="center"/>
            <w:hideMark/>
          </w:tcPr>
          <w:p w14:paraId="05BF95E6" w14:textId="1EF9C4F3" w:rsidR="00EC6BD5" w:rsidRPr="00521670" w:rsidRDefault="00EC6BD5" w:rsidP="00015883">
            <w:pPr>
              <w:pStyle w:val="Tabletext"/>
              <w:spacing w:before="20" w:after="20"/>
              <w:jc w:val="right"/>
              <w:rPr>
                <w:lang w:val="ru-RU"/>
              </w:rPr>
            </w:pPr>
            <w:r w:rsidRPr="00521670">
              <w:rPr>
                <w:lang w:val="ru-RU"/>
              </w:rPr>
              <w:t>1 146</w:t>
            </w:r>
          </w:p>
        </w:tc>
      </w:tr>
      <w:tr w:rsidR="00EC6BD5" w:rsidRPr="00521670" w14:paraId="7F0F5FAC" w14:textId="77777777" w:rsidTr="00015883">
        <w:tc>
          <w:tcPr>
            <w:tcW w:w="2812" w:type="pct"/>
            <w:hideMark/>
          </w:tcPr>
          <w:p w14:paraId="5021915F" w14:textId="77777777" w:rsidR="00EC6BD5" w:rsidRPr="00521670" w:rsidRDefault="00EC6BD5" w:rsidP="00015883">
            <w:pPr>
              <w:pStyle w:val="Tabletext"/>
              <w:spacing w:before="20" w:after="20" w:line="196" w:lineRule="exact"/>
              <w:rPr>
                <w:szCs w:val="18"/>
                <w:lang w:val="ru-RU"/>
              </w:rPr>
            </w:pPr>
            <w:r w:rsidRPr="00521670">
              <w:rPr>
                <w:szCs w:val="18"/>
                <w:lang w:val="ru-RU" w:eastAsia="en-GB"/>
              </w:rPr>
              <w:t>Резервный фонд для сомнительных долгов</w:t>
            </w:r>
          </w:p>
        </w:tc>
        <w:tc>
          <w:tcPr>
            <w:tcW w:w="643" w:type="pct"/>
            <w:vAlign w:val="center"/>
            <w:hideMark/>
          </w:tcPr>
          <w:p w14:paraId="32D2DC3A" w14:textId="499DD7B4"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8</w:t>
            </w:r>
          </w:p>
        </w:tc>
        <w:tc>
          <w:tcPr>
            <w:tcW w:w="772" w:type="pct"/>
            <w:noWrap/>
            <w:vAlign w:val="bottom"/>
            <w:hideMark/>
          </w:tcPr>
          <w:p w14:paraId="5E577A6E" w14:textId="1352D401" w:rsidR="00EC6BD5" w:rsidRPr="00521670" w:rsidRDefault="00EC6BD5" w:rsidP="00015883">
            <w:pPr>
              <w:pStyle w:val="Tabletext"/>
              <w:spacing w:before="20" w:after="20"/>
              <w:jc w:val="right"/>
              <w:rPr>
                <w:lang w:val="ru-RU"/>
              </w:rPr>
            </w:pPr>
            <w:r w:rsidRPr="00521670">
              <w:rPr>
                <w:lang w:val="ru-RU"/>
              </w:rPr>
              <w:t>6 401</w:t>
            </w:r>
          </w:p>
        </w:tc>
        <w:tc>
          <w:tcPr>
            <w:tcW w:w="772" w:type="pct"/>
            <w:noWrap/>
            <w:vAlign w:val="center"/>
            <w:hideMark/>
          </w:tcPr>
          <w:p w14:paraId="5D00B43D" w14:textId="39AB2FF5" w:rsidR="00EC6BD5" w:rsidRPr="00521670" w:rsidRDefault="00EC6BD5" w:rsidP="00015883">
            <w:pPr>
              <w:pStyle w:val="Tabletext"/>
              <w:spacing w:before="20" w:after="20"/>
              <w:jc w:val="right"/>
              <w:rPr>
                <w:lang w:val="ru-RU"/>
              </w:rPr>
            </w:pPr>
            <w:r w:rsidRPr="00521670">
              <w:rPr>
                <w:lang w:val="ru-RU"/>
              </w:rPr>
              <w:t>(1 786)</w:t>
            </w:r>
          </w:p>
        </w:tc>
      </w:tr>
      <w:tr w:rsidR="00EC6BD5" w:rsidRPr="00521670" w14:paraId="257BE51C" w14:textId="77777777" w:rsidTr="00015883">
        <w:tc>
          <w:tcPr>
            <w:tcW w:w="2812" w:type="pct"/>
            <w:hideMark/>
          </w:tcPr>
          <w:p w14:paraId="0BD64FAF" w14:textId="77777777" w:rsidR="00EC6BD5" w:rsidRPr="00521670" w:rsidRDefault="00EC6BD5" w:rsidP="00015883">
            <w:pPr>
              <w:pStyle w:val="Tabletext"/>
              <w:spacing w:before="20" w:after="20" w:line="196" w:lineRule="exact"/>
              <w:rPr>
                <w:szCs w:val="18"/>
                <w:lang w:val="ru-RU"/>
              </w:rPr>
            </w:pPr>
            <w:r w:rsidRPr="00521670">
              <w:rPr>
                <w:szCs w:val="18"/>
                <w:lang w:val="ru-RU"/>
              </w:rPr>
              <w:t>Увеличение/(уменьшение) в результате переоценки долгосрочных займов</w:t>
            </w:r>
          </w:p>
        </w:tc>
        <w:tc>
          <w:tcPr>
            <w:tcW w:w="643" w:type="pct"/>
            <w:vAlign w:val="center"/>
            <w:hideMark/>
          </w:tcPr>
          <w:p w14:paraId="37BBAC57" w14:textId="204016D5"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15</w:t>
            </w:r>
          </w:p>
        </w:tc>
        <w:tc>
          <w:tcPr>
            <w:tcW w:w="772" w:type="pct"/>
            <w:noWrap/>
            <w:vAlign w:val="bottom"/>
            <w:hideMark/>
          </w:tcPr>
          <w:p w14:paraId="35CF4F30" w14:textId="425092CA" w:rsidR="00EC6BD5" w:rsidRPr="00521670" w:rsidRDefault="00EC6BD5" w:rsidP="00015883">
            <w:pPr>
              <w:pStyle w:val="Tabletext"/>
              <w:spacing w:before="20" w:after="20"/>
              <w:jc w:val="right"/>
              <w:rPr>
                <w:lang w:val="ru-RU"/>
              </w:rPr>
            </w:pPr>
            <w:r w:rsidRPr="00521670">
              <w:rPr>
                <w:lang w:val="ru-RU"/>
              </w:rPr>
              <w:t>652</w:t>
            </w:r>
          </w:p>
        </w:tc>
        <w:tc>
          <w:tcPr>
            <w:tcW w:w="772" w:type="pct"/>
            <w:noWrap/>
            <w:vAlign w:val="center"/>
            <w:hideMark/>
          </w:tcPr>
          <w:p w14:paraId="6D1DA626" w14:textId="583E85B8" w:rsidR="00EC6BD5" w:rsidRPr="00521670" w:rsidRDefault="00EC6BD5" w:rsidP="00015883">
            <w:pPr>
              <w:pStyle w:val="Tabletext"/>
              <w:spacing w:before="20" w:after="20"/>
              <w:jc w:val="right"/>
              <w:rPr>
                <w:lang w:val="ru-RU"/>
              </w:rPr>
            </w:pPr>
            <w:r w:rsidRPr="00521670">
              <w:rPr>
                <w:lang w:val="ru-RU"/>
              </w:rPr>
              <w:t>4 055</w:t>
            </w:r>
          </w:p>
        </w:tc>
      </w:tr>
      <w:tr w:rsidR="00EC6BD5" w:rsidRPr="00521670" w14:paraId="1D1D9B72" w14:textId="77777777" w:rsidTr="00015883">
        <w:tc>
          <w:tcPr>
            <w:tcW w:w="2812" w:type="pct"/>
            <w:vAlign w:val="center"/>
            <w:hideMark/>
          </w:tcPr>
          <w:p w14:paraId="1D112CD4" w14:textId="77777777" w:rsidR="00EC6BD5" w:rsidRPr="00521670" w:rsidRDefault="00EC6BD5" w:rsidP="00015883">
            <w:pPr>
              <w:pStyle w:val="Tabletext"/>
              <w:spacing w:before="20" w:after="20" w:line="196" w:lineRule="exact"/>
              <w:rPr>
                <w:szCs w:val="18"/>
                <w:lang w:val="ru-RU"/>
              </w:rPr>
            </w:pPr>
            <w:r w:rsidRPr="00521670">
              <w:rPr>
                <w:szCs w:val="18"/>
                <w:lang w:val="ru-RU"/>
              </w:rPr>
              <w:t>(Полученные)/выплаченные проценты</w:t>
            </w:r>
          </w:p>
        </w:tc>
        <w:tc>
          <w:tcPr>
            <w:tcW w:w="643" w:type="pct"/>
            <w:vAlign w:val="center"/>
            <w:hideMark/>
          </w:tcPr>
          <w:p w14:paraId="36F189B2" w14:textId="270D07BB"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18</w:t>
            </w:r>
          </w:p>
        </w:tc>
        <w:tc>
          <w:tcPr>
            <w:tcW w:w="772" w:type="pct"/>
            <w:noWrap/>
            <w:vAlign w:val="bottom"/>
            <w:hideMark/>
          </w:tcPr>
          <w:p w14:paraId="6B3C52D8" w14:textId="262588BD" w:rsidR="00EC6BD5" w:rsidRPr="00521670" w:rsidRDefault="00EC6BD5" w:rsidP="00015883">
            <w:pPr>
              <w:pStyle w:val="Tabletext"/>
              <w:spacing w:before="20" w:after="20"/>
              <w:jc w:val="right"/>
              <w:rPr>
                <w:lang w:val="ru-RU"/>
              </w:rPr>
            </w:pPr>
            <w:r w:rsidRPr="00521670">
              <w:rPr>
                <w:lang w:val="ru-RU"/>
              </w:rPr>
              <w:t>(4 645)</w:t>
            </w:r>
          </w:p>
        </w:tc>
        <w:tc>
          <w:tcPr>
            <w:tcW w:w="772" w:type="pct"/>
            <w:noWrap/>
            <w:vAlign w:val="center"/>
            <w:hideMark/>
          </w:tcPr>
          <w:p w14:paraId="044318DD" w14:textId="232DDD4D" w:rsidR="00EC6BD5" w:rsidRPr="00521670" w:rsidRDefault="00EC6BD5" w:rsidP="00015883">
            <w:pPr>
              <w:pStyle w:val="Tabletext"/>
              <w:spacing w:before="20" w:after="20"/>
              <w:jc w:val="right"/>
              <w:rPr>
                <w:lang w:val="ru-RU"/>
              </w:rPr>
            </w:pPr>
            <w:r w:rsidRPr="00521670">
              <w:rPr>
                <w:lang w:val="ru-RU"/>
              </w:rPr>
              <w:t>(4 559)</w:t>
            </w:r>
          </w:p>
        </w:tc>
      </w:tr>
      <w:tr w:rsidR="00EC6BD5" w:rsidRPr="00521670" w14:paraId="66AF6073" w14:textId="77777777" w:rsidTr="00015883">
        <w:tc>
          <w:tcPr>
            <w:tcW w:w="2812" w:type="pct"/>
            <w:vAlign w:val="center"/>
            <w:hideMark/>
          </w:tcPr>
          <w:p w14:paraId="13E130FE" w14:textId="77777777" w:rsidR="00EC6BD5" w:rsidRPr="00521670" w:rsidRDefault="00EC6BD5" w:rsidP="00015883">
            <w:pPr>
              <w:pStyle w:val="Tabletext"/>
              <w:spacing w:before="20" w:after="20" w:line="196" w:lineRule="exact"/>
              <w:rPr>
                <w:szCs w:val="18"/>
                <w:lang w:val="ru-RU"/>
              </w:rPr>
            </w:pPr>
            <w:r w:rsidRPr="00521670">
              <w:rPr>
                <w:szCs w:val="18"/>
                <w:lang w:val="ru-RU" w:eastAsia="en-GB"/>
              </w:rPr>
              <w:t>Неполученные курсовые прибыли/убытки по операциям</w:t>
            </w:r>
          </w:p>
        </w:tc>
        <w:tc>
          <w:tcPr>
            <w:tcW w:w="643" w:type="pct"/>
            <w:vAlign w:val="center"/>
            <w:hideMark/>
          </w:tcPr>
          <w:p w14:paraId="41214C2D" w14:textId="091E8FA4"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18</w:t>
            </w:r>
          </w:p>
        </w:tc>
        <w:tc>
          <w:tcPr>
            <w:tcW w:w="772" w:type="pct"/>
            <w:noWrap/>
            <w:vAlign w:val="bottom"/>
            <w:hideMark/>
          </w:tcPr>
          <w:p w14:paraId="35743443" w14:textId="6F026373" w:rsidR="00EC6BD5" w:rsidRPr="00521670" w:rsidRDefault="00EC6BD5" w:rsidP="00015883">
            <w:pPr>
              <w:pStyle w:val="Tabletext"/>
              <w:spacing w:before="20" w:after="20"/>
              <w:jc w:val="right"/>
              <w:rPr>
                <w:lang w:val="ru-RU"/>
              </w:rPr>
            </w:pPr>
            <w:r w:rsidRPr="00521670">
              <w:rPr>
                <w:lang w:val="ru-RU"/>
              </w:rPr>
              <w:t>1 962</w:t>
            </w:r>
          </w:p>
        </w:tc>
        <w:tc>
          <w:tcPr>
            <w:tcW w:w="772" w:type="pct"/>
            <w:noWrap/>
            <w:vAlign w:val="center"/>
            <w:hideMark/>
          </w:tcPr>
          <w:p w14:paraId="4605C6FB" w14:textId="1BAE82E4" w:rsidR="00EC6BD5" w:rsidRPr="00521670" w:rsidRDefault="00EC6BD5" w:rsidP="00015883">
            <w:pPr>
              <w:pStyle w:val="Tabletext"/>
              <w:spacing w:before="20" w:after="20"/>
              <w:jc w:val="right"/>
              <w:rPr>
                <w:lang w:val="ru-RU"/>
              </w:rPr>
            </w:pPr>
            <w:r w:rsidRPr="00521670">
              <w:rPr>
                <w:lang w:val="ru-RU"/>
              </w:rPr>
              <w:t>17</w:t>
            </w:r>
          </w:p>
        </w:tc>
      </w:tr>
      <w:tr w:rsidR="0025646F" w:rsidRPr="00521670" w14:paraId="2BA2F245" w14:textId="77777777" w:rsidTr="00015883">
        <w:tc>
          <w:tcPr>
            <w:tcW w:w="2812" w:type="pct"/>
            <w:noWrap/>
            <w:hideMark/>
          </w:tcPr>
          <w:p w14:paraId="711410BD" w14:textId="77777777" w:rsidR="0025646F" w:rsidRPr="00521670" w:rsidRDefault="0025646F" w:rsidP="00015883">
            <w:pPr>
              <w:pStyle w:val="Tabletext"/>
              <w:spacing w:before="20" w:after="20" w:line="196" w:lineRule="exact"/>
              <w:rPr>
                <w:sz w:val="6"/>
                <w:szCs w:val="6"/>
                <w:lang w:val="ru-RU"/>
              </w:rPr>
            </w:pPr>
          </w:p>
        </w:tc>
        <w:tc>
          <w:tcPr>
            <w:tcW w:w="643" w:type="pct"/>
            <w:noWrap/>
            <w:vAlign w:val="bottom"/>
            <w:hideMark/>
          </w:tcPr>
          <w:p w14:paraId="29D31142" w14:textId="77777777" w:rsidR="0025646F" w:rsidRPr="00521670" w:rsidRDefault="0025646F" w:rsidP="00015883">
            <w:pPr>
              <w:pStyle w:val="Tabletext"/>
              <w:spacing w:before="20" w:after="20" w:line="196" w:lineRule="exact"/>
              <w:jc w:val="center"/>
              <w:rPr>
                <w:sz w:val="6"/>
                <w:szCs w:val="6"/>
                <w:lang w:val="ru-RU" w:eastAsia="en-GB"/>
              </w:rPr>
            </w:pPr>
          </w:p>
        </w:tc>
        <w:tc>
          <w:tcPr>
            <w:tcW w:w="772" w:type="pct"/>
            <w:noWrap/>
            <w:vAlign w:val="bottom"/>
            <w:hideMark/>
          </w:tcPr>
          <w:p w14:paraId="2149C85A" w14:textId="77777777" w:rsidR="0025646F" w:rsidRPr="00521670" w:rsidRDefault="0025646F" w:rsidP="00015883">
            <w:pPr>
              <w:pStyle w:val="Tabletext"/>
              <w:spacing w:before="20" w:after="20"/>
              <w:jc w:val="right"/>
              <w:rPr>
                <w:sz w:val="6"/>
                <w:szCs w:val="6"/>
                <w:lang w:val="ru-RU"/>
              </w:rPr>
            </w:pPr>
          </w:p>
        </w:tc>
        <w:tc>
          <w:tcPr>
            <w:tcW w:w="772" w:type="pct"/>
            <w:noWrap/>
            <w:vAlign w:val="bottom"/>
            <w:hideMark/>
          </w:tcPr>
          <w:p w14:paraId="2697E117" w14:textId="77777777" w:rsidR="0025646F" w:rsidRPr="00521670" w:rsidRDefault="0025646F" w:rsidP="00015883">
            <w:pPr>
              <w:pStyle w:val="Tabletext"/>
              <w:spacing w:before="20" w:after="20"/>
              <w:jc w:val="right"/>
              <w:rPr>
                <w:sz w:val="6"/>
                <w:szCs w:val="6"/>
                <w:lang w:val="ru-RU"/>
              </w:rPr>
            </w:pPr>
          </w:p>
        </w:tc>
      </w:tr>
      <w:tr w:rsidR="00EC6BD5" w:rsidRPr="00521670" w14:paraId="65D1F6AA" w14:textId="77777777" w:rsidTr="00015883">
        <w:tc>
          <w:tcPr>
            <w:tcW w:w="2812" w:type="pct"/>
            <w:hideMark/>
          </w:tcPr>
          <w:p w14:paraId="2534FC69" w14:textId="33575C0A" w:rsidR="00EC6BD5" w:rsidRPr="00521670" w:rsidRDefault="00EC6BD5" w:rsidP="00015883">
            <w:pPr>
              <w:pStyle w:val="Tabletext"/>
              <w:spacing w:before="20" w:after="20" w:line="196" w:lineRule="exact"/>
              <w:rPr>
                <w:szCs w:val="18"/>
                <w:lang w:val="ru-RU"/>
              </w:rPr>
            </w:pPr>
            <w:r w:rsidRPr="00521670">
              <w:rPr>
                <w:b/>
                <w:bCs/>
                <w:szCs w:val="18"/>
                <w:lang w:val="ru-RU"/>
              </w:rPr>
              <w:t>Движение денежных средств в результате оперативной</w:t>
            </w:r>
            <w:r w:rsidR="00015883" w:rsidRPr="00521670">
              <w:rPr>
                <w:b/>
                <w:bCs/>
                <w:szCs w:val="18"/>
                <w:lang w:val="ru-RU"/>
              </w:rPr>
              <w:t> </w:t>
            </w:r>
            <w:r w:rsidRPr="00521670">
              <w:rPr>
                <w:b/>
                <w:bCs/>
                <w:szCs w:val="18"/>
                <w:lang w:val="ru-RU"/>
              </w:rPr>
              <w:t>деятельности</w:t>
            </w:r>
          </w:p>
        </w:tc>
        <w:tc>
          <w:tcPr>
            <w:tcW w:w="643" w:type="pct"/>
            <w:vAlign w:val="bottom"/>
            <w:hideMark/>
          </w:tcPr>
          <w:p w14:paraId="7CC41C96" w14:textId="77777777" w:rsidR="00EC6BD5" w:rsidRPr="00521670" w:rsidRDefault="00EC6BD5" w:rsidP="00015883">
            <w:pPr>
              <w:pStyle w:val="Tabletext"/>
              <w:spacing w:before="20" w:after="20" w:line="196" w:lineRule="exact"/>
              <w:jc w:val="center"/>
              <w:rPr>
                <w:szCs w:val="18"/>
                <w:lang w:val="ru-RU" w:eastAsia="en-GB"/>
              </w:rPr>
            </w:pPr>
          </w:p>
        </w:tc>
        <w:tc>
          <w:tcPr>
            <w:tcW w:w="772" w:type="pct"/>
            <w:noWrap/>
            <w:vAlign w:val="bottom"/>
            <w:hideMark/>
          </w:tcPr>
          <w:p w14:paraId="0A899B89" w14:textId="76935656" w:rsidR="00EC6BD5" w:rsidRPr="00521670" w:rsidRDefault="00EC6BD5" w:rsidP="00015883">
            <w:pPr>
              <w:pStyle w:val="Tabletext"/>
              <w:spacing w:before="20" w:after="20"/>
              <w:jc w:val="right"/>
              <w:rPr>
                <w:b/>
                <w:bCs/>
                <w:lang w:val="ru-RU"/>
              </w:rPr>
            </w:pPr>
            <w:r w:rsidRPr="00521670">
              <w:rPr>
                <w:b/>
                <w:bCs/>
                <w:lang w:val="ru-RU"/>
              </w:rPr>
              <w:t>20 922</w:t>
            </w:r>
          </w:p>
        </w:tc>
        <w:tc>
          <w:tcPr>
            <w:tcW w:w="772" w:type="pct"/>
            <w:noWrap/>
            <w:vAlign w:val="bottom"/>
            <w:hideMark/>
          </w:tcPr>
          <w:p w14:paraId="5C207FC1" w14:textId="017B69B8" w:rsidR="00EC6BD5" w:rsidRPr="00521670" w:rsidRDefault="00EC6BD5" w:rsidP="00015883">
            <w:pPr>
              <w:pStyle w:val="Tabletext"/>
              <w:spacing w:before="20" w:after="20"/>
              <w:jc w:val="right"/>
              <w:rPr>
                <w:b/>
                <w:bCs/>
                <w:lang w:val="ru-RU"/>
              </w:rPr>
            </w:pPr>
            <w:r w:rsidRPr="00521670">
              <w:rPr>
                <w:b/>
                <w:bCs/>
                <w:lang w:val="ru-RU"/>
              </w:rPr>
              <w:t>(14 912)</w:t>
            </w:r>
          </w:p>
        </w:tc>
      </w:tr>
      <w:tr w:rsidR="0025646F" w:rsidRPr="00521670" w14:paraId="52B5A2C6" w14:textId="77777777" w:rsidTr="00015883">
        <w:tc>
          <w:tcPr>
            <w:tcW w:w="2812" w:type="pct"/>
            <w:hideMark/>
          </w:tcPr>
          <w:p w14:paraId="42F0B2A5" w14:textId="77777777" w:rsidR="0025646F" w:rsidRPr="00521670" w:rsidRDefault="0025646F" w:rsidP="00015883">
            <w:pPr>
              <w:pStyle w:val="Tabletext"/>
              <w:spacing w:before="20" w:after="20" w:line="196" w:lineRule="exact"/>
              <w:rPr>
                <w:sz w:val="6"/>
                <w:szCs w:val="6"/>
                <w:lang w:val="ru-RU"/>
              </w:rPr>
            </w:pPr>
          </w:p>
        </w:tc>
        <w:tc>
          <w:tcPr>
            <w:tcW w:w="643" w:type="pct"/>
            <w:vAlign w:val="bottom"/>
            <w:hideMark/>
          </w:tcPr>
          <w:p w14:paraId="27024A72" w14:textId="77777777" w:rsidR="0025646F" w:rsidRPr="00521670" w:rsidRDefault="0025646F" w:rsidP="00015883">
            <w:pPr>
              <w:pStyle w:val="Tabletext"/>
              <w:spacing w:before="20" w:after="20" w:line="196" w:lineRule="exact"/>
              <w:jc w:val="center"/>
              <w:rPr>
                <w:sz w:val="6"/>
                <w:szCs w:val="6"/>
                <w:lang w:val="ru-RU" w:eastAsia="en-GB"/>
              </w:rPr>
            </w:pPr>
          </w:p>
        </w:tc>
        <w:tc>
          <w:tcPr>
            <w:tcW w:w="772" w:type="pct"/>
            <w:noWrap/>
            <w:vAlign w:val="bottom"/>
            <w:hideMark/>
          </w:tcPr>
          <w:p w14:paraId="1DEEBD79" w14:textId="77777777" w:rsidR="0025646F" w:rsidRPr="00521670" w:rsidRDefault="0025646F" w:rsidP="00015883">
            <w:pPr>
              <w:pStyle w:val="Tabletext"/>
              <w:spacing w:before="20" w:after="20" w:line="196" w:lineRule="exact"/>
              <w:jc w:val="right"/>
              <w:rPr>
                <w:sz w:val="6"/>
                <w:szCs w:val="6"/>
                <w:lang w:val="ru-RU" w:eastAsia="en-GB"/>
              </w:rPr>
            </w:pPr>
          </w:p>
        </w:tc>
        <w:tc>
          <w:tcPr>
            <w:tcW w:w="772" w:type="pct"/>
            <w:noWrap/>
            <w:vAlign w:val="bottom"/>
            <w:hideMark/>
          </w:tcPr>
          <w:p w14:paraId="6AE79E6D" w14:textId="77777777" w:rsidR="0025646F" w:rsidRPr="00521670" w:rsidRDefault="0025646F" w:rsidP="00015883">
            <w:pPr>
              <w:pStyle w:val="Tabletext"/>
              <w:spacing w:before="20" w:after="20" w:line="196" w:lineRule="exact"/>
              <w:jc w:val="right"/>
              <w:rPr>
                <w:sz w:val="6"/>
                <w:szCs w:val="6"/>
                <w:lang w:val="ru-RU" w:eastAsia="en-GB"/>
              </w:rPr>
            </w:pPr>
          </w:p>
        </w:tc>
      </w:tr>
      <w:tr w:rsidR="0025646F" w:rsidRPr="00521670" w14:paraId="2910EA8F" w14:textId="77777777" w:rsidTr="00015883">
        <w:tc>
          <w:tcPr>
            <w:tcW w:w="2812" w:type="pct"/>
            <w:hideMark/>
          </w:tcPr>
          <w:p w14:paraId="1D32646B" w14:textId="7F0972ED" w:rsidR="0025646F" w:rsidRPr="00521670" w:rsidRDefault="0025646F" w:rsidP="00015883">
            <w:pPr>
              <w:pStyle w:val="Tabletext"/>
              <w:spacing w:before="20" w:after="20" w:line="196" w:lineRule="exact"/>
              <w:rPr>
                <w:szCs w:val="18"/>
                <w:lang w:val="ru-RU"/>
              </w:rPr>
            </w:pPr>
            <w:r w:rsidRPr="00521670">
              <w:rPr>
                <w:b/>
                <w:bCs/>
                <w:szCs w:val="18"/>
                <w:lang w:val="ru-RU"/>
              </w:rPr>
              <w:t>Движение денежных средств в результате инвестиционной</w:t>
            </w:r>
            <w:r w:rsidR="00015883" w:rsidRPr="00521670">
              <w:rPr>
                <w:b/>
                <w:bCs/>
                <w:szCs w:val="18"/>
                <w:lang w:val="ru-RU"/>
              </w:rPr>
              <w:t> </w:t>
            </w:r>
            <w:r w:rsidRPr="00521670">
              <w:rPr>
                <w:b/>
                <w:bCs/>
                <w:szCs w:val="18"/>
                <w:lang w:val="ru-RU"/>
              </w:rPr>
              <w:t>деятельности</w:t>
            </w:r>
          </w:p>
        </w:tc>
        <w:tc>
          <w:tcPr>
            <w:tcW w:w="643" w:type="pct"/>
            <w:vAlign w:val="bottom"/>
            <w:hideMark/>
          </w:tcPr>
          <w:p w14:paraId="31431239" w14:textId="77777777" w:rsidR="0025646F" w:rsidRPr="00521670" w:rsidRDefault="0025646F" w:rsidP="00015883">
            <w:pPr>
              <w:pStyle w:val="Tabletext"/>
              <w:spacing w:before="20" w:after="20" w:line="196" w:lineRule="exact"/>
              <w:jc w:val="center"/>
              <w:rPr>
                <w:szCs w:val="18"/>
                <w:lang w:val="ru-RU" w:eastAsia="en-GB"/>
              </w:rPr>
            </w:pPr>
          </w:p>
        </w:tc>
        <w:tc>
          <w:tcPr>
            <w:tcW w:w="772" w:type="pct"/>
            <w:noWrap/>
            <w:vAlign w:val="bottom"/>
          </w:tcPr>
          <w:p w14:paraId="751ED4C5" w14:textId="77777777" w:rsidR="0025646F" w:rsidRPr="00521670" w:rsidRDefault="0025646F" w:rsidP="00015883">
            <w:pPr>
              <w:pStyle w:val="Tabletext"/>
              <w:spacing w:before="20" w:after="20" w:line="196" w:lineRule="exact"/>
              <w:jc w:val="right"/>
              <w:rPr>
                <w:szCs w:val="18"/>
                <w:lang w:val="ru-RU" w:eastAsia="en-GB"/>
              </w:rPr>
            </w:pPr>
          </w:p>
        </w:tc>
        <w:tc>
          <w:tcPr>
            <w:tcW w:w="772" w:type="pct"/>
            <w:noWrap/>
            <w:vAlign w:val="center"/>
          </w:tcPr>
          <w:p w14:paraId="3AD56F05" w14:textId="77777777" w:rsidR="0025646F" w:rsidRPr="00521670" w:rsidRDefault="0025646F" w:rsidP="00015883">
            <w:pPr>
              <w:pStyle w:val="Tabletext"/>
              <w:spacing w:before="20" w:after="20" w:line="196" w:lineRule="exact"/>
              <w:jc w:val="right"/>
              <w:rPr>
                <w:szCs w:val="18"/>
                <w:lang w:val="ru-RU" w:eastAsia="en-GB"/>
              </w:rPr>
            </w:pPr>
          </w:p>
        </w:tc>
      </w:tr>
      <w:tr w:rsidR="00EC6BD5" w:rsidRPr="00521670" w14:paraId="66D31B3A" w14:textId="77777777" w:rsidTr="00015883">
        <w:tc>
          <w:tcPr>
            <w:tcW w:w="2812" w:type="pct"/>
            <w:hideMark/>
          </w:tcPr>
          <w:p w14:paraId="09033E54" w14:textId="5DD42CD1"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Проценты, полученные от инвестиций</w:t>
            </w:r>
          </w:p>
        </w:tc>
        <w:tc>
          <w:tcPr>
            <w:tcW w:w="643" w:type="pct"/>
            <w:vAlign w:val="center"/>
            <w:hideMark/>
          </w:tcPr>
          <w:p w14:paraId="5C7ACFD7" w14:textId="0507FF21"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18</w:t>
            </w:r>
          </w:p>
        </w:tc>
        <w:tc>
          <w:tcPr>
            <w:tcW w:w="772" w:type="pct"/>
            <w:noWrap/>
          </w:tcPr>
          <w:p w14:paraId="6E845534" w14:textId="6EBD3B3E" w:rsidR="00EC6BD5" w:rsidRPr="00521670" w:rsidRDefault="00EC6BD5" w:rsidP="00015883">
            <w:pPr>
              <w:pStyle w:val="Tabletext"/>
              <w:spacing w:before="20" w:after="20"/>
              <w:jc w:val="right"/>
              <w:rPr>
                <w:lang w:val="ru-RU"/>
              </w:rPr>
            </w:pPr>
            <w:r w:rsidRPr="00521670">
              <w:rPr>
                <w:lang w:val="ru-RU"/>
              </w:rPr>
              <w:t>4 645</w:t>
            </w:r>
          </w:p>
        </w:tc>
        <w:tc>
          <w:tcPr>
            <w:tcW w:w="772" w:type="pct"/>
            <w:noWrap/>
          </w:tcPr>
          <w:p w14:paraId="65C58D85" w14:textId="264638B0" w:rsidR="00EC6BD5" w:rsidRPr="00521670" w:rsidRDefault="00EC6BD5" w:rsidP="00015883">
            <w:pPr>
              <w:pStyle w:val="Tabletext"/>
              <w:spacing w:before="20" w:after="20"/>
              <w:jc w:val="right"/>
              <w:rPr>
                <w:lang w:val="ru-RU"/>
              </w:rPr>
            </w:pPr>
            <w:r w:rsidRPr="00521670">
              <w:rPr>
                <w:lang w:val="ru-RU"/>
              </w:rPr>
              <w:t>4 559</w:t>
            </w:r>
          </w:p>
        </w:tc>
      </w:tr>
      <w:tr w:rsidR="00EC6BD5" w:rsidRPr="00521670" w14:paraId="5FC05A7A" w14:textId="77777777" w:rsidTr="00015883">
        <w:tc>
          <w:tcPr>
            <w:tcW w:w="2812" w:type="pct"/>
          </w:tcPr>
          <w:p w14:paraId="4BC88033" w14:textId="77777777"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Инвестиции, приобретенные в течение года</w:t>
            </w:r>
          </w:p>
        </w:tc>
        <w:tc>
          <w:tcPr>
            <w:tcW w:w="643" w:type="pct"/>
            <w:vAlign w:val="center"/>
          </w:tcPr>
          <w:p w14:paraId="65EAEF3B" w14:textId="2A1CD414"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7</w:t>
            </w:r>
          </w:p>
        </w:tc>
        <w:tc>
          <w:tcPr>
            <w:tcW w:w="772" w:type="pct"/>
            <w:noWrap/>
          </w:tcPr>
          <w:p w14:paraId="00E887F3" w14:textId="1DF6D38C" w:rsidR="00EC6BD5" w:rsidRPr="00521670" w:rsidRDefault="00EC6BD5" w:rsidP="00015883">
            <w:pPr>
              <w:pStyle w:val="Tabletext"/>
              <w:spacing w:before="20" w:after="20"/>
              <w:jc w:val="right"/>
              <w:rPr>
                <w:lang w:val="ru-RU"/>
              </w:rPr>
            </w:pPr>
            <w:r w:rsidRPr="00521670">
              <w:rPr>
                <w:lang w:val="ru-RU"/>
              </w:rPr>
              <w:t>(36 789)</w:t>
            </w:r>
          </w:p>
        </w:tc>
        <w:tc>
          <w:tcPr>
            <w:tcW w:w="772" w:type="pct"/>
            <w:noWrap/>
          </w:tcPr>
          <w:p w14:paraId="73B41CC3" w14:textId="6EF986AF" w:rsidR="00EC6BD5" w:rsidRPr="00521670" w:rsidRDefault="00EC6BD5" w:rsidP="00015883">
            <w:pPr>
              <w:pStyle w:val="Tabletext"/>
              <w:spacing w:before="20" w:after="20"/>
              <w:jc w:val="right"/>
              <w:rPr>
                <w:lang w:val="ru-RU"/>
              </w:rPr>
            </w:pPr>
            <w:r w:rsidRPr="00521670">
              <w:rPr>
                <w:lang w:val="ru-RU"/>
              </w:rPr>
              <w:t>(75 802)</w:t>
            </w:r>
          </w:p>
        </w:tc>
      </w:tr>
      <w:tr w:rsidR="00EC6BD5" w:rsidRPr="00521670" w14:paraId="3E25FCDC" w14:textId="77777777" w:rsidTr="00015883">
        <w:tc>
          <w:tcPr>
            <w:tcW w:w="2812" w:type="pct"/>
          </w:tcPr>
          <w:p w14:paraId="715BE670" w14:textId="77777777"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Доходы от продажи инвестиций</w:t>
            </w:r>
          </w:p>
        </w:tc>
        <w:tc>
          <w:tcPr>
            <w:tcW w:w="643" w:type="pct"/>
            <w:vAlign w:val="center"/>
          </w:tcPr>
          <w:p w14:paraId="6DA45B02" w14:textId="4B1315D0"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7</w:t>
            </w:r>
          </w:p>
        </w:tc>
        <w:tc>
          <w:tcPr>
            <w:tcW w:w="772" w:type="pct"/>
            <w:noWrap/>
          </w:tcPr>
          <w:p w14:paraId="55445389" w14:textId="6FAE9433" w:rsidR="00EC6BD5" w:rsidRPr="00521670" w:rsidRDefault="00EC6BD5" w:rsidP="00015883">
            <w:pPr>
              <w:pStyle w:val="Tabletext"/>
              <w:spacing w:before="20" w:after="20"/>
              <w:jc w:val="right"/>
              <w:rPr>
                <w:lang w:val="ru-RU"/>
              </w:rPr>
            </w:pPr>
            <w:r w:rsidRPr="00521670">
              <w:rPr>
                <w:lang w:val="ru-RU"/>
              </w:rPr>
              <w:t>74 473</w:t>
            </w:r>
          </w:p>
        </w:tc>
        <w:tc>
          <w:tcPr>
            <w:tcW w:w="772" w:type="pct"/>
            <w:noWrap/>
          </w:tcPr>
          <w:p w14:paraId="394599B1" w14:textId="1E2BB574" w:rsidR="00EC6BD5" w:rsidRPr="00521670" w:rsidRDefault="00EC6BD5" w:rsidP="00015883">
            <w:pPr>
              <w:pStyle w:val="Tabletext"/>
              <w:spacing w:before="20" w:after="20"/>
              <w:jc w:val="right"/>
              <w:rPr>
                <w:lang w:val="ru-RU"/>
              </w:rPr>
            </w:pPr>
            <w:r w:rsidRPr="00521670">
              <w:rPr>
                <w:lang w:val="ru-RU"/>
              </w:rPr>
              <w:t>52 928</w:t>
            </w:r>
          </w:p>
        </w:tc>
      </w:tr>
      <w:tr w:rsidR="00EC6BD5" w:rsidRPr="00521670" w14:paraId="2A2342B3" w14:textId="77777777" w:rsidTr="00015883">
        <w:tc>
          <w:tcPr>
            <w:tcW w:w="2812" w:type="pct"/>
            <w:vAlign w:val="center"/>
            <w:hideMark/>
          </w:tcPr>
          <w:p w14:paraId="52624A6E" w14:textId="77777777"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Неполученные курсовые прибыли/убытки по инвестициям</w:t>
            </w:r>
          </w:p>
        </w:tc>
        <w:tc>
          <w:tcPr>
            <w:tcW w:w="643" w:type="pct"/>
            <w:vAlign w:val="center"/>
            <w:hideMark/>
          </w:tcPr>
          <w:p w14:paraId="1FCE34E1" w14:textId="3814FAEA"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18</w:t>
            </w:r>
          </w:p>
        </w:tc>
        <w:tc>
          <w:tcPr>
            <w:tcW w:w="772" w:type="pct"/>
            <w:noWrap/>
          </w:tcPr>
          <w:p w14:paraId="44CF6A30" w14:textId="17786A62" w:rsidR="00EC6BD5" w:rsidRPr="00521670" w:rsidRDefault="00EC6BD5" w:rsidP="00015883">
            <w:pPr>
              <w:pStyle w:val="Tabletext"/>
              <w:spacing w:before="20" w:after="20"/>
              <w:jc w:val="right"/>
              <w:rPr>
                <w:lang w:val="ru-RU"/>
              </w:rPr>
            </w:pPr>
            <w:r w:rsidRPr="00521670">
              <w:rPr>
                <w:lang w:val="ru-RU"/>
              </w:rPr>
              <w:t>(2 614)</w:t>
            </w:r>
          </w:p>
        </w:tc>
        <w:tc>
          <w:tcPr>
            <w:tcW w:w="772" w:type="pct"/>
            <w:noWrap/>
          </w:tcPr>
          <w:p w14:paraId="64299418" w14:textId="6D45D029" w:rsidR="00EC6BD5" w:rsidRPr="00521670" w:rsidRDefault="00EC6BD5" w:rsidP="00015883">
            <w:pPr>
              <w:pStyle w:val="Tabletext"/>
              <w:spacing w:before="20" w:after="20"/>
              <w:jc w:val="right"/>
              <w:rPr>
                <w:lang w:val="ru-RU"/>
              </w:rPr>
            </w:pPr>
            <w:r w:rsidRPr="00521670">
              <w:rPr>
                <w:lang w:val="ru-RU"/>
              </w:rPr>
              <w:t>2 614</w:t>
            </w:r>
          </w:p>
        </w:tc>
      </w:tr>
      <w:tr w:rsidR="00EC6BD5" w:rsidRPr="00521670" w14:paraId="70EED24F" w14:textId="77777777" w:rsidTr="00015883">
        <w:tc>
          <w:tcPr>
            <w:tcW w:w="2812" w:type="pct"/>
            <w:vAlign w:val="center"/>
          </w:tcPr>
          <w:p w14:paraId="25C288AC" w14:textId="77777777"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Приобретение материальных активов</w:t>
            </w:r>
          </w:p>
        </w:tc>
        <w:tc>
          <w:tcPr>
            <w:tcW w:w="643" w:type="pct"/>
            <w:vAlign w:val="center"/>
            <w:hideMark/>
          </w:tcPr>
          <w:p w14:paraId="3301F871" w14:textId="24AED33F"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10</w:t>
            </w:r>
          </w:p>
        </w:tc>
        <w:tc>
          <w:tcPr>
            <w:tcW w:w="772" w:type="pct"/>
            <w:noWrap/>
          </w:tcPr>
          <w:p w14:paraId="6DA4C53D" w14:textId="2A4FAD9B" w:rsidR="00EC6BD5" w:rsidRPr="00521670" w:rsidRDefault="00EC6BD5" w:rsidP="00015883">
            <w:pPr>
              <w:pStyle w:val="Tabletext"/>
              <w:spacing w:before="20" w:after="20"/>
              <w:jc w:val="right"/>
              <w:rPr>
                <w:lang w:val="ru-RU"/>
              </w:rPr>
            </w:pPr>
            <w:r w:rsidRPr="00521670">
              <w:rPr>
                <w:lang w:val="ru-RU"/>
              </w:rPr>
              <w:t>(69)</w:t>
            </w:r>
          </w:p>
        </w:tc>
        <w:tc>
          <w:tcPr>
            <w:tcW w:w="772" w:type="pct"/>
            <w:noWrap/>
          </w:tcPr>
          <w:p w14:paraId="652FAC38" w14:textId="4DC3EA4D" w:rsidR="00EC6BD5" w:rsidRPr="00521670" w:rsidRDefault="00EC6BD5" w:rsidP="00015883">
            <w:pPr>
              <w:pStyle w:val="Tabletext"/>
              <w:spacing w:before="20" w:after="20"/>
              <w:jc w:val="right"/>
              <w:rPr>
                <w:lang w:val="ru-RU"/>
              </w:rPr>
            </w:pPr>
            <w:r w:rsidRPr="00521670">
              <w:rPr>
                <w:lang w:val="ru-RU"/>
              </w:rPr>
              <w:t>(86)</w:t>
            </w:r>
          </w:p>
        </w:tc>
      </w:tr>
      <w:tr w:rsidR="00EC6BD5" w:rsidRPr="00521670" w14:paraId="3405548C" w14:textId="77777777" w:rsidTr="00015883">
        <w:tc>
          <w:tcPr>
            <w:tcW w:w="2812" w:type="pct"/>
            <w:vAlign w:val="center"/>
          </w:tcPr>
          <w:p w14:paraId="4223770E" w14:textId="4DBF745E" w:rsidR="00EC6BD5" w:rsidRPr="00521670" w:rsidRDefault="003C62CE" w:rsidP="00015883">
            <w:pPr>
              <w:pStyle w:val="Tabletext"/>
              <w:spacing w:before="20" w:after="20" w:line="196" w:lineRule="exact"/>
              <w:rPr>
                <w:szCs w:val="18"/>
                <w:lang w:val="ru-RU" w:eastAsia="en-GB"/>
              </w:rPr>
            </w:pPr>
            <w:r w:rsidRPr="00521670">
              <w:rPr>
                <w:szCs w:val="18"/>
                <w:lang w:val="ru-RU" w:eastAsia="en-GB"/>
              </w:rPr>
              <w:t>Доходы от выбытия материальных активов</w:t>
            </w:r>
          </w:p>
        </w:tc>
        <w:tc>
          <w:tcPr>
            <w:tcW w:w="643" w:type="pct"/>
            <w:vAlign w:val="center"/>
          </w:tcPr>
          <w:p w14:paraId="659B2648" w14:textId="61EAD759"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10</w:t>
            </w:r>
          </w:p>
        </w:tc>
        <w:tc>
          <w:tcPr>
            <w:tcW w:w="772" w:type="pct"/>
            <w:noWrap/>
          </w:tcPr>
          <w:p w14:paraId="0C187BF7" w14:textId="59A515DD" w:rsidR="00EC6BD5" w:rsidRPr="00521670" w:rsidRDefault="00EC6BD5" w:rsidP="00015883">
            <w:pPr>
              <w:pStyle w:val="Tabletext"/>
              <w:spacing w:before="20" w:after="20"/>
              <w:jc w:val="right"/>
              <w:rPr>
                <w:lang w:val="ru-RU"/>
              </w:rPr>
            </w:pPr>
            <w:r w:rsidRPr="00521670">
              <w:rPr>
                <w:lang w:val="ru-RU"/>
              </w:rPr>
              <w:t>2</w:t>
            </w:r>
          </w:p>
        </w:tc>
        <w:tc>
          <w:tcPr>
            <w:tcW w:w="772" w:type="pct"/>
            <w:noWrap/>
          </w:tcPr>
          <w:p w14:paraId="2258641C" w14:textId="3A04EA49" w:rsidR="00EC6BD5" w:rsidRPr="00521670" w:rsidRDefault="00EC6BD5" w:rsidP="00015883">
            <w:pPr>
              <w:pStyle w:val="Tabletext"/>
              <w:spacing w:before="20" w:after="20"/>
              <w:jc w:val="right"/>
              <w:rPr>
                <w:lang w:val="ru-RU"/>
              </w:rPr>
            </w:pPr>
            <w:r w:rsidRPr="00521670">
              <w:rPr>
                <w:lang w:val="ru-RU"/>
              </w:rPr>
              <w:t>−</w:t>
            </w:r>
          </w:p>
        </w:tc>
      </w:tr>
      <w:tr w:rsidR="00EC6BD5" w:rsidRPr="00521670" w14:paraId="46AAFE64" w14:textId="77777777" w:rsidTr="00015883">
        <w:tc>
          <w:tcPr>
            <w:tcW w:w="2812" w:type="pct"/>
            <w:vAlign w:val="center"/>
          </w:tcPr>
          <w:p w14:paraId="1507051B" w14:textId="77777777"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Приобретение нематериальных активов</w:t>
            </w:r>
          </w:p>
        </w:tc>
        <w:tc>
          <w:tcPr>
            <w:tcW w:w="643" w:type="pct"/>
            <w:vAlign w:val="center"/>
            <w:hideMark/>
          </w:tcPr>
          <w:p w14:paraId="495B9F92" w14:textId="06B71067"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11</w:t>
            </w:r>
          </w:p>
        </w:tc>
        <w:tc>
          <w:tcPr>
            <w:tcW w:w="772" w:type="pct"/>
            <w:noWrap/>
          </w:tcPr>
          <w:p w14:paraId="5B0577CF" w14:textId="42D2E4A1" w:rsidR="00EC6BD5" w:rsidRPr="00521670" w:rsidRDefault="00EC6BD5" w:rsidP="00015883">
            <w:pPr>
              <w:pStyle w:val="Tabletext"/>
              <w:spacing w:before="20" w:after="20"/>
              <w:jc w:val="right"/>
              <w:rPr>
                <w:lang w:val="ru-RU"/>
              </w:rPr>
            </w:pPr>
            <w:r w:rsidRPr="00521670">
              <w:rPr>
                <w:lang w:val="ru-RU"/>
              </w:rPr>
              <w:t>(2 584)</w:t>
            </w:r>
          </w:p>
        </w:tc>
        <w:tc>
          <w:tcPr>
            <w:tcW w:w="772" w:type="pct"/>
            <w:noWrap/>
          </w:tcPr>
          <w:p w14:paraId="7BD21CE2" w14:textId="2F99DB4B" w:rsidR="00EC6BD5" w:rsidRPr="00521670" w:rsidRDefault="00EC6BD5" w:rsidP="00015883">
            <w:pPr>
              <w:pStyle w:val="Tabletext"/>
              <w:spacing w:before="20" w:after="20"/>
              <w:jc w:val="right"/>
              <w:rPr>
                <w:lang w:val="ru-RU"/>
              </w:rPr>
            </w:pPr>
            <w:r w:rsidRPr="00521670">
              <w:rPr>
                <w:lang w:val="ru-RU"/>
              </w:rPr>
              <w:t>(773)</w:t>
            </w:r>
          </w:p>
        </w:tc>
      </w:tr>
      <w:tr w:rsidR="00EC6BD5" w:rsidRPr="00521670" w14:paraId="3CC63918" w14:textId="77777777" w:rsidTr="00015883">
        <w:tc>
          <w:tcPr>
            <w:tcW w:w="2812" w:type="pct"/>
            <w:vAlign w:val="center"/>
            <w:hideMark/>
          </w:tcPr>
          <w:p w14:paraId="28EE1893" w14:textId="77777777"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Увеличение активов на этапе строительства</w:t>
            </w:r>
          </w:p>
        </w:tc>
        <w:tc>
          <w:tcPr>
            <w:tcW w:w="643" w:type="pct"/>
            <w:vAlign w:val="center"/>
            <w:hideMark/>
          </w:tcPr>
          <w:p w14:paraId="51317580" w14:textId="7F7D5BA9"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12</w:t>
            </w:r>
          </w:p>
        </w:tc>
        <w:tc>
          <w:tcPr>
            <w:tcW w:w="772" w:type="pct"/>
            <w:noWrap/>
          </w:tcPr>
          <w:p w14:paraId="71758EE2" w14:textId="3C7E87D1" w:rsidR="00EC6BD5" w:rsidRPr="00521670" w:rsidRDefault="00EC6BD5" w:rsidP="00015883">
            <w:pPr>
              <w:pStyle w:val="Tabletext"/>
              <w:spacing w:before="20" w:after="20"/>
              <w:jc w:val="right"/>
              <w:rPr>
                <w:lang w:val="ru-RU"/>
              </w:rPr>
            </w:pPr>
            <w:r w:rsidRPr="00521670">
              <w:rPr>
                <w:lang w:val="ru-RU"/>
              </w:rPr>
              <w:t>(3 433)</w:t>
            </w:r>
          </w:p>
        </w:tc>
        <w:tc>
          <w:tcPr>
            <w:tcW w:w="772" w:type="pct"/>
            <w:noWrap/>
          </w:tcPr>
          <w:p w14:paraId="45F756B5" w14:textId="5D2D1FE9" w:rsidR="00EC6BD5" w:rsidRPr="00521670" w:rsidRDefault="00EC6BD5" w:rsidP="00015883">
            <w:pPr>
              <w:pStyle w:val="Tabletext"/>
              <w:spacing w:before="20" w:after="20"/>
              <w:jc w:val="right"/>
              <w:rPr>
                <w:lang w:val="ru-RU"/>
              </w:rPr>
            </w:pPr>
            <w:r w:rsidRPr="00521670">
              <w:rPr>
                <w:lang w:val="ru-RU"/>
              </w:rPr>
              <w:t>(7 191)</w:t>
            </w:r>
          </w:p>
        </w:tc>
      </w:tr>
      <w:tr w:rsidR="00EC6BD5" w:rsidRPr="00521670" w14:paraId="3AFE46DA" w14:textId="77777777" w:rsidTr="00015883">
        <w:tc>
          <w:tcPr>
            <w:tcW w:w="2812" w:type="pct"/>
            <w:hideMark/>
          </w:tcPr>
          <w:p w14:paraId="1B89114E" w14:textId="77777777" w:rsidR="00EC6BD5" w:rsidRPr="00521670" w:rsidRDefault="00EC6BD5" w:rsidP="00015883">
            <w:pPr>
              <w:pStyle w:val="Tabletext"/>
              <w:spacing w:before="20" w:after="20" w:line="196" w:lineRule="exact"/>
              <w:rPr>
                <w:szCs w:val="18"/>
                <w:lang w:val="ru-RU"/>
              </w:rPr>
            </w:pPr>
            <w:r w:rsidRPr="00521670">
              <w:rPr>
                <w:b/>
                <w:bCs/>
                <w:szCs w:val="18"/>
                <w:lang w:val="ru-RU"/>
              </w:rPr>
              <w:t>Чистое движение денежных средств в результате инвестиционной деятельности</w:t>
            </w:r>
          </w:p>
        </w:tc>
        <w:tc>
          <w:tcPr>
            <w:tcW w:w="643" w:type="pct"/>
            <w:vAlign w:val="bottom"/>
            <w:hideMark/>
          </w:tcPr>
          <w:p w14:paraId="7469B107" w14:textId="77777777" w:rsidR="00EC6BD5" w:rsidRPr="00521670" w:rsidRDefault="00EC6BD5" w:rsidP="00015883">
            <w:pPr>
              <w:pStyle w:val="Tabletext"/>
              <w:spacing w:before="20" w:after="20" w:line="196" w:lineRule="exact"/>
              <w:jc w:val="center"/>
              <w:rPr>
                <w:szCs w:val="18"/>
                <w:lang w:val="ru-RU" w:eastAsia="en-GB"/>
              </w:rPr>
            </w:pPr>
          </w:p>
        </w:tc>
        <w:tc>
          <w:tcPr>
            <w:tcW w:w="772" w:type="pct"/>
            <w:noWrap/>
            <w:vAlign w:val="bottom"/>
          </w:tcPr>
          <w:p w14:paraId="15B955A1" w14:textId="699CB68D" w:rsidR="00EC6BD5" w:rsidRPr="00521670" w:rsidRDefault="00EC6BD5" w:rsidP="00015883">
            <w:pPr>
              <w:pStyle w:val="Tabletext"/>
              <w:spacing w:before="20" w:after="20"/>
              <w:jc w:val="right"/>
              <w:rPr>
                <w:b/>
                <w:bCs/>
                <w:lang w:val="ru-RU"/>
              </w:rPr>
            </w:pPr>
            <w:r w:rsidRPr="00521670">
              <w:rPr>
                <w:b/>
                <w:bCs/>
                <w:lang w:val="ru-RU"/>
              </w:rPr>
              <w:t>33 631</w:t>
            </w:r>
          </w:p>
        </w:tc>
        <w:tc>
          <w:tcPr>
            <w:tcW w:w="772" w:type="pct"/>
            <w:noWrap/>
            <w:vAlign w:val="bottom"/>
          </w:tcPr>
          <w:p w14:paraId="0216AD2D" w14:textId="2E1B181D" w:rsidR="00EC6BD5" w:rsidRPr="00521670" w:rsidRDefault="00EC6BD5" w:rsidP="00015883">
            <w:pPr>
              <w:pStyle w:val="Tabletext"/>
              <w:spacing w:before="20" w:after="20"/>
              <w:jc w:val="right"/>
              <w:rPr>
                <w:b/>
                <w:bCs/>
                <w:lang w:val="ru-RU"/>
              </w:rPr>
            </w:pPr>
            <w:r w:rsidRPr="00521670">
              <w:rPr>
                <w:b/>
                <w:bCs/>
                <w:lang w:val="ru-RU"/>
              </w:rPr>
              <w:t>(23 750)</w:t>
            </w:r>
          </w:p>
        </w:tc>
      </w:tr>
      <w:tr w:rsidR="0025646F" w:rsidRPr="00521670" w14:paraId="1F7C998C" w14:textId="77777777" w:rsidTr="00015883">
        <w:tc>
          <w:tcPr>
            <w:tcW w:w="2812" w:type="pct"/>
            <w:hideMark/>
          </w:tcPr>
          <w:p w14:paraId="47F0F92E" w14:textId="77777777" w:rsidR="0025646F" w:rsidRPr="00521670" w:rsidRDefault="0025646F" w:rsidP="00015883">
            <w:pPr>
              <w:pStyle w:val="Tabletext"/>
              <w:spacing w:before="20" w:after="20" w:line="196" w:lineRule="exact"/>
              <w:rPr>
                <w:sz w:val="6"/>
                <w:szCs w:val="6"/>
                <w:lang w:val="ru-RU"/>
              </w:rPr>
            </w:pPr>
          </w:p>
        </w:tc>
        <w:tc>
          <w:tcPr>
            <w:tcW w:w="643" w:type="pct"/>
            <w:vAlign w:val="bottom"/>
            <w:hideMark/>
          </w:tcPr>
          <w:p w14:paraId="02943E58" w14:textId="77777777" w:rsidR="0025646F" w:rsidRPr="00521670" w:rsidRDefault="0025646F" w:rsidP="00015883">
            <w:pPr>
              <w:pStyle w:val="Tabletext"/>
              <w:spacing w:before="20" w:after="20" w:line="196" w:lineRule="exact"/>
              <w:jc w:val="center"/>
              <w:rPr>
                <w:sz w:val="6"/>
                <w:szCs w:val="6"/>
                <w:lang w:val="ru-RU" w:eastAsia="en-GB"/>
              </w:rPr>
            </w:pPr>
          </w:p>
        </w:tc>
        <w:tc>
          <w:tcPr>
            <w:tcW w:w="772" w:type="pct"/>
            <w:noWrap/>
            <w:vAlign w:val="bottom"/>
            <w:hideMark/>
          </w:tcPr>
          <w:p w14:paraId="0C286746" w14:textId="77777777" w:rsidR="0025646F" w:rsidRPr="00521670" w:rsidRDefault="0025646F" w:rsidP="00015883">
            <w:pPr>
              <w:pStyle w:val="Tabletext"/>
              <w:spacing w:before="20" w:after="20"/>
              <w:jc w:val="right"/>
              <w:rPr>
                <w:sz w:val="6"/>
                <w:szCs w:val="6"/>
                <w:lang w:val="ru-RU"/>
              </w:rPr>
            </w:pPr>
          </w:p>
        </w:tc>
        <w:tc>
          <w:tcPr>
            <w:tcW w:w="772" w:type="pct"/>
            <w:noWrap/>
            <w:vAlign w:val="bottom"/>
            <w:hideMark/>
          </w:tcPr>
          <w:p w14:paraId="050EAFD8" w14:textId="77777777" w:rsidR="0025646F" w:rsidRPr="00521670" w:rsidRDefault="0025646F" w:rsidP="00015883">
            <w:pPr>
              <w:pStyle w:val="Tabletext"/>
              <w:spacing w:before="20" w:after="20"/>
              <w:jc w:val="right"/>
              <w:rPr>
                <w:sz w:val="6"/>
                <w:szCs w:val="6"/>
                <w:lang w:val="ru-RU"/>
              </w:rPr>
            </w:pPr>
          </w:p>
        </w:tc>
      </w:tr>
      <w:tr w:rsidR="0025646F" w:rsidRPr="00521670" w14:paraId="460368ED" w14:textId="77777777" w:rsidTr="00015883">
        <w:tc>
          <w:tcPr>
            <w:tcW w:w="2812" w:type="pct"/>
            <w:hideMark/>
          </w:tcPr>
          <w:p w14:paraId="0A1B6143" w14:textId="71B47672" w:rsidR="0025646F" w:rsidRPr="00521670" w:rsidRDefault="0025646F" w:rsidP="00015883">
            <w:pPr>
              <w:pStyle w:val="Tabletext"/>
              <w:spacing w:before="20" w:after="20" w:line="196" w:lineRule="exact"/>
              <w:rPr>
                <w:szCs w:val="18"/>
                <w:lang w:val="ru-RU"/>
              </w:rPr>
            </w:pPr>
            <w:r w:rsidRPr="00521670">
              <w:rPr>
                <w:b/>
                <w:bCs/>
                <w:szCs w:val="18"/>
                <w:lang w:val="ru-RU"/>
              </w:rPr>
              <w:t xml:space="preserve">Движение денежных средств в результате </w:t>
            </w:r>
            <w:r w:rsidRPr="00521670">
              <w:rPr>
                <w:rFonts w:asciiTheme="minorHAnsi" w:hAnsiTheme="minorHAnsi" w:cs="Arial"/>
                <w:b/>
                <w:bCs/>
                <w:szCs w:val="18"/>
                <w:lang w:val="ru-RU" w:eastAsia="zh-CN"/>
              </w:rPr>
              <w:t>финансовой</w:t>
            </w:r>
            <w:r w:rsidR="00015883" w:rsidRPr="00521670">
              <w:rPr>
                <w:rFonts w:asciiTheme="minorHAnsi" w:hAnsiTheme="minorHAnsi" w:cs="Arial"/>
                <w:b/>
                <w:bCs/>
                <w:szCs w:val="18"/>
                <w:lang w:val="ru-RU" w:eastAsia="zh-CN"/>
              </w:rPr>
              <w:t> </w:t>
            </w:r>
            <w:r w:rsidRPr="00521670">
              <w:rPr>
                <w:b/>
                <w:bCs/>
                <w:szCs w:val="18"/>
                <w:lang w:val="ru-RU"/>
              </w:rPr>
              <w:t>деятельности</w:t>
            </w:r>
          </w:p>
        </w:tc>
        <w:tc>
          <w:tcPr>
            <w:tcW w:w="643" w:type="pct"/>
            <w:vAlign w:val="bottom"/>
            <w:hideMark/>
          </w:tcPr>
          <w:p w14:paraId="576F0C46" w14:textId="77777777" w:rsidR="0025646F" w:rsidRPr="00521670" w:rsidRDefault="0025646F" w:rsidP="00015883">
            <w:pPr>
              <w:pStyle w:val="Tabletext"/>
              <w:spacing w:before="20" w:after="20" w:line="196" w:lineRule="exact"/>
              <w:jc w:val="center"/>
              <w:rPr>
                <w:szCs w:val="18"/>
                <w:lang w:val="ru-RU" w:eastAsia="en-GB"/>
              </w:rPr>
            </w:pPr>
          </w:p>
        </w:tc>
        <w:tc>
          <w:tcPr>
            <w:tcW w:w="772" w:type="pct"/>
            <w:noWrap/>
            <w:vAlign w:val="bottom"/>
            <w:hideMark/>
          </w:tcPr>
          <w:p w14:paraId="5A36B777" w14:textId="77777777" w:rsidR="0025646F" w:rsidRPr="00521670" w:rsidRDefault="0025646F" w:rsidP="00015883">
            <w:pPr>
              <w:pStyle w:val="Tabletext"/>
              <w:spacing w:before="20" w:after="20"/>
              <w:jc w:val="right"/>
              <w:rPr>
                <w:lang w:val="ru-RU"/>
              </w:rPr>
            </w:pPr>
          </w:p>
        </w:tc>
        <w:tc>
          <w:tcPr>
            <w:tcW w:w="772" w:type="pct"/>
            <w:noWrap/>
            <w:vAlign w:val="bottom"/>
            <w:hideMark/>
          </w:tcPr>
          <w:p w14:paraId="00292880" w14:textId="77777777" w:rsidR="0025646F" w:rsidRPr="00521670" w:rsidRDefault="0025646F" w:rsidP="00015883">
            <w:pPr>
              <w:pStyle w:val="Tabletext"/>
              <w:spacing w:before="20" w:after="20"/>
              <w:jc w:val="right"/>
              <w:rPr>
                <w:lang w:val="ru-RU"/>
              </w:rPr>
            </w:pPr>
          </w:p>
        </w:tc>
      </w:tr>
      <w:tr w:rsidR="00EC6BD5" w:rsidRPr="00521670" w14:paraId="35E927B1" w14:textId="77777777" w:rsidTr="00015883">
        <w:tc>
          <w:tcPr>
            <w:tcW w:w="2812" w:type="pct"/>
            <w:hideMark/>
          </w:tcPr>
          <w:p w14:paraId="0BDD2F4F" w14:textId="77777777" w:rsidR="00EC6BD5" w:rsidRPr="00521670" w:rsidRDefault="00EC6BD5" w:rsidP="00015883">
            <w:pPr>
              <w:pStyle w:val="Tabletext"/>
              <w:spacing w:before="20" w:after="20" w:line="196" w:lineRule="exact"/>
              <w:rPr>
                <w:szCs w:val="18"/>
                <w:lang w:val="ru-RU"/>
              </w:rPr>
            </w:pPr>
            <w:r w:rsidRPr="00521670">
              <w:rPr>
                <w:szCs w:val="18"/>
                <w:lang w:val="ru-RU" w:eastAsia="en-GB"/>
              </w:rPr>
              <w:t>Погашение долгосрочных займов</w:t>
            </w:r>
          </w:p>
        </w:tc>
        <w:tc>
          <w:tcPr>
            <w:tcW w:w="643" w:type="pct"/>
            <w:vAlign w:val="bottom"/>
            <w:hideMark/>
          </w:tcPr>
          <w:p w14:paraId="3F6C9815" w14:textId="560AC77E"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15</w:t>
            </w:r>
          </w:p>
        </w:tc>
        <w:tc>
          <w:tcPr>
            <w:tcW w:w="772" w:type="pct"/>
            <w:noWrap/>
            <w:hideMark/>
          </w:tcPr>
          <w:p w14:paraId="441321D0" w14:textId="6078DF95" w:rsidR="00EC6BD5" w:rsidRPr="00521670" w:rsidRDefault="00EC6BD5" w:rsidP="00015883">
            <w:pPr>
              <w:pStyle w:val="Tabletext"/>
              <w:spacing w:before="20" w:after="20"/>
              <w:jc w:val="right"/>
              <w:rPr>
                <w:lang w:val="ru-RU"/>
              </w:rPr>
            </w:pPr>
            <w:r w:rsidRPr="00521670">
              <w:rPr>
                <w:lang w:val="ru-RU"/>
              </w:rPr>
              <w:t>(1 391)</w:t>
            </w:r>
          </w:p>
        </w:tc>
        <w:tc>
          <w:tcPr>
            <w:tcW w:w="772" w:type="pct"/>
            <w:noWrap/>
            <w:hideMark/>
          </w:tcPr>
          <w:p w14:paraId="2D050DA4" w14:textId="1826492C" w:rsidR="00EC6BD5" w:rsidRPr="00521670" w:rsidRDefault="00EC6BD5" w:rsidP="00015883">
            <w:pPr>
              <w:pStyle w:val="Tabletext"/>
              <w:spacing w:before="20" w:after="20"/>
              <w:jc w:val="right"/>
              <w:rPr>
                <w:lang w:val="ru-RU"/>
              </w:rPr>
            </w:pPr>
            <w:r w:rsidRPr="00521670">
              <w:rPr>
                <w:lang w:val="ru-RU"/>
              </w:rPr>
              <w:t>(1 391)</w:t>
            </w:r>
          </w:p>
        </w:tc>
      </w:tr>
      <w:tr w:rsidR="00EC6BD5" w:rsidRPr="00521670" w14:paraId="14EF8B7A" w14:textId="77777777" w:rsidTr="00015883">
        <w:tc>
          <w:tcPr>
            <w:tcW w:w="2812" w:type="pct"/>
          </w:tcPr>
          <w:p w14:paraId="4CA48658" w14:textId="77777777" w:rsidR="00EC6BD5" w:rsidRPr="00521670" w:rsidRDefault="00EC6BD5" w:rsidP="00015883">
            <w:pPr>
              <w:pStyle w:val="Tabletext"/>
              <w:spacing w:before="20" w:after="20" w:line="196" w:lineRule="exact"/>
              <w:rPr>
                <w:szCs w:val="18"/>
                <w:lang w:val="ru-RU" w:eastAsia="en-GB"/>
              </w:rPr>
            </w:pPr>
            <w:r w:rsidRPr="00521670">
              <w:rPr>
                <w:szCs w:val="18"/>
                <w:lang w:val="ru-RU" w:eastAsia="en-GB"/>
              </w:rPr>
              <w:t>Увеличение долгосрочных заимствований</w:t>
            </w:r>
          </w:p>
        </w:tc>
        <w:tc>
          <w:tcPr>
            <w:tcW w:w="643" w:type="pct"/>
            <w:vAlign w:val="bottom"/>
          </w:tcPr>
          <w:p w14:paraId="5EC2BE06" w14:textId="3CFF8C74" w:rsidR="00EC6BD5" w:rsidRPr="00521670" w:rsidRDefault="00EC6BD5" w:rsidP="00015883">
            <w:pPr>
              <w:pStyle w:val="Tabletext"/>
              <w:spacing w:before="20" w:after="20" w:line="196" w:lineRule="exact"/>
              <w:jc w:val="center"/>
              <w:rPr>
                <w:szCs w:val="18"/>
                <w:lang w:val="ru-RU" w:eastAsia="en-GB"/>
              </w:rPr>
            </w:pPr>
            <w:r w:rsidRPr="00521670">
              <w:rPr>
                <w:szCs w:val="18"/>
                <w:lang w:val="ru-RU" w:eastAsia="en-GB"/>
              </w:rPr>
              <w:t>15</w:t>
            </w:r>
          </w:p>
        </w:tc>
        <w:tc>
          <w:tcPr>
            <w:tcW w:w="772" w:type="pct"/>
            <w:noWrap/>
          </w:tcPr>
          <w:p w14:paraId="7000E722" w14:textId="70A4F9B5" w:rsidR="00EC6BD5" w:rsidRPr="00521670" w:rsidRDefault="00EC6BD5" w:rsidP="00015883">
            <w:pPr>
              <w:pStyle w:val="Tabletext"/>
              <w:spacing w:before="20" w:after="20"/>
              <w:jc w:val="right"/>
              <w:rPr>
                <w:lang w:val="ru-RU"/>
              </w:rPr>
            </w:pPr>
            <w:r w:rsidRPr="00521670">
              <w:rPr>
                <w:lang w:val="ru-RU"/>
              </w:rPr>
              <w:t>1 000</w:t>
            </w:r>
          </w:p>
        </w:tc>
        <w:tc>
          <w:tcPr>
            <w:tcW w:w="772" w:type="pct"/>
            <w:noWrap/>
          </w:tcPr>
          <w:p w14:paraId="6DB00653" w14:textId="3330E741" w:rsidR="00EC6BD5" w:rsidRPr="00521670" w:rsidRDefault="00EC6BD5" w:rsidP="00015883">
            <w:pPr>
              <w:pStyle w:val="Tabletext"/>
              <w:spacing w:before="20" w:after="20"/>
              <w:jc w:val="right"/>
              <w:rPr>
                <w:lang w:val="ru-RU"/>
              </w:rPr>
            </w:pPr>
            <w:r w:rsidRPr="00521670">
              <w:rPr>
                <w:lang w:val="ru-RU"/>
              </w:rPr>
              <w:t>2 053</w:t>
            </w:r>
          </w:p>
        </w:tc>
      </w:tr>
      <w:tr w:rsidR="00EC6BD5" w:rsidRPr="00521670" w14:paraId="364D5E33" w14:textId="77777777" w:rsidTr="00015883">
        <w:tc>
          <w:tcPr>
            <w:tcW w:w="2812" w:type="pct"/>
            <w:hideMark/>
          </w:tcPr>
          <w:p w14:paraId="44C67B65" w14:textId="77777777" w:rsidR="00EC6BD5" w:rsidRPr="00521670" w:rsidRDefault="00EC6BD5" w:rsidP="00015883">
            <w:pPr>
              <w:pStyle w:val="Tabletext"/>
              <w:spacing w:before="20" w:after="20" w:line="196" w:lineRule="exact"/>
              <w:rPr>
                <w:szCs w:val="18"/>
                <w:lang w:val="ru-RU"/>
              </w:rPr>
            </w:pPr>
            <w:r w:rsidRPr="00521670">
              <w:rPr>
                <w:b/>
                <w:bCs/>
                <w:szCs w:val="18"/>
                <w:lang w:val="ru-RU" w:eastAsia="en-GB"/>
              </w:rPr>
              <w:t xml:space="preserve">Чистое </w:t>
            </w:r>
            <w:r w:rsidRPr="00521670">
              <w:rPr>
                <w:b/>
                <w:bCs/>
                <w:szCs w:val="18"/>
                <w:lang w:val="ru-RU"/>
              </w:rPr>
              <w:t xml:space="preserve">движение денежных средств в результате </w:t>
            </w:r>
            <w:r w:rsidRPr="00521670">
              <w:rPr>
                <w:rFonts w:asciiTheme="minorHAnsi" w:hAnsiTheme="minorHAnsi" w:cs="Arial"/>
                <w:b/>
                <w:bCs/>
                <w:szCs w:val="18"/>
                <w:lang w:val="ru-RU" w:eastAsia="zh-CN"/>
              </w:rPr>
              <w:t>финансовой</w:t>
            </w:r>
            <w:r w:rsidRPr="00521670">
              <w:rPr>
                <w:b/>
                <w:bCs/>
                <w:szCs w:val="18"/>
                <w:lang w:val="ru-RU"/>
              </w:rPr>
              <w:t xml:space="preserve"> деятельности</w:t>
            </w:r>
          </w:p>
        </w:tc>
        <w:tc>
          <w:tcPr>
            <w:tcW w:w="643" w:type="pct"/>
            <w:vAlign w:val="bottom"/>
            <w:hideMark/>
          </w:tcPr>
          <w:p w14:paraId="0D78B4C0" w14:textId="77777777" w:rsidR="00EC6BD5" w:rsidRPr="00521670" w:rsidRDefault="00EC6BD5" w:rsidP="00015883">
            <w:pPr>
              <w:pStyle w:val="Tabletext"/>
              <w:spacing w:before="20" w:after="20" w:line="196" w:lineRule="exact"/>
              <w:jc w:val="center"/>
              <w:rPr>
                <w:szCs w:val="18"/>
                <w:lang w:val="ru-RU" w:eastAsia="en-GB"/>
              </w:rPr>
            </w:pPr>
          </w:p>
        </w:tc>
        <w:tc>
          <w:tcPr>
            <w:tcW w:w="772" w:type="pct"/>
            <w:noWrap/>
            <w:vAlign w:val="bottom"/>
            <w:hideMark/>
          </w:tcPr>
          <w:p w14:paraId="6ABAE22B" w14:textId="4ADF21F0" w:rsidR="00EC6BD5" w:rsidRPr="00521670" w:rsidRDefault="00EC6BD5" w:rsidP="00015883">
            <w:pPr>
              <w:pStyle w:val="Tabletext"/>
              <w:spacing w:before="20" w:after="20"/>
              <w:jc w:val="right"/>
              <w:rPr>
                <w:b/>
                <w:bCs/>
                <w:lang w:val="ru-RU"/>
              </w:rPr>
            </w:pPr>
            <w:r w:rsidRPr="00521670">
              <w:rPr>
                <w:b/>
                <w:bCs/>
                <w:lang w:val="ru-RU"/>
              </w:rPr>
              <w:t>(391)</w:t>
            </w:r>
          </w:p>
        </w:tc>
        <w:tc>
          <w:tcPr>
            <w:tcW w:w="772" w:type="pct"/>
            <w:noWrap/>
            <w:vAlign w:val="bottom"/>
            <w:hideMark/>
          </w:tcPr>
          <w:p w14:paraId="1E838336" w14:textId="33FADD34" w:rsidR="00EC6BD5" w:rsidRPr="00521670" w:rsidRDefault="00EC6BD5" w:rsidP="00015883">
            <w:pPr>
              <w:pStyle w:val="Tabletext"/>
              <w:spacing w:before="20" w:after="20"/>
              <w:jc w:val="right"/>
              <w:rPr>
                <w:b/>
                <w:bCs/>
                <w:lang w:val="ru-RU"/>
              </w:rPr>
            </w:pPr>
            <w:r w:rsidRPr="00521670">
              <w:rPr>
                <w:b/>
                <w:bCs/>
                <w:lang w:val="ru-RU"/>
              </w:rPr>
              <w:t>662</w:t>
            </w:r>
          </w:p>
        </w:tc>
      </w:tr>
      <w:tr w:rsidR="0025646F" w:rsidRPr="00521670" w14:paraId="0693CE18" w14:textId="77777777" w:rsidTr="00015883">
        <w:tc>
          <w:tcPr>
            <w:tcW w:w="2812" w:type="pct"/>
            <w:hideMark/>
          </w:tcPr>
          <w:p w14:paraId="51238B1D" w14:textId="77777777" w:rsidR="0025646F" w:rsidRPr="00521670" w:rsidRDefault="0025646F" w:rsidP="00015883">
            <w:pPr>
              <w:pStyle w:val="Tabletext"/>
              <w:spacing w:before="20" w:after="20" w:line="196" w:lineRule="exact"/>
              <w:rPr>
                <w:sz w:val="6"/>
                <w:szCs w:val="6"/>
                <w:lang w:val="ru-RU"/>
              </w:rPr>
            </w:pPr>
          </w:p>
        </w:tc>
        <w:tc>
          <w:tcPr>
            <w:tcW w:w="643" w:type="pct"/>
            <w:vAlign w:val="bottom"/>
            <w:hideMark/>
          </w:tcPr>
          <w:p w14:paraId="5B9CC767" w14:textId="77777777" w:rsidR="0025646F" w:rsidRPr="00521670" w:rsidRDefault="0025646F" w:rsidP="00015883">
            <w:pPr>
              <w:pStyle w:val="Tabletext"/>
              <w:spacing w:before="20" w:after="20" w:line="196" w:lineRule="exact"/>
              <w:jc w:val="center"/>
              <w:rPr>
                <w:sz w:val="6"/>
                <w:szCs w:val="6"/>
                <w:lang w:val="ru-RU" w:eastAsia="en-GB"/>
              </w:rPr>
            </w:pPr>
          </w:p>
        </w:tc>
        <w:tc>
          <w:tcPr>
            <w:tcW w:w="772" w:type="pct"/>
            <w:noWrap/>
            <w:vAlign w:val="bottom"/>
            <w:hideMark/>
          </w:tcPr>
          <w:p w14:paraId="289A9B87" w14:textId="77777777" w:rsidR="0025646F" w:rsidRPr="00521670" w:rsidRDefault="0025646F" w:rsidP="00015883">
            <w:pPr>
              <w:pStyle w:val="Tabletext"/>
              <w:spacing w:before="20" w:after="20"/>
              <w:jc w:val="right"/>
              <w:rPr>
                <w:sz w:val="6"/>
                <w:szCs w:val="6"/>
                <w:lang w:val="ru-RU"/>
              </w:rPr>
            </w:pPr>
          </w:p>
        </w:tc>
        <w:tc>
          <w:tcPr>
            <w:tcW w:w="772" w:type="pct"/>
            <w:noWrap/>
            <w:vAlign w:val="bottom"/>
            <w:hideMark/>
          </w:tcPr>
          <w:p w14:paraId="4E4D4D1A" w14:textId="77777777" w:rsidR="0025646F" w:rsidRPr="00521670" w:rsidRDefault="0025646F" w:rsidP="00015883">
            <w:pPr>
              <w:pStyle w:val="Tabletext"/>
              <w:spacing w:before="20" w:after="20"/>
              <w:jc w:val="right"/>
              <w:rPr>
                <w:sz w:val="6"/>
                <w:szCs w:val="6"/>
                <w:lang w:val="ru-RU"/>
              </w:rPr>
            </w:pPr>
          </w:p>
        </w:tc>
      </w:tr>
      <w:tr w:rsidR="00EC6BD5" w:rsidRPr="00521670" w14:paraId="064F3A84" w14:textId="77777777" w:rsidTr="00015883">
        <w:tc>
          <w:tcPr>
            <w:tcW w:w="2812" w:type="pct"/>
            <w:hideMark/>
          </w:tcPr>
          <w:p w14:paraId="6F56148E" w14:textId="77777777" w:rsidR="00EC6BD5" w:rsidRPr="00521670" w:rsidRDefault="00EC6BD5" w:rsidP="00015883">
            <w:pPr>
              <w:pStyle w:val="Tabletext"/>
              <w:keepNext/>
              <w:spacing w:before="20" w:after="20" w:line="196" w:lineRule="exact"/>
              <w:rPr>
                <w:szCs w:val="18"/>
                <w:lang w:val="ru-RU"/>
              </w:rPr>
            </w:pPr>
            <w:r w:rsidRPr="00521670">
              <w:rPr>
                <w:b/>
                <w:bCs/>
                <w:szCs w:val="18"/>
                <w:lang w:val="ru-RU" w:eastAsia="en-GB"/>
              </w:rPr>
              <w:t xml:space="preserve">Чистое увеличение/(уменьшение) </w:t>
            </w:r>
            <w:r w:rsidRPr="00521670">
              <w:rPr>
                <w:b/>
                <w:bCs/>
                <w:szCs w:val="18"/>
                <w:lang w:val="ru-RU"/>
              </w:rPr>
              <w:t>денежных средств и эквивалентов денежных средств</w:t>
            </w:r>
          </w:p>
        </w:tc>
        <w:tc>
          <w:tcPr>
            <w:tcW w:w="643" w:type="pct"/>
            <w:vAlign w:val="bottom"/>
            <w:hideMark/>
          </w:tcPr>
          <w:p w14:paraId="545F815F" w14:textId="77777777" w:rsidR="00EC6BD5" w:rsidRPr="00521670" w:rsidRDefault="00EC6BD5" w:rsidP="00015883">
            <w:pPr>
              <w:pStyle w:val="Tabletext"/>
              <w:keepNext/>
              <w:spacing w:before="20" w:after="20" w:line="196" w:lineRule="exact"/>
              <w:jc w:val="center"/>
              <w:rPr>
                <w:szCs w:val="18"/>
                <w:lang w:val="ru-RU" w:eastAsia="en-GB"/>
              </w:rPr>
            </w:pPr>
          </w:p>
        </w:tc>
        <w:tc>
          <w:tcPr>
            <w:tcW w:w="772" w:type="pct"/>
            <w:noWrap/>
            <w:vAlign w:val="bottom"/>
            <w:hideMark/>
          </w:tcPr>
          <w:p w14:paraId="6EF30807" w14:textId="76247B8E" w:rsidR="00EC6BD5" w:rsidRPr="00521670" w:rsidRDefault="00EC6BD5" w:rsidP="00015883">
            <w:pPr>
              <w:pStyle w:val="Tabletext"/>
              <w:spacing w:before="20" w:after="20"/>
              <w:jc w:val="right"/>
              <w:rPr>
                <w:b/>
                <w:bCs/>
                <w:lang w:val="ru-RU"/>
              </w:rPr>
            </w:pPr>
            <w:r w:rsidRPr="00521670">
              <w:rPr>
                <w:b/>
                <w:bCs/>
                <w:lang w:val="ru-RU"/>
              </w:rPr>
              <w:t>54 162</w:t>
            </w:r>
          </w:p>
        </w:tc>
        <w:tc>
          <w:tcPr>
            <w:tcW w:w="772" w:type="pct"/>
            <w:noWrap/>
            <w:vAlign w:val="bottom"/>
            <w:hideMark/>
          </w:tcPr>
          <w:p w14:paraId="7C87F1AB" w14:textId="6ED03AA6" w:rsidR="00EC6BD5" w:rsidRPr="00521670" w:rsidRDefault="00EC6BD5" w:rsidP="00015883">
            <w:pPr>
              <w:pStyle w:val="Tabletext"/>
              <w:spacing w:before="20" w:after="20"/>
              <w:jc w:val="right"/>
              <w:rPr>
                <w:b/>
                <w:bCs/>
                <w:lang w:val="ru-RU"/>
              </w:rPr>
            </w:pPr>
            <w:r w:rsidRPr="00521670">
              <w:rPr>
                <w:b/>
                <w:bCs/>
                <w:lang w:val="ru-RU"/>
              </w:rPr>
              <w:t>(38 000)</w:t>
            </w:r>
          </w:p>
        </w:tc>
      </w:tr>
      <w:tr w:rsidR="0025646F" w:rsidRPr="00521670" w14:paraId="084D959F" w14:textId="77777777" w:rsidTr="00015883">
        <w:tc>
          <w:tcPr>
            <w:tcW w:w="2812" w:type="pct"/>
            <w:noWrap/>
            <w:hideMark/>
          </w:tcPr>
          <w:p w14:paraId="28848424" w14:textId="77777777" w:rsidR="0025646F" w:rsidRPr="00521670" w:rsidRDefault="0025646F" w:rsidP="00015883">
            <w:pPr>
              <w:pStyle w:val="Tabletext"/>
              <w:spacing w:before="20" w:after="20" w:line="196" w:lineRule="exact"/>
              <w:rPr>
                <w:sz w:val="6"/>
                <w:szCs w:val="6"/>
                <w:lang w:val="ru-RU"/>
              </w:rPr>
            </w:pPr>
          </w:p>
        </w:tc>
        <w:tc>
          <w:tcPr>
            <w:tcW w:w="643" w:type="pct"/>
            <w:noWrap/>
            <w:vAlign w:val="bottom"/>
            <w:hideMark/>
          </w:tcPr>
          <w:p w14:paraId="7ECE16AA" w14:textId="77777777" w:rsidR="0025646F" w:rsidRPr="00521670" w:rsidRDefault="0025646F" w:rsidP="00015883">
            <w:pPr>
              <w:pStyle w:val="Tabletext"/>
              <w:spacing w:before="20" w:after="20" w:line="196" w:lineRule="exact"/>
              <w:jc w:val="center"/>
              <w:rPr>
                <w:sz w:val="6"/>
                <w:szCs w:val="6"/>
                <w:lang w:val="ru-RU" w:eastAsia="en-GB"/>
              </w:rPr>
            </w:pPr>
          </w:p>
        </w:tc>
        <w:tc>
          <w:tcPr>
            <w:tcW w:w="772" w:type="pct"/>
            <w:noWrap/>
            <w:vAlign w:val="bottom"/>
            <w:hideMark/>
          </w:tcPr>
          <w:p w14:paraId="434883CD" w14:textId="77777777" w:rsidR="0025646F" w:rsidRPr="00521670" w:rsidRDefault="0025646F" w:rsidP="00015883">
            <w:pPr>
              <w:pStyle w:val="Tabletext"/>
              <w:spacing w:before="20" w:after="20" w:line="196" w:lineRule="exact"/>
              <w:jc w:val="right"/>
              <w:rPr>
                <w:sz w:val="6"/>
                <w:szCs w:val="6"/>
                <w:lang w:val="ru-RU" w:eastAsia="en-GB"/>
              </w:rPr>
            </w:pPr>
          </w:p>
        </w:tc>
        <w:tc>
          <w:tcPr>
            <w:tcW w:w="772" w:type="pct"/>
            <w:noWrap/>
            <w:vAlign w:val="bottom"/>
            <w:hideMark/>
          </w:tcPr>
          <w:p w14:paraId="4FF515AE" w14:textId="77777777" w:rsidR="0025646F" w:rsidRPr="00521670" w:rsidRDefault="0025646F" w:rsidP="00015883">
            <w:pPr>
              <w:pStyle w:val="Tabletext"/>
              <w:spacing w:before="20" w:after="20" w:line="196" w:lineRule="exact"/>
              <w:jc w:val="right"/>
              <w:rPr>
                <w:sz w:val="6"/>
                <w:szCs w:val="6"/>
                <w:lang w:val="ru-RU" w:eastAsia="en-GB"/>
              </w:rPr>
            </w:pPr>
          </w:p>
        </w:tc>
      </w:tr>
      <w:tr w:rsidR="00EC6BD5" w:rsidRPr="00521670" w14:paraId="6BA86897" w14:textId="77777777" w:rsidTr="00015883">
        <w:tc>
          <w:tcPr>
            <w:tcW w:w="2812" w:type="pct"/>
            <w:hideMark/>
          </w:tcPr>
          <w:p w14:paraId="2371AD56" w14:textId="77777777" w:rsidR="00EC6BD5" w:rsidRPr="00521670" w:rsidRDefault="00EC6BD5" w:rsidP="00015883">
            <w:pPr>
              <w:pStyle w:val="Tabletext"/>
              <w:spacing w:before="20" w:after="20" w:line="196" w:lineRule="exact"/>
              <w:rPr>
                <w:szCs w:val="18"/>
                <w:lang w:val="ru-RU"/>
              </w:rPr>
            </w:pPr>
            <w:r w:rsidRPr="00521670">
              <w:rPr>
                <w:b/>
                <w:bCs/>
                <w:szCs w:val="18"/>
                <w:lang w:val="ru-RU"/>
              </w:rPr>
              <w:t>Денежные средства и эквиваленты денежных средств на начало периода</w:t>
            </w:r>
          </w:p>
        </w:tc>
        <w:tc>
          <w:tcPr>
            <w:tcW w:w="643" w:type="pct"/>
            <w:vAlign w:val="bottom"/>
            <w:hideMark/>
          </w:tcPr>
          <w:p w14:paraId="5B137509" w14:textId="20EA953F" w:rsidR="00EC6BD5" w:rsidRPr="00521670" w:rsidRDefault="00EC6BD5" w:rsidP="00015883">
            <w:pPr>
              <w:pStyle w:val="Tabletext"/>
              <w:spacing w:before="20" w:after="20" w:line="196" w:lineRule="exact"/>
              <w:jc w:val="center"/>
              <w:rPr>
                <w:b/>
                <w:bCs/>
                <w:szCs w:val="18"/>
                <w:lang w:val="ru-RU" w:eastAsia="en-GB"/>
              </w:rPr>
            </w:pPr>
            <w:r w:rsidRPr="00521670">
              <w:rPr>
                <w:b/>
                <w:bCs/>
                <w:szCs w:val="18"/>
                <w:lang w:val="ru-RU" w:eastAsia="en-GB"/>
              </w:rPr>
              <w:t>6</w:t>
            </w:r>
          </w:p>
        </w:tc>
        <w:tc>
          <w:tcPr>
            <w:tcW w:w="772" w:type="pct"/>
            <w:noWrap/>
            <w:vAlign w:val="bottom"/>
            <w:hideMark/>
          </w:tcPr>
          <w:p w14:paraId="147DCE56" w14:textId="6302AA44" w:rsidR="00EC6BD5" w:rsidRPr="00521670" w:rsidRDefault="00EC6BD5" w:rsidP="00015883">
            <w:pPr>
              <w:pStyle w:val="Tabletext"/>
              <w:spacing w:before="20" w:after="20"/>
              <w:jc w:val="right"/>
              <w:rPr>
                <w:b/>
                <w:bCs/>
                <w:lang w:val="ru-RU"/>
              </w:rPr>
            </w:pPr>
            <w:r w:rsidRPr="00521670">
              <w:rPr>
                <w:b/>
                <w:bCs/>
                <w:lang w:val="ru-RU"/>
              </w:rPr>
              <w:t>155 868</w:t>
            </w:r>
          </w:p>
        </w:tc>
        <w:tc>
          <w:tcPr>
            <w:tcW w:w="772" w:type="pct"/>
            <w:noWrap/>
            <w:vAlign w:val="bottom"/>
            <w:hideMark/>
          </w:tcPr>
          <w:p w14:paraId="39617A95" w14:textId="755698BC" w:rsidR="00EC6BD5" w:rsidRPr="00521670" w:rsidRDefault="00EC6BD5" w:rsidP="00015883">
            <w:pPr>
              <w:pStyle w:val="Tabletext"/>
              <w:spacing w:before="20" w:after="20"/>
              <w:jc w:val="right"/>
              <w:rPr>
                <w:b/>
                <w:bCs/>
                <w:lang w:val="ru-RU"/>
              </w:rPr>
            </w:pPr>
            <w:r w:rsidRPr="00521670">
              <w:rPr>
                <w:b/>
                <w:bCs/>
                <w:lang w:val="ru-RU"/>
              </w:rPr>
              <w:t>193 868</w:t>
            </w:r>
          </w:p>
        </w:tc>
      </w:tr>
      <w:tr w:rsidR="00EC6BD5" w:rsidRPr="00521670" w14:paraId="02DBA333" w14:textId="77777777" w:rsidTr="00015883">
        <w:tc>
          <w:tcPr>
            <w:tcW w:w="2812" w:type="pct"/>
            <w:shd w:val="clear" w:color="auto" w:fill="0070C0"/>
            <w:vAlign w:val="center"/>
            <w:hideMark/>
          </w:tcPr>
          <w:p w14:paraId="36C1471E" w14:textId="77777777" w:rsidR="00EC6BD5" w:rsidRPr="00521670" w:rsidRDefault="00EC6BD5" w:rsidP="00015883">
            <w:pPr>
              <w:pStyle w:val="Tabletext"/>
              <w:spacing w:before="20" w:after="20" w:line="196" w:lineRule="exact"/>
              <w:rPr>
                <w:b/>
                <w:bCs/>
                <w:szCs w:val="18"/>
                <w:lang w:val="ru-RU"/>
              </w:rPr>
            </w:pPr>
            <w:r w:rsidRPr="00521670">
              <w:rPr>
                <w:b/>
                <w:bCs/>
                <w:szCs w:val="18"/>
                <w:lang w:val="ru-RU"/>
              </w:rPr>
              <w:t>Денежные средства и эквиваленты денежных средств на конец периода</w:t>
            </w:r>
          </w:p>
        </w:tc>
        <w:tc>
          <w:tcPr>
            <w:tcW w:w="643" w:type="pct"/>
            <w:shd w:val="clear" w:color="auto" w:fill="0070C0"/>
            <w:hideMark/>
          </w:tcPr>
          <w:p w14:paraId="2FD210DB" w14:textId="77777777" w:rsidR="00EC6BD5" w:rsidRPr="00521670" w:rsidRDefault="00EC6BD5" w:rsidP="00015883">
            <w:pPr>
              <w:pStyle w:val="Tabletext"/>
              <w:spacing w:before="20" w:after="20" w:line="196" w:lineRule="exact"/>
              <w:jc w:val="center"/>
              <w:rPr>
                <w:b/>
                <w:bCs/>
                <w:szCs w:val="18"/>
                <w:lang w:val="ru-RU" w:eastAsia="en-GB"/>
              </w:rPr>
            </w:pPr>
          </w:p>
        </w:tc>
        <w:tc>
          <w:tcPr>
            <w:tcW w:w="772" w:type="pct"/>
            <w:shd w:val="clear" w:color="auto" w:fill="0070C0"/>
            <w:noWrap/>
            <w:vAlign w:val="bottom"/>
            <w:hideMark/>
          </w:tcPr>
          <w:p w14:paraId="28DD7BED" w14:textId="784ADD2C" w:rsidR="00EC6BD5" w:rsidRPr="00521670" w:rsidRDefault="00EC6BD5" w:rsidP="00015883">
            <w:pPr>
              <w:pStyle w:val="Tabletext"/>
              <w:spacing w:before="20" w:after="20"/>
              <w:jc w:val="right"/>
              <w:rPr>
                <w:b/>
                <w:bCs/>
                <w:lang w:val="ru-RU"/>
              </w:rPr>
            </w:pPr>
            <w:r w:rsidRPr="00521670">
              <w:rPr>
                <w:b/>
                <w:bCs/>
                <w:lang w:val="ru-RU"/>
              </w:rPr>
              <w:t>210 030</w:t>
            </w:r>
          </w:p>
        </w:tc>
        <w:tc>
          <w:tcPr>
            <w:tcW w:w="772" w:type="pct"/>
            <w:shd w:val="clear" w:color="auto" w:fill="0070C0"/>
            <w:noWrap/>
            <w:vAlign w:val="bottom"/>
            <w:hideMark/>
          </w:tcPr>
          <w:p w14:paraId="53E7E8D2" w14:textId="0C0EDD0B" w:rsidR="00EC6BD5" w:rsidRPr="00521670" w:rsidRDefault="00EC6BD5" w:rsidP="00015883">
            <w:pPr>
              <w:pStyle w:val="Tabletext"/>
              <w:spacing w:before="20" w:after="20"/>
              <w:jc w:val="right"/>
              <w:rPr>
                <w:b/>
                <w:bCs/>
                <w:lang w:val="ru-RU"/>
              </w:rPr>
            </w:pPr>
            <w:r w:rsidRPr="00521670">
              <w:rPr>
                <w:b/>
                <w:bCs/>
                <w:lang w:val="ru-RU"/>
              </w:rPr>
              <w:t>155 868</w:t>
            </w:r>
          </w:p>
        </w:tc>
      </w:tr>
    </w:tbl>
    <w:p w14:paraId="6A6FF19E" w14:textId="77777777" w:rsidR="00EC6BD5" w:rsidRPr="00521670" w:rsidRDefault="00EC6BD5" w:rsidP="00EC6BD5">
      <w:pPr>
        <w:rPr>
          <w:lang w:val="ru-RU"/>
        </w:rPr>
      </w:pPr>
      <w:r w:rsidRPr="00521670">
        <w:rPr>
          <w:lang w:val="ru-RU"/>
        </w:rPr>
        <w:br w:type="page"/>
      </w:r>
    </w:p>
    <w:p w14:paraId="403B5981" w14:textId="77777777" w:rsidR="00DF5FEE" w:rsidRPr="00521670" w:rsidRDefault="00DF5FEE" w:rsidP="00DF5FEE">
      <w:pPr>
        <w:pStyle w:val="Annextitle"/>
        <w:jc w:val="left"/>
        <w:rPr>
          <w:color w:val="0070C0"/>
          <w:w w:val="105"/>
          <w:lang w:val="ru-RU"/>
        </w:rPr>
      </w:pPr>
      <w:bookmarkStart w:id="112" w:name="lt_pId320"/>
      <w:bookmarkStart w:id="113" w:name="_Toc168578448"/>
      <w:r w:rsidRPr="00521670">
        <w:rPr>
          <w:color w:val="0070C0"/>
          <w:w w:val="105"/>
          <w:lang w:val="ru-RU"/>
        </w:rPr>
        <w:lastRenderedPageBreak/>
        <w:t xml:space="preserve">Отчет V: Отчет о сопоставлении бюджета и </w:t>
      </w:r>
      <w:bookmarkEnd w:id="112"/>
      <w:r w:rsidRPr="00521670">
        <w:rPr>
          <w:color w:val="0070C0"/>
          <w:w w:val="105"/>
          <w:lang w:val="ru-RU"/>
        </w:rPr>
        <w:t>фактических сумм</w:t>
      </w:r>
      <w:bookmarkEnd w:id="113"/>
    </w:p>
    <w:p w14:paraId="3FE58846" w14:textId="23EC5B98" w:rsidR="00DF5FEE" w:rsidRPr="00521670" w:rsidRDefault="008121C7" w:rsidP="00DF5FEE">
      <w:pPr>
        <w:rPr>
          <w:i/>
          <w:iCs/>
          <w:lang w:val="ru-RU"/>
        </w:rPr>
      </w:pPr>
      <w:r w:rsidRPr="00521670">
        <w:rPr>
          <w:i/>
          <w:iCs/>
          <w:lang w:val="ru-RU"/>
        </w:rPr>
        <w:t>по состоянию на</w:t>
      </w:r>
      <w:r w:rsidR="00DF5FEE" w:rsidRPr="00521670">
        <w:rPr>
          <w:i/>
          <w:iCs/>
          <w:lang w:val="ru-RU"/>
        </w:rPr>
        <w:t xml:space="preserve"> 31 декабря 2024 года</w:t>
      </w:r>
    </w:p>
    <w:p w14:paraId="63A9BA2C" w14:textId="77777777" w:rsidR="00DF5FEE" w:rsidRPr="00521670" w:rsidRDefault="00DF5FEE" w:rsidP="00AD5E53">
      <w:pPr>
        <w:spacing w:before="0" w:after="120"/>
        <w:rPr>
          <w:i/>
          <w:iCs/>
          <w:sz w:val="18"/>
          <w:szCs w:val="18"/>
          <w:lang w:val="ru-RU"/>
        </w:rPr>
      </w:pPr>
      <w:r w:rsidRPr="00521670">
        <w:rPr>
          <w:i/>
          <w:iCs/>
          <w:sz w:val="18"/>
          <w:szCs w:val="18"/>
          <w:lang w:val="ru-RU"/>
        </w:rPr>
        <w:t>(В тыс. шв. фр.)</w:t>
      </w:r>
    </w:p>
    <w:tbl>
      <w:tblPr>
        <w:tblW w:w="9540" w:type="dxa"/>
        <w:tblLayout w:type="fixed"/>
        <w:tblLook w:val="04A0" w:firstRow="1" w:lastRow="0" w:firstColumn="1" w:lastColumn="0" w:noHBand="0" w:noVBand="1"/>
      </w:tblPr>
      <w:tblGrid>
        <w:gridCol w:w="3060"/>
        <w:gridCol w:w="1170"/>
        <w:gridCol w:w="1170"/>
        <w:gridCol w:w="1170"/>
        <w:gridCol w:w="1530"/>
        <w:gridCol w:w="1440"/>
      </w:tblGrid>
      <w:tr w:rsidR="00CC1F3B" w:rsidRPr="00521670" w14:paraId="3B3266B6" w14:textId="77777777" w:rsidTr="00675697">
        <w:trPr>
          <w:trHeight w:val="255"/>
        </w:trPr>
        <w:tc>
          <w:tcPr>
            <w:tcW w:w="3060" w:type="dxa"/>
            <w:tcBorders>
              <w:top w:val="nil"/>
              <w:left w:val="nil"/>
              <w:bottom w:val="nil"/>
              <w:right w:val="nil"/>
            </w:tcBorders>
            <w:shd w:val="clear" w:color="000000" w:fill="0070C0"/>
            <w:vAlign w:val="center"/>
            <w:hideMark/>
          </w:tcPr>
          <w:p w14:paraId="29EDFC12" w14:textId="77777777" w:rsidR="00555502" w:rsidRPr="00521670" w:rsidRDefault="00555502" w:rsidP="00DF5FEE">
            <w:pPr>
              <w:pStyle w:val="Tablehead"/>
              <w:rPr>
                <w:bCs/>
                <w:szCs w:val="18"/>
                <w:lang w:val="ru-RU" w:eastAsia="en-GB"/>
              </w:rPr>
            </w:pPr>
            <w:bookmarkStart w:id="114" w:name="RANGE!B7:H40"/>
            <w:r w:rsidRPr="00521670">
              <w:rPr>
                <w:bCs/>
                <w:szCs w:val="18"/>
                <w:lang w:val="ru-RU" w:eastAsia="en-GB"/>
              </w:rPr>
              <w:t> </w:t>
            </w:r>
            <w:bookmarkEnd w:id="114"/>
          </w:p>
        </w:tc>
        <w:tc>
          <w:tcPr>
            <w:tcW w:w="3510" w:type="dxa"/>
            <w:gridSpan w:val="3"/>
            <w:tcBorders>
              <w:top w:val="nil"/>
              <w:left w:val="nil"/>
              <w:bottom w:val="nil"/>
              <w:right w:val="nil"/>
            </w:tcBorders>
            <w:shd w:val="clear" w:color="000000" w:fill="0070C0"/>
            <w:noWrap/>
            <w:vAlign w:val="center"/>
            <w:hideMark/>
          </w:tcPr>
          <w:p w14:paraId="29EBF84F" w14:textId="45BAFE41" w:rsidR="00555502" w:rsidRPr="00521670" w:rsidRDefault="00555502" w:rsidP="00DF5FEE">
            <w:pPr>
              <w:pStyle w:val="Tablehead"/>
              <w:rPr>
                <w:bCs/>
                <w:szCs w:val="18"/>
                <w:lang w:val="ru-RU" w:eastAsia="en-GB"/>
              </w:rPr>
            </w:pPr>
            <w:r w:rsidRPr="00521670">
              <w:rPr>
                <w:szCs w:val="18"/>
                <w:lang w:val="ru-RU"/>
              </w:rPr>
              <w:t>Предусмотренные в бюджете суммы</w:t>
            </w:r>
          </w:p>
        </w:tc>
        <w:tc>
          <w:tcPr>
            <w:tcW w:w="1530" w:type="dxa"/>
            <w:vMerge w:val="restart"/>
            <w:tcBorders>
              <w:top w:val="nil"/>
              <w:left w:val="nil"/>
              <w:bottom w:val="nil"/>
              <w:right w:val="nil"/>
            </w:tcBorders>
            <w:shd w:val="clear" w:color="000000" w:fill="0070C0"/>
            <w:vAlign w:val="center"/>
            <w:hideMark/>
          </w:tcPr>
          <w:p w14:paraId="5CA1CA43" w14:textId="3CB8DD60" w:rsidR="00555502" w:rsidRPr="00521670" w:rsidRDefault="00CC1F3B" w:rsidP="00DF5FEE">
            <w:pPr>
              <w:pStyle w:val="Tablehead"/>
              <w:rPr>
                <w:bCs/>
                <w:szCs w:val="18"/>
                <w:lang w:val="ru-RU" w:eastAsia="en-GB"/>
              </w:rPr>
            </w:pPr>
            <w:r w:rsidRPr="00521670">
              <w:rPr>
                <w:spacing w:val="-6"/>
                <w:szCs w:val="18"/>
                <w:lang w:val="ru-RU"/>
              </w:rPr>
              <w:t xml:space="preserve">Фактические суммы, </w:t>
            </w:r>
            <w:r w:rsidRPr="00521670">
              <w:rPr>
                <w:spacing w:val="-6"/>
                <w:szCs w:val="18"/>
                <w:lang w:val="ru-RU"/>
              </w:rPr>
              <w:br/>
              <w:t>представленные на сопоставимой основе</w:t>
            </w:r>
          </w:p>
        </w:tc>
        <w:tc>
          <w:tcPr>
            <w:tcW w:w="1440" w:type="dxa"/>
            <w:vMerge w:val="restart"/>
            <w:tcBorders>
              <w:top w:val="nil"/>
              <w:left w:val="nil"/>
              <w:bottom w:val="nil"/>
              <w:right w:val="nil"/>
            </w:tcBorders>
            <w:shd w:val="clear" w:color="000000" w:fill="0070C0"/>
            <w:vAlign w:val="center"/>
            <w:hideMark/>
          </w:tcPr>
          <w:p w14:paraId="45D944D5" w14:textId="1CB16B8E" w:rsidR="00555502" w:rsidRPr="00521670" w:rsidRDefault="00CC1F3B" w:rsidP="00DF5FEE">
            <w:pPr>
              <w:pStyle w:val="Tablehead"/>
              <w:rPr>
                <w:bCs/>
                <w:szCs w:val="18"/>
                <w:lang w:val="ru-RU" w:eastAsia="en-GB"/>
              </w:rPr>
            </w:pPr>
            <w:r w:rsidRPr="00521670">
              <w:rPr>
                <w:spacing w:val="-6"/>
                <w:szCs w:val="18"/>
                <w:lang w:val="ru-RU"/>
              </w:rPr>
              <w:t>Разница между окончательным бюджетом и фактическими суммами</w:t>
            </w:r>
          </w:p>
        </w:tc>
      </w:tr>
      <w:tr w:rsidR="00CC1F3B" w:rsidRPr="00521670" w14:paraId="705C8F24" w14:textId="77777777" w:rsidTr="00675697">
        <w:trPr>
          <w:trHeight w:val="855"/>
        </w:trPr>
        <w:tc>
          <w:tcPr>
            <w:tcW w:w="3060" w:type="dxa"/>
            <w:tcBorders>
              <w:top w:val="nil"/>
              <w:left w:val="nil"/>
              <w:bottom w:val="nil"/>
              <w:right w:val="nil"/>
            </w:tcBorders>
            <w:shd w:val="clear" w:color="000000" w:fill="0070C0"/>
            <w:vAlign w:val="center"/>
            <w:hideMark/>
          </w:tcPr>
          <w:p w14:paraId="179B2AF6" w14:textId="77777777" w:rsidR="00555502" w:rsidRPr="00521670" w:rsidRDefault="00555502" w:rsidP="00DF5FEE">
            <w:pPr>
              <w:pStyle w:val="Tablehead"/>
              <w:rPr>
                <w:bCs/>
                <w:szCs w:val="18"/>
                <w:lang w:val="ru-RU" w:eastAsia="en-GB"/>
              </w:rPr>
            </w:pPr>
            <w:r w:rsidRPr="00521670">
              <w:rPr>
                <w:bCs/>
                <w:szCs w:val="18"/>
                <w:lang w:val="ru-RU" w:eastAsia="en-GB"/>
              </w:rPr>
              <w:t> </w:t>
            </w:r>
          </w:p>
        </w:tc>
        <w:tc>
          <w:tcPr>
            <w:tcW w:w="1170" w:type="dxa"/>
            <w:tcBorders>
              <w:top w:val="nil"/>
              <w:left w:val="nil"/>
              <w:bottom w:val="nil"/>
              <w:right w:val="nil"/>
            </w:tcBorders>
            <w:shd w:val="clear" w:color="000000" w:fill="0070C0"/>
            <w:vAlign w:val="center"/>
            <w:hideMark/>
          </w:tcPr>
          <w:p w14:paraId="36CBE6DA" w14:textId="1CD54466" w:rsidR="00555502" w:rsidRPr="00521670" w:rsidRDefault="00555502" w:rsidP="00DF5FEE">
            <w:pPr>
              <w:pStyle w:val="Tablehead"/>
              <w:rPr>
                <w:bCs/>
                <w:szCs w:val="18"/>
                <w:lang w:val="ru-RU" w:eastAsia="en-GB"/>
              </w:rPr>
            </w:pPr>
            <w:r w:rsidRPr="00521670">
              <w:rPr>
                <w:szCs w:val="18"/>
                <w:lang w:val="ru-RU"/>
              </w:rPr>
              <w:t>Перво-</w:t>
            </w:r>
            <w:r w:rsidRPr="00521670">
              <w:rPr>
                <w:szCs w:val="18"/>
                <w:lang w:val="ru-RU"/>
              </w:rPr>
              <w:br/>
              <w:t xml:space="preserve">начальный бюджет − </w:t>
            </w:r>
            <w:r w:rsidRPr="00521670">
              <w:rPr>
                <w:szCs w:val="18"/>
                <w:lang w:val="ru-RU"/>
              </w:rPr>
              <w:br/>
            </w:r>
            <w:r w:rsidRPr="00521670">
              <w:rPr>
                <w:bCs/>
                <w:szCs w:val="18"/>
                <w:lang w:val="ru-RU"/>
              </w:rPr>
              <w:t>2024 г.</w:t>
            </w:r>
          </w:p>
        </w:tc>
        <w:tc>
          <w:tcPr>
            <w:tcW w:w="1170" w:type="dxa"/>
            <w:tcBorders>
              <w:top w:val="nil"/>
              <w:left w:val="nil"/>
              <w:bottom w:val="nil"/>
              <w:right w:val="nil"/>
            </w:tcBorders>
            <w:shd w:val="clear" w:color="000000" w:fill="0070C0"/>
            <w:vAlign w:val="center"/>
            <w:hideMark/>
          </w:tcPr>
          <w:p w14:paraId="4763F79C" w14:textId="2E39D557" w:rsidR="00555502" w:rsidRPr="00521670" w:rsidRDefault="008121C7" w:rsidP="00E3615E">
            <w:pPr>
              <w:pStyle w:val="Tablehead"/>
              <w:ind w:left="-57" w:right="-57"/>
              <w:rPr>
                <w:bCs/>
                <w:szCs w:val="18"/>
                <w:lang w:val="ru-RU" w:eastAsia="en-GB"/>
              </w:rPr>
            </w:pPr>
            <w:r w:rsidRPr="00521670">
              <w:rPr>
                <w:bCs/>
                <w:szCs w:val="18"/>
                <w:lang w:val="ru-RU" w:eastAsia="en-GB"/>
              </w:rPr>
              <w:t>Отсроченная деятельность</w:t>
            </w:r>
          </w:p>
        </w:tc>
        <w:tc>
          <w:tcPr>
            <w:tcW w:w="1170" w:type="dxa"/>
            <w:tcBorders>
              <w:top w:val="nil"/>
              <w:left w:val="nil"/>
              <w:bottom w:val="nil"/>
              <w:right w:val="nil"/>
            </w:tcBorders>
            <w:shd w:val="clear" w:color="000000" w:fill="0070C0"/>
            <w:vAlign w:val="center"/>
            <w:hideMark/>
          </w:tcPr>
          <w:p w14:paraId="611F0146" w14:textId="26666E32" w:rsidR="00555502" w:rsidRPr="00521670" w:rsidRDefault="00555502" w:rsidP="00DF5FEE">
            <w:pPr>
              <w:pStyle w:val="Tablehead"/>
              <w:rPr>
                <w:bCs/>
                <w:szCs w:val="18"/>
                <w:lang w:val="ru-RU" w:eastAsia="en-GB"/>
              </w:rPr>
            </w:pPr>
            <w:r w:rsidRPr="00521670">
              <w:rPr>
                <w:szCs w:val="18"/>
                <w:lang w:val="ru-RU" w:eastAsia="fr-FR"/>
              </w:rPr>
              <w:t xml:space="preserve">Оконча-тельный бюджет </w:t>
            </w:r>
            <w:r w:rsidRPr="00521670">
              <w:rPr>
                <w:szCs w:val="18"/>
                <w:lang w:val="ru-RU"/>
              </w:rPr>
              <w:t xml:space="preserve">− </w:t>
            </w:r>
            <w:r w:rsidRPr="00521670">
              <w:rPr>
                <w:szCs w:val="18"/>
                <w:lang w:val="ru-RU"/>
              </w:rPr>
              <w:br/>
            </w:r>
            <w:r w:rsidRPr="00521670">
              <w:rPr>
                <w:bCs/>
                <w:szCs w:val="18"/>
                <w:lang w:val="ru-RU"/>
              </w:rPr>
              <w:t>2024 г.</w:t>
            </w:r>
          </w:p>
        </w:tc>
        <w:tc>
          <w:tcPr>
            <w:tcW w:w="1530" w:type="dxa"/>
            <w:vMerge/>
            <w:tcBorders>
              <w:top w:val="nil"/>
              <w:left w:val="nil"/>
              <w:bottom w:val="nil"/>
              <w:right w:val="nil"/>
            </w:tcBorders>
            <w:vAlign w:val="center"/>
            <w:hideMark/>
          </w:tcPr>
          <w:p w14:paraId="7D80BFF4" w14:textId="77777777" w:rsidR="00555502" w:rsidRPr="00521670" w:rsidRDefault="00555502" w:rsidP="00DF5FEE">
            <w:pPr>
              <w:pStyle w:val="Tablehead"/>
              <w:rPr>
                <w:bCs/>
                <w:szCs w:val="18"/>
                <w:lang w:val="ru-RU" w:eastAsia="en-GB"/>
              </w:rPr>
            </w:pPr>
          </w:p>
        </w:tc>
        <w:tc>
          <w:tcPr>
            <w:tcW w:w="1440" w:type="dxa"/>
            <w:vMerge/>
            <w:tcBorders>
              <w:top w:val="nil"/>
              <w:left w:val="nil"/>
              <w:bottom w:val="nil"/>
              <w:right w:val="nil"/>
            </w:tcBorders>
            <w:vAlign w:val="center"/>
            <w:hideMark/>
          </w:tcPr>
          <w:p w14:paraId="4F50F890" w14:textId="77777777" w:rsidR="00555502" w:rsidRPr="00521670" w:rsidRDefault="00555502" w:rsidP="00DF5FEE">
            <w:pPr>
              <w:pStyle w:val="Tablehead"/>
              <w:rPr>
                <w:bCs/>
                <w:szCs w:val="18"/>
                <w:lang w:val="ru-RU" w:eastAsia="en-GB"/>
              </w:rPr>
            </w:pPr>
          </w:p>
        </w:tc>
      </w:tr>
      <w:tr w:rsidR="00CC1F3B" w:rsidRPr="00521670" w14:paraId="3192CC31" w14:textId="77777777" w:rsidTr="00675697">
        <w:trPr>
          <w:trHeight w:val="259"/>
        </w:trPr>
        <w:tc>
          <w:tcPr>
            <w:tcW w:w="3060" w:type="dxa"/>
            <w:tcBorders>
              <w:top w:val="nil"/>
              <w:left w:val="nil"/>
              <w:bottom w:val="nil"/>
              <w:right w:val="nil"/>
            </w:tcBorders>
            <w:shd w:val="clear" w:color="auto" w:fill="auto"/>
            <w:noWrap/>
            <w:vAlign w:val="center"/>
            <w:hideMark/>
          </w:tcPr>
          <w:p w14:paraId="29EC4853" w14:textId="2EF2469F" w:rsidR="00555502" w:rsidRPr="00521670" w:rsidRDefault="00CC1F3B" w:rsidP="00DF5FEE">
            <w:pPr>
              <w:pStyle w:val="Tabletext"/>
              <w:rPr>
                <w:b/>
                <w:bCs/>
                <w:lang w:val="ru-RU" w:eastAsia="en-GB"/>
              </w:rPr>
            </w:pPr>
            <w:r w:rsidRPr="00521670">
              <w:rPr>
                <w:b/>
                <w:bCs/>
                <w:szCs w:val="16"/>
                <w:lang w:val="ru-RU"/>
              </w:rPr>
              <w:t>Доходы</w:t>
            </w:r>
          </w:p>
        </w:tc>
        <w:tc>
          <w:tcPr>
            <w:tcW w:w="1170" w:type="dxa"/>
            <w:tcBorders>
              <w:top w:val="nil"/>
              <w:left w:val="nil"/>
              <w:bottom w:val="nil"/>
              <w:right w:val="nil"/>
            </w:tcBorders>
            <w:shd w:val="clear" w:color="auto" w:fill="auto"/>
            <w:noWrap/>
            <w:vAlign w:val="center"/>
            <w:hideMark/>
          </w:tcPr>
          <w:p w14:paraId="689F4F86"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42BAAA6F"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0E294D9A" w14:textId="77777777" w:rsidR="00555502" w:rsidRPr="00521670" w:rsidRDefault="00555502" w:rsidP="00DF5FEE">
            <w:pPr>
              <w:pStyle w:val="Tabletext"/>
              <w:rPr>
                <w:lang w:val="ru-RU" w:eastAsia="en-GB"/>
              </w:rPr>
            </w:pPr>
          </w:p>
        </w:tc>
        <w:tc>
          <w:tcPr>
            <w:tcW w:w="1530" w:type="dxa"/>
            <w:tcBorders>
              <w:top w:val="nil"/>
              <w:left w:val="nil"/>
              <w:bottom w:val="nil"/>
              <w:right w:val="nil"/>
            </w:tcBorders>
            <w:shd w:val="clear" w:color="auto" w:fill="auto"/>
            <w:noWrap/>
            <w:vAlign w:val="center"/>
            <w:hideMark/>
          </w:tcPr>
          <w:p w14:paraId="6192C849" w14:textId="77777777" w:rsidR="00555502" w:rsidRPr="00521670" w:rsidRDefault="00555502" w:rsidP="00DF5FEE">
            <w:pPr>
              <w:pStyle w:val="Tabletext"/>
              <w:rPr>
                <w:lang w:val="ru-RU" w:eastAsia="en-GB"/>
              </w:rPr>
            </w:pPr>
          </w:p>
        </w:tc>
        <w:tc>
          <w:tcPr>
            <w:tcW w:w="1440" w:type="dxa"/>
            <w:tcBorders>
              <w:top w:val="nil"/>
              <w:left w:val="nil"/>
              <w:bottom w:val="nil"/>
              <w:right w:val="nil"/>
            </w:tcBorders>
            <w:shd w:val="clear" w:color="auto" w:fill="auto"/>
            <w:noWrap/>
            <w:vAlign w:val="center"/>
            <w:hideMark/>
          </w:tcPr>
          <w:p w14:paraId="571A9353" w14:textId="77777777" w:rsidR="00555502" w:rsidRPr="00521670" w:rsidRDefault="00555502" w:rsidP="00DF5FEE">
            <w:pPr>
              <w:pStyle w:val="Tabletext"/>
              <w:rPr>
                <w:lang w:val="ru-RU" w:eastAsia="en-GB"/>
              </w:rPr>
            </w:pPr>
          </w:p>
        </w:tc>
      </w:tr>
      <w:tr w:rsidR="00CC1F3B" w:rsidRPr="00521670" w14:paraId="4F235759" w14:textId="77777777" w:rsidTr="00675697">
        <w:trPr>
          <w:trHeight w:val="150"/>
        </w:trPr>
        <w:tc>
          <w:tcPr>
            <w:tcW w:w="3060" w:type="dxa"/>
            <w:tcBorders>
              <w:top w:val="nil"/>
              <w:left w:val="nil"/>
              <w:bottom w:val="nil"/>
              <w:right w:val="nil"/>
            </w:tcBorders>
            <w:shd w:val="clear" w:color="auto" w:fill="auto"/>
            <w:noWrap/>
            <w:vAlign w:val="center"/>
            <w:hideMark/>
          </w:tcPr>
          <w:p w14:paraId="67B042FF"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7007309D"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5EE0DA2A"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731E6315" w14:textId="77777777" w:rsidR="00555502" w:rsidRPr="00521670" w:rsidRDefault="00555502" w:rsidP="00DF5FEE">
            <w:pPr>
              <w:pStyle w:val="Tabletext"/>
              <w:rPr>
                <w:lang w:val="ru-RU" w:eastAsia="en-GB"/>
              </w:rPr>
            </w:pPr>
          </w:p>
        </w:tc>
        <w:tc>
          <w:tcPr>
            <w:tcW w:w="1530" w:type="dxa"/>
            <w:tcBorders>
              <w:top w:val="nil"/>
              <w:left w:val="nil"/>
              <w:bottom w:val="nil"/>
              <w:right w:val="nil"/>
            </w:tcBorders>
            <w:shd w:val="clear" w:color="auto" w:fill="auto"/>
            <w:noWrap/>
            <w:vAlign w:val="center"/>
            <w:hideMark/>
          </w:tcPr>
          <w:p w14:paraId="6FCC170F" w14:textId="77777777" w:rsidR="00555502" w:rsidRPr="00521670" w:rsidRDefault="00555502" w:rsidP="00DF5FEE">
            <w:pPr>
              <w:pStyle w:val="Tabletext"/>
              <w:rPr>
                <w:lang w:val="ru-RU" w:eastAsia="en-GB"/>
              </w:rPr>
            </w:pPr>
          </w:p>
        </w:tc>
        <w:tc>
          <w:tcPr>
            <w:tcW w:w="1440" w:type="dxa"/>
            <w:tcBorders>
              <w:top w:val="nil"/>
              <w:left w:val="nil"/>
              <w:bottom w:val="nil"/>
              <w:right w:val="nil"/>
            </w:tcBorders>
            <w:shd w:val="clear" w:color="auto" w:fill="auto"/>
            <w:noWrap/>
            <w:vAlign w:val="center"/>
            <w:hideMark/>
          </w:tcPr>
          <w:p w14:paraId="039D932A" w14:textId="77777777" w:rsidR="00555502" w:rsidRPr="00521670" w:rsidRDefault="00555502" w:rsidP="00DF5FEE">
            <w:pPr>
              <w:pStyle w:val="Tabletext"/>
              <w:rPr>
                <w:lang w:val="ru-RU" w:eastAsia="en-GB"/>
              </w:rPr>
            </w:pPr>
          </w:p>
        </w:tc>
      </w:tr>
      <w:tr w:rsidR="00CC1F3B" w:rsidRPr="00521670" w14:paraId="727AD897" w14:textId="77777777" w:rsidTr="00675697">
        <w:trPr>
          <w:trHeight w:val="255"/>
        </w:trPr>
        <w:tc>
          <w:tcPr>
            <w:tcW w:w="3060" w:type="dxa"/>
            <w:tcBorders>
              <w:top w:val="nil"/>
              <w:left w:val="nil"/>
              <w:bottom w:val="nil"/>
              <w:right w:val="nil"/>
            </w:tcBorders>
            <w:shd w:val="clear" w:color="auto" w:fill="auto"/>
            <w:noWrap/>
            <w:hideMark/>
          </w:tcPr>
          <w:p w14:paraId="19DAC7CD" w14:textId="061F9C15" w:rsidR="00CC1F3B" w:rsidRPr="00521670" w:rsidRDefault="00CC1F3B" w:rsidP="00CC1F3B">
            <w:pPr>
              <w:pStyle w:val="Tabletext"/>
              <w:rPr>
                <w:lang w:val="ru-RU" w:eastAsia="en-GB"/>
              </w:rPr>
            </w:pPr>
            <w:r w:rsidRPr="00521670">
              <w:rPr>
                <w:lang w:val="ru-RU" w:eastAsia="en-GB"/>
              </w:rPr>
              <w:t>Начисленные взносы</w:t>
            </w:r>
          </w:p>
        </w:tc>
        <w:tc>
          <w:tcPr>
            <w:tcW w:w="1170" w:type="dxa"/>
            <w:tcBorders>
              <w:top w:val="nil"/>
              <w:left w:val="nil"/>
              <w:bottom w:val="nil"/>
              <w:right w:val="nil"/>
            </w:tcBorders>
            <w:shd w:val="clear" w:color="auto" w:fill="auto"/>
            <w:noWrap/>
            <w:vAlign w:val="bottom"/>
            <w:hideMark/>
          </w:tcPr>
          <w:p w14:paraId="792FCE79" w14:textId="67CFBE48" w:rsidR="00CC1F3B" w:rsidRPr="00521670" w:rsidRDefault="00CC1F3B" w:rsidP="00CC1F3B">
            <w:pPr>
              <w:pStyle w:val="Tabletext"/>
              <w:jc w:val="right"/>
              <w:rPr>
                <w:lang w:val="ru-RU" w:eastAsia="en-GB"/>
              </w:rPr>
            </w:pPr>
            <w:r w:rsidRPr="00521670">
              <w:rPr>
                <w:lang w:val="ru-RU" w:eastAsia="en-GB"/>
              </w:rPr>
              <w:t>129 574</w:t>
            </w:r>
          </w:p>
        </w:tc>
        <w:tc>
          <w:tcPr>
            <w:tcW w:w="1170" w:type="dxa"/>
            <w:tcBorders>
              <w:top w:val="nil"/>
              <w:left w:val="nil"/>
              <w:bottom w:val="nil"/>
              <w:right w:val="nil"/>
            </w:tcBorders>
            <w:shd w:val="clear" w:color="auto" w:fill="auto"/>
            <w:noWrap/>
            <w:vAlign w:val="bottom"/>
            <w:hideMark/>
          </w:tcPr>
          <w:p w14:paraId="3A10F157" w14:textId="748E5507" w:rsidR="00CC1F3B" w:rsidRPr="00521670" w:rsidRDefault="00CC1F3B" w:rsidP="00CC1F3B">
            <w:pPr>
              <w:pStyle w:val="Tabletext"/>
              <w:jc w:val="right"/>
              <w:rPr>
                <w:lang w:val="ru-RU" w:eastAsia="en-GB"/>
              </w:rPr>
            </w:pPr>
            <w:r w:rsidRPr="00521670">
              <w:rPr>
                <w:lang w:val="ru-RU" w:eastAsia="en-GB"/>
              </w:rPr>
              <w:t>203</w:t>
            </w:r>
          </w:p>
        </w:tc>
        <w:tc>
          <w:tcPr>
            <w:tcW w:w="1170" w:type="dxa"/>
            <w:tcBorders>
              <w:top w:val="nil"/>
              <w:left w:val="nil"/>
              <w:bottom w:val="nil"/>
              <w:right w:val="nil"/>
            </w:tcBorders>
            <w:shd w:val="clear" w:color="auto" w:fill="auto"/>
            <w:noWrap/>
            <w:vAlign w:val="bottom"/>
            <w:hideMark/>
          </w:tcPr>
          <w:p w14:paraId="37077A56" w14:textId="3C47C64E" w:rsidR="00CC1F3B" w:rsidRPr="00521670" w:rsidRDefault="00CC1F3B" w:rsidP="00CC1F3B">
            <w:pPr>
              <w:pStyle w:val="Tabletext"/>
              <w:jc w:val="right"/>
              <w:rPr>
                <w:lang w:val="ru-RU" w:eastAsia="en-GB"/>
              </w:rPr>
            </w:pPr>
            <w:r w:rsidRPr="00521670">
              <w:rPr>
                <w:lang w:val="ru-RU" w:eastAsia="en-GB"/>
              </w:rPr>
              <w:t>129 371</w:t>
            </w:r>
          </w:p>
        </w:tc>
        <w:tc>
          <w:tcPr>
            <w:tcW w:w="1530" w:type="dxa"/>
            <w:tcBorders>
              <w:top w:val="nil"/>
              <w:left w:val="nil"/>
              <w:bottom w:val="nil"/>
              <w:right w:val="nil"/>
            </w:tcBorders>
            <w:shd w:val="clear" w:color="auto" w:fill="auto"/>
            <w:noWrap/>
            <w:vAlign w:val="bottom"/>
            <w:hideMark/>
          </w:tcPr>
          <w:p w14:paraId="34ED0604" w14:textId="0F99E953" w:rsidR="00CC1F3B" w:rsidRPr="00521670" w:rsidRDefault="00CC1F3B" w:rsidP="00CC1F3B">
            <w:pPr>
              <w:pStyle w:val="Tabletext"/>
              <w:jc w:val="right"/>
              <w:rPr>
                <w:lang w:val="ru-RU" w:eastAsia="en-GB"/>
              </w:rPr>
            </w:pPr>
            <w:r w:rsidRPr="00521670">
              <w:rPr>
                <w:lang w:val="ru-RU" w:eastAsia="en-GB"/>
              </w:rPr>
              <w:t>129 889</w:t>
            </w:r>
          </w:p>
        </w:tc>
        <w:tc>
          <w:tcPr>
            <w:tcW w:w="1440" w:type="dxa"/>
            <w:tcBorders>
              <w:top w:val="nil"/>
              <w:left w:val="nil"/>
              <w:bottom w:val="nil"/>
              <w:right w:val="nil"/>
            </w:tcBorders>
            <w:shd w:val="clear" w:color="auto" w:fill="auto"/>
            <w:noWrap/>
            <w:vAlign w:val="bottom"/>
            <w:hideMark/>
          </w:tcPr>
          <w:p w14:paraId="040C99F4" w14:textId="04654654" w:rsidR="00CC1F3B" w:rsidRPr="00521670" w:rsidRDefault="00CC1F3B" w:rsidP="00CC1F3B">
            <w:pPr>
              <w:pStyle w:val="Tabletext"/>
              <w:jc w:val="right"/>
              <w:rPr>
                <w:lang w:val="ru-RU" w:eastAsia="en-GB"/>
              </w:rPr>
            </w:pPr>
            <w:r w:rsidRPr="00521670">
              <w:rPr>
                <w:lang w:val="ru-RU" w:eastAsia="en-GB"/>
              </w:rPr>
              <w:t>518</w:t>
            </w:r>
          </w:p>
        </w:tc>
      </w:tr>
      <w:tr w:rsidR="00CC1F3B" w:rsidRPr="00521670" w14:paraId="48E9EEE2" w14:textId="77777777" w:rsidTr="00675697">
        <w:trPr>
          <w:trHeight w:val="255"/>
        </w:trPr>
        <w:tc>
          <w:tcPr>
            <w:tcW w:w="3060" w:type="dxa"/>
            <w:tcBorders>
              <w:top w:val="nil"/>
              <w:left w:val="nil"/>
              <w:bottom w:val="nil"/>
              <w:right w:val="nil"/>
            </w:tcBorders>
            <w:shd w:val="clear" w:color="auto" w:fill="auto"/>
            <w:noWrap/>
            <w:hideMark/>
          </w:tcPr>
          <w:p w14:paraId="6DD40679" w14:textId="544AFFDE" w:rsidR="00CC1F3B" w:rsidRPr="00521670" w:rsidRDefault="00CC1F3B" w:rsidP="00CC1F3B">
            <w:pPr>
              <w:pStyle w:val="Tabletext"/>
              <w:rPr>
                <w:lang w:val="ru-RU" w:eastAsia="en-GB"/>
              </w:rPr>
            </w:pPr>
            <w:r w:rsidRPr="00521670">
              <w:rPr>
                <w:lang w:val="ru-RU" w:eastAsia="en-GB"/>
              </w:rPr>
              <w:t>Возмещение затрат</w:t>
            </w:r>
          </w:p>
        </w:tc>
        <w:tc>
          <w:tcPr>
            <w:tcW w:w="1170" w:type="dxa"/>
            <w:tcBorders>
              <w:top w:val="nil"/>
              <w:left w:val="nil"/>
              <w:bottom w:val="nil"/>
              <w:right w:val="nil"/>
            </w:tcBorders>
            <w:shd w:val="clear" w:color="auto" w:fill="auto"/>
            <w:noWrap/>
            <w:vAlign w:val="bottom"/>
            <w:hideMark/>
          </w:tcPr>
          <w:p w14:paraId="7A094644" w14:textId="27C3BDA1" w:rsidR="00CC1F3B" w:rsidRPr="00521670" w:rsidRDefault="00CC1F3B" w:rsidP="00CC1F3B">
            <w:pPr>
              <w:pStyle w:val="Tabletext"/>
              <w:jc w:val="right"/>
              <w:rPr>
                <w:lang w:val="ru-RU" w:eastAsia="en-GB"/>
              </w:rPr>
            </w:pPr>
            <w:r w:rsidRPr="00521670">
              <w:rPr>
                <w:lang w:val="ru-RU" w:eastAsia="en-GB"/>
              </w:rPr>
              <w:t>34 500</w:t>
            </w:r>
          </w:p>
        </w:tc>
        <w:tc>
          <w:tcPr>
            <w:tcW w:w="1170" w:type="dxa"/>
            <w:tcBorders>
              <w:top w:val="nil"/>
              <w:left w:val="nil"/>
              <w:bottom w:val="nil"/>
              <w:right w:val="nil"/>
            </w:tcBorders>
            <w:shd w:val="clear" w:color="auto" w:fill="auto"/>
            <w:noWrap/>
            <w:vAlign w:val="bottom"/>
            <w:hideMark/>
          </w:tcPr>
          <w:p w14:paraId="50D997B6"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469E0871" w14:textId="288F643F" w:rsidR="00CC1F3B" w:rsidRPr="00521670" w:rsidRDefault="00CC1F3B" w:rsidP="00CC1F3B">
            <w:pPr>
              <w:pStyle w:val="Tabletext"/>
              <w:jc w:val="right"/>
              <w:rPr>
                <w:lang w:val="ru-RU" w:eastAsia="en-GB"/>
              </w:rPr>
            </w:pPr>
            <w:r w:rsidRPr="00521670">
              <w:rPr>
                <w:lang w:val="ru-RU" w:eastAsia="en-GB"/>
              </w:rPr>
              <w:t>34 500</w:t>
            </w:r>
          </w:p>
        </w:tc>
        <w:tc>
          <w:tcPr>
            <w:tcW w:w="1530" w:type="dxa"/>
            <w:tcBorders>
              <w:top w:val="nil"/>
              <w:left w:val="nil"/>
              <w:bottom w:val="nil"/>
              <w:right w:val="nil"/>
            </w:tcBorders>
            <w:shd w:val="clear" w:color="auto" w:fill="auto"/>
            <w:noWrap/>
            <w:vAlign w:val="bottom"/>
            <w:hideMark/>
          </w:tcPr>
          <w:p w14:paraId="37B6C366" w14:textId="6937753F" w:rsidR="00CC1F3B" w:rsidRPr="00521670" w:rsidRDefault="00CC1F3B" w:rsidP="00CC1F3B">
            <w:pPr>
              <w:pStyle w:val="Tabletext"/>
              <w:jc w:val="right"/>
              <w:rPr>
                <w:lang w:val="ru-RU" w:eastAsia="en-GB"/>
              </w:rPr>
            </w:pPr>
            <w:r w:rsidRPr="00521670">
              <w:rPr>
                <w:lang w:val="ru-RU" w:eastAsia="en-GB"/>
              </w:rPr>
              <w:t>28 412</w:t>
            </w:r>
          </w:p>
        </w:tc>
        <w:tc>
          <w:tcPr>
            <w:tcW w:w="1440" w:type="dxa"/>
            <w:tcBorders>
              <w:top w:val="nil"/>
              <w:left w:val="nil"/>
              <w:bottom w:val="nil"/>
              <w:right w:val="nil"/>
            </w:tcBorders>
            <w:shd w:val="clear" w:color="auto" w:fill="auto"/>
            <w:noWrap/>
            <w:vAlign w:val="bottom"/>
            <w:hideMark/>
          </w:tcPr>
          <w:p w14:paraId="7972EC8E" w14:textId="72F0F65D" w:rsidR="00CC1F3B" w:rsidRPr="00521670" w:rsidRDefault="00CC1F3B" w:rsidP="00CC1F3B">
            <w:pPr>
              <w:pStyle w:val="Tabletext"/>
              <w:jc w:val="right"/>
              <w:rPr>
                <w:lang w:val="ru-RU" w:eastAsia="en-GB"/>
              </w:rPr>
            </w:pPr>
            <w:r w:rsidRPr="00521670">
              <w:rPr>
                <w:lang w:val="ru-RU" w:eastAsia="en-GB"/>
              </w:rPr>
              <w:t>(6 088)</w:t>
            </w:r>
          </w:p>
        </w:tc>
      </w:tr>
      <w:tr w:rsidR="00CC1F3B" w:rsidRPr="00521670" w14:paraId="0084ADA3" w14:textId="77777777" w:rsidTr="00675697">
        <w:trPr>
          <w:trHeight w:val="255"/>
        </w:trPr>
        <w:tc>
          <w:tcPr>
            <w:tcW w:w="3060" w:type="dxa"/>
            <w:tcBorders>
              <w:top w:val="nil"/>
              <w:left w:val="nil"/>
              <w:bottom w:val="nil"/>
              <w:right w:val="nil"/>
            </w:tcBorders>
            <w:shd w:val="clear" w:color="auto" w:fill="auto"/>
            <w:noWrap/>
            <w:vAlign w:val="bottom"/>
            <w:hideMark/>
          </w:tcPr>
          <w:p w14:paraId="517E3223" w14:textId="3D98B1C0" w:rsidR="00555502" w:rsidRPr="00521670" w:rsidRDefault="008121C7" w:rsidP="00DF5FEE">
            <w:pPr>
              <w:pStyle w:val="Tabletext"/>
              <w:rPr>
                <w:lang w:val="ru-RU" w:eastAsia="en-GB"/>
              </w:rPr>
            </w:pPr>
            <w:r w:rsidRPr="00521670">
              <w:rPr>
                <w:lang w:val="ru-RU" w:eastAsia="en-GB"/>
              </w:rPr>
              <w:t>Финансовые расходы/доходы</w:t>
            </w:r>
          </w:p>
        </w:tc>
        <w:tc>
          <w:tcPr>
            <w:tcW w:w="1170" w:type="dxa"/>
            <w:tcBorders>
              <w:top w:val="nil"/>
              <w:left w:val="nil"/>
              <w:bottom w:val="nil"/>
              <w:right w:val="nil"/>
            </w:tcBorders>
            <w:shd w:val="clear" w:color="auto" w:fill="auto"/>
            <w:noWrap/>
            <w:vAlign w:val="bottom"/>
            <w:hideMark/>
          </w:tcPr>
          <w:p w14:paraId="715640FA" w14:textId="1B4E8B6E" w:rsidR="00555502" w:rsidRPr="00521670" w:rsidRDefault="00555502" w:rsidP="00555502">
            <w:pPr>
              <w:pStyle w:val="Tabletext"/>
              <w:jc w:val="right"/>
              <w:rPr>
                <w:lang w:val="ru-RU" w:eastAsia="en-GB"/>
              </w:rPr>
            </w:pPr>
            <w:r w:rsidRPr="00521670">
              <w:rPr>
                <w:lang w:val="ru-RU" w:eastAsia="en-GB"/>
              </w:rPr>
              <w:t>1 000</w:t>
            </w:r>
          </w:p>
        </w:tc>
        <w:tc>
          <w:tcPr>
            <w:tcW w:w="1170" w:type="dxa"/>
            <w:tcBorders>
              <w:top w:val="nil"/>
              <w:left w:val="nil"/>
              <w:bottom w:val="nil"/>
              <w:right w:val="nil"/>
            </w:tcBorders>
            <w:shd w:val="clear" w:color="auto" w:fill="auto"/>
            <w:noWrap/>
            <w:vAlign w:val="bottom"/>
            <w:hideMark/>
          </w:tcPr>
          <w:p w14:paraId="1507B5FA"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63DCF4BC" w14:textId="20058A6C" w:rsidR="00555502" w:rsidRPr="00521670" w:rsidRDefault="00555502" w:rsidP="00555502">
            <w:pPr>
              <w:pStyle w:val="Tabletext"/>
              <w:jc w:val="right"/>
              <w:rPr>
                <w:lang w:val="ru-RU" w:eastAsia="en-GB"/>
              </w:rPr>
            </w:pPr>
            <w:r w:rsidRPr="00521670">
              <w:rPr>
                <w:lang w:val="ru-RU" w:eastAsia="en-GB"/>
              </w:rPr>
              <w:t>1 000</w:t>
            </w:r>
          </w:p>
        </w:tc>
        <w:tc>
          <w:tcPr>
            <w:tcW w:w="1530" w:type="dxa"/>
            <w:tcBorders>
              <w:top w:val="nil"/>
              <w:left w:val="nil"/>
              <w:bottom w:val="nil"/>
              <w:right w:val="nil"/>
            </w:tcBorders>
            <w:shd w:val="clear" w:color="auto" w:fill="auto"/>
            <w:noWrap/>
            <w:vAlign w:val="bottom"/>
            <w:hideMark/>
          </w:tcPr>
          <w:p w14:paraId="2EA5C3FD" w14:textId="1FE9D906" w:rsidR="00555502" w:rsidRPr="00521670" w:rsidRDefault="00555502" w:rsidP="00555502">
            <w:pPr>
              <w:pStyle w:val="Tabletext"/>
              <w:jc w:val="right"/>
              <w:rPr>
                <w:lang w:val="ru-RU" w:eastAsia="en-GB"/>
              </w:rPr>
            </w:pPr>
            <w:r w:rsidRPr="00521670">
              <w:rPr>
                <w:lang w:val="ru-RU" w:eastAsia="en-GB"/>
              </w:rPr>
              <w:t>3 635</w:t>
            </w:r>
          </w:p>
        </w:tc>
        <w:tc>
          <w:tcPr>
            <w:tcW w:w="1440" w:type="dxa"/>
            <w:tcBorders>
              <w:top w:val="nil"/>
              <w:left w:val="nil"/>
              <w:bottom w:val="nil"/>
              <w:right w:val="nil"/>
            </w:tcBorders>
            <w:shd w:val="clear" w:color="auto" w:fill="auto"/>
            <w:noWrap/>
            <w:vAlign w:val="bottom"/>
            <w:hideMark/>
          </w:tcPr>
          <w:p w14:paraId="285C85C5" w14:textId="212845BF" w:rsidR="00555502" w:rsidRPr="00521670" w:rsidRDefault="00555502" w:rsidP="00555502">
            <w:pPr>
              <w:pStyle w:val="Tabletext"/>
              <w:jc w:val="right"/>
              <w:rPr>
                <w:lang w:val="ru-RU" w:eastAsia="en-GB"/>
              </w:rPr>
            </w:pPr>
            <w:r w:rsidRPr="00521670">
              <w:rPr>
                <w:lang w:val="ru-RU" w:eastAsia="en-GB"/>
              </w:rPr>
              <w:t xml:space="preserve">2 635 </w:t>
            </w:r>
          </w:p>
        </w:tc>
      </w:tr>
      <w:tr w:rsidR="00CC1F3B" w:rsidRPr="00521670" w14:paraId="56C32E8D" w14:textId="77777777" w:rsidTr="00675697">
        <w:trPr>
          <w:trHeight w:val="255"/>
        </w:trPr>
        <w:tc>
          <w:tcPr>
            <w:tcW w:w="3060" w:type="dxa"/>
            <w:tcBorders>
              <w:top w:val="nil"/>
              <w:left w:val="nil"/>
              <w:bottom w:val="nil"/>
              <w:right w:val="nil"/>
            </w:tcBorders>
            <w:shd w:val="clear" w:color="auto" w:fill="auto"/>
            <w:noWrap/>
            <w:vAlign w:val="bottom"/>
            <w:hideMark/>
          </w:tcPr>
          <w:p w14:paraId="7D05FC3C" w14:textId="2850E770" w:rsidR="00555502" w:rsidRPr="00521670" w:rsidRDefault="00CC1F3B" w:rsidP="00DF5FEE">
            <w:pPr>
              <w:pStyle w:val="Tabletext"/>
              <w:rPr>
                <w:lang w:val="ru-RU" w:eastAsia="en-GB"/>
              </w:rPr>
            </w:pPr>
            <w:r w:rsidRPr="00521670">
              <w:rPr>
                <w:lang w:val="ru-RU" w:eastAsia="en-GB"/>
              </w:rPr>
              <w:t>Прочие доходы</w:t>
            </w:r>
          </w:p>
        </w:tc>
        <w:tc>
          <w:tcPr>
            <w:tcW w:w="1170" w:type="dxa"/>
            <w:tcBorders>
              <w:top w:val="nil"/>
              <w:left w:val="nil"/>
              <w:bottom w:val="nil"/>
              <w:right w:val="nil"/>
            </w:tcBorders>
            <w:shd w:val="clear" w:color="auto" w:fill="auto"/>
            <w:noWrap/>
            <w:vAlign w:val="bottom"/>
            <w:hideMark/>
          </w:tcPr>
          <w:p w14:paraId="69AA8893" w14:textId="2F47A872" w:rsidR="00555502" w:rsidRPr="00521670" w:rsidRDefault="00555502" w:rsidP="00555502">
            <w:pPr>
              <w:pStyle w:val="Tabletext"/>
              <w:jc w:val="right"/>
              <w:rPr>
                <w:lang w:val="ru-RU" w:eastAsia="en-GB"/>
              </w:rPr>
            </w:pPr>
            <w:r w:rsidRPr="00521670">
              <w:rPr>
                <w:lang w:val="ru-RU" w:eastAsia="en-GB"/>
              </w:rPr>
              <w:t>400</w:t>
            </w:r>
          </w:p>
        </w:tc>
        <w:tc>
          <w:tcPr>
            <w:tcW w:w="1170" w:type="dxa"/>
            <w:tcBorders>
              <w:top w:val="nil"/>
              <w:left w:val="nil"/>
              <w:bottom w:val="nil"/>
              <w:right w:val="nil"/>
            </w:tcBorders>
            <w:shd w:val="clear" w:color="auto" w:fill="auto"/>
            <w:noWrap/>
            <w:vAlign w:val="bottom"/>
            <w:hideMark/>
          </w:tcPr>
          <w:p w14:paraId="4E4661AB"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7D1DB708" w14:textId="0F9C1A4B" w:rsidR="00555502" w:rsidRPr="00521670" w:rsidRDefault="00555502" w:rsidP="00555502">
            <w:pPr>
              <w:pStyle w:val="Tabletext"/>
              <w:jc w:val="right"/>
              <w:rPr>
                <w:lang w:val="ru-RU" w:eastAsia="en-GB"/>
              </w:rPr>
            </w:pPr>
            <w:r w:rsidRPr="00521670">
              <w:rPr>
                <w:lang w:val="ru-RU" w:eastAsia="en-GB"/>
              </w:rPr>
              <w:t>400</w:t>
            </w:r>
          </w:p>
        </w:tc>
        <w:tc>
          <w:tcPr>
            <w:tcW w:w="1530" w:type="dxa"/>
            <w:tcBorders>
              <w:top w:val="nil"/>
              <w:left w:val="nil"/>
              <w:bottom w:val="nil"/>
              <w:right w:val="nil"/>
            </w:tcBorders>
            <w:shd w:val="clear" w:color="auto" w:fill="auto"/>
            <w:noWrap/>
            <w:vAlign w:val="bottom"/>
            <w:hideMark/>
          </w:tcPr>
          <w:p w14:paraId="7803ACE8" w14:textId="1E98DD29" w:rsidR="00555502" w:rsidRPr="00521670" w:rsidRDefault="00555502" w:rsidP="00555502">
            <w:pPr>
              <w:pStyle w:val="Tabletext"/>
              <w:jc w:val="right"/>
              <w:rPr>
                <w:lang w:val="ru-RU" w:eastAsia="en-GB"/>
              </w:rPr>
            </w:pPr>
            <w:r w:rsidRPr="00521670">
              <w:rPr>
                <w:lang w:val="ru-RU" w:eastAsia="en-GB"/>
              </w:rPr>
              <w:t>875</w:t>
            </w:r>
          </w:p>
        </w:tc>
        <w:tc>
          <w:tcPr>
            <w:tcW w:w="1440" w:type="dxa"/>
            <w:tcBorders>
              <w:top w:val="nil"/>
              <w:left w:val="nil"/>
              <w:bottom w:val="nil"/>
              <w:right w:val="nil"/>
            </w:tcBorders>
            <w:shd w:val="clear" w:color="auto" w:fill="auto"/>
            <w:noWrap/>
            <w:vAlign w:val="bottom"/>
            <w:hideMark/>
          </w:tcPr>
          <w:p w14:paraId="400D3BFD" w14:textId="696936B9" w:rsidR="00555502" w:rsidRPr="00521670" w:rsidRDefault="00555502" w:rsidP="00555502">
            <w:pPr>
              <w:pStyle w:val="Tabletext"/>
              <w:jc w:val="right"/>
              <w:rPr>
                <w:lang w:val="ru-RU" w:eastAsia="en-GB"/>
              </w:rPr>
            </w:pPr>
            <w:r w:rsidRPr="00521670">
              <w:rPr>
                <w:lang w:val="ru-RU" w:eastAsia="en-GB"/>
              </w:rPr>
              <w:t>475</w:t>
            </w:r>
          </w:p>
        </w:tc>
      </w:tr>
      <w:tr w:rsidR="00CC1F3B" w:rsidRPr="00521670" w14:paraId="692EC389" w14:textId="77777777" w:rsidTr="00675697">
        <w:trPr>
          <w:trHeight w:val="270"/>
        </w:trPr>
        <w:tc>
          <w:tcPr>
            <w:tcW w:w="3060" w:type="dxa"/>
            <w:tcBorders>
              <w:top w:val="nil"/>
              <w:left w:val="nil"/>
              <w:bottom w:val="nil"/>
              <w:right w:val="nil"/>
            </w:tcBorders>
            <w:shd w:val="clear" w:color="auto" w:fill="auto"/>
            <w:noWrap/>
            <w:vAlign w:val="bottom"/>
            <w:hideMark/>
          </w:tcPr>
          <w:p w14:paraId="18DDC8AB" w14:textId="671A5B28" w:rsidR="00555502" w:rsidRPr="00521670" w:rsidRDefault="008121C7" w:rsidP="00DF5FEE">
            <w:pPr>
              <w:pStyle w:val="Tabletext"/>
              <w:rPr>
                <w:lang w:val="ru-RU" w:eastAsia="en-GB"/>
              </w:rPr>
            </w:pPr>
            <w:r w:rsidRPr="00521670">
              <w:rPr>
                <w:lang w:val="ru-RU" w:eastAsia="en-GB"/>
              </w:rPr>
              <w:t>Снятие с резервного счета</w:t>
            </w:r>
          </w:p>
        </w:tc>
        <w:tc>
          <w:tcPr>
            <w:tcW w:w="1170" w:type="dxa"/>
            <w:tcBorders>
              <w:top w:val="nil"/>
              <w:left w:val="nil"/>
              <w:bottom w:val="nil"/>
              <w:right w:val="nil"/>
            </w:tcBorders>
            <w:shd w:val="clear" w:color="auto" w:fill="auto"/>
            <w:noWrap/>
            <w:vAlign w:val="bottom"/>
            <w:hideMark/>
          </w:tcPr>
          <w:p w14:paraId="0F67FBC0" w14:textId="77777777" w:rsidR="00555502" w:rsidRPr="00521670" w:rsidRDefault="00555502" w:rsidP="00555502">
            <w:pPr>
              <w:pStyle w:val="Tabletext"/>
              <w:jc w:val="right"/>
              <w:rPr>
                <w:lang w:val="ru-RU" w:eastAsia="en-GB"/>
              </w:rPr>
            </w:pPr>
            <w:r w:rsidRPr="00521670">
              <w:rPr>
                <w:lang w:val="ru-RU" w:eastAsia="en-GB"/>
              </w:rPr>
              <w:t>605</w:t>
            </w:r>
          </w:p>
        </w:tc>
        <w:tc>
          <w:tcPr>
            <w:tcW w:w="1170" w:type="dxa"/>
            <w:tcBorders>
              <w:top w:val="nil"/>
              <w:left w:val="nil"/>
              <w:bottom w:val="nil"/>
              <w:right w:val="nil"/>
            </w:tcBorders>
            <w:shd w:val="clear" w:color="auto" w:fill="auto"/>
            <w:noWrap/>
            <w:vAlign w:val="bottom"/>
            <w:hideMark/>
          </w:tcPr>
          <w:p w14:paraId="2331ADFF"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43ECE0C9" w14:textId="72A9668A" w:rsidR="00555502" w:rsidRPr="00521670" w:rsidRDefault="00555502" w:rsidP="00555502">
            <w:pPr>
              <w:pStyle w:val="Tabletext"/>
              <w:jc w:val="right"/>
              <w:rPr>
                <w:lang w:val="ru-RU" w:eastAsia="en-GB"/>
              </w:rPr>
            </w:pPr>
            <w:r w:rsidRPr="00521670">
              <w:rPr>
                <w:lang w:val="ru-RU" w:eastAsia="en-GB"/>
              </w:rPr>
              <w:t>605</w:t>
            </w:r>
          </w:p>
        </w:tc>
        <w:tc>
          <w:tcPr>
            <w:tcW w:w="1530" w:type="dxa"/>
            <w:tcBorders>
              <w:top w:val="nil"/>
              <w:left w:val="nil"/>
              <w:bottom w:val="nil"/>
              <w:right w:val="nil"/>
            </w:tcBorders>
            <w:shd w:val="clear" w:color="auto" w:fill="auto"/>
            <w:noWrap/>
            <w:vAlign w:val="bottom"/>
            <w:hideMark/>
          </w:tcPr>
          <w:p w14:paraId="71784DFE" w14:textId="5D4B37B3" w:rsidR="00555502" w:rsidRPr="00521670" w:rsidRDefault="00555502" w:rsidP="00555502">
            <w:pPr>
              <w:pStyle w:val="Tabletext"/>
              <w:jc w:val="right"/>
              <w:rPr>
                <w:lang w:val="ru-RU" w:eastAsia="en-GB"/>
              </w:rPr>
            </w:pPr>
          </w:p>
        </w:tc>
        <w:tc>
          <w:tcPr>
            <w:tcW w:w="1440" w:type="dxa"/>
            <w:tcBorders>
              <w:top w:val="nil"/>
              <w:left w:val="nil"/>
              <w:bottom w:val="nil"/>
              <w:right w:val="nil"/>
            </w:tcBorders>
            <w:shd w:val="clear" w:color="auto" w:fill="auto"/>
            <w:noWrap/>
            <w:vAlign w:val="bottom"/>
            <w:hideMark/>
          </w:tcPr>
          <w:p w14:paraId="2F54F459" w14:textId="0B20F807" w:rsidR="00555502" w:rsidRPr="00521670" w:rsidRDefault="00555502" w:rsidP="00555502">
            <w:pPr>
              <w:pStyle w:val="Tabletext"/>
              <w:jc w:val="right"/>
              <w:rPr>
                <w:lang w:val="ru-RU" w:eastAsia="en-GB"/>
              </w:rPr>
            </w:pPr>
            <w:r w:rsidRPr="00521670">
              <w:rPr>
                <w:lang w:val="ru-RU" w:eastAsia="en-GB"/>
              </w:rPr>
              <w:t>(605)</w:t>
            </w:r>
          </w:p>
        </w:tc>
      </w:tr>
      <w:tr w:rsidR="00CC1F3B" w:rsidRPr="00521670" w14:paraId="78A93415" w14:textId="77777777" w:rsidTr="00675697">
        <w:trPr>
          <w:trHeight w:val="255"/>
        </w:trPr>
        <w:tc>
          <w:tcPr>
            <w:tcW w:w="3060" w:type="dxa"/>
            <w:tcBorders>
              <w:top w:val="nil"/>
              <w:left w:val="nil"/>
              <w:bottom w:val="nil"/>
              <w:right w:val="nil"/>
            </w:tcBorders>
            <w:shd w:val="clear" w:color="auto" w:fill="auto"/>
            <w:noWrap/>
            <w:vAlign w:val="bottom"/>
            <w:hideMark/>
          </w:tcPr>
          <w:p w14:paraId="42104A5E" w14:textId="2A1720E7" w:rsidR="00555502" w:rsidRPr="00521670" w:rsidRDefault="00CC1F3B" w:rsidP="00DF5FEE">
            <w:pPr>
              <w:pStyle w:val="Tabletext"/>
              <w:rPr>
                <w:lang w:val="ru-RU" w:eastAsia="en-GB"/>
              </w:rPr>
            </w:pPr>
            <w:r w:rsidRPr="00521670">
              <w:rPr>
                <w:lang w:val="ru-RU" w:eastAsia="en-GB"/>
              </w:rPr>
              <w:t>Платежи в Фонды ИКТ и строительства нового здания</w:t>
            </w:r>
          </w:p>
        </w:tc>
        <w:tc>
          <w:tcPr>
            <w:tcW w:w="1170" w:type="dxa"/>
            <w:tcBorders>
              <w:top w:val="nil"/>
              <w:left w:val="nil"/>
              <w:bottom w:val="nil"/>
              <w:right w:val="nil"/>
            </w:tcBorders>
            <w:shd w:val="clear" w:color="auto" w:fill="auto"/>
            <w:noWrap/>
            <w:vAlign w:val="bottom"/>
            <w:hideMark/>
          </w:tcPr>
          <w:p w14:paraId="0601CBB3" w14:textId="15EBA4F7" w:rsidR="00555502" w:rsidRPr="00521670" w:rsidRDefault="00555502" w:rsidP="00555502">
            <w:pPr>
              <w:pStyle w:val="Tabletext"/>
              <w:jc w:val="right"/>
              <w:rPr>
                <w:lang w:val="ru-RU" w:eastAsia="en-GB"/>
              </w:rPr>
            </w:pPr>
            <w:r w:rsidRPr="00521670">
              <w:rPr>
                <w:lang w:val="ru-RU" w:eastAsia="en-GB"/>
              </w:rPr>
              <w:t>(1 750)</w:t>
            </w:r>
          </w:p>
        </w:tc>
        <w:tc>
          <w:tcPr>
            <w:tcW w:w="1170" w:type="dxa"/>
            <w:tcBorders>
              <w:top w:val="nil"/>
              <w:left w:val="nil"/>
              <w:bottom w:val="nil"/>
              <w:right w:val="nil"/>
            </w:tcBorders>
            <w:shd w:val="clear" w:color="auto" w:fill="auto"/>
            <w:noWrap/>
            <w:vAlign w:val="bottom"/>
            <w:hideMark/>
          </w:tcPr>
          <w:p w14:paraId="0DF03373"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52F276B4" w14:textId="0C2453FA" w:rsidR="00555502" w:rsidRPr="00521670" w:rsidRDefault="00555502" w:rsidP="00555502">
            <w:pPr>
              <w:pStyle w:val="Tabletext"/>
              <w:jc w:val="right"/>
              <w:rPr>
                <w:lang w:val="ru-RU" w:eastAsia="en-GB"/>
              </w:rPr>
            </w:pPr>
            <w:r w:rsidRPr="00521670">
              <w:rPr>
                <w:lang w:val="ru-RU" w:eastAsia="en-GB"/>
              </w:rPr>
              <w:t>(1 750)</w:t>
            </w:r>
          </w:p>
        </w:tc>
        <w:tc>
          <w:tcPr>
            <w:tcW w:w="1530" w:type="dxa"/>
            <w:tcBorders>
              <w:top w:val="nil"/>
              <w:left w:val="nil"/>
              <w:bottom w:val="nil"/>
              <w:right w:val="nil"/>
            </w:tcBorders>
            <w:shd w:val="clear" w:color="auto" w:fill="auto"/>
            <w:noWrap/>
            <w:vAlign w:val="bottom"/>
            <w:hideMark/>
          </w:tcPr>
          <w:p w14:paraId="3AC0AC83" w14:textId="68B652CB" w:rsidR="00555502" w:rsidRPr="00521670" w:rsidRDefault="00555502" w:rsidP="00555502">
            <w:pPr>
              <w:pStyle w:val="Tabletext"/>
              <w:jc w:val="right"/>
              <w:rPr>
                <w:lang w:val="ru-RU" w:eastAsia="en-GB"/>
              </w:rPr>
            </w:pPr>
            <w:r w:rsidRPr="00521670">
              <w:rPr>
                <w:lang w:val="ru-RU" w:eastAsia="en-GB"/>
              </w:rPr>
              <w:t>(1 750)</w:t>
            </w:r>
          </w:p>
        </w:tc>
        <w:tc>
          <w:tcPr>
            <w:tcW w:w="1440" w:type="dxa"/>
            <w:tcBorders>
              <w:top w:val="nil"/>
              <w:left w:val="nil"/>
              <w:bottom w:val="nil"/>
              <w:right w:val="nil"/>
            </w:tcBorders>
            <w:shd w:val="clear" w:color="auto" w:fill="auto"/>
            <w:noWrap/>
            <w:vAlign w:val="bottom"/>
            <w:hideMark/>
          </w:tcPr>
          <w:p w14:paraId="0CA6DE42" w14:textId="677E427E" w:rsidR="00555502" w:rsidRPr="00521670" w:rsidRDefault="00555502" w:rsidP="00555502">
            <w:pPr>
              <w:pStyle w:val="Tabletext"/>
              <w:jc w:val="right"/>
              <w:rPr>
                <w:lang w:val="ru-RU" w:eastAsia="en-GB"/>
              </w:rPr>
            </w:pPr>
          </w:p>
        </w:tc>
      </w:tr>
      <w:tr w:rsidR="00CC1F3B" w:rsidRPr="00521670" w14:paraId="6987D770" w14:textId="77777777" w:rsidTr="00675697">
        <w:trPr>
          <w:trHeight w:val="255"/>
        </w:trPr>
        <w:tc>
          <w:tcPr>
            <w:tcW w:w="3060" w:type="dxa"/>
            <w:tcBorders>
              <w:top w:val="nil"/>
              <w:left w:val="nil"/>
              <w:bottom w:val="nil"/>
              <w:right w:val="nil"/>
            </w:tcBorders>
            <w:shd w:val="clear" w:color="auto" w:fill="auto"/>
            <w:noWrap/>
            <w:vAlign w:val="bottom"/>
            <w:hideMark/>
          </w:tcPr>
          <w:p w14:paraId="0E400CFB" w14:textId="4CD66735" w:rsidR="00555502" w:rsidRPr="00521670" w:rsidRDefault="008121C7" w:rsidP="00DF5FEE">
            <w:pPr>
              <w:pStyle w:val="Tabletext"/>
              <w:rPr>
                <w:lang w:val="ru-RU" w:eastAsia="en-GB"/>
              </w:rPr>
            </w:pPr>
            <w:r w:rsidRPr="00521670">
              <w:rPr>
                <w:lang w:val="ru-RU" w:eastAsia="en-GB"/>
              </w:rPr>
              <w:t>Взнос, зональное отделение в Дели</w:t>
            </w:r>
          </w:p>
        </w:tc>
        <w:tc>
          <w:tcPr>
            <w:tcW w:w="1170" w:type="dxa"/>
            <w:tcBorders>
              <w:top w:val="nil"/>
              <w:left w:val="nil"/>
              <w:bottom w:val="nil"/>
              <w:right w:val="nil"/>
            </w:tcBorders>
            <w:shd w:val="clear" w:color="auto" w:fill="auto"/>
            <w:noWrap/>
            <w:vAlign w:val="bottom"/>
            <w:hideMark/>
          </w:tcPr>
          <w:p w14:paraId="4A3EBCB2" w14:textId="25766EC6" w:rsidR="00555502" w:rsidRPr="00521670" w:rsidRDefault="00555502" w:rsidP="00555502">
            <w:pPr>
              <w:pStyle w:val="Tabletext"/>
              <w:jc w:val="right"/>
              <w:rPr>
                <w:lang w:val="ru-RU" w:eastAsia="en-GB"/>
              </w:rPr>
            </w:pPr>
            <w:r w:rsidRPr="00521670">
              <w:rPr>
                <w:lang w:val="ru-RU" w:eastAsia="en-GB"/>
              </w:rPr>
              <w:t>604</w:t>
            </w:r>
          </w:p>
        </w:tc>
        <w:tc>
          <w:tcPr>
            <w:tcW w:w="1170" w:type="dxa"/>
            <w:tcBorders>
              <w:top w:val="nil"/>
              <w:left w:val="nil"/>
              <w:bottom w:val="nil"/>
              <w:right w:val="nil"/>
            </w:tcBorders>
            <w:shd w:val="clear" w:color="auto" w:fill="auto"/>
            <w:noWrap/>
            <w:vAlign w:val="bottom"/>
            <w:hideMark/>
          </w:tcPr>
          <w:p w14:paraId="63D9C564"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3476672B" w14:textId="4B8460B8" w:rsidR="00555502" w:rsidRPr="00521670" w:rsidRDefault="00555502" w:rsidP="00555502">
            <w:pPr>
              <w:pStyle w:val="Tabletext"/>
              <w:jc w:val="right"/>
              <w:rPr>
                <w:lang w:val="ru-RU" w:eastAsia="en-GB"/>
              </w:rPr>
            </w:pPr>
            <w:r w:rsidRPr="00521670">
              <w:rPr>
                <w:lang w:val="ru-RU" w:eastAsia="en-GB"/>
              </w:rPr>
              <w:t>604</w:t>
            </w:r>
          </w:p>
        </w:tc>
        <w:tc>
          <w:tcPr>
            <w:tcW w:w="1530" w:type="dxa"/>
            <w:tcBorders>
              <w:top w:val="nil"/>
              <w:left w:val="nil"/>
              <w:bottom w:val="nil"/>
              <w:right w:val="nil"/>
            </w:tcBorders>
            <w:shd w:val="clear" w:color="auto" w:fill="auto"/>
            <w:noWrap/>
            <w:vAlign w:val="bottom"/>
            <w:hideMark/>
          </w:tcPr>
          <w:p w14:paraId="3D60AE4B" w14:textId="307F54ED" w:rsidR="00555502" w:rsidRPr="00521670" w:rsidRDefault="00555502" w:rsidP="00555502">
            <w:pPr>
              <w:pStyle w:val="Tabletext"/>
              <w:jc w:val="right"/>
              <w:rPr>
                <w:lang w:val="ru-RU" w:eastAsia="en-GB"/>
              </w:rPr>
            </w:pPr>
            <w:r w:rsidRPr="00521670">
              <w:rPr>
                <w:lang w:val="ru-RU" w:eastAsia="en-GB"/>
              </w:rPr>
              <w:t>421</w:t>
            </w:r>
          </w:p>
        </w:tc>
        <w:tc>
          <w:tcPr>
            <w:tcW w:w="1440" w:type="dxa"/>
            <w:tcBorders>
              <w:top w:val="nil"/>
              <w:left w:val="nil"/>
              <w:bottom w:val="nil"/>
              <w:right w:val="nil"/>
            </w:tcBorders>
            <w:shd w:val="clear" w:color="auto" w:fill="auto"/>
            <w:noWrap/>
            <w:vAlign w:val="bottom"/>
            <w:hideMark/>
          </w:tcPr>
          <w:p w14:paraId="410B4CA3" w14:textId="12B7104B" w:rsidR="00555502" w:rsidRPr="00521670" w:rsidRDefault="00555502" w:rsidP="00555502">
            <w:pPr>
              <w:pStyle w:val="Tabletext"/>
              <w:jc w:val="right"/>
              <w:rPr>
                <w:lang w:val="ru-RU" w:eastAsia="en-GB"/>
              </w:rPr>
            </w:pPr>
            <w:r w:rsidRPr="00521670">
              <w:rPr>
                <w:lang w:val="ru-RU" w:eastAsia="en-GB"/>
              </w:rPr>
              <w:t>(183)</w:t>
            </w:r>
          </w:p>
        </w:tc>
      </w:tr>
      <w:tr w:rsidR="00CC1F3B" w:rsidRPr="00521670" w14:paraId="46F5BCAD" w14:textId="77777777" w:rsidTr="00675697">
        <w:trPr>
          <w:trHeight w:val="150"/>
        </w:trPr>
        <w:tc>
          <w:tcPr>
            <w:tcW w:w="3060" w:type="dxa"/>
            <w:tcBorders>
              <w:top w:val="nil"/>
              <w:left w:val="nil"/>
              <w:bottom w:val="nil"/>
              <w:right w:val="nil"/>
            </w:tcBorders>
            <w:shd w:val="clear" w:color="auto" w:fill="auto"/>
            <w:noWrap/>
            <w:vAlign w:val="bottom"/>
            <w:hideMark/>
          </w:tcPr>
          <w:p w14:paraId="1B60D5CE"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bottom"/>
            <w:hideMark/>
          </w:tcPr>
          <w:p w14:paraId="6CF70BD0"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bottom"/>
            <w:hideMark/>
          </w:tcPr>
          <w:p w14:paraId="5C8D0B72"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bottom"/>
            <w:hideMark/>
          </w:tcPr>
          <w:p w14:paraId="29FCE903" w14:textId="77777777" w:rsidR="00555502" w:rsidRPr="00521670" w:rsidRDefault="00555502" w:rsidP="00DF5FEE">
            <w:pPr>
              <w:pStyle w:val="Tabletext"/>
              <w:rPr>
                <w:lang w:val="ru-RU" w:eastAsia="en-GB"/>
              </w:rPr>
            </w:pPr>
          </w:p>
        </w:tc>
        <w:tc>
          <w:tcPr>
            <w:tcW w:w="1530" w:type="dxa"/>
            <w:tcBorders>
              <w:top w:val="nil"/>
              <w:left w:val="nil"/>
              <w:bottom w:val="nil"/>
              <w:right w:val="nil"/>
            </w:tcBorders>
            <w:shd w:val="clear" w:color="auto" w:fill="auto"/>
            <w:noWrap/>
            <w:vAlign w:val="bottom"/>
            <w:hideMark/>
          </w:tcPr>
          <w:p w14:paraId="6683CE56" w14:textId="77777777" w:rsidR="00555502" w:rsidRPr="00521670" w:rsidRDefault="00555502" w:rsidP="00DF5FEE">
            <w:pPr>
              <w:pStyle w:val="Tabletext"/>
              <w:rPr>
                <w:lang w:val="ru-RU" w:eastAsia="en-GB"/>
              </w:rPr>
            </w:pPr>
          </w:p>
        </w:tc>
        <w:tc>
          <w:tcPr>
            <w:tcW w:w="1440" w:type="dxa"/>
            <w:tcBorders>
              <w:top w:val="nil"/>
              <w:left w:val="nil"/>
              <w:bottom w:val="nil"/>
              <w:right w:val="nil"/>
            </w:tcBorders>
            <w:shd w:val="clear" w:color="auto" w:fill="auto"/>
            <w:noWrap/>
            <w:vAlign w:val="bottom"/>
            <w:hideMark/>
          </w:tcPr>
          <w:p w14:paraId="698FA68F" w14:textId="77777777" w:rsidR="00555502" w:rsidRPr="00521670" w:rsidRDefault="00555502" w:rsidP="00DF5FEE">
            <w:pPr>
              <w:pStyle w:val="Tabletext"/>
              <w:rPr>
                <w:lang w:val="ru-RU" w:eastAsia="en-GB"/>
              </w:rPr>
            </w:pPr>
          </w:p>
        </w:tc>
      </w:tr>
      <w:tr w:rsidR="00CC1F3B" w:rsidRPr="00521670" w14:paraId="61166011" w14:textId="77777777" w:rsidTr="00675697">
        <w:trPr>
          <w:trHeight w:val="255"/>
        </w:trPr>
        <w:tc>
          <w:tcPr>
            <w:tcW w:w="3060" w:type="dxa"/>
            <w:tcBorders>
              <w:top w:val="nil"/>
              <w:left w:val="nil"/>
              <w:bottom w:val="nil"/>
              <w:right w:val="nil"/>
            </w:tcBorders>
            <w:shd w:val="clear" w:color="auto" w:fill="auto"/>
            <w:noWrap/>
            <w:vAlign w:val="center"/>
            <w:hideMark/>
          </w:tcPr>
          <w:p w14:paraId="5C5414EF" w14:textId="412824DE" w:rsidR="00555502" w:rsidRPr="00521670" w:rsidRDefault="00CC1F3B" w:rsidP="00DF5FEE">
            <w:pPr>
              <w:pStyle w:val="Tabletext"/>
              <w:rPr>
                <w:b/>
                <w:bCs/>
                <w:lang w:val="ru-RU" w:eastAsia="en-GB"/>
              </w:rPr>
            </w:pPr>
            <w:r w:rsidRPr="00521670">
              <w:rPr>
                <w:b/>
                <w:szCs w:val="16"/>
                <w:lang w:val="ru-RU"/>
              </w:rPr>
              <w:t>Всего: доходы</w:t>
            </w:r>
          </w:p>
        </w:tc>
        <w:tc>
          <w:tcPr>
            <w:tcW w:w="1170" w:type="dxa"/>
            <w:tcBorders>
              <w:top w:val="nil"/>
              <w:left w:val="nil"/>
              <w:bottom w:val="nil"/>
              <w:right w:val="nil"/>
            </w:tcBorders>
            <w:shd w:val="clear" w:color="auto" w:fill="auto"/>
            <w:noWrap/>
            <w:vAlign w:val="bottom"/>
            <w:hideMark/>
          </w:tcPr>
          <w:p w14:paraId="20B3F7BB" w14:textId="6B15DAB4" w:rsidR="00555502" w:rsidRPr="00521670" w:rsidRDefault="00555502" w:rsidP="00555502">
            <w:pPr>
              <w:pStyle w:val="Tabletext"/>
              <w:jc w:val="right"/>
              <w:rPr>
                <w:b/>
                <w:bCs/>
                <w:lang w:val="ru-RU" w:eastAsia="en-GB"/>
              </w:rPr>
            </w:pPr>
            <w:r w:rsidRPr="00521670">
              <w:rPr>
                <w:b/>
                <w:bCs/>
                <w:lang w:val="ru-RU" w:eastAsia="en-GB"/>
              </w:rPr>
              <w:t>164 933</w:t>
            </w:r>
          </w:p>
        </w:tc>
        <w:tc>
          <w:tcPr>
            <w:tcW w:w="1170" w:type="dxa"/>
            <w:tcBorders>
              <w:top w:val="nil"/>
              <w:left w:val="nil"/>
              <w:bottom w:val="nil"/>
              <w:right w:val="nil"/>
            </w:tcBorders>
            <w:shd w:val="clear" w:color="auto" w:fill="auto"/>
            <w:noWrap/>
            <w:vAlign w:val="bottom"/>
            <w:hideMark/>
          </w:tcPr>
          <w:p w14:paraId="333391C8" w14:textId="40741B8F" w:rsidR="00555502" w:rsidRPr="00521670" w:rsidRDefault="00555502" w:rsidP="00555502">
            <w:pPr>
              <w:pStyle w:val="Tabletext"/>
              <w:jc w:val="right"/>
              <w:rPr>
                <w:b/>
                <w:bCs/>
                <w:lang w:val="ru-RU" w:eastAsia="en-GB"/>
              </w:rPr>
            </w:pPr>
            <w:r w:rsidRPr="00521670">
              <w:rPr>
                <w:b/>
                <w:bCs/>
                <w:lang w:val="ru-RU" w:eastAsia="en-GB"/>
              </w:rPr>
              <w:t>203</w:t>
            </w:r>
          </w:p>
        </w:tc>
        <w:tc>
          <w:tcPr>
            <w:tcW w:w="1170" w:type="dxa"/>
            <w:tcBorders>
              <w:top w:val="nil"/>
              <w:left w:val="nil"/>
              <w:bottom w:val="nil"/>
              <w:right w:val="nil"/>
            </w:tcBorders>
            <w:shd w:val="clear" w:color="auto" w:fill="auto"/>
            <w:noWrap/>
            <w:vAlign w:val="bottom"/>
            <w:hideMark/>
          </w:tcPr>
          <w:p w14:paraId="5C6C7F1F" w14:textId="415213A4" w:rsidR="00555502" w:rsidRPr="00521670" w:rsidRDefault="00555502" w:rsidP="00555502">
            <w:pPr>
              <w:pStyle w:val="Tabletext"/>
              <w:jc w:val="right"/>
              <w:rPr>
                <w:b/>
                <w:bCs/>
                <w:lang w:val="ru-RU" w:eastAsia="en-GB"/>
              </w:rPr>
            </w:pPr>
            <w:r w:rsidRPr="00521670">
              <w:rPr>
                <w:b/>
                <w:bCs/>
                <w:lang w:val="ru-RU" w:eastAsia="en-GB"/>
              </w:rPr>
              <w:t>164 730</w:t>
            </w:r>
          </w:p>
        </w:tc>
        <w:tc>
          <w:tcPr>
            <w:tcW w:w="1530" w:type="dxa"/>
            <w:tcBorders>
              <w:top w:val="nil"/>
              <w:left w:val="nil"/>
              <w:bottom w:val="nil"/>
              <w:right w:val="nil"/>
            </w:tcBorders>
            <w:shd w:val="clear" w:color="auto" w:fill="auto"/>
            <w:noWrap/>
            <w:vAlign w:val="bottom"/>
            <w:hideMark/>
          </w:tcPr>
          <w:p w14:paraId="49559D74" w14:textId="04C85A7E" w:rsidR="00555502" w:rsidRPr="00521670" w:rsidRDefault="00555502" w:rsidP="00555502">
            <w:pPr>
              <w:pStyle w:val="Tabletext"/>
              <w:jc w:val="right"/>
              <w:rPr>
                <w:b/>
                <w:bCs/>
                <w:lang w:val="ru-RU" w:eastAsia="en-GB"/>
              </w:rPr>
            </w:pPr>
            <w:r w:rsidRPr="00521670">
              <w:rPr>
                <w:b/>
                <w:bCs/>
                <w:lang w:val="ru-RU" w:eastAsia="en-GB"/>
              </w:rPr>
              <w:t>161 481</w:t>
            </w:r>
          </w:p>
        </w:tc>
        <w:tc>
          <w:tcPr>
            <w:tcW w:w="1440" w:type="dxa"/>
            <w:tcBorders>
              <w:top w:val="nil"/>
              <w:left w:val="nil"/>
              <w:bottom w:val="nil"/>
              <w:right w:val="nil"/>
            </w:tcBorders>
            <w:shd w:val="clear" w:color="auto" w:fill="auto"/>
            <w:noWrap/>
            <w:vAlign w:val="bottom"/>
            <w:hideMark/>
          </w:tcPr>
          <w:p w14:paraId="74865922" w14:textId="798B3CFE" w:rsidR="00555502" w:rsidRPr="00521670" w:rsidRDefault="00555502" w:rsidP="00555502">
            <w:pPr>
              <w:pStyle w:val="Tabletext"/>
              <w:jc w:val="right"/>
              <w:rPr>
                <w:b/>
                <w:bCs/>
                <w:lang w:val="ru-RU" w:eastAsia="en-GB"/>
              </w:rPr>
            </w:pPr>
            <w:r w:rsidRPr="00521670">
              <w:rPr>
                <w:b/>
                <w:bCs/>
                <w:lang w:val="ru-RU" w:eastAsia="en-GB"/>
              </w:rPr>
              <w:t>(3 249)</w:t>
            </w:r>
          </w:p>
        </w:tc>
      </w:tr>
      <w:tr w:rsidR="00CC1F3B" w:rsidRPr="00521670" w14:paraId="75A5260C" w14:textId="77777777" w:rsidTr="00675697">
        <w:trPr>
          <w:trHeight w:val="109"/>
        </w:trPr>
        <w:tc>
          <w:tcPr>
            <w:tcW w:w="3060" w:type="dxa"/>
            <w:tcBorders>
              <w:top w:val="nil"/>
              <w:left w:val="nil"/>
              <w:bottom w:val="nil"/>
              <w:right w:val="nil"/>
            </w:tcBorders>
            <w:shd w:val="clear" w:color="auto" w:fill="auto"/>
            <w:noWrap/>
            <w:vAlign w:val="center"/>
            <w:hideMark/>
          </w:tcPr>
          <w:p w14:paraId="3270499D"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bottom"/>
            <w:hideMark/>
          </w:tcPr>
          <w:p w14:paraId="18C4D2EC"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bottom"/>
            <w:hideMark/>
          </w:tcPr>
          <w:p w14:paraId="51DC54C4"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bottom"/>
            <w:hideMark/>
          </w:tcPr>
          <w:p w14:paraId="0CACC36A" w14:textId="77777777" w:rsidR="00555502" w:rsidRPr="00521670" w:rsidRDefault="00555502" w:rsidP="00DF5FEE">
            <w:pPr>
              <w:pStyle w:val="Tabletext"/>
              <w:rPr>
                <w:lang w:val="ru-RU" w:eastAsia="en-GB"/>
              </w:rPr>
            </w:pPr>
          </w:p>
        </w:tc>
        <w:tc>
          <w:tcPr>
            <w:tcW w:w="1530" w:type="dxa"/>
            <w:tcBorders>
              <w:top w:val="nil"/>
              <w:left w:val="nil"/>
              <w:bottom w:val="nil"/>
              <w:right w:val="nil"/>
            </w:tcBorders>
            <w:shd w:val="clear" w:color="auto" w:fill="auto"/>
            <w:noWrap/>
            <w:vAlign w:val="bottom"/>
            <w:hideMark/>
          </w:tcPr>
          <w:p w14:paraId="5AD175AD" w14:textId="77777777" w:rsidR="00555502" w:rsidRPr="00521670" w:rsidRDefault="00555502" w:rsidP="00DF5FEE">
            <w:pPr>
              <w:pStyle w:val="Tabletext"/>
              <w:rPr>
                <w:lang w:val="ru-RU" w:eastAsia="en-GB"/>
              </w:rPr>
            </w:pPr>
          </w:p>
        </w:tc>
        <w:tc>
          <w:tcPr>
            <w:tcW w:w="1440" w:type="dxa"/>
            <w:tcBorders>
              <w:top w:val="nil"/>
              <w:left w:val="nil"/>
              <w:bottom w:val="nil"/>
              <w:right w:val="nil"/>
            </w:tcBorders>
            <w:shd w:val="clear" w:color="auto" w:fill="auto"/>
            <w:noWrap/>
            <w:vAlign w:val="bottom"/>
            <w:hideMark/>
          </w:tcPr>
          <w:p w14:paraId="309C4238" w14:textId="77777777" w:rsidR="00555502" w:rsidRPr="00521670" w:rsidRDefault="00555502" w:rsidP="00DF5FEE">
            <w:pPr>
              <w:pStyle w:val="Tabletext"/>
              <w:rPr>
                <w:lang w:val="ru-RU" w:eastAsia="en-GB"/>
              </w:rPr>
            </w:pPr>
          </w:p>
        </w:tc>
      </w:tr>
      <w:tr w:rsidR="00CC1F3B" w:rsidRPr="00521670" w14:paraId="2682D2DF" w14:textId="77777777" w:rsidTr="00675697">
        <w:trPr>
          <w:trHeight w:val="255"/>
        </w:trPr>
        <w:tc>
          <w:tcPr>
            <w:tcW w:w="3060" w:type="dxa"/>
            <w:tcBorders>
              <w:top w:val="nil"/>
              <w:left w:val="nil"/>
              <w:bottom w:val="nil"/>
              <w:right w:val="nil"/>
            </w:tcBorders>
            <w:shd w:val="clear" w:color="auto" w:fill="auto"/>
            <w:noWrap/>
            <w:vAlign w:val="center"/>
            <w:hideMark/>
          </w:tcPr>
          <w:p w14:paraId="5BB1940B" w14:textId="67686D18" w:rsidR="00555502" w:rsidRPr="00521670" w:rsidRDefault="00CC1F3B" w:rsidP="00DF5FEE">
            <w:pPr>
              <w:pStyle w:val="Tabletext"/>
              <w:rPr>
                <w:b/>
                <w:bCs/>
                <w:szCs w:val="16"/>
                <w:lang w:val="ru-RU" w:eastAsia="en-GB"/>
              </w:rPr>
            </w:pPr>
            <w:r w:rsidRPr="00521670">
              <w:rPr>
                <w:b/>
                <w:bCs/>
                <w:szCs w:val="16"/>
                <w:lang w:val="ru-RU"/>
              </w:rPr>
              <w:t>Расходы</w:t>
            </w:r>
          </w:p>
        </w:tc>
        <w:tc>
          <w:tcPr>
            <w:tcW w:w="1170" w:type="dxa"/>
            <w:tcBorders>
              <w:top w:val="nil"/>
              <w:left w:val="nil"/>
              <w:bottom w:val="nil"/>
              <w:right w:val="nil"/>
            </w:tcBorders>
            <w:shd w:val="clear" w:color="auto" w:fill="auto"/>
            <w:noWrap/>
            <w:vAlign w:val="center"/>
            <w:hideMark/>
          </w:tcPr>
          <w:p w14:paraId="4689433C"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1AE53B74"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67267EC5" w14:textId="77777777" w:rsidR="00555502" w:rsidRPr="00521670" w:rsidRDefault="00555502" w:rsidP="00DF5FEE">
            <w:pPr>
              <w:pStyle w:val="Tabletext"/>
              <w:rPr>
                <w:lang w:val="ru-RU" w:eastAsia="en-GB"/>
              </w:rPr>
            </w:pPr>
          </w:p>
        </w:tc>
        <w:tc>
          <w:tcPr>
            <w:tcW w:w="1530" w:type="dxa"/>
            <w:tcBorders>
              <w:top w:val="nil"/>
              <w:left w:val="nil"/>
              <w:bottom w:val="nil"/>
              <w:right w:val="nil"/>
            </w:tcBorders>
            <w:shd w:val="clear" w:color="auto" w:fill="auto"/>
            <w:noWrap/>
            <w:vAlign w:val="center"/>
            <w:hideMark/>
          </w:tcPr>
          <w:p w14:paraId="4ADA3D28" w14:textId="77777777" w:rsidR="00555502" w:rsidRPr="00521670" w:rsidRDefault="00555502" w:rsidP="00DF5FEE">
            <w:pPr>
              <w:pStyle w:val="Tabletext"/>
              <w:rPr>
                <w:lang w:val="ru-RU" w:eastAsia="en-GB"/>
              </w:rPr>
            </w:pPr>
          </w:p>
        </w:tc>
        <w:tc>
          <w:tcPr>
            <w:tcW w:w="1440" w:type="dxa"/>
            <w:tcBorders>
              <w:top w:val="nil"/>
              <w:left w:val="nil"/>
              <w:bottom w:val="nil"/>
              <w:right w:val="nil"/>
            </w:tcBorders>
            <w:shd w:val="clear" w:color="auto" w:fill="auto"/>
            <w:noWrap/>
            <w:vAlign w:val="center"/>
            <w:hideMark/>
          </w:tcPr>
          <w:p w14:paraId="31690F75" w14:textId="77777777" w:rsidR="00555502" w:rsidRPr="00521670" w:rsidRDefault="00555502" w:rsidP="00DF5FEE">
            <w:pPr>
              <w:pStyle w:val="Tabletext"/>
              <w:rPr>
                <w:lang w:val="ru-RU" w:eastAsia="en-GB"/>
              </w:rPr>
            </w:pPr>
          </w:p>
        </w:tc>
      </w:tr>
      <w:tr w:rsidR="00CC1F3B" w:rsidRPr="00521670" w14:paraId="797F6B08" w14:textId="77777777" w:rsidTr="00675697">
        <w:trPr>
          <w:trHeight w:val="139"/>
        </w:trPr>
        <w:tc>
          <w:tcPr>
            <w:tcW w:w="3060" w:type="dxa"/>
            <w:tcBorders>
              <w:top w:val="nil"/>
              <w:left w:val="nil"/>
              <w:bottom w:val="nil"/>
              <w:right w:val="nil"/>
            </w:tcBorders>
            <w:shd w:val="clear" w:color="auto" w:fill="auto"/>
            <w:noWrap/>
            <w:vAlign w:val="center"/>
            <w:hideMark/>
          </w:tcPr>
          <w:p w14:paraId="03E086EA" w14:textId="77777777" w:rsidR="00555502" w:rsidRPr="00521670" w:rsidRDefault="00555502" w:rsidP="00DF5FEE">
            <w:pPr>
              <w:pStyle w:val="Tabletext"/>
              <w:rPr>
                <w:szCs w:val="16"/>
                <w:lang w:val="ru-RU" w:eastAsia="en-GB"/>
              </w:rPr>
            </w:pPr>
          </w:p>
        </w:tc>
        <w:tc>
          <w:tcPr>
            <w:tcW w:w="1170" w:type="dxa"/>
            <w:tcBorders>
              <w:top w:val="nil"/>
              <w:left w:val="nil"/>
              <w:bottom w:val="nil"/>
              <w:right w:val="nil"/>
            </w:tcBorders>
            <w:shd w:val="clear" w:color="auto" w:fill="auto"/>
            <w:noWrap/>
            <w:vAlign w:val="center"/>
            <w:hideMark/>
          </w:tcPr>
          <w:p w14:paraId="57A46093"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5819CFA0"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center"/>
            <w:hideMark/>
          </w:tcPr>
          <w:p w14:paraId="713F205D" w14:textId="77777777" w:rsidR="00555502" w:rsidRPr="00521670" w:rsidRDefault="00555502" w:rsidP="00DF5FEE">
            <w:pPr>
              <w:pStyle w:val="Tabletext"/>
              <w:rPr>
                <w:lang w:val="ru-RU" w:eastAsia="en-GB"/>
              </w:rPr>
            </w:pPr>
          </w:p>
        </w:tc>
        <w:tc>
          <w:tcPr>
            <w:tcW w:w="1530" w:type="dxa"/>
            <w:tcBorders>
              <w:top w:val="nil"/>
              <w:left w:val="nil"/>
              <w:bottom w:val="nil"/>
              <w:right w:val="nil"/>
            </w:tcBorders>
            <w:shd w:val="clear" w:color="auto" w:fill="auto"/>
            <w:noWrap/>
            <w:vAlign w:val="center"/>
            <w:hideMark/>
          </w:tcPr>
          <w:p w14:paraId="1DC97790" w14:textId="77777777" w:rsidR="00555502" w:rsidRPr="00521670" w:rsidRDefault="00555502" w:rsidP="00DF5FEE">
            <w:pPr>
              <w:pStyle w:val="Tabletext"/>
              <w:rPr>
                <w:lang w:val="ru-RU" w:eastAsia="en-GB"/>
              </w:rPr>
            </w:pPr>
          </w:p>
        </w:tc>
        <w:tc>
          <w:tcPr>
            <w:tcW w:w="1440" w:type="dxa"/>
            <w:tcBorders>
              <w:top w:val="nil"/>
              <w:left w:val="nil"/>
              <w:bottom w:val="nil"/>
              <w:right w:val="nil"/>
            </w:tcBorders>
            <w:shd w:val="clear" w:color="auto" w:fill="auto"/>
            <w:noWrap/>
            <w:vAlign w:val="center"/>
            <w:hideMark/>
          </w:tcPr>
          <w:p w14:paraId="54FC98D1" w14:textId="77777777" w:rsidR="00555502" w:rsidRPr="00521670" w:rsidRDefault="00555502" w:rsidP="00DF5FEE">
            <w:pPr>
              <w:pStyle w:val="Tabletext"/>
              <w:rPr>
                <w:lang w:val="ru-RU" w:eastAsia="en-GB"/>
              </w:rPr>
            </w:pPr>
          </w:p>
        </w:tc>
      </w:tr>
      <w:tr w:rsidR="00CC1F3B" w:rsidRPr="00521670" w14:paraId="2083A102" w14:textId="77777777" w:rsidTr="00675697">
        <w:trPr>
          <w:trHeight w:val="255"/>
        </w:trPr>
        <w:tc>
          <w:tcPr>
            <w:tcW w:w="3060" w:type="dxa"/>
            <w:tcBorders>
              <w:top w:val="nil"/>
              <w:left w:val="nil"/>
              <w:bottom w:val="nil"/>
              <w:right w:val="nil"/>
            </w:tcBorders>
            <w:shd w:val="clear" w:color="auto" w:fill="auto"/>
            <w:noWrap/>
            <w:hideMark/>
          </w:tcPr>
          <w:p w14:paraId="2839FB55" w14:textId="58C10EF5" w:rsidR="00CC1F3B" w:rsidRPr="00521670" w:rsidRDefault="00CC1F3B" w:rsidP="00CC1F3B">
            <w:pPr>
              <w:pStyle w:val="Tabletext"/>
              <w:rPr>
                <w:szCs w:val="16"/>
                <w:lang w:val="ru-RU" w:eastAsia="en-GB"/>
              </w:rPr>
            </w:pPr>
            <w:r w:rsidRPr="00521670">
              <w:rPr>
                <w:szCs w:val="16"/>
                <w:lang w:val="ru-RU"/>
              </w:rPr>
              <w:t>Генеральный секретариат</w:t>
            </w:r>
          </w:p>
        </w:tc>
        <w:tc>
          <w:tcPr>
            <w:tcW w:w="1170" w:type="dxa"/>
            <w:tcBorders>
              <w:top w:val="nil"/>
              <w:left w:val="nil"/>
              <w:bottom w:val="nil"/>
              <w:right w:val="nil"/>
            </w:tcBorders>
            <w:shd w:val="clear" w:color="auto" w:fill="auto"/>
            <w:noWrap/>
            <w:vAlign w:val="bottom"/>
            <w:hideMark/>
          </w:tcPr>
          <w:p w14:paraId="536BB53C" w14:textId="04676E4F" w:rsidR="00CC1F3B" w:rsidRPr="00521670" w:rsidRDefault="00CC1F3B" w:rsidP="00CC1F3B">
            <w:pPr>
              <w:pStyle w:val="Tabletext"/>
              <w:jc w:val="right"/>
              <w:rPr>
                <w:lang w:val="ru-RU" w:eastAsia="en-GB"/>
              </w:rPr>
            </w:pPr>
            <w:r w:rsidRPr="00521670">
              <w:rPr>
                <w:lang w:val="ru-RU" w:eastAsia="en-GB"/>
              </w:rPr>
              <w:t>90 789</w:t>
            </w:r>
          </w:p>
        </w:tc>
        <w:tc>
          <w:tcPr>
            <w:tcW w:w="1170" w:type="dxa"/>
            <w:tcBorders>
              <w:top w:val="nil"/>
              <w:left w:val="nil"/>
              <w:bottom w:val="nil"/>
              <w:right w:val="nil"/>
            </w:tcBorders>
            <w:shd w:val="clear" w:color="auto" w:fill="auto"/>
            <w:noWrap/>
            <w:vAlign w:val="bottom"/>
            <w:hideMark/>
          </w:tcPr>
          <w:p w14:paraId="661491F7"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3E30A266" w14:textId="5C535818" w:rsidR="00CC1F3B" w:rsidRPr="00521670" w:rsidRDefault="00CC1F3B" w:rsidP="00CC1F3B">
            <w:pPr>
              <w:pStyle w:val="Tabletext"/>
              <w:jc w:val="right"/>
              <w:rPr>
                <w:lang w:val="ru-RU" w:eastAsia="en-GB"/>
              </w:rPr>
            </w:pPr>
            <w:r w:rsidRPr="00521670">
              <w:rPr>
                <w:lang w:val="ru-RU" w:eastAsia="en-GB"/>
              </w:rPr>
              <w:t>90 789</w:t>
            </w:r>
          </w:p>
        </w:tc>
        <w:tc>
          <w:tcPr>
            <w:tcW w:w="1530" w:type="dxa"/>
            <w:tcBorders>
              <w:top w:val="nil"/>
              <w:left w:val="nil"/>
              <w:bottom w:val="nil"/>
              <w:right w:val="nil"/>
            </w:tcBorders>
            <w:shd w:val="clear" w:color="auto" w:fill="auto"/>
            <w:noWrap/>
            <w:vAlign w:val="bottom"/>
            <w:hideMark/>
          </w:tcPr>
          <w:p w14:paraId="6AD2EB95" w14:textId="34A295A3" w:rsidR="00CC1F3B" w:rsidRPr="00521670" w:rsidRDefault="00CC1F3B" w:rsidP="00CC1F3B">
            <w:pPr>
              <w:pStyle w:val="Tabletext"/>
              <w:jc w:val="right"/>
              <w:rPr>
                <w:lang w:val="ru-RU" w:eastAsia="en-GB"/>
              </w:rPr>
            </w:pPr>
            <w:r w:rsidRPr="00521670">
              <w:rPr>
                <w:lang w:val="ru-RU" w:eastAsia="en-GB"/>
              </w:rPr>
              <w:t>85 578</w:t>
            </w:r>
          </w:p>
        </w:tc>
        <w:tc>
          <w:tcPr>
            <w:tcW w:w="1440" w:type="dxa"/>
            <w:tcBorders>
              <w:top w:val="nil"/>
              <w:left w:val="nil"/>
              <w:bottom w:val="nil"/>
              <w:right w:val="nil"/>
            </w:tcBorders>
            <w:shd w:val="clear" w:color="auto" w:fill="auto"/>
            <w:noWrap/>
            <w:vAlign w:val="bottom"/>
            <w:hideMark/>
          </w:tcPr>
          <w:p w14:paraId="38A4ACBD" w14:textId="28ADF527" w:rsidR="00CC1F3B" w:rsidRPr="00521670" w:rsidRDefault="00CC1F3B" w:rsidP="00CC1F3B">
            <w:pPr>
              <w:pStyle w:val="Tabletext"/>
              <w:jc w:val="right"/>
              <w:rPr>
                <w:lang w:val="ru-RU" w:eastAsia="en-GB"/>
              </w:rPr>
            </w:pPr>
            <w:r w:rsidRPr="00521670">
              <w:rPr>
                <w:lang w:val="ru-RU" w:eastAsia="en-GB"/>
              </w:rPr>
              <w:t>5 211</w:t>
            </w:r>
          </w:p>
        </w:tc>
      </w:tr>
      <w:tr w:rsidR="00CC1F3B" w:rsidRPr="00521670" w14:paraId="1A3DCAF8" w14:textId="77777777" w:rsidTr="00675697">
        <w:trPr>
          <w:trHeight w:val="255"/>
        </w:trPr>
        <w:tc>
          <w:tcPr>
            <w:tcW w:w="3060" w:type="dxa"/>
            <w:tcBorders>
              <w:top w:val="nil"/>
              <w:left w:val="nil"/>
              <w:bottom w:val="nil"/>
              <w:right w:val="nil"/>
            </w:tcBorders>
            <w:shd w:val="clear" w:color="auto" w:fill="auto"/>
            <w:noWrap/>
            <w:hideMark/>
          </w:tcPr>
          <w:p w14:paraId="74C4951A" w14:textId="7F7B8985" w:rsidR="00CC1F3B" w:rsidRPr="00521670" w:rsidRDefault="00CC1F3B" w:rsidP="00CC1F3B">
            <w:pPr>
              <w:pStyle w:val="Tabletext"/>
              <w:rPr>
                <w:szCs w:val="16"/>
                <w:lang w:val="ru-RU" w:eastAsia="en-GB"/>
              </w:rPr>
            </w:pPr>
            <w:r w:rsidRPr="00521670">
              <w:rPr>
                <w:szCs w:val="16"/>
                <w:lang w:val="ru-RU"/>
              </w:rPr>
              <w:t>Сектор радиосвязи</w:t>
            </w:r>
          </w:p>
        </w:tc>
        <w:tc>
          <w:tcPr>
            <w:tcW w:w="1170" w:type="dxa"/>
            <w:tcBorders>
              <w:top w:val="nil"/>
              <w:left w:val="nil"/>
              <w:bottom w:val="nil"/>
              <w:right w:val="nil"/>
            </w:tcBorders>
            <w:shd w:val="clear" w:color="auto" w:fill="auto"/>
            <w:noWrap/>
            <w:vAlign w:val="bottom"/>
            <w:hideMark/>
          </w:tcPr>
          <w:p w14:paraId="3498FC4F" w14:textId="7A2478AE" w:rsidR="00CC1F3B" w:rsidRPr="00521670" w:rsidRDefault="00CC1F3B" w:rsidP="00CC1F3B">
            <w:pPr>
              <w:pStyle w:val="Tabletext"/>
              <w:jc w:val="right"/>
              <w:rPr>
                <w:lang w:val="ru-RU" w:eastAsia="en-GB"/>
              </w:rPr>
            </w:pPr>
            <w:r w:rsidRPr="00521670">
              <w:rPr>
                <w:lang w:val="ru-RU" w:eastAsia="en-GB"/>
              </w:rPr>
              <w:t>30 222</w:t>
            </w:r>
          </w:p>
        </w:tc>
        <w:tc>
          <w:tcPr>
            <w:tcW w:w="1170" w:type="dxa"/>
            <w:tcBorders>
              <w:top w:val="nil"/>
              <w:left w:val="nil"/>
              <w:bottom w:val="nil"/>
              <w:right w:val="nil"/>
            </w:tcBorders>
            <w:shd w:val="clear" w:color="auto" w:fill="auto"/>
            <w:noWrap/>
            <w:vAlign w:val="bottom"/>
            <w:hideMark/>
          </w:tcPr>
          <w:p w14:paraId="6C1431E5"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5DCB1E2B" w14:textId="216BE70C" w:rsidR="00CC1F3B" w:rsidRPr="00521670" w:rsidRDefault="00CC1F3B" w:rsidP="00CC1F3B">
            <w:pPr>
              <w:pStyle w:val="Tabletext"/>
              <w:jc w:val="right"/>
              <w:rPr>
                <w:lang w:val="ru-RU" w:eastAsia="en-GB"/>
              </w:rPr>
            </w:pPr>
            <w:r w:rsidRPr="00521670">
              <w:rPr>
                <w:lang w:val="ru-RU" w:eastAsia="en-GB"/>
              </w:rPr>
              <w:t>30 222</w:t>
            </w:r>
          </w:p>
        </w:tc>
        <w:tc>
          <w:tcPr>
            <w:tcW w:w="1530" w:type="dxa"/>
            <w:tcBorders>
              <w:top w:val="nil"/>
              <w:left w:val="nil"/>
              <w:bottom w:val="nil"/>
              <w:right w:val="nil"/>
            </w:tcBorders>
            <w:shd w:val="clear" w:color="auto" w:fill="auto"/>
            <w:noWrap/>
            <w:vAlign w:val="bottom"/>
            <w:hideMark/>
          </w:tcPr>
          <w:p w14:paraId="54513AC0" w14:textId="5765FBB7" w:rsidR="00CC1F3B" w:rsidRPr="00521670" w:rsidRDefault="00CC1F3B" w:rsidP="00CC1F3B">
            <w:pPr>
              <w:pStyle w:val="Tabletext"/>
              <w:jc w:val="right"/>
              <w:rPr>
                <w:lang w:val="ru-RU" w:eastAsia="en-GB"/>
              </w:rPr>
            </w:pPr>
            <w:r w:rsidRPr="00521670">
              <w:rPr>
                <w:lang w:val="ru-RU" w:eastAsia="en-GB"/>
              </w:rPr>
              <w:t>28 654</w:t>
            </w:r>
          </w:p>
        </w:tc>
        <w:tc>
          <w:tcPr>
            <w:tcW w:w="1440" w:type="dxa"/>
            <w:tcBorders>
              <w:top w:val="nil"/>
              <w:left w:val="nil"/>
              <w:bottom w:val="nil"/>
              <w:right w:val="nil"/>
            </w:tcBorders>
            <w:shd w:val="clear" w:color="auto" w:fill="auto"/>
            <w:noWrap/>
            <w:vAlign w:val="bottom"/>
            <w:hideMark/>
          </w:tcPr>
          <w:p w14:paraId="4B47BD81" w14:textId="211B00FD" w:rsidR="00CC1F3B" w:rsidRPr="00521670" w:rsidRDefault="00CC1F3B" w:rsidP="00CC1F3B">
            <w:pPr>
              <w:pStyle w:val="Tabletext"/>
              <w:jc w:val="right"/>
              <w:rPr>
                <w:lang w:val="ru-RU" w:eastAsia="en-GB"/>
              </w:rPr>
            </w:pPr>
            <w:r w:rsidRPr="00521670">
              <w:rPr>
                <w:lang w:val="ru-RU" w:eastAsia="en-GB"/>
              </w:rPr>
              <w:t>1 568</w:t>
            </w:r>
          </w:p>
        </w:tc>
      </w:tr>
      <w:tr w:rsidR="00CC1F3B" w:rsidRPr="00521670" w14:paraId="6C2A963E" w14:textId="77777777" w:rsidTr="00675697">
        <w:trPr>
          <w:trHeight w:val="270"/>
        </w:trPr>
        <w:tc>
          <w:tcPr>
            <w:tcW w:w="3060" w:type="dxa"/>
            <w:tcBorders>
              <w:top w:val="nil"/>
              <w:left w:val="nil"/>
              <w:bottom w:val="nil"/>
              <w:right w:val="nil"/>
            </w:tcBorders>
            <w:shd w:val="clear" w:color="auto" w:fill="auto"/>
            <w:noWrap/>
            <w:hideMark/>
          </w:tcPr>
          <w:p w14:paraId="4FA03C0C" w14:textId="5958B797" w:rsidR="00CC1F3B" w:rsidRPr="00521670" w:rsidRDefault="00CC1F3B" w:rsidP="00CC1F3B">
            <w:pPr>
              <w:pStyle w:val="Tabletext"/>
              <w:rPr>
                <w:szCs w:val="16"/>
                <w:lang w:val="ru-RU" w:eastAsia="en-GB"/>
              </w:rPr>
            </w:pPr>
            <w:r w:rsidRPr="00521670">
              <w:rPr>
                <w:szCs w:val="16"/>
                <w:lang w:val="ru-RU"/>
              </w:rPr>
              <w:t>Сектор стандартизации электросвязи</w:t>
            </w:r>
          </w:p>
        </w:tc>
        <w:tc>
          <w:tcPr>
            <w:tcW w:w="1170" w:type="dxa"/>
            <w:tcBorders>
              <w:top w:val="nil"/>
              <w:left w:val="nil"/>
              <w:bottom w:val="nil"/>
              <w:right w:val="nil"/>
            </w:tcBorders>
            <w:shd w:val="clear" w:color="auto" w:fill="auto"/>
            <w:noWrap/>
            <w:vAlign w:val="bottom"/>
            <w:hideMark/>
          </w:tcPr>
          <w:p w14:paraId="512C7BCA" w14:textId="11C70C9F" w:rsidR="00CC1F3B" w:rsidRPr="00521670" w:rsidRDefault="00CC1F3B" w:rsidP="00CC1F3B">
            <w:pPr>
              <w:pStyle w:val="Tabletext"/>
              <w:jc w:val="right"/>
              <w:rPr>
                <w:lang w:val="ru-RU" w:eastAsia="en-GB"/>
              </w:rPr>
            </w:pPr>
            <w:r w:rsidRPr="00521670">
              <w:rPr>
                <w:lang w:val="ru-RU" w:eastAsia="en-GB"/>
              </w:rPr>
              <w:t>14 705</w:t>
            </w:r>
          </w:p>
        </w:tc>
        <w:tc>
          <w:tcPr>
            <w:tcW w:w="1170" w:type="dxa"/>
            <w:tcBorders>
              <w:top w:val="nil"/>
              <w:left w:val="nil"/>
              <w:bottom w:val="nil"/>
              <w:right w:val="nil"/>
            </w:tcBorders>
            <w:shd w:val="clear" w:color="auto" w:fill="auto"/>
            <w:noWrap/>
            <w:vAlign w:val="bottom"/>
            <w:hideMark/>
          </w:tcPr>
          <w:p w14:paraId="3295CFA6"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384BCFEC" w14:textId="431E8F16" w:rsidR="00CC1F3B" w:rsidRPr="00521670" w:rsidRDefault="00CC1F3B" w:rsidP="00CC1F3B">
            <w:pPr>
              <w:pStyle w:val="Tabletext"/>
              <w:jc w:val="right"/>
              <w:rPr>
                <w:lang w:val="ru-RU" w:eastAsia="en-GB"/>
              </w:rPr>
            </w:pPr>
            <w:r w:rsidRPr="00521670">
              <w:rPr>
                <w:lang w:val="ru-RU" w:eastAsia="en-GB"/>
              </w:rPr>
              <w:t>14 705</w:t>
            </w:r>
          </w:p>
        </w:tc>
        <w:tc>
          <w:tcPr>
            <w:tcW w:w="1530" w:type="dxa"/>
            <w:tcBorders>
              <w:top w:val="nil"/>
              <w:left w:val="nil"/>
              <w:bottom w:val="nil"/>
              <w:right w:val="nil"/>
            </w:tcBorders>
            <w:shd w:val="clear" w:color="auto" w:fill="auto"/>
            <w:noWrap/>
            <w:vAlign w:val="bottom"/>
            <w:hideMark/>
          </w:tcPr>
          <w:p w14:paraId="4F74688D" w14:textId="7847DD5D" w:rsidR="00CC1F3B" w:rsidRPr="00521670" w:rsidRDefault="00CC1F3B" w:rsidP="00CC1F3B">
            <w:pPr>
              <w:pStyle w:val="Tabletext"/>
              <w:jc w:val="right"/>
              <w:rPr>
                <w:lang w:val="ru-RU" w:eastAsia="en-GB"/>
              </w:rPr>
            </w:pPr>
            <w:r w:rsidRPr="00521670">
              <w:rPr>
                <w:lang w:val="ru-RU" w:eastAsia="en-GB"/>
              </w:rPr>
              <w:t>14 617</w:t>
            </w:r>
          </w:p>
        </w:tc>
        <w:tc>
          <w:tcPr>
            <w:tcW w:w="1440" w:type="dxa"/>
            <w:tcBorders>
              <w:top w:val="nil"/>
              <w:left w:val="nil"/>
              <w:bottom w:val="nil"/>
              <w:right w:val="nil"/>
            </w:tcBorders>
            <w:shd w:val="clear" w:color="auto" w:fill="auto"/>
            <w:noWrap/>
            <w:vAlign w:val="bottom"/>
            <w:hideMark/>
          </w:tcPr>
          <w:p w14:paraId="3FDBBE91" w14:textId="55A36CBA" w:rsidR="00CC1F3B" w:rsidRPr="00521670" w:rsidRDefault="00CC1F3B" w:rsidP="00CC1F3B">
            <w:pPr>
              <w:pStyle w:val="Tabletext"/>
              <w:jc w:val="right"/>
              <w:rPr>
                <w:lang w:val="ru-RU" w:eastAsia="en-GB"/>
              </w:rPr>
            </w:pPr>
            <w:r w:rsidRPr="00521670">
              <w:rPr>
                <w:lang w:val="ru-RU" w:eastAsia="en-GB"/>
              </w:rPr>
              <w:t>88</w:t>
            </w:r>
          </w:p>
        </w:tc>
      </w:tr>
      <w:tr w:rsidR="00CC1F3B" w:rsidRPr="00521670" w14:paraId="570C1844" w14:textId="77777777" w:rsidTr="00675697">
        <w:trPr>
          <w:trHeight w:val="240"/>
        </w:trPr>
        <w:tc>
          <w:tcPr>
            <w:tcW w:w="3060" w:type="dxa"/>
            <w:tcBorders>
              <w:top w:val="nil"/>
              <w:left w:val="nil"/>
              <w:bottom w:val="nil"/>
              <w:right w:val="nil"/>
            </w:tcBorders>
            <w:shd w:val="clear" w:color="auto" w:fill="auto"/>
            <w:noWrap/>
            <w:hideMark/>
          </w:tcPr>
          <w:p w14:paraId="38D2B2FF" w14:textId="69232842" w:rsidR="00CC1F3B" w:rsidRPr="00521670" w:rsidRDefault="00CC1F3B" w:rsidP="00CC1F3B">
            <w:pPr>
              <w:pStyle w:val="Tabletext"/>
              <w:rPr>
                <w:szCs w:val="16"/>
                <w:lang w:val="ru-RU" w:eastAsia="en-GB"/>
              </w:rPr>
            </w:pPr>
            <w:r w:rsidRPr="00521670">
              <w:rPr>
                <w:szCs w:val="16"/>
                <w:lang w:val="ru-RU"/>
              </w:rPr>
              <w:t>Сектор развития электросвязи</w:t>
            </w:r>
          </w:p>
        </w:tc>
        <w:tc>
          <w:tcPr>
            <w:tcW w:w="1170" w:type="dxa"/>
            <w:tcBorders>
              <w:top w:val="nil"/>
              <w:left w:val="nil"/>
              <w:bottom w:val="nil"/>
              <w:right w:val="nil"/>
            </w:tcBorders>
            <w:shd w:val="clear" w:color="auto" w:fill="auto"/>
            <w:noWrap/>
            <w:vAlign w:val="bottom"/>
            <w:hideMark/>
          </w:tcPr>
          <w:p w14:paraId="0629BED3" w14:textId="7267A0D8" w:rsidR="00CC1F3B" w:rsidRPr="00521670" w:rsidRDefault="00CC1F3B" w:rsidP="00CC1F3B">
            <w:pPr>
              <w:pStyle w:val="Tabletext"/>
              <w:jc w:val="right"/>
              <w:rPr>
                <w:lang w:val="ru-RU" w:eastAsia="en-GB"/>
              </w:rPr>
            </w:pPr>
            <w:r w:rsidRPr="00521670">
              <w:rPr>
                <w:lang w:val="ru-RU" w:eastAsia="en-GB"/>
              </w:rPr>
              <w:t>29 217</w:t>
            </w:r>
          </w:p>
        </w:tc>
        <w:tc>
          <w:tcPr>
            <w:tcW w:w="1170" w:type="dxa"/>
            <w:tcBorders>
              <w:top w:val="nil"/>
              <w:left w:val="nil"/>
              <w:bottom w:val="nil"/>
              <w:right w:val="nil"/>
            </w:tcBorders>
            <w:shd w:val="clear" w:color="auto" w:fill="auto"/>
            <w:noWrap/>
            <w:vAlign w:val="bottom"/>
            <w:hideMark/>
          </w:tcPr>
          <w:p w14:paraId="0A8A647F" w14:textId="4AE5E728" w:rsidR="00CC1F3B" w:rsidRPr="00521670" w:rsidRDefault="00CC1F3B" w:rsidP="00CC1F3B">
            <w:pPr>
              <w:pStyle w:val="Tabletext"/>
              <w:jc w:val="right"/>
              <w:rPr>
                <w:lang w:val="ru-RU" w:eastAsia="en-GB"/>
              </w:rPr>
            </w:pPr>
            <w:r w:rsidRPr="00521670">
              <w:rPr>
                <w:lang w:val="ru-RU" w:eastAsia="en-GB"/>
              </w:rPr>
              <w:t>203</w:t>
            </w:r>
          </w:p>
        </w:tc>
        <w:tc>
          <w:tcPr>
            <w:tcW w:w="1170" w:type="dxa"/>
            <w:tcBorders>
              <w:top w:val="nil"/>
              <w:left w:val="nil"/>
              <w:bottom w:val="nil"/>
              <w:right w:val="nil"/>
            </w:tcBorders>
            <w:shd w:val="clear" w:color="auto" w:fill="auto"/>
            <w:noWrap/>
            <w:vAlign w:val="bottom"/>
            <w:hideMark/>
          </w:tcPr>
          <w:p w14:paraId="7A3E0651" w14:textId="0A01461E" w:rsidR="00CC1F3B" w:rsidRPr="00521670" w:rsidRDefault="00CC1F3B" w:rsidP="00CC1F3B">
            <w:pPr>
              <w:pStyle w:val="Tabletext"/>
              <w:jc w:val="right"/>
              <w:rPr>
                <w:lang w:val="ru-RU" w:eastAsia="en-GB"/>
              </w:rPr>
            </w:pPr>
            <w:r w:rsidRPr="00521670">
              <w:rPr>
                <w:lang w:val="ru-RU" w:eastAsia="en-GB"/>
              </w:rPr>
              <w:t>29 014</w:t>
            </w:r>
          </w:p>
        </w:tc>
        <w:tc>
          <w:tcPr>
            <w:tcW w:w="1530" w:type="dxa"/>
            <w:tcBorders>
              <w:top w:val="nil"/>
              <w:left w:val="nil"/>
              <w:bottom w:val="nil"/>
              <w:right w:val="nil"/>
            </w:tcBorders>
            <w:shd w:val="clear" w:color="auto" w:fill="auto"/>
            <w:noWrap/>
            <w:vAlign w:val="bottom"/>
            <w:hideMark/>
          </w:tcPr>
          <w:p w14:paraId="38855BBF" w14:textId="05B8FA6D" w:rsidR="00CC1F3B" w:rsidRPr="00521670" w:rsidRDefault="00CC1F3B" w:rsidP="00CC1F3B">
            <w:pPr>
              <w:pStyle w:val="Tabletext"/>
              <w:jc w:val="right"/>
              <w:rPr>
                <w:lang w:val="ru-RU" w:eastAsia="en-GB"/>
              </w:rPr>
            </w:pPr>
            <w:r w:rsidRPr="00521670">
              <w:rPr>
                <w:lang w:val="ru-RU" w:eastAsia="en-GB"/>
              </w:rPr>
              <w:t>26 981</w:t>
            </w:r>
          </w:p>
        </w:tc>
        <w:tc>
          <w:tcPr>
            <w:tcW w:w="1440" w:type="dxa"/>
            <w:tcBorders>
              <w:top w:val="nil"/>
              <w:left w:val="nil"/>
              <w:bottom w:val="nil"/>
              <w:right w:val="nil"/>
            </w:tcBorders>
            <w:shd w:val="clear" w:color="auto" w:fill="auto"/>
            <w:noWrap/>
            <w:vAlign w:val="bottom"/>
            <w:hideMark/>
          </w:tcPr>
          <w:p w14:paraId="6F1D6DD9" w14:textId="2C36B8FB" w:rsidR="00CC1F3B" w:rsidRPr="00521670" w:rsidRDefault="00CC1F3B" w:rsidP="00CC1F3B">
            <w:pPr>
              <w:pStyle w:val="Tabletext"/>
              <w:jc w:val="right"/>
              <w:rPr>
                <w:lang w:val="ru-RU" w:eastAsia="en-GB"/>
              </w:rPr>
            </w:pPr>
            <w:r w:rsidRPr="00521670">
              <w:rPr>
                <w:lang w:val="ru-RU" w:eastAsia="en-GB"/>
              </w:rPr>
              <w:t>2 033</w:t>
            </w:r>
          </w:p>
        </w:tc>
      </w:tr>
      <w:tr w:rsidR="00CC1F3B" w:rsidRPr="00521670" w14:paraId="1325E861" w14:textId="77777777" w:rsidTr="00675697">
        <w:trPr>
          <w:trHeight w:val="150"/>
        </w:trPr>
        <w:tc>
          <w:tcPr>
            <w:tcW w:w="3060" w:type="dxa"/>
            <w:tcBorders>
              <w:top w:val="nil"/>
              <w:left w:val="nil"/>
              <w:bottom w:val="nil"/>
              <w:right w:val="nil"/>
            </w:tcBorders>
            <w:shd w:val="clear" w:color="auto" w:fill="auto"/>
            <w:noWrap/>
            <w:vAlign w:val="bottom"/>
            <w:hideMark/>
          </w:tcPr>
          <w:p w14:paraId="060BBB0E" w14:textId="77777777" w:rsidR="00555502" w:rsidRPr="00521670" w:rsidRDefault="00555502" w:rsidP="00DF5FEE">
            <w:pPr>
              <w:pStyle w:val="Tabletext"/>
              <w:rPr>
                <w:szCs w:val="16"/>
                <w:lang w:val="ru-RU" w:eastAsia="en-GB"/>
              </w:rPr>
            </w:pPr>
          </w:p>
        </w:tc>
        <w:tc>
          <w:tcPr>
            <w:tcW w:w="1170" w:type="dxa"/>
            <w:tcBorders>
              <w:top w:val="nil"/>
              <w:left w:val="nil"/>
              <w:bottom w:val="nil"/>
              <w:right w:val="nil"/>
            </w:tcBorders>
            <w:shd w:val="clear" w:color="auto" w:fill="auto"/>
            <w:noWrap/>
            <w:vAlign w:val="bottom"/>
            <w:hideMark/>
          </w:tcPr>
          <w:p w14:paraId="0B13AD1B"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0CE48DF3"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37264C0A" w14:textId="74B9B092" w:rsidR="00555502" w:rsidRPr="00521670" w:rsidRDefault="00555502" w:rsidP="00555502">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533FEE47" w14:textId="77777777" w:rsidR="00555502" w:rsidRPr="00521670" w:rsidRDefault="00555502" w:rsidP="00555502">
            <w:pPr>
              <w:pStyle w:val="Tabletext"/>
              <w:jc w:val="right"/>
              <w:rPr>
                <w:lang w:val="ru-RU" w:eastAsia="en-GB"/>
              </w:rPr>
            </w:pPr>
          </w:p>
        </w:tc>
        <w:tc>
          <w:tcPr>
            <w:tcW w:w="1440" w:type="dxa"/>
            <w:tcBorders>
              <w:top w:val="nil"/>
              <w:left w:val="nil"/>
              <w:bottom w:val="nil"/>
              <w:right w:val="nil"/>
            </w:tcBorders>
            <w:shd w:val="clear" w:color="auto" w:fill="auto"/>
            <w:noWrap/>
            <w:vAlign w:val="bottom"/>
            <w:hideMark/>
          </w:tcPr>
          <w:p w14:paraId="56A5010B" w14:textId="12B7CBB3" w:rsidR="00555502" w:rsidRPr="00521670" w:rsidRDefault="00555502" w:rsidP="00555502">
            <w:pPr>
              <w:pStyle w:val="Tabletext"/>
              <w:jc w:val="right"/>
              <w:rPr>
                <w:lang w:val="ru-RU" w:eastAsia="en-GB"/>
              </w:rPr>
            </w:pPr>
          </w:p>
        </w:tc>
      </w:tr>
      <w:tr w:rsidR="00CC1F3B" w:rsidRPr="00521670" w14:paraId="739F5B1E" w14:textId="77777777" w:rsidTr="00675697">
        <w:trPr>
          <w:trHeight w:val="255"/>
        </w:trPr>
        <w:tc>
          <w:tcPr>
            <w:tcW w:w="3060" w:type="dxa"/>
            <w:tcBorders>
              <w:top w:val="nil"/>
              <w:left w:val="nil"/>
              <w:bottom w:val="nil"/>
              <w:right w:val="nil"/>
            </w:tcBorders>
            <w:shd w:val="clear" w:color="auto" w:fill="auto"/>
            <w:noWrap/>
            <w:vAlign w:val="bottom"/>
            <w:hideMark/>
          </w:tcPr>
          <w:p w14:paraId="30507B80" w14:textId="6414768E" w:rsidR="00555502" w:rsidRPr="00521670" w:rsidRDefault="00CC1F3B" w:rsidP="00DF5FEE">
            <w:pPr>
              <w:pStyle w:val="Tabletext"/>
              <w:rPr>
                <w:b/>
                <w:bCs/>
                <w:szCs w:val="16"/>
                <w:lang w:val="ru-RU" w:eastAsia="en-GB"/>
              </w:rPr>
            </w:pPr>
            <w:r w:rsidRPr="00521670">
              <w:rPr>
                <w:b/>
                <w:bCs/>
                <w:szCs w:val="16"/>
                <w:lang w:val="ru-RU"/>
              </w:rPr>
              <w:t>Всего: расходы</w:t>
            </w:r>
          </w:p>
        </w:tc>
        <w:tc>
          <w:tcPr>
            <w:tcW w:w="1170" w:type="dxa"/>
            <w:tcBorders>
              <w:top w:val="nil"/>
              <w:left w:val="nil"/>
              <w:bottom w:val="nil"/>
              <w:right w:val="nil"/>
            </w:tcBorders>
            <w:shd w:val="clear" w:color="auto" w:fill="auto"/>
            <w:noWrap/>
            <w:vAlign w:val="bottom"/>
            <w:hideMark/>
          </w:tcPr>
          <w:p w14:paraId="1A9EA210" w14:textId="5F2067BF" w:rsidR="00555502" w:rsidRPr="00521670" w:rsidRDefault="00555502" w:rsidP="00555502">
            <w:pPr>
              <w:pStyle w:val="Tabletext"/>
              <w:jc w:val="right"/>
              <w:rPr>
                <w:b/>
                <w:bCs/>
                <w:lang w:val="ru-RU" w:eastAsia="en-GB"/>
              </w:rPr>
            </w:pPr>
            <w:r w:rsidRPr="00521670">
              <w:rPr>
                <w:b/>
                <w:bCs/>
                <w:lang w:val="ru-RU" w:eastAsia="en-GB"/>
              </w:rPr>
              <w:t>164 933</w:t>
            </w:r>
          </w:p>
        </w:tc>
        <w:tc>
          <w:tcPr>
            <w:tcW w:w="1170" w:type="dxa"/>
            <w:tcBorders>
              <w:top w:val="nil"/>
              <w:left w:val="nil"/>
              <w:bottom w:val="nil"/>
              <w:right w:val="nil"/>
            </w:tcBorders>
            <w:shd w:val="clear" w:color="auto" w:fill="auto"/>
            <w:noWrap/>
            <w:vAlign w:val="bottom"/>
            <w:hideMark/>
          </w:tcPr>
          <w:p w14:paraId="52BBFB01" w14:textId="15443412" w:rsidR="00555502" w:rsidRPr="00521670" w:rsidRDefault="00555502" w:rsidP="00555502">
            <w:pPr>
              <w:pStyle w:val="Tabletext"/>
              <w:jc w:val="right"/>
              <w:rPr>
                <w:b/>
                <w:bCs/>
                <w:lang w:val="ru-RU" w:eastAsia="en-GB"/>
              </w:rPr>
            </w:pPr>
            <w:r w:rsidRPr="00521670">
              <w:rPr>
                <w:b/>
                <w:bCs/>
                <w:lang w:val="ru-RU" w:eastAsia="en-GB"/>
              </w:rPr>
              <w:t>203</w:t>
            </w:r>
          </w:p>
        </w:tc>
        <w:tc>
          <w:tcPr>
            <w:tcW w:w="1170" w:type="dxa"/>
            <w:tcBorders>
              <w:top w:val="nil"/>
              <w:left w:val="nil"/>
              <w:bottom w:val="nil"/>
              <w:right w:val="nil"/>
            </w:tcBorders>
            <w:shd w:val="clear" w:color="auto" w:fill="auto"/>
            <w:noWrap/>
            <w:vAlign w:val="bottom"/>
            <w:hideMark/>
          </w:tcPr>
          <w:p w14:paraId="1099423D" w14:textId="2EFECB51" w:rsidR="00555502" w:rsidRPr="00521670" w:rsidRDefault="00555502" w:rsidP="00555502">
            <w:pPr>
              <w:pStyle w:val="Tabletext"/>
              <w:jc w:val="right"/>
              <w:rPr>
                <w:b/>
                <w:bCs/>
                <w:lang w:val="ru-RU" w:eastAsia="en-GB"/>
              </w:rPr>
            </w:pPr>
            <w:r w:rsidRPr="00521670">
              <w:rPr>
                <w:b/>
                <w:bCs/>
                <w:lang w:val="ru-RU" w:eastAsia="en-GB"/>
              </w:rPr>
              <w:t>164 730</w:t>
            </w:r>
          </w:p>
        </w:tc>
        <w:tc>
          <w:tcPr>
            <w:tcW w:w="1530" w:type="dxa"/>
            <w:tcBorders>
              <w:top w:val="nil"/>
              <w:left w:val="nil"/>
              <w:bottom w:val="nil"/>
              <w:right w:val="nil"/>
            </w:tcBorders>
            <w:shd w:val="clear" w:color="auto" w:fill="auto"/>
            <w:noWrap/>
            <w:vAlign w:val="bottom"/>
            <w:hideMark/>
          </w:tcPr>
          <w:p w14:paraId="628ECEB6" w14:textId="1BF0B90E" w:rsidR="00555502" w:rsidRPr="00521670" w:rsidRDefault="00555502" w:rsidP="00555502">
            <w:pPr>
              <w:pStyle w:val="Tabletext"/>
              <w:jc w:val="right"/>
              <w:rPr>
                <w:b/>
                <w:bCs/>
                <w:lang w:val="ru-RU" w:eastAsia="en-GB"/>
              </w:rPr>
            </w:pPr>
            <w:r w:rsidRPr="00521670">
              <w:rPr>
                <w:b/>
                <w:bCs/>
                <w:lang w:val="ru-RU" w:eastAsia="en-GB"/>
              </w:rPr>
              <w:t>155 830</w:t>
            </w:r>
          </w:p>
        </w:tc>
        <w:tc>
          <w:tcPr>
            <w:tcW w:w="1440" w:type="dxa"/>
            <w:tcBorders>
              <w:top w:val="nil"/>
              <w:left w:val="nil"/>
              <w:bottom w:val="nil"/>
              <w:right w:val="nil"/>
            </w:tcBorders>
            <w:shd w:val="clear" w:color="auto" w:fill="auto"/>
            <w:noWrap/>
            <w:vAlign w:val="bottom"/>
            <w:hideMark/>
          </w:tcPr>
          <w:p w14:paraId="1B9D10EF" w14:textId="05C1BE99" w:rsidR="00555502" w:rsidRPr="00521670" w:rsidRDefault="00555502" w:rsidP="00555502">
            <w:pPr>
              <w:pStyle w:val="Tabletext"/>
              <w:jc w:val="right"/>
              <w:rPr>
                <w:b/>
                <w:bCs/>
                <w:lang w:val="ru-RU" w:eastAsia="en-GB"/>
              </w:rPr>
            </w:pPr>
            <w:r w:rsidRPr="00521670">
              <w:rPr>
                <w:b/>
                <w:bCs/>
                <w:lang w:val="ru-RU" w:eastAsia="en-GB"/>
              </w:rPr>
              <w:t>8 900</w:t>
            </w:r>
          </w:p>
        </w:tc>
      </w:tr>
      <w:tr w:rsidR="00CC1F3B" w:rsidRPr="00521670" w14:paraId="737E95A1" w14:textId="77777777" w:rsidTr="00675697">
        <w:trPr>
          <w:trHeight w:val="139"/>
        </w:trPr>
        <w:tc>
          <w:tcPr>
            <w:tcW w:w="3060" w:type="dxa"/>
            <w:tcBorders>
              <w:top w:val="nil"/>
              <w:left w:val="nil"/>
              <w:bottom w:val="nil"/>
              <w:right w:val="nil"/>
            </w:tcBorders>
            <w:shd w:val="clear" w:color="auto" w:fill="auto"/>
            <w:noWrap/>
            <w:vAlign w:val="bottom"/>
            <w:hideMark/>
          </w:tcPr>
          <w:p w14:paraId="437773E0" w14:textId="77777777" w:rsidR="00555502" w:rsidRPr="00521670" w:rsidRDefault="00555502" w:rsidP="00DF5FEE">
            <w:pPr>
              <w:pStyle w:val="Tabletext"/>
              <w:rPr>
                <w:szCs w:val="16"/>
                <w:lang w:val="ru-RU" w:eastAsia="en-GB"/>
              </w:rPr>
            </w:pPr>
          </w:p>
        </w:tc>
        <w:tc>
          <w:tcPr>
            <w:tcW w:w="1170" w:type="dxa"/>
            <w:tcBorders>
              <w:top w:val="nil"/>
              <w:left w:val="nil"/>
              <w:bottom w:val="nil"/>
              <w:right w:val="nil"/>
            </w:tcBorders>
            <w:shd w:val="clear" w:color="auto" w:fill="auto"/>
            <w:noWrap/>
            <w:vAlign w:val="bottom"/>
            <w:hideMark/>
          </w:tcPr>
          <w:p w14:paraId="58A53A74"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55C06B6D"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51E61508" w14:textId="77777777" w:rsidR="00555502" w:rsidRPr="00521670" w:rsidRDefault="00555502" w:rsidP="00555502">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02C1A4FC" w14:textId="77777777" w:rsidR="00555502" w:rsidRPr="00521670" w:rsidRDefault="00555502" w:rsidP="00555502">
            <w:pPr>
              <w:pStyle w:val="Tabletext"/>
              <w:jc w:val="right"/>
              <w:rPr>
                <w:lang w:val="ru-RU" w:eastAsia="en-GB"/>
              </w:rPr>
            </w:pPr>
          </w:p>
        </w:tc>
        <w:tc>
          <w:tcPr>
            <w:tcW w:w="1440" w:type="dxa"/>
            <w:tcBorders>
              <w:top w:val="nil"/>
              <w:left w:val="nil"/>
              <w:bottom w:val="nil"/>
              <w:right w:val="nil"/>
            </w:tcBorders>
            <w:shd w:val="clear" w:color="auto" w:fill="auto"/>
            <w:noWrap/>
            <w:vAlign w:val="bottom"/>
            <w:hideMark/>
          </w:tcPr>
          <w:p w14:paraId="59E2F930" w14:textId="77777777" w:rsidR="00555502" w:rsidRPr="00521670" w:rsidRDefault="00555502" w:rsidP="00555502">
            <w:pPr>
              <w:pStyle w:val="Tabletext"/>
              <w:jc w:val="right"/>
              <w:rPr>
                <w:lang w:val="ru-RU" w:eastAsia="en-GB"/>
              </w:rPr>
            </w:pPr>
          </w:p>
        </w:tc>
      </w:tr>
      <w:tr w:rsidR="00CC1F3B" w:rsidRPr="00521670" w14:paraId="1A8914A0" w14:textId="77777777" w:rsidTr="00675697">
        <w:trPr>
          <w:trHeight w:val="255"/>
        </w:trPr>
        <w:tc>
          <w:tcPr>
            <w:tcW w:w="3060" w:type="dxa"/>
            <w:tcBorders>
              <w:top w:val="nil"/>
              <w:left w:val="nil"/>
              <w:bottom w:val="nil"/>
              <w:right w:val="nil"/>
            </w:tcBorders>
            <w:shd w:val="clear" w:color="auto" w:fill="auto"/>
            <w:noWrap/>
            <w:vAlign w:val="center"/>
            <w:hideMark/>
          </w:tcPr>
          <w:p w14:paraId="5A3F479C" w14:textId="731C81E4" w:rsidR="00555502" w:rsidRPr="00521670" w:rsidRDefault="00CC1F3B" w:rsidP="00DF5FEE">
            <w:pPr>
              <w:pStyle w:val="Tabletext"/>
              <w:rPr>
                <w:b/>
                <w:bCs/>
                <w:szCs w:val="16"/>
                <w:lang w:val="ru-RU" w:eastAsia="en-GB"/>
              </w:rPr>
            </w:pPr>
            <w:r w:rsidRPr="00521670">
              <w:rPr>
                <w:b/>
                <w:bCs/>
                <w:szCs w:val="16"/>
                <w:lang w:val="ru-RU" w:eastAsia="en-GB"/>
              </w:rPr>
              <w:t>Активное сальдо бюджета по программам</w:t>
            </w:r>
          </w:p>
        </w:tc>
        <w:tc>
          <w:tcPr>
            <w:tcW w:w="1170" w:type="dxa"/>
            <w:tcBorders>
              <w:top w:val="nil"/>
              <w:left w:val="nil"/>
              <w:bottom w:val="nil"/>
              <w:right w:val="nil"/>
            </w:tcBorders>
            <w:shd w:val="clear" w:color="auto" w:fill="auto"/>
            <w:noWrap/>
            <w:vAlign w:val="bottom"/>
            <w:hideMark/>
          </w:tcPr>
          <w:p w14:paraId="48AB0AE8" w14:textId="77777777" w:rsidR="00555502" w:rsidRPr="00521670" w:rsidRDefault="00555502" w:rsidP="00555502">
            <w:pPr>
              <w:pStyle w:val="Tabletext"/>
              <w:jc w:val="right"/>
              <w:rPr>
                <w:b/>
                <w:bCs/>
                <w:lang w:val="ru-RU" w:eastAsia="en-GB"/>
              </w:rPr>
            </w:pPr>
          </w:p>
        </w:tc>
        <w:tc>
          <w:tcPr>
            <w:tcW w:w="1170" w:type="dxa"/>
            <w:tcBorders>
              <w:top w:val="nil"/>
              <w:left w:val="nil"/>
              <w:bottom w:val="nil"/>
              <w:right w:val="nil"/>
            </w:tcBorders>
            <w:shd w:val="clear" w:color="auto" w:fill="auto"/>
            <w:noWrap/>
            <w:vAlign w:val="bottom"/>
            <w:hideMark/>
          </w:tcPr>
          <w:p w14:paraId="64CE3AF3" w14:textId="77777777" w:rsidR="00555502" w:rsidRPr="00521670" w:rsidRDefault="00555502" w:rsidP="00555502">
            <w:pPr>
              <w:pStyle w:val="Tabletext"/>
              <w:jc w:val="right"/>
              <w:rPr>
                <w:b/>
                <w:bCs/>
                <w:lang w:val="ru-RU" w:eastAsia="en-GB"/>
              </w:rPr>
            </w:pPr>
          </w:p>
        </w:tc>
        <w:tc>
          <w:tcPr>
            <w:tcW w:w="1170" w:type="dxa"/>
            <w:tcBorders>
              <w:top w:val="nil"/>
              <w:left w:val="nil"/>
              <w:bottom w:val="nil"/>
              <w:right w:val="nil"/>
            </w:tcBorders>
            <w:shd w:val="clear" w:color="auto" w:fill="auto"/>
            <w:noWrap/>
            <w:vAlign w:val="bottom"/>
            <w:hideMark/>
          </w:tcPr>
          <w:p w14:paraId="56B85FDB" w14:textId="77777777" w:rsidR="00555502" w:rsidRPr="00521670" w:rsidRDefault="00555502" w:rsidP="00555502">
            <w:pPr>
              <w:pStyle w:val="Tabletext"/>
              <w:jc w:val="right"/>
              <w:rPr>
                <w:b/>
                <w:bCs/>
                <w:lang w:val="ru-RU" w:eastAsia="en-GB"/>
              </w:rPr>
            </w:pPr>
          </w:p>
        </w:tc>
        <w:tc>
          <w:tcPr>
            <w:tcW w:w="1530" w:type="dxa"/>
            <w:tcBorders>
              <w:top w:val="nil"/>
              <w:left w:val="nil"/>
              <w:bottom w:val="nil"/>
              <w:right w:val="nil"/>
            </w:tcBorders>
            <w:shd w:val="clear" w:color="auto" w:fill="auto"/>
            <w:noWrap/>
            <w:vAlign w:val="bottom"/>
            <w:hideMark/>
          </w:tcPr>
          <w:p w14:paraId="7A423DC1" w14:textId="308CE084" w:rsidR="00555502" w:rsidRPr="00521670" w:rsidRDefault="00555502" w:rsidP="00555502">
            <w:pPr>
              <w:pStyle w:val="Tabletext"/>
              <w:jc w:val="right"/>
              <w:rPr>
                <w:b/>
                <w:bCs/>
                <w:lang w:val="ru-RU" w:eastAsia="en-GB"/>
              </w:rPr>
            </w:pPr>
            <w:r w:rsidRPr="00521670">
              <w:rPr>
                <w:b/>
                <w:bCs/>
                <w:lang w:val="ru-RU" w:eastAsia="en-GB"/>
              </w:rPr>
              <w:t>5 651</w:t>
            </w:r>
          </w:p>
        </w:tc>
        <w:tc>
          <w:tcPr>
            <w:tcW w:w="1440" w:type="dxa"/>
            <w:tcBorders>
              <w:top w:val="nil"/>
              <w:left w:val="nil"/>
              <w:bottom w:val="nil"/>
              <w:right w:val="nil"/>
            </w:tcBorders>
            <w:shd w:val="clear" w:color="auto" w:fill="auto"/>
            <w:noWrap/>
            <w:vAlign w:val="bottom"/>
            <w:hideMark/>
          </w:tcPr>
          <w:p w14:paraId="5A481637" w14:textId="77777777" w:rsidR="00555502" w:rsidRPr="00521670" w:rsidRDefault="00555502" w:rsidP="00555502">
            <w:pPr>
              <w:pStyle w:val="Tabletext"/>
              <w:jc w:val="right"/>
              <w:rPr>
                <w:b/>
                <w:bCs/>
                <w:lang w:val="ru-RU" w:eastAsia="en-GB"/>
              </w:rPr>
            </w:pPr>
          </w:p>
        </w:tc>
      </w:tr>
      <w:tr w:rsidR="00CC1F3B" w:rsidRPr="00521670" w14:paraId="2EEFF6DD" w14:textId="77777777" w:rsidTr="00675697">
        <w:trPr>
          <w:trHeight w:val="150"/>
        </w:trPr>
        <w:tc>
          <w:tcPr>
            <w:tcW w:w="3060" w:type="dxa"/>
            <w:tcBorders>
              <w:top w:val="nil"/>
              <w:left w:val="nil"/>
              <w:bottom w:val="nil"/>
              <w:right w:val="nil"/>
            </w:tcBorders>
            <w:shd w:val="clear" w:color="auto" w:fill="auto"/>
            <w:noWrap/>
            <w:vAlign w:val="bottom"/>
            <w:hideMark/>
          </w:tcPr>
          <w:p w14:paraId="17E8ED08" w14:textId="77777777" w:rsidR="00555502" w:rsidRPr="00521670" w:rsidRDefault="00555502" w:rsidP="00DF5FEE">
            <w:pPr>
              <w:pStyle w:val="Tabletext"/>
              <w:rPr>
                <w:szCs w:val="16"/>
                <w:lang w:val="ru-RU" w:eastAsia="en-GB"/>
              </w:rPr>
            </w:pPr>
          </w:p>
        </w:tc>
        <w:tc>
          <w:tcPr>
            <w:tcW w:w="1170" w:type="dxa"/>
            <w:tcBorders>
              <w:top w:val="nil"/>
              <w:left w:val="nil"/>
              <w:bottom w:val="nil"/>
              <w:right w:val="nil"/>
            </w:tcBorders>
            <w:shd w:val="clear" w:color="auto" w:fill="auto"/>
            <w:noWrap/>
            <w:vAlign w:val="bottom"/>
            <w:hideMark/>
          </w:tcPr>
          <w:p w14:paraId="5DDA1A81"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1337B576"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5B39273D" w14:textId="77777777" w:rsidR="00555502" w:rsidRPr="00521670" w:rsidRDefault="00555502" w:rsidP="00555502">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3AA331EB" w14:textId="77777777" w:rsidR="00555502" w:rsidRPr="00521670" w:rsidRDefault="00555502" w:rsidP="00555502">
            <w:pPr>
              <w:pStyle w:val="Tabletext"/>
              <w:jc w:val="right"/>
              <w:rPr>
                <w:lang w:val="ru-RU" w:eastAsia="en-GB"/>
              </w:rPr>
            </w:pPr>
          </w:p>
        </w:tc>
        <w:tc>
          <w:tcPr>
            <w:tcW w:w="1440" w:type="dxa"/>
            <w:tcBorders>
              <w:top w:val="nil"/>
              <w:left w:val="nil"/>
              <w:bottom w:val="nil"/>
              <w:right w:val="nil"/>
            </w:tcBorders>
            <w:shd w:val="clear" w:color="auto" w:fill="auto"/>
            <w:noWrap/>
            <w:vAlign w:val="bottom"/>
            <w:hideMark/>
          </w:tcPr>
          <w:p w14:paraId="21BEC749" w14:textId="77777777" w:rsidR="00555502" w:rsidRPr="00521670" w:rsidRDefault="00555502" w:rsidP="00555502">
            <w:pPr>
              <w:pStyle w:val="Tabletext"/>
              <w:jc w:val="right"/>
              <w:rPr>
                <w:lang w:val="ru-RU" w:eastAsia="en-GB"/>
              </w:rPr>
            </w:pPr>
          </w:p>
        </w:tc>
      </w:tr>
      <w:tr w:rsidR="00CC1F3B" w:rsidRPr="00521670" w14:paraId="5E50461E" w14:textId="77777777" w:rsidTr="00675697">
        <w:trPr>
          <w:trHeight w:val="270"/>
        </w:trPr>
        <w:tc>
          <w:tcPr>
            <w:tcW w:w="3060" w:type="dxa"/>
            <w:tcBorders>
              <w:top w:val="nil"/>
              <w:left w:val="nil"/>
              <w:bottom w:val="nil"/>
              <w:right w:val="nil"/>
            </w:tcBorders>
            <w:shd w:val="clear" w:color="auto" w:fill="auto"/>
            <w:noWrap/>
            <w:hideMark/>
          </w:tcPr>
          <w:p w14:paraId="46DE50BB" w14:textId="1630CF85" w:rsidR="00CC1F3B" w:rsidRPr="00521670" w:rsidRDefault="00CC1F3B" w:rsidP="00CC1F3B">
            <w:pPr>
              <w:pStyle w:val="Tabletext"/>
              <w:rPr>
                <w:szCs w:val="16"/>
                <w:lang w:val="ru-RU" w:eastAsia="en-GB"/>
              </w:rPr>
            </w:pPr>
            <w:r w:rsidRPr="00521670">
              <w:rPr>
                <w:szCs w:val="16"/>
                <w:lang w:val="ru-RU" w:eastAsia="en-GB"/>
              </w:rPr>
              <w:t>Базисная разница</w:t>
            </w:r>
          </w:p>
        </w:tc>
        <w:tc>
          <w:tcPr>
            <w:tcW w:w="1170" w:type="dxa"/>
            <w:tcBorders>
              <w:top w:val="nil"/>
              <w:left w:val="nil"/>
              <w:bottom w:val="nil"/>
              <w:right w:val="nil"/>
            </w:tcBorders>
            <w:shd w:val="clear" w:color="auto" w:fill="auto"/>
            <w:noWrap/>
            <w:vAlign w:val="bottom"/>
            <w:hideMark/>
          </w:tcPr>
          <w:p w14:paraId="59CBE49B"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7E0E03DE"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7AB75B9F" w14:textId="77777777" w:rsidR="00CC1F3B" w:rsidRPr="00521670" w:rsidRDefault="00CC1F3B" w:rsidP="00CC1F3B">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6742EC41" w14:textId="0D242337" w:rsidR="00CC1F3B" w:rsidRPr="00521670" w:rsidRDefault="00CC1F3B" w:rsidP="00CC1F3B">
            <w:pPr>
              <w:pStyle w:val="Tabletext"/>
              <w:jc w:val="right"/>
              <w:rPr>
                <w:lang w:val="ru-RU" w:eastAsia="en-GB"/>
              </w:rPr>
            </w:pPr>
            <w:r w:rsidRPr="00521670">
              <w:rPr>
                <w:lang w:val="ru-RU" w:eastAsia="en-GB"/>
              </w:rPr>
              <w:t>(32 765)</w:t>
            </w:r>
          </w:p>
        </w:tc>
        <w:tc>
          <w:tcPr>
            <w:tcW w:w="1440" w:type="dxa"/>
            <w:tcBorders>
              <w:top w:val="nil"/>
              <w:left w:val="nil"/>
              <w:bottom w:val="nil"/>
              <w:right w:val="nil"/>
            </w:tcBorders>
            <w:shd w:val="clear" w:color="auto" w:fill="auto"/>
            <w:noWrap/>
            <w:vAlign w:val="bottom"/>
            <w:hideMark/>
          </w:tcPr>
          <w:p w14:paraId="0D6E5F72" w14:textId="77777777" w:rsidR="00CC1F3B" w:rsidRPr="00521670" w:rsidRDefault="00CC1F3B" w:rsidP="00CC1F3B">
            <w:pPr>
              <w:pStyle w:val="Tabletext"/>
              <w:jc w:val="right"/>
              <w:rPr>
                <w:lang w:val="ru-RU" w:eastAsia="en-GB"/>
              </w:rPr>
            </w:pPr>
          </w:p>
        </w:tc>
      </w:tr>
      <w:tr w:rsidR="00CC1F3B" w:rsidRPr="00521670" w14:paraId="403AC008" w14:textId="77777777" w:rsidTr="00675697">
        <w:trPr>
          <w:trHeight w:val="255"/>
        </w:trPr>
        <w:tc>
          <w:tcPr>
            <w:tcW w:w="3060" w:type="dxa"/>
            <w:tcBorders>
              <w:top w:val="nil"/>
              <w:left w:val="nil"/>
              <w:bottom w:val="nil"/>
              <w:right w:val="nil"/>
            </w:tcBorders>
            <w:shd w:val="clear" w:color="auto" w:fill="auto"/>
            <w:noWrap/>
            <w:hideMark/>
          </w:tcPr>
          <w:p w14:paraId="489EE575" w14:textId="380ADF24" w:rsidR="00CC1F3B" w:rsidRPr="00521670" w:rsidRDefault="00CC1F3B" w:rsidP="00CC1F3B">
            <w:pPr>
              <w:pStyle w:val="Tabletext"/>
              <w:rPr>
                <w:szCs w:val="16"/>
                <w:lang w:val="ru-RU" w:eastAsia="en-GB"/>
              </w:rPr>
            </w:pPr>
            <w:r w:rsidRPr="00521670">
              <w:rPr>
                <w:szCs w:val="16"/>
                <w:lang w:val="ru-RU" w:eastAsia="en-GB"/>
              </w:rPr>
              <w:t>Структурная разница</w:t>
            </w:r>
          </w:p>
        </w:tc>
        <w:tc>
          <w:tcPr>
            <w:tcW w:w="1170" w:type="dxa"/>
            <w:tcBorders>
              <w:top w:val="nil"/>
              <w:left w:val="nil"/>
              <w:bottom w:val="nil"/>
              <w:right w:val="nil"/>
            </w:tcBorders>
            <w:shd w:val="clear" w:color="auto" w:fill="auto"/>
            <w:noWrap/>
            <w:vAlign w:val="bottom"/>
            <w:hideMark/>
          </w:tcPr>
          <w:p w14:paraId="12D59D50"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2800B771" w14:textId="77777777" w:rsidR="00CC1F3B" w:rsidRPr="00521670" w:rsidRDefault="00CC1F3B" w:rsidP="00CC1F3B">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3E8A386D" w14:textId="77777777" w:rsidR="00CC1F3B" w:rsidRPr="00521670" w:rsidRDefault="00CC1F3B" w:rsidP="00CC1F3B">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57A38749" w14:textId="2B658EC7" w:rsidR="00CC1F3B" w:rsidRPr="00521670" w:rsidRDefault="00CC1F3B" w:rsidP="00CC1F3B">
            <w:pPr>
              <w:pStyle w:val="Tabletext"/>
              <w:jc w:val="right"/>
              <w:rPr>
                <w:lang w:val="ru-RU" w:eastAsia="en-GB"/>
              </w:rPr>
            </w:pPr>
            <w:r w:rsidRPr="00521670">
              <w:rPr>
                <w:lang w:val="ru-RU" w:eastAsia="en-GB"/>
              </w:rPr>
              <w:t>(751)</w:t>
            </w:r>
          </w:p>
        </w:tc>
        <w:tc>
          <w:tcPr>
            <w:tcW w:w="1440" w:type="dxa"/>
            <w:tcBorders>
              <w:top w:val="nil"/>
              <w:left w:val="nil"/>
              <w:bottom w:val="nil"/>
              <w:right w:val="nil"/>
            </w:tcBorders>
            <w:shd w:val="clear" w:color="auto" w:fill="auto"/>
            <w:noWrap/>
            <w:vAlign w:val="bottom"/>
            <w:hideMark/>
          </w:tcPr>
          <w:p w14:paraId="3789E59E" w14:textId="77777777" w:rsidR="00CC1F3B" w:rsidRPr="00521670" w:rsidRDefault="00CC1F3B" w:rsidP="00CC1F3B">
            <w:pPr>
              <w:pStyle w:val="Tabletext"/>
              <w:jc w:val="right"/>
              <w:rPr>
                <w:lang w:val="ru-RU" w:eastAsia="en-GB"/>
              </w:rPr>
            </w:pPr>
          </w:p>
        </w:tc>
      </w:tr>
      <w:tr w:rsidR="00CC1F3B" w:rsidRPr="00521670" w14:paraId="1F7A5D6A" w14:textId="77777777" w:rsidTr="00675697">
        <w:trPr>
          <w:trHeight w:val="150"/>
        </w:trPr>
        <w:tc>
          <w:tcPr>
            <w:tcW w:w="3060" w:type="dxa"/>
            <w:tcBorders>
              <w:top w:val="nil"/>
              <w:left w:val="nil"/>
              <w:bottom w:val="nil"/>
              <w:right w:val="nil"/>
            </w:tcBorders>
            <w:shd w:val="clear" w:color="auto" w:fill="auto"/>
            <w:noWrap/>
            <w:vAlign w:val="bottom"/>
            <w:hideMark/>
          </w:tcPr>
          <w:p w14:paraId="28E5C062" w14:textId="77777777" w:rsidR="00555502" w:rsidRPr="00521670" w:rsidRDefault="00555502" w:rsidP="00DF5FEE">
            <w:pPr>
              <w:pStyle w:val="Tabletext"/>
              <w:rPr>
                <w:szCs w:val="16"/>
                <w:lang w:val="ru-RU" w:eastAsia="en-GB"/>
              </w:rPr>
            </w:pPr>
          </w:p>
        </w:tc>
        <w:tc>
          <w:tcPr>
            <w:tcW w:w="1170" w:type="dxa"/>
            <w:tcBorders>
              <w:top w:val="nil"/>
              <w:left w:val="nil"/>
              <w:bottom w:val="nil"/>
              <w:right w:val="nil"/>
            </w:tcBorders>
            <w:shd w:val="clear" w:color="auto" w:fill="auto"/>
            <w:noWrap/>
            <w:vAlign w:val="bottom"/>
            <w:hideMark/>
          </w:tcPr>
          <w:p w14:paraId="11124267"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048A11E2"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3FDCC1E0" w14:textId="77777777" w:rsidR="00555502" w:rsidRPr="00521670" w:rsidRDefault="00555502" w:rsidP="00555502">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13067FC0" w14:textId="77777777" w:rsidR="00555502" w:rsidRPr="00521670" w:rsidRDefault="00555502" w:rsidP="00555502">
            <w:pPr>
              <w:pStyle w:val="Tabletext"/>
              <w:jc w:val="right"/>
              <w:rPr>
                <w:lang w:val="ru-RU" w:eastAsia="en-GB"/>
              </w:rPr>
            </w:pPr>
          </w:p>
        </w:tc>
        <w:tc>
          <w:tcPr>
            <w:tcW w:w="1440" w:type="dxa"/>
            <w:tcBorders>
              <w:top w:val="nil"/>
              <w:left w:val="nil"/>
              <w:bottom w:val="nil"/>
              <w:right w:val="nil"/>
            </w:tcBorders>
            <w:shd w:val="clear" w:color="auto" w:fill="auto"/>
            <w:noWrap/>
            <w:vAlign w:val="bottom"/>
            <w:hideMark/>
          </w:tcPr>
          <w:p w14:paraId="7B5FA643" w14:textId="77777777" w:rsidR="00555502" w:rsidRPr="00521670" w:rsidRDefault="00555502" w:rsidP="00555502">
            <w:pPr>
              <w:pStyle w:val="Tabletext"/>
              <w:jc w:val="right"/>
              <w:rPr>
                <w:lang w:val="ru-RU" w:eastAsia="en-GB"/>
              </w:rPr>
            </w:pPr>
          </w:p>
        </w:tc>
      </w:tr>
      <w:tr w:rsidR="00CC1F3B" w:rsidRPr="00521670" w14:paraId="47C73DCF" w14:textId="77777777" w:rsidTr="00675697">
        <w:trPr>
          <w:trHeight w:val="255"/>
        </w:trPr>
        <w:tc>
          <w:tcPr>
            <w:tcW w:w="3060" w:type="dxa"/>
            <w:tcBorders>
              <w:top w:val="nil"/>
              <w:left w:val="nil"/>
              <w:bottom w:val="nil"/>
              <w:right w:val="nil"/>
            </w:tcBorders>
            <w:shd w:val="clear" w:color="auto" w:fill="auto"/>
            <w:noWrap/>
            <w:vAlign w:val="bottom"/>
            <w:hideMark/>
          </w:tcPr>
          <w:p w14:paraId="345E75C3" w14:textId="50AD683B" w:rsidR="00555502" w:rsidRPr="00521670" w:rsidRDefault="00CC1F3B" w:rsidP="00DF5FEE">
            <w:pPr>
              <w:pStyle w:val="Tabletext"/>
              <w:rPr>
                <w:szCs w:val="16"/>
                <w:lang w:val="ru-RU" w:eastAsia="en-GB"/>
              </w:rPr>
            </w:pPr>
            <w:r w:rsidRPr="00521670">
              <w:rPr>
                <w:b/>
                <w:bCs/>
                <w:szCs w:val="16"/>
                <w:lang w:val="ru-RU"/>
              </w:rPr>
              <w:t>Всего: разница с IPSAS</w:t>
            </w:r>
          </w:p>
        </w:tc>
        <w:tc>
          <w:tcPr>
            <w:tcW w:w="1170" w:type="dxa"/>
            <w:tcBorders>
              <w:top w:val="nil"/>
              <w:left w:val="nil"/>
              <w:bottom w:val="nil"/>
              <w:right w:val="nil"/>
            </w:tcBorders>
            <w:shd w:val="clear" w:color="auto" w:fill="auto"/>
            <w:noWrap/>
            <w:vAlign w:val="bottom"/>
            <w:hideMark/>
          </w:tcPr>
          <w:p w14:paraId="26D893E8"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5DAEEB7E"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1A8D342A" w14:textId="77777777" w:rsidR="00555502" w:rsidRPr="00521670" w:rsidRDefault="00555502" w:rsidP="00555502">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3616FE9C" w14:textId="4CF4EC4D" w:rsidR="00555502" w:rsidRPr="00521670" w:rsidRDefault="00555502" w:rsidP="00555502">
            <w:pPr>
              <w:pStyle w:val="Tabletext"/>
              <w:jc w:val="right"/>
              <w:rPr>
                <w:b/>
                <w:bCs/>
                <w:lang w:val="ru-RU" w:eastAsia="en-GB"/>
              </w:rPr>
            </w:pPr>
            <w:r w:rsidRPr="00521670">
              <w:rPr>
                <w:b/>
                <w:bCs/>
                <w:lang w:val="ru-RU" w:eastAsia="en-GB"/>
              </w:rPr>
              <w:t>(33 516)</w:t>
            </w:r>
          </w:p>
        </w:tc>
        <w:tc>
          <w:tcPr>
            <w:tcW w:w="1440" w:type="dxa"/>
            <w:tcBorders>
              <w:top w:val="nil"/>
              <w:left w:val="nil"/>
              <w:bottom w:val="nil"/>
              <w:right w:val="nil"/>
            </w:tcBorders>
            <w:shd w:val="clear" w:color="auto" w:fill="auto"/>
            <w:noWrap/>
            <w:vAlign w:val="bottom"/>
            <w:hideMark/>
          </w:tcPr>
          <w:p w14:paraId="2B3267DC" w14:textId="77777777" w:rsidR="00555502" w:rsidRPr="00521670" w:rsidRDefault="00555502" w:rsidP="00555502">
            <w:pPr>
              <w:pStyle w:val="Tabletext"/>
              <w:jc w:val="right"/>
              <w:rPr>
                <w:lang w:val="ru-RU" w:eastAsia="en-GB"/>
              </w:rPr>
            </w:pPr>
          </w:p>
        </w:tc>
      </w:tr>
      <w:tr w:rsidR="00CC1F3B" w:rsidRPr="00521670" w14:paraId="76FC82BB" w14:textId="77777777" w:rsidTr="00675697">
        <w:trPr>
          <w:trHeight w:val="94"/>
        </w:trPr>
        <w:tc>
          <w:tcPr>
            <w:tcW w:w="3060" w:type="dxa"/>
            <w:tcBorders>
              <w:top w:val="nil"/>
              <w:left w:val="nil"/>
              <w:bottom w:val="nil"/>
              <w:right w:val="nil"/>
            </w:tcBorders>
            <w:shd w:val="clear" w:color="auto" w:fill="auto"/>
            <w:noWrap/>
            <w:vAlign w:val="bottom"/>
            <w:hideMark/>
          </w:tcPr>
          <w:p w14:paraId="419B14B4" w14:textId="77777777" w:rsidR="00555502" w:rsidRPr="00521670" w:rsidRDefault="00555502" w:rsidP="00DF5FEE">
            <w:pPr>
              <w:pStyle w:val="Tabletext"/>
              <w:rPr>
                <w:lang w:val="ru-RU" w:eastAsia="en-GB"/>
              </w:rPr>
            </w:pPr>
          </w:p>
        </w:tc>
        <w:tc>
          <w:tcPr>
            <w:tcW w:w="1170" w:type="dxa"/>
            <w:tcBorders>
              <w:top w:val="nil"/>
              <w:left w:val="nil"/>
              <w:bottom w:val="nil"/>
              <w:right w:val="nil"/>
            </w:tcBorders>
            <w:shd w:val="clear" w:color="auto" w:fill="auto"/>
            <w:noWrap/>
            <w:vAlign w:val="bottom"/>
            <w:hideMark/>
          </w:tcPr>
          <w:p w14:paraId="75760372"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4B6F263F" w14:textId="77777777" w:rsidR="00555502" w:rsidRPr="00521670" w:rsidRDefault="00555502" w:rsidP="00555502">
            <w:pPr>
              <w:pStyle w:val="Tabletext"/>
              <w:jc w:val="right"/>
              <w:rPr>
                <w:lang w:val="ru-RU" w:eastAsia="en-GB"/>
              </w:rPr>
            </w:pPr>
          </w:p>
        </w:tc>
        <w:tc>
          <w:tcPr>
            <w:tcW w:w="1170" w:type="dxa"/>
            <w:tcBorders>
              <w:top w:val="nil"/>
              <w:left w:val="nil"/>
              <w:bottom w:val="nil"/>
              <w:right w:val="nil"/>
            </w:tcBorders>
            <w:shd w:val="clear" w:color="auto" w:fill="auto"/>
            <w:noWrap/>
            <w:vAlign w:val="bottom"/>
            <w:hideMark/>
          </w:tcPr>
          <w:p w14:paraId="021B2638" w14:textId="77777777" w:rsidR="00555502" w:rsidRPr="00521670" w:rsidRDefault="00555502" w:rsidP="00555502">
            <w:pPr>
              <w:pStyle w:val="Tabletext"/>
              <w:jc w:val="right"/>
              <w:rPr>
                <w:lang w:val="ru-RU" w:eastAsia="en-GB"/>
              </w:rPr>
            </w:pPr>
          </w:p>
        </w:tc>
        <w:tc>
          <w:tcPr>
            <w:tcW w:w="1530" w:type="dxa"/>
            <w:tcBorders>
              <w:top w:val="nil"/>
              <w:left w:val="nil"/>
              <w:bottom w:val="nil"/>
              <w:right w:val="nil"/>
            </w:tcBorders>
            <w:shd w:val="clear" w:color="auto" w:fill="auto"/>
            <w:noWrap/>
            <w:vAlign w:val="bottom"/>
            <w:hideMark/>
          </w:tcPr>
          <w:p w14:paraId="6695D1F6" w14:textId="77777777" w:rsidR="00555502" w:rsidRPr="00521670" w:rsidRDefault="00555502" w:rsidP="00555502">
            <w:pPr>
              <w:pStyle w:val="Tabletext"/>
              <w:jc w:val="right"/>
              <w:rPr>
                <w:lang w:val="ru-RU" w:eastAsia="en-GB"/>
              </w:rPr>
            </w:pPr>
          </w:p>
        </w:tc>
        <w:tc>
          <w:tcPr>
            <w:tcW w:w="1440" w:type="dxa"/>
            <w:tcBorders>
              <w:top w:val="nil"/>
              <w:left w:val="nil"/>
              <w:bottom w:val="nil"/>
              <w:right w:val="nil"/>
            </w:tcBorders>
            <w:shd w:val="clear" w:color="auto" w:fill="auto"/>
            <w:noWrap/>
            <w:vAlign w:val="bottom"/>
            <w:hideMark/>
          </w:tcPr>
          <w:p w14:paraId="1CA4BD3D" w14:textId="77777777" w:rsidR="00555502" w:rsidRPr="00521670" w:rsidRDefault="00555502" w:rsidP="00555502">
            <w:pPr>
              <w:pStyle w:val="Tabletext"/>
              <w:jc w:val="right"/>
              <w:rPr>
                <w:lang w:val="ru-RU" w:eastAsia="en-GB"/>
              </w:rPr>
            </w:pPr>
          </w:p>
        </w:tc>
      </w:tr>
      <w:tr w:rsidR="00555502" w:rsidRPr="00521670" w14:paraId="3728B1C5" w14:textId="77777777" w:rsidTr="00675697">
        <w:trPr>
          <w:trHeight w:val="74"/>
        </w:trPr>
        <w:tc>
          <w:tcPr>
            <w:tcW w:w="6570" w:type="dxa"/>
            <w:gridSpan w:val="4"/>
            <w:tcBorders>
              <w:top w:val="nil"/>
              <w:left w:val="nil"/>
              <w:bottom w:val="nil"/>
              <w:right w:val="nil"/>
            </w:tcBorders>
            <w:shd w:val="clear" w:color="000000" w:fill="0070C0"/>
            <w:noWrap/>
            <w:vAlign w:val="center"/>
            <w:hideMark/>
          </w:tcPr>
          <w:p w14:paraId="50303B44" w14:textId="6399AEA1" w:rsidR="00555502" w:rsidRPr="00521670" w:rsidRDefault="00CC1F3B" w:rsidP="00DF5FEE">
            <w:pPr>
              <w:pStyle w:val="Tabletext"/>
              <w:rPr>
                <w:b/>
                <w:bCs/>
                <w:lang w:val="ru-RU" w:eastAsia="en-GB"/>
              </w:rPr>
            </w:pPr>
            <w:r w:rsidRPr="00521670">
              <w:rPr>
                <w:b/>
                <w:bCs/>
                <w:szCs w:val="16"/>
                <w:lang w:val="ru-RU"/>
              </w:rPr>
              <w:t>Активное сальдо/дефицит, показанное/показанный в Отчете о результатах финансовой деятельности</w:t>
            </w:r>
          </w:p>
        </w:tc>
        <w:tc>
          <w:tcPr>
            <w:tcW w:w="1530" w:type="dxa"/>
            <w:tcBorders>
              <w:top w:val="nil"/>
              <w:left w:val="nil"/>
              <w:bottom w:val="nil"/>
              <w:right w:val="nil"/>
            </w:tcBorders>
            <w:shd w:val="clear" w:color="000000" w:fill="0070C0"/>
            <w:noWrap/>
            <w:vAlign w:val="bottom"/>
            <w:hideMark/>
          </w:tcPr>
          <w:p w14:paraId="655E78F1" w14:textId="728879F8" w:rsidR="00555502" w:rsidRPr="00521670" w:rsidRDefault="00555502" w:rsidP="00555502">
            <w:pPr>
              <w:pStyle w:val="Tabletext"/>
              <w:jc w:val="right"/>
              <w:rPr>
                <w:b/>
                <w:bCs/>
                <w:lang w:val="ru-RU" w:eastAsia="en-GB"/>
              </w:rPr>
            </w:pPr>
            <w:r w:rsidRPr="00521670">
              <w:rPr>
                <w:b/>
                <w:bCs/>
                <w:lang w:val="ru-RU" w:eastAsia="en-GB"/>
              </w:rPr>
              <w:t>(27 865)</w:t>
            </w:r>
          </w:p>
        </w:tc>
        <w:tc>
          <w:tcPr>
            <w:tcW w:w="1440" w:type="dxa"/>
            <w:tcBorders>
              <w:top w:val="nil"/>
              <w:left w:val="nil"/>
              <w:bottom w:val="nil"/>
              <w:right w:val="nil"/>
            </w:tcBorders>
            <w:shd w:val="clear" w:color="000000" w:fill="0070C0"/>
            <w:noWrap/>
            <w:vAlign w:val="bottom"/>
            <w:hideMark/>
          </w:tcPr>
          <w:p w14:paraId="74529C33" w14:textId="7FEF00FD" w:rsidR="00555502" w:rsidRPr="00521670" w:rsidRDefault="00555502" w:rsidP="00555502">
            <w:pPr>
              <w:pStyle w:val="Tabletext"/>
              <w:jc w:val="right"/>
              <w:rPr>
                <w:b/>
                <w:bCs/>
                <w:lang w:val="ru-RU" w:eastAsia="en-GB"/>
              </w:rPr>
            </w:pPr>
          </w:p>
        </w:tc>
      </w:tr>
    </w:tbl>
    <w:p w14:paraId="6E38408D" w14:textId="419028CC" w:rsidR="00181318" w:rsidRPr="00521670" w:rsidRDefault="00181318" w:rsidP="00181318">
      <w:pPr>
        <w:rPr>
          <w:i/>
          <w:iCs/>
          <w:lang w:val="ru-RU"/>
        </w:rPr>
      </w:pPr>
      <w:r w:rsidRPr="00521670">
        <w:rPr>
          <w:i/>
          <w:iCs/>
          <w:lang w:val="ru-RU"/>
        </w:rPr>
        <w:t>Более подробная информация о базисной и структурной разнице приводится в Примечании 21.</w:t>
      </w:r>
    </w:p>
    <w:p w14:paraId="38C6EEF8" w14:textId="5279DFDE" w:rsidR="00181318" w:rsidRPr="00521670" w:rsidRDefault="00181318" w:rsidP="00181318">
      <w:pPr>
        <w:rPr>
          <w:lang w:val="ru-RU"/>
        </w:rPr>
      </w:pPr>
      <w:r w:rsidRPr="00521670">
        <w:rPr>
          <w:lang w:val="ru-RU"/>
        </w:rPr>
        <w:br w:type="page"/>
      </w:r>
    </w:p>
    <w:p w14:paraId="7556429A" w14:textId="77777777" w:rsidR="00EB6267" w:rsidRPr="00521670" w:rsidRDefault="00EB6267" w:rsidP="00EB6267">
      <w:pPr>
        <w:pStyle w:val="Heading1"/>
        <w:rPr>
          <w:lang w:val="ru-RU"/>
        </w:rPr>
      </w:pPr>
      <w:bookmarkStart w:id="115" w:name="_Toc329249357"/>
      <w:bookmarkStart w:id="116" w:name="_Toc358373627"/>
      <w:bookmarkStart w:id="117" w:name="_Toc387242708"/>
      <w:bookmarkStart w:id="118" w:name="_Toc387243278"/>
      <w:bookmarkStart w:id="119" w:name="_Toc419389919"/>
      <w:bookmarkStart w:id="120" w:name="_Toc419404352"/>
      <w:bookmarkStart w:id="121" w:name="_Toc452103234"/>
      <w:bookmarkStart w:id="122" w:name="_Toc452103483"/>
      <w:bookmarkStart w:id="123" w:name="_Toc482803657"/>
      <w:bookmarkStart w:id="124" w:name="_Toc482809962"/>
      <w:bookmarkStart w:id="125" w:name="_Toc482810301"/>
      <w:bookmarkStart w:id="126" w:name="_Toc511401659"/>
      <w:bookmarkStart w:id="127" w:name="_Toc10540772"/>
      <w:bookmarkStart w:id="128" w:name="_Toc41897516"/>
      <w:bookmarkStart w:id="129" w:name="_Toc41900392"/>
      <w:bookmarkStart w:id="130" w:name="_Toc73437975"/>
      <w:bookmarkStart w:id="131" w:name="_Toc73439153"/>
      <w:bookmarkStart w:id="132" w:name="_Toc111193856"/>
      <w:bookmarkStart w:id="133" w:name="_Toc168578449"/>
      <w:bookmarkStart w:id="134" w:name="_Toc180681793"/>
      <w:bookmarkStart w:id="135" w:name="_Toc200469524"/>
      <w:r w:rsidRPr="00521670">
        <w:rPr>
          <w:lang w:val="ru-RU"/>
        </w:rPr>
        <w:lastRenderedPageBreak/>
        <w:t>Примечания к финансовой отчетности</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945F341" w14:textId="05E606C7" w:rsidR="00EB6267" w:rsidRPr="00521670" w:rsidRDefault="00EB6267" w:rsidP="003E3C31">
      <w:pPr>
        <w:pStyle w:val="Heading5"/>
        <w:tabs>
          <w:tab w:val="left" w:pos="1980"/>
        </w:tabs>
        <w:rPr>
          <w:b/>
          <w:bCs/>
          <w:color w:val="4F81BD" w:themeColor="accent1"/>
          <w:lang w:val="ru-RU"/>
        </w:rPr>
      </w:pPr>
      <w:bookmarkStart w:id="136" w:name="_Toc329002755"/>
      <w:bookmarkStart w:id="137" w:name="_Toc358373628"/>
      <w:bookmarkStart w:id="138" w:name="_Toc387243008"/>
      <w:bookmarkStart w:id="139" w:name="_Toc419404353"/>
      <w:bookmarkStart w:id="140" w:name="_Toc482809963"/>
      <w:bookmarkStart w:id="141" w:name="_Toc482810302"/>
      <w:bookmarkStart w:id="142" w:name="_Toc482901561"/>
      <w:bookmarkStart w:id="143" w:name="_Toc511401537"/>
      <w:bookmarkStart w:id="144" w:name="_Toc511401660"/>
      <w:bookmarkStart w:id="145" w:name="_Toc10540773"/>
      <w:bookmarkStart w:id="146" w:name="_Toc41900393"/>
      <w:bookmarkStart w:id="147" w:name="_Toc73437976"/>
      <w:bookmarkStart w:id="148" w:name="_Toc73439154"/>
      <w:bookmarkStart w:id="149" w:name="_Toc111193857"/>
      <w:bookmarkStart w:id="150" w:name="_Toc168578450"/>
      <w:bookmarkStart w:id="151" w:name="_Toc180681794"/>
      <w:bookmarkStart w:id="152" w:name="_Toc200469525"/>
      <w:r w:rsidRPr="00521670">
        <w:rPr>
          <w:b/>
          <w:bCs/>
          <w:color w:val="4F81BD" w:themeColor="accent1"/>
          <w:lang w:val="ru-RU"/>
        </w:rPr>
        <w:t>Примечание 1</w:t>
      </w:r>
      <w:r w:rsidRPr="00521670">
        <w:rPr>
          <w:b/>
          <w:bCs/>
          <w:color w:val="4F81BD" w:themeColor="accent1"/>
          <w:lang w:val="ru-RU"/>
        </w:rPr>
        <w:tab/>
      </w:r>
      <w:bookmarkEnd w:id="136"/>
      <w:bookmarkEnd w:id="137"/>
      <w:bookmarkEnd w:id="138"/>
      <w:bookmarkEnd w:id="139"/>
      <w:r w:rsidRPr="00521670">
        <w:rPr>
          <w:b/>
          <w:bCs/>
          <w:color w:val="4F81BD" w:themeColor="accent1"/>
          <w:lang w:val="ru-RU"/>
        </w:rPr>
        <w:t>Задачи Союза</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36A42A49" w14:textId="7A2416D4" w:rsidR="003E3C31" w:rsidRPr="00521670" w:rsidRDefault="003E3C31" w:rsidP="003E3C31">
      <w:pPr>
        <w:rPr>
          <w:lang w:val="ru-RU"/>
        </w:rPr>
      </w:pPr>
      <w:r w:rsidRPr="00521670">
        <w:rPr>
          <w:lang w:val="ru-RU"/>
        </w:rPr>
        <w:t xml:space="preserve">Международный союз электросвязи (МСЭ) является специализированным учреждением </w:t>
      </w:r>
      <w:hyperlink r:id="rId16" w:tgtFrame="_blank" w:history="1">
        <w:r w:rsidRPr="00521670">
          <w:rPr>
            <w:rStyle w:val="Hyperlink"/>
            <w:rFonts w:cs="Calibri"/>
            <w:lang w:val="ru-RU"/>
          </w:rPr>
          <w:t>Организации Объединенных Наций</w:t>
        </w:r>
      </w:hyperlink>
      <w:r w:rsidRPr="00521670">
        <w:rPr>
          <w:lang w:val="ru-RU"/>
        </w:rPr>
        <w:t xml:space="preserve"> в области информационно-коммуникационных технологий (ИКТ). В качестве глобального координационного центра, объединяющего представителей от правительств и частного сектора, МСЭ помогает миру общаться, задействуя свой Генеральный секретариат и три </w:t>
      </w:r>
      <w:r w:rsidR="00975995" w:rsidRPr="00521670">
        <w:rPr>
          <w:lang w:val="ru-RU"/>
        </w:rPr>
        <w:t xml:space="preserve">своих </w:t>
      </w:r>
      <w:r w:rsidRPr="00521670">
        <w:rPr>
          <w:lang w:val="ru-RU"/>
        </w:rPr>
        <w:t xml:space="preserve">Сектора: </w:t>
      </w:r>
      <w:hyperlink r:id="rId17" w:history="1">
        <w:r w:rsidRPr="00521670">
          <w:rPr>
            <w:rStyle w:val="Hyperlink"/>
            <w:rFonts w:cs="Calibri"/>
            <w:lang w:val="ru-RU"/>
          </w:rPr>
          <w:t>Сектор радиосвязи</w:t>
        </w:r>
      </w:hyperlink>
      <w:r w:rsidRPr="00521670">
        <w:rPr>
          <w:lang w:val="ru-RU"/>
        </w:rPr>
        <w:t xml:space="preserve">, </w:t>
      </w:r>
      <w:hyperlink r:id="rId18" w:history="1">
        <w:r w:rsidRPr="00521670">
          <w:rPr>
            <w:rStyle w:val="Hyperlink"/>
            <w:rFonts w:cs="Calibri"/>
            <w:lang w:val="ru-RU"/>
          </w:rPr>
          <w:t>Сектор стандартизации электросвязи</w:t>
        </w:r>
      </w:hyperlink>
      <w:r w:rsidRPr="00521670">
        <w:rPr>
          <w:lang w:val="ru-RU"/>
        </w:rPr>
        <w:t xml:space="preserve"> и </w:t>
      </w:r>
      <w:hyperlink r:id="rId19" w:history="1">
        <w:r w:rsidRPr="00521670">
          <w:rPr>
            <w:rStyle w:val="Hyperlink"/>
            <w:rFonts w:cs="Calibri"/>
            <w:lang w:val="ru-RU"/>
          </w:rPr>
          <w:t>Сектор развития электросвязи</w:t>
        </w:r>
      </w:hyperlink>
      <w:r w:rsidRPr="00521670">
        <w:rPr>
          <w:lang w:val="ru-RU"/>
        </w:rPr>
        <w:t>. МСЭ в полной мере признает за каждым государством суверенные права на регулирование своей электросвязи.</w:t>
      </w:r>
    </w:p>
    <w:p w14:paraId="52F7028B" w14:textId="1EC8AF12" w:rsidR="003E3C31" w:rsidRPr="00521670" w:rsidRDefault="003E3C31" w:rsidP="003E3C31">
      <w:pPr>
        <w:rPr>
          <w:rFonts w:cs="Calibri"/>
          <w:bCs/>
          <w:lang w:val="ru-RU"/>
        </w:rPr>
      </w:pPr>
      <w:r w:rsidRPr="00521670">
        <w:rPr>
          <w:lang w:val="ru-RU" w:eastAsia="fr-FR"/>
        </w:rPr>
        <w:t>На МСЭ была возложена основная ответственность за организацию</w:t>
      </w:r>
      <w:r w:rsidRPr="00521670">
        <w:rPr>
          <w:lang w:val="ru-RU"/>
        </w:rPr>
        <w:t xml:space="preserve"> </w:t>
      </w:r>
      <w:hyperlink r:id="rId20" w:history="1">
        <w:r w:rsidRPr="00521670">
          <w:rPr>
            <w:rStyle w:val="Hyperlink"/>
            <w:rFonts w:cs="Arial"/>
            <w:szCs w:val="24"/>
            <w:lang w:val="ru-RU" w:eastAsia="fr-FR"/>
          </w:rPr>
          <w:t>Всемирной встречи на высшем уровне по вопросам информационного общества</w:t>
        </w:r>
      </w:hyperlink>
      <w:r w:rsidR="00975995" w:rsidRPr="00521670">
        <w:rPr>
          <w:lang w:val="ru-RU"/>
        </w:rPr>
        <w:t>,</w:t>
      </w:r>
      <w:r w:rsidRPr="00521670">
        <w:rPr>
          <w:rFonts w:cs="Arial"/>
          <w:lang w:val="ru-RU" w:eastAsia="fr-FR"/>
        </w:rPr>
        <w:t xml:space="preserve"> </w:t>
      </w:r>
      <w:r w:rsidR="00975995" w:rsidRPr="00521670">
        <w:rPr>
          <w:lang w:val="ru-RU"/>
        </w:rPr>
        <w:t>которая состоялась в 2003 и 2005</w:t>
      </w:r>
      <w:r w:rsidR="00E3615E" w:rsidRPr="00521670">
        <w:rPr>
          <w:lang w:val="ru-RU"/>
        </w:rPr>
        <w:t> </w:t>
      </w:r>
      <w:r w:rsidR="00975995" w:rsidRPr="00521670">
        <w:rPr>
          <w:lang w:val="ru-RU"/>
        </w:rPr>
        <w:t>годах</w:t>
      </w:r>
      <w:r w:rsidRPr="00521670">
        <w:rPr>
          <w:lang w:val="ru-RU"/>
        </w:rPr>
        <w:t>.</w:t>
      </w:r>
    </w:p>
    <w:p w14:paraId="69296809" w14:textId="0C750473" w:rsidR="003E3C31" w:rsidRPr="00521670" w:rsidRDefault="003E3C31" w:rsidP="003E3C31">
      <w:pPr>
        <w:rPr>
          <w:rFonts w:cs="Calibri"/>
          <w:bCs/>
          <w:lang w:val="ru-RU"/>
        </w:rPr>
      </w:pPr>
      <w:r w:rsidRPr="00521670">
        <w:rPr>
          <w:lang w:val="ru-RU" w:eastAsia="fr-FR"/>
        </w:rPr>
        <w:t>В состав МСЭ входят 194 </w:t>
      </w:r>
      <w:r w:rsidRPr="00521670">
        <w:rPr>
          <w:lang w:val="ru-RU"/>
        </w:rPr>
        <w:t xml:space="preserve">Государства-Члена и более 1000 компаний, университетов, а также международных и региональных организаций. </w:t>
      </w:r>
      <w:r w:rsidRPr="00521670">
        <w:rPr>
          <w:lang w:val="ru-RU" w:eastAsia="fr-FR"/>
        </w:rPr>
        <w:t>Штаб-квартира МСЭ находится в Женеве, Швейцария; Союз имеет региональны</w:t>
      </w:r>
      <w:r w:rsidR="00975995" w:rsidRPr="00521670">
        <w:rPr>
          <w:lang w:val="ru-RU" w:eastAsia="fr-FR"/>
        </w:rPr>
        <w:t>е и зональные</w:t>
      </w:r>
      <w:r w:rsidRPr="00521670">
        <w:rPr>
          <w:lang w:val="ru-RU" w:eastAsia="fr-FR"/>
        </w:rPr>
        <w:t xml:space="preserve"> отделения на каждом из континентов, представительство для взаимодействия с Организацией Объединенных Наций, расположенное в Нью-Йорке, и отдел координации для Европы в штаб-квартире</w:t>
      </w:r>
      <w:r w:rsidRPr="00521670">
        <w:rPr>
          <w:rFonts w:cs="Calibri"/>
          <w:bCs/>
          <w:lang w:val="ru-RU"/>
        </w:rPr>
        <w:t>. МСЭ − это старейшее учреждение во всей системе ООН; оно служит объединению мира со времени появления телеграфной связи в 1865 году. Штаб-квартира МСЭ находится по адресу: Place des Nations, 1211 Geneva 20, Switzerland.</w:t>
      </w:r>
    </w:p>
    <w:p w14:paraId="7488FD6E" w14:textId="77777777" w:rsidR="003E3C31" w:rsidRPr="00521670" w:rsidRDefault="003E3C31" w:rsidP="003E3C31">
      <w:pPr>
        <w:keepNext/>
        <w:keepLines/>
        <w:rPr>
          <w:lang w:val="ru-RU"/>
        </w:rPr>
      </w:pPr>
      <w:r w:rsidRPr="00521670">
        <w:rPr>
          <w:lang w:val="ru-RU"/>
        </w:rPr>
        <w:t>Цели Союза состоят в следующем:</w:t>
      </w:r>
    </w:p>
    <w:p w14:paraId="466F4ED6" w14:textId="77777777" w:rsidR="003E3C31" w:rsidRPr="00521670" w:rsidRDefault="003E3C31" w:rsidP="003E3C31">
      <w:pPr>
        <w:pStyle w:val="enumlev1"/>
        <w:rPr>
          <w:lang w:val="ru-RU"/>
        </w:rPr>
      </w:pPr>
      <w:r w:rsidRPr="00521670">
        <w:rPr>
          <w:lang w:val="ru-RU"/>
        </w:rPr>
        <w:t>–</w:t>
      </w:r>
      <w:r w:rsidRPr="00521670">
        <w:rPr>
          <w:lang w:val="ru-RU"/>
        </w:rPr>
        <w:tab/>
        <w:t>поддержание и расширение международного сотрудничества между всеми своими Государствами-Членами с целью совершенствования и рационального использования всех видов электросвязи;</w:t>
      </w:r>
    </w:p>
    <w:p w14:paraId="3730348B" w14:textId="77777777" w:rsidR="003E3C31" w:rsidRPr="00521670" w:rsidRDefault="003E3C31" w:rsidP="003E3C31">
      <w:pPr>
        <w:pStyle w:val="enumlev1"/>
        <w:rPr>
          <w:lang w:val="ru-RU"/>
        </w:rPr>
      </w:pPr>
      <w:r w:rsidRPr="00521670">
        <w:rPr>
          <w:lang w:val="ru-RU"/>
        </w:rPr>
        <w:t>–</w:t>
      </w:r>
      <w:r w:rsidRPr="00521670">
        <w:rPr>
          <w:lang w:val="ru-RU"/>
        </w:rPr>
        <w:tab/>
        <w:t>содействие развитию технических средств и их наиболее эффективной эксплуатации с целью повышения производительности служб электросвязи, расширения их применения и возможно более широкой доступности для населения;</w:t>
      </w:r>
    </w:p>
    <w:p w14:paraId="4F5C994E" w14:textId="77777777" w:rsidR="003E3C31" w:rsidRPr="00521670" w:rsidRDefault="003E3C31" w:rsidP="003E3C31">
      <w:pPr>
        <w:pStyle w:val="enumlev1"/>
        <w:rPr>
          <w:lang w:val="ru-RU"/>
        </w:rPr>
      </w:pPr>
      <w:r w:rsidRPr="00521670">
        <w:rPr>
          <w:lang w:val="ru-RU"/>
        </w:rPr>
        <w:t>–</w:t>
      </w:r>
      <w:r w:rsidRPr="00521670">
        <w:rPr>
          <w:lang w:val="ru-RU"/>
        </w:rPr>
        <w:tab/>
        <w:t>содействие распространению преимуществ новых технологий в области электросвязи среди всех жителей планеты;</w:t>
      </w:r>
    </w:p>
    <w:p w14:paraId="2E7212E3" w14:textId="77777777" w:rsidR="003E3C31" w:rsidRPr="00521670" w:rsidRDefault="003E3C31" w:rsidP="003E3C31">
      <w:pPr>
        <w:pStyle w:val="enumlev1"/>
        <w:rPr>
          <w:lang w:val="ru-RU"/>
        </w:rPr>
      </w:pPr>
      <w:r w:rsidRPr="00521670">
        <w:rPr>
          <w:lang w:val="ru-RU"/>
        </w:rPr>
        <w:t>–</w:t>
      </w:r>
      <w:r w:rsidRPr="00521670">
        <w:rPr>
          <w:lang w:val="ru-RU"/>
        </w:rPr>
        <w:tab/>
        <w:t>содействие использованию служб электросвязи в целях помощи в обеспечении мирных отношений;</w:t>
      </w:r>
    </w:p>
    <w:p w14:paraId="694B683A" w14:textId="77777777" w:rsidR="003E3C31" w:rsidRPr="00521670" w:rsidRDefault="003E3C31" w:rsidP="003E3C31">
      <w:pPr>
        <w:pStyle w:val="enumlev1"/>
        <w:rPr>
          <w:lang w:val="ru-RU"/>
        </w:rPr>
      </w:pPr>
      <w:r w:rsidRPr="00521670">
        <w:rPr>
          <w:lang w:val="ru-RU"/>
        </w:rPr>
        <w:t>–</w:t>
      </w:r>
      <w:r w:rsidRPr="00521670">
        <w:rPr>
          <w:lang w:val="ru-RU"/>
        </w:rPr>
        <w:tab/>
        <w:t>согласование деятельности Государств-Членов и содействие плодотворному и конструктивному сотрудничеству и партнерству между Государствами-Членами и Членами Секторов для достижения вышеуказанных целей; и</w:t>
      </w:r>
    </w:p>
    <w:p w14:paraId="0CEA6A24" w14:textId="77777777" w:rsidR="003E3C31" w:rsidRPr="00521670" w:rsidRDefault="003E3C31" w:rsidP="003E3C31">
      <w:pPr>
        <w:pStyle w:val="enumlev1"/>
        <w:rPr>
          <w:lang w:val="ru-RU"/>
        </w:rPr>
      </w:pPr>
      <w:r w:rsidRPr="00521670">
        <w:rPr>
          <w:lang w:val="ru-RU"/>
        </w:rPr>
        <w:t>–</w:t>
      </w:r>
      <w:r w:rsidRPr="00521670">
        <w:rPr>
          <w:lang w:val="ru-RU"/>
        </w:rPr>
        <w:tab/>
        <w:t>содействие на международном уровне более общему подходу к вопросам электросвязи в глобальной экономике, основанной на информации, и глобальном информационном обществе путем сотрудничества с другими международными и региональными межправительственными организациями и неправительственными организациями, которые связаны с электросвязью.</w:t>
      </w:r>
    </w:p>
    <w:p w14:paraId="7F19B1FE" w14:textId="139E97CD" w:rsidR="00EB6267" w:rsidRPr="00521670" w:rsidRDefault="00975995" w:rsidP="00E3615E">
      <w:pPr>
        <w:rPr>
          <w:lang w:val="ru-RU"/>
        </w:rPr>
      </w:pPr>
      <w:r w:rsidRPr="00521670">
        <w:rPr>
          <w:lang w:val="ru-RU"/>
        </w:rPr>
        <w:t>Высшим органом МСЭ является Полномочная конференция. Она проводится каждые четыре года. В период между двумя полномочными конференциями Совет действует в качестве руководящего органа Союза от имени Полномочной конференции в пределах предоставленных ему прав. Конференция:</w:t>
      </w:r>
    </w:p>
    <w:p w14:paraId="62855EE5" w14:textId="77777777" w:rsidR="003E3C31" w:rsidRPr="00521670" w:rsidRDefault="003E3C31" w:rsidP="003E3C31">
      <w:pPr>
        <w:pStyle w:val="enumlev1"/>
        <w:rPr>
          <w:lang w:val="ru-RU"/>
        </w:rPr>
      </w:pPr>
      <w:bookmarkStart w:id="153" w:name="_Toc684074497"/>
      <w:bookmarkStart w:id="154" w:name="_Toc196292774"/>
      <w:r w:rsidRPr="00521670">
        <w:rPr>
          <w:lang w:val="ru-RU"/>
        </w:rPr>
        <w:t>•</w:t>
      </w:r>
      <w:r w:rsidRPr="00521670">
        <w:rPr>
          <w:lang w:val="ru-RU"/>
        </w:rPr>
        <w:tab/>
        <w:t>определяет общую политика Союза;</w:t>
      </w:r>
    </w:p>
    <w:p w14:paraId="319661BE" w14:textId="77777777" w:rsidR="003E3C31" w:rsidRPr="00521670" w:rsidRDefault="003E3C31" w:rsidP="003E3C31">
      <w:pPr>
        <w:pStyle w:val="enumlev1"/>
        <w:rPr>
          <w:lang w:val="ru-RU"/>
        </w:rPr>
      </w:pPr>
      <w:r w:rsidRPr="00521670">
        <w:rPr>
          <w:lang w:val="ru-RU"/>
        </w:rPr>
        <w:t>•</w:t>
      </w:r>
      <w:r w:rsidRPr="00521670">
        <w:rPr>
          <w:lang w:val="ru-RU"/>
        </w:rPr>
        <w:tab/>
        <w:t>принимает четырехгодичные стратегические и финансовые планы;</w:t>
      </w:r>
    </w:p>
    <w:p w14:paraId="713074BC" w14:textId="77777777" w:rsidR="003E3C31" w:rsidRPr="00521670" w:rsidRDefault="003E3C31" w:rsidP="003E3C31">
      <w:pPr>
        <w:pStyle w:val="enumlev1"/>
        <w:rPr>
          <w:lang w:val="ru-RU"/>
        </w:rPr>
      </w:pPr>
      <w:r w:rsidRPr="00521670">
        <w:rPr>
          <w:lang w:val="ru-RU"/>
        </w:rPr>
        <w:t>•</w:t>
      </w:r>
      <w:r w:rsidRPr="00521670">
        <w:rPr>
          <w:lang w:val="ru-RU"/>
        </w:rPr>
        <w:tab/>
        <w:t>рассматривает счета Союза и при необходимости окончательно утверждает их;</w:t>
      </w:r>
    </w:p>
    <w:p w14:paraId="6AFB51C5" w14:textId="77777777" w:rsidR="003E3C31" w:rsidRPr="00521670" w:rsidRDefault="003E3C31" w:rsidP="003E3C31">
      <w:pPr>
        <w:pStyle w:val="enumlev1"/>
        <w:rPr>
          <w:lang w:val="ru-RU"/>
        </w:rPr>
      </w:pPr>
      <w:r w:rsidRPr="00521670">
        <w:rPr>
          <w:lang w:val="ru-RU"/>
        </w:rPr>
        <w:lastRenderedPageBreak/>
        <w:t>•</w:t>
      </w:r>
      <w:r w:rsidRPr="00521670">
        <w:rPr>
          <w:lang w:val="ru-RU"/>
        </w:rPr>
        <w:tab/>
        <w:t>избирает Государства-Члены в состав Совета;</w:t>
      </w:r>
    </w:p>
    <w:p w14:paraId="467CEDF9" w14:textId="3636DC8A" w:rsidR="003E3C31" w:rsidRPr="00521670" w:rsidRDefault="003E3C31" w:rsidP="003E3C31">
      <w:pPr>
        <w:pStyle w:val="enumlev1"/>
        <w:rPr>
          <w:lang w:val="ru-RU"/>
        </w:rPr>
      </w:pPr>
      <w:r w:rsidRPr="00521670">
        <w:rPr>
          <w:lang w:val="ru-RU"/>
        </w:rPr>
        <w:t>•</w:t>
      </w:r>
      <w:r w:rsidRPr="00521670">
        <w:rPr>
          <w:lang w:val="ru-RU"/>
        </w:rPr>
        <w:tab/>
      </w:r>
      <w:bookmarkStart w:id="155" w:name="lt_pId360"/>
      <w:r w:rsidRPr="00521670">
        <w:rPr>
          <w:lang w:val="ru-RU"/>
        </w:rPr>
        <w:t xml:space="preserve">избирает Генерального секретаря, заместителя Генерального секретаря и Директоров Бюро в качестве избираемых должностных лиц Союза; </w:t>
      </w:r>
      <w:bookmarkEnd w:id="155"/>
      <w:r w:rsidRPr="00521670">
        <w:rPr>
          <w:lang w:val="ru-RU"/>
        </w:rPr>
        <w:t>и</w:t>
      </w:r>
    </w:p>
    <w:p w14:paraId="41C24997" w14:textId="0648453E" w:rsidR="003E3C31" w:rsidRPr="00521670" w:rsidRDefault="003E3C31" w:rsidP="003E3C31">
      <w:pPr>
        <w:pStyle w:val="enumlev1"/>
        <w:rPr>
          <w:b/>
          <w:lang w:val="ru-RU"/>
        </w:rPr>
      </w:pPr>
      <w:r w:rsidRPr="00521670">
        <w:rPr>
          <w:lang w:val="ru-RU"/>
        </w:rPr>
        <w:t>•</w:t>
      </w:r>
      <w:r w:rsidRPr="00521670">
        <w:rPr>
          <w:lang w:val="ru-RU"/>
        </w:rPr>
        <w:tab/>
        <w:t xml:space="preserve">избирает членов </w:t>
      </w:r>
      <w:hyperlink r:id="rId21" w:history="1">
        <w:r w:rsidRPr="00521670">
          <w:rPr>
            <w:rStyle w:val="Hyperlink"/>
            <w:lang w:val="ru-RU"/>
          </w:rPr>
          <w:t>Радиорегламентарного комитета</w:t>
        </w:r>
      </w:hyperlink>
      <w:r w:rsidRPr="00521670">
        <w:rPr>
          <w:lang w:val="ru-RU"/>
        </w:rPr>
        <w:t>.</w:t>
      </w:r>
    </w:p>
    <w:p w14:paraId="0A850D9D" w14:textId="4AB97C7C" w:rsidR="00EB6267" w:rsidRPr="00521670" w:rsidRDefault="00EB6267" w:rsidP="003E3C31">
      <w:pPr>
        <w:pStyle w:val="Heading5"/>
        <w:tabs>
          <w:tab w:val="left" w:pos="1980"/>
        </w:tabs>
        <w:rPr>
          <w:b/>
          <w:bCs/>
          <w:color w:val="4F81BD" w:themeColor="accent1"/>
          <w:lang w:val="ru-RU"/>
        </w:rPr>
      </w:pPr>
      <w:bookmarkStart w:id="156" w:name="_Toc200469526"/>
      <w:r w:rsidRPr="00521670">
        <w:rPr>
          <w:b/>
          <w:bCs/>
          <w:color w:val="4F81BD" w:themeColor="accent1"/>
          <w:lang w:val="ru-RU"/>
        </w:rPr>
        <w:t>Примечание 2</w:t>
      </w:r>
      <w:r w:rsidRPr="00521670">
        <w:rPr>
          <w:b/>
          <w:bCs/>
          <w:color w:val="4F81BD" w:themeColor="accent1"/>
          <w:lang w:val="ru-RU"/>
        </w:rPr>
        <w:tab/>
      </w:r>
      <w:bookmarkEnd w:id="153"/>
      <w:bookmarkEnd w:id="154"/>
      <w:r w:rsidRPr="00521670">
        <w:rPr>
          <w:b/>
          <w:bCs/>
          <w:color w:val="4F81BD" w:themeColor="accent1"/>
          <w:lang w:val="ru-RU"/>
        </w:rPr>
        <w:t>Основа для подготовки и представления</w:t>
      </w:r>
      <w:bookmarkEnd w:id="156"/>
    </w:p>
    <w:p w14:paraId="2D67FFCD" w14:textId="28BAA814" w:rsidR="00EB6267" w:rsidRPr="00521670" w:rsidRDefault="000154A0" w:rsidP="00EB6267">
      <w:pPr>
        <w:rPr>
          <w:rFonts w:eastAsia="Calibri" w:cs="Calibri"/>
          <w:lang w:val="ru-RU"/>
        </w:rPr>
      </w:pPr>
      <w:r w:rsidRPr="00521670">
        <w:rPr>
          <w:lang w:val="ru-RU"/>
        </w:rPr>
        <w:t>Финансовая отчетность за 2024 год была подготовлена в соответствии с Международными стандартами учета в государственном секторе (IPSAS). Финансовая отчетность представляется в швейцарских франках, которые являются отчетной и рабочей валютой МСЭ; значения округляются до тысячи. Методы бухгалтерского учета последовательно применялись ко всем представленным отчетным годам. Финансовый год длится с января по декабрь.</w:t>
      </w:r>
    </w:p>
    <w:p w14:paraId="09CD250E" w14:textId="154B2240" w:rsidR="00EB6267" w:rsidRPr="00521670" w:rsidRDefault="000154A0" w:rsidP="00EB6267">
      <w:pPr>
        <w:rPr>
          <w:lang w:val="ru-RU"/>
        </w:rPr>
      </w:pPr>
      <w:r w:rsidRPr="00521670">
        <w:rPr>
          <w:lang w:val="ru-RU"/>
        </w:rPr>
        <w:t>Финансовая отчетность составлена на основе затрат за истекший период, если не указано иное. Отчет о движении денежных средств подготовлен с использованием косвенного метода. Финансовая отчетность составляется на основе метода начисления и непрерывности</w:t>
      </w:r>
      <w:r w:rsidR="00E3615E" w:rsidRPr="00521670">
        <w:rPr>
          <w:lang w:val="ru-RU"/>
        </w:rPr>
        <w:t> </w:t>
      </w:r>
      <w:r w:rsidRPr="00521670">
        <w:rPr>
          <w:lang w:val="ru-RU"/>
        </w:rPr>
        <w:t>деятельности.</w:t>
      </w:r>
    </w:p>
    <w:p w14:paraId="1E134BCD" w14:textId="78EC052E" w:rsidR="00EB6267" w:rsidRPr="00521670" w:rsidRDefault="00FD1938" w:rsidP="00EB6267">
      <w:pPr>
        <w:rPr>
          <w:lang w:val="ru-RU"/>
        </w:rPr>
      </w:pPr>
      <w:r w:rsidRPr="00521670">
        <w:rPr>
          <w:lang w:val="ru-RU"/>
        </w:rPr>
        <w:t>Финансовым регламентом и Финансовыми правилами МСЭ установлен двухгодичный бюджетный период; однако для наглядного сравнения с финансовой отчетностью за 2024 год бюджет на 2024 год представлен в Отчете V (Отчет о сопоставлении бюджета и фактических сумм) на ежегодной основе.</w:t>
      </w:r>
    </w:p>
    <w:p w14:paraId="654FB669" w14:textId="1054C85A" w:rsidR="00EB6267" w:rsidRPr="00521670" w:rsidRDefault="00FD1938" w:rsidP="00EB6267">
      <w:pPr>
        <w:rPr>
          <w:lang w:val="ru-RU"/>
        </w:rPr>
      </w:pPr>
      <w:r w:rsidRPr="00521670">
        <w:rPr>
          <w:lang w:val="ru-RU"/>
        </w:rPr>
        <w:t xml:space="preserve">МСЭ применил и выполнил требования согласно стандартам IPSAS, действующим на 1 января 2024 года; более подробная информация </w:t>
      </w:r>
      <w:r w:rsidR="00AC71FF" w:rsidRPr="00521670">
        <w:rPr>
          <w:lang w:val="ru-RU"/>
        </w:rPr>
        <w:t>содержится</w:t>
      </w:r>
      <w:r w:rsidRPr="00521670">
        <w:rPr>
          <w:lang w:val="ru-RU"/>
        </w:rPr>
        <w:t xml:space="preserve"> в Примечании 3 об основных методах бухгалтерского учета.</w:t>
      </w:r>
    </w:p>
    <w:p w14:paraId="3E15CA2A" w14:textId="13C62370" w:rsidR="00EB6267" w:rsidRPr="00521670" w:rsidRDefault="00180DB4" w:rsidP="00EB6267">
      <w:pPr>
        <w:pStyle w:val="Headingi"/>
        <w:rPr>
          <w:b/>
          <w:bCs/>
          <w:color w:val="000000"/>
          <w:lang w:val="ru-RU" w:eastAsia="zh-CN"/>
        </w:rPr>
      </w:pPr>
      <w:bookmarkStart w:id="157" w:name="lt_pId396"/>
      <w:r w:rsidRPr="00521670">
        <w:rPr>
          <w:b/>
          <w:bCs/>
          <w:lang w:val="ru-RU" w:eastAsia="zh-CN"/>
        </w:rPr>
        <w:t>Будущие изменения в учете</w:t>
      </w:r>
      <w:bookmarkEnd w:id="157"/>
    </w:p>
    <w:p w14:paraId="74CB124C" w14:textId="4612785F" w:rsidR="00180DB4" w:rsidRPr="00521670" w:rsidRDefault="00180DB4" w:rsidP="00180DB4">
      <w:pPr>
        <w:keepNext/>
        <w:spacing w:after="120"/>
        <w:rPr>
          <w:rFonts w:cs="Calibri"/>
          <w:color w:val="000000" w:themeColor="text1"/>
          <w:lang w:val="ru-RU" w:eastAsia="zh-CN"/>
        </w:rPr>
      </w:pPr>
      <w:bookmarkStart w:id="158" w:name="lt_pId397"/>
      <w:r w:rsidRPr="00521670">
        <w:rPr>
          <w:rFonts w:cs="Calibri"/>
          <w:color w:val="000000" w:themeColor="text1"/>
          <w:lang w:val="ru-RU" w:eastAsia="zh-CN"/>
        </w:rPr>
        <w:t xml:space="preserve">По </w:t>
      </w:r>
      <w:r w:rsidRPr="00521670">
        <w:rPr>
          <w:lang w:val="ru-RU"/>
        </w:rPr>
        <w:t>состоянию</w:t>
      </w:r>
      <w:r w:rsidRPr="00521670">
        <w:rPr>
          <w:rFonts w:cs="Calibri"/>
          <w:color w:val="000000" w:themeColor="text1"/>
          <w:lang w:val="ru-RU" w:eastAsia="zh-CN"/>
        </w:rPr>
        <w:t xml:space="preserve"> на 31 декабря 2024 года, дату Отчета о финансовом положении, были изданы, но не вступили в силу следующие стандарты IPSAS:</w:t>
      </w:r>
      <w:bookmarkEnd w:id="158"/>
    </w:p>
    <w:tbl>
      <w:tblPr>
        <w:tblStyle w:val="TableGrid"/>
        <w:tblW w:w="5000" w:type="pct"/>
        <w:tblLook w:val="06A0" w:firstRow="1" w:lastRow="0" w:firstColumn="1" w:lastColumn="0" w:noHBand="1" w:noVBand="1"/>
      </w:tblPr>
      <w:tblGrid>
        <w:gridCol w:w="1052"/>
        <w:gridCol w:w="2201"/>
        <w:gridCol w:w="1584"/>
        <w:gridCol w:w="4224"/>
      </w:tblGrid>
      <w:tr w:rsidR="00C63D5B" w:rsidRPr="00521670" w14:paraId="471E62B0" w14:textId="77777777" w:rsidTr="00015883">
        <w:trPr>
          <w:trHeight w:val="300"/>
          <w:tblHeader/>
        </w:trPr>
        <w:tc>
          <w:tcPr>
            <w:tcW w:w="580" w:type="pct"/>
            <w:shd w:val="clear" w:color="auto" w:fill="0070C0"/>
          </w:tcPr>
          <w:p w14:paraId="7EB9AD25" w14:textId="17743D1A" w:rsidR="00C63D5B" w:rsidRPr="00521670" w:rsidRDefault="00C37966" w:rsidP="00C63D5B">
            <w:pPr>
              <w:pStyle w:val="Tablehead"/>
              <w:rPr>
                <w:bCs/>
                <w:lang w:val="ru-RU" w:eastAsia="zh-CN"/>
              </w:rPr>
            </w:pPr>
            <w:r w:rsidRPr="00521670">
              <w:rPr>
                <w:lang w:val="ru-RU"/>
              </w:rPr>
              <w:t>Стандарт</w:t>
            </w:r>
          </w:p>
        </w:tc>
        <w:tc>
          <w:tcPr>
            <w:tcW w:w="1214" w:type="pct"/>
            <w:shd w:val="clear" w:color="auto" w:fill="0070C0"/>
          </w:tcPr>
          <w:p w14:paraId="343463E5" w14:textId="5AD079DA" w:rsidR="00C63D5B" w:rsidRPr="00521670" w:rsidRDefault="00C37966" w:rsidP="00C63D5B">
            <w:pPr>
              <w:pStyle w:val="Tablehead"/>
              <w:rPr>
                <w:bCs/>
                <w:lang w:val="ru-RU" w:eastAsia="zh-CN"/>
              </w:rPr>
            </w:pPr>
            <w:r w:rsidRPr="00521670">
              <w:rPr>
                <w:szCs w:val="18"/>
                <w:lang w:val="ru-RU" w:eastAsia="zh-CN"/>
              </w:rPr>
              <w:t>Название</w:t>
            </w:r>
          </w:p>
        </w:tc>
        <w:tc>
          <w:tcPr>
            <w:tcW w:w="874" w:type="pct"/>
            <w:shd w:val="clear" w:color="auto" w:fill="0070C0"/>
          </w:tcPr>
          <w:p w14:paraId="58E920FB" w14:textId="0C229EFD" w:rsidR="00C63D5B" w:rsidRPr="00521670" w:rsidRDefault="00C37966" w:rsidP="00C63D5B">
            <w:pPr>
              <w:pStyle w:val="Tablehead"/>
              <w:rPr>
                <w:bCs/>
                <w:lang w:val="ru-RU" w:eastAsia="zh-CN"/>
              </w:rPr>
            </w:pPr>
            <w:r w:rsidRPr="00521670">
              <w:rPr>
                <w:szCs w:val="18"/>
                <w:lang w:val="ru-RU" w:eastAsia="zh-CN"/>
              </w:rPr>
              <w:t>Дата вступления в силу</w:t>
            </w:r>
          </w:p>
        </w:tc>
        <w:tc>
          <w:tcPr>
            <w:tcW w:w="2331" w:type="pct"/>
            <w:shd w:val="clear" w:color="auto" w:fill="0070C0"/>
          </w:tcPr>
          <w:p w14:paraId="02A32065" w14:textId="2E35C930" w:rsidR="00C63D5B" w:rsidRPr="00521670" w:rsidRDefault="00C37966" w:rsidP="00C63D5B">
            <w:pPr>
              <w:pStyle w:val="Tablehead"/>
              <w:rPr>
                <w:bCs/>
                <w:lang w:val="ru-RU" w:eastAsia="zh-CN"/>
              </w:rPr>
            </w:pPr>
            <w:r w:rsidRPr="00521670">
              <w:rPr>
                <w:szCs w:val="18"/>
                <w:lang w:val="ru-RU" w:eastAsia="zh-CN"/>
              </w:rPr>
              <w:t>Потенциальное воздействие в год принятия</w:t>
            </w:r>
          </w:p>
        </w:tc>
      </w:tr>
      <w:tr w:rsidR="00C63D5B" w:rsidRPr="00521670" w14:paraId="3C392963" w14:textId="77777777" w:rsidTr="00015883">
        <w:trPr>
          <w:trHeight w:val="300"/>
        </w:trPr>
        <w:tc>
          <w:tcPr>
            <w:tcW w:w="580" w:type="pct"/>
          </w:tcPr>
          <w:p w14:paraId="73BCC2EB" w14:textId="77777777" w:rsidR="00C63D5B" w:rsidRPr="00521670" w:rsidRDefault="00C63D5B" w:rsidP="00C63D5B">
            <w:pPr>
              <w:pStyle w:val="Tabletext"/>
              <w:rPr>
                <w:lang w:val="ru-RU" w:eastAsia="zh-CN"/>
              </w:rPr>
            </w:pPr>
            <w:r w:rsidRPr="00521670">
              <w:rPr>
                <w:lang w:val="ru-RU" w:eastAsia="zh-CN"/>
              </w:rPr>
              <w:t>IPSAS 43</w:t>
            </w:r>
          </w:p>
        </w:tc>
        <w:tc>
          <w:tcPr>
            <w:tcW w:w="1214" w:type="pct"/>
          </w:tcPr>
          <w:p w14:paraId="2B8E9F11" w14:textId="2367023C" w:rsidR="00C63D5B" w:rsidRPr="00521670" w:rsidRDefault="00C37966" w:rsidP="00C63D5B">
            <w:pPr>
              <w:pStyle w:val="Tabletext"/>
              <w:rPr>
                <w:lang w:val="ru-RU" w:eastAsia="zh-CN"/>
              </w:rPr>
            </w:pPr>
            <w:bookmarkStart w:id="159" w:name="lt_pId416"/>
            <w:r w:rsidRPr="00521670">
              <w:rPr>
                <w:szCs w:val="18"/>
                <w:lang w:val="ru-RU" w:eastAsia="zh-CN"/>
              </w:rPr>
              <w:t>Аренда</w:t>
            </w:r>
            <w:bookmarkEnd w:id="159"/>
          </w:p>
        </w:tc>
        <w:tc>
          <w:tcPr>
            <w:tcW w:w="874" w:type="pct"/>
          </w:tcPr>
          <w:p w14:paraId="19792605" w14:textId="59DBA718" w:rsidR="00C63D5B" w:rsidRPr="00521670" w:rsidRDefault="00C37966" w:rsidP="00C37966">
            <w:pPr>
              <w:pStyle w:val="Tabletext"/>
              <w:jc w:val="center"/>
              <w:rPr>
                <w:lang w:val="ru-RU" w:eastAsia="zh-CN"/>
              </w:rPr>
            </w:pPr>
            <w:r w:rsidRPr="00521670">
              <w:rPr>
                <w:szCs w:val="18"/>
                <w:lang w:val="ru-RU" w:eastAsia="zh-CN"/>
              </w:rPr>
              <w:t xml:space="preserve">1 </w:t>
            </w:r>
            <w:bookmarkStart w:id="160" w:name="lt_pId418"/>
            <w:r w:rsidRPr="00521670">
              <w:rPr>
                <w:szCs w:val="18"/>
                <w:lang w:val="ru-RU" w:eastAsia="zh-CN"/>
              </w:rPr>
              <w:t>января 2025</w:t>
            </w:r>
            <w:bookmarkEnd w:id="160"/>
            <w:r w:rsidRPr="00521670">
              <w:rPr>
                <w:szCs w:val="18"/>
                <w:lang w:val="ru-RU" w:eastAsia="zh-CN"/>
              </w:rPr>
              <w:t xml:space="preserve"> г.</w:t>
            </w:r>
          </w:p>
        </w:tc>
        <w:tc>
          <w:tcPr>
            <w:tcW w:w="2331" w:type="pct"/>
          </w:tcPr>
          <w:p w14:paraId="57B4554C" w14:textId="19658EB7" w:rsidR="00C63D5B" w:rsidRPr="00521670" w:rsidRDefault="00E2111E" w:rsidP="00C63D5B">
            <w:pPr>
              <w:pStyle w:val="Tabletext"/>
              <w:rPr>
                <w:rFonts w:eastAsia="Times New Roman" w:cs="Times New Roman"/>
                <w:lang w:val="ru-RU"/>
              </w:rPr>
            </w:pPr>
            <w:r w:rsidRPr="00521670">
              <w:rPr>
                <w:lang w:val="ru-RU"/>
              </w:rPr>
              <w:t>Устанавливает принципы признания, измерения, отображения аренды и раскрытия информации о ней</w:t>
            </w:r>
            <w:r w:rsidR="00C63D5B" w:rsidRPr="00521670">
              <w:rPr>
                <w:lang w:val="ru-RU"/>
              </w:rPr>
              <w:t>.</w:t>
            </w:r>
            <w:r w:rsidRPr="00521670">
              <w:rPr>
                <w:lang w:val="ru-RU"/>
              </w:rPr>
              <w:t xml:space="preserve"> МСЭ проанализировал свой портфель контрактов для выявления договоров аренды материальных активов, и ожидается, что этот стандарт не окажет существенного воздействия на финансовую отчетность МСЭ.</w:t>
            </w:r>
          </w:p>
        </w:tc>
      </w:tr>
      <w:tr w:rsidR="00C63D5B" w:rsidRPr="00521670" w14:paraId="2E5C2BB4" w14:textId="77777777" w:rsidTr="00015883">
        <w:trPr>
          <w:trHeight w:val="300"/>
        </w:trPr>
        <w:tc>
          <w:tcPr>
            <w:tcW w:w="580" w:type="pct"/>
          </w:tcPr>
          <w:p w14:paraId="77F5A091" w14:textId="77777777" w:rsidR="00C63D5B" w:rsidRPr="00521670" w:rsidRDefault="00C63D5B" w:rsidP="00C63D5B">
            <w:pPr>
              <w:pStyle w:val="Tabletext"/>
              <w:rPr>
                <w:lang w:val="ru-RU" w:eastAsia="zh-CN"/>
              </w:rPr>
            </w:pPr>
            <w:r w:rsidRPr="00521670">
              <w:rPr>
                <w:lang w:val="ru-RU" w:eastAsia="zh-CN"/>
              </w:rPr>
              <w:t>IPSAS 44</w:t>
            </w:r>
          </w:p>
        </w:tc>
        <w:tc>
          <w:tcPr>
            <w:tcW w:w="1214" w:type="pct"/>
          </w:tcPr>
          <w:p w14:paraId="251DC035" w14:textId="0EAD645D" w:rsidR="00C63D5B" w:rsidRPr="00521670" w:rsidRDefault="00C37966" w:rsidP="00C63D5B">
            <w:pPr>
              <w:pStyle w:val="Tabletext"/>
              <w:rPr>
                <w:lang w:val="ru-RU"/>
              </w:rPr>
            </w:pPr>
            <w:bookmarkStart w:id="161" w:name="lt_pId423"/>
            <w:r w:rsidRPr="00521670">
              <w:rPr>
                <w:szCs w:val="18"/>
                <w:lang w:val="ru-RU"/>
              </w:rPr>
              <w:t>Нетекущие активы, предназначенные для продажи, и прекращенная деятельность</w:t>
            </w:r>
            <w:bookmarkEnd w:id="161"/>
          </w:p>
        </w:tc>
        <w:tc>
          <w:tcPr>
            <w:tcW w:w="874" w:type="pct"/>
          </w:tcPr>
          <w:p w14:paraId="01636987" w14:textId="0BADE6B9" w:rsidR="00C63D5B" w:rsidRPr="00521670" w:rsidRDefault="00C37966" w:rsidP="00C37966">
            <w:pPr>
              <w:pStyle w:val="Tabletext"/>
              <w:jc w:val="center"/>
              <w:rPr>
                <w:lang w:val="ru-RU" w:eastAsia="zh-CN"/>
              </w:rPr>
            </w:pPr>
            <w:r w:rsidRPr="00521670">
              <w:rPr>
                <w:szCs w:val="18"/>
                <w:lang w:val="ru-RU" w:eastAsia="zh-CN"/>
              </w:rPr>
              <w:t xml:space="preserve">1 </w:t>
            </w:r>
            <w:bookmarkStart w:id="162" w:name="lt_pId425"/>
            <w:r w:rsidRPr="00521670">
              <w:rPr>
                <w:szCs w:val="18"/>
                <w:lang w:val="ru-RU" w:eastAsia="zh-CN"/>
              </w:rPr>
              <w:t>января 2025</w:t>
            </w:r>
            <w:bookmarkEnd w:id="162"/>
            <w:r w:rsidRPr="00521670">
              <w:rPr>
                <w:szCs w:val="18"/>
                <w:lang w:val="ru-RU" w:eastAsia="zh-CN"/>
              </w:rPr>
              <w:t xml:space="preserve"> г.</w:t>
            </w:r>
          </w:p>
        </w:tc>
        <w:tc>
          <w:tcPr>
            <w:tcW w:w="2331" w:type="pct"/>
          </w:tcPr>
          <w:p w14:paraId="5DD42354" w14:textId="338B8A8C" w:rsidR="00C63D5B" w:rsidRPr="00521670" w:rsidRDefault="00E2111E" w:rsidP="00C63D5B">
            <w:pPr>
              <w:pStyle w:val="Tabletext"/>
              <w:rPr>
                <w:rFonts w:eastAsia="Times New Roman" w:cs="Times New Roman"/>
                <w:lang w:val="ru-RU"/>
              </w:rPr>
            </w:pPr>
            <w:r w:rsidRPr="00521670">
              <w:rPr>
                <w:lang w:val="ru-RU"/>
              </w:rPr>
              <w:t>Этот стандарт определяет учет активов, предназначенных для продажи, а также отображение и раскрытие информации о прекращенной деятельности. Проведенный анализ показал, что в настоящее время стандарт не оказывает воздействия на финансовую отчетность</w:t>
            </w:r>
            <w:r w:rsidR="008D5509" w:rsidRPr="00521670">
              <w:rPr>
                <w:lang w:val="ru-RU"/>
              </w:rPr>
              <w:t> </w:t>
            </w:r>
            <w:r w:rsidRPr="00521670">
              <w:rPr>
                <w:lang w:val="ru-RU"/>
              </w:rPr>
              <w:t>МСЭ.</w:t>
            </w:r>
          </w:p>
        </w:tc>
      </w:tr>
      <w:tr w:rsidR="00C63D5B" w:rsidRPr="00521670" w14:paraId="2DB91848" w14:textId="77777777" w:rsidTr="00015883">
        <w:trPr>
          <w:trHeight w:val="300"/>
        </w:trPr>
        <w:tc>
          <w:tcPr>
            <w:tcW w:w="580" w:type="pct"/>
          </w:tcPr>
          <w:p w14:paraId="210563B2" w14:textId="77777777" w:rsidR="00C63D5B" w:rsidRPr="00521670" w:rsidRDefault="00C63D5B" w:rsidP="00C63D5B">
            <w:pPr>
              <w:pStyle w:val="Tabletext"/>
              <w:rPr>
                <w:lang w:val="ru-RU" w:eastAsia="zh-CN"/>
              </w:rPr>
            </w:pPr>
            <w:r w:rsidRPr="00521670">
              <w:rPr>
                <w:lang w:val="ru-RU" w:eastAsia="zh-CN"/>
              </w:rPr>
              <w:t>IPSAS 45</w:t>
            </w:r>
          </w:p>
        </w:tc>
        <w:tc>
          <w:tcPr>
            <w:tcW w:w="1214" w:type="pct"/>
          </w:tcPr>
          <w:p w14:paraId="66CE6C31" w14:textId="7AA4B834" w:rsidR="00C63D5B" w:rsidRPr="00521670" w:rsidRDefault="00C37966" w:rsidP="00C63D5B">
            <w:pPr>
              <w:pStyle w:val="Tabletext"/>
              <w:rPr>
                <w:lang w:val="ru-RU"/>
              </w:rPr>
            </w:pPr>
            <w:bookmarkStart w:id="163" w:name="lt_pId429"/>
            <w:r w:rsidRPr="00521670">
              <w:rPr>
                <w:szCs w:val="18"/>
                <w:lang w:val="ru-RU"/>
              </w:rPr>
              <w:t>Материальные активы</w:t>
            </w:r>
            <w:bookmarkEnd w:id="163"/>
          </w:p>
        </w:tc>
        <w:tc>
          <w:tcPr>
            <w:tcW w:w="874" w:type="pct"/>
          </w:tcPr>
          <w:p w14:paraId="18198D6A" w14:textId="29598661" w:rsidR="00C63D5B" w:rsidRPr="00521670" w:rsidRDefault="00C37966" w:rsidP="00C37966">
            <w:pPr>
              <w:pStyle w:val="Tabletext"/>
              <w:jc w:val="center"/>
              <w:rPr>
                <w:lang w:val="ru-RU" w:eastAsia="zh-CN"/>
              </w:rPr>
            </w:pPr>
            <w:r w:rsidRPr="00521670">
              <w:rPr>
                <w:szCs w:val="18"/>
                <w:lang w:val="ru-RU" w:eastAsia="zh-CN"/>
              </w:rPr>
              <w:t xml:space="preserve">1 </w:t>
            </w:r>
            <w:bookmarkStart w:id="164" w:name="lt_pId431"/>
            <w:r w:rsidRPr="00521670">
              <w:rPr>
                <w:szCs w:val="18"/>
                <w:lang w:val="ru-RU" w:eastAsia="zh-CN"/>
              </w:rPr>
              <w:t>января 2025</w:t>
            </w:r>
            <w:bookmarkEnd w:id="164"/>
            <w:r w:rsidRPr="00521670">
              <w:rPr>
                <w:szCs w:val="18"/>
                <w:lang w:val="ru-RU" w:eastAsia="zh-CN"/>
              </w:rPr>
              <w:t xml:space="preserve"> г.</w:t>
            </w:r>
          </w:p>
        </w:tc>
        <w:tc>
          <w:tcPr>
            <w:tcW w:w="2331" w:type="pct"/>
          </w:tcPr>
          <w:p w14:paraId="2752C76B" w14:textId="666EDF80" w:rsidR="00C63D5B" w:rsidRPr="00521670" w:rsidRDefault="00105CEF" w:rsidP="00C63D5B">
            <w:pPr>
              <w:pStyle w:val="Tabletext"/>
              <w:rPr>
                <w:lang w:val="ru-RU"/>
              </w:rPr>
            </w:pPr>
            <w:r w:rsidRPr="00521670">
              <w:rPr>
                <w:lang w:val="ru-RU"/>
              </w:rPr>
              <w:t xml:space="preserve">Заменяет IPSAS 17 "Материальные активы": текущая операционная стоимость добавлена в качестве основы измерения в обновленную модель текущей стоимости для активов, входящих в его сферу применения, определены характеристики объектов наследия и инфраструктурных активов. МСЭ провел анализ стандарта и своего портфеля активов и не ожидает, что </w:t>
            </w:r>
            <w:r w:rsidR="00F71720" w:rsidRPr="00521670">
              <w:rPr>
                <w:lang w:val="ru-RU"/>
              </w:rPr>
              <w:t>стандарт</w:t>
            </w:r>
            <w:r w:rsidRPr="00521670">
              <w:rPr>
                <w:lang w:val="ru-RU"/>
              </w:rPr>
              <w:t xml:space="preserve"> окажет существенное </w:t>
            </w:r>
            <w:r w:rsidR="00F71720" w:rsidRPr="00521670">
              <w:rPr>
                <w:lang w:val="ru-RU"/>
              </w:rPr>
              <w:t>воздействие</w:t>
            </w:r>
            <w:r w:rsidRPr="00521670">
              <w:rPr>
                <w:lang w:val="ru-RU"/>
              </w:rPr>
              <w:t xml:space="preserve"> на финансовую отчетность МСЭ.</w:t>
            </w:r>
          </w:p>
        </w:tc>
      </w:tr>
      <w:tr w:rsidR="00C37966" w:rsidRPr="00521670" w14:paraId="14D22F55" w14:textId="77777777" w:rsidTr="00015883">
        <w:trPr>
          <w:trHeight w:val="300"/>
        </w:trPr>
        <w:tc>
          <w:tcPr>
            <w:tcW w:w="580" w:type="pct"/>
          </w:tcPr>
          <w:p w14:paraId="30E555C7" w14:textId="77777777" w:rsidR="00C37966" w:rsidRPr="00521670" w:rsidRDefault="00C37966" w:rsidP="00C37966">
            <w:pPr>
              <w:pStyle w:val="Tabletext"/>
              <w:rPr>
                <w:lang w:val="ru-RU" w:eastAsia="zh-CN"/>
              </w:rPr>
            </w:pPr>
            <w:r w:rsidRPr="00521670">
              <w:rPr>
                <w:lang w:val="ru-RU" w:eastAsia="zh-CN"/>
              </w:rPr>
              <w:lastRenderedPageBreak/>
              <w:t>IPSAS 46</w:t>
            </w:r>
          </w:p>
        </w:tc>
        <w:tc>
          <w:tcPr>
            <w:tcW w:w="1214" w:type="pct"/>
          </w:tcPr>
          <w:p w14:paraId="6918820A" w14:textId="1550FC79" w:rsidR="00C37966" w:rsidRPr="00521670" w:rsidRDefault="00C37966" w:rsidP="00C37966">
            <w:pPr>
              <w:pStyle w:val="Tabletext"/>
              <w:rPr>
                <w:lang w:val="ru-RU"/>
              </w:rPr>
            </w:pPr>
            <w:bookmarkStart w:id="165" w:name="lt_pId435"/>
            <w:r w:rsidRPr="00521670">
              <w:rPr>
                <w:szCs w:val="18"/>
                <w:lang w:val="ru-RU"/>
              </w:rPr>
              <w:t>Проведение измерений</w:t>
            </w:r>
            <w:bookmarkEnd w:id="165"/>
          </w:p>
        </w:tc>
        <w:tc>
          <w:tcPr>
            <w:tcW w:w="874" w:type="pct"/>
          </w:tcPr>
          <w:p w14:paraId="6C41B629" w14:textId="3475E417" w:rsidR="00C37966" w:rsidRPr="00521670" w:rsidRDefault="00C37966" w:rsidP="00C37966">
            <w:pPr>
              <w:pStyle w:val="Tabletext"/>
              <w:jc w:val="center"/>
              <w:rPr>
                <w:lang w:val="ru-RU" w:eastAsia="zh-CN"/>
              </w:rPr>
            </w:pPr>
            <w:r w:rsidRPr="00521670">
              <w:rPr>
                <w:szCs w:val="18"/>
                <w:lang w:val="ru-RU" w:eastAsia="zh-CN"/>
              </w:rPr>
              <w:t xml:space="preserve">1 </w:t>
            </w:r>
            <w:bookmarkStart w:id="166" w:name="lt_pId437"/>
            <w:r w:rsidRPr="00521670">
              <w:rPr>
                <w:szCs w:val="18"/>
                <w:lang w:val="ru-RU" w:eastAsia="zh-CN"/>
              </w:rPr>
              <w:t>января 2025</w:t>
            </w:r>
            <w:bookmarkEnd w:id="166"/>
            <w:r w:rsidRPr="00521670">
              <w:rPr>
                <w:szCs w:val="18"/>
                <w:lang w:val="ru-RU" w:eastAsia="zh-CN"/>
              </w:rPr>
              <w:t xml:space="preserve"> г.</w:t>
            </w:r>
          </w:p>
        </w:tc>
        <w:tc>
          <w:tcPr>
            <w:tcW w:w="2331" w:type="pct"/>
          </w:tcPr>
          <w:p w14:paraId="2FF63EC1" w14:textId="0B4EDEE0" w:rsidR="00C37966" w:rsidRPr="00521670" w:rsidRDefault="00C37966" w:rsidP="00C37966">
            <w:pPr>
              <w:pStyle w:val="Tabletext"/>
              <w:rPr>
                <w:lang w:val="ru-RU"/>
              </w:rPr>
            </w:pPr>
            <w:bookmarkStart w:id="167" w:name="lt_pId438"/>
            <w:r w:rsidRPr="00521670">
              <w:rPr>
                <w:szCs w:val="18"/>
                <w:lang w:val="ru-RU"/>
              </w:rPr>
              <w:t xml:space="preserve">IPSAS 46 представляет собой собранные в рамках одного стандарта новые руководящие указания в отношении способов применения на практике широко используемых основ измерения. В нем впервые содержатся руководящие указания, касающиеся справедливой стоимости, и вводится текущая операционная стоимость как основа измерения текущей стоимости, специфичная для общественного сектора, которая отвечает мнению участников о том, что в отношении определенных активов общественного сектора необходимо использовать основу измерения текущей стоимости, отличную от справедливой стоимости. </w:t>
            </w:r>
            <w:bookmarkEnd w:id="167"/>
            <w:r w:rsidR="00105CEF" w:rsidRPr="00521670">
              <w:rPr>
                <w:szCs w:val="18"/>
                <w:lang w:val="ru-RU"/>
              </w:rPr>
              <w:t xml:space="preserve">Ожидается, что этот стандарт не окажет существенного </w:t>
            </w:r>
            <w:r w:rsidR="00F71720" w:rsidRPr="00521670">
              <w:rPr>
                <w:szCs w:val="18"/>
                <w:lang w:val="ru-RU"/>
              </w:rPr>
              <w:t>воздействия</w:t>
            </w:r>
            <w:r w:rsidR="00105CEF" w:rsidRPr="00521670">
              <w:rPr>
                <w:szCs w:val="18"/>
                <w:lang w:val="ru-RU"/>
              </w:rPr>
              <w:t xml:space="preserve"> на финансовую отчетность МСЭ.</w:t>
            </w:r>
          </w:p>
        </w:tc>
      </w:tr>
      <w:tr w:rsidR="00C37966" w:rsidRPr="00521670" w14:paraId="1F139FA3" w14:textId="77777777" w:rsidTr="00015883">
        <w:trPr>
          <w:trHeight w:val="300"/>
        </w:trPr>
        <w:tc>
          <w:tcPr>
            <w:tcW w:w="580" w:type="pct"/>
          </w:tcPr>
          <w:p w14:paraId="5E6E92B7" w14:textId="77777777" w:rsidR="00C37966" w:rsidRPr="00521670" w:rsidRDefault="00C37966" w:rsidP="00C37966">
            <w:pPr>
              <w:pStyle w:val="Tabletext"/>
              <w:rPr>
                <w:lang w:val="ru-RU" w:eastAsia="zh-CN"/>
              </w:rPr>
            </w:pPr>
            <w:r w:rsidRPr="00521670">
              <w:rPr>
                <w:lang w:val="ru-RU" w:eastAsia="zh-CN"/>
              </w:rPr>
              <w:t>IPSAS 47</w:t>
            </w:r>
          </w:p>
        </w:tc>
        <w:tc>
          <w:tcPr>
            <w:tcW w:w="1214" w:type="pct"/>
          </w:tcPr>
          <w:p w14:paraId="52FF5138" w14:textId="1142E865" w:rsidR="00C37966" w:rsidRPr="00521670" w:rsidRDefault="00C37966" w:rsidP="00C37966">
            <w:pPr>
              <w:pStyle w:val="Tabletext"/>
              <w:rPr>
                <w:lang w:val="ru-RU"/>
              </w:rPr>
            </w:pPr>
            <w:bookmarkStart w:id="168" w:name="lt_pId442"/>
            <w:r w:rsidRPr="00521670">
              <w:rPr>
                <w:szCs w:val="18"/>
                <w:lang w:val="ru-RU"/>
              </w:rPr>
              <w:t>Доходы</w:t>
            </w:r>
            <w:bookmarkEnd w:id="168"/>
          </w:p>
        </w:tc>
        <w:tc>
          <w:tcPr>
            <w:tcW w:w="874" w:type="pct"/>
          </w:tcPr>
          <w:p w14:paraId="27DBA9E9" w14:textId="5527D504" w:rsidR="00C37966" w:rsidRPr="00521670" w:rsidRDefault="00C37966" w:rsidP="00C37966">
            <w:pPr>
              <w:pStyle w:val="Tabletext"/>
              <w:jc w:val="center"/>
              <w:rPr>
                <w:lang w:val="ru-RU" w:eastAsia="zh-CN"/>
              </w:rPr>
            </w:pPr>
            <w:r w:rsidRPr="00521670">
              <w:rPr>
                <w:szCs w:val="18"/>
                <w:lang w:val="ru-RU" w:eastAsia="zh-CN"/>
              </w:rPr>
              <w:t xml:space="preserve">1 </w:t>
            </w:r>
            <w:bookmarkStart w:id="169" w:name="lt_pId444"/>
            <w:r w:rsidRPr="00521670">
              <w:rPr>
                <w:szCs w:val="18"/>
                <w:lang w:val="ru-RU" w:eastAsia="zh-CN"/>
              </w:rPr>
              <w:t>января 2026</w:t>
            </w:r>
            <w:bookmarkEnd w:id="169"/>
            <w:r w:rsidRPr="00521670">
              <w:rPr>
                <w:szCs w:val="18"/>
                <w:lang w:val="ru-RU" w:eastAsia="zh-CN"/>
              </w:rPr>
              <w:t xml:space="preserve"> г.</w:t>
            </w:r>
          </w:p>
        </w:tc>
        <w:tc>
          <w:tcPr>
            <w:tcW w:w="2331" w:type="pct"/>
          </w:tcPr>
          <w:p w14:paraId="31121DF2" w14:textId="21DCE2FF" w:rsidR="00C37966" w:rsidRPr="00521670" w:rsidRDefault="00C37966" w:rsidP="00C37966">
            <w:pPr>
              <w:pStyle w:val="Tabletext"/>
              <w:rPr>
                <w:lang w:val="ru-RU"/>
              </w:rPr>
            </w:pPr>
            <w:bookmarkStart w:id="170" w:name="lt_pId445"/>
            <w:r w:rsidRPr="00521670">
              <w:rPr>
                <w:szCs w:val="18"/>
                <w:lang w:val="ru-RU"/>
              </w:rPr>
              <w:t xml:space="preserve">IPSAS 47 "Доходы" является единым источником руководящих указаний по учету доходов в общественном секторе, в котором представлены две модели учета, основанные на существовании ограничительного режима. Этот новый стандарт содержит руководящие указания, ориентированные на помощь объектам хозяйствования в применении принципов учета операций, связанных с доходами, в общественном секторе. В настоящее время МСЭ проводит количественную оценку </w:t>
            </w:r>
            <w:r w:rsidR="00F71720" w:rsidRPr="00521670">
              <w:rPr>
                <w:szCs w:val="18"/>
                <w:lang w:val="ru-RU"/>
              </w:rPr>
              <w:t>воздействия</w:t>
            </w:r>
            <w:r w:rsidRPr="00521670">
              <w:rPr>
                <w:szCs w:val="18"/>
                <w:lang w:val="ru-RU"/>
              </w:rPr>
              <w:t xml:space="preserve"> этого стандарта на финансовую отчетность.</w:t>
            </w:r>
            <w:bookmarkEnd w:id="170"/>
            <w:r w:rsidRPr="00521670">
              <w:rPr>
                <w:rFonts w:cs="Calibri"/>
                <w:szCs w:val="18"/>
                <w:lang w:val="ru-RU"/>
              </w:rPr>
              <w:t xml:space="preserve"> </w:t>
            </w:r>
            <w:r w:rsidR="00105CEF" w:rsidRPr="00521670">
              <w:rPr>
                <w:rFonts w:cs="Calibri"/>
                <w:szCs w:val="18"/>
                <w:lang w:val="ru-RU"/>
              </w:rPr>
              <w:t xml:space="preserve">Он окажет значительное </w:t>
            </w:r>
            <w:r w:rsidR="00F71720" w:rsidRPr="00521670">
              <w:rPr>
                <w:rFonts w:cs="Calibri"/>
                <w:szCs w:val="18"/>
                <w:lang w:val="ru-RU"/>
              </w:rPr>
              <w:t>воздействие</w:t>
            </w:r>
            <w:r w:rsidR="00FB6A8D" w:rsidRPr="00521670">
              <w:rPr>
                <w:rFonts w:cs="Calibri"/>
                <w:szCs w:val="18"/>
                <w:lang w:val="ru-RU"/>
              </w:rPr>
              <w:t xml:space="preserve"> </w:t>
            </w:r>
            <w:r w:rsidR="00105CEF" w:rsidRPr="00521670">
              <w:rPr>
                <w:rFonts w:cs="Calibri"/>
                <w:szCs w:val="18"/>
                <w:lang w:val="ru-RU"/>
              </w:rPr>
              <w:t>на финансовую отчетность МСЭ.</w:t>
            </w:r>
          </w:p>
        </w:tc>
      </w:tr>
      <w:tr w:rsidR="00C37966" w:rsidRPr="00521670" w14:paraId="0B3E4913" w14:textId="77777777" w:rsidTr="00015883">
        <w:trPr>
          <w:trHeight w:val="300"/>
        </w:trPr>
        <w:tc>
          <w:tcPr>
            <w:tcW w:w="580" w:type="pct"/>
          </w:tcPr>
          <w:p w14:paraId="4EDFF812" w14:textId="77777777" w:rsidR="00C37966" w:rsidRPr="00521670" w:rsidRDefault="00C37966" w:rsidP="00C37966">
            <w:pPr>
              <w:pStyle w:val="Tabletext"/>
              <w:rPr>
                <w:lang w:val="ru-RU" w:eastAsia="zh-CN"/>
              </w:rPr>
            </w:pPr>
            <w:r w:rsidRPr="00521670">
              <w:rPr>
                <w:lang w:val="ru-RU" w:eastAsia="zh-CN"/>
              </w:rPr>
              <w:t>IPSAS 48</w:t>
            </w:r>
          </w:p>
        </w:tc>
        <w:tc>
          <w:tcPr>
            <w:tcW w:w="1214" w:type="pct"/>
          </w:tcPr>
          <w:p w14:paraId="013CABCD" w14:textId="2C9C39F9" w:rsidR="00C37966" w:rsidRPr="00521670" w:rsidRDefault="00C37966" w:rsidP="00C37966">
            <w:pPr>
              <w:pStyle w:val="Tabletext"/>
              <w:rPr>
                <w:lang w:val="ru-RU"/>
              </w:rPr>
            </w:pPr>
            <w:bookmarkStart w:id="171" w:name="lt_pId449"/>
            <w:r w:rsidRPr="00521670">
              <w:rPr>
                <w:szCs w:val="18"/>
                <w:lang w:val="ru-RU"/>
              </w:rPr>
              <w:t>Трансфертные расходы</w:t>
            </w:r>
            <w:bookmarkEnd w:id="171"/>
          </w:p>
        </w:tc>
        <w:tc>
          <w:tcPr>
            <w:tcW w:w="874" w:type="pct"/>
          </w:tcPr>
          <w:p w14:paraId="0F97821C" w14:textId="575515B9" w:rsidR="00C37966" w:rsidRPr="00521670" w:rsidRDefault="00C37966" w:rsidP="00C37966">
            <w:pPr>
              <w:pStyle w:val="Tabletext"/>
              <w:jc w:val="center"/>
              <w:rPr>
                <w:lang w:val="ru-RU" w:eastAsia="zh-CN"/>
              </w:rPr>
            </w:pPr>
            <w:r w:rsidRPr="00521670">
              <w:rPr>
                <w:szCs w:val="18"/>
                <w:lang w:val="ru-RU" w:eastAsia="zh-CN"/>
              </w:rPr>
              <w:t xml:space="preserve">1 </w:t>
            </w:r>
            <w:bookmarkStart w:id="172" w:name="lt_pId451"/>
            <w:r w:rsidRPr="00521670">
              <w:rPr>
                <w:szCs w:val="18"/>
                <w:lang w:val="ru-RU" w:eastAsia="zh-CN"/>
              </w:rPr>
              <w:t>января 2026</w:t>
            </w:r>
            <w:bookmarkEnd w:id="172"/>
            <w:r w:rsidRPr="00521670">
              <w:rPr>
                <w:szCs w:val="18"/>
                <w:lang w:val="ru-RU" w:eastAsia="zh-CN"/>
              </w:rPr>
              <w:t xml:space="preserve"> г.</w:t>
            </w:r>
          </w:p>
        </w:tc>
        <w:tc>
          <w:tcPr>
            <w:tcW w:w="2331" w:type="pct"/>
          </w:tcPr>
          <w:p w14:paraId="42672D36" w14:textId="3B2D9B52" w:rsidR="00C37966" w:rsidRPr="00521670" w:rsidRDefault="00C37966" w:rsidP="00C37966">
            <w:pPr>
              <w:pStyle w:val="Tabletext"/>
              <w:rPr>
                <w:lang w:val="ru-RU"/>
              </w:rPr>
            </w:pPr>
            <w:bookmarkStart w:id="173" w:name="lt_pId452"/>
            <w:r w:rsidRPr="00521670">
              <w:rPr>
                <w:szCs w:val="18"/>
                <w:lang w:val="ru-RU"/>
              </w:rPr>
              <w:t>IPSAS 48 "Трансфертные расходы" содержит руководящие указания по учету трансфертных расходов, которые составляют значительную часть расходов многих объектов хозяйствования в общественном секторе. Этот новый стандарт заполняет серьезный пробел в литературе IPSASB и содержит руководящие указания, помогающие объектам хозяйствования учитывать операции, связанные с трансфертными расходами, в общественном секторе. В настоящее время МСЭ проводит количественную оценку влияния этого стандарта на финансовую отчетность.</w:t>
            </w:r>
            <w:bookmarkEnd w:id="173"/>
          </w:p>
        </w:tc>
      </w:tr>
    </w:tbl>
    <w:p w14:paraId="072989C8" w14:textId="77777777" w:rsidR="00091432" w:rsidRPr="00521670" w:rsidRDefault="00091432" w:rsidP="00091432">
      <w:pPr>
        <w:rPr>
          <w:rFonts w:eastAsia="Calibri" w:cs="Calibri"/>
          <w:lang w:val="ru-RU"/>
        </w:rPr>
      </w:pPr>
      <w:bookmarkStart w:id="174" w:name="lt_pId455"/>
      <w:bookmarkStart w:id="175" w:name="_Toc305764063"/>
      <w:bookmarkStart w:id="176" w:name="_Toc747902407"/>
      <w:bookmarkStart w:id="177" w:name="_Toc196292775"/>
      <w:r w:rsidRPr="00521670">
        <w:rPr>
          <w:rFonts w:eastAsia="Calibri" w:cs="Calibri"/>
          <w:lang w:val="ru-RU"/>
        </w:rPr>
        <w:t>МСЭ продолжает заниматься оценкой влияния вышеуказанных стандартов на будущую финансовую отчетность заблаговременно, до их вступления в силу.</w:t>
      </w:r>
    </w:p>
    <w:p w14:paraId="5F9778EC" w14:textId="77777777" w:rsidR="00091432" w:rsidRPr="00521670" w:rsidRDefault="00091432" w:rsidP="00091432">
      <w:pPr>
        <w:rPr>
          <w:rFonts w:eastAsia="Calibri"/>
          <w:lang w:val="ru-RU"/>
        </w:rPr>
      </w:pPr>
      <w:bookmarkStart w:id="178" w:name="lt_pId456"/>
      <w:bookmarkEnd w:id="174"/>
      <w:r w:rsidRPr="00521670">
        <w:rPr>
          <w:rFonts w:eastAsia="Calibri"/>
          <w:lang w:val="ru-RU"/>
        </w:rPr>
        <w:t xml:space="preserve">Кроме того, МСЭ продолжает следить за разработкой проектов стандартов (ПС) и активно участвует в работе Совета по IPSAS </w:t>
      </w:r>
      <w:r w:rsidRPr="00521670">
        <w:rPr>
          <w:rFonts w:eastAsia="Calibri" w:cs="Calibri"/>
          <w:lang w:val="ru-RU"/>
        </w:rPr>
        <w:t>через</w:t>
      </w:r>
      <w:r w:rsidRPr="00521670">
        <w:rPr>
          <w:rFonts w:eastAsia="Calibri"/>
          <w:lang w:val="ru-RU"/>
        </w:rPr>
        <w:t xml:space="preserve"> Целевую группу системы Организации Объединенных Наций по стандартам учета ввиду того, что их применение может оказать влияние на финансовую отчетность МСЭ в будущем.</w:t>
      </w:r>
      <w:bookmarkEnd w:id="178"/>
    </w:p>
    <w:p w14:paraId="6366B50F" w14:textId="5EFDB3DD" w:rsidR="00C63D5B" w:rsidRPr="00521670" w:rsidRDefault="00C63D5B" w:rsidP="00B21B2F">
      <w:pPr>
        <w:pStyle w:val="Heading5"/>
        <w:tabs>
          <w:tab w:val="left" w:pos="1980"/>
        </w:tabs>
        <w:spacing w:before="360" w:after="120"/>
        <w:rPr>
          <w:b/>
          <w:bCs/>
          <w:color w:val="4F81BD" w:themeColor="accent1"/>
          <w:lang w:val="ru-RU"/>
        </w:rPr>
      </w:pPr>
      <w:bookmarkStart w:id="179" w:name="_Toc200469527"/>
      <w:r w:rsidRPr="00521670">
        <w:rPr>
          <w:b/>
          <w:bCs/>
          <w:color w:val="4F81BD" w:themeColor="accent1"/>
          <w:lang w:val="ru-RU"/>
        </w:rPr>
        <w:t>Примечание 3</w:t>
      </w:r>
      <w:bookmarkEnd w:id="175"/>
      <w:bookmarkEnd w:id="176"/>
      <w:bookmarkEnd w:id="177"/>
      <w:r w:rsidRPr="00521670">
        <w:rPr>
          <w:b/>
          <w:bCs/>
          <w:color w:val="4F81BD" w:themeColor="accent1"/>
          <w:lang w:val="ru-RU"/>
        </w:rPr>
        <w:tab/>
        <w:t>Основные методы бухгалтерского учета</w:t>
      </w:r>
      <w:bookmarkEnd w:id="179"/>
    </w:p>
    <w:p w14:paraId="763CE4B3" w14:textId="212FE857" w:rsidR="00C63D5B" w:rsidRPr="00521670" w:rsidRDefault="003B0CD4" w:rsidP="00C63D5B">
      <w:pPr>
        <w:pStyle w:val="Headingi"/>
        <w:rPr>
          <w:b/>
          <w:bCs/>
          <w:iCs/>
          <w:lang w:val="ru-RU"/>
        </w:rPr>
      </w:pPr>
      <w:bookmarkStart w:id="180" w:name="_Toc200469150"/>
      <w:bookmarkStart w:id="181" w:name="_Toc305764064"/>
      <w:bookmarkStart w:id="182" w:name="_Toc131156417"/>
      <w:r w:rsidRPr="00521670">
        <w:rPr>
          <w:b/>
          <w:bCs/>
          <w:iCs/>
          <w:lang w:val="ru-RU"/>
        </w:rPr>
        <w:t>Операции с иностранной валютой</w:t>
      </w:r>
      <w:bookmarkEnd w:id="180"/>
    </w:p>
    <w:bookmarkEnd w:id="181"/>
    <w:bookmarkEnd w:id="182"/>
    <w:p w14:paraId="191EA895" w14:textId="160BDD30" w:rsidR="00C63D5B" w:rsidRPr="00521670" w:rsidRDefault="003B0CD4" w:rsidP="00C63D5B">
      <w:pPr>
        <w:rPr>
          <w:lang w:val="ru-RU"/>
        </w:rPr>
      </w:pPr>
      <w:r w:rsidRPr="00521670">
        <w:rPr>
          <w:lang w:val="ru-RU"/>
        </w:rPr>
        <w:t xml:space="preserve">Рабочей валютой МСЭ является швейцарский франк (шв. фр.). Все транзакции, осуществляемые в других валютах, конвертируются в швейцарские франки по оперативному обменному курсу Организации Объединенных Наций (UNORE), действующему на дату транзакции. </w:t>
      </w:r>
      <w:r w:rsidR="001156F9" w:rsidRPr="00521670">
        <w:rPr>
          <w:lang w:val="ru-RU"/>
        </w:rPr>
        <w:lastRenderedPageBreak/>
        <w:t>Как</w:t>
      </w:r>
      <w:r w:rsidR="008D5509" w:rsidRPr="00521670">
        <w:rPr>
          <w:lang w:val="ru-RU"/>
        </w:rPr>
        <w:t> </w:t>
      </w:r>
      <w:r w:rsidR="001156F9" w:rsidRPr="00521670">
        <w:rPr>
          <w:lang w:val="ru-RU"/>
        </w:rPr>
        <w:t>полученные, так и не</w:t>
      </w:r>
      <w:r w:rsidR="00F71720" w:rsidRPr="00521670">
        <w:rPr>
          <w:lang w:val="ru-RU"/>
        </w:rPr>
        <w:t xml:space="preserve"> </w:t>
      </w:r>
      <w:r w:rsidR="001156F9" w:rsidRPr="00521670">
        <w:rPr>
          <w:lang w:val="ru-RU"/>
        </w:rPr>
        <w:t xml:space="preserve">полученные обменные прибыли и убытки, которые появляются в результате урегулирования этих транзакций и пересчета на отчетную дату активов и обязательств, выраженных в валютах, отличных от рабочей валюты МСЭ, отражаются в </w:t>
      </w:r>
      <w:r w:rsidR="00F71720" w:rsidRPr="00521670">
        <w:rPr>
          <w:lang w:val="ru-RU"/>
        </w:rPr>
        <w:t>О</w:t>
      </w:r>
      <w:r w:rsidR="001156F9" w:rsidRPr="00521670">
        <w:rPr>
          <w:lang w:val="ru-RU"/>
        </w:rPr>
        <w:t>тчете о результатах финансовой деятельности (Отчет II).</w:t>
      </w:r>
    </w:p>
    <w:p w14:paraId="483611DA" w14:textId="42674E7D" w:rsidR="00C63D5B" w:rsidRPr="00521670" w:rsidRDefault="00C63D5B" w:rsidP="00C63D5B">
      <w:pPr>
        <w:pStyle w:val="Headingi"/>
        <w:rPr>
          <w:b/>
          <w:bCs/>
          <w:iCs/>
          <w:lang w:val="ru-RU"/>
        </w:rPr>
      </w:pPr>
      <w:bookmarkStart w:id="183" w:name="_Toc329002759"/>
      <w:bookmarkStart w:id="184" w:name="_Toc358373632"/>
      <w:bookmarkStart w:id="185" w:name="_Toc387243012"/>
      <w:bookmarkStart w:id="186" w:name="_Toc419404357"/>
      <w:bookmarkStart w:id="187" w:name="_Toc482810305"/>
      <w:bookmarkStart w:id="188" w:name="_Toc511401540"/>
      <w:bookmarkStart w:id="189" w:name="_Toc511401663"/>
      <w:bookmarkStart w:id="190" w:name="_Toc10540776"/>
      <w:bookmarkStart w:id="191" w:name="_Toc41900396"/>
      <w:bookmarkStart w:id="192" w:name="_Toc73437979"/>
      <w:bookmarkStart w:id="193" w:name="_Toc73438608"/>
      <w:bookmarkStart w:id="194" w:name="_Toc73438866"/>
      <w:bookmarkStart w:id="195" w:name="_Toc73439157"/>
      <w:bookmarkStart w:id="196" w:name="_Toc200469151"/>
      <w:bookmarkStart w:id="197" w:name="_Toc305764065"/>
      <w:r w:rsidRPr="00521670">
        <w:rPr>
          <w:b/>
          <w:bCs/>
          <w:lang w:val="ru-RU"/>
        </w:rPr>
        <w:t xml:space="preserve">Финансовые </w:t>
      </w:r>
      <w:bookmarkEnd w:id="183"/>
      <w:bookmarkEnd w:id="184"/>
      <w:r w:rsidRPr="00521670">
        <w:rPr>
          <w:b/>
          <w:bCs/>
          <w:lang w:val="ru-RU"/>
        </w:rPr>
        <w:t>инструменты</w:t>
      </w:r>
      <w:bookmarkEnd w:id="185"/>
      <w:bookmarkEnd w:id="186"/>
      <w:bookmarkEnd w:id="187"/>
      <w:bookmarkEnd w:id="188"/>
      <w:bookmarkEnd w:id="189"/>
      <w:bookmarkEnd w:id="190"/>
      <w:bookmarkEnd w:id="191"/>
      <w:bookmarkEnd w:id="192"/>
      <w:bookmarkEnd w:id="193"/>
      <w:bookmarkEnd w:id="194"/>
      <w:bookmarkEnd w:id="195"/>
      <w:bookmarkEnd w:id="196"/>
    </w:p>
    <w:p w14:paraId="5D57BB19" w14:textId="0A11A107" w:rsidR="00C63D5B" w:rsidRPr="00521670" w:rsidRDefault="00B21B2F" w:rsidP="00C63D5B">
      <w:pPr>
        <w:rPr>
          <w:lang w:val="ru-RU"/>
        </w:rPr>
      </w:pPr>
      <w:r w:rsidRPr="00521670">
        <w:rPr>
          <w:lang w:val="ru-RU"/>
        </w:rPr>
        <w:t xml:space="preserve">Финансовые инструменты МСЭ включают: денежные средства и краткосрочные депозиты, </w:t>
      </w:r>
      <w:r w:rsidRPr="00521670">
        <w:rPr>
          <w:rFonts w:eastAsia="Calibri" w:cs="Calibri"/>
          <w:lang w:val="ru-RU"/>
        </w:rPr>
        <w:t>инвестиции</w:t>
      </w:r>
      <w:r w:rsidRPr="00521670">
        <w:rPr>
          <w:lang w:val="ru-RU"/>
        </w:rPr>
        <w:t>, долговые обязательства по обменным и необменным операциям, торговую кредиторскую задолженность, ссуды и займы.</w:t>
      </w:r>
    </w:p>
    <w:p w14:paraId="09B1A54C" w14:textId="24778AF2" w:rsidR="00C63D5B" w:rsidRPr="00521670" w:rsidRDefault="00C63D5B" w:rsidP="00C63D5B">
      <w:pPr>
        <w:pStyle w:val="Headingi"/>
        <w:rPr>
          <w:b/>
          <w:lang w:val="ru-RU"/>
        </w:rPr>
      </w:pPr>
      <w:r w:rsidRPr="00521670">
        <w:rPr>
          <w:lang w:val="ru-RU"/>
        </w:rPr>
        <w:tab/>
      </w:r>
      <w:bookmarkStart w:id="198" w:name="_Toc200469152"/>
      <w:r w:rsidRPr="00521670">
        <w:rPr>
          <w:lang w:val="ru-RU"/>
        </w:rPr>
        <w:t>Денежные средства и эквиваленты денежных средств</w:t>
      </w:r>
      <w:bookmarkEnd w:id="198"/>
    </w:p>
    <w:bookmarkEnd w:id="197"/>
    <w:p w14:paraId="18134617" w14:textId="603144B1" w:rsidR="00B21B2F" w:rsidRPr="00521670" w:rsidRDefault="00B21B2F" w:rsidP="00B21B2F">
      <w:pPr>
        <w:rPr>
          <w:lang w:val="ru-RU"/>
        </w:rPr>
      </w:pPr>
      <w:r w:rsidRPr="00521670">
        <w:rPr>
          <w:rFonts w:eastAsia="Calibri" w:cs="Calibri"/>
          <w:lang w:val="ru-RU"/>
        </w:rPr>
        <w:t>Денежные</w:t>
      </w:r>
      <w:r w:rsidRPr="00521670">
        <w:rPr>
          <w:lang w:val="ru-RU"/>
        </w:rPr>
        <w:t xml:space="preserve"> средства и эквиваленты денежных средств включают кассовую наличность, а также денежные средства в банках и краткосрочные депозиты со сроком погашения не более 90 дней.</w:t>
      </w:r>
    </w:p>
    <w:p w14:paraId="6477A64F" w14:textId="0F1F1CCC" w:rsidR="00C63D5B" w:rsidRPr="00521670" w:rsidRDefault="00C63D5B" w:rsidP="00C63D5B">
      <w:pPr>
        <w:pStyle w:val="Headingi"/>
        <w:rPr>
          <w:b/>
          <w:lang w:val="ru-RU"/>
        </w:rPr>
      </w:pPr>
      <w:r w:rsidRPr="00521670">
        <w:rPr>
          <w:lang w:val="ru-RU"/>
        </w:rPr>
        <w:tab/>
      </w:r>
      <w:bookmarkStart w:id="199" w:name="_Toc200469153"/>
      <w:r w:rsidRPr="00521670">
        <w:rPr>
          <w:lang w:val="ru-RU"/>
        </w:rPr>
        <w:t>Инвестиции</w:t>
      </w:r>
      <w:bookmarkEnd w:id="199"/>
    </w:p>
    <w:p w14:paraId="733CA1A2" w14:textId="6E6A97DF" w:rsidR="00B21B2F" w:rsidRPr="00521670" w:rsidRDefault="00B21B2F" w:rsidP="00B21B2F">
      <w:pPr>
        <w:rPr>
          <w:lang w:val="ru-RU"/>
        </w:rPr>
      </w:pPr>
      <w:r w:rsidRPr="00521670">
        <w:rPr>
          <w:lang w:val="ru-RU" w:bidi="ru-RU"/>
        </w:rPr>
        <w:t xml:space="preserve">Срочные депозиты со сроком погашения свыше трех месяцев и до девяти месяцев, которые являются высоколиквидными, конвертируемыми в известную сумму денежных средств и которые подвергаются незначительному риску изменения стоимости, учитываются по амортизированной стоимости в соответствии с IPSAS 41. Инвестиции представлены в </w:t>
      </w:r>
      <w:r w:rsidR="001156F9" w:rsidRPr="00521670">
        <w:rPr>
          <w:lang w:val="ru-RU" w:bidi="ru-RU"/>
        </w:rPr>
        <w:t>О</w:t>
      </w:r>
      <w:r w:rsidRPr="00521670">
        <w:rPr>
          <w:lang w:val="ru-RU" w:bidi="ru-RU"/>
        </w:rPr>
        <w:t>тчете о финансовом положении как текущие активы</w:t>
      </w:r>
      <w:r w:rsidRPr="00521670">
        <w:rPr>
          <w:lang w:val="ru-RU"/>
        </w:rPr>
        <w:t>.</w:t>
      </w:r>
    </w:p>
    <w:p w14:paraId="31C0E2E3" w14:textId="00480426" w:rsidR="00C63D5B" w:rsidRPr="00521670" w:rsidRDefault="00C63D5B" w:rsidP="00C63D5B">
      <w:pPr>
        <w:pStyle w:val="Headingi"/>
        <w:rPr>
          <w:lang w:val="ru-RU"/>
        </w:rPr>
      </w:pPr>
      <w:r w:rsidRPr="00521670">
        <w:rPr>
          <w:lang w:val="ru-RU"/>
        </w:rPr>
        <w:tab/>
      </w:r>
      <w:bookmarkStart w:id="200" w:name="_Toc200469154"/>
      <w:r w:rsidRPr="00521670">
        <w:rPr>
          <w:lang w:val="ru-RU"/>
        </w:rPr>
        <w:t>Финансовые пассивы и ссуда ФИПОИ</w:t>
      </w:r>
      <w:bookmarkEnd w:id="200"/>
    </w:p>
    <w:p w14:paraId="4FCCF7B4" w14:textId="5AF024DE" w:rsidR="00C63D5B" w:rsidRPr="00521670" w:rsidRDefault="001156F9" w:rsidP="00C63D5B">
      <w:pPr>
        <w:rPr>
          <w:lang w:val="ru-RU"/>
        </w:rPr>
      </w:pPr>
      <w:r w:rsidRPr="00521670">
        <w:rPr>
          <w:lang w:val="ru-RU"/>
        </w:rPr>
        <w:t>Финансовые пассивы включают займы, прочие источники финансирования, задолженность перед поставщиками и торговую кредиторскую задолженность. Эти обязательства отражаются в Отчете о финансовом положении как текущие или нетекущие пассивы в зависимости от того, составляют сроки их погашения меньше или больше года соответственно.</w:t>
      </w:r>
    </w:p>
    <w:p w14:paraId="05479B0C" w14:textId="42C2303F" w:rsidR="00C63D5B" w:rsidRPr="00521670" w:rsidRDefault="00CD3FBD" w:rsidP="00C63D5B">
      <w:pPr>
        <w:rPr>
          <w:lang w:val="ru-RU" w:eastAsia="fr-FR"/>
        </w:rPr>
      </w:pPr>
      <w:r w:rsidRPr="00521670">
        <w:rPr>
          <w:lang w:val="ru-RU"/>
        </w:rPr>
        <w:t xml:space="preserve">Займы состоят из четырех беспроцентных ссуд, предоставленных Фондом недвижимого имущества для международных организаций (ФИПОИ) для финансирования строительства зданий МСЭ. </w:t>
      </w:r>
      <w:r w:rsidR="00960B32" w:rsidRPr="00521670">
        <w:rPr>
          <w:lang w:val="ru-RU"/>
        </w:rPr>
        <w:t>Возмещение ссуды, предоставленной на строительство новых помещений МСЭ, начнется только после успешной сдачи нового здания, которая в соответствии с пересмотренным Решением 640 (</w:t>
      </w:r>
      <w:hyperlink r:id="rId22">
        <w:r w:rsidR="00960B32" w:rsidRPr="00521670">
          <w:rPr>
            <w:rStyle w:val="Hyperlink"/>
            <w:color w:val="0000E1"/>
            <w:lang w:val="ru-RU" w:eastAsia="fr-FR"/>
          </w:rPr>
          <w:t>C24/132</w:t>
        </w:r>
      </w:hyperlink>
      <w:r w:rsidR="00960B32" w:rsidRPr="00521670">
        <w:rPr>
          <w:lang w:val="ru-RU"/>
        </w:rPr>
        <w:t>) по проекту строительства ориентировочно состоится в 2031 году</w:t>
      </w:r>
      <w:r w:rsidR="00BE189F" w:rsidRPr="00521670">
        <w:rPr>
          <w:lang w:val="ru-RU"/>
        </w:rPr>
        <w:t>.</w:t>
      </w:r>
      <w:r w:rsidR="00C63D5B" w:rsidRPr="00521670">
        <w:rPr>
          <w:lang w:val="ru-RU" w:eastAsia="fr-FR"/>
        </w:rPr>
        <w:t xml:space="preserve"> </w:t>
      </w:r>
      <w:r w:rsidR="00047F77" w:rsidRPr="00521670">
        <w:rPr>
          <w:lang w:val="ru-RU" w:eastAsia="fr-FR"/>
        </w:rPr>
        <w:t>Три ссуды с графиком погашения до 2051 года относятся ко второму уровню иерархии текущей стоимости и учитываются по текущей стоимости через активное сальдо или дефицит, в то время как четвертая ссуда еще не имеет графика погашения и поэтому учитывается по амортизированной стоимости.</w:t>
      </w:r>
    </w:p>
    <w:p w14:paraId="2713C8FE" w14:textId="4AEE469B" w:rsidR="00C63D5B" w:rsidRPr="00521670" w:rsidRDefault="00047F77" w:rsidP="00C63D5B">
      <w:pPr>
        <w:rPr>
          <w:lang w:val="ru-RU" w:eastAsia="fr-FR"/>
        </w:rPr>
      </w:pPr>
      <w:r w:rsidRPr="00521670">
        <w:rPr>
          <w:lang w:val="ru-RU" w:eastAsia="fr-FR"/>
        </w:rPr>
        <w:t>Три ссуды с графиком погашения учитываются первоначально по амортизированной стоимости, а впоследствии по текущей стоимости через активное сальдо или дефицит, дисконтированные с использованием ставки 30-летних облигаций Швейцарской Конфедерации в размере 0,37% на декабрь 2024 года (0,50% на 2023 года). Четвертая ссуда пока не имеет графика погашения и поэтому учитывается по амортизированной стоимости. Более подробная информация содержится в Примечании 15.</w:t>
      </w:r>
    </w:p>
    <w:p w14:paraId="3D128380" w14:textId="1DDFFB2B" w:rsidR="00C63D5B" w:rsidRPr="00521670" w:rsidRDefault="00047F77" w:rsidP="00C63D5B">
      <w:pPr>
        <w:rPr>
          <w:lang w:val="ru-RU"/>
        </w:rPr>
      </w:pPr>
      <w:r w:rsidRPr="00521670">
        <w:rPr>
          <w:lang w:val="ru-RU"/>
        </w:rPr>
        <w:t xml:space="preserve">Здания штаб-квартиры МСЭ расположены на земельном участке, принадлежащем кантону Женева. </w:t>
      </w:r>
      <w:r w:rsidR="00A82E87" w:rsidRPr="00521670">
        <w:rPr>
          <w:lang w:val="ru-RU"/>
        </w:rPr>
        <w:t xml:space="preserve">МСЭ имеет предоставленное ему безвозмездно право суперфиция на земельный участок, принадлежащий кантону Женева. По соглашению о праве суперфиция ("droits de superficie") МСЭ имеет право пользования земельным участком до 31 декабря 2079 года. Никакая стоимость земельного участка не отражена в бухгалтерском учете, поскольку МСЭ не может распоряжаться этими правами в рамках коммерческих сделок. Срок полезного использования зданий штаб-квартиры МСЭ равен сроку полезного использования </w:t>
      </w:r>
      <w:r w:rsidR="00A82E87" w:rsidRPr="00521670">
        <w:rPr>
          <w:lang w:val="ru-RU"/>
        </w:rPr>
        <w:lastRenderedPageBreak/>
        <w:t>соответствующих элементов здания или сроку действия прав суперфиция, при этом используется наименьший срок.</w:t>
      </w:r>
    </w:p>
    <w:p w14:paraId="0A4BAD6E" w14:textId="7941AD44" w:rsidR="00C63D5B" w:rsidRPr="00521670" w:rsidRDefault="00C63D5B" w:rsidP="00C63D5B">
      <w:pPr>
        <w:pStyle w:val="Headingi"/>
        <w:rPr>
          <w:lang w:val="ru-RU"/>
        </w:rPr>
      </w:pPr>
      <w:r w:rsidRPr="00521670">
        <w:rPr>
          <w:lang w:val="ru-RU"/>
        </w:rPr>
        <w:tab/>
      </w:r>
      <w:bookmarkStart w:id="201" w:name="_Toc200469155"/>
      <w:r w:rsidRPr="00521670">
        <w:rPr>
          <w:lang w:val="ru-RU"/>
        </w:rPr>
        <w:t>Долговые обязательства</w:t>
      </w:r>
      <w:bookmarkEnd w:id="201"/>
    </w:p>
    <w:p w14:paraId="25DC1B14" w14:textId="38CB261B" w:rsidR="00A11981" w:rsidRPr="00521670" w:rsidRDefault="00A11981" w:rsidP="00A11981">
      <w:pPr>
        <w:rPr>
          <w:lang w:val="ru-RU"/>
        </w:rPr>
      </w:pPr>
      <w:bookmarkStart w:id="202" w:name="lt_pId499"/>
      <w:r w:rsidRPr="00521670">
        <w:rPr>
          <w:lang w:val="ru-RU"/>
        </w:rPr>
        <w:t>Долговые обязательства МСЭ классифицируются как долговые обязательства и ссуды</w:t>
      </w:r>
      <w:r w:rsidR="00A82E87" w:rsidRPr="00521670">
        <w:rPr>
          <w:lang w:val="ru-RU"/>
        </w:rPr>
        <w:t xml:space="preserve"> и</w:t>
      </w:r>
      <w:r w:rsidRPr="00521670">
        <w:rPr>
          <w:lang w:val="ru-RU"/>
        </w:rPr>
        <w:t xml:space="preserve"> являю</w:t>
      </w:r>
      <w:r w:rsidR="00A82E87" w:rsidRPr="00521670">
        <w:rPr>
          <w:lang w:val="ru-RU"/>
        </w:rPr>
        <w:t>тс</w:t>
      </w:r>
      <w:r w:rsidRPr="00521670">
        <w:rPr>
          <w:lang w:val="ru-RU"/>
        </w:rPr>
        <w:t>я непроизводными финансовыми активами с установленными или определимыми сроками действия, которые не обращаются на активном рынке.</w:t>
      </w:r>
      <w:bookmarkEnd w:id="202"/>
      <w:r w:rsidRPr="00521670">
        <w:rPr>
          <w:lang w:val="ru-RU"/>
        </w:rPr>
        <w:t xml:space="preserve"> Они возникают, когда МСЭ вступает в договорные отношения с третьими сторонами, действуют до тех пор, пока не осуществлены трансферты денежных средств, связанных с этими финансовыми активами, и также пока к МСЭ не перейдут риски и выгоды, связанные с этими активами. Такие активы </w:t>
      </w:r>
      <w:r w:rsidRPr="00521670">
        <w:rPr>
          <w:rFonts w:eastAsia="Calibri" w:cs="Calibri"/>
          <w:lang w:val="ru-RU"/>
        </w:rPr>
        <w:t>классифицируются как</w:t>
      </w:r>
      <w:r w:rsidRPr="00521670">
        <w:rPr>
          <w:lang w:val="ru-RU"/>
        </w:rPr>
        <w:t> текущие активы, за исключением тех из них, срок действия которых превышает 12 месяцев после даты закрытия счетов и которые классифицируются как нетекущие активы.</w:t>
      </w:r>
    </w:p>
    <w:p w14:paraId="5076A6A0" w14:textId="728B1A5C" w:rsidR="00C63D5B" w:rsidRPr="00521670" w:rsidRDefault="00A82E87" w:rsidP="00C63D5B">
      <w:pPr>
        <w:rPr>
          <w:lang w:val="ru-RU"/>
        </w:rPr>
      </w:pPr>
      <w:r w:rsidRPr="00521670">
        <w:rPr>
          <w:lang w:val="ru-RU"/>
        </w:rPr>
        <w:t>Долговые обязательства по обменным операциям возникают в результате продажи публикаций или заявок на регистрацию спутниковых сетей, а долговые обязательства по необменным операциям возникают в результате начисленных взносов и внебюджетных</w:t>
      </w:r>
      <w:r w:rsidR="008D5509" w:rsidRPr="00521670">
        <w:rPr>
          <w:lang w:val="ru-RU"/>
        </w:rPr>
        <w:t> </w:t>
      </w:r>
      <w:r w:rsidRPr="00521670">
        <w:rPr>
          <w:lang w:val="ru-RU"/>
        </w:rPr>
        <w:t>взносов.</w:t>
      </w:r>
    </w:p>
    <w:p w14:paraId="72E3366B" w14:textId="1A24820C" w:rsidR="00C63D5B" w:rsidRPr="00521670" w:rsidRDefault="00A82E87" w:rsidP="00C63D5B">
      <w:pPr>
        <w:rPr>
          <w:color w:val="000000" w:themeColor="text1"/>
          <w:lang w:val="ru-RU"/>
        </w:rPr>
      </w:pPr>
      <w:r w:rsidRPr="00521670">
        <w:rPr>
          <w:color w:val="000000" w:themeColor="text1"/>
          <w:lang w:val="ru-RU"/>
        </w:rPr>
        <w:t>Долговые обязательства по заявкам на регистрацию спутниковых сетей устанавливаются после получения заявки Бюро радиосвязи.</w:t>
      </w:r>
    </w:p>
    <w:p w14:paraId="11AB8F19" w14:textId="2116C233" w:rsidR="00C63D5B" w:rsidRPr="00521670" w:rsidRDefault="00A82E87" w:rsidP="00C63D5B">
      <w:pPr>
        <w:rPr>
          <w:color w:val="000000" w:themeColor="text1"/>
          <w:lang w:val="ru-RU"/>
        </w:rPr>
      </w:pPr>
      <w:r w:rsidRPr="00521670">
        <w:rPr>
          <w:color w:val="000000" w:themeColor="text1"/>
          <w:lang w:val="ru-RU"/>
        </w:rPr>
        <w:t>Долговые обязательства учитываются по текущей стоимости вознаграждения, подлежащего</w:t>
      </w:r>
      <w:r w:rsidR="008D5509" w:rsidRPr="00521670">
        <w:rPr>
          <w:color w:val="000000" w:themeColor="text1"/>
          <w:lang w:val="ru-RU"/>
        </w:rPr>
        <w:t> </w:t>
      </w:r>
      <w:r w:rsidRPr="00521670">
        <w:rPr>
          <w:color w:val="000000" w:themeColor="text1"/>
          <w:lang w:val="ru-RU"/>
        </w:rPr>
        <w:t>получению.</w:t>
      </w:r>
    </w:p>
    <w:p w14:paraId="7D9D7F08" w14:textId="53EBA645" w:rsidR="00C63D5B" w:rsidRPr="00521670" w:rsidRDefault="002F0EAA" w:rsidP="00C63D5B">
      <w:pPr>
        <w:rPr>
          <w:color w:val="000000"/>
          <w:lang w:val="ru-RU"/>
        </w:rPr>
      </w:pPr>
      <w:r w:rsidRPr="00521670">
        <w:rPr>
          <w:color w:val="000000" w:themeColor="text1"/>
          <w:lang w:val="ru-RU"/>
        </w:rPr>
        <w:t>На каждую отчетную дату МСЭ оценивает текущую стоимость долговых обязательств, и в соответствующих случаях учитывает резерв.</w:t>
      </w:r>
    </w:p>
    <w:p w14:paraId="1E1F44A7" w14:textId="573CB2CB" w:rsidR="00C63D5B" w:rsidRPr="00521670" w:rsidRDefault="00A11981" w:rsidP="00C63D5B">
      <w:pPr>
        <w:pStyle w:val="Headingi"/>
        <w:rPr>
          <w:b/>
          <w:bCs/>
          <w:iCs/>
          <w:lang w:val="ru-RU"/>
        </w:rPr>
      </w:pPr>
      <w:bookmarkStart w:id="203" w:name="_Toc200469156"/>
      <w:r w:rsidRPr="00521670">
        <w:rPr>
          <w:b/>
          <w:bCs/>
          <w:lang w:val="ru-RU" w:bidi="ru-RU"/>
        </w:rPr>
        <w:t>Материальные активы</w:t>
      </w:r>
      <w:bookmarkEnd w:id="203"/>
    </w:p>
    <w:p w14:paraId="30998021" w14:textId="71E9B3DE" w:rsidR="00C63D5B" w:rsidRPr="00521670" w:rsidRDefault="002F0EAA" w:rsidP="00C63D5B">
      <w:pPr>
        <w:rPr>
          <w:rFonts w:asciiTheme="minorHAnsi" w:eastAsiaTheme="minorEastAsia" w:hAnsiTheme="minorHAnsi" w:cstheme="minorBidi"/>
          <w:color w:val="333333"/>
          <w:szCs w:val="24"/>
          <w:lang w:val="ru-RU"/>
        </w:rPr>
      </w:pPr>
      <w:r w:rsidRPr="00521670">
        <w:rPr>
          <w:lang w:val="ru-RU"/>
        </w:rPr>
        <w:t xml:space="preserve">Материальные активы оцениваются по стоимости за вычетом совокупной амортизации и потери стоимости. Оборудование учитывается в качестве актива, если его стоимость составляет 5000 швейцарских франков или выше за единицу и оно амортизируется по линейному принципу. Прибыли и убытки от выбытия определяются путем сравнения вырученных средств с балансовой стоимостью актива и включаются в </w:t>
      </w:r>
      <w:r w:rsidR="00D01A4E" w:rsidRPr="00521670">
        <w:rPr>
          <w:lang w:val="ru-RU"/>
        </w:rPr>
        <w:t>О</w:t>
      </w:r>
      <w:r w:rsidRPr="00521670">
        <w:rPr>
          <w:lang w:val="ru-RU"/>
        </w:rPr>
        <w:t xml:space="preserve">тчет о результатах финансовой деятельности. </w:t>
      </w:r>
      <w:r w:rsidR="00D01A4E" w:rsidRPr="00521670">
        <w:rPr>
          <w:lang w:val="ru-RU"/>
        </w:rPr>
        <w:t>Объекты</w:t>
      </w:r>
      <w:r w:rsidRPr="00521670">
        <w:rPr>
          <w:lang w:val="ru-RU"/>
        </w:rPr>
        <w:t xml:space="preserve"> наследия, в том числе переданные в дар произведения искусства, не оцениваются в финансовой отчетности.</w:t>
      </w:r>
    </w:p>
    <w:p w14:paraId="69EC753C" w14:textId="5E1B2614" w:rsidR="00A11981" w:rsidRPr="00521670" w:rsidRDefault="002F0EAA" w:rsidP="00A11981">
      <w:pPr>
        <w:rPr>
          <w:lang w:val="ru-RU"/>
        </w:rPr>
      </w:pPr>
      <w:r w:rsidRPr="00521670">
        <w:rPr>
          <w:lang w:val="ru-RU"/>
        </w:rPr>
        <w:t>Имущество стоимостью менее 5000 швейцарских франков капитализируется в момент получения и впоследствии полностью амортизируется в год приобретения.</w:t>
      </w:r>
    </w:p>
    <w:p w14:paraId="0D3B9EB0" w14:textId="6E2BE9EB" w:rsidR="00C63D5B" w:rsidRPr="00521670" w:rsidRDefault="002F0EAA" w:rsidP="00C63D5B">
      <w:pPr>
        <w:rPr>
          <w:lang w:val="ru-RU"/>
        </w:rPr>
      </w:pPr>
      <w:r w:rsidRPr="00521670">
        <w:rPr>
          <w:lang w:val="ru-RU"/>
        </w:rPr>
        <w:t xml:space="preserve">Имущество и оборудование, приобретенные в связи с проектами, осуществляемыми в рамках внебюджетной деятельности, в полном объеме учитываются в расходах в </w:t>
      </w:r>
      <w:r w:rsidR="00604D84" w:rsidRPr="00521670">
        <w:rPr>
          <w:lang w:val="ru-RU"/>
        </w:rPr>
        <w:t>О</w:t>
      </w:r>
      <w:r w:rsidRPr="00521670">
        <w:rPr>
          <w:lang w:val="ru-RU"/>
        </w:rPr>
        <w:t>тчете о результатах финансовой деятельности при ежемесячном закрытии счетов после приобретения, поскольку они не контролируются МСЭ.</w:t>
      </w:r>
    </w:p>
    <w:p w14:paraId="7ADE2C22" w14:textId="77777777" w:rsidR="00A11981" w:rsidRPr="00521670" w:rsidRDefault="00A11981" w:rsidP="00A11981">
      <w:pPr>
        <w:keepNext/>
        <w:spacing w:after="120"/>
        <w:rPr>
          <w:lang w:val="ru-RU"/>
        </w:rPr>
      </w:pPr>
      <w:bookmarkStart w:id="204" w:name="lt_pId557"/>
      <w:r w:rsidRPr="00521670">
        <w:rPr>
          <w:lang w:val="ru-RU"/>
        </w:rPr>
        <w:t xml:space="preserve">В </w:t>
      </w:r>
      <w:r w:rsidRPr="00521670">
        <w:rPr>
          <w:rFonts w:eastAsia="Calibri" w:cs="Calibri"/>
          <w:lang w:val="ru-RU"/>
        </w:rPr>
        <w:t>приведенной</w:t>
      </w:r>
      <w:r w:rsidRPr="00521670">
        <w:rPr>
          <w:lang w:val="ru-RU"/>
        </w:rPr>
        <w:t xml:space="preserve"> ниже таблице показан прогнозируемый срок полезного использования активов</w:t>
      </w:r>
      <w:bookmarkEnd w:id="204"/>
      <w:r w:rsidRPr="00521670">
        <w:rPr>
          <w:lang w:val="ru-RU"/>
        </w:rPr>
        <w:t>.</w:t>
      </w:r>
    </w:p>
    <w:p w14:paraId="5CA6083A" w14:textId="138722A2" w:rsidR="00015883" w:rsidRPr="00521670" w:rsidRDefault="00015883">
      <w:pPr>
        <w:tabs>
          <w:tab w:val="clear" w:pos="794"/>
          <w:tab w:val="clear" w:pos="1191"/>
          <w:tab w:val="clear" w:pos="1588"/>
          <w:tab w:val="clear" w:pos="1985"/>
        </w:tabs>
        <w:overflowPunct/>
        <w:autoSpaceDE/>
        <w:autoSpaceDN/>
        <w:adjustRightInd/>
        <w:spacing w:before="0"/>
        <w:textAlignment w:val="auto"/>
        <w:rPr>
          <w:lang w:val="ru-RU"/>
        </w:rPr>
      </w:pPr>
      <w:r w:rsidRPr="00521670">
        <w:rPr>
          <w:lang w:val="ru-RU"/>
        </w:rPr>
        <w:br w:type="page"/>
      </w:r>
    </w:p>
    <w:tbl>
      <w:tblPr>
        <w:tblW w:w="5000" w:type="pct"/>
        <w:jc w:val="center"/>
        <w:tblLook w:val="04A0" w:firstRow="1" w:lastRow="0" w:firstColumn="1" w:lastColumn="0" w:noHBand="0" w:noVBand="1"/>
      </w:tblPr>
      <w:tblGrid>
        <w:gridCol w:w="656"/>
        <w:gridCol w:w="6574"/>
        <w:gridCol w:w="1841"/>
      </w:tblGrid>
      <w:tr w:rsidR="00C63D5B" w:rsidRPr="00521670" w14:paraId="12E140C8" w14:textId="77777777" w:rsidTr="00015883">
        <w:trPr>
          <w:trHeight w:val="750"/>
          <w:tblHeader/>
          <w:jc w:val="center"/>
        </w:trPr>
        <w:tc>
          <w:tcPr>
            <w:tcW w:w="4021" w:type="pct"/>
            <w:gridSpan w:val="2"/>
            <w:tcBorders>
              <w:top w:val="nil"/>
              <w:left w:val="nil"/>
              <w:bottom w:val="nil"/>
              <w:right w:val="nil"/>
            </w:tcBorders>
            <w:shd w:val="clear" w:color="000000" w:fill="0070C0"/>
            <w:vAlign w:val="center"/>
            <w:hideMark/>
          </w:tcPr>
          <w:p w14:paraId="3E168E3E" w14:textId="77CA3DE2" w:rsidR="00C63D5B" w:rsidRPr="00521670" w:rsidRDefault="00C63D5B" w:rsidP="00C63D5B">
            <w:pPr>
              <w:pStyle w:val="Tablehead"/>
              <w:rPr>
                <w:bCs/>
                <w:szCs w:val="18"/>
                <w:lang w:val="ru-RU" w:eastAsia="en-GB"/>
              </w:rPr>
            </w:pPr>
            <w:bookmarkStart w:id="205" w:name="RANGE!B8:E33"/>
            <w:r w:rsidRPr="00521670">
              <w:rPr>
                <w:szCs w:val="18"/>
                <w:lang w:val="ru-RU"/>
              </w:rPr>
              <w:lastRenderedPageBreak/>
              <w:t xml:space="preserve">Категории и подкатегории материальных активов </w:t>
            </w:r>
            <w:bookmarkEnd w:id="205"/>
            <w:r w:rsidRPr="00521670">
              <w:rPr>
                <w:szCs w:val="18"/>
                <w:lang w:val="ru-RU"/>
              </w:rPr>
              <w:t>и нематериальных активов</w:t>
            </w:r>
          </w:p>
        </w:tc>
        <w:tc>
          <w:tcPr>
            <w:tcW w:w="979" w:type="pct"/>
            <w:tcBorders>
              <w:top w:val="nil"/>
              <w:left w:val="nil"/>
              <w:bottom w:val="nil"/>
              <w:right w:val="nil"/>
            </w:tcBorders>
            <w:shd w:val="clear" w:color="000000" w:fill="0070C0"/>
            <w:vAlign w:val="center"/>
            <w:hideMark/>
          </w:tcPr>
          <w:p w14:paraId="025BB2A6" w14:textId="15548F15" w:rsidR="00C63D5B" w:rsidRPr="00521670" w:rsidRDefault="00C63D5B" w:rsidP="00C63D5B">
            <w:pPr>
              <w:pStyle w:val="Tablehead"/>
              <w:rPr>
                <w:bCs/>
                <w:szCs w:val="18"/>
                <w:lang w:val="ru-RU" w:eastAsia="en-GB"/>
              </w:rPr>
            </w:pPr>
            <w:r w:rsidRPr="00521670">
              <w:rPr>
                <w:rFonts w:cs="Calibri"/>
                <w:szCs w:val="18"/>
                <w:lang w:val="ru-RU"/>
              </w:rPr>
              <w:t>Прогнозируемый срок полезного использования (годы)</w:t>
            </w:r>
          </w:p>
        </w:tc>
      </w:tr>
      <w:tr w:rsidR="00C63D5B" w:rsidRPr="00521670" w14:paraId="4BAFA9AB" w14:textId="77777777" w:rsidTr="00DF251A">
        <w:trPr>
          <w:trHeight w:val="229"/>
          <w:jc w:val="center"/>
        </w:trPr>
        <w:tc>
          <w:tcPr>
            <w:tcW w:w="5000" w:type="pct"/>
            <w:gridSpan w:val="3"/>
            <w:tcBorders>
              <w:top w:val="nil"/>
              <w:left w:val="nil"/>
              <w:bottom w:val="nil"/>
              <w:right w:val="nil"/>
            </w:tcBorders>
            <w:shd w:val="clear" w:color="auto" w:fill="auto"/>
            <w:noWrap/>
            <w:vAlign w:val="bottom"/>
            <w:hideMark/>
          </w:tcPr>
          <w:p w14:paraId="4EA5DA2C" w14:textId="77777777" w:rsidR="00C63D5B" w:rsidRPr="00521670" w:rsidRDefault="00C63D5B" w:rsidP="00C63D5B">
            <w:pPr>
              <w:pStyle w:val="Tabletext"/>
              <w:rPr>
                <w:lang w:val="ru-RU" w:eastAsia="en-GB"/>
              </w:rPr>
            </w:pPr>
          </w:p>
        </w:tc>
      </w:tr>
      <w:tr w:rsidR="00C63D5B" w:rsidRPr="00521670" w14:paraId="5AD0FEA3" w14:textId="77777777" w:rsidTr="00015883">
        <w:trPr>
          <w:trHeight w:val="255"/>
          <w:jc w:val="center"/>
        </w:trPr>
        <w:tc>
          <w:tcPr>
            <w:tcW w:w="4021" w:type="pct"/>
            <w:gridSpan w:val="2"/>
            <w:tcBorders>
              <w:top w:val="nil"/>
              <w:left w:val="nil"/>
              <w:bottom w:val="nil"/>
              <w:right w:val="nil"/>
            </w:tcBorders>
            <w:shd w:val="clear" w:color="auto" w:fill="auto"/>
            <w:noWrap/>
            <w:vAlign w:val="bottom"/>
            <w:hideMark/>
          </w:tcPr>
          <w:p w14:paraId="2D0CEAE0" w14:textId="69166413" w:rsidR="00C63D5B" w:rsidRPr="00521670" w:rsidRDefault="00C63D5B" w:rsidP="00C63D5B">
            <w:pPr>
              <w:pStyle w:val="Tabletext"/>
              <w:rPr>
                <w:szCs w:val="18"/>
                <w:lang w:val="ru-RU" w:eastAsia="en-GB"/>
              </w:rPr>
            </w:pPr>
            <w:r w:rsidRPr="00521670">
              <w:rPr>
                <w:b/>
                <w:bCs/>
                <w:color w:val="000000"/>
                <w:szCs w:val="18"/>
                <w:lang w:val="ru-RU"/>
              </w:rPr>
              <w:t>Материальные активы</w:t>
            </w:r>
          </w:p>
        </w:tc>
        <w:tc>
          <w:tcPr>
            <w:tcW w:w="979" w:type="pct"/>
            <w:tcBorders>
              <w:top w:val="nil"/>
              <w:left w:val="nil"/>
              <w:bottom w:val="nil"/>
              <w:right w:val="nil"/>
            </w:tcBorders>
            <w:shd w:val="clear" w:color="auto" w:fill="auto"/>
            <w:noWrap/>
            <w:vAlign w:val="bottom"/>
            <w:hideMark/>
          </w:tcPr>
          <w:p w14:paraId="639B6079" w14:textId="77777777" w:rsidR="00C63D5B" w:rsidRPr="00521670" w:rsidRDefault="00C63D5B" w:rsidP="00C63D5B">
            <w:pPr>
              <w:pStyle w:val="Tabletext"/>
              <w:rPr>
                <w:lang w:val="ru-RU" w:eastAsia="en-GB"/>
              </w:rPr>
            </w:pPr>
          </w:p>
        </w:tc>
      </w:tr>
      <w:tr w:rsidR="00BF380C" w:rsidRPr="00521670" w14:paraId="56EE06D4" w14:textId="77777777" w:rsidTr="00015883">
        <w:trPr>
          <w:trHeight w:val="255"/>
          <w:jc w:val="center"/>
        </w:trPr>
        <w:tc>
          <w:tcPr>
            <w:tcW w:w="290" w:type="pct"/>
            <w:tcBorders>
              <w:top w:val="nil"/>
              <w:left w:val="nil"/>
              <w:bottom w:val="nil"/>
              <w:right w:val="nil"/>
            </w:tcBorders>
            <w:shd w:val="clear" w:color="auto" w:fill="auto"/>
            <w:noWrap/>
            <w:vAlign w:val="bottom"/>
            <w:hideMark/>
          </w:tcPr>
          <w:p w14:paraId="1EC596A6" w14:textId="77777777" w:rsidR="00C63D5B" w:rsidRPr="00521670" w:rsidRDefault="00C63D5B" w:rsidP="00C63D5B">
            <w:pPr>
              <w:pStyle w:val="Tabletext"/>
              <w:rPr>
                <w:lang w:val="ru-RU" w:eastAsia="en-GB"/>
              </w:rPr>
            </w:pPr>
          </w:p>
        </w:tc>
        <w:tc>
          <w:tcPr>
            <w:tcW w:w="3731" w:type="pct"/>
            <w:tcBorders>
              <w:top w:val="nil"/>
              <w:left w:val="nil"/>
              <w:bottom w:val="nil"/>
              <w:right w:val="nil"/>
            </w:tcBorders>
            <w:shd w:val="clear" w:color="auto" w:fill="auto"/>
            <w:noWrap/>
            <w:vAlign w:val="bottom"/>
            <w:hideMark/>
          </w:tcPr>
          <w:p w14:paraId="1D311335" w14:textId="4C709875" w:rsidR="00C63D5B" w:rsidRPr="00521670" w:rsidRDefault="00C63D5B" w:rsidP="00C63D5B">
            <w:pPr>
              <w:pStyle w:val="Tabletext"/>
              <w:rPr>
                <w:szCs w:val="18"/>
                <w:lang w:val="ru-RU" w:eastAsia="en-GB"/>
              </w:rPr>
            </w:pPr>
            <w:r w:rsidRPr="00521670">
              <w:rPr>
                <w:b/>
                <w:bCs/>
                <w:color w:val="000000"/>
                <w:szCs w:val="18"/>
                <w:lang w:val="ru-RU"/>
              </w:rPr>
              <w:t>Здания</w:t>
            </w:r>
          </w:p>
        </w:tc>
        <w:tc>
          <w:tcPr>
            <w:tcW w:w="979" w:type="pct"/>
            <w:tcBorders>
              <w:top w:val="nil"/>
              <w:left w:val="nil"/>
              <w:bottom w:val="nil"/>
              <w:right w:val="nil"/>
            </w:tcBorders>
            <w:shd w:val="clear" w:color="auto" w:fill="auto"/>
            <w:noWrap/>
            <w:vAlign w:val="bottom"/>
            <w:hideMark/>
          </w:tcPr>
          <w:p w14:paraId="7EBA94DE" w14:textId="77777777" w:rsidR="00C63D5B" w:rsidRPr="00521670" w:rsidRDefault="00C63D5B" w:rsidP="00C63D5B">
            <w:pPr>
              <w:pStyle w:val="Tabletext"/>
              <w:rPr>
                <w:lang w:val="ru-RU" w:eastAsia="en-GB"/>
              </w:rPr>
            </w:pPr>
          </w:p>
        </w:tc>
      </w:tr>
      <w:tr w:rsidR="00BF380C" w:rsidRPr="00521670" w14:paraId="19769677" w14:textId="77777777" w:rsidTr="00015883">
        <w:trPr>
          <w:trHeight w:val="255"/>
          <w:jc w:val="center"/>
        </w:trPr>
        <w:tc>
          <w:tcPr>
            <w:tcW w:w="290" w:type="pct"/>
            <w:tcBorders>
              <w:top w:val="nil"/>
              <w:left w:val="nil"/>
              <w:bottom w:val="nil"/>
              <w:right w:val="nil"/>
            </w:tcBorders>
            <w:shd w:val="clear" w:color="auto" w:fill="auto"/>
            <w:noWrap/>
            <w:vAlign w:val="bottom"/>
          </w:tcPr>
          <w:p w14:paraId="65CE74BB"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3C612544" w14:textId="1664B45D"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Конструкция сооружений</w:t>
            </w:r>
          </w:p>
        </w:tc>
        <w:tc>
          <w:tcPr>
            <w:tcW w:w="979" w:type="pct"/>
            <w:tcBorders>
              <w:top w:val="nil"/>
              <w:left w:val="nil"/>
              <w:bottom w:val="nil"/>
              <w:right w:val="nil"/>
            </w:tcBorders>
            <w:shd w:val="clear" w:color="auto" w:fill="auto"/>
            <w:noWrap/>
            <w:vAlign w:val="bottom"/>
          </w:tcPr>
          <w:p w14:paraId="75DF7ACA" w14:textId="23F74E36" w:rsidR="00BF380C" w:rsidRPr="00521670" w:rsidRDefault="00BF380C" w:rsidP="00BF380C">
            <w:pPr>
              <w:pStyle w:val="Tabletext"/>
              <w:jc w:val="right"/>
              <w:rPr>
                <w:lang w:val="ru-RU" w:eastAsia="en-GB"/>
              </w:rPr>
            </w:pPr>
            <w:r w:rsidRPr="00521670">
              <w:rPr>
                <w:lang w:val="ru-RU" w:eastAsia="en-GB"/>
              </w:rPr>
              <w:t>60</w:t>
            </w:r>
          </w:p>
        </w:tc>
      </w:tr>
      <w:tr w:rsidR="00BF380C" w:rsidRPr="00521670" w14:paraId="3A3ECE67" w14:textId="77777777" w:rsidTr="00015883">
        <w:trPr>
          <w:trHeight w:val="255"/>
          <w:jc w:val="center"/>
        </w:trPr>
        <w:tc>
          <w:tcPr>
            <w:tcW w:w="290" w:type="pct"/>
            <w:tcBorders>
              <w:top w:val="nil"/>
              <w:left w:val="nil"/>
              <w:bottom w:val="nil"/>
              <w:right w:val="nil"/>
            </w:tcBorders>
            <w:shd w:val="clear" w:color="auto" w:fill="auto"/>
            <w:noWrap/>
            <w:vAlign w:val="bottom"/>
          </w:tcPr>
          <w:p w14:paraId="503448C4"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00D85C53" w14:textId="2C460CC5"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Ограждающие конструкции (плоская кровля, изоляция, герметизация и т. д.)</w:t>
            </w:r>
          </w:p>
        </w:tc>
        <w:tc>
          <w:tcPr>
            <w:tcW w:w="979" w:type="pct"/>
            <w:tcBorders>
              <w:top w:val="nil"/>
              <w:left w:val="nil"/>
              <w:bottom w:val="nil"/>
              <w:right w:val="nil"/>
            </w:tcBorders>
            <w:shd w:val="clear" w:color="auto" w:fill="auto"/>
            <w:noWrap/>
            <w:vAlign w:val="bottom"/>
          </w:tcPr>
          <w:p w14:paraId="075A9CD2" w14:textId="61803E63" w:rsidR="00BF380C" w:rsidRPr="00521670" w:rsidRDefault="00BF380C" w:rsidP="00BF380C">
            <w:pPr>
              <w:pStyle w:val="Tabletext"/>
              <w:jc w:val="right"/>
              <w:rPr>
                <w:lang w:val="ru-RU" w:eastAsia="en-GB"/>
              </w:rPr>
            </w:pPr>
            <w:r w:rsidRPr="00521670">
              <w:rPr>
                <w:lang w:val="ru-RU" w:eastAsia="en-GB"/>
              </w:rPr>
              <w:t>40</w:t>
            </w:r>
          </w:p>
        </w:tc>
      </w:tr>
      <w:tr w:rsidR="00BF380C" w:rsidRPr="00521670" w14:paraId="761B26BB" w14:textId="77777777" w:rsidTr="00015883">
        <w:trPr>
          <w:trHeight w:val="255"/>
          <w:jc w:val="center"/>
        </w:trPr>
        <w:tc>
          <w:tcPr>
            <w:tcW w:w="290" w:type="pct"/>
            <w:tcBorders>
              <w:top w:val="nil"/>
              <w:left w:val="nil"/>
              <w:bottom w:val="nil"/>
              <w:right w:val="nil"/>
            </w:tcBorders>
            <w:shd w:val="clear" w:color="auto" w:fill="auto"/>
            <w:noWrap/>
            <w:vAlign w:val="bottom"/>
          </w:tcPr>
          <w:p w14:paraId="2BB6F8BE"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257161B9" w14:textId="595851C6" w:rsidR="00BF380C" w:rsidRPr="00521670" w:rsidRDefault="00BF380C" w:rsidP="00BF380C">
            <w:pPr>
              <w:pStyle w:val="Tabletext"/>
              <w:ind w:left="303" w:hanging="303"/>
              <w:rPr>
                <w:color w:val="000000"/>
                <w:szCs w:val="18"/>
                <w:lang w:val="ru-RU"/>
              </w:rPr>
            </w:pPr>
            <w:r w:rsidRPr="00521670">
              <w:rPr>
                <w:szCs w:val="18"/>
                <w:lang w:val="ru-RU"/>
              </w:rPr>
              <w:t>−</w:t>
            </w:r>
            <w:r w:rsidRPr="00521670">
              <w:rPr>
                <w:szCs w:val="18"/>
                <w:lang w:val="ru-RU"/>
              </w:rPr>
              <w:tab/>
            </w:r>
            <w:r w:rsidRPr="00521670">
              <w:rPr>
                <w:color w:val="000000"/>
                <w:szCs w:val="18"/>
                <w:lang w:val="ru-RU"/>
              </w:rPr>
              <w:t>Ограждающие конструкции (навесные вентилируемые фасады, алюминиевые оконные рамы и т. д.)</w:t>
            </w:r>
          </w:p>
        </w:tc>
        <w:tc>
          <w:tcPr>
            <w:tcW w:w="979" w:type="pct"/>
            <w:tcBorders>
              <w:top w:val="nil"/>
              <w:left w:val="nil"/>
              <w:bottom w:val="nil"/>
              <w:right w:val="nil"/>
            </w:tcBorders>
            <w:shd w:val="clear" w:color="auto" w:fill="auto"/>
            <w:noWrap/>
            <w:vAlign w:val="bottom"/>
          </w:tcPr>
          <w:p w14:paraId="09BEC1BD" w14:textId="0FE654D4" w:rsidR="00BF380C" w:rsidRPr="00521670" w:rsidRDefault="00BF380C" w:rsidP="00BF380C">
            <w:pPr>
              <w:pStyle w:val="Tabletext"/>
              <w:jc w:val="right"/>
              <w:rPr>
                <w:lang w:val="ru-RU" w:eastAsia="en-GB"/>
              </w:rPr>
            </w:pPr>
            <w:r w:rsidRPr="00521670">
              <w:rPr>
                <w:lang w:val="ru-RU" w:eastAsia="en-GB"/>
              </w:rPr>
              <w:t>40</w:t>
            </w:r>
          </w:p>
        </w:tc>
      </w:tr>
      <w:tr w:rsidR="00BF380C" w:rsidRPr="00521670" w14:paraId="6F9C8C11" w14:textId="77777777" w:rsidTr="00015883">
        <w:trPr>
          <w:trHeight w:val="255"/>
          <w:jc w:val="center"/>
        </w:trPr>
        <w:tc>
          <w:tcPr>
            <w:tcW w:w="290" w:type="pct"/>
            <w:tcBorders>
              <w:top w:val="nil"/>
              <w:left w:val="nil"/>
              <w:bottom w:val="nil"/>
              <w:right w:val="nil"/>
            </w:tcBorders>
            <w:shd w:val="clear" w:color="auto" w:fill="auto"/>
            <w:noWrap/>
            <w:vAlign w:val="bottom"/>
          </w:tcPr>
          <w:p w14:paraId="57DA6F4C"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71EC8F66" w14:textId="4D874469"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Внутренняя отделка (фальшполы, перегородки и т. д.)</w:t>
            </w:r>
          </w:p>
        </w:tc>
        <w:tc>
          <w:tcPr>
            <w:tcW w:w="979" w:type="pct"/>
            <w:tcBorders>
              <w:top w:val="nil"/>
              <w:left w:val="nil"/>
              <w:bottom w:val="nil"/>
              <w:right w:val="nil"/>
            </w:tcBorders>
            <w:shd w:val="clear" w:color="auto" w:fill="auto"/>
            <w:noWrap/>
            <w:vAlign w:val="bottom"/>
          </w:tcPr>
          <w:p w14:paraId="1B463644" w14:textId="1250FBF8" w:rsidR="00BF380C" w:rsidRPr="00521670" w:rsidRDefault="00BF380C" w:rsidP="00BF380C">
            <w:pPr>
              <w:pStyle w:val="Tabletext"/>
              <w:jc w:val="right"/>
              <w:rPr>
                <w:lang w:val="ru-RU" w:eastAsia="en-GB"/>
              </w:rPr>
            </w:pPr>
            <w:r w:rsidRPr="00521670">
              <w:rPr>
                <w:lang w:val="ru-RU" w:eastAsia="en-GB"/>
              </w:rPr>
              <w:t>25</w:t>
            </w:r>
          </w:p>
        </w:tc>
      </w:tr>
      <w:tr w:rsidR="00BF380C" w:rsidRPr="00521670" w14:paraId="059E41E8" w14:textId="77777777" w:rsidTr="00015883">
        <w:trPr>
          <w:trHeight w:val="255"/>
          <w:jc w:val="center"/>
        </w:trPr>
        <w:tc>
          <w:tcPr>
            <w:tcW w:w="290" w:type="pct"/>
            <w:tcBorders>
              <w:top w:val="nil"/>
              <w:left w:val="nil"/>
              <w:bottom w:val="nil"/>
              <w:right w:val="nil"/>
            </w:tcBorders>
            <w:shd w:val="clear" w:color="auto" w:fill="auto"/>
            <w:noWrap/>
            <w:vAlign w:val="bottom"/>
          </w:tcPr>
          <w:p w14:paraId="70DB66A2"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2BFD4EB0" w14:textId="3F5F7E91"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Внутренняя отделка (покрытие полов, стен и потолков и т. д.)</w:t>
            </w:r>
          </w:p>
        </w:tc>
        <w:tc>
          <w:tcPr>
            <w:tcW w:w="979" w:type="pct"/>
            <w:tcBorders>
              <w:top w:val="nil"/>
              <w:left w:val="nil"/>
              <w:bottom w:val="nil"/>
              <w:right w:val="nil"/>
            </w:tcBorders>
            <w:shd w:val="clear" w:color="auto" w:fill="auto"/>
            <w:noWrap/>
            <w:vAlign w:val="bottom"/>
          </w:tcPr>
          <w:p w14:paraId="2FC076E7" w14:textId="47DF205A" w:rsidR="00BF380C" w:rsidRPr="00521670" w:rsidRDefault="00BF380C" w:rsidP="00BF380C">
            <w:pPr>
              <w:pStyle w:val="Tabletext"/>
              <w:jc w:val="right"/>
              <w:rPr>
                <w:lang w:val="ru-RU" w:eastAsia="en-GB"/>
              </w:rPr>
            </w:pPr>
            <w:r w:rsidRPr="00521670">
              <w:rPr>
                <w:lang w:val="ru-RU" w:eastAsia="en-GB"/>
              </w:rPr>
              <w:t>25</w:t>
            </w:r>
          </w:p>
        </w:tc>
      </w:tr>
      <w:tr w:rsidR="00BF380C" w:rsidRPr="00521670" w14:paraId="42712ACB" w14:textId="77777777" w:rsidTr="00015883">
        <w:trPr>
          <w:trHeight w:val="255"/>
          <w:jc w:val="center"/>
        </w:trPr>
        <w:tc>
          <w:tcPr>
            <w:tcW w:w="290" w:type="pct"/>
            <w:tcBorders>
              <w:top w:val="nil"/>
              <w:left w:val="nil"/>
              <w:bottom w:val="nil"/>
              <w:right w:val="nil"/>
            </w:tcBorders>
            <w:shd w:val="clear" w:color="auto" w:fill="auto"/>
            <w:noWrap/>
            <w:vAlign w:val="bottom"/>
          </w:tcPr>
          <w:p w14:paraId="74AF28E0"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7EC01D3F" w14:textId="244D2A61"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Специальное оборудование</w:t>
            </w:r>
          </w:p>
        </w:tc>
        <w:tc>
          <w:tcPr>
            <w:tcW w:w="979" w:type="pct"/>
            <w:tcBorders>
              <w:top w:val="nil"/>
              <w:left w:val="nil"/>
              <w:bottom w:val="nil"/>
              <w:right w:val="nil"/>
            </w:tcBorders>
            <w:shd w:val="clear" w:color="auto" w:fill="auto"/>
            <w:noWrap/>
            <w:vAlign w:val="bottom"/>
          </w:tcPr>
          <w:p w14:paraId="2B2EEE1A" w14:textId="55E8EC91" w:rsidR="00BF380C" w:rsidRPr="00521670" w:rsidRDefault="00BF380C" w:rsidP="00BF380C">
            <w:pPr>
              <w:pStyle w:val="Tabletext"/>
              <w:jc w:val="right"/>
              <w:rPr>
                <w:lang w:val="ru-RU" w:eastAsia="en-GB"/>
              </w:rPr>
            </w:pPr>
            <w:r w:rsidRPr="00521670">
              <w:rPr>
                <w:lang w:val="ru-RU" w:eastAsia="en-GB"/>
              </w:rPr>
              <w:t>25</w:t>
            </w:r>
          </w:p>
        </w:tc>
      </w:tr>
      <w:tr w:rsidR="00BF380C" w:rsidRPr="00521670" w14:paraId="4E6CD4E9" w14:textId="77777777" w:rsidTr="00015883">
        <w:trPr>
          <w:trHeight w:val="255"/>
          <w:jc w:val="center"/>
        </w:trPr>
        <w:tc>
          <w:tcPr>
            <w:tcW w:w="290" w:type="pct"/>
            <w:tcBorders>
              <w:top w:val="nil"/>
              <w:left w:val="nil"/>
              <w:bottom w:val="nil"/>
              <w:right w:val="nil"/>
            </w:tcBorders>
            <w:shd w:val="clear" w:color="auto" w:fill="auto"/>
            <w:noWrap/>
            <w:vAlign w:val="bottom"/>
          </w:tcPr>
          <w:p w14:paraId="07BF58C6"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52BD62CB" w14:textId="5339FA35"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 xml:space="preserve">Техническое оборудование (электрическое) </w:t>
            </w:r>
          </w:p>
        </w:tc>
        <w:tc>
          <w:tcPr>
            <w:tcW w:w="979" w:type="pct"/>
            <w:tcBorders>
              <w:top w:val="nil"/>
              <w:left w:val="nil"/>
              <w:bottom w:val="nil"/>
              <w:right w:val="nil"/>
            </w:tcBorders>
            <w:shd w:val="clear" w:color="auto" w:fill="auto"/>
            <w:noWrap/>
            <w:vAlign w:val="bottom"/>
          </w:tcPr>
          <w:p w14:paraId="4683EECC" w14:textId="63C868A4" w:rsidR="00BF380C" w:rsidRPr="00521670" w:rsidRDefault="00BF380C" w:rsidP="00BF380C">
            <w:pPr>
              <w:pStyle w:val="Tabletext"/>
              <w:jc w:val="right"/>
              <w:rPr>
                <w:lang w:val="ru-RU" w:eastAsia="en-GB"/>
              </w:rPr>
            </w:pPr>
            <w:r w:rsidRPr="00521670">
              <w:rPr>
                <w:lang w:val="ru-RU" w:eastAsia="en-GB"/>
              </w:rPr>
              <w:t>50</w:t>
            </w:r>
          </w:p>
        </w:tc>
      </w:tr>
      <w:tr w:rsidR="00BF380C" w:rsidRPr="00521670" w14:paraId="560C4B11" w14:textId="77777777" w:rsidTr="00015883">
        <w:trPr>
          <w:trHeight w:val="255"/>
          <w:jc w:val="center"/>
        </w:trPr>
        <w:tc>
          <w:tcPr>
            <w:tcW w:w="290" w:type="pct"/>
            <w:tcBorders>
              <w:top w:val="nil"/>
              <w:left w:val="nil"/>
              <w:bottom w:val="nil"/>
              <w:right w:val="nil"/>
            </w:tcBorders>
            <w:shd w:val="clear" w:color="auto" w:fill="auto"/>
            <w:noWrap/>
            <w:vAlign w:val="bottom"/>
          </w:tcPr>
          <w:p w14:paraId="692081F9"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1F2713F6" w14:textId="778E2C7A"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Техническое оборудование (санитарно-техническое)</w:t>
            </w:r>
          </w:p>
        </w:tc>
        <w:tc>
          <w:tcPr>
            <w:tcW w:w="979" w:type="pct"/>
            <w:tcBorders>
              <w:top w:val="nil"/>
              <w:left w:val="nil"/>
              <w:bottom w:val="nil"/>
              <w:right w:val="nil"/>
            </w:tcBorders>
            <w:shd w:val="clear" w:color="auto" w:fill="auto"/>
            <w:noWrap/>
            <w:vAlign w:val="bottom"/>
          </w:tcPr>
          <w:p w14:paraId="39358A6D" w14:textId="1A633FFC" w:rsidR="00BF380C" w:rsidRPr="00521670" w:rsidRDefault="00BF380C" w:rsidP="00BF380C">
            <w:pPr>
              <w:pStyle w:val="Tabletext"/>
              <w:jc w:val="right"/>
              <w:rPr>
                <w:lang w:val="ru-RU" w:eastAsia="en-GB"/>
              </w:rPr>
            </w:pPr>
            <w:r w:rsidRPr="00521670">
              <w:rPr>
                <w:lang w:val="ru-RU" w:eastAsia="en-GB"/>
              </w:rPr>
              <w:t>40</w:t>
            </w:r>
          </w:p>
        </w:tc>
      </w:tr>
      <w:tr w:rsidR="00BF380C" w:rsidRPr="00521670" w14:paraId="74D44188" w14:textId="77777777" w:rsidTr="00015883">
        <w:trPr>
          <w:trHeight w:val="255"/>
          <w:jc w:val="center"/>
        </w:trPr>
        <w:tc>
          <w:tcPr>
            <w:tcW w:w="290" w:type="pct"/>
            <w:tcBorders>
              <w:top w:val="nil"/>
              <w:left w:val="nil"/>
              <w:bottom w:val="nil"/>
              <w:right w:val="nil"/>
            </w:tcBorders>
            <w:shd w:val="clear" w:color="auto" w:fill="auto"/>
            <w:noWrap/>
            <w:vAlign w:val="bottom"/>
          </w:tcPr>
          <w:p w14:paraId="733C6D06"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702F678D" w14:textId="02EDCAEA" w:rsidR="00BF380C" w:rsidRPr="00521670" w:rsidRDefault="00BF380C" w:rsidP="00BF380C">
            <w:pPr>
              <w:pStyle w:val="Tabletext"/>
              <w:rPr>
                <w:color w:val="000000"/>
                <w:szCs w:val="18"/>
                <w:lang w:val="ru-RU"/>
              </w:rPr>
            </w:pPr>
            <w:r w:rsidRPr="00521670">
              <w:rPr>
                <w:szCs w:val="18"/>
                <w:lang w:val="ru-RU"/>
              </w:rPr>
              <w:t>−</w:t>
            </w:r>
            <w:r w:rsidRPr="00521670">
              <w:rPr>
                <w:szCs w:val="18"/>
                <w:lang w:val="ru-RU"/>
              </w:rPr>
              <w:tab/>
            </w:r>
            <w:r w:rsidRPr="00521670">
              <w:rPr>
                <w:color w:val="000000"/>
                <w:szCs w:val="18"/>
                <w:lang w:val="ru-RU"/>
              </w:rPr>
              <w:t>Техническое оборудование (отопление, вентиляция)</w:t>
            </w:r>
          </w:p>
        </w:tc>
        <w:tc>
          <w:tcPr>
            <w:tcW w:w="979" w:type="pct"/>
            <w:tcBorders>
              <w:top w:val="nil"/>
              <w:left w:val="nil"/>
              <w:bottom w:val="nil"/>
              <w:right w:val="nil"/>
            </w:tcBorders>
            <w:shd w:val="clear" w:color="auto" w:fill="auto"/>
            <w:noWrap/>
            <w:vAlign w:val="bottom"/>
          </w:tcPr>
          <w:p w14:paraId="65A48D79" w14:textId="6C9A694E" w:rsidR="00BF380C" w:rsidRPr="00521670" w:rsidRDefault="00BF380C" w:rsidP="00BF380C">
            <w:pPr>
              <w:pStyle w:val="Tabletext"/>
              <w:jc w:val="right"/>
              <w:rPr>
                <w:lang w:val="ru-RU" w:eastAsia="en-GB"/>
              </w:rPr>
            </w:pPr>
            <w:r w:rsidRPr="00521670">
              <w:rPr>
                <w:lang w:val="ru-RU" w:eastAsia="en-GB"/>
              </w:rPr>
              <w:t>30</w:t>
            </w:r>
          </w:p>
        </w:tc>
      </w:tr>
      <w:tr w:rsidR="00BF380C" w:rsidRPr="00521670" w14:paraId="26E0F9A2" w14:textId="77777777" w:rsidTr="00015883">
        <w:trPr>
          <w:trHeight w:val="255"/>
          <w:jc w:val="center"/>
        </w:trPr>
        <w:tc>
          <w:tcPr>
            <w:tcW w:w="290" w:type="pct"/>
            <w:tcBorders>
              <w:top w:val="nil"/>
              <w:left w:val="nil"/>
              <w:bottom w:val="nil"/>
              <w:right w:val="nil"/>
            </w:tcBorders>
            <w:shd w:val="clear" w:color="auto" w:fill="auto"/>
            <w:noWrap/>
            <w:vAlign w:val="bottom"/>
          </w:tcPr>
          <w:p w14:paraId="34B7F06E"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0F8F8B6C" w14:textId="7CC73FF6" w:rsidR="00BF380C" w:rsidRPr="00521670" w:rsidRDefault="00BF380C" w:rsidP="00BF380C">
            <w:pPr>
              <w:pStyle w:val="Tabletext"/>
              <w:rPr>
                <w:szCs w:val="18"/>
                <w:lang w:val="ru-RU" w:eastAsia="en-GB"/>
              </w:rPr>
            </w:pPr>
            <w:r w:rsidRPr="00521670">
              <w:rPr>
                <w:szCs w:val="18"/>
                <w:lang w:val="ru-RU"/>
              </w:rPr>
              <w:t>−</w:t>
            </w:r>
            <w:r w:rsidRPr="00521670">
              <w:rPr>
                <w:szCs w:val="18"/>
                <w:lang w:val="ru-RU"/>
              </w:rPr>
              <w:tab/>
            </w:r>
            <w:r w:rsidRPr="00521670">
              <w:rPr>
                <w:color w:val="000000"/>
                <w:szCs w:val="18"/>
                <w:lang w:val="ru-RU"/>
              </w:rPr>
              <w:t>Транспортное оборудование</w:t>
            </w:r>
          </w:p>
        </w:tc>
        <w:tc>
          <w:tcPr>
            <w:tcW w:w="979" w:type="pct"/>
            <w:tcBorders>
              <w:top w:val="nil"/>
              <w:left w:val="nil"/>
              <w:bottom w:val="nil"/>
              <w:right w:val="nil"/>
            </w:tcBorders>
            <w:shd w:val="clear" w:color="auto" w:fill="auto"/>
            <w:noWrap/>
            <w:vAlign w:val="bottom"/>
          </w:tcPr>
          <w:p w14:paraId="10E47173" w14:textId="7AC6CF77" w:rsidR="00BF380C" w:rsidRPr="00521670" w:rsidRDefault="00BF380C" w:rsidP="00BF380C">
            <w:pPr>
              <w:pStyle w:val="Tabletext"/>
              <w:jc w:val="right"/>
              <w:rPr>
                <w:lang w:val="ru-RU" w:eastAsia="en-GB"/>
              </w:rPr>
            </w:pPr>
            <w:r w:rsidRPr="00521670">
              <w:rPr>
                <w:lang w:val="ru-RU" w:eastAsia="en-GB"/>
              </w:rPr>
              <w:t>40</w:t>
            </w:r>
          </w:p>
        </w:tc>
      </w:tr>
      <w:tr w:rsidR="00BF380C" w:rsidRPr="00521670" w14:paraId="3FF2CF06" w14:textId="77777777" w:rsidTr="00015883">
        <w:trPr>
          <w:trHeight w:val="255"/>
          <w:jc w:val="center"/>
        </w:trPr>
        <w:tc>
          <w:tcPr>
            <w:tcW w:w="290" w:type="pct"/>
            <w:tcBorders>
              <w:top w:val="nil"/>
              <w:left w:val="nil"/>
              <w:bottom w:val="nil"/>
              <w:right w:val="nil"/>
            </w:tcBorders>
            <w:shd w:val="clear" w:color="auto" w:fill="auto"/>
            <w:noWrap/>
            <w:vAlign w:val="bottom"/>
          </w:tcPr>
          <w:p w14:paraId="0F2E2E4A"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vAlign w:val="center"/>
          </w:tcPr>
          <w:p w14:paraId="79B28F7E" w14:textId="0124D335" w:rsidR="00BF380C" w:rsidRPr="00521670" w:rsidRDefault="00BF380C" w:rsidP="00BF380C">
            <w:pPr>
              <w:pStyle w:val="Tabletext"/>
              <w:rPr>
                <w:szCs w:val="18"/>
                <w:lang w:val="ru-RU" w:eastAsia="en-GB"/>
              </w:rPr>
            </w:pPr>
            <w:r w:rsidRPr="00521670">
              <w:rPr>
                <w:szCs w:val="18"/>
                <w:lang w:val="ru-RU"/>
              </w:rPr>
              <w:t>−</w:t>
            </w:r>
            <w:r w:rsidRPr="00521670">
              <w:rPr>
                <w:szCs w:val="18"/>
                <w:lang w:val="ru-RU"/>
              </w:rPr>
              <w:tab/>
            </w:r>
            <w:r w:rsidRPr="00521670">
              <w:rPr>
                <w:color w:val="000000"/>
                <w:szCs w:val="18"/>
                <w:lang w:val="ru-RU"/>
              </w:rPr>
              <w:t>Другие строительные активы</w:t>
            </w:r>
          </w:p>
        </w:tc>
        <w:tc>
          <w:tcPr>
            <w:tcW w:w="979" w:type="pct"/>
            <w:tcBorders>
              <w:top w:val="nil"/>
              <w:left w:val="nil"/>
              <w:bottom w:val="nil"/>
              <w:right w:val="nil"/>
            </w:tcBorders>
            <w:shd w:val="clear" w:color="auto" w:fill="auto"/>
            <w:noWrap/>
            <w:vAlign w:val="bottom"/>
          </w:tcPr>
          <w:p w14:paraId="5237C0F8" w14:textId="38120B6E" w:rsidR="00BF380C" w:rsidRPr="00521670" w:rsidRDefault="00BF380C" w:rsidP="00BF380C">
            <w:pPr>
              <w:pStyle w:val="Tabletext"/>
              <w:jc w:val="right"/>
              <w:rPr>
                <w:lang w:val="ru-RU" w:eastAsia="en-GB"/>
              </w:rPr>
            </w:pPr>
            <w:r w:rsidRPr="00521670">
              <w:rPr>
                <w:lang w:val="ru-RU" w:eastAsia="en-GB"/>
              </w:rPr>
              <w:t>10</w:t>
            </w:r>
          </w:p>
        </w:tc>
      </w:tr>
      <w:tr w:rsidR="00BF380C" w:rsidRPr="00521670" w14:paraId="5F9874E1" w14:textId="77777777" w:rsidTr="00015883">
        <w:trPr>
          <w:trHeight w:val="255"/>
          <w:jc w:val="center"/>
        </w:trPr>
        <w:tc>
          <w:tcPr>
            <w:tcW w:w="290" w:type="pct"/>
            <w:tcBorders>
              <w:top w:val="nil"/>
              <w:left w:val="nil"/>
              <w:bottom w:val="nil"/>
              <w:right w:val="nil"/>
            </w:tcBorders>
            <w:shd w:val="clear" w:color="auto" w:fill="auto"/>
            <w:noWrap/>
            <w:vAlign w:val="bottom"/>
            <w:hideMark/>
          </w:tcPr>
          <w:p w14:paraId="7B10FD7A"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hideMark/>
          </w:tcPr>
          <w:p w14:paraId="55D91BA4" w14:textId="0C26404A" w:rsidR="00BF380C" w:rsidRPr="00521670" w:rsidRDefault="00BF380C" w:rsidP="00BF380C">
            <w:pPr>
              <w:pStyle w:val="Tabletext"/>
              <w:rPr>
                <w:szCs w:val="18"/>
                <w:lang w:val="ru-RU" w:eastAsia="en-GB"/>
              </w:rPr>
            </w:pPr>
            <w:r w:rsidRPr="00521670">
              <w:rPr>
                <w:b/>
                <w:bCs/>
                <w:color w:val="000000"/>
                <w:szCs w:val="18"/>
                <w:lang w:val="ru-RU"/>
              </w:rPr>
              <w:t>Машины и оборудование</w:t>
            </w:r>
          </w:p>
        </w:tc>
        <w:tc>
          <w:tcPr>
            <w:tcW w:w="979" w:type="pct"/>
            <w:tcBorders>
              <w:top w:val="nil"/>
              <w:left w:val="nil"/>
              <w:bottom w:val="nil"/>
              <w:right w:val="nil"/>
            </w:tcBorders>
            <w:shd w:val="clear" w:color="auto" w:fill="auto"/>
            <w:noWrap/>
            <w:vAlign w:val="bottom"/>
            <w:hideMark/>
          </w:tcPr>
          <w:p w14:paraId="05065932" w14:textId="591F9663" w:rsidR="00BF380C" w:rsidRPr="00521670" w:rsidRDefault="00BF380C" w:rsidP="00BF380C">
            <w:pPr>
              <w:pStyle w:val="Tabletext"/>
              <w:jc w:val="right"/>
              <w:rPr>
                <w:lang w:val="ru-RU" w:eastAsia="en-GB"/>
              </w:rPr>
            </w:pPr>
            <w:r w:rsidRPr="00521670">
              <w:rPr>
                <w:lang w:val="ru-RU" w:eastAsia="en-GB"/>
              </w:rPr>
              <w:t>5</w:t>
            </w:r>
          </w:p>
        </w:tc>
      </w:tr>
      <w:tr w:rsidR="00BF380C" w:rsidRPr="00521670" w14:paraId="13606136" w14:textId="77777777" w:rsidTr="00015883">
        <w:trPr>
          <w:trHeight w:val="255"/>
          <w:jc w:val="center"/>
        </w:trPr>
        <w:tc>
          <w:tcPr>
            <w:tcW w:w="290" w:type="pct"/>
            <w:tcBorders>
              <w:top w:val="nil"/>
              <w:left w:val="nil"/>
              <w:bottom w:val="nil"/>
              <w:right w:val="nil"/>
            </w:tcBorders>
            <w:shd w:val="clear" w:color="auto" w:fill="auto"/>
            <w:noWrap/>
            <w:vAlign w:val="bottom"/>
            <w:hideMark/>
          </w:tcPr>
          <w:p w14:paraId="20214979"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hideMark/>
          </w:tcPr>
          <w:p w14:paraId="380C71BD" w14:textId="00C14B95" w:rsidR="00BF380C" w:rsidRPr="00521670" w:rsidRDefault="00BF380C" w:rsidP="00BF380C">
            <w:pPr>
              <w:pStyle w:val="Tabletext"/>
              <w:rPr>
                <w:szCs w:val="18"/>
                <w:lang w:val="ru-RU" w:eastAsia="en-GB"/>
              </w:rPr>
            </w:pPr>
            <w:r w:rsidRPr="00521670">
              <w:rPr>
                <w:b/>
                <w:bCs/>
                <w:color w:val="000000"/>
                <w:szCs w:val="18"/>
                <w:lang w:val="ru-RU"/>
              </w:rPr>
              <w:t>Мебель и инвентарь</w:t>
            </w:r>
          </w:p>
        </w:tc>
        <w:tc>
          <w:tcPr>
            <w:tcW w:w="979" w:type="pct"/>
            <w:tcBorders>
              <w:top w:val="nil"/>
              <w:left w:val="nil"/>
              <w:bottom w:val="nil"/>
              <w:right w:val="nil"/>
            </w:tcBorders>
            <w:shd w:val="clear" w:color="auto" w:fill="auto"/>
            <w:noWrap/>
            <w:vAlign w:val="bottom"/>
            <w:hideMark/>
          </w:tcPr>
          <w:p w14:paraId="50742947" w14:textId="4734B8B2" w:rsidR="00BF380C" w:rsidRPr="00521670" w:rsidRDefault="00BF380C" w:rsidP="00BF380C">
            <w:pPr>
              <w:pStyle w:val="Tabletext"/>
              <w:jc w:val="right"/>
              <w:rPr>
                <w:lang w:val="ru-RU" w:eastAsia="en-GB"/>
              </w:rPr>
            </w:pPr>
            <w:r w:rsidRPr="00521670">
              <w:rPr>
                <w:lang w:val="ru-RU" w:eastAsia="en-GB"/>
              </w:rPr>
              <w:t>5</w:t>
            </w:r>
          </w:p>
        </w:tc>
      </w:tr>
      <w:tr w:rsidR="00BF380C" w:rsidRPr="00521670" w14:paraId="740E0133" w14:textId="77777777" w:rsidTr="00015883">
        <w:trPr>
          <w:trHeight w:val="255"/>
          <w:jc w:val="center"/>
        </w:trPr>
        <w:tc>
          <w:tcPr>
            <w:tcW w:w="290" w:type="pct"/>
            <w:tcBorders>
              <w:top w:val="nil"/>
              <w:left w:val="nil"/>
              <w:bottom w:val="nil"/>
              <w:right w:val="nil"/>
            </w:tcBorders>
            <w:shd w:val="clear" w:color="auto" w:fill="auto"/>
            <w:noWrap/>
            <w:vAlign w:val="bottom"/>
            <w:hideMark/>
          </w:tcPr>
          <w:p w14:paraId="1A98A78A"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hideMark/>
          </w:tcPr>
          <w:p w14:paraId="6D601BE4" w14:textId="6B2738B0" w:rsidR="00BF380C" w:rsidRPr="00521670" w:rsidRDefault="00BF380C" w:rsidP="00BF380C">
            <w:pPr>
              <w:pStyle w:val="Tabletext"/>
              <w:rPr>
                <w:szCs w:val="18"/>
                <w:lang w:val="ru-RU" w:eastAsia="en-GB"/>
              </w:rPr>
            </w:pPr>
            <w:r w:rsidRPr="00521670">
              <w:rPr>
                <w:b/>
                <w:bCs/>
                <w:color w:val="000000"/>
                <w:szCs w:val="18"/>
                <w:lang w:val="ru-RU"/>
              </w:rPr>
              <w:t>Автотранспортные средства</w:t>
            </w:r>
          </w:p>
        </w:tc>
        <w:tc>
          <w:tcPr>
            <w:tcW w:w="979" w:type="pct"/>
            <w:tcBorders>
              <w:top w:val="nil"/>
              <w:left w:val="nil"/>
              <w:bottom w:val="nil"/>
              <w:right w:val="nil"/>
            </w:tcBorders>
            <w:shd w:val="clear" w:color="auto" w:fill="auto"/>
            <w:noWrap/>
            <w:vAlign w:val="bottom"/>
            <w:hideMark/>
          </w:tcPr>
          <w:p w14:paraId="1B1AF3F7" w14:textId="72BECAFB" w:rsidR="00BF380C" w:rsidRPr="00521670" w:rsidRDefault="00BF380C" w:rsidP="00BF380C">
            <w:pPr>
              <w:pStyle w:val="Tabletext"/>
              <w:jc w:val="right"/>
              <w:rPr>
                <w:lang w:val="ru-RU" w:eastAsia="en-GB"/>
              </w:rPr>
            </w:pPr>
            <w:r w:rsidRPr="00521670">
              <w:rPr>
                <w:lang w:val="ru-RU" w:eastAsia="en-GB"/>
              </w:rPr>
              <w:t>5</w:t>
            </w:r>
          </w:p>
        </w:tc>
      </w:tr>
      <w:tr w:rsidR="00BF380C" w:rsidRPr="00521670" w14:paraId="3966F929" w14:textId="77777777" w:rsidTr="00015883">
        <w:trPr>
          <w:trHeight w:val="255"/>
          <w:jc w:val="center"/>
        </w:trPr>
        <w:tc>
          <w:tcPr>
            <w:tcW w:w="290" w:type="pct"/>
            <w:tcBorders>
              <w:top w:val="nil"/>
              <w:left w:val="nil"/>
              <w:bottom w:val="nil"/>
              <w:right w:val="nil"/>
            </w:tcBorders>
            <w:shd w:val="clear" w:color="auto" w:fill="auto"/>
            <w:noWrap/>
            <w:vAlign w:val="bottom"/>
            <w:hideMark/>
          </w:tcPr>
          <w:p w14:paraId="75C4A056" w14:textId="77777777" w:rsidR="00BF380C" w:rsidRPr="00521670" w:rsidRDefault="00BF380C" w:rsidP="00BF380C">
            <w:pPr>
              <w:pStyle w:val="Tabletext"/>
              <w:rPr>
                <w:lang w:val="ru-RU" w:eastAsia="en-GB"/>
              </w:rPr>
            </w:pPr>
          </w:p>
        </w:tc>
        <w:tc>
          <w:tcPr>
            <w:tcW w:w="3731" w:type="pct"/>
            <w:tcBorders>
              <w:top w:val="nil"/>
              <w:left w:val="nil"/>
              <w:bottom w:val="nil"/>
              <w:right w:val="nil"/>
            </w:tcBorders>
            <w:shd w:val="clear" w:color="auto" w:fill="auto"/>
            <w:noWrap/>
            <w:hideMark/>
          </w:tcPr>
          <w:p w14:paraId="1347ED7E" w14:textId="2A3E12EB" w:rsidR="00BF380C" w:rsidRPr="00521670" w:rsidRDefault="00BF380C" w:rsidP="00BF380C">
            <w:pPr>
              <w:pStyle w:val="Tabletext"/>
              <w:rPr>
                <w:szCs w:val="18"/>
                <w:lang w:val="ru-RU" w:eastAsia="en-GB"/>
              </w:rPr>
            </w:pPr>
            <w:r w:rsidRPr="00521670">
              <w:rPr>
                <w:b/>
                <w:bCs/>
                <w:color w:val="000000"/>
                <w:szCs w:val="18"/>
                <w:lang w:val="ru-RU"/>
              </w:rPr>
              <w:t>Компьютерное оборудование</w:t>
            </w:r>
          </w:p>
        </w:tc>
        <w:tc>
          <w:tcPr>
            <w:tcW w:w="979" w:type="pct"/>
            <w:tcBorders>
              <w:top w:val="nil"/>
              <w:left w:val="nil"/>
              <w:bottom w:val="nil"/>
              <w:right w:val="nil"/>
            </w:tcBorders>
            <w:shd w:val="clear" w:color="auto" w:fill="auto"/>
            <w:noWrap/>
            <w:vAlign w:val="bottom"/>
            <w:hideMark/>
          </w:tcPr>
          <w:p w14:paraId="496EC421" w14:textId="015D64E7" w:rsidR="00BF380C" w:rsidRPr="00521670" w:rsidRDefault="00BF380C" w:rsidP="00BF380C">
            <w:pPr>
              <w:pStyle w:val="Tabletext"/>
              <w:jc w:val="right"/>
              <w:rPr>
                <w:lang w:val="ru-RU" w:eastAsia="en-GB"/>
              </w:rPr>
            </w:pPr>
            <w:r w:rsidRPr="00521670">
              <w:rPr>
                <w:lang w:val="ru-RU" w:eastAsia="en-GB"/>
              </w:rPr>
              <w:t>3</w:t>
            </w:r>
          </w:p>
        </w:tc>
      </w:tr>
      <w:tr w:rsidR="00BF380C" w:rsidRPr="00521670" w14:paraId="30213999" w14:textId="77777777" w:rsidTr="00DF251A">
        <w:trPr>
          <w:trHeight w:val="193"/>
          <w:jc w:val="center"/>
        </w:trPr>
        <w:tc>
          <w:tcPr>
            <w:tcW w:w="5000" w:type="pct"/>
            <w:gridSpan w:val="3"/>
            <w:tcBorders>
              <w:top w:val="nil"/>
              <w:left w:val="nil"/>
              <w:bottom w:val="nil"/>
              <w:right w:val="nil"/>
            </w:tcBorders>
            <w:shd w:val="clear" w:color="auto" w:fill="auto"/>
            <w:noWrap/>
            <w:vAlign w:val="bottom"/>
            <w:hideMark/>
          </w:tcPr>
          <w:p w14:paraId="64EE96EF" w14:textId="77777777" w:rsidR="00BF380C" w:rsidRPr="00521670" w:rsidRDefault="00BF380C" w:rsidP="00BF380C">
            <w:pPr>
              <w:pStyle w:val="Tabletext"/>
              <w:jc w:val="right"/>
              <w:rPr>
                <w:szCs w:val="18"/>
                <w:lang w:val="ru-RU" w:eastAsia="en-GB"/>
              </w:rPr>
            </w:pPr>
          </w:p>
        </w:tc>
      </w:tr>
      <w:tr w:rsidR="00C63D5B" w:rsidRPr="00521670" w14:paraId="1414A4C0" w14:textId="77777777" w:rsidTr="00015883">
        <w:trPr>
          <w:trHeight w:val="255"/>
          <w:jc w:val="center"/>
        </w:trPr>
        <w:tc>
          <w:tcPr>
            <w:tcW w:w="4021" w:type="pct"/>
            <w:gridSpan w:val="2"/>
            <w:tcBorders>
              <w:top w:val="nil"/>
              <w:left w:val="nil"/>
              <w:bottom w:val="nil"/>
              <w:right w:val="nil"/>
            </w:tcBorders>
            <w:shd w:val="clear" w:color="auto" w:fill="auto"/>
            <w:noWrap/>
            <w:vAlign w:val="bottom"/>
            <w:hideMark/>
          </w:tcPr>
          <w:p w14:paraId="05AB7635" w14:textId="0326FA60" w:rsidR="00C63D5B" w:rsidRPr="00521670" w:rsidRDefault="00BF380C" w:rsidP="00C63D5B">
            <w:pPr>
              <w:pStyle w:val="Tabletext"/>
              <w:rPr>
                <w:szCs w:val="18"/>
                <w:lang w:val="ru-RU" w:eastAsia="en-GB"/>
              </w:rPr>
            </w:pPr>
            <w:r w:rsidRPr="00521670">
              <w:rPr>
                <w:b/>
                <w:bCs/>
                <w:color w:val="000000"/>
                <w:szCs w:val="18"/>
                <w:lang w:val="ru-RU"/>
              </w:rPr>
              <w:t>Нематериальные активы</w:t>
            </w:r>
          </w:p>
        </w:tc>
        <w:tc>
          <w:tcPr>
            <w:tcW w:w="979" w:type="pct"/>
            <w:tcBorders>
              <w:top w:val="nil"/>
              <w:left w:val="nil"/>
              <w:bottom w:val="nil"/>
              <w:right w:val="nil"/>
            </w:tcBorders>
            <w:shd w:val="clear" w:color="auto" w:fill="auto"/>
            <w:noWrap/>
            <w:vAlign w:val="bottom"/>
            <w:hideMark/>
          </w:tcPr>
          <w:p w14:paraId="1DE277A5" w14:textId="77777777" w:rsidR="00C63D5B" w:rsidRPr="00521670" w:rsidRDefault="00C63D5B" w:rsidP="00BF380C">
            <w:pPr>
              <w:pStyle w:val="Tabletext"/>
              <w:jc w:val="right"/>
              <w:rPr>
                <w:lang w:val="ru-RU" w:eastAsia="en-GB"/>
              </w:rPr>
            </w:pPr>
          </w:p>
        </w:tc>
      </w:tr>
      <w:tr w:rsidR="00BF380C" w:rsidRPr="00521670" w14:paraId="5B0BA20C" w14:textId="77777777" w:rsidTr="00015883">
        <w:trPr>
          <w:trHeight w:val="255"/>
          <w:jc w:val="center"/>
        </w:trPr>
        <w:tc>
          <w:tcPr>
            <w:tcW w:w="290" w:type="pct"/>
            <w:tcBorders>
              <w:top w:val="nil"/>
              <w:left w:val="nil"/>
              <w:bottom w:val="nil"/>
              <w:right w:val="nil"/>
            </w:tcBorders>
            <w:shd w:val="clear" w:color="auto" w:fill="auto"/>
            <w:noWrap/>
            <w:vAlign w:val="bottom"/>
            <w:hideMark/>
          </w:tcPr>
          <w:p w14:paraId="770108E0" w14:textId="77777777" w:rsidR="00C63D5B" w:rsidRPr="00521670" w:rsidRDefault="00C63D5B" w:rsidP="00C63D5B">
            <w:pPr>
              <w:pStyle w:val="Tabletext"/>
              <w:rPr>
                <w:lang w:val="ru-RU" w:eastAsia="en-GB"/>
              </w:rPr>
            </w:pPr>
          </w:p>
        </w:tc>
        <w:tc>
          <w:tcPr>
            <w:tcW w:w="3731" w:type="pct"/>
            <w:tcBorders>
              <w:top w:val="nil"/>
              <w:left w:val="nil"/>
              <w:bottom w:val="nil"/>
              <w:right w:val="nil"/>
            </w:tcBorders>
            <w:shd w:val="clear" w:color="auto" w:fill="auto"/>
            <w:noWrap/>
            <w:vAlign w:val="bottom"/>
            <w:hideMark/>
          </w:tcPr>
          <w:p w14:paraId="7DBE833D" w14:textId="39E5E2DD" w:rsidR="00C63D5B" w:rsidRPr="00521670" w:rsidRDefault="00BF380C" w:rsidP="00C63D5B">
            <w:pPr>
              <w:pStyle w:val="Tabletext"/>
              <w:rPr>
                <w:szCs w:val="18"/>
                <w:lang w:val="ru-RU" w:eastAsia="en-GB"/>
              </w:rPr>
            </w:pPr>
            <w:r w:rsidRPr="00521670">
              <w:rPr>
                <w:b/>
                <w:bCs/>
                <w:color w:val="000000"/>
                <w:szCs w:val="18"/>
                <w:lang w:val="ru-RU"/>
              </w:rPr>
              <w:t>Лицензии и программное обеспечение</w:t>
            </w:r>
          </w:p>
        </w:tc>
        <w:tc>
          <w:tcPr>
            <w:tcW w:w="979" w:type="pct"/>
            <w:tcBorders>
              <w:top w:val="nil"/>
              <w:left w:val="nil"/>
              <w:bottom w:val="nil"/>
              <w:right w:val="nil"/>
            </w:tcBorders>
            <w:shd w:val="clear" w:color="auto" w:fill="auto"/>
            <w:noWrap/>
            <w:vAlign w:val="bottom"/>
            <w:hideMark/>
          </w:tcPr>
          <w:p w14:paraId="10BDC3C2" w14:textId="633062A1" w:rsidR="00C63D5B" w:rsidRPr="00521670" w:rsidRDefault="00C63D5B" w:rsidP="00BF380C">
            <w:pPr>
              <w:pStyle w:val="Tabletext"/>
              <w:jc w:val="right"/>
              <w:rPr>
                <w:lang w:val="ru-RU" w:eastAsia="en-GB"/>
              </w:rPr>
            </w:pPr>
            <w:r w:rsidRPr="00521670">
              <w:rPr>
                <w:lang w:val="ru-RU" w:eastAsia="en-GB"/>
              </w:rPr>
              <w:t>3</w:t>
            </w:r>
            <w:r w:rsidR="00BF380C" w:rsidRPr="00521670">
              <w:rPr>
                <w:lang w:val="ru-RU" w:eastAsia="en-GB"/>
              </w:rPr>
              <w:t>−</w:t>
            </w:r>
            <w:r w:rsidRPr="00521670">
              <w:rPr>
                <w:lang w:val="ru-RU" w:eastAsia="en-GB"/>
              </w:rPr>
              <w:t>10</w:t>
            </w:r>
            <w:r w:rsidRPr="00521670">
              <w:rPr>
                <w:rStyle w:val="FootnoteReference"/>
                <w:lang w:val="ru-RU"/>
              </w:rPr>
              <w:t>*</w:t>
            </w:r>
          </w:p>
        </w:tc>
      </w:tr>
      <w:tr w:rsidR="00BF380C" w:rsidRPr="00521670" w14:paraId="40E5EB55" w14:textId="77777777" w:rsidTr="00DF251A">
        <w:trPr>
          <w:trHeight w:val="148"/>
          <w:jc w:val="center"/>
        </w:trPr>
        <w:tc>
          <w:tcPr>
            <w:tcW w:w="5000" w:type="pct"/>
            <w:gridSpan w:val="3"/>
            <w:tcBorders>
              <w:top w:val="nil"/>
              <w:left w:val="nil"/>
              <w:bottom w:val="nil"/>
              <w:right w:val="nil"/>
            </w:tcBorders>
            <w:shd w:val="clear" w:color="auto" w:fill="auto"/>
            <w:noWrap/>
            <w:vAlign w:val="bottom"/>
            <w:hideMark/>
          </w:tcPr>
          <w:p w14:paraId="57D92825" w14:textId="77777777" w:rsidR="00BF380C" w:rsidRPr="00521670" w:rsidRDefault="00BF380C" w:rsidP="00C63D5B">
            <w:pPr>
              <w:pStyle w:val="Tabletext"/>
              <w:rPr>
                <w:lang w:val="ru-RU" w:eastAsia="en-GB"/>
              </w:rPr>
            </w:pPr>
          </w:p>
        </w:tc>
      </w:tr>
      <w:tr w:rsidR="00C63D5B" w:rsidRPr="00521670" w14:paraId="481B413F" w14:textId="77777777" w:rsidTr="00DF251A">
        <w:trPr>
          <w:trHeight w:val="1021"/>
          <w:jc w:val="center"/>
        </w:trPr>
        <w:tc>
          <w:tcPr>
            <w:tcW w:w="5000" w:type="pct"/>
            <w:gridSpan w:val="3"/>
            <w:tcBorders>
              <w:top w:val="nil"/>
              <w:left w:val="nil"/>
              <w:right w:val="nil"/>
            </w:tcBorders>
            <w:shd w:val="clear" w:color="auto" w:fill="auto"/>
            <w:noWrap/>
            <w:vAlign w:val="bottom"/>
            <w:hideMark/>
          </w:tcPr>
          <w:p w14:paraId="4F81F831" w14:textId="197A2131" w:rsidR="00C63D5B" w:rsidRPr="00521670" w:rsidRDefault="00C63D5B" w:rsidP="00C63D5B">
            <w:pPr>
              <w:pStyle w:val="Tablelegend"/>
              <w:rPr>
                <w:szCs w:val="18"/>
                <w:lang w:val="ru-RU" w:eastAsia="en-GB"/>
              </w:rPr>
            </w:pPr>
            <w:r w:rsidRPr="00521670">
              <w:rPr>
                <w:rStyle w:val="FootnoteReference"/>
                <w:lang w:val="ru-RU"/>
              </w:rPr>
              <w:t>*</w:t>
            </w:r>
            <w:r w:rsidRPr="00521670">
              <w:rPr>
                <w:szCs w:val="18"/>
                <w:lang w:val="ru-RU" w:eastAsia="en-GB"/>
              </w:rPr>
              <w:tab/>
            </w:r>
            <w:r w:rsidR="00BF380C" w:rsidRPr="00521670">
              <w:rPr>
                <w:szCs w:val="18"/>
                <w:lang w:val="ru-RU" w:bidi="ru-RU"/>
              </w:rPr>
              <w:t>Прогнозируемый срок полезного использования приобретенных лицензий на ИТ и программного обеспечения основан на сроке действия лицензионных договоров. Прогнозируемый срок полезного использования программного обеспечения, разработанного собственными силами, основан на анализе, проведенном соответствующими владельцами предприятий, поскольку МСЭ владеет программным обеспечением, и поэтому срок действия лицензий не установлен</w:t>
            </w:r>
            <w:r w:rsidR="00BF380C" w:rsidRPr="00521670">
              <w:rPr>
                <w:szCs w:val="18"/>
                <w:lang w:val="ru-RU"/>
              </w:rPr>
              <w:t>.</w:t>
            </w:r>
          </w:p>
        </w:tc>
      </w:tr>
    </w:tbl>
    <w:p w14:paraId="537D8106" w14:textId="0B6CE038" w:rsidR="00A11981" w:rsidRPr="00521670" w:rsidRDefault="00A11981" w:rsidP="00A11981">
      <w:pPr>
        <w:rPr>
          <w:rFonts w:ascii="Verdana" w:hAnsi="Verdana" w:cs="Verdana"/>
          <w:color w:val="000000"/>
          <w:sz w:val="20"/>
          <w:lang w:val="ru-RU" w:eastAsia="zh-CN"/>
        </w:rPr>
      </w:pPr>
      <w:bookmarkStart w:id="206" w:name="_Toc305667748"/>
      <w:bookmarkStart w:id="207" w:name="_Toc306201412"/>
      <w:bookmarkStart w:id="208" w:name="_Toc329002767"/>
      <w:bookmarkStart w:id="209" w:name="_Toc358373641"/>
      <w:bookmarkStart w:id="210" w:name="_Toc387243018"/>
      <w:bookmarkStart w:id="211" w:name="_Toc419404363"/>
      <w:bookmarkStart w:id="212" w:name="_Toc482810311"/>
      <w:bookmarkStart w:id="213" w:name="_Toc511401546"/>
      <w:bookmarkStart w:id="214" w:name="_Toc511401669"/>
      <w:bookmarkStart w:id="215" w:name="_Toc10540782"/>
      <w:bookmarkStart w:id="216" w:name="_Toc41900402"/>
      <w:bookmarkStart w:id="217" w:name="_Toc73437985"/>
      <w:bookmarkStart w:id="218" w:name="_Toc73438614"/>
      <w:bookmarkStart w:id="219" w:name="_Toc73438872"/>
      <w:bookmarkStart w:id="220" w:name="_Toc73439163"/>
      <w:r w:rsidRPr="00521670">
        <w:rPr>
          <w:lang w:val="ru-RU"/>
        </w:rPr>
        <w:t xml:space="preserve">На каждую дату ежегодного закрытия счетов МСЭ изучает, имеется ли какой-либо признак того, что актив мог потерять свою стоимость. Если такой признак имеется, то оценивается возмещаемая стоимость актива и потеря стоимости включается в </w:t>
      </w:r>
      <w:r w:rsidR="00CB5D8B" w:rsidRPr="00521670">
        <w:rPr>
          <w:lang w:val="ru-RU"/>
        </w:rPr>
        <w:t>О</w:t>
      </w:r>
      <w:r w:rsidRPr="00521670">
        <w:rPr>
          <w:lang w:val="ru-RU"/>
        </w:rPr>
        <w:t xml:space="preserve">тчет о результатах финансовой деятельности, если балансовая стоимость превышает возмещаемую стоимость. </w:t>
      </w:r>
      <w:r w:rsidRPr="00521670">
        <w:rPr>
          <w:lang w:val="ru-RU" w:bidi="ru-RU"/>
        </w:rPr>
        <w:t xml:space="preserve">В течение 2024 года </w:t>
      </w:r>
      <w:r w:rsidR="00CB5D8B" w:rsidRPr="00521670">
        <w:rPr>
          <w:lang w:val="ru-RU" w:bidi="ru-RU"/>
        </w:rPr>
        <w:t>МСЭ провел</w:t>
      </w:r>
      <w:r w:rsidRPr="00521670">
        <w:rPr>
          <w:lang w:val="ru-RU" w:bidi="ru-RU"/>
        </w:rPr>
        <w:t xml:space="preserve"> детальный обзор объекта на этапе строительства, и в </w:t>
      </w:r>
      <w:r w:rsidR="00CB5D8B" w:rsidRPr="00521670">
        <w:rPr>
          <w:lang w:val="ru-RU" w:bidi="ru-RU"/>
        </w:rPr>
        <w:t>Отчете о результатах финансовой деятельности было учтено обесценение в размере 21</w:t>
      </w:r>
      <w:r w:rsidR="008D5509" w:rsidRPr="00521670">
        <w:rPr>
          <w:lang w:val="ru-RU" w:bidi="ru-RU"/>
        </w:rPr>
        <w:t> </w:t>
      </w:r>
      <w:r w:rsidR="00CB5D8B" w:rsidRPr="00521670">
        <w:rPr>
          <w:lang w:val="ru-RU" w:bidi="ru-RU"/>
        </w:rPr>
        <w:t>млн</w:t>
      </w:r>
      <w:r w:rsidR="00521670" w:rsidRPr="00521670">
        <w:rPr>
          <w:lang w:val="ru-RU" w:bidi="ru-RU"/>
        </w:rPr>
        <w:t>.</w:t>
      </w:r>
      <w:r w:rsidR="008D5509" w:rsidRPr="00521670">
        <w:rPr>
          <w:lang w:val="ru-RU" w:bidi="ru-RU"/>
        </w:rPr>
        <w:t> </w:t>
      </w:r>
      <w:r w:rsidR="00CB5D8B" w:rsidRPr="00521670">
        <w:rPr>
          <w:lang w:val="ru-RU" w:bidi="ru-RU"/>
        </w:rPr>
        <w:t>швейцарских франков (подробнее см. Примечание 12).</w:t>
      </w:r>
    </w:p>
    <w:p w14:paraId="68983F10" w14:textId="03A23B42" w:rsidR="00BF380C" w:rsidRPr="00521670" w:rsidRDefault="00BF380C" w:rsidP="00BF380C">
      <w:pPr>
        <w:pStyle w:val="Headingi"/>
        <w:rPr>
          <w:b/>
          <w:bCs/>
          <w:iCs/>
          <w:lang w:val="ru-RU"/>
        </w:rPr>
      </w:pPr>
      <w:bookmarkStart w:id="221" w:name="_Toc200469157"/>
      <w:r w:rsidRPr="00521670">
        <w:rPr>
          <w:b/>
          <w:bCs/>
          <w:lang w:val="ru-RU" w:bidi="ru-RU"/>
        </w:rPr>
        <w:t>Нематериальные активы</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3B83A68" w14:textId="07CADE85" w:rsidR="00BF380C" w:rsidRPr="00521670" w:rsidRDefault="00A1563F" w:rsidP="00BF380C">
      <w:pPr>
        <w:rPr>
          <w:lang w:val="ru-RU"/>
        </w:rPr>
      </w:pPr>
      <w:r w:rsidRPr="00521670">
        <w:rPr>
          <w:lang w:val="ru-RU" w:bidi="ru-RU"/>
        </w:rPr>
        <w:t>Нематериальные активы (лицензии на ИТ и программное обеспечение), принадлежащие МСЭ, состоят из активов, являющихся результатом собственной разработки</w:t>
      </w:r>
      <w:r w:rsidR="004D749A" w:rsidRPr="00521670">
        <w:rPr>
          <w:lang w:val="ru-RU" w:bidi="ru-RU"/>
        </w:rPr>
        <w:t>,</w:t>
      </w:r>
      <w:r w:rsidRPr="00521670">
        <w:rPr>
          <w:lang w:val="ru-RU" w:bidi="ru-RU"/>
        </w:rPr>
        <w:t xml:space="preserve"> и приобретенны</w:t>
      </w:r>
      <w:r w:rsidR="004D749A" w:rsidRPr="00521670">
        <w:rPr>
          <w:lang w:val="ru-RU" w:bidi="ru-RU"/>
        </w:rPr>
        <w:t>х</w:t>
      </w:r>
      <w:r w:rsidRPr="00521670">
        <w:rPr>
          <w:lang w:val="ru-RU" w:bidi="ru-RU"/>
        </w:rPr>
        <w:t xml:space="preserve"> у внешнего источника. Они </w:t>
      </w:r>
      <w:r w:rsidR="00115E06" w:rsidRPr="00521670">
        <w:rPr>
          <w:lang w:val="ru-RU" w:bidi="ru-RU"/>
        </w:rPr>
        <w:t>учитываются</w:t>
      </w:r>
      <w:r w:rsidRPr="00521670">
        <w:rPr>
          <w:lang w:val="ru-RU" w:bidi="ru-RU"/>
        </w:rPr>
        <w:t xml:space="preserve"> по стоимости приобретения за вычетом совокупной амортизации и потери стоимости</w:t>
      </w:r>
      <w:r w:rsidRPr="00521670">
        <w:rPr>
          <w:rFonts w:eastAsia="Calibri" w:cs="Calibri"/>
          <w:lang w:val="ru-RU"/>
        </w:rPr>
        <w:t xml:space="preserve">. </w:t>
      </w:r>
      <w:r w:rsidR="00115E06" w:rsidRPr="00521670">
        <w:rPr>
          <w:rFonts w:eastAsia="Calibri" w:cs="Calibri"/>
          <w:lang w:val="ru-RU"/>
        </w:rPr>
        <w:t xml:space="preserve">Затраты, которые непосредственно связаны с </w:t>
      </w:r>
      <w:r w:rsidR="004D749A" w:rsidRPr="00521670">
        <w:rPr>
          <w:rFonts w:eastAsia="Calibri" w:cs="Calibri"/>
          <w:lang w:val="ru-RU"/>
        </w:rPr>
        <w:t>собственной</w:t>
      </w:r>
      <w:r w:rsidR="00115E06" w:rsidRPr="00521670">
        <w:rPr>
          <w:rFonts w:eastAsia="Calibri" w:cs="Calibri"/>
          <w:lang w:val="ru-RU"/>
        </w:rPr>
        <w:t xml:space="preserve"> разработкой программного обеспечения, предназначенного для использования МСЭ, капитализируются в качестве нематериальных активов только в том случае, если выполняются критерии признания в соответствии со стандартом IPSAS 31.</w:t>
      </w:r>
    </w:p>
    <w:p w14:paraId="3DA58059" w14:textId="4095ED10" w:rsidR="00BF380C" w:rsidRPr="00521670" w:rsidRDefault="00BF380C" w:rsidP="00BF380C">
      <w:pPr>
        <w:pStyle w:val="Headingi"/>
        <w:rPr>
          <w:lang w:val="ru-RU"/>
        </w:rPr>
      </w:pPr>
      <w:r w:rsidRPr="00521670">
        <w:rPr>
          <w:lang w:val="ru-RU"/>
        </w:rPr>
        <w:lastRenderedPageBreak/>
        <w:tab/>
      </w:r>
      <w:bookmarkStart w:id="222" w:name="_Toc200469158"/>
      <w:r w:rsidRPr="00521670">
        <w:rPr>
          <w:lang w:val="ru-RU" w:bidi="ru-RU"/>
        </w:rPr>
        <w:t>Пороги капитализации</w:t>
      </w:r>
      <w:r w:rsidRPr="00521670">
        <w:rPr>
          <w:i w:val="0"/>
          <w:iCs/>
          <w:lang w:val="ru-RU"/>
        </w:rPr>
        <w:t>:</w:t>
      </w:r>
      <w:bookmarkEnd w:id="222"/>
    </w:p>
    <w:p w14:paraId="1139A4A3" w14:textId="3ADE0A81" w:rsidR="00BF380C" w:rsidRPr="00521670" w:rsidRDefault="00BF380C" w:rsidP="00BF380C">
      <w:pPr>
        <w:pStyle w:val="enumlev1"/>
        <w:rPr>
          <w:lang w:val="ru-RU"/>
        </w:rPr>
      </w:pPr>
      <w:r w:rsidRPr="00521670">
        <w:rPr>
          <w:rFonts w:cs="Calibri"/>
          <w:lang w:val="ru-RU"/>
        </w:rPr>
        <w:t>•</w:t>
      </w:r>
      <w:r w:rsidRPr="00521670">
        <w:rPr>
          <w:lang w:val="ru-RU"/>
        </w:rPr>
        <w:tab/>
      </w:r>
      <w:r w:rsidR="00656D10" w:rsidRPr="00521670">
        <w:rPr>
          <w:lang w:val="ru-RU" w:bidi="ru-RU"/>
        </w:rPr>
        <w:t>нематериальные активы (лицензии на ИТ и программное обеспечение), приобретенные у внешнего источника, стоимостью менее 5000 швейцарских франков, капитализируются и полностью амортизируются в течение одного финансового года, чтобы облегчить отслеживание запасов;</w:t>
      </w:r>
    </w:p>
    <w:p w14:paraId="6B6DAD92" w14:textId="60E5C5C7" w:rsidR="00BF380C" w:rsidRPr="00521670" w:rsidRDefault="00BF380C" w:rsidP="00BF380C">
      <w:pPr>
        <w:pStyle w:val="enumlev1"/>
        <w:rPr>
          <w:rFonts w:cstheme="minorBidi"/>
          <w:lang w:val="ru-RU"/>
        </w:rPr>
      </w:pPr>
      <w:r w:rsidRPr="00521670">
        <w:rPr>
          <w:rFonts w:cs="Calibri"/>
          <w:lang w:val="ru-RU"/>
        </w:rPr>
        <w:t>•</w:t>
      </w:r>
      <w:r w:rsidRPr="00521670">
        <w:rPr>
          <w:lang w:val="ru-RU"/>
        </w:rPr>
        <w:tab/>
      </w:r>
      <w:r w:rsidR="00115E06" w:rsidRPr="00521670">
        <w:rPr>
          <w:lang w:val="ru-RU"/>
        </w:rPr>
        <w:t>нематериальные активы (лицензии на ИТ и программное обеспечение), приобретенные у внешнего источника, стоимостью 5000 швейцарских франков и выше, капитализируются и амортизируются в течение трех лет или в течение срока действия основных условий договора;</w:t>
      </w:r>
    </w:p>
    <w:p w14:paraId="69A8A842" w14:textId="566FED84" w:rsidR="00BF380C" w:rsidRPr="00521670" w:rsidRDefault="00BF380C" w:rsidP="00BF380C">
      <w:pPr>
        <w:pStyle w:val="enumlev1"/>
        <w:rPr>
          <w:lang w:val="ru-RU"/>
        </w:rPr>
      </w:pPr>
      <w:r w:rsidRPr="00521670">
        <w:rPr>
          <w:rFonts w:cs="Calibri"/>
          <w:lang w:val="ru-RU"/>
        </w:rPr>
        <w:t>•</w:t>
      </w:r>
      <w:r w:rsidRPr="00521670">
        <w:rPr>
          <w:lang w:val="ru-RU"/>
        </w:rPr>
        <w:tab/>
      </w:r>
      <w:r w:rsidR="00653D2D" w:rsidRPr="00521670">
        <w:rPr>
          <w:lang w:val="ru-RU"/>
        </w:rPr>
        <w:t>нематериальные активы (программное обеспечение) собственной разработки стоимостью более 50 000 швейцарских франков капитализируются и имеют минимальный срок полезного использования в три года или дольше, исходя из ожидаемых будущих экономических выгод. Капитализируются только непосредственно связанные с разработкой затраты, включая затраты на персонал и соответствующую часть накладных расходов. Затраты, связанные с этапами исследований, относятся на расходы.</w:t>
      </w:r>
    </w:p>
    <w:p w14:paraId="064BCD50" w14:textId="482B577C" w:rsidR="00BF380C" w:rsidRPr="00521670" w:rsidRDefault="00BF380C" w:rsidP="00BF380C">
      <w:pPr>
        <w:pStyle w:val="Headingi"/>
        <w:rPr>
          <w:lang w:val="ru-RU"/>
        </w:rPr>
      </w:pPr>
      <w:r w:rsidRPr="00521670">
        <w:rPr>
          <w:lang w:val="ru-RU"/>
        </w:rPr>
        <w:tab/>
      </w:r>
      <w:bookmarkStart w:id="223" w:name="_Toc200469159"/>
      <w:r w:rsidRPr="00521670">
        <w:rPr>
          <w:lang w:val="ru-RU" w:bidi="ru-RU"/>
        </w:rPr>
        <w:t>Амортизация и обслуживание</w:t>
      </w:r>
      <w:r w:rsidRPr="00521670">
        <w:rPr>
          <w:i w:val="0"/>
          <w:iCs/>
          <w:lang w:val="ru-RU"/>
        </w:rPr>
        <w:t>:</w:t>
      </w:r>
      <w:bookmarkEnd w:id="223"/>
    </w:p>
    <w:p w14:paraId="2DA0191E" w14:textId="77777777" w:rsidR="00656D10" w:rsidRPr="00521670" w:rsidRDefault="00656D10" w:rsidP="00656D10">
      <w:pPr>
        <w:rPr>
          <w:lang w:val="ru-RU"/>
        </w:rPr>
      </w:pPr>
      <w:r w:rsidRPr="00521670">
        <w:rPr>
          <w:lang w:val="ru-RU" w:bidi="ru-RU"/>
        </w:rPr>
        <w:t>Амортизация капитализированных активов рассчитывается линейным методом в течение предполагаемого срока их полезного использования, который может быть продлен с учетом потребностей предприятия и продолжительности получения ожидаемых будущих экономических выгод.</w:t>
      </w:r>
    </w:p>
    <w:p w14:paraId="71F0686A" w14:textId="77777777" w:rsidR="00656D10" w:rsidRPr="00521670" w:rsidRDefault="00656D10" w:rsidP="00656D10">
      <w:pPr>
        <w:rPr>
          <w:lang w:val="ru-RU"/>
        </w:rPr>
      </w:pPr>
      <w:r w:rsidRPr="00521670">
        <w:rPr>
          <w:lang w:val="ru-RU" w:bidi="ru-RU"/>
        </w:rPr>
        <w:t>Затраты, связанные с обслуживанием нематериальных активов, относятся на расходы</w:t>
      </w:r>
      <w:r w:rsidRPr="00521670">
        <w:rPr>
          <w:lang w:val="ru-RU"/>
        </w:rPr>
        <w:t>.</w:t>
      </w:r>
    </w:p>
    <w:p w14:paraId="4945B4F5" w14:textId="403033F7" w:rsidR="00BF380C" w:rsidRPr="00521670" w:rsidRDefault="003C18C0" w:rsidP="00BF380C">
      <w:pPr>
        <w:rPr>
          <w:lang w:val="ru-RU"/>
        </w:rPr>
      </w:pPr>
      <w:r w:rsidRPr="00521670">
        <w:rPr>
          <w:lang w:val="ru-RU"/>
        </w:rPr>
        <w:t>На каждую дату ежегодного закрытия счетов МСЭ изучает, имеется ли какой-либо признак того, что нематериальный актив мог потерять свою стоимость. Независимо от наличия признаков обесценения МСЭ ежегодно проверяет нематериальные активы, которые еще не доступны для использования. Тест на обесценение проводится путем сопоставления возместимой стоимости и балансовой стоимости, и потеря стоимости включается в Отчет о результатах финансовой деятельности, когда балансовая стоимость превышает возместимую</w:t>
      </w:r>
      <w:r w:rsidR="008D5509" w:rsidRPr="00521670">
        <w:rPr>
          <w:lang w:val="ru-RU"/>
        </w:rPr>
        <w:t> </w:t>
      </w:r>
      <w:r w:rsidRPr="00521670">
        <w:rPr>
          <w:lang w:val="ru-RU"/>
        </w:rPr>
        <w:t>стоимость.</w:t>
      </w:r>
    </w:p>
    <w:p w14:paraId="123C063B" w14:textId="3F5DA4EC" w:rsidR="00BF380C" w:rsidRPr="00521670" w:rsidRDefault="00BF380C" w:rsidP="00BF380C">
      <w:pPr>
        <w:pStyle w:val="Headingi"/>
        <w:rPr>
          <w:b/>
          <w:bCs/>
          <w:iCs/>
          <w:lang w:val="ru-RU"/>
        </w:rPr>
      </w:pPr>
      <w:bookmarkStart w:id="224" w:name="_Toc200469160"/>
      <w:r w:rsidRPr="00521670">
        <w:rPr>
          <w:b/>
          <w:bCs/>
          <w:lang w:val="ru-RU"/>
        </w:rPr>
        <w:t>Резервные фонды</w:t>
      </w:r>
      <w:bookmarkEnd w:id="224"/>
    </w:p>
    <w:p w14:paraId="2C7F8EAC" w14:textId="77777777" w:rsidR="00656D10" w:rsidRPr="00521670" w:rsidRDefault="00656D10" w:rsidP="00656D10">
      <w:pPr>
        <w:rPr>
          <w:lang w:val="ru-RU"/>
        </w:rPr>
      </w:pPr>
      <w:r w:rsidRPr="00521670">
        <w:rPr>
          <w:lang w:val="ru-RU"/>
        </w:rPr>
        <w:t xml:space="preserve">Резервные фонды включают обязательства с неопределенными результатами, сроком действия или суммой выплат. Они учитываются в том случае, если у МСЭ имеется юридическое или </w:t>
      </w:r>
      <w:r w:rsidRPr="00521670">
        <w:rPr>
          <w:rFonts w:eastAsia="Calibri" w:cs="Calibri"/>
          <w:lang w:val="ru-RU"/>
        </w:rPr>
        <w:t>подразумеваемое</w:t>
      </w:r>
      <w:r w:rsidRPr="00521670">
        <w:rPr>
          <w:lang w:val="ru-RU"/>
        </w:rPr>
        <w:t xml:space="preserve"> обязательство, вытекающее из прошлого события, когда вероятно, что может потребоваться отток ресурсов для выполнения такого обязательства и когда сумма обязательства может быть точно оценена.</w:t>
      </w:r>
    </w:p>
    <w:p w14:paraId="3FA3391A" w14:textId="678169F6" w:rsidR="00BF380C" w:rsidRPr="00521670" w:rsidRDefault="00BF380C" w:rsidP="00BF380C">
      <w:pPr>
        <w:pStyle w:val="Headingi"/>
        <w:rPr>
          <w:b/>
          <w:bCs/>
          <w:iCs/>
          <w:lang w:val="ru-RU"/>
        </w:rPr>
      </w:pPr>
      <w:bookmarkStart w:id="225" w:name="_Toc200469161"/>
      <w:r w:rsidRPr="00521670">
        <w:rPr>
          <w:b/>
          <w:bCs/>
          <w:lang w:val="ru-RU"/>
        </w:rPr>
        <w:t>Вероятные активы и пассивы</w:t>
      </w:r>
      <w:bookmarkEnd w:id="225"/>
    </w:p>
    <w:p w14:paraId="672E2629" w14:textId="77777777" w:rsidR="00656D10" w:rsidRPr="00521670" w:rsidRDefault="00656D10" w:rsidP="00656D10">
      <w:pPr>
        <w:rPr>
          <w:lang w:val="ru-RU"/>
        </w:rPr>
      </w:pPr>
      <w:r w:rsidRPr="00521670">
        <w:rPr>
          <w:lang w:val="ru-RU"/>
        </w:rPr>
        <w:t xml:space="preserve">Вероятные активы и пассивы – это возможные права или обязательства, которые вытекают из прошлых </w:t>
      </w:r>
      <w:r w:rsidRPr="00521670">
        <w:rPr>
          <w:rFonts w:eastAsia="Calibri" w:cs="Calibri"/>
          <w:lang w:val="ru-RU"/>
        </w:rPr>
        <w:t>событий</w:t>
      </w:r>
      <w:r w:rsidRPr="00521670">
        <w:rPr>
          <w:lang w:val="ru-RU"/>
        </w:rPr>
        <w:t xml:space="preserve"> и существование которых будет подтверждаться наступлением или не наступлением одного или нескольких неопределенных будущих событий, которые МСЭ полностью не контролирует.</w:t>
      </w:r>
    </w:p>
    <w:p w14:paraId="707AE2E9" w14:textId="77777777" w:rsidR="00656D10" w:rsidRPr="00521670" w:rsidRDefault="00656D10" w:rsidP="00656D10">
      <w:pPr>
        <w:rPr>
          <w:lang w:val="ru-RU"/>
        </w:rPr>
      </w:pPr>
      <w:r w:rsidRPr="00521670">
        <w:rPr>
          <w:lang w:val="ru-RU"/>
        </w:rPr>
        <w:t xml:space="preserve">Вероятные пассивы раскрываются в тех случаях, когда возникновение возможного </w:t>
      </w:r>
      <w:r w:rsidRPr="00521670">
        <w:rPr>
          <w:rFonts w:eastAsia="Calibri" w:cs="Calibri"/>
          <w:lang w:val="ru-RU"/>
        </w:rPr>
        <w:t>обязательства</w:t>
      </w:r>
      <w:r w:rsidRPr="00521670">
        <w:rPr>
          <w:lang w:val="ru-RU"/>
        </w:rPr>
        <w:t xml:space="preserve"> не определено, но оно может быть измерено, или когда МСЭ имеет текущие обязательства, но не может надежно измерить возможное выбытие ресурсов. В настоящее время у МСЭ нет вероятных пассивов и существенных вероятных пассивов.</w:t>
      </w:r>
    </w:p>
    <w:p w14:paraId="2628E358" w14:textId="3BFFD8C1" w:rsidR="00BF380C" w:rsidRPr="00521670" w:rsidRDefault="00BF380C" w:rsidP="00BF380C">
      <w:pPr>
        <w:pStyle w:val="Headingi"/>
        <w:rPr>
          <w:b/>
          <w:bCs/>
          <w:iCs/>
          <w:lang w:val="ru-RU"/>
        </w:rPr>
      </w:pPr>
      <w:bookmarkStart w:id="226" w:name="_Toc200469162"/>
      <w:r w:rsidRPr="00521670">
        <w:rPr>
          <w:b/>
          <w:bCs/>
          <w:iCs/>
          <w:lang w:val="ru-RU"/>
        </w:rPr>
        <w:lastRenderedPageBreak/>
        <w:t>Вознаграждение сотрудников</w:t>
      </w:r>
      <w:bookmarkEnd w:id="226"/>
    </w:p>
    <w:p w14:paraId="417A4384" w14:textId="77777777" w:rsidR="0063365C" w:rsidRPr="00521670" w:rsidRDefault="0063365C" w:rsidP="0063365C">
      <w:pPr>
        <w:rPr>
          <w:lang w:val="ru-RU"/>
        </w:rPr>
      </w:pPr>
      <w:r w:rsidRPr="00521670">
        <w:rPr>
          <w:rFonts w:eastAsia="Calibri" w:cs="Calibri"/>
          <w:lang w:val="ru-RU"/>
        </w:rPr>
        <w:t>Учитываются</w:t>
      </w:r>
      <w:r w:rsidRPr="00521670">
        <w:rPr>
          <w:lang w:val="ru-RU"/>
        </w:rPr>
        <w:t xml:space="preserve"> следующие виды вознаграждения сотрудников:</w:t>
      </w:r>
    </w:p>
    <w:p w14:paraId="0A7CEEAE" w14:textId="77777777" w:rsidR="0063365C" w:rsidRPr="00521670" w:rsidRDefault="0063365C" w:rsidP="0063365C">
      <w:pPr>
        <w:pStyle w:val="enumlev1"/>
        <w:rPr>
          <w:lang w:val="ru-RU"/>
        </w:rPr>
      </w:pPr>
      <w:r w:rsidRPr="00521670">
        <w:rPr>
          <w:lang w:val="ru-RU"/>
        </w:rPr>
        <w:t>−</w:t>
      </w:r>
      <w:r w:rsidRPr="00521670">
        <w:rPr>
          <w:lang w:val="ru-RU"/>
        </w:rPr>
        <w:tab/>
        <w:t>виды вознаграждения сотрудников, работающих на основе краткосрочных контрактов, которые полностью выплачиваются в течение 12 месяцев после отчетной даты и оцениваются по их номинальной стоимости на основе накопленных прав по текущим ставкам заработной платы. Виды вознаграждения сотрудников, работающих на основе краткосрочных контрактов, включают пособия, причитающиеся в связи с началом службы (субсидии при назначении на службу), регулярные ежемесячные вознаграждения (заработная плата, оклады, надбавки) и другие (субсидии на образование, отпуск для поездки на родину и т. д.). Расходы признаются, когда сотрудники оказывают услуги МСЭ, а обязательства признаются в отношении выплат, которые не были погашены на отчетную дату;</w:t>
      </w:r>
    </w:p>
    <w:p w14:paraId="75DD46E0" w14:textId="5A75E641" w:rsidR="0063365C" w:rsidRPr="00521670" w:rsidRDefault="0063365C" w:rsidP="0063365C">
      <w:pPr>
        <w:pStyle w:val="enumlev1"/>
        <w:rPr>
          <w:lang w:val="ru-RU"/>
        </w:rPr>
      </w:pPr>
      <w:r w:rsidRPr="00521670">
        <w:rPr>
          <w:lang w:val="ru-RU"/>
        </w:rPr>
        <w:t>−</w:t>
      </w:r>
      <w:r w:rsidRPr="00521670">
        <w:rPr>
          <w:lang w:val="ru-RU"/>
        </w:rPr>
        <w:tab/>
        <w:t xml:space="preserve">прочие виды долгосрочного вознаграждения работникам представляют собой вознаграждения, выплата которых ожидается более чем через 12 месяцев после окончания отчетного периода; к ним относятся субсидии на репатриацию и оплаты накопленных дней отпуска. Обязательство, признанное в отношении субсидий на репатриацию, представляет собой приведенную стоимость обязательств по заранее определенным выплатам на отчетную дату. Это обязательство рассчитывается независимым актуарием с использованием метода прогнозируемой условной единицы. Затраты на проценты, затраты на покрытие стоимости за текущий период и актуарные прибыли или потери, возникающие в результате изменений в актуарных допущениях или корректировок, обусловленных опытом, признаются в </w:t>
      </w:r>
      <w:r w:rsidR="008505E4" w:rsidRPr="00521670">
        <w:rPr>
          <w:lang w:val="ru-RU"/>
        </w:rPr>
        <w:t>О</w:t>
      </w:r>
      <w:r w:rsidRPr="00521670">
        <w:rPr>
          <w:lang w:val="ru-RU"/>
        </w:rPr>
        <w:t>тчете о результатах финансовой деятельности;</w:t>
      </w:r>
    </w:p>
    <w:p w14:paraId="44F4EC05" w14:textId="77777777" w:rsidR="0063365C" w:rsidRPr="00521670" w:rsidRDefault="0063365C" w:rsidP="0063365C">
      <w:pPr>
        <w:pStyle w:val="enumlev1"/>
        <w:rPr>
          <w:lang w:val="ru-RU"/>
        </w:rPr>
      </w:pPr>
      <w:r w:rsidRPr="00521670">
        <w:rPr>
          <w:lang w:val="ru-RU"/>
        </w:rPr>
        <w:t>−</w:t>
      </w:r>
      <w:r w:rsidRPr="00521670">
        <w:rPr>
          <w:lang w:val="ru-RU"/>
        </w:rPr>
        <w:tab/>
        <w:t>обязательства, касающиеся Плана медицинского страхования после выхода в отставку (АСХИ); и</w:t>
      </w:r>
    </w:p>
    <w:p w14:paraId="030F6458" w14:textId="77777777" w:rsidR="0063365C" w:rsidRPr="00521670" w:rsidRDefault="0063365C" w:rsidP="0063365C">
      <w:pPr>
        <w:pStyle w:val="enumlev1"/>
        <w:rPr>
          <w:lang w:val="ru-RU"/>
        </w:rPr>
      </w:pPr>
      <w:r w:rsidRPr="00521670">
        <w:rPr>
          <w:lang w:val="ru-RU"/>
        </w:rPr>
        <w:t>−</w:t>
      </w:r>
      <w:r w:rsidRPr="00521670">
        <w:rPr>
          <w:lang w:val="ru-RU"/>
        </w:rPr>
        <w:tab/>
        <w:t>обязательства по прошлой пенсионной программе для определения обязательства МСЭ на дату закрытия финансового периода.</w:t>
      </w:r>
    </w:p>
    <w:p w14:paraId="0843A985" w14:textId="77777777" w:rsidR="0063365C" w:rsidRPr="00521670" w:rsidRDefault="0063365C" w:rsidP="0063365C">
      <w:pPr>
        <w:rPr>
          <w:lang w:val="ru-RU"/>
        </w:rPr>
      </w:pPr>
      <w:r w:rsidRPr="00521670">
        <w:rPr>
          <w:lang w:val="ru-RU"/>
        </w:rPr>
        <w:t xml:space="preserve">МСЭ является организацией-членом, участвующей в Объединенном пенсионном фонде </w:t>
      </w:r>
      <w:r w:rsidRPr="00521670">
        <w:rPr>
          <w:rFonts w:eastAsia="Calibri" w:cs="Calibri"/>
          <w:lang w:val="ru-RU"/>
        </w:rPr>
        <w:t>персонала</w:t>
      </w:r>
      <w:r w:rsidRPr="00521670">
        <w:rPr>
          <w:lang w:val="ru-RU"/>
        </w:rPr>
        <w:t xml:space="preserve"> Организации Объединенных Наций (ОПФП ООН), который был учрежден Генеральной Ассамблеей Организации Объединенных Наций в целях выплат персоналу пособий при выходе на пенсию, в случае смерти, потери трудоспособности и других соответствующих пособий. Пенсионный фонд – это план с установленным размером выплат, финансируемый несколькими работодателями. Как указано в пункте b) Статьи 3 Устава Фонда, членство в Фонде открыто для специализированных учреждений и любой другой международной, межправительственной организации, участвующей в общей системе выплаты окладов и пособий и других условий службы в Организации Объединенных Наций и специализированных учреждениях.</w:t>
      </w:r>
    </w:p>
    <w:p w14:paraId="26CAFACE" w14:textId="7C0AB78C" w:rsidR="0063365C" w:rsidRPr="00521670" w:rsidRDefault="0063365C" w:rsidP="0063365C">
      <w:pPr>
        <w:rPr>
          <w:lang w:val="ru-RU"/>
        </w:rPr>
      </w:pPr>
      <w:r w:rsidRPr="00521670">
        <w:rPr>
          <w:lang w:val="ru-RU"/>
        </w:rPr>
        <w:t xml:space="preserve">Согласно этому плану, участвующие организации несут актуарные риски, связанные с нынешними и бывшими сотрудниками других организаций, участвующих в Фонде, и поэтому не существует никакой последовательной и надежной основы для распределения обязательств, предусмотренных планом активов и затрат между отдельными участвующими в плане организациями. МСЭ и ОПФП ООН, наряду с другими участвующими в Фонде </w:t>
      </w:r>
      <w:r w:rsidRPr="00521670">
        <w:rPr>
          <w:rFonts w:eastAsia="Calibri" w:cs="Calibri"/>
          <w:lang w:val="ru-RU"/>
        </w:rPr>
        <w:t>организациями</w:t>
      </w:r>
      <w:r w:rsidRPr="00521670">
        <w:rPr>
          <w:lang w:val="ru-RU"/>
        </w:rPr>
        <w:t xml:space="preserve">, не могут определить долю МСЭ в определенном финансовом обеспечении, предусмотренных планом активах и затратах, связанных с планом, с достаточной для бухгалтерского учета точностью. Вследствие этого МСЭ учитывает этот план как план с фиксированным взносом в соответствии с требованиями стандарта IPSAS 39 </w:t>
      </w:r>
      <w:r w:rsidRPr="00521670">
        <w:rPr>
          <w:color w:val="000000"/>
          <w:lang w:val="ru-RU"/>
        </w:rPr>
        <w:t>"Вознаграждение сотрудников"</w:t>
      </w:r>
      <w:r w:rsidRPr="00521670">
        <w:rPr>
          <w:lang w:val="ru-RU"/>
        </w:rPr>
        <w:t xml:space="preserve">. Взносы МСЭ в план в течение финансового периода учитываются как расходы в </w:t>
      </w:r>
      <w:r w:rsidR="008505E4" w:rsidRPr="00521670">
        <w:rPr>
          <w:lang w:val="ru-RU"/>
        </w:rPr>
        <w:t>О</w:t>
      </w:r>
      <w:r w:rsidRPr="00521670">
        <w:rPr>
          <w:lang w:val="ru-RU"/>
        </w:rPr>
        <w:t>тчете о результатах финансовой деятельности.</w:t>
      </w:r>
    </w:p>
    <w:p w14:paraId="5404801C" w14:textId="694E2093" w:rsidR="0063365C" w:rsidRPr="00521670" w:rsidRDefault="0063365C" w:rsidP="0063365C">
      <w:pPr>
        <w:rPr>
          <w:lang w:val="ru-RU"/>
        </w:rPr>
      </w:pPr>
      <w:r w:rsidRPr="00521670">
        <w:rPr>
          <w:lang w:val="ru-RU"/>
        </w:rPr>
        <w:lastRenderedPageBreak/>
        <w:t xml:space="preserve">С 1 января 2020 года МСЭ </w:t>
      </w:r>
      <w:r w:rsidRPr="00521670">
        <w:rPr>
          <w:color w:val="000000"/>
          <w:lang w:val="ru-RU"/>
        </w:rPr>
        <w:t>присоединился к Обществу взаимного страхования сотрудников Организации Объединенных Наций (ЮНСМИС)</w:t>
      </w:r>
      <w:r w:rsidRPr="00521670">
        <w:rPr>
          <w:lang w:val="ru-RU"/>
        </w:rPr>
        <w:t xml:space="preserve">. В соответствии со стандартом IPSAS 39 </w:t>
      </w:r>
      <w:r w:rsidRPr="00521670">
        <w:rPr>
          <w:rFonts w:eastAsia="Calibri" w:cs="Calibri"/>
          <w:lang w:val="ru-RU"/>
        </w:rPr>
        <w:t>обязательства</w:t>
      </w:r>
      <w:r w:rsidRPr="00521670">
        <w:rPr>
          <w:lang w:val="ru-RU"/>
        </w:rPr>
        <w:t>, касающиеся АСХИ, являются предметом актуарного анализа в целях определения и учета суммы будущих обязательств МСЭ, связанных с соответствующими</w:t>
      </w:r>
      <w:r w:rsidR="008D5509" w:rsidRPr="00521670">
        <w:rPr>
          <w:lang w:val="ru-RU"/>
        </w:rPr>
        <w:t> </w:t>
      </w:r>
      <w:r w:rsidRPr="00521670">
        <w:rPr>
          <w:lang w:val="ru-RU"/>
        </w:rPr>
        <w:t>пособиями.</w:t>
      </w:r>
    </w:p>
    <w:p w14:paraId="4BB392C1" w14:textId="54AD3DE8" w:rsidR="0063365C" w:rsidRPr="00521670" w:rsidRDefault="0063365C" w:rsidP="0063365C">
      <w:pPr>
        <w:rPr>
          <w:lang w:val="ru-RU"/>
        </w:rPr>
      </w:pPr>
      <w:r w:rsidRPr="00521670">
        <w:rPr>
          <w:lang w:val="ru-RU"/>
        </w:rPr>
        <w:t>Обязательства МСЭ по АСХИ предусматривают право на получение страхового покрытия по АСХИ, которое приобретается и накапливается пенсионерами организации во время активной службы. Обязательство, признанное по данному плану, представляет собой приведенную стоимость обязательств по заранее определенным выплатам на отчетную дату. Это </w:t>
      </w:r>
      <w:r w:rsidRPr="00521670">
        <w:rPr>
          <w:rFonts w:eastAsia="Calibri" w:cs="Calibri"/>
          <w:lang w:val="ru-RU"/>
        </w:rPr>
        <w:t>обязательство</w:t>
      </w:r>
      <w:r w:rsidRPr="00521670">
        <w:rPr>
          <w:lang w:val="ru-RU"/>
        </w:rPr>
        <w:t xml:space="preserve"> рассчитывается независимым актуарием с использованием метода прогнозируемой условной единицы. Затраты на проценты и затраты на покрытие стоимости за текущий период признаются в </w:t>
      </w:r>
      <w:r w:rsidR="008505E4" w:rsidRPr="00521670">
        <w:rPr>
          <w:lang w:val="ru-RU"/>
        </w:rPr>
        <w:t>О</w:t>
      </w:r>
      <w:r w:rsidRPr="00521670">
        <w:rPr>
          <w:lang w:val="ru-RU"/>
        </w:rPr>
        <w:t>тчете о результатах финансовой деятельности как составная часть расходов на персонал. Актуарные прибыли или потери, возникающие в результате изменений в актуарных допущениях или корректировок, обусловленных опытом, напрямую признаются непосредственно в составе чистых активов.</w:t>
      </w:r>
    </w:p>
    <w:p w14:paraId="4311D51F" w14:textId="31BA02E2" w:rsidR="0063365C" w:rsidRPr="00521670" w:rsidRDefault="0063365C" w:rsidP="0063365C">
      <w:pPr>
        <w:rPr>
          <w:lang w:val="ru-RU"/>
        </w:rPr>
      </w:pPr>
      <w:r w:rsidRPr="00521670">
        <w:rPr>
          <w:rFonts w:eastAsia="Calibri" w:cs="Calibri"/>
          <w:lang w:val="ru-RU"/>
        </w:rPr>
        <w:t>Касающиеся</w:t>
      </w:r>
      <w:r w:rsidRPr="00521670">
        <w:rPr>
          <w:lang w:val="ru-RU"/>
        </w:rPr>
        <w:t xml:space="preserve"> МСЭ предположения описаны в Примечании 16, относящемся к</w:t>
      </w:r>
      <w:r w:rsidR="008D5509" w:rsidRPr="00521670">
        <w:rPr>
          <w:lang w:val="ru-RU"/>
        </w:rPr>
        <w:t xml:space="preserve"> </w:t>
      </w:r>
      <w:r w:rsidRPr="00521670">
        <w:rPr>
          <w:lang w:val="ru-RU"/>
        </w:rPr>
        <w:t>вознаграждению</w:t>
      </w:r>
      <w:r w:rsidR="008D5509" w:rsidRPr="00521670">
        <w:rPr>
          <w:lang w:val="ru-RU"/>
        </w:rPr>
        <w:t> </w:t>
      </w:r>
      <w:r w:rsidRPr="00521670">
        <w:rPr>
          <w:lang w:val="ru-RU"/>
        </w:rPr>
        <w:t>сотрудников.</w:t>
      </w:r>
    </w:p>
    <w:p w14:paraId="3736A2B1" w14:textId="2FE663E9" w:rsidR="00BF380C" w:rsidRPr="00521670" w:rsidRDefault="00BF380C" w:rsidP="00BF380C">
      <w:pPr>
        <w:pStyle w:val="Headingi"/>
        <w:rPr>
          <w:b/>
          <w:bCs/>
          <w:iCs/>
          <w:lang w:val="ru-RU"/>
        </w:rPr>
      </w:pPr>
      <w:bookmarkStart w:id="227" w:name="_Toc200469163"/>
      <w:r w:rsidRPr="00521670">
        <w:rPr>
          <w:b/>
          <w:bCs/>
          <w:iCs/>
          <w:lang w:val="ru-RU"/>
        </w:rPr>
        <w:t>Признание доходов</w:t>
      </w:r>
      <w:bookmarkEnd w:id="227"/>
    </w:p>
    <w:p w14:paraId="460C1E91" w14:textId="438062C3" w:rsidR="00BF380C" w:rsidRPr="00521670" w:rsidRDefault="008505E4" w:rsidP="00BF380C">
      <w:pPr>
        <w:rPr>
          <w:lang w:val="ru-RU"/>
        </w:rPr>
      </w:pPr>
      <w:bookmarkStart w:id="228" w:name="_Hlk145689359"/>
      <w:r w:rsidRPr="00521670">
        <w:rPr>
          <w:lang w:val="ru-RU"/>
        </w:rPr>
        <w:t>Необменные доходы от начисленных взносов, внебюджетных взносов (добровольных взносов и спонсорской помощи), полученные или подтвержденные в рамках имеющего обязательную силу соглашения, учитываются как необменная операция в соответствии со стандартом</w:t>
      </w:r>
      <w:r w:rsidR="008D5509" w:rsidRPr="00521670">
        <w:rPr>
          <w:lang w:val="ru-RU"/>
        </w:rPr>
        <w:t> </w:t>
      </w:r>
      <w:r w:rsidRPr="00521670">
        <w:rPr>
          <w:lang w:val="ru-RU"/>
        </w:rPr>
        <w:t>IPSAS</w:t>
      </w:r>
      <w:r w:rsidR="00DF251A" w:rsidRPr="00521670">
        <w:rPr>
          <w:lang w:val="ru-RU"/>
        </w:rPr>
        <w:t> </w:t>
      </w:r>
      <w:r w:rsidRPr="00521670">
        <w:rPr>
          <w:lang w:val="ru-RU"/>
        </w:rPr>
        <w:t>23.</w:t>
      </w:r>
    </w:p>
    <w:p w14:paraId="59FD7857" w14:textId="1D9509AF" w:rsidR="00BF380C" w:rsidRPr="00521670" w:rsidRDefault="00BF380C" w:rsidP="00BF380C">
      <w:pPr>
        <w:pStyle w:val="Headingi"/>
        <w:rPr>
          <w:rFonts w:cstheme="minorBidi"/>
          <w:lang w:val="ru-RU"/>
        </w:rPr>
      </w:pPr>
      <w:r w:rsidRPr="00521670">
        <w:rPr>
          <w:lang w:val="ru-RU"/>
        </w:rPr>
        <w:tab/>
      </w:r>
      <w:bookmarkStart w:id="229" w:name="_Toc200469164"/>
      <w:r w:rsidRPr="00521670">
        <w:rPr>
          <w:lang w:val="ru-RU"/>
        </w:rPr>
        <w:t>Начисленные взносы</w:t>
      </w:r>
      <w:r w:rsidRPr="00521670">
        <w:rPr>
          <w:i w:val="0"/>
          <w:iCs/>
          <w:lang w:val="ru-RU"/>
        </w:rPr>
        <w:t>:</w:t>
      </w:r>
      <w:bookmarkEnd w:id="229"/>
    </w:p>
    <w:bookmarkEnd w:id="228"/>
    <w:p w14:paraId="11E5FDCE" w14:textId="165C3ED7" w:rsidR="00E37C93" w:rsidRPr="00521670" w:rsidRDefault="00AC71FF" w:rsidP="00E37C93">
      <w:pPr>
        <w:rPr>
          <w:lang w:val="ru-RU"/>
        </w:rPr>
      </w:pPr>
      <w:r w:rsidRPr="00521670">
        <w:rPr>
          <w:lang w:val="ru-RU"/>
        </w:rPr>
        <w:t>Под начисленными взносами понимаются</w:t>
      </w:r>
      <w:r w:rsidR="00E37C93" w:rsidRPr="00521670">
        <w:rPr>
          <w:lang w:val="ru-RU"/>
        </w:rPr>
        <w:t xml:space="preserve"> </w:t>
      </w:r>
      <w:r w:rsidRPr="00521670">
        <w:rPr>
          <w:lang w:val="ru-RU"/>
        </w:rPr>
        <w:t>взносы</w:t>
      </w:r>
      <w:r w:rsidR="00E37C93" w:rsidRPr="00521670">
        <w:rPr>
          <w:lang w:val="ru-RU"/>
        </w:rPr>
        <w:t xml:space="preserve"> Государств-Членов, Членов Секторов и Ассоциированных членов. Полномочная конференция устанавливает верхний предел размера единицы взносов, который служит основой при расчете доходов Союза в двухгодичных бюджетах на </w:t>
      </w:r>
      <w:r w:rsidR="00E37C93" w:rsidRPr="00521670">
        <w:rPr>
          <w:rFonts w:eastAsia="Calibri" w:cs="Calibri"/>
          <w:lang w:val="ru-RU"/>
        </w:rPr>
        <w:t>последующие</w:t>
      </w:r>
      <w:r w:rsidR="00E37C93" w:rsidRPr="00521670">
        <w:rPr>
          <w:lang w:val="ru-RU"/>
        </w:rPr>
        <w:t xml:space="preserve"> четыре года. </w:t>
      </w:r>
      <w:r w:rsidR="008505E4" w:rsidRPr="00521670">
        <w:rPr>
          <w:lang w:val="ru-RU"/>
        </w:rPr>
        <w:t xml:space="preserve">В настоящее время этот срок утвержден до 31 декабря 2027 года. </w:t>
      </w:r>
      <w:r w:rsidR="00E37C93" w:rsidRPr="00521670">
        <w:rPr>
          <w:lang w:val="ru-RU"/>
        </w:rPr>
        <w:t xml:space="preserve">Государства-Члены и Члены Секторов могут свободно выбирать свой класс взносов, на основе которого они намереваются участвовать в покрытии расходов Союза согласно соответствующим положениям Устава МСЭ, и </w:t>
      </w:r>
      <w:r w:rsidR="00E37C93" w:rsidRPr="00521670">
        <w:rPr>
          <w:color w:val="000000"/>
          <w:lang w:val="ru-RU"/>
        </w:rPr>
        <w:t>в зависимости от года своего вступления или присоединения выплачивают взнос, исчисляемый с первого дня месяца их вступления или присоединения. Эти доходы служат для того, чтобы обеспечивать выполнение видов деятельности Союза, определенных Полномочной конференцией.</w:t>
      </w:r>
    </w:p>
    <w:p w14:paraId="3F467492" w14:textId="77777777" w:rsidR="00E37C93" w:rsidRPr="00521670" w:rsidRDefault="00E37C93" w:rsidP="00E37C93">
      <w:pPr>
        <w:rPr>
          <w:rFonts w:ascii="Verdana" w:hAnsi="Verdana" w:cs="Verdana"/>
          <w:sz w:val="20"/>
          <w:lang w:val="ru-RU"/>
        </w:rPr>
      </w:pPr>
      <w:bookmarkStart w:id="230" w:name="lt_pId631"/>
      <w:r w:rsidRPr="00521670">
        <w:rPr>
          <w:lang w:val="ru-RU"/>
        </w:rPr>
        <w:t xml:space="preserve">Начисленные взносы признаются в качестве доходов ежегодно в первый день года, к которому они </w:t>
      </w:r>
      <w:r w:rsidRPr="00521670">
        <w:rPr>
          <w:rFonts w:eastAsia="Calibri" w:cs="Calibri"/>
          <w:lang w:val="ru-RU"/>
        </w:rPr>
        <w:t>относятся</w:t>
      </w:r>
      <w:r w:rsidRPr="00521670">
        <w:rPr>
          <w:lang w:val="ru-RU"/>
        </w:rPr>
        <w:t>.</w:t>
      </w:r>
      <w:bookmarkEnd w:id="230"/>
    </w:p>
    <w:p w14:paraId="6AFEAA4C" w14:textId="3907CD65" w:rsidR="00BF380C" w:rsidRPr="00521670" w:rsidRDefault="00BF380C" w:rsidP="00BF380C">
      <w:pPr>
        <w:pStyle w:val="Headingi"/>
        <w:rPr>
          <w:lang w:val="ru-RU"/>
        </w:rPr>
      </w:pPr>
      <w:r w:rsidRPr="00521670">
        <w:rPr>
          <w:lang w:val="ru-RU"/>
        </w:rPr>
        <w:tab/>
      </w:r>
      <w:bookmarkStart w:id="231" w:name="_Toc200469165"/>
      <w:r w:rsidR="008505E4" w:rsidRPr="00521670">
        <w:rPr>
          <w:rFonts w:cstheme="minorBidi"/>
          <w:iCs/>
          <w:lang w:val="ru-RU"/>
        </w:rPr>
        <w:t>Внебюджетные взносы</w:t>
      </w:r>
      <w:r w:rsidRPr="00521670">
        <w:rPr>
          <w:i w:val="0"/>
          <w:iCs/>
          <w:lang w:val="ru-RU"/>
        </w:rPr>
        <w:t>:</w:t>
      </w:r>
      <w:bookmarkEnd w:id="231"/>
    </w:p>
    <w:p w14:paraId="2E04D9AB" w14:textId="6B40C9CC" w:rsidR="00E37C93" w:rsidRPr="00521670" w:rsidRDefault="008505E4" w:rsidP="00E37C93">
      <w:pPr>
        <w:rPr>
          <w:lang w:val="ru-RU"/>
        </w:rPr>
      </w:pPr>
      <w:r w:rsidRPr="00521670">
        <w:rPr>
          <w:lang w:val="ru-RU"/>
        </w:rPr>
        <w:t>Внебюджетные взносы состоят из добровольных взносов и спонсорской помощи, которые изначально</w:t>
      </w:r>
      <w:r w:rsidR="00E37C93" w:rsidRPr="00521670">
        <w:rPr>
          <w:lang w:val="ru-RU"/>
        </w:rPr>
        <w:t xml:space="preserve"> признаются в качестве </w:t>
      </w:r>
      <w:r w:rsidR="00E37C93" w:rsidRPr="00521670">
        <w:rPr>
          <w:rFonts w:eastAsia="Calibri" w:cs="Calibri"/>
          <w:lang w:val="ru-RU"/>
        </w:rPr>
        <w:t>дохода</w:t>
      </w:r>
      <w:r w:rsidR="00E37C93" w:rsidRPr="00521670">
        <w:rPr>
          <w:lang w:val="ru-RU"/>
        </w:rPr>
        <w:t xml:space="preserve"> в момент, когда соглашение между МСЭ и донором становится обязывающим и устанавливается контроль над базовым активом, если только соглашение не включает ограничений в соответствии с</w:t>
      </w:r>
      <w:r w:rsidR="00AC71FF" w:rsidRPr="00521670">
        <w:rPr>
          <w:lang w:val="ru-RU"/>
        </w:rPr>
        <w:t>о стандартом</w:t>
      </w:r>
      <w:r w:rsidR="00E37C93" w:rsidRPr="00521670">
        <w:rPr>
          <w:lang w:val="ru-RU"/>
        </w:rPr>
        <w:t xml:space="preserve"> IPSAS 23.</w:t>
      </w:r>
      <w:r w:rsidR="00E37C93" w:rsidRPr="00521670">
        <w:rPr>
          <w:rFonts w:asciiTheme="minorHAnsi" w:hAnsiTheme="minorHAnsi" w:cstheme="minorBidi"/>
          <w:lang w:val="ru-RU"/>
        </w:rPr>
        <w:t xml:space="preserve"> </w:t>
      </w:r>
      <w:r w:rsidRPr="00521670">
        <w:rPr>
          <w:rFonts w:asciiTheme="minorHAnsi" w:hAnsiTheme="minorHAnsi" w:cstheme="minorBidi"/>
          <w:lang w:val="ru-RU"/>
        </w:rPr>
        <w:t>В остальных случаях доход полностью признается в соответствии со стандартом IPSAS 23.</w:t>
      </w:r>
    </w:p>
    <w:p w14:paraId="0B1F40E1" w14:textId="77777777" w:rsidR="00E37C93" w:rsidRPr="00521670" w:rsidRDefault="00E37C93" w:rsidP="00E37C93">
      <w:pPr>
        <w:rPr>
          <w:lang w:val="ru-RU"/>
        </w:rPr>
      </w:pPr>
      <w:bookmarkStart w:id="232" w:name="lt_pId634"/>
      <w:r w:rsidRPr="00521670">
        <w:rPr>
          <w:lang w:val="ru-RU"/>
        </w:rPr>
        <w:t xml:space="preserve">Соглашения, содержащие такие условия, требуют первоначального признания обязательства и отсрочки признания дохода до тех пор, пока обязательство не будет погашено путем выполнения конкретных условий, включенных в соглашение, а также наличия имеющего </w:t>
      </w:r>
      <w:r w:rsidRPr="00521670">
        <w:rPr>
          <w:rFonts w:eastAsia="Calibri" w:cs="Calibri"/>
          <w:lang w:val="ru-RU"/>
        </w:rPr>
        <w:t>правовое</w:t>
      </w:r>
      <w:r w:rsidRPr="00521670">
        <w:rPr>
          <w:lang w:val="ru-RU"/>
        </w:rPr>
        <w:t xml:space="preserve"> обеспечение обязательства по возврату сумм, если они не будут использованы указанным образом. Сумма, признанная в качестве обязательства, представляет собой </w:t>
      </w:r>
      <w:r w:rsidRPr="00521670">
        <w:rPr>
          <w:lang w:val="ru-RU"/>
        </w:rPr>
        <w:lastRenderedPageBreak/>
        <w:t>наилучшую оценку суммы, которая потребуется для погашения обязательства на отчетную дату.</w:t>
      </w:r>
    </w:p>
    <w:bookmarkEnd w:id="232"/>
    <w:p w14:paraId="49089D5A" w14:textId="77777777" w:rsidR="00E37C93" w:rsidRPr="00521670" w:rsidRDefault="00E37C93" w:rsidP="00E37C93">
      <w:pPr>
        <w:rPr>
          <w:lang w:val="ru-RU"/>
        </w:rPr>
      </w:pPr>
      <w:r w:rsidRPr="00521670">
        <w:rPr>
          <w:lang w:val="ru-RU"/>
        </w:rPr>
        <w:t xml:space="preserve">В </w:t>
      </w:r>
      <w:r w:rsidRPr="00521670">
        <w:rPr>
          <w:rFonts w:eastAsia="Calibri" w:cs="Calibri"/>
          <w:lang w:val="ru-RU"/>
        </w:rPr>
        <w:t>ситуации</w:t>
      </w:r>
      <w:r w:rsidRPr="00521670">
        <w:rPr>
          <w:lang w:val="ru-RU"/>
        </w:rPr>
        <w:t>, когда соглашения подписаны, взносы не получены и соглашение относится к будущим финансовым периодам, обязательство признается как доход будущих периодов.</w:t>
      </w:r>
    </w:p>
    <w:p w14:paraId="3650333F" w14:textId="1B5052C2" w:rsidR="00BF380C" w:rsidRPr="00521670" w:rsidRDefault="00BF380C" w:rsidP="00E37C93">
      <w:pPr>
        <w:pStyle w:val="Headingi"/>
        <w:rPr>
          <w:rFonts w:cstheme="minorBidi"/>
          <w:iCs/>
          <w:lang w:val="ru-RU"/>
        </w:rPr>
      </w:pPr>
      <w:r w:rsidRPr="00521670">
        <w:rPr>
          <w:rFonts w:cstheme="minorBidi"/>
          <w:iCs/>
          <w:lang w:val="ru-RU"/>
        </w:rPr>
        <w:tab/>
      </w:r>
      <w:bookmarkStart w:id="233" w:name="_Toc200469166"/>
      <w:r w:rsidR="008754EA" w:rsidRPr="00521670">
        <w:rPr>
          <w:rFonts w:cstheme="minorBidi"/>
          <w:iCs/>
          <w:lang w:val="ru-RU"/>
        </w:rPr>
        <w:t>Доходы будущих периодов</w:t>
      </w:r>
      <w:r w:rsidRPr="00521670">
        <w:rPr>
          <w:rFonts w:cstheme="minorBidi"/>
          <w:iCs/>
          <w:lang w:val="ru-RU"/>
        </w:rPr>
        <w:t xml:space="preserve"> </w:t>
      </w:r>
      <w:r w:rsidR="00E37C93" w:rsidRPr="00521670">
        <w:rPr>
          <w:rFonts w:cstheme="minorBidi"/>
          <w:iCs/>
          <w:lang w:val="ru-RU"/>
        </w:rPr>
        <w:t>−</w:t>
      </w:r>
      <w:r w:rsidRPr="00521670">
        <w:rPr>
          <w:rFonts w:cstheme="minorBidi"/>
          <w:iCs/>
          <w:lang w:val="ru-RU"/>
        </w:rPr>
        <w:t xml:space="preserve"> </w:t>
      </w:r>
      <w:r w:rsidR="00E37C93" w:rsidRPr="00521670">
        <w:rPr>
          <w:lang w:val="ru-RU"/>
        </w:rPr>
        <w:t>Целевые средства третьих сторон (</w:t>
      </w:r>
      <w:r w:rsidR="008754EA" w:rsidRPr="00521670">
        <w:rPr>
          <w:lang w:val="ru-RU"/>
        </w:rPr>
        <w:t>О</w:t>
      </w:r>
      <w:r w:rsidR="00E37C93" w:rsidRPr="00521670">
        <w:rPr>
          <w:lang w:val="ru-RU"/>
        </w:rPr>
        <w:t>тчет о финансовом положении)</w:t>
      </w:r>
      <w:bookmarkEnd w:id="233"/>
    </w:p>
    <w:p w14:paraId="190E5F2E" w14:textId="4978923D" w:rsidR="00E37C93" w:rsidRPr="00521670" w:rsidRDefault="005B08F8" w:rsidP="00E37C93">
      <w:pPr>
        <w:rPr>
          <w:lang w:val="ru-RU"/>
        </w:rPr>
      </w:pPr>
      <w:r w:rsidRPr="00521670">
        <w:rPr>
          <w:lang w:val="ru-RU"/>
        </w:rPr>
        <w:t xml:space="preserve">Эти средства предоставляются третьими сторонами для поддержки Союза в реализации проектов в развивающихся странах, включая наименее развитые страны, малые островные развивающиеся государства, развивающиеся страны, не имеющие выхода к морю, и страны с переходной экономикой. </w:t>
      </w:r>
      <w:r w:rsidR="00E37C93" w:rsidRPr="00521670">
        <w:rPr>
          <w:lang w:val="ru-RU"/>
        </w:rPr>
        <w:t>Такие взносы сопровождаются договорными условиями. Такие</w:t>
      </w:r>
      <w:r w:rsidR="008D5509" w:rsidRPr="00521670">
        <w:rPr>
          <w:lang w:val="ru-RU"/>
        </w:rPr>
        <w:t> </w:t>
      </w:r>
      <w:r w:rsidR="00E37C93" w:rsidRPr="00521670">
        <w:rPr>
          <w:lang w:val="ru-RU"/>
        </w:rPr>
        <w:t>средства учитываются в качестве доходов только в тех случаях, когда доноры принимают обязательство в письменной форме, и по мере несения расходов. Выполнение финансируемых проектов начинается только тогда, когда средства начислены МСЭ. При закрытии финансового периода неиспользованный остаток средств по такому финансированию учитывается в</w:t>
      </w:r>
      <w:r w:rsidR="00AC71FF" w:rsidRPr="00521670">
        <w:rPr>
          <w:lang w:val="ru-RU"/>
        </w:rPr>
        <w:t xml:space="preserve"> доходах будущих периодов – </w:t>
      </w:r>
      <w:r w:rsidR="00E37C93" w:rsidRPr="00521670">
        <w:rPr>
          <w:lang w:val="ru-RU"/>
        </w:rPr>
        <w:t xml:space="preserve">целевых средствах третьих сторон </w:t>
      </w:r>
      <w:r w:rsidR="008754EA" w:rsidRPr="00521670">
        <w:rPr>
          <w:lang w:val="ru-RU"/>
        </w:rPr>
        <w:t>в О</w:t>
      </w:r>
      <w:r w:rsidR="00E37C93" w:rsidRPr="00521670">
        <w:rPr>
          <w:lang w:val="ru-RU"/>
        </w:rPr>
        <w:t>тчете о финансовом положении. В</w:t>
      </w:r>
      <w:r w:rsidR="008D5509" w:rsidRPr="00521670">
        <w:rPr>
          <w:lang w:val="ru-RU"/>
        </w:rPr>
        <w:t> </w:t>
      </w:r>
      <w:r w:rsidR="00E37C93" w:rsidRPr="00521670">
        <w:rPr>
          <w:lang w:val="ru-RU"/>
        </w:rPr>
        <w:t>ряде особых и исключительных случаев средства начисляются МСЭ как возмещение уже понесенных расходов.</w:t>
      </w:r>
    </w:p>
    <w:p w14:paraId="27A90C15" w14:textId="186B6C37" w:rsidR="00BF380C" w:rsidRPr="00521670" w:rsidRDefault="001101B3" w:rsidP="001101B3">
      <w:pPr>
        <w:pStyle w:val="Headingi"/>
        <w:ind w:left="810" w:hanging="810"/>
        <w:rPr>
          <w:lang w:val="ru-RU"/>
        </w:rPr>
      </w:pPr>
      <w:bookmarkStart w:id="234" w:name="_Toc200469167"/>
      <w:r w:rsidRPr="00521670">
        <w:rPr>
          <w:lang w:val="ru-RU"/>
        </w:rPr>
        <w:t>−</w:t>
      </w:r>
      <w:r w:rsidRPr="00521670">
        <w:rPr>
          <w:lang w:val="ru-RU"/>
        </w:rPr>
        <w:tab/>
      </w:r>
      <w:r w:rsidR="00E37C93" w:rsidRPr="00521670">
        <w:rPr>
          <w:lang w:val="ru-RU"/>
        </w:rPr>
        <w:t xml:space="preserve">Целевые средства третьих сторон </w:t>
      </w:r>
      <w:r w:rsidR="008754EA" w:rsidRPr="00521670">
        <w:rPr>
          <w:lang w:val="ru-RU"/>
        </w:rPr>
        <w:t>в доходах будущих периодов представлены</w:t>
      </w:r>
      <w:r w:rsidR="00E37C93" w:rsidRPr="00521670">
        <w:rPr>
          <w:lang w:val="ru-RU"/>
        </w:rPr>
        <w:t xml:space="preserve"> следующим образом (отчет о финансовом положении)</w:t>
      </w:r>
      <w:r w:rsidR="00BF380C" w:rsidRPr="00521670">
        <w:rPr>
          <w:lang w:val="ru-RU"/>
        </w:rPr>
        <w:t>:</w:t>
      </w:r>
      <w:bookmarkEnd w:id="234"/>
    </w:p>
    <w:p w14:paraId="77821C21" w14:textId="77777777" w:rsidR="00E37C93" w:rsidRPr="00521670" w:rsidRDefault="00E37C93" w:rsidP="00E37C93">
      <w:pPr>
        <w:pStyle w:val="enumlev1"/>
        <w:tabs>
          <w:tab w:val="clear" w:pos="1191"/>
          <w:tab w:val="clear" w:pos="1588"/>
          <w:tab w:val="left" w:pos="1418"/>
        </w:tabs>
        <w:ind w:firstLine="0"/>
        <w:rPr>
          <w:bCs/>
          <w:i/>
          <w:iCs/>
          <w:lang w:val="ru-RU"/>
        </w:rPr>
      </w:pPr>
      <w:r w:rsidRPr="00521670">
        <w:rPr>
          <w:bCs/>
          <w:i/>
          <w:iCs/>
          <w:lang w:val="ru-RU"/>
        </w:rPr>
        <w:t>i)</w:t>
      </w:r>
      <w:r w:rsidRPr="00521670">
        <w:rPr>
          <w:bCs/>
          <w:i/>
          <w:iCs/>
          <w:lang w:val="ru-RU"/>
        </w:rPr>
        <w:tab/>
        <w:t>Целевые фонды</w:t>
      </w:r>
    </w:p>
    <w:p w14:paraId="557E1233" w14:textId="34C3DDB9" w:rsidR="00E37C93" w:rsidRPr="00521670" w:rsidRDefault="00E37C93" w:rsidP="00E37C93">
      <w:pPr>
        <w:pStyle w:val="enumlev1"/>
        <w:tabs>
          <w:tab w:val="clear" w:pos="1191"/>
          <w:tab w:val="clear" w:pos="1588"/>
          <w:tab w:val="left" w:pos="1418"/>
        </w:tabs>
        <w:ind w:firstLine="0"/>
        <w:rPr>
          <w:lang w:val="ru-RU"/>
        </w:rPr>
      </w:pPr>
      <w:r w:rsidRPr="00521670">
        <w:rPr>
          <w:lang w:val="ru-RU"/>
        </w:rPr>
        <w:t xml:space="preserve">Целевые </w:t>
      </w:r>
      <w:r w:rsidRPr="00521670">
        <w:rPr>
          <w:bCs/>
          <w:lang w:val="ru-RU"/>
        </w:rPr>
        <w:t>фонды</w:t>
      </w:r>
      <w:r w:rsidRPr="00521670">
        <w:rPr>
          <w:lang w:val="ru-RU"/>
        </w:rPr>
        <w:t xml:space="preserve"> состоят из добровольных взносов, имеющих конкретное и ограниченное применение. Эти взносы приводят к появлению вспомогательных затрат в процессе исполнения и реализации проектов. В 2024 году с реализацией проектов были сопряжены вспомогательные затраты на сумму 1,</w:t>
      </w:r>
      <w:r w:rsidR="00772C76" w:rsidRPr="00521670">
        <w:rPr>
          <w:lang w:val="ru-RU"/>
        </w:rPr>
        <w:t>2</w:t>
      </w:r>
      <w:r w:rsidRPr="00521670">
        <w:rPr>
          <w:lang w:val="ru-RU"/>
        </w:rPr>
        <w:t xml:space="preserve"> млн. швейцарских франков; они были начислены на проекты и </w:t>
      </w:r>
      <w:r w:rsidR="008754EA" w:rsidRPr="00521670">
        <w:rPr>
          <w:lang w:val="ru-RU"/>
        </w:rPr>
        <w:t>зачислены</w:t>
      </w:r>
      <w:r w:rsidRPr="00521670">
        <w:rPr>
          <w:lang w:val="ru-RU"/>
        </w:rPr>
        <w:t xml:space="preserve"> в бюджет МСЭ.</w:t>
      </w:r>
    </w:p>
    <w:p w14:paraId="608D243D" w14:textId="77777777" w:rsidR="00E37C93" w:rsidRPr="00521670" w:rsidRDefault="00E37C93" w:rsidP="00E37C93">
      <w:pPr>
        <w:pStyle w:val="enumlev1"/>
        <w:keepNext/>
        <w:tabs>
          <w:tab w:val="clear" w:pos="1191"/>
          <w:tab w:val="clear" w:pos="1588"/>
          <w:tab w:val="left" w:pos="1418"/>
        </w:tabs>
        <w:ind w:firstLine="0"/>
        <w:rPr>
          <w:bCs/>
          <w:i/>
          <w:iCs/>
          <w:lang w:val="ru-RU"/>
        </w:rPr>
      </w:pPr>
      <w:r w:rsidRPr="00521670">
        <w:rPr>
          <w:bCs/>
          <w:i/>
          <w:iCs/>
          <w:lang w:val="ru-RU"/>
        </w:rPr>
        <w:t>ii)</w:t>
      </w:r>
      <w:r w:rsidRPr="00521670">
        <w:rPr>
          <w:bCs/>
          <w:i/>
          <w:iCs/>
          <w:lang w:val="ru-RU"/>
        </w:rPr>
        <w:tab/>
        <w:t>Добровольные взносы</w:t>
      </w:r>
    </w:p>
    <w:p w14:paraId="21B41FB7" w14:textId="77777777" w:rsidR="00E37C93" w:rsidRPr="00521670" w:rsidRDefault="00E37C93" w:rsidP="00E37C93">
      <w:pPr>
        <w:pStyle w:val="enumlev1"/>
        <w:tabs>
          <w:tab w:val="clear" w:pos="1191"/>
          <w:tab w:val="clear" w:pos="1588"/>
          <w:tab w:val="left" w:pos="1418"/>
        </w:tabs>
        <w:ind w:firstLine="0"/>
        <w:rPr>
          <w:lang w:val="ru-RU"/>
        </w:rPr>
      </w:pPr>
      <w:r w:rsidRPr="00521670">
        <w:rPr>
          <w:lang w:val="ru-RU"/>
        </w:rPr>
        <w:t>Добровольные взносы поступают от доноров для дополнения конкретных видов деятельности, предусмотренных в регулярном бюджете, таких как семинары, рабочие группы, исследовательские комиссии, обучающие занятия и стипендии. Такие взносы могут использоваться для финансирования долгосрочных видов деятельности. Они не приводят к появлению вспомогательных затрат.</w:t>
      </w:r>
    </w:p>
    <w:p w14:paraId="16316402" w14:textId="77777777" w:rsidR="00E37C93" w:rsidRPr="00521670" w:rsidRDefault="00E37C93" w:rsidP="00E37C93">
      <w:pPr>
        <w:pStyle w:val="enumlev1"/>
        <w:tabs>
          <w:tab w:val="clear" w:pos="1191"/>
          <w:tab w:val="clear" w:pos="1588"/>
          <w:tab w:val="left" w:pos="1418"/>
        </w:tabs>
        <w:ind w:firstLine="0"/>
        <w:rPr>
          <w:lang w:val="ru-RU"/>
        </w:rPr>
      </w:pPr>
      <w:r w:rsidRPr="00521670">
        <w:rPr>
          <w:lang w:val="ru-RU"/>
        </w:rPr>
        <w:t>МСЭ ведет счета добровольных взносов в валюте поступившего взноса и управляет проектами на основании бюджета, выделенного в валюте финансирования, если не указано иное.</w:t>
      </w:r>
    </w:p>
    <w:p w14:paraId="49C160C3" w14:textId="1AA9A526" w:rsidR="00BF380C" w:rsidRPr="00521670" w:rsidRDefault="008754EA" w:rsidP="001101B3">
      <w:pPr>
        <w:rPr>
          <w:rFonts w:asciiTheme="minorHAnsi" w:hAnsiTheme="minorHAnsi" w:cstheme="minorHAnsi"/>
          <w:szCs w:val="22"/>
          <w:lang w:val="ru-RU"/>
        </w:rPr>
      </w:pPr>
      <w:r w:rsidRPr="00521670">
        <w:rPr>
          <w:lang w:val="ru-RU"/>
        </w:rPr>
        <w:t xml:space="preserve">Доход от обменных операций учитывается по текущей стоимости </w:t>
      </w:r>
      <w:r w:rsidR="005B08F8" w:rsidRPr="00521670">
        <w:rPr>
          <w:lang w:val="ru-RU"/>
        </w:rPr>
        <w:t>полученного или подлежащего получению возмещения при предоставлении товаров и услуг в соответствии со стандартом IPSAS 9.</w:t>
      </w:r>
    </w:p>
    <w:p w14:paraId="1AA9F7ED" w14:textId="318F1D6E" w:rsidR="00BF380C" w:rsidRPr="00521670" w:rsidRDefault="00DE4C56" w:rsidP="001101B3">
      <w:pPr>
        <w:rPr>
          <w:lang w:val="ru-RU"/>
        </w:rPr>
      </w:pPr>
      <w:r w:rsidRPr="00521670">
        <w:rPr>
          <w:lang w:val="ru-RU"/>
        </w:rPr>
        <w:t xml:space="preserve">Доходы от обменных операций </w:t>
      </w:r>
      <w:r w:rsidR="00B17E01" w:rsidRPr="00521670">
        <w:rPr>
          <w:lang w:val="ru-RU"/>
        </w:rPr>
        <w:t>формируются на основании</w:t>
      </w:r>
      <w:r w:rsidRPr="00521670">
        <w:rPr>
          <w:lang w:val="ru-RU"/>
        </w:rPr>
        <w:t xml:space="preserve"> продуктов и услуг, к которым МСЭ применяет принцип возмещения затрат, а именно:</w:t>
      </w:r>
    </w:p>
    <w:p w14:paraId="059905D5" w14:textId="25D893E3" w:rsidR="00BF380C" w:rsidRPr="00521670" w:rsidRDefault="00BF380C" w:rsidP="001101B3">
      <w:pPr>
        <w:pStyle w:val="enumlev1"/>
        <w:rPr>
          <w:lang w:val="ru-RU"/>
        </w:rPr>
      </w:pPr>
      <w:r w:rsidRPr="00521670">
        <w:rPr>
          <w:lang w:val="ru-RU"/>
        </w:rPr>
        <w:t>–</w:t>
      </w:r>
      <w:r w:rsidRPr="00521670">
        <w:rPr>
          <w:lang w:val="ru-RU"/>
        </w:rPr>
        <w:tab/>
      </w:r>
      <w:r w:rsidR="00DE4C56" w:rsidRPr="00521670">
        <w:rPr>
          <w:lang w:val="ru-RU"/>
        </w:rPr>
        <w:t>продажа публикаций: доходы учитываются в момент рассылки публикаций или когда данные в электронной форме становятся доступными;</w:t>
      </w:r>
    </w:p>
    <w:p w14:paraId="5A8181D6" w14:textId="3DD1E24C" w:rsidR="00BF380C" w:rsidRPr="00521670" w:rsidRDefault="00BF380C" w:rsidP="00DE4C56">
      <w:pPr>
        <w:pStyle w:val="enumlev1"/>
        <w:rPr>
          <w:lang w:val="ru-RU"/>
        </w:rPr>
      </w:pPr>
      <w:r w:rsidRPr="00521670">
        <w:rPr>
          <w:lang w:val="ru-RU"/>
        </w:rPr>
        <w:t>–</w:t>
      </w:r>
      <w:r w:rsidRPr="00521670">
        <w:rPr>
          <w:lang w:val="ru-RU"/>
        </w:rPr>
        <w:tab/>
      </w:r>
      <w:r w:rsidR="00DE4C56" w:rsidRPr="00521670">
        <w:rPr>
          <w:lang w:val="ru-RU"/>
        </w:rPr>
        <w:t xml:space="preserve">обработка заявок на регистрацию спутниковых сетей: доходы признаются в момент окончательной публикации заявок в Международном информационном циркуляре по частотам (ИФИК) БР; до этого момента </w:t>
      </w:r>
      <w:r w:rsidR="00D119ED" w:rsidRPr="00521670">
        <w:rPr>
          <w:lang w:val="ru-RU"/>
        </w:rPr>
        <w:t>все предыдущие счета учитываются как доход будущих периодов;</w:t>
      </w:r>
    </w:p>
    <w:p w14:paraId="355ED731" w14:textId="634FB69B" w:rsidR="00BF380C" w:rsidRPr="00521670" w:rsidRDefault="00BF380C" w:rsidP="001101B3">
      <w:pPr>
        <w:pStyle w:val="enumlev1"/>
        <w:rPr>
          <w:lang w:val="ru-RU"/>
        </w:rPr>
      </w:pPr>
      <w:r w:rsidRPr="00521670">
        <w:rPr>
          <w:lang w:val="ru-RU"/>
        </w:rPr>
        <w:lastRenderedPageBreak/>
        <w:t>–</w:t>
      </w:r>
      <w:r w:rsidRPr="00521670">
        <w:rPr>
          <w:lang w:val="ru-RU"/>
        </w:rPr>
        <w:tab/>
      </w:r>
      <w:r w:rsidR="00D119ED" w:rsidRPr="00521670">
        <w:rPr>
          <w:lang w:val="ru-RU"/>
        </w:rPr>
        <w:t>регистрация универсальных международных номеров услуги бесплатного вызова (UIFN): МСЭ взимает авансом взносы на предоставление услуг по регистрации универсальных международных номеров услуги бесплатного вызова (UIFN), регистрации универсальных международных номеров услуги "вызов с оплатой по повышенному тарифу" (UIPRN) и универсальных международных номеров услуги "вызов с долевой оплатой" (UISCN).</w:t>
      </w:r>
    </w:p>
    <w:p w14:paraId="12725496" w14:textId="3CCC9418" w:rsidR="00BF380C" w:rsidRPr="00521670" w:rsidRDefault="001101B3" w:rsidP="001101B3">
      <w:pPr>
        <w:pStyle w:val="Headingi"/>
        <w:rPr>
          <w:b/>
          <w:bCs/>
          <w:iCs/>
          <w:lang w:val="ru-RU"/>
        </w:rPr>
      </w:pPr>
      <w:bookmarkStart w:id="235" w:name="_MON_1753114325"/>
      <w:bookmarkStart w:id="236" w:name="_MON_1753114393"/>
      <w:bookmarkStart w:id="237" w:name="_MON_1753114467"/>
      <w:bookmarkStart w:id="238" w:name="_Toc200469168"/>
      <w:bookmarkEnd w:id="235"/>
      <w:bookmarkEnd w:id="236"/>
      <w:bookmarkEnd w:id="237"/>
      <w:r w:rsidRPr="00521670">
        <w:rPr>
          <w:b/>
          <w:bCs/>
          <w:iCs/>
          <w:lang w:val="ru-RU" w:bidi="ru-RU"/>
        </w:rPr>
        <w:t>Представление информации по сегментам</w:t>
      </w:r>
      <w:bookmarkEnd w:id="238"/>
    </w:p>
    <w:p w14:paraId="4723B38B" w14:textId="40654B82" w:rsidR="00BF380C" w:rsidRPr="00521670" w:rsidRDefault="00B17E01" w:rsidP="001101B3">
      <w:pPr>
        <w:rPr>
          <w:lang w:val="ru-RU"/>
        </w:rPr>
      </w:pPr>
      <w:r w:rsidRPr="00521670">
        <w:rPr>
          <w:lang w:val="ru-RU"/>
        </w:rPr>
        <w:t>Представление информации по сегментам</w:t>
      </w:r>
      <w:r w:rsidR="00D119ED" w:rsidRPr="00521670">
        <w:rPr>
          <w:lang w:val="ru-RU"/>
        </w:rPr>
        <w:t xml:space="preserve"> </w:t>
      </w:r>
      <w:r w:rsidRPr="00521670">
        <w:rPr>
          <w:lang w:val="ru-RU"/>
        </w:rPr>
        <w:t>структурировано по Секторам и</w:t>
      </w:r>
      <w:r w:rsidR="00D119ED" w:rsidRPr="00521670">
        <w:rPr>
          <w:lang w:val="ru-RU"/>
        </w:rPr>
        <w:t xml:space="preserve"> основны</w:t>
      </w:r>
      <w:r w:rsidRPr="00521670">
        <w:rPr>
          <w:lang w:val="ru-RU"/>
        </w:rPr>
        <w:t>м</w:t>
      </w:r>
      <w:r w:rsidR="00D119ED" w:rsidRPr="00521670">
        <w:rPr>
          <w:lang w:val="ru-RU"/>
        </w:rPr>
        <w:t xml:space="preserve"> вида</w:t>
      </w:r>
      <w:r w:rsidRPr="00521670">
        <w:rPr>
          <w:lang w:val="ru-RU"/>
        </w:rPr>
        <w:t>м</w:t>
      </w:r>
      <w:r w:rsidR="00D119ED" w:rsidRPr="00521670">
        <w:rPr>
          <w:lang w:val="ru-RU"/>
        </w:rPr>
        <w:t xml:space="preserve"> деятельности и источника</w:t>
      </w:r>
      <w:r w:rsidRPr="00521670">
        <w:rPr>
          <w:lang w:val="ru-RU"/>
        </w:rPr>
        <w:t>м</w:t>
      </w:r>
      <w:r w:rsidR="00D119ED" w:rsidRPr="00521670">
        <w:rPr>
          <w:lang w:val="ru-RU"/>
        </w:rPr>
        <w:t xml:space="preserve"> финансирования МСЭ</w:t>
      </w:r>
      <w:r w:rsidRPr="00521670">
        <w:rPr>
          <w:lang w:val="ru-RU"/>
        </w:rPr>
        <w:t xml:space="preserve">, а также </w:t>
      </w:r>
      <w:r w:rsidR="00D119ED" w:rsidRPr="00521670">
        <w:rPr>
          <w:lang w:val="ru-RU"/>
        </w:rPr>
        <w:t>други</w:t>
      </w:r>
      <w:r w:rsidRPr="00521670">
        <w:rPr>
          <w:lang w:val="ru-RU"/>
        </w:rPr>
        <w:t>м</w:t>
      </w:r>
      <w:r w:rsidR="00D119ED" w:rsidRPr="00521670">
        <w:rPr>
          <w:lang w:val="ru-RU"/>
        </w:rPr>
        <w:t xml:space="preserve"> фонд</w:t>
      </w:r>
      <w:r w:rsidRPr="00521670">
        <w:rPr>
          <w:lang w:val="ru-RU"/>
        </w:rPr>
        <w:t>ам</w:t>
      </w:r>
      <w:r w:rsidR="00D119ED" w:rsidRPr="00521670">
        <w:rPr>
          <w:lang w:val="ru-RU"/>
        </w:rPr>
        <w:t>, созданны</w:t>
      </w:r>
      <w:r w:rsidRPr="00521670">
        <w:rPr>
          <w:lang w:val="ru-RU"/>
        </w:rPr>
        <w:t>м</w:t>
      </w:r>
      <w:r w:rsidR="00D119ED" w:rsidRPr="00521670">
        <w:rPr>
          <w:lang w:val="ru-RU"/>
        </w:rPr>
        <w:t xml:space="preserve"> для управления финансовыми ресурсами организации. Эти сегменты </w:t>
      </w:r>
      <w:r w:rsidRPr="00521670">
        <w:rPr>
          <w:lang w:val="ru-RU"/>
        </w:rPr>
        <w:t>отражают программу</w:t>
      </w:r>
      <w:r w:rsidR="00D119ED" w:rsidRPr="00521670">
        <w:rPr>
          <w:lang w:val="ru-RU"/>
        </w:rPr>
        <w:t xml:space="preserve"> работы МСЭ на 2024</w:t>
      </w:r>
      <w:r w:rsidR="00DF251A" w:rsidRPr="00521670">
        <w:rPr>
          <w:lang w:val="ru-RU"/>
        </w:rPr>
        <w:t>−</w:t>
      </w:r>
      <w:r w:rsidR="00D119ED" w:rsidRPr="00521670">
        <w:rPr>
          <w:lang w:val="ru-RU"/>
        </w:rPr>
        <w:t>2027 годы.</w:t>
      </w:r>
    </w:p>
    <w:p w14:paraId="32AA2E7E" w14:textId="77777777" w:rsidR="009F4657" w:rsidRPr="00521670" w:rsidRDefault="009F4657" w:rsidP="009F4657">
      <w:pPr>
        <w:rPr>
          <w:rFonts w:asciiTheme="minorHAnsi" w:hAnsiTheme="minorHAnsi" w:cstheme="minorBidi"/>
          <w:lang w:val="ru-RU"/>
        </w:rPr>
      </w:pPr>
      <w:bookmarkStart w:id="239" w:name="_Hlk131084412"/>
      <w:r w:rsidRPr="00521670">
        <w:rPr>
          <w:lang w:val="ru-RU" w:bidi="ru-RU"/>
        </w:rPr>
        <w:t>Межсегментные переводы включают доходы и расходы, возникающие в результате переводов между сегментами. Такие переводы учитываются по себестоимости для каждого сегмента и исключаются при консолидации.</w:t>
      </w:r>
    </w:p>
    <w:p w14:paraId="370E104C" w14:textId="0EE1D69A" w:rsidR="00BF380C" w:rsidRPr="00521670" w:rsidRDefault="009F4657" w:rsidP="001101B3">
      <w:pPr>
        <w:rPr>
          <w:rFonts w:asciiTheme="minorHAnsi" w:hAnsiTheme="minorHAnsi" w:cstheme="minorBidi"/>
          <w:lang w:val="ru-RU"/>
        </w:rPr>
      </w:pPr>
      <w:r w:rsidRPr="00521670">
        <w:rPr>
          <w:lang w:val="ru-RU" w:bidi="ru-RU"/>
        </w:rPr>
        <w:t>Ежегодная корректировка АСХИ была распределена на основе численности сотрудников каждого Сектора.</w:t>
      </w:r>
    </w:p>
    <w:bookmarkEnd w:id="239"/>
    <w:p w14:paraId="319409B4" w14:textId="092D81CA" w:rsidR="00BF380C" w:rsidRPr="00521670" w:rsidRDefault="009F4657" w:rsidP="001101B3">
      <w:pPr>
        <w:rPr>
          <w:rFonts w:asciiTheme="minorHAnsi" w:hAnsiTheme="minorHAnsi" w:cstheme="minorBidi"/>
          <w:lang w:val="ru-RU"/>
        </w:rPr>
      </w:pPr>
      <w:r w:rsidRPr="00521670">
        <w:rPr>
          <w:bCs/>
          <w:lang w:val="ru-RU" w:bidi="ru-RU"/>
        </w:rPr>
        <w:t xml:space="preserve">Активы и обязательства Союза, за исключением тех, которые представляют собой его чистые активы, находятся в собственности или в рамках сферы ответственности организации в целом и не представляют собой </w:t>
      </w:r>
      <w:bookmarkStart w:id="240" w:name="_Int_zEL0yuwE"/>
      <w:r w:rsidRPr="00521670">
        <w:rPr>
          <w:bCs/>
          <w:lang w:val="ru-RU" w:bidi="ru-RU"/>
        </w:rPr>
        <w:t>активы</w:t>
      </w:r>
      <w:bookmarkEnd w:id="240"/>
      <w:r w:rsidRPr="00521670">
        <w:rPr>
          <w:bCs/>
          <w:lang w:val="ru-RU" w:bidi="ru-RU"/>
        </w:rPr>
        <w:t xml:space="preserve"> и обязательства ее составных частей. </w:t>
      </w:r>
      <w:r w:rsidR="00D119ED" w:rsidRPr="00521670">
        <w:rPr>
          <w:bCs/>
          <w:lang w:val="ru-RU" w:bidi="ru-RU"/>
        </w:rPr>
        <w:t>Активы и пассивы МСЭ не распределяются по отдельным сегментам, поскольку ответственность за них принадлежит Организации в целом.</w:t>
      </w:r>
    </w:p>
    <w:p w14:paraId="17450CEB" w14:textId="5A68D4AF" w:rsidR="00BF380C" w:rsidRPr="00521670" w:rsidRDefault="001101B3" w:rsidP="001101B3">
      <w:pPr>
        <w:pStyle w:val="Headingi"/>
        <w:rPr>
          <w:b/>
          <w:bCs/>
          <w:iCs/>
          <w:lang w:val="ru-RU"/>
        </w:rPr>
      </w:pPr>
      <w:bookmarkStart w:id="241" w:name="_Toc200469169"/>
      <w:bookmarkStart w:id="242" w:name="_Toc305764077"/>
      <w:bookmarkStart w:id="243" w:name="_Toc131156432"/>
      <w:r w:rsidRPr="00521670">
        <w:rPr>
          <w:b/>
          <w:bCs/>
          <w:iCs/>
          <w:lang w:val="ru-RU" w:bidi="ru-RU"/>
        </w:rPr>
        <w:t>Сравнительная таблица предусмотренных в бюджете сумм и фактических сумм</w:t>
      </w:r>
      <w:bookmarkEnd w:id="241"/>
      <w:bookmarkEnd w:id="242"/>
      <w:bookmarkEnd w:id="243"/>
    </w:p>
    <w:p w14:paraId="335F4823" w14:textId="7E8CBB0C" w:rsidR="009F4657" w:rsidRPr="00521670" w:rsidRDefault="009F4657" w:rsidP="009F4657">
      <w:pPr>
        <w:rPr>
          <w:lang w:val="ru-RU"/>
        </w:rPr>
      </w:pPr>
      <w:bookmarkStart w:id="244" w:name="_Toc305764078"/>
      <w:bookmarkStart w:id="245" w:name="_Toc2005462053"/>
      <w:r w:rsidRPr="00521670">
        <w:rPr>
          <w:lang w:val="ru-RU" w:bidi="ru-RU"/>
        </w:rPr>
        <w:t>Бюджет Союза на 2024 год основан на Решении 5 (Пересм. Бухарест, 2022 г.) "Доходы и расходы Союза на период 2024−2027 годов" и Стратегическом плане Союза на 2024−2027 годы, представленном в Резолюции 71 (Пересм. Бухарест, 2022 г.) Полномочной конференции.</w:t>
      </w:r>
    </w:p>
    <w:p w14:paraId="695F22E1" w14:textId="77777777" w:rsidR="009F4657" w:rsidRPr="00521670" w:rsidRDefault="009F4657" w:rsidP="009F4657">
      <w:pPr>
        <w:rPr>
          <w:lang w:val="ru-RU"/>
        </w:rPr>
      </w:pPr>
      <w:r w:rsidRPr="00521670">
        <w:rPr>
          <w:lang w:val="ru-RU" w:bidi="ru-RU"/>
        </w:rPr>
        <w:t>Кроме того, бюджет программы координируется с оперативными планами Секторов и Генерального секретариата.</w:t>
      </w:r>
    </w:p>
    <w:p w14:paraId="01CA0C7A" w14:textId="5B0D9D4B" w:rsidR="009F4657" w:rsidRPr="00521670" w:rsidRDefault="009F4657" w:rsidP="009F4657">
      <w:pPr>
        <w:rPr>
          <w:lang w:val="ru-RU"/>
        </w:rPr>
      </w:pPr>
      <w:r w:rsidRPr="00521670">
        <w:rPr>
          <w:lang w:val="ru-RU" w:bidi="ru-RU"/>
        </w:rPr>
        <w:t xml:space="preserve">Согласно IPSAS 24 в годовую финансовую отчетность необходимо включать сравнение предусмотренных в бюджете сумм и фактических сумм (Отчет V). Бюджет Союза на 2024−2025 годы включает два годовых бюджета. Смета бюджета была составлена для каждого из </w:t>
      </w:r>
      <w:bookmarkStart w:id="246" w:name="_Int_QFPEVHRq"/>
      <w:r w:rsidRPr="00521670">
        <w:rPr>
          <w:lang w:val="ru-RU" w:bidi="ru-RU"/>
        </w:rPr>
        <w:t>финансовых годов.</w:t>
      </w:r>
      <w:bookmarkEnd w:id="246"/>
    </w:p>
    <w:p w14:paraId="3F4D45AA" w14:textId="0CE63DC9" w:rsidR="009F4657" w:rsidRPr="00521670" w:rsidRDefault="009F4657" w:rsidP="009F4657">
      <w:pPr>
        <w:rPr>
          <w:b/>
          <w:bCs/>
          <w:lang w:val="ru-RU"/>
        </w:rPr>
      </w:pPr>
      <w:r w:rsidRPr="00521670">
        <w:rPr>
          <w:bCs/>
          <w:lang w:val="ru-RU" w:bidi="ru-RU"/>
        </w:rPr>
        <w:t>Окончательный бюджет на 2024 год был утвержден Советом на его сессии 2023 года в Резолюции 1417 (</w:t>
      </w:r>
      <w:hyperlink r:id="rId23" w:history="1">
        <w:r w:rsidRPr="00521670">
          <w:rPr>
            <w:rStyle w:val="Hyperlink"/>
            <w:bCs/>
            <w:lang w:val="ru-RU" w:bidi="ru-RU"/>
          </w:rPr>
          <w:t>С23/115</w:t>
        </w:r>
      </w:hyperlink>
      <w:r w:rsidRPr="00521670">
        <w:rPr>
          <w:bCs/>
          <w:lang w:val="ru-RU" w:bidi="ru-RU"/>
        </w:rPr>
        <w:t xml:space="preserve">). В Отчете V содержится сравнительная таблица предусмотренных в окончательном бюджете сумм и фактических сумм. Бюджет и финансовая отчетность составлялись с </w:t>
      </w:r>
      <w:r w:rsidRPr="00521670">
        <w:rPr>
          <w:lang w:val="ru-RU" w:bidi="ru-RU"/>
        </w:rPr>
        <w:t>использованием</w:t>
      </w:r>
      <w:r w:rsidRPr="00521670">
        <w:rPr>
          <w:bCs/>
          <w:lang w:val="ru-RU" w:bidi="ru-RU"/>
        </w:rPr>
        <w:t xml:space="preserve"> разных оснований для учета, поэтому в Отчете V содержится сравнение предусмотренных в бюджете сумм и сумм, представленных в Отчете о результатах финансовой деятельности</w:t>
      </w:r>
      <w:r w:rsidR="006B15DB" w:rsidRPr="00521670">
        <w:rPr>
          <w:bCs/>
          <w:lang w:val="ru-RU" w:bidi="ru-RU"/>
        </w:rPr>
        <w:t xml:space="preserve"> (Отчет II)</w:t>
      </w:r>
      <w:r w:rsidRPr="00521670">
        <w:rPr>
          <w:bCs/>
          <w:lang w:val="ru-RU" w:bidi="ru-RU"/>
        </w:rPr>
        <w:t xml:space="preserve">. Структурная разница связана с включением в финансовую отчетность Союза внебюджетных средств, а базисная разница отражает расходы и доходы, которые не включены в бюджет МСЭ или отражаются в соответствии с другими принципами учета согласно требованиям </w:t>
      </w:r>
      <w:r w:rsidRPr="00521670">
        <w:rPr>
          <w:bCs/>
          <w:lang w:val="ru-RU"/>
        </w:rPr>
        <w:t>IPSAS</w:t>
      </w:r>
      <w:r w:rsidRPr="00521670">
        <w:rPr>
          <w:bCs/>
          <w:lang w:val="ru-RU" w:bidi="ru-RU"/>
        </w:rPr>
        <w:t>. Более подробная информация представлена в Примечании</w:t>
      </w:r>
      <w:r w:rsidR="00DF251A" w:rsidRPr="00521670">
        <w:rPr>
          <w:bCs/>
          <w:lang w:val="ru-RU" w:bidi="ru-RU"/>
        </w:rPr>
        <w:t> </w:t>
      </w:r>
      <w:r w:rsidRPr="00521670">
        <w:rPr>
          <w:bCs/>
          <w:lang w:val="ru-RU" w:bidi="ru-RU"/>
        </w:rPr>
        <w:t>21</w:t>
      </w:r>
      <w:r w:rsidRPr="00521670">
        <w:rPr>
          <w:bCs/>
          <w:lang w:val="ru-RU"/>
        </w:rPr>
        <w:t>.</w:t>
      </w:r>
    </w:p>
    <w:p w14:paraId="64E740C0" w14:textId="535BFC0F" w:rsidR="00BF380C" w:rsidRPr="00521670" w:rsidRDefault="006B15DB" w:rsidP="001101B3">
      <w:pPr>
        <w:pStyle w:val="Headingi"/>
        <w:rPr>
          <w:b/>
          <w:bCs/>
          <w:iCs/>
          <w:lang w:val="ru-RU"/>
        </w:rPr>
      </w:pPr>
      <w:bookmarkStart w:id="247" w:name="_Toc200469170"/>
      <w:r w:rsidRPr="00521670">
        <w:rPr>
          <w:b/>
          <w:bCs/>
          <w:iCs/>
          <w:lang w:val="ru-RU"/>
        </w:rPr>
        <w:t>Использование оценок</w:t>
      </w:r>
      <w:bookmarkEnd w:id="247"/>
    </w:p>
    <w:p w14:paraId="16ABFEB0" w14:textId="02B4219C" w:rsidR="00BF380C" w:rsidRPr="00521670" w:rsidRDefault="006B15DB" w:rsidP="001101B3">
      <w:pPr>
        <w:rPr>
          <w:lang w:val="ru-RU"/>
        </w:rPr>
      </w:pPr>
      <w:r w:rsidRPr="00521670">
        <w:rPr>
          <w:lang w:val="ru-RU"/>
        </w:rPr>
        <w:t xml:space="preserve">В финансовую отчетность включаются суммы, основанные на оценках и допущениях руководства. Основания для составления оценок и допущений проверяются на предмет их обоснованности в </w:t>
      </w:r>
      <w:r w:rsidR="007F6676" w:rsidRPr="00521670">
        <w:rPr>
          <w:lang w:val="ru-RU"/>
        </w:rPr>
        <w:t>процессе</w:t>
      </w:r>
      <w:r w:rsidRPr="00521670">
        <w:rPr>
          <w:lang w:val="ru-RU"/>
        </w:rPr>
        <w:t xml:space="preserve"> подготовки финансовой отчетности. </w:t>
      </w:r>
      <w:r w:rsidR="00B75E6F" w:rsidRPr="00521670">
        <w:rPr>
          <w:lang w:val="ru-RU"/>
        </w:rPr>
        <w:t xml:space="preserve">Оценки составляются, </w:t>
      </w:r>
      <w:r w:rsidR="007F6676" w:rsidRPr="00521670">
        <w:rPr>
          <w:lang w:val="ru-RU"/>
        </w:rPr>
        <w:t>среди прочего</w:t>
      </w:r>
      <w:r w:rsidR="00B75E6F" w:rsidRPr="00521670">
        <w:rPr>
          <w:lang w:val="ru-RU"/>
        </w:rPr>
        <w:t xml:space="preserve">, </w:t>
      </w:r>
      <w:r w:rsidR="007F6676" w:rsidRPr="00521670">
        <w:rPr>
          <w:lang w:val="ru-RU"/>
        </w:rPr>
        <w:t>по следующим вопросам</w:t>
      </w:r>
      <w:r w:rsidR="00B75E6F" w:rsidRPr="00521670">
        <w:rPr>
          <w:lang w:val="ru-RU"/>
        </w:rPr>
        <w:t xml:space="preserve">: АСХИ, субсидии на репатриацию и командировочные </w:t>
      </w:r>
      <w:r w:rsidR="00B75E6F" w:rsidRPr="00521670">
        <w:rPr>
          <w:lang w:val="ru-RU"/>
        </w:rPr>
        <w:lastRenderedPageBreak/>
        <w:t>расходы (стоимость которых рассчитывается независимым актуарием), прочие обязательства по вознаграждению сотрудников, резервные фонды для судебных разбирательств, финансовый риск по дебиторской задолженности, начисленные сборы и степень обесценения материальных и нематериальных активов.</w:t>
      </w:r>
      <w:r w:rsidR="00BF380C" w:rsidRPr="00521670">
        <w:rPr>
          <w:lang w:val="ru-RU"/>
        </w:rPr>
        <w:t xml:space="preserve"> </w:t>
      </w:r>
      <w:r w:rsidR="00B75E6F" w:rsidRPr="00521670">
        <w:rPr>
          <w:lang w:val="ru-RU"/>
        </w:rPr>
        <w:t xml:space="preserve">Фактические результаты могут отличаться от этих оценок. Изменения в оценках отражаются </w:t>
      </w:r>
      <w:r w:rsidR="00B17E01" w:rsidRPr="00521670">
        <w:rPr>
          <w:lang w:val="ru-RU"/>
        </w:rPr>
        <w:t>в</w:t>
      </w:r>
      <w:r w:rsidR="00B75E6F" w:rsidRPr="00521670">
        <w:rPr>
          <w:lang w:val="ru-RU"/>
        </w:rPr>
        <w:t xml:space="preserve"> </w:t>
      </w:r>
      <w:r w:rsidR="00B17E01" w:rsidRPr="00521670">
        <w:rPr>
          <w:lang w:val="ru-RU"/>
        </w:rPr>
        <w:t xml:space="preserve">том </w:t>
      </w:r>
      <w:r w:rsidR="00B75E6F" w:rsidRPr="00521670">
        <w:rPr>
          <w:lang w:val="ru-RU"/>
        </w:rPr>
        <w:t>периоде, в котором они стали известны.</w:t>
      </w:r>
    </w:p>
    <w:p w14:paraId="5F565FDB" w14:textId="2CFE170A" w:rsidR="00BF380C" w:rsidRPr="00521670" w:rsidRDefault="00B75E6F" w:rsidP="001101B3">
      <w:pPr>
        <w:rPr>
          <w:lang w:val="ru-RU"/>
        </w:rPr>
      </w:pPr>
      <w:r w:rsidRPr="00521670">
        <w:rPr>
          <w:lang w:val="ru-RU"/>
        </w:rPr>
        <w:t>Все сальдо представлены в тысячах швейцарских франков, поэтому из-за округления могут возникнуть незначительные различия.</w:t>
      </w:r>
    </w:p>
    <w:p w14:paraId="41B64E60" w14:textId="77777777" w:rsidR="00DF251A" w:rsidRPr="00521670" w:rsidRDefault="00DF251A" w:rsidP="00B33206">
      <w:pPr>
        <w:pStyle w:val="Heading5"/>
        <w:tabs>
          <w:tab w:val="left" w:pos="1980"/>
        </w:tabs>
        <w:spacing w:before="360" w:after="120"/>
        <w:rPr>
          <w:b/>
          <w:bCs/>
          <w:color w:val="4F81BD" w:themeColor="accent1"/>
          <w:lang w:val="ru-RU"/>
        </w:rPr>
      </w:pPr>
      <w:bookmarkStart w:id="248" w:name="_Toc164845550"/>
      <w:bookmarkStart w:id="249" w:name="_Toc168578464"/>
      <w:bookmarkStart w:id="250" w:name="_Toc180681809"/>
      <w:bookmarkStart w:id="251" w:name="_Toc200469528"/>
      <w:r w:rsidRPr="00521670">
        <w:rPr>
          <w:b/>
          <w:bCs/>
          <w:color w:val="4F81BD" w:themeColor="accent1"/>
          <w:lang w:val="ru-RU"/>
        </w:rPr>
        <w:t>Примечание 4</w:t>
      </w:r>
      <w:r w:rsidRPr="00521670">
        <w:rPr>
          <w:b/>
          <w:bCs/>
          <w:color w:val="4F81BD" w:themeColor="accent1"/>
          <w:lang w:val="ru-RU"/>
        </w:rPr>
        <w:tab/>
      </w:r>
      <w:bookmarkEnd w:id="248"/>
      <w:r w:rsidRPr="00521670">
        <w:rPr>
          <w:b/>
          <w:bCs/>
          <w:color w:val="4F81BD" w:themeColor="accent1"/>
          <w:lang w:val="ru-RU"/>
        </w:rPr>
        <w:t>Управление чистыми активами</w:t>
      </w:r>
      <w:bookmarkEnd w:id="249"/>
      <w:bookmarkEnd w:id="250"/>
      <w:bookmarkEnd w:id="251"/>
    </w:p>
    <w:p w14:paraId="09E987EE" w14:textId="1AE53341" w:rsidR="00DF251A" w:rsidRPr="00521670" w:rsidRDefault="00DF251A" w:rsidP="001101B3">
      <w:pPr>
        <w:rPr>
          <w:lang w:val="ru-RU"/>
        </w:rPr>
      </w:pPr>
      <w:r w:rsidRPr="00521670">
        <w:rPr>
          <w:lang w:val="ru-RU"/>
        </w:rPr>
        <w:t>По состоянию на 31 декабря 2024 года чистые активы Союза включали в себя следующие</w:t>
      </w:r>
      <w:r w:rsidR="008D5509" w:rsidRPr="00521670">
        <w:rPr>
          <w:lang w:val="ru-RU"/>
        </w:rPr>
        <w:t> </w:t>
      </w:r>
      <w:r w:rsidRPr="00521670">
        <w:rPr>
          <w:lang w:val="ru-RU"/>
        </w:rPr>
        <w:t>компоненты:</w:t>
      </w:r>
    </w:p>
    <w:p w14:paraId="5F105AC6" w14:textId="77777777" w:rsidR="00DF251A" w:rsidRPr="00521670" w:rsidRDefault="00DF251A" w:rsidP="00993675">
      <w:pPr>
        <w:pStyle w:val="enumlev1"/>
        <w:rPr>
          <w:lang w:val="ru-RU"/>
        </w:rPr>
      </w:pPr>
      <w:r w:rsidRPr="00521670">
        <w:rPr>
          <w:lang w:val="ru-RU"/>
        </w:rPr>
        <w:t>1)</w:t>
      </w:r>
      <w:r w:rsidRPr="00521670">
        <w:rPr>
          <w:lang w:val="ru-RU"/>
        </w:rPr>
        <w:tab/>
        <w:t>Резервный счет МСЭ;</w:t>
      </w:r>
    </w:p>
    <w:p w14:paraId="1177494E" w14:textId="77777777" w:rsidR="00DF251A" w:rsidRPr="00521670" w:rsidRDefault="00DF251A" w:rsidP="00993675">
      <w:pPr>
        <w:pStyle w:val="enumlev1"/>
        <w:rPr>
          <w:lang w:val="ru-RU"/>
        </w:rPr>
      </w:pPr>
      <w:r w:rsidRPr="00521670">
        <w:rPr>
          <w:lang w:val="ru-RU"/>
        </w:rPr>
        <w:t>2)</w:t>
      </w:r>
      <w:r w:rsidRPr="00521670">
        <w:rPr>
          <w:lang w:val="ru-RU"/>
        </w:rPr>
        <w:tab/>
        <w:t>прочие резервы и фонды;</w:t>
      </w:r>
    </w:p>
    <w:p w14:paraId="2843F3FA" w14:textId="77777777" w:rsidR="00DF251A" w:rsidRPr="00521670" w:rsidRDefault="00DF251A" w:rsidP="00993675">
      <w:pPr>
        <w:pStyle w:val="enumlev1"/>
        <w:rPr>
          <w:lang w:val="ru-RU"/>
        </w:rPr>
      </w:pPr>
      <w:r w:rsidRPr="00521670">
        <w:rPr>
          <w:lang w:val="ru-RU"/>
        </w:rPr>
        <w:t>3)</w:t>
      </w:r>
      <w:r w:rsidRPr="00521670">
        <w:rPr>
          <w:lang w:val="ru-RU"/>
        </w:rPr>
        <w:tab/>
        <w:t>внебюджетные резервы;</w:t>
      </w:r>
    </w:p>
    <w:p w14:paraId="51F391F7" w14:textId="77777777" w:rsidR="00DF251A" w:rsidRPr="00521670" w:rsidRDefault="00DF251A" w:rsidP="00993675">
      <w:pPr>
        <w:pStyle w:val="enumlev1"/>
        <w:rPr>
          <w:lang w:val="ru-RU"/>
        </w:rPr>
      </w:pPr>
      <w:r w:rsidRPr="00521670">
        <w:rPr>
          <w:lang w:val="ru-RU"/>
        </w:rPr>
        <w:t>4)</w:t>
      </w:r>
      <w:r w:rsidRPr="00521670">
        <w:rPr>
          <w:lang w:val="ru-RU"/>
        </w:rPr>
        <w:tab/>
        <w:t>актуарные прибыли/(потери) АСХИ в рамках чистых активов; и</w:t>
      </w:r>
    </w:p>
    <w:p w14:paraId="083389E6" w14:textId="77777777" w:rsidR="00DF251A" w:rsidRPr="00521670" w:rsidRDefault="00DF251A" w:rsidP="00993675">
      <w:pPr>
        <w:pStyle w:val="enumlev1"/>
        <w:rPr>
          <w:lang w:val="ru-RU"/>
        </w:rPr>
      </w:pPr>
      <w:r w:rsidRPr="00521670">
        <w:rPr>
          <w:lang w:val="ru-RU"/>
        </w:rPr>
        <w:t>5)</w:t>
      </w:r>
      <w:r w:rsidRPr="00521670">
        <w:rPr>
          <w:lang w:val="ru-RU"/>
        </w:rPr>
        <w:tab/>
        <w:t>накопленное активное сальдо/(дефицит).</w:t>
      </w:r>
    </w:p>
    <w:p w14:paraId="3C3DF5E0" w14:textId="77777777" w:rsidR="00DF251A" w:rsidRPr="00521670" w:rsidRDefault="00DF251A" w:rsidP="00993675">
      <w:pPr>
        <w:pStyle w:val="Headingb"/>
        <w:rPr>
          <w:lang w:val="ru-RU"/>
        </w:rPr>
      </w:pPr>
      <w:bookmarkStart w:id="252" w:name="_Toc387243023"/>
      <w:bookmarkStart w:id="253" w:name="_Toc419404368"/>
      <w:bookmarkStart w:id="254" w:name="_Toc482810316"/>
      <w:bookmarkStart w:id="255" w:name="_Toc511401551"/>
      <w:bookmarkStart w:id="256" w:name="_Toc511401674"/>
      <w:bookmarkStart w:id="257" w:name="_Toc10540787"/>
      <w:bookmarkStart w:id="258" w:name="_Toc41900407"/>
      <w:bookmarkStart w:id="259" w:name="_Toc73437990"/>
      <w:bookmarkStart w:id="260" w:name="_Toc73438619"/>
      <w:bookmarkStart w:id="261" w:name="_Toc73438877"/>
      <w:bookmarkStart w:id="262" w:name="_Toc73439168"/>
      <w:r w:rsidRPr="00521670">
        <w:rPr>
          <w:lang w:val="ru-RU"/>
        </w:rPr>
        <w:t>Резервный счет</w:t>
      </w:r>
      <w:bookmarkEnd w:id="252"/>
      <w:bookmarkEnd w:id="253"/>
      <w:bookmarkEnd w:id="254"/>
      <w:bookmarkEnd w:id="255"/>
      <w:bookmarkEnd w:id="256"/>
      <w:bookmarkEnd w:id="257"/>
      <w:bookmarkEnd w:id="258"/>
      <w:bookmarkEnd w:id="259"/>
      <w:bookmarkEnd w:id="260"/>
      <w:bookmarkEnd w:id="261"/>
      <w:bookmarkEnd w:id="262"/>
      <w:r w:rsidRPr="00521670">
        <w:rPr>
          <w:lang w:val="ru-RU"/>
        </w:rPr>
        <w:t xml:space="preserve"> МСЭ</w:t>
      </w:r>
    </w:p>
    <w:p w14:paraId="300E6A7E" w14:textId="77777777" w:rsidR="00DF251A" w:rsidRPr="00521670" w:rsidRDefault="00DF251A" w:rsidP="001101B3">
      <w:pPr>
        <w:rPr>
          <w:lang w:val="ru-RU"/>
        </w:rPr>
      </w:pPr>
      <w:r w:rsidRPr="00521670">
        <w:rPr>
          <w:lang w:val="ru-RU"/>
        </w:rPr>
        <w:t>Резервный счет МСЭ был создан в соответствии с п. 485 Конвенции МСЭ и статьей 27 Финансового регламента. Он финансируется за счет:</w:t>
      </w:r>
    </w:p>
    <w:p w14:paraId="34182EA1" w14:textId="65EBF4B7" w:rsidR="00DF251A" w:rsidRPr="00521670" w:rsidRDefault="00DF251A" w:rsidP="001101B3">
      <w:pPr>
        <w:pStyle w:val="enumlev1"/>
        <w:rPr>
          <w:lang w:val="ru-RU"/>
        </w:rPr>
      </w:pPr>
      <w:r w:rsidRPr="00521670">
        <w:rPr>
          <w:rFonts w:cs="Calibri"/>
          <w:lang w:val="ru-RU"/>
        </w:rPr>
        <w:t>•</w:t>
      </w:r>
      <w:r w:rsidRPr="00521670">
        <w:rPr>
          <w:lang w:val="ru-RU"/>
        </w:rPr>
        <w:tab/>
        <w:t>положительного или отрицательного сальдо по результатам исполнения регулярного бюджета за каждый финансовый период;</w:t>
      </w:r>
    </w:p>
    <w:p w14:paraId="1EC19B93" w14:textId="281801D9" w:rsidR="00DF251A" w:rsidRPr="00521670" w:rsidRDefault="00DF251A" w:rsidP="001101B3">
      <w:pPr>
        <w:pStyle w:val="enumlev1"/>
        <w:rPr>
          <w:lang w:val="ru-RU"/>
        </w:rPr>
      </w:pPr>
      <w:r w:rsidRPr="00521670">
        <w:rPr>
          <w:rFonts w:cs="Calibri"/>
          <w:lang w:val="ru-RU"/>
        </w:rPr>
        <w:t>•</w:t>
      </w:r>
      <w:r w:rsidRPr="00521670">
        <w:rPr>
          <w:lang w:val="ru-RU"/>
        </w:rPr>
        <w:tab/>
        <w:t>перевода средств из других резервов/фондов по решению Совета;</w:t>
      </w:r>
    </w:p>
    <w:p w14:paraId="047A1C04" w14:textId="3C0BB4DA" w:rsidR="00DF251A" w:rsidRPr="00521670" w:rsidRDefault="00DF251A" w:rsidP="001101B3">
      <w:pPr>
        <w:pStyle w:val="enumlev1"/>
        <w:rPr>
          <w:lang w:val="ru-RU"/>
        </w:rPr>
      </w:pPr>
      <w:r w:rsidRPr="00521670">
        <w:rPr>
          <w:rFonts w:cs="Calibri"/>
          <w:lang w:val="ru-RU"/>
        </w:rPr>
        <w:t>•</w:t>
      </w:r>
      <w:r w:rsidRPr="00521670">
        <w:rPr>
          <w:lang w:val="ru-RU"/>
        </w:rPr>
        <w:tab/>
        <w:t>зачисления других средств в соответствии с порядком, который устанавливается действующими стандартами учета.</w:t>
      </w:r>
    </w:p>
    <w:p w14:paraId="5B916F1D" w14:textId="77777777" w:rsidR="00DF251A" w:rsidRPr="00521670" w:rsidRDefault="00DF251A" w:rsidP="001101B3">
      <w:pPr>
        <w:rPr>
          <w:lang w:val="ru-RU"/>
        </w:rPr>
      </w:pPr>
      <w:r w:rsidRPr="00521670">
        <w:rPr>
          <w:lang w:val="ru-RU"/>
        </w:rPr>
        <w:t>Снятие средств с Резервного счета может осуществляться только по специальному решению Совета, а их использование ограничено следующими целями:</w:t>
      </w:r>
    </w:p>
    <w:p w14:paraId="75608512" w14:textId="77777777" w:rsidR="00DF251A" w:rsidRPr="00521670" w:rsidRDefault="00DF251A" w:rsidP="001101B3">
      <w:pPr>
        <w:pStyle w:val="enumlev1"/>
        <w:rPr>
          <w:lang w:val="ru-RU"/>
        </w:rPr>
      </w:pPr>
      <w:r w:rsidRPr="00521670">
        <w:rPr>
          <w:rFonts w:cs="Calibri"/>
          <w:lang w:val="ru-RU"/>
        </w:rPr>
        <w:t>•</w:t>
      </w:r>
      <w:r w:rsidRPr="00521670">
        <w:rPr>
          <w:lang w:val="ru-RU"/>
        </w:rPr>
        <w:tab/>
        <w:t>уменьшение размера единицы взносов;</w:t>
      </w:r>
    </w:p>
    <w:p w14:paraId="12DE0611" w14:textId="77777777" w:rsidR="00DF251A" w:rsidRPr="00521670" w:rsidRDefault="00DF251A" w:rsidP="001101B3">
      <w:pPr>
        <w:pStyle w:val="enumlev1"/>
        <w:rPr>
          <w:lang w:val="ru-RU"/>
        </w:rPr>
      </w:pPr>
      <w:r w:rsidRPr="00521670">
        <w:rPr>
          <w:rFonts w:cs="Calibri"/>
          <w:lang w:val="ru-RU"/>
        </w:rPr>
        <w:t>•</w:t>
      </w:r>
      <w:r w:rsidRPr="00521670">
        <w:rPr>
          <w:lang w:val="ru-RU"/>
        </w:rPr>
        <w:tab/>
        <w:t>уравновешивание бюджета Союза;</w:t>
      </w:r>
    </w:p>
    <w:p w14:paraId="6A9B7DD5" w14:textId="77777777" w:rsidR="00DF251A" w:rsidRPr="00521670" w:rsidRDefault="00DF251A" w:rsidP="001101B3">
      <w:pPr>
        <w:pStyle w:val="enumlev1"/>
        <w:rPr>
          <w:lang w:val="ru-RU"/>
        </w:rPr>
      </w:pPr>
      <w:r w:rsidRPr="00521670">
        <w:rPr>
          <w:rFonts w:cs="Calibri"/>
          <w:lang w:val="ru-RU"/>
        </w:rPr>
        <w:t>•</w:t>
      </w:r>
      <w:r w:rsidRPr="00521670">
        <w:rPr>
          <w:lang w:val="ru-RU"/>
        </w:rPr>
        <w:tab/>
        <w:t>перевод средств в другие резервы/фонды;</w:t>
      </w:r>
    </w:p>
    <w:p w14:paraId="6A375567" w14:textId="77777777" w:rsidR="00DF251A" w:rsidRPr="00521670" w:rsidRDefault="00DF251A" w:rsidP="001101B3">
      <w:pPr>
        <w:pStyle w:val="enumlev1"/>
        <w:rPr>
          <w:lang w:val="ru-RU"/>
        </w:rPr>
      </w:pPr>
      <w:r w:rsidRPr="00521670">
        <w:rPr>
          <w:rFonts w:cs="Calibri"/>
          <w:lang w:val="ru-RU"/>
        </w:rPr>
        <w:t>•</w:t>
      </w:r>
      <w:r w:rsidRPr="00521670">
        <w:rPr>
          <w:lang w:val="ru-RU"/>
        </w:rPr>
        <w:tab/>
        <w:t>внесение коррективов в соответствии с порядком, который устанавливается действующими стандартами учета.</w:t>
      </w:r>
    </w:p>
    <w:p w14:paraId="67D44860" w14:textId="77777777" w:rsidR="00DF251A" w:rsidRPr="00521670" w:rsidRDefault="00DF251A" w:rsidP="00993675">
      <w:pPr>
        <w:spacing w:after="120"/>
        <w:rPr>
          <w:lang w:val="ru-RU"/>
        </w:rPr>
      </w:pPr>
      <w:r w:rsidRPr="00521670">
        <w:rPr>
          <w:lang w:val="ru-RU"/>
        </w:rPr>
        <w:t>Движение средств на резервном счете МСЭ представлено в таблице ниже.</w:t>
      </w:r>
    </w:p>
    <w:tbl>
      <w:tblPr>
        <w:tblW w:w="5000" w:type="pct"/>
        <w:tblLayout w:type="fixed"/>
        <w:tblLook w:val="04A0" w:firstRow="1" w:lastRow="0" w:firstColumn="1" w:lastColumn="0" w:noHBand="0" w:noVBand="1"/>
      </w:tblPr>
      <w:tblGrid>
        <w:gridCol w:w="6569"/>
        <w:gridCol w:w="1261"/>
        <w:gridCol w:w="1241"/>
      </w:tblGrid>
      <w:tr w:rsidR="00DF251A" w:rsidRPr="00521670" w14:paraId="435D8F11" w14:textId="77777777" w:rsidTr="00B33206">
        <w:trPr>
          <w:trHeight w:val="525"/>
        </w:trPr>
        <w:tc>
          <w:tcPr>
            <w:tcW w:w="3621" w:type="pct"/>
            <w:tcBorders>
              <w:top w:val="nil"/>
              <w:left w:val="nil"/>
              <w:bottom w:val="nil"/>
              <w:right w:val="nil"/>
            </w:tcBorders>
            <w:shd w:val="clear" w:color="000000" w:fill="0070C0"/>
            <w:noWrap/>
            <w:vAlign w:val="center"/>
            <w:hideMark/>
          </w:tcPr>
          <w:p w14:paraId="55E983A9" w14:textId="77777777" w:rsidR="00DF251A" w:rsidRPr="00521670" w:rsidRDefault="00DF251A" w:rsidP="008657C4">
            <w:pPr>
              <w:pStyle w:val="Tablehead"/>
              <w:rPr>
                <w:bCs/>
                <w:szCs w:val="18"/>
                <w:lang w:val="ru-RU" w:eastAsia="en-GB"/>
              </w:rPr>
            </w:pPr>
            <w:r w:rsidRPr="00521670">
              <w:rPr>
                <w:szCs w:val="18"/>
                <w:lang w:val="ru-RU" w:eastAsia="en-GB"/>
              </w:rPr>
              <w:t>Описание (тыс. шв. фр.)</w:t>
            </w:r>
          </w:p>
        </w:tc>
        <w:tc>
          <w:tcPr>
            <w:tcW w:w="695" w:type="pct"/>
            <w:tcBorders>
              <w:top w:val="nil"/>
              <w:left w:val="nil"/>
              <w:bottom w:val="nil"/>
              <w:right w:val="nil"/>
            </w:tcBorders>
            <w:shd w:val="clear" w:color="000000" w:fill="0070C0"/>
            <w:vAlign w:val="center"/>
            <w:hideMark/>
          </w:tcPr>
          <w:p w14:paraId="7A6CBCBD" w14:textId="77777777" w:rsidR="00DF251A" w:rsidRPr="00521670" w:rsidRDefault="00DF251A" w:rsidP="00015883">
            <w:pPr>
              <w:pStyle w:val="Tablehead"/>
              <w:jc w:val="right"/>
              <w:rPr>
                <w:bCs/>
                <w:szCs w:val="18"/>
                <w:lang w:val="ru-RU" w:eastAsia="en-GB"/>
              </w:rPr>
            </w:pPr>
            <w:r w:rsidRPr="00521670">
              <w:rPr>
                <w:szCs w:val="18"/>
                <w:lang w:val="ru-RU"/>
              </w:rPr>
              <w:t>31 декабря 2024 г.</w:t>
            </w:r>
          </w:p>
        </w:tc>
        <w:tc>
          <w:tcPr>
            <w:tcW w:w="684" w:type="pct"/>
            <w:tcBorders>
              <w:top w:val="nil"/>
              <w:left w:val="nil"/>
              <w:bottom w:val="nil"/>
              <w:right w:val="nil"/>
            </w:tcBorders>
            <w:shd w:val="clear" w:color="000000" w:fill="0070C0"/>
            <w:vAlign w:val="center"/>
            <w:hideMark/>
          </w:tcPr>
          <w:p w14:paraId="38919067" w14:textId="77777777" w:rsidR="00DF251A" w:rsidRPr="00521670" w:rsidRDefault="00DF251A" w:rsidP="00015883">
            <w:pPr>
              <w:pStyle w:val="Tablehead"/>
              <w:jc w:val="right"/>
              <w:rPr>
                <w:bCs/>
                <w:szCs w:val="18"/>
                <w:lang w:val="ru-RU" w:eastAsia="en-GB"/>
              </w:rPr>
            </w:pPr>
            <w:r w:rsidRPr="00521670">
              <w:rPr>
                <w:szCs w:val="18"/>
                <w:lang w:val="ru-RU"/>
              </w:rPr>
              <w:t>31 декабря 2023 г.</w:t>
            </w:r>
          </w:p>
        </w:tc>
      </w:tr>
      <w:tr w:rsidR="00DF251A" w:rsidRPr="00521670" w14:paraId="3C387145" w14:textId="77777777" w:rsidTr="00B33206">
        <w:trPr>
          <w:trHeight w:val="157"/>
        </w:trPr>
        <w:tc>
          <w:tcPr>
            <w:tcW w:w="3621" w:type="pct"/>
            <w:tcBorders>
              <w:top w:val="nil"/>
              <w:left w:val="nil"/>
              <w:bottom w:val="nil"/>
              <w:right w:val="nil"/>
            </w:tcBorders>
            <w:shd w:val="clear" w:color="000000" w:fill="auto"/>
            <w:noWrap/>
            <w:vAlign w:val="bottom"/>
            <w:hideMark/>
          </w:tcPr>
          <w:p w14:paraId="77465C3C" w14:textId="77777777" w:rsidR="00DF251A" w:rsidRPr="00521670" w:rsidRDefault="00DF251A" w:rsidP="008657C4">
            <w:pPr>
              <w:pStyle w:val="Tabletext"/>
              <w:rPr>
                <w:szCs w:val="18"/>
                <w:lang w:val="ru-RU" w:eastAsia="en-GB"/>
              </w:rPr>
            </w:pPr>
          </w:p>
        </w:tc>
        <w:tc>
          <w:tcPr>
            <w:tcW w:w="695" w:type="pct"/>
            <w:tcBorders>
              <w:top w:val="nil"/>
              <w:left w:val="nil"/>
              <w:bottom w:val="nil"/>
              <w:right w:val="nil"/>
            </w:tcBorders>
            <w:shd w:val="clear" w:color="000000" w:fill="auto"/>
            <w:noWrap/>
            <w:vAlign w:val="bottom"/>
            <w:hideMark/>
          </w:tcPr>
          <w:p w14:paraId="614D5A90" w14:textId="77777777" w:rsidR="00DF251A" w:rsidRPr="00521670" w:rsidRDefault="00DF251A" w:rsidP="008657C4">
            <w:pPr>
              <w:pStyle w:val="Tabletext"/>
              <w:rPr>
                <w:szCs w:val="18"/>
                <w:lang w:val="ru-RU" w:eastAsia="en-GB"/>
              </w:rPr>
            </w:pPr>
          </w:p>
        </w:tc>
        <w:tc>
          <w:tcPr>
            <w:tcW w:w="684" w:type="pct"/>
            <w:tcBorders>
              <w:top w:val="nil"/>
              <w:left w:val="nil"/>
              <w:bottom w:val="nil"/>
              <w:right w:val="nil"/>
            </w:tcBorders>
            <w:shd w:val="clear" w:color="000000" w:fill="auto"/>
            <w:noWrap/>
            <w:vAlign w:val="bottom"/>
            <w:hideMark/>
          </w:tcPr>
          <w:p w14:paraId="6F982E63" w14:textId="77777777" w:rsidR="00DF251A" w:rsidRPr="00521670" w:rsidRDefault="00DF251A" w:rsidP="008657C4">
            <w:pPr>
              <w:pStyle w:val="Tabletext"/>
              <w:rPr>
                <w:szCs w:val="18"/>
                <w:lang w:val="ru-RU" w:eastAsia="en-GB"/>
              </w:rPr>
            </w:pPr>
          </w:p>
        </w:tc>
      </w:tr>
      <w:tr w:rsidR="00DF251A" w:rsidRPr="00521670" w14:paraId="62360555" w14:textId="77777777" w:rsidTr="00B33206">
        <w:trPr>
          <w:trHeight w:val="300"/>
        </w:trPr>
        <w:tc>
          <w:tcPr>
            <w:tcW w:w="3621" w:type="pct"/>
            <w:tcBorders>
              <w:top w:val="nil"/>
              <w:left w:val="nil"/>
              <w:bottom w:val="nil"/>
              <w:right w:val="nil"/>
            </w:tcBorders>
            <w:shd w:val="clear" w:color="000000" w:fill="auto"/>
            <w:noWrap/>
            <w:hideMark/>
          </w:tcPr>
          <w:p w14:paraId="5C5E2DB8" w14:textId="77777777" w:rsidR="00DF251A" w:rsidRPr="00521670" w:rsidRDefault="00DF251A" w:rsidP="008657C4">
            <w:pPr>
              <w:pStyle w:val="Tabletext"/>
              <w:rPr>
                <w:b/>
                <w:bCs/>
                <w:szCs w:val="18"/>
                <w:lang w:val="ru-RU" w:eastAsia="en-GB"/>
              </w:rPr>
            </w:pPr>
            <w:r w:rsidRPr="00521670">
              <w:rPr>
                <w:b/>
                <w:bCs/>
                <w:szCs w:val="18"/>
                <w:lang w:val="ru-RU"/>
              </w:rPr>
              <w:t>Начальный остаток − 1 января 2023 г. и 2024 г.</w:t>
            </w:r>
          </w:p>
        </w:tc>
        <w:tc>
          <w:tcPr>
            <w:tcW w:w="695" w:type="pct"/>
            <w:tcBorders>
              <w:top w:val="nil"/>
              <w:left w:val="nil"/>
              <w:bottom w:val="nil"/>
              <w:right w:val="nil"/>
            </w:tcBorders>
            <w:shd w:val="clear" w:color="auto" w:fill="auto"/>
            <w:noWrap/>
            <w:vAlign w:val="bottom"/>
            <w:hideMark/>
          </w:tcPr>
          <w:p w14:paraId="240CDAE4" w14:textId="77777777" w:rsidR="00DF251A" w:rsidRPr="00521670" w:rsidRDefault="00DF251A" w:rsidP="008657C4">
            <w:pPr>
              <w:pStyle w:val="Tabletext"/>
              <w:jc w:val="right"/>
              <w:rPr>
                <w:szCs w:val="18"/>
                <w:lang w:val="ru-RU" w:eastAsia="en-GB"/>
              </w:rPr>
            </w:pPr>
            <w:r w:rsidRPr="00521670">
              <w:rPr>
                <w:szCs w:val="18"/>
                <w:lang w:val="ru-RU" w:eastAsia="en-GB"/>
              </w:rPr>
              <w:t>26 271</w:t>
            </w:r>
          </w:p>
        </w:tc>
        <w:tc>
          <w:tcPr>
            <w:tcW w:w="684" w:type="pct"/>
            <w:tcBorders>
              <w:top w:val="nil"/>
              <w:left w:val="nil"/>
              <w:bottom w:val="nil"/>
              <w:right w:val="nil"/>
            </w:tcBorders>
            <w:shd w:val="clear" w:color="auto" w:fill="auto"/>
            <w:noWrap/>
            <w:vAlign w:val="bottom"/>
            <w:hideMark/>
          </w:tcPr>
          <w:p w14:paraId="1C3617A6" w14:textId="77777777" w:rsidR="00DF251A" w:rsidRPr="00521670" w:rsidRDefault="00DF251A" w:rsidP="008657C4">
            <w:pPr>
              <w:pStyle w:val="Tabletext"/>
              <w:jc w:val="right"/>
              <w:rPr>
                <w:szCs w:val="18"/>
                <w:lang w:val="ru-RU" w:eastAsia="en-GB"/>
              </w:rPr>
            </w:pPr>
            <w:r w:rsidRPr="00521670">
              <w:rPr>
                <w:szCs w:val="18"/>
                <w:lang w:val="ru-RU" w:eastAsia="en-GB"/>
              </w:rPr>
              <w:t>28 388</w:t>
            </w:r>
          </w:p>
        </w:tc>
      </w:tr>
      <w:tr w:rsidR="00DF251A" w:rsidRPr="00521670" w14:paraId="498BF21F" w14:textId="77777777" w:rsidTr="00B33206">
        <w:trPr>
          <w:trHeight w:val="300"/>
        </w:trPr>
        <w:tc>
          <w:tcPr>
            <w:tcW w:w="3621" w:type="pct"/>
            <w:tcBorders>
              <w:top w:val="nil"/>
              <w:left w:val="nil"/>
              <w:bottom w:val="nil"/>
              <w:right w:val="nil"/>
            </w:tcBorders>
            <w:shd w:val="clear" w:color="000000" w:fill="auto"/>
            <w:noWrap/>
            <w:hideMark/>
          </w:tcPr>
          <w:p w14:paraId="4D777967" w14:textId="77777777" w:rsidR="00DF251A" w:rsidRPr="00521670" w:rsidRDefault="00DF251A" w:rsidP="008657C4">
            <w:pPr>
              <w:pStyle w:val="Tabletext"/>
              <w:rPr>
                <w:szCs w:val="18"/>
                <w:lang w:val="ru-RU" w:eastAsia="en-GB"/>
              </w:rPr>
            </w:pPr>
            <w:r w:rsidRPr="00521670">
              <w:rPr>
                <w:szCs w:val="18"/>
                <w:lang w:val="ru-RU"/>
              </w:rPr>
              <w:t>Распределение активного сальдо бюджета</w:t>
            </w:r>
          </w:p>
        </w:tc>
        <w:tc>
          <w:tcPr>
            <w:tcW w:w="695" w:type="pct"/>
            <w:tcBorders>
              <w:top w:val="nil"/>
              <w:left w:val="nil"/>
              <w:bottom w:val="nil"/>
              <w:right w:val="nil"/>
            </w:tcBorders>
            <w:shd w:val="clear" w:color="000000" w:fill="auto"/>
            <w:noWrap/>
            <w:vAlign w:val="bottom"/>
            <w:hideMark/>
          </w:tcPr>
          <w:p w14:paraId="7B7930FE" w14:textId="77777777" w:rsidR="00DF251A" w:rsidRPr="00521670" w:rsidRDefault="00DF251A" w:rsidP="008657C4">
            <w:pPr>
              <w:pStyle w:val="Tabletext"/>
              <w:jc w:val="right"/>
              <w:rPr>
                <w:szCs w:val="18"/>
                <w:lang w:val="ru-RU" w:eastAsia="en-GB"/>
              </w:rPr>
            </w:pPr>
            <w:r w:rsidRPr="00521670">
              <w:rPr>
                <w:szCs w:val="18"/>
                <w:lang w:val="ru-RU" w:eastAsia="en-GB"/>
              </w:rPr>
              <w:t>5 652</w:t>
            </w:r>
          </w:p>
        </w:tc>
        <w:tc>
          <w:tcPr>
            <w:tcW w:w="684" w:type="pct"/>
            <w:tcBorders>
              <w:top w:val="nil"/>
              <w:left w:val="nil"/>
              <w:bottom w:val="nil"/>
              <w:right w:val="nil"/>
            </w:tcBorders>
            <w:shd w:val="clear" w:color="000000" w:fill="auto"/>
            <w:noWrap/>
            <w:vAlign w:val="bottom"/>
            <w:hideMark/>
          </w:tcPr>
          <w:p w14:paraId="73597289" w14:textId="77777777" w:rsidR="00DF251A" w:rsidRPr="00521670" w:rsidRDefault="00DF251A" w:rsidP="008657C4">
            <w:pPr>
              <w:pStyle w:val="Tabletext"/>
              <w:jc w:val="right"/>
              <w:rPr>
                <w:szCs w:val="18"/>
                <w:lang w:val="ru-RU" w:eastAsia="en-GB"/>
              </w:rPr>
            </w:pPr>
            <w:r w:rsidRPr="00521670">
              <w:rPr>
                <w:szCs w:val="18"/>
                <w:lang w:val="ru-RU" w:eastAsia="en-GB"/>
              </w:rPr>
              <w:t>1 424</w:t>
            </w:r>
          </w:p>
        </w:tc>
      </w:tr>
      <w:tr w:rsidR="00DF251A" w:rsidRPr="00521670" w14:paraId="1E1E08ED" w14:textId="77777777" w:rsidTr="00B33206">
        <w:trPr>
          <w:trHeight w:val="526"/>
        </w:trPr>
        <w:tc>
          <w:tcPr>
            <w:tcW w:w="3621" w:type="pct"/>
            <w:tcBorders>
              <w:top w:val="nil"/>
              <w:left w:val="nil"/>
              <w:bottom w:val="nil"/>
              <w:right w:val="nil"/>
            </w:tcBorders>
            <w:shd w:val="clear" w:color="000000" w:fill="auto"/>
            <w:hideMark/>
          </w:tcPr>
          <w:p w14:paraId="18D46EF3" w14:textId="77777777" w:rsidR="00DF251A" w:rsidRPr="00521670" w:rsidRDefault="00DF251A" w:rsidP="00CF306B">
            <w:pPr>
              <w:pStyle w:val="Tabletext"/>
              <w:rPr>
                <w:szCs w:val="18"/>
                <w:lang w:val="ru-RU" w:eastAsia="en-GB"/>
              </w:rPr>
            </w:pPr>
            <w:r w:rsidRPr="00521670">
              <w:rPr>
                <w:szCs w:val="18"/>
                <w:lang w:val="ru-RU"/>
              </w:rPr>
              <w:t xml:space="preserve">Программа добровольного прекращения службы – п. 6 раздела </w:t>
            </w:r>
            <w:r w:rsidRPr="00521670">
              <w:rPr>
                <w:i/>
                <w:szCs w:val="18"/>
                <w:lang w:val="ru-RU"/>
              </w:rPr>
              <w:t>поручает Совету МСЭ</w:t>
            </w:r>
            <w:r w:rsidRPr="00521670">
              <w:rPr>
                <w:szCs w:val="18"/>
                <w:lang w:val="ru-RU"/>
              </w:rPr>
              <w:t xml:space="preserve"> Решения 5 (Пересм. Бухарест, 2022 г.)</w:t>
            </w:r>
          </w:p>
        </w:tc>
        <w:tc>
          <w:tcPr>
            <w:tcW w:w="695" w:type="pct"/>
            <w:tcBorders>
              <w:top w:val="nil"/>
              <w:left w:val="nil"/>
              <w:bottom w:val="nil"/>
              <w:right w:val="nil"/>
            </w:tcBorders>
            <w:shd w:val="clear" w:color="auto" w:fill="auto"/>
            <w:noWrap/>
            <w:vAlign w:val="bottom"/>
            <w:hideMark/>
          </w:tcPr>
          <w:p w14:paraId="28B11208" w14:textId="77777777" w:rsidR="00DF251A" w:rsidRPr="00521670" w:rsidRDefault="00DF251A" w:rsidP="008657C4">
            <w:pPr>
              <w:pStyle w:val="Tabletext"/>
              <w:jc w:val="right"/>
              <w:rPr>
                <w:szCs w:val="18"/>
                <w:lang w:val="ru-RU" w:eastAsia="en-GB"/>
              </w:rPr>
            </w:pPr>
            <w:r w:rsidRPr="00521670">
              <w:rPr>
                <w:szCs w:val="18"/>
                <w:lang w:val="ru-RU" w:eastAsia="en-GB"/>
              </w:rPr>
              <w:t>(256)</w:t>
            </w:r>
          </w:p>
        </w:tc>
        <w:tc>
          <w:tcPr>
            <w:tcW w:w="684" w:type="pct"/>
            <w:tcBorders>
              <w:top w:val="nil"/>
              <w:left w:val="nil"/>
              <w:bottom w:val="nil"/>
              <w:right w:val="nil"/>
            </w:tcBorders>
            <w:shd w:val="clear" w:color="auto" w:fill="auto"/>
            <w:noWrap/>
            <w:vAlign w:val="bottom"/>
            <w:hideMark/>
          </w:tcPr>
          <w:p w14:paraId="2C0D87C3" w14:textId="77777777" w:rsidR="00DF251A" w:rsidRPr="00521670" w:rsidRDefault="00DF251A" w:rsidP="008657C4">
            <w:pPr>
              <w:pStyle w:val="Tabletext"/>
              <w:jc w:val="right"/>
              <w:rPr>
                <w:szCs w:val="18"/>
                <w:lang w:val="ru-RU" w:eastAsia="en-GB"/>
              </w:rPr>
            </w:pPr>
            <w:r w:rsidRPr="00521670">
              <w:rPr>
                <w:szCs w:val="18"/>
                <w:lang w:val="ru-RU" w:eastAsia="en-GB"/>
              </w:rPr>
              <w:t>(3 410)</w:t>
            </w:r>
          </w:p>
        </w:tc>
      </w:tr>
      <w:tr w:rsidR="00DF251A" w:rsidRPr="00521670" w14:paraId="05928E29" w14:textId="77777777" w:rsidTr="00B33206">
        <w:trPr>
          <w:trHeight w:val="300"/>
        </w:trPr>
        <w:tc>
          <w:tcPr>
            <w:tcW w:w="3621" w:type="pct"/>
            <w:tcBorders>
              <w:top w:val="nil"/>
              <w:left w:val="nil"/>
              <w:bottom w:val="nil"/>
              <w:right w:val="nil"/>
            </w:tcBorders>
            <w:shd w:val="clear" w:color="000000" w:fill="auto"/>
            <w:noWrap/>
            <w:hideMark/>
          </w:tcPr>
          <w:p w14:paraId="014931B6" w14:textId="77777777" w:rsidR="00DF251A" w:rsidRPr="00521670" w:rsidRDefault="00DF251A" w:rsidP="008657C4">
            <w:pPr>
              <w:pStyle w:val="Tabletext"/>
              <w:rPr>
                <w:szCs w:val="18"/>
                <w:lang w:val="ru-RU" w:eastAsia="en-GB"/>
              </w:rPr>
            </w:pPr>
            <w:r w:rsidRPr="00521670">
              <w:rPr>
                <w:szCs w:val="18"/>
                <w:lang w:val="ru-RU"/>
              </w:rPr>
              <w:t xml:space="preserve">Затраты на проведение расследований – Решение 613, принятое на девятом пленарном заседании Совета МСЭ </w:t>
            </w:r>
          </w:p>
        </w:tc>
        <w:tc>
          <w:tcPr>
            <w:tcW w:w="695" w:type="pct"/>
            <w:tcBorders>
              <w:top w:val="nil"/>
              <w:left w:val="nil"/>
              <w:bottom w:val="nil"/>
              <w:right w:val="nil"/>
            </w:tcBorders>
            <w:shd w:val="clear" w:color="auto" w:fill="auto"/>
            <w:noWrap/>
            <w:vAlign w:val="bottom"/>
            <w:hideMark/>
          </w:tcPr>
          <w:p w14:paraId="7004BCC6" w14:textId="66F18A8D" w:rsidR="00DF251A" w:rsidRPr="00521670" w:rsidRDefault="009977AB" w:rsidP="008657C4">
            <w:pPr>
              <w:pStyle w:val="Tabletext"/>
              <w:jc w:val="right"/>
              <w:rPr>
                <w:szCs w:val="18"/>
                <w:lang w:val="ru-RU" w:eastAsia="en-GB"/>
              </w:rPr>
            </w:pPr>
            <w:r w:rsidRPr="00521670">
              <w:rPr>
                <w:szCs w:val="18"/>
                <w:lang w:val="ru-RU" w:eastAsia="en-GB"/>
              </w:rPr>
              <w:sym w:font="Symbol" w:char="F02D"/>
            </w:r>
          </w:p>
        </w:tc>
        <w:tc>
          <w:tcPr>
            <w:tcW w:w="684" w:type="pct"/>
            <w:tcBorders>
              <w:top w:val="nil"/>
              <w:left w:val="nil"/>
              <w:bottom w:val="nil"/>
              <w:right w:val="nil"/>
            </w:tcBorders>
            <w:shd w:val="clear" w:color="auto" w:fill="auto"/>
            <w:noWrap/>
            <w:vAlign w:val="bottom"/>
            <w:hideMark/>
          </w:tcPr>
          <w:p w14:paraId="00CAF7D6" w14:textId="77777777" w:rsidR="00DF251A" w:rsidRPr="00521670" w:rsidRDefault="00DF251A" w:rsidP="008657C4">
            <w:pPr>
              <w:pStyle w:val="Tabletext"/>
              <w:jc w:val="right"/>
              <w:rPr>
                <w:szCs w:val="18"/>
                <w:lang w:val="ru-RU" w:eastAsia="en-GB"/>
              </w:rPr>
            </w:pPr>
            <w:r w:rsidRPr="00521670">
              <w:rPr>
                <w:szCs w:val="18"/>
                <w:lang w:val="ru-RU" w:eastAsia="en-GB"/>
              </w:rPr>
              <w:t>(131)</w:t>
            </w:r>
          </w:p>
        </w:tc>
      </w:tr>
      <w:tr w:rsidR="00DF251A" w:rsidRPr="00521670" w14:paraId="6AB6FC9B" w14:textId="77777777" w:rsidTr="00B33206">
        <w:trPr>
          <w:trHeight w:val="300"/>
        </w:trPr>
        <w:tc>
          <w:tcPr>
            <w:tcW w:w="3621" w:type="pct"/>
            <w:tcBorders>
              <w:top w:val="nil"/>
              <w:left w:val="nil"/>
              <w:bottom w:val="nil"/>
              <w:right w:val="nil"/>
            </w:tcBorders>
            <w:shd w:val="clear" w:color="000000" w:fill="auto"/>
            <w:noWrap/>
            <w:hideMark/>
          </w:tcPr>
          <w:p w14:paraId="62645DF6" w14:textId="77777777" w:rsidR="00DF251A" w:rsidRPr="00521670" w:rsidRDefault="00DF251A" w:rsidP="008657C4">
            <w:pPr>
              <w:pStyle w:val="Tabletext"/>
              <w:rPr>
                <w:szCs w:val="18"/>
                <w:lang w:val="ru-RU" w:eastAsia="en-GB"/>
              </w:rPr>
            </w:pPr>
            <w:r w:rsidRPr="00521670">
              <w:rPr>
                <w:szCs w:val="18"/>
                <w:lang w:val="ru-RU"/>
              </w:rPr>
              <w:t>Перевод в фонд АСХИ</w:t>
            </w:r>
          </w:p>
        </w:tc>
        <w:tc>
          <w:tcPr>
            <w:tcW w:w="695" w:type="pct"/>
            <w:tcBorders>
              <w:top w:val="nil"/>
              <w:left w:val="nil"/>
              <w:bottom w:val="nil"/>
              <w:right w:val="nil"/>
            </w:tcBorders>
            <w:shd w:val="clear" w:color="auto" w:fill="auto"/>
            <w:noWrap/>
            <w:vAlign w:val="bottom"/>
            <w:hideMark/>
          </w:tcPr>
          <w:p w14:paraId="3F758C01" w14:textId="77777777" w:rsidR="00DF251A" w:rsidRPr="00521670" w:rsidRDefault="00DF251A" w:rsidP="008657C4">
            <w:pPr>
              <w:pStyle w:val="Tabletext"/>
              <w:jc w:val="right"/>
              <w:rPr>
                <w:szCs w:val="18"/>
                <w:lang w:val="ru-RU" w:eastAsia="en-GB"/>
              </w:rPr>
            </w:pPr>
            <w:r w:rsidRPr="00521670">
              <w:rPr>
                <w:szCs w:val="18"/>
                <w:lang w:val="ru-RU" w:eastAsia="en-GB"/>
              </w:rPr>
              <w:t>(1 000)</w:t>
            </w:r>
          </w:p>
        </w:tc>
        <w:tc>
          <w:tcPr>
            <w:tcW w:w="684" w:type="pct"/>
            <w:tcBorders>
              <w:top w:val="nil"/>
              <w:left w:val="nil"/>
              <w:bottom w:val="nil"/>
              <w:right w:val="nil"/>
            </w:tcBorders>
            <w:shd w:val="clear" w:color="auto" w:fill="auto"/>
            <w:noWrap/>
            <w:vAlign w:val="bottom"/>
            <w:hideMark/>
          </w:tcPr>
          <w:p w14:paraId="1B88D097" w14:textId="77777777" w:rsidR="00DF251A" w:rsidRPr="00521670" w:rsidRDefault="00DF251A" w:rsidP="008657C4">
            <w:pPr>
              <w:pStyle w:val="Tabletext"/>
              <w:jc w:val="right"/>
              <w:rPr>
                <w:szCs w:val="18"/>
                <w:lang w:val="ru-RU" w:eastAsia="en-GB"/>
              </w:rPr>
            </w:pPr>
          </w:p>
        </w:tc>
      </w:tr>
      <w:tr w:rsidR="00DF251A" w:rsidRPr="00521670" w14:paraId="66337EA5" w14:textId="77777777" w:rsidTr="00B33206">
        <w:trPr>
          <w:trHeight w:val="120"/>
        </w:trPr>
        <w:tc>
          <w:tcPr>
            <w:tcW w:w="3621" w:type="pct"/>
            <w:tcBorders>
              <w:top w:val="nil"/>
              <w:left w:val="nil"/>
              <w:bottom w:val="nil"/>
              <w:right w:val="nil"/>
            </w:tcBorders>
            <w:shd w:val="clear" w:color="000000" w:fill="auto"/>
            <w:noWrap/>
            <w:hideMark/>
          </w:tcPr>
          <w:p w14:paraId="0905B8A7" w14:textId="77777777" w:rsidR="00DF251A" w:rsidRPr="00521670" w:rsidRDefault="00DF251A" w:rsidP="008657C4">
            <w:pPr>
              <w:pStyle w:val="Tabletext"/>
              <w:rPr>
                <w:szCs w:val="18"/>
                <w:lang w:val="ru-RU" w:eastAsia="en-GB"/>
              </w:rPr>
            </w:pPr>
          </w:p>
        </w:tc>
        <w:tc>
          <w:tcPr>
            <w:tcW w:w="695" w:type="pct"/>
            <w:tcBorders>
              <w:top w:val="nil"/>
              <w:left w:val="nil"/>
              <w:bottom w:val="nil"/>
              <w:right w:val="nil"/>
            </w:tcBorders>
            <w:shd w:val="clear" w:color="000000" w:fill="auto"/>
            <w:noWrap/>
            <w:vAlign w:val="bottom"/>
            <w:hideMark/>
          </w:tcPr>
          <w:p w14:paraId="3B899930" w14:textId="77777777" w:rsidR="00DF251A" w:rsidRPr="00521670" w:rsidRDefault="00DF251A" w:rsidP="008657C4">
            <w:pPr>
              <w:pStyle w:val="Tabletext"/>
              <w:jc w:val="right"/>
              <w:rPr>
                <w:szCs w:val="18"/>
                <w:lang w:val="ru-RU" w:eastAsia="en-GB"/>
              </w:rPr>
            </w:pPr>
          </w:p>
        </w:tc>
        <w:tc>
          <w:tcPr>
            <w:tcW w:w="684" w:type="pct"/>
            <w:tcBorders>
              <w:top w:val="nil"/>
              <w:left w:val="nil"/>
              <w:bottom w:val="nil"/>
              <w:right w:val="nil"/>
            </w:tcBorders>
            <w:shd w:val="clear" w:color="000000" w:fill="auto"/>
            <w:noWrap/>
            <w:vAlign w:val="bottom"/>
            <w:hideMark/>
          </w:tcPr>
          <w:p w14:paraId="28C69AF5" w14:textId="77777777" w:rsidR="00DF251A" w:rsidRPr="00521670" w:rsidRDefault="00DF251A" w:rsidP="008657C4">
            <w:pPr>
              <w:pStyle w:val="Tabletext"/>
              <w:jc w:val="right"/>
              <w:rPr>
                <w:szCs w:val="18"/>
                <w:lang w:val="ru-RU" w:eastAsia="en-GB"/>
              </w:rPr>
            </w:pPr>
          </w:p>
        </w:tc>
      </w:tr>
      <w:tr w:rsidR="00DF251A" w:rsidRPr="00521670" w14:paraId="5DD7EC60" w14:textId="77777777" w:rsidTr="00B33206">
        <w:trPr>
          <w:trHeight w:val="193"/>
        </w:trPr>
        <w:tc>
          <w:tcPr>
            <w:tcW w:w="3621" w:type="pct"/>
            <w:tcBorders>
              <w:top w:val="nil"/>
              <w:left w:val="nil"/>
              <w:bottom w:val="nil"/>
              <w:right w:val="nil"/>
            </w:tcBorders>
            <w:shd w:val="clear" w:color="000000" w:fill="0070C0"/>
            <w:noWrap/>
            <w:hideMark/>
          </w:tcPr>
          <w:p w14:paraId="608E7162" w14:textId="77777777" w:rsidR="00DF251A" w:rsidRPr="00521670" w:rsidRDefault="00DF251A" w:rsidP="008657C4">
            <w:pPr>
              <w:pStyle w:val="Tabletext"/>
              <w:rPr>
                <w:b/>
                <w:bCs/>
                <w:szCs w:val="18"/>
                <w:lang w:val="ru-RU" w:eastAsia="en-GB"/>
              </w:rPr>
            </w:pPr>
            <w:r w:rsidRPr="00521670">
              <w:rPr>
                <w:szCs w:val="18"/>
                <w:lang w:val="ru-RU"/>
              </w:rPr>
              <w:t>Всего</w:t>
            </w:r>
          </w:p>
        </w:tc>
        <w:tc>
          <w:tcPr>
            <w:tcW w:w="695" w:type="pct"/>
            <w:tcBorders>
              <w:top w:val="nil"/>
              <w:left w:val="nil"/>
              <w:bottom w:val="nil"/>
              <w:right w:val="nil"/>
            </w:tcBorders>
            <w:shd w:val="clear" w:color="000000" w:fill="0070C0"/>
            <w:noWrap/>
            <w:vAlign w:val="bottom"/>
            <w:hideMark/>
          </w:tcPr>
          <w:p w14:paraId="53A09697" w14:textId="77777777" w:rsidR="00DF251A" w:rsidRPr="00521670" w:rsidRDefault="00DF251A" w:rsidP="008657C4">
            <w:pPr>
              <w:pStyle w:val="Tabletext"/>
              <w:jc w:val="right"/>
              <w:rPr>
                <w:b/>
                <w:bCs/>
                <w:szCs w:val="18"/>
                <w:lang w:val="ru-RU" w:eastAsia="en-GB"/>
              </w:rPr>
            </w:pPr>
            <w:r w:rsidRPr="00521670">
              <w:rPr>
                <w:b/>
                <w:bCs/>
                <w:szCs w:val="18"/>
                <w:lang w:val="ru-RU" w:eastAsia="en-GB"/>
              </w:rPr>
              <w:t>30 667</w:t>
            </w:r>
          </w:p>
        </w:tc>
        <w:tc>
          <w:tcPr>
            <w:tcW w:w="684" w:type="pct"/>
            <w:tcBorders>
              <w:top w:val="nil"/>
              <w:left w:val="nil"/>
              <w:bottom w:val="nil"/>
              <w:right w:val="nil"/>
            </w:tcBorders>
            <w:shd w:val="clear" w:color="000000" w:fill="0070C0"/>
            <w:noWrap/>
            <w:vAlign w:val="bottom"/>
            <w:hideMark/>
          </w:tcPr>
          <w:p w14:paraId="52BDFE77" w14:textId="77777777" w:rsidR="00DF251A" w:rsidRPr="00521670" w:rsidRDefault="00DF251A" w:rsidP="008657C4">
            <w:pPr>
              <w:pStyle w:val="Tabletext"/>
              <w:jc w:val="right"/>
              <w:rPr>
                <w:b/>
                <w:bCs/>
                <w:szCs w:val="18"/>
                <w:lang w:val="ru-RU" w:eastAsia="en-GB"/>
              </w:rPr>
            </w:pPr>
            <w:r w:rsidRPr="00521670">
              <w:rPr>
                <w:b/>
                <w:bCs/>
                <w:szCs w:val="18"/>
                <w:lang w:val="ru-RU" w:eastAsia="en-GB"/>
              </w:rPr>
              <w:t>26 271</w:t>
            </w:r>
          </w:p>
        </w:tc>
      </w:tr>
    </w:tbl>
    <w:p w14:paraId="3F941437" w14:textId="77777777" w:rsidR="00DF251A" w:rsidRPr="00521670" w:rsidRDefault="00DF251A" w:rsidP="00C63D5B">
      <w:pPr>
        <w:rPr>
          <w:rFonts w:asciiTheme="minorHAnsi" w:hAnsiTheme="minorHAnsi" w:cstheme="minorBidi"/>
          <w:lang w:val="ru-RU"/>
        </w:rPr>
      </w:pPr>
      <w:r w:rsidRPr="00521670">
        <w:rPr>
          <w:rFonts w:asciiTheme="minorHAnsi" w:hAnsiTheme="minorHAnsi" w:cstheme="minorBidi"/>
          <w:lang w:val="ru-RU"/>
        </w:rPr>
        <w:lastRenderedPageBreak/>
        <w:t>По состоянию на 31 декабря 2024 года активы Резервного счета составляли 30,7 млн. швейцарских франков (26,3 млн. шв. фр. в 2023 г.). Активы Резервного счета составляют 18,6% бюджета на 2024 год, что значительно превышает пороговое значение в 6%, предусмотренное Решением 5 (Пересм. Дубай, 2022 г.).</w:t>
      </w:r>
    </w:p>
    <w:p w14:paraId="2ED846B1" w14:textId="77777777" w:rsidR="00DF251A" w:rsidRPr="00521670" w:rsidRDefault="00DF251A" w:rsidP="002A2A92">
      <w:pPr>
        <w:pStyle w:val="Headingb"/>
        <w:rPr>
          <w:lang w:val="ru-RU"/>
        </w:rPr>
      </w:pPr>
      <w:r w:rsidRPr="00521670">
        <w:rPr>
          <w:lang w:val="ru-RU"/>
        </w:rPr>
        <w:t>Прочие резервы и фонды</w:t>
      </w:r>
    </w:p>
    <w:p w14:paraId="3A1CBD6E" w14:textId="77777777" w:rsidR="00DF251A" w:rsidRPr="00521670" w:rsidRDefault="00DF251A" w:rsidP="002A2A92">
      <w:pPr>
        <w:rPr>
          <w:lang w:val="ru-RU"/>
        </w:rPr>
      </w:pPr>
      <w:r w:rsidRPr="00521670">
        <w:rPr>
          <w:lang w:val="ru-RU"/>
        </w:rPr>
        <w:t>Прочие резервы и фонды создаются для поддержки долгосрочных проектов МСЭ, оперативных потребностей и непредвиденных обязательств. К ним относятся:</w:t>
      </w:r>
    </w:p>
    <w:p w14:paraId="7B9C0996" w14:textId="77777777" w:rsidR="00DF251A" w:rsidRPr="00521670" w:rsidRDefault="00DF251A" w:rsidP="002A2A92">
      <w:pPr>
        <w:pStyle w:val="enumlev1"/>
        <w:rPr>
          <w:lang w:val="ru-RU"/>
        </w:rPr>
      </w:pPr>
      <w:r w:rsidRPr="00521670">
        <w:rPr>
          <w:lang w:val="ru-RU"/>
        </w:rPr>
        <w:t>1)</w:t>
      </w:r>
      <w:r w:rsidRPr="00521670">
        <w:rPr>
          <w:lang w:val="ru-RU"/>
        </w:rPr>
        <w:tab/>
        <w:t>средства, сэкономленные за предыдущие годы: сэкономленные средства, накопленные за предыдущие бюджетные циклы;</w:t>
      </w:r>
    </w:p>
    <w:p w14:paraId="2C28BD86" w14:textId="77777777" w:rsidR="00DF251A" w:rsidRPr="00521670" w:rsidRDefault="00DF251A" w:rsidP="002A2A92">
      <w:pPr>
        <w:pStyle w:val="enumlev1"/>
        <w:rPr>
          <w:lang w:val="ru-RU"/>
        </w:rPr>
      </w:pPr>
      <w:r w:rsidRPr="00521670">
        <w:rPr>
          <w:lang w:val="ru-RU"/>
        </w:rPr>
        <w:t>2)</w:t>
      </w:r>
      <w:r w:rsidRPr="00521670">
        <w:rPr>
          <w:lang w:val="ru-RU"/>
        </w:rPr>
        <w:tab/>
        <w:t>инвестиционные фонды, к которым относятся Фонд эксплуатации зданий и Капитальный фонд ИКТ;</w:t>
      </w:r>
    </w:p>
    <w:p w14:paraId="31FB853D" w14:textId="52E53EDF" w:rsidR="00DF251A" w:rsidRPr="00521670" w:rsidRDefault="00DF251A" w:rsidP="002A2A92">
      <w:pPr>
        <w:pStyle w:val="enumlev1"/>
        <w:rPr>
          <w:rFonts w:cstheme="minorBidi"/>
          <w:lang w:val="ru-RU"/>
        </w:rPr>
      </w:pPr>
      <w:r w:rsidRPr="00521670">
        <w:rPr>
          <w:rFonts w:cstheme="minorBidi"/>
          <w:lang w:val="ru-RU"/>
        </w:rPr>
        <w:t>3)</w:t>
      </w:r>
      <w:r w:rsidRPr="00521670">
        <w:rPr>
          <w:rFonts w:cstheme="minorBidi"/>
          <w:lang w:val="ru-RU"/>
        </w:rPr>
        <w:tab/>
        <w:t>Резервный фонд для нового здания, который был создан в дополнение к бюджету, финансируемому за счет ссуды ФИПОИ. Этот дополнительный бюджет составляет 20,14 млн. швейцарских франков, полученных от спонсоров в виде добровольных пожертвований, а также в результате экономии, отнесенной к активному сальдо</w:t>
      </w:r>
      <w:r w:rsidR="008D5509" w:rsidRPr="00521670">
        <w:rPr>
          <w:rFonts w:cstheme="minorBidi"/>
          <w:lang w:val="ru-RU"/>
        </w:rPr>
        <w:t> </w:t>
      </w:r>
      <w:r w:rsidRPr="00521670">
        <w:rPr>
          <w:rFonts w:cstheme="minorBidi"/>
          <w:lang w:val="ru-RU"/>
        </w:rPr>
        <w:t>2018 года.</w:t>
      </w:r>
    </w:p>
    <w:p w14:paraId="19333A8C" w14:textId="77777777" w:rsidR="00DF251A" w:rsidRPr="00521670" w:rsidRDefault="00DF251A" w:rsidP="002A2A92">
      <w:pPr>
        <w:pStyle w:val="enumlev1"/>
        <w:rPr>
          <w:lang w:val="ru-RU"/>
        </w:rPr>
      </w:pPr>
      <w:r w:rsidRPr="00521670">
        <w:rPr>
          <w:lang w:val="ru-RU"/>
        </w:rPr>
        <w:t>4)</w:t>
      </w:r>
      <w:r w:rsidRPr="00521670">
        <w:rPr>
          <w:lang w:val="ru-RU"/>
        </w:rPr>
        <w:tab/>
        <w:t>Фонд реестра рисков, созданный для случаев непредвиденного перерасхода средств на проект нового здания;</w:t>
      </w:r>
    </w:p>
    <w:p w14:paraId="5D59C7FA" w14:textId="77777777" w:rsidR="00DF251A" w:rsidRPr="00521670" w:rsidRDefault="00DF251A" w:rsidP="002A2A92">
      <w:pPr>
        <w:pStyle w:val="enumlev1"/>
        <w:rPr>
          <w:rFonts w:cstheme="minorBidi"/>
          <w:lang w:val="ru-RU"/>
        </w:rPr>
      </w:pPr>
      <w:r w:rsidRPr="00521670">
        <w:rPr>
          <w:rFonts w:cstheme="minorBidi"/>
          <w:lang w:val="ru-RU"/>
        </w:rPr>
        <w:t>5)</w:t>
      </w:r>
      <w:r w:rsidRPr="00521670">
        <w:rPr>
          <w:rFonts w:cstheme="minorBidi"/>
          <w:lang w:val="ru-RU"/>
        </w:rPr>
        <w:tab/>
        <w:t xml:space="preserve">Фонд социального обеспечения: этот фонд управляется Генеральным секретарем и используется для финансирования деятельности персонала совместно с Советом персонала МСЭ. </w:t>
      </w:r>
      <w:r w:rsidRPr="00521670">
        <w:rPr>
          <w:lang w:val="ru-RU"/>
        </w:rPr>
        <w:t>Основной доход составляют комиссионные, выплачиваемые службой общественного питания МСЭ, а к основным расходам относятся субсидии для клубов МСЭ и расходы на организацию вечеринок для персонала;</w:t>
      </w:r>
    </w:p>
    <w:p w14:paraId="5859A7B9" w14:textId="77777777" w:rsidR="00DF251A" w:rsidRPr="00521670" w:rsidRDefault="00DF251A" w:rsidP="002A2A92">
      <w:pPr>
        <w:pStyle w:val="enumlev1"/>
        <w:rPr>
          <w:rFonts w:cstheme="minorBidi"/>
          <w:lang w:val="ru-RU"/>
        </w:rPr>
      </w:pPr>
      <w:r w:rsidRPr="00521670">
        <w:rPr>
          <w:rFonts w:cstheme="minorBidi"/>
          <w:lang w:val="ru-RU"/>
        </w:rPr>
        <w:t>6)</w:t>
      </w:r>
      <w:r w:rsidRPr="00521670">
        <w:rPr>
          <w:rFonts w:cstheme="minorBidi"/>
          <w:lang w:val="ru-RU"/>
        </w:rPr>
        <w:tab/>
      </w:r>
      <w:r w:rsidRPr="00521670">
        <w:rPr>
          <w:lang w:val="ru-RU"/>
        </w:rPr>
        <w:t>Фонд наград в связи со столетием МСЭ</w:t>
      </w:r>
      <w:r w:rsidRPr="00521670">
        <w:rPr>
          <w:rFonts w:cstheme="minorBidi"/>
          <w:lang w:val="ru-RU"/>
        </w:rPr>
        <w:t xml:space="preserve"> </w:t>
      </w:r>
      <w:r w:rsidRPr="00521670">
        <w:rPr>
          <w:lang w:val="ru-RU"/>
        </w:rPr>
        <w:t>был создан для празднования 100-й годовщины МСЭ. По решению Совета оставшиеся в Фонде средства были направлены на модернизацию библиотеки;</w:t>
      </w:r>
    </w:p>
    <w:p w14:paraId="02843F40" w14:textId="77777777" w:rsidR="00DF251A" w:rsidRPr="00521670" w:rsidRDefault="00DF251A" w:rsidP="00EB443D">
      <w:pPr>
        <w:pStyle w:val="enumlev1"/>
        <w:rPr>
          <w:lang w:val="ru-RU"/>
        </w:rPr>
      </w:pPr>
      <w:r w:rsidRPr="00521670">
        <w:rPr>
          <w:lang w:val="ru-RU"/>
        </w:rPr>
        <w:t>7)</w:t>
      </w:r>
      <w:r w:rsidRPr="00521670">
        <w:rPr>
          <w:lang w:val="ru-RU"/>
        </w:rPr>
        <w:tab/>
        <w:t>Страховая касса персонала МСЭ (SS&amp;BF), состоящая из Фонда резервных и дополнительных средств, а также Фонда помощи. Эти фонды гарантируют выплату пенсий сотрудникам, работавшим до 1 января 1960 года, т. е. до даты присоединения МСЭ к ОПФП ООН. Согласно Статье 86 Устава Страховой кассы персонала МСЭ она находится в ведении Союза, а ее активы вкладываются в трастовые ценные бумаги;</w:t>
      </w:r>
    </w:p>
    <w:p w14:paraId="267B21F7" w14:textId="77777777" w:rsidR="00DF251A" w:rsidRPr="00521670" w:rsidRDefault="00DF251A" w:rsidP="002A2A92">
      <w:pPr>
        <w:pStyle w:val="enumlev1"/>
        <w:rPr>
          <w:lang w:val="ru-RU"/>
        </w:rPr>
      </w:pPr>
      <w:r w:rsidRPr="00521670">
        <w:rPr>
          <w:lang w:val="ru-RU"/>
        </w:rPr>
        <w:t>8)</w:t>
      </w:r>
      <w:r w:rsidRPr="00521670">
        <w:rPr>
          <w:lang w:val="ru-RU"/>
        </w:rPr>
        <w:tab/>
        <w:t>Фонд АСХИ учрежден для финансирования долгосрочных обязательств по медицинскому страхованию после выхода в отставку (АСХИ); и</w:t>
      </w:r>
    </w:p>
    <w:p w14:paraId="5CD2BE8C" w14:textId="19410E63" w:rsidR="00DF251A" w:rsidRPr="00521670" w:rsidRDefault="00DF251A" w:rsidP="002A2A92">
      <w:pPr>
        <w:pStyle w:val="enumlev1"/>
        <w:rPr>
          <w:lang w:val="ru-RU"/>
        </w:rPr>
      </w:pPr>
      <w:r w:rsidRPr="00521670">
        <w:rPr>
          <w:lang w:val="ru-RU"/>
        </w:rPr>
        <w:t>9)</w:t>
      </w:r>
      <w:r w:rsidRPr="00521670">
        <w:rPr>
          <w:lang w:val="ru-RU"/>
        </w:rPr>
        <w:tab/>
        <w:t>Фонд медицинского страхования связан с гарантийным фондом ПКМС (План</w:t>
      </w:r>
      <w:r w:rsidR="008D5509" w:rsidRPr="00521670">
        <w:rPr>
          <w:lang w:val="ru-RU"/>
        </w:rPr>
        <w:t> </w:t>
      </w:r>
      <w:r w:rsidRPr="00521670">
        <w:rPr>
          <w:lang w:val="ru-RU"/>
        </w:rPr>
        <w:t>непрерывного медицинского страхования), который представляет собой гарантийный фонд, учрежденный в рамках схемы медицинского страхования МСЭ в 2014 году, когда Организация еще сотрудничала с предыдущим страховщиком до</w:t>
      </w:r>
      <w:r w:rsidR="008D5509" w:rsidRPr="00521670">
        <w:rPr>
          <w:lang w:val="ru-RU"/>
        </w:rPr>
        <w:t> </w:t>
      </w:r>
      <w:r w:rsidRPr="00521670">
        <w:rPr>
          <w:lang w:val="ru-RU"/>
        </w:rPr>
        <w:t>ЮНСМИС.</w:t>
      </w:r>
    </w:p>
    <w:p w14:paraId="1BE4EC16" w14:textId="77777777" w:rsidR="00DF251A" w:rsidRPr="00521670" w:rsidRDefault="00DF251A" w:rsidP="002A2A92">
      <w:pPr>
        <w:keepNext/>
        <w:keepLines/>
        <w:overflowPunct/>
        <w:autoSpaceDE/>
        <w:autoSpaceDN/>
        <w:adjustRightInd/>
        <w:spacing w:after="120"/>
        <w:textAlignment w:val="auto"/>
        <w:rPr>
          <w:lang w:val="ru-RU"/>
        </w:rPr>
      </w:pPr>
      <w:r w:rsidRPr="00521670">
        <w:rPr>
          <w:lang w:val="ru-RU"/>
        </w:rPr>
        <w:t>Движение средств на счетах прочих резервов и фондов МСЭ представлено в таблице ниже.</w:t>
      </w:r>
    </w:p>
    <w:p w14:paraId="21867A14" w14:textId="3F0607F7" w:rsidR="009977AB" w:rsidRPr="00521670" w:rsidRDefault="009977AB">
      <w:pPr>
        <w:tabs>
          <w:tab w:val="clear" w:pos="794"/>
          <w:tab w:val="clear" w:pos="1191"/>
          <w:tab w:val="clear" w:pos="1588"/>
          <w:tab w:val="clear" w:pos="1985"/>
        </w:tabs>
        <w:overflowPunct/>
        <w:autoSpaceDE/>
        <w:autoSpaceDN/>
        <w:adjustRightInd/>
        <w:spacing w:before="0"/>
        <w:textAlignment w:val="auto"/>
        <w:rPr>
          <w:lang w:val="ru-RU"/>
        </w:rPr>
      </w:pPr>
      <w:r w:rsidRPr="00521670">
        <w:rPr>
          <w:lang w:val="ru-RU"/>
        </w:rPr>
        <w:br w:type="page"/>
      </w:r>
    </w:p>
    <w:tbl>
      <w:tblPr>
        <w:tblW w:w="9020" w:type="dxa"/>
        <w:jc w:val="center"/>
        <w:tblLook w:val="04A0" w:firstRow="1" w:lastRow="0" w:firstColumn="1" w:lastColumn="0" w:noHBand="0" w:noVBand="1"/>
      </w:tblPr>
      <w:tblGrid>
        <w:gridCol w:w="3960"/>
        <w:gridCol w:w="1350"/>
        <w:gridCol w:w="1440"/>
        <w:gridCol w:w="1030"/>
        <w:gridCol w:w="1240"/>
      </w:tblGrid>
      <w:tr w:rsidR="00DF251A" w:rsidRPr="00521670" w14:paraId="24AAF7B6" w14:textId="77777777" w:rsidTr="00A52EF8">
        <w:trPr>
          <w:trHeight w:val="825"/>
          <w:tblHeader/>
          <w:jc w:val="center"/>
        </w:trPr>
        <w:tc>
          <w:tcPr>
            <w:tcW w:w="3960" w:type="dxa"/>
            <w:tcBorders>
              <w:top w:val="nil"/>
              <w:left w:val="nil"/>
              <w:bottom w:val="nil"/>
              <w:right w:val="nil"/>
            </w:tcBorders>
            <w:shd w:val="clear" w:color="000000" w:fill="0070C0"/>
            <w:vAlign w:val="center"/>
            <w:hideMark/>
          </w:tcPr>
          <w:p w14:paraId="3841B8B2" w14:textId="77777777" w:rsidR="00DF251A" w:rsidRPr="00521670" w:rsidRDefault="00DF251A" w:rsidP="002A2A92">
            <w:pPr>
              <w:pStyle w:val="Tablehead"/>
              <w:rPr>
                <w:bCs/>
                <w:szCs w:val="18"/>
                <w:lang w:val="ru-RU" w:eastAsia="en-GB"/>
              </w:rPr>
            </w:pPr>
            <w:r w:rsidRPr="00521670">
              <w:rPr>
                <w:szCs w:val="18"/>
                <w:lang w:val="ru-RU"/>
              </w:rPr>
              <w:lastRenderedPageBreak/>
              <w:t>Описание (тыс. шв. фр.)</w:t>
            </w:r>
          </w:p>
        </w:tc>
        <w:tc>
          <w:tcPr>
            <w:tcW w:w="1350" w:type="dxa"/>
            <w:tcBorders>
              <w:top w:val="nil"/>
              <w:left w:val="nil"/>
              <w:bottom w:val="nil"/>
              <w:right w:val="nil"/>
            </w:tcBorders>
            <w:shd w:val="clear" w:color="000000" w:fill="0070C0"/>
            <w:vAlign w:val="center"/>
            <w:hideMark/>
          </w:tcPr>
          <w:p w14:paraId="4C57610D" w14:textId="77777777" w:rsidR="00DF251A" w:rsidRPr="00521670" w:rsidRDefault="00DF251A" w:rsidP="002A2A92">
            <w:pPr>
              <w:pStyle w:val="Tablehead"/>
              <w:rPr>
                <w:bCs/>
                <w:szCs w:val="18"/>
                <w:lang w:val="ru-RU" w:eastAsia="en-GB"/>
              </w:rPr>
            </w:pPr>
            <w:r w:rsidRPr="00521670">
              <w:rPr>
                <w:szCs w:val="18"/>
                <w:lang w:val="ru-RU"/>
              </w:rPr>
              <w:t>31 декабря 2024 г.</w:t>
            </w:r>
          </w:p>
        </w:tc>
        <w:tc>
          <w:tcPr>
            <w:tcW w:w="1440" w:type="dxa"/>
            <w:tcBorders>
              <w:top w:val="nil"/>
              <w:left w:val="nil"/>
              <w:bottom w:val="nil"/>
              <w:right w:val="nil"/>
            </w:tcBorders>
            <w:shd w:val="clear" w:color="000000" w:fill="0070C0"/>
            <w:vAlign w:val="center"/>
            <w:hideMark/>
          </w:tcPr>
          <w:p w14:paraId="4F330823" w14:textId="77777777" w:rsidR="00DF251A" w:rsidRPr="00521670" w:rsidRDefault="00DF251A" w:rsidP="002A2A92">
            <w:pPr>
              <w:pStyle w:val="Tablehead"/>
              <w:rPr>
                <w:bCs/>
                <w:szCs w:val="18"/>
                <w:lang w:val="ru-RU" w:eastAsia="en-GB"/>
              </w:rPr>
            </w:pPr>
            <w:r w:rsidRPr="00521670">
              <w:rPr>
                <w:szCs w:val="18"/>
                <w:lang w:val="ru-RU" w:eastAsia="en-GB"/>
              </w:rPr>
              <w:t>Активное сальдо/</w:t>
            </w:r>
            <w:r w:rsidRPr="00521670">
              <w:rPr>
                <w:szCs w:val="18"/>
                <w:lang w:val="ru-RU" w:eastAsia="en-GB"/>
              </w:rPr>
              <w:br/>
              <w:t>(дефицит) − 2024 г.</w:t>
            </w:r>
          </w:p>
        </w:tc>
        <w:tc>
          <w:tcPr>
            <w:tcW w:w="1030" w:type="dxa"/>
            <w:tcBorders>
              <w:top w:val="nil"/>
              <w:left w:val="nil"/>
              <w:bottom w:val="nil"/>
              <w:right w:val="nil"/>
            </w:tcBorders>
            <w:shd w:val="clear" w:color="000000" w:fill="0070C0"/>
            <w:vAlign w:val="center"/>
            <w:hideMark/>
          </w:tcPr>
          <w:p w14:paraId="73CC0D70" w14:textId="77777777" w:rsidR="00DF251A" w:rsidRPr="00521670" w:rsidRDefault="00DF251A" w:rsidP="002A2A92">
            <w:pPr>
              <w:pStyle w:val="Tablehead"/>
              <w:rPr>
                <w:bCs/>
                <w:szCs w:val="18"/>
                <w:lang w:val="ru-RU" w:eastAsia="en-GB"/>
              </w:rPr>
            </w:pPr>
            <w:r w:rsidRPr="00521670">
              <w:rPr>
                <w:bCs/>
                <w:szCs w:val="18"/>
                <w:lang w:val="ru-RU" w:eastAsia="en-GB"/>
              </w:rPr>
              <w:t>Перевод средств</w:t>
            </w:r>
          </w:p>
        </w:tc>
        <w:tc>
          <w:tcPr>
            <w:tcW w:w="1240" w:type="dxa"/>
            <w:tcBorders>
              <w:top w:val="nil"/>
              <w:left w:val="nil"/>
              <w:bottom w:val="nil"/>
              <w:right w:val="nil"/>
            </w:tcBorders>
            <w:shd w:val="clear" w:color="000000" w:fill="0070C0"/>
            <w:vAlign w:val="center"/>
            <w:hideMark/>
          </w:tcPr>
          <w:p w14:paraId="762C8303" w14:textId="77777777" w:rsidR="00DF251A" w:rsidRPr="00521670" w:rsidRDefault="00DF251A" w:rsidP="002A2A92">
            <w:pPr>
              <w:pStyle w:val="Tablehead"/>
              <w:rPr>
                <w:bCs/>
                <w:szCs w:val="18"/>
                <w:lang w:val="ru-RU" w:eastAsia="en-GB"/>
              </w:rPr>
            </w:pPr>
            <w:r w:rsidRPr="00521670">
              <w:rPr>
                <w:szCs w:val="18"/>
                <w:lang w:val="ru-RU"/>
              </w:rPr>
              <w:t>31 декабря 2023 г.</w:t>
            </w:r>
          </w:p>
        </w:tc>
      </w:tr>
      <w:tr w:rsidR="00DF251A" w:rsidRPr="00521670" w14:paraId="6227163E" w14:textId="77777777" w:rsidTr="00817A33">
        <w:trPr>
          <w:trHeight w:val="120"/>
          <w:jc w:val="center"/>
        </w:trPr>
        <w:tc>
          <w:tcPr>
            <w:tcW w:w="3960" w:type="dxa"/>
            <w:tcBorders>
              <w:top w:val="nil"/>
              <w:left w:val="nil"/>
              <w:bottom w:val="nil"/>
              <w:right w:val="nil"/>
            </w:tcBorders>
            <w:shd w:val="clear" w:color="auto" w:fill="auto"/>
            <w:vAlign w:val="center"/>
            <w:hideMark/>
          </w:tcPr>
          <w:p w14:paraId="4DEDD111" w14:textId="77777777" w:rsidR="00DF251A" w:rsidRPr="00521670" w:rsidRDefault="00DF251A" w:rsidP="002A2A92">
            <w:pPr>
              <w:pStyle w:val="Tabletext"/>
              <w:rPr>
                <w:lang w:val="ru-RU" w:eastAsia="en-GB"/>
              </w:rPr>
            </w:pPr>
          </w:p>
        </w:tc>
        <w:tc>
          <w:tcPr>
            <w:tcW w:w="1350" w:type="dxa"/>
            <w:tcBorders>
              <w:top w:val="nil"/>
              <w:left w:val="nil"/>
              <w:bottom w:val="nil"/>
              <w:right w:val="nil"/>
            </w:tcBorders>
            <w:shd w:val="clear" w:color="auto" w:fill="auto"/>
            <w:vAlign w:val="center"/>
            <w:hideMark/>
          </w:tcPr>
          <w:p w14:paraId="377A4BBF" w14:textId="77777777" w:rsidR="00DF251A" w:rsidRPr="00521670" w:rsidRDefault="00DF251A" w:rsidP="002A2A92">
            <w:pPr>
              <w:pStyle w:val="Tabletext"/>
              <w:rPr>
                <w:lang w:val="ru-RU" w:eastAsia="en-GB"/>
              </w:rPr>
            </w:pPr>
          </w:p>
        </w:tc>
        <w:tc>
          <w:tcPr>
            <w:tcW w:w="1440" w:type="dxa"/>
            <w:tcBorders>
              <w:top w:val="nil"/>
              <w:left w:val="nil"/>
              <w:bottom w:val="nil"/>
              <w:right w:val="nil"/>
            </w:tcBorders>
            <w:shd w:val="clear" w:color="auto" w:fill="auto"/>
            <w:vAlign w:val="center"/>
            <w:hideMark/>
          </w:tcPr>
          <w:p w14:paraId="69B8BEAB" w14:textId="77777777" w:rsidR="00DF251A" w:rsidRPr="00521670" w:rsidRDefault="00DF251A" w:rsidP="002A2A92">
            <w:pPr>
              <w:pStyle w:val="Tabletext"/>
              <w:rPr>
                <w:lang w:val="ru-RU" w:eastAsia="en-GB"/>
              </w:rPr>
            </w:pPr>
          </w:p>
        </w:tc>
        <w:tc>
          <w:tcPr>
            <w:tcW w:w="1030" w:type="dxa"/>
            <w:tcBorders>
              <w:top w:val="nil"/>
              <w:left w:val="nil"/>
              <w:bottom w:val="nil"/>
              <w:right w:val="nil"/>
            </w:tcBorders>
            <w:shd w:val="clear" w:color="auto" w:fill="auto"/>
            <w:vAlign w:val="center"/>
            <w:hideMark/>
          </w:tcPr>
          <w:p w14:paraId="6F778F9E" w14:textId="77777777" w:rsidR="00DF251A" w:rsidRPr="00521670" w:rsidRDefault="00DF251A" w:rsidP="002A2A92">
            <w:pPr>
              <w:pStyle w:val="Tabletext"/>
              <w:rPr>
                <w:lang w:val="ru-RU" w:eastAsia="en-GB"/>
              </w:rPr>
            </w:pPr>
          </w:p>
        </w:tc>
        <w:tc>
          <w:tcPr>
            <w:tcW w:w="1240" w:type="dxa"/>
            <w:tcBorders>
              <w:top w:val="nil"/>
              <w:left w:val="nil"/>
              <w:bottom w:val="nil"/>
              <w:right w:val="nil"/>
            </w:tcBorders>
            <w:shd w:val="clear" w:color="auto" w:fill="auto"/>
            <w:vAlign w:val="center"/>
            <w:hideMark/>
          </w:tcPr>
          <w:p w14:paraId="58CD9702" w14:textId="77777777" w:rsidR="00DF251A" w:rsidRPr="00521670" w:rsidRDefault="00DF251A" w:rsidP="002A2A92">
            <w:pPr>
              <w:pStyle w:val="Tabletext"/>
              <w:rPr>
                <w:lang w:val="ru-RU" w:eastAsia="en-GB"/>
              </w:rPr>
            </w:pPr>
          </w:p>
        </w:tc>
      </w:tr>
      <w:tr w:rsidR="00DF251A" w:rsidRPr="00521670" w14:paraId="019C2A0A" w14:textId="77777777" w:rsidTr="00817A33">
        <w:trPr>
          <w:trHeight w:val="255"/>
          <w:jc w:val="center"/>
        </w:trPr>
        <w:tc>
          <w:tcPr>
            <w:tcW w:w="3960" w:type="dxa"/>
            <w:tcBorders>
              <w:top w:val="nil"/>
              <w:left w:val="nil"/>
              <w:bottom w:val="nil"/>
              <w:right w:val="nil"/>
            </w:tcBorders>
            <w:shd w:val="clear" w:color="auto" w:fill="auto"/>
            <w:hideMark/>
          </w:tcPr>
          <w:p w14:paraId="108D45A8" w14:textId="77777777" w:rsidR="00DF251A" w:rsidRPr="00521670" w:rsidRDefault="00DF251A" w:rsidP="002A2A92">
            <w:pPr>
              <w:pStyle w:val="Tabletext"/>
              <w:rPr>
                <w:szCs w:val="16"/>
                <w:lang w:val="ru-RU" w:eastAsia="en-GB"/>
              </w:rPr>
            </w:pPr>
            <w:r w:rsidRPr="00521670">
              <w:rPr>
                <w:b/>
                <w:bCs/>
                <w:szCs w:val="16"/>
                <w:lang w:val="ru-RU"/>
              </w:rPr>
              <w:t>Другие</w:t>
            </w:r>
            <w:r w:rsidRPr="00521670">
              <w:rPr>
                <w:b/>
                <w:bCs/>
                <w:szCs w:val="16"/>
                <w:lang w:val="ru-RU" w:eastAsia="en-GB"/>
              </w:rPr>
              <w:t xml:space="preserve"> резервы</w:t>
            </w:r>
          </w:p>
        </w:tc>
        <w:tc>
          <w:tcPr>
            <w:tcW w:w="1350" w:type="dxa"/>
            <w:tcBorders>
              <w:top w:val="nil"/>
              <w:left w:val="nil"/>
              <w:bottom w:val="nil"/>
              <w:right w:val="nil"/>
            </w:tcBorders>
            <w:shd w:val="clear" w:color="auto" w:fill="auto"/>
            <w:vAlign w:val="bottom"/>
            <w:hideMark/>
          </w:tcPr>
          <w:p w14:paraId="16B5FE8C" w14:textId="77777777" w:rsidR="00DF251A" w:rsidRPr="00521670" w:rsidRDefault="00DF251A" w:rsidP="002A2A92">
            <w:pPr>
              <w:pStyle w:val="Tabletext"/>
              <w:rPr>
                <w:lang w:val="ru-RU" w:eastAsia="en-GB"/>
              </w:rPr>
            </w:pPr>
          </w:p>
        </w:tc>
        <w:tc>
          <w:tcPr>
            <w:tcW w:w="1440" w:type="dxa"/>
            <w:tcBorders>
              <w:top w:val="nil"/>
              <w:left w:val="nil"/>
              <w:bottom w:val="nil"/>
              <w:right w:val="nil"/>
            </w:tcBorders>
            <w:shd w:val="clear" w:color="auto" w:fill="auto"/>
            <w:vAlign w:val="bottom"/>
            <w:hideMark/>
          </w:tcPr>
          <w:p w14:paraId="5EF30365" w14:textId="77777777" w:rsidR="00DF251A" w:rsidRPr="00521670" w:rsidRDefault="00DF251A" w:rsidP="002A2A92">
            <w:pPr>
              <w:pStyle w:val="Tabletext"/>
              <w:rPr>
                <w:lang w:val="ru-RU" w:eastAsia="en-GB"/>
              </w:rPr>
            </w:pPr>
          </w:p>
        </w:tc>
        <w:tc>
          <w:tcPr>
            <w:tcW w:w="1030" w:type="dxa"/>
            <w:tcBorders>
              <w:top w:val="nil"/>
              <w:left w:val="nil"/>
              <w:bottom w:val="nil"/>
              <w:right w:val="nil"/>
            </w:tcBorders>
            <w:shd w:val="clear" w:color="auto" w:fill="auto"/>
            <w:vAlign w:val="bottom"/>
            <w:hideMark/>
          </w:tcPr>
          <w:p w14:paraId="2BD61EEC" w14:textId="77777777" w:rsidR="00DF251A" w:rsidRPr="00521670" w:rsidRDefault="00DF251A" w:rsidP="002A2A92">
            <w:pPr>
              <w:pStyle w:val="Tabletext"/>
              <w:rPr>
                <w:lang w:val="ru-RU" w:eastAsia="en-GB"/>
              </w:rPr>
            </w:pPr>
          </w:p>
        </w:tc>
        <w:tc>
          <w:tcPr>
            <w:tcW w:w="1240" w:type="dxa"/>
            <w:tcBorders>
              <w:top w:val="nil"/>
              <w:left w:val="nil"/>
              <w:bottom w:val="nil"/>
              <w:right w:val="nil"/>
            </w:tcBorders>
            <w:shd w:val="clear" w:color="auto" w:fill="auto"/>
            <w:vAlign w:val="bottom"/>
            <w:hideMark/>
          </w:tcPr>
          <w:p w14:paraId="506D066B" w14:textId="77777777" w:rsidR="00DF251A" w:rsidRPr="00521670" w:rsidRDefault="00DF251A" w:rsidP="002A2A92">
            <w:pPr>
              <w:pStyle w:val="Tabletext"/>
              <w:rPr>
                <w:lang w:val="ru-RU" w:eastAsia="en-GB"/>
              </w:rPr>
            </w:pPr>
          </w:p>
        </w:tc>
      </w:tr>
      <w:tr w:rsidR="00DF251A" w:rsidRPr="00521670" w14:paraId="407D7716" w14:textId="77777777" w:rsidTr="00817A33">
        <w:trPr>
          <w:trHeight w:val="300"/>
          <w:jc w:val="center"/>
        </w:trPr>
        <w:tc>
          <w:tcPr>
            <w:tcW w:w="3960" w:type="dxa"/>
            <w:tcBorders>
              <w:top w:val="nil"/>
              <w:left w:val="nil"/>
              <w:bottom w:val="nil"/>
              <w:right w:val="nil"/>
            </w:tcBorders>
            <w:shd w:val="clear" w:color="auto" w:fill="auto"/>
            <w:hideMark/>
          </w:tcPr>
          <w:p w14:paraId="5F057C13" w14:textId="58D5B899" w:rsidR="00DF251A" w:rsidRPr="00521670" w:rsidRDefault="00DF251A" w:rsidP="00817A33">
            <w:pPr>
              <w:pStyle w:val="Tabletext"/>
              <w:ind w:left="341" w:hanging="341"/>
              <w:rPr>
                <w:szCs w:val="16"/>
                <w:lang w:val="ru-RU" w:eastAsia="en-GB"/>
              </w:rPr>
            </w:pPr>
            <w:r w:rsidRPr="00521670">
              <w:rPr>
                <w:rFonts w:cs="Calibri"/>
                <w:b/>
                <w:bCs/>
                <w:szCs w:val="16"/>
                <w:lang w:val="ru-RU"/>
              </w:rPr>
              <w:t>−</w:t>
            </w:r>
            <w:r w:rsidRPr="00521670">
              <w:rPr>
                <w:b/>
                <w:bCs/>
                <w:szCs w:val="16"/>
                <w:lang w:val="ru-RU"/>
              </w:rPr>
              <w:tab/>
              <w:t>Экономия по сравнению с предыдущим</w:t>
            </w:r>
            <w:r w:rsidR="008D5509" w:rsidRPr="00521670">
              <w:rPr>
                <w:b/>
                <w:bCs/>
                <w:szCs w:val="16"/>
                <w:lang w:val="ru-RU"/>
              </w:rPr>
              <w:t> </w:t>
            </w:r>
            <w:r w:rsidRPr="00521670">
              <w:rPr>
                <w:b/>
                <w:bCs/>
                <w:szCs w:val="16"/>
                <w:lang w:val="ru-RU"/>
              </w:rPr>
              <w:t>годом</w:t>
            </w:r>
          </w:p>
        </w:tc>
        <w:tc>
          <w:tcPr>
            <w:tcW w:w="1350" w:type="dxa"/>
            <w:tcBorders>
              <w:top w:val="nil"/>
              <w:left w:val="nil"/>
              <w:bottom w:val="nil"/>
              <w:right w:val="nil"/>
            </w:tcBorders>
            <w:shd w:val="clear" w:color="auto" w:fill="auto"/>
            <w:noWrap/>
            <w:vAlign w:val="center"/>
            <w:hideMark/>
          </w:tcPr>
          <w:p w14:paraId="7075D8D1" w14:textId="77777777" w:rsidR="00DF251A" w:rsidRPr="00521670" w:rsidRDefault="00DF251A" w:rsidP="002A2A92">
            <w:pPr>
              <w:pStyle w:val="Tabletext"/>
              <w:jc w:val="right"/>
              <w:rPr>
                <w:b/>
                <w:bCs/>
                <w:lang w:val="ru-RU" w:eastAsia="en-GB"/>
              </w:rPr>
            </w:pPr>
            <w:r w:rsidRPr="00521670">
              <w:rPr>
                <w:b/>
                <w:bCs/>
                <w:lang w:val="ru-RU" w:eastAsia="en-GB"/>
              </w:rPr>
              <w:t>2 098</w:t>
            </w:r>
          </w:p>
        </w:tc>
        <w:tc>
          <w:tcPr>
            <w:tcW w:w="1440" w:type="dxa"/>
            <w:tcBorders>
              <w:top w:val="nil"/>
              <w:left w:val="nil"/>
              <w:bottom w:val="nil"/>
              <w:right w:val="nil"/>
            </w:tcBorders>
            <w:shd w:val="clear" w:color="auto" w:fill="auto"/>
            <w:noWrap/>
            <w:vAlign w:val="center"/>
            <w:hideMark/>
          </w:tcPr>
          <w:p w14:paraId="740BAF27" w14:textId="77777777" w:rsidR="00DF251A" w:rsidRPr="00521670" w:rsidRDefault="00DF251A" w:rsidP="002A2A92">
            <w:pPr>
              <w:pStyle w:val="Tabletext"/>
              <w:jc w:val="right"/>
              <w:rPr>
                <w:b/>
                <w:bCs/>
                <w:lang w:val="ru-RU" w:eastAsia="en-GB"/>
              </w:rPr>
            </w:pPr>
            <w:r w:rsidRPr="00521670">
              <w:rPr>
                <w:b/>
                <w:bCs/>
                <w:lang w:val="ru-RU" w:eastAsia="en-GB"/>
              </w:rPr>
              <w:t>(673)</w:t>
            </w:r>
          </w:p>
        </w:tc>
        <w:tc>
          <w:tcPr>
            <w:tcW w:w="1030" w:type="dxa"/>
            <w:tcBorders>
              <w:top w:val="nil"/>
              <w:left w:val="nil"/>
              <w:bottom w:val="nil"/>
              <w:right w:val="nil"/>
            </w:tcBorders>
            <w:shd w:val="clear" w:color="auto" w:fill="auto"/>
            <w:noWrap/>
            <w:vAlign w:val="center"/>
            <w:hideMark/>
          </w:tcPr>
          <w:p w14:paraId="7F4B544A" w14:textId="77777777" w:rsidR="00DF251A" w:rsidRPr="00521670" w:rsidRDefault="00DF251A" w:rsidP="002A2A92">
            <w:pPr>
              <w:pStyle w:val="Tabletext"/>
              <w:jc w:val="right"/>
              <w:rPr>
                <w:b/>
                <w:bCs/>
                <w:lang w:val="ru-RU" w:eastAsia="en-GB"/>
              </w:rPr>
            </w:pPr>
          </w:p>
        </w:tc>
        <w:tc>
          <w:tcPr>
            <w:tcW w:w="1240" w:type="dxa"/>
            <w:tcBorders>
              <w:top w:val="nil"/>
              <w:left w:val="nil"/>
              <w:bottom w:val="nil"/>
              <w:right w:val="nil"/>
            </w:tcBorders>
            <w:shd w:val="clear" w:color="auto" w:fill="auto"/>
            <w:noWrap/>
            <w:vAlign w:val="center"/>
            <w:hideMark/>
          </w:tcPr>
          <w:p w14:paraId="07ED9518" w14:textId="77777777" w:rsidR="00DF251A" w:rsidRPr="00521670" w:rsidRDefault="00DF251A" w:rsidP="002A2A92">
            <w:pPr>
              <w:pStyle w:val="Tabletext"/>
              <w:jc w:val="right"/>
              <w:rPr>
                <w:b/>
                <w:bCs/>
                <w:lang w:val="ru-RU" w:eastAsia="en-GB"/>
              </w:rPr>
            </w:pPr>
            <w:r w:rsidRPr="00521670">
              <w:rPr>
                <w:b/>
                <w:bCs/>
                <w:lang w:val="ru-RU" w:eastAsia="en-GB"/>
              </w:rPr>
              <w:t>2 771</w:t>
            </w:r>
          </w:p>
        </w:tc>
      </w:tr>
      <w:tr w:rsidR="00DF251A" w:rsidRPr="00521670" w14:paraId="6A786684" w14:textId="77777777" w:rsidTr="00817A33">
        <w:trPr>
          <w:trHeight w:val="270"/>
          <w:jc w:val="center"/>
        </w:trPr>
        <w:tc>
          <w:tcPr>
            <w:tcW w:w="3960" w:type="dxa"/>
            <w:tcBorders>
              <w:top w:val="nil"/>
              <w:left w:val="nil"/>
              <w:bottom w:val="nil"/>
              <w:right w:val="nil"/>
            </w:tcBorders>
            <w:shd w:val="clear" w:color="auto" w:fill="auto"/>
            <w:hideMark/>
          </w:tcPr>
          <w:p w14:paraId="284E57C4" w14:textId="1A17BC32" w:rsidR="00DF251A" w:rsidRPr="00521670" w:rsidRDefault="00DF251A" w:rsidP="002A2A92">
            <w:pPr>
              <w:pStyle w:val="Tabletext"/>
              <w:rPr>
                <w:szCs w:val="16"/>
                <w:lang w:val="ru-RU" w:eastAsia="en-GB"/>
              </w:rPr>
            </w:pPr>
            <w:r w:rsidRPr="00521670">
              <w:rPr>
                <w:i/>
                <w:iCs/>
                <w:szCs w:val="16"/>
                <w:lang w:val="ru-RU"/>
              </w:rPr>
              <w:t>−</w:t>
            </w:r>
            <w:r w:rsidRPr="00521670">
              <w:rPr>
                <w:i/>
                <w:iCs/>
                <w:szCs w:val="16"/>
                <w:lang w:val="ru-RU"/>
              </w:rPr>
              <w:tab/>
              <w:t>Решение 619</w:t>
            </w:r>
          </w:p>
        </w:tc>
        <w:tc>
          <w:tcPr>
            <w:tcW w:w="1350" w:type="dxa"/>
            <w:tcBorders>
              <w:top w:val="nil"/>
              <w:left w:val="nil"/>
              <w:bottom w:val="nil"/>
              <w:right w:val="nil"/>
            </w:tcBorders>
            <w:shd w:val="clear" w:color="auto" w:fill="auto"/>
            <w:noWrap/>
            <w:vAlign w:val="center"/>
            <w:hideMark/>
          </w:tcPr>
          <w:p w14:paraId="6089CCB3" w14:textId="77777777" w:rsidR="00DF251A" w:rsidRPr="00521670" w:rsidRDefault="00DF251A" w:rsidP="002A2A92">
            <w:pPr>
              <w:pStyle w:val="Tabletext"/>
              <w:jc w:val="right"/>
              <w:rPr>
                <w:i/>
                <w:iCs/>
                <w:szCs w:val="18"/>
                <w:lang w:val="ru-RU" w:eastAsia="en-GB"/>
              </w:rPr>
            </w:pPr>
            <w:r w:rsidRPr="00521670">
              <w:rPr>
                <w:i/>
                <w:iCs/>
                <w:szCs w:val="18"/>
                <w:lang w:val="ru-RU" w:eastAsia="en-GB"/>
              </w:rPr>
              <w:t>807</w:t>
            </w:r>
          </w:p>
        </w:tc>
        <w:tc>
          <w:tcPr>
            <w:tcW w:w="1440" w:type="dxa"/>
            <w:tcBorders>
              <w:top w:val="nil"/>
              <w:left w:val="nil"/>
              <w:bottom w:val="nil"/>
              <w:right w:val="nil"/>
            </w:tcBorders>
            <w:shd w:val="clear" w:color="auto" w:fill="auto"/>
            <w:noWrap/>
            <w:vAlign w:val="center"/>
            <w:hideMark/>
          </w:tcPr>
          <w:p w14:paraId="217EC858" w14:textId="77777777" w:rsidR="00DF251A" w:rsidRPr="00521670" w:rsidRDefault="00DF251A" w:rsidP="002A2A92">
            <w:pPr>
              <w:pStyle w:val="Tabletext"/>
              <w:jc w:val="right"/>
              <w:rPr>
                <w:i/>
                <w:iCs/>
                <w:szCs w:val="18"/>
                <w:lang w:val="ru-RU" w:eastAsia="en-GB"/>
              </w:rPr>
            </w:pPr>
            <w:r w:rsidRPr="00521670">
              <w:rPr>
                <w:i/>
                <w:iCs/>
                <w:szCs w:val="18"/>
                <w:lang w:val="ru-RU" w:eastAsia="en-GB"/>
              </w:rPr>
              <w:t>(230)</w:t>
            </w:r>
          </w:p>
        </w:tc>
        <w:tc>
          <w:tcPr>
            <w:tcW w:w="1030" w:type="dxa"/>
            <w:tcBorders>
              <w:top w:val="nil"/>
              <w:left w:val="nil"/>
              <w:bottom w:val="nil"/>
              <w:right w:val="nil"/>
            </w:tcBorders>
            <w:shd w:val="clear" w:color="auto" w:fill="auto"/>
            <w:noWrap/>
            <w:vAlign w:val="center"/>
            <w:hideMark/>
          </w:tcPr>
          <w:p w14:paraId="17D89F3A" w14:textId="77777777" w:rsidR="00DF251A" w:rsidRPr="00521670" w:rsidRDefault="00DF251A" w:rsidP="002A2A92">
            <w:pPr>
              <w:pStyle w:val="Tabletext"/>
              <w:jc w:val="right"/>
              <w:rPr>
                <w:i/>
                <w:iCs/>
                <w:szCs w:val="18"/>
                <w:lang w:val="ru-RU" w:eastAsia="en-GB"/>
              </w:rPr>
            </w:pPr>
          </w:p>
        </w:tc>
        <w:tc>
          <w:tcPr>
            <w:tcW w:w="1240" w:type="dxa"/>
            <w:tcBorders>
              <w:top w:val="nil"/>
              <w:left w:val="nil"/>
              <w:bottom w:val="nil"/>
              <w:right w:val="nil"/>
            </w:tcBorders>
            <w:shd w:val="clear" w:color="auto" w:fill="auto"/>
            <w:noWrap/>
            <w:vAlign w:val="center"/>
            <w:hideMark/>
          </w:tcPr>
          <w:p w14:paraId="6C6143F1" w14:textId="77777777" w:rsidR="00DF251A" w:rsidRPr="00521670" w:rsidRDefault="00DF251A" w:rsidP="002A2A92">
            <w:pPr>
              <w:pStyle w:val="Tabletext"/>
              <w:jc w:val="right"/>
              <w:rPr>
                <w:i/>
                <w:iCs/>
                <w:lang w:val="ru-RU" w:eastAsia="en-GB"/>
              </w:rPr>
            </w:pPr>
            <w:r w:rsidRPr="00521670">
              <w:rPr>
                <w:i/>
                <w:iCs/>
                <w:lang w:val="ru-RU" w:eastAsia="en-GB"/>
              </w:rPr>
              <w:t>1 037</w:t>
            </w:r>
          </w:p>
        </w:tc>
      </w:tr>
      <w:tr w:rsidR="00DF251A" w:rsidRPr="00521670" w14:paraId="53B7E4A7" w14:textId="77777777" w:rsidTr="00817A33">
        <w:trPr>
          <w:trHeight w:val="300"/>
          <w:jc w:val="center"/>
        </w:trPr>
        <w:tc>
          <w:tcPr>
            <w:tcW w:w="3960" w:type="dxa"/>
            <w:tcBorders>
              <w:top w:val="nil"/>
              <w:left w:val="nil"/>
              <w:bottom w:val="nil"/>
              <w:right w:val="nil"/>
            </w:tcBorders>
            <w:shd w:val="clear" w:color="auto" w:fill="auto"/>
            <w:hideMark/>
          </w:tcPr>
          <w:p w14:paraId="2801BA6F" w14:textId="77777777" w:rsidR="00DF251A" w:rsidRPr="00521670" w:rsidRDefault="00DF251A" w:rsidP="00817A33">
            <w:pPr>
              <w:pStyle w:val="Tabletext"/>
              <w:ind w:left="251" w:hanging="251"/>
              <w:rPr>
                <w:szCs w:val="16"/>
                <w:lang w:val="ru-RU" w:eastAsia="en-GB"/>
              </w:rPr>
            </w:pPr>
            <w:r w:rsidRPr="00521670">
              <w:rPr>
                <w:i/>
                <w:iCs/>
                <w:szCs w:val="16"/>
                <w:lang w:val="ru-RU"/>
              </w:rPr>
              <w:t>−</w:t>
            </w:r>
            <w:r w:rsidRPr="00521670">
              <w:rPr>
                <w:i/>
                <w:iCs/>
                <w:szCs w:val="16"/>
                <w:lang w:val="ru-RU"/>
              </w:rPr>
              <w:tab/>
              <w:t>Дефицит, финансируемый за счет Резолюции 1405 (Бухарест)</w:t>
            </w:r>
          </w:p>
        </w:tc>
        <w:tc>
          <w:tcPr>
            <w:tcW w:w="1350" w:type="dxa"/>
            <w:tcBorders>
              <w:top w:val="nil"/>
              <w:left w:val="nil"/>
              <w:bottom w:val="nil"/>
              <w:right w:val="nil"/>
            </w:tcBorders>
            <w:shd w:val="clear" w:color="auto" w:fill="auto"/>
            <w:noWrap/>
            <w:vAlign w:val="center"/>
            <w:hideMark/>
          </w:tcPr>
          <w:p w14:paraId="6559FE0D" w14:textId="77777777" w:rsidR="00DF251A" w:rsidRPr="00521670" w:rsidRDefault="00DF251A" w:rsidP="002A2A92">
            <w:pPr>
              <w:pStyle w:val="Tabletext"/>
              <w:jc w:val="right"/>
              <w:rPr>
                <w:i/>
                <w:iCs/>
                <w:szCs w:val="18"/>
                <w:lang w:val="ru-RU" w:eastAsia="en-GB"/>
              </w:rPr>
            </w:pPr>
            <w:r w:rsidRPr="00521670">
              <w:rPr>
                <w:i/>
                <w:iCs/>
                <w:szCs w:val="18"/>
                <w:lang w:val="ru-RU" w:eastAsia="en-GB"/>
              </w:rPr>
              <w:t>1 291</w:t>
            </w:r>
          </w:p>
        </w:tc>
        <w:tc>
          <w:tcPr>
            <w:tcW w:w="1440" w:type="dxa"/>
            <w:tcBorders>
              <w:top w:val="nil"/>
              <w:left w:val="nil"/>
              <w:bottom w:val="nil"/>
              <w:right w:val="nil"/>
            </w:tcBorders>
            <w:shd w:val="clear" w:color="auto" w:fill="auto"/>
            <w:noWrap/>
            <w:vAlign w:val="center"/>
            <w:hideMark/>
          </w:tcPr>
          <w:p w14:paraId="48742EBC" w14:textId="77777777" w:rsidR="00DF251A" w:rsidRPr="00521670" w:rsidRDefault="00DF251A" w:rsidP="002A2A92">
            <w:pPr>
              <w:pStyle w:val="Tabletext"/>
              <w:jc w:val="right"/>
              <w:rPr>
                <w:i/>
                <w:iCs/>
                <w:szCs w:val="18"/>
                <w:lang w:val="ru-RU" w:eastAsia="en-GB"/>
              </w:rPr>
            </w:pPr>
            <w:r w:rsidRPr="00521670">
              <w:rPr>
                <w:i/>
                <w:iCs/>
                <w:szCs w:val="18"/>
                <w:lang w:val="ru-RU" w:eastAsia="en-GB"/>
              </w:rPr>
              <w:t>(443)</w:t>
            </w:r>
          </w:p>
        </w:tc>
        <w:tc>
          <w:tcPr>
            <w:tcW w:w="1030" w:type="dxa"/>
            <w:tcBorders>
              <w:top w:val="nil"/>
              <w:left w:val="nil"/>
              <w:bottom w:val="nil"/>
              <w:right w:val="nil"/>
            </w:tcBorders>
            <w:shd w:val="clear" w:color="auto" w:fill="auto"/>
            <w:noWrap/>
            <w:vAlign w:val="center"/>
            <w:hideMark/>
          </w:tcPr>
          <w:p w14:paraId="2C31BF5C" w14:textId="77777777" w:rsidR="00DF251A" w:rsidRPr="00521670" w:rsidRDefault="00DF251A" w:rsidP="002A2A92">
            <w:pPr>
              <w:pStyle w:val="Tabletext"/>
              <w:jc w:val="right"/>
              <w:rPr>
                <w:i/>
                <w:iCs/>
                <w:szCs w:val="18"/>
                <w:lang w:val="ru-RU" w:eastAsia="en-GB"/>
              </w:rPr>
            </w:pPr>
          </w:p>
        </w:tc>
        <w:tc>
          <w:tcPr>
            <w:tcW w:w="1240" w:type="dxa"/>
            <w:tcBorders>
              <w:top w:val="nil"/>
              <w:left w:val="nil"/>
              <w:bottom w:val="nil"/>
              <w:right w:val="nil"/>
            </w:tcBorders>
            <w:shd w:val="clear" w:color="auto" w:fill="auto"/>
            <w:noWrap/>
            <w:vAlign w:val="center"/>
            <w:hideMark/>
          </w:tcPr>
          <w:p w14:paraId="0B86F6D4" w14:textId="77777777" w:rsidR="00DF251A" w:rsidRPr="00521670" w:rsidRDefault="00DF251A" w:rsidP="002A2A92">
            <w:pPr>
              <w:pStyle w:val="Tabletext"/>
              <w:jc w:val="right"/>
              <w:rPr>
                <w:i/>
                <w:iCs/>
                <w:lang w:val="ru-RU" w:eastAsia="en-GB"/>
              </w:rPr>
            </w:pPr>
            <w:r w:rsidRPr="00521670">
              <w:rPr>
                <w:i/>
                <w:iCs/>
                <w:lang w:val="ru-RU" w:eastAsia="en-GB"/>
              </w:rPr>
              <w:t>1 734</w:t>
            </w:r>
          </w:p>
        </w:tc>
      </w:tr>
      <w:tr w:rsidR="00DF251A" w:rsidRPr="00521670" w14:paraId="6CD537BD" w14:textId="77777777" w:rsidTr="00817A33">
        <w:trPr>
          <w:trHeight w:val="150"/>
          <w:jc w:val="center"/>
        </w:trPr>
        <w:tc>
          <w:tcPr>
            <w:tcW w:w="3960" w:type="dxa"/>
            <w:tcBorders>
              <w:top w:val="nil"/>
              <w:left w:val="nil"/>
              <w:bottom w:val="nil"/>
              <w:right w:val="nil"/>
            </w:tcBorders>
            <w:shd w:val="clear" w:color="auto" w:fill="auto"/>
            <w:vAlign w:val="bottom"/>
            <w:hideMark/>
          </w:tcPr>
          <w:p w14:paraId="50CBB901" w14:textId="77777777" w:rsidR="00DF251A" w:rsidRPr="00521670" w:rsidRDefault="00DF251A" w:rsidP="002A2A92">
            <w:pPr>
              <w:pStyle w:val="Tabletext"/>
              <w:rPr>
                <w:lang w:val="ru-RU" w:eastAsia="en-GB"/>
              </w:rPr>
            </w:pPr>
          </w:p>
        </w:tc>
        <w:tc>
          <w:tcPr>
            <w:tcW w:w="1350" w:type="dxa"/>
            <w:tcBorders>
              <w:top w:val="nil"/>
              <w:left w:val="nil"/>
              <w:bottom w:val="nil"/>
              <w:right w:val="nil"/>
            </w:tcBorders>
            <w:shd w:val="clear" w:color="auto" w:fill="auto"/>
            <w:noWrap/>
            <w:vAlign w:val="center"/>
            <w:hideMark/>
          </w:tcPr>
          <w:p w14:paraId="32852924" w14:textId="77777777" w:rsidR="00DF251A" w:rsidRPr="00521670" w:rsidRDefault="00DF251A" w:rsidP="002A2A92">
            <w:pPr>
              <w:pStyle w:val="Tabletext"/>
              <w:jc w:val="right"/>
              <w:rPr>
                <w:lang w:val="ru-RU" w:eastAsia="en-GB"/>
              </w:rPr>
            </w:pPr>
          </w:p>
        </w:tc>
        <w:tc>
          <w:tcPr>
            <w:tcW w:w="1440" w:type="dxa"/>
            <w:tcBorders>
              <w:top w:val="nil"/>
              <w:left w:val="nil"/>
              <w:bottom w:val="nil"/>
              <w:right w:val="nil"/>
            </w:tcBorders>
            <w:shd w:val="clear" w:color="auto" w:fill="auto"/>
            <w:noWrap/>
            <w:vAlign w:val="center"/>
            <w:hideMark/>
          </w:tcPr>
          <w:p w14:paraId="39881262" w14:textId="77777777" w:rsidR="00DF251A" w:rsidRPr="00521670" w:rsidRDefault="00DF251A" w:rsidP="002A2A92">
            <w:pPr>
              <w:pStyle w:val="Tabletext"/>
              <w:jc w:val="right"/>
              <w:rPr>
                <w:lang w:val="ru-RU" w:eastAsia="en-GB"/>
              </w:rPr>
            </w:pPr>
          </w:p>
        </w:tc>
        <w:tc>
          <w:tcPr>
            <w:tcW w:w="1030" w:type="dxa"/>
            <w:tcBorders>
              <w:top w:val="nil"/>
              <w:left w:val="nil"/>
              <w:bottom w:val="nil"/>
              <w:right w:val="nil"/>
            </w:tcBorders>
            <w:shd w:val="clear" w:color="auto" w:fill="auto"/>
            <w:noWrap/>
            <w:vAlign w:val="center"/>
            <w:hideMark/>
          </w:tcPr>
          <w:p w14:paraId="34361E4E" w14:textId="77777777" w:rsidR="00DF251A" w:rsidRPr="00521670" w:rsidRDefault="00DF251A" w:rsidP="002A2A92">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1B3574F9" w14:textId="77777777" w:rsidR="00DF251A" w:rsidRPr="00521670" w:rsidRDefault="00DF251A" w:rsidP="002A2A92">
            <w:pPr>
              <w:pStyle w:val="Tabletext"/>
              <w:jc w:val="right"/>
              <w:rPr>
                <w:lang w:val="ru-RU" w:eastAsia="en-GB"/>
              </w:rPr>
            </w:pPr>
          </w:p>
        </w:tc>
      </w:tr>
      <w:tr w:rsidR="00DF251A" w:rsidRPr="00521670" w14:paraId="2C6ECEEB" w14:textId="77777777" w:rsidTr="00817A33">
        <w:trPr>
          <w:trHeight w:val="300"/>
          <w:jc w:val="center"/>
        </w:trPr>
        <w:tc>
          <w:tcPr>
            <w:tcW w:w="3960" w:type="dxa"/>
            <w:tcBorders>
              <w:top w:val="nil"/>
              <w:left w:val="nil"/>
              <w:bottom w:val="nil"/>
              <w:right w:val="nil"/>
            </w:tcBorders>
            <w:shd w:val="clear" w:color="auto" w:fill="auto"/>
            <w:vAlign w:val="bottom"/>
            <w:hideMark/>
          </w:tcPr>
          <w:p w14:paraId="4AC85235" w14:textId="77777777" w:rsidR="00DF251A" w:rsidRPr="00521670" w:rsidRDefault="00DF251A" w:rsidP="00817A33">
            <w:pPr>
              <w:pStyle w:val="Tabletext"/>
              <w:rPr>
                <w:szCs w:val="16"/>
                <w:lang w:val="ru-RU" w:eastAsia="en-GB"/>
              </w:rPr>
            </w:pPr>
            <w:r w:rsidRPr="00521670">
              <w:rPr>
                <w:szCs w:val="16"/>
                <w:lang w:val="ru-RU"/>
              </w:rPr>
              <w:t>Инвестиционный фонд</w:t>
            </w:r>
          </w:p>
        </w:tc>
        <w:tc>
          <w:tcPr>
            <w:tcW w:w="1350" w:type="dxa"/>
            <w:tcBorders>
              <w:top w:val="nil"/>
              <w:left w:val="nil"/>
              <w:bottom w:val="nil"/>
              <w:right w:val="nil"/>
            </w:tcBorders>
            <w:shd w:val="clear" w:color="auto" w:fill="auto"/>
            <w:noWrap/>
            <w:vAlign w:val="center"/>
            <w:hideMark/>
          </w:tcPr>
          <w:p w14:paraId="0206A189" w14:textId="77777777" w:rsidR="00DF251A" w:rsidRPr="00521670" w:rsidRDefault="00DF251A" w:rsidP="00817A33">
            <w:pPr>
              <w:pStyle w:val="Tabletext"/>
              <w:jc w:val="right"/>
              <w:rPr>
                <w:lang w:val="ru-RU" w:eastAsia="en-GB"/>
              </w:rPr>
            </w:pPr>
            <w:r w:rsidRPr="00521670">
              <w:rPr>
                <w:lang w:val="ru-RU" w:eastAsia="en-GB"/>
              </w:rPr>
              <w:t>13 706</w:t>
            </w:r>
          </w:p>
        </w:tc>
        <w:tc>
          <w:tcPr>
            <w:tcW w:w="1440" w:type="dxa"/>
            <w:tcBorders>
              <w:top w:val="nil"/>
              <w:left w:val="nil"/>
              <w:bottom w:val="nil"/>
              <w:right w:val="nil"/>
            </w:tcBorders>
            <w:shd w:val="clear" w:color="auto" w:fill="auto"/>
            <w:noWrap/>
            <w:vAlign w:val="center"/>
            <w:hideMark/>
          </w:tcPr>
          <w:p w14:paraId="536FB5EC" w14:textId="77777777" w:rsidR="00DF251A" w:rsidRPr="00521670" w:rsidRDefault="00DF251A" w:rsidP="00817A33">
            <w:pPr>
              <w:pStyle w:val="Tabletext"/>
              <w:jc w:val="right"/>
              <w:rPr>
                <w:lang w:val="ru-RU" w:eastAsia="en-GB"/>
              </w:rPr>
            </w:pPr>
            <w:r w:rsidRPr="00521670">
              <w:rPr>
                <w:lang w:val="ru-RU" w:eastAsia="en-GB"/>
              </w:rPr>
              <w:t>230</w:t>
            </w:r>
          </w:p>
        </w:tc>
        <w:tc>
          <w:tcPr>
            <w:tcW w:w="1030" w:type="dxa"/>
            <w:tcBorders>
              <w:top w:val="nil"/>
              <w:left w:val="nil"/>
              <w:bottom w:val="nil"/>
              <w:right w:val="nil"/>
            </w:tcBorders>
            <w:shd w:val="clear" w:color="auto" w:fill="auto"/>
            <w:noWrap/>
            <w:vAlign w:val="center"/>
            <w:hideMark/>
          </w:tcPr>
          <w:p w14:paraId="7FA2FE91"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2B0CFDBC" w14:textId="77777777" w:rsidR="00DF251A" w:rsidRPr="00521670" w:rsidRDefault="00DF251A" w:rsidP="00817A33">
            <w:pPr>
              <w:pStyle w:val="Tabletext"/>
              <w:jc w:val="right"/>
              <w:rPr>
                <w:lang w:val="ru-RU" w:eastAsia="en-GB"/>
              </w:rPr>
            </w:pPr>
            <w:r w:rsidRPr="00521670">
              <w:rPr>
                <w:lang w:val="ru-RU" w:eastAsia="en-GB"/>
              </w:rPr>
              <w:t>13 476</w:t>
            </w:r>
          </w:p>
        </w:tc>
      </w:tr>
      <w:tr w:rsidR="00DF251A" w:rsidRPr="00521670" w14:paraId="65D5E407" w14:textId="77777777" w:rsidTr="00817A33">
        <w:trPr>
          <w:trHeight w:val="300"/>
          <w:jc w:val="center"/>
        </w:trPr>
        <w:tc>
          <w:tcPr>
            <w:tcW w:w="3960" w:type="dxa"/>
            <w:tcBorders>
              <w:top w:val="nil"/>
              <w:left w:val="nil"/>
              <w:bottom w:val="nil"/>
              <w:right w:val="nil"/>
            </w:tcBorders>
            <w:shd w:val="clear" w:color="auto" w:fill="auto"/>
            <w:vAlign w:val="bottom"/>
            <w:hideMark/>
          </w:tcPr>
          <w:p w14:paraId="3204DAFF" w14:textId="77777777" w:rsidR="00DF251A" w:rsidRPr="00521670" w:rsidRDefault="00DF251A" w:rsidP="00817A33">
            <w:pPr>
              <w:pStyle w:val="Tabletext"/>
              <w:rPr>
                <w:szCs w:val="16"/>
                <w:lang w:val="ru-RU" w:eastAsia="en-GB"/>
              </w:rPr>
            </w:pPr>
            <w:r w:rsidRPr="00521670">
              <w:rPr>
                <w:szCs w:val="16"/>
                <w:lang w:val="ru-RU"/>
              </w:rPr>
              <w:t>Резервный фонд строительства нового здания</w:t>
            </w:r>
          </w:p>
        </w:tc>
        <w:tc>
          <w:tcPr>
            <w:tcW w:w="1350" w:type="dxa"/>
            <w:tcBorders>
              <w:top w:val="nil"/>
              <w:left w:val="nil"/>
              <w:bottom w:val="nil"/>
              <w:right w:val="nil"/>
            </w:tcBorders>
            <w:shd w:val="clear" w:color="auto" w:fill="auto"/>
            <w:noWrap/>
            <w:vAlign w:val="center"/>
            <w:hideMark/>
          </w:tcPr>
          <w:p w14:paraId="7F52495E" w14:textId="77777777" w:rsidR="00DF251A" w:rsidRPr="00521670" w:rsidRDefault="00DF251A" w:rsidP="001757A7">
            <w:pPr>
              <w:pStyle w:val="Tabletext"/>
              <w:jc w:val="right"/>
              <w:rPr>
                <w:lang w:val="ru-RU" w:eastAsia="en-GB"/>
              </w:rPr>
            </w:pPr>
            <w:r w:rsidRPr="00521670">
              <w:rPr>
                <w:lang w:val="ru-RU" w:eastAsia="en-GB"/>
              </w:rPr>
              <w:t>21 906</w:t>
            </w:r>
          </w:p>
        </w:tc>
        <w:tc>
          <w:tcPr>
            <w:tcW w:w="1440" w:type="dxa"/>
            <w:tcBorders>
              <w:top w:val="nil"/>
              <w:left w:val="nil"/>
              <w:bottom w:val="nil"/>
              <w:right w:val="nil"/>
            </w:tcBorders>
            <w:shd w:val="clear" w:color="auto" w:fill="auto"/>
            <w:noWrap/>
            <w:vAlign w:val="center"/>
            <w:hideMark/>
          </w:tcPr>
          <w:p w14:paraId="12D58819" w14:textId="77777777" w:rsidR="00DF251A" w:rsidRPr="00521670" w:rsidRDefault="00DF251A" w:rsidP="00817A33">
            <w:pPr>
              <w:pStyle w:val="Tabletext"/>
              <w:jc w:val="right"/>
              <w:rPr>
                <w:lang w:val="ru-RU" w:eastAsia="en-GB"/>
              </w:rPr>
            </w:pPr>
            <w:r w:rsidRPr="00521670">
              <w:rPr>
                <w:lang w:val="ru-RU" w:eastAsia="en-GB"/>
              </w:rPr>
              <w:t>(1 372)</w:t>
            </w:r>
          </w:p>
        </w:tc>
        <w:tc>
          <w:tcPr>
            <w:tcW w:w="1030" w:type="dxa"/>
            <w:tcBorders>
              <w:top w:val="nil"/>
              <w:left w:val="nil"/>
              <w:bottom w:val="nil"/>
              <w:right w:val="nil"/>
            </w:tcBorders>
            <w:shd w:val="clear" w:color="auto" w:fill="auto"/>
            <w:noWrap/>
            <w:vAlign w:val="center"/>
            <w:hideMark/>
          </w:tcPr>
          <w:p w14:paraId="24D2DEC1"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48B86A61" w14:textId="77777777" w:rsidR="00DF251A" w:rsidRPr="00521670" w:rsidRDefault="00DF251A" w:rsidP="00817A33">
            <w:pPr>
              <w:pStyle w:val="Tabletext"/>
              <w:jc w:val="right"/>
              <w:rPr>
                <w:lang w:val="ru-RU" w:eastAsia="en-GB"/>
              </w:rPr>
            </w:pPr>
            <w:r w:rsidRPr="00521670">
              <w:rPr>
                <w:lang w:val="ru-RU" w:eastAsia="en-GB"/>
              </w:rPr>
              <w:t>23 278</w:t>
            </w:r>
          </w:p>
        </w:tc>
      </w:tr>
      <w:tr w:rsidR="00DF251A" w:rsidRPr="00521670" w14:paraId="7CA7D8B0" w14:textId="77777777" w:rsidTr="00817A33">
        <w:trPr>
          <w:trHeight w:val="300"/>
          <w:jc w:val="center"/>
        </w:trPr>
        <w:tc>
          <w:tcPr>
            <w:tcW w:w="3960" w:type="dxa"/>
            <w:tcBorders>
              <w:top w:val="nil"/>
              <w:left w:val="nil"/>
              <w:bottom w:val="nil"/>
              <w:right w:val="nil"/>
            </w:tcBorders>
            <w:shd w:val="clear" w:color="auto" w:fill="auto"/>
            <w:vAlign w:val="bottom"/>
            <w:hideMark/>
          </w:tcPr>
          <w:p w14:paraId="5999C3BF" w14:textId="77777777" w:rsidR="00DF251A" w:rsidRPr="00521670" w:rsidRDefault="00DF251A" w:rsidP="00817A33">
            <w:pPr>
              <w:pStyle w:val="Tabletext"/>
              <w:rPr>
                <w:szCs w:val="16"/>
                <w:lang w:val="ru-RU" w:eastAsia="en-GB"/>
              </w:rPr>
            </w:pPr>
            <w:r w:rsidRPr="00521670">
              <w:rPr>
                <w:szCs w:val="16"/>
                <w:lang w:val="ru-RU"/>
              </w:rPr>
              <w:t>Фонд реестра рисков</w:t>
            </w:r>
          </w:p>
        </w:tc>
        <w:tc>
          <w:tcPr>
            <w:tcW w:w="1350" w:type="dxa"/>
            <w:tcBorders>
              <w:top w:val="nil"/>
              <w:left w:val="nil"/>
              <w:bottom w:val="nil"/>
              <w:right w:val="nil"/>
            </w:tcBorders>
            <w:shd w:val="clear" w:color="auto" w:fill="auto"/>
            <w:noWrap/>
            <w:vAlign w:val="center"/>
            <w:hideMark/>
          </w:tcPr>
          <w:p w14:paraId="7AF7631B" w14:textId="77777777" w:rsidR="00DF251A" w:rsidRPr="00521670" w:rsidRDefault="00DF251A" w:rsidP="00817A33">
            <w:pPr>
              <w:pStyle w:val="Tabletext"/>
              <w:jc w:val="right"/>
              <w:rPr>
                <w:lang w:val="ru-RU" w:eastAsia="en-GB"/>
              </w:rPr>
            </w:pPr>
            <w:r w:rsidRPr="00521670">
              <w:rPr>
                <w:lang w:val="ru-RU" w:eastAsia="en-GB"/>
              </w:rPr>
              <w:t>3 430</w:t>
            </w:r>
          </w:p>
        </w:tc>
        <w:tc>
          <w:tcPr>
            <w:tcW w:w="1440" w:type="dxa"/>
            <w:tcBorders>
              <w:top w:val="nil"/>
              <w:left w:val="nil"/>
              <w:bottom w:val="nil"/>
              <w:right w:val="nil"/>
            </w:tcBorders>
            <w:shd w:val="clear" w:color="auto" w:fill="auto"/>
            <w:noWrap/>
            <w:vAlign w:val="center"/>
            <w:hideMark/>
          </w:tcPr>
          <w:p w14:paraId="7FA1F226" w14:textId="77777777" w:rsidR="00DF251A" w:rsidRPr="00521670" w:rsidRDefault="00DF251A" w:rsidP="00817A33">
            <w:pPr>
              <w:pStyle w:val="Tabletext"/>
              <w:jc w:val="right"/>
              <w:rPr>
                <w:lang w:val="ru-RU" w:eastAsia="en-GB"/>
              </w:rPr>
            </w:pPr>
            <w:r w:rsidRPr="00521670">
              <w:rPr>
                <w:lang w:val="ru-RU" w:eastAsia="en-GB"/>
              </w:rPr>
              <w:t>−</w:t>
            </w:r>
          </w:p>
        </w:tc>
        <w:tc>
          <w:tcPr>
            <w:tcW w:w="1030" w:type="dxa"/>
            <w:tcBorders>
              <w:top w:val="nil"/>
              <w:left w:val="nil"/>
              <w:bottom w:val="nil"/>
              <w:right w:val="nil"/>
            </w:tcBorders>
            <w:shd w:val="clear" w:color="auto" w:fill="auto"/>
            <w:noWrap/>
            <w:vAlign w:val="center"/>
            <w:hideMark/>
          </w:tcPr>
          <w:p w14:paraId="02D39904"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0AA1CFA6" w14:textId="77777777" w:rsidR="00DF251A" w:rsidRPr="00521670" w:rsidRDefault="00DF251A" w:rsidP="00817A33">
            <w:pPr>
              <w:pStyle w:val="Tabletext"/>
              <w:jc w:val="right"/>
              <w:rPr>
                <w:lang w:val="ru-RU" w:eastAsia="en-GB"/>
              </w:rPr>
            </w:pPr>
            <w:r w:rsidRPr="00521670">
              <w:rPr>
                <w:lang w:val="ru-RU" w:eastAsia="en-GB"/>
              </w:rPr>
              <w:t>3 430</w:t>
            </w:r>
          </w:p>
        </w:tc>
      </w:tr>
      <w:tr w:rsidR="00DF251A" w:rsidRPr="00521670" w14:paraId="4C5A2895" w14:textId="77777777" w:rsidTr="00817A33">
        <w:trPr>
          <w:trHeight w:val="300"/>
          <w:jc w:val="center"/>
        </w:trPr>
        <w:tc>
          <w:tcPr>
            <w:tcW w:w="3960" w:type="dxa"/>
            <w:tcBorders>
              <w:top w:val="nil"/>
              <w:left w:val="nil"/>
              <w:bottom w:val="nil"/>
              <w:right w:val="nil"/>
            </w:tcBorders>
            <w:shd w:val="clear" w:color="auto" w:fill="auto"/>
            <w:vAlign w:val="bottom"/>
            <w:hideMark/>
          </w:tcPr>
          <w:p w14:paraId="4E30D06A" w14:textId="77777777" w:rsidR="00DF251A" w:rsidRPr="00521670" w:rsidRDefault="00DF251A" w:rsidP="00817A33">
            <w:pPr>
              <w:pStyle w:val="Tabletext"/>
              <w:rPr>
                <w:szCs w:val="16"/>
                <w:lang w:val="ru-RU" w:eastAsia="en-GB"/>
              </w:rPr>
            </w:pPr>
            <w:r w:rsidRPr="00521670">
              <w:rPr>
                <w:szCs w:val="16"/>
                <w:lang w:val="ru-RU"/>
              </w:rPr>
              <w:t>Фонд социального обеспечения сотрудников</w:t>
            </w:r>
          </w:p>
        </w:tc>
        <w:tc>
          <w:tcPr>
            <w:tcW w:w="1350" w:type="dxa"/>
            <w:tcBorders>
              <w:top w:val="nil"/>
              <w:left w:val="nil"/>
              <w:bottom w:val="nil"/>
              <w:right w:val="nil"/>
            </w:tcBorders>
            <w:shd w:val="clear" w:color="auto" w:fill="auto"/>
            <w:noWrap/>
            <w:vAlign w:val="center"/>
            <w:hideMark/>
          </w:tcPr>
          <w:p w14:paraId="41B84035" w14:textId="77777777" w:rsidR="00DF251A" w:rsidRPr="00521670" w:rsidRDefault="00DF251A" w:rsidP="00817A33">
            <w:pPr>
              <w:pStyle w:val="Tabletext"/>
              <w:jc w:val="right"/>
              <w:rPr>
                <w:lang w:val="ru-RU" w:eastAsia="en-GB"/>
              </w:rPr>
            </w:pPr>
            <w:r w:rsidRPr="00521670">
              <w:rPr>
                <w:lang w:val="ru-RU" w:eastAsia="en-GB"/>
              </w:rPr>
              <w:t>315</w:t>
            </w:r>
          </w:p>
        </w:tc>
        <w:tc>
          <w:tcPr>
            <w:tcW w:w="1440" w:type="dxa"/>
            <w:tcBorders>
              <w:top w:val="nil"/>
              <w:left w:val="nil"/>
              <w:bottom w:val="nil"/>
              <w:right w:val="nil"/>
            </w:tcBorders>
            <w:shd w:val="clear" w:color="auto" w:fill="auto"/>
            <w:noWrap/>
            <w:vAlign w:val="center"/>
            <w:hideMark/>
          </w:tcPr>
          <w:p w14:paraId="548418F4" w14:textId="77777777" w:rsidR="00DF251A" w:rsidRPr="00521670" w:rsidRDefault="00DF251A" w:rsidP="00817A33">
            <w:pPr>
              <w:pStyle w:val="Tabletext"/>
              <w:jc w:val="right"/>
              <w:rPr>
                <w:lang w:val="ru-RU" w:eastAsia="en-GB"/>
              </w:rPr>
            </w:pPr>
            <w:r w:rsidRPr="00521670">
              <w:rPr>
                <w:lang w:val="ru-RU" w:eastAsia="en-GB"/>
              </w:rPr>
              <w:t>1</w:t>
            </w:r>
          </w:p>
        </w:tc>
        <w:tc>
          <w:tcPr>
            <w:tcW w:w="1030" w:type="dxa"/>
            <w:tcBorders>
              <w:top w:val="nil"/>
              <w:left w:val="nil"/>
              <w:bottom w:val="nil"/>
              <w:right w:val="nil"/>
            </w:tcBorders>
            <w:shd w:val="clear" w:color="auto" w:fill="auto"/>
            <w:noWrap/>
            <w:vAlign w:val="center"/>
            <w:hideMark/>
          </w:tcPr>
          <w:p w14:paraId="6ABE3177"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1D7C807E" w14:textId="77777777" w:rsidR="00DF251A" w:rsidRPr="00521670" w:rsidRDefault="00DF251A" w:rsidP="00817A33">
            <w:pPr>
              <w:pStyle w:val="Tabletext"/>
              <w:jc w:val="right"/>
              <w:rPr>
                <w:lang w:val="ru-RU" w:eastAsia="en-GB"/>
              </w:rPr>
            </w:pPr>
            <w:r w:rsidRPr="00521670">
              <w:rPr>
                <w:lang w:val="ru-RU" w:eastAsia="en-GB"/>
              </w:rPr>
              <w:t>314</w:t>
            </w:r>
          </w:p>
        </w:tc>
      </w:tr>
      <w:tr w:rsidR="00DF251A" w:rsidRPr="00521670" w14:paraId="670CC358" w14:textId="77777777" w:rsidTr="00817A33">
        <w:trPr>
          <w:trHeight w:val="300"/>
          <w:jc w:val="center"/>
        </w:trPr>
        <w:tc>
          <w:tcPr>
            <w:tcW w:w="3960" w:type="dxa"/>
            <w:tcBorders>
              <w:top w:val="nil"/>
              <w:left w:val="nil"/>
              <w:bottom w:val="nil"/>
              <w:right w:val="nil"/>
            </w:tcBorders>
            <w:shd w:val="clear" w:color="auto" w:fill="auto"/>
            <w:vAlign w:val="bottom"/>
            <w:hideMark/>
          </w:tcPr>
          <w:p w14:paraId="39D3A88E" w14:textId="77777777" w:rsidR="00DF251A" w:rsidRPr="00521670" w:rsidRDefault="00DF251A" w:rsidP="00817A33">
            <w:pPr>
              <w:pStyle w:val="Tabletext"/>
              <w:rPr>
                <w:szCs w:val="16"/>
                <w:lang w:val="ru-RU" w:eastAsia="en-GB"/>
              </w:rPr>
            </w:pPr>
            <w:r w:rsidRPr="00521670">
              <w:rPr>
                <w:szCs w:val="16"/>
                <w:lang w:val="ru-RU"/>
              </w:rPr>
              <w:t>Фонд наград в связи со столетием МСЭ</w:t>
            </w:r>
          </w:p>
        </w:tc>
        <w:tc>
          <w:tcPr>
            <w:tcW w:w="1350" w:type="dxa"/>
            <w:tcBorders>
              <w:top w:val="nil"/>
              <w:left w:val="nil"/>
              <w:bottom w:val="nil"/>
              <w:right w:val="nil"/>
            </w:tcBorders>
            <w:shd w:val="clear" w:color="auto" w:fill="auto"/>
            <w:noWrap/>
            <w:vAlign w:val="center"/>
            <w:hideMark/>
          </w:tcPr>
          <w:p w14:paraId="07F633EB" w14:textId="77777777" w:rsidR="00DF251A" w:rsidRPr="00521670" w:rsidRDefault="00DF251A" w:rsidP="00817A33">
            <w:pPr>
              <w:pStyle w:val="Tabletext"/>
              <w:jc w:val="right"/>
              <w:rPr>
                <w:lang w:val="ru-RU" w:eastAsia="en-GB"/>
              </w:rPr>
            </w:pPr>
            <w:r w:rsidRPr="00521670">
              <w:rPr>
                <w:lang w:val="ru-RU" w:eastAsia="en-GB"/>
              </w:rPr>
              <w:t>212</w:t>
            </w:r>
          </w:p>
        </w:tc>
        <w:tc>
          <w:tcPr>
            <w:tcW w:w="1440" w:type="dxa"/>
            <w:tcBorders>
              <w:top w:val="nil"/>
              <w:left w:val="nil"/>
              <w:bottom w:val="nil"/>
              <w:right w:val="nil"/>
            </w:tcBorders>
            <w:shd w:val="clear" w:color="auto" w:fill="auto"/>
            <w:noWrap/>
            <w:vAlign w:val="center"/>
            <w:hideMark/>
          </w:tcPr>
          <w:p w14:paraId="0B327A2B" w14:textId="77777777" w:rsidR="00DF251A" w:rsidRPr="00521670" w:rsidRDefault="00DF251A" w:rsidP="00817A33">
            <w:pPr>
              <w:pStyle w:val="Tabletext"/>
              <w:jc w:val="right"/>
              <w:rPr>
                <w:lang w:val="ru-RU" w:eastAsia="en-GB"/>
              </w:rPr>
            </w:pPr>
            <w:r w:rsidRPr="00521670">
              <w:rPr>
                <w:lang w:val="ru-RU" w:eastAsia="en-GB"/>
              </w:rPr>
              <w:t>−</w:t>
            </w:r>
          </w:p>
        </w:tc>
        <w:tc>
          <w:tcPr>
            <w:tcW w:w="1030" w:type="dxa"/>
            <w:tcBorders>
              <w:top w:val="nil"/>
              <w:left w:val="nil"/>
              <w:bottom w:val="nil"/>
              <w:right w:val="nil"/>
            </w:tcBorders>
            <w:shd w:val="clear" w:color="auto" w:fill="auto"/>
            <w:noWrap/>
            <w:vAlign w:val="center"/>
            <w:hideMark/>
          </w:tcPr>
          <w:p w14:paraId="2A857526"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5CEC0F1D" w14:textId="77777777" w:rsidR="00DF251A" w:rsidRPr="00521670" w:rsidRDefault="00DF251A" w:rsidP="00817A33">
            <w:pPr>
              <w:pStyle w:val="Tabletext"/>
              <w:jc w:val="right"/>
              <w:rPr>
                <w:lang w:val="ru-RU" w:eastAsia="en-GB"/>
              </w:rPr>
            </w:pPr>
            <w:r w:rsidRPr="00521670">
              <w:rPr>
                <w:lang w:val="ru-RU" w:eastAsia="en-GB"/>
              </w:rPr>
              <w:t>212</w:t>
            </w:r>
          </w:p>
        </w:tc>
      </w:tr>
      <w:tr w:rsidR="00DF251A" w:rsidRPr="00521670" w14:paraId="4105BC9B" w14:textId="77777777" w:rsidTr="00817A33">
        <w:trPr>
          <w:trHeight w:val="300"/>
          <w:jc w:val="center"/>
        </w:trPr>
        <w:tc>
          <w:tcPr>
            <w:tcW w:w="3960" w:type="dxa"/>
            <w:tcBorders>
              <w:top w:val="nil"/>
              <w:left w:val="nil"/>
              <w:bottom w:val="nil"/>
              <w:right w:val="nil"/>
            </w:tcBorders>
            <w:shd w:val="clear" w:color="auto" w:fill="auto"/>
            <w:vAlign w:val="bottom"/>
            <w:hideMark/>
          </w:tcPr>
          <w:p w14:paraId="6FAEF1D0" w14:textId="77777777" w:rsidR="00DF251A" w:rsidRPr="00521670" w:rsidRDefault="00DF251A" w:rsidP="00817A33">
            <w:pPr>
              <w:pStyle w:val="Tabletext"/>
              <w:rPr>
                <w:szCs w:val="16"/>
                <w:lang w:val="ru-RU" w:eastAsia="en-GB"/>
              </w:rPr>
            </w:pPr>
            <w:r w:rsidRPr="00521670">
              <w:rPr>
                <w:szCs w:val="16"/>
                <w:lang w:val="ru-RU"/>
              </w:rPr>
              <w:t>Фонд резервных и дополнительных средств Страховой кассы</w:t>
            </w:r>
          </w:p>
        </w:tc>
        <w:tc>
          <w:tcPr>
            <w:tcW w:w="1350" w:type="dxa"/>
            <w:tcBorders>
              <w:top w:val="nil"/>
              <w:left w:val="nil"/>
              <w:bottom w:val="nil"/>
              <w:right w:val="nil"/>
            </w:tcBorders>
            <w:shd w:val="clear" w:color="auto" w:fill="auto"/>
            <w:noWrap/>
            <w:vAlign w:val="center"/>
            <w:hideMark/>
          </w:tcPr>
          <w:p w14:paraId="257FB984" w14:textId="77777777" w:rsidR="00DF251A" w:rsidRPr="00521670" w:rsidRDefault="00DF251A" w:rsidP="00817A33">
            <w:pPr>
              <w:pStyle w:val="Tabletext"/>
              <w:jc w:val="right"/>
              <w:rPr>
                <w:lang w:val="ru-RU" w:eastAsia="en-GB"/>
              </w:rPr>
            </w:pPr>
            <w:r w:rsidRPr="00521670">
              <w:rPr>
                <w:lang w:val="ru-RU" w:eastAsia="en-GB"/>
              </w:rPr>
              <w:t>6 833</w:t>
            </w:r>
          </w:p>
        </w:tc>
        <w:tc>
          <w:tcPr>
            <w:tcW w:w="1440" w:type="dxa"/>
            <w:tcBorders>
              <w:top w:val="nil"/>
              <w:left w:val="nil"/>
              <w:bottom w:val="nil"/>
              <w:right w:val="nil"/>
            </w:tcBorders>
            <w:shd w:val="clear" w:color="auto" w:fill="auto"/>
            <w:noWrap/>
            <w:vAlign w:val="center"/>
            <w:hideMark/>
          </w:tcPr>
          <w:p w14:paraId="2FFCC7A8" w14:textId="77777777" w:rsidR="00DF251A" w:rsidRPr="00521670" w:rsidRDefault="00DF251A" w:rsidP="00817A33">
            <w:pPr>
              <w:pStyle w:val="Tabletext"/>
              <w:jc w:val="right"/>
              <w:rPr>
                <w:lang w:val="ru-RU" w:eastAsia="en-GB"/>
              </w:rPr>
            </w:pPr>
            <w:r w:rsidRPr="00521670">
              <w:rPr>
                <w:lang w:val="ru-RU" w:eastAsia="en-GB"/>
              </w:rPr>
              <w:t>305</w:t>
            </w:r>
          </w:p>
        </w:tc>
        <w:tc>
          <w:tcPr>
            <w:tcW w:w="1030" w:type="dxa"/>
            <w:tcBorders>
              <w:top w:val="nil"/>
              <w:left w:val="nil"/>
              <w:bottom w:val="nil"/>
              <w:right w:val="nil"/>
            </w:tcBorders>
            <w:shd w:val="clear" w:color="auto" w:fill="auto"/>
            <w:noWrap/>
            <w:vAlign w:val="center"/>
            <w:hideMark/>
          </w:tcPr>
          <w:p w14:paraId="0F84558C"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62D28358" w14:textId="77777777" w:rsidR="00DF251A" w:rsidRPr="00521670" w:rsidRDefault="00DF251A" w:rsidP="00817A33">
            <w:pPr>
              <w:pStyle w:val="Tabletext"/>
              <w:jc w:val="right"/>
              <w:rPr>
                <w:lang w:val="ru-RU" w:eastAsia="en-GB"/>
              </w:rPr>
            </w:pPr>
            <w:r w:rsidRPr="00521670">
              <w:rPr>
                <w:lang w:val="ru-RU" w:eastAsia="en-GB"/>
              </w:rPr>
              <w:t>6 528</w:t>
            </w:r>
          </w:p>
        </w:tc>
      </w:tr>
      <w:tr w:rsidR="00DF251A" w:rsidRPr="00521670" w14:paraId="76A565D6" w14:textId="77777777" w:rsidTr="00817A33">
        <w:trPr>
          <w:trHeight w:val="300"/>
          <w:jc w:val="center"/>
        </w:trPr>
        <w:tc>
          <w:tcPr>
            <w:tcW w:w="3960" w:type="dxa"/>
            <w:tcBorders>
              <w:top w:val="nil"/>
              <w:left w:val="nil"/>
              <w:bottom w:val="nil"/>
              <w:right w:val="nil"/>
            </w:tcBorders>
            <w:shd w:val="clear" w:color="auto" w:fill="auto"/>
            <w:vAlign w:val="bottom"/>
            <w:hideMark/>
          </w:tcPr>
          <w:p w14:paraId="142166E5" w14:textId="77777777" w:rsidR="00DF251A" w:rsidRPr="00521670" w:rsidRDefault="00DF251A" w:rsidP="00817A33">
            <w:pPr>
              <w:pStyle w:val="Tabletext"/>
              <w:rPr>
                <w:szCs w:val="16"/>
                <w:lang w:val="ru-RU" w:eastAsia="en-GB"/>
              </w:rPr>
            </w:pPr>
            <w:r w:rsidRPr="00521670">
              <w:rPr>
                <w:szCs w:val="16"/>
                <w:lang w:val="ru-RU"/>
              </w:rPr>
              <w:t>Фонд помощи Страховой кассы</w:t>
            </w:r>
          </w:p>
        </w:tc>
        <w:tc>
          <w:tcPr>
            <w:tcW w:w="1350" w:type="dxa"/>
            <w:tcBorders>
              <w:top w:val="nil"/>
              <w:left w:val="nil"/>
              <w:bottom w:val="nil"/>
              <w:right w:val="nil"/>
            </w:tcBorders>
            <w:shd w:val="clear" w:color="auto" w:fill="auto"/>
            <w:noWrap/>
            <w:vAlign w:val="center"/>
            <w:hideMark/>
          </w:tcPr>
          <w:p w14:paraId="607517D6" w14:textId="77777777" w:rsidR="00DF251A" w:rsidRPr="00521670" w:rsidRDefault="00DF251A" w:rsidP="00817A33">
            <w:pPr>
              <w:pStyle w:val="Tabletext"/>
              <w:jc w:val="right"/>
              <w:rPr>
                <w:lang w:val="ru-RU" w:eastAsia="en-GB"/>
              </w:rPr>
            </w:pPr>
            <w:r w:rsidRPr="00521670">
              <w:rPr>
                <w:lang w:val="ru-RU" w:eastAsia="en-GB"/>
              </w:rPr>
              <w:t>279</w:t>
            </w:r>
          </w:p>
        </w:tc>
        <w:tc>
          <w:tcPr>
            <w:tcW w:w="1440" w:type="dxa"/>
            <w:tcBorders>
              <w:top w:val="nil"/>
              <w:left w:val="nil"/>
              <w:bottom w:val="nil"/>
              <w:right w:val="nil"/>
            </w:tcBorders>
            <w:shd w:val="clear" w:color="auto" w:fill="auto"/>
            <w:noWrap/>
            <w:vAlign w:val="center"/>
            <w:hideMark/>
          </w:tcPr>
          <w:p w14:paraId="072052E0" w14:textId="77777777" w:rsidR="00DF251A" w:rsidRPr="00521670" w:rsidRDefault="00DF251A" w:rsidP="00817A33">
            <w:pPr>
              <w:pStyle w:val="Tabletext"/>
              <w:jc w:val="right"/>
              <w:rPr>
                <w:lang w:val="ru-RU" w:eastAsia="en-GB"/>
              </w:rPr>
            </w:pPr>
            <w:r w:rsidRPr="00521670">
              <w:rPr>
                <w:lang w:val="ru-RU" w:eastAsia="en-GB"/>
              </w:rPr>
              <w:t>3</w:t>
            </w:r>
          </w:p>
        </w:tc>
        <w:tc>
          <w:tcPr>
            <w:tcW w:w="1030" w:type="dxa"/>
            <w:tcBorders>
              <w:top w:val="nil"/>
              <w:left w:val="nil"/>
              <w:bottom w:val="nil"/>
              <w:right w:val="nil"/>
            </w:tcBorders>
            <w:shd w:val="clear" w:color="auto" w:fill="auto"/>
            <w:noWrap/>
            <w:vAlign w:val="center"/>
            <w:hideMark/>
          </w:tcPr>
          <w:p w14:paraId="7E17FE96"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798ECEED" w14:textId="77777777" w:rsidR="00DF251A" w:rsidRPr="00521670" w:rsidRDefault="00DF251A" w:rsidP="00817A33">
            <w:pPr>
              <w:pStyle w:val="Tabletext"/>
              <w:jc w:val="right"/>
              <w:rPr>
                <w:lang w:val="ru-RU" w:eastAsia="en-GB"/>
              </w:rPr>
            </w:pPr>
            <w:r w:rsidRPr="00521670">
              <w:rPr>
                <w:lang w:val="ru-RU" w:eastAsia="en-GB"/>
              </w:rPr>
              <w:t>276</w:t>
            </w:r>
          </w:p>
        </w:tc>
      </w:tr>
      <w:tr w:rsidR="00DF251A" w:rsidRPr="00521670" w14:paraId="3ADB1BD4" w14:textId="77777777" w:rsidTr="00817A33">
        <w:trPr>
          <w:trHeight w:val="300"/>
          <w:jc w:val="center"/>
        </w:trPr>
        <w:tc>
          <w:tcPr>
            <w:tcW w:w="3960" w:type="dxa"/>
            <w:tcBorders>
              <w:top w:val="nil"/>
              <w:left w:val="nil"/>
              <w:bottom w:val="nil"/>
              <w:right w:val="nil"/>
            </w:tcBorders>
            <w:shd w:val="clear" w:color="auto" w:fill="auto"/>
            <w:vAlign w:val="center"/>
            <w:hideMark/>
          </w:tcPr>
          <w:p w14:paraId="4240B9CE" w14:textId="77777777" w:rsidR="00DF251A" w:rsidRPr="00521670" w:rsidRDefault="00DF251A" w:rsidP="00817A33">
            <w:pPr>
              <w:pStyle w:val="Tabletext"/>
              <w:rPr>
                <w:szCs w:val="16"/>
                <w:lang w:val="ru-RU" w:eastAsia="en-GB"/>
              </w:rPr>
            </w:pPr>
            <w:r w:rsidRPr="00521670">
              <w:rPr>
                <w:szCs w:val="16"/>
                <w:lang w:val="ru-RU"/>
              </w:rPr>
              <w:t>Фонд АСХИ</w:t>
            </w:r>
          </w:p>
        </w:tc>
        <w:tc>
          <w:tcPr>
            <w:tcW w:w="1350" w:type="dxa"/>
            <w:tcBorders>
              <w:top w:val="nil"/>
              <w:left w:val="nil"/>
              <w:bottom w:val="nil"/>
              <w:right w:val="nil"/>
            </w:tcBorders>
            <w:shd w:val="clear" w:color="auto" w:fill="auto"/>
            <w:noWrap/>
            <w:vAlign w:val="center"/>
            <w:hideMark/>
          </w:tcPr>
          <w:p w14:paraId="4824DF70" w14:textId="77777777" w:rsidR="00DF251A" w:rsidRPr="00521670" w:rsidRDefault="00DF251A" w:rsidP="00817A33">
            <w:pPr>
              <w:pStyle w:val="Tabletext"/>
              <w:jc w:val="right"/>
              <w:rPr>
                <w:lang w:val="ru-RU" w:eastAsia="en-GB"/>
              </w:rPr>
            </w:pPr>
            <w:r w:rsidRPr="00521670">
              <w:rPr>
                <w:lang w:val="ru-RU" w:eastAsia="en-GB"/>
              </w:rPr>
              <w:t>15 000</w:t>
            </w:r>
          </w:p>
        </w:tc>
        <w:tc>
          <w:tcPr>
            <w:tcW w:w="1440" w:type="dxa"/>
            <w:tcBorders>
              <w:top w:val="nil"/>
              <w:left w:val="nil"/>
              <w:bottom w:val="nil"/>
              <w:right w:val="nil"/>
            </w:tcBorders>
            <w:shd w:val="clear" w:color="auto" w:fill="auto"/>
            <w:noWrap/>
            <w:vAlign w:val="center"/>
            <w:hideMark/>
          </w:tcPr>
          <w:p w14:paraId="499CB017" w14:textId="77777777" w:rsidR="00DF251A" w:rsidRPr="00521670" w:rsidRDefault="00DF251A" w:rsidP="00817A33">
            <w:pPr>
              <w:pStyle w:val="Tabletext"/>
              <w:jc w:val="right"/>
              <w:rPr>
                <w:lang w:val="ru-RU" w:eastAsia="en-GB"/>
              </w:rPr>
            </w:pPr>
            <w:r w:rsidRPr="00521670">
              <w:rPr>
                <w:lang w:val="ru-RU" w:eastAsia="en-GB"/>
              </w:rPr>
              <w:t>−</w:t>
            </w:r>
          </w:p>
        </w:tc>
        <w:tc>
          <w:tcPr>
            <w:tcW w:w="1030" w:type="dxa"/>
            <w:tcBorders>
              <w:top w:val="nil"/>
              <w:left w:val="nil"/>
              <w:bottom w:val="nil"/>
              <w:right w:val="nil"/>
            </w:tcBorders>
            <w:shd w:val="clear" w:color="auto" w:fill="auto"/>
            <w:noWrap/>
            <w:vAlign w:val="center"/>
            <w:hideMark/>
          </w:tcPr>
          <w:p w14:paraId="1B1C4B7C" w14:textId="77777777" w:rsidR="00DF251A" w:rsidRPr="00521670" w:rsidRDefault="00DF251A" w:rsidP="00817A33">
            <w:pPr>
              <w:pStyle w:val="Tabletext"/>
              <w:jc w:val="right"/>
              <w:rPr>
                <w:lang w:val="ru-RU" w:eastAsia="en-GB"/>
              </w:rPr>
            </w:pPr>
            <w:r w:rsidRPr="00521670">
              <w:rPr>
                <w:lang w:val="ru-RU" w:eastAsia="en-GB"/>
              </w:rPr>
              <w:t>1 000</w:t>
            </w:r>
          </w:p>
        </w:tc>
        <w:tc>
          <w:tcPr>
            <w:tcW w:w="1240" w:type="dxa"/>
            <w:tcBorders>
              <w:top w:val="nil"/>
              <w:left w:val="nil"/>
              <w:bottom w:val="nil"/>
              <w:right w:val="nil"/>
            </w:tcBorders>
            <w:shd w:val="clear" w:color="auto" w:fill="auto"/>
            <w:noWrap/>
            <w:vAlign w:val="center"/>
            <w:hideMark/>
          </w:tcPr>
          <w:p w14:paraId="27888175" w14:textId="77777777" w:rsidR="00DF251A" w:rsidRPr="00521670" w:rsidRDefault="00DF251A" w:rsidP="00817A33">
            <w:pPr>
              <w:pStyle w:val="Tabletext"/>
              <w:jc w:val="right"/>
              <w:rPr>
                <w:lang w:val="ru-RU" w:eastAsia="en-GB"/>
              </w:rPr>
            </w:pPr>
            <w:r w:rsidRPr="00521670">
              <w:rPr>
                <w:lang w:val="ru-RU" w:eastAsia="en-GB"/>
              </w:rPr>
              <w:t>14 000</w:t>
            </w:r>
          </w:p>
        </w:tc>
      </w:tr>
      <w:tr w:rsidR="00DF251A" w:rsidRPr="00521670" w14:paraId="7170F985" w14:textId="77777777" w:rsidTr="00817A33">
        <w:trPr>
          <w:trHeight w:val="300"/>
          <w:jc w:val="center"/>
        </w:trPr>
        <w:tc>
          <w:tcPr>
            <w:tcW w:w="3960" w:type="dxa"/>
            <w:tcBorders>
              <w:top w:val="nil"/>
              <w:left w:val="nil"/>
              <w:bottom w:val="nil"/>
              <w:right w:val="nil"/>
            </w:tcBorders>
            <w:shd w:val="clear" w:color="auto" w:fill="auto"/>
            <w:vAlign w:val="center"/>
            <w:hideMark/>
          </w:tcPr>
          <w:p w14:paraId="02C761F2" w14:textId="2663FA6D" w:rsidR="00DF251A" w:rsidRPr="00521670" w:rsidRDefault="00DF251A" w:rsidP="00817A33">
            <w:pPr>
              <w:pStyle w:val="Tabletext"/>
              <w:rPr>
                <w:szCs w:val="16"/>
                <w:lang w:val="ru-RU" w:eastAsia="en-GB"/>
              </w:rPr>
            </w:pPr>
            <w:r w:rsidRPr="00521670">
              <w:rPr>
                <w:szCs w:val="16"/>
                <w:lang w:val="ru-RU"/>
              </w:rPr>
              <w:t>Фонд медицинского страхования‎</w:t>
            </w:r>
          </w:p>
        </w:tc>
        <w:tc>
          <w:tcPr>
            <w:tcW w:w="1350" w:type="dxa"/>
            <w:tcBorders>
              <w:top w:val="nil"/>
              <w:left w:val="nil"/>
              <w:bottom w:val="nil"/>
              <w:right w:val="nil"/>
            </w:tcBorders>
            <w:shd w:val="clear" w:color="auto" w:fill="auto"/>
            <w:noWrap/>
            <w:vAlign w:val="center"/>
            <w:hideMark/>
          </w:tcPr>
          <w:p w14:paraId="360530CB" w14:textId="77777777" w:rsidR="00DF251A" w:rsidRPr="00521670" w:rsidRDefault="00DF251A" w:rsidP="00817A33">
            <w:pPr>
              <w:pStyle w:val="Tabletext"/>
              <w:jc w:val="right"/>
              <w:rPr>
                <w:lang w:val="ru-RU" w:eastAsia="en-GB"/>
              </w:rPr>
            </w:pPr>
            <w:r w:rsidRPr="00521670">
              <w:rPr>
                <w:lang w:val="ru-RU" w:eastAsia="en-GB"/>
              </w:rPr>
              <w:t>1 272</w:t>
            </w:r>
          </w:p>
        </w:tc>
        <w:tc>
          <w:tcPr>
            <w:tcW w:w="1440" w:type="dxa"/>
            <w:tcBorders>
              <w:top w:val="nil"/>
              <w:left w:val="nil"/>
              <w:bottom w:val="nil"/>
              <w:right w:val="nil"/>
            </w:tcBorders>
            <w:shd w:val="clear" w:color="auto" w:fill="auto"/>
            <w:noWrap/>
            <w:vAlign w:val="center"/>
            <w:hideMark/>
          </w:tcPr>
          <w:p w14:paraId="002DB837" w14:textId="77777777" w:rsidR="00DF251A" w:rsidRPr="00521670" w:rsidRDefault="00DF251A" w:rsidP="00817A33">
            <w:pPr>
              <w:pStyle w:val="Tabletext"/>
              <w:jc w:val="right"/>
              <w:rPr>
                <w:lang w:val="ru-RU" w:eastAsia="en-GB"/>
              </w:rPr>
            </w:pPr>
            <w:r w:rsidRPr="00521670">
              <w:rPr>
                <w:lang w:val="ru-RU" w:eastAsia="en-GB"/>
              </w:rPr>
              <w:t>−</w:t>
            </w:r>
          </w:p>
        </w:tc>
        <w:tc>
          <w:tcPr>
            <w:tcW w:w="1030" w:type="dxa"/>
            <w:tcBorders>
              <w:top w:val="nil"/>
              <w:left w:val="nil"/>
              <w:bottom w:val="nil"/>
              <w:right w:val="nil"/>
            </w:tcBorders>
            <w:shd w:val="clear" w:color="auto" w:fill="auto"/>
            <w:noWrap/>
            <w:vAlign w:val="center"/>
            <w:hideMark/>
          </w:tcPr>
          <w:p w14:paraId="7500BFA3" w14:textId="77777777" w:rsidR="00DF251A" w:rsidRPr="00521670" w:rsidRDefault="00DF251A" w:rsidP="00817A33">
            <w:pPr>
              <w:pStyle w:val="Tabletext"/>
              <w:jc w:val="right"/>
              <w:rPr>
                <w:lang w:val="ru-RU" w:eastAsia="en-GB"/>
              </w:rPr>
            </w:pPr>
          </w:p>
        </w:tc>
        <w:tc>
          <w:tcPr>
            <w:tcW w:w="1240" w:type="dxa"/>
            <w:tcBorders>
              <w:top w:val="nil"/>
              <w:left w:val="nil"/>
              <w:bottom w:val="nil"/>
              <w:right w:val="nil"/>
            </w:tcBorders>
            <w:shd w:val="clear" w:color="auto" w:fill="auto"/>
            <w:noWrap/>
            <w:vAlign w:val="center"/>
            <w:hideMark/>
          </w:tcPr>
          <w:p w14:paraId="38C4D01F" w14:textId="77777777" w:rsidR="00DF251A" w:rsidRPr="00521670" w:rsidRDefault="00DF251A" w:rsidP="00817A33">
            <w:pPr>
              <w:pStyle w:val="Tabletext"/>
              <w:jc w:val="right"/>
              <w:rPr>
                <w:lang w:val="ru-RU" w:eastAsia="en-GB"/>
              </w:rPr>
            </w:pPr>
            <w:r w:rsidRPr="00521670">
              <w:rPr>
                <w:lang w:val="ru-RU" w:eastAsia="en-GB"/>
              </w:rPr>
              <w:t>1 272</w:t>
            </w:r>
          </w:p>
        </w:tc>
      </w:tr>
      <w:tr w:rsidR="00DF251A" w:rsidRPr="00521670" w14:paraId="428E240B" w14:textId="77777777" w:rsidTr="00817A33">
        <w:trPr>
          <w:trHeight w:val="120"/>
          <w:jc w:val="center"/>
        </w:trPr>
        <w:tc>
          <w:tcPr>
            <w:tcW w:w="3960" w:type="dxa"/>
            <w:tcBorders>
              <w:top w:val="nil"/>
              <w:left w:val="nil"/>
              <w:bottom w:val="nil"/>
              <w:right w:val="nil"/>
            </w:tcBorders>
            <w:shd w:val="clear" w:color="000000" w:fill="auto"/>
            <w:vAlign w:val="bottom"/>
            <w:hideMark/>
          </w:tcPr>
          <w:p w14:paraId="16214F5E" w14:textId="77777777" w:rsidR="00DF251A" w:rsidRPr="00521670" w:rsidRDefault="00DF251A" w:rsidP="002A2A92">
            <w:pPr>
              <w:pStyle w:val="Tabletext"/>
              <w:rPr>
                <w:lang w:val="ru-RU" w:eastAsia="en-GB"/>
              </w:rPr>
            </w:pPr>
          </w:p>
        </w:tc>
        <w:tc>
          <w:tcPr>
            <w:tcW w:w="1350" w:type="dxa"/>
            <w:tcBorders>
              <w:top w:val="nil"/>
              <w:left w:val="nil"/>
              <w:bottom w:val="nil"/>
              <w:right w:val="nil"/>
            </w:tcBorders>
            <w:shd w:val="clear" w:color="000000" w:fill="auto"/>
            <w:noWrap/>
            <w:vAlign w:val="center"/>
            <w:hideMark/>
          </w:tcPr>
          <w:p w14:paraId="16EE79EE" w14:textId="77777777" w:rsidR="00DF251A" w:rsidRPr="00521670" w:rsidRDefault="00DF251A" w:rsidP="002A2A92">
            <w:pPr>
              <w:pStyle w:val="Tabletext"/>
              <w:jc w:val="right"/>
              <w:rPr>
                <w:lang w:val="ru-RU" w:eastAsia="en-GB"/>
              </w:rPr>
            </w:pPr>
          </w:p>
        </w:tc>
        <w:tc>
          <w:tcPr>
            <w:tcW w:w="1440" w:type="dxa"/>
            <w:tcBorders>
              <w:top w:val="nil"/>
              <w:left w:val="nil"/>
              <w:bottom w:val="nil"/>
              <w:right w:val="nil"/>
            </w:tcBorders>
            <w:shd w:val="clear" w:color="000000" w:fill="auto"/>
            <w:noWrap/>
            <w:vAlign w:val="center"/>
            <w:hideMark/>
          </w:tcPr>
          <w:p w14:paraId="55C85C74" w14:textId="77777777" w:rsidR="00DF251A" w:rsidRPr="00521670" w:rsidRDefault="00DF251A" w:rsidP="002A2A92">
            <w:pPr>
              <w:pStyle w:val="Tabletext"/>
              <w:jc w:val="right"/>
              <w:rPr>
                <w:lang w:val="ru-RU" w:eastAsia="en-GB"/>
              </w:rPr>
            </w:pPr>
          </w:p>
        </w:tc>
        <w:tc>
          <w:tcPr>
            <w:tcW w:w="1030" w:type="dxa"/>
            <w:tcBorders>
              <w:top w:val="nil"/>
              <w:left w:val="nil"/>
              <w:bottom w:val="nil"/>
              <w:right w:val="nil"/>
            </w:tcBorders>
            <w:shd w:val="clear" w:color="000000" w:fill="auto"/>
            <w:noWrap/>
            <w:vAlign w:val="center"/>
            <w:hideMark/>
          </w:tcPr>
          <w:p w14:paraId="028FA270" w14:textId="77777777" w:rsidR="00DF251A" w:rsidRPr="00521670" w:rsidRDefault="00DF251A" w:rsidP="002A2A92">
            <w:pPr>
              <w:pStyle w:val="Tabletext"/>
              <w:jc w:val="right"/>
              <w:rPr>
                <w:lang w:val="ru-RU" w:eastAsia="en-GB"/>
              </w:rPr>
            </w:pPr>
          </w:p>
        </w:tc>
        <w:tc>
          <w:tcPr>
            <w:tcW w:w="1240" w:type="dxa"/>
            <w:tcBorders>
              <w:top w:val="nil"/>
              <w:left w:val="nil"/>
              <w:bottom w:val="nil"/>
              <w:right w:val="nil"/>
            </w:tcBorders>
            <w:shd w:val="clear" w:color="000000" w:fill="auto"/>
            <w:noWrap/>
            <w:vAlign w:val="center"/>
            <w:hideMark/>
          </w:tcPr>
          <w:p w14:paraId="5B57636D" w14:textId="77777777" w:rsidR="00DF251A" w:rsidRPr="00521670" w:rsidRDefault="00DF251A" w:rsidP="002A2A92">
            <w:pPr>
              <w:pStyle w:val="Tabletext"/>
              <w:jc w:val="right"/>
              <w:rPr>
                <w:lang w:val="ru-RU" w:eastAsia="en-GB"/>
              </w:rPr>
            </w:pPr>
          </w:p>
        </w:tc>
      </w:tr>
      <w:tr w:rsidR="00DF251A" w:rsidRPr="00521670" w14:paraId="532FC042" w14:textId="77777777" w:rsidTr="00817A33">
        <w:trPr>
          <w:trHeight w:val="765"/>
          <w:jc w:val="center"/>
        </w:trPr>
        <w:tc>
          <w:tcPr>
            <w:tcW w:w="3960" w:type="dxa"/>
            <w:tcBorders>
              <w:top w:val="nil"/>
              <w:left w:val="nil"/>
              <w:bottom w:val="nil"/>
              <w:right w:val="nil"/>
            </w:tcBorders>
            <w:shd w:val="clear" w:color="000000" w:fill="0070C0"/>
            <w:vAlign w:val="center"/>
            <w:hideMark/>
          </w:tcPr>
          <w:p w14:paraId="62098380" w14:textId="77777777" w:rsidR="00DF251A" w:rsidRPr="00521670" w:rsidRDefault="00DF251A" w:rsidP="002A2A92">
            <w:pPr>
              <w:pStyle w:val="Tabletext"/>
              <w:rPr>
                <w:b/>
                <w:bCs/>
                <w:lang w:val="ru-RU" w:eastAsia="en-GB"/>
              </w:rPr>
            </w:pPr>
            <w:r w:rsidRPr="00521670">
              <w:rPr>
                <w:b/>
                <w:bCs/>
                <w:szCs w:val="16"/>
                <w:lang w:val="ru-RU"/>
              </w:rPr>
              <w:t>Всего: чистые активы – прочие резервы и фонды</w:t>
            </w:r>
          </w:p>
        </w:tc>
        <w:tc>
          <w:tcPr>
            <w:tcW w:w="1350" w:type="dxa"/>
            <w:tcBorders>
              <w:top w:val="nil"/>
              <w:left w:val="nil"/>
              <w:bottom w:val="nil"/>
              <w:right w:val="nil"/>
            </w:tcBorders>
            <w:shd w:val="clear" w:color="000000" w:fill="0070C0"/>
            <w:noWrap/>
            <w:vAlign w:val="center"/>
            <w:hideMark/>
          </w:tcPr>
          <w:p w14:paraId="2206A69C" w14:textId="77777777" w:rsidR="00DF251A" w:rsidRPr="00521670" w:rsidRDefault="00DF251A" w:rsidP="002A2A92">
            <w:pPr>
              <w:pStyle w:val="Tabletext"/>
              <w:jc w:val="right"/>
              <w:rPr>
                <w:b/>
                <w:bCs/>
                <w:lang w:val="ru-RU" w:eastAsia="en-GB"/>
              </w:rPr>
            </w:pPr>
            <w:r w:rsidRPr="00521670">
              <w:rPr>
                <w:b/>
                <w:bCs/>
                <w:lang w:val="ru-RU" w:eastAsia="en-GB"/>
              </w:rPr>
              <w:t>65 051</w:t>
            </w:r>
          </w:p>
        </w:tc>
        <w:tc>
          <w:tcPr>
            <w:tcW w:w="1440" w:type="dxa"/>
            <w:tcBorders>
              <w:top w:val="nil"/>
              <w:left w:val="nil"/>
              <w:bottom w:val="nil"/>
              <w:right w:val="nil"/>
            </w:tcBorders>
            <w:shd w:val="clear" w:color="000000" w:fill="0070C0"/>
            <w:noWrap/>
            <w:vAlign w:val="center"/>
            <w:hideMark/>
          </w:tcPr>
          <w:p w14:paraId="743271BB" w14:textId="77777777" w:rsidR="00DF251A" w:rsidRPr="00521670" w:rsidRDefault="00DF251A" w:rsidP="002A2A92">
            <w:pPr>
              <w:pStyle w:val="Tabletext"/>
              <w:jc w:val="right"/>
              <w:rPr>
                <w:b/>
                <w:bCs/>
                <w:lang w:val="ru-RU" w:eastAsia="en-GB"/>
              </w:rPr>
            </w:pPr>
            <w:r w:rsidRPr="00521670">
              <w:rPr>
                <w:b/>
                <w:bCs/>
                <w:lang w:val="ru-RU" w:eastAsia="en-GB"/>
              </w:rPr>
              <w:t>(1 506)</w:t>
            </w:r>
          </w:p>
        </w:tc>
        <w:tc>
          <w:tcPr>
            <w:tcW w:w="1030" w:type="dxa"/>
            <w:tcBorders>
              <w:top w:val="nil"/>
              <w:left w:val="nil"/>
              <w:bottom w:val="nil"/>
              <w:right w:val="nil"/>
            </w:tcBorders>
            <w:shd w:val="clear" w:color="000000" w:fill="0070C0"/>
            <w:noWrap/>
            <w:vAlign w:val="center"/>
            <w:hideMark/>
          </w:tcPr>
          <w:p w14:paraId="4E420294" w14:textId="77777777" w:rsidR="00DF251A" w:rsidRPr="00521670" w:rsidRDefault="00DF251A" w:rsidP="002A2A92">
            <w:pPr>
              <w:pStyle w:val="Tabletext"/>
              <w:jc w:val="right"/>
              <w:rPr>
                <w:b/>
                <w:bCs/>
                <w:lang w:val="ru-RU" w:eastAsia="en-GB"/>
              </w:rPr>
            </w:pPr>
            <w:r w:rsidRPr="00521670">
              <w:rPr>
                <w:b/>
                <w:bCs/>
                <w:lang w:val="ru-RU" w:eastAsia="en-GB"/>
              </w:rPr>
              <w:t>1 000</w:t>
            </w:r>
          </w:p>
        </w:tc>
        <w:tc>
          <w:tcPr>
            <w:tcW w:w="1240" w:type="dxa"/>
            <w:tcBorders>
              <w:top w:val="nil"/>
              <w:left w:val="nil"/>
              <w:bottom w:val="nil"/>
              <w:right w:val="nil"/>
            </w:tcBorders>
            <w:shd w:val="clear" w:color="000000" w:fill="0070C0"/>
            <w:noWrap/>
            <w:vAlign w:val="center"/>
            <w:hideMark/>
          </w:tcPr>
          <w:p w14:paraId="5569B41E" w14:textId="77777777" w:rsidR="00DF251A" w:rsidRPr="00521670" w:rsidRDefault="00DF251A" w:rsidP="002A2A92">
            <w:pPr>
              <w:pStyle w:val="Tabletext"/>
              <w:jc w:val="right"/>
              <w:rPr>
                <w:b/>
                <w:bCs/>
                <w:lang w:val="ru-RU" w:eastAsia="en-GB"/>
              </w:rPr>
            </w:pPr>
            <w:r w:rsidRPr="00521670">
              <w:rPr>
                <w:b/>
                <w:bCs/>
                <w:lang w:val="ru-RU" w:eastAsia="en-GB"/>
              </w:rPr>
              <w:t>65 557</w:t>
            </w:r>
          </w:p>
        </w:tc>
      </w:tr>
    </w:tbl>
    <w:p w14:paraId="69EF8A40" w14:textId="77777777" w:rsidR="00DF251A" w:rsidRPr="00521670" w:rsidRDefault="00DF251A" w:rsidP="009C7021">
      <w:pPr>
        <w:pStyle w:val="Headingb"/>
        <w:rPr>
          <w:lang w:val="ru-RU"/>
        </w:rPr>
      </w:pPr>
      <w:r w:rsidRPr="00521670">
        <w:rPr>
          <w:lang w:val="ru-RU"/>
        </w:rPr>
        <w:t>Внебюджетные резервы</w:t>
      </w:r>
    </w:p>
    <w:p w14:paraId="2597B722" w14:textId="1B9B923F" w:rsidR="00DF251A" w:rsidRPr="00521670" w:rsidRDefault="00DF251A" w:rsidP="009C7021">
      <w:pPr>
        <w:rPr>
          <w:bCs/>
          <w:lang w:val="ru-RU"/>
        </w:rPr>
      </w:pPr>
      <w:r w:rsidRPr="00521670">
        <w:rPr>
          <w:lang w:val="ru-RU"/>
        </w:rPr>
        <w:t>Резервы для поддержки проектов и инициатив МСЭ вне рамок регулярного бюджета, включающие:</w:t>
      </w:r>
    </w:p>
    <w:p w14:paraId="48594CD2" w14:textId="3A464AB0" w:rsidR="00DF251A" w:rsidRPr="00521670" w:rsidRDefault="00DF251A" w:rsidP="009C7021">
      <w:pPr>
        <w:pStyle w:val="enumlev1"/>
        <w:rPr>
          <w:i/>
          <w:iCs/>
          <w:lang w:val="ru-RU"/>
        </w:rPr>
      </w:pPr>
      <w:r w:rsidRPr="00521670">
        <w:rPr>
          <w:i/>
          <w:iCs/>
          <w:lang w:val="ru-RU"/>
        </w:rPr>
        <w:t>−</w:t>
      </w:r>
      <w:r w:rsidRPr="00521670">
        <w:rPr>
          <w:i/>
          <w:iCs/>
          <w:lang w:val="ru-RU"/>
        </w:rPr>
        <w:tab/>
        <w:t>Целевые резервы</w:t>
      </w:r>
    </w:p>
    <w:p w14:paraId="24E4FA58" w14:textId="2384F791" w:rsidR="00DF251A" w:rsidRPr="00521670" w:rsidRDefault="00DF251A" w:rsidP="009C7021">
      <w:pPr>
        <w:pStyle w:val="enumlev1"/>
        <w:rPr>
          <w:lang w:val="ru-RU"/>
        </w:rPr>
      </w:pPr>
      <w:r w:rsidRPr="00521670">
        <w:rPr>
          <w:lang w:val="ru-RU"/>
        </w:rPr>
        <w:tab/>
        <w:t>Созданы для финансирования текущих внутренних проектов. Движения на этом резервном счете представляют собой расходы, связанные с реализацией проектов, а также распределением внутренних средств, поступающих из регулярного бюджета или</w:t>
      </w:r>
      <w:r w:rsidR="008D5509" w:rsidRPr="00521670">
        <w:rPr>
          <w:lang w:val="ru-RU"/>
        </w:rPr>
        <w:t> </w:t>
      </w:r>
      <w:r w:rsidRPr="00521670">
        <w:rPr>
          <w:lang w:val="ru-RU"/>
        </w:rPr>
        <w:t>ФРИКТ.</w:t>
      </w:r>
    </w:p>
    <w:p w14:paraId="7F64C494" w14:textId="77777777" w:rsidR="00DF251A" w:rsidRPr="00521670" w:rsidRDefault="00DF251A" w:rsidP="009C7021">
      <w:pPr>
        <w:pStyle w:val="enumlev1"/>
        <w:rPr>
          <w:i/>
          <w:iCs/>
          <w:lang w:val="ru-RU"/>
        </w:rPr>
      </w:pPr>
      <w:r w:rsidRPr="00521670">
        <w:rPr>
          <w:i/>
          <w:iCs/>
          <w:lang w:val="ru-RU"/>
        </w:rPr>
        <w:t>−</w:t>
      </w:r>
      <w:r w:rsidRPr="00521670">
        <w:rPr>
          <w:i/>
          <w:iCs/>
          <w:lang w:val="ru-RU"/>
        </w:rPr>
        <w:tab/>
      </w:r>
      <w:r w:rsidRPr="00521670">
        <w:rPr>
          <w:bCs/>
          <w:i/>
          <w:iCs/>
          <w:lang w:val="ru-RU"/>
        </w:rPr>
        <w:t>Оборотный</w:t>
      </w:r>
      <w:r w:rsidRPr="00521670">
        <w:rPr>
          <w:i/>
          <w:iCs/>
          <w:lang w:val="ru-RU"/>
        </w:rPr>
        <w:t xml:space="preserve"> выставочный фонд МСЭ</w:t>
      </w:r>
    </w:p>
    <w:p w14:paraId="57D64DF6" w14:textId="587672E8" w:rsidR="00DF251A" w:rsidRPr="00521670" w:rsidRDefault="00DF251A" w:rsidP="009C7021">
      <w:pPr>
        <w:pStyle w:val="enumlev1"/>
        <w:rPr>
          <w:lang w:val="ru-RU"/>
        </w:rPr>
      </w:pPr>
      <w:r w:rsidRPr="00521670">
        <w:rPr>
          <w:lang w:val="ru-RU"/>
        </w:rPr>
        <w:tab/>
        <w:t>После аннулирования Резолюции 11 (Бухарест, 2022 г.) в 2024 году в соответствии с Резолюцией 1427 (Документ </w:t>
      </w:r>
      <w:hyperlink r:id="rId24" w:history="1">
        <w:r w:rsidRPr="00521670">
          <w:rPr>
            <w:rStyle w:val="Hyperlink"/>
            <w:color w:val="0000E1"/>
            <w:lang w:val="ru-RU"/>
          </w:rPr>
          <w:t>C24/134</w:t>
        </w:r>
      </w:hyperlink>
      <w:r w:rsidRPr="00521670">
        <w:rPr>
          <w:lang w:val="ru-RU"/>
        </w:rPr>
        <w:t>) из этого фонда в Фонд ФРИКТ было переведено 0,465 млн. швейцарских франков, а оставшаяся сумма по-прежнему находится в Оборотном выставочном фонде для выполнения всех обязательств перед сотрудниками ITU TELECOM.</w:t>
      </w:r>
    </w:p>
    <w:p w14:paraId="5379BB4B" w14:textId="77777777" w:rsidR="00DF251A" w:rsidRPr="00521670" w:rsidRDefault="00DF251A" w:rsidP="009C7021">
      <w:pPr>
        <w:pStyle w:val="enumlev1"/>
        <w:rPr>
          <w:i/>
          <w:iCs/>
          <w:lang w:val="ru-RU"/>
        </w:rPr>
      </w:pPr>
      <w:r w:rsidRPr="00521670">
        <w:rPr>
          <w:i/>
          <w:iCs/>
          <w:lang w:val="ru-RU"/>
        </w:rPr>
        <w:t>−</w:t>
      </w:r>
      <w:r w:rsidRPr="00521670">
        <w:rPr>
          <w:i/>
          <w:iCs/>
          <w:lang w:val="ru-RU"/>
        </w:rPr>
        <w:tab/>
      </w:r>
      <w:r w:rsidRPr="00521670">
        <w:rPr>
          <w:bCs/>
          <w:i/>
          <w:iCs/>
          <w:lang w:val="ru-RU"/>
        </w:rPr>
        <w:t>Фонд развития ИКТ</w:t>
      </w:r>
    </w:p>
    <w:p w14:paraId="00131FCA" w14:textId="77777777" w:rsidR="00DF251A" w:rsidRPr="00521670" w:rsidRDefault="00DF251A" w:rsidP="009C7021">
      <w:pPr>
        <w:pStyle w:val="enumlev1"/>
        <w:rPr>
          <w:lang w:val="ru-RU"/>
        </w:rPr>
      </w:pPr>
      <w:r w:rsidRPr="00521670">
        <w:rPr>
          <w:lang w:val="ru-RU"/>
        </w:rPr>
        <w:tab/>
        <w:t>Поддерживает национальные и региональные проекты в области развития ИКТ, финансируемые за счет излишков доходов от мероприятий ITU TELECOM и взносов членов или третьих сторон. В ФРИКТ также учитываются взносы членов или третьих сторон, предназначенные для финансирования проектов в области развития ИКТ.</w:t>
      </w:r>
    </w:p>
    <w:p w14:paraId="78B73F4D" w14:textId="5323136F" w:rsidR="00DF251A" w:rsidRPr="00521670" w:rsidRDefault="00DF251A" w:rsidP="009C7021">
      <w:pPr>
        <w:pStyle w:val="enumlev1"/>
        <w:rPr>
          <w:i/>
          <w:iCs/>
          <w:lang w:val="ru-RU"/>
        </w:rPr>
      </w:pPr>
      <w:r w:rsidRPr="00521670">
        <w:rPr>
          <w:i/>
          <w:iCs/>
          <w:lang w:val="ru-RU"/>
        </w:rPr>
        <w:t>−</w:t>
      </w:r>
      <w:r w:rsidRPr="00521670">
        <w:rPr>
          <w:i/>
          <w:iCs/>
          <w:lang w:val="ru-RU"/>
        </w:rPr>
        <w:tab/>
        <w:t>Прочие нецелевые резервы</w:t>
      </w:r>
    </w:p>
    <w:p w14:paraId="290472A6" w14:textId="03AD6B69" w:rsidR="00DF251A" w:rsidRPr="00521670" w:rsidRDefault="00DF251A" w:rsidP="009C7021">
      <w:pPr>
        <w:pStyle w:val="enumlev1"/>
        <w:rPr>
          <w:lang w:val="ru-RU"/>
        </w:rPr>
      </w:pPr>
      <w:r w:rsidRPr="00521670">
        <w:rPr>
          <w:lang w:val="ru-RU"/>
        </w:rPr>
        <w:lastRenderedPageBreak/>
        <w:tab/>
        <w:t>Включает остатки средств от внутренних закрытых проектов, которые могут быть использованы для финансирования новых проектов или региональных инициатив.</w:t>
      </w:r>
    </w:p>
    <w:p w14:paraId="2AAF0D5E" w14:textId="77777777" w:rsidR="00DF251A" w:rsidRPr="00521670" w:rsidRDefault="00DF251A" w:rsidP="009C7021">
      <w:pPr>
        <w:keepNext/>
        <w:spacing w:after="120"/>
        <w:rPr>
          <w:lang w:val="ru-RU"/>
        </w:rPr>
      </w:pPr>
      <w:r w:rsidRPr="00521670">
        <w:rPr>
          <w:lang w:val="ru-RU"/>
        </w:rPr>
        <w:t>Движение средств на счетах внебюджетных резервов МСЭ представлено в таблице ниже.</w:t>
      </w:r>
    </w:p>
    <w:tbl>
      <w:tblPr>
        <w:tblW w:w="5000" w:type="pct"/>
        <w:tblLook w:val="04A0" w:firstRow="1" w:lastRow="0" w:firstColumn="1" w:lastColumn="0" w:noHBand="0" w:noVBand="1"/>
      </w:tblPr>
      <w:tblGrid>
        <w:gridCol w:w="3892"/>
        <w:gridCol w:w="1295"/>
        <w:gridCol w:w="1295"/>
        <w:gridCol w:w="1294"/>
        <w:gridCol w:w="1295"/>
      </w:tblGrid>
      <w:tr w:rsidR="00DF251A" w:rsidRPr="00521670" w14:paraId="3EE070E7" w14:textId="77777777" w:rsidTr="009977AB">
        <w:trPr>
          <w:trHeight w:val="510"/>
          <w:tblHeader/>
        </w:trPr>
        <w:tc>
          <w:tcPr>
            <w:tcW w:w="2145" w:type="pct"/>
            <w:tcBorders>
              <w:top w:val="nil"/>
              <w:left w:val="nil"/>
              <w:bottom w:val="nil"/>
              <w:right w:val="nil"/>
            </w:tcBorders>
            <w:shd w:val="clear" w:color="000000" w:fill="0070C0"/>
            <w:vAlign w:val="center"/>
            <w:hideMark/>
          </w:tcPr>
          <w:p w14:paraId="18A0986E" w14:textId="77777777" w:rsidR="00DF251A" w:rsidRPr="00521670" w:rsidRDefault="00DF251A" w:rsidP="008C3F0C">
            <w:pPr>
              <w:pStyle w:val="Tablehead"/>
              <w:rPr>
                <w:bCs/>
                <w:szCs w:val="18"/>
                <w:lang w:val="ru-RU" w:eastAsia="en-GB"/>
              </w:rPr>
            </w:pPr>
            <w:r w:rsidRPr="00521670">
              <w:rPr>
                <w:szCs w:val="18"/>
                <w:lang w:val="ru-RU" w:eastAsia="en-GB"/>
              </w:rPr>
              <w:t>Описание (тыс. шв. фр.)</w:t>
            </w:r>
          </w:p>
        </w:tc>
        <w:tc>
          <w:tcPr>
            <w:tcW w:w="713" w:type="pct"/>
            <w:tcBorders>
              <w:top w:val="nil"/>
              <w:left w:val="nil"/>
              <w:bottom w:val="nil"/>
              <w:right w:val="nil"/>
            </w:tcBorders>
            <w:shd w:val="clear" w:color="000000" w:fill="0070C0"/>
            <w:vAlign w:val="center"/>
            <w:hideMark/>
          </w:tcPr>
          <w:p w14:paraId="64048029" w14:textId="77777777" w:rsidR="00DF251A" w:rsidRPr="00521670" w:rsidRDefault="00DF251A" w:rsidP="008C3F0C">
            <w:pPr>
              <w:pStyle w:val="Tablehead"/>
              <w:rPr>
                <w:bCs/>
                <w:szCs w:val="18"/>
                <w:lang w:val="ru-RU" w:eastAsia="en-GB"/>
              </w:rPr>
            </w:pPr>
            <w:r w:rsidRPr="00521670">
              <w:rPr>
                <w:szCs w:val="18"/>
                <w:lang w:val="ru-RU"/>
              </w:rPr>
              <w:t>31 декабря 2024 г.</w:t>
            </w:r>
          </w:p>
        </w:tc>
        <w:tc>
          <w:tcPr>
            <w:tcW w:w="714" w:type="pct"/>
            <w:tcBorders>
              <w:top w:val="nil"/>
              <w:left w:val="nil"/>
              <w:bottom w:val="nil"/>
              <w:right w:val="nil"/>
            </w:tcBorders>
            <w:shd w:val="clear" w:color="000000" w:fill="0070C0"/>
            <w:vAlign w:val="center"/>
            <w:hideMark/>
          </w:tcPr>
          <w:p w14:paraId="1BB59AAF" w14:textId="77777777" w:rsidR="00DF251A" w:rsidRPr="00521670" w:rsidRDefault="00DF251A" w:rsidP="008C3F0C">
            <w:pPr>
              <w:pStyle w:val="Tablehead"/>
              <w:rPr>
                <w:bCs/>
                <w:szCs w:val="18"/>
                <w:lang w:val="ru-RU" w:eastAsia="en-GB"/>
              </w:rPr>
            </w:pPr>
            <w:r w:rsidRPr="00521670">
              <w:rPr>
                <w:szCs w:val="18"/>
                <w:lang w:val="ru-RU" w:eastAsia="en-GB"/>
              </w:rPr>
              <w:t>Активное сальдо/</w:t>
            </w:r>
            <w:r w:rsidRPr="00521670">
              <w:rPr>
                <w:szCs w:val="18"/>
                <w:lang w:val="ru-RU" w:eastAsia="en-GB"/>
              </w:rPr>
              <w:br/>
              <w:t>(дефицит) − 2024 г.</w:t>
            </w:r>
          </w:p>
        </w:tc>
        <w:tc>
          <w:tcPr>
            <w:tcW w:w="713" w:type="pct"/>
            <w:tcBorders>
              <w:top w:val="nil"/>
              <w:left w:val="nil"/>
              <w:bottom w:val="nil"/>
              <w:right w:val="nil"/>
            </w:tcBorders>
            <w:shd w:val="clear" w:color="000000" w:fill="0070C0"/>
            <w:vAlign w:val="center"/>
            <w:hideMark/>
          </w:tcPr>
          <w:p w14:paraId="20FBF3BB" w14:textId="77777777" w:rsidR="00DF251A" w:rsidRPr="00521670" w:rsidRDefault="00DF251A" w:rsidP="008C3F0C">
            <w:pPr>
              <w:pStyle w:val="Tablehead"/>
              <w:rPr>
                <w:bCs/>
                <w:szCs w:val="18"/>
                <w:lang w:val="ru-RU" w:eastAsia="en-GB"/>
              </w:rPr>
            </w:pPr>
            <w:r w:rsidRPr="00521670">
              <w:rPr>
                <w:bCs/>
                <w:szCs w:val="18"/>
                <w:lang w:val="ru-RU" w:eastAsia="en-GB"/>
              </w:rPr>
              <w:t>Перевод средств</w:t>
            </w:r>
          </w:p>
        </w:tc>
        <w:tc>
          <w:tcPr>
            <w:tcW w:w="714" w:type="pct"/>
            <w:tcBorders>
              <w:top w:val="nil"/>
              <w:left w:val="nil"/>
              <w:bottom w:val="nil"/>
              <w:right w:val="nil"/>
            </w:tcBorders>
            <w:shd w:val="clear" w:color="000000" w:fill="0070C0"/>
            <w:vAlign w:val="center"/>
            <w:hideMark/>
          </w:tcPr>
          <w:p w14:paraId="7CC223B2" w14:textId="77777777" w:rsidR="00DF251A" w:rsidRPr="00521670" w:rsidRDefault="00DF251A" w:rsidP="008C3F0C">
            <w:pPr>
              <w:pStyle w:val="Tablehead"/>
              <w:rPr>
                <w:bCs/>
                <w:szCs w:val="18"/>
                <w:lang w:val="ru-RU" w:eastAsia="en-GB"/>
              </w:rPr>
            </w:pPr>
            <w:r w:rsidRPr="00521670">
              <w:rPr>
                <w:szCs w:val="18"/>
                <w:lang w:val="ru-RU"/>
              </w:rPr>
              <w:t>31 декабря 2023 г.</w:t>
            </w:r>
          </w:p>
        </w:tc>
      </w:tr>
      <w:tr w:rsidR="00DF251A" w:rsidRPr="00521670" w14:paraId="5BB806C8" w14:textId="77777777" w:rsidTr="009977AB">
        <w:trPr>
          <w:trHeight w:val="120"/>
        </w:trPr>
        <w:tc>
          <w:tcPr>
            <w:tcW w:w="2145" w:type="pct"/>
            <w:tcBorders>
              <w:top w:val="nil"/>
              <w:left w:val="nil"/>
              <w:bottom w:val="nil"/>
              <w:right w:val="nil"/>
            </w:tcBorders>
            <w:shd w:val="clear" w:color="auto" w:fill="auto"/>
            <w:vAlign w:val="bottom"/>
            <w:hideMark/>
          </w:tcPr>
          <w:p w14:paraId="435836E5" w14:textId="77777777" w:rsidR="00DF251A" w:rsidRPr="00521670" w:rsidRDefault="00DF251A" w:rsidP="008C3F0C">
            <w:pPr>
              <w:pStyle w:val="Tabletext"/>
              <w:rPr>
                <w:lang w:val="ru-RU" w:eastAsia="en-GB"/>
              </w:rPr>
            </w:pPr>
          </w:p>
        </w:tc>
        <w:tc>
          <w:tcPr>
            <w:tcW w:w="713" w:type="pct"/>
            <w:tcBorders>
              <w:top w:val="nil"/>
              <w:left w:val="nil"/>
              <w:bottom w:val="nil"/>
              <w:right w:val="nil"/>
            </w:tcBorders>
            <w:shd w:val="clear" w:color="auto" w:fill="auto"/>
            <w:vAlign w:val="bottom"/>
            <w:hideMark/>
          </w:tcPr>
          <w:p w14:paraId="2A3EB507" w14:textId="77777777" w:rsidR="00DF251A" w:rsidRPr="00521670" w:rsidRDefault="00DF251A" w:rsidP="008C3F0C">
            <w:pPr>
              <w:pStyle w:val="Tabletext"/>
              <w:rPr>
                <w:lang w:val="ru-RU" w:eastAsia="en-GB"/>
              </w:rPr>
            </w:pPr>
          </w:p>
        </w:tc>
        <w:tc>
          <w:tcPr>
            <w:tcW w:w="714" w:type="pct"/>
            <w:tcBorders>
              <w:top w:val="nil"/>
              <w:left w:val="nil"/>
              <w:bottom w:val="nil"/>
              <w:right w:val="nil"/>
            </w:tcBorders>
            <w:shd w:val="clear" w:color="auto" w:fill="auto"/>
            <w:vAlign w:val="bottom"/>
            <w:hideMark/>
          </w:tcPr>
          <w:p w14:paraId="42B38C1C" w14:textId="77777777" w:rsidR="00DF251A" w:rsidRPr="00521670" w:rsidRDefault="00DF251A" w:rsidP="008C3F0C">
            <w:pPr>
              <w:pStyle w:val="Tabletext"/>
              <w:rPr>
                <w:lang w:val="ru-RU" w:eastAsia="en-GB"/>
              </w:rPr>
            </w:pPr>
          </w:p>
        </w:tc>
        <w:tc>
          <w:tcPr>
            <w:tcW w:w="713" w:type="pct"/>
            <w:tcBorders>
              <w:top w:val="nil"/>
              <w:left w:val="nil"/>
              <w:bottom w:val="nil"/>
              <w:right w:val="nil"/>
            </w:tcBorders>
            <w:shd w:val="clear" w:color="auto" w:fill="auto"/>
            <w:vAlign w:val="bottom"/>
            <w:hideMark/>
          </w:tcPr>
          <w:p w14:paraId="7D12DB58" w14:textId="77777777" w:rsidR="00DF251A" w:rsidRPr="00521670" w:rsidRDefault="00DF251A" w:rsidP="008C3F0C">
            <w:pPr>
              <w:pStyle w:val="Tabletext"/>
              <w:rPr>
                <w:lang w:val="ru-RU" w:eastAsia="en-GB"/>
              </w:rPr>
            </w:pPr>
          </w:p>
        </w:tc>
        <w:tc>
          <w:tcPr>
            <w:tcW w:w="714" w:type="pct"/>
            <w:tcBorders>
              <w:top w:val="nil"/>
              <w:left w:val="nil"/>
              <w:bottom w:val="nil"/>
              <w:right w:val="nil"/>
            </w:tcBorders>
            <w:shd w:val="clear" w:color="auto" w:fill="auto"/>
            <w:vAlign w:val="bottom"/>
            <w:hideMark/>
          </w:tcPr>
          <w:p w14:paraId="5775C29E" w14:textId="77777777" w:rsidR="00DF251A" w:rsidRPr="00521670" w:rsidRDefault="00DF251A" w:rsidP="008C3F0C">
            <w:pPr>
              <w:pStyle w:val="Tabletext"/>
              <w:rPr>
                <w:lang w:val="ru-RU" w:eastAsia="en-GB"/>
              </w:rPr>
            </w:pPr>
          </w:p>
        </w:tc>
      </w:tr>
      <w:tr w:rsidR="00DF251A" w:rsidRPr="00521670" w14:paraId="767D42A1" w14:textId="77777777" w:rsidTr="009977AB">
        <w:trPr>
          <w:trHeight w:val="282"/>
        </w:trPr>
        <w:tc>
          <w:tcPr>
            <w:tcW w:w="2145" w:type="pct"/>
            <w:tcBorders>
              <w:top w:val="nil"/>
              <w:left w:val="nil"/>
              <w:bottom w:val="nil"/>
              <w:right w:val="nil"/>
            </w:tcBorders>
            <w:shd w:val="clear" w:color="auto" w:fill="auto"/>
            <w:hideMark/>
          </w:tcPr>
          <w:p w14:paraId="3DE90943" w14:textId="77777777" w:rsidR="00DF251A" w:rsidRPr="00521670" w:rsidRDefault="00DF251A" w:rsidP="008C3F0C">
            <w:pPr>
              <w:pStyle w:val="Tabletext"/>
              <w:rPr>
                <w:szCs w:val="16"/>
                <w:lang w:val="ru-RU" w:eastAsia="en-GB"/>
              </w:rPr>
            </w:pPr>
            <w:r w:rsidRPr="00521670">
              <w:rPr>
                <w:b/>
                <w:bCs/>
                <w:szCs w:val="16"/>
                <w:lang w:val="ru-RU" w:eastAsia="en-GB"/>
              </w:rPr>
              <w:t>Внебюджетные целевые резервы</w:t>
            </w:r>
          </w:p>
        </w:tc>
        <w:tc>
          <w:tcPr>
            <w:tcW w:w="713" w:type="pct"/>
            <w:tcBorders>
              <w:top w:val="nil"/>
              <w:left w:val="nil"/>
              <w:bottom w:val="nil"/>
              <w:right w:val="nil"/>
            </w:tcBorders>
            <w:shd w:val="clear" w:color="auto" w:fill="auto"/>
            <w:vAlign w:val="center"/>
            <w:hideMark/>
          </w:tcPr>
          <w:p w14:paraId="30152AAE" w14:textId="77777777" w:rsidR="00DF251A" w:rsidRPr="00521670" w:rsidRDefault="00DF251A" w:rsidP="008C3F0C">
            <w:pPr>
              <w:pStyle w:val="Tabletext"/>
              <w:jc w:val="right"/>
              <w:rPr>
                <w:b/>
                <w:bCs/>
                <w:lang w:val="ru-RU" w:eastAsia="en-GB"/>
              </w:rPr>
            </w:pPr>
            <w:r w:rsidRPr="00521670">
              <w:rPr>
                <w:b/>
                <w:bCs/>
                <w:lang w:val="ru-RU" w:eastAsia="en-GB"/>
              </w:rPr>
              <w:t>10 575</w:t>
            </w:r>
          </w:p>
        </w:tc>
        <w:tc>
          <w:tcPr>
            <w:tcW w:w="714" w:type="pct"/>
            <w:tcBorders>
              <w:top w:val="nil"/>
              <w:left w:val="nil"/>
              <w:bottom w:val="nil"/>
              <w:right w:val="nil"/>
            </w:tcBorders>
            <w:shd w:val="clear" w:color="auto" w:fill="auto"/>
            <w:vAlign w:val="center"/>
            <w:hideMark/>
          </w:tcPr>
          <w:p w14:paraId="371318CC" w14:textId="77777777" w:rsidR="00DF251A" w:rsidRPr="00521670" w:rsidRDefault="00DF251A" w:rsidP="008C3F0C">
            <w:pPr>
              <w:pStyle w:val="Tabletext"/>
              <w:jc w:val="right"/>
              <w:rPr>
                <w:b/>
                <w:bCs/>
                <w:lang w:val="ru-RU" w:eastAsia="en-GB"/>
              </w:rPr>
            </w:pPr>
            <w:r w:rsidRPr="00521670">
              <w:rPr>
                <w:b/>
                <w:bCs/>
                <w:lang w:val="ru-RU" w:eastAsia="en-GB"/>
              </w:rPr>
              <w:t>731</w:t>
            </w:r>
          </w:p>
        </w:tc>
        <w:tc>
          <w:tcPr>
            <w:tcW w:w="713" w:type="pct"/>
            <w:tcBorders>
              <w:top w:val="nil"/>
              <w:left w:val="nil"/>
              <w:bottom w:val="nil"/>
              <w:right w:val="nil"/>
            </w:tcBorders>
            <w:shd w:val="clear" w:color="auto" w:fill="auto"/>
            <w:vAlign w:val="center"/>
            <w:hideMark/>
          </w:tcPr>
          <w:p w14:paraId="72AB1DCD" w14:textId="77777777" w:rsidR="00DF251A" w:rsidRPr="00521670" w:rsidRDefault="00DF251A" w:rsidP="008C3F0C">
            <w:pPr>
              <w:pStyle w:val="Tabletext"/>
              <w:jc w:val="right"/>
              <w:rPr>
                <w:b/>
                <w:bCs/>
                <w:lang w:val="ru-RU" w:eastAsia="en-GB"/>
              </w:rPr>
            </w:pPr>
            <w:r w:rsidRPr="00521670">
              <w:rPr>
                <w:b/>
                <w:bCs/>
                <w:lang w:val="ru-RU" w:eastAsia="en-GB"/>
              </w:rPr>
              <w:t>2 821</w:t>
            </w:r>
          </w:p>
        </w:tc>
        <w:tc>
          <w:tcPr>
            <w:tcW w:w="714" w:type="pct"/>
            <w:tcBorders>
              <w:top w:val="nil"/>
              <w:left w:val="nil"/>
              <w:bottom w:val="nil"/>
              <w:right w:val="nil"/>
            </w:tcBorders>
            <w:shd w:val="clear" w:color="auto" w:fill="auto"/>
            <w:vAlign w:val="center"/>
            <w:hideMark/>
          </w:tcPr>
          <w:p w14:paraId="29A33D8E" w14:textId="77777777" w:rsidR="00DF251A" w:rsidRPr="00521670" w:rsidRDefault="00DF251A" w:rsidP="008C3F0C">
            <w:pPr>
              <w:pStyle w:val="Tabletext"/>
              <w:jc w:val="right"/>
              <w:rPr>
                <w:b/>
                <w:bCs/>
                <w:lang w:val="ru-RU" w:eastAsia="en-GB"/>
              </w:rPr>
            </w:pPr>
            <w:r w:rsidRPr="00521670">
              <w:rPr>
                <w:b/>
                <w:bCs/>
                <w:lang w:val="ru-RU" w:eastAsia="en-GB"/>
              </w:rPr>
              <w:t>7 023</w:t>
            </w:r>
          </w:p>
        </w:tc>
      </w:tr>
      <w:tr w:rsidR="00DF251A" w:rsidRPr="00521670" w14:paraId="1DFC7B91" w14:textId="77777777" w:rsidTr="009977AB">
        <w:trPr>
          <w:trHeight w:val="282"/>
        </w:trPr>
        <w:tc>
          <w:tcPr>
            <w:tcW w:w="2145" w:type="pct"/>
            <w:tcBorders>
              <w:top w:val="nil"/>
              <w:left w:val="nil"/>
              <w:bottom w:val="nil"/>
              <w:right w:val="nil"/>
            </w:tcBorders>
            <w:shd w:val="clear" w:color="auto" w:fill="auto"/>
            <w:hideMark/>
          </w:tcPr>
          <w:p w14:paraId="3E7216B8" w14:textId="77777777" w:rsidR="00DF251A" w:rsidRPr="00521670" w:rsidRDefault="00DF251A" w:rsidP="008C3F0C">
            <w:pPr>
              <w:pStyle w:val="Tabletext"/>
              <w:rPr>
                <w:szCs w:val="16"/>
                <w:lang w:val="ru-RU" w:eastAsia="en-GB"/>
              </w:rPr>
            </w:pPr>
            <w:r w:rsidRPr="00521670">
              <w:rPr>
                <w:rFonts w:cs="Calibri"/>
                <w:szCs w:val="16"/>
                <w:lang w:val="ru-RU"/>
              </w:rPr>
              <w:t>−</w:t>
            </w:r>
            <w:r w:rsidRPr="00521670">
              <w:rPr>
                <w:szCs w:val="16"/>
                <w:lang w:val="ru-RU"/>
              </w:rPr>
              <w:tab/>
            </w:r>
            <w:r w:rsidRPr="00521670">
              <w:rPr>
                <w:szCs w:val="16"/>
                <w:lang w:val="ru-RU" w:eastAsia="en-GB"/>
              </w:rPr>
              <w:t>Внебюджетные целевые резервы</w:t>
            </w:r>
          </w:p>
        </w:tc>
        <w:tc>
          <w:tcPr>
            <w:tcW w:w="713" w:type="pct"/>
            <w:tcBorders>
              <w:top w:val="nil"/>
              <w:left w:val="nil"/>
              <w:bottom w:val="nil"/>
              <w:right w:val="nil"/>
            </w:tcBorders>
            <w:shd w:val="clear" w:color="auto" w:fill="auto"/>
            <w:noWrap/>
            <w:vAlign w:val="center"/>
            <w:hideMark/>
          </w:tcPr>
          <w:p w14:paraId="39DE70FA" w14:textId="77777777" w:rsidR="00DF251A" w:rsidRPr="00521670" w:rsidRDefault="00DF251A" w:rsidP="008C3F0C">
            <w:pPr>
              <w:pStyle w:val="Tabletext"/>
              <w:jc w:val="right"/>
              <w:rPr>
                <w:lang w:val="ru-RU" w:eastAsia="en-GB"/>
              </w:rPr>
            </w:pPr>
            <w:r w:rsidRPr="00521670">
              <w:rPr>
                <w:lang w:val="ru-RU" w:eastAsia="en-GB"/>
              </w:rPr>
              <w:t>10 387</w:t>
            </w:r>
          </w:p>
        </w:tc>
        <w:tc>
          <w:tcPr>
            <w:tcW w:w="714" w:type="pct"/>
            <w:tcBorders>
              <w:top w:val="nil"/>
              <w:left w:val="nil"/>
              <w:bottom w:val="nil"/>
              <w:right w:val="nil"/>
            </w:tcBorders>
            <w:shd w:val="clear" w:color="auto" w:fill="auto"/>
            <w:noWrap/>
            <w:vAlign w:val="center"/>
            <w:hideMark/>
          </w:tcPr>
          <w:p w14:paraId="25A10262" w14:textId="77777777" w:rsidR="00DF251A" w:rsidRPr="00521670" w:rsidRDefault="00DF251A" w:rsidP="008C3F0C">
            <w:pPr>
              <w:pStyle w:val="Tabletext"/>
              <w:jc w:val="right"/>
              <w:rPr>
                <w:lang w:val="ru-RU" w:eastAsia="en-GB"/>
              </w:rPr>
            </w:pPr>
            <w:r w:rsidRPr="00521670">
              <w:rPr>
                <w:lang w:val="ru-RU" w:eastAsia="en-GB"/>
              </w:rPr>
              <w:t>734</w:t>
            </w:r>
          </w:p>
        </w:tc>
        <w:tc>
          <w:tcPr>
            <w:tcW w:w="713" w:type="pct"/>
            <w:tcBorders>
              <w:top w:val="nil"/>
              <w:left w:val="nil"/>
              <w:bottom w:val="nil"/>
              <w:right w:val="nil"/>
            </w:tcBorders>
            <w:shd w:val="clear" w:color="auto" w:fill="auto"/>
            <w:noWrap/>
            <w:vAlign w:val="center"/>
            <w:hideMark/>
          </w:tcPr>
          <w:p w14:paraId="2CE54218" w14:textId="77777777" w:rsidR="00DF251A" w:rsidRPr="00521670" w:rsidRDefault="00DF251A" w:rsidP="008C3F0C">
            <w:pPr>
              <w:pStyle w:val="Tabletext"/>
              <w:jc w:val="right"/>
              <w:rPr>
                <w:lang w:val="ru-RU" w:eastAsia="en-GB"/>
              </w:rPr>
            </w:pPr>
            <w:r w:rsidRPr="00521670">
              <w:rPr>
                <w:lang w:val="ru-RU" w:eastAsia="en-GB"/>
              </w:rPr>
              <w:t>3 286</w:t>
            </w:r>
          </w:p>
        </w:tc>
        <w:tc>
          <w:tcPr>
            <w:tcW w:w="714" w:type="pct"/>
            <w:tcBorders>
              <w:top w:val="nil"/>
              <w:left w:val="nil"/>
              <w:bottom w:val="nil"/>
              <w:right w:val="nil"/>
            </w:tcBorders>
            <w:shd w:val="clear" w:color="auto" w:fill="auto"/>
            <w:noWrap/>
            <w:vAlign w:val="center"/>
            <w:hideMark/>
          </w:tcPr>
          <w:p w14:paraId="72255A0C" w14:textId="77777777" w:rsidR="00DF251A" w:rsidRPr="00521670" w:rsidRDefault="00DF251A" w:rsidP="008C3F0C">
            <w:pPr>
              <w:pStyle w:val="Tabletext"/>
              <w:jc w:val="right"/>
              <w:rPr>
                <w:lang w:val="ru-RU" w:eastAsia="en-GB"/>
              </w:rPr>
            </w:pPr>
            <w:r w:rsidRPr="00521670">
              <w:rPr>
                <w:lang w:val="ru-RU" w:eastAsia="en-GB"/>
              </w:rPr>
              <w:t>6 367</w:t>
            </w:r>
          </w:p>
        </w:tc>
      </w:tr>
      <w:tr w:rsidR="00DF251A" w:rsidRPr="00521670" w14:paraId="54E14171" w14:textId="77777777" w:rsidTr="009977AB">
        <w:trPr>
          <w:trHeight w:val="282"/>
        </w:trPr>
        <w:tc>
          <w:tcPr>
            <w:tcW w:w="2145" w:type="pct"/>
            <w:tcBorders>
              <w:top w:val="nil"/>
              <w:left w:val="nil"/>
              <w:bottom w:val="nil"/>
              <w:right w:val="nil"/>
            </w:tcBorders>
            <w:shd w:val="clear" w:color="auto" w:fill="auto"/>
            <w:hideMark/>
          </w:tcPr>
          <w:p w14:paraId="7A1D313B" w14:textId="77777777" w:rsidR="00DF251A" w:rsidRPr="00521670" w:rsidRDefault="00DF251A" w:rsidP="008C3F0C">
            <w:pPr>
              <w:pStyle w:val="Tabletext"/>
              <w:rPr>
                <w:szCs w:val="16"/>
                <w:lang w:val="ru-RU" w:eastAsia="en-GB"/>
              </w:rPr>
            </w:pPr>
            <w:r w:rsidRPr="00521670">
              <w:rPr>
                <w:rFonts w:cs="Calibri"/>
                <w:szCs w:val="16"/>
                <w:lang w:val="ru-RU"/>
              </w:rPr>
              <w:t>−</w:t>
            </w:r>
            <w:r w:rsidRPr="00521670">
              <w:rPr>
                <w:szCs w:val="16"/>
                <w:lang w:val="ru-RU"/>
              </w:rPr>
              <w:tab/>
            </w:r>
            <w:r w:rsidRPr="00521670">
              <w:rPr>
                <w:szCs w:val="16"/>
                <w:lang w:val="ru-RU" w:eastAsia="en-GB"/>
              </w:rPr>
              <w:t>Оборотный выставочный фонд МСЭ</w:t>
            </w:r>
          </w:p>
        </w:tc>
        <w:tc>
          <w:tcPr>
            <w:tcW w:w="713" w:type="pct"/>
            <w:tcBorders>
              <w:top w:val="nil"/>
              <w:left w:val="nil"/>
              <w:bottom w:val="nil"/>
              <w:right w:val="nil"/>
            </w:tcBorders>
            <w:shd w:val="clear" w:color="auto" w:fill="auto"/>
            <w:noWrap/>
            <w:vAlign w:val="center"/>
            <w:hideMark/>
          </w:tcPr>
          <w:p w14:paraId="4CF6902E" w14:textId="77777777" w:rsidR="00DF251A" w:rsidRPr="00521670" w:rsidRDefault="00DF251A" w:rsidP="008C3F0C">
            <w:pPr>
              <w:pStyle w:val="Tabletext"/>
              <w:jc w:val="right"/>
              <w:rPr>
                <w:lang w:val="ru-RU" w:eastAsia="en-GB"/>
              </w:rPr>
            </w:pPr>
            <w:r w:rsidRPr="00521670">
              <w:rPr>
                <w:lang w:val="ru-RU" w:eastAsia="en-GB"/>
              </w:rPr>
              <w:t>188</w:t>
            </w:r>
          </w:p>
        </w:tc>
        <w:tc>
          <w:tcPr>
            <w:tcW w:w="714" w:type="pct"/>
            <w:tcBorders>
              <w:top w:val="nil"/>
              <w:left w:val="nil"/>
              <w:bottom w:val="nil"/>
              <w:right w:val="nil"/>
            </w:tcBorders>
            <w:shd w:val="clear" w:color="auto" w:fill="auto"/>
            <w:noWrap/>
            <w:vAlign w:val="center"/>
            <w:hideMark/>
          </w:tcPr>
          <w:p w14:paraId="2A061658" w14:textId="77777777" w:rsidR="00DF251A" w:rsidRPr="00521670" w:rsidRDefault="00DF251A" w:rsidP="008C3F0C">
            <w:pPr>
              <w:pStyle w:val="Tabletext"/>
              <w:jc w:val="right"/>
              <w:rPr>
                <w:lang w:val="ru-RU" w:eastAsia="en-GB"/>
              </w:rPr>
            </w:pPr>
            <w:r w:rsidRPr="00521670">
              <w:rPr>
                <w:lang w:val="ru-RU" w:eastAsia="en-GB"/>
              </w:rPr>
              <w:t>(3)</w:t>
            </w:r>
          </w:p>
        </w:tc>
        <w:tc>
          <w:tcPr>
            <w:tcW w:w="713" w:type="pct"/>
            <w:tcBorders>
              <w:top w:val="nil"/>
              <w:left w:val="nil"/>
              <w:bottom w:val="nil"/>
              <w:right w:val="nil"/>
            </w:tcBorders>
            <w:shd w:val="clear" w:color="auto" w:fill="auto"/>
            <w:vAlign w:val="center"/>
            <w:hideMark/>
          </w:tcPr>
          <w:p w14:paraId="4693FB72" w14:textId="77777777" w:rsidR="00DF251A" w:rsidRPr="00521670" w:rsidRDefault="00DF251A" w:rsidP="008C3F0C">
            <w:pPr>
              <w:pStyle w:val="Tabletext"/>
              <w:jc w:val="right"/>
              <w:rPr>
                <w:lang w:val="ru-RU" w:eastAsia="en-GB"/>
              </w:rPr>
            </w:pPr>
            <w:r w:rsidRPr="00521670">
              <w:rPr>
                <w:lang w:val="ru-RU" w:eastAsia="en-GB"/>
              </w:rPr>
              <w:t>(465)</w:t>
            </w:r>
          </w:p>
        </w:tc>
        <w:tc>
          <w:tcPr>
            <w:tcW w:w="714" w:type="pct"/>
            <w:tcBorders>
              <w:top w:val="nil"/>
              <w:left w:val="nil"/>
              <w:bottom w:val="nil"/>
              <w:right w:val="nil"/>
            </w:tcBorders>
            <w:shd w:val="clear" w:color="auto" w:fill="auto"/>
            <w:noWrap/>
            <w:vAlign w:val="center"/>
            <w:hideMark/>
          </w:tcPr>
          <w:p w14:paraId="36221736" w14:textId="77777777" w:rsidR="00DF251A" w:rsidRPr="00521670" w:rsidRDefault="00DF251A" w:rsidP="008C3F0C">
            <w:pPr>
              <w:pStyle w:val="Tabletext"/>
              <w:jc w:val="right"/>
              <w:rPr>
                <w:lang w:val="ru-RU" w:eastAsia="en-GB"/>
              </w:rPr>
            </w:pPr>
            <w:r w:rsidRPr="00521670">
              <w:rPr>
                <w:lang w:val="ru-RU" w:eastAsia="en-GB"/>
              </w:rPr>
              <w:t>656</w:t>
            </w:r>
          </w:p>
        </w:tc>
      </w:tr>
      <w:tr w:rsidR="00DF251A" w:rsidRPr="00521670" w14:paraId="4BD138F7" w14:textId="77777777" w:rsidTr="009977AB">
        <w:trPr>
          <w:trHeight w:val="132"/>
        </w:trPr>
        <w:tc>
          <w:tcPr>
            <w:tcW w:w="2145" w:type="pct"/>
            <w:tcBorders>
              <w:top w:val="nil"/>
              <w:left w:val="nil"/>
              <w:bottom w:val="nil"/>
              <w:right w:val="nil"/>
            </w:tcBorders>
            <w:shd w:val="clear" w:color="auto" w:fill="auto"/>
            <w:vAlign w:val="center"/>
            <w:hideMark/>
          </w:tcPr>
          <w:p w14:paraId="6098692F" w14:textId="77777777" w:rsidR="00DF251A" w:rsidRPr="00521670" w:rsidRDefault="00DF251A" w:rsidP="008C3F0C">
            <w:pPr>
              <w:pStyle w:val="Tabletext"/>
              <w:rPr>
                <w:szCs w:val="16"/>
                <w:lang w:val="ru-RU" w:eastAsia="en-GB"/>
              </w:rPr>
            </w:pPr>
          </w:p>
        </w:tc>
        <w:tc>
          <w:tcPr>
            <w:tcW w:w="713" w:type="pct"/>
            <w:tcBorders>
              <w:top w:val="nil"/>
              <w:left w:val="nil"/>
              <w:bottom w:val="nil"/>
              <w:right w:val="nil"/>
            </w:tcBorders>
            <w:shd w:val="clear" w:color="auto" w:fill="auto"/>
            <w:noWrap/>
            <w:vAlign w:val="center"/>
            <w:hideMark/>
          </w:tcPr>
          <w:p w14:paraId="520827CF" w14:textId="77777777" w:rsidR="00DF251A" w:rsidRPr="00521670" w:rsidRDefault="00DF251A" w:rsidP="008C3F0C">
            <w:pPr>
              <w:pStyle w:val="Tabletext"/>
              <w:jc w:val="right"/>
              <w:rPr>
                <w:lang w:val="ru-RU" w:eastAsia="en-GB"/>
              </w:rPr>
            </w:pPr>
          </w:p>
        </w:tc>
        <w:tc>
          <w:tcPr>
            <w:tcW w:w="714" w:type="pct"/>
            <w:tcBorders>
              <w:top w:val="nil"/>
              <w:left w:val="nil"/>
              <w:bottom w:val="nil"/>
              <w:right w:val="nil"/>
            </w:tcBorders>
            <w:shd w:val="clear" w:color="auto" w:fill="auto"/>
            <w:noWrap/>
            <w:vAlign w:val="center"/>
            <w:hideMark/>
          </w:tcPr>
          <w:p w14:paraId="1DEC1415" w14:textId="77777777" w:rsidR="00DF251A" w:rsidRPr="00521670" w:rsidRDefault="00DF251A" w:rsidP="008C3F0C">
            <w:pPr>
              <w:pStyle w:val="Tabletext"/>
              <w:jc w:val="right"/>
              <w:rPr>
                <w:lang w:val="ru-RU" w:eastAsia="en-GB"/>
              </w:rPr>
            </w:pPr>
          </w:p>
        </w:tc>
        <w:tc>
          <w:tcPr>
            <w:tcW w:w="713" w:type="pct"/>
            <w:tcBorders>
              <w:top w:val="nil"/>
              <w:left w:val="nil"/>
              <w:bottom w:val="nil"/>
              <w:right w:val="nil"/>
            </w:tcBorders>
            <w:shd w:val="clear" w:color="auto" w:fill="auto"/>
            <w:noWrap/>
            <w:vAlign w:val="center"/>
            <w:hideMark/>
          </w:tcPr>
          <w:p w14:paraId="04CB21FB" w14:textId="77777777" w:rsidR="00DF251A" w:rsidRPr="00521670" w:rsidRDefault="00DF251A" w:rsidP="008C3F0C">
            <w:pPr>
              <w:pStyle w:val="Tabletext"/>
              <w:jc w:val="right"/>
              <w:rPr>
                <w:lang w:val="ru-RU" w:eastAsia="en-GB"/>
              </w:rPr>
            </w:pPr>
          </w:p>
        </w:tc>
        <w:tc>
          <w:tcPr>
            <w:tcW w:w="714" w:type="pct"/>
            <w:tcBorders>
              <w:top w:val="nil"/>
              <w:left w:val="nil"/>
              <w:bottom w:val="nil"/>
              <w:right w:val="nil"/>
            </w:tcBorders>
            <w:shd w:val="clear" w:color="auto" w:fill="auto"/>
            <w:noWrap/>
            <w:vAlign w:val="center"/>
            <w:hideMark/>
          </w:tcPr>
          <w:p w14:paraId="7FE33E12" w14:textId="77777777" w:rsidR="00DF251A" w:rsidRPr="00521670" w:rsidRDefault="00DF251A" w:rsidP="008C3F0C">
            <w:pPr>
              <w:pStyle w:val="Tabletext"/>
              <w:jc w:val="right"/>
              <w:rPr>
                <w:lang w:val="ru-RU" w:eastAsia="en-GB"/>
              </w:rPr>
            </w:pPr>
          </w:p>
        </w:tc>
      </w:tr>
      <w:tr w:rsidR="00DF251A" w:rsidRPr="00521670" w14:paraId="761CB913" w14:textId="77777777" w:rsidTr="009977AB">
        <w:trPr>
          <w:trHeight w:val="282"/>
        </w:trPr>
        <w:tc>
          <w:tcPr>
            <w:tcW w:w="2145" w:type="pct"/>
            <w:tcBorders>
              <w:top w:val="nil"/>
              <w:left w:val="nil"/>
              <w:bottom w:val="nil"/>
              <w:right w:val="nil"/>
            </w:tcBorders>
            <w:shd w:val="clear" w:color="auto" w:fill="auto"/>
            <w:vAlign w:val="center"/>
            <w:hideMark/>
          </w:tcPr>
          <w:p w14:paraId="34834275" w14:textId="77777777" w:rsidR="00DF251A" w:rsidRPr="00521670" w:rsidRDefault="00DF251A" w:rsidP="008C3F0C">
            <w:pPr>
              <w:pStyle w:val="Tabletext"/>
              <w:rPr>
                <w:szCs w:val="16"/>
                <w:lang w:val="ru-RU" w:eastAsia="en-GB"/>
              </w:rPr>
            </w:pPr>
            <w:r w:rsidRPr="00521670">
              <w:rPr>
                <w:b/>
                <w:bCs/>
                <w:szCs w:val="16"/>
                <w:lang w:val="ru-RU"/>
              </w:rPr>
              <w:t>Внебюджетные нецелевые резервы</w:t>
            </w:r>
          </w:p>
        </w:tc>
        <w:tc>
          <w:tcPr>
            <w:tcW w:w="713" w:type="pct"/>
            <w:tcBorders>
              <w:top w:val="nil"/>
              <w:left w:val="nil"/>
              <w:bottom w:val="nil"/>
              <w:right w:val="nil"/>
            </w:tcBorders>
            <w:shd w:val="clear" w:color="auto" w:fill="auto"/>
            <w:noWrap/>
            <w:vAlign w:val="center"/>
            <w:hideMark/>
          </w:tcPr>
          <w:p w14:paraId="2A995D78" w14:textId="77777777" w:rsidR="00DF251A" w:rsidRPr="00521670" w:rsidRDefault="00DF251A" w:rsidP="008C3F0C">
            <w:pPr>
              <w:pStyle w:val="Tabletext"/>
              <w:jc w:val="right"/>
              <w:rPr>
                <w:b/>
                <w:bCs/>
                <w:lang w:val="ru-RU" w:eastAsia="en-GB"/>
              </w:rPr>
            </w:pPr>
            <w:r w:rsidRPr="00521670">
              <w:rPr>
                <w:b/>
                <w:bCs/>
                <w:lang w:val="ru-RU" w:eastAsia="en-GB"/>
              </w:rPr>
              <w:t>3 788</w:t>
            </w:r>
          </w:p>
        </w:tc>
        <w:tc>
          <w:tcPr>
            <w:tcW w:w="714" w:type="pct"/>
            <w:tcBorders>
              <w:top w:val="nil"/>
              <w:left w:val="nil"/>
              <w:bottom w:val="nil"/>
              <w:right w:val="nil"/>
            </w:tcBorders>
            <w:shd w:val="clear" w:color="auto" w:fill="auto"/>
            <w:noWrap/>
            <w:vAlign w:val="center"/>
            <w:hideMark/>
          </w:tcPr>
          <w:p w14:paraId="58A38BB3" w14:textId="77777777" w:rsidR="00DF251A" w:rsidRPr="00521670" w:rsidRDefault="00DF251A" w:rsidP="008C3F0C">
            <w:pPr>
              <w:pStyle w:val="Tabletext"/>
              <w:jc w:val="right"/>
              <w:rPr>
                <w:b/>
                <w:bCs/>
                <w:lang w:val="ru-RU" w:eastAsia="en-GB"/>
              </w:rPr>
            </w:pPr>
            <w:r w:rsidRPr="00521670">
              <w:rPr>
                <w:b/>
                <w:bCs/>
                <w:lang w:val="ru-RU" w:eastAsia="en-GB"/>
              </w:rPr>
              <w:t>279</w:t>
            </w:r>
          </w:p>
        </w:tc>
        <w:tc>
          <w:tcPr>
            <w:tcW w:w="713" w:type="pct"/>
            <w:tcBorders>
              <w:top w:val="nil"/>
              <w:left w:val="nil"/>
              <w:bottom w:val="nil"/>
              <w:right w:val="nil"/>
            </w:tcBorders>
            <w:shd w:val="clear" w:color="auto" w:fill="auto"/>
            <w:noWrap/>
            <w:vAlign w:val="center"/>
            <w:hideMark/>
          </w:tcPr>
          <w:p w14:paraId="15333A55" w14:textId="77777777" w:rsidR="00DF251A" w:rsidRPr="00521670" w:rsidRDefault="00DF251A" w:rsidP="008C3F0C">
            <w:pPr>
              <w:pStyle w:val="Tabletext"/>
              <w:jc w:val="right"/>
              <w:rPr>
                <w:b/>
                <w:bCs/>
                <w:lang w:val="ru-RU" w:eastAsia="en-GB"/>
              </w:rPr>
            </w:pPr>
            <w:r w:rsidRPr="00521670">
              <w:rPr>
                <w:b/>
                <w:bCs/>
                <w:lang w:val="ru-RU" w:eastAsia="en-GB"/>
              </w:rPr>
              <w:t>(2 821)</w:t>
            </w:r>
          </w:p>
        </w:tc>
        <w:tc>
          <w:tcPr>
            <w:tcW w:w="714" w:type="pct"/>
            <w:tcBorders>
              <w:top w:val="nil"/>
              <w:left w:val="nil"/>
              <w:bottom w:val="nil"/>
              <w:right w:val="nil"/>
            </w:tcBorders>
            <w:shd w:val="clear" w:color="auto" w:fill="auto"/>
            <w:noWrap/>
            <w:vAlign w:val="center"/>
            <w:hideMark/>
          </w:tcPr>
          <w:p w14:paraId="69517C5C" w14:textId="77777777" w:rsidR="00DF251A" w:rsidRPr="00521670" w:rsidRDefault="00DF251A" w:rsidP="008C3F0C">
            <w:pPr>
              <w:pStyle w:val="Tabletext"/>
              <w:jc w:val="right"/>
              <w:rPr>
                <w:b/>
                <w:bCs/>
                <w:lang w:val="ru-RU" w:eastAsia="en-GB"/>
              </w:rPr>
            </w:pPr>
            <w:r w:rsidRPr="00521670">
              <w:rPr>
                <w:b/>
                <w:bCs/>
                <w:lang w:val="ru-RU" w:eastAsia="en-GB"/>
              </w:rPr>
              <w:t>6 330</w:t>
            </w:r>
          </w:p>
        </w:tc>
      </w:tr>
      <w:tr w:rsidR="00DF251A" w:rsidRPr="00521670" w14:paraId="7714C163" w14:textId="77777777" w:rsidTr="009977AB">
        <w:trPr>
          <w:trHeight w:val="282"/>
        </w:trPr>
        <w:tc>
          <w:tcPr>
            <w:tcW w:w="2145" w:type="pct"/>
            <w:tcBorders>
              <w:top w:val="nil"/>
              <w:left w:val="nil"/>
              <w:bottom w:val="nil"/>
              <w:right w:val="nil"/>
            </w:tcBorders>
            <w:shd w:val="clear" w:color="auto" w:fill="auto"/>
            <w:hideMark/>
          </w:tcPr>
          <w:p w14:paraId="46F4FE12" w14:textId="77777777" w:rsidR="00DF251A" w:rsidRPr="00521670" w:rsidRDefault="00DF251A" w:rsidP="008C3F0C">
            <w:pPr>
              <w:pStyle w:val="Tabletext"/>
              <w:rPr>
                <w:szCs w:val="16"/>
                <w:lang w:val="ru-RU" w:eastAsia="en-GB"/>
              </w:rPr>
            </w:pPr>
            <w:r w:rsidRPr="00521670">
              <w:rPr>
                <w:rFonts w:cs="Calibri"/>
                <w:szCs w:val="16"/>
                <w:lang w:val="ru-RU"/>
              </w:rPr>
              <w:t>−</w:t>
            </w:r>
            <w:r w:rsidRPr="00521670">
              <w:rPr>
                <w:szCs w:val="16"/>
                <w:lang w:val="ru-RU"/>
              </w:rPr>
              <w:tab/>
              <w:t>Фонд развития ИКТ</w:t>
            </w:r>
          </w:p>
        </w:tc>
        <w:tc>
          <w:tcPr>
            <w:tcW w:w="713" w:type="pct"/>
            <w:tcBorders>
              <w:top w:val="nil"/>
              <w:left w:val="nil"/>
              <w:bottom w:val="nil"/>
              <w:right w:val="nil"/>
            </w:tcBorders>
            <w:shd w:val="clear" w:color="auto" w:fill="auto"/>
            <w:noWrap/>
            <w:vAlign w:val="center"/>
            <w:hideMark/>
          </w:tcPr>
          <w:p w14:paraId="3FC3CF3B" w14:textId="77777777" w:rsidR="00DF251A" w:rsidRPr="00521670" w:rsidRDefault="00DF251A" w:rsidP="008C3F0C">
            <w:pPr>
              <w:pStyle w:val="Tabletext"/>
              <w:jc w:val="right"/>
              <w:rPr>
                <w:lang w:val="ru-RU" w:eastAsia="en-GB"/>
              </w:rPr>
            </w:pPr>
            <w:r w:rsidRPr="00521670">
              <w:rPr>
                <w:lang w:val="ru-RU" w:eastAsia="en-GB"/>
              </w:rPr>
              <w:t>3 672</w:t>
            </w:r>
          </w:p>
        </w:tc>
        <w:tc>
          <w:tcPr>
            <w:tcW w:w="714" w:type="pct"/>
            <w:tcBorders>
              <w:top w:val="nil"/>
              <w:left w:val="nil"/>
              <w:bottom w:val="nil"/>
              <w:right w:val="nil"/>
            </w:tcBorders>
            <w:shd w:val="clear" w:color="auto" w:fill="auto"/>
            <w:noWrap/>
            <w:vAlign w:val="center"/>
            <w:hideMark/>
          </w:tcPr>
          <w:p w14:paraId="55F1EA57" w14:textId="77777777" w:rsidR="00DF251A" w:rsidRPr="00521670" w:rsidRDefault="00DF251A" w:rsidP="008C3F0C">
            <w:pPr>
              <w:pStyle w:val="Tabletext"/>
              <w:jc w:val="right"/>
              <w:rPr>
                <w:lang w:val="ru-RU" w:eastAsia="en-GB"/>
              </w:rPr>
            </w:pPr>
            <w:r w:rsidRPr="00521670">
              <w:rPr>
                <w:lang w:val="ru-RU" w:eastAsia="en-GB"/>
              </w:rPr>
              <w:t>279</w:t>
            </w:r>
          </w:p>
        </w:tc>
        <w:tc>
          <w:tcPr>
            <w:tcW w:w="713" w:type="pct"/>
            <w:tcBorders>
              <w:top w:val="nil"/>
              <w:left w:val="nil"/>
              <w:bottom w:val="nil"/>
              <w:right w:val="nil"/>
            </w:tcBorders>
            <w:shd w:val="clear" w:color="auto" w:fill="auto"/>
            <w:vAlign w:val="center"/>
            <w:hideMark/>
          </w:tcPr>
          <w:p w14:paraId="3CB7F8A0" w14:textId="77777777" w:rsidR="00DF251A" w:rsidRPr="00521670" w:rsidRDefault="00DF251A" w:rsidP="008C3F0C">
            <w:pPr>
              <w:pStyle w:val="Tabletext"/>
              <w:jc w:val="right"/>
              <w:rPr>
                <w:lang w:val="ru-RU" w:eastAsia="en-GB"/>
              </w:rPr>
            </w:pPr>
            <w:r w:rsidRPr="00521670">
              <w:rPr>
                <w:lang w:val="ru-RU" w:eastAsia="en-GB"/>
              </w:rPr>
              <w:t>(2 306)</w:t>
            </w:r>
          </w:p>
        </w:tc>
        <w:tc>
          <w:tcPr>
            <w:tcW w:w="714" w:type="pct"/>
            <w:tcBorders>
              <w:top w:val="nil"/>
              <w:left w:val="nil"/>
              <w:bottom w:val="nil"/>
              <w:right w:val="nil"/>
            </w:tcBorders>
            <w:shd w:val="clear" w:color="auto" w:fill="auto"/>
            <w:noWrap/>
            <w:vAlign w:val="center"/>
            <w:hideMark/>
          </w:tcPr>
          <w:p w14:paraId="78C9F6FA" w14:textId="77777777" w:rsidR="00DF251A" w:rsidRPr="00521670" w:rsidRDefault="00DF251A" w:rsidP="008C3F0C">
            <w:pPr>
              <w:pStyle w:val="Tabletext"/>
              <w:jc w:val="right"/>
              <w:rPr>
                <w:lang w:val="ru-RU" w:eastAsia="en-GB"/>
              </w:rPr>
            </w:pPr>
            <w:r w:rsidRPr="00521670">
              <w:rPr>
                <w:lang w:val="ru-RU" w:eastAsia="en-GB"/>
              </w:rPr>
              <w:t>5 699</w:t>
            </w:r>
          </w:p>
        </w:tc>
      </w:tr>
      <w:tr w:rsidR="00DF251A" w:rsidRPr="00521670" w14:paraId="092577D8" w14:textId="77777777" w:rsidTr="009977AB">
        <w:trPr>
          <w:trHeight w:val="282"/>
        </w:trPr>
        <w:tc>
          <w:tcPr>
            <w:tcW w:w="2145" w:type="pct"/>
            <w:tcBorders>
              <w:top w:val="nil"/>
              <w:left w:val="nil"/>
              <w:bottom w:val="nil"/>
              <w:right w:val="nil"/>
            </w:tcBorders>
            <w:shd w:val="clear" w:color="auto" w:fill="auto"/>
            <w:hideMark/>
          </w:tcPr>
          <w:p w14:paraId="724BFACF" w14:textId="77777777" w:rsidR="00DF251A" w:rsidRPr="00521670" w:rsidRDefault="00DF251A" w:rsidP="00992198">
            <w:pPr>
              <w:pStyle w:val="Tabletext"/>
              <w:ind w:left="312" w:hanging="284"/>
              <w:rPr>
                <w:szCs w:val="16"/>
                <w:lang w:val="ru-RU" w:eastAsia="en-GB"/>
              </w:rPr>
            </w:pPr>
            <w:r w:rsidRPr="00521670">
              <w:rPr>
                <w:rFonts w:cs="Calibri"/>
                <w:szCs w:val="16"/>
                <w:lang w:val="ru-RU"/>
              </w:rPr>
              <w:t>−</w:t>
            </w:r>
            <w:r w:rsidRPr="00521670">
              <w:rPr>
                <w:szCs w:val="16"/>
                <w:lang w:val="ru-RU"/>
              </w:rPr>
              <w:tab/>
              <w:t>Прочие внебюджетные нецелевые резервы</w:t>
            </w:r>
          </w:p>
        </w:tc>
        <w:tc>
          <w:tcPr>
            <w:tcW w:w="713" w:type="pct"/>
            <w:tcBorders>
              <w:top w:val="nil"/>
              <w:left w:val="nil"/>
              <w:bottom w:val="nil"/>
              <w:right w:val="nil"/>
            </w:tcBorders>
            <w:shd w:val="clear" w:color="auto" w:fill="auto"/>
            <w:noWrap/>
            <w:vAlign w:val="center"/>
            <w:hideMark/>
          </w:tcPr>
          <w:p w14:paraId="67E1BD2D" w14:textId="77777777" w:rsidR="00DF251A" w:rsidRPr="00521670" w:rsidRDefault="00DF251A" w:rsidP="008C3F0C">
            <w:pPr>
              <w:pStyle w:val="Tabletext"/>
              <w:jc w:val="right"/>
              <w:rPr>
                <w:lang w:val="ru-RU" w:eastAsia="en-GB"/>
              </w:rPr>
            </w:pPr>
            <w:r w:rsidRPr="00521670">
              <w:rPr>
                <w:lang w:val="ru-RU" w:eastAsia="en-GB"/>
              </w:rPr>
              <w:t>116</w:t>
            </w:r>
          </w:p>
        </w:tc>
        <w:tc>
          <w:tcPr>
            <w:tcW w:w="714" w:type="pct"/>
            <w:tcBorders>
              <w:top w:val="nil"/>
              <w:left w:val="nil"/>
              <w:bottom w:val="nil"/>
              <w:right w:val="nil"/>
            </w:tcBorders>
            <w:shd w:val="clear" w:color="auto" w:fill="auto"/>
            <w:noWrap/>
            <w:vAlign w:val="center"/>
            <w:hideMark/>
          </w:tcPr>
          <w:p w14:paraId="5A23496D" w14:textId="77777777" w:rsidR="00DF251A" w:rsidRPr="00521670" w:rsidRDefault="00DF251A" w:rsidP="008C3F0C">
            <w:pPr>
              <w:pStyle w:val="Tabletext"/>
              <w:jc w:val="right"/>
              <w:rPr>
                <w:lang w:val="ru-RU" w:eastAsia="en-GB"/>
              </w:rPr>
            </w:pPr>
            <w:r w:rsidRPr="00521670">
              <w:rPr>
                <w:lang w:val="ru-RU" w:eastAsia="en-GB"/>
              </w:rPr>
              <w:t>−</w:t>
            </w:r>
          </w:p>
        </w:tc>
        <w:tc>
          <w:tcPr>
            <w:tcW w:w="713" w:type="pct"/>
            <w:tcBorders>
              <w:top w:val="nil"/>
              <w:left w:val="nil"/>
              <w:bottom w:val="nil"/>
              <w:right w:val="nil"/>
            </w:tcBorders>
            <w:shd w:val="clear" w:color="auto" w:fill="auto"/>
            <w:noWrap/>
            <w:vAlign w:val="center"/>
            <w:hideMark/>
          </w:tcPr>
          <w:p w14:paraId="16C4D1E3" w14:textId="77777777" w:rsidR="00DF251A" w:rsidRPr="00521670" w:rsidRDefault="00DF251A" w:rsidP="008C3F0C">
            <w:pPr>
              <w:pStyle w:val="Tabletext"/>
              <w:jc w:val="right"/>
              <w:rPr>
                <w:lang w:val="ru-RU" w:eastAsia="en-GB"/>
              </w:rPr>
            </w:pPr>
            <w:r w:rsidRPr="00521670">
              <w:rPr>
                <w:lang w:val="ru-RU" w:eastAsia="en-GB"/>
              </w:rPr>
              <w:t>(515)</w:t>
            </w:r>
          </w:p>
        </w:tc>
        <w:tc>
          <w:tcPr>
            <w:tcW w:w="714" w:type="pct"/>
            <w:tcBorders>
              <w:top w:val="nil"/>
              <w:left w:val="nil"/>
              <w:bottom w:val="nil"/>
              <w:right w:val="nil"/>
            </w:tcBorders>
            <w:shd w:val="clear" w:color="auto" w:fill="auto"/>
            <w:noWrap/>
            <w:vAlign w:val="center"/>
            <w:hideMark/>
          </w:tcPr>
          <w:p w14:paraId="17B4AB89" w14:textId="77777777" w:rsidR="00DF251A" w:rsidRPr="00521670" w:rsidRDefault="00DF251A" w:rsidP="008C3F0C">
            <w:pPr>
              <w:pStyle w:val="Tabletext"/>
              <w:jc w:val="right"/>
              <w:rPr>
                <w:lang w:val="ru-RU" w:eastAsia="en-GB"/>
              </w:rPr>
            </w:pPr>
            <w:r w:rsidRPr="00521670">
              <w:rPr>
                <w:lang w:val="ru-RU" w:eastAsia="en-GB"/>
              </w:rPr>
              <w:t>631</w:t>
            </w:r>
          </w:p>
        </w:tc>
      </w:tr>
      <w:tr w:rsidR="00DF251A" w:rsidRPr="00521670" w14:paraId="698B8568" w14:textId="77777777" w:rsidTr="009977AB">
        <w:trPr>
          <w:trHeight w:val="120"/>
        </w:trPr>
        <w:tc>
          <w:tcPr>
            <w:tcW w:w="2145" w:type="pct"/>
            <w:tcBorders>
              <w:top w:val="nil"/>
              <w:left w:val="nil"/>
              <w:bottom w:val="nil"/>
              <w:right w:val="nil"/>
            </w:tcBorders>
            <w:shd w:val="clear" w:color="auto" w:fill="auto"/>
            <w:vAlign w:val="center"/>
            <w:hideMark/>
          </w:tcPr>
          <w:p w14:paraId="7D736179" w14:textId="77777777" w:rsidR="00DF251A" w:rsidRPr="00521670" w:rsidRDefault="00DF251A" w:rsidP="008C3F0C">
            <w:pPr>
              <w:pStyle w:val="Tabletext"/>
              <w:rPr>
                <w:lang w:val="ru-RU" w:eastAsia="en-GB"/>
              </w:rPr>
            </w:pPr>
          </w:p>
        </w:tc>
        <w:tc>
          <w:tcPr>
            <w:tcW w:w="713" w:type="pct"/>
            <w:tcBorders>
              <w:top w:val="nil"/>
              <w:left w:val="nil"/>
              <w:bottom w:val="nil"/>
              <w:right w:val="nil"/>
            </w:tcBorders>
            <w:shd w:val="clear" w:color="auto" w:fill="auto"/>
            <w:noWrap/>
            <w:vAlign w:val="center"/>
            <w:hideMark/>
          </w:tcPr>
          <w:p w14:paraId="4E6F4E26" w14:textId="77777777" w:rsidR="00DF251A" w:rsidRPr="00521670" w:rsidRDefault="00DF251A" w:rsidP="008C3F0C">
            <w:pPr>
              <w:pStyle w:val="Tabletext"/>
              <w:jc w:val="right"/>
              <w:rPr>
                <w:lang w:val="ru-RU" w:eastAsia="en-GB"/>
              </w:rPr>
            </w:pPr>
          </w:p>
        </w:tc>
        <w:tc>
          <w:tcPr>
            <w:tcW w:w="714" w:type="pct"/>
            <w:tcBorders>
              <w:top w:val="nil"/>
              <w:left w:val="nil"/>
              <w:bottom w:val="nil"/>
              <w:right w:val="nil"/>
            </w:tcBorders>
            <w:shd w:val="clear" w:color="auto" w:fill="auto"/>
            <w:noWrap/>
            <w:vAlign w:val="center"/>
            <w:hideMark/>
          </w:tcPr>
          <w:p w14:paraId="1F15F6ED" w14:textId="77777777" w:rsidR="00DF251A" w:rsidRPr="00521670" w:rsidRDefault="00DF251A" w:rsidP="008C3F0C">
            <w:pPr>
              <w:pStyle w:val="Tabletext"/>
              <w:jc w:val="right"/>
              <w:rPr>
                <w:lang w:val="ru-RU" w:eastAsia="en-GB"/>
              </w:rPr>
            </w:pPr>
          </w:p>
        </w:tc>
        <w:tc>
          <w:tcPr>
            <w:tcW w:w="713" w:type="pct"/>
            <w:tcBorders>
              <w:top w:val="nil"/>
              <w:left w:val="nil"/>
              <w:bottom w:val="nil"/>
              <w:right w:val="nil"/>
            </w:tcBorders>
            <w:shd w:val="clear" w:color="auto" w:fill="auto"/>
            <w:noWrap/>
            <w:vAlign w:val="center"/>
            <w:hideMark/>
          </w:tcPr>
          <w:p w14:paraId="28AEA3E3" w14:textId="77777777" w:rsidR="00DF251A" w:rsidRPr="00521670" w:rsidRDefault="00DF251A" w:rsidP="008C3F0C">
            <w:pPr>
              <w:pStyle w:val="Tabletext"/>
              <w:jc w:val="right"/>
              <w:rPr>
                <w:lang w:val="ru-RU" w:eastAsia="en-GB"/>
              </w:rPr>
            </w:pPr>
          </w:p>
        </w:tc>
        <w:tc>
          <w:tcPr>
            <w:tcW w:w="714" w:type="pct"/>
            <w:tcBorders>
              <w:top w:val="nil"/>
              <w:left w:val="nil"/>
              <w:bottom w:val="nil"/>
              <w:right w:val="nil"/>
            </w:tcBorders>
            <w:shd w:val="clear" w:color="auto" w:fill="auto"/>
            <w:noWrap/>
            <w:vAlign w:val="center"/>
            <w:hideMark/>
          </w:tcPr>
          <w:p w14:paraId="4ED2015F" w14:textId="77777777" w:rsidR="00DF251A" w:rsidRPr="00521670" w:rsidRDefault="00DF251A" w:rsidP="008C3F0C">
            <w:pPr>
              <w:pStyle w:val="Tabletext"/>
              <w:jc w:val="right"/>
              <w:rPr>
                <w:lang w:val="ru-RU" w:eastAsia="en-GB"/>
              </w:rPr>
            </w:pPr>
          </w:p>
        </w:tc>
      </w:tr>
      <w:tr w:rsidR="00DF251A" w:rsidRPr="00521670" w14:paraId="4C755142" w14:textId="77777777" w:rsidTr="009977AB">
        <w:trPr>
          <w:trHeight w:val="615"/>
        </w:trPr>
        <w:tc>
          <w:tcPr>
            <w:tcW w:w="2145" w:type="pct"/>
            <w:tcBorders>
              <w:top w:val="nil"/>
              <w:left w:val="nil"/>
              <w:bottom w:val="nil"/>
              <w:right w:val="nil"/>
            </w:tcBorders>
            <w:shd w:val="clear" w:color="000000" w:fill="0070C0"/>
            <w:vAlign w:val="center"/>
            <w:hideMark/>
          </w:tcPr>
          <w:p w14:paraId="2889D634" w14:textId="77777777" w:rsidR="00DF251A" w:rsidRPr="00521670" w:rsidRDefault="00DF251A" w:rsidP="008C3F0C">
            <w:pPr>
              <w:pStyle w:val="Tabletext"/>
              <w:rPr>
                <w:b/>
                <w:bCs/>
                <w:szCs w:val="18"/>
                <w:lang w:val="ru-RU" w:eastAsia="en-GB"/>
              </w:rPr>
            </w:pPr>
            <w:r w:rsidRPr="00521670">
              <w:rPr>
                <w:b/>
                <w:bCs/>
                <w:szCs w:val="18"/>
                <w:lang w:val="ru-RU" w:eastAsia="en-GB"/>
              </w:rPr>
              <w:t>Всего: чистые активы</w:t>
            </w:r>
            <w:r w:rsidRPr="00521670">
              <w:rPr>
                <w:b/>
                <w:bCs/>
                <w:szCs w:val="18"/>
                <w:lang w:val="ru-RU"/>
              </w:rPr>
              <w:t xml:space="preserve"> </w:t>
            </w:r>
            <w:r w:rsidRPr="00521670">
              <w:rPr>
                <w:rFonts w:cs="Calibri"/>
                <w:b/>
                <w:bCs/>
                <w:szCs w:val="18"/>
                <w:lang w:val="ru-RU"/>
              </w:rPr>
              <w:t>−</w:t>
            </w:r>
            <w:r w:rsidRPr="00521670">
              <w:rPr>
                <w:b/>
                <w:bCs/>
                <w:szCs w:val="18"/>
                <w:lang w:val="ru-RU"/>
              </w:rPr>
              <w:t xml:space="preserve"> внебюджетные резервы</w:t>
            </w:r>
          </w:p>
        </w:tc>
        <w:tc>
          <w:tcPr>
            <w:tcW w:w="713" w:type="pct"/>
            <w:tcBorders>
              <w:top w:val="nil"/>
              <w:left w:val="nil"/>
              <w:bottom w:val="nil"/>
              <w:right w:val="nil"/>
            </w:tcBorders>
            <w:shd w:val="clear" w:color="000000" w:fill="0070C0"/>
            <w:noWrap/>
            <w:vAlign w:val="center"/>
            <w:hideMark/>
          </w:tcPr>
          <w:p w14:paraId="4AEB4030" w14:textId="77777777" w:rsidR="00DF251A" w:rsidRPr="00521670" w:rsidRDefault="00DF251A" w:rsidP="008C3F0C">
            <w:pPr>
              <w:pStyle w:val="Tabletext"/>
              <w:jc w:val="right"/>
              <w:rPr>
                <w:b/>
                <w:bCs/>
                <w:szCs w:val="18"/>
                <w:lang w:val="ru-RU" w:eastAsia="en-GB"/>
              </w:rPr>
            </w:pPr>
            <w:r w:rsidRPr="00521670">
              <w:rPr>
                <w:b/>
                <w:bCs/>
                <w:szCs w:val="18"/>
                <w:lang w:val="ru-RU" w:eastAsia="en-GB"/>
              </w:rPr>
              <w:t>14 363</w:t>
            </w:r>
          </w:p>
        </w:tc>
        <w:tc>
          <w:tcPr>
            <w:tcW w:w="714" w:type="pct"/>
            <w:tcBorders>
              <w:top w:val="nil"/>
              <w:left w:val="nil"/>
              <w:bottom w:val="nil"/>
              <w:right w:val="nil"/>
            </w:tcBorders>
            <w:shd w:val="clear" w:color="000000" w:fill="0070C0"/>
            <w:noWrap/>
            <w:vAlign w:val="center"/>
            <w:hideMark/>
          </w:tcPr>
          <w:p w14:paraId="3E0A4D3A" w14:textId="77777777" w:rsidR="00DF251A" w:rsidRPr="00521670" w:rsidRDefault="00DF251A" w:rsidP="008C3F0C">
            <w:pPr>
              <w:pStyle w:val="Tabletext"/>
              <w:jc w:val="right"/>
              <w:rPr>
                <w:b/>
                <w:bCs/>
                <w:szCs w:val="18"/>
                <w:lang w:val="ru-RU" w:eastAsia="en-GB"/>
              </w:rPr>
            </w:pPr>
            <w:r w:rsidRPr="00521670">
              <w:rPr>
                <w:b/>
                <w:bCs/>
                <w:szCs w:val="18"/>
                <w:lang w:val="ru-RU" w:eastAsia="en-GB"/>
              </w:rPr>
              <w:t>1 010</w:t>
            </w:r>
          </w:p>
        </w:tc>
        <w:tc>
          <w:tcPr>
            <w:tcW w:w="713" w:type="pct"/>
            <w:tcBorders>
              <w:top w:val="nil"/>
              <w:left w:val="nil"/>
              <w:bottom w:val="nil"/>
              <w:right w:val="nil"/>
            </w:tcBorders>
            <w:shd w:val="clear" w:color="000000" w:fill="0070C0"/>
            <w:noWrap/>
            <w:vAlign w:val="center"/>
            <w:hideMark/>
          </w:tcPr>
          <w:p w14:paraId="2C41711B" w14:textId="236B3C08" w:rsidR="00DF251A" w:rsidRPr="00521670" w:rsidRDefault="009977AB" w:rsidP="008C3F0C">
            <w:pPr>
              <w:pStyle w:val="Tabletext"/>
              <w:jc w:val="right"/>
              <w:rPr>
                <w:b/>
                <w:bCs/>
                <w:szCs w:val="18"/>
                <w:lang w:val="ru-RU" w:eastAsia="en-GB"/>
              </w:rPr>
            </w:pPr>
            <w:r w:rsidRPr="00521670">
              <w:rPr>
                <w:b/>
                <w:bCs/>
                <w:szCs w:val="18"/>
                <w:lang w:val="ru-RU" w:eastAsia="en-GB"/>
              </w:rPr>
              <w:sym w:font="Symbol" w:char="F02D"/>
            </w:r>
          </w:p>
        </w:tc>
        <w:tc>
          <w:tcPr>
            <w:tcW w:w="714" w:type="pct"/>
            <w:tcBorders>
              <w:top w:val="nil"/>
              <w:left w:val="nil"/>
              <w:bottom w:val="nil"/>
              <w:right w:val="nil"/>
            </w:tcBorders>
            <w:shd w:val="clear" w:color="000000" w:fill="0070C0"/>
            <w:noWrap/>
            <w:vAlign w:val="center"/>
            <w:hideMark/>
          </w:tcPr>
          <w:p w14:paraId="659CD3C6" w14:textId="77777777" w:rsidR="00DF251A" w:rsidRPr="00521670" w:rsidRDefault="00DF251A" w:rsidP="008C3F0C">
            <w:pPr>
              <w:pStyle w:val="Tabletext"/>
              <w:jc w:val="right"/>
              <w:rPr>
                <w:b/>
                <w:bCs/>
                <w:szCs w:val="18"/>
                <w:lang w:val="ru-RU" w:eastAsia="en-GB"/>
              </w:rPr>
            </w:pPr>
            <w:r w:rsidRPr="00521670">
              <w:rPr>
                <w:b/>
                <w:bCs/>
                <w:szCs w:val="18"/>
                <w:lang w:val="ru-RU" w:eastAsia="en-GB"/>
              </w:rPr>
              <w:t>13 353</w:t>
            </w:r>
          </w:p>
        </w:tc>
      </w:tr>
    </w:tbl>
    <w:p w14:paraId="4BBB3442" w14:textId="3C1FE6AB" w:rsidR="00DF251A" w:rsidRPr="00521670" w:rsidRDefault="00DF251A" w:rsidP="00E93266">
      <w:pPr>
        <w:pStyle w:val="Headingb"/>
        <w:rPr>
          <w:lang w:val="ru-RU"/>
        </w:rPr>
      </w:pPr>
      <w:r w:rsidRPr="00521670">
        <w:rPr>
          <w:lang w:val="ru-RU"/>
        </w:rPr>
        <w:t>Актуарные прибыли/(потери) по линии АСХИ, признанные в чистых активах</w:t>
      </w:r>
    </w:p>
    <w:p w14:paraId="67D0954D" w14:textId="77777777" w:rsidR="00DF251A" w:rsidRPr="00521670" w:rsidRDefault="00DF251A" w:rsidP="00E93266">
      <w:pPr>
        <w:rPr>
          <w:lang w:val="ru-RU"/>
        </w:rPr>
      </w:pPr>
      <w:r w:rsidRPr="00521670">
        <w:rPr>
          <w:lang w:val="ru-RU"/>
        </w:rPr>
        <w:t>Актуарные прибыли и потери по результатам периодической оценки обязательств по АСХИ признаются непосредственно в составе чистых активов в соответствии с требованиями IPSAS. Эти суммы отражают изменения в актуарных допущениях или разницу между ожидаемыми и фактическими результатами.</w:t>
      </w:r>
    </w:p>
    <w:p w14:paraId="47FC9632" w14:textId="77777777" w:rsidR="00DF251A" w:rsidRPr="00521670" w:rsidRDefault="00DF251A" w:rsidP="00E93266">
      <w:pPr>
        <w:pStyle w:val="Headingb"/>
        <w:rPr>
          <w:lang w:val="ru-RU"/>
        </w:rPr>
      </w:pPr>
      <w:r w:rsidRPr="00521670">
        <w:rPr>
          <w:lang w:val="ru-RU"/>
        </w:rPr>
        <w:t>Накопленное активное сальдо/(дефицит)</w:t>
      </w:r>
    </w:p>
    <w:p w14:paraId="401AD33B" w14:textId="77777777" w:rsidR="00DF251A" w:rsidRPr="00521670" w:rsidRDefault="00DF251A" w:rsidP="00E93266">
      <w:pPr>
        <w:rPr>
          <w:lang w:val="ru-RU"/>
        </w:rPr>
      </w:pPr>
      <w:r w:rsidRPr="00521670">
        <w:rPr>
          <w:lang w:val="ru-RU"/>
        </w:rPr>
        <w:t>Накопленное активное сальдо/(дефицит) представляет собой совокупные результаты деятельности МСЭ за определенный период времени, скорректированные на перевод средств на счета резервных фондов и с таких счетов. Изменения в размере накопленного активного сальдо/(дефицита) также показаны в Отчете об изменениях в чистых активах.</w:t>
      </w:r>
    </w:p>
    <w:p w14:paraId="60265AD2" w14:textId="77777777" w:rsidR="00DF251A" w:rsidRPr="00521670" w:rsidRDefault="00DF251A" w:rsidP="00B33206">
      <w:pPr>
        <w:pStyle w:val="Heading5"/>
        <w:tabs>
          <w:tab w:val="left" w:pos="1980"/>
        </w:tabs>
        <w:spacing w:before="360" w:after="120"/>
        <w:rPr>
          <w:b/>
          <w:bCs/>
          <w:color w:val="4F81BD" w:themeColor="accent1"/>
          <w:lang w:val="ru-RU"/>
        </w:rPr>
      </w:pPr>
      <w:bookmarkStart w:id="263" w:name="_Toc1255578816"/>
      <w:bookmarkStart w:id="264" w:name="_Toc164845551"/>
      <w:bookmarkStart w:id="265" w:name="_Toc168578465"/>
      <w:bookmarkStart w:id="266" w:name="_Toc180681810"/>
      <w:bookmarkStart w:id="267" w:name="_Toc200469529"/>
      <w:r w:rsidRPr="00521670">
        <w:rPr>
          <w:b/>
          <w:bCs/>
          <w:color w:val="4F81BD" w:themeColor="accent1"/>
          <w:lang w:val="ru-RU"/>
        </w:rPr>
        <w:t>Примечание 5</w:t>
      </w:r>
      <w:r w:rsidRPr="00521670">
        <w:rPr>
          <w:b/>
          <w:bCs/>
          <w:color w:val="4F81BD" w:themeColor="accent1"/>
          <w:lang w:val="ru-RU"/>
        </w:rPr>
        <w:tab/>
      </w:r>
      <w:bookmarkEnd w:id="263"/>
      <w:bookmarkEnd w:id="264"/>
      <w:r w:rsidRPr="00521670">
        <w:rPr>
          <w:b/>
          <w:bCs/>
          <w:color w:val="4F81BD" w:themeColor="accent1"/>
          <w:lang w:val="ru-RU"/>
        </w:rPr>
        <w:t>Финансовые риски</w:t>
      </w:r>
      <w:bookmarkEnd w:id="265"/>
      <w:bookmarkEnd w:id="266"/>
      <w:bookmarkEnd w:id="267"/>
    </w:p>
    <w:p w14:paraId="3A7702B5" w14:textId="77777777" w:rsidR="00DF251A" w:rsidRPr="00521670" w:rsidRDefault="00DF251A" w:rsidP="00E93266">
      <w:pPr>
        <w:rPr>
          <w:lang w:val="ru-RU"/>
        </w:rPr>
      </w:pPr>
      <w:r w:rsidRPr="00521670">
        <w:rPr>
          <w:lang w:val="ru-RU"/>
        </w:rPr>
        <w:t>В рамках своей деятельности МСЭ сталкивается с целым рядом финансовых рисков, в том числе кредитным риском, рыночным риском (валютным риском, связанным с курсом валют), риском, связанным с процентной ставкой, и риском ликвидности. В настоящем Примечании представлена информация о подверженности МСЭ каждому из перечисленных выше рисков и описаны принципы, используемые МСЭ для управления ими в целях сохранения своего капитала. Управление финансовыми рисками осуществляется в централизованном порядке, и за него отвечает Генеральный секретарь.</w:t>
      </w:r>
    </w:p>
    <w:p w14:paraId="02AF9A1F" w14:textId="77777777" w:rsidR="00DF251A" w:rsidRPr="00521670" w:rsidRDefault="00DF251A" w:rsidP="00E93266">
      <w:pPr>
        <w:rPr>
          <w:lang w:val="ru-RU"/>
        </w:rPr>
      </w:pPr>
      <w:r w:rsidRPr="00521670">
        <w:rPr>
          <w:lang w:val="ru-RU"/>
        </w:rPr>
        <w:t>В соответствии со стандартом 41 Международных стандартов финансовой отчетности для общественного сектора (IPSAS) денежные средства и их эквиваленты МСЭ отражаются в финансовой отчетности по амортизированной стоимости. Эта оценка отражает сумму имеющихся денежных средств и стоимость активов, которые могут быть легко конвертированы в известные суммы денежных средств, за вычетом любых применимых снижений стоимости или обесценения на отчетную дату.</w:t>
      </w:r>
    </w:p>
    <w:p w14:paraId="25B84BDD" w14:textId="77777777" w:rsidR="00DF251A" w:rsidRPr="00521670" w:rsidRDefault="00DF251A" w:rsidP="00E93266">
      <w:pPr>
        <w:rPr>
          <w:lang w:val="ru-RU"/>
        </w:rPr>
      </w:pPr>
      <w:r w:rsidRPr="00521670">
        <w:rPr>
          <w:lang w:val="ru-RU"/>
        </w:rPr>
        <w:t>Справедливая стоимость кредиторской задолженности поставщикам, прочих текущих обязательств и добровольных взносов приблизительно равна их учетной балансовой стоимости в связи с их краткосрочным характером.</w:t>
      </w:r>
    </w:p>
    <w:p w14:paraId="2A432465" w14:textId="77777777" w:rsidR="00DF251A" w:rsidRPr="00521670" w:rsidRDefault="00DF251A" w:rsidP="00E93266">
      <w:pPr>
        <w:rPr>
          <w:lang w:val="ru-RU"/>
        </w:rPr>
      </w:pPr>
      <w:r w:rsidRPr="00521670">
        <w:rPr>
          <w:lang w:val="ru-RU"/>
        </w:rPr>
        <w:lastRenderedPageBreak/>
        <w:t>Займы (ссуды) отражаются на счетах по справедливой стоимости, если они имеют график погашения, или по амортизационной стоимости, если график погашения отсутствует (см. Примечание 15).</w:t>
      </w:r>
    </w:p>
    <w:p w14:paraId="6CD80FA1" w14:textId="77777777" w:rsidR="00DF251A" w:rsidRPr="00521670" w:rsidRDefault="00DF251A" w:rsidP="00E93266">
      <w:pPr>
        <w:pStyle w:val="enumlev1"/>
        <w:rPr>
          <w:i/>
          <w:iCs/>
          <w:lang w:val="ru-RU"/>
        </w:rPr>
      </w:pPr>
      <w:r w:rsidRPr="00521670">
        <w:rPr>
          <w:i/>
          <w:iCs/>
          <w:lang w:val="ru-RU"/>
        </w:rPr>
        <w:t>a)</w:t>
      </w:r>
      <w:r w:rsidRPr="00521670">
        <w:rPr>
          <w:i/>
          <w:iCs/>
          <w:lang w:val="ru-RU"/>
        </w:rPr>
        <w:tab/>
        <w:t>Кредитный риск</w:t>
      </w:r>
    </w:p>
    <w:p w14:paraId="37DC84A1" w14:textId="77777777" w:rsidR="00DF251A" w:rsidRPr="00521670" w:rsidRDefault="00DF251A" w:rsidP="00E93266">
      <w:pPr>
        <w:pStyle w:val="enumlev1"/>
        <w:spacing w:after="120"/>
        <w:rPr>
          <w:lang w:val="ru-RU"/>
        </w:rPr>
      </w:pPr>
      <w:r w:rsidRPr="00521670">
        <w:rPr>
          <w:lang w:val="ru-RU"/>
        </w:rPr>
        <w:tab/>
        <w:t>Кредитный риск – это риск финансовых убытков для МСЭ, если клиенты или контрагенты по финансовым инструментам не выполняют свои предусмотренные договором обязательства. Этот риск связан, главным образом, с инвестициями, долговыми обязательствами и денежными средствами, а также эквивалентами денежных средств. Балансовая стоимость финансовых активов отражает максимальную подверженность кредитному риску. МСЭ снижает кредитные риски по денежным средствам и их эквивалентам, а также по инвестициям, распределяя их между несколькими банковскими учреждениями с высоким уровнем кредитоспособности, рейтинг которых должен быть не ниже А3.</w:t>
      </w:r>
    </w:p>
    <w:p w14:paraId="21D8F91F" w14:textId="77777777" w:rsidR="00DF251A" w:rsidRPr="00521670" w:rsidRDefault="00DF251A" w:rsidP="00AA0B61">
      <w:pPr>
        <w:spacing w:after="120"/>
        <w:rPr>
          <w:lang w:val="ru-RU"/>
        </w:rPr>
      </w:pPr>
      <w:r w:rsidRPr="00521670">
        <w:rPr>
          <w:lang w:val="ru-RU"/>
        </w:rPr>
        <w:t>Максимальная подверженность кредитному риску по состоянию на 31 декабря составляла:</w:t>
      </w:r>
    </w:p>
    <w:tbl>
      <w:tblPr>
        <w:tblW w:w="5000" w:type="pct"/>
        <w:jc w:val="center"/>
        <w:tblLook w:val="04A0" w:firstRow="1" w:lastRow="0" w:firstColumn="1" w:lastColumn="0" w:noHBand="0" w:noVBand="1"/>
      </w:tblPr>
      <w:tblGrid>
        <w:gridCol w:w="5039"/>
        <w:gridCol w:w="2016"/>
        <w:gridCol w:w="2016"/>
      </w:tblGrid>
      <w:tr w:rsidR="00DF251A" w:rsidRPr="00521670" w14:paraId="194BD26A" w14:textId="77777777" w:rsidTr="00AF0B8D">
        <w:trPr>
          <w:trHeight w:val="510"/>
          <w:jc w:val="center"/>
        </w:trPr>
        <w:tc>
          <w:tcPr>
            <w:tcW w:w="2778" w:type="pct"/>
            <w:tcBorders>
              <w:top w:val="nil"/>
              <w:left w:val="nil"/>
              <w:bottom w:val="nil"/>
              <w:right w:val="nil"/>
            </w:tcBorders>
            <w:shd w:val="clear" w:color="000000" w:fill="0070C0"/>
            <w:vAlign w:val="center"/>
            <w:hideMark/>
          </w:tcPr>
          <w:p w14:paraId="1BD9CB91" w14:textId="77777777" w:rsidR="00DF251A" w:rsidRPr="00521670" w:rsidRDefault="00DF251A" w:rsidP="00AA0B61">
            <w:pPr>
              <w:pStyle w:val="Tablehead"/>
              <w:rPr>
                <w:bCs/>
                <w:szCs w:val="16"/>
                <w:lang w:val="ru-RU" w:eastAsia="en-GB"/>
              </w:rPr>
            </w:pPr>
            <w:r w:rsidRPr="00521670">
              <w:rPr>
                <w:szCs w:val="16"/>
                <w:lang w:val="ru-RU" w:eastAsia="en-GB"/>
              </w:rPr>
              <w:t>Описание (тыс. шв. фр.)</w:t>
            </w:r>
          </w:p>
        </w:tc>
        <w:tc>
          <w:tcPr>
            <w:tcW w:w="1111" w:type="pct"/>
            <w:tcBorders>
              <w:top w:val="nil"/>
              <w:left w:val="nil"/>
              <w:bottom w:val="nil"/>
              <w:right w:val="nil"/>
            </w:tcBorders>
            <w:shd w:val="clear" w:color="000000" w:fill="0070C0"/>
            <w:vAlign w:val="center"/>
            <w:hideMark/>
          </w:tcPr>
          <w:p w14:paraId="0D634116" w14:textId="77777777" w:rsidR="00DF251A" w:rsidRPr="00521670" w:rsidRDefault="00DF251A" w:rsidP="009977AB">
            <w:pPr>
              <w:pStyle w:val="Tablehead"/>
              <w:jc w:val="right"/>
              <w:rPr>
                <w:bCs/>
                <w:szCs w:val="18"/>
                <w:lang w:val="ru-RU" w:eastAsia="en-GB"/>
              </w:rPr>
            </w:pPr>
            <w:r w:rsidRPr="00521670">
              <w:rPr>
                <w:szCs w:val="18"/>
                <w:lang w:val="ru-RU"/>
              </w:rPr>
              <w:t>31 декабря 2024 г.</w:t>
            </w:r>
          </w:p>
        </w:tc>
        <w:tc>
          <w:tcPr>
            <w:tcW w:w="1111" w:type="pct"/>
            <w:tcBorders>
              <w:top w:val="nil"/>
              <w:left w:val="nil"/>
              <w:bottom w:val="nil"/>
              <w:right w:val="nil"/>
            </w:tcBorders>
            <w:shd w:val="clear" w:color="000000" w:fill="0070C0"/>
            <w:vAlign w:val="center"/>
            <w:hideMark/>
          </w:tcPr>
          <w:p w14:paraId="33C4A071" w14:textId="77777777" w:rsidR="00DF251A" w:rsidRPr="00521670" w:rsidRDefault="00DF251A" w:rsidP="009977AB">
            <w:pPr>
              <w:pStyle w:val="Tablehead"/>
              <w:jc w:val="right"/>
              <w:rPr>
                <w:bCs/>
                <w:szCs w:val="18"/>
                <w:lang w:val="ru-RU" w:eastAsia="en-GB"/>
              </w:rPr>
            </w:pPr>
            <w:r w:rsidRPr="00521670">
              <w:rPr>
                <w:szCs w:val="18"/>
                <w:lang w:val="ru-RU"/>
              </w:rPr>
              <w:t>31 декабря 2023 г.</w:t>
            </w:r>
          </w:p>
        </w:tc>
      </w:tr>
      <w:tr w:rsidR="00DF251A" w:rsidRPr="00521670" w14:paraId="7C04CA23" w14:textId="77777777" w:rsidTr="00AF0B8D">
        <w:trPr>
          <w:trHeight w:val="150"/>
          <w:jc w:val="center"/>
        </w:trPr>
        <w:tc>
          <w:tcPr>
            <w:tcW w:w="2778" w:type="pct"/>
            <w:tcBorders>
              <w:top w:val="nil"/>
              <w:left w:val="nil"/>
              <w:bottom w:val="nil"/>
              <w:right w:val="nil"/>
            </w:tcBorders>
            <w:shd w:val="clear" w:color="auto" w:fill="auto"/>
            <w:noWrap/>
            <w:vAlign w:val="bottom"/>
            <w:hideMark/>
          </w:tcPr>
          <w:p w14:paraId="0CD3EB4D" w14:textId="77777777" w:rsidR="00DF251A" w:rsidRPr="00521670" w:rsidRDefault="00DF251A" w:rsidP="00AA0B61">
            <w:pPr>
              <w:pStyle w:val="Tabletext"/>
              <w:rPr>
                <w:szCs w:val="16"/>
                <w:lang w:val="ru-RU" w:eastAsia="en-GB"/>
              </w:rPr>
            </w:pPr>
          </w:p>
        </w:tc>
        <w:tc>
          <w:tcPr>
            <w:tcW w:w="1111" w:type="pct"/>
            <w:tcBorders>
              <w:top w:val="nil"/>
              <w:left w:val="nil"/>
              <w:bottom w:val="nil"/>
              <w:right w:val="nil"/>
            </w:tcBorders>
            <w:shd w:val="clear" w:color="auto" w:fill="auto"/>
            <w:noWrap/>
            <w:vAlign w:val="bottom"/>
            <w:hideMark/>
          </w:tcPr>
          <w:p w14:paraId="38F6A4B1" w14:textId="77777777" w:rsidR="00DF251A" w:rsidRPr="00521670" w:rsidRDefault="00DF251A" w:rsidP="00AA0B61">
            <w:pPr>
              <w:pStyle w:val="Tabletext"/>
              <w:rPr>
                <w:lang w:val="ru-RU" w:eastAsia="en-GB"/>
              </w:rPr>
            </w:pPr>
          </w:p>
        </w:tc>
        <w:tc>
          <w:tcPr>
            <w:tcW w:w="1111" w:type="pct"/>
            <w:tcBorders>
              <w:top w:val="nil"/>
              <w:left w:val="nil"/>
              <w:bottom w:val="nil"/>
              <w:right w:val="nil"/>
            </w:tcBorders>
            <w:shd w:val="clear" w:color="auto" w:fill="auto"/>
            <w:noWrap/>
            <w:vAlign w:val="bottom"/>
            <w:hideMark/>
          </w:tcPr>
          <w:p w14:paraId="6918EB39" w14:textId="77777777" w:rsidR="00DF251A" w:rsidRPr="00521670" w:rsidRDefault="00DF251A" w:rsidP="00AA0B61">
            <w:pPr>
              <w:pStyle w:val="Tabletext"/>
              <w:rPr>
                <w:lang w:val="ru-RU" w:eastAsia="en-GB"/>
              </w:rPr>
            </w:pPr>
          </w:p>
        </w:tc>
      </w:tr>
      <w:tr w:rsidR="00DF251A" w:rsidRPr="00521670" w14:paraId="463C243F" w14:textId="77777777" w:rsidTr="00AF0B8D">
        <w:trPr>
          <w:trHeight w:val="300"/>
          <w:jc w:val="center"/>
        </w:trPr>
        <w:tc>
          <w:tcPr>
            <w:tcW w:w="2778" w:type="pct"/>
            <w:tcBorders>
              <w:top w:val="nil"/>
              <w:left w:val="nil"/>
              <w:bottom w:val="nil"/>
              <w:right w:val="nil"/>
            </w:tcBorders>
            <w:shd w:val="clear" w:color="auto" w:fill="auto"/>
            <w:noWrap/>
            <w:hideMark/>
          </w:tcPr>
          <w:p w14:paraId="5ECB9826" w14:textId="77777777" w:rsidR="00DF251A" w:rsidRPr="00521670" w:rsidRDefault="00DF251A" w:rsidP="00AA0B61">
            <w:pPr>
              <w:pStyle w:val="Tabletext"/>
              <w:rPr>
                <w:szCs w:val="16"/>
                <w:lang w:val="ru-RU" w:eastAsia="en-GB"/>
              </w:rPr>
            </w:pPr>
            <w:r w:rsidRPr="00521670">
              <w:rPr>
                <w:szCs w:val="16"/>
                <w:lang w:val="ru-RU"/>
              </w:rPr>
              <w:t>Денежные средства и эквиваленты денежных средств</w:t>
            </w:r>
          </w:p>
        </w:tc>
        <w:tc>
          <w:tcPr>
            <w:tcW w:w="1111" w:type="pct"/>
            <w:tcBorders>
              <w:top w:val="nil"/>
              <w:left w:val="nil"/>
              <w:bottom w:val="nil"/>
              <w:right w:val="nil"/>
            </w:tcBorders>
            <w:shd w:val="clear" w:color="auto" w:fill="auto"/>
            <w:noWrap/>
            <w:vAlign w:val="bottom"/>
            <w:hideMark/>
          </w:tcPr>
          <w:p w14:paraId="4398D853" w14:textId="77777777" w:rsidR="00DF251A" w:rsidRPr="00521670" w:rsidRDefault="00DF251A" w:rsidP="00AA0B61">
            <w:pPr>
              <w:pStyle w:val="Tabletext"/>
              <w:jc w:val="right"/>
              <w:rPr>
                <w:lang w:val="ru-RU" w:eastAsia="en-GB"/>
              </w:rPr>
            </w:pPr>
            <w:r w:rsidRPr="00521670">
              <w:rPr>
                <w:lang w:val="ru-RU" w:eastAsia="en-GB"/>
              </w:rPr>
              <w:t>210 030</w:t>
            </w:r>
          </w:p>
        </w:tc>
        <w:tc>
          <w:tcPr>
            <w:tcW w:w="1111" w:type="pct"/>
            <w:tcBorders>
              <w:top w:val="nil"/>
              <w:left w:val="nil"/>
              <w:bottom w:val="nil"/>
              <w:right w:val="nil"/>
            </w:tcBorders>
            <w:shd w:val="clear" w:color="auto" w:fill="auto"/>
            <w:noWrap/>
            <w:vAlign w:val="bottom"/>
            <w:hideMark/>
          </w:tcPr>
          <w:p w14:paraId="59AFBEEB" w14:textId="77777777" w:rsidR="00DF251A" w:rsidRPr="00521670" w:rsidRDefault="00DF251A" w:rsidP="00AA0B61">
            <w:pPr>
              <w:pStyle w:val="Tabletext"/>
              <w:jc w:val="right"/>
              <w:rPr>
                <w:lang w:val="ru-RU" w:eastAsia="en-GB"/>
              </w:rPr>
            </w:pPr>
            <w:r w:rsidRPr="00521670">
              <w:rPr>
                <w:lang w:val="ru-RU" w:eastAsia="en-GB"/>
              </w:rPr>
              <w:t>155 868</w:t>
            </w:r>
          </w:p>
        </w:tc>
      </w:tr>
      <w:tr w:rsidR="00DF251A" w:rsidRPr="00521670" w14:paraId="37CC5DFD" w14:textId="77777777" w:rsidTr="00AF0B8D">
        <w:trPr>
          <w:trHeight w:val="300"/>
          <w:jc w:val="center"/>
        </w:trPr>
        <w:tc>
          <w:tcPr>
            <w:tcW w:w="2778" w:type="pct"/>
            <w:tcBorders>
              <w:top w:val="nil"/>
              <w:left w:val="nil"/>
              <w:bottom w:val="nil"/>
              <w:right w:val="nil"/>
            </w:tcBorders>
            <w:shd w:val="clear" w:color="auto" w:fill="auto"/>
            <w:noWrap/>
            <w:hideMark/>
          </w:tcPr>
          <w:p w14:paraId="0C476DCA" w14:textId="77777777" w:rsidR="00DF251A" w:rsidRPr="00521670" w:rsidRDefault="00DF251A" w:rsidP="00AA0B61">
            <w:pPr>
              <w:pStyle w:val="Tabletext"/>
              <w:rPr>
                <w:szCs w:val="16"/>
                <w:lang w:val="ru-RU" w:eastAsia="en-GB"/>
              </w:rPr>
            </w:pPr>
            <w:r w:rsidRPr="00521670">
              <w:rPr>
                <w:szCs w:val="16"/>
                <w:lang w:val="ru-RU"/>
              </w:rPr>
              <w:t>Инвестиции</w:t>
            </w:r>
          </w:p>
        </w:tc>
        <w:tc>
          <w:tcPr>
            <w:tcW w:w="1111" w:type="pct"/>
            <w:tcBorders>
              <w:top w:val="nil"/>
              <w:left w:val="nil"/>
              <w:bottom w:val="nil"/>
              <w:right w:val="nil"/>
            </w:tcBorders>
            <w:shd w:val="clear" w:color="auto" w:fill="auto"/>
            <w:noWrap/>
            <w:vAlign w:val="bottom"/>
            <w:hideMark/>
          </w:tcPr>
          <w:p w14:paraId="2B4B9D40" w14:textId="77777777" w:rsidR="00DF251A" w:rsidRPr="00521670" w:rsidRDefault="00DF251A" w:rsidP="00AA0B61">
            <w:pPr>
              <w:pStyle w:val="Tabletext"/>
              <w:jc w:val="right"/>
              <w:rPr>
                <w:lang w:val="ru-RU" w:eastAsia="en-GB"/>
              </w:rPr>
            </w:pPr>
            <w:r w:rsidRPr="00521670">
              <w:rPr>
                <w:lang w:val="ru-RU" w:eastAsia="en-GB"/>
              </w:rPr>
              <w:t>−</w:t>
            </w:r>
          </w:p>
        </w:tc>
        <w:tc>
          <w:tcPr>
            <w:tcW w:w="1111" w:type="pct"/>
            <w:tcBorders>
              <w:top w:val="nil"/>
              <w:left w:val="nil"/>
              <w:bottom w:val="nil"/>
              <w:right w:val="nil"/>
            </w:tcBorders>
            <w:shd w:val="clear" w:color="auto" w:fill="auto"/>
            <w:noWrap/>
            <w:vAlign w:val="bottom"/>
            <w:hideMark/>
          </w:tcPr>
          <w:p w14:paraId="0EDC62F1" w14:textId="77777777" w:rsidR="00DF251A" w:rsidRPr="00521670" w:rsidRDefault="00DF251A" w:rsidP="00AA0B61">
            <w:pPr>
              <w:pStyle w:val="Tabletext"/>
              <w:jc w:val="right"/>
              <w:rPr>
                <w:lang w:val="ru-RU" w:eastAsia="en-GB"/>
              </w:rPr>
            </w:pPr>
            <w:r w:rsidRPr="00521670">
              <w:rPr>
                <w:lang w:val="ru-RU" w:eastAsia="en-GB"/>
              </w:rPr>
              <w:t>35 070</w:t>
            </w:r>
          </w:p>
        </w:tc>
      </w:tr>
      <w:tr w:rsidR="00DF251A" w:rsidRPr="00521670" w14:paraId="78551E34" w14:textId="77777777" w:rsidTr="00AF0B8D">
        <w:trPr>
          <w:trHeight w:val="300"/>
          <w:jc w:val="center"/>
        </w:trPr>
        <w:tc>
          <w:tcPr>
            <w:tcW w:w="2778" w:type="pct"/>
            <w:tcBorders>
              <w:top w:val="nil"/>
              <w:left w:val="nil"/>
              <w:bottom w:val="nil"/>
              <w:right w:val="nil"/>
            </w:tcBorders>
            <w:shd w:val="clear" w:color="auto" w:fill="auto"/>
            <w:noWrap/>
            <w:hideMark/>
          </w:tcPr>
          <w:p w14:paraId="363E93B8" w14:textId="77777777" w:rsidR="00DF251A" w:rsidRPr="00521670" w:rsidRDefault="00DF251A" w:rsidP="00AA0B61">
            <w:pPr>
              <w:pStyle w:val="Tabletext"/>
              <w:rPr>
                <w:szCs w:val="16"/>
                <w:lang w:val="ru-RU" w:eastAsia="en-GB"/>
              </w:rPr>
            </w:pPr>
            <w:r w:rsidRPr="00521670">
              <w:rPr>
                <w:szCs w:val="16"/>
                <w:lang w:val="ru-RU"/>
              </w:rPr>
              <w:t>Долговые обязательства</w:t>
            </w:r>
          </w:p>
        </w:tc>
        <w:tc>
          <w:tcPr>
            <w:tcW w:w="1111" w:type="pct"/>
            <w:tcBorders>
              <w:top w:val="nil"/>
              <w:left w:val="nil"/>
              <w:bottom w:val="nil"/>
              <w:right w:val="nil"/>
            </w:tcBorders>
            <w:shd w:val="clear" w:color="auto" w:fill="auto"/>
            <w:noWrap/>
            <w:vAlign w:val="bottom"/>
            <w:hideMark/>
          </w:tcPr>
          <w:p w14:paraId="19B5C766" w14:textId="77777777" w:rsidR="00DF251A" w:rsidRPr="00521670" w:rsidRDefault="00DF251A" w:rsidP="00AA0B61">
            <w:pPr>
              <w:pStyle w:val="Tabletext"/>
              <w:jc w:val="right"/>
              <w:rPr>
                <w:lang w:val="ru-RU" w:eastAsia="en-GB"/>
              </w:rPr>
            </w:pPr>
            <w:r w:rsidRPr="00521670">
              <w:rPr>
                <w:lang w:val="ru-RU" w:eastAsia="en-GB"/>
              </w:rPr>
              <w:t>36 532</w:t>
            </w:r>
          </w:p>
        </w:tc>
        <w:tc>
          <w:tcPr>
            <w:tcW w:w="1111" w:type="pct"/>
            <w:tcBorders>
              <w:top w:val="nil"/>
              <w:left w:val="nil"/>
              <w:bottom w:val="nil"/>
              <w:right w:val="nil"/>
            </w:tcBorders>
            <w:shd w:val="clear" w:color="auto" w:fill="auto"/>
            <w:noWrap/>
            <w:vAlign w:val="bottom"/>
            <w:hideMark/>
          </w:tcPr>
          <w:p w14:paraId="6DAF4774" w14:textId="77777777" w:rsidR="00DF251A" w:rsidRPr="00521670" w:rsidRDefault="00DF251A" w:rsidP="00AA0B61">
            <w:pPr>
              <w:pStyle w:val="Tabletext"/>
              <w:jc w:val="right"/>
              <w:rPr>
                <w:lang w:val="ru-RU" w:eastAsia="en-GB"/>
              </w:rPr>
            </w:pPr>
            <w:r w:rsidRPr="00521670">
              <w:rPr>
                <w:lang w:val="ru-RU" w:eastAsia="en-GB"/>
              </w:rPr>
              <w:t>22 357</w:t>
            </w:r>
          </w:p>
        </w:tc>
      </w:tr>
      <w:tr w:rsidR="00DF251A" w:rsidRPr="00521670" w14:paraId="70C864F7" w14:textId="77777777" w:rsidTr="00AF0B8D">
        <w:trPr>
          <w:trHeight w:val="300"/>
          <w:jc w:val="center"/>
        </w:trPr>
        <w:tc>
          <w:tcPr>
            <w:tcW w:w="2778" w:type="pct"/>
            <w:tcBorders>
              <w:top w:val="nil"/>
              <w:left w:val="nil"/>
              <w:bottom w:val="nil"/>
              <w:right w:val="nil"/>
            </w:tcBorders>
            <w:shd w:val="clear" w:color="auto" w:fill="auto"/>
            <w:noWrap/>
            <w:hideMark/>
          </w:tcPr>
          <w:p w14:paraId="7474B4D6" w14:textId="77777777" w:rsidR="00DF251A" w:rsidRPr="00521670" w:rsidRDefault="00DF251A" w:rsidP="00AA0B61">
            <w:pPr>
              <w:pStyle w:val="Tabletext"/>
              <w:rPr>
                <w:szCs w:val="16"/>
                <w:lang w:val="ru-RU" w:eastAsia="en-GB"/>
              </w:rPr>
            </w:pPr>
            <w:r w:rsidRPr="00521670">
              <w:rPr>
                <w:szCs w:val="16"/>
                <w:lang w:val="ru-RU"/>
              </w:rPr>
              <w:t>Прочие долговые обязательства</w:t>
            </w:r>
          </w:p>
        </w:tc>
        <w:tc>
          <w:tcPr>
            <w:tcW w:w="1111" w:type="pct"/>
            <w:tcBorders>
              <w:top w:val="nil"/>
              <w:left w:val="nil"/>
              <w:bottom w:val="nil"/>
              <w:right w:val="nil"/>
            </w:tcBorders>
            <w:shd w:val="clear" w:color="auto" w:fill="auto"/>
            <w:noWrap/>
            <w:vAlign w:val="bottom"/>
            <w:hideMark/>
          </w:tcPr>
          <w:p w14:paraId="3C4A7100" w14:textId="77777777" w:rsidR="00DF251A" w:rsidRPr="00521670" w:rsidRDefault="00DF251A" w:rsidP="00AA0B61">
            <w:pPr>
              <w:pStyle w:val="Tabletext"/>
              <w:jc w:val="right"/>
              <w:rPr>
                <w:lang w:val="ru-RU" w:eastAsia="en-GB"/>
              </w:rPr>
            </w:pPr>
            <w:r w:rsidRPr="00521670">
              <w:rPr>
                <w:lang w:val="ru-RU" w:eastAsia="en-GB"/>
              </w:rPr>
              <w:t>4 969</w:t>
            </w:r>
          </w:p>
        </w:tc>
        <w:tc>
          <w:tcPr>
            <w:tcW w:w="1111" w:type="pct"/>
            <w:tcBorders>
              <w:top w:val="nil"/>
              <w:left w:val="nil"/>
              <w:bottom w:val="nil"/>
              <w:right w:val="nil"/>
            </w:tcBorders>
            <w:shd w:val="clear" w:color="auto" w:fill="auto"/>
            <w:noWrap/>
            <w:vAlign w:val="bottom"/>
            <w:hideMark/>
          </w:tcPr>
          <w:p w14:paraId="0EDDDF33" w14:textId="77777777" w:rsidR="00DF251A" w:rsidRPr="00521670" w:rsidRDefault="00DF251A" w:rsidP="00AA0B61">
            <w:pPr>
              <w:pStyle w:val="Tabletext"/>
              <w:jc w:val="right"/>
              <w:rPr>
                <w:lang w:val="ru-RU" w:eastAsia="en-GB"/>
              </w:rPr>
            </w:pPr>
            <w:r w:rsidRPr="00521670">
              <w:rPr>
                <w:lang w:val="ru-RU" w:eastAsia="en-GB"/>
              </w:rPr>
              <w:t>4 384</w:t>
            </w:r>
          </w:p>
        </w:tc>
      </w:tr>
      <w:tr w:rsidR="00DF251A" w:rsidRPr="00521670" w14:paraId="28FA4F7C" w14:textId="77777777" w:rsidTr="00AF0B8D">
        <w:trPr>
          <w:trHeight w:val="120"/>
          <w:jc w:val="center"/>
        </w:trPr>
        <w:tc>
          <w:tcPr>
            <w:tcW w:w="2778" w:type="pct"/>
            <w:tcBorders>
              <w:top w:val="nil"/>
              <w:left w:val="nil"/>
              <w:bottom w:val="nil"/>
              <w:right w:val="nil"/>
            </w:tcBorders>
            <w:shd w:val="clear" w:color="auto" w:fill="auto"/>
            <w:noWrap/>
            <w:vAlign w:val="bottom"/>
            <w:hideMark/>
          </w:tcPr>
          <w:p w14:paraId="52D655D5" w14:textId="77777777" w:rsidR="00DF251A" w:rsidRPr="00521670" w:rsidRDefault="00DF251A" w:rsidP="00AA0B61">
            <w:pPr>
              <w:pStyle w:val="Tabletext"/>
              <w:rPr>
                <w:szCs w:val="16"/>
                <w:lang w:val="ru-RU" w:eastAsia="en-GB"/>
              </w:rPr>
            </w:pPr>
          </w:p>
        </w:tc>
        <w:tc>
          <w:tcPr>
            <w:tcW w:w="1111" w:type="pct"/>
            <w:tcBorders>
              <w:top w:val="nil"/>
              <w:left w:val="nil"/>
              <w:bottom w:val="nil"/>
              <w:right w:val="nil"/>
            </w:tcBorders>
            <w:shd w:val="clear" w:color="auto" w:fill="auto"/>
            <w:noWrap/>
            <w:vAlign w:val="bottom"/>
            <w:hideMark/>
          </w:tcPr>
          <w:p w14:paraId="03A7C132" w14:textId="77777777" w:rsidR="00DF251A" w:rsidRPr="00521670" w:rsidRDefault="00DF251A" w:rsidP="00AA0B61">
            <w:pPr>
              <w:pStyle w:val="Tabletext"/>
              <w:jc w:val="right"/>
              <w:rPr>
                <w:lang w:val="ru-RU" w:eastAsia="en-GB"/>
              </w:rPr>
            </w:pPr>
          </w:p>
        </w:tc>
        <w:tc>
          <w:tcPr>
            <w:tcW w:w="1111" w:type="pct"/>
            <w:tcBorders>
              <w:top w:val="nil"/>
              <w:left w:val="nil"/>
              <w:bottom w:val="nil"/>
              <w:right w:val="nil"/>
            </w:tcBorders>
            <w:shd w:val="clear" w:color="auto" w:fill="auto"/>
            <w:noWrap/>
            <w:vAlign w:val="bottom"/>
            <w:hideMark/>
          </w:tcPr>
          <w:p w14:paraId="55AB5575" w14:textId="77777777" w:rsidR="00DF251A" w:rsidRPr="00521670" w:rsidRDefault="00DF251A" w:rsidP="00AA0B61">
            <w:pPr>
              <w:pStyle w:val="Tabletext"/>
              <w:jc w:val="right"/>
              <w:rPr>
                <w:lang w:val="ru-RU" w:eastAsia="en-GB"/>
              </w:rPr>
            </w:pPr>
          </w:p>
        </w:tc>
      </w:tr>
      <w:tr w:rsidR="00DF251A" w:rsidRPr="00521670" w14:paraId="4E85FB51" w14:textId="77777777" w:rsidTr="00AF0B8D">
        <w:trPr>
          <w:trHeight w:val="202"/>
          <w:jc w:val="center"/>
        </w:trPr>
        <w:tc>
          <w:tcPr>
            <w:tcW w:w="2778" w:type="pct"/>
            <w:tcBorders>
              <w:top w:val="nil"/>
              <w:left w:val="nil"/>
              <w:bottom w:val="nil"/>
              <w:right w:val="nil"/>
            </w:tcBorders>
            <w:shd w:val="clear" w:color="000000" w:fill="0070C0"/>
            <w:vAlign w:val="center"/>
            <w:hideMark/>
          </w:tcPr>
          <w:p w14:paraId="25C803B1" w14:textId="77777777" w:rsidR="00DF251A" w:rsidRPr="00521670" w:rsidRDefault="00DF251A" w:rsidP="00AA0B61">
            <w:pPr>
              <w:pStyle w:val="Tabletext"/>
              <w:rPr>
                <w:b/>
                <w:bCs/>
                <w:szCs w:val="16"/>
                <w:lang w:val="ru-RU" w:eastAsia="en-GB"/>
              </w:rPr>
            </w:pPr>
            <w:r w:rsidRPr="00521670">
              <w:rPr>
                <w:b/>
                <w:bCs/>
                <w:szCs w:val="16"/>
                <w:lang w:val="ru-RU" w:eastAsia="en-GB"/>
              </w:rPr>
              <w:t>Максимальная подверженность кредитному риску</w:t>
            </w:r>
          </w:p>
        </w:tc>
        <w:tc>
          <w:tcPr>
            <w:tcW w:w="1111" w:type="pct"/>
            <w:tcBorders>
              <w:top w:val="nil"/>
              <w:left w:val="nil"/>
              <w:bottom w:val="nil"/>
              <w:right w:val="nil"/>
            </w:tcBorders>
            <w:shd w:val="clear" w:color="000000" w:fill="0070C0"/>
            <w:vAlign w:val="bottom"/>
            <w:hideMark/>
          </w:tcPr>
          <w:p w14:paraId="05426742" w14:textId="77777777" w:rsidR="00DF251A" w:rsidRPr="00521670" w:rsidRDefault="00DF251A" w:rsidP="00AA0B61">
            <w:pPr>
              <w:pStyle w:val="Tabletext"/>
              <w:jc w:val="right"/>
              <w:rPr>
                <w:b/>
                <w:bCs/>
                <w:lang w:val="ru-RU" w:eastAsia="en-GB"/>
              </w:rPr>
            </w:pPr>
            <w:r w:rsidRPr="00521670">
              <w:rPr>
                <w:b/>
                <w:bCs/>
                <w:lang w:val="ru-RU" w:eastAsia="en-GB"/>
              </w:rPr>
              <w:t>251 532</w:t>
            </w:r>
          </w:p>
        </w:tc>
        <w:tc>
          <w:tcPr>
            <w:tcW w:w="1111" w:type="pct"/>
            <w:tcBorders>
              <w:top w:val="nil"/>
              <w:left w:val="nil"/>
              <w:bottom w:val="nil"/>
              <w:right w:val="nil"/>
            </w:tcBorders>
            <w:shd w:val="clear" w:color="000000" w:fill="0070C0"/>
            <w:vAlign w:val="bottom"/>
            <w:hideMark/>
          </w:tcPr>
          <w:p w14:paraId="5F800D2A" w14:textId="77777777" w:rsidR="00DF251A" w:rsidRPr="00521670" w:rsidRDefault="00DF251A" w:rsidP="00AA0B61">
            <w:pPr>
              <w:pStyle w:val="Tabletext"/>
              <w:jc w:val="right"/>
              <w:rPr>
                <w:b/>
                <w:bCs/>
                <w:lang w:val="ru-RU" w:eastAsia="en-GB"/>
              </w:rPr>
            </w:pPr>
            <w:r w:rsidRPr="00521670">
              <w:rPr>
                <w:b/>
                <w:bCs/>
                <w:lang w:val="ru-RU" w:eastAsia="en-GB"/>
              </w:rPr>
              <w:t>217 679</w:t>
            </w:r>
          </w:p>
        </w:tc>
      </w:tr>
    </w:tbl>
    <w:p w14:paraId="05074452" w14:textId="77777777" w:rsidR="00DF251A" w:rsidRPr="00521670" w:rsidRDefault="00DF251A" w:rsidP="006F3D9A">
      <w:pPr>
        <w:pStyle w:val="enumlev1"/>
        <w:spacing w:before="240"/>
        <w:rPr>
          <w:i/>
          <w:iCs/>
          <w:lang w:val="ru-RU"/>
        </w:rPr>
      </w:pPr>
      <w:r w:rsidRPr="00521670">
        <w:rPr>
          <w:i/>
          <w:iCs/>
          <w:lang w:val="ru-RU"/>
        </w:rPr>
        <w:t>b)</w:t>
      </w:r>
      <w:r w:rsidRPr="00521670">
        <w:rPr>
          <w:i/>
          <w:iCs/>
          <w:lang w:val="ru-RU"/>
        </w:rPr>
        <w:tab/>
        <w:t>Качество кредитного портфеля</w:t>
      </w:r>
    </w:p>
    <w:p w14:paraId="02D4B4DE" w14:textId="77777777" w:rsidR="00DF251A" w:rsidRPr="00521670" w:rsidRDefault="00DF251A" w:rsidP="006F3D9A">
      <w:pPr>
        <w:pStyle w:val="enumlev1"/>
        <w:rPr>
          <w:lang w:val="ru-RU"/>
        </w:rPr>
      </w:pPr>
      <w:r w:rsidRPr="00521670">
        <w:rPr>
          <w:lang w:val="ru-RU"/>
        </w:rPr>
        <w:tab/>
        <w:t>Качество кредитного портфеля – это оцененный риск невыполнения обязательств контрагентами, которым МСЭ предоставляет кредит, а также сторонами, с которыми МСЭ осуществляет инвестиции. МСЭ провел анализ уровней дебиторской задолженности по начисленным взносам и другим источникам. Существует обеспокоенность по поводу старения задолженности Государств-Членов, Членов Секторов и Ассоциированных членов. В Резолюции 41 о задолженностях и специальных счетах задолженностей, утвержденной на Полномочной конференции (Дубай, 2018 г.), подчеркивается высокий уровень долговых обязательств, предусматривается создание механизмов для их погашения и содержится призыв в адрес всех, кто имеет задолженности, своевременно производить платежи, с тем чтобы обеспечить достаточное финансирование МСЭ. Такой уровень задолженности будет оказывать влияние на финансовую стабильность МСЭ, если эти суммы останутся непогашенными. В 2024 году по основным задолженностям было списано 0,2 млн. швейцарских франков, а также были списаны задолженности по процентам в размере 0,2 млн. швейцарских франков. Для обеспечения своевременного взыскания задолженностей МСЭ в будущем потребуется провести дополнительную работу.</w:t>
      </w:r>
    </w:p>
    <w:p w14:paraId="352B492B" w14:textId="77777777" w:rsidR="00DF251A" w:rsidRPr="00521670" w:rsidRDefault="00DF251A" w:rsidP="006F3D9A">
      <w:pPr>
        <w:pStyle w:val="enumlev1"/>
        <w:rPr>
          <w:lang w:val="ru-RU"/>
        </w:rPr>
      </w:pPr>
      <w:r w:rsidRPr="00521670">
        <w:rPr>
          <w:lang w:val="ru-RU"/>
        </w:rPr>
        <w:tab/>
        <w:t>Помимо этого, МСЭ направляет ежеквартальные выписки со счета задолженностей и приостанавливает участие Государств-Членов, Членов Секторов и Ассоциированных членов в работе МСЭ, с тем чтобы обеспечить уплату ими своих задолженностей. Кроме того, в отношении Государств-Членов в качестве дополнительной меры, призванной стимулировать своевременное совершение платежей и погашение имеющихся задолженностей, была введена такая мера, как лишение права голоса.</w:t>
      </w:r>
    </w:p>
    <w:p w14:paraId="58A2CA04" w14:textId="77777777" w:rsidR="00DF251A" w:rsidRPr="00521670" w:rsidRDefault="00DF251A" w:rsidP="006F3D9A">
      <w:pPr>
        <w:pStyle w:val="enumlev1"/>
        <w:keepNext/>
        <w:rPr>
          <w:i/>
          <w:iCs/>
          <w:lang w:val="ru-RU"/>
        </w:rPr>
      </w:pPr>
      <w:r w:rsidRPr="00521670">
        <w:rPr>
          <w:i/>
          <w:iCs/>
          <w:lang w:val="ru-RU"/>
        </w:rPr>
        <w:lastRenderedPageBreak/>
        <w:t>c)</w:t>
      </w:r>
      <w:r w:rsidRPr="00521670">
        <w:rPr>
          <w:i/>
          <w:iCs/>
          <w:lang w:val="ru-RU"/>
        </w:rPr>
        <w:tab/>
        <w:t>Риск, связанный с процентной ставкой</w:t>
      </w:r>
    </w:p>
    <w:p w14:paraId="782CF2A9" w14:textId="77777777" w:rsidR="00DF251A" w:rsidRPr="00521670" w:rsidRDefault="00DF251A" w:rsidP="006F3D9A">
      <w:pPr>
        <w:pStyle w:val="enumlev1"/>
        <w:keepNext/>
        <w:keepLines/>
        <w:spacing w:before="120" w:after="120"/>
        <w:rPr>
          <w:lang w:val="ru-RU"/>
        </w:rPr>
      </w:pPr>
      <w:r w:rsidRPr="00521670">
        <w:rPr>
          <w:lang w:val="ru-RU"/>
        </w:rPr>
        <w:tab/>
        <w:t>МСЭ подвержен рискам, связанным с процентной ставкой, через свои краткосрочные инвестиции в долларах США и евро. МСЭ получил 4,6 млн. швейцарских франков поступлений в виде процентов (4,6 млн. швейцарских франков в 2023 г.).</w:t>
      </w:r>
    </w:p>
    <w:p w14:paraId="6F663D38" w14:textId="77777777" w:rsidR="00DF251A" w:rsidRPr="00521670" w:rsidRDefault="00DF251A" w:rsidP="006F3D9A">
      <w:pPr>
        <w:pStyle w:val="enumlev1"/>
        <w:rPr>
          <w:i/>
          <w:iCs/>
          <w:lang w:val="ru-RU"/>
        </w:rPr>
      </w:pPr>
      <w:r w:rsidRPr="00521670">
        <w:rPr>
          <w:i/>
          <w:iCs/>
          <w:lang w:val="ru-RU"/>
        </w:rPr>
        <w:t>d)</w:t>
      </w:r>
      <w:r w:rsidRPr="00521670">
        <w:rPr>
          <w:i/>
          <w:iCs/>
          <w:lang w:val="ru-RU"/>
        </w:rPr>
        <w:tab/>
        <w:t>Риск ликвидности</w:t>
      </w:r>
    </w:p>
    <w:p w14:paraId="4047890D" w14:textId="0B068E04" w:rsidR="00DF251A" w:rsidRPr="00521670" w:rsidRDefault="00DF251A" w:rsidP="006F3D9A">
      <w:pPr>
        <w:pStyle w:val="enumlev1"/>
        <w:rPr>
          <w:lang w:val="ru-RU"/>
        </w:rPr>
      </w:pPr>
      <w:r w:rsidRPr="00521670">
        <w:rPr>
          <w:lang w:val="ru-RU"/>
        </w:rPr>
        <w:tab/>
        <w:t>Риск ликвидности – это риск неспособности МСЭ выполнить обязательства по мере наступления сроков их погашения. Подход МСЭ к управлению риском ликвидности заключается в том, чтобы обеспечить необходимые ликвидные средства для погашения своих платежных обязательств в установленный срок. МСЭ обеспечивает наличие у него необходимых денежных средств для покрытия ожидаемых операционных расходов благодаря составлению прогнозов движения денежных</w:t>
      </w:r>
      <w:r w:rsidR="00992198" w:rsidRPr="00521670">
        <w:rPr>
          <w:lang w:val="ru-RU"/>
        </w:rPr>
        <w:t> </w:t>
      </w:r>
      <w:r w:rsidRPr="00521670">
        <w:rPr>
          <w:lang w:val="ru-RU"/>
        </w:rPr>
        <w:t>средств.</w:t>
      </w:r>
    </w:p>
    <w:p w14:paraId="13618D5E" w14:textId="5945B643" w:rsidR="00DF251A" w:rsidRPr="00521670" w:rsidRDefault="00DF251A" w:rsidP="006F3D9A">
      <w:pPr>
        <w:pStyle w:val="enumlev1"/>
        <w:rPr>
          <w:lang w:val="ru-RU"/>
        </w:rPr>
      </w:pPr>
      <w:r w:rsidRPr="00521670">
        <w:rPr>
          <w:lang w:val="ru-RU"/>
        </w:rPr>
        <w:tab/>
        <w:t>Основной задачей управления капиталом МСЭ является обеспечение наличия достаточных денежных средств для удовлетворения его потребностей в финансовых средствах, включая капитальные расходы, для поддержания финансовой устойчивости</w:t>
      </w:r>
      <w:r w:rsidR="00992198" w:rsidRPr="00521670">
        <w:rPr>
          <w:lang w:val="ru-RU"/>
        </w:rPr>
        <w:t> </w:t>
      </w:r>
      <w:r w:rsidRPr="00521670">
        <w:rPr>
          <w:lang w:val="ru-RU"/>
        </w:rPr>
        <w:t>Союза.</w:t>
      </w:r>
    </w:p>
    <w:p w14:paraId="20791A3B" w14:textId="77777777" w:rsidR="00DF251A" w:rsidRPr="00521670" w:rsidRDefault="00DF251A" w:rsidP="006F3D9A">
      <w:pPr>
        <w:pStyle w:val="enumlev1"/>
        <w:rPr>
          <w:i/>
          <w:iCs/>
          <w:lang w:val="ru-RU"/>
        </w:rPr>
      </w:pPr>
      <w:r w:rsidRPr="00521670">
        <w:rPr>
          <w:i/>
          <w:iCs/>
          <w:lang w:val="ru-RU"/>
        </w:rPr>
        <w:t>e)</w:t>
      </w:r>
      <w:r w:rsidRPr="00521670">
        <w:rPr>
          <w:i/>
          <w:iCs/>
          <w:lang w:val="ru-RU"/>
        </w:rPr>
        <w:tab/>
        <w:t>Валютный риск</w:t>
      </w:r>
    </w:p>
    <w:p w14:paraId="60EFFD0F" w14:textId="31E34A0C" w:rsidR="00DF251A" w:rsidRPr="00521670" w:rsidRDefault="00DF251A" w:rsidP="006F3D9A">
      <w:pPr>
        <w:pStyle w:val="enumlev1"/>
        <w:rPr>
          <w:lang w:val="ru-RU"/>
        </w:rPr>
      </w:pPr>
      <w:r w:rsidRPr="00521670">
        <w:rPr>
          <w:lang w:val="ru-RU"/>
        </w:rPr>
        <w:tab/>
        <w:t>МСЭ получает взносы Государств-Членов и взносы в регулярный бюджет в швейцарских франках, а внебюджетные взносы – в швейцарских франках и других валютах, преимущественно в долларах США и евро. МСЭ не прибегает к срочным валютным контрактам, фьючерсам, свопам или валютным опционам для хеджирования полученных или неполученных курсовых прибылей и убытков. По</w:t>
      </w:r>
      <w:r w:rsidR="00992198" w:rsidRPr="00521670">
        <w:rPr>
          <w:lang w:val="ru-RU"/>
        </w:rPr>
        <w:t> </w:t>
      </w:r>
      <w:r w:rsidRPr="00521670">
        <w:rPr>
          <w:lang w:val="ru-RU"/>
        </w:rPr>
        <w:t>возможности применяется естественное хеджирование путем прямого ассигнования иностранных валют на соответствующие банковские счета, открытые в этих валютах.</w:t>
      </w:r>
    </w:p>
    <w:p w14:paraId="71CC080E" w14:textId="4BA76FE0" w:rsidR="00DF251A" w:rsidRPr="00521670" w:rsidRDefault="00DF251A" w:rsidP="006F3D9A">
      <w:pPr>
        <w:pStyle w:val="enumlev1"/>
        <w:rPr>
          <w:lang w:val="ru-RU"/>
        </w:rPr>
      </w:pPr>
      <w:r w:rsidRPr="00521670">
        <w:rPr>
          <w:lang w:val="ru-RU"/>
        </w:rPr>
        <w:tab/>
        <w:t>Следует отметить, что ежемесячные платежи в рамках программы медицинского страхования осуществляются в швейцарских франках, что существенно снижает риск, связанный с колебаниями обменного курса. Союз все еще подвержен риску курсовых прибылей и убытков, являющихся следствием уплаты взносов в ОПФП ООН и непогашенного внеочередного взноса, связанного с присоединением к ЮНСМИС, в долларах США. Но поскольку взносы сотрудников категории специалистов определяются в долларах США, а взносы сотрудников категории общего обслуживания</w:t>
      </w:r>
      <w:r w:rsidR="00992198" w:rsidRPr="00521670">
        <w:rPr>
          <w:lang w:val="ru-RU"/>
        </w:rPr>
        <w:t> </w:t>
      </w:r>
      <w:r w:rsidRPr="00521670">
        <w:rPr>
          <w:lang w:val="ru-RU"/>
        </w:rPr>
        <w:t>−</w:t>
      </w:r>
      <w:r w:rsidR="00992198" w:rsidRPr="00521670">
        <w:rPr>
          <w:lang w:val="ru-RU"/>
        </w:rPr>
        <w:t> </w:t>
      </w:r>
      <w:r w:rsidRPr="00521670">
        <w:rPr>
          <w:lang w:val="ru-RU"/>
        </w:rPr>
        <w:t>в швейцарских франках, а численность сотрудников этих двух категорий распределена одинаково, колебания обменного курса обычно уравновешиваются.</w:t>
      </w:r>
    </w:p>
    <w:p w14:paraId="3B5DF899" w14:textId="35EEF69D" w:rsidR="00DF251A" w:rsidRPr="00521670" w:rsidRDefault="00DF251A" w:rsidP="006F3D9A">
      <w:pPr>
        <w:pStyle w:val="enumlev1"/>
        <w:ind w:left="792" w:hanging="792"/>
        <w:rPr>
          <w:lang w:val="ru-RU"/>
        </w:rPr>
      </w:pPr>
      <w:r w:rsidRPr="00521670">
        <w:rPr>
          <w:lang w:val="ru-RU"/>
        </w:rPr>
        <w:tab/>
        <w:t>Управление внебюджетными взносами осуществляется в валюте полученного взноса, которая конвертируется в швейцарские франки для целей представления. В таблице ниже представлены основные суммы в иностранной валюте, хранящиеся в банках МСЭ в евро и долларах США в качестве денежных средств и их эквивалентов, а также</w:t>
      </w:r>
      <w:r w:rsidR="00992198" w:rsidRPr="00521670">
        <w:rPr>
          <w:lang w:val="ru-RU"/>
        </w:rPr>
        <w:t> </w:t>
      </w:r>
      <w:r w:rsidRPr="00521670">
        <w:rPr>
          <w:lang w:val="ru-RU"/>
        </w:rPr>
        <w:t>инвестиции.</w:t>
      </w:r>
    </w:p>
    <w:p w14:paraId="1F16D4A2" w14:textId="2B77C6F8" w:rsidR="00DF251A" w:rsidRPr="00521670" w:rsidRDefault="00DF251A" w:rsidP="006F3D9A">
      <w:pPr>
        <w:pStyle w:val="enumlev1"/>
        <w:spacing w:after="120"/>
        <w:ind w:left="792" w:hanging="792"/>
        <w:rPr>
          <w:lang w:val="ru-RU"/>
        </w:rPr>
      </w:pPr>
      <w:r w:rsidRPr="00521670">
        <w:rPr>
          <w:lang w:val="ru-RU"/>
        </w:rPr>
        <w:tab/>
        <w:t>МСЭ находится в процессе совершенствования практики управления иностранной валютой, с тем чтобы обеспечить лучшую привязку своих инвестиций в иностранной валюте к своей функциональной валюте (швейцарский франк), тем самым снижая подверженность колебаниям обменного курса и обеспечивая большую предсказуемость и стабильность финансовых результатов.</w:t>
      </w:r>
    </w:p>
    <w:tbl>
      <w:tblPr>
        <w:tblW w:w="5000" w:type="pct"/>
        <w:tblLook w:val="04A0" w:firstRow="1" w:lastRow="0" w:firstColumn="1" w:lastColumn="0" w:noHBand="0" w:noVBand="1"/>
      </w:tblPr>
      <w:tblGrid>
        <w:gridCol w:w="2752"/>
        <w:gridCol w:w="1482"/>
        <w:gridCol w:w="1727"/>
        <w:gridCol w:w="1642"/>
        <w:gridCol w:w="1468"/>
      </w:tblGrid>
      <w:tr w:rsidR="00DF251A" w:rsidRPr="00521670" w14:paraId="67B5246A" w14:textId="77777777" w:rsidTr="006F3D9A">
        <w:trPr>
          <w:trHeight w:val="364"/>
        </w:trPr>
        <w:tc>
          <w:tcPr>
            <w:tcW w:w="5000" w:type="pct"/>
            <w:gridSpan w:val="5"/>
            <w:tcBorders>
              <w:top w:val="nil"/>
              <w:left w:val="nil"/>
              <w:bottom w:val="nil"/>
              <w:right w:val="nil"/>
            </w:tcBorders>
            <w:shd w:val="clear" w:color="000000" w:fill="0070C0"/>
            <w:noWrap/>
            <w:vAlign w:val="center"/>
            <w:hideMark/>
          </w:tcPr>
          <w:p w14:paraId="49E81687" w14:textId="77777777" w:rsidR="00DF251A" w:rsidRPr="00521670" w:rsidRDefault="00DF251A" w:rsidP="006F3D9A">
            <w:pPr>
              <w:pStyle w:val="Tablehead"/>
              <w:rPr>
                <w:bCs/>
                <w:szCs w:val="16"/>
                <w:lang w:val="ru-RU" w:eastAsia="en-GB"/>
              </w:rPr>
            </w:pPr>
            <w:r w:rsidRPr="00521670">
              <w:rPr>
                <w:szCs w:val="16"/>
                <w:lang w:val="ru-RU" w:eastAsia="en-GB"/>
              </w:rPr>
              <w:lastRenderedPageBreak/>
              <w:t>Влияние колебаний обменного курса швейцарского франка к другим валютам</w:t>
            </w:r>
          </w:p>
        </w:tc>
      </w:tr>
      <w:tr w:rsidR="00DF251A" w:rsidRPr="00521670" w14:paraId="3EF1906A" w14:textId="77777777" w:rsidTr="00C75770">
        <w:trPr>
          <w:trHeight w:val="751"/>
        </w:trPr>
        <w:tc>
          <w:tcPr>
            <w:tcW w:w="1517" w:type="pct"/>
            <w:tcBorders>
              <w:top w:val="nil"/>
              <w:left w:val="nil"/>
              <w:bottom w:val="nil"/>
              <w:right w:val="nil"/>
            </w:tcBorders>
            <w:shd w:val="clear" w:color="auto" w:fill="auto"/>
            <w:vAlign w:val="center"/>
            <w:hideMark/>
          </w:tcPr>
          <w:p w14:paraId="2B42DB83" w14:textId="77777777" w:rsidR="00DF251A" w:rsidRPr="00521670" w:rsidRDefault="00DF251A" w:rsidP="006F3D9A">
            <w:pPr>
              <w:pStyle w:val="Tabletext"/>
              <w:jc w:val="center"/>
              <w:rPr>
                <w:b/>
                <w:bCs/>
                <w:szCs w:val="18"/>
                <w:lang w:val="ru-RU" w:eastAsia="en-GB"/>
              </w:rPr>
            </w:pPr>
            <w:r w:rsidRPr="00521670">
              <w:rPr>
                <w:b/>
                <w:bCs/>
                <w:szCs w:val="18"/>
                <w:lang w:val="ru-RU" w:eastAsia="en-GB"/>
              </w:rPr>
              <w:t>(тыс. шв. фр.)</w:t>
            </w:r>
            <w:r w:rsidRPr="00521670">
              <w:rPr>
                <w:b/>
                <w:bCs/>
                <w:szCs w:val="18"/>
                <w:lang w:val="ru-RU" w:eastAsia="en-GB"/>
              </w:rPr>
              <w:br/>
              <w:t>Валюта</w:t>
            </w:r>
          </w:p>
        </w:tc>
        <w:tc>
          <w:tcPr>
            <w:tcW w:w="817" w:type="pct"/>
            <w:tcBorders>
              <w:top w:val="nil"/>
              <w:left w:val="nil"/>
              <w:bottom w:val="nil"/>
              <w:right w:val="nil"/>
            </w:tcBorders>
            <w:shd w:val="clear" w:color="auto" w:fill="auto"/>
            <w:vAlign w:val="center"/>
            <w:hideMark/>
          </w:tcPr>
          <w:p w14:paraId="3EEC04BC" w14:textId="77777777" w:rsidR="00DF251A" w:rsidRPr="00521670" w:rsidRDefault="00DF251A" w:rsidP="006F3D9A">
            <w:pPr>
              <w:pStyle w:val="Tabletext"/>
              <w:jc w:val="center"/>
              <w:rPr>
                <w:b/>
                <w:bCs/>
                <w:szCs w:val="18"/>
                <w:lang w:val="ru-RU" w:eastAsia="en-GB"/>
              </w:rPr>
            </w:pPr>
            <w:r w:rsidRPr="00521670">
              <w:rPr>
                <w:b/>
                <w:bCs/>
                <w:szCs w:val="18"/>
                <w:lang w:val="ru-RU" w:eastAsia="en-GB"/>
              </w:rPr>
              <w:t xml:space="preserve">Остаток </w:t>
            </w:r>
            <w:r w:rsidRPr="00521670">
              <w:rPr>
                <w:b/>
                <w:bCs/>
                <w:szCs w:val="18"/>
                <w:lang w:val="ru-RU" w:eastAsia="en-GB"/>
              </w:rPr>
              <w:br/>
              <w:t>в иностранной валюте</w:t>
            </w:r>
          </w:p>
        </w:tc>
        <w:tc>
          <w:tcPr>
            <w:tcW w:w="952" w:type="pct"/>
            <w:tcBorders>
              <w:top w:val="nil"/>
              <w:left w:val="nil"/>
              <w:bottom w:val="nil"/>
              <w:right w:val="nil"/>
            </w:tcBorders>
            <w:shd w:val="clear" w:color="auto" w:fill="auto"/>
            <w:vAlign w:val="center"/>
            <w:hideMark/>
          </w:tcPr>
          <w:p w14:paraId="7F7E7975" w14:textId="77777777" w:rsidR="00DF251A" w:rsidRPr="00521670" w:rsidRDefault="00DF251A" w:rsidP="006F3D9A">
            <w:pPr>
              <w:pStyle w:val="Tabletext"/>
              <w:jc w:val="center"/>
              <w:rPr>
                <w:b/>
                <w:bCs/>
                <w:szCs w:val="18"/>
                <w:lang w:val="ru-RU" w:eastAsia="en-GB"/>
              </w:rPr>
            </w:pPr>
            <w:r w:rsidRPr="00521670">
              <w:rPr>
                <w:b/>
                <w:bCs/>
                <w:szCs w:val="18"/>
                <w:lang w:val="ru-RU" w:eastAsia="en-GB"/>
              </w:rPr>
              <w:t>Эквивалент остатка в швейцарских франках</w:t>
            </w:r>
          </w:p>
        </w:tc>
        <w:tc>
          <w:tcPr>
            <w:tcW w:w="1715" w:type="pct"/>
            <w:gridSpan w:val="2"/>
            <w:tcBorders>
              <w:top w:val="nil"/>
              <w:left w:val="nil"/>
              <w:bottom w:val="nil"/>
              <w:right w:val="nil"/>
            </w:tcBorders>
            <w:shd w:val="clear" w:color="auto" w:fill="auto"/>
            <w:vAlign w:val="center"/>
            <w:hideMark/>
          </w:tcPr>
          <w:p w14:paraId="3206838D" w14:textId="77777777" w:rsidR="00DF251A" w:rsidRPr="00521670" w:rsidRDefault="00DF251A" w:rsidP="006F3D9A">
            <w:pPr>
              <w:pStyle w:val="Tabletext"/>
              <w:jc w:val="center"/>
              <w:rPr>
                <w:b/>
                <w:bCs/>
                <w:szCs w:val="18"/>
                <w:lang w:val="ru-RU" w:eastAsia="en-GB"/>
              </w:rPr>
            </w:pPr>
            <w:r w:rsidRPr="00521670">
              <w:rPr>
                <w:b/>
                <w:bCs/>
                <w:szCs w:val="18"/>
                <w:lang w:val="ru-RU" w:eastAsia="en-GB"/>
              </w:rPr>
              <w:t>Эффект в швейцарских франках от увеличения/уменьшения стоимости иностранной валюты</w:t>
            </w:r>
          </w:p>
        </w:tc>
      </w:tr>
      <w:tr w:rsidR="00DF251A" w:rsidRPr="00521670" w14:paraId="269EC869" w14:textId="77777777" w:rsidTr="00C75770">
        <w:trPr>
          <w:trHeight w:val="255"/>
        </w:trPr>
        <w:tc>
          <w:tcPr>
            <w:tcW w:w="1517" w:type="pct"/>
            <w:tcBorders>
              <w:top w:val="nil"/>
              <w:left w:val="nil"/>
              <w:bottom w:val="nil"/>
              <w:right w:val="nil"/>
            </w:tcBorders>
            <w:shd w:val="clear" w:color="auto" w:fill="auto"/>
            <w:noWrap/>
            <w:vAlign w:val="bottom"/>
            <w:hideMark/>
          </w:tcPr>
          <w:p w14:paraId="543E0454" w14:textId="2D18DB15" w:rsidR="00DF251A" w:rsidRPr="00521670" w:rsidRDefault="00DF251A" w:rsidP="006F3D9A">
            <w:pPr>
              <w:pStyle w:val="Tabletext"/>
              <w:rPr>
                <w:szCs w:val="18"/>
                <w:lang w:val="ru-RU" w:eastAsia="en-GB"/>
              </w:rPr>
            </w:pPr>
          </w:p>
        </w:tc>
        <w:tc>
          <w:tcPr>
            <w:tcW w:w="817" w:type="pct"/>
            <w:tcBorders>
              <w:top w:val="nil"/>
              <w:left w:val="nil"/>
              <w:bottom w:val="nil"/>
              <w:right w:val="nil"/>
            </w:tcBorders>
            <w:shd w:val="clear" w:color="auto" w:fill="auto"/>
            <w:noWrap/>
            <w:vAlign w:val="bottom"/>
            <w:hideMark/>
          </w:tcPr>
          <w:p w14:paraId="6A38F1D7" w14:textId="63EACCAE" w:rsidR="00DF251A" w:rsidRPr="00521670" w:rsidRDefault="00DF251A" w:rsidP="006F3D9A">
            <w:pPr>
              <w:pStyle w:val="Tabletext"/>
              <w:jc w:val="right"/>
              <w:rPr>
                <w:szCs w:val="18"/>
                <w:lang w:val="ru-RU" w:eastAsia="en-GB"/>
              </w:rPr>
            </w:pPr>
          </w:p>
        </w:tc>
        <w:tc>
          <w:tcPr>
            <w:tcW w:w="952" w:type="pct"/>
            <w:tcBorders>
              <w:top w:val="nil"/>
              <w:left w:val="nil"/>
              <w:bottom w:val="nil"/>
              <w:right w:val="nil"/>
            </w:tcBorders>
            <w:shd w:val="clear" w:color="auto" w:fill="auto"/>
            <w:noWrap/>
            <w:vAlign w:val="bottom"/>
            <w:hideMark/>
          </w:tcPr>
          <w:p w14:paraId="25A2B174" w14:textId="41BB1DE1" w:rsidR="00DF251A" w:rsidRPr="00521670" w:rsidRDefault="00DF251A" w:rsidP="006F3D9A">
            <w:pPr>
              <w:pStyle w:val="Tabletext"/>
              <w:jc w:val="right"/>
              <w:rPr>
                <w:szCs w:val="18"/>
                <w:lang w:val="ru-RU" w:eastAsia="en-GB"/>
              </w:rPr>
            </w:pPr>
          </w:p>
        </w:tc>
        <w:tc>
          <w:tcPr>
            <w:tcW w:w="905" w:type="pct"/>
            <w:tcBorders>
              <w:top w:val="nil"/>
              <w:left w:val="nil"/>
              <w:bottom w:val="nil"/>
              <w:right w:val="nil"/>
            </w:tcBorders>
            <w:shd w:val="clear" w:color="auto" w:fill="auto"/>
            <w:noWrap/>
            <w:vAlign w:val="bottom"/>
            <w:hideMark/>
          </w:tcPr>
          <w:p w14:paraId="6D7E7BA4" w14:textId="77777777" w:rsidR="00DF251A" w:rsidRPr="00521670" w:rsidRDefault="00DF251A" w:rsidP="006F3D9A">
            <w:pPr>
              <w:pStyle w:val="Tabletext"/>
              <w:jc w:val="right"/>
              <w:rPr>
                <w:szCs w:val="18"/>
                <w:lang w:val="ru-RU" w:eastAsia="en-GB"/>
              </w:rPr>
            </w:pPr>
            <w:r w:rsidRPr="00521670">
              <w:rPr>
                <w:szCs w:val="18"/>
                <w:lang w:val="ru-RU"/>
              </w:rPr>
              <w:t>+/−5%</w:t>
            </w:r>
          </w:p>
        </w:tc>
        <w:tc>
          <w:tcPr>
            <w:tcW w:w="810" w:type="pct"/>
            <w:tcBorders>
              <w:top w:val="nil"/>
              <w:left w:val="nil"/>
              <w:bottom w:val="nil"/>
              <w:right w:val="nil"/>
            </w:tcBorders>
            <w:shd w:val="clear" w:color="auto" w:fill="auto"/>
            <w:noWrap/>
            <w:vAlign w:val="bottom"/>
            <w:hideMark/>
          </w:tcPr>
          <w:p w14:paraId="285A2DE1" w14:textId="77777777" w:rsidR="00DF251A" w:rsidRPr="00521670" w:rsidRDefault="00DF251A" w:rsidP="006F3D9A">
            <w:pPr>
              <w:pStyle w:val="Tabletext"/>
              <w:jc w:val="right"/>
              <w:rPr>
                <w:szCs w:val="18"/>
                <w:lang w:val="ru-RU" w:eastAsia="en-GB"/>
              </w:rPr>
            </w:pPr>
            <w:r w:rsidRPr="00521670">
              <w:rPr>
                <w:szCs w:val="18"/>
                <w:lang w:val="ru-RU"/>
              </w:rPr>
              <w:t>+/−10%</w:t>
            </w:r>
          </w:p>
        </w:tc>
      </w:tr>
      <w:tr w:rsidR="00DF251A" w:rsidRPr="00521670" w14:paraId="21DDEA45" w14:textId="77777777" w:rsidTr="00C75770">
        <w:trPr>
          <w:trHeight w:val="255"/>
        </w:trPr>
        <w:tc>
          <w:tcPr>
            <w:tcW w:w="1517" w:type="pct"/>
            <w:tcBorders>
              <w:top w:val="nil"/>
              <w:left w:val="nil"/>
              <w:bottom w:val="nil"/>
              <w:right w:val="nil"/>
            </w:tcBorders>
            <w:shd w:val="clear" w:color="auto" w:fill="auto"/>
            <w:noWrap/>
            <w:hideMark/>
          </w:tcPr>
          <w:p w14:paraId="347B3C69" w14:textId="77777777" w:rsidR="00DF251A" w:rsidRPr="00521670" w:rsidRDefault="00DF251A" w:rsidP="006F3D9A">
            <w:pPr>
              <w:pStyle w:val="Tabletext"/>
              <w:rPr>
                <w:szCs w:val="18"/>
                <w:lang w:val="ru-RU" w:eastAsia="en-GB"/>
              </w:rPr>
            </w:pPr>
            <w:r w:rsidRPr="00521670">
              <w:rPr>
                <w:szCs w:val="18"/>
                <w:lang w:val="ru-RU"/>
              </w:rPr>
              <w:t>Евро</w:t>
            </w:r>
          </w:p>
        </w:tc>
        <w:tc>
          <w:tcPr>
            <w:tcW w:w="817" w:type="pct"/>
            <w:tcBorders>
              <w:top w:val="nil"/>
              <w:left w:val="nil"/>
              <w:bottom w:val="nil"/>
              <w:right w:val="nil"/>
            </w:tcBorders>
            <w:shd w:val="clear" w:color="auto" w:fill="auto"/>
            <w:noWrap/>
            <w:vAlign w:val="bottom"/>
            <w:hideMark/>
          </w:tcPr>
          <w:p w14:paraId="76C960EE" w14:textId="77777777" w:rsidR="00DF251A" w:rsidRPr="00521670" w:rsidRDefault="00DF251A" w:rsidP="006F3D9A">
            <w:pPr>
              <w:pStyle w:val="Tabletext"/>
              <w:jc w:val="right"/>
              <w:rPr>
                <w:szCs w:val="18"/>
                <w:lang w:val="ru-RU" w:eastAsia="en-GB"/>
              </w:rPr>
            </w:pPr>
            <w:r w:rsidRPr="00521670">
              <w:rPr>
                <w:szCs w:val="18"/>
                <w:lang w:val="ru-RU" w:eastAsia="en-GB"/>
              </w:rPr>
              <w:t>34 801</w:t>
            </w:r>
          </w:p>
        </w:tc>
        <w:tc>
          <w:tcPr>
            <w:tcW w:w="952" w:type="pct"/>
            <w:tcBorders>
              <w:top w:val="nil"/>
              <w:left w:val="nil"/>
              <w:bottom w:val="nil"/>
              <w:right w:val="nil"/>
            </w:tcBorders>
            <w:shd w:val="clear" w:color="auto" w:fill="auto"/>
            <w:noWrap/>
            <w:vAlign w:val="bottom"/>
            <w:hideMark/>
          </w:tcPr>
          <w:p w14:paraId="26989408" w14:textId="77777777" w:rsidR="00DF251A" w:rsidRPr="00521670" w:rsidRDefault="00DF251A" w:rsidP="006F3D9A">
            <w:pPr>
              <w:pStyle w:val="Tabletext"/>
              <w:jc w:val="right"/>
              <w:rPr>
                <w:szCs w:val="18"/>
                <w:lang w:val="ru-RU" w:eastAsia="en-GB"/>
              </w:rPr>
            </w:pPr>
            <w:r w:rsidRPr="00521670">
              <w:rPr>
                <w:szCs w:val="18"/>
                <w:lang w:val="ru-RU" w:eastAsia="en-GB"/>
              </w:rPr>
              <w:t>32 662</w:t>
            </w:r>
          </w:p>
        </w:tc>
        <w:tc>
          <w:tcPr>
            <w:tcW w:w="905" w:type="pct"/>
            <w:tcBorders>
              <w:top w:val="nil"/>
              <w:left w:val="nil"/>
              <w:bottom w:val="nil"/>
              <w:right w:val="nil"/>
            </w:tcBorders>
            <w:shd w:val="clear" w:color="auto" w:fill="auto"/>
            <w:noWrap/>
            <w:vAlign w:val="bottom"/>
            <w:hideMark/>
          </w:tcPr>
          <w:p w14:paraId="4673BD44" w14:textId="77777777" w:rsidR="00DF251A" w:rsidRPr="00521670" w:rsidRDefault="00DF251A" w:rsidP="006F3D9A">
            <w:pPr>
              <w:pStyle w:val="Tabletext"/>
              <w:jc w:val="right"/>
              <w:rPr>
                <w:szCs w:val="18"/>
                <w:lang w:val="ru-RU" w:eastAsia="en-GB"/>
              </w:rPr>
            </w:pPr>
            <w:r w:rsidRPr="00521670">
              <w:rPr>
                <w:szCs w:val="18"/>
                <w:lang w:val="ru-RU" w:eastAsia="en-GB"/>
              </w:rPr>
              <w:t>1 633</w:t>
            </w:r>
          </w:p>
        </w:tc>
        <w:tc>
          <w:tcPr>
            <w:tcW w:w="810" w:type="pct"/>
            <w:tcBorders>
              <w:top w:val="nil"/>
              <w:left w:val="nil"/>
              <w:bottom w:val="nil"/>
              <w:right w:val="nil"/>
            </w:tcBorders>
            <w:shd w:val="clear" w:color="auto" w:fill="auto"/>
            <w:noWrap/>
            <w:vAlign w:val="bottom"/>
            <w:hideMark/>
          </w:tcPr>
          <w:p w14:paraId="6130A2AE" w14:textId="77777777" w:rsidR="00DF251A" w:rsidRPr="00521670" w:rsidRDefault="00DF251A" w:rsidP="006F3D9A">
            <w:pPr>
              <w:pStyle w:val="Tabletext"/>
              <w:jc w:val="right"/>
              <w:rPr>
                <w:szCs w:val="18"/>
                <w:lang w:val="ru-RU" w:eastAsia="en-GB"/>
              </w:rPr>
            </w:pPr>
            <w:r w:rsidRPr="00521670">
              <w:rPr>
                <w:szCs w:val="18"/>
                <w:lang w:val="ru-RU" w:eastAsia="en-GB"/>
              </w:rPr>
              <w:t>3 266</w:t>
            </w:r>
          </w:p>
        </w:tc>
      </w:tr>
      <w:tr w:rsidR="00DF251A" w:rsidRPr="00521670" w14:paraId="6A12B0FA" w14:textId="77777777" w:rsidTr="00C75770">
        <w:trPr>
          <w:trHeight w:val="255"/>
        </w:trPr>
        <w:tc>
          <w:tcPr>
            <w:tcW w:w="1517" w:type="pct"/>
            <w:tcBorders>
              <w:top w:val="nil"/>
              <w:left w:val="nil"/>
              <w:bottom w:val="nil"/>
              <w:right w:val="nil"/>
            </w:tcBorders>
            <w:shd w:val="clear" w:color="auto" w:fill="auto"/>
            <w:noWrap/>
            <w:hideMark/>
          </w:tcPr>
          <w:p w14:paraId="5971129C" w14:textId="77777777" w:rsidR="00DF251A" w:rsidRPr="00521670" w:rsidRDefault="00DF251A" w:rsidP="006F3D9A">
            <w:pPr>
              <w:pStyle w:val="Tabletext"/>
              <w:rPr>
                <w:szCs w:val="18"/>
                <w:lang w:val="ru-RU" w:eastAsia="en-GB"/>
              </w:rPr>
            </w:pPr>
            <w:r w:rsidRPr="00521670">
              <w:rPr>
                <w:szCs w:val="18"/>
                <w:lang w:val="ru-RU"/>
              </w:rPr>
              <w:t>Доллар США</w:t>
            </w:r>
          </w:p>
        </w:tc>
        <w:tc>
          <w:tcPr>
            <w:tcW w:w="817" w:type="pct"/>
            <w:tcBorders>
              <w:top w:val="nil"/>
              <w:left w:val="nil"/>
              <w:bottom w:val="nil"/>
              <w:right w:val="nil"/>
            </w:tcBorders>
            <w:shd w:val="clear" w:color="auto" w:fill="auto"/>
            <w:noWrap/>
            <w:vAlign w:val="bottom"/>
            <w:hideMark/>
          </w:tcPr>
          <w:p w14:paraId="61E3D7B1" w14:textId="77777777" w:rsidR="00DF251A" w:rsidRPr="00521670" w:rsidRDefault="00DF251A" w:rsidP="006F3D9A">
            <w:pPr>
              <w:pStyle w:val="Tabletext"/>
              <w:jc w:val="right"/>
              <w:rPr>
                <w:szCs w:val="18"/>
                <w:lang w:val="ru-RU" w:eastAsia="en-GB"/>
              </w:rPr>
            </w:pPr>
            <w:r w:rsidRPr="00521670">
              <w:rPr>
                <w:szCs w:val="18"/>
                <w:lang w:val="ru-RU" w:eastAsia="en-GB"/>
              </w:rPr>
              <w:t>105 585</w:t>
            </w:r>
          </w:p>
        </w:tc>
        <w:tc>
          <w:tcPr>
            <w:tcW w:w="952" w:type="pct"/>
            <w:tcBorders>
              <w:top w:val="nil"/>
              <w:left w:val="nil"/>
              <w:bottom w:val="nil"/>
              <w:right w:val="nil"/>
            </w:tcBorders>
            <w:shd w:val="clear" w:color="auto" w:fill="auto"/>
            <w:noWrap/>
            <w:vAlign w:val="bottom"/>
            <w:hideMark/>
          </w:tcPr>
          <w:p w14:paraId="7CD68627" w14:textId="77777777" w:rsidR="00DF251A" w:rsidRPr="00521670" w:rsidRDefault="00DF251A" w:rsidP="006F3D9A">
            <w:pPr>
              <w:pStyle w:val="Tabletext"/>
              <w:jc w:val="right"/>
              <w:rPr>
                <w:szCs w:val="18"/>
                <w:lang w:val="ru-RU" w:eastAsia="en-GB"/>
              </w:rPr>
            </w:pPr>
            <w:r w:rsidRPr="00521670">
              <w:rPr>
                <w:szCs w:val="18"/>
                <w:lang w:val="ru-RU" w:eastAsia="en-GB"/>
              </w:rPr>
              <w:t>95 132</w:t>
            </w:r>
          </w:p>
        </w:tc>
        <w:tc>
          <w:tcPr>
            <w:tcW w:w="905" w:type="pct"/>
            <w:tcBorders>
              <w:top w:val="nil"/>
              <w:left w:val="nil"/>
              <w:bottom w:val="nil"/>
              <w:right w:val="nil"/>
            </w:tcBorders>
            <w:shd w:val="clear" w:color="auto" w:fill="auto"/>
            <w:noWrap/>
            <w:vAlign w:val="bottom"/>
            <w:hideMark/>
          </w:tcPr>
          <w:p w14:paraId="4CE572BD" w14:textId="77777777" w:rsidR="00DF251A" w:rsidRPr="00521670" w:rsidRDefault="00DF251A" w:rsidP="006F3D9A">
            <w:pPr>
              <w:pStyle w:val="Tabletext"/>
              <w:jc w:val="right"/>
              <w:rPr>
                <w:szCs w:val="18"/>
                <w:lang w:val="ru-RU" w:eastAsia="en-GB"/>
              </w:rPr>
            </w:pPr>
            <w:r w:rsidRPr="00521670">
              <w:rPr>
                <w:szCs w:val="18"/>
                <w:lang w:val="ru-RU" w:eastAsia="en-GB"/>
              </w:rPr>
              <w:t>4 757</w:t>
            </w:r>
          </w:p>
        </w:tc>
        <w:tc>
          <w:tcPr>
            <w:tcW w:w="810" w:type="pct"/>
            <w:tcBorders>
              <w:top w:val="nil"/>
              <w:left w:val="nil"/>
              <w:bottom w:val="nil"/>
              <w:right w:val="nil"/>
            </w:tcBorders>
            <w:shd w:val="clear" w:color="auto" w:fill="auto"/>
            <w:noWrap/>
            <w:vAlign w:val="bottom"/>
            <w:hideMark/>
          </w:tcPr>
          <w:p w14:paraId="196F9E25" w14:textId="77777777" w:rsidR="00DF251A" w:rsidRPr="00521670" w:rsidRDefault="00DF251A" w:rsidP="006F3D9A">
            <w:pPr>
              <w:pStyle w:val="Tabletext"/>
              <w:jc w:val="right"/>
              <w:rPr>
                <w:szCs w:val="18"/>
                <w:lang w:val="ru-RU" w:eastAsia="en-GB"/>
              </w:rPr>
            </w:pPr>
            <w:r w:rsidRPr="00521670">
              <w:rPr>
                <w:szCs w:val="18"/>
                <w:lang w:val="ru-RU" w:eastAsia="en-GB"/>
              </w:rPr>
              <w:t>9 513</w:t>
            </w:r>
          </w:p>
        </w:tc>
      </w:tr>
      <w:tr w:rsidR="00DF251A" w:rsidRPr="00521670" w14:paraId="07C7EC24" w14:textId="77777777" w:rsidTr="00C75770">
        <w:trPr>
          <w:trHeight w:val="112"/>
        </w:trPr>
        <w:tc>
          <w:tcPr>
            <w:tcW w:w="1517" w:type="pct"/>
            <w:tcBorders>
              <w:top w:val="nil"/>
              <w:left w:val="nil"/>
              <w:bottom w:val="nil"/>
              <w:right w:val="nil"/>
            </w:tcBorders>
            <w:shd w:val="clear" w:color="auto" w:fill="auto"/>
            <w:noWrap/>
            <w:vAlign w:val="bottom"/>
            <w:hideMark/>
          </w:tcPr>
          <w:p w14:paraId="6A1C6838" w14:textId="2D9976F1" w:rsidR="00DF251A" w:rsidRPr="00521670" w:rsidRDefault="00DF251A" w:rsidP="006F3D9A">
            <w:pPr>
              <w:pStyle w:val="Tabletext"/>
              <w:rPr>
                <w:szCs w:val="18"/>
                <w:lang w:val="ru-RU" w:eastAsia="en-GB"/>
              </w:rPr>
            </w:pPr>
          </w:p>
        </w:tc>
        <w:tc>
          <w:tcPr>
            <w:tcW w:w="817" w:type="pct"/>
            <w:tcBorders>
              <w:top w:val="nil"/>
              <w:left w:val="nil"/>
              <w:bottom w:val="nil"/>
              <w:right w:val="nil"/>
            </w:tcBorders>
            <w:shd w:val="clear" w:color="auto" w:fill="auto"/>
            <w:noWrap/>
            <w:vAlign w:val="bottom"/>
            <w:hideMark/>
          </w:tcPr>
          <w:p w14:paraId="5ED720C8" w14:textId="7374CBDF" w:rsidR="00DF251A" w:rsidRPr="00521670" w:rsidRDefault="00DF251A" w:rsidP="006F3D9A">
            <w:pPr>
              <w:pStyle w:val="Tabletext"/>
              <w:jc w:val="right"/>
              <w:rPr>
                <w:szCs w:val="18"/>
                <w:lang w:val="ru-RU" w:eastAsia="en-GB"/>
              </w:rPr>
            </w:pPr>
          </w:p>
        </w:tc>
        <w:tc>
          <w:tcPr>
            <w:tcW w:w="952" w:type="pct"/>
            <w:tcBorders>
              <w:top w:val="nil"/>
              <w:left w:val="nil"/>
              <w:bottom w:val="nil"/>
              <w:right w:val="nil"/>
            </w:tcBorders>
            <w:shd w:val="clear" w:color="auto" w:fill="auto"/>
            <w:noWrap/>
            <w:vAlign w:val="bottom"/>
            <w:hideMark/>
          </w:tcPr>
          <w:p w14:paraId="7E117CD5" w14:textId="62BE1F6C" w:rsidR="00DF251A" w:rsidRPr="00521670" w:rsidRDefault="00DF251A" w:rsidP="006F3D9A">
            <w:pPr>
              <w:pStyle w:val="Tabletext"/>
              <w:jc w:val="right"/>
              <w:rPr>
                <w:szCs w:val="18"/>
                <w:lang w:val="ru-RU" w:eastAsia="en-GB"/>
              </w:rPr>
            </w:pPr>
          </w:p>
        </w:tc>
        <w:tc>
          <w:tcPr>
            <w:tcW w:w="905" w:type="pct"/>
            <w:tcBorders>
              <w:top w:val="nil"/>
              <w:left w:val="nil"/>
              <w:bottom w:val="nil"/>
              <w:right w:val="nil"/>
            </w:tcBorders>
            <w:shd w:val="clear" w:color="auto" w:fill="auto"/>
            <w:noWrap/>
            <w:vAlign w:val="bottom"/>
            <w:hideMark/>
          </w:tcPr>
          <w:p w14:paraId="7FEEF1F5" w14:textId="32C8645A" w:rsidR="00DF251A" w:rsidRPr="00521670" w:rsidRDefault="00DF251A" w:rsidP="006F3D9A">
            <w:pPr>
              <w:pStyle w:val="Tabletext"/>
              <w:jc w:val="right"/>
              <w:rPr>
                <w:szCs w:val="18"/>
                <w:lang w:val="ru-RU" w:eastAsia="en-GB"/>
              </w:rPr>
            </w:pPr>
          </w:p>
        </w:tc>
        <w:tc>
          <w:tcPr>
            <w:tcW w:w="810" w:type="pct"/>
            <w:tcBorders>
              <w:top w:val="nil"/>
              <w:left w:val="nil"/>
              <w:bottom w:val="nil"/>
              <w:right w:val="nil"/>
            </w:tcBorders>
            <w:shd w:val="clear" w:color="auto" w:fill="auto"/>
            <w:noWrap/>
            <w:vAlign w:val="bottom"/>
            <w:hideMark/>
          </w:tcPr>
          <w:p w14:paraId="0CC54A81" w14:textId="4CBE9CAC" w:rsidR="00DF251A" w:rsidRPr="00521670" w:rsidRDefault="00DF251A" w:rsidP="006F3D9A">
            <w:pPr>
              <w:pStyle w:val="Tabletext"/>
              <w:jc w:val="right"/>
              <w:rPr>
                <w:szCs w:val="18"/>
                <w:lang w:val="ru-RU" w:eastAsia="en-GB"/>
              </w:rPr>
            </w:pPr>
          </w:p>
        </w:tc>
      </w:tr>
      <w:tr w:rsidR="00DF251A" w:rsidRPr="00521670" w14:paraId="79E49E72" w14:textId="77777777" w:rsidTr="00C75770">
        <w:trPr>
          <w:trHeight w:val="265"/>
        </w:trPr>
        <w:tc>
          <w:tcPr>
            <w:tcW w:w="1517" w:type="pct"/>
            <w:tcBorders>
              <w:top w:val="nil"/>
              <w:left w:val="nil"/>
              <w:bottom w:val="nil"/>
              <w:right w:val="nil"/>
            </w:tcBorders>
            <w:shd w:val="clear" w:color="000000" w:fill="0070C0"/>
            <w:noWrap/>
            <w:vAlign w:val="center"/>
            <w:hideMark/>
          </w:tcPr>
          <w:p w14:paraId="1BBADA2D" w14:textId="77777777" w:rsidR="00DF251A" w:rsidRPr="00521670" w:rsidRDefault="00DF251A" w:rsidP="006F3D9A">
            <w:pPr>
              <w:pStyle w:val="Tabletext"/>
              <w:rPr>
                <w:b/>
                <w:bCs/>
                <w:szCs w:val="18"/>
                <w:lang w:val="ru-RU" w:eastAsia="en-GB"/>
              </w:rPr>
            </w:pPr>
            <w:r w:rsidRPr="00521670">
              <w:rPr>
                <w:b/>
                <w:bCs/>
                <w:szCs w:val="18"/>
                <w:lang w:val="ru-RU"/>
              </w:rPr>
              <w:t>Всего: 31 декабря 2024 г.</w:t>
            </w:r>
          </w:p>
        </w:tc>
        <w:tc>
          <w:tcPr>
            <w:tcW w:w="817" w:type="pct"/>
            <w:tcBorders>
              <w:top w:val="nil"/>
              <w:left w:val="nil"/>
              <w:bottom w:val="nil"/>
              <w:right w:val="nil"/>
            </w:tcBorders>
            <w:shd w:val="clear" w:color="000000" w:fill="0070C0"/>
            <w:noWrap/>
            <w:vAlign w:val="bottom"/>
            <w:hideMark/>
          </w:tcPr>
          <w:p w14:paraId="6A50B38E" w14:textId="42762571" w:rsidR="00DF251A" w:rsidRPr="00521670" w:rsidRDefault="00DF251A" w:rsidP="006F3D9A">
            <w:pPr>
              <w:pStyle w:val="Tabletext"/>
              <w:jc w:val="right"/>
              <w:rPr>
                <w:b/>
                <w:bCs/>
                <w:szCs w:val="18"/>
                <w:lang w:val="ru-RU" w:eastAsia="en-GB"/>
              </w:rPr>
            </w:pPr>
          </w:p>
        </w:tc>
        <w:tc>
          <w:tcPr>
            <w:tcW w:w="952" w:type="pct"/>
            <w:tcBorders>
              <w:top w:val="nil"/>
              <w:left w:val="nil"/>
              <w:bottom w:val="nil"/>
              <w:right w:val="nil"/>
            </w:tcBorders>
            <w:shd w:val="clear" w:color="000000" w:fill="0070C0"/>
            <w:noWrap/>
            <w:vAlign w:val="bottom"/>
            <w:hideMark/>
          </w:tcPr>
          <w:p w14:paraId="35054C2B" w14:textId="77777777" w:rsidR="00DF251A" w:rsidRPr="00521670" w:rsidRDefault="00DF251A" w:rsidP="006F3D9A">
            <w:pPr>
              <w:pStyle w:val="Tabletext"/>
              <w:jc w:val="right"/>
              <w:rPr>
                <w:b/>
                <w:bCs/>
                <w:szCs w:val="18"/>
                <w:lang w:val="ru-RU" w:eastAsia="en-GB"/>
              </w:rPr>
            </w:pPr>
            <w:r w:rsidRPr="00521670">
              <w:rPr>
                <w:b/>
                <w:bCs/>
                <w:szCs w:val="18"/>
                <w:lang w:val="ru-RU" w:eastAsia="en-GB"/>
              </w:rPr>
              <w:t>127 794</w:t>
            </w:r>
          </w:p>
        </w:tc>
        <w:tc>
          <w:tcPr>
            <w:tcW w:w="905" w:type="pct"/>
            <w:tcBorders>
              <w:top w:val="nil"/>
              <w:left w:val="nil"/>
              <w:bottom w:val="nil"/>
              <w:right w:val="nil"/>
            </w:tcBorders>
            <w:shd w:val="clear" w:color="000000" w:fill="0070C0"/>
            <w:noWrap/>
            <w:vAlign w:val="bottom"/>
            <w:hideMark/>
          </w:tcPr>
          <w:p w14:paraId="2747D195" w14:textId="77777777" w:rsidR="00DF251A" w:rsidRPr="00521670" w:rsidRDefault="00DF251A" w:rsidP="006F3D9A">
            <w:pPr>
              <w:pStyle w:val="Tabletext"/>
              <w:jc w:val="right"/>
              <w:rPr>
                <w:b/>
                <w:bCs/>
                <w:szCs w:val="18"/>
                <w:lang w:val="ru-RU" w:eastAsia="en-GB"/>
              </w:rPr>
            </w:pPr>
            <w:r w:rsidRPr="00521670">
              <w:rPr>
                <w:b/>
                <w:bCs/>
                <w:szCs w:val="18"/>
                <w:lang w:val="ru-RU" w:eastAsia="en-GB"/>
              </w:rPr>
              <w:t>6 390</w:t>
            </w:r>
          </w:p>
        </w:tc>
        <w:tc>
          <w:tcPr>
            <w:tcW w:w="810" w:type="pct"/>
            <w:tcBorders>
              <w:top w:val="nil"/>
              <w:left w:val="nil"/>
              <w:bottom w:val="nil"/>
              <w:right w:val="nil"/>
            </w:tcBorders>
            <w:shd w:val="clear" w:color="000000" w:fill="0070C0"/>
            <w:noWrap/>
            <w:vAlign w:val="bottom"/>
            <w:hideMark/>
          </w:tcPr>
          <w:p w14:paraId="0940114E" w14:textId="77777777" w:rsidR="00DF251A" w:rsidRPr="00521670" w:rsidRDefault="00DF251A" w:rsidP="006F3D9A">
            <w:pPr>
              <w:pStyle w:val="Tabletext"/>
              <w:jc w:val="right"/>
              <w:rPr>
                <w:b/>
                <w:bCs/>
                <w:szCs w:val="18"/>
                <w:lang w:val="ru-RU" w:eastAsia="en-GB"/>
              </w:rPr>
            </w:pPr>
            <w:r w:rsidRPr="00521670">
              <w:rPr>
                <w:b/>
                <w:bCs/>
                <w:szCs w:val="18"/>
                <w:lang w:val="ru-RU" w:eastAsia="en-GB"/>
              </w:rPr>
              <w:t>12 779</w:t>
            </w:r>
          </w:p>
        </w:tc>
      </w:tr>
    </w:tbl>
    <w:p w14:paraId="529F75B2" w14:textId="77777777" w:rsidR="00DF251A" w:rsidRPr="00521670" w:rsidRDefault="00DF251A" w:rsidP="006F3D9A">
      <w:pPr>
        <w:pStyle w:val="enumlev1"/>
        <w:keepNext/>
        <w:rPr>
          <w:i/>
          <w:iCs/>
          <w:lang w:val="ru-RU"/>
        </w:rPr>
      </w:pPr>
      <w:r w:rsidRPr="00521670">
        <w:rPr>
          <w:i/>
          <w:iCs/>
          <w:lang w:val="ru-RU"/>
        </w:rPr>
        <w:t>f)</w:t>
      </w:r>
      <w:r w:rsidRPr="00521670">
        <w:rPr>
          <w:i/>
          <w:iCs/>
          <w:lang w:val="ru-RU"/>
        </w:rPr>
        <w:tab/>
        <w:t>Рыночный риск</w:t>
      </w:r>
    </w:p>
    <w:p w14:paraId="4A731849" w14:textId="77777777" w:rsidR="00DF251A" w:rsidRPr="00521670" w:rsidRDefault="00DF251A" w:rsidP="006F3D9A">
      <w:pPr>
        <w:pStyle w:val="enumlev1"/>
        <w:rPr>
          <w:lang w:val="ru-RU"/>
        </w:rPr>
      </w:pPr>
      <w:r w:rsidRPr="00521670">
        <w:rPr>
          <w:lang w:val="ru-RU"/>
        </w:rPr>
        <w:tab/>
        <w:t>Рыночный риск – это риск изменений в рыночных ценах, например, курсов иностранных валют и процентных ставок, затрагивающих поступления МСЭ или стоимость его пакета финансовых инструментов. Цель управления рыночным риском состоит в том, чтобы управление рыночными рисками и контроль над ними осуществлялись в рамках приемлемых параметров и при этом обеспечивалось оптимальное соотношение доходности и риска.</w:t>
      </w:r>
    </w:p>
    <w:p w14:paraId="3C779491" w14:textId="77777777" w:rsidR="00DF251A" w:rsidRPr="00521670" w:rsidRDefault="00DF251A" w:rsidP="006F3D9A">
      <w:pPr>
        <w:keepNext/>
        <w:spacing w:after="120"/>
        <w:rPr>
          <w:lang w:val="ru-RU"/>
        </w:rPr>
      </w:pPr>
      <w:r w:rsidRPr="00521670">
        <w:rPr>
          <w:lang w:val="ru-RU"/>
        </w:rPr>
        <w:t xml:space="preserve">Ниже </w:t>
      </w:r>
      <w:r w:rsidRPr="00521670">
        <w:rPr>
          <w:rFonts w:eastAsia="Calibri" w:cs="Calibri"/>
          <w:lang w:val="ru-RU"/>
        </w:rPr>
        <w:t>приводится</w:t>
      </w:r>
      <w:r w:rsidRPr="00521670">
        <w:rPr>
          <w:lang w:val="ru-RU"/>
        </w:rPr>
        <w:t xml:space="preserve"> обзор финансовых инструментов по срокам погашения по состоянию на 31 декабря 2024 года:</w:t>
      </w:r>
    </w:p>
    <w:tbl>
      <w:tblPr>
        <w:tblW w:w="5000" w:type="pct"/>
        <w:tblLook w:val="04A0" w:firstRow="1" w:lastRow="0" w:firstColumn="1" w:lastColumn="0" w:noHBand="0" w:noVBand="1"/>
      </w:tblPr>
      <w:tblGrid>
        <w:gridCol w:w="4390"/>
        <w:gridCol w:w="1855"/>
        <w:gridCol w:w="942"/>
        <w:gridCol w:w="942"/>
        <w:gridCol w:w="942"/>
      </w:tblGrid>
      <w:tr w:rsidR="00DF251A" w:rsidRPr="00521670" w14:paraId="0BE7E8D7" w14:textId="77777777" w:rsidTr="009977AB">
        <w:trPr>
          <w:trHeight w:val="522"/>
          <w:tblHeader/>
        </w:trPr>
        <w:tc>
          <w:tcPr>
            <w:tcW w:w="2133" w:type="pct"/>
            <w:tcBorders>
              <w:top w:val="nil"/>
              <w:left w:val="nil"/>
              <w:bottom w:val="nil"/>
              <w:right w:val="nil"/>
            </w:tcBorders>
            <w:shd w:val="clear" w:color="000000" w:fill="0070C0"/>
            <w:vAlign w:val="center"/>
            <w:hideMark/>
          </w:tcPr>
          <w:p w14:paraId="528B55AB" w14:textId="77777777" w:rsidR="00DF251A" w:rsidRPr="00521670" w:rsidRDefault="00DF251A" w:rsidP="006F3D9A">
            <w:pPr>
              <w:pStyle w:val="Tablehead"/>
              <w:rPr>
                <w:bCs/>
                <w:szCs w:val="18"/>
                <w:lang w:val="ru-RU" w:eastAsia="en-GB"/>
              </w:rPr>
            </w:pPr>
            <w:r w:rsidRPr="00521670">
              <w:rPr>
                <w:szCs w:val="18"/>
                <w:lang w:val="ru-RU" w:eastAsia="en-GB"/>
              </w:rPr>
              <w:t>В тыс. шв. фр.</w:t>
            </w:r>
          </w:p>
        </w:tc>
        <w:tc>
          <w:tcPr>
            <w:tcW w:w="1094" w:type="pct"/>
            <w:tcBorders>
              <w:top w:val="nil"/>
              <w:left w:val="nil"/>
              <w:bottom w:val="nil"/>
              <w:right w:val="nil"/>
            </w:tcBorders>
            <w:shd w:val="clear" w:color="000000" w:fill="0070C0"/>
            <w:vAlign w:val="center"/>
            <w:hideMark/>
          </w:tcPr>
          <w:p w14:paraId="4662568A" w14:textId="77777777" w:rsidR="00DF251A" w:rsidRPr="00521670" w:rsidRDefault="00DF251A" w:rsidP="006F3D9A">
            <w:pPr>
              <w:pStyle w:val="Tablehead"/>
              <w:rPr>
                <w:bCs/>
                <w:szCs w:val="18"/>
                <w:lang w:val="ru-RU" w:eastAsia="en-GB"/>
              </w:rPr>
            </w:pPr>
            <w:r w:rsidRPr="00521670">
              <w:rPr>
                <w:szCs w:val="18"/>
                <w:lang w:val="ru-RU" w:eastAsia="en-GB"/>
              </w:rPr>
              <w:t>Средневзвешенная процентная ставка</w:t>
            </w:r>
          </w:p>
        </w:tc>
        <w:tc>
          <w:tcPr>
            <w:tcW w:w="591" w:type="pct"/>
            <w:tcBorders>
              <w:top w:val="nil"/>
              <w:left w:val="nil"/>
              <w:bottom w:val="nil"/>
              <w:right w:val="nil"/>
            </w:tcBorders>
            <w:shd w:val="clear" w:color="000000" w:fill="0070C0"/>
            <w:vAlign w:val="center"/>
            <w:hideMark/>
          </w:tcPr>
          <w:p w14:paraId="459EC8AB" w14:textId="77777777" w:rsidR="00DF251A" w:rsidRPr="00521670" w:rsidRDefault="00DF251A" w:rsidP="006F3D9A">
            <w:pPr>
              <w:pStyle w:val="Tablehead"/>
              <w:rPr>
                <w:bCs/>
                <w:szCs w:val="18"/>
                <w:lang w:val="ru-RU" w:eastAsia="en-GB"/>
              </w:rPr>
            </w:pPr>
            <w:r w:rsidRPr="00521670">
              <w:rPr>
                <w:szCs w:val="18"/>
                <w:lang w:val="ru-RU" w:eastAsia="en-GB"/>
              </w:rPr>
              <w:t>1 год или меньше</w:t>
            </w:r>
          </w:p>
        </w:tc>
        <w:tc>
          <w:tcPr>
            <w:tcW w:w="591" w:type="pct"/>
            <w:tcBorders>
              <w:top w:val="nil"/>
              <w:left w:val="nil"/>
              <w:bottom w:val="nil"/>
              <w:right w:val="nil"/>
            </w:tcBorders>
            <w:shd w:val="clear" w:color="000000" w:fill="0070C0"/>
            <w:vAlign w:val="center"/>
            <w:hideMark/>
          </w:tcPr>
          <w:p w14:paraId="77852E78" w14:textId="77777777" w:rsidR="00DF251A" w:rsidRPr="00521670" w:rsidRDefault="00DF251A" w:rsidP="006F3D9A">
            <w:pPr>
              <w:pStyle w:val="Tablehead"/>
              <w:rPr>
                <w:bCs/>
                <w:szCs w:val="18"/>
                <w:lang w:val="ru-RU" w:eastAsia="en-GB"/>
              </w:rPr>
            </w:pPr>
            <w:r w:rsidRPr="00521670">
              <w:rPr>
                <w:szCs w:val="18"/>
                <w:lang w:val="ru-RU" w:eastAsia="en-GB"/>
              </w:rPr>
              <w:t>&gt; 1 года</w:t>
            </w:r>
          </w:p>
        </w:tc>
        <w:tc>
          <w:tcPr>
            <w:tcW w:w="591" w:type="pct"/>
            <w:tcBorders>
              <w:top w:val="nil"/>
              <w:left w:val="nil"/>
              <w:bottom w:val="nil"/>
              <w:right w:val="nil"/>
            </w:tcBorders>
            <w:shd w:val="clear" w:color="000000" w:fill="0070C0"/>
            <w:vAlign w:val="center"/>
            <w:hideMark/>
          </w:tcPr>
          <w:p w14:paraId="4B54B671" w14:textId="77777777" w:rsidR="00DF251A" w:rsidRPr="00521670" w:rsidRDefault="00DF251A" w:rsidP="006F3D9A">
            <w:pPr>
              <w:pStyle w:val="Tablehead"/>
              <w:rPr>
                <w:bCs/>
                <w:szCs w:val="18"/>
                <w:lang w:val="ru-RU" w:eastAsia="en-GB"/>
              </w:rPr>
            </w:pPr>
            <w:r w:rsidRPr="00521670">
              <w:rPr>
                <w:szCs w:val="18"/>
                <w:lang w:val="ru-RU" w:eastAsia="en-GB"/>
              </w:rPr>
              <w:t>Всего</w:t>
            </w:r>
          </w:p>
        </w:tc>
      </w:tr>
      <w:tr w:rsidR="00DF251A" w:rsidRPr="00521670" w14:paraId="65A15887" w14:textId="77777777" w:rsidTr="009977AB">
        <w:trPr>
          <w:trHeight w:val="220"/>
        </w:trPr>
        <w:tc>
          <w:tcPr>
            <w:tcW w:w="2133" w:type="pct"/>
            <w:tcBorders>
              <w:top w:val="nil"/>
              <w:left w:val="nil"/>
              <w:bottom w:val="nil"/>
              <w:right w:val="nil"/>
            </w:tcBorders>
            <w:shd w:val="clear" w:color="auto" w:fill="auto"/>
            <w:vAlign w:val="bottom"/>
            <w:hideMark/>
          </w:tcPr>
          <w:p w14:paraId="5ADC4723" w14:textId="77777777" w:rsidR="00DF251A" w:rsidRPr="00521670" w:rsidRDefault="00DF251A" w:rsidP="006F3D9A">
            <w:pPr>
              <w:pStyle w:val="Tabletext"/>
              <w:rPr>
                <w:lang w:val="ru-RU" w:eastAsia="en-GB"/>
              </w:rPr>
            </w:pPr>
          </w:p>
        </w:tc>
        <w:tc>
          <w:tcPr>
            <w:tcW w:w="1094" w:type="pct"/>
            <w:tcBorders>
              <w:top w:val="nil"/>
              <w:left w:val="nil"/>
              <w:bottom w:val="nil"/>
              <w:right w:val="nil"/>
            </w:tcBorders>
            <w:shd w:val="clear" w:color="auto" w:fill="auto"/>
            <w:vAlign w:val="bottom"/>
            <w:hideMark/>
          </w:tcPr>
          <w:p w14:paraId="4FA1EB0C"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vAlign w:val="bottom"/>
            <w:hideMark/>
          </w:tcPr>
          <w:p w14:paraId="11C30354"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vAlign w:val="bottom"/>
            <w:hideMark/>
          </w:tcPr>
          <w:p w14:paraId="01636A70"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vAlign w:val="bottom"/>
            <w:hideMark/>
          </w:tcPr>
          <w:p w14:paraId="5DF6F1A6" w14:textId="77777777" w:rsidR="00DF251A" w:rsidRPr="00521670" w:rsidRDefault="00DF251A" w:rsidP="00C52518">
            <w:pPr>
              <w:pStyle w:val="Tabletext"/>
              <w:jc w:val="right"/>
              <w:rPr>
                <w:lang w:val="ru-RU" w:eastAsia="en-GB"/>
              </w:rPr>
            </w:pPr>
          </w:p>
        </w:tc>
      </w:tr>
      <w:tr w:rsidR="00DF251A" w:rsidRPr="00521670" w14:paraId="596535AC" w14:textId="77777777" w:rsidTr="009977AB">
        <w:trPr>
          <w:trHeight w:val="310"/>
        </w:trPr>
        <w:tc>
          <w:tcPr>
            <w:tcW w:w="2133" w:type="pct"/>
            <w:tcBorders>
              <w:top w:val="nil"/>
              <w:left w:val="nil"/>
              <w:bottom w:val="nil"/>
              <w:right w:val="nil"/>
            </w:tcBorders>
            <w:shd w:val="clear" w:color="000000" w:fill="auto"/>
            <w:noWrap/>
            <w:vAlign w:val="bottom"/>
            <w:hideMark/>
          </w:tcPr>
          <w:p w14:paraId="79CE1592" w14:textId="77777777" w:rsidR="00DF251A" w:rsidRPr="00521670" w:rsidRDefault="00DF251A" w:rsidP="006F3D9A">
            <w:pPr>
              <w:pStyle w:val="Tabletext"/>
              <w:rPr>
                <w:szCs w:val="16"/>
                <w:lang w:val="ru-RU" w:eastAsia="en-GB"/>
              </w:rPr>
            </w:pPr>
            <w:r w:rsidRPr="00521670">
              <w:rPr>
                <w:b/>
                <w:bCs/>
                <w:szCs w:val="16"/>
                <w:lang w:val="ru-RU"/>
              </w:rPr>
              <w:t>Финансовые активы</w:t>
            </w:r>
          </w:p>
        </w:tc>
        <w:tc>
          <w:tcPr>
            <w:tcW w:w="1094" w:type="pct"/>
            <w:tcBorders>
              <w:top w:val="nil"/>
              <w:left w:val="nil"/>
              <w:bottom w:val="nil"/>
              <w:right w:val="nil"/>
            </w:tcBorders>
            <w:shd w:val="clear" w:color="000000" w:fill="auto"/>
            <w:noWrap/>
            <w:vAlign w:val="bottom"/>
            <w:hideMark/>
          </w:tcPr>
          <w:p w14:paraId="721E7CC5"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000000" w:fill="auto"/>
            <w:noWrap/>
            <w:vAlign w:val="bottom"/>
            <w:hideMark/>
          </w:tcPr>
          <w:p w14:paraId="16A57FCA"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000000" w:fill="auto"/>
            <w:noWrap/>
            <w:vAlign w:val="bottom"/>
            <w:hideMark/>
          </w:tcPr>
          <w:p w14:paraId="66242359"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000000" w:fill="auto"/>
            <w:noWrap/>
            <w:vAlign w:val="bottom"/>
            <w:hideMark/>
          </w:tcPr>
          <w:p w14:paraId="136D0BAA" w14:textId="77777777" w:rsidR="00DF251A" w:rsidRPr="00521670" w:rsidRDefault="00DF251A" w:rsidP="00C52518">
            <w:pPr>
              <w:pStyle w:val="Tabletext"/>
              <w:jc w:val="right"/>
              <w:rPr>
                <w:lang w:val="ru-RU" w:eastAsia="en-GB"/>
              </w:rPr>
            </w:pPr>
          </w:p>
        </w:tc>
      </w:tr>
      <w:tr w:rsidR="00DF251A" w:rsidRPr="00521670" w14:paraId="7A07AD90" w14:textId="77777777" w:rsidTr="009977AB">
        <w:trPr>
          <w:trHeight w:val="255"/>
        </w:trPr>
        <w:tc>
          <w:tcPr>
            <w:tcW w:w="2133" w:type="pct"/>
            <w:tcBorders>
              <w:top w:val="nil"/>
              <w:left w:val="nil"/>
              <w:bottom w:val="nil"/>
              <w:right w:val="nil"/>
            </w:tcBorders>
            <w:shd w:val="clear" w:color="000000" w:fill="auto"/>
            <w:noWrap/>
            <w:vAlign w:val="bottom"/>
            <w:hideMark/>
          </w:tcPr>
          <w:p w14:paraId="1AC8FB2D" w14:textId="647CA939" w:rsidR="00DF251A" w:rsidRPr="00521670" w:rsidRDefault="00DF251A" w:rsidP="006F3D9A">
            <w:pPr>
              <w:pStyle w:val="Tabletext"/>
              <w:rPr>
                <w:szCs w:val="16"/>
                <w:lang w:val="ru-RU" w:eastAsia="en-GB"/>
              </w:rPr>
            </w:pPr>
            <w:r w:rsidRPr="00521670">
              <w:rPr>
                <w:szCs w:val="16"/>
                <w:lang w:val="ru-RU"/>
              </w:rPr>
              <w:t>Денежные средства и эквиваленты денежных</w:t>
            </w:r>
            <w:r w:rsidR="009977AB" w:rsidRPr="00521670">
              <w:rPr>
                <w:szCs w:val="16"/>
                <w:lang w:val="ru-RU"/>
              </w:rPr>
              <w:t> </w:t>
            </w:r>
            <w:r w:rsidRPr="00521670">
              <w:rPr>
                <w:szCs w:val="16"/>
                <w:lang w:val="ru-RU"/>
              </w:rPr>
              <w:t>средств</w:t>
            </w:r>
          </w:p>
        </w:tc>
        <w:tc>
          <w:tcPr>
            <w:tcW w:w="1094" w:type="pct"/>
            <w:tcBorders>
              <w:top w:val="nil"/>
              <w:left w:val="nil"/>
              <w:bottom w:val="nil"/>
              <w:right w:val="nil"/>
            </w:tcBorders>
            <w:shd w:val="clear" w:color="000000" w:fill="auto"/>
            <w:noWrap/>
            <w:vAlign w:val="bottom"/>
            <w:hideMark/>
          </w:tcPr>
          <w:p w14:paraId="2B58B235"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04B97253" w14:textId="77777777" w:rsidR="00DF251A" w:rsidRPr="00521670" w:rsidRDefault="00DF251A" w:rsidP="00C52518">
            <w:pPr>
              <w:pStyle w:val="Tabletext"/>
              <w:jc w:val="right"/>
              <w:rPr>
                <w:lang w:val="ru-RU" w:eastAsia="en-GB"/>
              </w:rPr>
            </w:pPr>
            <w:r w:rsidRPr="00521670">
              <w:rPr>
                <w:lang w:val="ru-RU" w:eastAsia="en-GB"/>
              </w:rPr>
              <w:t>210 030</w:t>
            </w:r>
          </w:p>
        </w:tc>
        <w:tc>
          <w:tcPr>
            <w:tcW w:w="591" w:type="pct"/>
            <w:tcBorders>
              <w:top w:val="nil"/>
              <w:left w:val="nil"/>
              <w:bottom w:val="nil"/>
              <w:right w:val="nil"/>
            </w:tcBorders>
            <w:shd w:val="clear" w:color="auto" w:fill="auto"/>
            <w:noWrap/>
            <w:vAlign w:val="bottom"/>
            <w:hideMark/>
          </w:tcPr>
          <w:p w14:paraId="5963902D" w14:textId="629AF1AC" w:rsidR="00DF251A" w:rsidRPr="00521670" w:rsidRDefault="00AF0B8D" w:rsidP="00C52518">
            <w:pPr>
              <w:pStyle w:val="Tabletext"/>
              <w:jc w:val="right"/>
              <w:rPr>
                <w:lang w:val="ru-RU" w:eastAsia="en-GB"/>
              </w:rPr>
            </w:pPr>
            <w:r w:rsidRPr="00521670">
              <w:rPr>
                <w:lang w:val="ru-RU" w:eastAsia="en-GB"/>
              </w:rPr>
              <w:t>−</w:t>
            </w:r>
          </w:p>
        </w:tc>
        <w:tc>
          <w:tcPr>
            <w:tcW w:w="591" w:type="pct"/>
            <w:tcBorders>
              <w:top w:val="nil"/>
              <w:left w:val="nil"/>
              <w:bottom w:val="nil"/>
              <w:right w:val="nil"/>
            </w:tcBorders>
            <w:shd w:val="clear" w:color="auto" w:fill="auto"/>
            <w:noWrap/>
            <w:vAlign w:val="bottom"/>
            <w:hideMark/>
          </w:tcPr>
          <w:p w14:paraId="5B9EE6C3" w14:textId="77777777" w:rsidR="00DF251A" w:rsidRPr="00521670" w:rsidRDefault="00DF251A" w:rsidP="00C52518">
            <w:pPr>
              <w:pStyle w:val="Tabletext"/>
              <w:jc w:val="right"/>
              <w:rPr>
                <w:lang w:val="ru-RU" w:eastAsia="en-GB"/>
              </w:rPr>
            </w:pPr>
            <w:r w:rsidRPr="00521670">
              <w:rPr>
                <w:lang w:val="ru-RU" w:eastAsia="en-GB"/>
              </w:rPr>
              <w:t>210 030</w:t>
            </w:r>
          </w:p>
        </w:tc>
      </w:tr>
      <w:tr w:rsidR="00DF251A" w:rsidRPr="00521670" w14:paraId="2ABAC26A" w14:textId="77777777" w:rsidTr="009977AB">
        <w:trPr>
          <w:trHeight w:val="255"/>
        </w:trPr>
        <w:tc>
          <w:tcPr>
            <w:tcW w:w="2133" w:type="pct"/>
            <w:tcBorders>
              <w:top w:val="nil"/>
              <w:left w:val="nil"/>
              <w:bottom w:val="nil"/>
              <w:right w:val="nil"/>
            </w:tcBorders>
            <w:shd w:val="clear" w:color="000000" w:fill="auto"/>
            <w:noWrap/>
            <w:vAlign w:val="bottom"/>
            <w:hideMark/>
          </w:tcPr>
          <w:p w14:paraId="139A6EA4" w14:textId="77777777" w:rsidR="00DF251A" w:rsidRPr="00521670" w:rsidRDefault="00DF251A" w:rsidP="006F3D9A">
            <w:pPr>
              <w:pStyle w:val="Tabletext"/>
              <w:rPr>
                <w:szCs w:val="16"/>
                <w:lang w:val="ru-RU" w:eastAsia="en-GB"/>
              </w:rPr>
            </w:pPr>
            <w:r w:rsidRPr="00521670">
              <w:rPr>
                <w:szCs w:val="16"/>
                <w:lang w:val="ru-RU"/>
              </w:rPr>
              <w:t>Инвестиции</w:t>
            </w:r>
          </w:p>
        </w:tc>
        <w:tc>
          <w:tcPr>
            <w:tcW w:w="1094" w:type="pct"/>
            <w:tcBorders>
              <w:top w:val="nil"/>
              <w:left w:val="nil"/>
              <w:bottom w:val="nil"/>
              <w:right w:val="nil"/>
            </w:tcBorders>
            <w:shd w:val="clear" w:color="000000" w:fill="auto"/>
            <w:noWrap/>
            <w:vAlign w:val="bottom"/>
            <w:hideMark/>
          </w:tcPr>
          <w:p w14:paraId="269350D6"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7C90F19D" w14:textId="6D3649A5" w:rsidR="00DF251A" w:rsidRPr="00521670" w:rsidRDefault="00AF0B8D" w:rsidP="00C52518">
            <w:pPr>
              <w:pStyle w:val="Tabletext"/>
              <w:jc w:val="right"/>
              <w:rPr>
                <w:lang w:val="ru-RU" w:eastAsia="en-GB"/>
              </w:rPr>
            </w:pPr>
            <w:r w:rsidRPr="00521670">
              <w:rPr>
                <w:lang w:val="ru-RU" w:eastAsia="en-GB"/>
              </w:rPr>
              <w:t>−</w:t>
            </w:r>
          </w:p>
        </w:tc>
        <w:tc>
          <w:tcPr>
            <w:tcW w:w="591" w:type="pct"/>
            <w:tcBorders>
              <w:top w:val="nil"/>
              <w:left w:val="nil"/>
              <w:bottom w:val="nil"/>
              <w:right w:val="nil"/>
            </w:tcBorders>
            <w:shd w:val="clear" w:color="auto" w:fill="auto"/>
            <w:noWrap/>
            <w:vAlign w:val="bottom"/>
            <w:hideMark/>
          </w:tcPr>
          <w:p w14:paraId="5F920600" w14:textId="56B429F0" w:rsidR="00DF251A" w:rsidRPr="00521670" w:rsidRDefault="00AF0B8D" w:rsidP="00C52518">
            <w:pPr>
              <w:pStyle w:val="Tabletext"/>
              <w:jc w:val="right"/>
              <w:rPr>
                <w:lang w:val="ru-RU" w:eastAsia="en-GB"/>
              </w:rPr>
            </w:pPr>
            <w:r w:rsidRPr="00521670">
              <w:rPr>
                <w:lang w:val="ru-RU" w:eastAsia="en-GB"/>
              </w:rPr>
              <w:t>−</w:t>
            </w:r>
          </w:p>
        </w:tc>
        <w:tc>
          <w:tcPr>
            <w:tcW w:w="591" w:type="pct"/>
            <w:tcBorders>
              <w:top w:val="nil"/>
              <w:left w:val="nil"/>
              <w:bottom w:val="nil"/>
              <w:right w:val="nil"/>
            </w:tcBorders>
            <w:shd w:val="clear" w:color="auto" w:fill="auto"/>
            <w:noWrap/>
            <w:vAlign w:val="bottom"/>
            <w:hideMark/>
          </w:tcPr>
          <w:p w14:paraId="7FFD127A" w14:textId="58B9C4B6" w:rsidR="00DF251A" w:rsidRPr="00521670" w:rsidRDefault="00AF0B8D" w:rsidP="00C52518">
            <w:pPr>
              <w:pStyle w:val="Tabletext"/>
              <w:jc w:val="right"/>
              <w:rPr>
                <w:lang w:val="ru-RU" w:eastAsia="en-GB"/>
              </w:rPr>
            </w:pPr>
            <w:r w:rsidRPr="00521670">
              <w:rPr>
                <w:lang w:val="ru-RU" w:eastAsia="en-GB"/>
              </w:rPr>
              <w:t>−</w:t>
            </w:r>
          </w:p>
        </w:tc>
      </w:tr>
      <w:tr w:rsidR="00DF251A" w:rsidRPr="00521670" w14:paraId="6C4F161F" w14:textId="77777777" w:rsidTr="009977AB">
        <w:trPr>
          <w:trHeight w:val="255"/>
        </w:trPr>
        <w:tc>
          <w:tcPr>
            <w:tcW w:w="2133" w:type="pct"/>
            <w:tcBorders>
              <w:top w:val="nil"/>
              <w:left w:val="nil"/>
              <w:bottom w:val="nil"/>
              <w:right w:val="nil"/>
            </w:tcBorders>
            <w:shd w:val="clear" w:color="000000" w:fill="auto"/>
            <w:noWrap/>
            <w:vAlign w:val="bottom"/>
            <w:hideMark/>
          </w:tcPr>
          <w:p w14:paraId="59C12C28" w14:textId="77777777" w:rsidR="00DF251A" w:rsidRPr="00521670" w:rsidRDefault="00DF251A" w:rsidP="006F3D9A">
            <w:pPr>
              <w:pStyle w:val="Tabletext"/>
              <w:rPr>
                <w:szCs w:val="16"/>
                <w:lang w:val="ru-RU" w:eastAsia="en-GB"/>
              </w:rPr>
            </w:pPr>
            <w:r w:rsidRPr="00521670">
              <w:rPr>
                <w:szCs w:val="16"/>
                <w:lang w:val="ru-RU"/>
              </w:rPr>
              <w:t>Долговые обязательства</w:t>
            </w:r>
          </w:p>
        </w:tc>
        <w:tc>
          <w:tcPr>
            <w:tcW w:w="1094" w:type="pct"/>
            <w:tcBorders>
              <w:top w:val="nil"/>
              <w:left w:val="nil"/>
              <w:bottom w:val="nil"/>
              <w:right w:val="nil"/>
            </w:tcBorders>
            <w:shd w:val="clear" w:color="000000" w:fill="auto"/>
            <w:noWrap/>
            <w:vAlign w:val="bottom"/>
            <w:hideMark/>
          </w:tcPr>
          <w:p w14:paraId="62C7D797"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27A6ACA0" w14:textId="77777777" w:rsidR="00DF251A" w:rsidRPr="00521670" w:rsidRDefault="00DF251A" w:rsidP="00C52518">
            <w:pPr>
              <w:pStyle w:val="Tabletext"/>
              <w:jc w:val="right"/>
              <w:rPr>
                <w:lang w:val="ru-RU" w:eastAsia="en-GB"/>
              </w:rPr>
            </w:pPr>
            <w:r w:rsidRPr="00521670">
              <w:rPr>
                <w:lang w:val="ru-RU" w:eastAsia="en-GB"/>
              </w:rPr>
              <w:t>20 546</w:t>
            </w:r>
          </w:p>
        </w:tc>
        <w:tc>
          <w:tcPr>
            <w:tcW w:w="591" w:type="pct"/>
            <w:tcBorders>
              <w:top w:val="nil"/>
              <w:left w:val="nil"/>
              <w:bottom w:val="nil"/>
              <w:right w:val="nil"/>
            </w:tcBorders>
            <w:shd w:val="clear" w:color="auto" w:fill="auto"/>
            <w:noWrap/>
            <w:vAlign w:val="bottom"/>
            <w:hideMark/>
          </w:tcPr>
          <w:p w14:paraId="403937C3" w14:textId="77777777" w:rsidR="00DF251A" w:rsidRPr="00521670" w:rsidRDefault="00DF251A" w:rsidP="00C52518">
            <w:pPr>
              <w:pStyle w:val="Tabletext"/>
              <w:jc w:val="right"/>
              <w:rPr>
                <w:lang w:val="ru-RU" w:eastAsia="en-GB"/>
              </w:rPr>
            </w:pPr>
            <w:r w:rsidRPr="00521670">
              <w:rPr>
                <w:lang w:val="ru-RU" w:eastAsia="en-GB"/>
              </w:rPr>
              <w:t>15 986</w:t>
            </w:r>
          </w:p>
        </w:tc>
        <w:tc>
          <w:tcPr>
            <w:tcW w:w="591" w:type="pct"/>
            <w:tcBorders>
              <w:top w:val="nil"/>
              <w:left w:val="nil"/>
              <w:bottom w:val="nil"/>
              <w:right w:val="nil"/>
            </w:tcBorders>
            <w:shd w:val="clear" w:color="auto" w:fill="auto"/>
            <w:noWrap/>
            <w:vAlign w:val="bottom"/>
            <w:hideMark/>
          </w:tcPr>
          <w:p w14:paraId="6E1D122C" w14:textId="77777777" w:rsidR="00DF251A" w:rsidRPr="00521670" w:rsidRDefault="00DF251A" w:rsidP="00C52518">
            <w:pPr>
              <w:pStyle w:val="Tabletext"/>
              <w:jc w:val="right"/>
              <w:rPr>
                <w:lang w:val="ru-RU" w:eastAsia="en-GB"/>
              </w:rPr>
            </w:pPr>
            <w:r w:rsidRPr="00521670">
              <w:rPr>
                <w:lang w:val="ru-RU" w:eastAsia="en-GB"/>
              </w:rPr>
              <w:t>36 532</w:t>
            </w:r>
          </w:p>
        </w:tc>
      </w:tr>
      <w:tr w:rsidR="00DF251A" w:rsidRPr="00521670" w14:paraId="3DA7C31E" w14:textId="77777777" w:rsidTr="009977AB">
        <w:trPr>
          <w:trHeight w:val="255"/>
        </w:trPr>
        <w:tc>
          <w:tcPr>
            <w:tcW w:w="2133" w:type="pct"/>
            <w:tcBorders>
              <w:top w:val="nil"/>
              <w:left w:val="nil"/>
              <w:bottom w:val="nil"/>
              <w:right w:val="nil"/>
            </w:tcBorders>
            <w:shd w:val="clear" w:color="auto" w:fill="auto"/>
            <w:noWrap/>
            <w:vAlign w:val="bottom"/>
            <w:hideMark/>
          </w:tcPr>
          <w:p w14:paraId="31109215" w14:textId="77777777" w:rsidR="00DF251A" w:rsidRPr="00521670" w:rsidRDefault="00DF251A" w:rsidP="006F3D9A">
            <w:pPr>
              <w:pStyle w:val="Tabletext"/>
              <w:rPr>
                <w:szCs w:val="16"/>
                <w:lang w:val="ru-RU" w:eastAsia="en-GB"/>
              </w:rPr>
            </w:pPr>
            <w:r w:rsidRPr="00521670">
              <w:rPr>
                <w:szCs w:val="16"/>
                <w:lang w:val="ru-RU"/>
              </w:rPr>
              <w:t>Прочие долговые обязательства</w:t>
            </w:r>
          </w:p>
        </w:tc>
        <w:tc>
          <w:tcPr>
            <w:tcW w:w="1094" w:type="pct"/>
            <w:tcBorders>
              <w:top w:val="nil"/>
              <w:left w:val="nil"/>
              <w:bottom w:val="nil"/>
              <w:right w:val="nil"/>
            </w:tcBorders>
            <w:shd w:val="clear" w:color="000000" w:fill="auto"/>
            <w:noWrap/>
            <w:vAlign w:val="bottom"/>
            <w:hideMark/>
          </w:tcPr>
          <w:p w14:paraId="63C0FBFB"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7D8FA98A" w14:textId="77777777" w:rsidR="00DF251A" w:rsidRPr="00521670" w:rsidRDefault="00DF251A" w:rsidP="00C52518">
            <w:pPr>
              <w:pStyle w:val="Tabletext"/>
              <w:jc w:val="right"/>
              <w:rPr>
                <w:lang w:val="ru-RU" w:eastAsia="en-GB"/>
              </w:rPr>
            </w:pPr>
            <w:r w:rsidRPr="00521670">
              <w:rPr>
                <w:lang w:val="ru-RU" w:eastAsia="en-GB"/>
              </w:rPr>
              <w:t>7 349</w:t>
            </w:r>
          </w:p>
        </w:tc>
        <w:tc>
          <w:tcPr>
            <w:tcW w:w="591" w:type="pct"/>
            <w:tcBorders>
              <w:top w:val="nil"/>
              <w:left w:val="nil"/>
              <w:bottom w:val="nil"/>
              <w:right w:val="nil"/>
            </w:tcBorders>
            <w:shd w:val="clear" w:color="auto" w:fill="auto"/>
            <w:noWrap/>
            <w:vAlign w:val="bottom"/>
            <w:hideMark/>
          </w:tcPr>
          <w:p w14:paraId="0B681FC7" w14:textId="69BC62DD" w:rsidR="00DF251A" w:rsidRPr="00521670" w:rsidRDefault="00AF0B8D" w:rsidP="00C52518">
            <w:pPr>
              <w:pStyle w:val="Tabletext"/>
              <w:jc w:val="right"/>
              <w:rPr>
                <w:lang w:val="ru-RU" w:eastAsia="en-GB"/>
              </w:rPr>
            </w:pPr>
            <w:r w:rsidRPr="00521670">
              <w:rPr>
                <w:lang w:val="ru-RU" w:eastAsia="en-GB"/>
              </w:rPr>
              <w:t>−</w:t>
            </w:r>
          </w:p>
        </w:tc>
        <w:tc>
          <w:tcPr>
            <w:tcW w:w="591" w:type="pct"/>
            <w:tcBorders>
              <w:top w:val="nil"/>
              <w:left w:val="nil"/>
              <w:bottom w:val="nil"/>
              <w:right w:val="nil"/>
            </w:tcBorders>
            <w:shd w:val="clear" w:color="auto" w:fill="auto"/>
            <w:noWrap/>
            <w:vAlign w:val="bottom"/>
            <w:hideMark/>
          </w:tcPr>
          <w:p w14:paraId="3497C686" w14:textId="77777777" w:rsidR="00DF251A" w:rsidRPr="00521670" w:rsidRDefault="00DF251A" w:rsidP="00C52518">
            <w:pPr>
              <w:pStyle w:val="Tabletext"/>
              <w:jc w:val="right"/>
              <w:rPr>
                <w:lang w:val="ru-RU" w:eastAsia="en-GB"/>
              </w:rPr>
            </w:pPr>
            <w:r w:rsidRPr="00521670">
              <w:rPr>
                <w:lang w:val="ru-RU" w:eastAsia="en-GB"/>
              </w:rPr>
              <w:t>7 349</w:t>
            </w:r>
          </w:p>
        </w:tc>
      </w:tr>
      <w:tr w:rsidR="00DF251A" w:rsidRPr="00521670" w14:paraId="25022CE0" w14:textId="77777777" w:rsidTr="009977AB">
        <w:trPr>
          <w:trHeight w:val="120"/>
        </w:trPr>
        <w:tc>
          <w:tcPr>
            <w:tcW w:w="2133" w:type="pct"/>
            <w:tcBorders>
              <w:top w:val="nil"/>
              <w:left w:val="nil"/>
              <w:bottom w:val="nil"/>
              <w:right w:val="nil"/>
            </w:tcBorders>
            <w:shd w:val="clear" w:color="000000" w:fill="auto"/>
            <w:noWrap/>
            <w:vAlign w:val="bottom"/>
            <w:hideMark/>
          </w:tcPr>
          <w:p w14:paraId="67F537D4" w14:textId="77777777" w:rsidR="00DF251A" w:rsidRPr="00521670" w:rsidRDefault="00DF251A" w:rsidP="006F3D9A">
            <w:pPr>
              <w:pStyle w:val="Tabletext"/>
              <w:rPr>
                <w:szCs w:val="16"/>
                <w:lang w:val="ru-RU" w:eastAsia="en-GB"/>
              </w:rPr>
            </w:pPr>
          </w:p>
        </w:tc>
        <w:tc>
          <w:tcPr>
            <w:tcW w:w="1094" w:type="pct"/>
            <w:tcBorders>
              <w:top w:val="nil"/>
              <w:left w:val="nil"/>
              <w:bottom w:val="nil"/>
              <w:right w:val="nil"/>
            </w:tcBorders>
            <w:shd w:val="clear" w:color="000000" w:fill="auto"/>
            <w:noWrap/>
            <w:vAlign w:val="bottom"/>
            <w:hideMark/>
          </w:tcPr>
          <w:p w14:paraId="456BA95D"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4E4D3D76"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043BA832"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7FB02ED9" w14:textId="77777777" w:rsidR="00DF251A" w:rsidRPr="00521670" w:rsidRDefault="00DF251A" w:rsidP="00C52518">
            <w:pPr>
              <w:pStyle w:val="Tabletext"/>
              <w:jc w:val="right"/>
              <w:rPr>
                <w:lang w:val="ru-RU" w:eastAsia="en-GB"/>
              </w:rPr>
            </w:pPr>
          </w:p>
        </w:tc>
      </w:tr>
      <w:tr w:rsidR="00DF251A" w:rsidRPr="00521670" w14:paraId="2329C4BF" w14:textId="77777777" w:rsidTr="009977AB">
        <w:trPr>
          <w:trHeight w:val="220"/>
        </w:trPr>
        <w:tc>
          <w:tcPr>
            <w:tcW w:w="2133" w:type="pct"/>
            <w:tcBorders>
              <w:top w:val="nil"/>
              <w:left w:val="nil"/>
              <w:bottom w:val="nil"/>
              <w:right w:val="nil"/>
            </w:tcBorders>
            <w:shd w:val="clear" w:color="000000" w:fill="0070C0"/>
            <w:noWrap/>
            <w:vAlign w:val="center"/>
            <w:hideMark/>
          </w:tcPr>
          <w:p w14:paraId="5F805288" w14:textId="77777777" w:rsidR="00DF251A" w:rsidRPr="00521670" w:rsidRDefault="00DF251A" w:rsidP="006F3D9A">
            <w:pPr>
              <w:pStyle w:val="Tabletext"/>
              <w:rPr>
                <w:b/>
                <w:bCs/>
                <w:szCs w:val="16"/>
                <w:lang w:val="ru-RU" w:eastAsia="en-GB"/>
              </w:rPr>
            </w:pPr>
            <w:r w:rsidRPr="00521670">
              <w:rPr>
                <w:b/>
                <w:bCs/>
                <w:szCs w:val="16"/>
                <w:lang w:val="ru-RU"/>
              </w:rPr>
              <w:t>Всего: финансовые активы</w:t>
            </w:r>
          </w:p>
        </w:tc>
        <w:tc>
          <w:tcPr>
            <w:tcW w:w="1094" w:type="pct"/>
            <w:tcBorders>
              <w:top w:val="nil"/>
              <w:left w:val="nil"/>
              <w:bottom w:val="nil"/>
              <w:right w:val="nil"/>
            </w:tcBorders>
            <w:shd w:val="clear" w:color="000000" w:fill="0070C0"/>
            <w:noWrap/>
            <w:vAlign w:val="bottom"/>
            <w:hideMark/>
          </w:tcPr>
          <w:p w14:paraId="58EB1E58" w14:textId="77777777" w:rsidR="00DF251A" w:rsidRPr="00521670" w:rsidRDefault="00DF251A" w:rsidP="00C52518">
            <w:pPr>
              <w:pStyle w:val="Tabletext"/>
              <w:jc w:val="right"/>
              <w:rPr>
                <w:b/>
                <w:bCs/>
                <w:lang w:val="ru-RU" w:eastAsia="en-GB"/>
              </w:rPr>
            </w:pPr>
            <w:r w:rsidRPr="00521670">
              <w:rPr>
                <w:b/>
                <w:bCs/>
                <w:lang w:val="ru-RU" w:eastAsia="en-GB"/>
              </w:rPr>
              <w:t> </w:t>
            </w:r>
          </w:p>
        </w:tc>
        <w:tc>
          <w:tcPr>
            <w:tcW w:w="591" w:type="pct"/>
            <w:tcBorders>
              <w:top w:val="nil"/>
              <w:left w:val="nil"/>
              <w:bottom w:val="nil"/>
              <w:right w:val="nil"/>
            </w:tcBorders>
            <w:shd w:val="clear" w:color="000000" w:fill="0070C0"/>
            <w:noWrap/>
            <w:vAlign w:val="bottom"/>
            <w:hideMark/>
          </w:tcPr>
          <w:p w14:paraId="4EF8083C" w14:textId="77777777" w:rsidR="00DF251A" w:rsidRPr="00521670" w:rsidRDefault="00DF251A" w:rsidP="00C52518">
            <w:pPr>
              <w:pStyle w:val="Tabletext"/>
              <w:jc w:val="right"/>
              <w:rPr>
                <w:b/>
                <w:bCs/>
                <w:lang w:val="ru-RU" w:eastAsia="en-GB"/>
              </w:rPr>
            </w:pPr>
            <w:r w:rsidRPr="00521670">
              <w:rPr>
                <w:b/>
                <w:bCs/>
                <w:lang w:val="ru-RU" w:eastAsia="en-GB"/>
              </w:rPr>
              <w:t>237 926</w:t>
            </w:r>
          </w:p>
        </w:tc>
        <w:tc>
          <w:tcPr>
            <w:tcW w:w="591" w:type="pct"/>
            <w:tcBorders>
              <w:top w:val="nil"/>
              <w:left w:val="nil"/>
              <w:bottom w:val="nil"/>
              <w:right w:val="nil"/>
            </w:tcBorders>
            <w:shd w:val="clear" w:color="000000" w:fill="0070C0"/>
            <w:noWrap/>
            <w:vAlign w:val="bottom"/>
            <w:hideMark/>
          </w:tcPr>
          <w:p w14:paraId="1C60BFB7" w14:textId="77777777" w:rsidR="00DF251A" w:rsidRPr="00521670" w:rsidRDefault="00DF251A" w:rsidP="00C52518">
            <w:pPr>
              <w:pStyle w:val="Tabletext"/>
              <w:jc w:val="right"/>
              <w:rPr>
                <w:b/>
                <w:bCs/>
                <w:lang w:val="ru-RU" w:eastAsia="en-GB"/>
              </w:rPr>
            </w:pPr>
            <w:r w:rsidRPr="00521670">
              <w:rPr>
                <w:b/>
                <w:bCs/>
                <w:lang w:val="ru-RU" w:eastAsia="en-GB"/>
              </w:rPr>
              <w:t>15 986</w:t>
            </w:r>
          </w:p>
        </w:tc>
        <w:tc>
          <w:tcPr>
            <w:tcW w:w="591" w:type="pct"/>
            <w:tcBorders>
              <w:top w:val="nil"/>
              <w:left w:val="nil"/>
              <w:bottom w:val="nil"/>
              <w:right w:val="nil"/>
            </w:tcBorders>
            <w:shd w:val="clear" w:color="000000" w:fill="0070C0"/>
            <w:noWrap/>
            <w:vAlign w:val="bottom"/>
            <w:hideMark/>
          </w:tcPr>
          <w:p w14:paraId="46A781C2" w14:textId="77777777" w:rsidR="00DF251A" w:rsidRPr="00521670" w:rsidRDefault="00DF251A" w:rsidP="00C52518">
            <w:pPr>
              <w:pStyle w:val="Tabletext"/>
              <w:jc w:val="right"/>
              <w:rPr>
                <w:b/>
                <w:bCs/>
                <w:lang w:val="ru-RU" w:eastAsia="en-GB"/>
              </w:rPr>
            </w:pPr>
            <w:r w:rsidRPr="00521670">
              <w:rPr>
                <w:b/>
                <w:bCs/>
                <w:lang w:val="ru-RU" w:eastAsia="en-GB"/>
              </w:rPr>
              <w:t>253 911</w:t>
            </w:r>
          </w:p>
        </w:tc>
      </w:tr>
      <w:tr w:rsidR="00DF251A" w:rsidRPr="00521670" w14:paraId="5D9CB7CF" w14:textId="77777777" w:rsidTr="009977AB">
        <w:trPr>
          <w:trHeight w:val="255"/>
        </w:trPr>
        <w:tc>
          <w:tcPr>
            <w:tcW w:w="2133" w:type="pct"/>
            <w:tcBorders>
              <w:top w:val="nil"/>
              <w:left w:val="nil"/>
              <w:bottom w:val="nil"/>
              <w:right w:val="nil"/>
            </w:tcBorders>
            <w:shd w:val="clear" w:color="000000" w:fill="auto"/>
            <w:noWrap/>
            <w:vAlign w:val="bottom"/>
            <w:hideMark/>
          </w:tcPr>
          <w:p w14:paraId="146DA1FD" w14:textId="77777777" w:rsidR="00DF251A" w:rsidRPr="00521670" w:rsidRDefault="00DF251A" w:rsidP="006F3D9A">
            <w:pPr>
              <w:pStyle w:val="Tabletext"/>
              <w:rPr>
                <w:szCs w:val="16"/>
                <w:lang w:val="ru-RU" w:eastAsia="en-GB"/>
              </w:rPr>
            </w:pPr>
          </w:p>
        </w:tc>
        <w:tc>
          <w:tcPr>
            <w:tcW w:w="1094" w:type="pct"/>
            <w:tcBorders>
              <w:top w:val="nil"/>
              <w:left w:val="nil"/>
              <w:bottom w:val="nil"/>
              <w:right w:val="nil"/>
            </w:tcBorders>
            <w:shd w:val="clear" w:color="000000" w:fill="auto"/>
            <w:noWrap/>
            <w:vAlign w:val="bottom"/>
            <w:hideMark/>
          </w:tcPr>
          <w:p w14:paraId="4CEC2F24"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1BD955D1"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7BBDEF51"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4092DFB3" w14:textId="77777777" w:rsidR="00DF251A" w:rsidRPr="00521670" w:rsidRDefault="00DF251A" w:rsidP="00C52518">
            <w:pPr>
              <w:pStyle w:val="Tabletext"/>
              <w:jc w:val="right"/>
              <w:rPr>
                <w:lang w:val="ru-RU" w:eastAsia="en-GB"/>
              </w:rPr>
            </w:pPr>
          </w:p>
        </w:tc>
      </w:tr>
      <w:tr w:rsidR="00DF251A" w:rsidRPr="00521670" w14:paraId="5BF2254C" w14:textId="77777777" w:rsidTr="009977AB">
        <w:trPr>
          <w:trHeight w:val="255"/>
        </w:trPr>
        <w:tc>
          <w:tcPr>
            <w:tcW w:w="2133" w:type="pct"/>
            <w:tcBorders>
              <w:top w:val="nil"/>
              <w:left w:val="nil"/>
              <w:bottom w:val="nil"/>
              <w:right w:val="nil"/>
            </w:tcBorders>
            <w:shd w:val="clear" w:color="000000" w:fill="auto"/>
            <w:noWrap/>
            <w:vAlign w:val="bottom"/>
            <w:hideMark/>
          </w:tcPr>
          <w:p w14:paraId="60445B9C" w14:textId="77777777" w:rsidR="00DF251A" w:rsidRPr="00521670" w:rsidRDefault="00DF251A" w:rsidP="00264D73">
            <w:pPr>
              <w:pStyle w:val="Tabletext"/>
              <w:rPr>
                <w:szCs w:val="16"/>
                <w:lang w:val="ru-RU" w:eastAsia="en-GB"/>
              </w:rPr>
            </w:pPr>
            <w:r w:rsidRPr="00521670">
              <w:rPr>
                <w:b/>
                <w:bCs/>
                <w:szCs w:val="16"/>
                <w:lang w:val="ru-RU"/>
              </w:rPr>
              <w:t>Финансовые обязательства</w:t>
            </w:r>
          </w:p>
        </w:tc>
        <w:tc>
          <w:tcPr>
            <w:tcW w:w="1094" w:type="pct"/>
            <w:tcBorders>
              <w:top w:val="nil"/>
              <w:left w:val="nil"/>
              <w:bottom w:val="nil"/>
              <w:right w:val="nil"/>
            </w:tcBorders>
            <w:shd w:val="clear" w:color="000000" w:fill="auto"/>
            <w:noWrap/>
            <w:vAlign w:val="bottom"/>
            <w:hideMark/>
          </w:tcPr>
          <w:p w14:paraId="397B6097"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4D35506E"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115B620F"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000000" w:fill="auto"/>
            <w:noWrap/>
            <w:vAlign w:val="bottom"/>
            <w:hideMark/>
          </w:tcPr>
          <w:p w14:paraId="79CD819C" w14:textId="77777777" w:rsidR="00DF251A" w:rsidRPr="00521670" w:rsidRDefault="00DF251A" w:rsidP="00C52518">
            <w:pPr>
              <w:pStyle w:val="Tabletext"/>
              <w:jc w:val="right"/>
              <w:rPr>
                <w:lang w:val="ru-RU" w:eastAsia="en-GB"/>
              </w:rPr>
            </w:pPr>
          </w:p>
        </w:tc>
      </w:tr>
      <w:tr w:rsidR="00DF251A" w:rsidRPr="00521670" w14:paraId="3A89C3C5" w14:textId="77777777" w:rsidTr="009977AB">
        <w:trPr>
          <w:trHeight w:val="255"/>
        </w:trPr>
        <w:tc>
          <w:tcPr>
            <w:tcW w:w="2133" w:type="pct"/>
            <w:tcBorders>
              <w:top w:val="nil"/>
              <w:left w:val="nil"/>
              <w:bottom w:val="nil"/>
              <w:right w:val="nil"/>
            </w:tcBorders>
            <w:shd w:val="clear" w:color="000000" w:fill="auto"/>
            <w:noWrap/>
            <w:vAlign w:val="bottom"/>
            <w:hideMark/>
          </w:tcPr>
          <w:p w14:paraId="738DB68A" w14:textId="77777777" w:rsidR="00DF251A" w:rsidRPr="00521670" w:rsidRDefault="00DF251A" w:rsidP="006F3D9A">
            <w:pPr>
              <w:pStyle w:val="Tabletext"/>
              <w:rPr>
                <w:szCs w:val="16"/>
                <w:lang w:val="ru-RU" w:eastAsia="en-GB"/>
              </w:rPr>
            </w:pPr>
            <w:r w:rsidRPr="00521670">
              <w:rPr>
                <w:szCs w:val="16"/>
                <w:lang w:val="ru-RU" w:eastAsia="en-GB"/>
              </w:rPr>
              <w:t>Кредиторская задолженность</w:t>
            </w:r>
          </w:p>
        </w:tc>
        <w:tc>
          <w:tcPr>
            <w:tcW w:w="1094" w:type="pct"/>
            <w:tcBorders>
              <w:top w:val="nil"/>
              <w:left w:val="nil"/>
              <w:bottom w:val="nil"/>
              <w:right w:val="nil"/>
            </w:tcBorders>
            <w:shd w:val="clear" w:color="000000" w:fill="auto"/>
            <w:noWrap/>
            <w:vAlign w:val="bottom"/>
            <w:hideMark/>
          </w:tcPr>
          <w:p w14:paraId="1EA0B57C"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165F1883" w14:textId="77777777" w:rsidR="00DF251A" w:rsidRPr="00521670" w:rsidRDefault="00DF251A" w:rsidP="00C52518">
            <w:pPr>
              <w:pStyle w:val="Tabletext"/>
              <w:jc w:val="right"/>
              <w:rPr>
                <w:lang w:val="ru-RU" w:eastAsia="en-GB"/>
              </w:rPr>
            </w:pPr>
            <w:r w:rsidRPr="00521670">
              <w:rPr>
                <w:lang w:val="ru-RU" w:eastAsia="en-GB"/>
              </w:rPr>
              <w:t>11 478</w:t>
            </w:r>
          </w:p>
        </w:tc>
        <w:tc>
          <w:tcPr>
            <w:tcW w:w="591" w:type="pct"/>
            <w:tcBorders>
              <w:top w:val="nil"/>
              <w:left w:val="nil"/>
              <w:bottom w:val="nil"/>
              <w:right w:val="nil"/>
            </w:tcBorders>
            <w:shd w:val="clear" w:color="auto" w:fill="auto"/>
            <w:noWrap/>
            <w:vAlign w:val="bottom"/>
            <w:hideMark/>
          </w:tcPr>
          <w:p w14:paraId="593C117C" w14:textId="7B29B5F0" w:rsidR="00DF251A" w:rsidRPr="00521670" w:rsidRDefault="00AF0B8D" w:rsidP="00C52518">
            <w:pPr>
              <w:pStyle w:val="Tabletext"/>
              <w:jc w:val="right"/>
              <w:rPr>
                <w:lang w:val="ru-RU" w:eastAsia="en-GB"/>
              </w:rPr>
            </w:pPr>
            <w:r w:rsidRPr="00521670">
              <w:rPr>
                <w:lang w:val="ru-RU" w:eastAsia="en-GB"/>
              </w:rPr>
              <w:t>−</w:t>
            </w:r>
          </w:p>
        </w:tc>
        <w:tc>
          <w:tcPr>
            <w:tcW w:w="591" w:type="pct"/>
            <w:tcBorders>
              <w:top w:val="nil"/>
              <w:left w:val="nil"/>
              <w:bottom w:val="nil"/>
              <w:right w:val="nil"/>
            </w:tcBorders>
            <w:shd w:val="clear" w:color="auto" w:fill="auto"/>
            <w:noWrap/>
            <w:vAlign w:val="bottom"/>
            <w:hideMark/>
          </w:tcPr>
          <w:p w14:paraId="7077AF37" w14:textId="77777777" w:rsidR="00DF251A" w:rsidRPr="00521670" w:rsidRDefault="00DF251A" w:rsidP="00C52518">
            <w:pPr>
              <w:pStyle w:val="Tabletext"/>
              <w:jc w:val="right"/>
              <w:rPr>
                <w:lang w:val="ru-RU" w:eastAsia="en-GB"/>
              </w:rPr>
            </w:pPr>
            <w:r w:rsidRPr="00521670">
              <w:rPr>
                <w:lang w:val="ru-RU" w:eastAsia="en-GB"/>
              </w:rPr>
              <w:t>11 478</w:t>
            </w:r>
          </w:p>
        </w:tc>
      </w:tr>
      <w:tr w:rsidR="00DF251A" w:rsidRPr="00521670" w14:paraId="5D7093F3" w14:textId="77777777" w:rsidTr="009977AB">
        <w:trPr>
          <w:trHeight w:val="255"/>
        </w:trPr>
        <w:tc>
          <w:tcPr>
            <w:tcW w:w="2133" w:type="pct"/>
            <w:tcBorders>
              <w:top w:val="nil"/>
              <w:left w:val="nil"/>
              <w:bottom w:val="nil"/>
              <w:right w:val="nil"/>
            </w:tcBorders>
            <w:shd w:val="clear" w:color="auto" w:fill="auto"/>
            <w:noWrap/>
            <w:vAlign w:val="bottom"/>
            <w:hideMark/>
          </w:tcPr>
          <w:p w14:paraId="522840E5" w14:textId="77777777" w:rsidR="00DF251A" w:rsidRPr="00521670" w:rsidRDefault="00DF251A" w:rsidP="00264D73">
            <w:pPr>
              <w:pStyle w:val="Tabletext"/>
              <w:rPr>
                <w:szCs w:val="16"/>
                <w:lang w:val="ru-RU" w:eastAsia="en-GB"/>
              </w:rPr>
            </w:pPr>
            <w:r w:rsidRPr="00521670">
              <w:rPr>
                <w:szCs w:val="16"/>
                <w:lang w:val="ru-RU" w:eastAsia="en-GB"/>
              </w:rPr>
              <w:t>Прочие обязательства</w:t>
            </w:r>
          </w:p>
        </w:tc>
        <w:tc>
          <w:tcPr>
            <w:tcW w:w="1094" w:type="pct"/>
            <w:tcBorders>
              <w:top w:val="nil"/>
              <w:left w:val="nil"/>
              <w:bottom w:val="nil"/>
              <w:right w:val="nil"/>
            </w:tcBorders>
            <w:shd w:val="clear" w:color="000000" w:fill="auto"/>
            <w:noWrap/>
            <w:vAlign w:val="bottom"/>
            <w:hideMark/>
          </w:tcPr>
          <w:p w14:paraId="6D4E7358"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75ABF538" w14:textId="77777777" w:rsidR="00DF251A" w:rsidRPr="00521670" w:rsidRDefault="00DF251A" w:rsidP="00C52518">
            <w:pPr>
              <w:pStyle w:val="Tabletext"/>
              <w:jc w:val="right"/>
              <w:rPr>
                <w:lang w:val="ru-RU" w:eastAsia="en-GB"/>
              </w:rPr>
            </w:pPr>
            <w:r w:rsidRPr="00521670">
              <w:rPr>
                <w:lang w:val="ru-RU" w:eastAsia="en-GB"/>
              </w:rPr>
              <w:t>8 765</w:t>
            </w:r>
          </w:p>
        </w:tc>
        <w:tc>
          <w:tcPr>
            <w:tcW w:w="591" w:type="pct"/>
            <w:tcBorders>
              <w:top w:val="nil"/>
              <w:left w:val="nil"/>
              <w:bottom w:val="nil"/>
              <w:right w:val="nil"/>
            </w:tcBorders>
            <w:shd w:val="clear" w:color="auto" w:fill="auto"/>
            <w:noWrap/>
            <w:vAlign w:val="bottom"/>
            <w:hideMark/>
          </w:tcPr>
          <w:p w14:paraId="60EB6818" w14:textId="0A35A97C" w:rsidR="00DF251A" w:rsidRPr="00521670" w:rsidRDefault="00AF0B8D" w:rsidP="00C52518">
            <w:pPr>
              <w:pStyle w:val="Tabletext"/>
              <w:jc w:val="right"/>
              <w:rPr>
                <w:lang w:val="ru-RU" w:eastAsia="en-GB"/>
              </w:rPr>
            </w:pPr>
            <w:r w:rsidRPr="00521670">
              <w:rPr>
                <w:lang w:val="ru-RU" w:eastAsia="en-GB"/>
              </w:rPr>
              <w:t>−</w:t>
            </w:r>
          </w:p>
        </w:tc>
        <w:tc>
          <w:tcPr>
            <w:tcW w:w="591" w:type="pct"/>
            <w:tcBorders>
              <w:top w:val="nil"/>
              <w:left w:val="nil"/>
              <w:bottom w:val="nil"/>
              <w:right w:val="nil"/>
            </w:tcBorders>
            <w:shd w:val="clear" w:color="auto" w:fill="auto"/>
            <w:noWrap/>
            <w:vAlign w:val="bottom"/>
            <w:hideMark/>
          </w:tcPr>
          <w:p w14:paraId="42053936" w14:textId="77777777" w:rsidR="00DF251A" w:rsidRPr="00521670" w:rsidRDefault="00DF251A" w:rsidP="00C52518">
            <w:pPr>
              <w:pStyle w:val="Tabletext"/>
              <w:jc w:val="right"/>
              <w:rPr>
                <w:lang w:val="ru-RU" w:eastAsia="en-GB"/>
              </w:rPr>
            </w:pPr>
            <w:r w:rsidRPr="00521670">
              <w:rPr>
                <w:lang w:val="ru-RU" w:eastAsia="en-GB"/>
              </w:rPr>
              <w:t xml:space="preserve">8 765 </w:t>
            </w:r>
          </w:p>
        </w:tc>
      </w:tr>
      <w:tr w:rsidR="00DF251A" w:rsidRPr="00521670" w14:paraId="371C5D69" w14:textId="77777777" w:rsidTr="009977AB">
        <w:trPr>
          <w:trHeight w:val="255"/>
        </w:trPr>
        <w:tc>
          <w:tcPr>
            <w:tcW w:w="2133" w:type="pct"/>
            <w:tcBorders>
              <w:top w:val="nil"/>
              <w:left w:val="nil"/>
              <w:bottom w:val="nil"/>
              <w:right w:val="nil"/>
            </w:tcBorders>
            <w:shd w:val="clear" w:color="000000" w:fill="auto"/>
            <w:noWrap/>
            <w:vAlign w:val="bottom"/>
            <w:hideMark/>
          </w:tcPr>
          <w:p w14:paraId="42E8A81F" w14:textId="77777777" w:rsidR="00DF251A" w:rsidRPr="00521670" w:rsidRDefault="00DF251A" w:rsidP="006F3D9A">
            <w:pPr>
              <w:pStyle w:val="Tabletext"/>
              <w:rPr>
                <w:szCs w:val="16"/>
                <w:lang w:val="ru-RU" w:eastAsia="en-GB"/>
              </w:rPr>
            </w:pPr>
            <w:r w:rsidRPr="00521670">
              <w:rPr>
                <w:szCs w:val="16"/>
                <w:lang w:val="ru-RU" w:eastAsia="en-GB"/>
              </w:rPr>
              <w:t>Непогашенные кредиты и займы</w:t>
            </w:r>
          </w:p>
        </w:tc>
        <w:tc>
          <w:tcPr>
            <w:tcW w:w="1094" w:type="pct"/>
            <w:tcBorders>
              <w:top w:val="nil"/>
              <w:left w:val="nil"/>
              <w:bottom w:val="nil"/>
              <w:right w:val="nil"/>
            </w:tcBorders>
            <w:shd w:val="clear" w:color="000000" w:fill="auto"/>
            <w:noWrap/>
            <w:vAlign w:val="bottom"/>
            <w:hideMark/>
          </w:tcPr>
          <w:p w14:paraId="728674BE" w14:textId="77777777" w:rsidR="00DF251A" w:rsidRPr="00521670" w:rsidRDefault="00DF251A" w:rsidP="00C52518">
            <w:pPr>
              <w:pStyle w:val="Tabletext"/>
              <w:jc w:val="right"/>
              <w:rPr>
                <w:lang w:val="ru-RU" w:eastAsia="en-GB"/>
              </w:rPr>
            </w:pPr>
            <w:r w:rsidRPr="00521670">
              <w:rPr>
                <w:lang w:val="ru-RU" w:eastAsia="en-GB"/>
              </w:rPr>
              <w:t>0%</w:t>
            </w:r>
          </w:p>
        </w:tc>
        <w:tc>
          <w:tcPr>
            <w:tcW w:w="591" w:type="pct"/>
            <w:tcBorders>
              <w:top w:val="nil"/>
              <w:left w:val="nil"/>
              <w:bottom w:val="nil"/>
              <w:right w:val="nil"/>
            </w:tcBorders>
            <w:shd w:val="clear" w:color="auto" w:fill="auto"/>
            <w:noWrap/>
            <w:vAlign w:val="bottom"/>
            <w:hideMark/>
          </w:tcPr>
          <w:p w14:paraId="2B3981CE" w14:textId="77777777" w:rsidR="00DF251A" w:rsidRPr="00521670" w:rsidRDefault="00DF251A" w:rsidP="00C52518">
            <w:pPr>
              <w:pStyle w:val="Tabletext"/>
              <w:jc w:val="right"/>
              <w:rPr>
                <w:lang w:val="ru-RU" w:eastAsia="en-GB"/>
              </w:rPr>
            </w:pPr>
            <w:r w:rsidRPr="00521670">
              <w:rPr>
                <w:lang w:val="ru-RU" w:eastAsia="en-GB"/>
              </w:rPr>
              <w:t>1 391</w:t>
            </w:r>
          </w:p>
        </w:tc>
        <w:tc>
          <w:tcPr>
            <w:tcW w:w="591" w:type="pct"/>
            <w:tcBorders>
              <w:top w:val="nil"/>
              <w:left w:val="nil"/>
              <w:bottom w:val="nil"/>
              <w:right w:val="nil"/>
            </w:tcBorders>
            <w:shd w:val="clear" w:color="auto" w:fill="auto"/>
            <w:noWrap/>
            <w:vAlign w:val="bottom"/>
            <w:hideMark/>
          </w:tcPr>
          <w:p w14:paraId="58357B26" w14:textId="77777777" w:rsidR="00DF251A" w:rsidRPr="00521670" w:rsidRDefault="00DF251A" w:rsidP="00C52518">
            <w:pPr>
              <w:pStyle w:val="Tabletext"/>
              <w:jc w:val="right"/>
              <w:rPr>
                <w:lang w:val="ru-RU" w:eastAsia="en-GB"/>
              </w:rPr>
            </w:pPr>
            <w:r w:rsidRPr="00521670">
              <w:rPr>
                <w:lang w:val="ru-RU" w:eastAsia="en-GB"/>
              </w:rPr>
              <w:t>51 918</w:t>
            </w:r>
          </w:p>
        </w:tc>
        <w:tc>
          <w:tcPr>
            <w:tcW w:w="591" w:type="pct"/>
            <w:tcBorders>
              <w:top w:val="nil"/>
              <w:left w:val="nil"/>
              <w:bottom w:val="nil"/>
              <w:right w:val="nil"/>
            </w:tcBorders>
            <w:shd w:val="clear" w:color="auto" w:fill="auto"/>
            <w:noWrap/>
            <w:vAlign w:val="bottom"/>
            <w:hideMark/>
          </w:tcPr>
          <w:p w14:paraId="16C24D4E" w14:textId="77777777" w:rsidR="00DF251A" w:rsidRPr="00521670" w:rsidRDefault="00DF251A" w:rsidP="00C52518">
            <w:pPr>
              <w:pStyle w:val="Tabletext"/>
              <w:jc w:val="right"/>
              <w:rPr>
                <w:lang w:val="ru-RU" w:eastAsia="en-GB"/>
              </w:rPr>
            </w:pPr>
            <w:r w:rsidRPr="00521670">
              <w:rPr>
                <w:lang w:val="ru-RU" w:eastAsia="en-GB"/>
              </w:rPr>
              <w:t>53 309</w:t>
            </w:r>
          </w:p>
        </w:tc>
      </w:tr>
      <w:tr w:rsidR="00DF251A" w:rsidRPr="00521670" w14:paraId="69B9F9AA" w14:textId="77777777" w:rsidTr="009977AB">
        <w:trPr>
          <w:trHeight w:val="120"/>
        </w:trPr>
        <w:tc>
          <w:tcPr>
            <w:tcW w:w="2133" w:type="pct"/>
            <w:tcBorders>
              <w:top w:val="nil"/>
              <w:left w:val="nil"/>
              <w:bottom w:val="nil"/>
              <w:right w:val="nil"/>
            </w:tcBorders>
            <w:shd w:val="clear" w:color="000000" w:fill="auto"/>
            <w:noWrap/>
            <w:vAlign w:val="bottom"/>
            <w:hideMark/>
          </w:tcPr>
          <w:p w14:paraId="56386833" w14:textId="77777777" w:rsidR="00DF251A" w:rsidRPr="00521670" w:rsidRDefault="00DF251A" w:rsidP="006F3D9A">
            <w:pPr>
              <w:pStyle w:val="Tabletext"/>
              <w:rPr>
                <w:szCs w:val="16"/>
                <w:lang w:val="ru-RU" w:eastAsia="en-GB"/>
              </w:rPr>
            </w:pPr>
          </w:p>
        </w:tc>
        <w:tc>
          <w:tcPr>
            <w:tcW w:w="1094" w:type="pct"/>
            <w:tcBorders>
              <w:top w:val="nil"/>
              <w:left w:val="nil"/>
              <w:bottom w:val="nil"/>
              <w:right w:val="nil"/>
            </w:tcBorders>
            <w:shd w:val="clear" w:color="000000" w:fill="auto"/>
            <w:noWrap/>
            <w:vAlign w:val="bottom"/>
            <w:hideMark/>
          </w:tcPr>
          <w:p w14:paraId="4D024B50"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6C100D48"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3EDA7F76" w14:textId="77777777" w:rsidR="00DF251A" w:rsidRPr="00521670" w:rsidRDefault="00DF251A" w:rsidP="00C52518">
            <w:pPr>
              <w:pStyle w:val="Tabletext"/>
              <w:jc w:val="right"/>
              <w:rPr>
                <w:lang w:val="ru-RU" w:eastAsia="en-GB"/>
              </w:rPr>
            </w:pPr>
          </w:p>
        </w:tc>
        <w:tc>
          <w:tcPr>
            <w:tcW w:w="591" w:type="pct"/>
            <w:tcBorders>
              <w:top w:val="nil"/>
              <w:left w:val="nil"/>
              <w:bottom w:val="nil"/>
              <w:right w:val="nil"/>
            </w:tcBorders>
            <w:shd w:val="clear" w:color="auto" w:fill="auto"/>
            <w:noWrap/>
            <w:vAlign w:val="bottom"/>
            <w:hideMark/>
          </w:tcPr>
          <w:p w14:paraId="5F58B8E4" w14:textId="77777777" w:rsidR="00DF251A" w:rsidRPr="00521670" w:rsidRDefault="00DF251A" w:rsidP="00C52518">
            <w:pPr>
              <w:pStyle w:val="Tabletext"/>
              <w:jc w:val="right"/>
              <w:rPr>
                <w:lang w:val="ru-RU" w:eastAsia="en-GB"/>
              </w:rPr>
            </w:pPr>
          </w:p>
        </w:tc>
      </w:tr>
      <w:tr w:rsidR="00DF251A" w:rsidRPr="00521670" w14:paraId="7B7FC075" w14:textId="77777777" w:rsidTr="009977AB">
        <w:trPr>
          <w:trHeight w:val="247"/>
        </w:trPr>
        <w:tc>
          <w:tcPr>
            <w:tcW w:w="2133" w:type="pct"/>
            <w:tcBorders>
              <w:top w:val="nil"/>
              <w:left w:val="nil"/>
              <w:bottom w:val="nil"/>
              <w:right w:val="nil"/>
            </w:tcBorders>
            <w:shd w:val="clear" w:color="000000" w:fill="0070C0"/>
            <w:noWrap/>
            <w:vAlign w:val="center"/>
            <w:hideMark/>
          </w:tcPr>
          <w:p w14:paraId="1EABCBBF" w14:textId="77777777" w:rsidR="00DF251A" w:rsidRPr="00521670" w:rsidRDefault="00DF251A" w:rsidP="00264D73">
            <w:pPr>
              <w:pStyle w:val="Tabletext"/>
              <w:rPr>
                <w:b/>
                <w:bCs/>
                <w:szCs w:val="16"/>
                <w:lang w:val="ru-RU" w:eastAsia="en-GB"/>
              </w:rPr>
            </w:pPr>
            <w:r w:rsidRPr="00521670">
              <w:rPr>
                <w:b/>
                <w:bCs/>
                <w:szCs w:val="16"/>
                <w:lang w:val="ru-RU"/>
              </w:rPr>
              <w:t>Всего: финансовые обязательства</w:t>
            </w:r>
          </w:p>
        </w:tc>
        <w:tc>
          <w:tcPr>
            <w:tcW w:w="1094" w:type="pct"/>
            <w:tcBorders>
              <w:top w:val="nil"/>
              <w:left w:val="nil"/>
              <w:bottom w:val="nil"/>
              <w:right w:val="nil"/>
            </w:tcBorders>
            <w:shd w:val="clear" w:color="000000" w:fill="0070C0"/>
            <w:noWrap/>
            <w:vAlign w:val="bottom"/>
            <w:hideMark/>
          </w:tcPr>
          <w:p w14:paraId="3FB421D3" w14:textId="648AFB24" w:rsidR="00DF251A" w:rsidRPr="00521670" w:rsidRDefault="00DF251A" w:rsidP="00C52518">
            <w:pPr>
              <w:pStyle w:val="Tabletext"/>
              <w:jc w:val="right"/>
              <w:rPr>
                <w:b/>
                <w:bCs/>
                <w:lang w:val="ru-RU" w:eastAsia="en-GB"/>
              </w:rPr>
            </w:pPr>
          </w:p>
        </w:tc>
        <w:tc>
          <w:tcPr>
            <w:tcW w:w="591" w:type="pct"/>
            <w:tcBorders>
              <w:top w:val="nil"/>
              <w:left w:val="nil"/>
              <w:bottom w:val="nil"/>
              <w:right w:val="nil"/>
            </w:tcBorders>
            <w:shd w:val="clear" w:color="000000" w:fill="0070C0"/>
            <w:noWrap/>
            <w:vAlign w:val="bottom"/>
            <w:hideMark/>
          </w:tcPr>
          <w:p w14:paraId="7C826168" w14:textId="77777777" w:rsidR="00DF251A" w:rsidRPr="00521670" w:rsidRDefault="00DF251A" w:rsidP="00C52518">
            <w:pPr>
              <w:pStyle w:val="Tabletext"/>
              <w:jc w:val="right"/>
              <w:rPr>
                <w:b/>
                <w:bCs/>
                <w:lang w:val="ru-RU" w:eastAsia="en-GB"/>
              </w:rPr>
            </w:pPr>
            <w:r w:rsidRPr="00521670">
              <w:rPr>
                <w:b/>
                <w:bCs/>
                <w:lang w:val="ru-RU" w:eastAsia="en-GB"/>
              </w:rPr>
              <w:t>21 634</w:t>
            </w:r>
          </w:p>
        </w:tc>
        <w:tc>
          <w:tcPr>
            <w:tcW w:w="591" w:type="pct"/>
            <w:tcBorders>
              <w:top w:val="nil"/>
              <w:left w:val="nil"/>
              <w:bottom w:val="nil"/>
              <w:right w:val="nil"/>
            </w:tcBorders>
            <w:shd w:val="clear" w:color="000000" w:fill="0070C0"/>
            <w:noWrap/>
            <w:vAlign w:val="bottom"/>
            <w:hideMark/>
          </w:tcPr>
          <w:p w14:paraId="30DFD71B" w14:textId="77777777" w:rsidR="00DF251A" w:rsidRPr="00521670" w:rsidRDefault="00DF251A" w:rsidP="00C52518">
            <w:pPr>
              <w:pStyle w:val="Tabletext"/>
              <w:jc w:val="right"/>
              <w:rPr>
                <w:b/>
                <w:bCs/>
                <w:lang w:val="ru-RU" w:eastAsia="en-GB"/>
              </w:rPr>
            </w:pPr>
            <w:r w:rsidRPr="00521670">
              <w:rPr>
                <w:b/>
                <w:bCs/>
                <w:lang w:val="ru-RU" w:eastAsia="en-GB"/>
              </w:rPr>
              <w:t>51 918</w:t>
            </w:r>
          </w:p>
        </w:tc>
        <w:tc>
          <w:tcPr>
            <w:tcW w:w="591" w:type="pct"/>
            <w:tcBorders>
              <w:top w:val="nil"/>
              <w:left w:val="nil"/>
              <w:bottom w:val="nil"/>
              <w:right w:val="nil"/>
            </w:tcBorders>
            <w:shd w:val="clear" w:color="000000" w:fill="0070C0"/>
            <w:noWrap/>
            <w:vAlign w:val="bottom"/>
            <w:hideMark/>
          </w:tcPr>
          <w:p w14:paraId="164BF842" w14:textId="77777777" w:rsidR="00DF251A" w:rsidRPr="00521670" w:rsidRDefault="00DF251A" w:rsidP="00C52518">
            <w:pPr>
              <w:pStyle w:val="Tabletext"/>
              <w:jc w:val="right"/>
              <w:rPr>
                <w:b/>
                <w:bCs/>
                <w:lang w:val="ru-RU" w:eastAsia="en-GB"/>
              </w:rPr>
            </w:pPr>
            <w:r w:rsidRPr="00521670">
              <w:rPr>
                <w:b/>
                <w:bCs/>
                <w:lang w:val="ru-RU" w:eastAsia="en-GB"/>
              </w:rPr>
              <w:t>73 552</w:t>
            </w:r>
          </w:p>
        </w:tc>
      </w:tr>
    </w:tbl>
    <w:p w14:paraId="6F074974" w14:textId="77777777" w:rsidR="00DF251A" w:rsidRPr="00521670" w:rsidRDefault="00DF251A" w:rsidP="00B06555">
      <w:pPr>
        <w:pStyle w:val="Heading5"/>
        <w:tabs>
          <w:tab w:val="left" w:pos="1980"/>
        </w:tabs>
        <w:rPr>
          <w:b/>
          <w:bCs/>
          <w:color w:val="4F81BD" w:themeColor="accent1"/>
          <w:lang w:val="ru-RU"/>
        </w:rPr>
      </w:pPr>
      <w:bookmarkStart w:id="268" w:name="_Toc305667755"/>
      <w:bookmarkStart w:id="269" w:name="_Toc306201422"/>
      <w:bookmarkStart w:id="270" w:name="_Toc329002777"/>
      <w:bookmarkStart w:id="271" w:name="_Toc358373651"/>
      <w:bookmarkStart w:id="272" w:name="_Toc387243031"/>
      <w:bookmarkStart w:id="273" w:name="_Toc419404376"/>
      <w:bookmarkStart w:id="274" w:name="_Toc482809967"/>
      <w:bookmarkStart w:id="275" w:name="_Toc482810324"/>
      <w:bookmarkStart w:id="276" w:name="_Toc482901565"/>
      <w:bookmarkStart w:id="277" w:name="_Toc511401560"/>
      <w:bookmarkStart w:id="278" w:name="_Toc511401683"/>
      <w:bookmarkStart w:id="279" w:name="_Toc10540796"/>
      <w:bookmarkStart w:id="280" w:name="_Toc41900416"/>
      <w:bookmarkStart w:id="281" w:name="_Toc73437999"/>
      <w:bookmarkStart w:id="282" w:name="_Toc73439177"/>
      <w:bookmarkStart w:id="283" w:name="_Toc167956631"/>
      <w:bookmarkStart w:id="284" w:name="_Toc167956870"/>
      <w:bookmarkStart w:id="285" w:name="_Toc167957175"/>
      <w:bookmarkStart w:id="286" w:name="_Toc168578466"/>
      <w:bookmarkStart w:id="287" w:name="_Toc180681811"/>
      <w:bookmarkStart w:id="288" w:name="_Toc200469530"/>
      <w:r w:rsidRPr="00521670">
        <w:rPr>
          <w:b/>
          <w:bCs/>
          <w:color w:val="4F81BD" w:themeColor="accent1"/>
          <w:lang w:val="ru-RU"/>
        </w:rPr>
        <w:t>Примечание 6</w:t>
      </w:r>
      <w:r w:rsidRPr="00521670">
        <w:rPr>
          <w:b/>
          <w:bCs/>
          <w:color w:val="4F81BD" w:themeColor="accent1"/>
          <w:lang w:val="ru-RU"/>
        </w:rPr>
        <w:tab/>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521670">
        <w:rPr>
          <w:b/>
          <w:bCs/>
          <w:color w:val="4F81BD" w:themeColor="accent1"/>
          <w:lang w:val="ru-RU"/>
        </w:rPr>
        <w:t>Денежные средства и эквиваленты денежных средств</w:t>
      </w:r>
      <w:bookmarkEnd w:id="288"/>
    </w:p>
    <w:p w14:paraId="0599D836" w14:textId="77777777" w:rsidR="00DF251A" w:rsidRPr="00521670" w:rsidRDefault="00DF251A" w:rsidP="00804C08">
      <w:pPr>
        <w:spacing w:after="120"/>
        <w:rPr>
          <w:highlight w:val="lightGray"/>
          <w:lang w:val="ru-RU"/>
        </w:rPr>
      </w:pPr>
      <w:r w:rsidRPr="00521670">
        <w:rPr>
          <w:lang w:val="ru-RU"/>
        </w:rPr>
        <w:t xml:space="preserve">В таблице ниже представлена разбивка остатков денежных средств и </w:t>
      </w:r>
      <w:r w:rsidRPr="00521670">
        <w:rPr>
          <w:rFonts w:ascii="Segoe UI" w:hAnsi="Segoe UI" w:cs="Segoe UI"/>
          <w:color w:val="000000"/>
          <w:sz w:val="20"/>
          <w:shd w:val="clear" w:color="auto" w:fill="FFFFFF"/>
          <w:lang w:val="ru-RU"/>
        </w:rPr>
        <w:t>эквивалентов денежных средств</w:t>
      </w:r>
      <w:r w:rsidRPr="00521670">
        <w:rPr>
          <w:lang w:val="ru-RU"/>
        </w:rPr>
        <w:t xml:space="preserve"> по состоянию на 31 декабря 2024 и 2023 годов.</w:t>
      </w:r>
    </w:p>
    <w:tbl>
      <w:tblPr>
        <w:tblW w:w="5000" w:type="pct"/>
        <w:jc w:val="center"/>
        <w:tblLayout w:type="fixed"/>
        <w:tblLook w:val="04A0" w:firstRow="1" w:lastRow="0" w:firstColumn="1" w:lastColumn="0" w:noHBand="0" w:noVBand="1"/>
      </w:tblPr>
      <w:tblGrid>
        <w:gridCol w:w="5216"/>
        <w:gridCol w:w="1928"/>
        <w:gridCol w:w="1927"/>
      </w:tblGrid>
      <w:tr w:rsidR="00DF251A" w:rsidRPr="00521670" w14:paraId="3E70F535" w14:textId="77777777" w:rsidTr="009A390F">
        <w:trPr>
          <w:jc w:val="center"/>
        </w:trPr>
        <w:tc>
          <w:tcPr>
            <w:tcW w:w="2875" w:type="pct"/>
            <w:tcBorders>
              <w:top w:val="nil"/>
              <w:left w:val="nil"/>
              <w:bottom w:val="nil"/>
              <w:right w:val="nil"/>
            </w:tcBorders>
            <w:shd w:val="clear" w:color="000000" w:fill="0070C0"/>
            <w:vAlign w:val="center"/>
            <w:hideMark/>
          </w:tcPr>
          <w:p w14:paraId="7A0846D6" w14:textId="77777777" w:rsidR="00DF251A" w:rsidRPr="00521670" w:rsidRDefault="00DF251A" w:rsidP="00835292">
            <w:pPr>
              <w:pStyle w:val="Tablehead"/>
              <w:rPr>
                <w:szCs w:val="16"/>
                <w:lang w:val="ru-RU" w:eastAsia="en-GB"/>
              </w:rPr>
            </w:pPr>
            <w:r w:rsidRPr="00521670">
              <w:rPr>
                <w:szCs w:val="16"/>
                <w:lang w:val="ru-RU" w:eastAsia="en-GB"/>
              </w:rPr>
              <w:lastRenderedPageBreak/>
              <w:t>Описание (тыс. шв. фр.)</w:t>
            </w:r>
          </w:p>
        </w:tc>
        <w:tc>
          <w:tcPr>
            <w:tcW w:w="1063" w:type="pct"/>
            <w:tcBorders>
              <w:top w:val="nil"/>
              <w:left w:val="nil"/>
              <w:bottom w:val="nil"/>
              <w:right w:val="nil"/>
            </w:tcBorders>
            <w:shd w:val="clear" w:color="000000" w:fill="0070C0"/>
            <w:vAlign w:val="center"/>
            <w:hideMark/>
          </w:tcPr>
          <w:p w14:paraId="2A927AED" w14:textId="77777777" w:rsidR="00DF251A" w:rsidRPr="00521670" w:rsidRDefault="00DF251A" w:rsidP="009977AB">
            <w:pPr>
              <w:pStyle w:val="Tablehead"/>
              <w:jc w:val="right"/>
              <w:rPr>
                <w:szCs w:val="16"/>
                <w:lang w:val="ru-RU" w:eastAsia="en-GB"/>
              </w:rPr>
            </w:pPr>
            <w:r w:rsidRPr="00521670">
              <w:rPr>
                <w:szCs w:val="16"/>
                <w:lang w:val="ru-RU" w:eastAsia="en-GB"/>
              </w:rPr>
              <w:t>31 декабря 2024 г.</w:t>
            </w:r>
          </w:p>
        </w:tc>
        <w:tc>
          <w:tcPr>
            <w:tcW w:w="1062" w:type="pct"/>
            <w:tcBorders>
              <w:top w:val="nil"/>
              <w:left w:val="nil"/>
              <w:bottom w:val="nil"/>
              <w:right w:val="nil"/>
            </w:tcBorders>
            <w:shd w:val="clear" w:color="000000" w:fill="0070C0"/>
            <w:vAlign w:val="center"/>
            <w:hideMark/>
          </w:tcPr>
          <w:p w14:paraId="5082A140" w14:textId="77777777" w:rsidR="00DF251A" w:rsidRPr="00521670" w:rsidRDefault="00DF251A" w:rsidP="009977AB">
            <w:pPr>
              <w:pStyle w:val="Tablehead"/>
              <w:jc w:val="right"/>
              <w:rPr>
                <w:szCs w:val="16"/>
                <w:lang w:val="ru-RU" w:eastAsia="en-GB"/>
              </w:rPr>
            </w:pPr>
            <w:r w:rsidRPr="00521670">
              <w:rPr>
                <w:szCs w:val="16"/>
                <w:lang w:val="ru-RU" w:eastAsia="en-GB"/>
              </w:rPr>
              <w:t>31 декабря 2023 г.</w:t>
            </w:r>
          </w:p>
        </w:tc>
      </w:tr>
      <w:tr w:rsidR="00DF251A" w:rsidRPr="00521670" w14:paraId="7661DC87" w14:textId="77777777" w:rsidTr="009A390F">
        <w:trPr>
          <w:jc w:val="center"/>
        </w:trPr>
        <w:tc>
          <w:tcPr>
            <w:tcW w:w="2875" w:type="pct"/>
            <w:tcBorders>
              <w:top w:val="nil"/>
              <w:left w:val="nil"/>
              <w:bottom w:val="nil"/>
              <w:right w:val="nil"/>
            </w:tcBorders>
            <w:shd w:val="clear" w:color="auto" w:fill="auto"/>
            <w:noWrap/>
            <w:vAlign w:val="bottom"/>
            <w:hideMark/>
          </w:tcPr>
          <w:p w14:paraId="0E7BCDBF" w14:textId="77777777" w:rsidR="00DF251A" w:rsidRPr="00521670" w:rsidRDefault="00DF251A" w:rsidP="009A390F">
            <w:pPr>
              <w:pStyle w:val="Tabletext"/>
              <w:keepNext/>
              <w:rPr>
                <w:szCs w:val="16"/>
                <w:lang w:val="ru-RU" w:eastAsia="en-GB"/>
              </w:rPr>
            </w:pPr>
            <w:r w:rsidRPr="00521670">
              <w:rPr>
                <w:szCs w:val="16"/>
                <w:lang w:val="ru-RU"/>
              </w:rPr>
              <w:t>Кассовая наличность</w:t>
            </w:r>
          </w:p>
        </w:tc>
        <w:tc>
          <w:tcPr>
            <w:tcW w:w="1063" w:type="pct"/>
            <w:tcBorders>
              <w:top w:val="nil"/>
              <w:left w:val="nil"/>
              <w:bottom w:val="nil"/>
              <w:right w:val="nil"/>
            </w:tcBorders>
            <w:shd w:val="clear" w:color="auto" w:fill="auto"/>
            <w:noWrap/>
            <w:hideMark/>
          </w:tcPr>
          <w:p w14:paraId="3E90C38C" w14:textId="77777777" w:rsidR="00DF251A" w:rsidRPr="00521670" w:rsidRDefault="00DF251A" w:rsidP="009A390F">
            <w:pPr>
              <w:pStyle w:val="Tabletext"/>
              <w:keepNext/>
              <w:jc w:val="right"/>
              <w:rPr>
                <w:szCs w:val="18"/>
                <w:lang w:val="ru-RU" w:eastAsia="en-GB"/>
              </w:rPr>
            </w:pPr>
            <w:r w:rsidRPr="00521670">
              <w:rPr>
                <w:szCs w:val="18"/>
                <w:lang w:val="ru-RU"/>
              </w:rPr>
              <w:t>66</w:t>
            </w:r>
          </w:p>
        </w:tc>
        <w:tc>
          <w:tcPr>
            <w:tcW w:w="1062" w:type="pct"/>
            <w:tcBorders>
              <w:top w:val="nil"/>
              <w:left w:val="nil"/>
              <w:bottom w:val="nil"/>
              <w:right w:val="nil"/>
            </w:tcBorders>
            <w:shd w:val="clear" w:color="auto" w:fill="auto"/>
            <w:noWrap/>
            <w:hideMark/>
          </w:tcPr>
          <w:p w14:paraId="52AA9D50" w14:textId="77777777" w:rsidR="00DF251A" w:rsidRPr="00521670" w:rsidRDefault="00DF251A" w:rsidP="009A390F">
            <w:pPr>
              <w:pStyle w:val="Tabletext"/>
              <w:keepNext/>
              <w:jc w:val="right"/>
              <w:rPr>
                <w:szCs w:val="18"/>
                <w:lang w:val="ru-RU" w:eastAsia="en-GB"/>
              </w:rPr>
            </w:pPr>
            <w:r w:rsidRPr="00521670">
              <w:rPr>
                <w:szCs w:val="18"/>
                <w:lang w:val="ru-RU"/>
              </w:rPr>
              <w:t>95</w:t>
            </w:r>
          </w:p>
        </w:tc>
      </w:tr>
      <w:tr w:rsidR="00DF251A" w:rsidRPr="00521670" w14:paraId="03B29994" w14:textId="77777777" w:rsidTr="009A390F">
        <w:trPr>
          <w:jc w:val="center"/>
        </w:trPr>
        <w:tc>
          <w:tcPr>
            <w:tcW w:w="2875" w:type="pct"/>
            <w:tcBorders>
              <w:top w:val="nil"/>
              <w:left w:val="nil"/>
              <w:bottom w:val="nil"/>
              <w:right w:val="nil"/>
            </w:tcBorders>
            <w:shd w:val="clear" w:color="auto" w:fill="auto"/>
            <w:noWrap/>
            <w:vAlign w:val="bottom"/>
            <w:hideMark/>
          </w:tcPr>
          <w:p w14:paraId="23561869" w14:textId="77777777" w:rsidR="00DF251A" w:rsidRPr="00521670" w:rsidRDefault="00DF251A" w:rsidP="009A390F">
            <w:pPr>
              <w:pStyle w:val="Tabletext"/>
              <w:keepNext/>
              <w:rPr>
                <w:szCs w:val="16"/>
                <w:lang w:val="ru-RU" w:eastAsia="en-GB"/>
              </w:rPr>
            </w:pPr>
            <w:r w:rsidRPr="00521670">
              <w:rPr>
                <w:szCs w:val="16"/>
                <w:lang w:val="ru-RU"/>
              </w:rPr>
              <w:t>Текущие банковские счета, шв. фр.</w:t>
            </w:r>
          </w:p>
        </w:tc>
        <w:tc>
          <w:tcPr>
            <w:tcW w:w="1063" w:type="pct"/>
            <w:tcBorders>
              <w:top w:val="nil"/>
              <w:left w:val="nil"/>
              <w:bottom w:val="nil"/>
              <w:right w:val="nil"/>
            </w:tcBorders>
            <w:shd w:val="clear" w:color="auto" w:fill="auto"/>
            <w:noWrap/>
            <w:hideMark/>
          </w:tcPr>
          <w:p w14:paraId="38F3473E" w14:textId="77777777" w:rsidR="00DF251A" w:rsidRPr="00521670" w:rsidRDefault="00DF251A" w:rsidP="009A390F">
            <w:pPr>
              <w:pStyle w:val="Tabletext"/>
              <w:keepNext/>
              <w:jc w:val="right"/>
              <w:rPr>
                <w:szCs w:val="18"/>
                <w:lang w:val="ru-RU" w:eastAsia="en-GB"/>
              </w:rPr>
            </w:pPr>
            <w:r w:rsidRPr="00521670">
              <w:rPr>
                <w:szCs w:val="18"/>
                <w:lang w:val="ru-RU"/>
              </w:rPr>
              <w:t>72 038</w:t>
            </w:r>
          </w:p>
        </w:tc>
        <w:tc>
          <w:tcPr>
            <w:tcW w:w="1062" w:type="pct"/>
            <w:tcBorders>
              <w:top w:val="nil"/>
              <w:left w:val="nil"/>
              <w:bottom w:val="nil"/>
              <w:right w:val="nil"/>
            </w:tcBorders>
            <w:shd w:val="clear" w:color="auto" w:fill="auto"/>
            <w:noWrap/>
            <w:hideMark/>
          </w:tcPr>
          <w:p w14:paraId="6800D9DB" w14:textId="77777777" w:rsidR="00DF251A" w:rsidRPr="00521670" w:rsidRDefault="00DF251A" w:rsidP="009A390F">
            <w:pPr>
              <w:pStyle w:val="Tabletext"/>
              <w:keepNext/>
              <w:jc w:val="right"/>
              <w:rPr>
                <w:szCs w:val="18"/>
                <w:lang w:val="ru-RU" w:eastAsia="en-GB"/>
              </w:rPr>
            </w:pPr>
            <w:r w:rsidRPr="00521670">
              <w:rPr>
                <w:szCs w:val="18"/>
                <w:lang w:val="ru-RU"/>
              </w:rPr>
              <w:t>68 021</w:t>
            </w:r>
          </w:p>
        </w:tc>
      </w:tr>
      <w:tr w:rsidR="00DF251A" w:rsidRPr="00521670" w14:paraId="7995B7D2" w14:textId="77777777" w:rsidTr="009A390F">
        <w:trPr>
          <w:jc w:val="center"/>
        </w:trPr>
        <w:tc>
          <w:tcPr>
            <w:tcW w:w="2875" w:type="pct"/>
            <w:tcBorders>
              <w:top w:val="nil"/>
              <w:left w:val="nil"/>
              <w:bottom w:val="nil"/>
              <w:right w:val="nil"/>
            </w:tcBorders>
            <w:shd w:val="clear" w:color="auto" w:fill="auto"/>
            <w:noWrap/>
            <w:vAlign w:val="bottom"/>
            <w:hideMark/>
          </w:tcPr>
          <w:p w14:paraId="75BA6F45" w14:textId="77777777" w:rsidR="00DF251A" w:rsidRPr="00521670" w:rsidRDefault="00DF251A" w:rsidP="009A390F">
            <w:pPr>
              <w:pStyle w:val="Tabletext"/>
              <w:keepNext/>
              <w:rPr>
                <w:szCs w:val="16"/>
                <w:lang w:val="ru-RU" w:eastAsia="en-GB"/>
              </w:rPr>
            </w:pPr>
            <w:r w:rsidRPr="00521670">
              <w:rPr>
                <w:szCs w:val="16"/>
                <w:lang w:val="ru-RU"/>
              </w:rPr>
              <w:t>Текущие банковские счета, иностранная валюта</w:t>
            </w:r>
          </w:p>
        </w:tc>
        <w:tc>
          <w:tcPr>
            <w:tcW w:w="1063" w:type="pct"/>
            <w:tcBorders>
              <w:top w:val="nil"/>
              <w:left w:val="nil"/>
              <w:bottom w:val="nil"/>
              <w:right w:val="nil"/>
            </w:tcBorders>
            <w:shd w:val="clear" w:color="auto" w:fill="auto"/>
            <w:noWrap/>
            <w:hideMark/>
          </w:tcPr>
          <w:p w14:paraId="0C4BA63A" w14:textId="77777777" w:rsidR="00DF251A" w:rsidRPr="00521670" w:rsidRDefault="00DF251A" w:rsidP="009A390F">
            <w:pPr>
              <w:pStyle w:val="Tabletext"/>
              <w:keepNext/>
              <w:jc w:val="right"/>
              <w:rPr>
                <w:szCs w:val="18"/>
                <w:lang w:val="ru-RU" w:eastAsia="en-GB"/>
              </w:rPr>
            </w:pPr>
            <w:r w:rsidRPr="00521670">
              <w:rPr>
                <w:szCs w:val="18"/>
                <w:lang w:val="ru-RU"/>
              </w:rPr>
              <w:t>35 642</w:t>
            </w:r>
          </w:p>
        </w:tc>
        <w:tc>
          <w:tcPr>
            <w:tcW w:w="1062" w:type="pct"/>
            <w:tcBorders>
              <w:top w:val="nil"/>
              <w:left w:val="nil"/>
              <w:bottom w:val="nil"/>
              <w:right w:val="nil"/>
            </w:tcBorders>
            <w:shd w:val="clear" w:color="auto" w:fill="auto"/>
            <w:noWrap/>
            <w:hideMark/>
          </w:tcPr>
          <w:p w14:paraId="4D34B1CC" w14:textId="77777777" w:rsidR="00DF251A" w:rsidRPr="00521670" w:rsidRDefault="00DF251A" w:rsidP="009A390F">
            <w:pPr>
              <w:pStyle w:val="Tabletext"/>
              <w:keepNext/>
              <w:jc w:val="right"/>
              <w:rPr>
                <w:szCs w:val="18"/>
                <w:lang w:val="ru-RU" w:eastAsia="en-GB"/>
              </w:rPr>
            </w:pPr>
            <w:r w:rsidRPr="00521670">
              <w:rPr>
                <w:szCs w:val="18"/>
                <w:lang w:val="ru-RU"/>
              </w:rPr>
              <w:t>20 178</w:t>
            </w:r>
          </w:p>
        </w:tc>
      </w:tr>
      <w:tr w:rsidR="00DF251A" w:rsidRPr="00521670" w14:paraId="0BB6BD51" w14:textId="77777777" w:rsidTr="009A390F">
        <w:trPr>
          <w:jc w:val="center"/>
        </w:trPr>
        <w:tc>
          <w:tcPr>
            <w:tcW w:w="2875" w:type="pct"/>
            <w:tcBorders>
              <w:top w:val="nil"/>
              <w:left w:val="nil"/>
              <w:bottom w:val="nil"/>
              <w:right w:val="nil"/>
            </w:tcBorders>
            <w:shd w:val="clear" w:color="auto" w:fill="auto"/>
            <w:noWrap/>
            <w:vAlign w:val="bottom"/>
            <w:hideMark/>
          </w:tcPr>
          <w:p w14:paraId="7FB9F5E3" w14:textId="77777777" w:rsidR="00DF251A" w:rsidRPr="00521670" w:rsidRDefault="00DF251A" w:rsidP="009A390F">
            <w:pPr>
              <w:pStyle w:val="Tabletext"/>
              <w:keepNext/>
              <w:rPr>
                <w:szCs w:val="16"/>
                <w:lang w:val="ru-RU" w:eastAsia="en-GB"/>
              </w:rPr>
            </w:pPr>
            <w:r w:rsidRPr="00521670">
              <w:rPr>
                <w:szCs w:val="16"/>
                <w:lang w:val="ru-RU"/>
              </w:rPr>
              <w:t>Краткосрочные инвестиции 0−3 месяца</w:t>
            </w:r>
          </w:p>
        </w:tc>
        <w:tc>
          <w:tcPr>
            <w:tcW w:w="1063" w:type="pct"/>
            <w:tcBorders>
              <w:top w:val="nil"/>
              <w:left w:val="nil"/>
              <w:bottom w:val="nil"/>
              <w:right w:val="nil"/>
            </w:tcBorders>
            <w:shd w:val="clear" w:color="auto" w:fill="auto"/>
            <w:noWrap/>
            <w:hideMark/>
          </w:tcPr>
          <w:p w14:paraId="1C1AF662" w14:textId="77777777" w:rsidR="00DF251A" w:rsidRPr="00521670" w:rsidRDefault="00DF251A" w:rsidP="009A390F">
            <w:pPr>
              <w:pStyle w:val="Tabletext"/>
              <w:keepNext/>
              <w:jc w:val="right"/>
              <w:rPr>
                <w:szCs w:val="18"/>
                <w:lang w:val="ru-RU" w:eastAsia="en-GB"/>
              </w:rPr>
            </w:pPr>
            <w:r w:rsidRPr="00521670">
              <w:rPr>
                <w:szCs w:val="18"/>
                <w:lang w:val="ru-RU"/>
              </w:rPr>
              <w:t>102 284</w:t>
            </w:r>
          </w:p>
        </w:tc>
        <w:tc>
          <w:tcPr>
            <w:tcW w:w="1062" w:type="pct"/>
            <w:tcBorders>
              <w:top w:val="nil"/>
              <w:left w:val="nil"/>
              <w:bottom w:val="nil"/>
              <w:right w:val="nil"/>
            </w:tcBorders>
            <w:shd w:val="clear" w:color="auto" w:fill="auto"/>
            <w:noWrap/>
            <w:hideMark/>
          </w:tcPr>
          <w:p w14:paraId="516ADD40" w14:textId="77777777" w:rsidR="00DF251A" w:rsidRPr="00521670" w:rsidRDefault="00DF251A" w:rsidP="009A390F">
            <w:pPr>
              <w:pStyle w:val="Tabletext"/>
              <w:keepNext/>
              <w:jc w:val="right"/>
              <w:rPr>
                <w:szCs w:val="18"/>
                <w:lang w:val="ru-RU" w:eastAsia="en-GB"/>
              </w:rPr>
            </w:pPr>
            <w:r w:rsidRPr="00521670">
              <w:rPr>
                <w:szCs w:val="18"/>
                <w:lang w:val="ru-RU"/>
              </w:rPr>
              <w:t>67 574</w:t>
            </w:r>
          </w:p>
        </w:tc>
      </w:tr>
      <w:tr w:rsidR="00DF251A" w:rsidRPr="00521670" w14:paraId="48C5A957" w14:textId="77777777" w:rsidTr="00835292">
        <w:trPr>
          <w:jc w:val="center"/>
        </w:trPr>
        <w:tc>
          <w:tcPr>
            <w:tcW w:w="2875" w:type="pct"/>
            <w:tcBorders>
              <w:top w:val="nil"/>
              <w:left w:val="nil"/>
              <w:bottom w:val="nil"/>
              <w:right w:val="nil"/>
            </w:tcBorders>
            <w:shd w:val="clear" w:color="000000" w:fill="0070C0"/>
            <w:vAlign w:val="center"/>
            <w:hideMark/>
          </w:tcPr>
          <w:p w14:paraId="7C897077" w14:textId="77777777" w:rsidR="00DF251A" w:rsidRPr="00521670" w:rsidRDefault="00DF251A" w:rsidP="009A390F">
            <w:pPr>
              <w:pStyle w:val="Tabletext"/>
              <w:rPr>
                <w:b/>
                <w:bCs/>
                <w:szCs w:val="18"/>
                <w:lang w:val="ru-RU" w:eastAsia="en-GB"/>
              </w:rPr>
            </w:pPr>
            <w:r w:rsidRPr="00521670">
              <w:rPr>
                <w:b/>
                <w:bCs/>
                <w:szCs w:val="16"/>
                <w:lang w:val="ru-RU"/>
              </w:rPr>
              <w:t>Денежные средства и эквиваленты денежных средств</w:t>
            </w:r>
          </w:p>
        </w:tc>
        <w:tc>
          <w:tcPr>
            <w:tcW w:w="1063" w:type="pct"/>
            <w:tcBorders>
              <w:top w:val="nil"/>
              <w:left w:val="nil"/>
              <w:bottom w:val="nil"/>
              <w:right w:val="nil"/>
            </w:tcBorders>
            <w:shd w:val="clear" w:color="000000" w:fill="0070C0"/>
            <w:hideMark/>
          </w:tcPr>
          <w:p w14:paraId="3FAC6D3B" w14:textId="77777777" w:rsidR="00DF251A" w:rsidRPr="00521670" w:rsidRDefault="00DF251A" w:rsidP="009A390F">
            <w:pPr>
              <w:pStyle w:val="Tabletext"/>
              <w:jc w:val="right"/>
              <w:rPr>
                <w:b/>
                <w:bCs/>
                <w:szCs w:val="18"/>
                <w:lang w:val="ru-RU" w:eastAsia="en-GB"/>
              </w:rPr>
            </w:pPr>
            <w:r w:rsidRPr="00521670">
              <w:rPr>
                <w:b/>
                <w:bCs/>
                <w:szCs w:val="18"/>
                <w:lang w:val="ru-RU"/>
              </w:rPr>
              <w:t>210 030</w:t>
            </w:r>
          </w:p>
        </w:tc>
        <w:tc>
          <w:tcPr>
            <w:tcW w:w="1062" w:type="pct"/>
            <w:tcBorders>
              <w:top w:val="nil"/>
              <w:left w:val="nil"/>
              <w:bottom w:val="nil"/>
              <w:right w:val="nil"/>
            </w:tcBorders>
            <w:shd w:val="clear" w:color="000000" w:fill="0070C0"/>
            <w:hideMark/>
          </w:tcPr>
          <w:p w14:paraId="54E74EC4" w14:textId="77777777" w:rsidR="00DF251A" w:rsidRPr="00521670" w:rsidRDefault="00DF251A" w:rsidP="009A390F">
            <w:pPr>
              <w:pStyle w:val="Tabletext"/>
              <w:jc w:val="right"/>
              <w:rPr>
                <w:b/>
                <w:bCs/>
                <w:szCs w:val="18"/>
                <w:lang w:val="ru-RU" w:eastAsia="en-GB"/>
              </w:rPr>
            </w:pPr>
            <w:r w:rsidRPr="00521670">
              <w:rPr>
                <w:b/>
                <w:bCs/>
                <w:szCs w:val="18"/>
                <w:lang w:val="ru-RU"/>
              </w:rPr>
              <w:t>155 868</w:t>
            </w:r>
          </w:p>
        </w:tc>
      </w:tr>
    </w:tbl>
    <w:p w14:paraId="61FE5D46" w14:textId="77777777" w:rsidR="00DF251A" w:rsidRPr="00521670" w:rsidRDefault="00DF251A" w:rsidP="009A390F">
      <w:pPr>
        <w:spacing w:after="120"/>
        <w:rPr>
          <w:highlight w:val="lightGray"/>
          <w:lang w:val="ru-RU"/>
        </w:rPr>
      </w:pPr>
      <w:r w:rsidRPr="00521670">
        <w:rPr>
          <w:lang w:val="ru-RU"/>
        </w:rPr>
        <w:t>Сумма денежных средств, ограниченных в использовании, и их эквивалентов по состоянию на 2024 и 2023 годы составляет 28,9 млн. швейцарских франков и 27,5 млн. швейцарских франков соответственно. Ограничения на использование денежных средств и их эквивалентов в первую очередь касаются ФИПОИ и полученных пожертвований на новое здание, а также инвестиций, связанных со старым Пенсионным фондом МСЭ.</w:t>
      </w:r>
    </w:p>
    <w:tbl>
      <w:tblPr>
        <w:tblW w:w="5000" w:type="pct"/>
        <w:jc w:val="center"/>
        <w:tblLayout w:type="fixed"/>
        <w:tblLook w:val="04A0" w:firstRow="1" w:lastRow="0" w:firstColumn="1" w:lastColumn="0" w:noHBand="0" w:noVBand="1"/>
      </w:tblPr>
      <w:tblGrid>
        <w:gridCol w:w="5216"/>
        <w:gridCol w:w="1928"/>
        <w:gridCol w:w="1927"/>
      </w:tblGrid>
      <w:tr w:rsidR="00DF251A" w:rsidRPr="00521670" w14:paraId="1A001239" w14:textId="77777777" w:rsidTr="00C9457A">
        <w:trPr>
          <w:jc w:val="center"/>
        </w:trPr>
        <w:tc>
          <w:tcPr>
            <w:tcW w:w="2875" w:type="pct"/>
            <w:tcBorders>
              <w:top w:val="nil"/>
              <w:left w:val="nil"/>
              <w:bottom w:val="nil"/>
              <w:right w:val="nil"/>
            </w:tcBorders>
            <w:shd w:val="clear" w:color="000000" w:fill="0070C0"/>
            <w:vAlign w:val="center"/>
            <w:hideMark/>
          </w:tcPr>
          <w:p w14:paraId="764D2B21" w14:textId="77777777" w:rsidR="00DF251A" w:rsidRPr="00521670" w:rsidRDefault="00DF251A" w:rsidP="00835292">
            <w:pPr>
              <w:pStyle w:val="Tablehead"/>
              <w:rPr>
                <w:szCs w:val="18"/>
                <w:lang w:val="ru-RU" w:eastAsia="en-GB"/>
              </w:rPr>
            </w:pPr>
            <w:r w:rsidRPr="00521670">
              <w:rPr>
                <w:szCs w:val="18"/>
                <w:lang w:val="ru-RU" w:eastAsia="en-GB"/>
              </w:rPr>
              <w:t xml:space="preserve">Описание (тыс. шв. фр.) </w:t>
            </w:r>
          </w:p>
        </w:tc>
        <w:tc>
          <w:tcPr>
            <w:tcW w:w="1063" w:type="pct"/>
            <w:tcBorders>
              <w:top w:val="nil"/>
              <w:left w:val="nil"/>
              <w:bottom w:val="nil"/>
              <w:right w:val="nil"/>
            </w:tcBorders>
            <w:shd w:val="clear" w:color="000000" w:fill="0070C0"/>
            <w:vAlign w:val="center"/>
            <w:hideMark/>
          </w:tcPr>
          <w:p w14:paraId="097C95FD" w14:textId="77777777" w:rsidR="00DF251A" w:rsidRPr="00521670" w:rsidRDefault="00DF251A" w:rsidP="009977AB">
            <w:pPr>
              <w:pStyle w:val="Tablehead"/>
              <w:jc w:val="right"/>
              <w:rPr>
                <w:szCs w:val="18"/>
                <w:lang w:val="ru-RU" w:eastAsia="en-GB"/>
              </w:rPr>
            </w:pPr>
            <w:r w:rsidRPr="00521670">
              <w:rPr>
                <w:szCs w:val="18"/>
                <w:lang w:val="ru-RU" w:eastAsia="en-GB"/>
              </w:rPr>
              <w:t xml:space="preserve">31 декабря </w:t>
            </w:r>
            <w:r w:rsidRPr="00521670">
              <w:rPr>
                <w:szCs w:val="16"/>
                <w:lang w:val="ru-RU" w:eastAsia="en-GB"/>
              </w:rPr>
              <w:t>2024</w:t>
            </w:r>
            <w:r w:rsidRPr="00521670">
              <w:rPr>
                <w:szCs w:val="18"/>
                <w:lang w:val="ru-RU" w:eastAsia="en-GB"/>
              </w:rPr>
              <w:t xml:space="preserve"> г.</w:t>
            </w:r>
          </w:p>
        </w:tc>
        <w:tc>
          <w:tcPr>
            <w:tcW w:w="1062" w:type="pct"/>
            <w:tcBorders>
              <w:top w:val="nil"/>
              <w:left w:val="nil"/>
              <w:bottom w:val="nil"/>
              <w:right w:val="nil"/>
            </w:tcBorders>
            <w:shd w:val="clear" w:color="000000" w:fill="0070C0"/>
            <w:vAlign w:val="center"/>
            <w:hideMark/>
          </w:tcPr>
          <w:p w14:paraId="0B92CE46" w14:textId="77777777" w:rsidR="00DF251A" w:rsidRPr="00521670" w:rsidRDefault="00DF251A" w:rsidP="009977AB">
            <w:pPr>
              <w:pStyle w:val="Tablehead"/>
              <w:jc w:val="right"/>
              <w:rPr>
                <w:szCs w:val="18"/>
                <w:lang w:val="ru-RU" w:eastAsia="en-GB"/>
              </w:rPr>
            </w:pPr>
            <w:r w:rsidRPr="00521670">
              <w:rPr>
                <w:szCs w:val="18"/>
                <w:lang w:val="ru-RU" w:eastAsia="en-GB"/>
              </w:rPr>
              <w:t>31 декабря 2023 г.</w:t>
            </w:r>
          </w:p>
        </w:tc>
      </w:tr>
      <w:tr w:rsidR="00DF251A" w:rsidRPr="00521670" w14:paraId="570052E5" w14:textId="77777777" w:rsidTr="00C9457A">
        <w:trPr>
          <w:jc w:val="center"/>
        </w:trPr>
        <w:tc>
          <w:tcPr>
            <w:tcW w:w="2875" w:type="pct"/>
            <w:tcBorders>
              <w:top w:val="nil"/>
              <w:left w:val="nil"/>
              <w:bottom w:val="nil"/>
              <w:right w:val="nil"/>
            </w:tcBorders>
            <w:shd w:val="clear" w:color="auto" w:fill="auto"/>
            <w:noWrap/>
            <w:vAlign w:val="center"/>
            <w:hideMark/>
          </w:tcPr>
          <w:p w14:paraId="0FC7D06E" w14:textId="77777777" w:rsidR="00DF251A" w:rsidRPr="00521670" w:rsidRDefault="00DF251A" w:rsidP="00C9457A">
            <w:pPr>
              <w:pStyle w:val="Tabletext"/>
              <w:keepNext/>
              <w:rPr>
                <w:b/>
                <w:bCs/>
                <w:szCs w:val="18"/>
                <w:lang w:val="ru-RU" w:eastAsia="en-GB"/>
              </w:rPr>
            </w:pPr>
            <w:r w:rsidRPr="00521670">
              <w:rPr>
                <w:b/>
                <w:bCs/>
                <w:szCs w:val="18"/>
                <w:lang w:val="ru-RU"/>
              </w:rPr>
              <w:t>Денежные средства без ограничений</w:t>
            </w:r>
          </w:p>
        </w:tc>
        <w:tc>
          <w:tcPr>
            <w:tcW w:w="1063" w:type="pct"/>
            <w:tcBorders>
              <w:top w:val="nil"/>
              <w:left w:val="nil"/>
              <w:bottom w:val="nil"/>
              <w:right w:val="nil"/>
            </w:tcBorders>
            <w:shd w:val="clear" w:color="auto" w:fill="auto"/>
            <w:noWrap/>
            <w:hideMark/>
          </w:tcPr>
          <w:p w14:paraId="7F93B684" w14:textId="77777777" w:rsidR="00DF251A" w:rsidRPr="00521670" w:rsidRDefault="00DF251A" w:rsidP="00C9457A">
            <w:pPr>
              <w:pStyle w:val="Tabletext"/>
              <w:keepNext/>
              <w:jc w:val="right"/>
              <w:rPr>
                <w:b/>
                <w:bCs/>
                <w:szCs w:val="18"/>
                <w:lang w:val="ru-RU" w:eastAsia="en-GB"/>
              </w:rPr>
            </w:pPr>
            <w:r w:rsidRPr="00521670">
              <w:rPr>
                <w:b/>
                <w:bCs/>
                <w:szCs w:val="18"/>
                <w:lang w:val="ru-RU"/>
              </w:rPr>
              <w:t>181 156</w:t>
            </w:r>
          </w:p>
        </w:tc>
        <w:tc>
          <w:tcPr>
            <w:tcW w:w="1062" w:type="pct"/>
            <w:tcBorders>
              <w:top w:val="nil"/>
              <w:left w:val="nil"/>
              <w:bottom w:val="nil"/>
              <w:right w:val="nil"/>
            </w:tcBorders>
            <w:shd w:val="clear" w:color="auto" w:fill="auto"/>
            <w:noWrap/>
            <w:hideMark/>
          </w:tcPr>
          <w:p w14:paraId="60CDECBF" w14:textId="77777777" w:rsidR="00DF251A" w:rsidRPr="00521670" w:rsidRDefault="00DF251A" w:rsidP="00C9457A">
            <w:pPr>
              <w:pStyle w:val="Tabletext"/>
              <w:keepNext/>
              <w:jc w:val="right"/>
              <w:rPr>
                <w:b/>
                <w:bCs/>
                <w:szCs w:val="18"/>
                <w:lang w:val="ru-RU" w:eastAsia="en-GB"/>
              </w:rPr>
            </w:pPr>
            <w:r w:rsidRPr="00521670">
              <w:rPr>
                <w:b/>
                <w:bCs/>
                <w:szCs w:val="18"/>
                <w:lang w:val="ru-RU"/>
              </w:rPr>
              <w:t>128 408</w:t>
            </w:r>
          </w:p>
        </w:tc>
      </w:tr>
      <w:tr w:rsidR="00DF251A" w:rsidRPr="00521670" w14:paraId="31F73F2C" w14:textId="77777777" w:rsidTr="00C9457A">
        <w:trPr>
          <w:jc w:val="center"/>
        </w:trPr>
        <w:tc>
          <w:tcPr>
            <w:tcW w:w="2875" w:type="pct"/>
            <w:tcBorders>
              <w:top w:val="nil"/>
              <w:left w:val="nil"/>
              <w:bottom w:val="nil"/>
              <w:right w:val="nil"/>
            </w:tcBorders>
            <w:shd w:val="clear" w:color="auto" w:fill="auto"/>
            <w:noWrap/>
            <w:vAlign w:val="bottom"/>
            <w:hideMark/>
          </w:tcPr>
          <w:p w14:paraId="42791087" w14:textId="77777777" w:rsidR="00DF251A" w:rsidRPr="00521670" w:rsidRDefault="00DF251A" w:rsidP="00C9457A">
            <w:pPr>
              <w:pStyle w:val="Tabletext"/>
              <w:keepNext/>
              <w:rPr>
                <w:szCs w:val="18"/>
                <w:lang w:val="ru-RU" w:eastAsia="en-GB"/>
              </w:rPr>
            </w:pPr>
            <w:r w:rsidRPr="00521670">
              <w:rPr>
                <w:szCs w:val="18"/>
                <w:lang w:val="ru-RU"/>
              </w:rPr>
              <w:t>Кассовая наличность</w:t>
            </w:r>
          </w:p>
        </w:tc>
        <w:tc>
          <w:tcPr>
            <w:tcW w:w="1063" w:type="pct"/>
            <w:tcBorders>
              <w:top w:val="nil"/>
              <w:left w:val="nil"/>
              <w:bottom w:val="nil"/>
              <w:right w:val="nil"/>
            </w:tcBorders>
            <w:shd w:val="clear" w:color="auto" w:fill="auto"/>
            <w:noWrap/>
            <w:hideMark/>
          </w:tcPr>
          <w:p w14:paraId="397BF61E" w14:textId="77777777" w:rsidR="00DF251A" w:rsidRPr="00521670" w:rsidRDefault="00DF251A" w:rsidP="00C9457A">
            <w:pPr>
              <w:pStyle w:val="Tabletext"/>
              <w:keepNext/>
              <w:jc w:val="right"/>
              <w:rPr>
                <w:szCs w:val="18"/>
                <w:lang w:val="ru-RU" w:eastAsia="en-GB"/>
              </w:rPr>
            </w:pPr>
            <w:r w:rsidRPr="00521670">
              <w:rPr>
                <w:szCs w:val="18"/>
                <w:lang w:val="ru-RU"/>
              </w:rPr>
              <w:t>66</w:t>
            </w:r>
          </w:p>
        </w:tc>
        <w:tc>
          <w:tcPr>
            <w:tcW w:w="1062" w:type="pct"/>
            <w:tcBorders>
              <w:top w:val="nil"/>
              <w:left w:val="nil"/>
              <w:bottom w:val="nil"/>
              <w:right w:val="nil"/>
            </w:tcBorders>
            <w:shd w:val="clear" w:color="auto" w:fill="auto"/>
            <w:noWrap/>
            <w:hideMark/>
          </w:tcPr>
          <w:p w14:paraId="639DA607" w14:textId="77777777" w:rsidR="00DF251A" w:rsidRPr="00521670" w:rsidRDefault="00DF251A" w:rsidP="00C9457A">
            <w:pPr>
              <w:pStyle w:val="Tabletext"/>
              <w:keepNext/>
              <w:jc w:val="right"/>
              <w:rPr>
                <w:szCs w:val="18"/>
                <w:lang w:val="ru-RU" w:eastAsia="en-GB"/>
              </w:rPr>
            </w:pPr>
            <w:r w:rsidRPr="00521670">
              <w:rPr>
                <w:szCs w:val="18"/>
                <w:lang w:val="ru-RU"/>
              </w:rPr>
              <w:t>95</w:t>
            </w:r>
          </w:p>
        </w:tc>
      </w:tr>
      <w:tr w:rsidR="00DF251A" w:rsidRPr="00521670" w14:paraId="08F585B7" w14:textId="77777777" w:rsidTr="00C9457A">
        <w:trPr>
          <w:jc w:val="center"/>
        </w:trPr>
        <w:tc>
          <w:tcPr>
            <w:tcW w:w="2875" w:type="pct"/>
            <w:tcBorders>
              <w:top w:val="nil"/>
              <w:left w:val="nil"/>
              <w:bottom w:val="nil"/>
              <w:right w:val="nil"/>
            </w:tcBorders>
            <w:shd w:val="clear" w:color="auto" w:fill="auto"/>
            <w:noWrap/>
            <w:vAlign w:val="bottom"/>
            <w:hideMark/>
          </w:tcPr>
          <w:p w14:paraId="753F52A6" w14:textId="77777777" w:rsidR="00DF251A" w:rsidRPr="00521670" w:rsidRDefault="00DF251A" w:rsidP="00C9457A">
            <w:pPr>
              <w:pStyle w:val="Tabletext"/>
              <w:keepNext/>
              <w:rPr>
                <w:szCs w:val="18"/>
                <w:lang w:val="ru-RU" w:eastAsia="en-GB"/>
              </w:rPr>
            </w:pPr>
            <w:r w:rsidRPr="00521670">
              <w:rPr>
                <w:szCs w:val="18"/>
                <w:lang w:val="ru-RU"/>
              </w:rPr>
              <w:t>Текущие банковские счета, шв. фр.</w:t>
            </w:r>
          </w:p>
        </w:tc>
        <w:tc>
          <w:tcPr>
            <w:tcW w:w="1063" w:type="pct"/>
            <w:tcBorders>
              <w:top w:val="nil"/>
              <w:left w:val="nil"/>
              <w:bottom w:val="nil"/>
              <w:right w:val="nil"/>
            </w:tcBorders>
            <w:shd w:val="clear" w:color="auto" w:fill="auto"/>
            <w:noWrap/>
            <w:hideMark/>
          </w:tcPr>
          <w:p w14:paraId="19529814" w14:textId="77777777" w:rsidR="00DF251A" w:rsidRPr="00521670" w:rsidRDefault="00DF251A" w:rsidP="00C9457A">
            <w:pPr>
              <w:pStyle w:val="Tabletext"/>
              <w:keepNext/>
              <w:jc w:val="right"/>
              <w:rPr>
                <w:szCs w:val="18"/>
                <w:lang w:val="ru-RU" w:eastAsia="en-GB"/>
              </w:rPr>
            </w:pPr>
            <w:r w:rsidRPr="00521670">
              <w:rPr>
                <w:szCs w:val="18"/>
                <w:lang w:val="ru-RU"/>
              </w:rPr>
              <w:t>49 215</w:t>
            </w:r>
          </w:p>
        </w:tc>
        <w:tc>
          <w:tcPr>
            <w:tcW w:w="1062" w:type="pct"/>
            <w:tcBorders>
              <w:top w:val="nil"/>
              <w:left w:val="nil"/>
              <w:bottom w:val="nil"/>
              <w:right w:val="nil"/>
            </w:tcBorders>
            <w:shd w:val="clear" w:color="auto" w:fill="auto"/>
            <w:noWrap/>
            <w:hideMark/>
          </w:tcPr>
          <w:p w14:paraId="10A0EECA" w14:textId="77777777" w:rsidR="00DF251A" w:rsidRPr="00521670" w:rsidRDefault="00DF251A" w:rsidP="00C9457A">
            <w:pPr>
              <w:pStyle w:val="Tabletext"/>
              <w:keepNext/>
              <w:jc w:val="right"/>
              <w:rPr>
                <w:szCs w:val="18"/>
                <w:lang w:val="ru-RU" w:eastAsia="en-GB"/>
              </w:rPr>
            </w:pPr>
            <w:r w:rsidRPr="00521670">
              <w:rPr>
                <w:szCs w:val="18"/>
                <w:lang w:val="ru-RU"/>
              </w:rPr>
              <w:t>45 884</w:t>
            </w:r>
          </w:p>
        </w:tc>
      </w:tr>
      <w:tr w:rsidR="00DF251A" w:rsidRPr="00521670" w14:paraId="7F6EEBEC" w14:textId="77777777" w:rsidTr="00C9457A">
        <w:trPr>
          <w:jc w:val="center"/>
        </w:trPr>
        <w:tc>
          <w:tcPr>
            <w:tcW w:w="2875" w:type="pct"/>
            <w:tcBorders>
              <w:top w:val="nil"/>
              <w:left w:val="nil"/>
              <w:bottom w:val="nil"/>
              <w:right w:val="nil"/>
            </w:tcBorders>
            <w:shd w:val="clear" w:color="auto" w:fill="auto"/>
            <w:noWrap/>
            <w:vAlign w:val="bottom"/>
            <w:hideMark/>
          </w:tcPr>
          <w:p w14:paraId="4E177826" w14:textId="77777777" w:rsidR="00DF251A" w:rsidRPr="00521670" w:rsidRDefault="00DF251A" w:rsidP="00C9457A">
            <w:pPr>
              <w:pStyle w:val="Tabletext"/>
              <w:keepNext/>
              <w:rPr>
                <w:szCs w:val="18"/>
                <w:lang w:val="ru-RU" w:eastAsia="en-GB"/>
              </w:rPr>
            </w:pPr>
            <w:r w:rsidRPr="00521670">
              <w:rPr>
                <w:szCs w:val="18"/>
                <w:lang w:val="ru-RU"/>
              </w:rPr>
              <w:t>Текущие банковские счета, иностранная валюта</w:t>
            </w:r>
          </w:p>
        </w:tc>
        <w:tc>
          <w:tcPr>
            <w:tcW w:w="1063" w:type="pct"/>
            <w:tcBorders>
              <w:top w:val="nil"/>
              <w:left w:val="nil"/>
              <w:bottom w:val="nil"/>
              <w:right w:val="nil"/>
            </w:tcBorders>
            <w:shd w:val="clear" w:color="auto" w:fill="auto"/>
            <w:noWrap/>
            <w:hideMark/>
          </w:tcPr>
          <w:p w14:paraId="75692C42" w14:textId="77777777" w:rsidR="00DF251A" w:rsidRPr="00521670" w:rsidRDefault="00DF251A" w:rsidP="00C9457A">
            <w:pPr>
              <w:pStyle w:val="Tabletext"/>
              <w:keepNext/>
              <w:jc w:val="right"/>
              <w:rPr>
                <w:szCs w:val="18"/>
                <w:lang w:val="ru-RU" w:eastAsia="en-GB"/>
              </w:rPr>
            </w:pPr>
            <w:r w:rsidRPr="00521670">
              <w:rPr>
                <w:szCs w:val="18"/>
                <w:lang w:val="ru-RU"/>
              </w:rPr>
              <w:t>35 642</w:t>
            </w:r>
          </w:p>
        </w:tc>
        <w:tc>
          <w:tcPr>
            <w:tcW w:w="1062" w:type="pct"/>
            <w:tcBorders>
              <w:top w:val="nil"/>
              <w:left w:val="nil"/>
              <w:bottom w:val="nil"/>
              <w:right w:val="nil"/>
            </w:tcBorders>
            <w:shd w:val="clear" w:color="auto" w:fill="auto"/>
            <w:noWrap/>
            <w:hideMark/>
          </w:tcPr>
          <w:p w14:paraId="5ED3D3BD" w14:textId="77777777" w:rsidR="00DF251A" w:rsidRPr="00521670" w:rsidRDefault="00DF251A" w:rsidP="00C9457A">
            <w:pPr>
              <w:pStyle w:val="Tabletext"/>
              <w:keepNext/>
              <w:jc w:val="right"/>
              <w:rPr>
                <w:szCs w:val="18"/>
                <w:lang w:val="ru-RU" w:eastAsia="en-GB"/>
              </w:rPr>
            </w:pPr>
            <w:r w:rsidRPr="00521670">
              <w:rPr>
                <w:szCs w:val="18"/>
                <w:lang w:val="ru-RU"/>
              </w:rPr>
              <w:t>20 178</w:t>
            </w:r>
          </w:p>
        </w:tc>
      </w:tr>
      <w:tr w:rsidR="00DF251A" w:rsidRPr="00521670" w14:paraId="61B9BCA3" w14:textId="77777777" w:rsidTr="00C9457A">
        <w:trPr>
          <w:jc w:val="center"/>
        </w:trPr>
        <w:tc>
          <w:tcPr>
            <w:tcW w:w="2875" w:type="pct"/>
            <w:tcBorders>
              <w:top w:val="nil"/>
              <w:left w:val="nil"/>
              <w:bottom w:val="nil"/>
              <w:right w:val="nil"/>
            </w:tcBorders>
            <w:shd w:val="clear" w:color="auto" w:fill="auto"/>
            <w:noWrap/>
            <w:vAlign w:val="bottom"/>
            <w:hideMark/>
          </w:tcPr>
          <w:p w14:paraId="5D5DBD03" w14:textId="77777777" w:rsidR="00DF251A" w:rsidRPr="00521670" w:rsidRDefault="00DF251A" w:rsidP="00C9457A">
            <w:pPr>
              <w:pStyle w:val="Tabletext"/>
              <w:keepNext/>
              <w:rPr>
                <w:szCs w:val="18"/>
                <w:lang w:val="ru-RU" w:eastAsia="en-GB"/>
              </w:rPr>
            </w:pPr>
            <w:r w:rsidRPr="00521670">
              <w:rPr>
                <w:szCs w:val="18"/>
                <w:lang w:val="ru-RU"/>
              </w:rPr>
              <w:t>Краткосрочные инвестиции 0−3 месяца</w:t>
            </w:r>
          </w:p>
        </w:tc>
        <w:tc>
          <w:tcPr>
            <w:tcW w:w="1063" w:type="pct"/>
            <w:tcBorders>
              <w:top w:val="nil"/>
              <w:left w:val="nil"/>
              <w:bottom w:val="nil"/>
              <w:right w:val="nil"/>
            </w:tcBorders>
            <w:shd w:val="clear" w:color="auto" w:fill="auto"/>
            <w:noWrap/>
            <w:hideMark/>
          </w:tcPr>
          <w:p w14:paraId="7028F4BA" w14:textId="77777777" w:rsidR="00DF251A" w:rsidRPr="00521670" w:rsidRDefault="00DF251A" w:rsidP="00C9457A">
            <w:pPr>
              <w:pStyle w:val="Tabletext"/>
              <w:keepNext/>
              <w:jc w:val="right"/>
              <w:rPr>
                <w:szCs w:val="18"/>
                <w:lang w:val="ru-RU" w:eastAsia="en-GB"/>
              </w:rPr>
            </w:pPr>
            <w:r w:rsidRPr="00521670">
              <w:rPr>
                <w:szCs w:val="18"/>
                <w:lang w:val="ru-RU"/>
              </w:rPr>
              <w:t>96 233</w:t>
            </w:r>
          </w:p>
        </w:tc>
        <w:tc>
          <w:tcPr>
            <w:tcW w:w="1062" w:type="pct"/>
            <w:tcBorders>
              <w:top w:val="nil"/>
              <w:left w:val="nil"/>
              <w:bottom w:val="nil"/>
              <w:right w:val="nil"/>
            </w:tcBorders>
            <w:shd w:val="clear" w:color="auto" w:fill="auto"/>
            <w:noWrap/>
            <w:hideMark/>
          </w:tcPr>
          <w:p w14:paraId="6E417F33" w14:textId="77777777" w:rsidR="00DF251A" w:rsidRPr="00521670" w:rsidRDefault="00DF251A" w:rsidP="00C9457A">
            <w:pPr>
              <w:pStyle w:val="Tabletext"/>
              <w:keepNext/>
              <w:jc w:val="right"/>
              <w:rPr>
                <w:szCs w:val="18"/>
                <w:lang w:val="ru-RU" w:eastAsia="en-GB"/>
              </w:rPr>
            </w:pPr>
            <w:r w:rsidRPr="00521670">
              <w:rPr>
                <w:szCs w:val="18"/>
                <w:lang w:val="ru-RU"/>
              </w:rPr>
              <w:t>62 251</w:t>
            </w:r>
          </w:p>
        </w:tc>
      </w:tr>
      <w:tr w:rsidR="00DF251A" w:rsidRPr="00521670" w14:paraId="338C68F5" w14:textId="77777777" w:rsidTr="00C9457A">
        <w:trPr>
          <w:jc w:val="center"/>
        </w:trPr>
        <w:tc>
          <w:tcPr>
            <w:tcW w:w="2875" w:type="pct"/>
            <w:tcBorders>
              <w:top w:val="nil"/>
              <w:left w:val="nil"/>
              <w:bottom w:val="nil"/>
              <w:right w:val="nil"/>
            </w:tcBorders>
            <w:shd w:val="clear" w:color="auto" w:fill="auto"/>
            <w:noWrap/>
            <w:vAlign w:val="bottom"/>
            <w:hideMark/>
          </w:tcPr>
          <w:p w14:paraId="2D86B5D2" w14:textId="77777777" w:rsidR="00DF251A" w:rsidRPr="00521670" w:rsidRDefault="00DF251A" w:rsidP="00C9457A">
            <w:pPr>
              <w:pStyle w:val="Tabletext"/>
              <w:keepNext/>
              <w:spacing w:before="0" w:after="0"/>
              <w:rPr>
                <w:szCs w:val="18"/>
                <w:lang w:val="ru-RU" w:eastAsia="en-GB"/>
              </w:rPr>
            </w:pPr>
          </w:p>
        </w:tc>
        <w:tc>
          <w:tcPr>
            <w:tcW w:w="1063" w:type="pct"/>
            <w:tcBorders>
              <w:top w:val="nil"/>
              <w:left w:val="nil"/>
              <w:bottom w:val="nil"/>
              <w:right w:val="nil"/>
            </w:tcBorders>
            <w:shd w:val="clear" w:color="auto" w:fill="auto"/>
            <w:noWrap/>
            <w:hideMark/>
          </w:tcPr>
          <w:p w14:paraId="23FA15C1" w14:textId="77777777" w:rsidR="00DF251A" w:rsidRPr="00521670" w:rsidRDefault="00DF251A" w:rsidP="00C9457A">
            <w:pPr>
              <w:pStyle w:val="Tabletext"/>
              <w:keepNext/>
              <w:spacing w:before="0" w:after="0"/>
              <w:jc w:val="right"/>
              <w:rPr>
                <w:rFonts w:ascii="Times New Roman" w:hAnsi="Times New Roman"/>
                <w:szCs w:val="18"/>
                <w:lang w:val="ru-RU" w:eastAsia="en-GB"/>
              </w:rPr>
            </w:pPr>
          </w:p>
        </w:tc>
        <w:tc>
          <w:tcPr>
            <w:tcW w:w="1062" w:type="pct"/>
            <w:tcBorders>
              <w:top w:val="nil"/>
              <w:left w:val="nil"/>
              <w:bottom w:val="nil"/>
              <w:right w:val="nil"/>
            </w:tcBorders>
            <w:shd w:val="clear" w:color="auto" w:fill="auto"/>
            <w:noWrap/>
            <w:hideMark/>
          </w:tcPr>
          <w:p w14:paraId="4C214622" w14:textId="77777777" w:rsidR="00DF251A" w:rsidRPr="00521670" w:rsidRDefault="00DF251A" w:rsidP="00C9457A">
            <w:pPr>
              <w:pStyle w:val="Tabletext"/>
              <w:keepNext/>
              <w:spacing w:before="0" w:after="0"/>
              <w:jc w:val="right"/>
              <w:rPr>
                <w:rFonts w:ascii="Times New Roman" w:hAnsi="Times New Roman"/>
                <w:szCs w:val="18"/>
                <w:lang w:val="ru-RU" w:eastAsia="en-GB"/>
              </w:rPr>
            </w:pPr>
          </w:p>
        </w:tc>
      </w:tr>
      <w:tr w:rsidR="00DF251A" w:rsidRPr="00521670" w14:paraId="6EC4FBDF" w14:textId="77777777" w:rsidTr="00C9457A">
        <w:trPr>
          <w:jc w:val="center"/>
        </w:trPr>
        <w:tc>
          <w:tcPr>
            <w:tcW w:w="2875" w:type="pct"/>
            <w:tcBorders>
              <w:top w:val="nil"/>
              <w:left w:val="nil"/>
              <w:bottom w:val="nil"/>
              <w:right w:val="nil"/>
            </w:tcBorders>
            <w:shd w:val="clear" w:color="auto" w:fill="auto"/>
            <w:noWrap/>
            <w:vAlign w:val="center"/>
            <w:hideMark/>
          </w:tcPr>
          <w:p w14:paraId="2CA35A58" w14:textId="77777777" w:rsidR="00DF251A" w:rsidRPr="00521670" w:rsidRDefault="00DF251A" w:rsidP="00C9457A">
            <w:pPr>
              <w:pStyle w:val="Tabletext"/>
              <w:keepNext/>
              <w:rPr>
                <w:b/>
                <w:bCs/>
                <w:szCs w:val="18"/>
                <w:lang w:val="ru-RU" w:eastAsia="en-GB"/>
              </w:rPr>
            </w:pPr>
            <w:r w:rsidRPr="00521670">
              <w:rPr>
                <w:b/>
                <w:bCs/>
                <w:szCs w:val="18"/>
                <w:lang w:val="ru-RU"/>
              </w:rPr>
              <w:t>Денежные средства, ограниченные в использовании</w:t>
            </w:r>
          </w:p>
        </w:tc>
        <w:tc>
          <w:tcPr>
            <w:tcW w:w="1063" w:type="pct"/>
            <w:tcBorders>
              <w:top w:val="nil"/>
              <w:left w:val="nil"/>
              <w:bottom w:val="nil"/>
              <w:right w:val="nil"/>
            </w:tcBorders>
            <w:shd w:val="clear" w:color="auto" w:fill="auto"/>
            <w:noWrap/>
            <w:hideMark/>
          </w:tcPr>
          <w:p w14:paraId="11CDA58F" w14:textId="77777777" w:rsidR="00DF251A" w:rsidRPr="00521670" w:rsidRDefault="00DF251A" w:rsidP="00C9457A">
            <w:pPr>
              <w:pStyle w:val="Tabletext"/>
              <w:keepNext/>
              <w:jc w:val="right"/>
              <w:rPr>
                <w:b/>
                <w:bCs/>
                <w:szCs w:val="18"/>
                <w:lang w:val="ru-RU" w:eastAsia="en-GB"/>
              </w:rPr>
            </w:pPr>
            <w:r w:rsidRPr="00521670">
              <w:rPr>
                <w:b/>
                <w:bCs/>
                <w:szCs w:val="18"/>
                <w:lang w:val="ru-RU"/>
              </w:rPr>
              <w:t>28 874</w:t>
            </w:r>
          </w:p>
        </w:tc>
        <w:tc>
          <w:tcPr>
            <w:tcW w:w="1062" w:type="pct"/>
            <w:tcBorders>
              <w:top w:val="nil"/>
              <w:left w:val="nil"/>
              <w:bottom w:val="nil"/>
              <w:right w:val="nil"/>
            </w:tcBorders>
            <w:shd w:val="clear" w:color="auto" w:fill="auto"/>
            <w:noWrap/>
            <w:hideMark/>
          </w:tcPr>
          <w:p w14:paraId="19550C49" w14:textId="77777777" w:rsidR="00DF251A" w:rsidRPr="00521670" w:rsidRDefault="00DF251A" w:rsidP="00C9457A">
            <w:pPr>
              <w:pStyle w:val="Tabletext"/>
              <w:keepNext/>
              <w:jc w:val="right"/>
              <w:rPr>
                <w:b/>
                <w:bCs/>
                <w:szCs w:val="18"/>
                <w:lang w:val="ru-RU" w:eastAsia="en-GB"/>
              </w:rPr>
            </w:pPr>
            <w:r w:rsidRPr="00521670">
              <w:rPr>
                <w:b/>
                <w:bCs/>
                <w:szCs w:val="18"/>
                <w:lang w:val="ru-RU"/>
              </w:rPr>
              <w:t>27 460</w:t>
            </w:r>
          </w:p>
        </w:tc>
      </w:tr>
      <w:tr w:rsidR="00DF251A" w:rsidRPr="00521670" w14:paraId="3B410B7A" w14:textId="77777777" w:rsidTr="00C9457A">
        <w:trPr>
          <w:jc w:val="center"/>
        </w:trPr>
        <w:tc>
          <w:tcPr>
            <w:tcW w:w="2875" w:type="pct"/>
            <w:tcBorders>
              <w:top w:val="nil"/>
              <w:left w:val="nil"/>
              <w:bottom w:val="nil"/>
              <w:right w:val="nil"/>
            </w:tcBorders>
            <w:shd w:val="clear" w:color="auto" w:fill="auto"/>
            <w:noWrap/>
            <w:vAlign w:val="bottom"/>
            <w:hideMark/>
          </w:tcPr>
          <w:p w14:paraId="15FF926D" w14:textId="77777777" w:rsidR="00DF251A" w:rsidRPr="00521670" w:rsidRDefault="00DF251A" w:rsidP="00C9457A">
            <w:pPr>
              <w:pStyle w:val="Tabletext"/>
              <w:keepNext/>
              <w:rPr>
                <w:szCs w:val="18"/>
                <w:lang w:val="ru-RU" w:eastAsia="en-GB"/>
              </w:rPr>
            </w:pPr>
            <w:r w:rsidRPr="00521670">
              <w:rPr>
                <w:szCs w:val="18"/>
                <w:lang w:val="ru-RU"/>
              </w:rPr>
              <w:t>Текущие банковские счета, шв. фр.</w:t>
            </w:r>
          </w:p>
        </w:tc>
        <w:tc>
          <w:tcPr>
            <w:tcW w:w="1063" w:type="pct"/>
            <w:tcBorders>
              <w:top w:val="nil"/>
              <w:left w:val="nil"/>
              <w:bottom w:val="nil"/>
              <w:right w:val="nil"/>
            </w:tcBorders>
            <w:shd w:val="clear" w:color="auto" w:fill="auto"/>
            <w:noWrap/>
            <w:hideMark/>
          </w:tcPr>
          <w:p w14:paraId="08A10F2E" w14:textId="77777777" w:rsidR="00DF251A" w:rsidRPr="00521670" w:rsidRDefault="00DF251A" w:rsidP="00C9457A">
            <w:pPr>
              <w:pStyle w:val="Tabletext"/>
              <w:keepNext/>
              <w:jc w:val="right"/>
              <w:rPr>
                <w:szCs w:val="18"/>
                <w:lang w:val="ru-RU" w:eastAsia="en-GB"/>
              </w:rPr>
            </w:pPr>
            <w:r w:rsidRPr="00521670">
              <w:rPr>
                <w:szCs w:val="18"/>
                <w:lang w:val="ru-RU"/>
              </w:rPr>
              <w:t>22 823</w:t>
            </w:r>
          </w:p>
        </w:tc>
        <w:tc>
          <w:tcPr>
            <w:tcW w:w="1062" w:type="pct"/>
            <w:tcBorders>
              <w:top w:val="nil"/>
              <w:left w:val="nil"/>
              <w:bottom w:val="nil"/>
              <w:right w:val="nil"/>
            </w:tcBorders>
            <w:shd w:val="clear" w:color="auto" w:fill="auto"/>
            <w:noWrap/>
            <w:hideMark/>
          </w:tcPr>
          <w:p w14:paraId="25D0184D" w14:textId="77777777" w:rsidR="00DF251A" w:rsidRPr="00521670" w:rsidRDefault="00DF251A" w:rsidP="00C9457A">
            <w:pPr>
              <w:pStyle w:val="Tabletext"/>
              <w:keepNext/>
              <w:jc w:val="right"/>
              <w:rPr>
                <w:szCs w:val="18"/>
                <w:lang w:val="ru-RU" w:eastAsia="en-GB"/>
              </w:rPr>
            </w:pPr>
            <w:r w:rsidRPr="00521670">
              <w:rPr>
                <w:szCs w:val="18"/>
                <w:lang w:val="ru-RU"/>
              </w:rPr>
              <w:t>22 137</w:t>
            </w:r>
          </w:p>
        </w:tc>
      </w:tr>
      <w:tr w:rsidR="00DF251A" w:rsidRPr="00521670" w14:paraId="6FB54D11" w14:textId="77777777" w:rsidTr="00C9457A">
        <w:trPr>
          <w:jc w:val="center"/>
        </w:trPr>
        <w:tc>
          <w:tcPr>
            <w:tcW w:w="2875" w:type="pct"/>
            <w:tcBorders>
              <w:top w:val="nil"/>
              <w:left w:val="nil"/>
              <w:bottom w:val="nil"/>
              <w:right w:val="nil"/>
            </w:tcBorders>
            <w:shd w:val="clear" w:color="auto" w:fill="auto"/>
            <w:noWrap/>
            <w:vAlign w:val="bottom"/>
            <w:hideMark/>
          </w:tcPr>
          <w:p w14:paraId="4962286D" w14:textId="77777777" w:rsidR="00DF251A" w:rsidRPr="00521670" w:rsidRDefault="00DF251A" w:rsidP="00C9457A">
            <w:pPr>
              <w:pStyle w:val="Tabletext"/>
              <w:keepNext/>
              <w:rPr>
                <w:szCs w:val="18"/>
                <w:lang w:val="ru-RU" w:eastAsia="en-GB"/>
              </w:rPr>
            </w:pPr>
            <w:r w:rsidRPr="00521670">
              <w:rPr>
                <w:szCs w:val="18"/>
                <w:lang w:val="ru-RU"/>
              </w:rPr>
              <w:t>Краткосрочные инвестиции 0−3 месяца</w:t>
            </w:r>
          </w:p>
        </w:tc>
        <w:tc>
          <w:tcPr>
            <w:tcW w:w="1063" w:type="pct"/>
            <w:tcBorders>
              <w:top w:val="nil"/>
              <w:left w:val="nil"/>
              <w:bottom w:val="nil"/>
              <w:right w:val="nil"/>
            </w:tcBorders>
            <w:shd w:val="clear" w:color="auto" w:fill="auto"/>
            <w:noWrap/>
            <w:hideMark/>
          </w:tcPr>
          <w:p w14:paraId="55B5C705" w14:textId="77777777" w:rsidR="00DF251A" w:rsidRPr="00521670" w:rsidRDefault="00DF251A" w:rsidP="00C9457A">
            <w:pPr>
              <w:pStyle w:val="Tabletext"/>
              <w:keepNext/>
              <w:jc w:val="right"/>
              <w:rPr>
                <w:szCs w:val="18"/>
                <w:lang w:val="ru-RU" w:eastAsia="en-GB"/>
              </w:rPr>
            </w:pPr>
            <w:r w:rsidRPr="00521670">
              <w:rPr>
                <w:szCs w:val="18"/>
                <w:lang w:val="ru-RU"/>
              </w:rPr>
              <w:t>6 051</w:t>
            </w:r>
          </w:p>
        </w:tc>
        <w:tc>
          <w:tcPr>
            <w:tcW w:w="1062" w:type="pct"/>
            <w:tcBorders>
              <w:top w:val="nil"/>
              <w:left w:val="nil"/>
              <w:bottom w:val="nil"/>
              <w:right w:val="nil"/>
            </w:tcBorders>
            <w:shd w:val="clear" w:color="auto" w:fill="auto"/>
            <w:noWrap/>
            <w:hideMark/>
          </w:tcPr>
          <w:p w14:paraId="39A0FA76" w14:textId="77777777" w:rsidR="00DF251A" w:rsidRPr="00521670" w:rsidRDefault="00DF251A" w:rsidP="00C9457A">
            <w:pPr>
              <w:pStyle w:val="Tabletext"/>
              <w:keepNext/>
              <w:jc w:val="right"/>
              <w:rPr>
                <w:szCs w:val="18"/>
                <w:lang w:val="ru-RU" w:eastAsia="en-GB"/>
              </w:rPr>
            </w:pPr>
            <w:r w:rsidRPr="00521670">
              <w:rPr>
                <w:szCs w:val="18"/>
                <w:lang w:val="ru-RU"/>
              </w:rPr>
              <w:t>5 323</w:t>
            </w:r>
          </w:p>
        </w:tc>
      </w:tr>
      <w:tr w:rsidR="00DF251A" w:rsidRPr="00521670" w14:paraId="3DA91250" w14:textId="77777777" w:rsidTr="00C9457A">
        <w:trPr>
          <w:jc w:val="center"/>
        </w:trPr>
        <w:tc>
          <w:tcPr>
            <w:tcW w:w="2875" w:type="pct"/>
            <w:tcBorders>
              <w:top w:val="nil"/>
              <w:left w:val="nil"/>
              <w:bottom w:val="nil"/>
              <w:right w:val="nil"/>
            </w:tcBorders>
            <w:shd w:val="clear" w:color="000000" w:fill="0070C0"/>
            <w:vAlign w:val="center"/>
            <w:hideMark/>
          </w:tcPr>
          <w:p w14:paraId="195A7AF7" w14:textId="77777777" w:rsidR="00DF251A" w:rsidRPr="00521670" w:rsidRDefault="00DF251A" w:rsidP="00C9457A">
            <w:pPr>
              <w:pStyle w:val="Tabletext"/>
              <w:rPr>
                <w:b/>
                <w:bCs/>
                <w:szCs w:val="18"/>
                <w:lang w:val="ru-RU" w:eastAsia="en-GB"/>
              </w:rPr>
            </w:pPr>
            <w:r w:rsidRPr="00521670">
              <w:rPr>
                <w:b/>
                <w:bCs/>
                <w:szCs w:val="18"/>
                <w:lang w:val="ru-RU"/>
              </w:rPr>
              <w:t>Денежные средства и эквиваленты денежных средств</w:t>
            </w:r>
          </w:p>
        </w:tc>
        <w:tc>
          <w:tcPr>
            <w:tcW w:w="1063" w:type="pct"/>
            <w:tcBorders>
              <w:top w:val="nil"/>
              <w:left w:val="nil"/>
              <w:bottom w:val="nil"/>
              <w:right w:val="nil"/>
            </w:tcBorders>
            <w:shd w:val="clear" w:color="000000" w:fill="0070C0"/>
            <w:hideMark/>
          </w:tcPr>
          <w:p w14:paraId="3F2C1DE3" w14:textId="77777777" w:rsidR="00DF251A" w:rsidRPr="00521670" w:rsidRDefault="00DF251A" w:rsidP="00C9457A">
            <w:pPr>
              <w:pStyle w:val="Tabletext"/>
              <w:jc w:val="right"/>
              <w:rPr>
                <w:b/>
                <w:bCs/>
                <w:szCs w:val="18"/>
                <w:lang w:val="ru-RU" w:eastAsia="en-GB"/>
              </w:rPr>
            </w:pPr>
            <w:r w:rsidRPr="00521670">
              <w:rPr>
                <w:b/>
                <w:bCs/>
                <w:szCs w:val="18"/>
                <w:lang w:val="ru-RU"/>
              </w:rPr>
              <w:t>210 030</w:t>
            </w:r>
          </w:p>
        </w:tc>
        <w:tc>
          <w:tcPr>
            <w:tcW w:w="1062" w:type="pct"/>
            <w:tcBorders>
              <w:top w:val="nil"/>
              <w:left w:val="nil"/>
              <w:bottom w:val="nil"/>
              <w:right w:val="nil"/>
            </w:tcBorders>
            <w:shd w:val="clear" w:color="000000" w:fill="0070C0"/>
            <w:hideMark/>
          </w:tcPr>
          <w:p w14:paraId="1A83643C" w14:textId="77777777" w:rsidR="00DF251A" w:rsidRPr="00521670" w:rsidRDefault="00DF251A" w:rsidP="00C9457A">
            <w:pPr>
              <w:pStyle w:val="Tabletext"/>
              <w:jc w:val="right"/>
              <w:rPr>
                <w:b/>
                <w:bCs/>
                <w:szCs w:val="18"/>
                <w:lang w:val="ru-RU" w:eastAsia="en-GB"/>
              </w:rPr>
            </w:pPr>
            <w:r w:rsidRPr="00521670">
              <w:rPr>
                <w:b/>
                <w:bCs/>
                <w:szCs w:val="18"/>
                <w:lang w:val="ru-RU"/>
              </w:rPr>
              <w:t>155 868</w:t>
            </w:r>
          </w:p>
        </w:tc>
      </w:tr>
    </w:tbl>
    <w:p w14:paraId="1A30499A" w14:textId="77777777" w:rsidR="00DF251A" w:rsidRPr="00521670" w:rsidRDefault="00DF251A" w:rsidP="00993675">
      <w:pPr>
        <w:pStyle w:val="Heading5"/>
        <w:tabs>
          <w:tab w:val="left" w:pos="1980"/>
        </w:tabs>
        <w:rPr>
          <w:b/>
          <w:bCs/>
          <w:color w:val="4F81BD" w:themeColor="accent1"/>
          <w:lang w:val="ru-RU"/>
        </w:rPr>
      </w:pPr>
      <w:bookmarkStart w:id="289" w:name="_Toc305764082"/>
      <w:bookmarkStart w:id="290" w:name="_Toc1048953102"/>
      <w:bookmarkStart w:id="291" w:name="_Toc164845554"/>
      <w:bookmarkStart w:id="292" w:name="_Toc168578468"/>
      <w:bookmarkStart w:id="293" w:name="_Toc180681813"/>
      <w:bookmarkStart w:id="294" w:name="_Toc200469531"/>
      <w:r w:rsidRPr="00521670">
        <w:rPr>
          <w:b/>
          <w:bCs/>
          <w:color w:val="4F81BD" w:themeColor="accent1"/>
          <w:lang w:val="ru-RU"/>
        </w:rPr>
        <w:t>Примечание 7</w:t>
      </w:r>
      <w:r w:rsidRPr="00521670">
        <w:rPr>
          <w:b/>
          <w:bCs/>
          <w:color w:val="4F81BD" w:themeColor="accent1"/>
          <w:lang w:val="ru-RU"/>
        </w:rPr>
        <w:tab/>
      </w:r>
      <w:bookmarkEnd w:id="289"/>
      <w:bookmarkEnd w:id="290"/>
      <w:bookmarkEnd w:id="291"/>
      <w:r w:rsidRPr="00521670">
        <w:rPr>
          <w:b/>
          <w:bCs/>
          <w:color w:val="4F81BD" w:themeColor="accent1"/>
          <w:lang w:val="ru-RU"/>
        </w:rPr>
        <w:t>Инвестиции</w:t>
      </w:r>
      <w:bookmarkEnd w:id="292"/>
      <w:bookmarkEnd w:id="293"/>
      <w:bookmarkEnd w:id="294"/>
    </w:p>
    <w:p w14:paraId="498457CF" w14:textId="13C411AC" w:rsidR="00DF251A" w:rsidRPr="00521670" w:rsidRDefault="00DF251A" w:rsidP="009F39AA">
      <w:pPr>
        <w:rPr>
          <w:lang w:val="ru-RU"/>
        </w:rPr>
      </w:pPr>
      <w:r w:rsidRPr="00521670">
        <w:rPr>
          <w:lang w:val="ru-RU"/>
        </w:rPr>
        <w:t>В настоящее время МСЭ пересматривает свою средне- и долгосрочную инвестиционную стратегию; ввиду существующей неопределенности в отношении обменных курсов и процентных ставок Организация приняла решение не заниматься среднесрочными и долгосрочными инвестициями. В результате по состоянию на конец 2024 года у МСЭ не было</w:t>
      </w:r>
      <w:r w:rsidR="00992198" w:rsidRPr="00521670">
        <w:rPr>
          <w:lang w:val="ru-RU"/>
        </w:rPr>
        <w:t> </w:t>
      </w:r>
      <w:r w:rsidRPr="00521670">
        <w:rPr>
          <w:lang w:val="ru-RU"/>
        </w:rPr>
        <w:t>инвестиций.</w:t>
      </w:r>
    </w:p>
    <w:p w14:paraId="7529893F" w14:textId="77777777" w:rsidR="00DF251A" w:rsidRPr="00521670" w:rsidRDefault="00DF251A" w:rsidP="009F39AA">
      <w:pPr>
        <w:spacing w:after="120"/>
        <w:rPr>
          <w:lang w:val="ru-RU"/>
        </w:rPr>
      </w:pPr>
      <w:r w:rsidRPr="00521670">
        <w:rPr>
          <w:lang w:val="ru-RU"/>
        </w:rPr>
        <w:t>Ниже приводятся сведения о срочных инвестициях в разбивке по срокам погашения (оставшийся период), а также по валютам.</w:t>
      </w:r>
    </w:p>
    <w:tbl>
      <w:tblPr>
        <w:tblW w:w="5000" w:type="pct"/>
        <w:jc w:val="center"/>
        <w:tblLook w:val="04A0" w:firstRow="1" w:lastRow="0" w:firstColumn="1" w:lastColumn="0" w:noHBand="0" w:noVBand="1"/>
      </w:tblPr>
      <w:tblGrid>
        <w:gridCol w:w="5216"/>
        <w:gridCol w:w="1928"/>
        <w:gridCol w:w="1927"/>
      </w:tblGrid>
      <w:tr w:rsidR="00DF251A" w:rsidRPr="00521670" w14:paraId="5D5C28A8" w14:textId="77777777" w:rsidTr="00322A1A">
        <w:trPr>
          <w:jc w:val="center"/>
        </w:trPr>
        <w:tc>
          <w:tcPr>
            <w:tcW w:w="2875" w:type="pct"/>
            <w:tcBorders>
              <w:top w:val="nil"/>
              <w:left w:val="nil"/>
              <w:bottom w:val="nil"/>
              <w:right w:val="nil"/>
            </w:tcBorders>
            <w:shd w:val="clear" w:color="000000" w:fill="0070C0"/>
            <w:vAlign w:val="center"/>
            <w:hideMark/>
          </w:tcPr>
          <w:p w14:paraId="5583290D" w14:textId="77777777" w:rsidR="00DF251A" w:rsidRPr="00521670" w:rsidRDefault="00DF251A" w:rsidP="009F39AA">
            <w:pPr>
              <w:pStyle w:val="Tablehead"/>
              <w:rPr>
                <w:bCs/>
                <w:lang w:val="ru-RU" w:eastAsia="en-GB"/>
              </w:rPr>
            </w:pPr>
            <w:r w:rsidRPr="00521670">
              <w:rPr>
                <w:bCs/>
                <w:lang w:val="ru-RU" w:eastAsia="en-GB"/>
              </w:rPr>
              <w:t>Описание (тыс. шв. фр.)</w:t>
            </w:r>
          </w:p>
        </w:tc>
        <w:tc>
          <w:tcPr>
            <w:tcW w:w="1063" w:type="pct"/>
            <w:tcBorders>
              <w:top w:val="nil"/>
              <w:left w:val="nil"/>
              <w:bottom w:val="nil"/>
              <w:right w:val="nil"/>
            </w:tcBorders>
            <w:shd w:val="clear" w:color="000000" w:fill="0070C0"/>
            <w:vAlign w:val="center"/>
            <w:hideMark/>
          </w:tcPr>
          <w:p w14:paraId="23CAB89B" w14:textId="77777777" w:rsidR="00DF251A" w:rsidRPr="00521670" w:rsidRDefault="00DF251A" w:rsidP="009977AB">
            <w:pPr>
              <w:pStyle w:val="Tablehead"/>
              <w:jc w:val="right"/>
              <w:rPr>
                <w:bCs/>
                <w:lang w:val="ru-RU" w:eastAsia="en-GB"/>
              </w:rPr>
            </w:pPr>
            <w:r w:rsidRPr="00521670">
              <w:rPr>
                <w:bCs/>
                <w:lang w:val="ru-RU" w:eastAsia="en-GB"/>
              </w:rPr>
              <w:t>31 декабря 2024 г.</w:t>
            </w:r>
          </w:p>
        </w:tc>
        <w:tc>
          <w:tcPr>
            <w:tcW w:w="1062" w:type="pct"/>
            <w:tcBorders>
              <w:top w:val="nil"/>
              <w:left w:val="nil"/>
              <w:bottom w:val="nil"/>
              <w:right w:val="nil"/>
            </w:tcBorders>
            <w:shd w:val="clear" w:color="000000" w:fill="0070C0"/>
            <w:vAlign w:val="center"/>
            <w:hideMark/>
          </w:tcPr>
          <w:p w14:paraId="3318E6D4" w14:textId="77777777" w:rsidR="00DF251A" w:rsidRPr="00521670" w:rsidRDefault="00DF251A" w:rsidP="009977AB">
            <w:pPr>
              <w:pStyle w:val="Tablehead"/>
              <w:jc w:val="right"/>
              <w:rPr>
                <w:bCs/>
                <w:lang w:val="ru-RU" w:eastAsia="en-GB"/>
              </w:rPr>
            </w:pPr>
            <w:r w:rsidRPr="00521670">
              <w:rPr>
                <w:bCs/>
                <w:lang w:val="ru-RU" w:eastAsia="en-GB"/>
              </w:rPr>
              <w:t>31 декабря 2023 г.</w:t>
            </w:r>
          </w:p>
        </w:tc>
      </w:tr>
      <w:tr w:rsidR="00DF251A" w:rsidRPr="00521670" w14:paraId="0C51EDD5" w14:textId="77777777" w:rsidTr="00322A1A">
        <w:trPr>
          <w:jc w:val="center"/>
        </w:trPr>
        <w:tc>
          <w:tcPr>
            <w:tcW w:w="2875" w:type="pct"/>
            <w:tcBorders>
              <w:top w:val="nil"/>
              <w:left w:val="nil"/>
              <w:bottom w:val="nil"/>
              <w:right w:val="nil"/>
            </w:tcBorders>
            <w:shd w:val="clear" w:color="auto" w:fill="auto"/>
            <w:noWrap/>
            <w:vAlign w:val="bottom"/>
            <w:hideMark/>
          </w:tcPr>
          <w:p w14:paraId="3390A679" w14:textId="77777777" w:rsidR="00DF251A" w:rsidRPr="00521670" w:rsidRDefault="00DF251A" w:rsidP="009F39AA">
            <w:pPr>
              <w:pStyle w:val="Tabletext"/>
              <w:rPr>
                <w:b/>
                <w:bCs/>
                <w:lang w:val="ru-RU" w:eastAsia="en-GB"/>
              </w:rPr>
            </w:pPr>
            <w:r w:rsidRPr="00521670">
              <w:rPr>
                <w:b/>
                <w:bCs/>
                <w:lang w:val="ru-RU" w:eastAsia="en-GB"/>
              </w:rPr>
              <w:t>Срок погашения</w:t>
            </w:r>
          </w:p>
        </w:tc>
        <w:tc>
          <w:tcPr>
            <w:tcW w:w="1063" w:type="pct"/>
            <w:tcBorders>
              <w:top w:val="nil"/>
              <w:left w:val="nil"/>
              <w:bottom w:val="nil"/>
              <w:right w:val="nil"/>
            </w:tcBorders>
            <w:shd w:val="clear" w:color="auto" w:fill="auto"/>
            <w:noWrap/>
            <w:vAlign w:val="center"/>
            <w:hideMark/>
          </w:tcPr>
          <w:p w14:paraId="4F4F49F2" w14:textId="77777777" w:rsidR="00DF251A" w:rsidRPr="00521670" w:rsidRDefault="00DF251A" w:rsidP="009F39AA">
            <w:pPr>
              <w:pStyle w:val="Tabletext"/>
              <w:rPr>
                <w:lang w:val="ru-RU" w:eastAsia="en-GB"/>
              </w:rPr>
            </w:pPr>
          </w:p>
        </w:tc>
        <w:tc>
          <w:tcPr>
            <w:tcW w:w="1062" w:type="pct"/>
            <w:tcBorders>
              <w:top w:val="nil"/>
              <w:left w:val="nil"/>
              <w:bottom w:val="nil"/>
              <w:right w:val="nil"/>
            </w:tcBorders>
            <w:shd w:val="clear" w:color="auto" w:fill="auto"/>
            <w:noWrap/>
            <w:vAlign w:val="center"/>
            <w:hideMark/>
          </w:tcPr>
          <w:p w14:paraId="2FD4A886" w14:textId="77777777" w:rsidR="00DF251A" w:rsidRPr="00521670" w:rsidRDefault="00DF251A" w:rsidP="009F39AA">
            <w:pPr>
              <w:pStyle w:val="Tabletext"/>
              <w:rPr>
                <w:lang w:val="ru-RU" w:eastAsia="en-GB"/>
              </w:rPr>
            </w:pPr>
          </w:p>
        </w:tc>
      </w:tr>
      <w:tr w:rsidR="00DF251A" w:rsidRPr="00521670" w14:paraId="33AC7D7A" w14:textId="77777777" w:rsidTr="00322A1A">
        <w:trPr>
          <w:jc w:val="center"/>
        </w:trPr>
        <w:tc>
          <w:tcPr>
            <w:tcW w:w="2875" w:type="pct"/>
            <w:tcBorders>
              <w:top w:val="nil"/>
              <w:left w:val="nil"/>
              <w:bottom w:val="nil"/>
              <w:right w:val="nil"/>
            </w:tcBorders>
            <w:shd w:val="clear" w:color="auto" w:fill="auto"/>
            <w:noWrap/>
            <w:vAlign w:val="bottom"/>
            <w:hideMark/>
          </w:tcPr>
          <w:p w14:paraId="3E1DACFE" w14:textId="77777777" w:rsidR="00DF251A" w:rsidRPr="00521670" w:rsidRDefault="00DF251A" w:rsidP="009F39AA">
            <w:pPr>
              <w:pStyle w:val="Tabletext"/>
              <w:rPr>
                <w:lang w:val="ru-RU" w:eastAsia="en-GB"/>
              </w:rPr>
            </w:pPr>
            <w:r w:rsidRPr="00521670">
              <w:rPr>
                <w:lang w:val="ru-RU" w:eastAsia="en-GB"/>
              </w:rPr>
              <w:t>4−6 месяцев</w:t>
            </w:r>
          </w:p>
        </w:tc>
        <w:tc>
          <w:tcPr>
            <w:tcW w:w="1063" w:type="pct"/>
            <w:tcBorders>
              <w:top w:val="nil"/>
              <w:left w:val="nil"/>
              <w:bottom w:val="nil"/>
              <w:right w:val="nil"/>
            </w:tcBorders>
            <w:shd w:val="clear" w:color="auto" w:fill="auto"/>
            <w:noWrap/>
            <w:vAlign w:val="bottom"/>
          </w:tcPr>
          <w:p w14:paraId="138250FC" w14:textId="77777777" w:rsidR="00DF251A" w:rsidRPr="00521670" w:rsidRDefault="00DF251A" w:rsidP="009F39AA">
            <w:pPr>
              <w:pStyle w:val="Tabletext"/>
              <w:jc w:val="right"/>
              <w:rPr>
                <w:lang w:val="ru-RU" w:eastAsia="en-GB"/>
              </w:rPr>
            </w:pPr>
            <w:r w:rsidRPr="00521670">
              <w:rPr>
                <w:lang w:val="ru-RU" w:eastAsia="en-GB"/>
              </w:rPr>
              <w:t>−</w:t>
            </w:r>
          </w:p>
        </w:tc>
        <w:tc>
          <w:tcPr>
            <w:tcW w:w="1062" w:type="pct"/>
            <w:tcBorders>
              <w:top w:val="nil"/>
              <w:left w:val="nil"/>
              <w:bottom w:val="nil"/>
              <w:right w:val="nil"/>
            </w:tcBorders>
            <w:shd w:val="clear" w:color="auto" w:fill="auto"/>
            <w:noWrap/>
            <w:vAlign w:val="bottom"/>
            <w:hideMark/>
          </w:tcPr>
          <w:p w14:paraId="09699CAE" w14:textId="77777777" w:rsidR="00DF251A" w:rsidRPr="00521670" w:rsidRDefault="00DF251A" w:rsidP="009F39AA">
            <w:pPr>
              <w:pStyle w:val="Tabletext"/>
              <w:jc w:val="right"/>
              <w:rPr>
                <w:lang w:val="ru-RU" w:eastAsia="en-GB"/>
              </w:rPr>
            </w:pPr>
            <w:r w:rsidRPr="00521670">
              <w:rPr>
                <w:lang w:val="ru-RU"/>
              </w:rPr>
              <w:t>25 070</w:t>
            </w:r>
          </w:p>
        </w:tc>
      </w:tr>
      <w:tr w:rsidR="00DF251A" w:rsidRPr="00521670" w14:paraId="1ABEC565" w14:textId="77777777" w:rsidTr="00322A1A">
        <w:trPr>
          <w:jc w:val="center"/>
        </w:trPr>
        <w:tc>
          <w:tcPr>
            <w:tcW w:w="2875" w:type="pct"/>
            <w:tcBorders>
              <w:top w:val="nil"/>
              <w:left w:val="nil"/>
              <w:bottom w:val="nil"/>
              <w:right w:val="nil"/>
            </w:tcBorders>
            <w:shd w:val="clear" w:color="auto" w:fill="auto"/>
            <w:noWrap/>
            <w:vAlign w:val="bottom"/>
            <w:hideMark/>
          </w:tcPr>
          <w:p w14:paraId="7B5688FC" w14:textId="77777777" w:rsidR="00DF251A" w:rsidRPr="00521670" w:rsidRDefault="00DF251A" w:rsidP="009F39AA">
            <w:pPr>
              <w:pStyle w:val="Tabletext"/>
              <w:rPr>
                <w:lang w:val="ru-RU" w:eastAsia="en-GB"/>
              </w:rPr>
            </w:pPr>
            <w:r w:rsidRPr="00521670">
              <w:rPr>
                <w:lang w:val="ru-RU" w:eastAsia="en-GB"/>
              </w:rPr>
              <w:t>7−9 месяцев</w:t>
            </w:r>
          </w:p>
        </w:tc>
        <w:tc>
          <w:tcPr>
            <w:tcW w:w="1063" w:type="pct"/>
            <w:tcBorders>
              <w:top w:val="nil"/>
              <w:left w:val="nil"/>
              <w:bottom w:val="nil"/>
              <w:right w:val="nil"/>
            </w:tcBorders>
            <w:shd w:val="clear" w:color="auto" w:fill="auto"/>
            <w:noWrap/>
            <w:vAlign w:val="bottom"/>
          </w:tcPr>
          <w:p w14:paraId="41D21951" w14:textId="77777777" w:rsidR="00DF251A" w:rsidRPr="00521670" w:rsidRDefault="00DF251A" w:rsidP="009F39AA">
            <w:pPr>
              <w:pStyle w:val="Tabletext"/>
              <w:jc w:val="right"/>
              <w:rPr>
                <w:lang w:val="ru-RU" w:eastAsia="en-GB"/>
              </w:rPr>
            </w:pPr>
            <w:r w:rsidRPr="00521670">
              <w:rPr>
                <w:lang w:val="ru-RU" w:eastAsia="en-GB"/>
              </w:rPr>
              <w:t>−</w:t>
            </w:r>
          </w:p>
        </w:tc>
        <w:tc>
          <w:tcPr>
            <w:tcW w:w="1062" w:type="pct"/>
            <w:tcBorders>
              <w:top w:val="nil"/>
              <w:left w:val="nil"/>
              <w:bottom w:val="nil"/>
              <w:right w:val="nil"/>
            </w:tcBorders>
            <w:shd w:val="clear" w:color="auto" w:fill="auto"/>
            <w:noWrap/>
            <w:vAlign w:val="bottom"/>
            <w:hideMark/>
          </w:tcPr>
          <w:p w14:paraId="34221650" w14:textId="77777777" w:rsidR="00DF251A" w:rsidRPr="00521670" w:rsidRDefault="00DF251A" w:rsidP="009F39AA">
            <w:pPr>
              <w:pStyle w:val="Tabletext"/>
              <w:jc w:val="right"/>
              <w:rPr>
                <w:lang w:val="ru-RU" w:eastAsia="en-GB"/>
              </w:rPr>
            </w:pPr>
            <w:r w:rsidRPr="00521670">
              <w:rPr>
                <w:lang w:val="ru-RU"/>
              </w:rPr>
              <w:t>10 000</w:t>
            </w:r>
          </w:p>
        </w:tc>
      </w:tr>
      <w:tr w:rsidR="00DF251A" w:rsidRPr="00521670" w14:paraId="1A1AEAE8" w14:textId="77777777" w:rsidTr="00322A1A">
        <w:trPr>
          <w:jc w:val="center"/>
        </w:trPr>
        <w:tc>
          <w:tcPr>
            <w:tcW w:w="2875" w:type="pct"/>
            <w:tcBorders>
              <w:top w:val="nil"/>
              <w:left w:val="nil"/>
              <w:bottom w:val="nil"/>
              <w:right w:val="nil"/>
            </w:tcBorders>
            <w:shd w:val="clear" w:color="000000" w:fill="0070C0"/>
            <w:vAlign w:val="center"/>
            <w:hideMark/>
          </w:tcPr>
          <w:p w14:paraId="23A76E5D" w14:textId="77777777" w:rsidR="00DF251A" w:rsidRPr="00521670" w:rsidRDefault="00DF251A" w:rsidP="009F39AA">
            <w:pPr>
              <w:pStyle w:val="Tabletext"/>
              <w:rPr>
                <w:b/>
                <w:bCs/>
                <w:lang w:val="ru-RU" w:eastAsia="en-GB"/>
              </w:rPr>
            </w:pPr>
            <w:r w:rsidRPr="00521670">
              <w:rPr>
                <w:b/>
                <w:bCs/>
                <w:lang w:val="ru-RU"/>
              </w:rPr>
              <w:t>Всего: инвестиции</w:t>
            </w:r>
          </w:p>
        </w:tc>
        <w:tc>
          <w:tcPr>
            <w:tcW w:w="1063" w:type="pct"/>
            <w:tcBorders>
              <w:top w:val="nil"/>
              <w:left w:val="nil"/>
              <w:bottom w:val="nil"/>
              <w:right w:val="nil"/>
            </w:tcBorders>
            <w:shd w:val="clear" w:color="000000" w:fill="0070C0"/>
            <w:vAlign w:val="bottom"/>
          </w:tcPr>
          <w:p w14:paraId="6941A1E0" w14:textId="77777777" w:rsidR="00DF251A" w:rsidRPr="00521670" w:rsidRDefault="00DF251A" w:rsidP="009F39AA">
            <w:pPr>
              <w:pStyle w:val="Tabletext"/>
              <w:jc w:val="right"/>
              <w:rPr>
                <w:b/>
                <w:bCs/>
                <w:lang w:val="ru-RU" w:eastAsia="en-GB"/>
              </w:rPr>
            </w:pPr>
            <w:r w:rsidRPr="00521670">
              <w:rPr>
                <w:b/>
                <w:bCs/>
                <w:lang w:val="ru-RU" w:eastAsia="en-GB"/>
              </w:rPr>
              <w:t>−</w:t>
            </w:r>
          </w:p>
        </w:tc>
        <w:tc>
          <w:tcPr>
            <w:tcW w:w="1062" w:type="pct"/>
            <w:tcBorders>
              <w:top w:val="nil"/>
              <w:left w:val="nil"/>
              <w:bottom w:val="nil"/>
              <w:right w:val="nil"/>
            </w:tcBorders>
            <w:shd w:val="clear" w:color="000000" w:fill="0070C0"/>
            <w:vAlign w:val="bottom"/>
            <w:hideMark/>
          </w:tcPr>
          <w:p w14:paraId="15EC0224" w14:textId="77777777" w:rsidR="00DF251A" w:rsidRPr="00521670" w:rsidRDefault="00DF251A" w:rsidP="009F39AA">
            <w:pPr>
              <w:pStyle w:val="Tabletext"/>
              <w:jc w:val="right"/>
              <w:rPr>
                <w:b/>
                <w:bCs/>
                <w:lang w:val="ru-RU" w:eastAsia="en-GB"/>
              </w:rPr>
            </w:pPr>
            <w:r w:rsidRPr="00521670">
              <w:rPr>
                <w:b/>
                <w:bCs/>
                <w:lang w:val="ru-RU" w:eastAsia="en-GB"/>
              </w:rPr>
              <w:t>35 070</w:t>
            </w:r>
          </w:p>
        </w:tc>
      </w:tr>
    </w:tbl>
    <w:p w14:paraId="15B2993B" w14:textId="77777777" w:rsidR="00DF251A" w:rsidRPr="00521670" w:rsidRDefault="00DF251A" w:rsidP="00993675">
      <w:pPr>
        <w:pStyle w:val="Heading5"/>
        <w:tabs>
          <w:tab w:val="left" w:pos="1980"/>
        </w:tabs>
        <w:rPr>
          <w:b/>
          <w:bCs/>
          <w:color w:val="4F81BD" w:themeColor="accent1"/>
          <w:lang w:val="ru-RU"/>
        </w:rPr>
      </w:pPr>
      <w:bookmarkStart w:id="295" w:name="_Toc305764083"/>
      <w:bookmarkStart w:id="296" w:name="_Toc1900259113"/>
      <w:bookmarkStart w:id="297" w:name="_Toc164845555"/>
      <w:bookmarkStart w:id="298" w:name="_Toc168578469"/>
      <w:bookmarkStart w:id="299" w:name="_Toc180681814"/>
      <w:bookmarkStart w:id="300" w:name="_Toc200469532"/>
      <w:r w:rsidRPr="00521670">
        <w:rPr>
          <w:b/>
          <w:bCs/>
          <w:color w:val="4F81BD" w:themeColor="accent1"/>
          <w:lang w:val="ru-RU"/>
        </w:rPr>
        <w:t>Примечание 8</w:t>
      </w:r>
      <w:r w:rsidRPr="00521670">
        <w:rPr>
          <w:b/>
          <w:bCs/>
          <w:color w:val="4F81BD" w:themeColor="accent1"/>
          <w:lang w:val="ru-RU"/>
        </w:rPr>
        <w:tab/>
      </w:r>
      <w:bookmarkEnd w:id="295"/>
      <w:bookmarkEnd w:id="296"/>
      <w:bookmarkEnd w:id="297"/>
      <w:r w:rsidRPr="00521670">
        <w:rPr>
          <w:b/>
          <w:bCs/>
          <w:color w:val="4F81BD" w:themeColor="accent1"/>
          <w:lang w:val="ru-RU"/>
        </w:rPr>
        <w:t>Долговые обязательства</w:t>
      </w:r>
      <w:bookmarkEnd w:id="298"/>
      <w:bookmarkEnd w:id="299"/>
      <w:bookmarkEnd w:id="300"/>
    </w:p>
    <w:p w14:paraId="7FAD22D4" w14:textId="77777777" w:rsidR="00DF251A" w:rsidRPr="00521670" w:rsidRDefault="00DF251A" w:rsidP="00322A1A">
      <w:pPr>
        <w:spacing w:after="120"/>
        <w:rPr>
          <w:lang w:val="ru-RU"/>
        </w:rPr>
      </w:pPr>
      <w:r w:rsidRPr="00521670">
        <w:rPr>
          <w:lang w:val="ru-RU"/>
        </w:rPr>
        <w:t>Долговые обязательства представляют собой неполученный доход от начисленных и добровольных взносов, публикаций и заявок на регистрацию спутниковых сетей.</w:t>
      </w:r>
    </w:p>
    <w:p w14:paraId="301E1A46" w14:textId="57568BFC" w:rsidR="00DF251A" w:rsidRPr="00521670" w:rsidRDefault="00DF251A" w:rsidP="00322A1A">
      <w:pPr>
        <w:spacing w:after="120"/>
        <w:rPr>
          <w:lang w:val="ru-RU"/>
        </w:rPr>
      </w:pPr>
      <w:r w:rsidRPr="00521670">
        <w:rPr>
          <w:lang w:val="ru-RU"/>
        </w:rPr>
        <w:t>Нетекущие долговые обязательства по </w:t>
      </w:r>
      <w:hyperlink r:id="rId25" w:history="1">
        <w:r w:rsidRPr="00521670">
          <w:rPr>
            <w:lang w:val="ru-RU"/>
          </w:rPr>
          <w:t>необменным операциям</w:t>
        </w:r>
      </w:hyperlink>
      <w:r w:rsidRPr="00521670">
        <w:rPr>
          <w:lang w:val="ru-RU"/>
        </w:rPr>
        <w:t xml:space="preserve"> </w:t>
      </w:r>
      <w:r w:rsidRPr="00521670">
        <w:rPr>
          <w:rFonts w:cs="Calibri"/>
          <w:lang w:val="ru-RU"/>
        </w:rPr>
        <w:t>–</w:t>
      </w:r>
      <w:r w:rsidRPr="00521670">
        <w:rPr>
          <w:lang w:val="ru-RU"/>
        </w:rPr>
        <w:t xml:space="preserve"> это долговые обязательства членов, обязавшихся погасить свою задолженность в соответствии с соглашением о погашении задолженности в течение нескольких финансовых периодов, а также внебюджетная дебиторская задолженность, связанная с текущими долгосрочными проектами, которая, как ожидается, должна быть погашена в последующие периоды. Значительный рост по сравнению с предыдущим годом обусловлен дополнительными проектами, подписанными в 2024 году, </w:t>
      </w:r>
      <w:r w:rsidRPr="00521670">
        <w:rPr>
          <w:lang w:val="ru-RU"/>
        </w:rPr>
        <w:lastRenderedPageBreak/>
        <w:t>которые, как ожидается, будут реализованы в будущих периодах. Для получения более подробной информации см. также Примечание 14.</w:t>
      </w:r>
    </w:p>
    <w:tbl>
      <w:tblPr>
        <w:tblW w:w="5000" w:type="pct"/>
        <w:jc w:val="center"/>
        <w:tblLook w:val="04A0" w:firstRow="1" w:lastRow="0" w:firstColumn="1" w:lastColumn="0" w:noHBand="0" w:noVBand="1"/>
      </w:tblPr>
      <w:tblGrid>
        <w:gridCol w:w="5163"/>
        <w:gridCol w:w="1954"/>
        <w:gridCol w:w="1954"/>
      </w:tblGrid>
      <w:tr w:rsidR="00DF251A" w:rsidRPr="00521670" w14:paraId="18501D45" w14:textId="77777777" w:rsidTr="00835292">
        <w:trPr>
          <w:trHeight w:val="395"/>
          <w:jc w:val="center"/>
        </w:trPr>
        <w:tc>
          <w:tcPr>
            <w:tcW w:w="2846" w:type="pct"/>
            <w:tcBorders>
              <w:top w:val="nil"/>
              <w:left w:val="nil"/>
              <w:bottom w:val="nil"/>
              <w:right w:val="nil"/>
            </w:tcBorders>
            <w:shd w:val="clear" w:color="000000" w:fill="0070C0"/>
            <w:noWrap/>
            <w:vAlign w:val="center"/>
            <w:hideMark/>
          </w:tcPr>
          <w:p w14:paraId="0DE2C1A1" w14:textId="77777777" w:rsidR="00DF251A" w:rsidRPr="00521670" w:rsidRDefault="00DF251A" w:rsidP="00835292">
            <w:pPr>
              <w:pStyle w:val="Tablehead"/>
              <w:rPr>
                <w:szCs w:val="18"/>
                <w:lang w:val="ru-RU" w:eastAsia="en-GB"/>
              </w:rPr>
            </w:pPr>
            <w:r w:rsidRPr="00521670">
              <w:rPr>
                <w:szCs w:val="18"/>
                <w:lang w:val="ru-RU" w:eastAsia="en-GB"/>
              </w:rPr>
              <w:t>Описание (тыс. шв. фр.)</w:t>
            </w:r>
          </w:p>
        </w:tc>
        <w:tc>
          <w:tcPr>
            <w:tcW w:w="1077" w:type="pct"/>
            <w:tcBorders>
              <w:top w:val="nil"/>
              <w:left w:val="nil"/>
              <w:bottom w:val="nil"/>
              <w:right w:val="nil"/>
            </w:tcBorders>
            <w:shd w:val="clear" w:color="000000" w:fill="0070C0"/>
            <w:noWrap/>
            <w:vAlign w:val="center"/>
            <w:hideMark/>
          </w:tcPr>
          <w:p w14:paraId="4F2AFAEE" w14:textId="77777777" w:rsidR="00DF251A" w:rsidRPr="00521670" w:rsidRDefault="00DF251A" w:rsidP="009977AB">
            <w:pPr>
              <w:pStyle w:val="Tablehead"/>
              <w:jc w:val="right"/>
              <w:rPr>
                <w:szCs w:val="18"/>
                <w:lang w:val="ru-RU" w:eastAsia="en-GB"/>
              </w:rPr>
            </w:pPr>
            <w:r w:rsidRPr="00521670">
              <w:rPr>
                <w:szCs w:val="18"/>
                <w:lang w:val="ru-RU" w:eastAsia="en-GB"/>
              </w:rPr>
              <w:t>31 декабря 2024 г.</w:t>
            </w:r>
          </w:p>
        </w:tc>
        <w:tc>
          <w:tcPr>
            <w:tcW w:w="1077" w:type="pct"/>
            <w:tcBorders>
              <w:top w:val="nil"/>
              <w:left w:val="nil"/>
              <w:bottom w:val="nil"/>
              <w:right w:val="nil"/>
            </w:tcBorders>
            <w:shd w:val="clear" w:color="000000" w:fill="0070C0"/>
            <w:noWrap/>
            <w:vAlign w:val="center"/>
            <w:hideMark/>
          </w:tcPr>
          <w:p w14:paraId="3EE95434" w14:textId="77777777" w:rsidR="00DF251A" w:rsidRPr="00521670" w:rsidRDefault="00DF251A" w:rsidP="009977AB">
            <w:pPr>
              <w:pStyle w:val="Tablehead"/>
              <w:jc w:val="right"/>
              <w:rPr>
                <w:szCs w:val="18"/>
                <w:lang w:val="ru-RU" w:eastAsia="en-GB"/>
              </w:rPr>
            </w:pPr>
            <w:r w:rsidRPr="00521670">
              <w:rPr>
                <w:szCs w:val="18"/>
                <w:lang w:val="ru-RU" w:eastAsia="en-GB"/>
              </w:rPr>
              <w:t>31 декабря 2023 г.</w:t>
            </w:r>
          </w:p>
        </w:tc>
      </w:tr>
      <w:tr w:rsidR="00DF251A" w:rsidRPr="00521670" w14:paraId="40E814E9" w14:textId="77777777" w:rsidTr="003B4A24">
        <w:trPr>
          <w:trHeight w:val="300"/>
          <w:jc w:val="center"/>
        </w:trPr>
        <w:tc>
          <w:tcPr>
            <w:tcW w:w="2846" w:type="pct"/>
            <w:tcBorders>
              <w:top w:val="nil"/>
              <w:left w:val="nil"/>
              <w:bottom w:val="nil"/>
              <w:right w:val="nil"/>
            </w:tcBorders>
            <w:shd w:val="clear" w:color="auto" w:fill="auto"/>
            <w:vAlign w:val="bottom"/>
            <w:hideMark/>
          </w:tcPr>
          <w:p w14:paraId="547F9364" w14:textId="77777777" w:rsidR="00DF251A" w:rsidRPr="00521670" w:rsidRDefault="00DF251A" w:rsidP="003B4A24">
            <w:pPr>
              <w:pStyle w:val="Tabletext"/>
              <w:keepNext/>
              <w:rPr>
                <w:szCs w:val="18"/>
                <w:lang w:val="ru-RU" w:eastAsia="en-GB"/>
              </w:rPr>
            </w:pPr>
            <w:r w:rsidRPr="00521670">
              <w:rPr>
                <w:szCs w:val="18"/>
                <w:lang w:val="ru-RU"/>
              </w:rPr>
              <w:t>Текущие долговые обязательства – обменные операции</w:t>
            </w:r>
          </w:p>
        </w:tc>
        <w:tc>
          <w:tcPr>
            <w:tcW w:w="1077" w:type="pct"/>
            <w:tcBorders>
              <w:top w:val="nil"/>
              <w:left w:val="nil"/>
              <w:bottom w:val="nil"/>
              <w:right w:val="nil"/>
            </w:tcBorders>
            <w:shd w:val="clear" w:color="auto" w:fill="auto"/>
            <w:noWrap/>
            <w:vAlign w:val="bottom"/>
            <w:hideMark/>
          </w:tcPr>
          <w:p w14:paraId="3D464D6D" w14:textId="77777777" w:rsidR="00DF251A" w:rsidRPr="00521670" w:rsidRDefault="00DF251A" w:rsidP="003B4A24">
            <w:pPr>
              <w:pStyle w:val="Tabletext"/>
              <w:keepNext/>
              <w:jc w:val="right"/>
              <w:rPr>
                <w:szCs w:val="18"/>
                <w:lang w:val="ru-RU" w:eastAsia="en-GB"/>
              </w:rPr>
            </w:pPr>
            <w:r w:rsidRPr="00521670">
              <w:rPr>
                <w:szCs w:val="18"/>
                <w:lang w:val="ru-RU"/>
              </w:rPr>
              <w:t>9 774</w:t>
            </w:r>
          </w:p>
        </w:tc>
        <w:tc>
          <w:tcPr>
            <w:tcW w:w="1077" w:type="pct"/>
            <w:tcBorders>
              <w:top w:val="nil"/>
              <w:left w:val="nil"/>
              <w:bottom w:val="nil"/>
              <w:right w:val="nil"/>
            </w:tcBorders>
            <w:shd w:val="clear" w:color="auto" w:fill="auto"/>
            <w:noWrap/>
            <w:vAlign w:val="bottom"/>
            <w:hideMark/>
          </w:tcPr>
          <w:p w14:paraId="4D15303B" w14:textId="77777777" w:rsidR="00DF251A" w:rsidRPr="00521670" w:rsidRDefault="00DF251A" w:rsidP="003B4A24">
            <w:pPr>
              <w:pStyle w:val="Tabletext"/>
              <w:keepNext/>
              <w:jc w:val="right"/>
              <w:rPr>
                <w:szCs w:val="18"/>
                <w:lang w:val="ru-RU" w:eastAsia="en-GB"/>
              </w:rPr>
            </w:pPr>
            <w:r w:rsidRPr="00521670">
              <w:rPr>
                <w:szCs w:val="18"/>
                <w:lang w:val="ru-RU"/>
              </w:rPr>
              <w:t>7 687</w:t>
            </w:r>
          </w:p>
        </w:tc>
      </w:tr>
      <w:tr w:rsidR="00DF251A" w:rsidRPr="00521670" w14:paraId="194FD2F7" w14:textId="77777777" w:rsidTr="003B4A24">
        <w:trPr>
          <w:trHeight w:val="300"/>
          <w:jc w:val="center"/>
        </w:trPr>
        <w:tc>
          <w:tcPr>
            <w:tcW w:w="2846" w:type="pct"/>
            <w:tcBorders>
              <w:top w:val="nil"/>
              <w:left w:val="nil"/>
              <w:bottom w:val="nil"/>
              <w:right w:val="nil"/>
            </w:tcBorders>
            <w:shd w:val="clear" w:color="auto" w:fill="auto"/>
            <w:vAlign w:val="bottom"/>
            <w:hideMark/>
          </w:tcPr>
          <w:p w14:paraId="22770171" w14:textId="77777777" w:rsidR="00DF251A" w:rsidRPr="00521670" w:rsidRDefault="00DF251A" w:rsidP="003B4A24">
            <w:pPr>
              <w:pStyle w:val="Tabletext"/>
              <w:keepNext/>
              <w:rPr>
                <w:szCs w:val="18"/>
                <w:lang w:val="ru-RU" w:eastAsia="en-GB"/>
              </w:rPr>
            </w:pPr>
            <w:r w:rsidRPr="00521670">
              <w:rPr>
                <w:szCs w:val="18"/>
                <w:lang w:val="ru-RU"/>
              </w:rPr>
              <w:t>Резервный фонд под убытки по текущим долговым обязательствам – обменные операции</w:t>
            </w:r>
          </w:p>
        </w:tc>
        <w:tc>
          <w:tcPr>
            <w:tcW w:w="1077" w:type="pct"/>
            <w:tcBorders>
              <w:top w:val="nil"/>
              <w:left w:val="nil"/>
              <w:bottom w:val="nil"/>
              <w:right w:val="nil"/>
            </w:tcBorders>
            <w:shd w:val="clear" w:color="auto" w:fill="auto"/>
            <w:noWrap/>
            <w:vAlign w:val="bottom"/>
            <w:hideMark/>
          </w:tcPr>
          <w:p w14:paraId="4A7F1AE0" w14:textId="77777777" w:rsidR="00DF251A" w:rsidRPr="00521670" w:rsidRDefault="00DF251A" w:rsidP="003B4A24">
            <w:pPr>
              <w:pStyle w:val="Tabletext"/>
              <w:keepNext/>
              <w:jc w:val="right"/>
              <w:rPr>
                <w:szCs w:val="18"/>
                <w:lang w:val="ru-RU" w:eastAsia="en-GB"/>
              </w:rPr>
            </w:pPr>
            <w:r w:rsidRPr="00521670">
              <w:rPr>
                <w:szCs w:val="18"/>
                <w:lang w:val="ru-RU"/>
              </w:rPr>
              <w:t>(1 272)</w:t>
            </w:r>
          </w:p>
        </w:tc>
        <w:tc>
          <w:tcPr>
            <w:tcW w:w="1077" w:type="pct"/>
            <w:tcBorders>
              <w:top w:val="nil"/>
              <w:left w:val="nil"/>
              <w:bottom w:val="nil"/>
              <w:right w:val="nil"/>
            </w:tcBorders>
            <w:shd w:val="clear" w:color="auto" w:fill="auto"/>
            <w:noWrap/>
            <w:vAlign w:val="bottom"/>
            <w:hideMark/>
          </w:tcPr>
          <w:p w14:paraId="0936E084" w14:textId="77777777" w:rsidR="00DF251A" w:rsidRPr="00521670" w:rsidRDefault="00DF251A" w:rsidP="003B4A24">
            <w:pPr>
              <w:pStyle w:val="Tabletext"/>
              <w:keepNext/>
              <w:jc w:val="right"/>
              <w:rPr>
                <w:szCs w:val="18"/>
                <w:lang w:val="ru-RU" w:eastAsia="en-GB"/>
              </w:rPr>
            </w:pPr>
            <w:r w:rsidRPr="00521670">
              <w:rPr>
                <w:szCs w:val="18"/>
                <w:lang w:val="ru-RU"/>
              </w:rPr>
              <w:t>(1 241)</w:t>
            </w:r>
          </w:p>
        </w:tc>
      </w:tr>
      <w:tr w:rsidR="00DF251A" w:rsidRPr="00521670" w14:paraId="7390A4CE" w14:textId="77777777" w:rsidTr="003B4A24">
        <w:trPr>
          <w:trHeight w:val="300"/>
          <w:jc w:val="center"/>
        </w:trPr>
        <w:tc>
          <w:tcPr>
            <w:tcW w:w="2846" w:type="pct"/>
            <w:tcBorders>
              <w:top w:val="nil"/>
              <w:left w:val="nil"/>
              <w:bottom w:val="nil"/>
              <w:right w:val="nil"/>
            </w:tcBorders>
            <w:shd w:val="clear" w:color="auto" w:fill="auto"/>
            <w:vAlign w:val="center"/>
            <w:hideMark/>
          </w:tcPr>
          <w:p w14:paraId="265D0B40" w14:textId="77777777" w:rsidR="00DF251A" w:rsidRPr="00521670" w:rsidRDefault="00DF251A" w:rsidP="003B4A24">
            <w:pPr>
              <w:pStyle w:val="Tabletext"/>
              <w:keepNext/>
              <w:rPr>
                <w:b/>
                <w:bCs/>
                <w:szCs w:val="18"/>
                <w:lang w:val="ru-RU" w:eastAsia="en-GB"/>
              </w:rPr>
            </w:pPr>
            <w:r w:rsidRPr="00521670">
              <w:rPr>
                <w:b/>
                <w:bCs/>
                <w:szCs w:val="18"/>
                <w:lang w:val="ru-RU"/>
              </w:rPr>
              <w:t>Текущие долговые обязательства – обменные операции: чистая стоимость</w:t>
            </w:r>
          </w:p>
        </w:tc>
        <w:tc>
          <w:tcPr>
            <w:tcW w:w="1077" w:type="pct"/>
            <w:tcBorders>
              <w:top w:val="nil"/>
              <w:left w:val="nil"/>
              <w:bottom w:val="nil"/>
              <w:right w:val="nil"/>
            </w:tcBorders>
            <w:shd w:val="clear" w:color="auto" w:fill="auto"/>
            <w:noWrap/>
            <w:vAlign w:val="bottom"/>
            <w:hideMark/>
          </w:tcPr>
          <w:p w14:paraId="5A854E98" w14:textId="77777777" w:rsidR="00DF251A" w:rsidRPr="00521670" w:rsidRDefault="00DF251A" w:rsidP="003B4A24">
            <w:pPr>
              <w:pStyle w:val="Tabletext"/>
              <w:keepNext/>
              <w:jc w:val="right"/>
              <w:rPr>
                <w:b/>
                <w:bCs/>
                <w:szCs w:val="18"/>
                <w:lang w:val="ru-RU" w:eastAsia="en-GB"/>
              </w:rPr>
            </w:pPr>
            <w:r w:rsidRPr="00521670">
              <w:rPr>
                <w:b/>
                <w:bCs/>
                <w:szCs w:val="18"/>
                <w:lang w:val="ru-RU"/>
              </w:rPr>
              <w:t>8 502</w:t>
            </w:r>
          </w:p>
        </w:tc>
        <w:tc>
          <w:tcPr>
            <w:tcW w:w="1077" w:type="pct"/>
            <w:tcBorders>
              <w:top w:val="nil"/>
              <w:left w:val="nil"/>
              <w:bottom w:val="nil"/>
              <w:right w:val="nil"/>
            </w:tcBorders>
            <w:shd w:val="clear" w:color="auto" w:fill="auto"/>
            <w:noWrap/>
            <w:vAlign w:val="bottom"/>
            <w:hideMark/>
          </w:tcPr>
          <w:p w14:paraId="47250DD6" w14:textId="77777777" w:rsidR="00DF251A" w:rsidRPr="00521670" w:rsidRDefault="00DF251A" w:rsidP="003B4A24">
            <w:pPr>
              <w:pStyle w:val="Tabletext"/>
              <w:keepNext/>
              <w:jc w:val="right"/>
              <w:rPr>
                <w:b/>
                <w:bCs/>
                <w:szCs w:val="18"/>
                <w:lang w:val="ru-RU" w:eastAsia="en-GB"/>
              </w:rPr>
            </w:pPr>
            <w:r w:rsidRPr="00521670">
              <w:rPr>
                <w:b/>
                <w:bCs/>
                <w:szCs w:val="18"/>
                <w:lang w:val="ru-RU"/>
              </w:rPr>
              <w:t>6 446</w:t>
            </w:r>
          </w:p>
        </w:tc>
      </w:tr>
      <w:tr w:rsidR="00DF251A" w:rsidRPr="00521670" w14:paraId="02EB8F58" w14:textId="77777777" w:rsidTr="003B4A24">
        <w:trPr>
          <w:trHeight w:val="150"/>
          <w:jc w:val="center"/>
        </w:trPr>
        <w:tc>
          <w:tcPr>
            <w:tcW w:w="2846" w:type="pct"/>
            <w:tcBorders>
              <w:top w:val="nil"/>
              <w:left w:val="nil"/>
              <w:bottom w:val="nil"/>
              <w:right w:val="nil"/>
            </w:tcBorders>
            <w:shd w:val="clear" w:color="auto" w:fill="auto"/>
            <w:vAlign w:val="bottom"/>
            <w:hideMark/>
          </w:tcPr>
          <w:p w14:paraId="0F0F596B" w14:textId="77777777" w:rsidR="00DF251A" w:rsidRPr="00521670" w:rsidRDefault="00DF251A" w:rsidP="00835292">
            <w:pPr>
              <w:pStyle w:val="Tabletext"/>
              <w:keepNext/>
              <w:rPr>
                <w:szCs w:val="18"/>
                <w:lang w:val="ru-RU" w:eastAsia="en-GB"/>
              </w:rPr>
            </w:pPr>
          </w:p>
        </w:tc>
        <w:tc>
          <w:tcPr>
            <w:tcW w:w="1077" w:type="pct"/>
            <w:tcBorders>
              <w:top w:val="nil"/>
              <w:left w:val="nil"/>
              <w:bottom w:val="nil"/>
              <w:right w:val="nil"/>
            </w:tcBorders>
            <w:shd w:val="clear" w:color="auto" w:fill="auto"/>
            <w:noWrap/>
            <w:vAlign w:val="bottom"/>
            <w:hideMark/>
          </w:tcPr>
          <w:p w14:paraId="5AE6049C" w14:textId="77777777" w:rsidR="00DF251A" w:rsidRPr="00521670" w:rsidRDefault="00DF251A" w:rsidP="003B4A24">
            <w:pPr>
              <w:pStyle w:val="Tabletext"/>
              <w:keepNext/>
              <w:jc w:val="right"/>
              <w:rPr>
                <w:rFonts w:ascii="Times New Roman" w:hAnsi="Times New Roman"/>
                <w:szCs w:val="18"/>
                <w:lang w:val="ru-RU" w:eastAsia="en-GB"/>
              </w:rPr>
            </w:pPr>
          </w:p>
        </w:tc>
        <w:tc>
          <w:tcPr>
            <w:tcW w:w="1077" w:type="pct"/>
            <w:tcBorders>
              <w:top w:val="nil"/>
              <w:left w:val="nil"/>
              <w:bottom w:val="nil"/>
              <w:right w:val="nil"/>
            </w:tcBorders>
            <w:shd w:val="clear" w:color="auto" w:fill="auto"/>
            <w:noWrap/>
            <w:vAlign w:val="bottom"/>
            <w:hideMark/>
          </w:tcPr>
          <w:p w14:paraId="454BAAFD" w14:textId="77777777" w:rsidR="00DF251A" w:rsidRPr="00521670" w:rsidRDefault="00DF251A" w:rsidP="003B4A24">
            <w:pPr>
              <w:pStyle w:val="Tabletext"/>
              <w:keepNext/>
              <w:jc w:val="right"/>
              <w:rPr>
                <w:rFonts w:ascii="Times New Roman" w:hAnsi="Times New Roman"/>
                <w:szCs w:val="18"/>
                <w:lang w:val="ru-RU" w:eastAsia="en-GB"/>
              </w:rPr>
            </w:pPr>
          </w:p>
        </w:tc>
      </w:tr>
      <w:tr w:rsidR="00DF251A" w:rsidRPr="00521670" w14:paraId="314AE7FA" w14:textId="77777777" w:rsidTr="003B4A24">
        <w:trPr>
          <w:trHeight w:val="300"/>
          <w:jc w:val="center"/>
        </w:trPr>
        <w:tc>
          <w:tcPr>
            <w:tcW w:w="2846" w:type="pct"/>
            <w:tcBorders>
              <w:top w:val="nil"/>
              <w:left w:val="nil"/>
              <w:bottom w:val="nil"/>
              <w:right w:val="nil"/>
            </w:tcBorders>
            <w:shd w:val="clear" w:color="auto" w:fill="auto"/>
            <w:vAlign w:val="bottom"/>
            <w:hideMark/>
          </w:tcPr>
          <w:p w14:paraId="21E6D7DF" w14:textId="77777777" w:rsidR="00DF251A" w:rsidRPr="00521670" w:rsidRDefault="00DF251A" w:rsidP="003B4A24">
            <w:pPr>
              <w:pStyle w:val="Tabletext"/>
              <w:keepNext/>
              <w:rPr>
                <w:szCs w:val="18"/>
                <w:lang w:val="ru-RU" w:eastAsia="en-GB"/>
              </w:rPr>
            </w:pPr>
            <w:r w:rsidRPr="00521670">
              <w:rPr>
                <w:szCs w:val="18"/>
                <w:lang w:val="ru-RU"/>
              </w:rPr>
              <w:t>Текущие долговые обязательства – необменные операции</w:t>
            </w:r>
          </w:p>
        </w:tc>
        <w:tc>
          <w:tcPr>
            <w:tcW w:w="1077" w:type="pct"/>
            <w:tcBorders>
              <w:top w:val="nil"/>
              <w:left w:val="nil"/>
              <w:bottom w:val="nil"/>
              <w:right w:val="nil"/>
            </w:tcBorders>
            <w:shd w:val="clear" w:color="auto" w:fill="auto"/>
            <w:noWrap/>
            <w:vAlign w:val="bottom"/>
            <w:hideMark/>
          </w:tcPr>
          <w:p w14:paraId="2FF442A2" w14:textId="77777777" w:rsidR="00DF251A" w:rsidRPr="00521670" w:rsidRDefault="00DF251A" w:rsidP="003B4A24">
            <w:pPr>
              <w:pStyle w:val="Tabletext"/>
              <w:keepNext/>
              <w:jc w:val="right"/>
              <w:rPr>
                <w:szCs w:val="18"/>
                <w:lang w:val="ru-RU" w:eastAsia="en-GB"/>
              </w:rPr>
            </w:pPr>
            <w:r w:rsidRPr="00521670">
              <w:rPr>
                <w:szCs w:val="18"/>
                <w:lang w:val="ru-RU"/>
              </w:rPr>
              <w:t>48 009</w:t>
            </w:r>
          </w:p>
        </w:tc>
        <w:tc>
          <w:tcPr>
            <w:tcW w:w="1077" w:type="pct"/>
            <w:tcBorders>
              <w:top w:val="nil"/>
              <w:left w:val="nil"/>
              <w:bottom w:val="nil"/>
              <w:right w:val="nil"/>
            </w:tcBorders>
            <w:shd w:val="clear" w:color="auto" w:fill="auto"/>
            <w:noWrap/>
            <w:vAlign w:val="bottom"/>
            <w:hideMark/>
          </w:tcPr>
          <w:p w14:paraId="48AD094F" w14:textId="77777777" w:rsidR="00DF251A" w:rsidRPr="00521670" w:rsidRDefault="00DF251A" w:rsidP="003B4A24">
            <w:pPr>
              <w:pStyle w:val="Tabletext"/>
              <w:keepNext/>
              <w:jc w:val="right"/>
              <w:rPr>
                <w:szCs w:val="18"/>
                <w:lang w:val="ru-RU" w:eastAsia="en-GB"/>
              </w:rPr>
            </w:pPr>
            <w:r w:rsidRPr="00521670">
              <w:rPr>
                <w:szCs w:val="18"/>
                <w:lang w:val="ru-RU"/>
              </w:rPr>
              <w:t>40 541</w:t>
            </w:r>
          </w:p>
        </w:tc>
      </w:tr>
      <w:tr w:rsidR="00DF251A" w:rsidRPr="00521670" w14:paraId="3DD90493" w14:textId="77777777" w:rsidTr="003B4A24">
        <w:trPr>
          <w:trHeight w:val="255"/>
          <w:jc w:val="center"/>
        </w:trPr>
        <w:tc>
          <w:tcPr>
            <w:tcW w:w="2846" w:type="pct"/>
            <w:tcBorders>
              <w:top w:val="nil"/>
              <w:left w:val="nil"/>
              <w:bottom w:val="nil"/>
              <w:right w:val="nil"/>
            </w:tcBorders>
            <w:shd w:val="clear" w:color="auto" w:fill="auto"/>
            <w:vAlign w:val="bottom"/>
            <w:hideMark/>
          </w:tcPr>
          <w:p w14:paraId="21B23837" w14:textId="77777777" w:rsidR="00DF251A" w:rsidRPr="00521670" w:rsidRDefault="00DF251A" w:rsidP="003B4A24">
            <w:pPr>
              <w:pStyle w:val="Tabletext"/>
              <w:keepNext/>
              <w:rPr>
                <w:szCs w:val="18"/>
                <w:lang w:val="ru-RU" w:eastAsia="en-GB"/>
              </w:rPr>
            </w:pPr>
            <w:r w:rsidRPr="00521670">
              <w:rPr>
                <w:szCs w:val="18"/>
                <w:lang w:val="ru-RU"/>
              </w:rPr>
              <w:t>Резервный фонд под убытки по текущим долговым обязательствам – необменные операции</w:t>
            </w:r>
          </w:p>
        </w:tc>
        <w:tc>
          <w:tcPr>
            <w:tcW w:w="1077" w:type="pct"/>
            <w:tcBorders>
              <w:top w:val="nil"/>
              <w:left w:val="nil"/>
              <w:bottom w:val="nil"/>
              <w:right w:val="nil"/>
            </w:tcBorders>
            <w:shd w:val="clear" w:color="auto" w:fill="auto"/>
            <w:noWrap/>
            <w:vAlign w:val="bottom"/>
            <w:hideMark/>
          </w:tcPr>
          <w:p w14:paraId="4D235A04" w14:textId="77777777" w:rsidR="00DF251A" w:rsidRPr="00521670" w:rsidRDefault="00DF251A" w:rsidP="003B4A24">
            <w:pPr>
              <w:pStyle w:val="Tabletext"/>
              <w:keepNext/>
              <w:jc w:val="right"/>
              <w:rPr>
                <w:szCs w:val="18"/>
                <w:lang w:val="ru-RU" w:eastAsia="en-GB"/>
              </w:rPr>
            </w:pPr>
            <w:r w:rsidRPr="00521670">
              <w:rPr>
                <w:szCs w:val="18"/>
                <w:lang w:val="ru-RU"/>
              </w:rPr>
              <w:t>(35 964)</w:t>
            </w:r>
          </w:p>
        </w:tc>
        <w:tc>
          <w:tcPr>
            <w:tcW w:w="1077" w:type="pct"/>
            <w:tcBorders>
              <w:top w:val="nil"/>
              <w:left w:val="nil"/>
              <w:bottom w:val="nil"/>
              <w:right w:val="nil"/>
            </w:tcBorders>
            <w:shd w:val="clear" w:color="auto" w:fill="auto"/>
            <w:noWrap/>
            <w:vAlign w:val="bottom"/>
            <w:hideMark/>
          </w:tcPr>
          <w:p w14:paraId="60412298" w14:textId="77777777" w:rsidR="00DF251A" w:rsidRPr="00521670" w:rsidRDefault="00DF251A" w:rsidP="003B4A24">
            <w:pPr>
              <w:pStyle w:val="Tabletext"/>
              <w:keepNext/>
              <w:jc w:val="right"/>
              <w:rPr>
                <w:szCs w:val="18"/>
                <w:lang w:val="ru-RU" w:eastAsia="en-GB"/>
              </w:rPr>
            </w:pPr>
            <w:r w:rsidRPr="00521670">
              <w:rPr>
                <w:szCs w:val="18"/>
                <w:lang w:val="ru-RU"/>
              </w:rPr>
              <w:t>(27 409)</w:t>
            </w:r>
          </w:p>
        </w:tc>
      </w:tr>
      <w:tr w:rsidR="00DF251A" w:rsidRPr="00521670" w14:paraId="06A726CF" w14:textId="77777777" w:rsidTr="003B4A24">
        <w:trPr>
          <w:trHeight w:val="255"/>
          <w:jc w:val="center"/>
        </w:trPr>
        <w:tc>
          <w:tcPr>
            <w:tcW w:w="2846" w:type="pct"/>
            <w:tcBorders>
              <w:top w:val="nil"/>
              <w:left w:val="nil"/>
              <w:bottom w:val="nil"/>
              <w:right w:val="nil"/>
            </w:tcBorders>
            <w:shd w:val="clear" w:color="auto" w:fill="auto"/>
            <w:vAlign w:val="center"/>
            <w:hideMark/>
          </w:tcPr>
          <w:p w14:paraId="49914FB2" w14:textId="77777777" w:rsidR="00DF251A" w:rsidRPr="00521670" w:rsidRDefault="00DF251A" w:rsidP="003B4A24">
            <w:pPr>
              <w:pStyle w:val="Tabletext"/>
              <w:keepNext/>
              <w:rPr>
                <w:b/>
                <w:bCs/>
                <w:szCs w:val="18"/>
                <w:lang w:val="ru-RU" w:eastAsia="en-GB"/>
              </w:rPr>
            </w:pPr>
            <w:r w:rsidRPr="00521670">
              <w:rPr>
                <w:b/>
                <w:bCs/>
                <w:szCs w:val="18"/>
                <w:lang w:val="ru-RU"/>
              </w:rPr>
              <w:t>Текущие долговые обязательства – необменные операции: чистая стоимость</w:t>
            </w:r>
          </w:p>
        </w:tc>
        <w:tc>
          <w:tcPr>
            <w:tcW w:w="1077" w:type="pct"/>
            <w:tcBorders>
              <w:top w:val="nil"/>
              <w:left w:val="nil"/>
              <w:bottom w:val="nil"/>
              <w:right w:val="nil"/>
            </w:tcBorders>
            <w:shd w:val="clear" w:color="auto" w:fill="auto"/>
            <w:noWrap/>
            <w:vAlign w:val="bottom"/>
            <w:hideMark/>
          </w:tcPr>
          <w:p w14:paraId="66AB46C3" w14:textId="77777777" w:rsidR="00DF251A" w:rsidRPr="00521670" w:rsidRDefault="00DF251A" w:rsidP="003B4A24">
            <w:pPr>
              <w:pStyle w:val="Tabletext"/>
              <w:keepNext/>
              <w:jc w:val="right"/>
              <w:rPr>
                <w:b/>
                <w:bCs/>
                <w:szCs w:val="18"/>
                <w:lang w:val="ru-RU" w:eastAsia="en-GB"/>
              </w:rPr>
            </w:pPr>
            <w:r w:rsidRPr="00521670">
              <w:rPr>
                <w:b/>
                <w:bCs/>
                <w:szCs w:val="18"/>
                <w:lang w:val="ru-RU"/>
              </w:rPr>
              <w:t>12 044</w:t>
            </w:r>
          </w:p>
        </w:tc>
        <w:tc>
          <w:tcPr>
            <w:tcW w:w="1077" w:type="pct"/>
            <w:tcBorders>
              <w:top w:val="nil"/>
              <w:left w:val="nil"/>
              <w:bottom w:val="nil"/>
              <w:right w:val="nil"/>
            </w:tcBorders>
            <w:shd w:val="clear" w:color="auto" w:fill="auto"/>
            <w:noWrap/>
            <w:vAlign w:val="bottom"/>
            <w:hideMark/>
          </w:tcPr>
          <w:p w14:paraId="53C6A4A5" w14:textId="77777777" w:rsidR="00DF251A" w:rsidRPr="00521670" w:rsidRDefault="00DF251A" w:rsidP="003B4A24">
            <w:pPr>
              <w:pStyle w:val="Tabletext"/>
              <w:keepNext/>
              <w:jc w:val="right"/>
              <w:rPr>
                <w:b/>
                <w:bCs/>
                <w:szCs w:val="18"/>
                <w:lang w:val="ru-RU" w:eastAsia="en-GB"/>
              </w:rPr>
            </w:pPr>
            <w:r w:rsidRPr="00521670">
              <w:rPr>
                <w:b/>
                <w:bCs/>
                <w:szCs w:val="18"/>
                <w:lang w:val="ru-RU"/>
              </w:rPr>
              <w:t>13 132</w:t>
            </w:r>
          </w:p>
        </w:tc>
      </w:tr>
      <w:tr w:rsidR="00DF251A" w:rsidRPr="00521670" w14:paraId="16A25143" w14:textId="77777777" w:rsidTr="003B4A24">
        <w:trPr>
          <w:trHeight w:val="255"/>
          <w:jc w:val="center"/>
        </w:trPr>
        <w:tc>
          <w:tcPr>
            <w:tcW w:w="2846" w:type="pct"/>
            <w:tcBorders>
              <w:top w:val="nil"/>
              <w:left w:val="nil"/>
              <w:bottom w:val="nil"/>
              <w:right w:val="nil"/>
            </w:tcBorders>
            <w:shd w:val="clear" w:color="auto" w:fill="auto"/>
            <w:vAlign w:val="center"/>
          </w:tcPr>
          <w:p w14:paraId="55889702" w14:textId="77777777" w:rsidR="00DF251A" w:rsidRPr="00521670" w:rsidRDefault="00DF251A" w:rsidP="003B4A24">
            <w:pPr>
              <w:pStyle w:val="Tabletext"/>
              <w:keepNext/>
              <w:rPr>
                <w:b/>
                <w:bCs/>
                <w:szCs w:val="18"/>
                <w:lang w:val="ru-RU"/>
              </w:rPr>
            </w:pPr>
          </w:p>
        </w:tc>
        <w:tc>
          <w:tcPr>
            <w:tcW w:w="1077" w:type="pct"/>
            <w:tcBorders>
              <w:top w:val="nil"/>
              <w:left w:val="nil"/>
              <w:bottom w:val="nil"/>
              <w:right w:val="nil"/>
            </w:tcBorders>
            <w:shd w:val="clear" w:color="auto" w:fill="auto"/>
            <w:noWrap/>
            <w:vAlign w:val="bottom"/>
          </w:tcPr>
          <w:p w14:paraId="74161053" w14:textId="77777777" w:rsidR="00DF251A" w:rsidRPr="00521670" w:rsidRDefault="00DF251A" w:rsidP="003B4A24">
            <w:pPr>
              <w:pStyle w:val="Tabletext"/>
              <w:keepNext/>
              <w:jc w:val="right"/>
              <w:rPr>
                <w:szCs w:val="18"/>
                <w:lang w:val="ru-RU"/>
              </w:rPr>
            </w:pPr>
          </w:p>
        </w:tc>
        <w:tc>
          <w:tcPr>
            <w:tcW w:w="1077" w:type="pct"/>
            <w:tcBorders>
              <w:top w:val="nil"/>
              <w:left w:val="nil"/>
              <w:bottom w:val="nil"/>
              <w:right w:val="nil"/>
            </w:tcBorders>
            <w:shd w:val="clear" w:color="auto" w:fill="auto"/>
            <w:noWrap/>
            <w:vAlign w:val="bottom"/>
          </w:tcPr>
          <w:p w14:paraId="0D7D2FE0" w14:textId="77777777" w:rsidR="00DF251A" w:rsidRPr="00521670" w:rsidRDefault="00DF251A" w:rsidP="003B4A24">
            <w:pPr>
              <w:pStyle w:val="Tabletext"/>
              <w:keepNext/>
              <w:jc w:val="right"/>
              <w:rPr>
                <w:szCs w:val="18"/>
                <w:lang w:val="ru-RU"/>
              </w:rPr>
            </w:pPr>
          </w:p>
        </w:tc>
      </w:tr>
      <w:tr w:rsidR="00DF251A" w:rsidRPr="00521670" w14:paraId="7D2F9512" w14:textId="77777777" w:rsidTr="003B4A24">
        <w:trPr>
          <w:trHeight w:val="255"/>
          <w:jc w:val="center"/>
        </w:trPr>
        <w:tc>
          <w:tcPr>
            <w:tcW w:w="2846" w:type="pct"/>
            <w:tcBorders>
              <w:top w:val="nil"/>
              <w:left w:val="nil"/>
              <w:bottom w:val="nil"/>
              <w:right w:val="nil"/>
            </w:tcBorders>
            <w:shd w:val="clear" w:color="auto" w:fill="auto"/>
            <w:vAlign w:val="center"/>
          </w:tcPr>
          <w:p w14:paraId="6C14233F" w14:textId="77777777" w:rsidR="00DF251A" w:rsidRPr="00521670" w:rsidRDefault="00DF251A" w:rsidP="003B4A24">
            <w:pPr>
              <w:pStyle w:val="Tabletext"/>
              <w:keepNext/>
              <w:rPr>
                <w:b/>
                <w:bCs/>
                <w:szCs w:val="18"/>
                <w:lang w:val="ru-RU"/>
              </w:rPr>
            </w:pPr>
            <w:r w:rsidRPr="00521670">
              <w:rPr>
                <w:b/>
                <w:bCs/>
                <w:lang w:val="ru-RU"/>
              </w:rPr>
              <w:t>Всего: т</w:t>
            </w:r>
            <w:r w:rsidRPr="00521670">
              <w:rPr>
                <w:b/>
                <w:bCs/>
                <w:szCs w:val="18"/>
                <w:lang w:val="ru-RU"/>
              </w:rPr>
              <w:t>екущие долговые обязательства, чистая стоимость</w:t>
            </w:r>
          </w:p>
        </w:tc>
        <w:tc>
          <w:tcPr>
            <w:tcW w:w="1077" w:type="pct"/>
            <w:tcBorders>
              <w:top w:val="nil"/>
              <w:left w:val="nil"/>
              <w:bottom w:val="nil"/>
              <w:right w:val="nil"/>
            </w:tcBorders>
            <w:shd w:val="clear" w:color="auto" w:fill="auto"/>
            <w:noWrap/>
            <w:vAlign w:val="bottom"/>
          </w:tcPr>
          <w:p w14:paraId="5B9912A8" w14:textId="77777777" w:rsidR="00DF251A" w:rsidRPr="00521670" w:rsidRDefault="00DF251A" w:rsidP="003B4A24">
            <w:pPr>
              <w:pStyle w:val="Tabletext"/>
              <w:keepNext/>
              <w:jc w:val="right"/>
              <w:rPr>
                <w:b/>
                <w:bCs/>
                <w:szCs w:val="18"/>
                <w:lang w:val="ru-RU"/>
              </w:rPr>
            </w:pPr>
            <w:r w:rsidRPr="00521670">
              <w:rPr>
                <w:b/>
                <w:bCs/>
                <w:szCs w:val="18"/>
                <w:lang w:val="ru-RU"/>
              </w:rPr>
              <w:t>20 546</w:t>
            </w:r>
          </w:p>
        </w:tc>
        <w:tc>
          <w:tcPr>
            <w:tcW w:w="1077" w:type="pct"/>
            <w:tcBorders>
              <w:top w:val="nil"/>
              <w:left w:val="nil"/>
              <w:bottom w:val="nil"/>
              <w:right w:val="nil"/>
            </w:tcBorders>
            <w:shd w:val="clear" w:color="auto" w:fill="auto"/>
            <w:noWrap/>
            <w:vAlign w:val="bottom"/>
          </w:tcPr>
          <w:p w14:paraId="1A6DB118" w14:textId="77777777" w:rsidR="00DF251A" w:rsidRPr="00521670" w:rsidRDefault="00DF251A" w:rsidP="003B4A24">
            <w:pPr>
              <w:pStyle w:val="Tabletext"/>
              <w:keepNext/>
              <w:jc w:val="right"/>
              <w:rPr>
                <w:b/>
                <w:bCs/>
                <w:szCs w:val="18"/>
                <w:lang w:val="ru-RU"/>
              </w:rPr>
            </w:pPr>
            <w:r w:rsidRPr="00521670">
              <w:rPr>
                <w:b/>
                <w:bCs/>
                <w:szCs w:val="18"/>
                <w:lang w:val="ru-RU"/>
              </w:rPr>
              <w:t>19 577</w:t>
            </w:r>
          </w:p>
        </w:tc>
      </w:tr>
      <w:tr w:rsidR="00DF251A" w:rsidRPr="00521670" w14:paraId="6BCBA31D" w14:textId="77777777" w:rsidTr="003B4A24">
        <w:trPr>
          <w:trHeight w:val="150"/>
          <w:jc w:val="center"/>
        </w:trPr>
        <w:tc>
          <w:tcPr>
            <w:tcW w:w="2846" w:type="pct"/>
            <w:tcBorders>
              <w:top w:val="nil"/>
              <w:left w:val="nil"/>
              <w:bottom w:val="nil"/>
              <w:right w:val="nil"/>
            </w:tcBorders>
            <w:shd w:val="clear" w:color="auto" w:fill="auto"/>
            <w:vAlign w:val="bottom"/>
            <w:hideMark/>
          </w:tcPr>
          <w:p w14:paraId="2576CBF3" w14:textId="77777777" w:rsidR="00DF251A" w:rsidRPr="00521670" w:rsidRDefault="00DF251A" w:rsidP="00835292">
            <w:pPr>
              <w:pStyle w:val="Tabletext"/>
              <w:keepNext/>
              <w:rPr>
                <w:szCs w:val="18"/>
                <w:lang w:val="ru-RU" w:eastAsia="en-GB"/>
              </w:rPr>
            </w:pPr>
          </w:p>
        </w:tc>
        <w:tc>
          <w:tcPr>
            <w:tcW w:w="1077" w:type="pct"/>
            <w:tcBorders>
              <w:top w:val="nil"/>
              <w:left w:val="nil"/>
              <w:bottom w:val="nil"/>
              <w:right w:val="nil"/>
            </w:tcBorders>
            <w:shd w:val="clear" w:color="auto" w:fill="auto"/>
            <w:noWrap/>
            <w:vAlign w:val="bottom"/>
            <w:hideMark/>
          </w:tcPr>
          <w:p w14:paraId="597AFF38" w14:textId="77777777" w:rsidR="00DF251A" w:rsidRPr="00521670" w:rsidRDefault="00DF251A" w:rsidP="003B4A24">
            <w:pPr>
              <w:pStyle w:val="Tabletext"/>
              <w:keepNext/>
              <w:jc w:val="right"/>
              <w:rPr>
                <w:rFonts w:ascii="Times New Roman" w:hAnsi="Times New Roman"/>
                <w:szCs w:val="18"/>
                <w:lang w:val="ru-RU" w:eastAsia="en-GB"/>
              </w:rPr>
            </w:pPr>
          </w:p>
        </w:tc>
        <w:tc>
          <w:tcPr>
            <w:tcW w:w="1077" w:type="pct"/>
            <w:tcBorders>
              <w:top w:val="nil"/>
              <w:left w:val="nil"/>
              <w:bottom w:val="nil"/>
              <w:right w:val="nil"/>
            </w:tcBorders>
            <w:shd w:val="clear" w:color="auto" w:fill="auto"/>
            <w:noWrap/>
            <w:vAlign w:val="bottom"/>
            <w:hideMark/>
          </w:tcPr>
          <w:p w14:paraId="5E9DEE4B" w14:textId="77777777" w:rsidR="00DF251A" w:rsidRPr="00521670" w:rsidRDefault="00DF251A" w:rsidP="003B4A24">
            <w:pPr>
              <w:pStyle w:val="Tabletext"/>
              <w:keepNext/>
              <w:jc w:val="right"/>
              <w:rPr>
                <w:rFonts w:ascii="Times New Roman" w:hAnsi="Times New Roman"/>
                <w:szCs w:val="18"/>
                <w:lang w:val="ru-RU" w:eastAsia="en-GB"/>
              </w:rPr>
            </w:pPr>
          </w:p>
        </w:tc>
      </w:tr>
      <w:tr w:rsidR="00DF251A" w:rsidRPr="00521670" w14:paraId="61C08E03" w14:textId="77777777" w:rsidTr="003B4A24">
        <w:trPr>
          <w:trHeight w:val="300"/>
          <w:jc w:val="center"/>
        </w:trPr>
        <w:tc>
          <w:tcPr>
            <w:tcW w:w="2846" w:type="pct"/>
            <w:tcBorders>
              <w:top w:val="nil"/>
              <w:left w:val="nil"/>
              <w:bottom w:val="nil"/>
              <w:right w:val="nil"/>
            </w:tcBorders>
            <w:shd w:val="clear" w:color="auto" w:fill="auto"/>
            <w:vAlign w:val="bottom"/>
            <w:hideMark/>
          </w:tcPr>
          <w:p w14:paraId="7E3D70A4" w14:textId="77777777" w:rsidR="00DF251A" w:rsidRPr="00521670" w:rsidRDefault="00DF251A" w:rsidP="003B4A24">
            <w:pPr>
              <w:pStyle w:val="Tabletext"/>
              <w:keepNext/>
              <w:rPr>
                <w:szCs w:val="18"/>
                <w:lang w:val="ru-RU" w:eastAsia="en-GB"/>
              </w:rPr>
            </w:pPr>
            <w:r w:rsidRPr="00521670">
              <w:rPr>
                <w:szCs w:val="18"/>
                <w:lang w:val="ru-RU"/>
              </w:rPr>
              <w:t>Нетекущие долговые обязательства – необменные операции</w:t>
            </w:r>
          </w:p>
        </w:tc>
        <w:tc>
          <w:tcPr>
            <w:tcW w:w="1077" w:type="pct"/>
            <w:tcBorders>
              <w:top w:val="nil"/>
              <w:left w:val="nil"/>
              <w:bottom w:val="nil"/>
              <w:right w:val="nil"/>
            </w:tcBorders>
            <w:shd w:val="clear" w:color="auto" w:fill="auto"/>
            <w:noWrap/>
            <w:vAlign w:val="bottom"/>
            <w:hideMark/>
          </w:tcPr>
          <w:p w14:paraId="16172D01" w14:textId="77777777" w:rsidR="00DF251A" w:rsidRPr="00521670" w:rsidRDefault="00DF251A" w:rsidP="003B4A24">
            <w:pPr>
              <w:pStyle w:val="Tabletext"/>
              <w:keepNext/>
              <w:jc w:val="right"/>
              <w:rPr>
                <w:szCs w:val="18"/>
                <w:lang w:val="ru-RU" w:eastAsia="en-GB"/>
              </w:rPr>
            </w:pPr>
            <w:r w:rsidRPr="00521670">
              <w:rPr>
                <w:szCs w:val="18"/>
                <w:lang w:val="ru-RU"/>
              </w:rPr>
              <w:t>22 048</w:t>
            </w:r>
          </w:p>
        </w:tc>
        <w:tc>
          <w:tcPr>
            <w:tcW w:w="1077" w:type="pct"/>
            <w:tcBorders>
              <w:top w:val="nil"/>
              <w:left w:val="nil"/>
              <w:bottom w:val="nil"/>
              <w:right w:val="nil"/>
            </w:tcBorders>
            <w:shd w:val="clear" w:color="auto" w:fill="auto"/>
            <w:noWrap/>
            <w:vAlign w:val="bottom"/>
            <w:hideMark/>
          </w:tcPr>
          <w:p w14:paraId="122648B9" w14:textId="77777777" w:rsidR="00DF251A" w:rsidRPr="00521670" w:rsidRDefault="00DF251A" w:rsidP="003B4A24">
            <w:pPr>
              <w:pStyle w:val="Tabletext"/>
              <w:keepNext/>
              <w:jc w:val="right"/>
              <w:rPr>
                <w:szCs w:val="18"/>
                <w:lang w:val="ru-RU" w:eastAsia="en-GB"/>
              </w:rPr>
            </w:pPr>
            <w:r w:rsidRPr="00521670">
              <w:rPr>
                <w:szCs w:val="18"/>
                <w:lang w:val="ru-RU"/>
              </w:rPr>
              <w:t>9 101</w:t>
            </w:r>
          </w:p>
        </w:tc>
      </w:tr>
      <w:tr w:rsidR="00DF251A" w:rsidRPr="00521670" w14:paraId="71D53ABA" w14:textId="77777777" w:rsidTr="003B4A24">
        <w:trPr>
          <w:trHeight w:val="255"/>
          <w:jc w:val="center"/>
        </w:trPr>
        <w:tc>
          <w:tcPr>
            <w:tcW w:w="2846" w:type="pct"/>
            <w:tcBorders>
              <w:top w:val="nil"/>
              <w:left w:val="nil"/>
              <w:bottom w:val="nil"/>
              <w:right w:val="nil"/>
            </w:tcBorders>
            <w:shd w:val="clear" w:color="auto" w:fill="auto"/>
            <w:vAlign w:val="bottom"/>
            <w:hideMark/>
          </w:tcPr>
          <w:p w14:paraId="3314FAC2" w14:textId="77777777" w:rsidR="00DF251A" w:rsidRPr="00521670" w:rsidRDefault="00DF251A" w:rsidP="003B4A24">
            <w:pPr>
              <w:pStyle w:val="Tabletext"/>
              <w:keepNext/>
              <w:rPr>
                <w:szCs w:val="18"/>
                <w:lang w:val="ru-RU" w:eastAsia="en-GB"/>
              </w:rPr>
            </w:pPr>
            <w:r w:rsidRPr="00521670">
              <w:rPr>
                <w:szCs w:val="18"/>
                <w:lang w:val="ru-RU"/>
              </w:rPr>
              <w:t>Резервный фонд под убытки по нетекущим долговым обязательствам – необменные операции</w:t>
            </w:r>
          </w:p>
        </w:tc>
        <w:tc>
          <w:tcPr>
            <w:tcW w:w="1077" w:type="pct"/>
            <w:tcBorders>
              <w:top w:val="nil"/>
              <w:left w:val="nil"/>
              <w:bottom w:val="nil"/>
              <w:right w:val="nil"/>
            </w:tcBorders>
            <w:shd w:val="clear" w:color="auto" w:fill="auto"/>
            <w:noWrap/>
            <w:vAlign w:val="bottom"/>
            <w:hideMark/>
          </w:tcPr>
          <w:p w14:paraId="46E4AD02" w14:textId="77777777" w:rsidR="00DF251A" w:rsidRPr="00521670" w:rsidRDefault="00DF251A" w:rsidP="003B4A24">
            <w:pPr>
              <w:pStyle w:val="Tabletext"/>
              <w:keepNext/>
              <w:jc w:val="right"/>
              <w:rPr>
                <w:szCs w:val="18"/>
                <w:lang w:val="ru-RU" w:eastAsia="en-GB"/>
              </w:rPr>
            </w:pPr>
            <w:r w:rsidRPr="00521670">
              <w:rPr>
                <w:szCs w:val="18"/>
                <w:lang w:val="ru-RU"/>
              </w:rPr>
              <w:t>(6 062)</w:t>
            </w:r>
          </w:p>
        </w:tc>
        <w:tc>
          <w:tcPr>
            <w:tcW w:w="1077" w:type="pct"/>
            <w:tcBorders>
              <w:top w:val="nil"/>
              <w:left w:val="nil"/>
              <w:bottom w:val="nil"/>
              <w:right w:val="nil"/>
            </w:tcBorders>
            <w:shd w:val="clear" w:color="auto" w:fill="auto"/>
            <w:noWrap/>
            <w:vAlign w:val="bottom"/>
            <w:hideMark/>
          </w:tcPr>
          <w:p w14:paraId="4DCDF8F9" w14:textId="77777777" w:rsidR="00DF251A" w:rsidRPr="00521670" w:rsidRDefault="00DF251A" w:rsidP="003B4A24">
            <w:pPr>
              <w:pStyle w:val="Tabletext"/>
              <w:keepNext/>
              <w:jc w:val="right"/>
              <w:rPr>
                <w:szCs w:val="18"/>
                <w:lang w:val="ru-RU" w:eastAsia="en-GB"/>
              </w:rPr>
            </w:pPr>
            <w:r w:rsidRPr="00521670">
              <w:rPr>
                <w:szCs w:val="18"/>
                <w:lang w:val="ru-RU"/>
              </w:rPr>
              <w:t>(6 321)</w:t>
            </w:r>
          </w:p>
        </w:tc>
      </w:tr>
      <w:tr w:rsidR="00DF251A" w:rsidRPr="00521670" w14:paraId="3D6D745E" w14:textId="77777777" w:rsidTr="003B4A24">
        <w:trPr>
          <w:trHeight w:val="255"/>
          <w:jc w:val="center"/>
        </w:trPr>
        <w:tc>
          <w:tcPr>
            <w:tcW w:w="2846" w:type="pct"/>
            <w:tcBorders>
              <w:top w:val="nil"/>
              <w:left w:val="nil"/>
              <w:bottom w:val="nil"/>
              <w:right w:val="nil"/>
            </w:tcBorders>
            <w:shd w:val="clear" w:color="auto" w:fill="auto"/>
            <w:vAlign w:val="center"/>
            <w:hideMark/>
          </w:tcPr>
          <w:p w14:paraId="1C3ADC58" w14:textId="77777777" w:rsidR="00DF251A" w:rsidRPr="00521670" w:rsidRDefault="00DF251A" w:rsidP="003B4A24">
            <w:pPr>
              <w:pStyle w:val="Tabletext"/>
              <w:rPr>
                <w:b/>
                <w:bCs/>
                <w:szCs w:val="18"/>
                <w:lang w:val="ru-RU" w:eastAsia="en-GB"/>
              </w:rPr>
            </w:pPr>
            <w:r w:rsidRPr="00521670">
              <w:rPr>
                <w:b/>
                <w:bCs/>
                <w:szCs w:val="18"/>
                <w:lang w:val="ru-RU"/>
              </w:rPr>
              <w:t>Нетекущие долговые обязательства – необменные операции: чистая стоимость</w:t>
            </w:r>
          </w:p>
        </w:tc>
        <w:tc>
          <w:tcPr>
            <w:tcW w:w="1077" w:type="pct"/>
            <w:tcBorders>
              <w:top w:val="nil"/>
              <w:left w:val="nil"/>
              <w:bottom w:val="nil"/>
              <w:right w:val="nil"/>
            </w:tcBorders>
            <w:shd w:val="clear" w:color="auto" w:fill="auto"/>
            <w:noWrap/>
            <w:vAlign w:val="bottom"/>
            <w:hideMark/>
          </w:tcPr>
          <w:p w14:paraId="1923EFAB" w14:textId="77777777" w:rsidR="00DF251A" w:rsidRPr="00521670" w:rsidRDefault="00DF251A" w:rsidP="003B4A24">
            <w:pPr>
              <w:pStyle w:val="Tabletext"/>
              <w:jc w:val="right"/>
              <w:rPr>
                <w:b/>
                <w:bCs/>
                <w:szCs w:val="18"/>
                <w:lang w:val="ru-RU" w:eastAsia="en-GB"/>
              </w:rPr>
            </w:pPr>
            <w:r w:rsidRPr="00521670">
              <w:rPr>
                <w:b/>
                <w:bCs/>
                <w:szCs w:val="18"/>
                <w:lang w:val="ru-RU"/>
              </w:rPr>
              <w:t>15 986</w:t>
            </w:r>
          </w:p>
        </w:tc>
        <w:tc>
          <w:tcPr>
            <w:tcW w:w="1077" w:type="pct"/>
            <w:tcBorders>
              <w:top w:val="nil"/>
              <w:left w:val="nil"/>
              <w:bottom w:val="nil"/>
              <w:right w:val="nil"/>
            </w:tcBorders>
            <w:shd w:val="clear" w:color="auto" w:fill="auto"/>
            <w:noWrap/>
            <w:vAlign w:val="bottom"/>
            <w:hideMark/>
          </w:tcPr>
          <w:p w14:paraId="12AE227B" w14:textId="77777777" w:rsidR="00DF251A" w:rsidRPr="00521670" w:rsidRDefault="00DF251A" w:rsidP="003B4A24">
            <w:pPr>
              <w:pStyle w:val="Tabletext"/>
              <w:jc w:val="right"/>
              <w:rPr>
                <w:b/>
                <w:bCs/>
                <w:szCs w:val="18"/>
                <w:lang w:val="ru-RU" w:eastAsia="en-GB"/>
              </w:rPr>
            </w:pPr>
            <w:r w:rsidRPr="00521670">
              <w:rPr>
                <w:b/>
                <w:bCs/>
                <w:szCs w:val="18"/>
                <w:lang w:val="ru-RU"/>
              </w:rPr>
              <w:t>2 780</w:t>
            </w:r>
          </w:p>
        </w:tc>
      </w:tr>
    </w:tbl>
    <w:p w14:paraId="2B161005" w14:textId="77777777" w:rsidR="00DF251A" w:rsidRPr="00521670" w:rsidRDefault="00DF251A" w:rsidP="00B06555">
      <w:pPr>
        <w:pStyle w:val="Heading5"/>
        <w:tabs>
          <w:tab w:val="left" w:pos="1980"/>
        </w:tabs>
        <w:rPr>
          <w:b/>
          <w:bCs/>
          <w:color w:val="4F81BD" w:themeColor="accent1"/>
          <w:lang w:val="ru-RU"/>
        </w:rPr>
      </w:pPr>
      <w:bookmarkStart w:id="301" w:name="_Toc168578470"/>
      <w:bookmarkStart w:id="302" w:name="_Toc180681815"/>
      <w:bookmarkStart w:id="303" w:name="_Toc200469533"/>
      <w:r w:rsidRPr="00521670">
        <w:rPr>
          <w:b/>
          <w:bCs/>
          <w:color w:val="4F81BD" w:themeColor="accent1"/>
          <w:lang w:val="ru-RU"/>
        </w:rPr>
        <w:t>Примечание 9</w:t>
      </w:r>
      <w:r w:rsidRPr="00521670">
        <w:rPr>
          <w:b/>
          <w:bCs/>
          <w:color w:val="4F81BD" w:themeColor="accent1"/>
          <w:lang w:val="ru-RU"/>
        </w:rPr>
        <w:tab/>
        <w:t>Прочие долговые обязательства</w:t>
      </w:r>
      <w:bookmarkEnd w:id="301"/>
      <w:bookmarkEnd w:id="302"/>
      <w:bookmarkEnd w:id="303"/>
    </w:p>
    <w:p w14:paraId="08714971" w14:textId="2E452DC5" w:rsidR="00DF251A" w:rsidRPr="00521670" w:rsidRDefault="00DF251A" w:rsidP="008F5A84">
      <w:pPr>
        <w:rPr>
          <w:rFonts w:eastAsia="Calibri"/>
          <w:lang w:val="ru-RU"/>
        </w:rPr>
      </w:pPr>
      <w:r w:rsidRPr="00521670">
        <w:rPr>
          <w:lang w:val="ru-RU"/>
        </w:rPr>
        <w:t>Основной категорией прочих долговых обязательств являются расходы будущих периодов, которые увеличились примерно на 1 млн. швейцарских франков по сравнению с декабрем 2023 года главным образом за счет различных предоплат, связанных с операциями ПРООН, соглашениями о специальных услугах (SSA) и другими операциями.</w:t>
      </w:r>
    </w:p>
    <w:p w14:paraId="7D1B1B4F" w14:textId="77777777" w:rsidR="00DF251A" w:rsidRPr="00521670" w:rsidRDefault="00DF251A" w:rsidP="008F5A84">
      <w:pPr>
        <w:rPr>
          <w:rFonts w:eastAsia="Calibri"/>
          <w:lang w:val="ru-RU"/>
        </w:rPr>
      </w:pPr>
      <w:r w:rsidRPr="00521670">
        <w:rPr>
          <w:rFonts w:eastAsia="Calibri"/>
          <w:lang w:val="ru-RU"/>
        </w:rPr>
        <w:t>Авансовые выплаты персоналу − это авансовые выплаты, предоставляемые сотрудникам в соответствии с Положениями о персонале МСЭ.</w:t>
      </w:r>
    </w:p>
    <w:p w14:paraId="13F3ACCC" w14:textId="77777777" w:rsidR="00DF251A" w:rsidRPr="00521670" w:rsidRDefault="00DF251A" w:rsidP="008F5A84">
      <w:pPr>
        <w:spacing w:after="120"/>
        <w:rPr>
          <w:rFonts w:eastAsia="Calibri"/>
          <w:highlight w:val="lightGray"/>
          <w:lang w:val="ru-RU"/>
        </w:rPr>
      </w:pPr>
      <w:r w:rsidRPr="00521670">
        <w:rPr>
          <w:rFonts w:eastAsia="Calibri"/>
          <w:lang w:val="ru-RU"/>
        </w:rPr>
        <w:t>Налог, удерживаемый у источника выплаты, включает налог, который возмещается Федеральной налоговой администрацией Швейцарской Конфедерации, а также подоходный налог, подлежащий взысканию с правительства Соединенных Штатов Америки.</w:t>
      </w:r>
    </w:p>
    <w:tbl>
      <w:tblPr>
        <w:tblW w:w="5000" w:type="pct"/>
        <w:jc w:val="center"/>
        <w:tblLook w:val="04A0" w:firstRow="1" w:lastRow="0" w:firstColumn="1" w:lastColumn="0" w:noHBand="0" w:noVBand="1"/>
      </w:tblPr>
      <w:tblGrid>
        <w:gridCol w:w="5216"/>
        <w:gridCol w:w="1927"/>
        <w:gridCol w:w="1928"/>
      </w:tblGrid>
      <w:tr w:rsidR="00DF251A" w:rsidRPr="00521670" w14:paraId="2F786770" w14:textId="77777777" w:rsidTr="00835292">
        <w:trPr>
          <w:jc w:val="center"/>
        </w:trPr>
        <w:tc>
          <w:tcPr>
            <w:tcW w:w="2875" w:type="pct"/>
            <w:tcBorders>
              <w:top w:val="nil"/>
              <w:left w:val="nil"/>
              <w:bottom w:val="nil"/>
              <w:right w:val="nil"/>
            </w:tcBorders>
            <w:shd w:val="clear" w:color="000000" w:fill="0070C0"/>
            <w:noWrap/>
            <w:vAlign w:val="center"/>
            <w:hideMark/>
          </w:tcPr>
          <w:p w14:paraId="0638D4C5" w14:textId="77777777" w:rsidR="00DF251A" w:rsidRPr="00521670" w:rsidRDefault="00DF251A" w:rsidP="00835292">
            <w:pPr>
              <w:pStyle w:val="Tablehead"/>
              <w:rPr>
                <w:szCs w:val="18"/>
                <w:lang w:val="ru-RU" w:eastAsia="en-GB"/>
              </w:rPr>
            </w:pPr>
            <w:r w:rsidRPr="00521670">
              <w:rPr>
                <w:szCs w:val="18"/>
                <w:lang w:val="ru-RU" w:eastAsia="en-GB"/>
              </w:rPr>
              <w:t xml:space="preserve">Описание (тыс. шв. фр.) </w:t>
            </w:r>
          </w:p>
        </w:tc>
        <w:tc>
          <w:tcPr>
            <w:tcW w:w="1062" w:type="pct"/>
            <w:tcBorders>
              <w:top w:val="nil"/>
              <w:left w:val="nil"/>
              <w:bottom w:val="nil"/>
              <w:right w:val="nil"/>
            </w:tcBorders>
            <w:shd w:val="clear" w:color="000000" w:fill="0070C0"/>
            <w:vAlign w:val="center"/>
            <w:hideMark/>
          </w:tcPr>
          <w:p w14:paraId="4D47480E" w14:textId="77777777" w:rsidR="00DF251A" w:rsidRPr="00521670" w:rsidRDefault="00DF251A" w:rsidP="009977AB">
            <w:pPr>
              <w:pStyle w:val="Tablehead"/>
              <w:jc w:val="right"/>
              <w:rPr>
                <w:szCs w:val="18"/>
                <w:lang w:val="ru-RU" w:eastAsia="en-GB"/>
              </w:rPr>
            </w:pPr>
            <w:r w:rsidRPr="00521670">
              <w:rPr>
                <w:szCs w:val="18"/>
                <w:lang w:val="ru-RU" w:eastAsia="en-GB"/>
              </w:rPr>
              <w:t>31 декабря 2024 г.</w:t>
            </w:r>
          </w:p>
        </w:tc>
        <w:tc>
          <w:tcPr>
            <w:tcW w:w="1063" w:type="pct"/>
            <w:tcBorders>
              <w:top w:val="nil"/>
              <w:left w:val="nil"/>
              <w:bottom w:val="nil"/>
              <w:right w:val="nil"/>
            </w:tcBorders>
            <w:shd w:val="clear" w:color="000000" w:fill="0070C0"/>
            <w:vAlign w:val="center"/>
            <w:hideMark/>
          </w:tcPr>
          <w:p w14:paraId="42A42DA8" w14:textId="77777777" w:rsidR="00DF251A" w:rsidRPr="00521670" w:rsidRDefault="00DF251A" w:rsidP="009977AB">
            <w:pPr>
              <w:pStyle w:val="Tablehead"/>
              <w:jc w:val="right"/>
              <w:rPr>
                <w:szCs w:val="18"/>
                <w:lang w:val="ru-RU" w:eastAsia="en-GB"/>
              </w:rPr>
            </w:pPr>
            <w:r w:rsidRPr="00521670">
              <w:rPr>
                <w:szCs w:val="18"/>
                <w:lang w:val="ru-RU" w:eastAsia="en-GB"/>
              </w:rPr>
              <w:t>31 декабря 2023 г.</w:t>
            </w:r>
          </w:p>
        </w:tc>
      </w:tr>
      <w:tr w:rsidR="00DF251A" w:rsidRPr="00521670" w14:paraId="41024506" w14:textId="77777777" w:rsidTr="00835292">
        <w:trPr>
          <w:jc w:val="center"/>
        </w:trPr>
        <w:tc>
          <w:tcPr>
            <w:tcW w:w="2875" w:type="pct"/>
            <w:tcBorders>
              <w:top w:val="nil"/>
              <w:left w:val="nil"/>
              <w:bottom w:val="nil"/>
              <w:right w:val="nil"/>
            </w:tcBorders>
            <w:shd w:val="clear" w:color="auto" w:fill="auto"/>
            <w:noWrap/>
            <w:vAlign w:val="bottom"/>
            <w:hideMark/>
          </w:tcPr>
          <w:p w14:paraId="3925129F" w14:textId="77777777" w:rsidR="00DF251A" w:rsidRPr="00521670" w:rsidRDefault="00DF251A" w:rsidP="008F5A84">
            <w:pPr>
              <w:pStyle w:val="Tabletext"/>
              <w:keepNext/>
              <w:rPr>
                <w:szCs w:val="18"/>
                <w:lang w:val="ru-RU" w:eastAsia="en-GB"/>
              </w:rPr>
            </w:pPr>
            <w:r w:rsidRPr="00521670">
              <w:rPr>
                <w:szCs w:val="18"/>
                <w:lang w:val="ru-RU"/>
              </w:rPr>
              <w:t>Авансовые выплаты персоналу</w:t>
            </w:r>
          </w:p>
        </w:tc>
        <w:tc>
          <w:tcPr>
            <w:tcW w:w="1062" w:type="pct"/>
            <w:tcBorders>
              <w:top w:val="nil"/>
              <w:left w:val="nil"/>
              <w:bottom w:val="nil"/>
              <w:right w:val="nil"/>
            </w:tcBorders>
            <w:shd w:val="clear" w:color="auto" w:fill="auto"/>
            <w:noWrap/>
            <w:hideMark/>
          </w:tcPr>
          <w:p w14:paraId="5E483CEB" w14:textId="77777777" w:rsidR="00DF251A" w:rsidRPr="00521670" w:rsidRDefault="00DF251A" w:rsidP="008F5A84">
            <w:pPr>
              <w:pStyle w:val="Tabletext"/>
              <w:keepNext/>
              <w:jc w:val="right"/>
              <w:rPr>
                <w:szCs w:val="18"/>
                <w:lang w:val="ru-RU" w:eastAsia="en-GB"/>
              </w:rPr>
            </w:pPr>
            <w:r w:rsidRPr="00521670">
              <w:rPr>
                <w:szCs w:val="18"/>
                <w:lang w:val="ru-RU"/>
              </w:rPr>
              <w:t>2 166</w:t>
            </w:r>
          </w:p>
        </w:tc>
        <w:tc>
          <w:tcPr>
            <w:tcW w:w="1063" w:type="pct"/>
            <w:tcBorders>
              <w:top w:val="nil"/>
              <w:left w:val="nil"/>
              <w:bottom w:val="nil"/>
              <w:right w:val="nil"/>
            </w:tcBorders>
            <w:shd w:val="clear" w:color="auto" w:fill="auto"/>
            <w:noWrap/>
            <w:hideMark/>
          </w:tcPr>
          <w:p w14:paraId="1455F770" w14:textId="77777777" w:rsidR="00DF251A" w:rsidRPr="00521670" w:rsidRDefault="00DF251A" w:rsidP="008F5A84">
            <w:pPr>
              <w:pStyle w:val="Tabletext"/>
              <w:keepNext/>
              <w:jc w:val="right"/>
              <w:rPr>
                <w:szCs w:val="18"/>
                <w:lang w:val="ru-RU" w:eastAsia="en-GB"/>
              </w:rPr>
            </w:pPr>
            <w:r w:rsidRPr="00521670">
              <w:rPr>
                <w:szCs w:val="18"/>
                <w:lang w:val="ru-RU"/>
              </w:rPr>
              <w:t>2 043</w:t>
            </w:r>
          </w:p>
        </w:tc>
      </w:tr>
      <w:tr w:rsidR="00DF251A" w:rsidRPr="00521670" w14:paraId="4BD0E140" w14:textId="77777777" w:rsidTr="00835292">
        <w:trPr>
          <w:jc w:val="center"/>
        </w:trPr>
        <w:tc>
          <w:tcPr>
            <w:tcW w:w="2875" w:type="pct"/>
            <w:tcBorders>
              <w:top w:val="nil"/>
              <w:left w:val="nil"/>
              <w:bottom w:val="nil"/>
              <w:right w:val="nil"/>
            </w:tcBorders>
            <w:shd w:val="clear" w:color="auto" w:fill="auto"/>
            <w:noWrap/>
            <w:vAlign w:val="bottom"/>
            <w:hideMark/>
          </w:tcPr>
          <w:p w14:paraId="0F1EE002" w14:textId="77777777" w:rsidR="00DF251A" w:rsidRPr="00521670" w:rsidRDefault="00DF251A" w:rsidP="00BD65BD">
            <w:pPr>
              <w:pStyle w:val="Tabletext"/>
              <w:keepNext/>
              <w:rPr>
                <w:szCs w:val="18"/>
                <w:lang w:val="ru-RU" w:eastAsia="en-GB"/>
              </w:rPr>
            </w:pPr>
            <w:r w:rsidRPr="00521670">
              <w:rPr>
                <w:szCs w:val="18"/>
                <w:lang w:val="ru-RU"/>
              </w:rPr>
              <w:t>Налог, удерживаемый у источника выплаты</w:t>
            </w:r>
          </w:p>
        </w:tc>
        <w:tc>
          <w:tcPr>
            <w:tcW w:w="1062" w:type="pct"/>
            <w:tcBorders>
              <w:top w:val="nil"/>
              <w:left w:val="nil"/>
              <w:bottom w:val="nil"/>
              <w:right w:val="nil"/>
            </w:tcBorders>
            <w:shd w:val="clear" w:color="auto" w:fill="auto"/>
            <w:noWrap/>
            <w:hideMark/>
          </w:tcPr>
          <w:p w14:paraId="2E8464A0" w14:textId="77777777" w:rsidR="00DF251A" w:rsidRPr="00521670" w:rsidRDefault="00DF251A" w:rsidP="008F5A84">
            <w:pPr>
              <w:pStyle w:val="Tabletext"/>
              <w:keepNext/>
              <w:jc w:val="right"/>
              <w:rPr>
                <w:szCs w:val="18"/>
                <w:lang w:val="ru-RU" w:eastAsia="en-GB"/>
              </w:rPr>
            </w:pPr>
            <w:r w:rsidRPr="00521670">
              <w:rPr>
                <w:szCs w:val="18"/>
                <w:lang w:val="ru-RU"/>
              </w:rPr>
              <w:t>1 650</w:t>
            </w:r>
          </w:p>
        </w:tc>
        <w:tc>
          <w:tcPr>
            <w:tcW w:w="1063" w:type="pct"/>
            <w:tcBorders>
              <w:top w:val="nil"/>
              <w:left w:val="nil"/>
              <w:bottom w:val="nil"/>
              <w:right w:val="nil"/>
            </w:tcBorders>
            <w:shd w:val="clear" w:color="auto" w:fill="auto"/>
            <w:noWrap/>
            <w:hideMark/>
          </w:tcPr>
          <w:p w14:paraId="281514EF" w14:textId="77777777" w:rsidR="00DF251A" w:rsidRPr="00521670" w:rsidRDefault="00DF251A" w:rsidP="008F5A84">
            <w:pPr>
              <w:pStyle w:val="Tabletext"/>
              <w:keepNext/>
              <w:jc w:val="right"/>
              <w:rPr>
                <w:szCs w:val="18"/>
                <w:lang w:val="ru-RU" w:eastAsia="en-GB"/>
              </w:rPr>
            </w:pPr>
            <w:r w:rsidRPr="00521670">
              <w:rPr>
                <w:szCs w:val="18"/>
                <w:lang w:val="ru-RU"/>
              </w:rPr>
              <w:t>1 328</w:t>
            </w:r>
          </w:p>
        </w:tc>
      </w:tr>
      <w:tr w:rsidR="00DF251A" w:rsidRPr="00521670" w14:paraId="0DB6F671" w14:textId="77777777" w:rsidTr="00835292">
        <w:trPr>
          <w:jc w:val="center"/>
        </w:trPr>
        <w:tc>
          <w:tcPr>
            <w:tcW w:w="2875" w:type="pct"/>
            <w:tcBorders>
              <w:top w:val="nil"/>
              <w:left w:val="nil"/>
              <w:bottom w:val="nil"/>
              <w:right w:val="nil"/>
            </w:tcBorders>
            <w:shd w:val="clear" w:color="auto" w:fill="auto"/>
            <w:noWrap/>
            <w:vAlign w:val="bottom"/>
            <w:hideMark/>
          </w:tcPr>
          <w:p w14:paraId="275E3895" w14:textId="77777777" w:rsidR="00DF251A" w:rsidRPr="00521670" w:rsidRDefault="00DF251A" w:rsidP="008F5A84">
            <w:pPr>
              <w:pStyle w:val="Tabletext"/>
              <w:keepNext/>
              <w:rPr>
                <w:szCs w:val="18"/>
                <w:lang w:val="ru-RU" w:eastAsia="en-GB"/>
              </w:rPr>
            </w:pPr>
            <w:r w:rsidRPr="00521670">
              <w:rPr>
                <w:szCs w:val="18"/>
                <w:lang w:val="ru-RU"/>
              </w:rPr>
              <w:t>Пенсии</w:t>
            </w:r>
          </w:p>
        </w:tc>
        <w:tc>
          <w:tcPr>
            <w:tcW w:w="1062" w:type="pct"/>
            <w:tcBorders>
              <w:top w:val="nil"/>
              <w:left w:val="nil"/>
              <w:bottom w:val="nil"/>
              <w:right w:val="nil"/>
            </w:tcBorders>
            <w:shd w:val="clear" w:color="auto" w:fill="auto"/>
            <w:noWrap/>
            <w:hideMark/>
          </w:tcPr>
          <w:p w14:paraId="64AD67EB" w14:textId="77777777" w:rsidR="00DF251A" w:rsidRPr="00521670" w:rsidRDefault="00DF251A" w:rsidP="008F5A84">
            <w:pPr>
              <w:pStyle w:val="Tabletext"/>
              <w:keepNext/>
              <w:jc w:val="right"/>
              <w:rPr>
                <w:szCs w:val="18"/>
                <w:lang w:val="ru-RU" w:eastAsia="en-GB"/>
              </w:rPr>
            </w:pPr>
            <w:r w:rsidRPr="00521670">
              <w:rPr>
                <w:szCs w:val="18"/>
                <w:lang w:val="ru-RU"/>
              </w:rPr>
              <w:t>97</w:t>
            </w:r>
          </w:p>
        </w:tc>
        <w:tc>
          <w:tcPr>
            <w:tcW w:w="1063" w:type="pct"/>
            <w:tcBorders>
              <w:top w:val="nil"/>
              <w:left w:val="nil"/>
              <w:bottom w:val="nil"/>
              <w:right w:val="nil"/>
            </w:tcBorders>
            <w:shd w:val="clear" w:color="auto" w:fill="auto"/>
            <w:noWrap/>
            <w:hideMark/>
          </w:tcPr>
          <w:p w14:paraId="6B78A09F" w14:textId="77777777" w:rsidR="00DF251A" w:rsidRPr="00521670" w:rsidRDefault="00DF251A" w:rsidP="008F5A84">
            <w:pPr>
              <w:pStyle w:val="Tabletext"/>
              <w:keepNext/>
              <w:jc w:val="right"/>
              <w:rPr>
                <w:szCs w:val="18"/>
                <w:lang w:val="ru-RU" w:eastAsia="en-GB"/>
              </w:rPr>
            </w:pPr>
            <w:r w:rsidRPr="00521670">
              <w:rPr>
                <w:szCs w:val="18"/>
                <w:lang w:val="ru-RU"/>
              </w:rPr>
              <w:t>96</w:t>
            </w:r>
          </w:p>
        </w:tc>
      </w:tr>
      <w:tr w:rsidR="00DF251A" w:rsidRPr="00521670" w14:paraId="6BF59F86" w14:textId="77777777" w:rsidTr="00835292">
        <w:trPr>
          <w:jc w:val="center"/>
        </w:trPr>
        <w:tc>
          <w:tcPr>
            <w:tcW w:w="2875" w:type="pct"/>
            <w:tcBorders>
              <w:top w:val="nil"/>
              <w:left w:val="nil"/>
              <w:bottom w:val="nil"/>
              <w:right w:val="nil"/>
            </w:tcBorders>
            <w:shd w:val="clear" w:color="auto" w:fill="auto"/>
            <w:noWrap/>
            <w:vAlign w:val="bottom"/>
            <w:hideMark/>
          </w:tcPr>
          <w:p w14:paraId="3F18F823" w14:textId="77777777" w:rsidR="00DF251A" w:rsidRPr="00521670" w:rsidRDefault="00DF251A" w:rsidP="008F5A84">
            <w:pPr>
              <w:pStyle w:val="Tabletext"/>
              <w:keepNext/>
              <w:rPr>
                <w:szCs w:val="18"/>
                <w:lang w:val="ru-RU" w:eastAsia="en-GB"/>
              </w:rPr>
            </w:pPr>
            <w:r w:rsidRPr="00521670">
              <w:rPr>
                <w:szCs w:val="18"/>
                <w:lang w:val="ru-RU"/>
              </w:rPr>
              <w:t>Накопленные проценты</w:t>
            </w:r>
          </w:p>
        </w:tc>
        <w:tc>
          <w:tcPr>
            <w:tcW w:w="1062" w:type="pct"/>
            <w:tcBorders>
              <w:top w:val="nil"/>
              <w:left w:val="nil"/>
              <w:bottom w:val="nil"/>
              <w:right w:val="nil"/>
            </w:tcBorders>
            <w:shd w:val="clear" w:color="auto" w:fill="auto"/>
            <w:noWrap/>
            <w:hideMark/>
          </w:tcPr>
          <w:p w14:paraId="3BF41B33" w14:textId="77777777" w:rsidR="00DF251A" w:rsidRPr="00521670" w:rsidRDefault="00DF251A" w:rsidP="008F5A84">
            <w:pPr>
              <w:pStyle w:val="Tabletext"/>
              <w:keepNext/>
              <w:jc w:val="right"/>
              <w:rPr>
                <w:szCs w:val="18"/>
                <w:lang w:val="ru-RU" w:eastAsia="en-GB"/>
              </w:rPr>
            </w:pPr>
            <w:r w:rsidRPr="00521670">
              <w:rPr>
                <w:szCs w:val="18"/>
                <w:lang w:val="ru-RU"/>
              </w:rPr>
              <w:t>1 056</w:t>
            </w:r>
          </w:p>
        </w:tc>
        <w:tc>
          <w:tcPr>
            <w:tcW w:w="1063" w:type="pct"/>
            <w:tcBorders>
              <w:top w:val="nil"/>
              <w:left w:val="nil"/>
              <w:bottom w:val="nil"/>
              <w:right w:val="nil"/>
            </w:tcBorders>
            <w:shd w:val="clear" w:color="auto" w:fill="auto"/>
            <w:noWrap/>
            <w:hideMark/>
          </w:tcPr>
          <w:p w14:paraId="1EC44E1E" w14:textId="77777777" w:rsidR="00DF251A" w:rsidRPr="00521670" w:rsidRDefault="00DF251A" w:rsidP="008F5A84">
            <w:pPr>
              <w:pStyle w:val="Tabletext"/>
              <w:keepNext/>
              <w:jc w:val="right"/>
              <w:rPr>
                <w:szCs w:val="18"/>
                <w:lang w:val="ru-RU" w:eastAsia="en-GB"/>
              </w:rPr>
            </w:pPr>
            <w:r w:rsidRPr="00521670">
              <w:rPr>
                <w:szCs w:val="18"/>
                <w:lang w:val="ru-RU"/>
              </w:rPr>
              <w:t>917</w:t>
            </w:r>
          </w:p>
        </w:tc>
      </w:tr>
      <w:tr w:rsidR="00DF251A" w:rsidRPr="00521670" w14:paraId="3811A3FC" w14:textId="77777777" w:rsidTr="00835292">
        <w:trPr>
          <w:jc w:val="center"/>
        </w:trPr>
        <w:tc>
          <w:tcPr>
            <w:tcW w:w="2875" w:type="pct"/>
            <w:tcBorders>
              <w:top w:val="nil"/>
              <w:left w:val="nil"/>
              <w:bottom w:val="nil"/>
              <w:right w:val="nil"/>
            </w:tcBorders>
            <w:shd w:val="clear" w:color="auto" w:fill="auto"/>
            <w:noWrap/>
            <w:vAlign w:val="bottom"/>
            <w:hideMark/>
          </w:tcPr>
          <w:p w14:paraId="48F5D496" w14:textId="77777777" w:rsidR="00DF251A" w:rsidRPr="00521670" w:rsidRDefault="00DF251A" w:rsidP="008F5A84">
            <w:pPr>
              <w:pStyle w:val="Tabletext"/>
              <w:keepNext/>
              <w:rPr>
                <w:szCs w:val="18"/>
                <w:lang w:val="ru-RU" w:eastAsia="en-GB"/>
              </w:rPr>
            </w:pPr>
            <w:r w:rsidRPr="00521670">
              <w:rPr>
                <w:szCs w:val="18"/>
                <w:lang w:val="ru-RU"/>
              </w:rPr>
              <w:t>Расходы будущих периодов</w:t>
            </w:r>
          </w:p>
        </w:tc>
        <w:tc>
          <w:tcPr>
            <w:tcW w:w="1062" w:type="pct"/>
            <w:tcBorders>
              <w:top w:val="nil"/>
              <w:left w:val="nil"/>
              <w:bottom w:val="nil"/>
              <w:right w:val="nil"/>
            </w:tcBorders>
            <w:shd w:val="clear" w:color="auto" w:fill="auto"/>
            <w:noWrap/>
            <w:hideMark/>
          </w:tcPr>
          <w:p w14:paraId="19E9508B" w14:textId="77777777" w:rsidR="00DF251A" w:rsidRPr="00521670" w:rsidRDefault="00DF251A" w:rsidP="008F5A84">
            <w:pPr>
              <w:pStyle w:val="Tabletext"/>
              <w:keepNext/>
              <w:jc w:val="right"/>
              <w:rPr>
                <w:szCs w:val="18"/>
                <w:lang w:val="ru-RU" w:eastAsia="en-GB"/>
              </w:rPr>
            </w:pPr>
            <w:r w:rsidRPr="00521670">
              <w:rPr>
                <w:szCs w:val="18"/>
                <w:lang w:val="ru-RU"/>
              </w:rPr>
              <w:t>2 380</w:t>
            </w:r>
          </w:p>
        </w:tc>
        <w:tc>
          <w:tcPr>
            <w:tcW w:w="1063" w:type="pct"/>
            <w:tcBorders>
              <w:top w:val="nil"/>
              <w:left w:val="nil"/>
              <w:bottom w:val="nil"/>
              <w:right w:val="nil"/>
            </w:tcBorders>
            <w:shd w:val="clear" w:color="auto" w:fill="auto"/>
            <w:noWrap/>
            <w:hideMark/>
          </w:tcPr>
          <w:p w14:paraId="26C39401" w14:textId="77777777" w:rsidR="00DF251A" w:rsidRPr="00521670" w:rsidRDefault="00DF251A" w:rsidP="008F5A84">
            <w:pPr>
              <w:pStyle w:val="Tabletext"/>
              <w:keepNext/>
              <w:jc w:val="right"/>
              <w:rPr>
                <w:szCs w:val="18"/>
                <w:lang w:val="ru-RU" w:eastAsia="en-GB"/>
              </w:rPr>
            </w:pPr>
            <w:r w:rsidRPr="00521670">
              <w:rPr>
                <w:szCs w:val="18"/>
                <w:lang w:val="ru-RU"/>
              </w:rPr>
              <w:t>1 854</w:t>
            </w:r>
          </w:p>
        </w:tc>
      </w:tr>
      <w:tr w:rsidR="00DF251A" w:rsidRPr="00521670" w14:paraId="6B1CA87B" w14:textId="77777777" w:rsidTr="00835292">
        <w:trPr>
          <w:jc w:val="center"/>
        </w:trPr>
        <w:tc>
          <w:tcPr>
            <w:tcW w:w="2875" w:type="pct"/>
            <w:tcBorders>
              <w:top w:val="nil"/>
              <w:left w:val="nil"/>
              <w:bottom w:val="nil"/>
              <w:right w:val="nil"/>
            </w:tcBorders>
            <w:shd w:val="clear" w:color="000000" w:fill="0070C0"/>
            <w:noWrap/>
            <w:vAlign w:val="center"/>
            <w:hideMark/>
          </w:tcPr>
          <w:p w14:paraId="17CCC82D" w14:textId="77777777" w:rsidR="00DF251A" w:rsidRPr="00521670" w:rsidRDefault="00DF251A" w:rsidP="008F5A84">
            <w:pPr>
              <w:pStyle w:val="Tabletext"/>
              <w:rPr>
                <w:b/>
                <w:bCs/>
                <w:szCs w:val="18"/>
                <w:lang w:val="ru-RU" w:eastAsia="en-GB"/>
              </w:rPr>
            </w:pPr>
            <w:r w:rsidRPr="00521670">
              <w:rPr>
                <w:b/>
                <w:bCs/>
                <w:szCs w:val="18"/>
                <w:lang w:val="ru-RU"/>
              </w:rPr>
              <w:t>Всего: прочие долговые обязательства</w:t>
            </w:r>
          </w:p>
        </w:tc>
        <w:tc>
          <w:tcPr>
            <w:tcW w:w="1062" w:type="pct"/>
            <w:tcBorders>
              <w:top w:val="nil"/>
              <w:left w:val="nil"/>
              <w:bottom w:val="nil"/>
              <w:right w:val="nil"/>
            </w:tcBorders>
            <w:shd w:val="clear" w:color="000000" w:fill="0070C0"/>
            <w:noWrap/>
            <w:hideMark/>
          </w:tcPr>
          <w:p w14:paraId="262820B8" w14:textId="77777777" w:rsidR="00DF251A" w:rsidRPr="00521670" w:rsidRDefault="00DF251A" w:rsidP="008F5A84">
            <w:pPr>
              <w:pStyle w:val="Tabletext"/>
              <w:jc w:val="right"/>
              <w:rPr>
                <w:b/>
                <w:bCs/>
                <w:szCs w:val="18"/>
                <w:lang w:val="ru-RU" w:eastAsia="en-GB"/>
              </w:rPr>
            </w:pPr>
            <w:r w:rsidRPr="00521670">
              <w:rPr>
                <w:b/>
                <w:bCs/>
                <w:szCs w:val="18"/>
                <w:lang w:val="ru-RU"/>
              </w:rPr>
              <w:t>7 349</w:t>
            </w:r>
          </w:p>
        </w:tc>
        <w:tc>
          <w:tcPr>
            <w:tcW w:w="1063" w:type="pct"/>
            <w:tcBorders>
              <w:top w:val="nil"/>
              <w:left w:val="nil"/>
              <w:bottom w:val="nil"/>
              <w:right w:val="nil"/>
            </w:tcBorders>
            <w:shd w:val="clear" w:color="000000" w:fill="0070C0"/>
            <w:noWrap/>
            <w:hideMark/>
          </w:tcPr>
          <w:p w14:paraId="6C7BF96C" w14:textId="77777777" w:rsidR="00DF251A" w:rsidRPr="00521670" w:rsidRDefault="00DF251A" w:rsidP="008F5A84">
            <w:pPr>
              <w:pStyle w:val="Tabletext"/>
              <w:jc w:val="right"/>
              <w:rPr>
                <w:b/>
                <w:bCs/>
                <w:szCs w:val="18"/>
                <w:lang w:val="ru-RU" w:eastAsia="en-GB"/>
              </w:rPr>
            </w:pPr>
            <w:r w:rsidRPr="00521670">
              <w:rPr>
                <w:b/>
                <w:bCs/>
                <w:szCs w:val="18"/>
                <w:lang w:val="ru-RU"/>
              </w:rPr>
              <w:t>6 238</w:t>
            </w:r>
          </w:p>
        </w:tc>
      </w:tr>
    </w:tbl>
    <w:p w14:paraId="45786773" w14:textId="77777777" w:rsidR="00DF251A" w:rsidRPr="00521670" w:rsidRDefault="00DF251A" w:rsidP="00B06555">
      <w:pPr>
        <w:pStyle w:val="Heading5"/>
        <w:tabs>
          <w:tab w:val="left" w:pos="1980"/>
        </w:tabs>
        <w:rPr>
          <w:b/>
          <w:bCs/>
          <w:color w:val="4F81BD" w:themeColor="accent1"/>
          <w:lang w:val="ru-RU"/>
        </w:rPr>
      </w:pPr>
      <w:bookmarkStart w:id="304" w:name="_Toc305764086"/>
      <w:bookmarkStart w:id="305" w:name="_Toc1888352339"/>
      <w:bookmarkStart w:id="306" w:name="_Toc164845557"/>
      <w:bookmarkStart w:id="307" w:name="_Toc168578471"/>
      <w:bookmarkStart w:id="308" w:name="_Toc180681816"/>
      <w:bookmarkStart w:id="309" w:name="_Toc200469534"/>
      <w:r w:rsidRPr="00521670">
        <w:rPr>
          <w:b/>
          <w:bCs/>
          <w:color w:val="4F81BD" w:themeColor="accent1"/>
          <w:lang w:val="ru-RU"/>
        </w:rPr>
        <w:t>Примечание 10</w:t>
      </w:r>
      <w:r w:rsidRPr="00521670">
        <w:rPr>
          <w:b/>
          <w:bCs/>
          <w:color w:val="4F81BD" w:themeColor="accent1"/>
          <w:lang w:val="ru-RU"/>
        </w:rPr>
        <w:tab/>
      </w:r>
      <w:bookmarkEnd w:id="304"/>
      <w:bookmarkEnd w:id="305"/>
      <w:bookmarkEnd w:id="306"/>
      <w:r w:rsidRPr="00521670">
        <w:rPr>
          <w:b/>
          <w:bCs/>
          <w:color w:val="4F81BD" w:themeColor="accent1"/>
          <w:lang w:val="ru-RU"/>
        </w:rPr>
        <w:t>Материальные активы</w:t>
      </w:r>
      <w:bookmarkEnd w:id="307"/>
      <w:bookmarkEnd w:id="308"/>
      <w:bookmarkEnd w:id="309"/>
    </w:p>
    <w:p w14:paraId="37258EDB" w14:textId="77777777" w:rsidR="00DF251A" w:rsidRPr="00521670" w:rsidRDefault="00DF251A" w:rsidP="00F11FD8">
      <w:pPr>
        <w:rPr>
          <w:lang w:val="ru-RU"/>
        </w:rPr>
      </w:pPr>
      <w:r w:rsidRPr="00521670">
        <w:rPr>
          <w:lang w:val="ru-RU"/>
        </w:rPr>
        <w:t>Здания МСЭ включают:</w:t>
      </w:r>
    </w:p>
    <w:p w14:paraId="36E62680" w14:textId="77777777" w:rsidR="00DF251A" w:rsidRPr="00521670" w:rsidRDefault="00DF251A" w:rsidP="00F11FD8">
      <w:pPr>
        <w:pStyle w:val="enumlev1"/>
        <w:rPr>
          <w:lang w:val="ru-RU"/>
        </w:rPr>
      </w:pPr>
      <w:r w:rsidRPr="00521670">
        <w:rPr>
          <w:lang w:val="ru-RU"/>
        </w:rPr>
        <w:t>–</w:t>
      </w:r>
      <w:r w:rsidRPr="00521670">
        <w:rPr>
          <w:lang w:val="ru-RU"/>
        </w:rPr>
        <w:tab/>
        <w:t>здание "Башня" по адресу: улица Варембе (rue de Varembé), Женева;</w:t>
      </w:r>
    </w:p>
    <w:p w14:paraId="365FC628" w14:textId="77777777" w:rsidR="00DF251A" w:rsidRPr="00521670" w:rsidRDefault="00DF251A" w:rsidP="00F11FD8">
      <w:pPr>
        <w:pStyle w:val="enumlev1"/>
        <w:rPr>
          <w:lang w:val="ru-RU"/>
        </w:rPr>
      </w:pPr>
      <w:r w:rsidRPr="00521670">
        <w:rPr>
          <w:lang w:val="ru-RU"/>
        </w:rPr>
        <w:t>–</w:t>
      </w:r>
      <w:r w:rsidRPr="00521670">
        <w:rPr>
          <w:lang w:val="ru-RU"/>
        </w:rPr>
        <w:tab/>
        <w:t xml:space="preserve">здание "Варембе" по адресу: улица Варембе (rue de Varembé), Женева. Это здание было полностью амортизировано по состоянию на 31 декабря 2022 года в преддверии </w:t>
      </w:r>
      <w:r w:rsidRPr="00521670">
        <w:rPr>
          <w:lang w:val="ru-RU"/>
        </w:rPr>
        <w:lastRenderedPageBreak/>
        <w:t>начала реализации проекта строительства нового здания. В настоящее время это здание продолжает использоваться;</w:t>
      </w:r>
    </w:p>
    <w:p w14:paraId="1341B537" w14:textId="77777777" w:rsidR="00DF251A" w:rsidRPr="00521670" w:rsidRDefault="00DF251A" w:rsidP="00F11FD8">
      <w:pPr>
        <w:pStyle w:val="enumlev1"/>
        <w:rPr>
          <w:lang w:val="ru-RU"/>
        </w:rPr>
      </w:pPr>
      <w:r w:rsidRPr="00521670">
        <w:rPr>
          <w:lang w:val="ru-RU"/>
        </w:rPr>
        <w:t>–</w:t>
      </w:r>
      <w:r w:rsidRPr="00521670">
        <w:rPr>
          <w:lang w:val="ru-RU"/>
        </w:rPr>
        <w:tab/>
        <w:t>пристройку C и кафетерий по адресу: улица Варембе (rue de Varembé), Женева;</w:t>
      </w:r>
    </w:p>
    <w:p w14:paraId="5AD1B9CC" w14:textId="77777777" w:rsidR="00DF251A" w:rsidRPr="00521670" w:rsidRDefault="00DF251A" w:rsidP="00F11FD8">
      <w:pPr>
        <w:pStyle w:val="enumlev1"/>
        <w:rPr>
          <w:lang w:val="ru-RU"/>
        </w:rPr>
      </w:pPr>
      <w:r w:rsidRPr="00521670">
        <w:rPr>
          <w:lang w:val="ru-RU"/>
        </w:rPr>
        <w:t>–</w:t>
      </w:r>
      <w:r w:rsidRPr="00521670">
        <w:rPr>
          <w:lang w:val="ru-RU"/>
        </w:rPr>
        <w:tab/>
        <w:t>здание "Монбрийан" по адресу: улица Варембе (rue de Varembé), Женева.</w:t>
      </w:r>
    </w:p>
    <w:p w14:paraId="3AD1B781" w14:textId="2EF9B5A2" w:rsidR="00DF251A" w:rsidRPr="00521670" w:rsidRDefault="00DF251A" w:rsidP="00F11FD8">
      <w:pPr>
        <w:rPr>
          <w:lang w:val="ru-RU"/>
        </w:rPr>
      </w:pPr>
      <w:r w:rsidRPr="00521670">
        <w:rPr>
          <w:lang w:val="ru-RU"/>
        </w:rPr>
        <w:t>МСЭ не владеет землей, на которой расположено его недвижимое имущество; правительство бесплатно предоставило Союзу право пользования землей, сохранив за собой право собственности на землю. В силу того, что МСЭ не может распорядиться этими правами в коммерческих целях, признание или достоверная оценка справедливой стоимости земли в соответствии с IPSAS представляются нецелесообразными, и, следовательно, данные ограничения раскрываются в целях обеспечения прозрачности в соответствии с требованиями IPSAS об оценке собственности. По состоянию на 31 декабря 2024 года никакие материальные активы не были заложены в качестве гарантии долга. МСЭ ведет всеобъемлющий график учета материальных активов. В этот график включены активы, которые полностью амортизированы, но продолжают активно использоваться Организацией.</w:t>
      </w:r>
    </w:p>
    <w:p w14:paraId="1A799506" w14:textId="3CB9E43D" w:rsidR="00DF251A" w:rsidRPr="00521670" w:rsidRDefault="00DF251A" w:rsidP="00F11FD8">
      <w:pPr>
        <w:overflowPunct/>
        <w:autoSpaceDE/>
        <w:autoSpaceDN/>
        <w:adjustRightInd/>
        <w:spacing w:after="120"/>
        <w:textAlignment w:val="auto"/>
        <w:rPr>
          <w:lang w:val="ru-RU"/>
        </w:rPr>
      </w:pPr>
      <w:r w:rsidRPr="00521670">
        <w:rPr>
          <w:lang w:val="ru-RU"/>
        </w:rPr>
        <w:t>В приведенной ниже таблице показана валовая стоимость материальных активов, полностью амортизированных в процессе эксплуатации по состоянию на 31 декабря 2024 года.</w:t>
      </w:r>
    </w:p>
    <w:tbl>
      <w:tblPr>
        <w:tblW w:w="5000" w:type="pct"/>
        <w:jc w:val="center"/>
        <w:tblLook w:val="04A0" w:firstRow="1" w:lastRow="0" w:firstColumn="1" w:lastColumn="0" w:noHBand="0" w:noVBand="1"/>
      </w:tblPr>
      <w:tblGrid>
        <w:gridCol w:w="6123"/>
        <w:gridCol w:w="2948"/>
      </w:tblGrid>
      <w:tr w:rsidR="00DF251A" w:rsidRPr="00521670" w14:paraId="2837B427" w14:textId="77777777" w:rsidTr="00835292">
        <w:trPr>
          <w:jc w:val="center"/>
        </w:trPr>
        <w:tc>
          <w:tcPr>
            <w:tcW w:w="3375" w:type="pct"/>
            <w:tcBorders>
              <w:top w:val="nil"/>
              <w:left w:val="nil"/>
              <w:bottom w:val="nil"/>
              <w:right w:val="nil"/>
            </w:tcBorders>
            <w:shd w:val="clear" w:color="000000" w:fill="0070C0"/>
            <w:noWrap/>
            <w:vAlign w:val="center"/>
            <w:hideMark/>
          </w:tcPr>
          <w:p w14:paraId="4556D3C2" w14:textId="77777777" w:rsidR="00DF251A" w:rsidRPr="00521670" w:rsidRDefault="00DF251A" w:rsidP="009977AB">
            <w:pPr>
              <w:pStyle w:val="Tablehead"/>
              <w:jc w:val="left"/>
              <w:rPr>
                <w:szCs w:val="18"/>
                <w:lang w:val="ru-RU" w:eastAsia="en-GB"/>
              </w:rPr>
            </w:pPr>
            <w:r w:rsidRPr="00521670">
              <w:rPr>
                <w:szCs w:val="18"/>
                <w:lang w:val="ru-RU" w:eastAsia="en-GB"/>
              </w:rPr>
              <w:t>Категория активов (тыс. шв. фр.)</w:t>
            </w:r>
          </w:p>
        </w:tc>
        <w:tc>
          <w:tcPr>
            <w:tcW w:w="1625" w:type="pct"/>
            <w:tcBorders>
              <w:top w:val="nil"/>
              <w:left w:val="nil"/>
              <w:bottom w:val="nil"/>
              <w:right w:val="nil"/>
            </w:tcBorders>
            <w:shd w:val="clear" w:color="000000" w:fill="0070C0"/>
            <w:vAlign w:val="center"/>
            <w:hideMark/>
          </w:tcPr>
          <w:p w14:paraId="2F068561" w14:textId="77777777" w:rsidR="00DF251A" w:rsidRPr="00521670" w:rsidRDefault="00DF251A" w:rsidP="009977AB">
            <w:pPr>
              <w:pStyle w:val="Tablehead"/>
              <w:jc w:val="right"/>
              <w:rPr>
                <w:szCs w:val="18"/>
                <w:lang w:val="ru-RU" w:eastAsia="en-GB"/>
              </w:rPr>
            </w:pPr>
            <w:r w:rsidRPr="00521670">
              <w:rPr>
                <w:szCs w:val="18"/>
                <w:lang w:val="ru-RU" w:eastAsia="en-GB"/>
              </w:rPr>
              <w:t>Всего</w:t>
            </w:r>
          </w:p>
        </w:tc>
      </w:tr>
      <w:tr w:rsidR="00DF251A" w:rsidRPr="00521670" w14:paraId="03BBB059" w14:textId="77777777" w:rsidTr="00835292">
        <w:trPr>
          <w:jc w:val="center"/>
        </w:trPr>
        <w:tc>
          <w:tcPr>
            <w:tcW w:w="3375" w:type="pct"/>
            <w:tcBorders>
              <w:top w:val="nil"/>
              <w:left w:val="nil"/>
              <w:bottom w:val="nil"/>
              <w:right w:val="nil"/>
            </w:tcBorders>
            <w:shd w:val="clear" w:color="auto" w:fill="auto"/>
            <w:noWrap/>
            <w:vAlign w:val="bottom"/>
            <w:hideMark/>
          </w:tcPr>
          <w:p w14:paraId="7C0714CE" w14:textId="77777777" w:rsidR="00DF251A" w:rsidRPr="00521670" w:rsidRDefault="00DF251A" w:rsidP="00FE6BF2">
            <w:pPr>
              <w:pStyle w:val="Tabletext"/>
              <w:keepNext/>
              <w:rPr>
                <w:szCs w:val="18"/>
                <w:lang w:val="ru-RU" w:eastAsia="en-GB"/>
              </w:rPr>
            </w:pPr>
            <w:r w:rsidRPr="00521670">
              <w:rPr>
                <w:szCs w:val="18"/>
                <w:lang w:val="ru-RU"/>
              </w:rPr>
              <w:t>Здания</w:t>
            </w:r>
          </w:p>
        </w:tc>
        <w:tc>
          <w:tcPr>
            <w:tcW w:w="1625" w:type="pct"/>
            <w:tcBorders>
              <w:top w:val="nil"/>
              <w:left w:val="nil"/>
              <w:bottom w:val="nil"/>
              <w:right w:val="nil"/>
            </w:tcBorders>
            <w:shd w:val="clear" w:color="auto" w:fill="auto"/>
            <w:noWrap/>
            <w:hideMark/>
          </w:tcPr>
          <w:p w14:paraId="36B61E78" w14:textId="77777777" w:rsidR="00DF251A" w:rsidRPr="00521670" w:rsidRDefault="00DF251A" w:rsidP="00FE6BF2">
            <w:pPr>
              <w:pStyle w:val="Tabletext"/>
              <w:keepNext/>
              <w:jc w:val="right"/>
              <w:rPr>
                <w:szCs w:val="18"/>
                <w:lang w:val="ru-RU" w:eastAsia="en-GB"/>
              </w:rPr>
            </w:pPr>
            <w:r w:rsidRPr="00521670">
              <w:rPr>
                <w:szCs w:val="18"/>
                <w:lang w:val="ru-RU"/>
              </w:rPr>
              <w:t>38 076</w:t>
            </w:r>
          </w:p>
        </w:tc>
      </w:tr>
      <w:tr w:rsidR="00DF251A" w:rsidRPr="00521670" w14:paraId="5BA53EC2" w14:textId="77777777" w:rsidTr="00835292">
        <w:trPr>
          <w:jc w:val="center"/>
        </w:trPr>
        <w:tc>
          <w:tcPr>
            <w:tcW w:w="3375" w:type="pct"/>
            <w:tcBorders>
              <w:top w:val="nil"/>
              <w:left w:val="nil"/>
              <w:bottom w:val="nil"/>
              <w:right w:val="nil"/>
            </w:tcBorders>
            <w:shd w:val="clear" w:color="auto" w:fill="auto"/>
            <w:noWrap/>
            <w:vAlign w:val="bottom"/>
            <w:hideMark/>
          </w:tcPr>
          <w:p w14:paraId="5268F623" w14:textId="77777777" w:rsidR="00DF251A" w:rsidRPr="00521670" w:rsidRDefault="00DF251A" w:rsidP="00FE6BF2">
            <w:pPr>
              <w:pStyle w:val="Tabletext"/>
              <w:keepNext/>
              <w:rPr>
                <w:szCs w:val="18"/>
                <w:lang w:val="ru-RU" w:eastAsia="en-GB"/>
              </w:rPr>
            </w:pPr>
            <w:r w:rsidRPr="00521670">
              <w:rPr>
                <w:szCs w:val="18"/>
                <w:lang w:val="ru-RU"/>
              </w:rPr>
              <w:t>Машины и оборудование</w:t>
            </w:r>
          </w:p>
        </w:tc>
        <w:tc>
          <w:tcPr>
            <w:tcW w:w="1625" w:type="pct"/>
            <w:tcBorders>
              <w:top w:val="nil"/>
              <w:left w:val="nil"/>
              <w:bottom w:val="nil"/>
              <w:right w:val="nil"/>
            </w:tcBorders>
            <w:shd w:val="clear" w:color="auto" w:fill="auto"/>
            <w:noWrap/>
            <w:hideMark/>
          </w:tcPr>
          <w:p w14:paraId="1FB77236" w14:textId="77777777" w:rsidR="00DF251A" w:rsidRPr="00521670" w:rsidRDefault="00DF251A" w:rsidP="00FE6BF2">
            <w:pPr>
              <w:pStyle w:val="Tabletext"/>
              <w:keepNext/>
              <w:jc w:val="right"/>
              <w:rPr>
                <w:szCs w:val="18"/>
                <w:lang w:val="ru-RU" w:eastAsia="en-GB"/>
              </w:rPr>
            </w:pPr>
            <w:r w:rsidRPr="00521670">
              <w:rPr>
                <w:szCs w:val="18"/>
                <w:lang w:val="ru-RU"/>
              </w:rPr>
              <w:t>811</w:t>
            </w:r>
          </w:p>
        </w:tc>
      </w:tr>
      <w:tr w:rsidR="00DF251A" w:rsidRPr="00521670" w14:paraId="3E1E6F60" w14:textId="77777777" w:rsidTr="00835292">
        <w:trPr>
          <w:jc w:val="center"/>
        </w:trPr>
        <w:tc>
          <w:tcPr>
            <w:tcW w:w="3375" w:type="pct"/>
            <w:tcBorders>
              <w:top w:val="nil"/>
              <w:left w:val="nil"/>
              <w:bottom w:val="nil"/>
              <w:right w:val="nil"/>
            </w:tcBorders>
            <w:shd w:val="clear" w:color="auto" w:fill="auto"/>
            <w:noWrap/>
            <w:vAlign w:val="bottom"/>
            <w:hideMark/>
          </w:tcPr>
          <w:p w14:paraId="6D657AB5" w14:textId="77777777" w:rsidR="00DF251A" w:rsidRPr="00521670" w:rsidRDefault="00DF251A" w:rsidP="00FE6BF2">
            <w:pPr>
              <w:pStyle w:val="Tabletext"/>
              <w:keepNext/>
              <w:rPr>
                <w:szCs w:val="18"/>
                <w:lang w:val="ru-RU" w:eastAsia="en-GB"/>
              </w:rPr>
            </w:pPr>
            <w:r w:rsidRPr="00521670">
              <w:rPr>
                <w:szCs w:val="18"/>
                <w:lang w:val="ru-RU"/>
              </w:rPr>
              <w:t>Компьютерное оборудование</w:t>
            </w:r>
          </w:p>
        </w:tc>
        <w:tc>
          <w:tcPr>
            <w:tcW w:w="1625" w:type="pct"/>
            <w:tcBorders>
              <w:top w:val="nil"/>
              <w:left w:val="nil"/>
              <w:bottom w:val="nil"/>
              <w:right w:val="nil"/>
            </w:tcBorders>
            <w:shd w:val="clear" w:color="auto" w:fill="auto"/>
            <w:noWrap/>
            <w:hideMark/>
          </w:tcPr>
          <w:p w14:paraId="6921509C" w14:textId="77777777" w:rsidR="00DF251A" w:rsidRPr="00521670" w:rsidRDefault="00DF251A" w:rsidP="00FE6BF2">
            <w:pPr>
              <w:pStyle w:val="Tabletext"/>
              <w:keepNext/>
              <w:jc w:val="right"/>
              <w:rPr>
                <w:szCs w:val="18"/>
                <w:lang w:val="ru-RU" w:eastAsia="en-GB"/>
              </w:rPr>
            </w:pPr>
            <w:r w:rsidRPr="00521670">
              <w:rPr>
                <w:szCs w:val="18"/>
                <w:lang w:val="ru-RU"/>
              </w:rPr>
              <w:t>6 336</w:t>
            </w:r>
          </w:p>
        </w:tc>
      </w:tr>
      <w:tr w:rsidR="00DF251A" w:rsidRPr="00521670" w14:paraId="1B9E2BEC" w14:textId="77777777" w:rsidTr="00835292">
        <w:trPr>
          <w:jc w:val="center"/>
        </w:trPr>
        <w:tc>
          <w:tcPr>
            <w:tcW w:w="3375" w:type="pct"/>
            <w:tcBorders>
              <w:top w:val="nil"/>
              <w:left w:val="nil"/>
              <w:bottom w:val="nil"/>
              <w:right w:val="nil"/>
            </w:tcBorders>
            <w:shd w:val="clear" w:color="auto" w:fill="auto"/>
            <w:noWrap/>
            <w:vAlign w:val="bottom"/>
            <w:hideMark/>
          </w:tcPr>
          <w:p w14:paraId="30A395A2" w14:textId="77777777" w:rsidR="00DF251A" w:rsidRPr="00521670" w:rsidRDefault="00DF251A" w:rsidP="00FE6BF2">
            <w:pPr>
              <w:pStyle w:val="Tabletext"/>
              <w:keepNext/>
              <w:rPr>
                <w:szCs w:val="18"/>
                <w:lang w:val="ru-RU" w:eastAsia="en-GB"/>
              </w:rPr>
            </w:pPr>
            <w:r w:rsidRPr="00521670">
              <w:rPr>
                <w:szCs w:val="18"/>
                <w:lang w:val="ru-RU"/>
              </w:rPr>
              <w:t>Автотранспортные средства</w:t>
            </w:r>
          </w:p>
        </w:tc>
        <w:tc>
          <w:tcPr>
            <w:tcW w:w="1625" w:type="pct"/>
            <w:tcBorders>
              <w:top w:val="nil"/>
              <w:left w:val="nil"/>
              <w:bottom w:val="nil"/>
              <w:right w:val="nil"/>
            </w:tcBorders>
            <w:shd w:val="clear" w:color="auto" w:fill="auto"/>
            <w:noWrap/>
            <w:hideMark/>
          </w:tcPr>
          <w:p w14:paraId="0EB046F0" w14:textId="77777777" w:rsidR="00DF251A" w:rsidRPr="00521670" w:rsidRDefault="00DF251A" w:rsidP="00FE6BF2">
            <w:pPr>
              <w:pStyle w:val="Tabletext"/>
              <w:keepNext/>
              <w:jc w:val="right"/>
              <w:rPr>
                <w:szCs w:val="18"/>
                <w:lang w:val="ru-RU" w:eastAsia="en-GB"/>
              </w:rPr>
            </w:pPr>
            <w:r w:rsidRPr="00521670">
              <w:rPr>
                <w:szCs w:val="18"/>
                <w:lang w:val="ru-RU"/>
              </w:rPr>
              <w:t>235</w:t>
            </w:r>
          </w:p>
        </w:tc>
      </w:tr>
      <w:tr w:rsidR="00DF251A" w:rsidRPr="00521670" w14:paraId="7F430B07" w14:textId="77777777" w:rsidTr="00835292">
        <w:trPr>
          <w:jc w:val="center"/>
        </w:trPr>
        <w:tc>
          <w:tcPr>
            <w:tcW w:w="3375" w:type="pct"/>
            <w:tcBorders>
              <w:top w:val="nil"/>
              <w:left w:val="nil"/>
              <w:bottom w:val="nil"/>
              <w:right w:val="nil"/>
            </w:tcBorders>
            <w:shd w:val="clear" w:color="auto" w:fill="auto"/>
            <w:noWrap/>
            <w:vAlign w:val="bottom"/>
            <w:hideMark/>
          </w:tcPr>
          <w:p w14:paraId="1E07C232" w14:textId="77777777" w:rsidR="00DF251A" w:rsidRPr="00521670" w:rsidRDefault="00DF251A" w:rsidP="00FE6BF2">
            <w:pPr>
              <w:pStyle w:val="Tabletext"/>
              <w:keepNext/>
              <w:rPr>
                <w:szCs w:val="18"/>
                <w:lang w:val="ru-RU" w:eastAsia="en-GB"/>
              </w:rPr>
            </w:pPr>
            <w:r w:rsidRPr="00521670">
              <w:rPr>
                <w:szCs w:val="18"/>
                <w:lang w:val="ru-RU" w:eastAsia="en-GB"/>
              </w:rPr>
              <w:t>Мебель и устройства</w:t>
            </w:r>
          </w:p>
        </w:tc>
        <w:tc>
          <w:tcPr>
            <w:tcW w:w="1625" w:type="pct"/>
            <w:tcBorders>
              <w:top w:val="nil"/>
              <w:left w:val="nil"/>
              <w:bottom w:val="nil"/>
              <w:right w:val="nil"/>
            </w:tcBorders>
            <w:shd w:val="clear" w:color="auto" w:fill="auto"/>
            <w:noWrap/>
            <w:hideMark/>
          </w:tcPr>
          <w:p w14:paraId="2AB1BA41" w14:textId="77777777" w:rsidR="00DF251A" w:rsidRPr="00521670" w:rsidRDefault="00DF251A" w:rsidP="00FE6BF2">
            <w:pPr>
              <w:pStyle w:val="Tabletext"/>
              <w:keepNext/>
              <w:jc w:val="right"/>
              <w:rPr>
                <w:szCs w:val="18"/>
                <w:lang w:val="ru-RU" w:eastAsia="en-GB"/>
              </w:rPr>
            </w:pPr>
            <w:r w:rsidRPr="00521670">
              <w:rPr>
                <w:szCs w:val="18"/>
                <w:lang w:val="ru-RU"/>
              </w:rPr>
              <w:t>1 309</w:t>
            </w:r>
          </w:p>
        </w:tc>
      </w:tr>
      <w:tr w:rsidR="00DF251A" w:rsidRPr="00521670" w14:paraId="2A74788B" w14:textId="77777777" w:rsidTr="00835292">
        <w:trPr>
          <w:jc w:val="center"/>
        </w:trPr>
        <w:tc>
          <w:tcPr>
            <w:tcW w:w="3375" w:type="pct"/>
            <w:tcBorders>
              <w:top w:val="nil"/>
              <w:left w:val="nil"/>
              <w:bottom w:val="nil"/>
              <w:right w:val="nil"/>
            </w:tcBorders>
            <w:shd w:val="clear" w:color="000000" w:fill="0070C0"/>
            <w:noWrap/>
            <w:vAlign w:val="center"/>
            <w:hideMark/>
          </w:tcPr>
          <w:p w14:paraId="4A0B0D52" w14:textId="77777777" w:rsidR="00DF251A" w:rsidRPr="00521670" w:rsidRDefault="00DF251A" w:rsidP="00835292">
            <w:pPr>
              <w:pStyle w:val="Tabletext"/>
              <w:rPr>
                <w:b/>
                <w:bCs/>
                <w:szCs w:val="18"/>
                <w:lang w:val="ru-RU" w:eastAsia="en-GB"/>
              </w:rPr>
            </w:pPr>
            <w:r w:rsidRPr="00521670">
              <w:rPr>
                <w:b/>
                <w:bCs/>
                <w:szCs w:val="18"/>
                <w:lang w:val="ru-RU" w:eastAsia="en-GB"/>
              </w:rPr>
              <w:t>Всего</w:t>
            </w:r>
          </w:p>
        </w:tc>
        <w:tc>
          <w:tcPr>
            <w:tcW w:w="1625" w:type="pct"/>
            <w:tcBorders>
              <w:top w:val="nil"/>
              <w:left w:val="nil"/>
              <w:bottom w:val="nil"/>
              <w:right w:val="nil"/>
            </w:tcBorders>
            <w:shd w:val="clear" w:color="000000" w:fill="0070C0"/>
            <w:noWrap/>
            <w:vAlign w:val="center"/>
            <w:hideMark/>
          </w:tcPr>
          <w:p w14:paraId="250ACD58" w14:textId="77777777" w:rsidR="00DF251A" w:rsidRPr="00521670" w:rsidRDefault="00DF251A" w:rsidP="00835292">
            <w:pPr>
              <w:pStyle w:val="Tabletext"/>
              <w:jc w:val="right"/>
              <w:rPr>
                <w:b/>
                <w:bCs/>
                <w:szCs w:val="18"/>
                <w:lang w:val="ru-RU" w:eastAsia="en-GB"/>
              </w:rPr>
            </w:pPr>
            <w:r w:rsidRPr="00521670">
              <w:rPr>
                <w:b/>
                <w:bCs/>
                <w:szCs w:val="18"/>
                <w:lang w:val="ru-RU" w:eastAsia="en-GB"/>
              </w:rPr>
              <w:t>46 767</w:t>
            </w:r>
          </w:p>
        </w:tc>
      </w:tr>
    </w:tbl>
    <w:p w14:paraId="51414297" w14:textId="77777777" w:rsidR="00DF251A" w:rsidRPr="00521670" w:rsidRDefault="00DF251A" w:rsidP="0013436F">
      <w:pPr>
        <w:rPr>
          <w:lang w:val="ru-RU"/>
        </w:rPr>
      </w:pPr>
      <w:r w:rsidRPr="00521670">
        <w:rPr>
          <w:lang w:val="ru-RU"/>
        </w:rPr>
        <w:t>МСЭ владеет объектами культурного наследия, именуемыми произведениями искусства, представляющими собой предметы, подаренные или предоставленные во временное пользование Союзу представителями или должностными лицами Государств-Членов, другими государственными или частными организациями или частными лицами. К произведениям искусства, хранящимся в МСЭ, относятся ковры, картины, скульптуры, предметы мебели и другие предметы. По состоянию на 31 декабря 2024 года общая стоимость таких предметов составляет менее 0,5 млн. швейцарских франков, и МСЭ принял решение не признавать произведения искусства в качестве активов в Отчете о финансовом положении в соответствии со стандартом IPSAS 17.</w:t>
      </w:r>
    </w:p>
    <w:p w14:paraId="4FA46961" w14:textId="77777777" w:rsidR="00DF251A" w:rsidRPr="00521670" w:rsidRDefault="00DF251A" w:rsidP="0013436F">
      <w:pPr>
        <w:rPr>
          <w:lang w:val="ru-RU"/>
        </w:rPr>
      </w:pPr>
      <w:r w:rsidRPr="00521670">
        <w:rPr>
          <w:lang w:val="ru-RU"/>
        </w:rPr>
        <w:t>В рамках политики МСЭ в отношении материальных активов Организация разработала процессы и процедуры для управления произведениями искусства. Произведения искусства хранятся в хранилищах с контролируемым доступом до тех пор, пока не будет принято решение в отношении размещения предмета. Произведения искусства включаются в ежегодный процесс инвентаризации, а официальные подтверждения того, что произведения искусства хранятся в МСЭ, предоставляются донорам по их запросу.</w:t>
      </w:r>
    </w:p>
    <w:p w14:paraId="716B95DD" w14:textId="3CCF7E21" w:rsidR="00DF251A" w:rsidRPr="00521670" w:rsidRDefault="00DF251A" w:rsidP="0013436F">
      <w:pPr>
        <w:spacing w:after="120"/>
        <w:rPr>
          <w:lang w:val="ru-RU"/>
        </w:rPr>
      </w:pPr>
      <w:r w:rsidRPr="00521670">
        <w:rPr>
          <w:lang w:val="ru-RU"/>
        </w:rPr>
        <w:t>В таблице ниже представлено движение средств в рамках материальных активов за 2024 и 2023 годы в разбивке по категориям активов. Переводы в другие категории включают ранее строившиеся активы, которые были завершены и введены в действие в течение отчетного</w:t>
      </w:r>
      <w:r w:rsidR="002E735F" w:rsidRPr="00521670">
        <w:rPr>
          <w:lang w:val="ru-RU"/>
        </w:rPr>
        <w:t> </w:t>
      </w:r>
      <w:r w:rsidRPr="00521670">
        <w:rPr>
          <w:lang w:val="ru-RU"/>
        </w:rPr>
        <w:t>периода.</w:t>
      </w:r>
    </w:p>
    <w:p w14:paraId="47612124" w14:textId="77777777" w:rsidR="00DF251A" w:rsidRPr="00521670" w:rsidRDefault="00DF251A" w:rsidP="00181B45">
      <w:pPr>
        <w:pStyle w:val="Tabletitle"/>
        <w:rPr>
          <w:lang w:val="ru-RU"/>
        </w:rPr>
      </w:pPr>
      <w:r w:rsidRPr="00521670">
        <w:rPr>
          <w:lang w:val="ru-RU"/>
        </w:rPr>
        <w:lastRenderedPageBreak/>
        <w:t>2024 год</w:t>
      </w:r>
    </w:p>
    <w:tbl>
      <w:tblPr>
        <w:tblW w:w="5000" w:type="pct"/>
        <w:jc w:val="center"/>
        <w:tblLook w:val="04A0" w:firstRow="1" w:lastRow="0" w:firstColumn="1" w:lastColumn="0" w:noHBand="0" w:noVBand="1"/>
      </w:tblPr>
      <w:tblGrid>
        <w:gridCol w:w="2834"/>
        <w:gridCol w:w="1034"/>
        <w:gridCol w:w="1034"/>
        <w:gridCol w:w="1034"/>
        <w:gridCol w:w="1034"/>
        <w:gridCol w:w="1067"/>
        <w:gridCol w:w="1034"/>
      </w:tblGrid>
      <w:tr w:rsidR="00DF251A" w:rsidRPr="00521670" w14:paraId="1F74E778" w14:textId="77777777" w:rsidTr="000F3970">
        <w:trPr>
          <w:trHeight w:val="752"/>
          <w:jc w:val="center"/>
        </w:trPr>
        <w:tc>
          <w:tcPr>
            <w:tcW w:w="1562" w:type="pct"/>
            <w:tcBorders>
              <w:top w:val="nil"/>
              <w:left w:val="nil"/>
              <w:bottom w:val="nil"/>
              <w:right w:val="nil"/>
            </w:tcBorders>
            <w:shd w:val="clear" w:color="000000" w:fill="0070C0"/>
            <w:vAlign w:val="center"/>
            <w:hideMark/>
          </w:tcPr>
          <w:p w14:paraId="7441449B" w14:textId="77777777" w:rsidR="00DF251A" w:rsidRPr="00521670" w:rsidRDefault="00DF251A" w:rsidP="009977AB">
            <w:pPr>
              <w:pStyle w:val="Tablehead"/>
              <w:jc w:val="left"/>
              <w:rPr>
                <w:szCs w:val="18"/>
                <w:lang w:val="ru-RU" w:eastAsia="en-GB"/>
              </w:rPr>
            </w:pPr>
            <w:r w:rsidRPr="00521670">
              <w:rPr>
                <w:rFonts w:cs="Calibri"/>
                <w:szCs w:val="18"/>
                <w:lang w:val="ru-RU"/>
              </w:rPr>
              <w:t xml:space="preserve">Категории активов </w:t>
            </w:r>
            <w:r w:rsidRPr="00521670">
              <w:rPr>
                <w:rFonts w:cs="Calibri"/>
                <w:szCs w:val="18"/>
                <w:lang w:val="ru-RU"/>
              </w:rPr>
              <w:br/>
              <w:t>(тыс. шв. фр.)</w:t>
            </w:r>
          </w:p>
        </w:tc>
        <w:tc>
          <w:tcPr>
            <w:tcW w:w="570" w:type="pct"/>
            <w:tcBorders>
              <w:top w:val="nil"/>
              <w:left w:val="nil"/>
              <w:bottom w:val="nil"/>
              <w:right w:val="nil"/>
            </w:tcBorders>
            <w:shd w:val="clear" w:color="000000" w:fill="0070C0"/>
            <w:vAlign w:val="center"/>
            <w:hideMark/>
          </w:tcPr>
          <w:p w14:paraId="06F1E90C" w14:textId="77777777" w:rsidR="00DF251A" w:rsidRPr="00521670" w:rsidRDefault="00DF251A" w:rsidP="00835292">
            <w:pPr>
              <w:pStyle w:val="Tablehead"/>
              <w:rPr>
                <w:szCs w:val="18"/>
                <w:lang w:val="ru-RU" w:eastAsia="en-GB"/>
              </w:rPr>
            </w:pPr>
            <w:r w:rsidRPr="00521670">
              <w:rPr>
                <w:szCs w:val="18"/>
                <w:lang w:val="ru-RU" w:eastAsia="en-GB"/>
              </w:rPr>
              <w:t>Здания</w:t>
            </w:r>
          </w:p>
        </w:tc>
        <w:tc>
          <w:tcPr>
            <w:tcW w:w="570" w:type="pct"/>
            <w:tcBorders>
              <w:top w:val="nil"/>
              <w:left w:val="nil"/>
              <w:bottom w:val="nil"/>
              <w:right w:val="nil"/>
            </w:tcBorders>
            <w:shd w:val="clear" w:color="000000" w:fill="0070C0"/>
            <w:vAlign w:val="center"/>
            <w:hideMark/>
          </w:tcPr>
          <w:p w14:paraId="098612DB" w14:textId="77777777" w:rsidR="00DF251A" w:rsidRPr="00521670" w:rsidRDefault="00DF251A" w:rsidP="00835292">
            <w:pPr>
              <w:pStyle w:val="Tablehead"/>
              <w:rPr>
                <w:szCs w:val="18"/>
                <w:lang w:val="ru-RU" w:eastAsia="en-GB"/>
              </w:rPr>
            </w:pPr>
            <w:r w:rsidRPr="00521670">
              <w:rPr>
                <w:rFonts w:cs="Calibri"/>
                <w:szCs w:val="18"/>
                <w:lang w:val="ru-RU"/>
              </w:rPr>
              <w:t xml:space="preserve">Машины </w:t>
            </w:r>
            <w:r w:rsidRPr="00521670">
              <w:rPr>
                <w:rFonts w:cs="Calibri"/>
                <w:szCs w:val="18"/>
                <w:lang w:val="ru-RU"/>
              </w:rPr>
              <w:br/>
              <w:t>и обору-дование</w:t>
            </w:r>
          </w:p>
        </w:tc>
        <w:tc>
          <w:tcPr>
            <w:tcW w:w="570" w:type="pct"/>
            <w:tcBorders>
              <w:top w:val="nil"/>
              <w:left w:val="nil"/>
              <w:bottom w:val="nil"/>
              <w:right w:val="nil"/>
            </w:tcBorders>
            <w:shd w:val="clear" w:color="000000" w:fill="0070C0"/>
            <w:vAlign w:val="center"/>
            <w:hideMark/>
          </w:tcPr>
          <w:p w14:paraId="778E1673" w14:textId="77777777" w:rsidR="00DF251A" w:rsidRPr="00521670" w:rsidRDefault="00DF251A" w:rsidP="00835292">
            <w:pPr>
              <w:pStyle w:val="Tablehead"/>
              <w:rPr>
                <w:szCs w:val="18"/>
                <w:lang w:val="ru-RU" w:eastAsia="en-GB"/>
              </w:rPr>
            </w:pPr>
            <w:r w:rsidRPr="00521670">
              <w:rPr>
                <w:rFonts w:cs="Calibri"/>
                <w:szCs w:val="18"/>
                <w:lang w:val="ru-RU"/>
              </w:rPr>
              <w:t xml:space="preserve">Мебель </w:t>
            </w:r>
            <w:r w:rsidRPr="00521670">
              <w:rPr>
                <w:rFonts w:cs="Calibri"/>
                <w:szCs w:val="18"/>
                <w:lang w:val="ru-RU"/>
              </w:rPr>
              <w:br/>
              <w:t>и устрой-ства</w:t>
            </w:r>
          </w:p>
        </w:tc>
        <w:tc>
          <w:tcPr>
            <w:tcW w:w="570" w:type="pct"/>
            <w:tcBorders>
              <w:top w:val="nil"/>
              <w:left w:val="nil"/>
              <w:bottom w:val="nil"/>
              <w:right w:val="nil"/>
            </w:tcBorders>
            <w:shd w:val="clear" w:color="000000" w:fill="0070C0"/>
            <w:vAlign w:val="center"/>
            <w:hideMark/>
          </w:tcPr>
          <w:p w14:paraId="21003124" w14:textId="77777777" w:rsidR="00DF251A" w:rsidRPr="00521670" w:rsidRDefault="00DF251A" w:rsidP="00835292">
            <w:pPr>
              <w:pStyle w:val="Tablehead"/>
              <w:rPr>
                <w:szCs w:val="18"/>
                <w:lang w:val="ru-RU" w:eastAsia="en-GB"/>
              </w:rPr>
            </w:pPr>
            <w:r w:rsidRPr="00521670">
              <w:rPr>
                <w:rFonts w:cs="Calibri"/>
                <w:szCs w:val="18"/>
                <w:lang w:val="ru-RU"/>
              </w:rPr>
              <w:t>Компью-терное оборудо-вание</w:t>
            </w:r>
          </w:p>
        </w:tc>
        <w:tc>
          <w:tcPr>
            <w:tcW w:w="588" w:type="pct"/>
            <w:tcBorders>
              <w:top w:val="nil"/>
              <w:left w:val="nil"/>
              <w:bottom w:val="nil"/>
              <w:right w:val="nil"/>
            </w:tcBorders>
            <w:shd w:val="clear" w:color="000000" w:fill="0070C0"/>
            <w:vAlign w:val="center"/>
            <w:hideMark/>
          </w:tcPr>
          <w:p w14:paraId="1F69F331" w14:textId="77777777" w:rsidR="00DF251A" w:rsidRPr="00521670" w:rsidRDefault="00DF251A" w:rsidP="00835292">
            <w:pPr>
              <w:pStyle w:val="Tablehead"/>
              <w:rPr>
                <w:szCs w:val="18"/>
                <w:lang w:val="ru-RU" w:eastAsia="en-GB"/>
              </w:rPr>
            </w:pPr>
            <w:r w:rsidRPr="00521670">
              <w:rPr>
                <w:rFonts w:cs="Calibri"/>
                <w:szCs w:val="18"/>
                <w:lang w:val="ru-RU"/>
              </w:rPr>
              <w:t>Автотранс-портные средства</w:t>
            </w:r>
          </w:p>
        </w:tc>
        <w:tc>
          <w:tcPr>
            <w:tcW w:w="570" w:type="pct"/>
            <w:tcBorders>
              <w:top w:val="nil"/>
              <w:left w:val="nil"/>
              <w:bottom w:val="nil"/>
              <w:right w:val="nil"/>
            </w:tcBorders>
            <w:shd w:val="clear" w:color="000000" w:fill="0070C0"/>
            <w:vAlign w:val="center"/>
            <w:hideMark/>
          </w:tcPr>
          <w:p w14:paraId="3EA372B9" w14:textId="77777777" w:rsidR="00DF251A" w:rsidRPr="00521670" w:rsidRDefault="00DF251A" w:rsidP="00835292">
            <w:pPr>
              <w:pStyle w:val="Tablehead"/>
              <w:rPr>
                <w:szCs w:val="18"/>
                <w:lang w:val="ru-RU" w:eastAsia="en-GB"/>
              </w:rPr>
            </w:pPr>
            <w:r w:rsidRPr="00521670">
              <w:rPr>
                <w:szCs w:val="18"/>
                <w:lang w:val="ru-RU" w:eastAsia="en-GB"/>
              </w:rPr>
              <w:t>Всего 2024 г.</w:t>
            </w:r>
          </w:p>
        </w:tc>
      </w:tr>
      <w:tr w:rsidR="00DF251A" w:rsidRPr="00521670" w14:paraId="70CC6311" w14:textId="77777777" w:rsidTr="000F3970">
        <w:trPr>
          <w:trHeight w:val="300"/>
          <w:jc w:val="center"/>
        </w:trPr>
        <w:tc>
          <w:tcPr>
            <w:tcW w:w="1562" w:type="pct"/>
            <w:tcBorders>
              <w:top w:val="nil"/>
              <w:left w:val="nil"/>
              <w:bottom w:val="nil"/>
              <w:right w:val="nil"/>
            </w:tcBorders>
            <w:shd w:val="clear" w:color="auto" w:fill="auto"/>
            <w:vAlign w:val="center"/>
            <w:hideMark/>
          </w:tcPr>
          <w:p w14:paraId="62E0AC46" w14:textId="77777777" w:rsidR="00DF251A" w:rsidRPr="00521670" w:rsidRDefault="00DF251A" w:rsidP="000F3970">
            <w:pPr>
              <w:pStyle w:val="Tabletext"/>
              <w:keepNext/>
              <w:rPr>
                <w:b/>
                <w:bCs/>
                <w:szCs w:val="18"/>
                <w:lang w:val="ru-RU" w:eastAsia="en-GB"/>
              </w:rPr>
            </w:pPr>
            <w:r w:rsidRPr="00521670">
              <w:rPr>
                <w:rFonts w:cs="Calibri"/>
                <w:b/>
                <w:bCs/>
                <w:szCs w:val="18"/>
                <w:lang w:val="ru-RU"/>
              </w:rPr>
              <w:t xml:space="preserve">Стоимость на 1 января </w:t>
            </w:r>
            <w:r w:rsidRPr="00521670">
              <w:rPr>
                <w:b/>
                <w:bCs/>
                <w:szCs w:val="18"/>
                <w:lang w:val="ru-RU" w:eastAsia="en-GB"/>
              </w:rPr>
              <w:t>2024 г.</w:t>
            </w:r>
          </w:p>
        </w:tc>
        <w:tc>
          <w:tcPr>
            <w:tcW w:w="570" w:type="pct"/>
            <w:tcBorders>
              <w:top w:val="nil"/>
              <w:left w:val="nil"/>
              <w:bottom w:val="nil"/>
              <w:right w:val="nil"/>
            </w:tcBorders>
            <w:shd w:val="clear" w:color="auto" w:fill="auto"/>
            <w:noWrap/>
            <w:vAlign w:val="bottom"/>
            <w:hideMark/>
          </w:tcPr>
          <w:p w14:paraId="603DF6C8" w14:textId="77777777" w:rsidR="00DF251A" w:rsidRPr="00521670" w:rsidRDefault="00DF251A" w:rsidP="000F3970">
            <w:pPr>
              <w:pStyle w:val="Tabletext"/>
              <w:keepNext/>
              <w:jc w:val="right"/>
              <w:rPr>
                <w:b/>
                <w:bCs/>
                <w:szCs w:val="18"/>
                <w:lang w:val="ru-RU" w:eastAsia="en-GB"/>
              </w:rPr>
            </w:pPr>
            <w:r w:rsidRPr="00521670">
              <w:rPr>
                <w:b/>
                <w:bCs/>
                <w:szCs w:val="18"/>
                <w:lang w:val="ru-RU"/>
              </w:rPr>
              <w:t>126 402</w:t>
            </w:r>
          </w:p>
        </w:tc>
        <w:tc>
          <w:tcPr>
            <w:tcW w:w="570" w:type="pct"/>
            <w:tcBorders>
              <w:top w:val="nil"/>
              <w:left w:val="nil"/>
              <w:bottom w:val="nil"/>
              <w:right w:val="nil"/>
            </w:tcBorders>
            <w:shd w:val="clear" w:color="auto" w:fill="auto"/>
            <w:noWrap/>
            <w:vAlign w:val="bottom"/>
            <w:hideMark/>
          </w:tcPr>
          <w:p w14:paraId="44315270" w14:textId="77777777" w:rsidR="00DF251A" w:rsidRPr="00521670" w:rsidRDefault="00DF251A" w:rsidP="000F3970">
            <w:pPr>
              <w:pStyle w:val="Tabletext"/>
              <w:keepNext/>
              <w:jc w:val="right"/>
              <w:rPr>
                <w:b/>
                <w:bCs/>
                <w:szCs w:val="18"/>
                <w:lang w:val="ru-RU" w:eastAsia="en-GB"/>
              </w:rPr>
            </w:pPr>
            <w:r w:rsidRPr="00521670">
              <w:rPr>
                <w:b/>
                <w:bCs/>
                <w:szCs w:val="18"/>
                <w:lang w:val="ru-RU"/>
              </w:rPr>
              <w:t>1 121</w:t>
            </w:r>
          </w:p>
        </w:tc>
        <w:tc>
          <w:tcPr>
            <w:tcW w:w="570" w:type="pct"/>
            <w:tcBorders>
              <w:top w:val="nil"/>
              <w:left w:val="nil"/>
              <w:bottom w:val="nil"/>
              <w:right w:val="nil"/>
            </w:tcBorders>
            <w:shd w:val="clear" w:color="auto" w:fill="auto"/>
            <w:noWrap/>
            <w:vAlign w:val="bottom"/>
            <w:hideMark/>
          </w:tcPr>
          <w:p w14:paraId="33346F3A" w14:textId="77777777" w:rsidR="00DF251A" w:rsidRPr="00521670" w:rsidRDefault="00DF251A" w:rsidP="000F3970">
            <w:pPr>
              <w:pStyle w:val="Tabletext"/>
              <w:keepNext/>
              <w:jc w:val="right"/>
              <w:rPr>
                <w:b/>
                <w:bCs/>
                <w:szCs w:val="18"/>
                <w:lang w:val="ru-RU" w:eastAsia="en-GB"/>
              </w:rPr>
            </w:pPr>
            <w:r w:rsidRPr="00521670">
              <w:rPr>
                <w:b/>
                <w:bCs/>
                <w:szCs w:val="18"/>
                <w:lang w:val="ru-RU"/>
              </w:rPr>
              <w:t>1 339</w:t>
            </w:r>
          </w:p>
        </w:tc>
        <w:tc>
          <w:tcPr>
            <w:tcW w:w="570" w:type="pct"/>
            <w:tcBorders>
              <w:top w:val="nil"/>
              <w:left w:val="nil"/>
              <w:bottom w:val="nil"/>
              <w:right w:val="nil"/>
            </w:tcBorders>
            <w:shd w:val="clear" w:color="auto" w:fill="auto"/>
            <w:noWrap/>
            <w:vAlign w:val="bottom"/>
            <w:hideMark/>
          </w:tcPr>
          <w:p w14:paraId="7D9BC40E" w14:textId="77777777" w:rsidR="00DF251A" w:rsidRPr="00521670" w:rsidRDefault="00DF251A" w:rsidP="000F3970">
            <w:pPr>
              <w:pStyle w:val="Tabletext"/>
              <w:keepNext/>
              <w:jc w:val="right"/>
              <w:rPr>
                <w:b/>
                <w:bCs/>
                <w:szCs w:val="18"/>
                <w:lang w:val="ru-RU" w:eastAsia="en-GB"/>
              </w:rPr>
            </w:pPr>
            <w:r w:rsidRPr="00521670">
              <w:rPr>
                <w:b/>
                <w:bCs/>
                <w:szCs w:val="18"/>
                <w:lang w:val="ru-RU"/>
              </w:rPr>
              <w:t>6 735</w:t>
            </w:r>
          </w:p>
        </w:tc>
        <w:tc>
          <w:tcPr>
            <w:tcW w:w="588" w:type="pct"/>
            <w:tcBorders>
              <w:top w:val="nil"/>
              <w:left w:val="nil"/>
              <w:bottom w:val="nil"/>
              <w:right w:val="nil"/>
            </w:tcBorders>
            <w:shd w:val="clear" w:color="auto" w:fill="auto"/>
            <w:noWrap/>
            <w:vAlign w:val="bottom"/>
            <w:hideMark/>
          </w:tcPr>
          <w:p w14:paraId="5BBD51EF" w14:textId="77777777" w:rsidR="00DF251A" w:rsidRPr="00521670" w:rsidRDefault="00DF251A" w:rsidP="000F3970">
            <w:pPr>
              <w:pStyle w:val="Tabletext"/>
              <w:keepNext/>
              <w:jc w:val="right"/>
              <w:rPr>
                <w:b/>
                <w:bCs/>
                <w:szCs w:val="18"/>
                <w:lang w:val="ru-RU" w:eastAsia="en-GB"/>
              </w:rPr>
            </w:pPr>
            <w:r w:rsidRPr="00521670">
              <w:rPr>
                <w:b/>
                <w:bCs/>
                <w:szCs w:val="18"/>
                <w:lang w:val="ru-RU"/>
              </w:rPr>
              <w:t>296</w:t>
            </w:r>
          </w:p>
        </w:tc>
        <w:tc>
          <w:tcPr>
            <w:tcW w:w="570" w:type="pct"/>
            <w:tcBorders>
              <w:top w:val="nil"/>
              <w:left w:val="nil"/>
              <w:bottom w:val="nil"/>
              <w:right w:val="nil"/>
            </w:tcBorders>
            <w:shd w:val="clear" w:color="auto" w:fill="auto"/>
            <w:noWrap/>
            <w:vAlign w:val="bottom"/>
            <w:hideMark/>
          </w:tcPr>
          <w:p w14:paraId="08FD199D" w14:textId="77777777" w:rsidR="00DF251A" w:rsidRPr="00521670" w:rsidRDefault="00DF251A" w:rsidP="000F3970">
            <w:pPr>
              <w:pStyle w:val="Tabletext"/>
              <w:keepNext/>
              <w:jc w:val="right"/>
              <w:rPr>
                <w:b/>
                <w:bCs/>
                <w:szCs w:val="18"/>
                <w:lang w:val="ru-RU" w:eastAsia="en-GB"/>
              </w:rPr>
            </w:pPr>
            <w:r w:rsidRPr="00521670">
              <w:rPr>
                <w:b/>
                <w:bCs/>
                <w:szCs w:val="18"/>
                <w:lang w:val="ru-RU"/>
              </w:rPr>
              <w:t>135 893</w:t>
            </w:r>
          </w:p>
        </w:tc>
      </w:tr>
      <w:tr w:rsidR="00DF251A" w:rsidRPr="00521670" w14:paraId="5D5B9A1B" w14:textId="77777777" w:rsidTr="000F3970">
        <w:trPr>
          <w:trHeight w:val="300"/>
          <w:jc w:val="center"/>
        </w:trPr>
        <w:tc>
          <w:tcPr>
            <w:tcW w:w="1562" w:type="pct"/>
            <w:tcBorders>
              <w:top w:val="nil"/>
              <w:left w:val="nil"/>
              <w:bottom w:val="nil"/>
              <w:right w:val="nil"/>
            </w:tcBorders>
            <w:shd w:val="clear" w:color="auto" w:fill="auto"/>
            <w:vAlign w:val="center"/>
            <w:hideMark/>
          </w:tcPr>
          <w:p w14:paraId="6C016481" w14:textId="77777777" w:rsidR="00DF251A" w:rsidRPr="00521670" w:rsidRDefault="00DF251A" w:rsidP="000F3970">
            <w:pPr>
              <w:pStyle w:val="Tabletext"/>
              <w:keepNext/>
              <w:rPr>
                <w:szCs w:val="18"/>
                <w:lang w:val="ru-RU" w:eastAsia="en-GB"/>
              </w:rPr>
            </w:pPr>
            <w:r w:rsidRPr="00521670">
              <w:rPr>
                <w:rFonts w:cs="Calibri"/>
                <w:szCs w:val="18"/>
                <w:lang w:val="ru-RU"/>
              </w:rPr>
              <w:t>Дополнения</w:t>
            </w:r>
          </w:p>
        </w:tc>
        <w:tc>
          <w:tcPr>
            <w:tcW w:w="570" w:type="pct"/>
            <w:tcBorders>
              <w:top w:val="nil"/>
              <w:left w:val="nil"/>
              <w:bottom w:val="nil"/>
              <w:right w:val="nil"/>
            </w:tcBorders>
            <w:shd w:val="clear" w:color="auto" w:fill="auto"/>
            <w:noWrap/>
            <w:vAlign w:val="bottom"/>
            <w:hideMark/>
          </w:tcPr>
          <w:p w14:paraId="0C79A745" w14:textId="77777777" w:rsidR="00DF251A" w:rsidRPr="00521670" w:rsidRDefault="00DF251A" w:rsidP="000F3970">
            <w:pPr>
              <w:pStyle w:val="Tabletext"/>
              <w:keepNext/>
              <w:jc w:val="right"/>
              <w:rPr>
                <w:szCs w:val="18"/>
                <w:lang w:val="ru-RU" w:eastAsia="en-GB"/>
              </w:rPr>
            </w:pPr>
            <w:r w:rsidRPr="00521670">
              <w:rPr>
                <w:szCs w:val="18"/>
                <w:lang w:val="ru-RU"/>
              </w:rPr>
              <w:t>23</w:t>
            </w:r>
          </w:p>
        </w:tc>
        <w:tc>
          <w:tcPr>
            <w:tcW w:w="570" w:type="pct"/>
            <w:tcBorders>
              <w:top w:val="nil"/>
              <w:left w:val="nil"/>
              <w:bottom w:val="nil"/>
              <w:right w:val="nil"/>
            </w:tcBorders>
            <w:shd w:val="clear" w:color="auto" w:fill="auto"/>
            <w:noWrap/>
            <w:vAlign w:val="bottom"/>
            <w:hideMark/>
          </w:tcPr>
          <w:p w14:paraId="3212C607" w14:textId="77777777" w:rsidR="00DF251A" w:rsidRPr="00521670" w:rsidRDefault="00DF251A" w:rsidP="000F3970">
            <w:pPr>
              <w:pStyle w:val="Tabletext"/>
              <w:keepNext/>
              <w:jc w:val="right"/>
              <w:rPr>
                <w:szCs w:val="18"/>
                <w:lang w:val="ru-RU" w:eastAsia="en-GB"/>
              </w:rPr>
            </w:pPr>
            <w:r w:rsidRPr="00521670">
              <w:rPr>
                <w:szCs w:val="18"/>
                <w:lang w:val="ru-RU"/>
              </w:rPr>
              <w:t>−</w:t>
            </w:r>
          </w:p>
        </w:tc>
        <w:tc>
          <w:tcPr>
            <w:tcW w:w="570" w:type="pct"/>
            <w:tcBorders>
              <w:top w:val="nil"/>
              <w:left w:val="nil"/>
              <w:bottom w:val="nil"/>
              <w:right w:val="nil"/>
            </w:tcBorders>
            <w:shd w:val="clear" w:color="auto" w:fill="auto"/>
            <w:noWrap/>
            <w:vAlign w:val="bottom"/>
            <w:hideMark/>
          </w:tcPr>
          <w:p w14:paraId="1543CAB8" w14:textId="77777777" w:rsidR="00DF251A" w:rsidRPr="00521670" w:rsidRDefault="00DF251A" w:rsidP="000F3970">
            <w:pPr>
              <w:pStyle w:val="Tabletext"/>
              <w:keepNext/>
              <w:jc w:val="right"/>
              <w:rPr>
                <w:szCs w:val="18"/>
                <w:lang w:val="ru-RU" w:eastAsia="en-GB"/>
              </w:rPr>
            </w:pPr>
            <w:r w:rsidRPr="00521670">
              <w:rPr>
                <w:szCs w:val="18"/>
                <w:lang w:val="ru-RU" w:eastAsia="en-GB"/>
              </w:rPr>
              <w:t>−</w:t>
            </w:r>
          </w:p>
        </w:tc>
        <w:tc>
          <w:tcPr>
            <w:tcW w:w="570" w:type="pct"/>
            <w:tcBorders>
              <w:top w:val="nil"/>
              <w:left w:val="nil"/>
              <w:bottom w:val="nil"/>
              <w:right w:val="nil"/>
            </w:tcBorders>
            <w:shd w:val="clear" w:color="auto" w:fill="auto"/>
            <w:noWrap/>
            <w:vAlign w:val="bottom"/>
            <w:hideMark/>
          </w:tcPr>
          <w:p w14:paraId="64C4B5F4" w14:textId="77777777" w:rsidR="00DF251A" w:rsidRPr="00521670" w:rsidRDefault="00DF251A" w:rsidP="000F3970">
            <w:pPr>
              <w:pStyle w:val="Tabletext"/>
              <w:keepNext/>
              <w:jc w:val="right"/>
              <w:rPr>
                <w:szCs w:val="18"/>
                <w:lang w:val="ru-RU" w:eastAsia="en-GB"/>
              </w:rPr>
            </w:pPr>
            <w:r w:rsidRPr="00521670">
              <w:rPr>
                <w:szCs w:val="18"/>
                <w:lang w:val="ru-RU"/>
              </w:rPr>
              <w:t>46</w:t>
            </w:r>
          </w:p>
        </w:tc>
        <w:tc>
          <w:tcPr>
            <w:tcW w:w="588" w:type="pct"/>
            <w:tcBorders>
              <w:top w:val="nil"/>
              <w:left w:val="nil"/>
              <w:bottom w:val="nil"/>
              <w:right w:val="nil"/>
            </w:tcBorders>
            <w:shd w:val="clear" w:color="auto" w:fill="auto"/>
            <w:noWrap/>
            <w:vAlign w:val="bottom"/>
            <w:hideMark/>
          </w:tcPr>
          <w:p w14:paraId="69854BEC" w14:textId="77777777" w:rsidR="00DF251A" w:rsidRPr="00521670" w:rsidRDefault="00DF251A" w:rsidP="000F3970">
            <w:pPr>
              <w:pStyle w:val="Tabletext"/>
              <w:keepNext/>
              <w:jc w:val="right"/>
              <w:rPr>
                <w:szCs w:val="18"/>
                <w:lang w:val="ru-RU" w:eastAsia="en-GB"/>
              </w:rPr>
            </w:pPr>
            <w:r w:rsidRPr="00521670">
              <w:rPr>
                <w:szCs w:val="18"/>
                <w:lang w:val="ru-RU"/>
              </w:rPr>
              <w:t>−</w:t>
            </w:r>
          </w:p>
        </w:tc>
        <w:tc>
          <w:tcPr>
            <w:tcW w:w="570" w:type="pct"/>
            <w:tcBorders>
              <w:top w:val="nil"/>
              <w:left w:val="nil"/>
              <w:bottom w:val="nil"/>
              <w:right w:val="nil"/>
            </w:tcBorders>
            <w:shd w:val="clear" w:color="auto" w:fill="auto"/>
            <w:noWrap/>
            <w:vAlign w:val="bottom"/>
            <w:hideMark/>
          </w:tcPr>
          <w:p w14:paraId="39BE875C" w14:textId="77777777" w:rsidR="00DF251A" w:rsidRPr="00521670" w:rsidRDefault="00DF251A" w:rsidP="000F3970">
            <w:pPr>
              <w:pStyle w:val="Tabletext"/>
              <w:keepNext/>
              <w:jc w:val="right"/>
              <w:rPr>
                <w:b/>
                <w:bCs/>
                <w:szCs w:val="18"/>
                <w:lang w:val="ru-RU" w:eastAsia="en-GB"/>
              </w:rPr>
            </w:pPr>
            <w:r w:rsidRPr="00521670">
              <w:rPr>
                <w:b/>
                <w:bCs/>
                <w:szCs w:val="18"/>
                <w:lang w:val="ru-RU"/>
              </w:rPr>
              <w:t>69</w:t>
            </w:r>
          </w:p>
        </w:tc>
      </w:tr>
      <w:tr w:rsidR="00DF251A" w:rsidRPr="00521670" w14:paraId="06AFE53A" w14:textId="77777777" w:rsidTr="000F3970">
        <w:trPr>
          <w:trHeight w:val="300"/>
          <w:jc w:val="center"/>
        </w:trPr>
        <w:tc>
          <w:tcPr>
            <w:tcW w:w="1562" w:type="pct"/>
            <w:tcBorders>
              <w:top w:val="nil"/>
              <w:left w:val="nil"/>
              <w:bottom w:val="nil"/>
              <w:right w:val="nil"/>
            </w:tcBorders>
            <w:shd w:val="clear" w:color="auto" w:fill="auto"/>
            <w:vAlign w:val="center"/>
            <w:hideMark/>
          </w:tcPr>
          <w:p w14:paraId="1E33D4CD" w14:textId="77777777" w:rsidR="00DF251A" w:rsidRPr="00521670" w:rsidRDefault="00DF251A" w:rsidP="000F3970">
            <w:pPr>
              <w:pStyle w:val="Tabletext"/>
              <w:keepNext/>
              <w:rPr>
                <w:szCs w:val="18"/>
                <w:lang w:val="ru-RU" w:eastAsia="en-GB"/>
              </w:rPr>
            </w:pPr>
            <w:r w:rsidRPr="00521670">
              <w:rPr>
                <w:rFonts w:cs="Calibri"/>
                <w:szCs w:val="18"/>
                <w:lang w:val="ru-RU"/>
              </w:rPr>
              <w:t>Выбытие</w:t>
            </w:r>
          </w:p>
        </w:tc>
        <w:tc>
          <w:tcPr>
            <w:tcW w:w="570" w:type="pct"/>
            <w:tcBorders>
              <w:top w:val="nil"/>
              <w:left w:val="nil"/>
              <w:bottom w:val="nil"/>
              <w:right w:val="nil"/>
            </w:tcBorders>
            <w:shd w:val="clear" w:color="auto" w:fill="auto"/>
            <w:noWrap/>
            <w:vAlign w:val="bottom"/>
            <w:hideMark/>
          </w:tcPr>
          <w:p w14:paraId="457791E4" w14:textId="77777777" w:rsidR="00DF251A" w:rsidRPr="00521670" w:rsidRDefault="00DF251A" w:rsidP="000F3970">
            <w:pPr>
              <w:pStyle w:val="Tabletext"/>
              <w:keepNext/>
              <w:jc w:val="right"/>
              <w:rPr>
                <w:szCs w:val="18"/>
                <w:lang w:val="ru-RU" w:eastAsia="en-GB"/>
              </w:rPr>
            </w:pPr>
            <w:r w:rsidRPr="00521670">
              <w:rPr>
                <w:szCs w:val="18"/>
                <w:lang w:val="ru-RU" w:eastAsia="en-GB"/>
              </w:rPr>
              <w:t>−</w:t>
            </w:r>
          </w:p>
        </w:tc>
        <w:tc>
          <w:tcPr>
            <w:tcW w:w="570" w:type="pct"/>
            <w:tcBorders>
              <w:top w:val="nil"/>
              <w:left w:val="nil"/>
              <w:bottom w:val="nil"/>
              <w:right w:val="nil"/>
            </w:tcBorders>
            <w:shd w:val="clear" w:color="auto" w:fill="auto"/>
            <w:noWrap/>
            <w:vAlign w:val="bottom"/>
            <w:hideMark/>
          </w:tcPr>
          <w:p w14:paraId="1724B45E" w14:textId="77777777" w:rsidR="00DF251A" w:rsidRPr="00521670" w:rsidRDefault="00DF251A" w:rsidP="000F3970">
            <w:pPr>
              <w:pStyle w:val="Tabletext"/>
              <w:keepNext/>
              <w:jc w:val="right"/>
              <w:rPr>
                <w:szCs w:val="18"/>
                <w:lang w:val="ru-RU" w:eastAsia="en-GB"/>
              </w:rPr>
            </w:pPr>
            <w:r w:rsidRPr="00521670">
              <w:rPr>
                <w:szCs w:val="18"/>
                <w:lang w:val="ru-RU"/>
              </w:rPr>
              <w:t>(84)</w:t>
            </w:r>
          </w:p>
        </w:tc>
        <w:tc>
          <w:tcPr>
            <w:tcW w:w="570" w:type="pct"/>
            <w:tcBorders>
              <w:top w:val="nil"/>
              <w:left w:val="nil"/>
              <w:bottom w:val="nil"/>
              <w:right w:val="nil"/>
            </w:tcBorders>
            <w:shd w:val="clear" w:color="auto" w:fill="auto"/>
            <w:noWrap/>
            <w:vAlign w:val="bottom"/>
            <w:hideMark/>
          </w:tcPr>
          <w:p w14:paraId="76283A22" w14:textId="77777777" w:rsidR="00DF251A" w:rsidRPr="00521670" w:rsidRDefault="00DF251A" w:rsidP="000F3970">
            <w:pPr>
              <w:pStyle w:val="Tabletext"/>
              <w:keepNext/>
              <w:jc w:val="right"/>
              <w:rPr>
                <w:szCs w:val="18"/>
                <w:lang w:val="ru-RU" w:eastAsia="en-GB"/>
              </w:rPr>
            </w:pPr>
            <w:r w:rsidRPr="00521670">
              <w:rPr>
                <w:szCs w:val="18"/>
                <w:lang w:val="ru-RU"/>
              </w:rPr>
              <w:t>(13)</w:t>
            </w:r>
          </w:p>
        </w:tc>
        <w:tc>
          <w:tcPr>
            <w:tcW w:w="570" w:type="pct"/>
            <w:tcBorders>
              <w:top w:val="nil"/>
              <w:left w:val="nil"/>
              <w:bottom w:val="nil"/>
              <w:right w:val="nil"/>
            </w:tcBorders>
            <w:shd w:val="clear" w:color="auto" w:fill="auto"/>
            <w:noWrap/>
            <w:vAlign w:val="bottom"/>
            <w:hideMark/>
          </w:tcPr>
          <w:p w14:paraId="004B2F34" w14:textId="77777777" w:rsidR="00DF251A" w:rsidRPr="00521670" w:rsidRDefault="00DF251A" w:rsidP="000F3970">
            <w:pPr>
              <w:pStyle w:val="Tabletext"/>
              <w:keepNext/>
              <w:jc w:val="right"/>
              <w:rPr>
                <w:szCs w:val="18"/>
                <w:lang w:val="ru-RU" w:eastAsia="en-GB"/>
              </w:rPr>
            </w:pPr>
            <w:r w:rsidRPr="00521670">
              <w:rPr>
                <w:szCs w:val="18"/>
                <w:lang w:val="ru-RU"/>
              </w:rPr>
              <w:t>(113)</w:t>
            </w:r>
          </w:p>
        </w:tc>
        <w:tc>
          <w:tcPr>
            <w:tcW w:w="588" w:type="pct"/>
            <w:tcBorders>
              <w:top w:val="nil"/>
              <w:left w:val="nil"/>
              <w:bottom w:val="nil"/>
              <w:right w:val="nil"/>
            </w:tcBorders>
            <w:shd w:val="clear" w:color="auto" w:fill="auto"/>
            <w:noWrap/>
            <w:vAlign w:val="bottom"/>
            <w:hideMark/>
          </w:tcPr>
          <w:p w14:paraId="5F5E9350" w14:textId="77777777" w:rsidR="00DF251A" w:rsidRPr="00521670" w:rsidRDefault="00DF251A" w:rsidP="000F3970">
            <w:pPr>
              <w:pStyle w:val="Tabletext"/>
              <w:keepNext/>
              <w:jc w:val="right"/>
              <w:rPr>
                <w:szCs w:val="18"/>
                <w:lang w:val="ru-RU" w:eastAsia="en-GB"/>
              </w:rPr>
            </w:pPr>
            <w:r w:rsidRPr="00521670">
              <w:rPr>
                <w:szCs w:val="18"/>
                <w:lang w:val="ru-RU"/>
              </w:rPr>
              <w:t>−</w:t>
            </w:r>
          </w:p>
        </w:tc>
        <w:tc>
          <w:tcPr>
            <w:tcW w:w="570" w:type="pct"/>
            <w:tcBorders>
              <w:top w:val="nil"/>
              <w:left w:val="nil"/>
              <w:bottom w:val="nil"/>
              <w:right w:val="nil"/>
            </w:tcBorders>
            <w:shd w:val="clear" w:color="auto" w:fill="auto"/>
            <w:noWrap/>
            <w:vAlign w:val="bottom"/>
            <w:hideMark/>
          </w:tcPr>
          <w:p w14:paraId="4A465175" w14:textId="77777777" w:rsidR="00DF251A" w:rsidRPr="00521670" w:rsidRDefault="00DF251A" w:rsidP="000F3970">
            <w:pPr>
              <w:pStyle w:val="Tabletext"/>
              <w:keepNext/>
              <w:jc w:val="right"/>
              <w:rPr>
                <w:b/>
                <w:bCs/>
                <w:szCs w:val="18"/>
                <w:lang w:val="ru-RU" w:eastAsia="en-GB"/>
              </w:rPr>
            </w:pPr>
            <w:r w:rsidRPr="00521670">
              <w:rPr>
                <w:b/>
                <w:bCs/>
                <w:szCs w:val="18"/>
                <w:lang w:val="ru-RU"/>
              </w:rPr>
              <w:t>(210)</w:t>
            </w:r>
          </w:p>
        </w:tc>
      </w:tr>
      <w:tr w:rsidR="00DF251A" w:rsidRPr="00521670" w14:paraId="011C87BD" w14:textId="77777777" w:rsidTr="000F3970">
        <w:trPr>
          <w:trHeight w:val="300"/>
          <w:jc w:val="center"/>
        </w:trPr>
        <w:tc>
          <w:tcPr>
            <w:tcW w:w="1562" w:type="pct"/>
            <w:tcBorders>
              <w:top w:val="nil"/>
              <w:left w:val="nil"/>
              <w:bottom w:val="nil"/>
              <w:right w:val="nil"/>
            </w:tcBorders>
            <w:shd w:val="clear" w:color="auto" w:fill="auto"/>
            <w:vAlign w:val="center"/>
            <w:hideMark/>
          </w:tcPr>
          <w:p w14:paraId="24F98EE1" w14:textId="77777777" w:rsidR="00DF251A" w:rsidRPr="00521670" w:rsidRDefault="00DF251A" w:rsidP="000F3970">
            <w:pPr>
              <w:pStyle w:val="Tabletext"/>
              <w:keepNext/>
              <w:rPr>
                <w:szCs w:val="18"/>
                <w:lang w:val="ru-RU" w:eastAsia="en-GB"/>
              </w:rPr>
            </w:pPr>
            <w:r w:rsidRPr="00521670">
              <w:rPr>
                <w:szCs w:val="18"/>
                <w:lang w:val="ru-RU"/>
              </w:rPr>
              <w:t>Переводы в другие категории</w:t>
            </w:r>
          </w:p>
        </w:tc>
        <w:tc>
          <w:tcPr>
            <w:tcW w:w="570" w:type="pct"/>
            <w:tcBorders>
              <w:top w:val="nil"/>
              <w:left w:val="nil"/>
              <w:bottom w:val="nil"/>
              <w:right w:val="nil"/>
            </w:tcBorders>
            <w:shd w:val="clear" w:color="auto" w:fill="auto"/>
            <w:noWrap/>
            <w:vAlign w:val="bottom"/>
            <w:hideMark/>
          </w:tcPr>
          <w:p w14:paraId="14EB190B" w14:textId="77777777" w:rsidR="00DF251A" w:rsidRPr="00521670" w:rsidRDefault="00DF251A" w:rsidP="000F3970">
            <w:pPr>
              <w:pStyle w:val="Tabletext"/>
              <w:keepNext/>
              <w:jc w:val="right"/>
              <w:rPr>
                <w:szCs w:val="18"/>
                <w:lang w:val="ru-RU" w:eastAsia="en-GB"/>
              </w:rPr>
            </w:pPr>
            <w:r w:rsidRPr="00521670">
              <w:rPr>
                <w:szCs w:val="18"/>
                <w:lang w:val="ru-RU"/>
              </w:rPr>
              <w:t>1 558</w:t>
            </w:r>
          </w:p>
        </w:tc>
        <w:tc>
          <w:tcPr>
            <w:tcW w:w="570" w:type="pct"/>
            <w:tcBorders>
              <w:top w:val="nil"/>
              <w:left w:val="nil"/>
              <w:bottom w:val="nil"/>
              <w:right w:val="nil"/>
            </w:tcBorders>
            <w:shd w:val="clear" w:color="auto" w:fill="auto"/>
            <w:noWrap/>
            <w:vAlign w:val="bottom"/>
            <w:hideMark/>
          </w:tcPr>
          <w:p w14:paraId="1A2C8388" w14:textId="77777777" w:rsidR="00DF251A" w:rsidRPr="00521670" w:rsidRDefault="00DF251A" w:rsidP="000F3970">
            <w:pPr>
              <w:pStyle w:val="Tabletext"/>
              <w:keepNext/>
              <w:jc w:val="right"/>
              <w:rPr>
                <w:szCs w:val="18"/>
                <w:lang w:val="ru-RU" w:eastAsia="en-GB"/>
              </w:rPr>
            </w:pPr>
            <w:r w:rsidRPr="00521670">
              <w:rPr>
                <w:szCs w:val="18"/>
                <w:lang w:val="ru-RU"/>
              </w:rPr>
              <w:t>30</w:t>
            </w:r>
          </w:p>
        </w:tc>
        <w:tc>
          <w:tcPr>
            <w:tcW w:w="570" w:type="pct"/>
            <w:tcBorders>
              <w:top w:val="nil"/>
              <w:left w:val="nil"/>
              <w:bottom w:val="nil"/>
              <w:right w:val="nil"/>
            </w:tcBorders>
            <w:shd w:val="clear" w:color="auto" w:fill="auto"/>
            <w:noWrap/>
            <w:vAlign w:val="bottom"/>
            <w:hideMark/>
          </w:tcPr>
          <w:p w14:paraId="38BEA54A" w14:textId="77777777" w:rsidR="00DF251A" w:rsidRPr="00521670" w:rsidRDefault="00DF251A" w:rsidP="000F3970">
            <w:pPr>
              <w:pStyle w:val="Tabletext"/>
              <w:keepNext/>
              <w:jc w:val="right"/>
              <w:rPr>
                <w:szCs w:val="18"/>
                <w:lang w:val="ru-RU" w:eastAsia="en-GB"/>
              </w:rPr>
            </w:pPr>
            <w:r w:rsidRPr="00521670">
              <w:rPr>
                <w:szCs w:val="18"/>
                <w:lang w:val="ru-RU"/>
              </w:rPr>
              <w:t>−</w:t>
            </w:r>
          </w:p>
        </w:tc>
        <w:tc>
          <w:tcPr>
            <w:tcW w:w="570" w:type="pct"/>
            <w:tcBorders>
              <w:top w:val="nil"/>
              <w:left w:val="nil"/>
              <w:bottom w:val="nil"/>
              <w:right w:val="nil"/>
            </w:tcBorders>
            <w:shd w:val="clear" w:color="auto" w:fill="auto"/>
            <w:noWrap/>
            <w:vAlign w:val="bottom"/>
            <w:hideMark/>
          </w:tcPr>
          <w:p w14:paraId="04D7DA28" w14:textId="77777777" w:rsidR="00DF251A" w:rsidRPr="00521670" w:rsidRDefault="00DF251A" w:rsidP="000F3970">
            <w:pPr>
              <w:pStyle w:val="Tabletext"/>
              <w:keepNext/>
              <w:jc w:val="right"/>
              <w:rPr>
                <w:szCs w:val="18"/>
                <w:lang w:val="ru-RU" w:eastAsia="en-GB"/>
              </w:rPr>
            </w:pPr>
            <w:r w:rsidRPr="00521670">
              <w:rPr>
                <w:szCs w:val="18"/>
                <w:lang w:val="ru-RU" w:eastAsia="en-GB"/>
              </w:rPr>
              <w:t>−</w:t>
            </w:r>
          </w:p>
        </w:tc>
        <w:tc>
          <w:tcPr>
            <w:tcW w:w="588" w:type="pct"/>
            <w:tcBorders>
              <w:top w:val="nil"/>
              <w:left w:val="nil"/>
              <w:bottom w:val="nil"/>
              <w:right w:val="nil"/>
            </w:tcBorders>
            <w:shd w:val="clear" w:color="auto" w:fill="auto"/>
            <w:noWrap/>
            <w:vAlign w:val="bottom"/>
            <w:hideMark/>
          </w:tcPr>
          <w:p w14:paraId="67D8F4F0" w14:textId="77777777" w:rsidR="00DF251A" w:rsidRPr="00521670" w:rsidRDefault="00DF251A" w:rsidP="000F3970">
            <w:pPr>
              <w:pStyle w:val="Tabletext"/>
              <w:keepNext/>
              <w:jc w:val="right"/>
              <w:rPr>
                <w:szCs w:val="18"/>
                <w:lang w:val="ru-RU" w:eastAsia="en-GB"/>
              </w:rPr>
            </w:pPr>
            <w:r w:rsidRPr="00521670">
              <w:rPr>
                <w:szCs w:val="18"/>
                <w:lang w:val="ru-RU" w:eastAsia="en-GB"/>
              </w:rPr>
              <w:t>−</w:t>
            </w:r>
          </w:p>
        </w:tc>
        <w:tc>
          <w:tcPr>
            <w:tcW w:w="570" w:type="pct"/>
            <w:tcBorders>
              <w:top w:val="nil"/>
              <w:left w:val="nil"/>
              <w:bottom w:val="nil"/>
              <w:right w:val="nil"/>
            </w:tcBorders>
            <w:shd w:val="clear" w:color="auto" w:fill="auto"/>
            <w:noWrap/>
            <w:vAlign w:val="bottom"/>
            <w:hideMark/>
          </w:tcPr>
          <w:p w14:paraId="0939952D" w14:textId="77777777" w:rsidR="00DF251A" w:rsidRPr="00521670" w:rsidRDefault="00DF251A" w:rsidP="000F3970">
            <w:pPr>
              <w:pStyle w:val="Tabletext"/>
              <w:keepNext/>
              <w:jc w:val="right"/>
              <w:rPr>
                <w:b/>
                <w:bCs/>
                <w:szCs w:val="18"/>
                <w:lang w:val="ru-RU" w:eastAsia="en-GB"/>
              </w:rPr>
            </w:pPr>
            <w:r w:rsidRPr="00521670">
              <w:rPr>
                <w:b/>
                <w:bCs/>
                <w:szCs w:val="18"/>
                <w:lang w:val="ru-RU"/>
              </w:rPr>
              <w:t>1 588</w:t>
            </w:r>
          </w:p>
        </w:tc>
      </w:tr>
      <w:tr w:rsidR="00DF251A" w:rsidRPr="00521670" w14:paraId="04A945BC" w14:textId="77777777" w:rsidTr="000F3970">
        <w:trPr>
          <w:trHeight w:val="300"/>
          <w:jc w:val="center"/>
        </w:trPr>
        <w:tc>
          <w:tcPr>
            <w:tcW w:w="1562" w:type="pct"/>
            <w:tcBorders>
              <w:top w:val="nil"/>
              <w:left w:val="nil"/>
              <w:bottom w:val="nil"/>
              <w:right w:val="nil"/>
            </w:tcBorders>
            <w:shd w:val="clear" w:color="auto" w:fill="auto"/>
            <w:vAlign w:val="center"/>
            <w:hideMark/>
          </w:tcPr>
          <w:p w14:paraId="3E900D77" w14:textId="77777777" w:rsidR="00DF251A" w:rsidRPr="00521670" w:rsidRDefault="00DF251A" w:rsidP="000F3970">
            <w:pPr>
              <w:pStyle w:val="Tabletext"/>
              <w:keepNext/>
              <w:rPr>
                <w:b/>
                <w:bCs/>
                <w:szCs w:val="18"/>
                <w:lang w:val="ru-RU" w:eastAsia="en-GB"/>
              </w:rPr>
            </w:pPr>
            <w:r w:rsidRPr="00521670">
              <w:rPr>
                <w:rFonts w:cs="Calibri"/>
                <w:b/>
                <w:bCs/>
                <w:szCs w:val="18"/>
                <w:lang w:val="ru-RU"/>
              </w:rPr>
              <w:t xml:space="preserve">Стоимость на 31 декабря </w:t>
            </w:r>
            <w:r w:rsidRPr="00521670">
              <w:rPr>
                <w:b/>
                <w:bCs/>
                <w:szCs w:val="18"/>
                <w:lang w:val="ru-RU" w:eastAsia="en-GB"/>
              </w:rPr>
              <w:t>2024 г.</w:t>
            </w:r>
          </w:p>
        </w:tc>
        <w:tc>
          <w:tcPr>
            <w:tcW w:w="570" w:type="pct"/>
            <w:tcBorders>
              <w:top w:val="nil"/>
              <w:left w:val="nil"/>
              <w:bottom w:val="nil"/>
              <w:right w:val="nil"/>
            </w:tcBorders>
            <w:shd w:val="clear" w:color="auto" w:fill="auto"/>
            <w:noWrap/>
            <w:vAlign w:val="bottom"/>
            <w:hideMark/>
          </w:tcPr>
          <w:p w14:paraId="376163BA" w14:textId="77777777" w:rsidR="00DF251A" w:rsidRPr="00521670" w:rsidRDefault="00DF251A" w:rsidP="000F3970">
            <w:pPr>
              <w:pStyle w:val="Tabletext"/>
              <w:keepNext/>
              <w:jc w:val="right"/>
              <w:rPr>
                <w:b/>
                <w:bCs/>
                <w:szCs w:val="18"/>
                <w:lang w:val="ru-RU" w:eastAsia="en-GB"/>
              </w:rPr>
            </w:pPr>
            <w:r w:rsidRPr="00521670">
              <w:rPr>
                <w:b/>
                <w:bCs/>
                <w:szCs w:val="18"/>
                <w:lang w:val="ru-RU"/>
              </w:rPr>
              <w:t>127 983</w:t>
            </w:r>
          </w:p>
        </w:tc>
        <w:tc>
          <w:tcPr>
            <w:tcW w:w="570" w:type="pct"/>
            <w:tcBorders>
              <w:top w:val="nil"/>
              <w:left w:val="nil"/>
              <w:bottom w:val="nil"/>
              <w:right w:val="nil"/>
            </w:tcBorders>
            <w:shd w:val="clear" w:color="auto" w:fill="auto"/>
            <w:noWrap/>
            <w:vAlign w:val="bottom"/>
            <w:hideMark/>
          </w:tcPr>
          <w:p w14:paraId="2E3B9F2D" w14:textId="77777777" w:rsidR="00DF251A" w:rsidRPr="00521670" w:rsidRDefault="00DF251A" w:rsidP="000F3970">
            <w:pPr>
              <w:pStyle w:val="Tabletext"/>
              <w:keepNext/>
              <w:jc w:val="right"/>
              <w:rPr>
                <w:b/>
                <w:bCs/>
                <w:szCs w:val="18"/>
                <w:lang w:val="ru-RU" w:eastAsia="en-GB"/>
              </w:rPr>
            </w:pPr>
            <w:r w:rsidRPr="00521670">
              <w:rPr>
                <w:b/>
                <w:bCs/>
                <w:szCs w:val="18"/>
                <w:lang w:val="ru-RU"/>
              </w:rPr>
              <w:t>1 067</w:t>
            </w:r>
          </w:p>
        </w:tc>
        <w:tc>
          <w:tcPr>
            <w:tcW w:w="570" w:type="pct"/>
            <w:tcBorders>
              <w:top w:val="nil"/>
              <w:left w:val="nil"/>
              <w:bottom w:val="nil"/>
              <w:right w:val="nil"/>
            </w:tcBorders>
            <w:shd w:val="clear" w:color="auto" w:fill="auto"/>
            <w:noWrap/>
            <w:vAlign w:val="bottom"/>
            <w:hideMark/>
          </w:tcPr>
          <w:p w14:paraId="40565B90" w14:textId="77777777" w:rsidR="00DF251A" w:rsidRPr="00521670" w:rsidRDefault="00DF251A" w:rsidP="000F3970">
            <w:pPr>
              <w:pStyle w:val="Tabletext"/>
              <w:keepNext/>
              <w:jc w:val="right"/>
              <w:rPr>
                <w:b/>
                <w:bCs/>
                <w:szCs w:val="18"/>
                <w:lang w:val="ru-RU" w:eastAsia="en-GB"/>
              </w:rPr>
            </w:pPr>
            <w:r w:rsidRPr="00521670">
              <w:rPr>
                <w:b/>
                <w:bCs/>
                <w:szCs w:val="18"/>
                <w:lang w:val="ru-RU"/>
              </w:rPr>
              <w:t>1 326</w:t>
            </w:r>
          </w:p>
        </w:tc>
        <w:tc>
          <w:tcPr>
            <w:tcW w:w="570" w:type="pct"/>
            <w:tcBorders>
              <w:top w:val="nil"/>
              <w:left w:val="nil"/>
              <w:bottom w:val="nil"/>
              <w:right w:val="nil"/>
            </w:tcBorders>
            <w:shd w:val="clear" w:color="auto" w:fill="auto"/>
            <w:noWrap/>
            <w:vAlign w:val="bottom"/>
            <w:hideMark/>
          </w:tcPr>
          <w:p w14:paraId="4C037176" w14:textId="77777777" w:rsidR="00DF251A" w:rsidRPr="00521670" w:rsidRDefault="00DF251A" w:rsidP="000F3970">
            <w:pPr>
              <w:pStyle w:val="Tabletext"/>
              <w:keepNext/>
              <w:jc w:val="right"/>
              <w:rPr>
                <w:b/>
                <w:bCs/>
                <w:szCs w:val="18"/>
                <w:lang w:val="ru-RU" w:eastAsia="en-GB"/>
              </w:rPr>
            </w:pPr>
            <w:r w:rsidRPr="00521670">
              <w:rPr>
                <w:b/>
                <w:bCs/>
                <w:szCs w:val="18"/>
                <w:lang w:val="ru-RU"/>
              </w:rPr>
              <w:t>6 668</w:t>
            </w:r>
          </w:p>
        </w:tc>
        <w:tc>
          <w:tcPr>
            <w:tcW w:w="588" w:type="pct"/>
            <w:tcBorders>
              <w:top w:val="nil"/>
              <w:left w:val="nil"/>
              <w:bottom w:val="nil"/>
              <w:right w:val="nil"/>
            </w:tcBorders>
            <w:shd w:val="clear" w:color="auto" w:fill="auto"/>
            <w:noWrap/>
            <w:vAlign w:val="bottom"/>
            <w:hideMark/>
          </w:tcPr>
          <w:p w14:paraId="3B24A704" w14:textId="77777777" w:rsidR="00DF251A" w:rsidRPr="00521670" w:rsidRDefault="00DF251A" w:rsidP="000F3970">
            <w:pPr>
              <w:pStyle w:val="Tabletext"/>
              <w:keepNext/>
              <w:jc w:val="right"/>
              <w:rPr>
                <w:b/>
                <w:bCs/>
                <w:szCs w:val="18"/>
                <w:lang w:val="ru-RU" w:eastAsia="en-GB"/>
              </w:rPr>
            </w:pPr>
            <w:r w:rsidRPr="00521670">
              <w:rPr>
                <w:b/>
                <w:bCs/>
                <w:szCs w:val="18"/>
                <w:lang w:val="ru-RU"/>
              </w:rPr>
              <w:t>296</w:t>
            </w:r>
          </w:p>
        </w:tc>
        <w:tc>
          <w:tcPr>
            <w:tcW w:w="570" w:type="pct"/>
            <w:tcBorders>
              <w:top w:val="nil"/>
              <w:left w:val="nil"/>
              <w:bottom w:val="nil"/>
              <w:right w:val="nil"/>
            </w:tcBorders>
            <w:shd w:val="clear" w:color="auto" w:fill="auto"/>
            <w:noWrap/>
            <w:vAlign w:val="bottom"/>
            <w:hideMark/>
          </w:tcPr>
          <w:p w14:paraId="0828148E" w14:textId="77777777" w:rsidR="00DF251A" w:rsidRPr="00521670" w:rsidRDefault="00DF251A" w:rsidP="000F3970">
            <w:pPr>
              <w:pStyle w:val="Tabletext"/>
              <w:keepNext/>
              <w:jc w:val="right"/>
              <w:rPr>
                <w:b/>
                <w:bCs/>
                <w:szCs w:val="18"/>
                <w:lang w:val="ru-RU" w:eastAsia="en-GB"/>
              </w:rPr>
            </w:pPr>
            <w:r w:rsidRPr="00521670">
              <w:rPr>
                <w:b/>
                <w:bCs/>
                <w:szCs w:val="18"/>
                <w:lang w:val="ru-RU"/>
              </w:rPr>
              <w:t>137 340</w:t>
            </w:r>
          </w:p>
        </w:tc>
      </w:tr>
      <w:tr w:rsidR="00DF251A" w:rsidRPr="00521670" w14:paraId="0F595762" w14:textId="77777777" w:rsidTr="000F3970">
        <w:trPr>
          <w:trHeight w:val="120"/>
          <w:jc w:val="center"/>
        </w:trPr>
        <w:tc>
          <w:tcPr>
            <w:tcW w:w="1562" w:type="pct"/>
            <w:tcBorders>
              <w:top w:val="nil"/>
              <w:left w:val="nil"/>
              <w:bottom w:val="nil"/>
              <w:right w:val="nil"/>
            </w:tcBorders>
            <w:shd w:val="clear" w:color="auto" w:fill="auto"/>
            <w:vAlign w:val="center"/>
            <w:hideMark/>
          </w:tcPr>
          <w:p w14:paraId="6CE4EEF9" w14:textId="77777777" w:rsidR="00DF251A" w:rsidRPr="00521670" w:rsidRDefault="00DF251A" w:rsidP="000F3970">
            <w:pPr>
              <w:pStyle w:val="Tabletext"/>
              <w:keepNext/>
              <w:spacing w:before="0" w:after="0"/>
              <w:rPr>
                <w:szCs w:val="18"/>
                <w:lang w:val="ru-RU" w:eastAsia="en-GB"/>
              </w:rPr>
            </w:pPr>
          </w:p>
        </w:tc>
        <w:tc>
          <w:tcPr>
            <w:tcW w:w="570" w:type="pct"/>
            <w:tcBorders>
              <w:top w:val="nil"/>
              <w:left w:val="nil"/>
              <w:bottom w:val="nil"/>
              <w:right w:val="nil"/>
            </w:tcBorders>
            <w:shd w:val="clear" w:color="auto" w:fill="auto"/>
            <w:noWrap/>
            <w:vAlign w:val="bottom"/>
            <w:hideMark/>
          </w:tcPr>
          <w:p w14:paraId="25B0B0B5"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0677D91D"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3ED0DA58"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6D552D45" w14:textId="77777777" w:rsidR="00DF251A" w:rsidRPr="00521670" w:rsidRDefault="00DF251A" w:rsidP="000F3970">
            <w:pPr>
              <w:pStyle w:val="Tabletext"/>
              <w:keepNext/>
              <w:spacing w:before="0" w:after="0"/>
              <w:jc w:val="right"/>
              <w:rPr>
                <w:szCs w:val="18"/>
                <w:lang w:val="ru-RU" w:eastAsia="en-GB"/>
              </w:rPr>
            </w:pPr>
          </w:p>
        </w:tc>
        <w:tc>
          <w:tcPr>
            <w:tcW w:w="588" w:type="pct"/>
            <w:tcBorders>
              <w:top w:val="nil"/>
              <w:left w:val="nil"/>
              <w:bottom w:val="nil"/>
              <w:right w:val="nil"/>
            </w:tcBorders>
            <w:shd w:val="clear" w:color="auto" w:fill="auto"/>
            <w:noWrap/>
            <w:vAlign w:val="bottom"/>
            <w:hideMark/>
          </w:tcPr>
          <w:p w14:paraId="77B69EF5"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33FD169D" w14:textId="77777777" w:rsidR="00DF251A" w:rsidRPr="00521670" w:rsidRDefault="00DF251A" w:rsidP="000F3970">
            <w:pPr>
              <w:pStyle w:val="Tabletext"/>
              <w:keepNext/>
              <w:spacing w:before="0" w:after="0"/>
              <w:jc w:val="right"/>
              <w:rPr>
                <w:b/>
                <w:bCs/>
                <w:szCs w:val="18"/>
                <w:lang w:val="ru-RU" w:eastAsia="en-GB"/>
              </w:rPr>
            </w:pPr>
          </w:p>
        </w:tc>
      </w:tr>
      <w:tr w:rsidR="00DF251A" w:rsidRPr="00521670" w14:paraId="63E9C5F1" w14:textId="77777777" w:rsidTr="000F3970">
        <w:trPr>
          <w:trHeight w:val="510"/>
          <w:jc w:val="center"/>
        </w:trPr>
        <w:tc>
          <w:tcPr>
            <w:tcW w:w="1562" w:type="pct"/>
            <w:tcBorders>
              <w:top w:val="nil"/>
              <w:left w:val="nil"/>
              <w:bottom w:val="nil"/>
              <w:right w:val="nil"/>
            </w:tcBorders>
            <w:shd w:val="clear" w:color="auto" w:fill="auto"/>
            <w:vAlign w:val="center"/>
            <w:hideMark/>
          </w:tcPr>
          <w:p w14:paraId="717A15FA" w14:textId="77777777" w:rsidR="00DF251A" w:rsidRPr="00521670" w:rsidRDefault="00DF251A" w:rsidP="000F3970">
            <w:pPr>
              <w:pStyle w:val="Tabletext"/>
              <w:keepNext/>
              <w:rPr>
                <w:b/>
                <w:bCs/>
                <w:szCs w:val="18"/>
                <w:lang w:val="ru-RU" w:eastAsia="en-GB"/>
              </w:rPr>
            </w:pPr>
            <w:r w:rsidRPr="00521670">
              <w:rPr>
                <w:rFonts w:cs="Calibri"/>
                <w:b/>
                <w:bCs/>
                <w:szCs w:val="18"/>
                <w:lang w:val="ru-RU"/>
              </w:rPr>
              <w:t>Совокупная амортизация на 1 января</w:t>
            </w:r>
            <w:r w:rsidRPr="00521670">
              <w:rPr>
                <w:b/>
                <w:bCs/>
                <w:szCs w:val="18"/>
                <w:lang w:val="ru-RU" w:eastAsia="en-GB"/>
              </w:rPr>
              <w:t xml:space="preserve"> 2024 г.</w:t>
            </w:r>
          </w:p>
        </w:tc>
        <w:tc>
          <w:tcPr>
            <w:tcW w:w="570" w:type="pct"/>
            <w:tcBorders>
              <w:top w:val="nil"/>
              <w:left w:val="nil"/>
              <w:bottom w:val="nil"/>
              <w:right w:val="nil"/>
            </w:tcBorders>
            <w:shd w:val="clear" w:color="auto" w:fill="auto"/>
            <w:noWrap/>
            <w:vAlign w:val="bottom"/>
            <w:hideMark/>
          </w:tcPr>
          <w:p w14:paraId="73AA0DAE" w14:textId="77777777" w:rsidR="00DF251A" w:rsidRPr="00521670" w:rsidRDefault="00DF251A" w:rsidP="000F3970">
            <w:pPr>
              <w:pStyle w:val="Tabletext"/>
              <w:keepNext/>
              <w:jc w:val="right"/>
              <w:rPr>
                <w:b/>
                <w:bCs/>
                <w:szCs w:val="18"/>
                <w:lang w:val="ru-RU" w:eastAsia="en-GB"/>
              </w:rPr>
            </w:pPr>
            <w:r w:rsidRPr="00521670">
              <w:rPr>
                <w:b/>
                <w:bCs/>
                <w:szCs w:val="18"/>
                <w:lang w:val="ru-RU"/>
              </w:rPr>
              <w:t>67 434</w:t>
            </w:r>
          </w:p>
        </w:tc>
        <w:tc>
          <w:tcPr>
            <w:tcW w:w="570" w:type="pct"/>
            <w:tcBorders>
              <w:top w:val="nil"/>
              <w:left w:val="nil"/>
              <w:bottom w:val="nil"/>
              <w:right w:val="nil"/>
            </w:tcBorders>
            <w:shd w:val="clear" w:color="auto" w:fill="auto"/>
            <w:noWrap/>
            <w:vAlign w:val="bottom"/>
            <w:hideMark/>
          </w:tcPr>
          <w:p w14:paraId="5DDBC1C6" w14:textId="77777777" w:rsidR="00DF251A" w:rsidRPr="00521670" w:rsidRDefault="00DF251A" w:rsidP="000F3970">
            <w:pPr>
              <w:pStyle w:val="Tabletext"/>
              <w:keepNext/>
              <w:jc w:val="right"/>
              <w:rPr>
                <w:b/>
                <w:bCs/>
                <w:szCs w:val="18"/>
                <w:lang w:val="ru-RU" w:eastAsia="en-GB"/>
              </w:rPr>
            </w:pPr>
            <w:r w:rsidRPr="00521670">
              <w:rPr>
                <w:b/>
                <w:bCs/>
                <w:szCs w:val="18"/>
                <w:lang w:val="ru-RU"/>
              </w:rPr>
              <w:t>1 015</w:t>
            </w:r>
          </w:p>
        </w:tc>
        <w:tc>
          <w:tcPr>
            <w:tcW w:w="570" w:type="pct"/>
            <w:tcBorders>
              <w:top w:val="nil"/>
              <w:left w:val="nil"/>
              <w:bottom w:val="nil"/>
              <w:right w:val="nil"/>
            </w:tcBorders>
            <w:shd w:val="clear" w:color="auto" w:fill="auto"/>
            <w:noWrap/>
            <w:vAlign w:val="bottom"/>
            <w:hideMark/>
          </w:tcPr>
          <w:p w14:paraId="52A5A29E" w14:textId="77777777" w:rsidR="00DF251A" w:rsidRPr="00521670" w:rsidRDefault="00DF251A" w:rsidP="000F3970">
            <w:pPr>
              <w:pStyle w:val="Tabletext"/>
              <w:keepNext/>
              <w:jc w:val="right"/>
              <w:rPr>
                <w:b/>
                <w:bCs/>
                <w:szCs w:val="18"/>
                <w:lang w:val="ru-RU" w:eastAsia="en-GB"/>
              </w:rPr>
            </w:pPr>
            <w:r w:rsidRPr="00521670">
              <w:rPr>
                <w:b/>
                <w:bCs/>
                <w:szCs w:val="18"/>
                <w:lang w:val="ru-RU"/>
              </w:rPr>
              <w:t>1 327</w:t>
            </w:r>
          </w:p>
        </w:tc>
        <w:tc>
          <w:tcPr>
            <w:tcW w:w="570" w:type="pct"/>
            <w:tcBorders>
              <w:top w:val="nil"/>
              <w:left w:val="nil"/>
              <w:bottom w:val="nil"/>
              <w:right w:val="nil"/>
            </w:tcBorders>
            <w:shd w:val="clear" w:color="auto" w:fill="auto"/>
            <w:noWrap/>
            <w:vAlign w:val="bottom"/>
            <w:hideMark/>
          </w:tcPr>
          <w:p w14:paraId="375C717F" w14:textId="77777777" w:rsidR="00DF251A" w:rsidRPr="00521670" w:rsidRDefault="00DF251A" w:rsidP="000F3970">
            <w:pPr>
              <w:pStyle w:val="Tabletext"/>
              <w:keepNext/>
              <w:jc w:val="right"/>
              <w:rPr>
                <w:b/>
                <w:bCs/>
                <w:szCs w:val="18"/>
                <w:lang w:val="ru-RU" w:eastAsia="en-GB"/>
              </w:rPr>
            </w:pPr>
            <w:r w:rsidRPr="00521670">
              <w:rPr>
                <w:b/>
                <w:bCs/>
                <w:szCs w:val="18"/>
                <w:lang w:val="ru-RU"/>
              </w:rPr>
              <w:t>6 384</w:t>
            </w:r>
          </w:p>
        </w:tc>
        <w:tc>
          <w:tcPr>
            <w:tcW w:w="588" w:type="pct"/>
            <w:tcBorders>
              <w:top w:val="nil"/>
              <w:left w:val="nil"/>
              <w:bottom w:val="nil"/>
              <w:right w:val="nil"/>
            </w:tcBorders>
            <w:shd w:val="clear" w:color="auto" w:fill="auto"/>
            <w:noWrap/>
            <w:vAlign w:val="bottom"/>
            <w:hideMark/>
          </w:tcPr>
          <w:p w14:paraId="707AF6C4" w14:textId="77777777" w:rsidR="00DF251A" w:rsidRPr="00521670" w:rsidRDefault="00DF251A" w:rsidP="000F3970">
            <w:pPr>
              <w:pStyle w:val="Tabletext"/>
              <w:keepNext/>
              <w:jc w:val="right"/>
              <w:rPr>
                <w:b/>
                <w:bCs/>
                <w:szCs w:val="18"/>
                <w:lang w:val="ru-RU" w:eastAsia="en-GB"/>
              </w:rPr>
            </w:pPr>
            <w:r w:rsidRPr="00521670">
              <w:rPr>
                <w:b/>
                <w:bCs/>
                <w:szCs w:val="18"/>
                <w:lang w:val="ru-RU"/>
              </w:rPr>
              <w:t>275</w:t>
            </w:r>
          </w:p>
        </w:tc>
        <w:tc>
          <w:tcPr>
            <w:tcW w:w="570" w:type="pct"/>
            <w:tcBorders>
              <w:top w:val="nil"/>
              <w:left w:val="nil"/>
              <w:bottom w:val="nil"/>
              <w:right w:val="nil"/>
            </w:tcBorders>
            <w:shd w:val="clear" w:color="auto" w:fill="auto"/>
            <w:noWrap/>
            <w:vAlign w:val="bottom"/>
            <w:hideMark/>
          </w:tcPr>
          <w:p w14:paraId="3859B10B" w14:textId="77777777" w:rsidR="00DF251A" w:rsidRPr="00521670" w:rsidRDefault="00DF251A" w:rsidP="000F3970">
            <w:pPr>
              <w:pStyle w:val="Tabletext"/>
              <w:keepNext/>
              <w:jc w:val="right"/>
              <w:rPr>
                <w:b/>
                <w:bCs/>
                <w:szCs w:val="18"/>
                <w:lang w:val="ru-RU" w:eastAsia="en-GB"/>
              </w:rPr>
            </w:pPr>
            <w:r w:rsidRPr="00521670">
              <w:rPr>
                <w:b/>
                <w:bCs/>
                <w:szCs w:val="18"/>
                <w:lang w:val="ru-RU"/>
              </w:rPr>
              <w:t>76 435</w:t>
            </w:r>
          </w:p>
        </w:tc>
      </w:tr>
      <w:tr w:rsidR="00DF251A" w:rsidRPr="00521670" w14:paraId="44796564" w14:textId="77777777" w:rsidTr="000F3970">
        <w:trPr>
          <w:trHeight w:val="120"/>
          <w:jc w:val="center"/>
        </w:trPr>
        <w:tc>
          <w:tcPr>
            <w:tcW w:w="1562" w:type="pct"/>
            <w:tcBorders>
              <w:top w:val="nil"/>
              <w:left w:val="nil"/>
              <w:bottom w:val="nil"/>
              <w:right w:val="nil"/>
            </w:tcBorders>
            <w:shd w:val="clear" w:color="auto" w:fill="auto"/>
            <w:vAlign w:val="center"/>
            <w:hideMark/>
          </w:tcPr>
          <w:p w14:paraId="1A5B8B51" w14:textId="77777777" w:rsidR="00DF251A" w:rsidRPr="00521670" w:rsidRDefault="00DF251A" w:rsidP="000F3970">
            <w:pPr>
              <w:pStyle w:val="Tabletext"/>
              <w:keepNext/>
              <w:spacing w:before="0" w:after="0"/>
              <w:rPr>
                <w:szCs w:val="18"/>
                <w:lang w:val="ru-RU" w:eastAsia="en-GB"/>
              </w:rPr>
            </w:pPr>
          </w:p>
        </w:tc>
        <w:tc>
          <w:tcPr>
            <w:tcW w:w="570" w:type="pct"/>
            <w:tcBorders>
              <w:top w:val="nil"/>
              <w:left w:val="nil"/>
              <w:bottom w:val="nil"/>
              <w:right w:val="nil"/>
            </w:tcBorders>
            <w:shd w:val="clear" w:color="auto" w:fill="auto"/>
            <w:noWrap/>
            <w:vAlign w:val="bottom"/>
            <w:hideMark/>
          </w:tcPr>
          <w:p w14:paraId="44FC50F5"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1EBA9921"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77913D75"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19EFB3BB" w14:textId="77777777" w:rsidR="00DF251A" w:rsidRPr="00521670" w:rsidRDefault="00DF251A" w:rsidP="000F3970">
            <w:pPr>
              <w:pStyle w:val="Tabletext"/>
              <w:keepNext/>
              <w:spacing w:before="0" w:after="0"/>
              <w:jc w:val="right"/>
              <w:rPr>
                <w:szCs w:val="18"/>
                <w:lang w:val="ru-RU" w:eastAsia="en-GB"/>
              </w:rPr>
            </w:pPr>
          </w:p>
        </w:tc>
        <w:tc>
          <w:tcPr>
            <w:tcW w:w="588" w:type="pct"/>
            <w:tcBorders>
              <w:top w:val="nil"/>
              <w:left w:val="nil"/>
              <w:bottom w:val="nil"/>
              <w:right w:val="nil"/>
            </w:tcBorders>
            <w:shd w:val="clear" w:color="auto" w:fill="auto"/>
            <w:noWrap/>
            <w:vAlign w:val="bottom"/>
            <w:hideMark/>
          </w:tcPr>
          <w:p w14:paraId="1BCEDB16"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69B79FC6" w14:textId="77777777" w:rsidR="00DF251A" w:rsidRPr="00521670" w:rsidRDefault="00DF251A" w:rsidP="000F3970">
            <w:pPr>
              <w:pStyle w:val="Tabletext"/>
              <w:keepNext/>
              <w:spacing w:before="0" w:after="0"/>
              <w:jc w:val="right"/>
              <w:rPr>
                <w:b/>
                <w:bCs/>
                <w:szCs w:val="18"/>
                <w:lang w:val="ru-RU" w:eastAsia="en-GB"/>
              </w:rPr>
            </w:pPr>
          </w:p>
        </w:tc>
      </w:tr>
      <w:tr w:rsidR="00DF251A" w:rsidRPr="00521670" w14:paraId="4E752DF0" w14:textId="77777777" w:rsidTr="000F3970">
        <w:trPr>
          <w:trHeight w:val="300"/>
          <w:jc w:val="center"/>
        </w:trPr>
        <w:tc>
          <w:tcPr>
            <w:tcW w:w="1562" w:type="pct"/>
            <w:tcBorders>
              <w:top w:val="nil"/>
              <w:left w:val="nil"/>
              <w:bottom w:val="nil"/>
              <w:right w:val="nil"/>
            </w:tcBorders>
            <w:shd w:val="clear" w:color="auto" w:fill="auto"/>
            <w:vAlign w:val="center"/>
            <w:hideMark/>
          </w:tcPr>
          <w:p w14:paraId="00338DD7" w14:textId="77777777" w:rsidR="00DF251A" w:rsidRPr="00521670" w:rsidRDefault="00DF251A" w:rsidP="000F3970">
            <w:pPr>
              <w:pStyle w:val="Tabletext"/>
              <w:keepNext/>
              <w:rPr>
                <w:szCs w:val="18"/>
                <w:lang w:val="ru-RU" w:eastAsia="en-GB"/>
              </w:rPr>
            </w:pPr>
            <w:r w:rsidRPr="00521670">
              <w:rPr>
                <w:szCs w:val="18"/>
                <w:lang w:val="ru-RU" w:eastAsia="en-GB"/>
              </w:rPr>
              <w:t>Амортизация</w:t>
            </w:r>
          </w:p>
        </w:tc>
        <w:tc>
          <w:tcPr>
            <w:tcW w:w="570" w:type="pct"/>
            <w:tcBorders>
              <w:top w:val="nil"/>
              <w:left w:val="nil"/>
              <w:bottom w:val="nil"/>
              <w:right w:val="nil"/>
            </w:tcBorders>
            <w:shd w:val="clear" w:color="auto" w:fill="auto"/>
            <w:noWrap/>
            <w:vAlign w:val="bottom"/>
            <w:hideMark/>
          </w:tcPr>
          <w:p w14:paraId="54D522C8" w14:textId="77777777" w:rsidR="00DF251A" w:rsidRPr="00521670" w:rsidRDefault="00DF251A" w:rsidP="000F3970">
            <w:pPr>
              <w:pStyle w:val="Tabletext"/>
              <w:keepNext/>
              <w:jc w:val="right"/>
              <w:rPr>
                <w:szCs w:val="18"/>
                <w:lang w:val="ru-RU" w:eastAsia="en-GB"/>
              </w:rPr>
            </w:pPr>
            <w:r w:rsidRPr="00521670">
              <w:rPr>
                <w:szCs w:val="18"/>
                <w:lang w:val="ru-RU"/>
              </w:rPr>
              <w:t>3 535</w:t>
            </w:r>
          </w:p>
        </w:tc>
        <w:tc>
          <w:tcPr>
            <w:tcW w:w="570" w:type="pct"/>
            <w:tcBorders>
              <w:top w:val="nil"/>
              <w:left w:val="nil"/>
              <w:bottom w:val="nil"/>
              <w:right w:val="nil"/>
            </w:tcBorders>
            <w:shd w:val="clear" w:color="auto" w:fill="auto"/>
            <w:noWrap/>
            <w:vAlign w:val="bottom"/>
            <w:hideMark/>
          </w:tcPr>
          <w:p w14:paraId="0FA43CE9" w14:textId="77777777" w:rsidR="00DF251A" w:rsidRPr="00521670" w:rsidRDefault="00DF251A" w:rsidP="000F3970">
            <w:pPr>
              <w:pStyle w:val="Tabletext"/>
              <w:keepNext/>
              <w:jc w:val="right"/>
              <w:rPr>
                <w:szCs w:val="18"/>
                <w:lang w:val="ru-RU" w:eastAsia="en-GB"/>
              </w:rPr>
            </w:pPr>
            <w:r w:rsidRPr="00521670">
              <w:rPr>
                <w:szCs w:val="18"/>
                <w:lang w:val="ru-RU"/>
              </w:rPr>
              <w:t>52</w:t>
            </w:r>
          </w:p>
        </w:tc>
        <w:tc>
          <w:tcPr>
            <w:tcW w:w="570" w:type="pct"/>
            <w:tcBorders>
              <w:top w:val="nil"/>
              <w:left w:val="nil"/>
              <w:bottom w:val="nil"/>
              <w:right w:val="nil"/>
            </w:tcBorders>
            <w:shd w:val="clear" w:color="auto" w:fill="auto"/>
            <w:noWrap/>
            <w:vAlign w:val="bottom"/>
            <w:hideMark/>
          </w:tcPr>
          <w:p w14:paraId="2AC167E0" w14:textId="77777777" w:rsidR="00DF251A" w:rsidRPr="00521670" w:rsidRDefault="00DF251A" w:rsidP="000F3970">
            <w:pPr>
              <w:pStyle w:val="Tabletext"/>
              <w:keepNext/>
              <w:jc w:val="right"/>
              <w:rPr>
                <w:szCs w:val="18"/>
                <w:lang w:val="ru-RU" w:eastAsia="en-GB"/>
              </w:rPr>
            </w:pPr>
            <w:r w:rsidRPr="00521670">
              <w:rPr>
                <w:szCs w:val="18"/>
                <w:lang w:val="ru-RU"/>
              </w:rPr>
              <w:t>6</w:t>
            </w:r>
          </w:p>
        </w:tc>
        <w:tc>
          <w:tcPr>
            <w:tcW w:w="570" w:type="pct"/>
            <w:tcBorders>
              <w:top w:val="nil"/>
              <w:left w:val="nil"/>
              <w:bottom w:val="nil"/>
              <w:right w:val="nil"/>
            </w:tcBorders>
            <w:shd w:val="clear" w:color="auto" w:fill="auto"/>
            <w:noWrap/>
            <w:vAlign w:val="bottom"/>
            <w:hideMark/>
          </w:tcPr>
          <w:p w14:paraId="58BABCD0" w14:textId="77777777" w:rsidR="00DF251A" w:rsidRPr="00521670" w:rsidRDefault="00DF251A" w:rsidP="000F3970">
            <w:pPr>
              <w:pStyle w:val="Tabletext"/>
              <w:keepNext/>
              <w:jc w:val="right"/>
              <w:rPr>
                <w:szCs w:val="18"/>
                <w:lang w:val="ru-RU" w:eastAsia="en-GB"/>
              </w:rPr>
            </w:pPr>
            <w:r w:rsidRPr="00521670">
              <w:rPr>
                <w:szCs w:val="18"/>
                <w:lang w:val="ru-RU"/>
              </w:rPr>
              <w:t>293</w:t>
            </w:r>
          </w:p>
        </w:tc>
        <w:tc>
          <w:tcPr>
            <w:tcW w:w="588" w:type="pct"/>
            <w:tcBorders>
              <w:top w:val="nil"/>
              <w:left w:val="nil"/>
              <w:bottom w:val="nil"/>
              <w:right w:val="nil"/>
            </w:tcBorders>
            <w:shd w:val="clear" w:color="auto" w:fill="auto"/>
            <w:noWrap/>
            <w:vAlign w:val="bottom"/>
            <w:hideMark/>
          </w:tcPr>
          <w:p w14:paraId="0EEA597F" w14:textId="77777777" w:rsidR="00DF251A" w:rsidRPr="00521670" w:rsidRDefault="00DF251A" w:rsidP="000F3970">
            <w:pPr>
              <w:pStyle w:val="Tabletext"/>
              <w:keepNext/>
              <w:jc w:val="right"/>
              <w:rPr>
                <w:szCs w:val="18"/>
                <w:lang w:val="ru-RU" w:eastAsia="en-GB"/>
              </w:rPr>
            </w:pPr>
            <w:r w:rsidRPr="00521670">
              <w:rPr>
                <w:szCs w:val="18"/>
                <w:lang w:val="ru-RU"/>
              </w:rPr>
              <w:t>19</w:t>
            </w:r>
          </w:p>
        </w:tc>
        <w:tc>
          <w:tcPr>
            <w:tcW w:w="570" w:type="pct"/>
            <w:tcBorders>
              <w:top w:val="nil"/>
              <w:left w:val="nil"/>
              <w:bottom w:val="nil"/>
              <w:right w:val="nil"/>
            </w:tcBorders>
            <w:shd w:val="clear" w:color="auto" w:fill="auto"/>
            <w:noWrap/>
            <w:vAlign w:val="bottom"/>
            <w:hideMark/>
          </w:tcPr>
          <w:p w14:paraId="4F78201F" w14:textId="77777777" w:rsidR="00DF251A" w:rsidRPr="00521670" w:rsidRDefault="00DF251A" w:rsidP="000F3970">
            <w:pPr>
              <w:pStyle w:val="Tabletext"/>
              <w:keepNext/>
              <w:jc w:val="right"/>
              <w:rPr>
                <w:b/>
                <w:bCs/>
                <w:szCs w:val="18"/>
                <w:lang w:val="ru-RU" w:eastAsia="en-GB"/>
              </w:rPr>
            </w:pPr>
            <w:r w:rsidRPr="00521670">
              <w:rPr>
                <w:b/>
                <w:bCs/>
                <w:szCs w:val="18"/>
                <w:lang w:val="ru-RU"/>
              </w:rPr>
              <w:t>3 905</w:t>
            </w:r>
          </w:p>
        </w:tc>
      </w:tr>
      <w:tr w:rsidR="00DF251A" w:rsidRPr="00521670" w14:paraId="5BF5B747" w14:textId="77777777" w:rsidTr="000F3970">
        <w:trPr>
          <w:trHeight w:val="300"/>
          <w:jc w:val="center"/>
        </w:trPr>
        <w:tc>
          <w:tcPr>
            <w:tcW w:w="1562" w:type="pct"/>
            <w:tcBorders>
              <w:top w:val="nil"/>
              <w:left w:val="nil"/>
              <w:bottom w:val="nil"/>
              <w:right w:val="nil"/>
            </w:tcBorders>
            <w:shd w:val="clear" w:color="auto" w:fill="auto"/>
            <w:vAlign w:val="center"/>
            <w:hideMark/>
          </w:tcPr>
          <w:p w14:paraId="00702084" w14:textId="77777777" w:rsidR="00DF251A" w:rsidRPr="00521670" w:rsidRDefault="00DF251A" w:rsidP="000F3970">
            <w:pPr>
              <w:pStyle w:val="Tabletext"/>
              <w:keepNext/>
              <w:rPr>
                <w:szCs w:val="18"/>
                <w:lang w:val="ru-RU" w:eastAsia="en-GB"/>
              </w:rPr>
            </w:pPr>
            <w:r w:rsidRPr="00521670">
              <w:rPr>
                <w:rFonts w:cs="Calibri"/>
                <w:szCs w:val="18"/>
                <w:lang w:val="ru-RU"/>
              </w:rPr>
              <w:t>Выбытие</w:t>
            </w:r>
          </w:p>
        </w:tc>
        <w:tc>
          <w:tcPr>
            <w:tcW w:w="570" w:type="pct"/>
            <w:tcBorders>
              <w:top w:val="nil"/>
              <w:left w:val="nil"/>
              <w:bottom w:val="nil"/>
              <w:right w:val="nil"/>
            </w:tcBorders>
            <w:shd w:val="clear" w:color="auto" w:fill="auto"/>
            <w:noWrap/>
            <w:vAlign w:val="bottom"/>
            <w:hideMark/>
          </w:tcPr>
          <w:p w14:paraId="689C10A3" w14:textId="77777777" w:rsidR="00DF251A" w:rsidRPr="00521670" w:rsidRDefault="00DF251A" w:rsidP="000F3970">
            <w:pPr>
              <w:pStyle w:val="Tabletext"/>
              <w:keepNext/>
              <w:jc w:val="right"/>
              <w:rPr>
                <w:szCs w:val="18"/>
                <w:lang w:val="ru-RU" w:eastAsia="en-GB"/>
              </w:rPr>
            </w:pPr>
            <w:r w:rsidRPr="00521670">
              <w:rPr>
                <w:szCs w:val="18"/>
                <w:lang w:val="ru-RU" w:eastAsia="en-GB"/>
              </w:rPr>
              <w:t>−</w:t>
            </w:r>
          </w:p>
        </w:tc>
        <w:tc>
          <w:tcPr>
            <w:tcW w:w="570" w:type="pct"/>
            <w:tcBorders>
              <w:top w:val="nil"/>
              <w:left w:val="nil"/>
              <w:bottom w:val="nil"/>
              <w:right w:val="nil"/>
            </w:tcBorders>
            <w:shd w:val="clear" w:color="auto" w:fill="auto"/>
            <w:noWrap/>
            <w:vAlign w:val="bottom"/>
            <w:hideMark/>
          </w:tcPr>
          <w:p w14:paraId="46372F42" w14:textId="77777777" w:rsidR="00DF251A" w:rsidRPr="00521670" w:rsidRDefault="00DF251A" w:rsidP="000F3970">
            <w:pPr>
              <w:pStyle w:val="Tabletext"/>
              <w:keepNext/>
              <w:jc w:val="right"/>
              <w:rPr>
                <w:szCs w:val="18"/>
                <w:lang w:val="ru-RU" w:eastAsia="en-GB"/>
              </w:rPr>
            </w:pPr>
            <w:r w:rsidRPr="00521670">
              <w:rPr>
                <w:szCs w:val="18"/>
                <w:lang w:val="ru-RU"/>
              </w:rPr>
              <w:t>(84)</w:t>
            </w:r>
          </w:p>
        </w:tc>
        <w:tc>
          <w:tcPr>
            <w:tcW w:w="570" w:type="pct"/>
            <w:tcBorders>
              <w:top w:val="nil"/>
              <w:left w:val="nil"/>
              <w:bottom w:val="nil"/>
              <w:right w:val="nil"/>
            </w:tcBorders>
            <w:shd w:val="clear" w:color="auto" w:fill="auto"/>
            <w:noWrap/>
            <w:vAlign w:val="bottom"/>
            <w:hideMark/>
          </w:tcPr>
          <w:p w14:paraId="4E1CC773" w14:textId="77777777" w:rsidR="00DF251A" w:rsidRPr="00521670" w:rsidRDefault="00DF251A" w:rsidP="000F3970">
            <w:pPr>
              <w:pStyle w:val="Tabletext"/>
              <w:keepNext/>
              <w:jc w:val="right"/>
              <w:rPr>
                <w:szCs w:val="18"/>
                <w:lang w:val="ru-RU" w:eastAsia="en-GB"/>
              </w:rPr>
            </w:pPr>
            <w:r w:rsidRPr="00521670">
              <w:rPr>
                <w:szCs w:val="18"/>
                <w:lang w:val="ru-RU"/>
              </w:rPr>
              <w:t>(13)</w:t>
            </w:r>
          </w:p>
        </w:tc>
        <w:tc>
          <w:tcPr>
            <w:tcW w:w="570" w:type="pct"/>
            <w:tcBorders>
              <w:top w:val="nil"/>
              <w:left w:val="nil"/>
              <w:bottom w:val="nil"/>
              <w:right w:val="nil"/>
            </w:tcBorders>
            <w:shd w:val="clear" w:color="auto" w:fill="auto"/>
            <w:noWrap/>
            <w:vAlign w:val="bottom"/>
            <w:hideMark/>
          </w:tcPr>
          <w:p w14:paraId="411C63C3" w14:textId="77777777" w:rsidR="00DF251A" w:rsidRPr="00521670" w:rsidRDefault="00DF251A" w:rsidP="000F3970">
            <w:pPr>
              <w:pStyle w:val="Tabletext"/>
              <w:keepNext/>
              <w:jc w:val="right"/>
              <w:rPr>
                <w:szCs w:val="18"/>
                <w:lang w:val="ru-RU" w:eastAsia="en-GB"/>
              </w:rPr>
            </w:pPr>
            <w:r w:rsidRPr="00521670">
              <w:rPr>
                <w:szCs w:val="18"/>
                <w:lang w:val="ru-RU"/>
              </w:rPr>
              <w:t>(113)</w:t>
            </w:r>
          </w:p>
        </w:tc>
        <w:tc>
          <w:tcPr>
            <w:tcW w:w="588" w:type="pct"/>
            <w:tcBorders>
              <w:top w:val="nil"/>
              <w:left w:val="nil"/>
              <w:bottom w:val="nil"/>
              <w:right w:val="nil"/>
            </w:tcBorders>
            <w:shd w:val="clear" w:color="auto" w:fill="auto"/>
            <w:noWrap/>
            <w:vAlign w:val="bottom"/>
            <w:hideMark/>
          </w:tcPr>
          <w:p w14:paraId="792C19A3" w14:textId="77777777" w:rsidR="00DF251A" w:rsidRPr="00521670" w:rsidRDefault="00DF251A" w:rsidP="000F3970">
            <w:pPr>
              <w:pStyle w:val="Tabletext"/>
              <w:keepNext/>
              <w:jc w:val="right"/>
              <w:rPr>
                <w:szCs w:val="18"/>
                <w:lang w:val="ru-RU" w:eastAsia="en-GB"/>
              </w:rPr>
            </w:pPr>
            <w:r w:rsidRPr="00521670">
              <w:rPr>
                <w:szCs w:val="18"/>
                <w:lang w:val="ru-RU" w:eastAsia="en-GB"/>
              </w:rPr>
              <w:t>−</w:t>
            </w:r>
          </w:p>
        </w:tc>
        <w:tc>
          <w:tcPr>
            <w:tcW w:w="570" w:type="pct"/>
            <w:tcBorders>
              <w:top w:val="nil"/>
              <w:left w:val="nil"/>
              <w:bottom w:val="nil"/>
              <w:right w:val="nil"/>
            </w:tcBorders>
            <w:shd w:val="clear" w:color="auto" w:fill="auto"/>
            <w:noWrap/>
            <w:vAlign w:val="bottom"/>
            <w:hideMark/>
          </w:tcPr>
          <w:p w14:paraId="2BE06E57" w14:textId="77777777" w:rsidR="00DF251A" w:rsidRPr="00521670" w:rsidRDefault="00DF251A" w:rsidP="000F3970">
            <w:pPr>
              <w:pStyle w:val="Tabletext"/>
              <w:keepNext/>
              <w:jc w:val="right"/>
              <w:rPr>
                <w:b/>
                <w:bCs/>
                <w:szCs w:val="18"/>
                <w:lang w:val="ru-RU" w:eastAsia="en-GB"/>
              </w:rPr>
            </w:pPr>
            <w:r w:rsidRPr="00521670">
              <w:rPr>
                <w:b/>
                <w:bCs/>
                <w:szCs w:val="18"/>
                <w:lang w:val="ru-RU"/>
              </w:rPr>
              <w:t>(210)</w:t>
            </w:r>
          </w:p>
        </w:tc>
      </w:tr>
      <w:tr w:rsidR="00DF251A" w:rsidRPr="00521670" w14:paraId="7CAFA44A" w14:textId="77777777" w:rsidTr="000F3970">
        <w:trPr>
          <w:trHeight w:val="510"/>
          <w:jc w:val="center"/>
        </w:trPr>
        <w:tc>
          <w:tcPr>
            <w:tcW w:w="1562" w:type="pct"/>
            <w:tcBorders>
              <w:top w:val="nil"/>
              <w:left w:val="nil"/>
              <w:bottom w:val="nil"/>
              <w:right w:val="nil"/>
            </w:tcBorders>
            <w:shd w:val="clear" w:color="auto" w:fill="auto"/>
            <w:vAlign w:val="center"/>
            <w:hideMark/>
          </w:tcPr>
          <w:p w14:paraId="7C84F70E" w14:textId="77777777" w:rsidR="00DF251A" w:rsidRPr="00521670" w:rsidRDefault="00DF251A" w:rsidP="000F3970">
            <w:pPr>
              <w:pStyle w:val="Tabletext"/>
              <w:keepNext/>
              <w:rPr>
                <w:b/>
                <w:bCs/>
                <w:szCs w:val="18"/>
                <w:lang w:val="ru-RU" w:eastAsia="en-GB"/>
              </w:rPr>
            </w:pPr>
            <w:r w:rsidRPr="00521670">
              <w:rPr>
                <w:rFonts w:cs="Calibri"/>
                <w:b/>
                <w:bCs/>
                <w:szCs w:val="18"/>
                <w:lang w:val="ru-RU"/>
              </w:rPr>
              <w:t xml:space="preserve">Совокупная амортизация на 31 декабря </w:t>
            </w:r>
            <w:r w:rsidRPr="00521670">
              <w:rPr>
                <w:b/>
                <w:bCs/>
                <w:szCs w:val="18"/>
                <w:lang w:val="ru-RU" w:eastAsia="en-GB"/>
              </w:rPr>
              <w:t>2024 г.</w:t>
            </w:r>
          </w:p>
        </w:tc>
        <w:tc>
          <w:tcPr>
            <w:tcW w:w="570" w:type="pct"/>
            <w:tcBorders>
              <w:top w:val="nil"/>
              <w:left w:val="nil"/>
              <w:bottom w:val="nil"/>
              <w:right w:val="nil"/>
            </w:tcBorders>
            <w:shd w:val="clear" w:color="auto" w:fill="auto"/>
            <w:noWrap/>
            <w:vAlign w:val="bottom"/>
            <w:hideMark/>
          </w:tcPr>
          <w:p w14:paraId="1406D33E" w14:textId="77777777" w:rsidR="00DF251A" w:rsidRPr="00521670" w:rsidRDefault="00DF251A" w:rsidP="000F3970">
            <w:pPr>
              <w:pStyle w:val="Tabletext"/>
              <w:keepNext/>
              <w:jc w:val="right"/>
              <w:rPr>
                <w:b/>
                <w:bCs/>
                <w:szCs w:val="18"/>
                <w:lang w:val="ru-RU" w:eastAsia="en-GB"/>
              </w:rPr>
            </w:pPr>
            <w:r w:rsidRPr="00521670">
              <w:rPr>
                <w:b/>
                <w:bCs/>
                <w:szCs w:val="18"/>
                <w:lang w:val="ru-RU"/>
              </w:rPr>
              <w:t>70 969</w:t>
            </w:r>
          </w:p>
        </w:tc>
        <w:tc>
          <w:tcPr>
            <w:tcW w:w="570" w:type="pct"/>
            <w:tcBorders>
              <w:top w:val="nil"/>
              <w:left w:val="nil"/>
              <w:bottom w:val="nil"/>
              <w:right w:val="nil"/>
            </w:tcBorders>
            <w:shd w:val="clear" w:color="auto" w:fill="auto"/>
            <w:noWrap/>
            <w:vAlign w:val="bottom"/>
            <w:hideMark/>
          </w:tcPr>
          <w:p w14:paraId="64E2AE70" w14:textId="77777777" w:rsidR="00DF251A" w:rsidRPr="00521670" w:rsidRDefault="00DF251A" w:rsidP="000F3970">
            <w:pPr>
              <w:pStyle w:val="Tabletext"/>
              <w:keepNext/>
              <w:jc w:val="right"/>
              <w:rPr>
                <w:b/>
                <w:bCs/>
                <w:szCs w:val="18"/>
                <w:lang w:val="ru-RU" w:eastAsia="en-GB"/>
              </w:rPr>
            </w:pPr>
            <w:r w:rsidRPr="00521670">
              <w:rPr>
                <w:b/>
                <w:bCs/>
                <w:szCs w:val="18"/>
                <w:lang w:val="ru-RU"/>
              </w:rPr>
              <w:t>983</w:t>
            </w:r>
          </w:p>
        </w:tc>
        <w:tc>
          <w:tcPr>
            <w:tcW w:w="570" w:type="pct"/>
            <w:tcBorders>
              <w:top w:val="nil"/>
              <w:left w:val="nil"/>
              <w:bottom w:val="nil"/>
              <w:right w:val="nil"/>
            </w:tcBorders>
            <w:shd w:val="clear" w:color="auto" w:fill="auto"/>
            <w:noWrap/>
            <w:vAlign w:val="bottom"/>
            <w:hideMark/>
          </w:tcPr>
          <w:p w14:paraId="674AF260" w14:textId="77777777" w:rsidR="00DF251A" w:rsidRPr="00521670" w:rsidRDefault="00DF251A" w:rsidP="000F3970">
            <w:pPr>
              <w:pStyle w:val="Tabletext"/>
              <w:keepNext/>
              <w:jc w:val="right"/>
              <w:rPr>
                <w:b/>
                <w:bCs/>
                <w:szCs w:val="18"/>
                <w:lang w:val="ru-RU" w:eastAsia="en-GB"/>
              </w:rPr>
            </w:pPr>
            <w:r w:rsidRPr="00521670">
              <w:rPr>
                <w:b/>
                <w:bCs/>
                <w:szCs w:val="18"/>
                <w:lang w:val="ru-RU"/>
              </w:rPr>
              <w:t>1 320</w:t>
            </w:r>
          </w:p>
        </w:tc>
        <w:tc>
          <w:tcPr>
            <w:tcW w:w="570" w:type="pct"/>
            <w:tcBorders>
              <w:top w:val="nil"/>
              <w:left w:val="nil"/>
              <w:bottom w:val="nil"/>
              <w:right w:val="nil"/>
            </w:tcBorders>
            <w:shd w:val="clear" w:color="auto" w:fill="auto"/>
            <w:noWrap/>
            <w:vAlign w:val="bottom"/>
            <w:hideMark/>
          </w:tcPr>
          <w:p w14:paraId="41413819" w14:textId="77777777" w:rsidR="00DF251A" w:rsidRPr="00521670" w:rsidRDefault="00DF251A" w:rsidP="000F3970">
            <w:pPr>
              <w:pStyle w:val="Tabletext"/>
              <w:keepNext/>
              <w:jc w:val="right"/>
              <w:rPr>
                <w:b/>
                <w:bCs/>
                <w:szCs w:val="18"/>
                <w:lang w:val="ru-RU" w:eastAsia="en-GB"/>
              </w:rPr>
            </w:pPr>
            <w:r w:rsidRPr="00521670">
              <w:rPr>
                <w:b/>
                <w:bCs/>
                <w:szCs w:val="18"/>
                <w:lang w:val="ru-RU"/>
              </w:rPr>
              <w:t>6 564</w:t>
            </w:r>
          </w:p>
        </w:tc>
        <w:tc>
          <w:tcPr>
            <w:tcW w:w="588" w:type="pct"/>
            <w:tcBorders>
              <w:top w:val="nil"/>
              <w:left w:val="nil"/>
              <w:bottom w:val="nil"/>
              <w:right w:val="nil"/>
            </w:tcBorders>
            <w:shd w:val="clear" w:color="auto" w:fill="auto"/>
            <w:noWrap/>
            <w:vAlign w:val="bottom"/>
            <w:hideMark/>
          </w:tcPr>
          <w:p w14:paraId="7E11EE25" w14:textId="77777777" w:rsidR="00DF251A" w:rsidRPr="00521670" w:rsidRDefault="00DF251A" w:rsidP="000F3970">
            <w:pPr>
              <w:pStyle w:val="Tabletext"/>
              <w:keepNext/>
              <w:jc w:val="right"/>
              <w:rPr>
                <w:b/>
                <w:bCs/>
                <w:szCs w:val="18"/>
                <w:lang w:val="ru-RU" w:eastAsia="en-GB"/>
              </w:rPr>
            </w:pPr>
            <w:r w:rsidRPr="00521670">
              <w:rPr>
                <w:b/>
                <w:bCs/>
                <w:szCs w:val="18"/>
                <w:lang w:val="ru-RU"/>
              </w:rPr>
              <w:t>294</w:t>
            </w:r>
          </w:p>
        </w:tc>
        <w:tc>
          <w:tcPr>
            <w:tcW w:w="570" w:type="pct"/>
            <w:tcBorders>
              <w:top w:val="nil"/>
              <w:left w:val="nil"/>
              <w:bottom w:val="nil"/>
              <w:right w:val="nil"/>
            </w:tcBorders>
            <w:shd w:val="clear" w:color="auto" w:fill="auto"/>
            <w:noWrap/>
            <w:vAlign w:val="bottom"/>
            <w:hideMark/>
          </w:tcPr>
          <w:p w14:paraId="10EA0432" w14:textId="77777777" w:rsidR="00DF251A" w:rsidRPr="00521670" w:rsidRDefault="00DF251A" w:rsidP="000F3970">
            <w:pPr>
              <w:pStyle w:val="Tabletext"/>
              <w:keepNext/>
              <w:jc w:val="right"/>
              <w:rPr>
                <w:b/>
                <w:bCs/>
                <w:szCs w:val="18"/>
                <w:lang w:val="ru-RU" w:eastAsia="en-GB"/>
              </w:rPr>
            </w:pPr>
            <w:r w:rsidRPr="00521670">
              <w:rPr>
                <w:b/>
                <w:bCs/>
                <w:szCs w:val="18"/>
                <w:lang w:val="ru-RU"/>
              </w:rPr>
              <w:t>80 130</w:t>
            </w:r>
          </w:p>
        </w:tc>
      </w:tr>
      <w:tr w:rsidR="00DF251A" w:rsidRPr="00521670" w14:paraId="1A1392AF" w14:textId="77777777" w:rsidTr="000F3970">
        <w:trPr>
          <w:trHeight w:val="120"/>
          <w:jc w:val="center"/>
        </w:trPr>
        <w:tc>
          <w:tcPr>
            <w:tcW w:w="1562" w:type="pct"/>
            <w:tcBorders>
              <w:top w:val="nil"/>
              <w:left w:val="nil"/>
              <w:bottom w:val="nil"/>
              <w:right w:val="nil"/>
            </w:tcBorders>
            <w:shd w:val="clear" w:color="auto" w:fill="auto"/>
            <w:vAlign w:val="center"/>
            <w:hideMark/>
          </w:tcPr>
          <w:p w14:paraId="793E9893" w14:textId="77777777" w:rsidR="00DF251A" w:rsidRPr="00521670" w:rsidRDefault="00DF251A" w:rsidP="000F3970">
            <w:pPr>
              <w:pStyle w:val="Tabletext"/>
              <w:keepNext/>
              <w:spacing w:before="0" w:after="0"/>
              <w:rPr>
                <w:szCs w:val="18"/>
                <w:lang w:val="ru-RU" w:eastAsia="en-GB"/>
              </w:rPr>
            </w:pPr>
          </w:p>
        </w:tc>
        <w:tc>
          <w:tcPr>
            <w:tcW w:w="570" w:type="pct"/>
            <w:tcBorders>
              <w:top w:val="nil"/>
              <w:left w:val="nil"/>
              <w:bottom w:val="nil"/>
              <w:right w:val="nil"/>
            </w:tcBorders>
            <w:shd w:val="clear" w:color="auto" w:fill="auto"/>
            <w:noWrap/>
            <w:vAlign w:val="bottom"/>
            <w:hideMark/>
          </w:tcPr>
          <w:p w14:paraId="71703C9B"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79D1F43A"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069340E5"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5A2D535A" w14:textId="77777777" w:rsidR="00DF251A" w:rsidRPr="00521670" w:rsidRDefault="00DF251A" w:rsidP="000F3970">
            <w:pPr>
              <w:pStyle w:val="Tabletext"/>
              <w:keepNext/>
              <w:spacing w:before="0" w:after="0"/>
              <w:jc w:val="right"/>
              <w:rPr>
                <w:szCs w:val="18"/>
                <w:lang w:val="ru-RU" w:eastAsia="en-GB"/>
              </w:rPr>
            </w:pPr>
          </w:p>
        </w:tc>
        <w:tc>
          <w:tcPr>
            <w:tcW w:w="588" w:type="pct"/>
            <w:tcBorders>
              <w:top w:val="nil"/>
              <w:left w:val="nil"/>
              <w:bottom w:val="nil"/>
              <w:right w:val="nil"/>
            </w:tcBorders>
            <w:shd w:val="clear" w:color="auto" w:fill="auto"/>
            <w:noWrap/>
            <w:vAlign w:val="bottom"/>
            <w:hideMark/>
          </w:tcPr>
          <w:p w14:paraId="17E38C73" w14:textId="77777777" w:rsidR="00DF251A" w:rsidRPr="00521670" w:rsidRDefault="00DF251A" w:rsidP="000F3970">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0F8FC8B5" w14:textId="77777777" w:rsidR="00DF251A" w:rsidRPr="00521670" w:rsidRDefault="00DF251A" w:rsidP="000F3970">
            <w:pPr>
              <w:pStyle w:val="Tabletext"/>
              <w:keepNext/>
              <w:spacing w:before="0" w:after="0"/>
              <w:jc w:val="right"/>
              <w:rPr>
                <w:b/>
                <w:bCs/>
                <w:szCs w:val="18"/>
                <w:lang w:val="ru-RU" w:eastAsia="en-GB"/>
              </w:rPr>
            </w:pPr>
          </w:p>
        </w:tc>
      </w:tr>
      <w:tr w:rsidR="00DF251A" w:rsidRPr="00521670" w14:paraId="21C7E936" w14:textId="77777777" w:rsidTr="000F3970">
        <w:trPr>
          <w:trHeight w:val="510"/>
          <w:jc w:val="center"/>
        </w:trPr>
        <w:tc>
          <w:tcPr>
            <w:tcW w:w="1562" w:type="pct"/>
            <w:tcBorders>
              <w:top w:val="nil"/>
              <w:left w:val="nil"/>
              <w:bottom w:val="nil"/>
              <w:right w:val="nil"/>
            </w:tcBorders>
            <w:shd w:val="clear" w:color="auto" w:fill="auto"/>
            <w:vAlign w:val="center"/>
            <w:hideMark/>
          </w:tcPr>
          <w:p w14:paraId="7BEF0FA0" w14:textId="77777777" w:rsidR="00DF251A" w:rsidRPr="00521670" w:rsidRDefault="00DF251A" w:rsidP="000F3970">
            <w:pPr>
              <w:pStyle w:val="Tabletext"/>
              <w:keepNext/>
              <w:rPr>
                <w:b/>
                <w:bCs/>
                <w:szCs w:val="18"/>
                <w:lang w:val="ru-RU" w:eastAsia="en-GB"/>
              </w:rPr>
            </w:pPr>
            <w:r w:rsidRPr="00521670">
              <w:rPr>
                <w:rFonts w:cs="Calibri"/>
                <w:b/>
                <w:bCs/>
                <w:szCs w:val="18"/>
                <w:lang w:val="ru-RU"/>
              </w:rPr>
              <w:t>Чистая балансовая стоимость на 1 января 2024 г.</w:t>
            </w:r>
          </w:p>
        </w:tc>
        <w:tc>
          <w:tcPr>
            <w:tcW w:w="570" w:type="pct"/>
            <w:tcBorders>
              <w:top w:val="nil"/>
              <w:left w:val="nil"/>
              <w:bottom w:val="nil"/>
              <w:right w:val="nil"/>
            </w:tcBorders>
            <w:shd w:val="clear" w:color="auto" w:fill="auto"/>
            <w:noWrap/>
            <w:vAlign w:val="bottom"/>
            <w:hideMark/>
          </w:tcPr>
          <w:p w14:paraId="1D3754FA" w14:textId="77777777" w:rsidR="00DF251A" w:rsidRPr="00521670" w:rsidRDefault="00DF251A" w:rsidP="000F3970">
            <w:pPr>
              <w:pStyle w:val="Tabletext"/>
              <w:keepNext/>
              <w:jc w:val="right"/>
              <w:rPr>
                <w:b/>
                <w:bCs/>
                <w:szCs w:val="18"/>
                <w:lang w:val="ru-RU" w:eastAsia="en-GB"/>
              </w:rPr>
            </w:pPr>
            <w:r w:rsidRPr="00521670">
              <w:rPr>
                <w:b/>
                <w:bCs/>
                <w:szCs w:val="18"/>
                <w:lang w:val="ru-RU"/>
              </w:rPr>
              <w:t>58 968</w:t>
            </w:r>
          </w:p>
        </w:tc>
        <w:tc>
          <w:tcPr>
            <w:tcW w:w="570" w:type="pct"/>
            <w:tcBorders>
              <w:top w:val="nil"/>
              <w:left w:val="nil"/>
              <w:bottom w:val="nil"/>
              <w:right w:val="nil"/>
            </w:tcBorders>
            <w:shd w:val="clear" w:color="auto" w:fill="auto"/>
            <w:noWrap/>
            <w:vAlign w:val="bottom"/>
            <w:hideMark/>
          </w:tcPr>
          <w:p w14:paraId="6EC3CB5E" w14:textId="77777777" w:rsidR="00DF251A" w:rsidRPr="00521670" w:rsidRDefault="00DF251A" w:rsidP="000F3970">
            <w:pPr>
              <w:pStyle w:val="Tabletext"/>
              <w:keepNext/>
              <w:jc w:val="right"/>
              <w:rPr>
                <w:b/>
                <w:bCs/>
                <w:szCs w:val="18"/>
                <w:lang w:val="ru-RU" w:eastAsia="en-GB"/>
              </w:rPr>
            </w:pPr>
            <w:r w:rsidRPr="00521670">
              <w:rPr>
                <w:b/>
                <w:bCs/>
                <w:szCs w:val="18"/>
                <w:lang w:val="ru-RU"/>
              </w:rPr>
              <w:t>106</w:t>
            </w:r>
          </w:p>
        </w:tc>
        <w:tc>
          <w:tcPr>
            <w:tcW w:w="570" w:type="pct"/>
            <w:tcBorders>
              <w:top w:val="nil"/>
              <w:left w:val="nil"/>
              <w:bottom w:val="nil"/>
              <w:right w:val="nil"/>
            </w:tcBorders>
            <w:shd w:val="clear" w:color="auto" w:fill="auto"/>
            <w:noWrap/>
            <w:vAlign w:val="bottom"/>
            <w:hideMark/>
          </w:tcPr>
          <w:p w14:paraId="685DB91A" w14:textId="77777777" w:rsidR="00DF251A" w:rsidRPr="00521670" w:rsidRDefault="00DF251A" w:rsidP="000F3970">
            <w:pPr>
              <w:pStyle w:val="Tabletext"/>
              <w:keepNext/>
              <w:jc w:val="right"/>
              <w:rPr>
                <w:b/>
                <w:bCs/>
                <w:szCs w:val="18"/>
                <w:lang w:val="ru-RU" w:eastAsia="en-GB"/>
              </w:rPr>
            </w:pPr>
            <w:r w:rsidRPr="00521670">
              <w:rPr>
                <w:b/>
                <w:bCs/>
                <w:szCs w:val="18"/>
                <w:lang w:val="ru-RU"/>
              </w:rPr>
              <w:t>12</w:t>
            </w:r>
          </w:p>
        </w:tc>
        <w:tc>
          <w:tcPr>
            <w:tcW w:w="570" w:type="pct"/>
            <w:tcBorders>
              <w:top w:val="nil"/>
              <w:left w:val="nil"/>
              <w:bottom w:val="nil"/>
              <w:right w:val="nil"/>
            </w:tcBorders>
            <w:shd w:val="clear" w:color="auto" w:fill="auto"/>
            <w:noWrap/>
            <w:vAlign w:val="bottom"/>
            <w:hideMark/>
          </w:tcPr>
          <w:p w14:paraId="6E930045" w14:textId="77777777" w:rsidR="00DF251A" w:rsidRPr="00521670" w:rsidRDefault="00DF251A" w:rsidP="000F3970">
            <w:pPr>
              <w:pStyle w:val="Tabletext"/>
              <w:keepNext/>
              <w:jc w:val="right"/>
              <w:rPr>
                <w:b/>
                <w:bCs/>
                <w:szCs w:val="18"/>
                <w:lang w:val="ru-RU" w:eastAsia="en-GB"/>
              </w:rPr>
            </w:pPr>
            <w:r w:rsidRPr="00521670">
              <w:rPr>
                <w:b/>
                <w:bCs/>
                <w:szCs w:val="18"/>
                <w:lang w:val="ru-RU"/>
              </w:rPr>
              <w:t>351</w:t>
            </w:r>
          </w:p>
        </w:tc>
        <w:tc>
          <w:tcPr>
            <w:tcW w:w="588" w:type="pct"/>
            <w:tcBorders>
              <w:top w:val="nil"/>
              <w:left w:val="nil"/>
              <w:bottom w:val="nil"/>
              <w:right w:val="nil"/>
            </w:tcBorders>
            <w:shd w:val="clear" w:color="auto" w:fill="auto"/>
            <w:noWrap/>
            <w:vAlign w:val="bottom"/>
            <w:hideMark/>
          </w:tcPr>
          <w:p w14:paraId="187E5181" w14:textId="77777777" w:rsidR="00DF251A" w:rsidRPr="00521670" w:rsidRDefault="00DF251A" w:rsidP="000F3970">
            <w:pPr>
              <w:pStyle w:val="Tabletext"/>
              <w:keepNext/>
              <w:jc w:val="right"/>
              <w:rPr>
                <w:b/>
                <w:bCs/>
                <w:szCs w:val="18"/>
                <w:lang w:val="ru-RU" w:eastAsia="en-GB"/>
              </w:rPr>
            </w:pPr>
            <w:r w:rsidRPr="00521670">
              <w:rPr>
                <w:b/>
                <w:bCs/>
                <w:szCs w:val="18"/>
                <w:lang w:val="ru-RU"/>
              </w:rPr>
              <w:t>21</w:t>
            </w:r>
          </w:p>
        </w:tc>
        <w:tc>
          <w:tcPr>
            <w:tcW w:w="570" w:type="pct"/>
            <w:tcBorders>
              <w:top w:val="nil"/>
              <w:left w:val="nil"/>
              <w:bottom w:val="nil"/>
              <w:right w:val="nil"/>
            </w:tcBorders>
            <w:shd w:val="clear" w:color="auto" w:fill="auto"/>
            <w:noWrap/>
            <w:vAlign w:val="bottom"/>
            <w:hideMark/>
          </w:tcPr>
          <w:p w14:paraId="41096DD9" w14:textId="77777777" w:rsidR="00DF251A" w:rsidRPr="00521670" w:rsidRDefault="00DF251A" w:rsidP="000F3970">
            <w:pPr>
              <w:pStyle w:val="Tabletext"/>
              <w:keepNext/>
              <w:jc w:val="right"/>
              <w:rPr>
                <w:b/>
                <w:bCs/>
                <w:szCs w:val="18"/>
                <w:lang w:val="ru-RU" w:eastAsia="en-GB"/>
              </w:rPr>
            </w:pPr>
            <w:r w:rsidRPr="00521670">
              <w:rPr>
                <w:b/>
                <w:bCs/>
                <w:szCs w:val="18"/>
                <w:lang w:val="ru-RU"/>
              </w:rPr>
              <w:t>59 458</w:t>
            </w:r>
          </w:p>
        </w:tc>
      </w:tr>
      <w:tr w:rsidR="00DF251A" w:rsidRPr="00521670" w14:paraId="007C4FEF" w14:textId="77777777" w:rsidTr="000F3970">
        <w:trPr>
          <w:trHeight w:val="501"/>
          <w:jc w:val="center"/>
        </w:trPr>
        <w:tc>
          <w:tcPr>
            <w:tcW w:w="1562" w:type="pct"/>
            <w:tcBorders>
              <w:top w:val="nil"/>
              <w:left w:val="nil"/>
              <w:bottom w:val="nil"/>
              <w:right w:val="nil"/>
            </w:tcBorders>
            <w:shd w:val="clear" w:color="000000" w:fill="0070C0"/>
            <w:vAlign w:val="center"/>
            <w:hideMark/>
          </w:tcPr>
          <w:p w14:paraId="0D4A8C1F" w14:textId="77777777" w:rsidR="00DF251A" w:rsidRPr="00521670" w:rsidRDefault="00DF251A" w:rsidP="000F3970">
            <w:pPr>
              <w:pStyle w:val="Tabletext"/>
              <w:rPr>
                <w:b/>
                <w:bCs/>
                <w:szCs w:val="18"/>
                <w:lang w:val="ru-RU" w:eastAsia="en-GB"/>
              </w:rPr>
            </w:pPr>
            <w:r w:rsidRPr="00521670">
              <w:rPr>
                <w:rFonts w:cs="Calibri"/>
                <w:b/>
                <w:bCs/>
                <w:szCs w:val="18"/>
                <w:lang w:val="ru-RU"/>
              </w:rPr>
              <w:t xml:space="preserve">Чистая балансовая стоимость на 31 декабря </w:t>
            </w:r>
            <w:r w:rsidRPr="00521670">
              <w:rPr>
                <w:b/>
                <w:bCs/>
                <w:szCs w:val="18"/>
                <w:lang w:val="ru-RU" w:eastAsia="en-GB"/>
              </w:rPr>
              <w:t>2024 г.</w:t>
            </w:r>
          </w:p>
        </w:tc>
        <w:tc>
          <w:tcPr>
            <w:tcW w:w="570" w:type="pct"/>
            <w:tcBorders>
              <w:top w:val="nil"/>
              <w:left w:val="nil"/>
              <w:bottom w:val="nil"/>
              <w:right w:val="nil"/>
            </w:tcBorders>
            <w:shd w:val="clear" w:color="000000" w:fill="0070C0"/>
            <w:noWrap/>
            <w:vAlign w:val="bottom"/>
            <w:hideMark/>
          </w:tcPr>
          <w:p w14:paraId="7FEE2A05" w14:textId="77777777" w:rsidR="00DF251A" w:rsidRPr="00521670" w:rsidRDefault="00DF251A" w:rsidP="000F3970">
            <w:pPr>
              <w:pStyle w:val="Tabletext"/>
              <w:jc w:val="right"/>
              <w:rPr>
                <w:b/>
                <w:bCs/>
                <w:szCs w:val="18"/>
                <w:lang w:val="ru-RU" w:eastAsia="en-GB"/>
              </w:rPr>
            </w:pPr>
            <w:r w:rsidRPr="00521670">
              <w:rPr>
                <w:b/>
                <w:bCs/>
                <w:szCs w:val="18"/>
                <w:lang w:val="ru-RU"/>
              </w:rPr>
              <w:t>57 014</w:t>
            </w:r>
          </w:p>
        </w:tc>
        <w:tc>
          <w:tcPr>
            <w:tcW w:w="570" w:type="pct"/>
            <w:tcBorders>
              <w:top w:val="nil"/>
              <w:left w:val="nil"/>
              <w:bottom w:val="nil"/>
              <w:right w:val="nil"/>
            </w:tcBorders>
            <w:shd w:val="clear" w:color="000000" w:fill="0070C0"/>
            <w:noWrap/>
            <w:vAlign w:val="bottom"/>
            <w:hideMark/>
          </w:tcPr>
          <w:p w14:paraId="6ECEFAD3" w14:textId="77777777" w:rsidR="00DF251A" w:rsidRPr="00521670" w:rsidRDefault="00DF251A" w:rsidP="000F3970">
            <w:pPr>
              <w:pStyle w:val="Tabletext"/>
              <w:jc w:val="right"/>
              <w:rPr>
                <w:b/>
                <w:bCs/>
                <w:szCs w:val="18"/>
                <w:lang w:val="ru-RU" w:eastAsia="en-GB"/>
              </w:rPr>
            </w:pPr>
            <w:r w:rsidRPr="00521670">
              <w:rPr>
                <w:b/>
                <w:bCs/>
                <w:szCs w:val="18"/>
                <w:lang w:val="ru-RU"/>
              </w:rPr>
              <w:t>84</w:t>
            </w:r>
          </w:p>
        </w:tc>
        <w:tc>
          <w:tcPr>
            <w:tcW w:w="570" w:type="pct"/>
            <w:tcBorders>
              <w:top w:val="nil"/>
              <w:left w:val="nil"/>
              <w:bottom w:val="nil"/>
              <w:right w:val="nil"/>
            </w:tcBorders>
            <w:shd w:val="clear" w:color="000000" w:fill="0070C0"/>
            <w:noWrap/>
            <w:vAlign w:val="bottom"/>
            <w:hideMark/>
          </w:tcPr>
          <w:p w14:paraId="157957FB" w14:textId="77777777" w:rsidR="00DF251A" w:rsidRPr="00521670" w:rsidRDefault="00DF251A" w:rsidP="000F3970">
            <w:pPr>
              <w:pStyle w:val="Tabletext"/>
              <w:jc w:val="right"/>
              <w:rPr>
                <w:b/>
                <w:bCs/>
                <w:szCs w:val="18"/>
                <w:lang w:val="ru-RU" w:eastAsia="en-GB"/>
              </w:rPr>
            </w:pPr>
            <w:r w:rsidRPr="00521670">
              <w:rPr>
                <w:b/>
                <w:bCs/>
                <w:szCs w:val="18"/>
                <w:lang w:val="ru-RU"/>
              </w:rPr>
              <w:t>6</w:t>
            </w:r>
          </w:p>
        </w:tc>
        <w:tc>
          <w:tcPr>
            <w:tcW w:w="570" w:type="pct"/>
            <w:tcBorders>
              <w:top w:val="nil"/>
              <w:left w:val="nil"/>
              <w:bottom w:val="nil"/>
              <w:right w:val="nil"/>
            </w:tcBorders>
            <w:shd w:val="clear" w:color="000000" w:fill="0070C0"/>
            <w:noWrap/>
            <w:vAlign w:val="bottom"/>
            <w:hideMark/>
          </w:tcPr>
          <w:p w14:paraId="6B30FE3D" w14:textId="77777777" w:rsidR="00DF251A" w:rsidRPr="00521670" w:rsidRDefault="00DF251A" w:rsidP="000F3970">
            <w:pPr>
              <w:pStyle w:val="Tabletext"/>
              <w:jc w:val="right"/>
              <w:rPr>
                <w:b/>
                <w:bCs/>
                <w:szCs w:val="18"/>
                <w:lang w:val="ru-RU" w:eastAsia="en-GB"/>
              </w:rPr>
            </w:pPr>
            <w:r w:rsidRPr="00521670">
              <w:rPr>
                <w:b/>
                <w:bCs/>
                <w:szCs w:val="18"/>
                <w:lang w:val="ru-RU"/>
              </w:rPr>
              <w:t>104</w:t>
            </w:r>
          </w:p>
        </w:tc>
        <w:tc>
          <w:tcPr>
            <w:tcW w:w="588" w:type="pct"/>
            <w:tcBorders>
              <w:top w:val="nil"/>
              <w:left w:val="nil"/>
              <w:bottom w:val="nil"/>
              <w:right w:val="nil"/>
            </w:tcBorders>
            <w:shd w:val="clear" w:color="000000" w:fill="0070C0"/>
            <w:noWrap/>
            <w:vAlign w:val="bottom"/>
            <w:hideMark/>
          </w:tcPr>
          <w:p w14:paraId="519663FE" w14:textId="77777777" w:rsidR="00DF251A" w:rsidRPr="00521670" w:rsidRDefault="00DF251A" w:rsidP="000F3970">
            <w:pPr>
              <w:pStyle w:val="Tabletext"/>
              <w:jc w:val="right"/>
              <w:rPr>
                <w:b/>
                <w:bCs/>
                <w:szCs w:val="18"/>
                <w:lang w:val="ru-RU" w:eastAsia="en-GB"/>
              </w:rPr>
            </w:pPr>
            <w:r w:rsidRPr="00521670">
              <w:rPr>
                <w:b/>
                <w:bCs/>
                <w:szCs w:val="18"/>
                <w:lang w:val="ru-RU"/>
              </w:rPr>
              <w:t>2</w:t>
            </w:r>
          </w:p>
        </w:tc>
        <w:tc>
          <w:tcPr>
            <w:tcW w:w="570" w:type="pct"/>
            <w:tcBorders>
              <w:top w:val="nil"/>
              <w:left w:val="nil"/>
              <w:bottom w:val="nil"/>
              <w:right w:val="nil"/>
            </w:tcBorders>
            <w:shd w:val="clear" w:color="000000" w:fill="0070C0"/>
            <w:noWrap/>
            <w:vAlign w:val="bottom"/>
            <w:hideMark/>
          </w:tcPr>
          <w:p w14:paraId="1186EE9A" w14:textId="77777777" w:rsidR="00DF251A" w:rsidRPr="00521670" w:rsidRDefault="00DF251A" w:rsidP="000F3970">
            <w:pPr>
              <w:pStyle w:val="Tabletext"/>
              <w:jc w:val="right"/>
              <w:rPr>
                <w:b/>
                <w:bCs/>
                <w:szCs w:val="18"/>
                <w:lang w:val="ru-RU" w:eastAsia="en-GB"/>
              </w:rPr>
            </w:pPr>
            <w:r w:rsidRPr="00521670">
              <w:rPr>
                <w:b/>
                <w:bCs/>
                <w:szCs w:val="18"/>
                <w:lang w:val="ru-RU"/>
              </w:rPr>
              <w:t>57 210</w:t>
            </w:r>
          </w:p>
        </w:tc>
      </w:tr>
    </w:tbl>
    <w:p w14:paraId="3C1329F7" w14:textId="77777777" w:rsidR="00DF251A" w:rsidRPr="00521670" w:rsidRDefault="00DF251A" w:rsidP="009204C6">
      <w:pPr>
        <w:pStyle w:val="Tabletitle"/>
        <w:spacing w:before="360"/>
        <w:rPr>
          <w:lang w:val="ru-RU"/>
        </w:rPr>
      </w:pPr>
      <w:r w:rsidRPr="00521670">
        <w:rPr>
          <w:lang w:val="ru-RU"/>
        </w:rPr>
        <w:t>2023 год</w:t>
      </w:r>
    </w:p>
    <w:tbl>
      <w:tblPr>
        <w:tblW w:w="5000" w:type="pct"/>
        <w:jc w:val="center"/>
        <w:tblLook w:val="04A0" w:firstRow="1" w:lastRow="0" w:firstColumn="1" w:lastColumn="0" w:noHBand="0" w:noVBand="1"/>
      </w:tblPr>
      <w:tblGrid>
        <w:gridCol w:w="2836"/>
        <w:gridCol w:w="1032"/>
        <w:gridCol w:w="1034"/>
        <w:gridCol w:w="1034"/>
        <w:gridCol w:w="1036"/>
        <w:gridCol w:w="1067"/>
        <w:gridCol w:w="1032"/>
      </w:tblGrid>
      <w:tr w:rsidR="00DF251A" w:rsidRPr="00521670" w14:paraId="0D3C9DC5" w14:textId="77777777" w:rsidTr="009204C6">
        <w:trPr>
          <w:trHeight w:val="744"/>
          <w:jc w:val="center"/>
        </w:trPr>
        <w:tc>
          <w:tcPr>
            <w:tcW w:w="1563" w:type="pct"/>
            <w:tcBorders>
              <w:top w:val="nil"/>
              <w:left w:val="nil"/>
              <w:bottom w:val="nil"/>
              <w:right w:val="nil"/>
            </w:tcBorders>
            <w:shd w:val="clear" w:color="000000" w:fill="0070C0"/>
            <w:vAlign w:val="center"/>
            <w:hideMark/>
          </w:tcPr>
          <w:p w14:paraId="463DADAA" w14:textId="77777777" w:rsidR="00DF251A" w:rsidRPr="00521670" w:rsidRDefault="00DF251A" w:rsidP="00835292">
            <w:pPr>
              <w:pStyle w:val="Tablehead"/>
              <w:rPr>
                <w:szCs w:val="18"/>
                <w:lang w:val="ru-RU" w:eastAsia="en-GB"/>
              </w:rPr>
            </w:pPr>
            <w:r w:rsidRPr="00521670">
              <w:rPr>
                <w:rFonts w:cs="Calibri"/>
                <w:szCs w:val="18"/>
                <w:lang w:val="ru-RU"/>
              </w:rPr>
              <w:t xml:space="preserve">Категории активов </w:t>
            </w:r>
            <w:r w:rsidRPr="00521670">
              <w:rPr>
                <w:rFonts w:cs="Calibri"/>
                <w:szCs w:val="18"/>
                <w:lang w:val="ru-RU"/>
              </w:rPr>
              <w:br/>
              <w:t>(тыс. шв. фр.)</w:t>
            </w:r>
          </w:p>
        </w:tc>
        <w:tc>
          <w:tcPr>
            <w:tcW w:w="569" w:type="pct"/>
            <w:tcBorders>
              <w:top w:val="nil"/>
              <w:left w:val="nil"/>
              <w:bottom w:val="nil"/>
              <w:right w:val="nil"/>
            </w:tcBorders>
            <w:shd w:val="clear" w:color="000000" w:fill="0070C0"/>
            <w:vAlign w:val="center"/>
            <w:hideMark/>
          </w:tcPr>
          <w:p w14:paraId="473C3C42" w14:textId="77777777" w:rsidR="00DF251A" w:rsidRPr="00521670" w:rsidRDefault="00DF251A" w:rsidP="00835292">
            <w:pPr>
              <w:pStyle w:val="Tablehead"/>
              <w:rPr>
                <w:szCs w:val="18"/>
                <w:lang w:val="ru-RU" w:eastAsia="en-GB"/>
              </w:rPr>
            </w:pPr>
            <w:r w:rsidRPr="00521670">
              <w:rPr>
                <w:szCs w:val="18"/>
                <w:lang w:val="ru-RU"/>
              </w:rPr>
              <w:t>Здания</w:t>
            </w:r>
          </w:p>
        </w:tc>
        <w:tc>
          <w:tcPr>
            <w:tcW w:w="570" w:type="pct"/>
            <w:tcBorders>
              <w:top w:val="nil"/>
              <w:left w:val="nil"/>
              <w:bottom w:val="nil"/>
              <w:right w:val="nil"/>
            </w:tcBorders>
            <w:shd w:val="clear" w:color="000000" w:fill="0070C0"/>
            <w:vAlign w:val="center"/>
            <w:hideMark/>
          </w:tcPr>
          <w:p w14:paraId="6CE08039" w14:textId="77777777" w:rsidR="00DF251A" w:rsidRPr="00521670" w:rsidRDefault="00DF251A" w:rsidP="00835292">
            <w:pPr>
              <w:pStyle w:val="Tablehead"/>
              <w:rPr>
                <w:szCs w:val="18"/>
                <w:lang w:val="ru-RU" w:eastAsia="en-GB"/>
              </w:rPr>
            </w:pPr>
            <w:r w:rsidRPr="00521670">
              <w:rPr>
                <w:rFonts w:cs="Calibri"/>
                <w:szCs w:val="18"/>
                <w:lang w:val="ru-RU"/>
              </w:rPr>
              <w:t xml:space="preserve">Машины </w:t>
            </w:r>
            <w:r w:rsidRPr="00521670">
              <w:rPr>
                <w:rFonts w:cs="Calibri"/>
                <w:szCs w:val="18"/>
                <w:lang w:val="ru-RU"/>
              </w:rPr>
              <w:br/>
              <w:t>и обору-дование</w:t>
            </w:r>
          </w:p>
        </w:tc>
        <w:tc>
          <w:tcPr>
            <w:tcW w:w="570" w:type="pct"/>
            <w:tcBorders>
              <w:top w:val="nil"/>
              <w:left w:val="nil"/>
              <w:bottom w:val="nil"/>
              <w:right w:val="nil"/>
            </w:tcBorders>
            <w:shd w:val="clear" w:color="000000" w:fill="0070C0"/>
            <w:vAlign w:val="center"/>
            <w:hideMark/>
          </w:tcPr>
          <w:p w14:paraId="7BA3F926" w14:textId="77777777" w:rsidR="00DF251A" w:rsidRPr="00521670" w:rsidRDefault="00DF251A" w:rsidP="00835292">
            <w:pPr>
              <w:pStyle w:val="Tablehead"/>
              <w:rPr>
                <w:szCs w:val="18"/>
                <w:lang w:val="ru-RU" w:eastAsia="en-GB"/>
              </w:rPr>
            </w:pPr>
            <w:r w:rsidRPr="00521670">
              <w:rPr>
                <w:rFonts w:cs="Calibri"/>
                <w:szCs w:val="18"/>
                <w:lang w:val="ru-RU"/>
              </w:rPr>
              <w:t xml:space="preserve">Мебель </w:t>
            </w:r>
            <w:r w:rsidRPr="00521670">
              <w:rPr>
                <w:rFonts w:cs="Calibri"/>
                <w:szCs w:val="18"/>
                <w:lang w:val="ru-RU"/>
              </w:rPr>
              <w:br/>
              <w:t>и устрой-ства</w:t>
            </w:r>
          </w:p>
        </w:tc>
        <w:tc>
          <w:tcPr>
            <w:tcW w:w="571" w:type="pct"/>
            <w:tcBorders>
              <w:top w:val="nil"/>
              <w:left w:val="nil"/>
              <w:bottom w:val="nil"/>
              <w:right w:val="nil"/>
            </w:tcBorders>
            <w:shd w:val="clear" w:color="000000" w:fill="0070C0"/>
            <w:vAlign w:val="center"/>
            <w:hideMark/>
          </w:tcPr>
          <w:p w14:paraId="5C9A1D1D" w14:textId="77777777" w:rsidR="00DF251A" w:rsidRPr="00521670" w:rsidRDefault="00DF251A" w:rsidP="00835292">
            <w:pPr>
              <w:pStyle w:val="Tablehead"/>
              <w:rPr>
                <w:szCs w:val="18"/>
                <w:lang w:val="ru-RU" w:eastAsia="en-GB"/>
              </w:rPr>
            </w:pPr>
            <w:r w:rsidRPr="00521670">
              <w:rPr>
                <w:rFonts w:cs="Calibri"/>
                <w:szCs w:val="18"/>
                <w:lang w:val="ru-RU"/>
              </w:rPr>
              <w:t>Компью-терное оборудо-вание</w:t>
            </w:r>
          </w:p>
        </w:tc>
        <w:tc>
          <w:tcPr>
            <w:tcW w:w="588" w:type="pct"/>
            <w:tcBorders>
              <w:top w:val="nil"/>
              <w:left w:val="nil"/>
              <w:bottom w:val="nil"/>
              <w:right w:val="nil"/>
            </w:tcBorders>
            <w:shd w:val="clear" w:color="000000" w:fill="0070C0"/>
            <w:vAlign w:val="center"/>
            <w:hideMark/>
          </w:tcPr>
          <w:p w14:paraId="1F5BDA8C" w14:textId="77777777" w:rsidR="00DF251A" w:rsidRPr="00521670" w:rsidRDefault="00DF251A" w:rsidP="00835292">
            <w:pPr>
              <w:pStyle w:val="Tablehead"/>
              <w:rPr>
                <w:szCs w:val="18"/>
                <w:lang w:val="ru-RU" w:eastAsia="en-GB"/>
              </w:rPr>
            </w:pPr>
            <w:r w:rsidRPr="00521670">
              <w:rPr>
                <w:rFonts w:cs="Calibri"/>
                <w:szCs w:val="18"/>
                <w:lang w:val="ru-RU"/>
              </w:rPr>
              <w:t>Автотранс-портные средства</w:t>
            </w:r>
          </w:p>
        </w:tc>
        <w:tc>
          <w:tcPr>
            <w:tcW w:w="569" w:type="pct"/>
            <w:tcBorders>
              <w:top w:val="nil"/>
              <w:left w:val="nil"/>
              <w:bottom w:val="nil"/>
              <w:right w:val="nil"/>
            </w:tcBorders>
            <w:shd w:val="clear" w:color="000000" w:fill="0070C0"/>
            <w:vAlign w:val="center"/>
            <w:hideMark/>
          </w:tcPr>
          <w:p w14:paraId="21DBEDC0" w14:textId="77777777" w:rsidR="00DF251A" w:rsidRPr="00521670" w:rsidRDefault="00DF251A" w:rsidP="00835292">
            <w:pPr>
              <w:pStyle w:val="Tablehead"/>
              <w:rPr>
                <w:szCs w:val="18"/>
                <w:lang w:val="ru-RU" w:eastAsia="en-GB"/>
              </w:rPr>
            </w:pPr>
            <w:r w:rsidRPr="00521670">
              <w:rPr>
                <w:szCs w:val="18"/>
                <w:lang w:val="ru-RU" w:eastAsia="en-GB"/>
              </w:rPr>
              <w:t>Всего 2023 г.</w:t>
            </w:r>
          </w:p>
        </w:tc>
      </w:tr>
      <w:tr w:rsidR="00DF251A" w:rsidRPr="00521670" w14:paraId="608FE7C4" w14:textId="77777777" w:rsidTr="009204C6">
        <w:trPr>
          <w:trHeight w:val="300"/>
          <w:jc w:val="center"/>
        </w:trPr>
        <w:tc>
          <w:tcPr>
            <w:tcW w:w="1563" w:type="pct"/>
            <w:tcBorders>
              <w:top w:val="nil"/>
              <w:left w:val="nil"/>
              <w:bottom w:val="nil"/>
              <w:right w:val="nil"/>
            </w:tcBorders>
            <w:shd w:val="clear" w:color="auto" w:fill="auto"/>
            <w:vAlign w:val="center"/>
            <w:hideMark/>
          </w:tcPr>
          <w:p w14:paraId="697D38D3" w14:textId="77777777" w:rsidR="00DF251A" w:rsidRPr="00521670" w:rsidRDefault="00DF251A" w:rsidP="009204C6">
            <w:pPr>
              <w:pStyle w:val="Tabletext"/>
              <w:keepNext/>
              <w:rPr>
                <w:b/>
                <w:bCs/>
                <w:szCs w:val="18"/>
                <w:lang w:val="ru-RU" w:eastAsia="en-GB"/>
              </w:rPr>
            </w:pPr>
            <w:r w:rsidRPr="00521670">
              <w:rPr>
                <w:rFonts w:cs="Calibri"/>
                <w:b/>
                <w:bCs/>
                <w:szCs w:val="18"/>
                <w:lang w:val="ru-RU"/>
              </w:rPr>
              <w:t>Стоимость на 1 января 2023 г.</w:t>
            </w:r>
          </w:p>
        </w:tc>
        <w:tc>
          <w:tcPr>
            <w:tcW w:w="569" w:type="pct"/>
            <w:tcBorders>
              <w:top w:val="nil"/>
              <w:left w:val="nil"/>
              <w:bottom w:val="nil"/>
              <w:right w:val="nil"/>
            </w:tcBorders>
            <w:shd w:val="clear" w:color="auto" w:fill="auto"/>
            <w:noWrap/>
            <w:vAlign w:val="bottom"/>
            <w:hideMark/>
          </w:tcPr>
          <w:p w14:paraId="03F9E194" w14:textId="77777777" w:rsidR="00DF251A" w:rsidRPr="00521670" w:rsidRDefault="00DF251A" w:rsidP="009204C6">
            <w:pPr>
              <w:pStyle w:val="Tabletext"/>
              <w:keepNext/>
              <w:jc w:val="right"/>
              <w:rPr>
                <w:b/>
                <w:bCs/>
                <w:szCs w:val="18"/>
                <w:lang w:val="ru-RU" w:eastAsia="en-GB"/>
              </w:rPr>
            </w:pPr>
            <w:r w:rsidRPr="00521670">
              <w:rPr>
                <w:szCs w:val="18"/>
                <w:lang w:val="ru-RU"/>
              </w:rPr>
              <w:t>126 344</w:t>
            </w:r>
          </w:p>
        </w:tc>
        <w:tc>
          <w:tcPr>
            <w:tcW w:w="570" w:type="pct"/>
            <w:tcBorders>
              <w:top w:val="nil"/>
              <w:left w:val="nil"/>
              <w:bottom w:val="nil"/>
              <w:right w:val="nil"/>
            </w:tcBorders>
            <w:shd w:val="clear" w:color="auto" w:fill="auto"/>
            <w:noWrap/>
            <w:vAlign w:val="bottom"/>
            <w:hideMark/>
          </w:tcPr>
          <w:p w14:paraId="244FA5F6" w14:textId="77777777" w:rsidR="00DF251A" w:rsidRPr="00521670" w:rsidRDefault="00DF251A" w:rsidP="009204C6">
            <w:pPr>
              <w:pStyle w:val="Tabletext"/>
              <w:keepNext/>
              <w:jc w:val="right"/>
              <w:rPr>
                <w:b/>
                <w:bCs/>
                <w:szCs w:val="18"/>
                <w:lang w:val="ru-RU" w:eastAsia="en-GB"/>
              </w:rPr>
            </w:pPr>
            <w:r w:rsidRPr="00521670">
              <w:rPr>
                <w:szCs w:val="18"/>
                <w:lang w:val="ru-RU"/>
              </w:rPr>
              <w:t>1 395</w:t>
            </w:r>
          </w:p>
        </w:tc>
        <w:tc>
          <w:tcPr>
            <w:tcW w:w="570" w:type="pct"/>
            <w:tcBorders>
              <w:top w:val="nil"/>
              <w:left w:val="nil"/>
              <w:bottom w:val="nil"/>
              <w:right w:val="nil"/>
            </w:tcBorders>
            <w:shd w:val="clear" w:color="auto" w:fill="auto"/>
            <w:noWrap/>
            <w:vAlign w:val="bottom"/>
            <w:hideMark/>
          </w:tcPr>
          <w:p w14:paraId="1E9E94E1" w14:textId="77777777" w:rsidR="00DF251A" w:rsidRPr="00521670" w:rsidRDefault="00DF251A" w:rsidP="009204C6">
            <w:pPr>
              <w:pStyle w:val="Tabletext"/>
              <w:keepNext/>
              <w:jc w:val="right"/>
              <w:rPr>
                <w:b/>
                <w:bCs/>
                <w:szCs w:val="18"/>
                <w:lang w:val="ru-RU" w:eastAsia="en-GB"/>
              </w:rPr>
            </w:pPr>
            <w:r w:rsidRPr="00521670">
              <w:rPr>
                <w:szCs w:val="18"/>
                <w:lang w:val="ru-RU"/>
              </w:rPr>
              <w:t>1 363</w:t>
            </w:r>
          </w:p>
        </w:tc>
        <w:tc>
          <w:tcPr>
            <w:tcW w:w="571" w:type="pct"/>
            <w:tcBorders>
              <w:top w:val="nil"/>
              <w:left w:val="nil"/>
              <w:bottom w:val="nil"/>
              <w:right w:val="nil"/>
            </w:tcBorders>
            <w:shd w:val="clear" w:color="auto" w:fill="auto"/>
            <w:noWrap/>
            <w:vAlign w:val="bottom"/>
            <w:hideMark/>
          </w:tcPr>
          <w:p w14:paraId="44C22C4B" w14:textId="77777777" w:rsidR="00DF251A" w:rsidRPr="00521670" w:rsidRDefault="00DF251A" w:rsidP="009204C6">
            <w:pPr>
              <w:pStyle w:val="Tabletext"/>
              <w:keepNext/>
              <w:jc w:val="right"/>
              <w:rPr>
                <w:b/>
                <w:bCs/>
                <w:szCs w:val="18"/>
                <w:lang w:val="ru-RU" w:eastAsia="en-GB"/>
              </w:rPr>
            </w:pPr>
            <w:r w:rsidRPr="00521670">
              <w:rPr>
                <w:szCs w:val="18"/>
                <w:lang w:val="ru-RU"/>
              </w:rPr>
              <w:t>7 205</w:t>
            </w:r>
          </w:p>
        </w:tc>
        <w:tc>
          <w:tcPr>
            <w:tcW w:w="588" w:type="pct"/>
            <w:tcBorders>
              <w:top w:val="nil"/>
              <w:left w:val="nil"/>
              <w:bottom w:val="nil"/>
              <w:right w:val="nil"/>
            </w:tcBorders>
            <w:shd w:val="clear" w:color="auto" w:fill="auto"/>
            <w:noWrap/>
            <w:vAlign w:val="bottom"/>
            <w:hideMark/>
          </w:tcPr>
          <w:p w14:paraId="682A07B2" w14:textId="77777777" w:rsidR="00DF251A" w:rsidRPr="00521670" w:rsidRDefault="00DF251A" w:rsidP="009204C6">
            <w:pPr>
              <w:pStyle w:val="Tabletext"/>
              <w:keepNext/>
              <w:jc w:val="right"/>
              <w:rPr>
                <w:b/>
                <w:bCs/>
                <w:szCs w:val="18"/>
                <w:lang w:val="ru-RU" w:eastAsia="en-GB"/>
              </w:rPr>
            </w:pPr>
            <w:r w:rsidRPr="00521670">
              <w:rPr>
                <w:szCs w:val="18"/>
                <w:lang w:val="ru-RU"/>
              </w:rPr>
              <w:t>296</w:t>
            </w:r>
          </w:p>
        </w:tc>
        <w:tc>
          <w:tcPr>
            <w:tcW w:w="569" w:type="pct"/>
            <w:tcBorders>
              <w:top w:val="nil"/>
              <w:left w:val="nil"/>
              <w:bottom w:val="nil"/>
              <w:right w:val="nil"/>
            </w:tcBorders>
            <w:shd w:val="clear" w:color="auto" w:fill="auto"/>
            <w:noWrap/>
            <w:vAlign w:val="bottom"/>
            <w:hideMark/>
          </w:tcPr>
          <w:p w14:paraId="2F761853" w14:textId="77777777" w:rsidR="00DF251A" w:rsidRPr="00521670" w:rsidRDefault="00DF251A" w:rsidP="009204C6">
            <w:pPr>
              <w:pStyle w:val="Tabletext"/>
              <w:keepNext/>
              <w:jc w:val="right"/>
              <w:rPr>
                <w:b/>
                <w:bCs/>
                <w:szCs w:val="18"/>
                <w:lang w:val="ru-RU" w:eastAsia="en-GB"/>
              </w:rPr>
            </w:pPr>
            <w:r w:rsidRPr="00521670">
              <w:rPr>
                <w:b/>
                <w:bCs/>
                <w:szCs w:val="18"/>
                <w:lang w:val="ru-RU"/>
              </w:rPr>
              <w:t>136 603</w:t>
            </w:r>
          </w:p>
        </w:tc>
      </w:tr>
      <w:tr w:rsidR="00DF251A" w:rsidRPr="00521670" w14:paraId="4E9627ED" w14:textId="77777777" w:rsidTr="009204C6">
        <w:trPr>
          <w:trHeight w:val="300"/>
          <w:jc w:val="center"/>
        </w:trPr>
        <w:tc>
          <w:tcPr>
            <w:tcW w:w="1563" w:type="pct"/>
            <w:tcBorders>
              <w:top w:val="nil"/>
              <w:left w:val="nil"/>
              <w:bottom w:val="nil"/>
              <w:right w:val="nil"/>
            </w:tcBorders>
            <w:shd w:val="clear" w:color="auto" w:fill="auto"/>
            <w:vAlign w:val="center"/>
            <w:hideMark/>
          </w:tcPr>
          <w:p w14:paraId="0BBB2C36" w14:textId="77777777" w:rsidR="00DF251A" w:rsidRPr="00521670" w:rsidRDefault="00DF251A" w:rsidP="009204C6">
            <w:pPr>
              <w:pStyle w:val="Tabletext"/>
              <w:keepNext/>
              <w:rPr>
                <w:szCs w:val="18"/>
                <w:lang w:val="ru-RU" w:eastAsia="en-GB"/>
              </w:rPr>
            </w:pPr>
            <w:r w:rsidRPr="00521670">
              <w:rPr>
                <w:rFonts w:cs="Calibri"/>
                <w:szCs w:val="18"/>
                <w:lang w:val="ru-RU"/>
              </w:rPr>
              <w:t>Дополнения</w:t>
            </w:r>
          </w:p>
        </w:tc>
        <w:tc>
          <w:tcPr>
            <w:tcW w:w="569" w:type="pct"/>
            <w:tcBorders>
              <w:top w:val="nil"/>
              <w:left w:val="nil"/>
              <w:bottom w:val="nil"/>
              <w:right w:val="nil"/>
            </w:tcBorders>
            <w:shd w:val="clear" w:color="auto" w:fill="auto"/>
            <w:noWrap/>
            <w:vAlign w:val="bottom"/>
            <w:hideMark/>
          </w:tcPr>
          <w:p w14:paraId="269BDD93" w14:textId="77777777" w:rsidR="00DF251A" w:rsidRPr="00521670" w:rsidRDefault="00DF251A" w:rsidP="009204C6">
            <w:pPr>
              <w:pStyle w:val="Tabletext"/>
              <w:keepNext/>
              <w:jc w:val="right"/>
              <w:rPr>
                <w:szCs w:val="18"/>
                <w:lang w:val="ru-RU" w:eastAsia="en-GB"/>
              </w:rPr>
            </w:pPr>
            <w:r w:rsidRPr="00521670">
              <w:rPr>
                <w:szCs w:val="18"/>
                <w:lang w:val="ru-RU"/>
              </w:rPr>
              <w:t>18</w:t>
            </w:r>
          </w:p>
        </w:tc>
        <w:tc>
          <w:tcPr>
            <w:tcW w:w="570" w:type="pct"/>
            <w:tcBorders>
              <w:top w:val="nil"/>
              <w:left w:val="nil"/>
              <w:bottom w:val="nil"/>
              <w:right w:val="nil"/>
            </w:tcBorders>
            <w:shd w:val="clear" w:color="auto" w:fill="auto"/>
            <w:noWrap/>
            <w:vAlign w:val="bottom"/>
            <w:hideMark/>
          </w:tcPr>
          <w:p w14:paraId="44900E98" w14:textId="77777777" w:rsidR="00DF251A" w:rsidRPr="00521670" w:rsidRDefault="00DF251A" w:rsidP="009204C6">
            <w:pPr>
              <w:pStyle w:val="Tabletext"/>
              <w:keepNext/>
              <w:jc w:val="right"/>
              <w:rPr>
                <w:szCs w:val="18"/>
                <w:lang w:val="ru-RU" w:eastAsia="en-GB"/>
              </w:rPr>
            </w:pPr>
            <w:r w:rsidRPr="00521670">
              <w:rPr>
                <w:szCs w:val="18"/>
                <w:lang w:val="ru-RU"/>
              </w:rPr>
              <w:t>5</w:t>
            </w:r>
          </w:p>
        </w:tc>
        <w:tc>
          <w:tcPr>
            <w:tcW w:w="570" w:type="pct"/>
            <w:tcBorders>
              <w:top w:val="nil"/>
              <w:left w:val="nil"/>
              <w:bottom w:val="nil"/>
              <w:right w:val="nil"/>
            </w:tcBorders>
            <w:shd w:val="clear" w:color="auto" w:fill="auto"/>
            <w:noWrap/>
            <w:vAlign w:val="bottom"/>
            <w:hideMark/>
          </w:tcPr>
          <w:p w14:paraId="658CADEA" w14:textId="77777777" w:rsidR="00DF251A" w:rsidRPr="00521670" w:rsidRDefault="00DF251A" w:rsidP="009204C6">
            <w:pPr>
              <w:pStyle w:val="Tabletext"/>
              <w:keepNext/>
              <w:jc w:val="right"/>
              <w:rPr>
                <w:szCs w:val="18"/>
                <w:lang w:val="ru-RU" w:eastAsia="en-GB"/>
              </w:rPr>
            </w:pPr>
            <w:r w:rsidRPr="00521670">
              <w:rPr>
                <w:szCs w:val="18"/>
                <w:lang w:val="ru-RU" w:eastAsia="en-GB"/>
              </w:rPr>
              <w:t>7</w:t>
            </w:r>
          </w:p>
        </w:tc>
        <w:tc>
          <w:tcPr>
            <w:tcW w:w="571" w:type="pct"/>
            <w:tcBorders>
              <w:top w:val="nil"/>
              <w:left w:val="nil"/>
              <w:bottom w:val="nil"/>
              <w:right w:val="nil"/>
            </w:tcBorders>
            <w:shd w:val="clear" w:color="auto" w:fill="auto"/>
            <w:noWrap/>
            <w:vAlign w:val="bottom"/>
            <w:hideMark/>
          </w:tcPr>
          <w:p w14:paraId="60F8DBE6" w14:textId="77777777" w:rsidR="00DF251A" w:rsidRPr="00521670" w:rsidRDefault="00DF251A" w:rsidP="009204C6">
            <w:pPr>
              <w:pStyle w:val="Tabletext"/>
              <w:keepNext/>
              <w:jc w:val="right"/>
              <w:rPr>
                <w:szCs w:val="18"/>
                <w:lang w:val="ru-RU" w:eastAsia="en-GB"/>
              </w:rPr>
            </w:pPr>
            <w:r w:rsidRPr="00521670">
              <w:rPr>
                <w:szCs w:val="18"/>
                <w:lang w:val="ru-RU"/>
              </w:rPr>
              <w:t>62</w:t>
            </w:r>
          </w:p>
        </w:tc>
        <w:tc>
          <w:tcPr>
            <w:tcW w:w="588" w:type="pct"/>
            <w:tcBorders>
              <w:top w:val="nil"/>
              <w:left w:val="nil"/>
              <w:bottom w:val="nil"/>
              <w:right w:val="nil"/>
            </w:tcBorders>
            <w:shd w:val="clear" w:color="auto" w:fill="auto"/>
            <w:noWrap/>
            <w:vAlign w:val="bottom"/>
            <w:hideMark/>
          </w:tcPr>
          <w:p w14:paraId="4618E3FD" w14:textId="77777777" w:rsidR="00DF251A" w:rsidRPr="00521670" w:rsidRDefault="00DF251A" w:rsidP="009204C6">
            <w:pPr>
              <w:pStyle w:val="Tabletext"/>
              <w:keepNext/>
              <w:jc w:val="right"/>
              <w:rPr>
                <w:szCs w:val="18"/>
                <w:lang w:val="ru-RU" w:eastAsia="en-GB"/>
              </w:rPr>
            </w:pPr>
            <w:r w:rsidRPr="00521670">
              <w:rPr>
                <w:szCs w:val="18"/>
                <w:lang w:val="ru-RU" w:eastAsia="en-GB"/>
              </w:rPr>
              <w:t>−</w:t>
            </w:r>
          </w:p>
        </w:tc>
        <w:tc>
          <w:tcPr>
            <w:tcW w:w="569" w:type="pct"/>
            <w:tcBorders>
              <w:top w:val="nil"/>
              <w:left w:val="nil"/>
              <w:bottom w:val="nil"/>
              <w:right w:val="nil"/>
            </w:tcBorders>
            <w:shd w:val="clear" w:color="auto" w:fill="auto"/>
            <w:noWrap/>
            <w:vAlign w:val="bottom"/>
            <w:hideMark/>
          </w:tcPr>
          <w:p w14:paraId="43EF4E28" w14:textId="77777777" w:rsidR="00DF251A" w:rsidRPr="00521670" w:rsidRDefault="00DF251A" w:rsidP="009204C6">
            <w:pPr>
              <w:pStyle w:val="Tabletext"/>
              <w:keepNext/>
              <w:jc w:val="right"/>
              <w:rPr>
                <w:b/>
                <w:bCs/>
                <w:szCs w:val="18"/>
                <w:lang w:val="ru-RU" w:eastAsia="en-GB"/>
              </w:rPr>
            </w:pPr>
            <w:r w:rsidRPr="00521670">
              <w:rPr>
                <w:b/>
                <w:bCs/>
                <w:szCs w:val="18"/>
                <w:lang w:val="ru-RU"/>
              </w:rPr>
              <w:t>93</w:t>
            </w:r>
          </w:p>
        </w:tc>
      </w:tr>
      <w:tr w:rsidR="00DF251A" w:rsidRPr="00521670" w14:paraId="4AD62677" w14:textId="77777777" w:rsidTr="009204C6">
        <w:trPr>
          <w:trHeight w:val="300"/>
          <w:jc w:val="center"/>
        </w:trPr>
        <w:tc>
          <w:tcPr>
            <w:tcW w:w="1563" w:type="pct"/>
            <w:tcBorders>
              <w:top w:val="nil"/>
              <w:left w:val="nil"/>
              <w:bottom w:val="nil"/>
              <w:right w:val="nil"/>
            </w:tcBorders>
            <w:shd w:val="clear" w:color="auto" w:fill="auto"/>
            <w:vAlign w:val="center"/>
          </w:tcPr>
          <w:p w14:paraId="71868F4E" w14:textId="77777777" w:rsidR="00DF251A" w:rsidRPr="00521670" w:rsidRDefault="00DF251A" w:rsidP="009204C6">
            <w:pPr>
              <w:pStyle w:val="Tabletext"/>
              <w:keepNext/>
              <w:rPr>
                <w:rFonts w:cs="Calibri"/>
                <w:szCs w:val="18"/>
                <w:lang w:val="ru-RU"/>
              </w:rPr>
            </w:pPr>
            <w:r w:rsidRPr="00521670">
              <w:rPr>
                <w:rFonts w:cs="Calibri"/>
                <w:szCs w:val="18"/>
                <w:lang w:val="ru-RU"/>
              </w:rPr>
              <w:t>Выбытие</w:t>
            </w:r>
          </w:p>
        </w:tc>
        <w:tc>
          <w:tcPr>
            <w:tcW w:w="569" w:type="pct"/>
            <w:tcBorders>
              <w:top w:val="nil"/>
              <w:left w:val="nil"/>
              <w:bottom w:val="nil"/>
              <w:right w:val="nil"/>
            </w:tcBorders>
            <w:shd w:val="clear" w:color="auto" w:fill="auto"/>
            <w:noWrap/>
            <w:vAlign w:val="bottom"/>
          </w:tcPr>
          <w:p w14:paraId="523485DE" w14:textId="77777777" w:rsidR="00DF251A" w:rsidRPr="00521670" w:rsidRDefault="00DF251A" w:rsidP="009204C6">
            <w:pPr>
              <w:pStyle w:val="Tabletext"/>
              <w:keepNext/>
              <w:jc w:val="right"/>
              <w:rPr>
                <w:szCs w:val="18"/>
                <w:lang w:val="ru-RU" w:eastAsia="en-GB"/>
              </w:rPr>
            </w:pPr>
            <w:r w:rsidRPr="00521670">
              <w:rPr>
                <w:szCs w:val="18"/>
                <w:lang w:val="ru-RU" w:eastAsia="en-GB"/>
              </w:rPr>
              <w:t>−</w:t>
            </w:r>
          </w:p>
        </w:tc>
        <w:tc>
          <w:tcPr>
            <w:tcW w:w="570" w:type="pct"/>
            <w:tcBorders>
              <w:top w:val="nil"/>
              <w:left w:val="nil"/>
              <w:bottom w:val="nil"/>
              <w:right w:val="nil"/>
            </w:tcBorders>
            <w:shd w:val="clear" w:color="auto" w:fill="auto"/>
            <w:noWrap/>
            <w:vAlign w:val="bottom"/>
          </w:tcPr>
          <w:p w14:paraId="44006A18" w14:textId="77777777" w:rsidR="00DF251A" w:rsidRPr="00521670" w:rsidRDefault="00DF251A" w:rsidP="009204C6">
            <w:pPr>
              <w:pStyle w:val="Tabletext"/>
              <w:keepNext/>
              <w:jc w:val="right"/>
              <w:rPr>
                <w:szCs w:val="18"/>
                <w:lang w:val="ru-RU" w:eastAsia="en-GB"/>
              </w:rPr>
            </w:pPr>
            <w:r w:rsidRPr="00521670">
              <w:rPr>
                <w:szCs w:val="18"/>
                <w:lang w:val="ru-RU"/>
              </w:rPr>
              <w:t>(302)</w:t>
            </w:r>
          </w:p>
        </w:tc>
        <w:tc>
          <w:tcPr>
            <w:tcW w:w="570" w:type="pct"/>
            <w:tcBorders>
              <w:top w:val="nil"/>
              <w:left w:val="nil"/>
              <w:bottom w:val="nil"/>
              <w:right w:val="nil"/>
            </w:tcBorders>
            <w:shd w:val="clear" w:color="auto" w:fill="auto"/>
            <w:noWrap/>
            <w:vAlign w:val="bottom"/>
          </w:tcPr>
          <w:p w14:paraId="5EF2E964" w14:textId="77777777" w:rsidR="00DF251A" w:rsidRPr="00521670" w:rsidRDefault="00DF251A" w:rsidP="009204C6">
            <w:pPr>
              <w:pStyle w:val="Tabletext"/>
              <w:keepNext/>
              <w:jc w:val="right"/>
              <w:rPr>
                <w:szCs w:val="18"/>
                <w:lang w:val="ru-RU" w:eastAsia="en-GB"/>
              </w:rPr>
            </w:pPr>
            <w:r w:rsidRPr="00521670">
              <w:rPr>
                <w:szCs w:val="18"/>
                <w:lang w:val="ru-RU"/>
              </w:rPr>
              <w:t>(24)</w:t>
            </w:r>
          </w:p>
        </w:tc>
        <w:tc>
          <w:tcPr>
            <w:tcW w:w="571" w:type="pct"/>
            <w:tcBorders>
              <w:top w:val="nil"/>
              <w:left w:val="nil"/>
              <w:bottom w:val="nil"/>
              <w:right w:val="nil"/>
            </w:tcBorders>
            <w:shd w:val="clear" w:color="auto" w:fill="auto"/>
            <w:noWrap/>
            <w:vAlign w:val="bottom"/>
          </w:tcPr>
          <w:p w14:paraId="27F096E4" w14:textId="77777777" w:rsidR="00DF251A" w:rsidRPr="00521670" w:rsidRDefault="00DF251A" w:rsidP="009204C6">
            <w:pPr>
              <w:pStyle w:val="Tabletext"/>
              <w:keepNext/>
              <w:jc w:val="right"/>
              <w:rPr>
                <w:szCs w:val="18"/>
                <w:lang w:val="ru-RU" w:eastAsia="en-GB"/>
              </w:rPr>
            </w:pPr>
            <w:r w:rsidRPr="00521670">
              <w:rPr>
                <w:szCs w:val="18"/>
                <w:lang w:val="ru-RU"/>
              </w:rPr>
              <w:t>(531)</w:t>
            </w:r>
          </w:p>
        </w:tc>
        <w:tc>
          <w:tcPr>
            <w:tcW w:w="588" w:type="pct"/>
            <w:tcBorders>
              <w:top w:val="nil"/>
              <w:left w:val="nil"/>
              <w:bottom w:val="nil"/>
              <w:right w:val="nil"/>
            </w:tcBorders>
            <w:shd w:val="clear" w:color="auto" w:fill="auto"/>
            <w:noWrap/>
            <w:vAlign w:val="bottom"/>
          </w:tcPr>
          <w:p w14:paraId="53D98271" w14:textId="77777777" w:rsidR="00DF251A" w:rsidRPr="00521670" w:rsidRDefault="00DF251A" w:rsidP="009204C6">
            <w:pPr>
              <w:pStyle w:val="Tabletext"/>
              <w:keepNext/>
              <w:jc w:val="right"/>
              <w:rPr>
                <w:szCs w:val="18"/>
                <w:lang w:val="ru-RU" w:eastAsia="en-GB"/>
              </w:rPr>
            </w:pPr>
            <w:r w:rsidRPr="00521670">
              <w:rPr>
                <w:szCs w:val="18"/>
                <w:lang w:val="ru-RU" w:eastAsia="en-GB"/>
              </w:rPr>
              <w:t>−</w:t>
            </w:r>
          </w:p>
        </w:tc>
        <w:tc>
          <w:tcPr>
            <w:tcW w:w="569" w:type="pct"/>
            <w:tcBorders>
              <w:top w:val="nil"/>
              <w:left w:val="nil"/>
              <w:bottom w:val="nil"/>
              <w:right w:val="nil"/>
            </w:tcBorders>
            <w:shd w:val="clear" w:color="auto" w:fill="auto"/>
            <w:noWrap/>
            <w:vAlign w:val="bottom"/>
          </w:tcPr>
          <w:p w14:paraId="5A6E0C2E" w14:textId="77777777" w:rsidR="00DF251A" w:rsidRPr="00521670" w:rsidRDefault="00DF251A" w:rsidP="009204C6">
            <w:pPr>
              <w:pStyle w:val="Tabletext"/>
              <w:keepNext/>
              <w:jc w:val="right"/>
              <w:rPr>
                <w:b/>
                <w:bCs/>
                <w:szCs w:val="18"/>
                <w:lang w:val="ru-RU" w:eastAsia="en-GB"/>
              </w:rPr>
            </w:pPr>
            <w:r w:rsidRPr="00521670">
              <w:rPr>
                <w:b/>
                <w:bCs/>
                <w:szCs w:val="18"/>
                <w:lang w:val="ru-RU"/>
              </w:rPr>
              <w:t>(857)</w:t>
            </w:r>
          </w:p>
        </w:tc>
      </w:tr>
      <w:tr w:rsidR="00DF251A" w:rsidRPr="00521670" w14:paraId="14D028F5" w14:textId="77777777" w:rsidTr="009204C6">
        <w:trPr>
          <w:trHeight w:val="300"/>
          <w:jc w:val="center"/>
        </w:trPr>
        <w:tc>
          <w:tcPr>
            <w:tcW w:w="1563" w:type="pct"/>
            <w:tcBorders>
              <w:top w:val="nil"/>
              <w:left w:val="nil"/>
              <w:bottom w:val="nil"/>
              <w:right w:val="nil"/>
            </w:tcBorders>
            <w:shd w:val="clear" w:color="auto" w:fill="auto"/>
            <w:vAlign w:val="center"/>
            <w:hideMark/>
          </w:tcPr>
          <w:p w14:paraId="148E7056" w14:textId="77777777" w:rsidR="00DF251A" w:rsidRPr="00521670" w:rsidRDefault="00DF251A" w:rsidP="009204C6">
            <w:pPr>
              <w:pStyle w:val="Tabletext"/>
              <w:keepNext/>
              <w:rPr>
                <w:szCs w:val="18"/>
                <w:lang w:val="ru-RU" w:eastAsia="en-GB"/>
              </w:rPr>
            </w:pPr>
            <w:r w:rsidRPr="00521670">
              <w:rPr>
                <w:szCs w:val="18"/>
                <w:lang w:val="ru-RU"/>
              </w:rPr>
              <w:t>Переводы в другие категории</w:t>
            </w:r>
          </w:p>
        </w:tc>
        <w:tc>
          <w:tcPr>
            <w:tcW w:w="569" w:type="pct"/>
            <w:tcBorders>
              <w:top w:val="nil"/>
              <w:left w:val="nil"/>
              <w:bottom w:val="nil"/>
              <w:right w:val="nil"/>
            </w:tcBorders>
            <w:shd w:val="clear" w:color="auto" w:fill="auto"/>
            <w:noWrap/>
            <w:vAlign w:val="bottom"/>
            <w:hideMark/>
          </w:tcPr>
          <w:p w14:paraId="37784332" w14:textId="77777777" w:rsidR="00DF251A" w:rsidRPr="00521670" w:rsidRDefault="00DF251A" w:rsidP="009204C6">
            <w:pPr>
              <w:pStyle w:val="Tabletext"/>
              <w:keepNext/>
              <w:jc w:val="right"/>
              <w:rPr>
                <w:szCs w:val="18"/>
                <w:lang w:val="ru-RU" w:eastAsia="en-GB"/>
              </w:rPr>
            </w:pPr>
            <w:r w:rsidRPr="00521670">
              <w:rPr>
                <w:szCs w:val="18"/>
                <w:lang w:val="ru-RU"/>
              </w:rPr>
              <w:t>39</w:t>
            </w:r>
          </w:p>
        </w:tc>
        <w:tc>
          <w:tcPr>
            <w:tcW w:w="570" w:type="pct"/>
            <w:tcBorders>
              <w:top w:val="nil"/>
              <w:left w:val="nil"/>
              <w:bottom w:val="nil"/>
              <w:right w:val="nil"/>
            </w:tcBorders>
            <w:shd w:val="clear" w:color="auto" w:fill="auto"/>
            <w:noWrap/>
            <w:vAlign w:val="bottom"/>
            <w:hideMark/>
          </w:tcPr>
          <w:p w14:paraId="1BB6B899" w14:textId="77777777" w:rsidR="00DF251A" w:rsidRPr="00521670" w:rsidRDefault="00DF251A" w:rsidP="009204C6">
            <w:pPr>
              <w:pStyle w:val="Tabletext"/>
              <w:keepNext/>
              <w:jc w:val="right"/>
              <w:rPr>
                <w:szCs w:val="18"/>
                <w:lang w:val="ru-RU" w:eastAsia="en-GB"/>
              </w:rPr>
            </w:pPr>
            <w:r w:rsidRPr="00521670">
              <w:rPr>
                <w:szCs w:val="18"/>
                <w:lang w:val="ru-RU"/>
              </w:rPr>
              <w:t>22</w:t>
            </w:r>
          </w:p>
        </w:tc>
        <w:tc>
          <w:tcPr>
            <w:tcW w:w="570" w:type="pct"/>
            <w:tcBorders>
              <w:top w:val="nil"/>
              <w:left w:val="nil"/>
              <w:bottom w:val="nil"/>
              <w:right w:val="nil"/>
            </w:tcBorders>
            <w:shd w:val="clear" w:color="auto" w:fill="auto"/>
            <w:noWrap/>
            <w:vAlign w:val="bottom"/>
            <w:hideMark/>
          </w:tcPr>
          <w:p w14:paraId="4BD47A7B" w14:textId="77777777" w:rsidR="00DF251A" w:rsidRPr="00521670" w:rsidRDefault="00DF251A" w:rsidP="009204C6">
            <w:pPr>
              <w:pStyle w:val="Tabletext"/>
              <w:keepNext/>
              <w:jc w:val="right"/>
              <w:rPr>
                <w:szCs w:val="18"/>
                <w:lang w:val="ru-RU" w:eastAsia="en-GB"/>
              </w:rPr>
            </w:pPr>
            <w:r w:rsidRPr="00521670">
              <w:rPr>
                <w:szCs w:val="18"/>
                <w:lang w:val="ru-RU" w:eastAsia="en-GB"/>
              </w:rPr>
              <w:t>−</w:t>
            </w:r>
          </w:p>
        </w:tc>
        <w:tc>
          <w:tcPr>
            <w:tcW w:w="571" w:type="pct"/>
            <w:tcBorders>
              <w:top w:val="nil"/>
              <w:left w:val="nil"/>
              <w:bottom w:val="nil"/>
              <w:right w:val="nil"/>
            </w:tcBorders>
            <w:shd w:val="clear" w:color="auto" w:fill="auto"/>
            <w:noWrap/>
            <w:vAlign w:val="bottom"/>
            <w:hideMark/>
          </w:tcPr>
          <w:p w14:paraId="316BA3AA" w14:textId="77777777" w:rsidR="00DF251A" w:rsidRPr="00521670" w:rsidRDefault="00DF251A" w:rsidP="009204C6">
            <w:pPr>
              <w:pStyle w:val="Tabletext"/>
              <w:keepNext/>
              <w:jc w:val="right"/>
              <w:rPr>
                <w:szCs w:val="18"/>
                <w:lang w:val="ru-RU" w:eastAsia="en-GB"/>
              </w:rPr>
            </w:pPr>
            <w:r w:rsidRPr="00521670">
              <w:rPr>
                <w:szCs w:val="18"/>
                <w:lang w:val="ru-RU" w:eastAsia="en-GB"/>
              </w:rPr>
              <w:t>−</w:t>
            </w:r>
          </w:p>
        </w:tc>
        <w:tc>
          <w:tcPr>
            <w:tcW w:w="588" w:type="pct"/>
            <w:tcBorders>
              <w:top w:val="nil"/>
              <w:left w:val="nil"/>
              <w:bottom w:val="nil"/>
              <w:right w:val="nil"/>
            </w:tcBorders>
            <w:shd w:val="clear" w:color="auto" w:fill="auto"/>
            <w:noWrap/>
            <w:vAlign w:val="bottom"/>
            <w:hideMark/>
          </w:tcPr>
          <w:p w14:paraId="09728894" w14:textId="77777777" w:rsidR="00DF251A" w:rsidRPr="00521670" w:rsidRDefault="00DF251A" w:rsidP="009204C6">
            <w:pPr>
              <w:pStyle w:val="Tabletext"/>
              <w:keepNext/>
              <w:jc w:val="right"/>
              <w:rPr>
                <w:szCs w:val="18"/>
                <w:lang w:val="ru-RU" w:eastAsia="en-GB"/>
              </w:rPr>
            </w:pPr>
            <w:r w:rsidRPr="00521670">
              <w:rPr>
                <w:szCs w:val="18"/>
                <w:lang w:val="ru-RU" w:eastAsia="en-GB"/>
              </w:rPr>
              <w:t>−</w:t>
            </w:r>
          </w:p>
        </w:tc>
        <w:tc>
          <w:tcPr>
            <w:tcW w:w="569" w:type="pct"/>
            <w:tcBorders>
              <w:top w:val="nil"/>
              <w:left w:val="nil"/>
              <w:bottom w:val="nil"/>
              <w:right w:val="nil"/>
            </w:tcBorders>
            <w:shd w:val="clear" w:color="auto" w:fill="auto"/>
            <w:noWrap/>
            <w:vAlign w:val="bottom"/>
            <w:hideMark/>
          </w:tcPr>
          <w:p w14:paraId="09EE44C0" w14:textId="77777777" w:rsidR="00DF251A" w:rsidRPr="00521670" w:rsidRDefault="00DF251A" w:rsidP="009204C6">
            <w:pPr>
              <w:pStyle w:val="Tabletext"/>
              <w:keepNext/>
              <w:jc w:val="right"/>
              <w:rPr>
                <w:b/>
                <w:bCs/>
                <w:szCs w:val="18"/>
                <w:lang w:val="ru-RU" w:eastAsia="en-GB"/>
              </w:rPr>
            </w:pPr>
            <w:r w:rsidRPr="00521670">
              <w:rPr>
                <w:b/>
                <w:bCs/>
                <w:szCs w:val="18"/>
                <w:lang w:val="ru-RU"/>
              </w:rPr>
              <w:t>61</w:t>
            </w:r>
          </w:p>
        </w:tc>
      </w:tr>
      <w:tr w:rsidR="00DF251A" w:rsidRPr="00521670" w14:paraId="7D9AFB6C" w14:textId="77777777" w:rsidTr="009204C6">
        <w:trPr>
          <w:trHeight w:val="300"/>
          <w:jc w:val="center"/>
        </w:trPr>
        <w:tc>
          <w:tcPr>
            <w:tcW w:w="1563" w:type="pct"/>
            <w:tcBorders>
              <w:top w:val="nil"/>
              <w:left w:val="nil"/>
              <w:bottom w:val="nil"/>
              <w:right w:val="nil"/>
            </w:tcBorders>
            <w:shd w:val="clear" w:color="auto" w:fill="auto"/>
            <w:vAlign w:val="center"/>
            <w:hideMark/>
          </w:tcPr>
          <w:p w14:paraId="10C0031E" w14:textId="77777777" w:rsidR="00DF251A" w:rsidRPr="00521670" w:rsidRDefault="00DF251A" w:rsidP="009204C6">
            <w:pPr>
              <w:pStyle w:val="Tabletext"/>
              <w:keepNext/>
              <w:rPr>
                <w:b/>
                <w:bCs/>
                <w:szCs w:val="18"/>
                <w:lang w:val="ru-RU" w:eastAsia="en-GB"/>
              </w:rPr>
            </w:pPr>
            <w:r w:rsidRPr="00521670">
              <w:rPr>
                <w:rFonts w:cs="Calibri"/>
                <w:b/>
                <w:bCs/>
                <w:szCs w:val="18"/>
                <w:lang w:val="ru-RU"/>
              </w:rPr>
              <w:t>Стоимость на 31 декабря 2023 г.</w:t>
            </w:r>
          </w:p>
        </w:tc>
        <w:tc>
          <w:tcPr>
            <w:tcW w:w="569" w:type="pct"/>
            <w:tcBorders>
              <w:top w:val="nil"/>
              <w:left w:val="nil"/>
              <w:bottom w:val="nil"/>
              <w:right w:val="nil"/>
            </w:tcBorders>
            <w:shd w:val="clear" w:color="auto" w:fill="auto"/>
            <w:noWrap/>
            <w:vAlign w:val="bottom"/>
            <w:hideMark/>
          </w:tcPr>
          <w:p w14:paraId="31444DA5" w14:textId="77777777" w:rsidR="00DF251A" w:rsidRPr="00521670" w:rsidRDefault="00DF251A" w:rsidP="009204C6">
            <w:pPr>
              <w:pStyle w:val="Tabletext"/>
              <w:keepNext/>
              <w:jc w:val="right"/>
              <w:rPr>
                <w:b/>
                <w:bCs/>
                <w:szCs w:val="18"/>
                <w:lang w:val="ru-RU" w:eastAsia="en-GB"/>
              </w:rPr>
            </w:pPr>
            <w:r w:rsidRPr="00521670">
              <w:rPr>
                <w:b/>
                <w:bCs/>
                <w:szCs w:val="18"/>
                <w:lang w:val="ru-RU"/>
              </w:rPr>
              <w:t>126 402</w:t>
            </w:r>
          </w:p>
        </w:tc>
        <w:tc>
          <w:tcPr>
            <w:tcW w:w="570" w:type="pct"/>
            <w:tcBorders>
              <w:top w:val="nil"/>
              <w:left w:val="nil"/>
              <w:bottom w:val="nil"/>
              <w:right w:val="nil"/>
            </w:tcBorders>
            <w:shd w:val="clear" w:color="auto" w:fill="auto"/>
            <w:noWrap/>
            <w:vAlign w:val="bottom"/>
            <w:hideMark/>
          </w:tcPr>
          <w:p w14:paraId="2463922D" w14:textId="77777777" w:rsidR="00DF251A" w:rsidRPr="00521670" w:rsidRDefault="00DF251A" w:rsidP="00773693">
            <w:pPr>
              <w:pStyle w:val="Tabletext"/>
              <w:keepNext/>
              <w:jc w:val="right"/>
              <w:rPr>
                <w:b/>
                <w:bCs/>
                <w:szCs w:val="18"/>
                <w:lang w:val="ru-RU" w:eastAsia="en-GB"/>
              </w:rPr>
            </w:pPr>
            <w:r w:rsidRPr="00521670">
              <w:rPr>
                <w:b/>
                <w:bCs/>
                <w:szCs w:val="18"/>
                <w:lang w:val="ru-RU"/>
              </w:rPr>
              <w:t>1 121</w:t>
            </w:r>
          </w:p>
        </w:tc>
        <w:tc>
          <w:tcPr>
            <w:tcW w:w="570" w:type="pct"/>
            <w:tcBorders>
              <w:top w:val="nil"/>
              <w:left w:val="nil"/>
              <w:bottom w:val="nil"/>
              <w:right w:val="nil"/>
            </w:tcBorders>
            <w:shd w:val="clear" w:color="auto" w:fill="auto"/>
            <w:noWrap/>
            <w:vAlign w:val="bottom"/>
            <w:hideMark/>
          </w:tcPr>
          <w:p w14:paraId="1AEB9D05" w14:textId="77777777" w:rsidR="00DF251A" w:rsidRPr="00521670" w:rsidRDefault="00DF251A" w:rsidP="00773693">
            <w:pPr>
              <w:pStyle w:val="Tabletext"/>
              <w:keepNext/>
              <w:jc w:val="right"/>
              <w:rPr>
                <w:b/>
                <w:bCs/>
                <w:szCs w:val="18"/>
                <w:lang w:val="ru-RU" w:eastAsia="en-GB"/>
              </w:rPr>
            </w:pPr>
            <w:r w:rsidRPr="00521670">
              <w:rPr>
                <w:b/>
                <w:bCs/>
                <w:szCs w:val="18"/>
                <w:lang w:val="ru-RU"/>
              </w:rPr>
              <w:t>1 346</w:t>
            </w:r>
          </w:p>
        </w:tc>
        <w:tc>
          <w:tcPr>
            <w:tcW w:w="571" w:type="pct"/>
            <w:tcBorders>
              <w:top w:val="nil"/>
              <w:left w:val="nil"/>
              <w:bottom w:val="nil"/>
              <w:right w:val="nil"/>
            </w:tcBorders>
            <w:shd w:val="clear" w:color="auto" w:fill="auto"/>
            <w:noWrap/>
            <w:vAlign w:val="bottom"/>
            <w:hideMark/>
          </w:tcPr>
          <w:p w14:paraId="5BF38608" w14:textId="77777777" w:rsidR="00DF251A" w:rsidRPr="00521670" w:rsidRDefault="00DF251A" w:rsidP="009204C6">
            <w:pPr>
              <w:pStyle w:val="Tabletext"/>
              <w:keepNext/>
              <w:jc w:val="right"/>
              <w:rPr>
                <w:b/>
                <w:bCs/>
                <w:szCs w:val="18"/>
                <w:lang w:val="ru-RU" w:eastAsia="en-GB"/>
              </w:rPr>
            </w:pPr>
            <w:r w:rsidRPr="00521670">
              <w:rPr>
                <w:b/>
                <w:bCs/>
                <w:szCs w:val="18"/>
                <w:lang w:val="ru-RU"/>
              </w:rPr>
              <w:t>6 736</w:t>
            </w:r>
          </w:p>
        </w:tc>
        <w:tc>
          <w:tcPr>
            <w:tcW w:w="588" w:type="pct"/>
            <w:tcBorders>
              <w:top w:val="nil"/>
              <w:left w:val="nil"/>
              <w:bottom w:val="nil"/>
              <w:right w:val="nil"/>
            </w:tcBorders>
            <w:shd w:val="clear" w:color="auto" w:fill="auto"/>
            <w:noWrap/>
            <w:vAlign w:val="bottom"/>
            <w:hideMark/>
          </w:tcPr>
          <w:p w14:paraId="2869CA1B" w14:textId="77777777" w:rsidR="00DF251A" w:rsidRPr="00521670" w:rsidRDefault="00DF251A" w:rsidP="009204C6">
            <w:pPr>
              <w:pStyle w:val="Tabletext"/>
              <w:keepNext/>
              <w:jc w:val="right"/>
              <w:rPr>
                <w:b/>
                <w:bCs/>
                <w:szCs w:val="18"/>
                <w:lang w:val="ru-RU" w:eastAsia="en-GB"/>
              </w:rPr>
            </w:pPr>
            <w:r w:rsidRPr="00521670">
              <w:rPr>
                <w:b/>
                <w:bCs/>
                <w:szCs w:val="18"/>
                <w:lang w:val="ru-RU"/>
              </w:rPr>
              <w:t>296</w:t>
            </w:r>
          </w:p>
        </w:tc>
        <w:tc>
          <w:tcPr>
            <w:tcW w:w="569" w:type="pct"/>
            <w:tcBorders>
              <w:top w:val="nil"/>
              <w:left w:val="nil"/>
              <w:bottom w:val="nil"/>
              <w:right w:val="nil"/>
            </w:tcBorders>
            <w:shd w:val="clear" w:color="auto" w:fill="auto"/>
            <w:noWrap/>
            <w:vAlign w:val="bottom"/>
            <w:hideMark/>
          </w:tcPr>
          <w:p w14:paraId="7D7B488B" w14:textId="77777777" w:rsidR="00DF251A" w:rsidRPr="00521670" w:rsidRDefault="00DF251A" w:rsidP="00773693">
            <w:pPr>
              <w:pStyle w:val="Tabletext"/>
              <w:keepNext/>
              <w:jc w:val="right"/>
              <w:rPr>
                <w:b/>
                <w:bCs/>
                <w:szCs w:val="18"/>
                <w:lang w:val="ru-RU" w:eastAsia="en-GB"/>
              </w:rPr>
            </w:pPr>
            <w:r w:rsidRPr="00521670">
              <w:rPr>
                <w:b/>
                <w:bCs/>
                <w:szCs w:val="18"/>
                <w:lang w:val="ru-RU"/>
              </w:rPr>
              <w:t>135 900</w:t>
            </w:r>
          </w:p>
        </w:tc>
      </w:tr>
      <w:tr w:rsidR="00DF251A" w:rsidRPr="00521670" w14:paraId="2C01704F" w14:textId="77777777" w:rsidTr="009204C6">
        <w:trPr>
          <w:trHeight w:val="120"/>
          <w:jc w:val="center"/>
        </w:trPr>
        <w:tc>
          <w:tcPr>
            <w:tcW w:w="1563" w:type="pct"/>
            <w:tcBorders>
              <w:top w:val="nil"/>
              <w:left w:val="nil"/>
              <w:bottom w:val="nil"/>
              <w:right w:val="nil"/>
            </w:tcBorders>
            <w:shd w:val="clear" w:color="auto" w:fill="auto"/>
            <w:vAlign w:val="center"/>
            <w:hideMark/>
          </w:tcPr>
          <w:p w14:paraId="3DAC530C" w14:textId="77777777" w:rsidR="00DF251A" w:rsidRPr="00521670" w:rsidRDefault="00DF251A" w:rsidP="009204C6">
            <w:pPr>
              <w:pStyle w:val="Tabletext"/>
              <w:keepNext/>
              <w:spacing w:before="0" w:after="0"/>
              <w:rPr>
                <w:szCs w:val="18"/>
                <w:lang w:val="ru-RU" w:eastAsia="en-GB"/>
              </w:rPr>
            </w:pPr>
          </w:p>
        </w:tc>
        <w:tc>
          <w:tcPr>
            <w:tcW w:w="569" w:type="pct"/>
            <w:tcBorders>
              <w:top w:val="nil"/>
              <w:left w:val="nil"/>
              <w:bottom w:val="nil"/>
              <w:right w:val="nil"/>
            </w:tcBorders>
            <w:shd w:val="clear" w:color="auto" w:fill="auto"/>
            <w:noWrap/>
            <w:vAlign w:val="bottom"/>
            <w:hideMark/>
          </w:tcPr>
          <w:p w14:paraId="16FAD418" w14:textId="77777777" w:rsidR="00DF251A" w:rsidRPr="00521670" w:rsidRDefault="00DF251A" w:rsidP="009204C6">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2FA7634D" w14:textId="77777777" w:rsidR="00DF251A" w:rsidRPr="00521670" w:rsidRDefault="00DF251A" w:rsidP="009204C6">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43995EDC" w14:textId="77777777" w:rsidR="00DF251A" w:rsidRPr="00521670" w:rsidRDefault="00DF251A" w:rsidP="009204C6">
            <w:pPr>
              <w:pStyle w:val="Tabletext"/>
              <w:keepNext/>
              <w:spacing w:before="0" w:after="0"/>
              <w:jc w:val="right"/>
              <w:rPr>
                <w:szCs w:val="18"/>
                <w:lang w:val="ru-RU" w:eastAsia="en-GB"/>
              </w:rPr>
            </w:pPr>
          </w:p>
        </w:tc>
        <w:tc>
          <w:tcPr>
            <w:tcW w:w="571" w:type="pct"/>
            <w:tcBorders>
              <w:top w:val="nil"/>
              <w:left w:val="nil"/>
              <w:bottom w:val="nil"/>
              <w:right w:val="nil"/>
            </w:tcBorders>
            <w:shd w:val="clear" w:color="auto" w:fill="auto"/>
            <w:noWrap/>
            <w:vAlign w:val="bottom"/>
            <w:hideMark/>
          </w:tcPr>
          <w:p w14:paraId="6DD8E840" w14:textId="77777777" w:rsidR="00DF251A" w:rsidRPr="00521670" w:rsidRDefault="00DF251A" w:rsidP="009204C6">
            <w:pPr>
              <w:pStyle w:val="Tabletext"/>
              <w:keepNext/>
              <w:spacing w:before="0" w:after="0"/>
              <w:jc w:val="right"/>
              <w:rPr>
                <w:szCs w:val="18"/>
                <w:lang w:val="ru-RU" w:eastAsia="en-GB"/>
              </w:rPr>
            </w:pPr>
          </w:p>
        </w:tc>
        <w:tc>
          <w:tcPr>
            <w:tcW w:w="588" w:type="pct"/>
            <w:tcBorders>
              <w:top w:val="nil"/>
              <w:left w:val="nil"/>
              <w:bottom w:val="nil"/>
              <w:right w:val="nil"/>
            </w:tcBorders>
            <w:shd w:val="clear" w:color="auto" w:fill="auto"/>
            <w:noWrap/>
            <w:vAlign w:val="bottom"/>
            <w:hideMark/>
          </w:tcPr>
          <w:p w14:paraId="3552C048" w14:textId="77777777" w:rsidR="00DF251A" w:rsidRPr="00521670" w:rsidRDefault="00DF251A" w:rsidP="009204C6">
            <w:pPr>
              <w:pStyle w:val="Tabletext"/>
              <w:keepNext/>
              <w:spacing w:before="0" w:after="0"/>
              <w:jc w:val="right"/>
              <w:rPr>
                <w:szCs w:val="18"/>
                <w:lang w:val="ru-RU" w:eastAsia="en-GB"/>
              </w:rPr>
            </w:pPr>
          </w:p>
        </w:tc>
        <w:tc>
          <w:tcPr>
            <w:tcW w:w="569" w:type="pct"/>
            <w:tcBorders>
              <w:top w:val="nil"/>
              <w:left w:val="nil"/>
              <w:bottom w:val="nil"/>
              <w:right w:val="nil"/>
            </w:tcBorders>
            <w:shd w:val="clear" w:color="auto" w:fill="auto"/>
            <w:noWrap/>
            <w:vAlign w:val="bottom"/>
            <w:hideMark/>
          </w:tcPr>
          <w:p w14:paraId="42A76CB0" w14:textId="77777777" w:rsidR="00DF251A" w:rsidRPr="00521670" w:rsidRDefault="00DF251A" w:rsidP="009204C6">
            <w:pPr>
              <w:pStyle w:val="Tabletext"/>
              <w:keepNext/>
              <w:spacing w:before="0" w:after="0"/>
              <w:jc w:val="right"/>
              <w:rPr>
                <w:b/>
                <w:bCs/>
                <w:szCs w:val="18"/>
                <w:lang w:val="ru-RU" w:eastAsia="en-GB"/>
              </w:rPr>
            </w:pPr>
          </w:p>
        </w:tc>
      </w:tr>
      <w:tr w:rsidR="00DF251A" w:rsidRPr="00521670" w14:paraId="6F073755" w14:textId="77777777" w:rsidTr="009204C6">
        <w:trPr>
          <w:trHeight w:val="520"/>
          <w:jc w:val="center"/>
        </w:trPr>
        <w:tc>
          <w:tcPr>
            <w:tcW w:w="1563" w:type="pct"/>
            <w:tcBorders>
              <w:top w:val="nil"/>
              <w:left w:val="nil"/>
              <w:bottom w:val="nil"/>
              <w:right w:val="nil"/>
            </w:tcBorders>
            <w:shd w:val="clear" w:color="auto" w:fill="auto"/>
            <w:vAlign w:val="center"/>
            <w:hideMark/>
          </w:tcPr>
          <w:p w14:paraId="4E3E4E68" w14:textId="77777777" w:rsidR="00DF251A" w:rsidRPr="00521670" w:rsidRDefault="00DF251A" w:rsidP="009204C6">
            <w:pPr>
              <w:pStyle w:val="Tabletext"/>
              <w:keepNext/>
              <w:rPr>
                <w:b/>
                <w:bCs/>
                <w:szCs w:val="18"/>
                <w:lang w:val="ru-RU" w:eastAsia="en-GB"/>
              </w:rPr>
            </w:pPr>
            <w:r w:rsidRPr="00521670">
              <w:rPr>
                <w:rFonts w:cs="Calibri"/>
                <w:b/>
                <w:bCs/>
                <w:szCs w:val="18"/>
                <w:lang w:val="ru-RU"/>
              </w:rPr>
              <w:t>Совокупная амортизация на 1 января 2023 г.</w:t>
            </w:r>
          </w:p>
        </w:tc>
        <w:tc>
          <w:tcPr>
            <w:tcW w:w="569" w:type="pct"/>
            <w:tcBorders>
              <w:top w:val="nil"/>
              <w:left w:val="nil"/>
              <w:bottom w:val="nil"/>
              <w:right w:val="nil"/>
            </w:tcBorders>
            <w:shd w:val="clear" w:color="auto" w:fill="auto"/>
            <w:noWrap/>
            <w:vAlign w:val="bottom"/>
            <w:hideMark/>
          </w:tcPr>
          <w:p w14:paraId="4752BF1A" w14:textId="77777777" w:rsidR="00DF251A" w:rsidRPr="00521670" w:rsidRDefault="00DF251A" w:rsidP="009204C6">
            <w:pPr>
              <w:pStyle w:val="Tabletext"/>
              <w:keepNext/>
              <w:jc w:val="right"/>
              <w:rPr>
                <w:b/>
                <w:bCs/>
                <w:szCs w:val="18"/>
                <w:lang w:val="ru-RU" w:eastAsia="en-GB"/>
              </w:rPr>
            </w:pPr>
            <w:r w:rsidRPr="00521670">
              <w:rPr>
                <w:b/>
                <w:bCs/>
                <w:szCs w:val="18"/>
                <w:lang w:val="ru-RU"/>
              </w:rPr>
              <w:t>63 920</w:t>
            </w:r>
          </w:p>
        </w:tc>
        <w:tc>
          <w:tcPr>
            <w:tcW w:w="570" w:type="pct"/>
            <w:tcBorders>
              <w:top w:val="nil"/>
              <w:left w:val="nil"/>
              <w:bottom w:val="nil"/>
              <w:right w:val="nil"/>
            </w:tcBorders>
            <w:shd w:val="clear" w:color="auto" w:fill="auto"/>
            <w:noWrap/>
            <w:vAlign w:val="bottom"/>
            <w:hideMark/>
          </w:tcPr>
          <w:p w14:paraId="4C7A21AF" w14:textId="77777777" w:rsidR="00DF251A" w:rsidRPr="00521670" w:rsidRDefault="00DF251A" w:rsidP="009204C6">
            <w:pPr>
              <w:pStyle w:val="Tabletext"/>
              <w:keepNext/>
              <w:jc w:val="right"/>
              <w:rPr>
                <w:b/>
                <w:bCs/>
                <w:szCs w:val="18"/>
                <w:lang w:val="ru-RU" w:eastAsia="en-GB"/>
              </w:rPr>
            </w:pPr>
            <w:r w:rsidRPr="00521670">
              <w:rPr>
                <w:b/>
                <w:bCs/>
                <w:szCs w:val="18"/>
                <w:lang w:val="ru-RU"/>
              </w:rPr>
              <w:t>1 270</w:t>
            </w:r>
          </w:p>
        </w:tc>
        <w:tc>
          <w:tcPr>
            <w:tcW w:w="570" w:type="pct"/>
            <w:tcBorders>
              <w:top w:val="nil"/>
              <w:left w:val="nil"/>
              <w:bottom w:val="nil"/>
              <w:right w:val="nil"/>
            </w:tcBorders>
            <w:shd w:val="clear" w:color="auto" w:fill="auto"/>
            <w:noWrap/>
            <w:vAlign w:val="bottom"/>
            <w:hideMark/>
          </w:tcPr>
          <w:p w14:paraId="046B1D3B" w14:textId="77777777" w:rsidR="00DF251A" w:rsidRPr="00521670" w:rsidRDefault="00DF251A" w:rsidP="009204C6">
            <w:pPr>
              <w:pStyle w:val="Tabletext"/>
              <w:keepNext/>
              <w:jc w:val="right"/>
              <w:rPr>
                <w:b/>
                <w:bCs/>
                <w:szCs w:val="18"/>
                <w:lang w:val="ru-RU" w:eastAsia="en-GB"/>
              </w:rPr>
            </w:pPr>
            <w:r w:rsidRPr="00521670">
              <w:rPr>
                <w:b/>
                <w:bCs/>
                <w:szCs w:val="18"/>
                <w:lang w:val="ru-RU"/>
              </w:rPr>
              <w:t>1 342</w:t>
            </w:r>
          </w:p>
        </w:tc>
        <w:tc>
          <w:tcPr>
            <w:tcW w:w="571" w:type="pct"/>
            <w:tcBorders>
              <w:top w:val="nil"/>
              <w:left w:val="nil"/>
              <w:bottom w:val="nil"/>
              <w:right w:val="nil"/>
            </w:tcBorders>
            <w:shd w:val="clear" w:color="auto" w:fill="auto"/>
            <w:noWrap/>
            <w:vAlign w:val="bottom"/>
            <w:hideMark/>
          </w:tcPr>
          <w:p w14:paraId="1C4D0E11" w14:textId="77777777" w:rsidR="00DF251A" w:rsidRPr="00521670" w:rsidRDefault="00DF251A" w:rsidP="009204C6">
            <w:pPr>
              <w:pStyle w:val="Tabletext"/>
              <w:keepNext/>
              <w:jc w:val="right"/>
              <w:rPr>
                <w:b/>
                <w:bCs/>
                <w:szCs w:val="18"/>
                <w:lang w:val="ru-RU" w:eastAsia="en-GB"/>
              </w:rPr>
            </w:pPr>
            <w:r w:rsidRPr="00521670">
              <w:rPr>
                <w:b/>
                <w:bCs/>
                <w:szCs w:val="18"/>
                <w:lang w:val="ru-RU"/>
              </w:rPr>
              <w:t>6 403</w:t>
            </w:r>
          </w:p>
        </w:tc>
        <w:tc>
          <w:tcPr>
            <w:tcW w:w="588" w:type="pct"/>
            <w:tcBorders>
              <w:top w:val="nil"/>
              <w:left w:val="nil"/>
              <w:bottom w:val="nil"/>
              <w:right w:val="nil"/>
            </w:tcBorders>
            <w:shd w:val="clear" w:color="auto" w:fill="auto"/>
            <w:noWrap/>
            <w:vAlign w:val="bottom"/>
            <w:hideMark/>
          </w:tcPr>
          <w:p w14:paraId="53216D67" w14:textId="77777777" w:rsidR="00DF251A" w:rsidRPr="00521670" w:rsidRDefault="00DF251A" w:rsidP="009204C6">
            <w:pPr>
              <w:pStyle w:val="Tabletext"/>
              <w:keepNext/>
              <w:jc w:val="right"/>
              <w:rPr>
                <w:b/>
                <w:bCs/>
                <w:szCs w:val="18"/>
                <w:lang w:val="ru-RU" w:eastAsia="en-GB"/>
              </w:rPr>
            </w:pPr>
            <w:r w:rsidRPr="00521670">
              <w:rPr>
                <w:b/>
                <w:bCs/>
                <w:szCs w:val="18"/>
                <w:lang w:val="ru-RU"/>
              </w:rPr>
              <w:t>255</w:t>
            </w:r>
          </w:p>
        </w:tc>
        <w:tc>
          <w:tcPr>
            <w:tcW w:w="569" w:type="pct"/>
            <w:tcBorders>
              <w:top w:val="nil"/>
              <w:left w:val="nil"/>
              <w:bottom w:val="nil"/>
              <w:right w:val="nil"/>
            </w:tcBorders>
            <w:shd w:val="clear" w:color="auto" w:fill="auto"/>
            <w:noWrap/>
            <w:vAlign w:val="bottom"/>
            <w:hideMark/>
          </w:tcPr>
          <w:p w14:paraId="446EF058" w14:textId="77777777" w:rsidR="00DF251A" w:rsidRPr="00521670" w:rsidRDefault="00DF251A" w:rsidP="009204C6">
            <w:pPr>
              <w:pStyle w:val="Tabletext"/>
              <w:keepNext/>
              <w:jc w:val="right"/>
              <w:rPr>
                <w:b/>
                <w:bCs/>
                <w:szCs w:val="18"/>
                <w:lang w:val="ru-RU" w:eastAsia="en-GB"/>
              </w:rPr>
            </w:pPr>
            <w:r w:rsidRPr="00521670">
              <w:rPr>
                <w:b/>
                <w:bCs/>
                <w:szCs w:val="18"/>
                <w:lang w:val="ru-RU"/>
              </w:rPr>
              <w:t>73 190</w:t>
            </w:r>
          </w:p>
        </w:tc>
      </w:tr>
      <w:tr w:rsidR="00DF251A" w:rsidRPr="00521670" w14:paraId="4E513A2E" w14:textId="77777777" w:rsidTr="009204C6">
        <w:trPr>
          <w:trHeight w:val="120"/>
          <w:jc w:val="center"/>
        </w:trPr>
        <w:tc>
          <w:tcPr>
            <w:tcW w:w="1563" w:type="pct"/>
            <w:tcBorders>
              <w:top w:val="nil"/>
              <w:left w:val="nil"/>
              <w:bottom w:val="nil"/>
              <w:right w:val="nil"/>
            </w:tcBorders>
            <w:shd w:val="clear" w:color="auto" w:fill="auto"/>
            <w:vAlign w:val="center"/>
            <w:hideMark/>
          </w:tcPr>
          <w:p w14:paraId="02E2B025" w14:textId="77777777" w:rsidR="00DF251A" w:rsidRPr="00521670" w:rsidRDefault="00DF251A" w:rsidP="009204C6">
            <w:pPr>
              <w:pStyle w:val="Tabletext"/>
              <w:keepNext/>
              <w:spacing w:before="0" w:after="0"/>
              <w:rPr>
                <w:szCs w:val="18"/>
                <w:lang w:val="ru-RU" w:eastAsia="en-GB"/>
              </w:rPr>
            </w:pPr>
          </w:p>
        </w:tc>
        <w:tc>
          <w:tcPr>
            <w:tcW w:w="569" w:type="pct"/>
            <w:tcBorders>
              <w:top w:val="nil"/>
              <w:left w:val="nil"/>
              <w:bottom w:val="nil"/>
              <w:right w:val="nil"/>
            </w:tcBorders>
            <w:shd w:val="clear" w:color="auto" w:fill="auto"/>
            <w:noWrap/>
            <w:vAlign w:val="bottom"/>
            <w:hideMark/>
          </w:tcPr>
          <w:p w14:paraId="4D8C1D15" w14:textId="77777777" w:rsidR="00DF251A" w:rsidRPr="00521670" w:rsidRDefault="00DF251A" w:rsidP="009204C6">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13449DD4" w14:textId="77777777" w:rsidR="00DF251A" w:rsidRPr="00521670" w:rsidRDefault="00DF251A" w:rsidP="009204C6">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4A678769" w14:textId="77777777" w:rsidR="00DF251A" w:rsidRPr="00521670" w:rsidRDefault="00DF251A" w:rsidP="009204C6">
            <w:pPr>
              <w:pStyle w:val="Tabletext"/>
              <w:keepNext/>
              <w:spacing w:before="0" w:after="0"/>
              <w:jc w:val="right"/>
              <w:rPr>
                <w:szCs w:val="18"/>
                <w:lang w:val="ru-RU" w:eastAsia="en-GB"/>
              </w:rPr>
            </w:pPr>
          </w:p>
        </w:tc>
        <w:tc>
          <w:tcPr>
            <w:tcW w:w="571" w:type="pct"/>
            <w:tcBorders>
              <w:top w:val="nil"/>
              <w:left w:val="nil"/>
              <w:bottom w:val="nil"/>
              <w:right w:val="nil"/>
            </w:tcBorders>
            <w:shd w:val="clear" w:color="auto" w:fill="auto"/>
            <w:noWrap/>
            <w:vAlign w:val="bottom"/>
            <w:hideMark/>
          </w:tcPr>
          <w:p w14:paraId="00C2A63C" w14:textId="77777777" w:rsidR="00DF251A" w:rsidRPr="00521670" w:rsidRDefault="00DF251A" w:rsidP="009204C6">
            <w:pPr>
              <w:pStyle w:val="Tabletext"/>
              <w:keepNext/>
              <w:spacing w:before="0" w:after="0"/>
              <w:jc w:val="right"/>
              <w:rPr>
                <w:szCs w:val="18"/>
                <w:lang w:val="ru-RU" w:eastAsia="en-GB"/>
              </w:rPr>
            </w:pPr>
          </w:p>
        </w:tc>
        <w:tc>
          <w:tcPr>
            <w:tcW w:w="588" w:type="pct"/>
            <w:tcBorders>
              <w:top w:val="nil"/>
              <w:left w:val="nil"/>
              <w:bottom w:val="nil"/>
              <w:right w:val="nil"/>
            </w:tcBorders>
            <w:shd w:val="clear" w:color="auto" w:fill="auto"/>
            <w:noWrap/>
            <w:vAlign w:val="bottom"/>
            <w:hideMark/>
          </w:tcPr>
          <w:p w14:paraId="466FEC2A" w14:textId="77777777" w:rsidR="00DF251A" w:rsidRPr="00521670" w:rsidRDefault="00DF251A" w:rsidP="009204C6">
            <w:pPr>
              <w:pStyle w:val="Tabletext"/>
              <w:keepNext/>
              <w:spacing w:before="0" w:after="0"/>
              <w:jc w:val="right"/>
              <w:rPr>
                <w:szCs w:val="18"/>
                <w:lang w:val="ru-RU" w:eastAsia="en-GB"/>
              </w:rPr>
            </w:pPr>
          </w:p>
        </w:tc>
        <w:tc>
          <w:tcPr>
            <w:tcW w:w="569" w:type="pct"/>
            <w:tcBorders>
              <w:top w:val="nil"/>
              <w:left w:val="nil"/>
              <w:bottom w:val="nil"/>
              <w:right w:val="nil"/>
            </w:tcBorders>
            <w:shd w:val="clear" w:color="auto" w:fill="auto"/>
            <w:noWrap/>
            <w:vAlign w:val="bottom"/>
            <w:hideMark/>
          </w:tcPr>
          <w:p w14:paraId="4EC3F315" w14:textId="77777777" w:rsidR="00DF251A" w:rsidRPr="00521670" w:rsidRDefault="00DF251A" w:rsidP="009204C6">
            <w:pPr>
              <w:pStyle w:val="Tabletext"/>
              <w:keepNext/>
              <w:spacing w:before="0" w:after="0"/>
              <w:jc w:val="right"/>
              <w:rPr>
                <w:b/>
                <w:bCs/>
                <w:szCs w:val="18"/>
                <w:lang w:val="ru-RU" w:eastAsia="en-GB"/>
              </w:rPr>
            </w:pPr>
          </w:p>
        </w:tc>
      </w:tr>
      <w:tr w:rsidR="00DF251A" w:rsidRPr="00521670" w14:paraId="321E6F41" w14:textId="77777777" w:rsidTr="009204C6">
        <w:trPr>
          <w:trHeight w:val="300"/>
          <w:jc w:val="center"/>
        </w:trPr>
        <w:tc>
          <w:tcPr>
            <w:tcW w:w="1563" w:type="pct"/>
            <w:tcBorders>
              <w:top w:val="nil"/>
              <w:left w:val="nil"/>
              <w:bottom w:val="nil"/>
              <w:right w:val="nil"/>
            </w:tcBorders>
            <w:shd w:val="clear" w:color="auto" w:fill="auto"/>
            <w:vAlign w:val="center"/>
            <w:hideMark/>
          </w:tcPr>
          <w:p w14:paraId="1D31D07A" w14:textId="77777777" w:rsidR="00DF251A" w:rsidRPr="00521670" w:rsidRDefault="00DF251A" w:rsidP="009204C6">
            <w:pPr>
              <w:pStyle w:val="Tabletext"/>
              <w:keepNext/>
              <w:rPr>
                <w:szCs w:val="18"/>
                <w:lang w:val="ru-RU" w:eastAsia="en-GB"/>
              </w:rPr>
            </w:pPr>
            <w:r w:rsidRPr="00521670">
              <w:rPr>
                <w:szCs w:val="18"/>
                <w:lang w:val="ru-RU" w:eastAsia="en-GB"/>
              </w:rPr>
              <w:t>Амортизация</w:t>
            </w:r>
          </w:p>
        </w:tc>
        <w:tc>
          <w:tcPr>
            <w:tcW w:w="569" w:type="pct"/>
            <w:tcBorders>
              <w:top w:val="nil"/>
              <w:left w:val="nil"/>
              <w:bottom w:val="nil"/>
              <w:right w:val="nil"/>
            </w:tcBorders>
            <w:shd w:val="clear" w:color="auto" w:fill="auto"/>
            <w:noWrap/>
            <w:vAlign w:val="bottom"/>
            <w:hideMark/>
          </w:tcPr>
          <w:p w14:paraId="1B17A307" w14:textId="77777777" w:rsidR="00DF251A" w:rsidRPr="00521670" w:rsidRDefault="00DF251A" w:rsidP="009204C6">
            <w:pPr>
              <w:pStyle w:val="Tabletext"/>
              <w:keepNext/>
              <w:jc w:val="right"/>
              <w:rPr>
                <w:szCs w:val="18"/>
                <w:lang w:val="ru-RU" w:eastAsia="en-GB"/>
              </w:rPr>
            </w:pPr>
            <w:r w:rsidRPr="00521670">
              <w:rPr>
                <w:szCs w:val="18"/>
                <w:lang w:val="ru-RU"/>
              </w:rPr>
              <w:t>3 514</w:t>
            </w:r>
          </w:p>
        </w:tc>
        <w:tc>
          <w:tcPr>
            <w:tcW w:w="570" w:type="pct"/>
            <w:tcBorders>
              <w:top w:val="nil"/>
              <w:left w:val="nil"/>
              <w:bottom w:val="nil"/>
              <w:right w:val="nil"/>
            </w:tcBorders>
            <w:shd w:val="clear" w:color="auto" w:fill="auto"/>
            <w:noWrap/>
            <w:vAlign w:val="bottom"/>
            <w:hideMark/>
          </w:tcPr>
          <w:p w14:paraId="74D5FAB0" w14:textId="77777777" w:rsidR="00DF251A" w:rsidRPr="00521670" w:rsidRDefault="00DF251A" w:rsidP="009204C6">
            <w:pPr>
              <w:pStyle w:val="Tabletext"/>
              <w:keepNext/>
              <w:jc w:val="right"/>
              <w:rPr>
                <w:szCs w:val="18"/>
                <w:lang w:val="ru-RU" w:eastAsia="en-GB"/>
              </w:rPr>
            </w:pPr>
            <w:r w:rsidRPr="00521670">
              <w:rPr>
                <w:szCs w:val="18"/>
                <w:lang w:val="ru-RU"/>
              </w:rPr>
              <w:t>47</w:t>
            </w:r>
          </w:p>
        </w:tc>
        <w:tc>
          <w:tcPr>
            <w:tcW w:w="570" w:type="pct"/>
            <w:tcBorders>
              <w:top w:val="nil"/>
              <w:left w:val="nil"/>
              <w:bottom w:val="nil"/>
              <w:right w:val="nil"/>
            </w:tcBorders>
            <w:shd w:val="clear" w:color="auto" w:fill="auto"/>
            <w:noWrap/>
            <w:vAlign w:val="bottom"/>
            <w:hideMark/>
          </w:tcPr>
          <w:p w14:paraId="4FFF2627" w14:textId="77777777" w:rsidR="00DF251A" w:rsidRPr="00521670" w:rsidRDefault="00DF251A" w:rsidP="009204C6">
            <w:pPr>
              <w:pStyle w:val="Tabletext"/>
              <w:keepNext/>
              <w:jc w:val="right"/>
              <w:rPr>
                <w:szCs w:val="18"/>
                <w:lang w:val="ru-RU" w:eastAsia="en-GB"/>
              </w:rPr>
            </w:pPr>
            <w:r w:rsidRPr="00521670">
              <w:rPr>
                <w:szCs w:val="18"/>
                <w:lang w:val="ru-RU"/>
              </w:rPr>
              <w:t>16</w:t>
            </w:r>
          </w:p>
        </w:tc>
        <w:tc>
          <w:tcPr>
            <w:tcW w:w="571" w:type="pct"/>
            <w:tcBorders>
              <w:top w:val="nil"/>
              <w:left w:val="nil"/>
              <w:bottom w:val="nil"/>
              <w:right w:val="nil"/>
            </w:tcBorders>
            <w:shd w:val="clear" w:color="auto" w:fill="auto"/>
            <w:noWrap/>
            <w:vAlign w:val="bottom"/>
            <w:hideMark/>
          </w:tcPr>
          <w:p w14:paraId="0A677585" w14:textId="77777777" w:rsidR="00DF251A" w:rsidRPr="00521670" w:rsidRDefault="00DF251A" w:rsidP="009204C6">
            <w:pPr>
              <w:pStyle w:val="Tabletext"/>
              <w:keepNext/>
              <w:jc w:val="right"/>
              <w:rPr>
                <w:szCs w:val="18"/>
                <w:lang w:val="ru-RU" w:eastAsia="en-GB"/>
              </w:rPr>
            </w:pPr>
            <w:r w:rsidRPr="00521670">
              <w:rPr>
                <w:szCs w:val="18"/>
                <w:lang w:val="ru-RU"/>
              </w:rPr>
              <w:t>512</w:t>
            </w:r>
          </w:p>
        </w:tc>
        <w:tc>
          <w:tcPr>
            <w:tcW w:w="588" w:type="pct"/>
            <w:tcBorders>
              <w:top w:val="nil"/>
              <w:left w:val="nil"/>
              <w:bottom w:val="nil"/>
              <w:right w:val="nil"/>
            </w:tcBorders>
            <w:shd w:val="clear" w:color="auto" w:fill="auto"/>
            <w:noWrap/>
            <w:vAlign w:val="bottom"/>
            <w:hideMark/>
          </w:tcPr>
          <w:p w14:paraId="3E143081" w14:textId="77777777" w:rsidR="00DF251A" w:rsidRPr="00521670" w:rsidRDefault="00DF251A" w:rsidP="009204C6">
            <w:pPr>
              <w:pStyle w:val="Tabletext"/>
              <w:keepNext/>
              <w:jc w:val="right"/>
              <w:rPr>
                <w:szCs w:val="18"/>
                <w:lang w:val="ru-RU" w:eastAsia="en-GB"/>
              </w:rPr>
            </w:pPr>
            <w:r w:rsidRPr="00521670">
              <w:rPr>
                <w:szCs w:val="18"/>
                <w:lang w:val="ru-RU" w:eastAsia="en-GB"/>
              </w:rPr>
              <w:t>19</w:t>
            </w:r>
          </w:p>
        </w:tc>
        <w:tc>
          <w:tcPr>
            <w:tcW w:w="569" w:type="pct"/>
            <w:tcBorders>
              <w:top w:val="nil"/>
              <w:left w:val="nil"/>
              <w:bottom w:val="nil"/>
              <w:right w:val="nil"/>
            </w:tcBorders>
            <w:shd w:val="clear" w:color="auto" w:fill="auto"/>
            <w:noWrap/>
            <w:vAlign w:val="bottom"/>
            <w:hideMark/>
          </w:tcPr>
          <w:p w14:paraId="27959FC1" w14:textId="77777777" w:rsidR="00DF251A" w:rsidRPr="00521670" w:rsidRDefault="00DF251A" w:rsidP="007F694D">
            <w:pPr>
              <w:pStyle w:val="Tabletext"/>
              <w:keepNext/>
              <w:jc w:val="right"/>
              <w:rPr>
                <w:b/>
                <w:bCs/>
                <w:szCs w:val="18"/>
                <w:lang w:val="ru-RU" w:eastAsia="en-GB"/>
              </w:rPr>
            </w:pPr>
            <w:r w:rsidRPr="00521670">
              <w:rPr>
                <w:b/>
                <w:bCs/>
                <w:szCs w:val="18"/>
                <w:lang w:val="ru-RU"/>
              </w:rPr>
              <w:t>4 107</w:t>
            </w:r>
          </w:p>
        </w:tc>
      </w:tr>
      <w:tr w:rsidR="00DF251A" w:rsidRPr="00521670" w14:paraId="41C9B8BE" w14:textId="77777777" w:rsidTr="009204C6">
        <w:trPr>
          <w:trHeight w:val="300"/>
          <w:jc w:val="center"/>
        </w:trPr>
        <w:tc>
          <w:tcPr>
            <w:tcW w:w="1563" w:type="pct"/>
            <w:tcBorders>
              <w:top w:val="nil"/>
              <w:left w:val="nil"/>
              <w:bottom w:val="nil"/>
              <w:right w:val="nil"/>
            </w:tcBorders>
            <w:shd w:val="clear" w:color="auto" w:fill="auto"/>
            <w:vAlign w:val="center"/>
            <w:hideMark/>
          </w:tcPr>
          <w:p w14:paraId="549ED6AC" w14:textId="77777777" w:rsidR="00DF251A" w:rsidRPr="00521670" w:rsidRDefault="00DF251A" w:rsidP="009204C6">
            <w:pPr>
              <w:pStyle w:val="Tabletext"/>
              <w:keepNext/>
              <w:rPr>
                <w:szCs w:val="18"/>
                <w:lang w:val="ru-RU" w:eastAsia="en-GB"/>
              </w:rPr>
            </w:pPr>
            <w:r w:rsidRPr="00521670">
              <w:rPr>
                <w:rFonts w:cs="Calibri"/>
                <w:szCs w:val="18"/>
                <w:lang w:val="ru-RU"/>
              </w:rPr>
              <w:t>Выбытие</w:t>
            </w:r>
          </w:p>
        </w:tc>
        <w:tc>
          <w:tcPr>
            <w:tcW w:w="569" w:type="pct"/>
            <w:tcBorders>
              <w:top w:val="nil"/>
              <w:left w:val="nil"/>
              <w:bottom w:val="nil"/>
              <w:right w:val="nil"/>
            </w:tcBorders>
            <w:shd w:val="clear" w:color="auto" w:fill="auto"/>
            <w:noWrap/>
            <w:vAlign w:val="bottom"/>
          </w:tcPr>
          <w:p w14:paraId="6C9E57F4" w14:textId="77777777" w:rsidR="00DF251A" w:rsidRPr="00521670" w:rsidRDefault="00DF251A" w:rsidP="009204C6">
            <w:pPr>
              <w:pStyle w:val="Tabletext"/>
              <w:keepNext/>
              <w:jc w:val="right"/>
              <w:rPr>
                <w:szCs w:val="18"/>
                <w:lang w:val="ru-RU" w:eastAsia="en-GB"/>
              </w:rPr>
            </w:pPr>
            <w:r w:rsidRPr="00521670">
              <w:rPr>
                <w:szCs w:val="18"/>
                <w:lang w:val="ru-RU"/>
              </w:rPr>
              <w:t>−</w:t>
            </w:r>
          </w:p>
        </w:tc>
        <w:tc>
          <w:tcPr>
            <w:tcW w:w="570" w:type="pct"/>
            <w:tcBorders>
              <w:top w:val="nil"/>
              <w:left w:val="nil"/>
              <w:bottom w:val="nil"/>
              <w:right w:val="nil"/>
            </w:tcBorders>
            <w:shd w:val="clear" w:color="auto" w:fill="auto"/>
            <w:noWrap/>
            <w:vAlign w:val="bottom"/>
          </w:tcPr>
          <w:p w14:paraId="11A112D2" w14:textId="77777777" w:rsidR="00DF251A" w:rsidRPr="00521670" w:rsidRDefault="00DF251A" w:rsidP="009204C6">
            <w:pPr>
              <w:pStyle w:val="Tabletext"/>
              <w:keepNext/>
              <w:jc w:val="right"/>
              <w:rPr>
                <w:szCs w:val="18"/>
                <w:lang w:val="ru-RU" w:eastAsia="en-GB"/>
              </w:rPr>
            </w:pPr>
            <w:r w:rsidRPr="00521670">
              <w:rPr>
                <w:szCs w:val="18"/>
                <w:lang w:val="ru-RU"/>
              </w:rPr>
              <w:t>(302)</w:t>
            </w:r>
          </w:p>
        </w:tc>
        <w:tc>
          <w:tcPr>
            <w:tcW w:w="570" w:type="pct"/>
            <w:tcBorders>
              <w:top w:val="nil"/>
              <w:left w:val="nil"/>
              <w:bottom w:val="nil"/>
              <w:right w:val="nil"/>
            </w:tcBorders>
            <w:shd w:val="clear" w:color="auto" w:fill="auto"/>
            <w:noWrap/>
            <w:vAlign w:val="bottom"/>
          </w:tcPr>
          <w:p w14:paraId="6B5BBA68" w14:textId="77777777" w:rsidR="00DF251A" w:rsidRPr="00521670" w:rsidRDefault="00DF251A" w:rsidP="009204C6">
            <w:pPr>
              <w:pStyle w:val="Tabletext"/>
              <w:keepNext/>
              <w:jc w:val="right"/>
              <w:rPr>
                <w:szCs w:val="18"/>
                <w:lang w:val="ru-RU" w:eastAsia="en-GB"/>
              </w:rPr>
            </w:pPr>
            <w:r w:rsidRPr="00521670">
              <w:rPr>
                <w:szCs w:val="18"/>
                <w:lang w:val="ru-RU"/>
              </w:rPr>
              <w:t>(24)</w:t>
            </w:r>
          </w:p>
        </w:tc>
        <w:tc>
          <w:tcPr>
            <w:tcW w:w="571" w:type="pct"/>
            <w:tcBorders>
              <w:top w:val="nil"/>
              <w:left w:val="nil"/>
              <w:bottom w:val="nil"/>
              <w:right w:val="nil"/>
            </w:tcBorders>
            <w:shd w:val="clear" w:color="auto" w:fill="auto"/>
            <w:noWrap/>
            <w:vAlign w:val="bottom"/>
          </w:tcPr>
          <w:p w14:paraId="390B29DC" w14:textId="77777777" w:rsidR="00DF251A" w:rsidRPr="00521670" w:rsidRDefault="00DF251A" w:rsidP="009204C6">
            <w:pPr>
              <w:pStyle w:val="Tabletext"/>
              <w:keepNext/>
              <w:jc w:val="right"/>
              <w:rPr>
                <w:szCs w:val="18"/>
                <w:lang w:val="ru-RU" w:eastAsia="en-GB"/>
              </w:rPr>
            </w:pPr>
            <w:r w:rsidRPr="00521670">
              <w:rPr>
                <w:szCs w:val="18"/>
                <w:lang w:val="ru-RU"/>
              </w:rPr>
              <w:t>(531)</w:t>
            </w:r>
          </w:p>
        </w:tc>
        <w:tc>
          <w:tcPr>
            <w:tcW w:w="588" w:type="pct"/>
            <w:tcBorders>
              <w:top w:val="nil"/>
              <w:left w:val="nil"/>
              <w:bottom w:val="nil"/>
              <w:right w:val="nil"/>
            </w:tcBorders>
            <w:shd w:val="clear" w:color="auto" w:fill="auto"/>
            <w:noWrap/>
            <w:vAlign w:val="bottom"/>
          </w:tcPr>
          <w:p w14:paraId="7C519CFB" w14:textId="47B39FBC" w:rsidR="00DF251A" w:rsidRPr="00521670" w:rsidRDefault="00AF0B8D" w:rsidP="009204C6">
            <w:pPr>
              <w:pStyle w:val="Tabletext"/>
              <w:keepNext/>
              <w:jc w:val="right"/>
              <w:rPr>
                <w:szCs w:val="18"/>
                <w:lang w:val="ru-RU" w:eastAsia="en-GB"/>
              </w:rPr>
            </w:pPr>
            <w:r w:rsidRPr="00521670">
              <w:rPr>
                <w:szCs w:val="18"/>
                <w:lang w:val="ru-RU" w:eastAsia="en-GB"/>
              </w:rPr>
              <w:t>−</w:t>
            </w:r>
          </w:p>
        </w:tc>
        <w:tc>
          <w:tcPr>
            <w:tcW w:w="569" w:type="pct"/>
            <w:tcBorders>
              <w:top w:val="nil"/>
              <w:left w:val="nil"/>
              <w:bottom w:val="nil"/>
              <w:right w:val="nil"/>
            </w:tcBorders>
            <w:shd w:val="clear" w:color="auto" w:fill="auto"/>
            <w:noWrap/>
            <w:vAlign w:val="bottom"/>
          </w:tcPr>
          <w:p w14:paraId="620054FF" w14:textId="77777777" w:rsidR="00DF251A" w:rsidRPr="00521670" w:rsidRDefault="00DF251A" w:rsidP="007F694D">
            <w:pPr>
              <w:pStyle w:val="Tabletext"/>
              <w:keepNext/>
              <w:jc w:val="right"/>
              <w:rPr>
                <w:b/>
                <w:bCs/>
                <w:szCs w:val="18"/>
                <w:lang w:val="ru-RU" w:eastAsia="en-GB"/>
              </w:rPr>
            </w:pPr>
            <w:r w:rsidRPr="00521670">
              <w:rPr>
                <w:b/>
                <w:bCs/>
                <w:szCs w:val="18"/>
                <w:lang w:val="ru-RU"/>
              </w:rPr>
              <w:t>(857)</w:t>
            </w:r>
          </w:p>
        </w:tc>
      </w:tr>
      <w:tr w:rsidR="00DF251A" w:rsidRPr="00521670" w14:paraId="29780CC8" w14:textId="77777777" w:rsidTr="009204C6">
        <w:trPr>
          <w:trHeight w:val="520"/>
          <w:jc w:val="center"/>
        </w:trPr>
        <w:tc>
          <w:tcPr>
            <w:tcW w:w="1563" w:type="pct"/>
            <w:tcBorders>
              <w:top w:val="nil"/>
              <w:left w:val="nil"/>
              <w:bottom w:val="nil"/>
              <w:right w:val="nil"/>
            </w:tcBorders>
            <w:shd w:val="clear" w:color="auto" w:fill="auto"/>
            <w:vAlign w:val="center"/>
            <w:hideMark/>
          </w:tcPr>
          <w:p w14:paraId="72C11F65" w14:textId="77777777" w:rsidR="00DF251A" w:rsidRPr="00521670" w:rsidRDefault="00DF251A" w:rsidP="009204C6">
            <w:pPr>
              <w:pStyle w:val="Tabletext"/>
              <w:keepNext/>
              <w:rPr>
                <w:b/>
                <w:bCs/>
                <w:szCs w:val="18"/>
                <w:lang w:val="ru-RU" w:eastAsia="en-GB"/>
              </w:rPr>
            </w:pPr>
            <w:r w:rsidRPr="00521670">
              <w:rPr>
                <w:rFonts w:cs="Calibri"/>
                <w:b/>
                <w:bCs/>
                <w:szCs w:val="18"/>
                <w:lang w:val="ru-RU"/>
              </w:rPr>
              <w:t>Совокупная амортизация на 31 декабря 2023 г.</w:t>
            </w:r>
          </w:p>
        </w:tc>
        <w:tc>
          <w:tcPr>
            <w:tcW w:w="569" w:type="pct"/>
            <w:tcBorders>
              <w:top w:val="nil"/>
              <w:left w:val="nil"/>
              <w:bottom w:val="nil"/>
              <w:right w:val="nil"/>
            </w:tcBorders>
            <w:shd w:val="clear" w:color="auto" w:fill="auto"/>
            <w:noWrap/>
            <w:vAlign w:val="bottom"/>
            <w:hideMark/>
          </w:tcPr>
          <w:p w14:paraId="75DE65BE" w14:textId="77777777" w:rsidR="00DF251A" w:rsidRPr="00521670" w:rsidRDefault="00DF251A" w:rsidP="009204C6">
            <w:pPr>
              <w:pStyle w:val="Tabletext"/>
              <w:keepNext/>
              <w:jc w:val="right"/>
              <w:rPr>
                <w:b/>
                <w:bCs/>
                <w:szCs w:val="18"/>
                <w:lang w:val="ru-RU" w:eastAsia="en-GB"/>
              </w:rPr>
            </w:pPr>
            <w:r w:rsidRPr="00521670">
              <w:rPr>
                <w:b/>
                <w:bCs/>
                <w:szCs w:val="18"/>
                <w:lang w:val="ru-RU"/>
              </w:rPr>
              <w:t>67 434</w:t>
            </w:r>
          </w:p>
        </w:tc>
        <w:tc>
          <w:tcPr>
            <w:tcW w:w="570" w:type="pct"/>
            <w:tcBorders>
              <w:top w:val="nil"/>
              <w:left w:val="nil"/>
              <w:bottom w:val="nil"/>
              <w:right w:val="nil"/>
            </w:tcBorders>
            <w:shd w:val="clear" w:color="auto" w:fill="auto"/>
            <w:noWrap/>
            <w:vAlign w:val="bottom"/>
          </w:tcPr>
          <w:p w14:paraId="6FF21432" w14:textId="77777777" w:rsidR="00DF251A" w:rsidRPr="00521670" w:rsidRDefault="00DF251A" w:rsidP="009204C6">
            <w:pPr>
              <w:pStyle w:val="Tabletext"/>
              <w:keepNext/>
              <w:jc w:val="right"/>
              <w:rPr>
                <w:b/>
                <w:bCs/>
                <w:szCs w:val="18"/>
                <w:lang w:val="ru-RU" w:eastAsia="en-GB"/>
              </w:rPr>
            </w:pPr>
            <w:r w:rsidRPr="00521670">
              <w:rPr>
                <w:b/>
                <w:bCs/>
                <w:szCs w:val="18"/>
                <w:lang w:val="ru-RU"/>
              </w:rPr>
              <w:t>1 015</w:t>
            </w:r>
          </w:p>
        </w:tc>
        <w:tc>
          <w:tcPr>
            <w:tcW w:w="570" w:type="pct"/>
            <w:tcBorders>
              <w:top w:val="nil"/>
              <w:left w:val="nil"/>
              <w:bottom w:val="nil"/>
              <w:right w:val="nil"/>
            </w:tcBorders>
            <w:shd w:val="clear" w:color="auto" w:fill="auto"/>
            <w:noWrap/>
            <w:vAlign w:val="bottom"/>
          </w:tcPr>
          <w:p w14:paraId="34FDAAD7" w14:textId="77777777" w:rsidR="00DF251A" w:rsidRPr="00521670" w:rsidRDefault="00DF251A" w:rsidP="007F694D">
            <w:pPr>
              <w:pStyle w:val="Tabletext"/>
              <w:keepNext/>
              <w:jc w:val="right"/>
              <w:rPr>
                <w:b/>
                <w:bCs/>
                <w:szCs w:val="18"/>
                <w:lang w:val="ru-RU" w:eastAsia="en-GB"/>
              </w:rPr>
            </w:pPr>
            <w:r w:rsidRPr="00521670">
              <w:rPr>
                <w:b/>
                <w:bCs/>
                <w:szCs w:val="18"/>
                <w:lang w:val="ru-RU"/>
              </w:rPr>
              <w:t>1 334</w:t>
            </w:r>
          </w:p>
        </w:tc>
        <w:tc>
          <w:tcPr>
            <w:tcW w:w="571" w:type="pct"/>
            <w:tcBorders>
              <w:top w:val="nil"/>
              <w:left w:val="nil"/>
              <w:bottom w:val="nil"/>
              <w:right w:val="nil"/>
            </w:tcBorders>
            <w:shd w:val="clear" w:color="auto" w:fill="auto"/>
            <w:noWrap/>
            <w:vAlign w:val="bottom"/>
          </w:tcPr>
          <w:p w14:paraId="028FCA82" w14:textId="77777777" w:rsidR="00DF251A" w:rsidRPr="00521670" w:rsidRDefault="00DF251A" w:rsidP="009204C6">
            <w:pPr>
              <w:pStyle w:val="Tabletext"/>
              <w:keepNext/>
              <w:jc w:val="right"/>
              <w:rPr>
                <w:b/>
                <w:bCs/>
                <w:szCs w:val="18"/>
                <w:lang w:val="ru-RU" w:eastAsia="en-GB"/>
              </w:rPr>
            </w:pPr>
            <w:r w:rsidRPr="00521670">
              <w:rPr>
                <w:b/>
                <w:bCs/>
                <w:szCs w:val="18"/>
                <w:lang w:val="ru-RU"/>
              </w:rPr>
              <w:t>6 384</w:t>
            </w:r>
          </w:p>
        </w:tc>
        <w:tc>
          <w:tcPr>
            <w:tcW w:w="588" w:type="pct"/>
            <w:tcBorders>
              <w:top w:val="nil"/>
              <w:left w:val="nil"/>
              <w:bottom w:val="nil"/>
              <w:right w:val="nil"/>
            </w:tcBorders>
            <w:shd w:val="clear" w:color="auto" w:fill="auto"/>
            <w:noWrap/>
            <w:vAlign w:val="bottom"/>
          </w:tcPr>
          <w:p w14:paraId="61588CE1" w14:textId="77777777" w:rsidR="00DF251A" w:rsidRPr="00521670" w:rsidRDefault="00DF251A" w:rsidP="009204C6">
            <w:pPr>
              <w:pStyle w:val="Tabletext"/>
              <w:keepNext/>
              <w:jc w:val="right"/>
              <w:rPr>
                <w:b/>
                <w:bCs/>
                <w:szCs w:val="18"/>
                <w:lang w:val="ru-RU" w:eastAsia="en-GB"/>
              </w:rPr>
            </w:pPr>
            <w:r w:rsidRPr="00521670">
              <w:rPr>
                <w:b/>
                <w:bCs/>
                <w:szCs w:val="18"/>
                <w:lang w:val="ru-RU"/>
              </w:rPr>
              <w:t>275</w:t>
            </w:r>
          </w:p>
        </w:tc>
        <w:tc>
          <w:tcPr>
            <w:tcW w:w="569" w:type="pct"/>
            <w:tcBorders>
              <w:top w:val="nil"/>
              <w:left w:val="nil"/>
              <w:bottom w:val="nil"/>
              <w:right w:val="nil"/>
            </w:tcBorders>
            <w:shd w:val="clear" w:color="auto" w:fill="auto"/>
            <w:noWrap/>
            <w:vAlign w:val="bottom"/>
          </w:tcPr>
          <w:p w14:paraId="1D2181AA" w14:textId="77777777" w:rsidR="00DF251A" w:rsidRPr="00521670" w:rsidRDefault="00DF251A" w:rsidP="007F694D">
            <w:pPr>
              <w:pStyle w:val="Tabletext"/>
              <w:keepNext/>
              <w:jc w:val="right"/>
              <w:rPr>
                <w:b/>
                <w:bCs/>
                <w:szCs w:val="18"/>
                <w:lang w:val="ru-RU" w:eastAsia="en-GB"/>
              </w:rPr>
            </w:pPr>
            <w:r w:rsidRPr="00521670">
              <w:rPr>
                <w:b/>
                <w:bCs/>
                <w:szCs w:val="18"/>
                <w:lang w:val="ru-RU"/>
              </w:rPr>
              <w:t>76 441</w:t>
            </w:r>
          </w:p>
        </w:tc>
      </w:tr>
      <w:tr w:rsidR="00DF251A" w:rsidRPr="00521670" w14:paraId="29657390" w14:textId="77777777" w:rsidTr="009204C6">
        <w:trPr>
          <w:trHeight w:val="120"/>
          <w:jc w:val="center"/>
        </w:trPr>
        <w:tc>
          <w:tcPr>
            <w:tcW w:w="1563" w:type="pct"/>
            <w:tcBorders>
              <w:top w:val="nil"/>
              <w:left w:val="nil"/>
              <w:bottom w:val="nil"/>
              <w:right w:val="nil"/>
            </w:tcBorders>
            <w:shd w:val="clear" w:color="auto" w:fill="auto"/>
            <w:vAlign w:val="center"/>
            <w:hideMark/>
          </w:tcPr>
          <w:p w14:paraId="7D8F2D11" w14:textId="77777777" w:rsidR="00DF251A" w:rsidRPr="00521670" w:rsidRDefault="00DF251A" w:rsidP="009204C6">
            <w:pPr>
              <w:pStyle w:val="Tabletext"/>
              <w:keepNext/>
              <w:spacing w:before="0" w:after="0"/>
              <w:rPr>
                <w:szCs w:val="18"/>
                <w:lang w:val="ru-RU" w:eastAsia="en-GB"/>
              </w:rPr>
            </w:pPr>
          </w:p>
        </w:tc>
        <w:tc>
          <w:tcPr>
            <w:tcW w:w="569" w:type="pct"/>
            <w:tcBorders>
              <w:top w:val="nil"/>
              <w:left w:val="nil"/>
              <w:bottom w:val="nil"/>
              <w:right w:val="nil"/>
            </w:tcBorders>
            <w:shd w:val="clear" w:color="auto" w:fill="auto"/>
            <w:noWrap/>
            <w:vAlign w:val="bottom"/>
            <w:hideMark/>
          </w:tcPr>
          <w:p w14:paraId="78C0F243" w14:textId="2E211B59" w:rsidR="00DF251A" w:rsidRPr="00521670" w:rsidRDefault="00DF251A" w:rsidP="009204C6">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1D1AF5BE" w14:textId="4722DE47" w:rsidR="00DF251A" w:rsidRPr="00521670" w:rsidRDefault="00DF251A" w:rsidP="009204C6">
            <w:pPr>
              <w:pStyle w:val="Tabletext"/>
              <w:keepNext/>
              <w:spacing w:before="0" w:after="0"/>
              <w:jc w:val="right"/>
              <w:rPr>
                <w:szCs w:val="18"/>
                <w:lang w:val="ru-RU" w:eastAsia="en-GB"/>
              </w:rPr>
            </w:pPr>
          </w:p>
        </w:tc>
        <w:tc>
          <w:tcPr>
            <w:tcW w:w="570" w:type="pct"/>
            <w:tcBorders>
              <w:top w:val="nil"/>
              <w:left w:val="nil"/>
              <w:bottom w:val="nil"/>
              <w:right w:val="nil"/>
            </w:tcBorders>
            <w:shd w:val="clear" w:color="auto" w:fill="auto"/>
            <w:noWrap/>
            <w:vAlign w:val="bottom"/>
            <w:hideMark/>
          </w:tcPr>
          <w:p w14:paraId="2E52482D" w14:textId="1FB6256F" w:rsidR="00DF251A" w:rsidRPr="00521670" w:rsidRDefault="00DF251A" w:rsidP="009204C6">
            <w:pPr>
              <w:pStyle w:val="Tabletext"/>
              <w:keepNext/>
              <w:spacing w:before="0" w:after="0"/>
              <w:jc w:val="right"/>
              <w:rPr>
                <w:szCs w:val="18"/>
                <w:lang w:val="ru-RU" w:eastAsia="en-GB"/>
              </w:rPr>
            </w:pPr>
          </w:p>
        </w:tc>
        <w:tc>
          <w:tcPr>
            <w:tcW w:w="571" w:type="pct"/>
            <w:tcBorders>
              <w:top w:val="nil"/>
              <w:left w:val="nil"/>
              <w:bottom w:val="nil"/>
              <w:right w:val="nil"/>
            </w:tcBorders>
            <w:shd w:val="clear" w:color="auto" w:fill="auto"/>
            <w:noWrap/>
            <w:vAlign w:val="bottom"/>
            <w:hideMark/>
          </w:tcPr>
          <w:p w14:paraId="25A7AB22" w14:textId="29C6CC6C" w:rsidR="00DF251A" w:rsidRPr="00521670" w:rsidRDefault="00DF251A" w:rsidP="009204C6">
            <w:pPr>
              <w:pStyle w:val="Tabletext"/>
              <w:keepNext/>
              <w:spacing w:before="0" w:after="0"/>
              <w:jc w:val="right"/>
              <w:rPr>
                <w:szCs w:val="18"/>
                <w:lang w:val="ru-RU" w:eastAsia="en-GB"/>
              </w:rPr>
            </w:pPr>
          </w:p>
        </w:tc>
        <w:tc>
          <w:tcPr>
            <w:tcW w:w="588" w:type="pct"/>
            <w:tcBorders>
              <w:top w:val="nil"/>
              <w:left w:val="nil"/>
              <w:bottom w:val="nil"/>
              <w:right w:val="nil"/>
            </w:tcBorders>
            <w:shd w:val="clear" w:color="auto" w:fill="auto"/>
            <w:noWrap/>
            <w:vAlign w:val="bottom"/>
            <w:hideMark/>
          </w:tcPr>
          <w:p w14:paraId="2C5D0774" w14:textId="4A9D0E72" w:rsidR="00DF251A" w:rsidRPr="00521670" w:rsidRDefault="00DF251A" w:rsidP="009204C6">
            <w:pPr>
              <w:pStyle w:val="Tabletext"/>
              <w:keepNext/>
              <w:spacing w:before="0" w:after="0"/>
              <w:jc w:val="right"/>
              <w:rPr>
                <w:szCs w:val="18"/>
                <w:lang w:val="ru-RU" w:eastAsia="en-GB"/>
              </w:rPr>
            </w:pPr>
          </w:p>
        </w:tc>
        <w:tc>
          <w:tcPr>
            <w:tcW w:w="569" w:type="pct"/>
            <w:tcBorders>
              <w:top w:val="nil"/>
              <w:left w:val="nil"/>
              <w:bottom w:val="nil"/>
              <w:right w:val="nil"/>
            </w:tcBorders>
            <w:shd w:val="clear" w:color="auto" w:fill="auto"/>
            <w:noWrap/>
            <w:vAlign w:val="bottom"/>
            <w:hideMark/>
          </w:tcPr>
          <w:p w14:paraId="07F3A74A" w14:textId="77777777" w:rsidR="00DF251A" w:rsidRPr="00521670" w:rsidRDefault="00DF251A" w:rsidP="009204C6">
            <w:pPr>
              <w:pStyle w:val="Tabletext"/>
              <w:keepNext/>
              <w:spacing w:before="0" w:after="0"/>
              <w:jc w:val="right"/>
              <w:rPr>
                <w:b/>
                <w:bCs/>
                <w:szCs w:val="18"/>
                <w:lang w:val="ru-RU" w:eastAsia="en-GB"/>
              </w:rPr>
            </w:pPr>
          </w:p>
        </w:tc>
      </w:tr>
      <w:tr w:rsidR="00DF251A" w:rsidRPr="00521670" w14:paraId="3A25A823" w14:textId="77777777" w:rsidTr="009204C6">
        <w:trPr>
          <w:trHeight w:val="520"/>
          <w:jc w:val="center"/>
        </w:trPr>
        <w:tc>
          <w:tcPr>
            <w:tcW w:w="1563" w:type="pct"/>
            <w:tcBorders>
              <w:top w:val="nil"/>
              <w:left w:val="nil"/>
              <w:bottom w:val="nil"/>
              <w:right w:val="nil"/>
            </w:tcBorders>
            <w:shd w:val="clear" w:color="auto" w:fill="auto"/>
            <w:vAlign w:val="center"/>
            <w:hideMark/>
          </w:tcPr>
          <w:p w14:paraId="340F1F33" w14:textId="77777777" w:rsidR="00DF251A" w:rsidRPr="00521670" w:rsidRDefault="00DF251A" w:rsidP="009204C6">
            <w:pPr>
              <w:pStyle w:val="Tabletext"/>
              <w:keepNext/>
              <w:rPr>
                <w:b/>
                <w:bCs/>
                <w:szCs w:val="18"/>
                <w:lang w:val="ru-RU" w:eastAsia="en-GB"/>
              </w:rPr>
            </w:pPr>
            <w:r w:rsidRPr="00521670">
              <w:rPr>
                <w:rFonts w:cs="Calibri"/>
                <w:b/>
                <w:bCs/>
                <w:szCs w:val="18"/>
                <w:lang w:val="ru-RU"/>
              </w:rPr>
              <w:t>Чистая балансовая стоимость на 1 января 2023 г.</w:t>
            </w:r>
          </w:p>
        </w:tc>
        <w:tc>
          <w:tcPr>
            <w:tcW w:w="569" w:type="pct"/>
            <w:tcBorders>
              <w:top w:val="nil"/>
              <w:left w:val="nil"/>
              <w:bottom w:val="nil"/>
              <w:right w:val="nil"/>
            </w:tcBorders>
            <w:shd w:val="clear" w:color="auto" w:fill="auto"/>
            <w:noWrap/>
            <w:vAlign w:val="bottom"/>
          </w:tcPr>
          <w:p w14:paraId="432CB0BB" w14:textId="77777777" w:rsidR="00DF251A" w:rsidRPr="00521670" w:rsidRDefault="00DF251A" w:rsidP="009204C6">
            <w:pPr>
              <w:pStyle w:val="Tabletext"/>
              <w:keepNext/>
              <w:jc w:val="right"/>
              <w:rPr>
                <w:b/>
                <w:bCs/>
                <w:szCs w:val="18"/>
                <w:lang w:val="ru-RU"/>
              </w:rPr>
            </w:pPr>
            <w:r w:rsidRPr="00521670">
              <w:rPr>
                <w:b/>
                <w:bCs/>
                <w:szCs w:val="18"/>
                <w:lang w:val="ru-RU"/>
              </w:rPr>
              <w:t>62 424</w:t>
            </w:r>
          </w:p>
        </w:tc>
        <w:tc>
          <w:tcPr>
            <w:tcW w:w="570" w:type="pct"/>
            <w:tcBorders>
              <w:top w:val="nil"/>
              <w:left w:val="nil"/>
              <w:bottom w:val="nil"/>
              <w:right w:val="nil"/>
            </w:tcBorders>
            <w:shd w:val="clear" w:color="auto" w:fill="auto"/>
            <w:noWrap/>
            <w:vAlign w:val="bottom"/>
          </w:tcPr>
          <w:p w14:paraId="2484E188" w14:textId="77777777" w:rsidR="00DF251A" w:rsidRPr="00521670" w:rsidRDefault="00DF251A" w:rsidP="009204C6">
            <w:pPr>
              <w:pStyle w:val="Tabletext"/>
              <w:keepNext/>
              <w:jc w:val="right"/>
              <w:rPr>
                <w:b/>
                <w:bCs/>
                <w:szCs w:val="18"/>
                <w:lang w:val="ru-RU"/>
              </w:rPr>
            </w:pPr>
            <w:r w:rsidRPr="00521670">
              <w:rPr>
                <w:b/>
                <w:bCs/>
                <w:szCs w:val="18"/>
                <w:lang w:val="ru-RU"/>
              </w:rPr>
              <w:t>125</w:t>
            </w:r>
          </w:p>
        </w:tc>
        <w:tc>
          <w:tcPr>
            <w:tcW w:w="570" w:type="pct"/>
            <w:tcBorders>
              <w:top w:val="nil"/>
              <w:left w:val="nil"/>
              <w:bottom w:val="nil"/>
              <w:right w:val="nil"/>
            </w:tcBorders>
            <w:shd w:val="clear" w:color="auto" w:fill="auto"/>
            <w:noWrap/>
            <w:vAlign w:val="bottom"/>
          </w:tcPr>
          <w:p w14:paraId="18CCF1F4" w14:textId="77777777" w:rsidR="00DF251A" w:rsidRPr="00521670" w:rsidRDefault="00DF251A" w:rsidP="009204C6">
            <w:pPr>
              <w:pStyle w:val="Tabletext"/>
              <w:keepNext/>
              <w:jc w:val="right"/>
              <w:rPr>
                <w:b/>
                <w:bCs/>
                <w:szCs w:val="18"/>
                <w:lang w:val="ru-RU"/>
              </w:rPr>
            </w:pPr>
            <w:r w:rsidRPr="00521670">
              <w:rPr>
                <w:b/>
                <w:bCs/>
                <w:szCs w:val="18"/>
                <w:lang w:val="ru-RU"/>
              </w:rPr>
              <w:t>21</w:t>
            </w:r>
          </w:p>
        </w:tc>
        <w:tc>
          <w:tcPr>
            <w:tcW w:w="571" w:type="pct"/>
            <w:tcBorders>
              <w:top w:val="nil"/>
              <w:left w:val="nil"/>
              <w:bottom w:val="nil"/>
              <w:right w:val="nil"/>
            </w:tcBorders>
            <w:shd w:val="clear" w:color="auto" w:fill="auto"/>
            <w:noWrap/>
            <w:vAlign w:val="bottom"/>
          </w:tcPr>
          <w:p w14:paraId="096AE56D" w14:textId="77777777" w:rsidR="00DF251A" w:rsidRPr="00521670" w:rsidRDefault="00DF251A" w:rsidP="009204C6">
            <w:pPr>
              <w:pStyle w:val="Tabletext"/>
              <w:keepNext/>
              <w:jc w:val="right"/>
              <w:rPr>
                <w:b/>
                <w:bCs/>
                <w:szCs w:val="18"/>
                <w:lang w:val="ru-RU"/>
              </w:rPr>
            </w:pPr>
            <w:r w:rsidRPr="00521670">
              <w:rPr>
                <w:b/>
                <w:bCs/>
                <w:szCs w:val="18"/>
                <w:lang w:val="ru-RU"/>
              </w:rPr>
              <w:t>801</w:t>
            </w:r>
          </w:p>
        </w:tc>
        <w:tc>
          <w:tcPr>
            <w:tcW w:w="588" w:type="pct"/>
            <w:tcBorders>
              <w:top w:val="nil"/>
              <w:left w:val="nil"/>
              <w:bottom w:val="nil"/>
              <w:right w:val="nil"/>
            </w:tcBorders>
            <w:shd w:val="clear" w:color="auto" w:fill="auto"/>
            <w:noWrap/>
            <w:vAlign w:val="bottom"/>
          </w:tcPr>
          <w:p w14:paraId="64F03A85" w14:textId="77777777" w:rsidR="00DF251A" w:rsidRPr="00521670" w:rsidRDefault="00DF251A" w:rsidP="009204C6">
            <w:pPr>
              <w:pStyle w:val="Tabletext"/>
              <w:keepNext/>
              <w:jc w:val="right"/>
              <w:rPr>
                <w:b/>
                <w:bCs/>
                <w:szCs w:val="18"/>
                <w:lang w:val="ru-RU"/>
              </w:rPr>
            </w:pPr>
            <w:r w:rsidRPr="00521670">
              <w:rPr>
                <w:b/>
                <w:bCs/>
                <w:szCs w:val="18"/>
                <w:lang w:val="ru-RU"/>
              </w:rPr>
              <w:t>41</w:t>
            </w:r>
          </w:p>
        </w:tc>
        <w:tc>
          <w:tcPr>
            <w:tcW w:w="569" w:type="pct"/>
            <w:tcBorders>
              <w:top w:val="nil"/>
              <w:left w:val="nil"/>
              <w:bottom w:val="nil"/>
              <w:right w:val="nil"/>
            </w:tcBorders>
            <w:shd w:val="clear" w:color="auto" w:fill="auto"/>
            <w:noWrap/>
            <w:vAlign w:val="bottom"/>
          </w:tcPr>
          <w:p w14:paraId="6F01FBCC" w14:textId="77777777" w:rsidR="00DF251A" w:rsidRPr="00521670" w:rsidRDefault="00DF251A" w:rsidP="009204C6">
            <w:pPr>
              <w:pStyle w:val="Tabletext"/>
              <w:keepNext/>
              <w:jc w:val="right"/>
              <w:rPr>
                <w:b/>
                <w:bCs/>
                <w:szCs w:val="18"/>
                <w:lang w:val="ru-RU"/>
              </w:rPr>
            </w:pPr>
            <w:r w:rsidRPr="00521670">
              <w:rPr>
                <w:b/>
                <w:bCs/>
                <w:szCs w:val="18"/>
                <w:lang w:val="ru-RU"/>
              </w:rPr>
              <w:t>63 412</w:t>
            </w:r>
          </w:p>
        </w:tc>
      </w:tr>
      <w:tr w:rsidR="00DF251A" w:rsidRPr="00521670" w14:paraId="1777BFF6" w14:textId="77777777" w:rsidTr="009204C6">
        <w:trPr>
          <w:trHeight w:val="551"/>
          <w:jc w:val="center"/>
        </w:trPr>
        <w:tc>
          <w:tcPr>
            <w:tcW w:w="1563" w:type="pct"/>
            <w:tcBorders>
              <w:top w:val="nil"/>
              <w:left w:val="nil"/>
              <w:bottom w:val="nil"/>
              <w:right w:val="nil"/>
            </w:tcBorders>
            <w:shd w:val="clear" w:color="000000" w:fill="0070C0"/>
            <w:vAlign w:val="center"/>
            <w:hideMark/>
          </w:tcPr>
          <w:p w14:paraId="51B01743" w14:textId="77777777" w:rsidR="00DF251A" w:rsidRPr="00521670" w:rsidRDefault="00DF251A" w:rsidP="009204C6">
            <w:pPr>
              <w:pStyle w:val="Tabletext"/>
              <w:rPr>
                <w:b/>
                <w:bCs/>
                <w:szCs w:val="18"/>
                <w:lang w:val="ru-RU" w:eastAsia="en-GB"/>
              </w:rPr>
            </w:pPr>
            <w:r w:rsidRPr="00521670">
              <w:rPr>
                <w:rFonts w:cs="Calibri"/>
                <w:b/>
                <w:bCs/>
                <w:szCs w:val="18"/>
                <w:lang w:val="ru-RU"/>
              </w:rPr>
              <w:t>Чистая балансовая стоимость на 31 декабря 2023 г.</w:t>
            </w:r>
          </w:p>
        </w:tc>
        <w:tc>
          <w:tcPr>
            <w:tcW w:w="569" w:type="pct"/>
            <w:tcBorders>
              <w:top w:val="nil"/>
              <w:left w:val="nil"/>
              <w:bottom w:val="nil"/>
              <w:right w:val="nil"/>
            </w:tcBorders>
            <w:shd w:val="clear" w:color="000000" w:fill="0070C0"/>
            <w:noWrap/>
            <w:vAlign w:val="bottom"/>
            <w:hideMark/>
          </w:tcPr>
          <w:p w14:paraId="6B79494B" w14:textId="77777777" w:rsidR="00DF251A" w:rsidRPr="00521670" w:rsidRDefault="00DF251A" w:rsidP="009204C6">
            <w:pPr>
              <w:pStyle w:val="Tabletext"/>
              <w:jc w:val="right"/>
              <w:rPr>
                <w:b/>
                <w:bCs/>
                <w:szCs w:val="18"/>
                <w:lang w:val="ru-RU" w:eastAsia="en-GB"/>
              </w:rPr>
            </w:pPr>
            <w:r w:rsidRPr="00521670">
              <w:rPr>
                <w:b/>
                <w:bCs/>
                <w:szCs w:val="18"/>
                <w:lang w:val="ru-RU"/>
              </w:rPr>
              <w:t>58 968</w:t>
            </w:r>
          </w:p>
        </w:tc>
        <w:tc>
          <w:tcPr>
            <w:tcW w:w="570" w:type="pct"/>
            <w:tcBorders>
              <w:top w:val="nil"/>
              <w:left w:val="nil"/>
              <w:bottom w:val="nil"/>
              <w:right w:val="nil"/>
            </w:tcBorders>
            <w:shd w:val="clear" w:color="000000" w:fill="0070C0"/>
            <w:noWrap/>
            <w:vAlign w:val="bottom"/>
            <w:hideMark/>
          </w:tcPr>
          <w:p w14:paraId="26FDA7ED" w14:textId="77777777" w:rsidR="00DF251A" w:rsidRPr="00521670" w:rsidRDefault="00DF251A" w:rsidP="009204C6">
            <w:pPr>
              <w:pStyle w:val="Tabletext"/>
              <w:jc w:val="right"/>
              <w:rPr>
                <w:b/>
                <w:bCs/>
                <w:szCs w:val="18"/>
                <w:lang w:val="ru-RU" w:eastAsia="en-GB"/>
              </w:rPr>
            </w:pPr>
            <w:r w:rsidRPr="00521670">
              <w:rPr>
                <w:b/>
                <w:bCs/>
                <w:szCs w:val="18"/>
                <w:lang w:val="ru-RU"/>
              </w:rPr>
              <w:t>106</w:t>
            </w:r>
          </w:p>
        </w:tc>
        <w:tc>
          <w:tcPr>
            <w:tcW w:w="570" w:type="pct"/>
            <w:tcBorders>
              <w:top w:val="nil"/>
              <w:left w:val="nil"/>
              <w:bottom w:val="nil"/>
              <w:right w:val="nil"/>
            </w:tcBorders>
            <w:shd w:val="clear" w:color="000000" w:fill="0070C0"/>
            <w:noWrap/>
            <w:vAlign w:val="bottom"/>
            <w:hideMark/>
          </w:tcPr>
          <w:p w14:paraId="6C1FF54E" w14:textId="77777777" w:rsidR="00DF251A" w:rsidRPr="00521670" w:rsidRDefault="00DF251A" w:rsidP="009204C6">
            <w:pPr>
              <w:pStyle w:val="Tabletext"/>
              <w:jc w:val="right"/>
              <w:rPr>
                <w:b/>
                <w:bCs/>
                <w:szCs w:val="18"/>
                <w:lang w:val="ru-RU" w:eastAsia="en-GB"/>
              </w:rPr>
            </w:pPr>
            <w:r w:rsidRPr="00521670">
              <w:rPr>
                <w:b/>
                <w:bCs/>
                <w:szCs w:val="18"/>
                <w:lang w:val="ru-RU"/>
              </w:rPr>
              <w:t>12</w:t>
            </w:r>
          </w:p>
        </w:tc>
        <w:tc>
          <w:tcPr>
            <w:tcW w:w="571" w:type="pct"/>
            <w:tcBorders>
              <w:top w:val="nil"/>
              <w:left w:val="nil"/>
              <w:bottom w:val="nil"/>
              <w:right w:val="nil"/>
            </w:tcBorders>
            <w:shd w:val="clear" w:color="000000" w:fill="0070C0"/>
            <w:noWrap/>
            <w:vAlign w:val="bottom"/>
            <w:hideMark/>
          </w:tcPr>
          <w:p w14:paraId="211292BF" w14:textId="77777777" w:rsidR="00DF251A" w:rsidRPr="00521670" w:rsidRDefault="00DF251A" w:rsidP="009204C6">
            <w:pPr>
              <w:pStyle w:val="Tabletext"/>
              <w:jc w:val="right"/>
              <w:rPr>
                <w:b/>
                <w:bCs/>
                <w:szCs w:val="18"/>
                <w:lang w:val="ru-RU" w:eastAsia="en-GB"/>
              </w:rPr>
            </w:pPr>
            <w:r w:rsidRPr="00521670">
              <w:rPr>
                <w:b/>
                <w:bCs/>
                <w:szCs w:val="18"/>
                <w:lang w:val="ru-RU"/>
              </w:rPr>
              <w:t>351</w:t>
            </w:r>
          </w:p>
        </w:tc>
        <w:tc>
          <w:tcPr>
            <w:tcW w:w="588" w:type="pct"/>
            <w:tcBorders>
              <w:top w:val="nil"/>
              <w:left w:val="nil"/>
              <w:bottom w:val="nil"/>
              <w:right w:val="nil"/>
            </w:tcBorders>
            <w:shd w:val="clear" w:color="000000" w:fill="0070C0"/>
            <w:noWrap/>
            <w:vAlign w:val="bottom"/>
            <w:hideMark/>
          </w:tcPr>
          <w:p w14:paraId="609461F5" w14:textId="77777777" w:rsidR="00DF251A" w:rsidRPr="00521670" w:rsidRDefault="00DF251A" w:rsidP="009204C6">
            <w:pPr>
              <w:pStyle w:val="Tabletext"/>
              <w:jc w:val="right"/>
              <w:rPr>
                <w:b/>
                <w:bCs/>
                <w:szCs w:val="18"/>
                <w:lang w:val="ru-RU" w:eastAsia="en-GB"/>
              </w:rPr>
            </w:pPr>
            <w:r w:rsidRPr="00521670">
              <w:rPr>
                <w:b/>
                <w:bCs/>
                <w:szCs w:val="18"/>
                <w:lang w:val="ru-RU"/>
              </w:rPr>
              <w:t>21</w:t>
            </w:r>
          </w:p>
        </w:tc>
        <w:tc>
          <w:tcPr>
            <w:tcW w:w="569" w:type="pct"/>
            <w:tcBorders>
              <w:top w:val="nil"/>
              <w:left w:val="nil"/>
              <w:bottom w:val="nil"/>
              <w:right w:val="nil"/>
            </w:tcBorders>
            <w:shd w:val="clear" w:color="000000" w:fill="0070C0"/>
            <w:noWrap/>
            <w:vAlign w:val="bottom"/>
            <w:hideMark/>
          </w:tcPr>
          <w:p w14:paraId="377ED32A" w14:textId="77777777" w:rsidR="00DF251A" w:rsidRPr="00521670" w:rsidRDefault="00DF251A" w:rsidP="009204C6">
            <w:pPr>
              <w:pStyle w:val="Tabletext"/>
              <w:jc w:val="right"/>
              <w:rPr>
                <w:b/>
                <w:bCs/>
                <w:szCs w:val="18"/>
                <w:lang w:val="ru-RU" w:eastAsia="en-GB"/>
              </w:rPr>
            </w:pPr>
            <w:r w:rsidRPr="00521670">
              <w:rPr>
                <w:b/>
                <w:bCs/>
                <w:szCs w:val="18"/>
                <w:lang w:val="ru-RU"/>
              </w:rPr>
              <w:t>59 459</w:t>
            </w:r>
          </w:p>
        </w:tc>
      </w:tr>
    </w:tbl>
    <w:p w14:paraId="680C01B4" w14:textId="77777777" w:rsidR="00DF251A" w:rsidRPr="00521670" w:rsidRDefault="00DF251A" w:rsidP="00B06555">
      <w:pPr>
        <w:pStyle w:val="Heading5"/>
        <w:tabs>
          <w:tab w:val="left" w:pos="1980"/>
        </w:tabs>
        <w:rPr>
          <w:b/>
          <w:bCs/>
          <w:color w:val="4F81BD" w:themeColor="accent1"/>
          <w:lang w:val="ru-RU"/>
        </w:rPr>
      </w:pPr>
      <w:bookmarkStart w:id="310" w:name="_Toc305764087"/>
      <w:bookmarkStart w:id="311" w:name="_Toc97786674"/>
      <w:bookmarkStart w:id="312" w:name="_Toc164845558"/>
      <w:bookmarkStart w:id="313" w:name="_Toc168578472"/>
      <w:bookmarkStart w:id="314" w:name="_Toc180681817"/>
      <w:bookmarkStart w:id="315" w:name="_Toc200469535"/>
      <w:r w:rsidRPr="00521670">
        <w:rPr>
          <w:b/>
          <w:bCs/>
          <w:color w:val="4F81BD" w:themeColor="accent1"/>
          <w:lang w:val="ru-RU"/>
        </w:rPr>
        <w:lastRenderedPageBreak/>
        <w:t>Примечание 11</w:t>
      </w:r>
      <w:r w:rsidRPr="00521670">
        <w:rPr>
          <w:b/>
          <w:bCs/>
          <w:color w:val="4F81BD" w:themeColor="accent1"/>
          <w:lang w:val="ru-RU"/>
        </w:rPr>
        <w:tab/>
      </w:r>
      <w:bookmarkEnd w:id="310"/>
      <w:bookmarkEnd w:id="311"/>
      <w:bookmarkEnd w:id="312"/>
      <w:r w:rsidRPr="00521670">
        <w:rPr>
          <w:b/>
          <w:bCs/>
          <w:color w:val="4F81BD" w:themeColor="accent1"/>
          <w:lang w:val="ru-RU"/>
        </w:rPr>
        <w:t>Нематериальные активы</w:t>
      </w:r>
      <w:bookmarkEnd w:id="313"/>
      <w:bookmarkEnd w:id="314"/>
      <w:bookmarkEnd w:id="315"/>
    </w:p>
    <w:p w14:paraId="2FAA3F37" w14:textId="77777777" w:rsidR="00DF251A" w:rsidRPr="00521670" w:rsidRDefault="00DF251A" w:rsidP="004F6E64">
      <w:pPr>
        <w:keepNext/>
        <w:spacing w:after="120"/>
        <w:rPr>
          <w:highlight w:val="lightGray"/>
          <w:lang w:val="ru-RU"/>
        </w:rPr>
      </w:pPr>
      <w:bookmarkStart w:id="316" w:name="_MON_1754218473"/>
      <w:bookmarkEnd w:id="316"/>
      <w:r w:rsidRPr="00521670">
        <w:rPr>
          <w:lang w:val="ru-RU"/>
        </w:rPr>
        <w:t>Нематериальные активы, принадлежащие МСЭ, включают разработанные внутри Организации и приобретенные у внешних источников лицензии на ИТ и программное обеспечение.</w:t>
      </w:r>
    </w:p>
    <w:tbl>
      <w:tblPr>
        <w:tblW w:w="5000" w:type="pct"/>
        <w:tblLook w:val="04A0" w:firstRow="1" w:lastRow="0" w:firstColumn="1" w:lastColumn="0" w:noHBand="0" w:noVBand="1"/>
      </w:tblPr>
      <w:tblGrid>
        <w:gridCol w:w="2855"/>
        <w:gridCol w:w="1036"/>
        <w:gridCol w:w="1036"/>
        <w:gridCol w:w="1036"/>
        <w:gridCol w:w="1036"/>
        <w:gridCol w:w="1036"/>
        <w:gridCol w:w="1036"/>
      </w:tblGrid>
      <w:tr w:rsidR="00DF251A" w:rsidRPr="00521670" w14:paraId="557ECCE6" w14:textId="77777777" w:rsidTr="00835292">
        <w:trPr>
          <w:trHeight w:val="390"/>
        </w:trPr>
        <w:tc>
          <w:tcPr>
            <w:tcW w:w="1574" w:type="pct"/>
            <w:vMerge w:val="restart"/>
            <w:tcBorders>
              <w:top w:val="nil"/>
              <w:left w:val="nil"/>
              <w:bottom w:val="nil"/>
              <w:right w:val="nil"/>
            </w:tcBorders>
            <w:shd w:val="clear" w:color="000000" w:fill="0070C0"/>
            <w:vAlign w:val="center"/>
            <w:hideMark/>
          </w:tcPr>
          <w:p w14:paraId="3147FF3E" w14:textId="77777777" w:rsidR="00DF251A" w:rsidRPr="00521670" w:rsidRDefault="00DF251A" w:rsidP="00AB7557">
            <w:pPr>
              <w:pStyle w:val="Tablehead"/>
              <w:rPr>
                <w:szCs w:val="18"/>
                <w:lang w:val="ru-RU" w:eastAsia="en-GB"/>
              </w:rPr>
            </w:pPr>
            <w:r w:rsidRPr="00521670">
              <w:rPr>
                <w:rFonts w:cs="Calibri"/>
                <w:szCs w:val="18"/>
                <w:lang w:val="ru-RU"/>
              </w:rPr>
              <w:t>Категории активов (тыс. шв. фр.)</w:t>
            </w:r>
          </w:p>
        </w:tc>
        <w:tc>
          <w:tcPr>
            <w:tcW w:w="1142" w:type="pct"/>
            <w:gridSpan w:val="2"/>
            <w:tcBorders>
              <w:top w:val="nil"/>
              <w:left w:val="nil"/>
              <w:bottom w:val="nil"/>
              <w:right w:val="nil"/>
            </w:tcBorders>
            <w:shd w:val="clear" w:color="000000" w:fill="0070C0"/>
            <w:vAlign w:val="center"/>
            <w:hideMark/>
          </w:tcPr>
          <w:p w14:paraId="3217B455" w14:textId="77777777" w:rsidR="00DF251A" w:rsidRPr="00521670" w:rsidRDefault="00DF251A" w:rsidP="00835292">
            <w:pPr>
              <w:pStyle w:val="Tablehead"/>
              <w:rPr>
                <w:szCs w:val="18"/>
                <w:lang w:val="ru-RU" w:eastAsia="en-GB"/>
              </w:rPr>
            </w:pPr>
            <w:r w:rsidRPr="00521670">
              <w:rPr>
                <w:szCs w:val="18"/>
                <w:lang w:val="ru-RU"/>
              </w:rPr>
              <w:t xml:space="preserve">Внутренние </w:t>
            </w:r>
            <w:r w:rsidRPr="00521670">
              <w:rPr>
                <w:szCs w:val="18"/>
                <w:lang w:val="ru-RU"/>
              </w:rPr>
              <w:br/>
              <w:t>разработки</w:t>
            </w:r>
          </w:p>
        </w:tc>
        <w:tc>
          <w:tcPr>
            <w:tcW w:w="1142" w:type="pct"/>
            <w:gridSpan w:val="2"/>
            <w:tcBorders>
              <w:top w:val="nil"/>
              <w:left w:val="nil"/>
              <w:bottom w:val="nil"/>
              <w:right w:val="nil"/>
            </w:tcBorders>
            <w:shd w:val="clear" w:color="000000" w:fill="0070C0"/>
            <w:vAlign w:val="center"/>
            <w:hideMark/>
          </w:tcPr>
          <w:p w14:paraId="526DED4E" w14:textId="77777777" w:rsidR="00DF251A" w:rsidRPr="00521670" w:rsidRDefault="00DF251A" w:rsidP="00835292">
            <w:pPr>
              <w:pStyle w:val="Tablehead"/>
              <w:rPr>
                <w:szCs w:val="18"/>
                <w:lang w:val="ru-RU" w:eastAsia="en-GB"/>
              </w:rPr>
            </w:pPr>
            <w:r w:rsidRPr="00521670">
              <w:rPr>
                <w:szCs w:val="18"/>
                <w:lang w:val="ru-RU"/>
              </w:rPr>
              <w:t>Программное</w:t>
            </w:r>
            <w:r w:rsidRPr="00521670">
              <w:rPr>
                <w:szCs w:val="18"/>
                <w:lang w:val="ru-RU"/>
              </w:rPr>
              <w:br/>
              <w:t>обеспечение</w:t>
            </w:r>
          </w:p>
        </w:tc>
        <w:tc>
          <w:tcPr>
            <w:tcW w:w="571" w:type="pct"/>
            <w:vMerge w:val="restart"/>
            <w:tcBorders>
              <w:top w:val="nil"/>
              <w:left w:val="nil"/>
              <w:right w:val="nil"/>
            </w:tcBorders>
            <w:shd w:val="clear" w:color="000000" w:fill="0070C0"/>
            <w:vAlign w:val="center"/>
          </w:tcPr>
          <w:p w14:paraId="5E35ADAA" w14:textId="42D18239" w:rsidR="00DF251A" w:rsidRPr="00521670" w:rsidRDefault="00DF251A" w:rsidP="00AD5E53">
            <w:pPr>
              <w:pStyle w:val="Tablehead"/>
              <w:spacing w:before="480"/>
              <w:rPr>
                <w:szCs w:val="18"/>
                <w:lang w:val="ru-RU" w:eastAsia="en-GB"/>
              </w:rPr>
            </w:pPr>
            <w:r w:rsidRPr="00521670">
              <w:rPr>
                <w:szCs w:val="18"/>
                <w:lang w:val="ru-RU" w:eastAsia="en-GB"/>
              </w:rPr>
              <w:t>Всего</w:t>
            </w:r>
            <w:r w:rsidRPr="00521670">
              <w:rPr>
                <w:szCs w:val="18"/>
                <w:lang w:val="ru-RU" w:eastAsia="en-GB"/>
              </w:rPr>
              <w:br/>
              <w:t>2024 г.</w:t>
            </w:r>
          </w:p>
        </w:tc>
        <w:tc>
          <w:tcPr>
            <w:tcW w:w="571" w:type="pct"/>
            <w:vMerge w:val="restart"/>
            <w:tcBorders>
              <w:top w:val="nil"/>
              <w:left w:val="nil"/>
              <w:right w:val="nil"/>
            </w:tcBorders>
            <w:shd w:val="clear" w:color="000000" w:fill="0070C0"/>
            <w:vAlign w:val="center"/>
          </w:tcPr>
          <w:p w14:paraId="4C5434EA" w14:textId="404971C1" w:rsidR="00DF251A" w:rsidRPr="00521670" w:rsidRDefault="00DF251A" w:rsidP="00AD5E53">
            <w:pPr>
              <w:pStyle w:val="Tablehead"/>
              <w:spacing w:before="480"/>
              <w:rPr>
                <w:szCs w:val="18"/>
                <w:lang w:val="ru-RU" w:eastAsia="en-GB"/>
              </w:rPr>
            </w:pPr>
            <w:r w:rsidRPr="00521670">
              <w:rPr>
                <w:szCs w:val="18"/>
                <w:lang w:val="ru-RU" w:eastAsia="en-GB"/>
              </w:rPr>
              <w:t>Всего</w:t>
            </w:r>
            <w:r w:rsidRPr="00521670">
              <w:rPr>
                <w:szCs w:val="18"/>
                <w:lang w:val="ru-RU" w:eastAsia="en-GB"/>
              </w:rPr>
              <w:br/>
              <w:t>2023 г.</w:t>
            </w:r>
          </w:p>
        </w:tc>
      </w:tr>
      <w:tr w:rsidR="00DF251A" w:rsidRPr="00521670" w14:paraId="375AB66E" w14:textId="77777777" w:rsidTr="004F6E64">
        <w:trPr>
          <w:trHeight w:val="360"/>
        </w:trPr>
        <w:tc>
          <w:tcPr>
            <w:tcW w:w="1574" w:type="pct"/>
            <w:vMerge/>
            <w:tcBorders>
              <w:top w:val="nil"/>
              <w:left w:val="nil"/>
              <w:bottom w:val="nil"/>
              <w:right w:val="nil"/>
            </w:tcBorders>
            <w:vAlign w:val="center"/>
            <w:hideMark/>
          </w:tcPr>
          <w:p w14:paraId="7C876FDD" w14:textId="77777777" w:rsidR="00DF251A" w:rsidRPr="00521670" w:rsidRDefault="00DF251A" w:rsidP="004F6E64">
            <w:pPr>
              <w:pStyle w:val="Tablehead"/>
              <w:rPr>
                <w:szCs w:val="18"/>
                <w:lang w:val="ru-RU" w:eastAsia="en-GB"/>
              </w:rPr>
            </w:pPr>
          </w:p>
        </w:tc>
        <w:tc>
          <w:tcPr>
            <w:tcW w:w="571" w:type="pct"/>
            <w:tcBorders>
              <w:top w:val="nil"/>
              <w:left w:val="nil"/>
              <w:bottom w:val="nil"/>
              <w:right w:val="nil"/>
            </w:tcBorders>
            <w:shd w:val="clear" w:color="000000" w:fill="0070C0"/>
            <w:vAlign w:val="center"/>
          </w:tcPr>
          <w:p w14:paraId="72DB6918" w14:textId="77777777" w:rsidR="00DF251A" w:rsidRPr="00521670" w:rsidRDefault="00DF251A" w:rsidP="004F6E64">
            <w:pPr>
              <w:pStyle w:val="Tablehead"/>
              <w:rPr>
                <w:szCs w:val="18"/>
                <w:lang w:val="ru-RU" w:eastAsia="en-GB"/>
              </w:rPr>
            </w:pPr>
            <w:r w:rsidRPr="00521670">
              <w:rPr>
                <w:szCs w:val="18"/>
                <w:lang w:val="ru-RU" w:eastAsia="en-GB"/>
              </w:rPr>
              <w:t>2024 г.</w:t>
            </w:r>
          </w:p>
        </w:tc>
        <w:tc>
          <w:tcPr>
            <w:tcW w:w="571" w:type="pct"/>
            <w:tcBorders>
              <w:top w:val="nil"/>
              <w:left w:val="nil"/>
              <w:bottom w:val="nil"/>
              <w:right w:val="nil"/>
            </w:tcBorders>
            <w:shd w:val="clear" w:color="000000" w:fill="0070C0"/>
            <w:vAlign w:val="center"/>
          </w:tcPr>
          <w:p w14:paraId="665BA8A4" w14:textId="77777777" w:rsidR="00DF251A" w:rsidRPr="00521670" w:rsidRDefault="00DF251A" w:rsidP="004F6E64">
            <w:pPr>
              <w:pStyle w:val="Tablehead"/>
              <w:rPr>
                <w:szCs w:val="18"/>
                <w:lang w:val="ru-RU" w:eastAsia="en-GB"/>
              </w:rPr>
            </w:pPr>
            <w:r w:rsidRPr="00521670">
              <w:rPr>
                <w:szCs w:val="18"/>
                <w:lang w:val="ru-RU" w:eastAsia="en-GB"/>
              </w:rPr>
              <w:t>2023 г.</w:t>
            </w:r>
          </w:p>
        </w:tc>
        <w:tc>
          <w:tcPr>
            <w:tcW w:w="571" w:type="pct"/>
            <w:tcBorders>
              <w:top w:val="nil"/>
              <w:left w:val="nil"/>
              <w:bottom w:val="nil"/>
              <w:right w:val="nil"/>
            </w:tcBorders>
            <w:shd w:val="clear" w:color="000000" w:fill="0070C0"/>
            <w:vAlign w:val="center"/>
          </w:tcPr>
          <w:p w14:paraId="65617D35" w14:textId="77777777" w:rsidR="00DF251A" w:rsidRPr="00521670" w:rsidRDefault="00DF251A" w:rsidP="004F6E64">
            <w:pPr>
              <w:pStyle w:val="Tablehead"/>
              <w:rPr>
                <w:szCs w:val="18"/>
                <w:lang w:val="ru-RU" w:eastAsia="en-GB"/>
              </w:rPr>
            </w:pPr>
            <w:r w:rsidRPr="00521670">
              <w:rPr>
                <w:szCs w:val="18"/>
                <w:lang w:val="ru-RU" w:eastAsia="en-GB"/>
              </w:rPr>
              <w:t>2024 г.</w:t>
            </w:r>
          </w:p>
        </w:tc>
        <w:tc>
          <w:tcPr>
            <w:tcW w:w="571" w:type="pct"/>
            <w:tcBorders>
              <w:top w:val="nil"/>
              <w:left w:val="nil"/>
              <w:bottom w:val="nil"/>
              <w:right w:val="nil"/>
            </w:tcBorders>
            <w:shd w:val="clear" w:color="000000" w:fill="0070C0"/>
            <w:vAlign w:val="center"/>
          </w:tcPr>
          <w:p w14:paraId="680D4E17" w14:textId="77777777" w:rsidR="00DF251A" w:rsidRPr="00521670" w:rsidRDefault="00DF251A" w:rsidP="004F6E64">
            <w:pPr>
              <w:pStyle w:val="Tablehead"/>
              <w:rPr>
                <w:szCs w:val="18"/>
                <w:lang w:val="ru-RU" w:eastAsia="en-GB"/>
              </w:rPr>
            </w:pPr>
            <w:r w:rsidRPr="00521670">
              <w:rPr>
                <w:szCs w:val="18"/>
                <w:lang w:val="ru-RU" w:eastAsia="en-GB"/>
              </w:rPr>
              <w:t>2023 г.</w:t>
            </w:r>
          </w:p>
        </w:tc>
        <w:tc>
          <w:tcPr>
            <w:tcW w:w="571" w:type="pct"/>
            <w:vMerge/>
            <w:tcBorders>
              <w:left w:val="nil"/>
              <w:bottom w:val="nil"/>
              <w:right w:val="nil"/>
            </w:tcBorders>
            <w:shd w:val="clear" w:color="000000" w:fill="0070C0"/>
            <w:vAlign w:val="center"/>
            <w:hideMark/>
          </w:tcPr>
          <w:p w14:paraId="6179C183" w14:textId="77777777" w:rsidR="00DF251A" w:rsidRPr="00521670" w:rsidRDefault="00DF251A" w:rsidP="004F6E64">
            <w:pPr>
              <w:pStyle w:val="Tablehead"/>
              <w:rPr>
                <w:szCs w:val="18"/>
                <w:lang w:val="ru-RU" w:eastAsia="en-GB"/>
              </w:rPr>
            </w:pPr>
          </w:p>
        </w:tc>
        <w:tc>
          <w:tcPr>
            <w:tcW w:w="571" w:type="pct"/>
            <w:vMerge/>
            <w:tcBorders>
              <w:left w:val="nil"/>
              <w:bottom w:val="nil"/>
              <w:right w:val="nil"/>
            </w:tcBorders>
            <w:shd w:val="clear" w:color="000000" w:fill="0070C0"/>
            <w:vAlign w:val="center"/>
            <w:hideMark/>
          </w:tcPr>
          <w:p w14:paraId="1701B3C8" w14:textId="77777777" w:rsidR="00DF251A" w:rsidRPr="00521670" w:rsidRDefault="00DF251A" w:rsidP="004F6E64">
            <w:pPr>
              <w:pStyle w:val="Tablehead"/>
              <w:rPr>
                <w:szCs w:val="18"/>
                <w:lang w:val="ru-RU" w:eastAsia="en-GB"/>
              </w:rPr>
            </w:pPr>
          </w:p>
        </w:tc>
      </w:tr>
      <w:tr w:rsidR="00DF251A" w:rsidRPr="00521670" w14:paraId="5A039BE9" w14:textId="77777777" w:rsidTr="00F72F0D">
        <w:trPr>
          <w:trHeight w:val="255"/>
        </w:trPr>
        <w:tc>
          <w:tcPr>
            <w:tcW w:w="1574" w:type="pct"/>
            <w:tcBorders>
              <w:top w:val="nil"/>
              <w:left w:val="nil"/>
              <w:bottom w:val="nil"/>
              <w:right w:val="nil"/>
            </w:tcBorders>
            <w:shd w:val="clear" w:color="auto" w:fill="auto"/>
            <w:vAlign w:val="center"/>
            <w:hideMark/>
          </w:tcPr>
          <w:p w14:paraId="2E156B56" w14:textId="77777777" w:rsidR="00DF251A" w:rsidRPr="00521670" w:rsidRDefault="00DF251A" w:rsidP="00F72F0D">
            <w:pPr>
              <w:pStyle w:val="Tabletext"/>
              <w:keepNext/>
              <w:rPr>
                <w:b/>
                <w:bCs/>
                <w:szCs w:val="18"/>
                <w:lang w:val="ru-RU" w:eastAsia="en-GB"/>
              </w:rPr>
            </w:pPr>
            <w:r w:rsidRPr="00521670">
              <w:rPr>
                <w:b/>
                <w:bCs/>
                <w:szCs w:val="18"/>
                <w:lang w:val="ru-RU"/>
              </w:rPr>
              <w:t>Стоимость на 1 января</w:t>
            </w:r>
          </w:p>
        </w:tc>
        <w:tc>
          <w:tcPr>
            <w:tcW w:w="571" w:type="pct"/>
            <w:tcBorders>
              <w:top w:val="nil"/>
              <w:left w:val="nil"/>
              <w:bottom w:val="nil"/>
              <w:right w:val="nil"/>
            </w:tcBorders>
            <w:shd w:val="clear" w:color="auto" w:fill="auto"/>
            <w:noWrap/>
            <w:vAlign w:val="bottom"/>
          </w:tcPr>
          <w:p w14:paraId="06C37FC3" w14:textId="77777777" w:rsidR="00DF251A" w:rsidRPr="00521670" w:rsidRDefault="00DF251A" w:rsidP="00F72F0D">
            <w:pPr>
              <w:pStyle w:val="Tabletext"/>
              <w:keepNext/>
              <w:jc w:val="right"/>
              <w:rPr>
                <w:b/>
                <w:bCs/>
                <w:szCs w:val="18"/>
                <w:lang w:val="ru-RU" w:eastAsia="en-GB"/>
              </w:rPr>
            </w:pPr>
            <w:r w:rsidRPr="00521670">
              <w:rPr>
                <w:b/>
                <w:bCs/>
                <w:szCs w:val="18"/>
                <w:lang w:val="ru-RU"/>
              </w:rPr>
              <w:t>6 310</w:t>
            </w:r>
          </w:p>
        </w:tc>
        <w:tc>
          <w:tcPr>
            <w:tcW w:w="571" w:type="pct"/>
            <w:tcBorders>
              <w:top w:val="nil"/>
              <w:left w:val="nil"/>
              <w:bottom w:val="nil"/>
              <w:right w:val="nil"/>
            </w:tcBorders>
            <w:shd w:val="clear" w:color="auto" w:fill="auto"/>
            <w:noWrap/>
            <w:vAlign w:val="bottom"/>
          </w:tcPr>
          <w:p w14:paraId="15091430"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5 551</w:t>
            </w:r>
          </w:p>
        </w:tc>
        <w:tc>
          <w:tcPr>
            <w:tcW w:w="571" w:type="pct"/>
            <w:tcBorders>
              <w:top w:val="nil"/>
              <w:left w:val="nil"/>
              <w:bottom w:val="nil"/>
              <w:right w:val="nil"/>
            </w:tcBorders>
            <w:shd w:val="clear" w:color="auto" w:fill="auto"/>
            <w:noWrap/>
            <w:vAlign w:val="bottom"/>
          </w:tcPr>
          <w:p w14:paraId="18583FB2" w14:textId="77777777" w:rsidR="00DF251A" w:rsidRPr="00521670" w:rsidRDefault="00DF251A" w:rsidP="00F72F0D">
            <w:pPr>
              <w:pStyle w:val="Tabletext"/>
              <w:keepNext/>
              <w:jc w:val="right"/>
              <w:rPr>
                <w:b/>
                <w:bCs/>
                <w:szCs w:val="18"/>
                <w:lang w:val="ru-RU"/>
              </w:rPr>
            </w:pPr>
            <w:r w:rsidRPr="00521670">
              <w:rPr>
                <w:b/>
                <w:bCs/>
                <w:szCs w:val="18"/>
                <w:lang w:val="ru-RU"/>
              </w:rPr>
              <w:t>6 822</w:t>
            </w:r>
          </w:p>
        </w:tc>
        <w:tc>
          <w:tcPr>
            <w:tcW w:w="571" w:type="pct"/>
            <w:tcBorders>
              <w:top w:val="nil"/>
              <w:left w:val="nil"/>
              <w:bottom w:val="nil"/>
              <w:right w:val="nil"/>
            </w:tcBorders>
            <w:shd w:val="clear" w:color="auto" w:fill="auto"/>
            <w:noWrap/>
            <w:vAlign w:val="bottom"/>
          </w:tcPr>
          <w:p w14:paraId="0C90435E"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6 786</w:t>
            </w:r>
          </w:p>
        </w:tc>
        <w:tc>
          <w:tcPr>
            <w:tcW w:w="571" w:type="pct"/>
            <w:tcBorders>
              <w:top w:val="nil"/>
              <w:left w:val="nil"/>
              <w:bottom w:val="nil"/>
              <w:right w:val="nil"/>
            </w:tcBorders>
            <w:shd w:val="clear" w:color="auto" w:fill="auto"/>
            <w:noWrap/>
            <w:vAlign w:val="bottom"/>
          </w:tcPr>
          <w:p w14:paraId="15752D5D"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13 132</w:t>
            </w:r>
          </w:p>
        </w:tc>
        <w:tc>
          <w:tcPr>
            <w:tcW w:w="571" w:type="pct"/>
            <w:tcBorders>
              <w:top w:val="nil"/>
              <w:left w:val="nil"/>
              <w:bottom w:val="nil"/>
              <w:right w:val="nil"/>
            </w:tcBorders>
            <w:shd w:val="clear" w:color="auto" w:fill="auto"/>
            <w:noWrap/>
            <w:vAlign w:val="bottom"/>
          </w:tcPr>
          <w:p w14:paraId="4B5A15D0"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12 337</w:t>
            </w:r>
          </w:p>
        </w:tc>
      </w:tr>
      <w:tr w:rsidR="00DF251A" w:rsidRPr="00521670" w14:paraId="1EBEA782" w14:textId="77777777" w:rsidTr="00F72F0D">
        <w:trPr>
          <w:trHeight w:val="255"/>
        </w:trPr>
        <w:tc>
          <w:tcPr>
            <w:tcW w:w="1574" w:type="pct"/>
            <w:tcBorders>
              <w:top w:val="nil"/>
              <w:left w:val="nil"/>
              <w:bottom w:val="nil"/>
              <w:right w:val="nil"/>
            </w:tcBorders>
            <w:shd w:val="clear" w:color="auto" w:fill="auto"/>
            <w:hideMark/>
          </w:tcPr>
          <w:p w14:paraId="57812132" w14:textId="77777777" w:rsidR="00DF251A" w:rsidRPr="00521670" w:rsidRDefault="00DF251A" w:rsidP="00F72F0D">
            <w:pPr>
              <w:pStyle w:val="Tabletext"/>
              <w:keepNext/>
              <w:rPr>
                <w:szCs w:val="18"/>
                <w:lang w:val="ru-RU" w:eastAsia="en-GB"/>
              </w:rPr>
            </w:pPr>
            <w:r w:rsidRPr="00521670">
              <w:rPr>
                <w:szCs w:val="18"/>
                <w:lang w:val="ru-RU"/>
              </w:rPr>
              <w:t>Дополнения</w:t>
            </w:r>
          </w:p>
        </w:tc>
        <w:tc>
          <w:tcPr>
            <w:tcW w:w="571" w:type="pct"/>
            <w:tcBorders>
              <w:top w:val="nil"/>
              <w:left w:val="nil"/>
              <w:bottom w:val="nil"/>
              <w:right w:val="nil"/>
            </w:tcBorders>
            <w:shd w:val="clear" w:color="auto" w:fill="auto"/>
            <w:noWrap/>
            <w:vAlign w:val="bottom"/>
          </w:tcPr>
          <w:p w14:paraId="0FE3560E" w14:textId="77777777" w:rsidR="00DF251A" w:rsidRPr="00521670" w:rsidRDefault="00DF251A" w:rsidP="00F72F0D">
            <w:pPr>
              <w:pStyle w:val="Tabletext"/>
              <w:keepNext/>
              <w:jc w:val="right"/>
              <w:rPr>
                <w:szCs w:val="18"/>
                <w:lang w:val="ru-RU" w:eastAsia="en-GB"/>
              </w:rPr>
            </w:pPr>
            <w:r w:rsidRPr="00521670">
              <w:rPr>
                <w:szCs w:val="18"/>
                <w:lang w:val="ru-RU"/>
              </w:rPr>
              <w:t>2 118</w:t>
            </w:r>
          </w:p>
        </w:tc>
        <w:tc>
          <w:tcPr>
            <w:tcW w:w="571" w:type="pct"/>
            <w:tcBorders>
              <w:top w:val="nil"/>
              <w:left w:val="nil"/>
              <w:bottom w:val="nil"/>
              <w:right w:val="nil"/>
            </w:tcBorders>
            <w:shd w:val="clear" w:color="auto" w:fill="auto"/>
            <w:noWrap/>
            <w:vAlign w:val="bottom"/>
          </w:tcPr>
          <w:p w14:paraId="1F69173A" w14:textId="77777777" w:rsidR="00DF251A" w:rsidRPr="00521670" w:rsidRDefault="00DF251A" w:rsidP="00F72F0D">
            <w:pPr>
              <w:pStyle w:val="Tabletext"/>
              <w:keepNext/>
              <w:jc w:val="right"/>
              <w:rPr>
                <w:szCs w:val="18"/>
                <w:lang w:val="ru-RU" w:eastAsia="en-GB"/>
              </w:rPr>
            </w:pPr>
            <w:r w:rsidRPr="00521670">
              <w:rPr>
                <w:szCs w:val="18"/>
                <w:lang w:val="ru-RU" w:eastAsia="en-GB"/>
              </w:rPr>
              <w:t>567</w:t>
            </w:r>
          </w:p>
        </w:tc>
        <w:tc>
          <w:tcPr>
            <w:tcW w:w="571" w:type="pct"/>
            <w:tcBorders>
              <w:top w:val="nil"/>
              <w:left w:val="nil"/>
              <w:bottom w:val="nil"/>
              <w:right w:val="nil"/>
            </w:tcBorders>
            <w:shd w:val="clear" w:color="auto" w:fill="auto"/>
            <w:noWrap/>
            <w:vAlign w:val="bottom"/>
          </w:tcPr>
          <w:p w14:paraId="1DACD221" w14:textId="77777777" w:rsidR="00DF251A" w:rsidRPr="00521670" w:rsidRDefault="00DF251A" w:rsidP="00F72F0D">
            <w:pPr>
              <w:pStyle w:val="Tabletext"/>
              <w:keepNext/>
              <w:jc w:val="right"/>
              <w:rPr>
                <w:szCs w:val="18"/>
                <w:lang w:val="ru-RU"/>
              </w:rPr>
            </w:pPr>
            <w:r w:rsidRPr="00521670">
              <w:rPr>
                <w:szCs w:val="18"/>
                <w:lang w:val="ru-RU"/>
              </w:rPr>
              <w:t>471</w:t>
            </w:r>
          </w:p>
        </w:tc>
        <w:tc>
          <w:tcPr>
            <w:tcW w:w="571" w:type="pct"/>
            <w:tcBorders>
              <w:top w:val="nil"/>
              <w:left w:val="nil"/>
              <w:bottom w:val="nil"/>
              <w:right w:val="nil"/>
            </w:tcBorders>
            <w:shd w:val="clear" w:color="auto" w:fill="auto"/>
            <w:noWrap/>
            <w:vAlign w:val="bottom"/>
          </w:tcPr>
          <w:p w14:paraId="0A060F76" w14:textId="77777777" w:rsidR="00DF251A" w:rsidRPr="00521670" w:rsidRDefault="00DF251A" w:rsidP="00F72F0D">
            <w:pPr>
              <w:pStyle w:val="Tabletext"/>
              <w:keepNext/>
              <w:jc w:val="right"/>
              <w:rPr>
                <w:szCs w:val="18"/>
                <w:lang w:val="ru-RU" w:eastAsia="en-GB"/>
              </w:rPr>
            </w:pPr>
            <w:r w:rsidRPr="00521670">
              <w:rPr>
                <w:szCs w:val="18"/>
                <w:lang w:val="ru-RU" w:eastAsia="en-GB"/>
              </w:rPr>
              <w:t>205</w:t>
            </w:r>
          </w:p>
        </w:tc>
        <w:tc>
          <w:tcPr>
            <w:tcW w:w="571" w:type="pct"/>
            <w:tcBorders>
              <w:top w:val="nil"/>
              <w:left w:val="nil"/>
              <w:bottom w:val="nil"/>
              <w:right w:val="nil"/>
            </w:tcBorders>
            <w:shd w:val="clear" w:color="auto" w:fill="auto"/>
            <w:noWrap/>
            <w:vAlign w:val="bottom"/>
          </w:tcPr>
          <w:p w14:paraId="258BE2AF"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2 589</w:t>
            </w:r>
          </w:p>
        </w:tc>
        <w:tc>
          <w:tcPr>
            <w:tcW w:w="571" w:type="pct"/>
            <w:tcBorders>
              <w:top w:val="nil"/>
              <w:left w:val="nil"/>
              <w:bottom w:val="nil"/>
              <w:right w:val="nil"/>
            </w:tcBorders>
            <w:shd w:val="clear" w:color="auto" w:fill="auto"/>
            <w:noWrap/>
            <w:vAlign w:val="bottom"/>
          </w:tcPr>
          <w:p w14:paraId="02840BA0" w14:textId="77777777" w:rsidR="00DF251A" w:rsidRPr="00521670" w:rsidRDefault="00DF251A" w:rsidP="00F72F0D">
            <w:pPr>
              <w:pStyle w:val="Tabletext"/>
              <w:keepNext/>
              <w:jc w:val="right"/>
              <w:rPr>
                <w:b/>
                <w:szCs w:val="18"/>
                <w:lang w:val="ru-RU" w:eastAsia="en-GB"/>
              </w:rPr>
            </w:pPr>
            <w:r w:rsidRPr="00521670">
              <w:rPr>
                <w:b/>
                <w:szCs w:val="18"/>
                <w:lang w:val="ru-RU" w:eastAsia="en-GB"/>
              </w:rPr>
              <w:t>772</w:t>
            </w:r>
          </w:p>
        </w:tc>
      </w:tr>
      <w:tr w:rsidR="00DF251A" w:rsidRPr="00521670" w14:paraId="6E56A670" w14:textId="77777777" w:rsidTr="00F72F0D">
        <w:trPr>
          <w:trHeight w:val="255"/>
        </w:trPr>
        <w:tc>
          <w:tcPr>
            <w:tcW w:w="1574" w:type="pct"/>
            <w:tcBorders>
              <w:top w:val="nil"/>
              <w:left w:val="nil"/>
              <w:bottom w:val="nil"/>
              <w:right w:val="nil"/>
            </w:tcBorders>
            <w:shd w:val="clear" w:color="auto" w:fill="auto"/>
            <w:hideMark/>
          </w:tcPr>
          <w:p w14:paraId="132CEA6B" w14:textId="77777777" w:rsidR="00DF251A" w:rsidRPr="00521670" w:rsidRDefault="00DF251A" w:rsidP="00F72F0D">
            <w:pPr>
              <w:pStyle w:val="Tabletext"/>
              <w:keepNext/>
              <w:rPr>
                <w:szCs w:val="18"/>
                <w:lang w:val="ru-RU" w:eastAsia="en-GB"/>
              </w:rPr>
            </w:pPr>
            <w:r w:rsidRPr="00521670">
              <w:rPr>
                <w:szCs w:val="18"/>
                <w:lang w:val="ru-RU"/>
              </w:rPr>
              <w:t>Выбытие</w:t>
            </w:r>
          </w:p>
        </w:tc>
        <w:tc>
          <w:tcPr>
            <w:tcW w:w="571" w:type="pct"/>
            <w:tcBorders>
              <w:top w:val="nil"/>
              <w:left w:val="nil"/>
              <w:bottom w:val="nil"/>
              <w:right w:val="nil"/>
            </w:tcBorders>
            <w:shd w:val="clear" w:color="auto" w:fill="auto"/>
            <w:noWrap/>
            <w:vAlign w:val="bottom"/>
          </w:tcPr>
          <w:p w14:paraId="3D29BA3A" w14:textId="77777777" w:rsidR="00DF251A" w:rsidRPr="00521670" w:rsidRDefault="00DF251A" w:rsidP="00F72F0D">
            <w:pPr>
              <w:pStyle w:val="Tabletext"/>
              <w:keepNext/>
              <w:jc w:val="right"/>
              <w:rPr>
                <w:szCs w:val="18"/>
                <w:lang w:val="ru-RU" w:eastAsia="en-GB"/>
              </w:rPr>
            </w:pPr>
            <w:r w:rsidRPr="00521670">
              <w:rPr>
                <w:szCs w:val="18"/>
                <w:lang w:val="ru-RU"/>
              </w:rPr>
              <w:t>(55)</w:t>
            </w:r>
          </w:p>
        </w:tc>
        <w:tc>
          <w:tcPr>
            <w:tcW w:w="571" w:type="pct"/>
            <w:tcBorders>
              <w:top w:val="nil"/>
              <w:left w:val="nil"/>
              <w:bottom w:val="nil"/>
              <w:right w:val="nil"/>
            </w:tcBorders>
            <w:shd w:val="clear" w:color="auto" w:fill="auto"/>
            <w:noWrap/>
            <w:vAlign w:val="bottom"/>
          </w:tcPr>
          <w:p w14:paraId="04DA151F" w14:textId="77777777" w:rsidR="00DF251A" w:rsidRPr="00521670" w:rsidRDefault="00DF251A" w:rsidP="00F72F0D">
            <w:pPr>
              <w:pStyle w:val="Tabletext"/>
              <w:keepNext/>
              <w:jc w:val="right"/>
              <w:rPr>
                <w:szCs w:val="18"/>
                <w:lang w:val="ru-RU" w:eastAsia="en-GB"/>
              </w:rPr>
            </w:pPr>
            <w:r w:rsidRPr="00521670">
              <w:rPr>
                <w:szCs w:val="18"/>
                <w:lang w:val="ru-RU" w:eastAsia="en-GB"/>
              </w:rPr>
              <w:t>−</w:t>
            </w:r>
          </w:p>
        </w:tc>
        <w:tc>
          <w:tcPr>
            <w:tcW w:w="571" w:type="pct"/>
            <w:tcBorders>
              <w:top w:val="nil"/>
              <w:left w:val="nil"/>
              <w:bottom w:val="nil"/>
              <w:right w:val="nil"/>
            </w:tcBorders>
            <w:shd w:val="clear" w:color="auto" w:fill="auto"/>
            <w:noWrap/>
            <w:vAlign w:val="bottom"/>
          </w:tcPr>
          <w:p w14:paraId="3D68F5C4" w14:textId="77777777" w:rsidR="00DF251A" w:rsidRPr="00521670" w:rsidRDefault="00DF251A" w:rsidP="00F72F0D">
            <w:pPr>
              <w:pStyle w:val="Tabletext"/>
              <w:keepNext/>
              <w:jc w:val="right"/>
              <w:rPr>
                <w:szCs w:val="18"/>
                <w:lang w:val="ru-RU"/>
              </w:rPr>
            </w:pPr>
            <w:r w:rsidRPr="00521670">
              <w:rPr>
                <w:szCs w:val="18"/>
                <w:lang w:val="ru-RU"/>
              </w:rPr>
              <w:t>(850)</w:t>
            </w:r>
          </w:p>
        </w:tc>
        <w:tc>
          <w:tcPr>
            <w:tcW w:w="571" w:type="pct"/>
            <w:tcBorders>
              <w:top w:val="nil"/>
              <w:left w:val="nil"/>
              <w:bottom w:val="nil"/>
              <w:right w:val="nil"/>
            </w:tcBorders>
            <w:shd w:val="clear" w:color="auto" w:fill="auto"/>
            <w:noWrap/>
            <w:vAlign w:val="bottom"/>
          </w:tcPr>
          <w:p w14:paraId="7EA9402F" w14:textId="77777777" w:rsidR="00DF251A" w:rsidRPr="00521670" w:rsidRDefault="00DF251A" w:rsidP="00F72F0D">
            <w:pPr>
              <w:pStyle w:val="Tabletext"/>
              <w:keepNext/>
              <w:jc w:val="right"/>
              <w:rPr>
                <w:szCs w:val="18"/>
                <w:lang w:val="ru-RU" w:eastAsia="en-GB"/>
              </w:rPr>
            </w:pPr>
            <w:r w:rsidRPr="00521670">
              <w:rPr>
                <w:szCs w:val="18"/>
                <w:lang w:val="ru-RU" w:eastAsia="en-GB"/>
              </w:rPr>
              <w:t>(275)</w:t>
            </w:r>
          </w:p>
        </w:tc>
        <w:tc>
          <w:tcPr>
            <w:tcW w:w="571" w:type="pct"/>
            <w:tcBorders>
              <w:top w:val="nil"/>
              <w:left w:val="nil"/>
              <w:bottom w:val="nil"/>
              <w:right w:val="nil"/>
            </w:tcBorders>
            <w:shd w:val="clear" w:color="auto" w:fill="auto"/>
            <w:noWrap/>
            <w:vAlign w:val="bottom"/>
          </w:tcPr>
          <w:p w14:paraId="3E103F10"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(905)</w:t>
            </w:r>
          </w:p>
        </w:tc>
        <w:tc>
          <w:tcPr>
            <w:tcW w:w="571" w:type="pct"/>
            <w:tcBorders>
              <w:top w:val="nil"/>
              <w:left w:val="nil"/>
              <w:bottom w:val="nil"/>
              <w:right w:val="nil"/>
            </w:tcBorders>
            <w:shd w:val="clear" w:color="auto" w:fill="auto"/>
            <w:noWrap/>
            <w:vAlign w:val="bottom"/>
          </w:tcPr>
          <w:p w14:paraId="1050298C" w14:textId="77777777" w:rsidR="00DF251A" w:rsidRPr="00521670" w:rsidRDefault="00DF251A" w:rsidP="00F72F0D">
            <w:pPr>
              <w:pStyle w:val="Tabletext"/>
              <w:keepNext/>
              <w:jc w:val="right"/>
              <w:rPr>
                <w:b/>
                <w:szCs w:val="18"/>
                <w:lang w:val="ru-RU" w:eastAsia="en-GB"/>
              </w:rPr>
            </w:pPr>
            <w:r w:rsidRPr="00521670">
              <w:rPr>
                <w:b/>
                <w:szCs w:val="18"/>
                <w:lang w:val="ru-RU" w:eastAsia="en-GB"/>
              </w:rPr>
              <w:t>(275)</w:t>
            </w:r>
          </w:p>
        </w:tc>
      </w:tr>
      <w:tr w:rsidR="00DF251A" w:rsidRPr="00521670" w14:paraId="4151A41C" w14:textId="77777777" w:rsidTr="00F72F0D">
        <w:trPr>
          <w:trHeight w:val="255"/>
        </w:trPr>
        <w:tc>
          <w:tcPr>
            <w:tcW w:w="1574" w:type="pct"/>
            <w:tcBorders>
              <w:top w:val="nil"/>
              <w:left w:val="nil"/>
              <w:bottom w:val="nil"/>
              <w:right w:val="nil"/>
            </w:tcBorders>
            <w:shd w:val="clear" w:color="auto" w:fill="auto"/>
            <w:hideMark/>
          </w:tcPr>
          <w:p w14:paraId="0D3C1AF0" w14:textId="77777777" w:rsidR="00DF251A" w:rsidRPr="00521670" w:rsidRDefault="00DF251A" w:rsidP="00F72F0D">
            <w:pPr>
              <w:pStyle w:val="Tabletext"/>
              <w:keepNext/>
              <w:rPr>
                <w:szCs w:val="18"/>
                <w:lang w:val="ru-RU" w:eastAsia="en-GB"/>
              </w:rPr>
            </w:pPr>
            <w:r w:rsidRPr="00521670">
              <w:rPr>
                <w:szCs w:val="18"/>
                <w:lang w:val="ru-RU"/>
              </w:rPr>
              <w:t>Переводы в другие категории</w:t>
            </w:r>
          </w:p>
        </w:tc>
        <w:tc>
          <w:tcPr>
            <w:tcW w:w="571" w:type="pct"/>
            <w:tcBorders>
              <w:top w:val="nil"/>
              <w:left w:val="nil"/>
              <w:bottom w:val="nil"/>
              <w:right w:val="nil"/>
            </w:tcBorders>
            <w:shd w:val="clear" w:color="auto" w:fill="auto"/>
            <w:noWrap/>
            <w:vAlign w:val="bottom"/>
          </w:tcPr>
          <w:p w14:paraId="55E23397" w14:textId="77777777" w:rsidR="00DF251A" w:rsidRPr="00521670" w:rsidRDefault="00DF251A" w:rsidP="00F72F0D">
            <w:pPr>
              <w:pStyle w:val="Tabletext"/>
              <w:keepNext/>
              <w:jc w:val="right"/>
              <w:rPr>
                <w:szCs w:val="18"/>
                <w:lang w:val="ru-RU"/>
              </w:rPr>
            </w:pPr>
            <w:r w:rsidRPr="00521670">
              <w:rPr>
                <w:szCs w:val="18"/>
                <w:lang w:val="ru-RU"/>
              </w:rPr>
              <w:t>2 710</w:t>
            </w:r>
          </w:p>
        </w:tc>
        <w:tc>
          <w:tcPr>
            <w:tcW w:w="571" w:type="pct"/>
            <w:tcBorders>
              <w:top w:val="nil"/>
              <w:left w:val="nil"/>
              <w:bottom w:val="nil"/>
              <w:right w:val="nil"/>
            </w:tcBorders>
            <w:shd w:val="clear" w:color="auto" w:fill="auto"/>
            <w:noWrap/>
            <w:vAlign w:val="bottom"/>
          </w:tcPr>
          <w:p w14:paraId="61E20FDB" w14:textId="77777777" w:rsidR="00DF251A" w:rsidRPr="00521670" w:rsidRDefault="00DF251A" w:rsidP="00F72F0D">
            <w:pPr>
              <w:pStyle w:val="Tabletext"/>
              <w:keepNext/>
              <w:jc w:val="right"/>
              <w:rPr>
                <w:szCs w:val="18"/>
                <w:lang w:val="ru-RU" w:eastAsia="en-GB"/>
              </w:rPr>
            </w:pPr>
            <w:r w:rsidRPr="00521670">
              <w:rPr>
                <w:szCs w:val="18"/>
                <w:lang w:val="ru-RU" w:eastAsia="en-GB"/>
              </w:rPr>
              <w:t>192</w:t>
            </w:r>
          </w:p>
        </w:tc>
        <w:tc>
          <w:tcPr>
            <w:tcW w:w="571" w:type="pct"/>
            <w:tcBorders>
              <w:top w:val="nil"/>
              <w:left w:val="nil"/>
              <w:bottom w:val="nil"/>
              <w:right w:val="nil"/>
            </w:tcBorders>
            <w:shd w:val="clear" w:color="auto" w:fill="auto"/>
            <w:noWrap/>
            <w:vAlign w:val="bottom"/>
          </w:tcPr>
          <w:p w14:paraId="388722E5" w14:textId="77777777" w:rsidR="00DF251A" w:rsidRPr="00521670" w:rsidRDefault="00DF251A" w:rsidP="00F72F0D">
            <w:pPr>
              <w:pStyle w:val="Tabletext"/>
              <w:keepNext/>
              <w:jc w:val="right"/>
              <w:rPr>
                <w:szCs w:val="18"/>
                <w:lang w:val="ru-RU"/>
              </w:rPr>
            </w:pPr>
            <w:r w:rsidRPr="00521670">
              <w:rPr>
                <w:szCs w:val="18"/>
                <w:lang w:val="ru-RU"/>
              </w:rPr>
              <w:t>132</w:t>
            </w:r>
          </w:p>
        </w:tc>
        <w:tc>
          <w:tcPr>
            <w:tcW w:w="571" w:type="pct"/>
            <w:tcBorders>
              <w:top w:val="nil"/>
              <w:left w:val="nil"/>
              <w:bottom w:val="nil"/>
              <w:right w:val="nil"/>
            </w:tcBorders>
            <w:shd w:val="clear" w:color="auto" w:fill="auto"/>
            <w:noWrap/>
            <w:vAlign w:val="bottom"/>
          </w:tcPr>
          <w:p w14:paraId="335278F8" w14:textId="77777777" w:rsidR="00DF251A" w:rsidRPr="00521670" w:rsidRDefault="00DF251A" w:rsidP="00F72F0D">
            <w:pPr>
              <w:pStyle w:val="Tabletext"/>
              <w:keepNext/>
              <w:jc w:val="right"/>
              <w:rPr>
                <w:szCs w:val="18"/>
                <w:lang w:val="ru-RU" w:eastAsia="en-GB"/>
              </w:rPr>
            </w:pPr>
            <w:r w:rsidRPr="00521670">
              <w:rPr>
                <w:szCs w:val="18"/>
                <w:lang w:val="ru-RU" w:eastAsia="en-GB"/>
              </w:rPr>
              <w:t>107</w:t>
            </w:r>
          </w:p>
        </w:tc>
        <w:tc>
          <w:tcPr>
            <w:tcW w:w="571" w:type="pct"/>
            <w:tcBorders>
              <w:top w:val="nil"/>
              <w:left w:val="nil"/>
              <w:bottom w:val="nil"/>
              <w:right w:val="nil"/>
            </w:tcBorders>
            <w:shd w:val="clear" w:color="auto" w:fill="auto"/>
            <w:noWrap/>
            <w:vAlign w:val="bottom"/>
          </w:tcPr>
          <w:p w14:paraId="7DF78A65"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2 842</w:t>
            </w:r>
          </w:p>
        </w:tc>
        <w:tc>
          <w:tcPr>
            <w:tcW w:w="571" w:type="pct"/>
            <w:tcBorders>
              <w:top w:val="nil"/>
              <w:left w:val="nil"/>
              <w:bottom w:val="nil"/>
              <w:right w:val="nil"/>
            </w:tcBorders>
            <w:shd w:val="clear" w:color="auto" w:fill="auto"/>
            <w:noWrap/>
            <w:vAlign w:val="bottom"/>
          </w:tcPr>
          <w:p w14:paraId="1C854FC3" w14:textId="77777777" w:rsidR="00DF251A" w:rsidRPr="00521670" w:rsidRDefault="00DF251A" w:rsidP="00F72F0D">
            <w:pPr>
              <w:pStyle w:val="Tabletext"/>
              <w:keepNext/>
              <w:jc w:val="right"/>
              <w:rPr>
                <w:b/>
                <w:szCs w:val="18"/>
                <w:lang w:val="ru-RU" w:eastAsia="en-GB"/>
              </w:rPr>
            </w:pPr>
            <w:r w:rsidRPr="00521670">
              <w:rPr>
                <w:b/>
                <w:szCs w:val="18"/>
                <w:lang w:val="ru-RU" w:eastAsia="en-GB"/>
              </w:rPr>
              <w:t>299</w:t>
            </w:r>
          </w:p>
        </w:tc>
      </w:tr>
      <w:tr w:rsidR="00DF251A" w:rsidRPr="00521670" w14:paraId="72950468" w14:textId="77777777" w:rsidTr="00F72F0D">
        <w:trPr>
          <w:trHeight w:val="120"/>
        </w:trPr>
        <w:tc>
          <w:tcPr>
            <w:tcW w:w="1574" w:type="pct"/>
            <w:tcBorders>
              <w:top w:val="nil"/>
              <w:left w:val="nil"/>
              <w:bottom w:val="nil"/>
              <w:right w:val="nil"/>
            </w:tcBorders>
            <w:shd w:val="clear" w:color="auto" w:fill="auto"/>
            <w:hideMark/>
          </w:tcPr>
          <w:p w14:paraId="7411AFD1" w14:textId="77777777" w:rsidR="00DF251A" w:rsidRPr="00521670" w:rsidRDefault="00DF251A" w:rsidP="00F72F0D">
            <w:pPr>
              <w:pStyle w:val="Tabletext"/>
              <w:keepNext/>
              <w:spacing w:before="0" w:after="0"/>
              <w:rPr>
                <w:szCs w:val="18"/>
                <w:lang w:val="ru-RU" w:eastAsia="en-GB"/>
              </w:rPr>
            </w:pPr>
          </w:p>
        </w:tc>
        <w:tc>
          <w:tcPr>
            <w:tcW w:w="571" w:type="pct"/>
            <w:tcBorders>
              <w:top w:val="nil"/>
              <w:left w:val="nil"/>
              <w:bottom w:val="nil"/>
              <w:right w:val="nil"/>
            </w:tcBorders>
            <w:shd w:val="clear" w:color="auto" w:fill="auto"/>
            <w:noWrap/>
            <w:vAlign w:val="bottom"/>
          </w:tcPr>
          <w:p w14:paraId="6592E979"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5013AD3C"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1DE9AE51" w14:textId="77777777" w:rsidR="00DF251A" w:rsidRPr="00521670" w:rsidRDefault="00DF251A" w:rsidP="00F72F0D">
            <w:pPr>
              <w:pStyle w:val="Tabletext"/>
              <w:keepNext/>
              <w:jc w:val="right"/>
              <w:rPr>
                <w:szCs w:val="18"/>
                <w:lang w:val="ru-RU"/>
              </w:rPr>
            </w:pPr>
          </w:p>
        </w:tc>
        <w:tc>
          <w:tcPr>
            <w:tcW w:w="571" w:type="pct"/>
            <w:tcBorders>
              <w:top w:val="nil"/>
              <w:left w:val="nil"/>
              <w:bottom w:val="nil"/>
              <w:right w:val="nil"/>
            </w:tcBorders>
            <w:shd w:val="clear" w:color="auto" w:fill="auto"/>
            <w:noWrap/>
            <w:vAlign w:val="bottom"/>
          </w:tcPr>
          <w:p w14:paraId="28D112E6"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77CEC13E" w14:textId="77777777" w:rsidR="00DF251A" w:rsidRPr="00521670" w:rsidRDefault="00DF251A" w:rsidP="00F72F0D">
            <w:pPr>
              <w:pStyle w:val="Tabletext"/>
              <w:keepNext/>
              <w:jc w:val="right"/>
              <w:rPr>
                <w:b/>
                <w:bCs/>
                <w:szCs w:val="18"/>
                <w:lang w:val="ru-RU" w:eastAsia="en-GB"/>
              </w:rPr>
            </w:pPr>
          </w:p>
        </w:tc>
        <w:tc>
          <w:tcPr>
            <w:tcW w:w="571" w:type="pct"/>
            <w:tcBorders>
              <w:top w:val="nil"/>
              <w:left w:val="nil"/>
              <w:bottom w:val="nil"/>
              <w:right w:val="nil"/>
            </w:tcBorders>
            <w:shd w:val="clear" w:color="auto" w:fill="auto"/>
            <w:noWrap/>
            <w:vAlign w:val="bottom"/>
          </w:tcPr>
          <w:p w14:paraId="51D8507F" w14:textId="77777777" w:rsidR="00DF251A" w:rsidRPr="00521670" w:rsidRDefault="00DF251A" w:rsidP="00F72F0D">
            <w:pPr>
              <w:pStyle w:val="Tabletext"/>
              <w:keepNext/>
              <w:spacing w:before="0" w:after="0"/>
              <w:jc w:val="right"/>
              <w:rPr>
                <w:rFonts w:ascii="Times New Roman" w:hAnsi="Times New Roman"/>
                <w:b/>
                <w:szCs w:val="18"/>
                <w:lang w:val="ru-RU" w:eastAsia="en-GB"/>
              </w:rPr>
            </w:pPr>
          </w:p>
        </w:tc>
      </w:tr>
      <w:tr w:rsidR="00DF251A" w:rsidRPr="00521670" w14:paraId="7910B4EA" w14:textId="77777777" w:rsidTr="00F72F0D">
        <w:trPr>
          <w:trHeight w:val="255"/>
        </w:trPr>
        <w:tc>
          <w:tcPr>
            <w:tcW w:w="1574" w:type="pct"/>
            <w:tcBorders>
              <w:top w:val="nil"/>
              <w:left w:val="nil"/>
              <w:bottom w:val="nil"/>
              <w:right w:val="nil"/>
            </w:tcBorders>
            <w:shd w:val="clear" w:color="auto" w:fill="auto"/>
            <w:vAlign w:val="center"/>
            <w:hideMark/>
          </w:tcPr>
          <w:p w14:paraId="59D6F5AD" w14:textId="77777777" w:rsidR="00DF251A" w:rsidRPr="00521670" w:rsidRDefault="00DF251A" w:rsidP="00F72F0D">
            <w:pPr>
              <w:pStyle w:val="Tabletext"/>
              <w:keepNext/>
              <w:rPr>
                <w:b/>
                <w:bCs/>
                <w:szCs w:val="18"/>
                <w:lang w:val="ru-RU" w:eastAsia="en-GB"/>
              </w:rPr>
            </w:pPr>
            <w:r w:rsidRPr="00521670">
              <w:rPr>
                <w:b/>
                <w:bCs/>
                <w:szCs w:val="18"/>
                <w:lang w:val="ru-RU"/>
              </w:rPr>
              <w:t>Стоимость на 31 декабря</w:t>
            </w:r>
          </w:p>
        </w:tc>
        <w:tc>
          <w:tcPr>
            <w:tcW w:w="571" w:type="pct"/>
            <w:tcBorders>
              <w:top w:val="nil"/>
              <w:left w:val="nil"/>
              <w:bottom w:val="nil"/>
              <w:right w:val="nil"/>
            </w:tcBorders>
            <w:shd w:val="clear" w:color="auto" w:fill="auto"/>
            <w:noWrap/>
            <w:vAlign w:val="bottom"/>
          </w:tcPr>
          <w:p w14:paraId="269BDD45" w14:textId="77777777" w:rsidR="00DF251A" w:rsidRPr="00521670" w:rsidRDefault="00DF251A" w:rsidP="00F72F0D">
            <w:pPr>
              <w:pStyle w:val="Tabletext"/>
              <w:keepNext/>
              <w:jc w:val="right"/>
              <w:rPr>
                <w:b/>
                <w:bCs/>
                <w:szCs w:val="18"/>
                <w:lang w:val="ru-RU" w:eastAsia="en-GB"/>
              </w:rPr>
            </w:pPr>
            <w:r w:rsidRPr="00521670">
              <w:rPr>
                <w:b/>
                <w:bCs/>
                <w:szCs w:val="18"/>
                <w:lang w:val="ru-RU"/>
              </w:rPr>
              <w:t>11 083</w:t>
            </w:r>
          </w:p>
        </w:tc>
        <w:tc>
          <w:tcPr>
            <w:tcW w:w="571" w:type="pct"/>
            <w:tcBorders>
              <w:top w:val="nil"/>
              <w:left w:val="nil"/>
              <w:bottom w:val="nil"/>
              <w:right w:val="nil"/>
            </w:tcBorders>
            <w:shd w:val="clear" w:color="auto" w:fill="auto"/>
            <w:noWrap/>
            <w:vAlign w:val="bottom"/>
          </w:tcPr>
          <w:p w14:paraId="4484575D"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6 310</w:t>
            </w:r>
          </w:p>
        </w:tc>
        <w:tc>
          <w:tcPr>
            <w:tcW w:w="571" w:type="pct"/>
            <w:tcBorders>
              <w:top w:val="nil"/>
              <w:left w:val="nil"/>
              <w:bottom w:val="nil"/>
              <w:right w:val="nil"/>
            </w:tcBorders>
            <w:shd w:val="clear" w:color="auto" w:fill="auto"/>
            <w:noWrap/>
            <w:vAlign w:val="bottom"/>
          </w:tcPr>
          <w:p w14:paraId="24186693" w14:textId="77777777" w:rsidR="00DF251A" w:rsidRPr="00521670" w:rsidRDefault="00DF251A" w:rsidP="00F72F0D">
            <w:pPr>
              <w:pStyle w:val="Tabletext"/>
              <w:keepNext/>
              <w:jc w:val="right"/>
              <w:rPr>
                <w:b/>
                <w:bCs/>
                <w:szCs w:val="18"/>
                <w:lang w:val="ru-RU"/>
              </w:rPr>
            </w:pPr>
            <w:r w:rsidRPr="00521670">
              <w:rPr>
                <w:b/>
                <w:bCs/>
                <w:szCs w:val="18"/>
                <w:lang w:val="ru-RU"/>
              </w:rPr>
              <w:t>6 575</w:t>
            </w:r>
          </w:p>
        </w:tc>
        <w:tc>
          <w:tcPr>
            <w:tcW w:w="571" w:type="pct"/>
            <w:tcBorders>
              <w:top w:val="nil"/>
              <w:left w:val="nil"/>
              <w:bottom w:val="nil"/>
              <w:right w:val="nil"/>
            </w:tcBorders>
            <w:shd w:val="clear" w:color="auto" w:fill="auto"/>
            <w:noWrap/>
            <w:vAlign w:val="bottom"/>
          </w:tcPr>
          <w:p w14:paraId="5723DC6F"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6 823</w:t>
            </w:r>
          </w:p>
        </w:tc>
        <w:tc>
          <w:tcPr>
            <w:tcW w:w="571" w:type="pct"/>
            <w:tcBorders>
              <w:top w:val="nil"/>
              <w:left w:val="nil"/>
              <w:bottom w:val="nil"/>
              <w:right w:val="nil"/>
            </w:tcBorders>
            <w:shd w:val="clear" w:color="auto" w:fill="auto"/>
            <w:noWrap/>
            <w:vAlign w:val="bottom"/>
          </w:tcPr>
          <w:p w14:paraId="15CC6FA9"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17 658</w:t>
            </w:r>
          </w:p>
        </w:tc>
        <w:tc>
          <w:tcPr>
            <w:tcW w:w="571" w:type="pct"/>
            <w:tcBorders>
              <w:top w:val="nil"/>
              <w:left w:val="nil"/>
              <w:bottom w:val="nil"/>
              <w:right w:val="nil"/>
            </w:tcBorders>
            <w:shd w:val="clear" w:color="auto" w:fill="auto"/>
            <w:noWrap/>
            <w:vAlign w:val="bottom"/>
          </w:tcPr>
          <w:p w14:paraId="5EE457FF"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13 133</w:t>
            </w:r>
          </w:p>
        </w:tc>
      </w:tr>
      <w:tr w:rsidR="00DF251A" w:rsidRPr="00521670" w14:paraId="0358A6D5" w14:textId="77777777" w:rsidTr="00F72F0D">
        <w:trPr>
          <w:trHeight w:val="120"/>
        </w:trPr>
        <w:tc>
          <w:tcPr>
            <w:tcW w:w="1574" w:type="pct"/>
            <w:tcBorders>
              <w:top w:val="nil"/>
              <w:left w:val="nil"/>
              <w:bottom w:val="nil"/>
              <w:right w:val="nil"/>
            </w:tcBorders>
            <w:shd w:val="clear" w:color="auto" w:fill="auto"/>
            <w:vAlign w:val="center"/>
            <w:hideMark/>
          </w:tcPr>
          <w:p w14:paraId="10F968B3" w14:textId="77777777" w:rsidR="00DF251A" w:rsidRPr="00521670" w:rsidRDefault="00DF251A" w:rsidP="00F72F0D">
            <w:pPr>
              <w:pStyle w:val="Tabletext"/>
              <w:keepNext/>
              <w:spacing w:before="0" w:after="0"/>
              <w:rPr>
                <w:szCs w:val="18"/>
                <w:lang w:val="ru-RU" w:eastAsia="en-GB"/>
              </w:rPr>
            </w:pPr>
          </w:p>
        </w:tc>
        <w:tc>
          <w:tcPr>
            <w:tcW w:w="571" w:type="pct"/>
            <w:tcBorders>
              <w:top w:val="nil"/>
              <w:left w:val="nil"/>
              <w:bottom w:val="nil"/>
              <w:right w:val="nil"/>
            </w:tcBorders>
            <w:shd w:val="clear" w:color="auto" w:fill="auto"/>
            <w:noWrap/>
            <w:vAlign w:val="bottom"/>
          </w:tcPr>
          <w:p w14:paraId="4B325FE3"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66955E88"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0B5863CC" w14:textId="77777777" w:rsidR="00DF251A" w:rsidRPr="00521670" w:rsidRDefault="00DF251A" w:rsidP="00F72F0D">
            <w:pPr>
              <w:pStyle w:val="Tabletext"/>
              <w:keepNext/>
              <w:jc w:val="right"/>
              <w:rPr>
                <w:szCs w:val="18"/>
                <w:lang w:val="ru-RU"/>
              </w:rPr>
            </w:pPr>
          </w:p>
        </w:tc>
        <w:tc>
          <w:tcPr>
            <w:tcW w:w="571" w:type="pct"/>
            <w:tcBorders>
              <w:top w:val="nil"/>
              <w:left w:val="nil"/>
              <w:bottom w:val="nil"/>
              <w:right w:val="nil"/>
            </w:tcBorders>
            <w:shd w:val="clear" w:color="auto" w:fill="auto"/>
            <w:noWrap/>
            <w:vAlign w:val="bottom"/>
          </w:tcPr>
          <w:p w14:paraId="58F93B29"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6C5F7A9E" w14:textId="77777777" w:rsidR="00DF251A" w:rsidRPr="00521670" w:rsidRDefault="00DF251A" w:rsidP="00F72F0D">
            <w:pPr>
              <w:pStyle w:val="Tabletext"/>
              <w:keepNext/>
              <w:jc w:val="right"/>
              <w:rPr>
                <w:b/>
                <w:bCs/>
                <w:szCs w:val="18"/>
                <w:lang w:val="ru-RU" w:eastAsia="en-GB"/>
              </w:rPr>
            </w:pPr>
          </w:p>
        </w:tc>
        <w:tc>
          <w:tcPr>
            <w:tcW w:w="571" w:type="pct"/>
            <w:tcBorders>
              <w:top w:val="nil"/>
              <w:left w:val="nil"/>
              <w:bottom w:val="nil"/>
              <w:right w:val="nil"/>
            </w:tcBorders>
            <w:shd w:val="clear" w:color="auto" w:fill="auto"/>
            <w:noWrap/>
            <w:vAlign w:val="bottom"/>
          </w:tcPr>
          <w:p w14:paraId="25F000BA" w14:textId="77777777" w:rsidR="00DF251A" w:rsidRPr="00521670" w:rsidRDefault="00DF251A" w:rsidP="00F72F0D">
            <w:pPr>
              <w:pStyle w:val="Tabletext"/>
              <w:keepNext/>
              <w:spacing w:before="0" w:after="0"/>
              <w:jc w:val="right"/>
              <w:rPr>
                <w:rFonts w:ascii="Times New Roman" w:hAnsi="Times New Roman"/>
                <w:b/>
                <w:szCs w:val="18"/>
                <w:lang w:val="ru-RU" w:eastAsia="en-GB"/>
              </w:rPr>
            </w:pPr>
          </w:p>
        </w:tc>
      </w:tr>
      <w:tr w:rsidR="00DF251A" w:rsidRPr="00521670" w14:paraId="40309C81" w14:textId="77777777" w:rsidTr="00F72F0D">
        <w:trPr>
          <w:trHeight w:val="255"/>
        </w:trPr>
        <w:tc>
          <w:tcPr>
            <w:tcW w:w="1574" w:type="pct"/>
            <w:tcBorders>
              <w:top w:val="nil"/>
              <w:left w:val="nil"/>
              <w:bottom w:val="nil"/>
              <w:right w:val="nil"/>
            </w:tcBorders>
            <w:shd w:val="clear" w:color="auto" w:fill="auto"/>
            <w:vAlign w:val="center"/>
            <w:hideMark/>
          </w:tcPr>
          <w:p w14:paraId="7B04E2E3" w14:textId="77777777" w:rsidR="00DF251A" w:rsidRPr="00521670" w:rsidRDefault="00DF251A" w:rsidP="00F72F0D">
            <w:pPr>
              <w:pStyle w:val="Tabletext"/>
              <w:keepNext/>
              <w:rPr>
                <w:b/>
                <w:bCs/>
                <w:szCs w:val="18"/>
                <w:lang w:val="ru-RU" w:eastAsia="en-GB"/>
              </w:rPr>
            </w:pPr>
            <w:r w:rsidRPr="00521670">
              <w:rPr>
                <w:b/>
                <w:bCs/>
                <w:szCs w:val="18"/>
                <w:lang w:val="ru-RU"/>
              </w:rPr>
              <w:t>Амортизация на 1 января</w:t>
            </w:r>
          </w:p>
        </w:tc>
        <w:tc>
          <w:tcPr>
            <w:tcW w:w="571" w:type="pct"/>
            <w:tcBorders>
              <w:top w:val="nil"/>
              <w:left w:val="nil"/>
              <w:bottom w:val="nil"/>
              <w:right w:val="nil"/>
            </w:tcBorders>
            <w:shd w:val="clear" w:color="auto" w:fill="auto"/>
            <w:noWrap/>
            <w:vAlign w:val="bottom"/>
          </w:tcPr>
          <w:p w14:paraId="0581106F" w14:textId="77777777" w:rsidR="00DF251A" w:rsidRPr="00521670" w:rsidRDefault="00DF251A" w:rsidP="00F72F0D">
            <w:pPr>
              <w:pStyle w:val="Tabletext"/>
              <w:keepNext/>
              <w:jc w:val="right"/>
              <w:rPr>
                <w:b/>
                <w:bCs/>
                <w:szCs w:val="18"/>
                <w:lang w:val="ru-RU" w:eastAsia="en-GB"/>
              </w:rPr>
            </w:pPr>
            <w:r w:rsidRPr="00521670">
              <w:rPr>
                <w:b/>
                <w:bCs/>
                <w:szCs w:val="18"/>
                <w:lang w:val="ru-RU"/>
              </w:rPr>
              <w:t>4 064</w:t>
            </w:r>
          </w:p>
        </w:tc>
        <w:tc>
          <w:tcPr>
            <w:tcW w:w="571" w:type="pct"/>
            <w:tcBorders>
              <w:top w:val="nil"/>
              <w:left w:val="nil"/>
              <w:bottom w:val="nil"/>
              <w:right w:val="nil"/>
            </w:tcBorders>
            <w:shd w:val="clear" w:color="auto" w:fill="auto"/>
            <w:noWrap/>
            <w:vAlign w:val="bottom"/>
          </w:tcPr>
          <w:p w14:paraId="43603071"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3 301</w:t>
            </w:r>
          </w:p>
        </w:tc>
        <w:tc>
          <w:tcPr>
            <w:tcW w:w="571" w:type="pct"/>
            <w:tcBorders>
              <w:top w:val="nil"/>
              <w:left w:val="nil"/>
              <w:bottom w:val="nil"/>
              <w:right w:val="nil"/>
            </w:tcBorders>
            <w:shd w:val="clear" w:color="auto" w:fill="auto"/>
            <w:noWrap/>
            <w:vAlign w:val="bottom"/>
          </w:tcPr>
          <w:p w14:paraId="5C2F28C7" w14:textId="77777777" w:rsidR="00DF251A" w:rsidRPr="00521670" w:rsidRDefault="00DF251A" w:rsidP="00F72F0D">
            <w:pPr>
              <w:pStyle w:val="Tabletext"/>
              <w:keepNext/>
              <w:jc w:val="right"/>
              <w:rPr>
                <w:b/>
                <w:bCs/>
                <w:szCs w:val="18"/>
                <w:lang w:val="ru-RU"/>
              </w:rPr>
            </w:pPr>
            <w:r w:rsidRPr="00521670">
              <w:rPr>
                <w:b/>
                <w:bCs/>
                <w:szCs w:val="18"/>
                <w:lang w:val="ru-RU"/>
              </w:rPr>
              <w:t>6 119</w:t>
            </w:r>
          </w:p>
        </w:tc>
        <w:tc>
          <w:tcPr>
            <w:tcW w:w="571" w:type="pct"/>
            <w:tcBorders>
              <w:top w:val="nil"/>
              <w:left w:val="nil"/>
              <w:bottom w:val="nil"/>
              <w:right w:val="nil"/>
            </w:tcBorders>
            <w:shd w:val="clear" w:color="auto" w:fill="auto"/>
            <w:noWrap/>
            <w:vAlign w:val="bottom"/>
          </w:tcPr>
          <w:p w14:paraId="183C504F"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5 605</w:t>
            </w:r>
          </w:p>
        </w:tc>
        <w:tc>
          <w:tcPr>
            <w:tcW w:w="571" w:type="pct"/>
            <w:tcBorders>
              <w:top w:val="nil"/>
              <w:left w:val="nil"/>
              <w:bottom w:val="nil"/>
              <w:right w:val="nil"/>
            </w:tcBorders>
            <w:shd w:val="clear" w:color="auto" w:fill="auto"/>
            <w:noWrap/>
            <w:vAlign w:val="bottom"/>
          </w:tcPr>
          <w:p w14:paraId="5CE19D65"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10 183</w:t>
            </w:r>
          </w:p>
        </w:tc>
        <w:tc>
          <w:tcPr>
            <w:tcW w:w="571" w:type="pct"/>
            <w:tcBorders>
              <w:top w:val="nil"/>
              <w:left w:val="nil"/>
              <w:bottom w:val="nil"/>
              <w:right w:val="nil"/>
            </w:tcBorders>
            <w:shd w:val="clear" w:color="auto" w:fill="auto"/>
            <w:noWrap/>
            <w:vAlign w:val="bottom"/>
          </w:tcPr>
          <w:p w14:paraId="56601C75"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8 906</w:t>
            </w:r>
          </w:p>
        </w:tc>
      </w:tr>
      <w:tr w:rsidR="00DF251A" w:rsidRPr="00521670" w14:paraId="65E1F14C" w14:textId="77777777" w:rsidTr="00F72F0D">
        <w:trPr>
          <w:trHeight w:val="255"/>
        </w:trPr>
        <w:tc>
          <w:tcPr>
            <w:tcW w:w="1574" w:type="pct"/>
            <w:tcBorders>
              <w:top w:val="nil"/>
              <w:left w:val="nil"/>
              <w:bottom w:val="nil"/>
              <w:right w:val="nil"/>
            </w:tcBorders>
            <w:shd w:val="clear" w:color="auto" w:fill="auto"/>
            <w:hideMark/>
          </w:tcPr>
          <w:p w14:paraId="23F0DF33" w14:textId="77777777" w:rsidR="00DF251A" w:rsidRPr="00521670" w:rsidRDefault="00DF251A" w:rsidP="00F72F0D">
            <w:pPr>
              <w:pStyle w:val="Tabletext"/>
              <w:keepNext/>
              <w:rPr>
                <w:szCs w:val="18"/>
                <w:lang w:val="ru-RU" w:eastAsia="en-GB"/>
              </w:rPr>
            </w:pPr>
            <w:r w:rsidRPr="00521670">
              <w:rPr>
                <w:szCs w:val="18"/>
                <w:lang w:val="ru-RU"/>
              </w:rPr>
              <w:t>Амортизация</w:t>
            </w:r>
          </w:p>
        </w:tc>
        <w:tc>
          <w:tcPr>
            <w:tcW w:w="571" w:type="pct"/>
            <w:tcBorders>
              <w:top w:val="nil"/>
              <w:left w:val="nil"/>
              <w:bottom w:val="nil"/>
              <w:right w:val="nil"/>
            </w:tcBorders>
            <w:shd w:val="clear" w:color="auto" w:fill="auto"/>
            <w:noWrap/>
            <w:vAlign w:val="bottom"/>
          </w:tcPr>
          <w:p w14:paraId="6AAF754D" w14:textId="77777777" w:rsidR="00DF251A" w:rsidRPr="00521670" w:rsidRDefault="00DF251A" w:rsidP="00F72F0D">
            <w:pPr>
              <w:pStyle w:val="Tabletext"/>
              <w:keepNext/>
              <w:jc w:val="right"/>
              <w:rPr>
                <w:szCs w:val="18"/>
                <w:lang w:val="ru-RU" w:eastAsia="en-GB"/>
              </w:rPr>
            </w:pPr>
            <w:r w:rsidRPr="00521670">
              <w:rPr>
                <w:szCs w:val="18"/>
                <w:lang w:val="ru-RU"/>
              </w:rPr>
              <w:t>652</w:t>
            </w:r>
          </w:p>
        </w:tc>
        <w:tc>
          <w:tcPr>
            <w:tcW w:w="571" w:type="pct"/>
            <w:tcBorders>
              <w:top w:val="nil"/>
              <w:left w:val="nil"/>
              <w:bottom w:val="nil"/>
              <w:right w:val="nil"/>
            </w:tcBorders>
            <w:shd w:val="clear" w:color="auto" w:fill="auto"/>
            <w:noWrap/>
            <w:vAlign w:val="bottom"/>
          </w:tcPr>
          <w:p w14:paraId="6833F9A4" w14:textId="77777777" w:rsidR="00DF251A" w:rsidRPr="00521670" w:rsidRDefault="00DF251A" w:rsidP="00F72F0D">
            <w:pPr>
              <w:pStyle w:val="Tabletext"/>
              <w:keepNext/>
              <w:jc w:val="right"/>
              <w:rPr>
                <w:szCs w:val="18"/>
                <w:lang w:val="ru-RU" w:eastAsia="en-GB"/>
              </w:rPr>
            </w:pPr>
            <w:r w:rsidRPr="00521670">
              <w:rPr>
                <w:szCs w:val="18"/>
                <w:lang w:val="ru-RU" w:eastAsia="en-GB"/>
              </w:rPr>
              <w:t>763</w:t>
            </w:r>
          </w:p>
        </w:tc>
        <w:tc>
          <w:tcPr>
            <w:tcW w:w="571" w:type="pct"/>
            <w:tcBorders>
              <w:top w:val="nil"/>
              <w:left w:val="nil"/>
              <w:bottom w:val="nil"/>
              <w:right w:val="nil"/>
            </w:tcBorders>
            <w:shd w:val="clear" w:color="auto" w:fill="auto"/>
            <w:noWrap/>
            <w:vAlign w:val="bottom"/>
          </w:tcPr>
          <w:p w14:paraId="2CFCED49" w14:textId="77777777" w:rsidR="00DF251A" w:rsidRPr="00521670" w:rsidRDefault="00DF251A" w:rsidP="00F72F0D">
            <w:pPr>
              <w:pStyle w:val="Tabletext"/>
              <w:keepNext/>
              <w:jc w:val="right"/>
              <w:rPr>
                <w:szCs w:val="18"/>
                <w:lang w:val="ru-RU"/>
              </w:rPr>
            </w:pPr>
            <w:r w:rsidRPr="00521670">
              <w:rPr>
                <w:szCs w:val="18"/>
                <w:lang w:val="ru-RU"/>
              </w:rPr>
              <w:t>724</w:t>
            </w:r>
          </w:p>
        </w:tc>
        <w:tc>
          <w:tcPr>
            <w:tcW w:w="571" w:type="pct"/>
            <w:tcBorders>
              <w:top w:val="nil"/>
              <w:left w:val="nil"/>
              <w:bottom w:val="nil"/>
              <w:right w:val="nil"/>
            </w:tcBorders>
            <w:shd w:val="clear" w:color="auto" w:fill="auto"/>
            <w:noWrap/>
            <w:vAlign w:val="bottom"/>
          </w:tcPr>
          <w:p w14:paraId="7E27C1CA" w14:textId="77777777" w:rsidR="00DF251A" w:rsidRPr="00521670" w:rsidRDefault="00DF251A" w:rsidP="00F72F0D">
            <w:pPr>
              <w:pStyle w:val="Tabletext"/>
              <w:keepNext/>
              <w:jc w:val="right"/>
              <w:rPr>
                <w:szCs w:val="18"/>
                <w:lang w:val="ru-RU" w:eastAsia="en-GB"/>
              </w:rPr>
            </w:pPr>
            <w:r w:rsidRPr="00521670">
              <w:rPr>
                <w:szCs w:val="18"/>
                <w:lang w:val="ru-RU" w:eastAsia="en-GB"/>
              </w:rPr>
              <w:t>790</w:t>
            </w:r>
          </w:p>
        </w:tc>
        <w:tc>
          <w:tcPr>
            <w:tcW w:w="571" w:type="pct"/>
            <w:tcBorders>
              <w:top w:val="nil"/>
              <w:left w:val="nil"/>
              <w:bottom w:val="nil"/>
              <w:right w:val="nil"/>
            </w:tcBorders>
            <w:shd w:val="clear" w:color="auto" w:fill="auto"/>
            <w:noWrap/>
            <w:vAlign w:val="bottom"/>
          </w:tcPr>
          <w:p w14:paraId="56424C08"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1 376</w:t>
            </w:r>
          </w:p>
        </w:tc>
        <w:tc>
          <w:tcPr>
            <w:tcW w:w="571" w:type="pct"/>
            <w:tcBorders>
              <w:top w:val="nil"/>
              <w:left w:val="nil"/>
              <w:bottom w:val="nil"/>
              <w:right w:val="nil"/>
            </w:tcBorders>
            <w:shd w:val="clear" w:color="auto" w:fill="auto"/>
            <w:noWrap/>
            <w:vAlign w:val="bottom"/>
          </w:tcPr>
          <w:p w14:paraId="486BAD3E" w14:textId="77777777" w:rsidR="00DF251A" w:rsidRPr="00521670" w:rsidRDefault="00DF251A" w:rsidP="00F72F0D">
            <w:pPr>
              <w:pStyle w:val="Tabletext"/>
              <w:keepNext/>
              <w:jc w:val="right"/>
              <w:rPr>
                <w:b/>
                <w:szCs w:val="18"/>
                <w:lang w:val="ru-RU" w:eastAsia="en-GB"/>
              </w:rPr>
            </w:pPr>
            <w:r w:rsidRPr="00521670">
              <w:rPr>
                <w:b/>
                <w:szCs w:val="18"/>
                <w:lang w:val="ru-RU" w:eastAsia="en-GB"/>
              </w:rPr>
              <w:t>1 553</w:t>
            </w:r>
          </w:p>
        </w:tc>
      </w:tr>
      <w:tr w:rsidR="00DF251A" w:rsidRPr="00521670" w14:paraId="3B786E9C" w14:textId="77777777" w:rsidTr="00F72F0D">
        <w:trPr>
          <w:trHeight w:val="255"/>
        </w:trPr>
        <w:tc>
          <w:tcPr>
            <w:tcW w:w="1574" w:type="pct"/>
            <w:tcBorders>
              <w:top w:val="nil"/>
              <w:left w:val="nil"/>
              <w:bottom w:val="nil"/>
              <w:right w:val="nil"/>
            </w:tcBorders>
            <w:shd w:val="clear" w:color="auto" w:fill="auto"/>
            <w:hideMark/>
          </w:tcPr>
          <w:p w14:paraId="27F2DF48" w14:textId="77777777" w:rsidR="00DF251A" w:rsidRPr="00521670" w:rsidRDefault="00DF251A" w:rsidP="00F72F0D">
            <w:pPr>
              <w:pStyle w:val="Tabletext"/>
              <w:keepNext/>
              <w:rPr>
                <w:szCs w:val="18"/>
                <w:lang w:val="ru-RU" w:eastAsia="en-GB"/>
              </w:rPr>
            </w:pPr>
            <w:r w:rsidRPr="00521670">
              <w:rPr>
                <w:szCs w:val="18"/>
                <w:lang w:val="ru-RU" w:eastAsia="en-GB"/>
              </w:rPr>
              <w:t>Списание</w:t>
            </w:r>
          </w:p>
        </w:tc>
        <w:tc>
          <w:tcPr>
            <w:tcW w:w="571" w:type="pct"/>
            <w:tcBorders>
              <w:top w:val="nil"/>
              <w:left w:val="nil"/>
              <w:bottom w:val="nil"/>
              <w:right w:val="nil"/>
            </w:tcBorders>
            <w:shd w:val="clear" w:color="auto" w:fill="auto"/>
            <w:noWrap/>
            <w:vAlign w:val="bottom"/>
          </w:tcPr>
          <w:p w14:paraId="2B6C8B80" w14:textId="77777777" w:rsidR="00DF251A" w:rsidRPr="00521670" w:rsidRDefault="00DF251A" w:rsidP="00F72F0D">
            <w:pPr>
              <w:pStyle w:val="Tabletext"/>
              <w:keepNext/>
              <w:jc w:val="right"/>
              <w:rPr>
                <w:szCs w:val="18"/>
                <w:lang w:val="ru-RU" w:eastAsia="en-GB"/>
              </w:rPr>
            </w:pPr>
            <w:r w:rsidRPr="00521670">
              <w:rPr>
                <w:szCs w:val="18"/>
                <w:lang w:val="ru-RU"/>
              </w:rPr>
              <w:t>(55)</w:t>
            </w:r>
          </w:p>
        </w:tc>
        <w:tc>
          <w:tcPr>
            <w:tcW w:w="571" w:type="pct"/>
            <w:tcBorders>
              <w:top w:val="nil"/>
              <w:left w:val="nil"/>
              <w:bottom w:val="nil"/>
              <w:right w:val="nil"/>
            </w:tcBorders>
            <w:shd w:val="clear" w:color="auto" w:fill="auto"/>
            <w:noWrap/>
            <w:vAlign w:val="bottom"/>
          </w:tcPr>
          <w:p w14:paraId="7E3065C5" w14:textId="77777777" w:rsidR="00DF251A" w:rsidRPr="00521670" w:rsidRDefault="00DF251A" w:rsidP="00F72F0D">
            <w:pPr>
              <w:pStyle w:val="Tabletext"/>
              <w:keepNext/>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21BD2038" w14:textId="77777777" w:rsidR="00DF251A" w:rsidRPr="00521670" w:rsidRDefault="00DF251A" w:rsidP="00F72F0D">
            <w:pPr>
              <w:pStyle w:val="Tabletext"/>
              <w:keepNext/>
              <w:jc w:val="right"/>
              <w:rPr>
                <w:szCs w:val="18"/>
                <w:lang w:val="ru-RU"/>
              </w:rPr>
            </w:pPr>
            <w:r w:rsidRPr="00521670">
              <w:rPr>
                <w:szCs w:val="18"/>
                <w:lang w:val="ru-RU"/>
              </w:rPr>
              <w:t>(845)</w:t>
            </w:r>
          </w:p>
        </w:tc>
        <w:tc>
          <w:tcPr>
            <w:tcW w:w="571" w:type="pct"/>
            <w:tcBorders>
              <w:top w:val="nil"/>
              <w:left w:val="nil"/>
              <w:bottom w:val="nil"/>
              <w:right w:val="nil"/>
            </w:tcBorders>
            <w:shd w:val="clear" w:color="auto" w:fill="auto"/>
            <w:noWrap/>
            <w:vAlign w:val="bottom"/>
          </w:tcPr>
          <w:p w14:paraId="6F89BC50" w14:textId="77777777" w:rsidR="00DF251A" w:rsidRPr="00521670" w:rsidRDefault="00DF251A" w:rsidP="00F72F0D">
            <w:pPr>
              <w:pStyle w:val="Tabletext"/>
              <w:keepNext/>
              <w:jc w:val="right"/>
              <w:rPr>
                <w:szCs w:val="18"/>
                <w:lang w:val="ru-RU" w:eastAsia="en-GB"/>
              </w:rPr>
            </w:pPr>
            <w:r w:rsidRPr="00521670">
              <w:rPr>
                <w:szCs w:val="18"/>
                <w:lang w:val="ru-RU" w:eastAsia="en-GB"/>
              </w:rPr>
              <w:t>(275)</w:t>
            </w:r>
          </w:p>
        </w:tc>
        <w:tc>
          <w:tcPr>
            <w:tcW w:w="571" w:type="pct"/>
            <w:tcBorders>
              <w:top w:val="nil"/>
              <w:left w:val="nil"/>
              <w:bottom w:val="nil"/>
              <w:right w:val="nil"/>
            </w:tcBorders>
            <w:shd w:val="clear" w:color="auto" w:fill="auto"/>
            <w:noWrap/>
            <w:vAlign w:val="bottom"/>
          </w:tcPr>
          <w:p w14:paraId="120A3D34"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(900)</w:t>
            </w:r>
          </w:p>
        </w:tc>
        <w:tc>
          <w:tcPr>
            <w:tcW w:w="571" w:type="pct"/>
            <w:tcBorders>
              <w:top w:val="nil"/>
              <w:left w:val="nil"/>
              <w:bottom w:val="nil"/>
              <w:right w:val="nil"/>
            </w:tcBorders>
            <w:shd w:val="clear" w:color="auto" w:fill="auto"/>
            <w:noWrap/>
            <w:vAlign w:val="bottom"/>
          </w:tcPr>
          <w:p w14:paraId="2DDABC59" w14:textId="77777777" w:rsidR="00DF251A" w:rsidRPr="00521670" w:rsidRDefault="00DF251A" w:rsidP="00F72F0D">
            <w:pPr>
              <w:pStyle w:val="Tabletext"/>
              <w:keepNext/>
              <w:jc w:val="right"/>
              <w:rPr>
                <w:b/>
                <w:szCs w:val="18"/>
                <w:lang w:val="ru-RU" w:eastAsia="en-GB"/>
              </w:rPr>
            </w:pPr>
            <w:r w:rsidRPr="00521670">
              <w:rPr>
                <w:b/>
                <w:szCs w:val="18"/>
                <w:lang w:val="ru-RU" w:eastAsia="en-GB"/>
              </w:rPr>
              <w:t>(275)</w:t>
            </w:r>
          </w:p>
        </w:tc>
      </w:tr>
      <w:tr w:rsidR="00DF251A" w:rsidRPr="00521670" w14:paraId="433382C4" w14:textId="77777777" w:rsidTr="00F72F0D">
        <w:trPr>
          <w:trHeight w:val="75"/>
        </w:trPr>
        <w:tc>
          <w:tcPr>
            <w:tcW w:w="1574" w:type="pct"/>
            <w:tcBorders>
              <w:top w:val="nil"/>
              <w:left w:val="nil"/>
              <w:bottom w:val="nil"/>
              <w:right w:val="nil"/>
            </w:tcBorders>
            <w:shd w:val="clear" w:color="auto" w:fill="auto"/>
            <w:hideMark/>
          </w:tcPr>
          <w:p w14:paraId="16382D11" w14:textId="77777777" w:rsidR="00DF251A" w:rsidRPr="00521670" w:rsidRDefault="00DF251A" w:rsidP="00F72F0D">
            <w:pPr>
              <w:pStyle w:val="Tabletext"/>
              <w:keepNext/>
              <w:spacing w:before="0" w:after="0"/>
              <w:rPr>
                <w:szCs w:val="18"/>
                <w:lang w:val="ru-RU" w:eastAsia="en-GB"/>
              </w:rPr>
            </w:pPr>
          </w:p>
        </w:tc>
        <w:tc>
          <w:tcPr>
            <w:tcW w:w="571" w:type="pct"/>
            <w:tcBorders>
              <w:top w:val="nil"/>
              <w:left w:val="nil"/>
              <w:bottom w:val="nil"/>
              <w:right w:val="nil"/>
            </w:tcBorders>
            <w:shd w:val="clear" w:color="auto" w:fill="auto"/>
            <w:noWrap/>
            <w:vAlign w:val="bottom"/>
          </w:tcPr>
          <w:p w14:paraId="0425A937"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33D953C3"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336F1CD5" w14:textId="77777777" w:rsidR="00DF251A" w:rsidRPr="00521670" w:rsidRDefault="00DF251A" w:rsidP="00F72F0D">
            <w:pPr>
              <w:pStyle w:val="Tabletext"/>
              <w:keepNext/>
              <w:jc w:val="right"/>
              <w:rPr>
                <w:szCs w:val="18"/>
                <w:lang w:val="ru-RU"/>
              </w:rPr>
            </w:pPr>
          </w:p>
        </w:tc>
        <w:tc>
          <w:tcPr>
            <w:tcW w:w="571" w:type="pct"/>
            <w:tcBorders>
              <w:top w:val="nil"/>
              <w:left w:val="nil"/>
              <w:bottom w:val="nil"/>
              <w:right w:val="nil"/>
            </w:tcBorders>
            <w:shd w:val="clear" w:color="auto" w:fill="auto"/>
            <w:noWrap/>
            <w:vAlign w:val="bottom"/>
          </w:tcPr>
          <w:p w14:paraId="48B1EBAC"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6CAB0C95" w14:textId="77777777" w:rsidR="00DF251A" w:rsidRPr="00521670" w:rsidRDefault="00DF251A" w:rsidP="00F72F0D">
            <w:pPr>
              <w:pStyle w:val="Tabletext"/>
              <w:keepNext/>
              <w:jc w:val="right"/>
              <w:rPr>
                <w:szCs w:val="18"/>
                <w:lang w:val="ru-RU" w:eastAsia="en-GB"/>
              </w:rPr>
            </w:pPr>
          </w:p>
        </w:tc>
        <w:tc>
          <w:tcPr>
            <w:tcW w:w="571" w:type="pct"/>
            <w:tcBorders>
              <w:top w:val="nil"/>
              <w:left w:val="nil"/>
              <w:bottom w:val="nil"/>
              <w:right w:val="nil"/>
            </w:tcBorders>
            <w:shd w:val="clear" w:color="auto" w:fill="auto"/>
            <w:noWrap/>
            <w:vAlign w:val="bottom"/>
          </w:tcPr>
          <w:p w14:paraId="790EADEE" w14:textId="77777777" w:rsidR="00DF251A" w:rsidRPr="00521670" w:rsidRDefault="00DF251A" w:rsidP="00F72F0D">
            <w:pPr>
              <w:pStyle w:val="Tabletext"/>
              <w:keepNext/>
              <w:spacing w:before="0" w:after="0"/>
              <w:jc w:val="right"/>
              <w:rPr>
                <w:rFonts w:ascii="Times New Roman" w:hAnsi="Times New Roman"/>
                <w:b/>
                <w:szCs w:val="18"/>
                <w:lang w:val="ru-RU" w:eastAsia="en-GB"/>
              </w:rPr>
            </w:pPr>
          </w:p>
        </w:tc>
      </w:tr>
      <w:tr w:rsidR="00DF251A" w:rsidRPr="00521670" w14:paraId="2B56E9C4" w14:textId="77777777" w:rsidTr="00F72F0D">
        <w:trPr>
          <w:trHeight w:val="255"/>
        </w:trPr>
        <w:tc>
          <w:tcPr>
            <w:tcW w:w="1574" w:type="pct"/>
            <w:tcBorders>
              <w:top w:val="nil"/>
              <w:left w:val="nil"/>
              <w:bottom w:val="nil"/>
              <w:right w:val="nil"/>
            </w:tcBorders>
            <w:shd w:val="clear" w:color="auto" w:fill="auto"/>
            <w:vAlign w:val="center"/>
            <w:hideMark/>
          </w:tcPr>
          <w:p w14:paraId="2A2C640F" w14:textId="77777777" w:rsidR="00DF251A" w:rsidRPr="00521670" w:rsidRDefault="00DF251A" w:rsidP="00F72F0D">
            <w:pPr>
              <w:pStyle w:val="Tabletext"/>
              <w:keepNext/>
              <w:rPr>
                <w:b/>
                <w:bCs/>
                <w:szCs w:val="18"/>
                <w:lang w:val="ru-RU" w:eastAsia="en-GB"/>
              </w:rPr>
            </w:pPr>
            <w:r w:rsidRPr="00521670">
              <w:rPr>
                <w:b/>
                <w:bCs/>
                <w:szCs w:val="18"/>
                <w:lang w:val="ru-RU"/>
              </w:rPr>
              <w:t>Амортизация на 31 декабря</w:t>
            </w:r>
          </w:p>
        </w:tc>
        <w:tc>
          <w:tcPr>
            <w:tcW w:w="571" w:type="pct"/>
            <w:tcBorders>
              <w:top w:val="nil"/>
              <w:left w:val="nil"/>
              <w:bottom w:val="nil"/>
              <w:right w:val="nil"/>
            </w:tcBorders>
            <w:shd w:val="clear" w:color="auto" w:fill="auto"/>
            <w:noWrap/>
            <w:vAlign w:val="bottom"/>
          </w:tcPr>
          <w:p w14:paraId="04075889" w14:textId="77777777" w:rsidR="00DF251A" w:rsidRPr="00521670" w:rsidRDefault="00DF251A" w:rsidP="00F72F0D">
            <w:pPr>
              <w:pStyle w:val="Tabletext"/>
              <w:keepNext/>
              <w:jc w:val="right"/>
              <w:rPr>
                <w:b/>
                <w:bCs/>
                <w:szCs w:val="18"/>
                <w:lang w:val="ru-RU" w:eastAsia="en-GB"/>
              </w:rPr>
            </w:pPr>
            <w:r w:rsidRPr="00521670">
              <w:rPr>
                <w:b/>
                <w:bCs/>
                <w:szCs w:val="18"/>
                <w:lang w:val="ru-RU"/>
              </w:rPr>
              <w:t>4 661</w:t>
            </w:r>
          </w:p>
        </w:tc>
        <w:tc>
          <w:tcPr>
            <w:tcW w:w="571" w:type="pct"/>
            <w:tcBorders>
              <w:top w:val="nil"/>
              <w:left w:val="nil"/>
              <w:bottom w:val="nil"/>
              <w:right w:val="nil"/>
            </w:tcBorders>
            <w:shd w:val="clear" w:color="auto" w:fill="auto"/>
            <w:noWrap/>
            <w:vAlign w:val="bottom"/>
          </w:tcPr>
          <w:p w14:paraId="28DC4561"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4 064</w:t>
            </w:r>
          </w:p>
        </w:tc>
        <w:tc>
          <w:tcPr>
            <w:tcW w:w="571" w:type="pct"/>
            <w:tcBorders>
              <w:top w:val="nil"/>
              <w:left w:val="nil"/>
              <w:bottom w:val="nil"/>
              <w:right w:val="nil"/>
            </w:tcBorders>
            <w:shd w:val="clear" w:color="auto" w:fill="auto"/>
            <w:noWrap/>
            <w:vAlign w:val="bottom"/>
          </w:tcPr>
          <w:p w14:paraId="255E6A43" w14:textId="77777777" w:rsidR="00DF251A" w:rsidRPr="00521670" w:rsidRDefault="00DF251A" w:rsidP="00F72F0D">
            <w:pPr>
              <w:pStyle w:val="Tabletext"/>
              <w:keepNext/>
              <w:jc w:val="right"/>
              <w:rPr>
                <w:b/>
                <w:bCs/>
                <w:szCs w:val="18"/>
                <w:lang w:val="ru-RU"/>
              </w:rPr>
            </w:pPr>
            <w:r w:rsidRPr="00521670">
              <w:rPr>
                <w:b/>
                <w:bCs/>
                <w:szCs w:val="18"/>
                <w:lang w:val="ru-RU"/>
              </w:rPr>
              <w:t>5 998</w:t>
            </w:r>
          </w:p>
        </w:tc>
        <w:tc>
          <w:tcPr>
            <w:tcW w:w="571" w:type="pct"/>
            <w:tcBorders>
              <w:top w:val="nil"/>
              <w:left w:val="nil"/>
              <w:bottom w:val="nil"/>
              <w:right w:val="nil"/>
            </w:tcBorders>
            <w:shd w:val="clear" w:color="auto" w:fill="auto"/>
            <w:noWrap/>
            <w:vAlign w:val="bottom"/>
          </w:tcPr>
          <w:p w14:paraId="321F65E1"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6 120</w:t>
            </w:r>
          </w:p>
        </w:tc>
        <w:tc>
          <w:tcPr>
            <w:tcW w:w="571" w:type="pct"/>
            <w:tcBorders>
              <w:top w:val="nil"/>
              <w:left w:val="nil"/>
              <w:bottom w:val="nil"/>
              <w:right w:val="nil"/>
            </w:tcBorders>
            <w:shd w:val="clear" w:color="auto" w:fill="auto"/>
            <w:noWrap/>
            <w:vAlign w:val="bottom"/>
          </w:tcPr>
          <w:p w14:paraId="799444E6"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10 659</w:t>
            </w:r>
          </w:p>
        </w:tc>
        <w:tc>
          <w:tcPr>
            <w:tcW w:w="571" w:type="pct"/>
            <w:tcBorders>
              <w:top w:val="nil"/>
              <w:left w:val="nil"/>
              <w:bottom w:val="nil"/>
              <w:right w:val="nil"/>
            </w:tcBorders>
            <w:shd w:val="clear" w:color="auto" w:fill="auto"/>
            <w:noWrap/>
            <w:vAlign w:val="bottom"/>
          </w:tcPr>
          <w:p w14:paraId="4824156E"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10 184</w:t>
            </w:r>
          </w:p>
        </w:tc>
      </w:tr>
      <w:tr w:rsidR="00DF251A" w:rsidRPr="00521670" w14:paraId="211CA27A" w14:textId="77777777" w:rsidTr="00F72F0D">
        <w:trPr>
          <w:trHeight w:val="120"/>
        </w:trPr>
        <w:tc>
          <w:tcPr>
            <w:tcW w:w="1574" w:type="pct"/>
            <w:tcBorders>
              <w:top w:val="nil"/>
              <w:left w:val="nil"/>
              <w:bottom w:val="nil"/>
              <w:right w:val="nil"/>
            </w:tcBorders>
            <w:shd w:val="clear" w:color="auto" w:fill="auto"/>
            <w:vAlign w:val="center"/>
            <w:hideMark/>
          </w:tcPr>
          <w:p w14:paraId="4052BEA6" w14:textId="77777777" w:rsidR="00DF251A" w:rsidRPr="00521670" w:rsidRDefault="00DF251A" w:rsidP="00F72F0D">
            <w:pPr>
              <w:pStyle w:val="Tabletext"/>
              <w:keepNext/>
              <w:spacing w:before="0" w:after="0"/>
              <w:rPr>
                <w:szCs w:val="18"/>
                <w:lang w:val="ru-RU" w:eastAsia="en-GB"/>
              </w:rPr>
            </w:pPr>
          </w:p>
        </w:tc>
        <w:tc>
          <w:tcPr>
            <w:tcW w:w="571" w:type="pct"/>
            <w:tcBorders>
              <w:top w:val="nil"/>
              <w:left w:val="nil"/>
              <w:bottom w:val="nil"/>
              <w:right w:val="nil"/>
            </w:tcBorders>
            <w:shd w:val="clear" w:color="auto" w:fill="auto"/>
            <w:noWrap/>
            <w:vAlign w:val="bottom"/>
          </w:tcPr>
          <w:p w14:paraId="4168B3DB"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68C8B252"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766DE4DA" w14:textId="77777777" w:rsidR="00DF251A" w:rsidRPr="00521670" w:rsidRDefault="00DF251A" w:rsidP="00F72F0D">
            <w:pPr>
              <w:pStyle w:val="Tabletext"/>
              <w:keepNext/>
              <w:jc w:val="right"/>
              <w:rPr>
                <w:szCs w:val="18"/>
                <w:lang w:val="ru-RU"/>
              </w:rPr>
            </w:pPr>
          </w:p>
        </w:tc>
        <w:tc>
          <w:tcPr>
            <w:tcW w:w="571" w:type="pct"/>
            <w:tcBorders>
              <w:top w:val="nil"/>
              <w:left w:val="nil"/>
              <w:bottom w:val="nil"/>
              <w:right w:val="nil"/>
            </w:tcBorders>
            <w:shd w:val="clear" w:color="auto" w:fill="auto"/>
            <w:noWrap/>
            <w:vAlign w:val="bottom"/>
          </w:tcPr>
          <w:p w14:paraId="70F18311" w14:textId="77777777" w:rsidR="00DF251A" w:rsidRPr="00521670" w:rsidRDefault="00DF251A" w:rsidP="00F72F0D">
            <w:pPr>
              <w:pStyle w:val="Tabletext"/>
              <w:keepNext/>
              <w:spacing w:before="0" w:after="0"/>
              <w:jc w:val="right"/>
              <w:rPr>
                <w:rFonts w:ascii="Times New Roman" w:hAnsi="Times New Roman"/>
                <w:szCs w:val="18"/>
                <w:lang w:val="ru-RU" w:eastAsia="en-GB"/>
              </w:rPr>
            </w:pPr>
          </w:p>
        </w:tc>
        <w:tc>
          <w:tcPr>
            <w:tcW w:w="571" w:type="pct"/>
            <w:tcBorders>
              <w:top w:val="nil"/>
              <w:left w:val="nil"/>
              <w:bottom w:val="nil"/>
              <w:right w:val="nil"/>
            </w:tcBorders>
            <w:shd w:val="clear" w:color="auto" w:fill="auto"/>
            <w:noWrap/>
            <w:vAlign w:val="bottom"/>
          </w:tcPr>
          <w:p w14:paraId="7C3E1763" w14:textId="77777777" w:rsidR="00DF251A" w:rsidRPr="00521670" w:rsidRDefault="00DF251A" w:rsidP="00F72F0D">
            <w:pPr>
              <w:pStyle w:val="Tabletext"/>
              <w:keepNext/>
              <w:jc w:val="right"/>
              <w:rPr>
                <w:szCs w:val="18"/>
                <w:lang w:val="ru-RU" w:eastAsia="en-GB"/>
              </w:rPr>
            </w:pPr>
          </w:p>
        </w:tc>
        <w:tc>
          <w:tcPr>
            <w:tcW w:w="571" w:type="pct"/>
            <w:tcBorders>
              <w:top w:val="nil"/>
              <w:left w:val="nil"/>
              <w:bottom w:val="nil"/>
              <w:right w:val="nil"/>
            </w:tcBorders>
            <w:shd w:val="clear" w:color="auto" w:fill="auto"/>
            <w:noWrap/>
            <w:vAlign w:val="bottom"/>
          </w:tcPr>
          <w:p w14:paraId="751426AD" w14:textId="77777777" w:rsidR="00DF251A" w:rsidRPr="00521670" w:rsidRDefault="00DF251A" w:rsidP="00F72F0D">
            <w:pPr>
              <w:pStyle w:val="Tabletext"/>
              <w:keepNext/>
              <w:spacing w:before="0" w:after="0"/>
              <w:jc w:val="right"/>
              <w:rPr>
                <w:rFonts w:ascii="Times New Roman" w:hAnsi="Times New Roman"/>
                <w:b/>
                <w:szCs w:val="18"/>
                <w:lang w:val="ru-RU" w:eastAsia="en-GB"/>
              </w:rPr>
            </w:pPr>
          </w:p>
        </w:tc>
      </w:tr>
      <w:tr w:rsidR="00DF251A" w:rsidRPr="00521670" w14:paraId="2D7D9ED6" w14:textId="77777777" w:rsidTr="00F72F0D">
        <w:trPr>
          <w:trHeight w:val="255"/>
        </w:trPr>
        <w:tc>
          <w:tcPr>
            <w:tcW w:w="1574" w:type="pct"/>
            <w:tcBorders>
              <w:top w:val="nil"/>
              <w:left w:val="nil"/>
              <w:bottom w:val="nil"/>
              <w:right w:val="nil"/>
            </w:tcBorders>
            <w:shd w:val="clear" w:color="auto" w:fill="auto"/>
            <w:vAlign w:val="center"/>
            <w:hideMark/>
          </w:tcPr>
          <w:p w14:paraId="6291DDE3" w14:textId="77777777" w:rsidR="00DF251A" w:rsidRPr="00521670" w:rsidRDefault="00DF251A" w:rsidP="00F72F0D">
            <w:pPr>
              <w:pStyle w:val="Tabletext"/>
              <w:keepNext/>
              <w:rPr>
                <w:b/>
                <w:bCs/>
                <w:szCs w:val="18"/>
                <w:lang w:val="ru-RU" w:eastAsia="en-GB"/>
              </w:rPr>
            </w:pPr>
            <w:r w:rsidRPr="00521670">
              <w:rPr>
                <w:b/>
                <w:bCs/>
                <w:szCs w:val="18"/>
                <w:lang w:val="ru-RU"/>
              </w:rPr>
              <w:t>Чистая балансовая стоимость на 1 января</w:t>
            </w:r>
          </w:p>
        </w:tc>
        <w:tc>
          <w:tcPr>
            <w:tcW w:w="571" w:type="pct"/>
            <w:tcBorders>
              <w:top w:val="nil"/>
              <w:left w:val="nil"/>
              <w:bottom w:val="nil"/>
              <w:right w:val="nil"/>
            </w:tcBorders>
            <w:shd w:val="clear" w:color="auto" w:fill="auto"/>
            <w:noWrap/>
            <w:vAlign w:val="bottom"/>
          </w:tcPr>
          <w:p w14:paraId="10FA36D1" w14:textId="77777777" w:rsidR="00DF251A" w:rsidRPr="00521670" w:rsidRDefault="00DF251A" w:rsidP="00F72F0D">
            <w:pPr>
              <w:pStyle w:val="Tabletext"/>
              <w:keepNext/>
              <w:jc w:val="right"/>
              <w:rPr>
                <w:b/>
                <w:bCs/>
                <w:szCs w:val="18"/>
                <w:lang w:val="ru-RU"/>
              </w:rPr>
            </w:pPr>
            <w:r w:rsidRPr="00521670">
              <w:rPr>
                <w:b/>
                <w:bCs/>
                <w:szCs w:val="18"/>
                <w:lang w:val="ru-RU"/>
              </w:rPr>
              <w:t>2 246</w:t>
            </w:r>
          </w:p>
        </w:tc>
        <w:tc>
          <w:tcPr>
            <w:tcW w:w="571" w:type="pct"/>
            <w:tcBorders>
              <w:top w:val="nil"/>
              <w:left w:val="nil"/>
              <w:bottom w:val="nil"/>
              <w:right w:val="nil"/>
            </w:tcBorders>
            <w:shd w:val="clear" w:color="auto" w:fill="auto"/>
            <w:noWrap/>
            <w:vAlign w:val="bottom"/>
          </w:tcPr>
          <w:p w14:paraId="6A15B23C"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2 250</w:t>
            </w:r>
          </w:p>
        </w:tc>
        <w:tc>
          <w:tcPr>
            <w:tcW w:w="571" w:type="pct"/>
            <w:tcBorders>
              <w:top w:val="nil"/>
              <w:left w:val="nil"/>
              <w:bottom w:val="nil"/>
              <w:right w:val="nil"/>
            </w:tcBorders>
            <w:shd w:val="clear" w:color="auto" w:fill="auto"/>
            <w:noWrap/>
            <w:vAlign w:val="bottom"/>
          </w:tcPr>
          <w:p w14:paraId="5D639E7B" w14:textId="77777777" w:rsidR="00DF251A" w:rsidRPr="00521670" w:rsidRDefault="00DF251A" w:rsidP="00F72F0D">
            <w:pPr>
              <w:pStyle w:val="Tabletext"/>
              <w:keepNext/>
              <w:jc w:val="right"/>
              <w:rPr>
                <w:b/>
                <w:bCs/>
                <w:szCs w:val="18"/>
                <w:lang w:val="ru-RU"/>
              </w:rPr>
            </w:pPr>
            <w:r w:rsidRPr="00521670">
              <w:rPr>
                <w:b/>
                <w:bCs/>
                <w:szCs w:val="18"/>
                <w:lang w:val="ru-RU"/>
              </w:rPr>
              <w:t>703</w:t>
            </w:r>
          </w:p>
        </w:tc>
        <w:tc>
          <w:tcPr>
            <w:tcW w:w="571" w:type="pct"/>
            <w:tcBorders>
              <w:top w:val="nil"/>
              <w:left w:val="nil"/>
              <w:bottom w:val="nil"/>
              <w:right w:val="nil"/>
            </w:tcBorders>
            <w:shd w:val="clear" w:color="auto" w:fill="auto"/>
            <w:noWrap/>
            <w:vAlign w:val="bottom"/>
          </w:tcPr>
          <w:p w14:paraId="51C3CA18"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1 181</w:t>
            </w:r>
          </w:p>
        </w:tc>
        <w:tc>
          <w:tcPr>
            <w:tcW w:w="571" w:type="pct"/>
            <w:tcBorders>
              <w:top w:val="nil"/>
              <w:left w:val="nil"/>
              <w:bottom w:val="nil"/>
              <w:right w:val="nil"/>
            </w:tcBorders>
            <w:shd w:val="clear" w:color="auto" w:fill="auto"/>
            <w:noWrap/>
            <w:vAlign w:val="bottom"/>
          </w:tcPr>
          <w:p w14:paraId="5F2CECC2"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2 949</w:t>
            </w:r>
          </w:p>
        </w:tc>
        <w:tc>
          <w:tcPr>
            <w:tcW w:w="571" w:type="pct"/>
            <w:tcBorders>
              <w:top w:val="nil"/>
              <w:left w:val="nil"/>
              <w:bottom w:val="nil"/>
              <w:right w:val="nil"/>
            </w:tcBorders>
            <w:shd w:val="clear" w:color="auto" w:fill="auto"/>
            <w:noWrap/>
            <w:vAlign w:val="bottom"/>
          </w:tcPr>
          <w:p w14:paraId="5983B9D9" w14:textId="77777777" w:rsidR="00DF251A" w:rsidRPr="00521670" w:rsidRDefault="00DF251A" w:rsidP="00F72F0D">
            <w:pPr>
              <w:pStyle w:val="Tabletext"/>
              <w:keepNext/>
              <w:jc w:val="right"/>
              <w:rPr>
                <w:b/>
                <w:bCs/>
                <w:szCs w:val="18"/>
                <w:lang w:val="ru-RU" w:eastAsia="en-GB"/>
              </w:rPr>
            </w:pPr>
            <w:r w:rsidRPr="00521670">
              <w:rPr>
                <w:b/>
                <w:bCs/>
                <w:szCs w:val="18"/>
                <w:lang w:val="ru-RU" w:eastAsia="en-GB"/>
              </w:rPr>
              <w:t>3 431</w:t>
            </w:r>
          </w:p>
        </w:tc>
      </w:tr>
      <w:tr w:rsidR="00DF251A" w:rsidRPr="00521670" w14:paraId="5E1C5AFD" w14:textId="77777777" w:rsidTr="004F6E64">
        <w:trPr>
          <w:trHeight w:val="523"/>
        </w:trPr>
        <w:tc>
          <w:tcPr>
            <w:tcW w:w="1574" w:type="pct"/>
            <w:tcBorders>
              <w:top w:val="nil"/>
              <w:left w:val="nil"/>
              <w:bottom w:val="nil"/>
              <w:right w:val="nil"/>
            </w:tcBorders>
            <w:shd w:val="clear" w:color="000000" w:fill="0070C0"/>
            <w:vAlign w:val="center"/>
            <w:hideMark/>
          </w:tcPr>
          <w:p w14:paraId="47434BE3" w14:textId="77777777" w:rsidR="00DF251A" w:rsidRPr="00521670" w:rsidRDefault="00DF251A" w:rsidP="004F6E64">
            <w:pPr>
              <w:pStyle w:val="Tabletext"/>
              <w:rPr>
                <w:b/>
                <w:bCs/>
                <w:szCs w:val="18"/>
                <w:lang w:val="ru-RU" w:eastAsia="en-GB"/>
              </w:rPr>
            </w:pPr>
            <w:r w:rsidRPr="00521670">
              <w:rPr>
                <w:b/>
                <w:bCs/>
                <w:szCs w:val="18"/>
                <w:lang w:val="ru-RU"/>
              </w:rPr>
              <w:t>Чистая балансовая стоимость на 31 декабря</w:t>
            </w:r>
          </w:p>
        </w:tc>
        <w:tc>
          <w:tcPr>
            <w:tcW w:w="571" w:type="pct"/>
            <w:tcBorders>
              <w:top w:val="nil"/>
              <w:left w:val="nil"/>
              <w:bottom w:val="nil"/>
              <w:right w:val="nil"/>
            </w:tcBorders>
            <w:shd w:val="clear" w:color="000000" w:fill="0070C0"/>
            <w:noWrap/>
            <w:vAlign w:val="bottom"/>
          </w:tcPr>
          <w:p w14:paraId="7BC31CA0" w14:textId="77777777" w:rsidR="00DF251A" w:rsidRPr="00521670" w:rsidRDefault="00DF251A" w:rsidP="004F6E64">
            <w:pPr>
              <w:pStyle w:val="Tabletext"/>
              <w:jc w:val="right"/>
              <w:rPr>
                <w:b/>
                <w:bCs/>
                <w:szCs w:val="18"/>
                <w:lang w:val="ru-RU" w:eastAsia="en-GB"/>
              </w:rPr>
            </w:pPr>
            <w:r w:rsidRPr="00521670">
              <w:rPr>
                <w:b/>
                <w:bCs/>
                <w:szCs w:val="18"/>
                <w:lang w:val="ru-RU" w:eastAsia="en-GB"/>
              </w:rPr>
              <w:t>6 422</w:t>
            </w:r>
          </w:p>
        </w:tc>
        <w:tc>
          <w:tcPr>
            <w:tcW w:w="571" w:type="pct"/>
            <w:tcBorders>
              <w:top w:val="nil"/>
              <w:left w:val="nil"/>
              <w:bottom w:val="nil"/>
              <w:right w:val="nil"/>
            </w:tcBorders>
            <w:shd w:val="clear" w:color="000000" w:fill="0070C0"/>
            <w:noWrap/>
            <w:vAlign w:val="bottom"/>
          </w:tcPr>
          <w:p w14:paraId="072E2C2D" w14:textId="77777777" w:rsidR="00DF251A" w:rsidRPr="00521670" w:rsidRDefault="00DF251A" w:rsidP="004F6E64">
            <w:pPr>
              <w:pStyle w:val="Tabletext"/>
              <w:jc w:val="right"/>
              <w:rPr>
                <w:b/>
                <w:bCs/>
                <w:szCs w:val="18"/>
                <w:lang w:val="ru-RU" w:eastAsia="en-GB"/>
              </w:rPr>
            </w:pPr>
            <w:r w:rsidRPr="00521670">
              <w:rPr>
                <w:b/>
                <w:bCs/>
                <w:szCs w:val="18"/>
                <w:lang w:val="ru-RU" w:eastAsia="en-GB"/>
              </w:rPr>
              <w:t>2 246</w:t>
            </w:r>
          </w:p>
        </w:tc>
        <w:tc>
          <w:tcPr>
            <w:tcW w:w="571" w:type="pct"/>
            <w:tcBorders>
              <w:top w:val="nil"/>
              <w:left w:val="nil"/>
              <w:bottom w:val="nil"/>
              <w:right w:val="nil"/>
            </w:tcBorders>
            <w:shd w:val="clear" w:color="000000" w:fill="0070C0"/>
            <w:noWrap/>
            <w:vAlign w:val="bottom"/>
          </w:tcPr>
          <w:p w14:paraId="11616C2E" w14:textId="77777777" w:rsidR="00DF251A" w:rsidRPr="00521670" w:rsidRDefault="00DF251A" w:rsidP="004F6E64">
            <w:pPr>
              <w:pStyle w:val="Tabletext"/>
              <w:jc w:val="right"/>
              <w:rPr>
                <w:b/>
                <w:bCs/>
                <w:szCs w:val="18"/>
                <w:lang w:val="ru-RU" w:eastAsia="en-GB"/>
              </w:rPr>
            </w:pPr>
            <w:r w:rsidRPr="00521670">
              <w:rPr>
                <w:b/>
                <w:bCs/>
                <w:szCs w:val="18"/>
                <w:lang w:val="ru-RU" w:eastAsia="en-GB"/>
              </w:rPr>
              <w:t>577</w:t>
            </w:r>
          </w:p>
        </w:tc>
        <w:tc>
          <w:tcPr>
            <w:tcW w:w="571" w:type="pct"/>
            <w:tcBorders>
              <w:top w:val="nil"/>
              <w:left w:val="nil"/>
              <w:bottom w:val="nil"/>
              <w:right w:val="nil"/>
            </w:tcBorders>
            <w:shd w:val="clear" w:color="000000" w:fill="0070C0"/>
            <w:noWrap/>
            <w:vAlign w:val="bottom"/>
          </w:tcPr>
          <w:p w14:paraId="617FCC2B" w14:textId="77777777" w:rsidR="00DF251A" w:rsidRPr="00521670" w:rsidRDefault="00DF251A" w:rsidP="004F6E64">
            <w:pPr>
              <w:pStyle w:val="Tabletext"/>
              <w:jc w:val="right"/>
              <w:rPr>
                <w:b/>
                <w:bCs/>
                <w:szCs w:val="18"/>
                <w:lang w:val="ru-RU" w:eastAsia="en-GB"/>
              </w:rPr>
            </w:pPr>
            <w:r w:rsidRPr="00521670">
              <w:rPr>
                <w:b/>
                <w:bCs/>
                <w:szCs w:val="18"/>
                <w:lang w:val="ru-RU" w:eastAsia="en-GB"/>
              </w:rPr>
              <w:t>703</w:t>
            </w:r>
          </w:p>
        </w:tc>
        <w:tc>
          <w:tcPr>
            <w:tcW w:w="571" w:type="pct"/>
            <w:tcBorders>
              <w:top w:val="nil"/>
              <w:left w:val="nil"/>
              <w:bottom w:val="nil"/>
              <w:right w:val="nil"/>
            </w:tcBorders>
            <w:shd w:val="clear" w:color="000000" w:fill="0070C0"/>
            <w:noWrap/>
            <w:vAlign w:val="bottom"/>
          </w:tcPr>
          <w:p w14:paraId="7EC874F2" w14:textId="77777777" w:rsidR="00DF251A" w:rsidRPr="00521670" w:rsidRDefault="00DF251A" w:rsidP="004F6E64">
            <w:pPr>
              <w:pStyle w:val="Tabletext"/>
              <w:jc w:val="right"/>
              <w:rPr>
                <w:b/>
                <w:bCs/>
                <w:szCs w:val="18"/>
                <w:lang w:val="ru-RU" w:eastAsia="en-GB"/>
              </w:rPr>
            </w:pPr>
            <w:r w:rsidRPr="00521670">
              <w:rPr>
                <w:b/>
                <w:bCs/>
                <w:szCs w:val="18"/>
                <w:lang w:val="ru-RU" w:eastAsia="en-GB"/>
              </w:rPr>
              <w:t>6 999</w:t>
            </w:r>
          </w:p>
        </w:tc>
        <w:tc>
          <w:tcPr>
            <w:tcW w:w="571" w:type="pct"/>
            <w:tcBorders>
              <w:top w:val="nil"/>
              <w:left w:val="nil"/>
              <w:bottom w:val="nil"/>
              <w:right w:val="nil"/>
            </w:tcBorders>
            <w:shd w:val="clear" w:color="000000" w:fill="0070C0"/>
            <w:noWrap/>
            <w:vAlign w:val="bottom"/>
          </w:tcPr>
          <w:p w14:paraId="6B3B5442" w14:textId="77777777" w:rsidR="00DF251A" w:rsidRPr="00521670" w:rsidRDefault="00DF251A" w:rsidP="004F6E64">
            <w:pPr>
              <w:pStyle w:val="Tabletext"/>
              <w:jc w:val="right"/>
              <w:rPr>
                <w:b/>
                <w:bCs/>
                <w:szCs w:val="18"/>
                <w:lang w:val="ru-RU" w:eastAsia="en-GB"/>
              </w:rPr>
            </w:pPr>
            <w:r w:rsidRPr="00521670">
              <w:rPr>
                <w:b/>
                <w:bCs/>
                <w:szCs w:val="18"/>
                <w:lang w:val="ru-RU" w:eastAsia="en-GB"/>
              </w:rPr>
              <w:t>2 949</w:t>
            </w:r>
          </w:p>
        </w:tc>
      </w:tr>
    </w:tbl>
    <w:p w14:paraId="00DB9539" w14:textId="77777777" w:rsidR="00DF251A" w:rsidRPr="00521670" w:rsidRDefault="00DF251A" w:rsidP="002466AA">
      <w:pPr>
        <w:rPr>
          <w:lang w:val="ru-RU"/>
        </w:rPr>
      </w:pPr>
      <w:r w:rsidRPr="00521670">
        <w:rPr>
          <w:lang w:val="ru-RU"/>
        </w:rPr>
        <w:t xml:space="preserve">В соответствии со стандартом IPSAS 31.121 c) раскрывается информация об отдельных нематериальных активах, существенных для финансовой отчетности организации. </w:t>
      </w:r>
      <w:r w:rsidRPr="00521670">
        <w:rPr>
          <w:rFonts w:eastAsia="Calibri" w:cs="Calibri"/>
          <w:szCs w:val="22"/>
          <w:lang w:val="ru-RU"/>
        </w:rPr>
        <w:t>По состоянию на 31 декабря 2024 года определены 12 проектов в категории нематериальных активов со средним сроком полезного использования почти 5 лет, которые оцениваются в 6,5 млн. швейцарских франков. Эти проекты включают в себя разработку модулей управления космических служб, разработки SAP и набор персонала.</w:t>
      </w:r>
    </w:p>
    <w:p w14:paraId="02F8621C" w14:textId="77777777" w:rsidR="00DF251A" w:rsidRPr="00521670" w:rsidRDefault="00DF251A" w:rsidP="002466AA">
      <w:pPr>
        <w:rPr>
          <w:lang w:val="ru-RU"/>
        </w:rPr>
      </w:pPr>
      <w:r w:rsidRPr="00521670">
        <w:rPr>
          <w:lang w:val="ru-RU"/>
        </w:rPr>
        <w:t>Переводы в другие категории включают ранее строившиеся активы, которые были завершены и введены в действие в течение отчетного периода.</w:t>
      </w:r>
    </w:p>
    <w:p w14:paraId="0DD87AB5" w14:textId="77777777" w:rsidR="00DF251A" w:rsidRPr="00521670" w:rsidRDefault="00DF251A" w:rsidP="002466AA">
      <w:pPr>
        <w:pStyle w:val="Heading5"/>
        <w:rPr>
          <w:b/>
          <w:bCs/>
          <w:color w:val="4F81BD" w:themeColor="accent1"/>
          <w:lang w:val="ru-RU"/>
        </w:rPr>
      </w:pPr>
      <w:bookmarkStart w:id="317" w:name="_Toc1415970939"/>
      <w:bookmarkStart w:id="318" w:name="_Toc164845559"/>
      <w:bookmarkStart w:id="319" w:name="_Toc168578473"/>
      <w:bookmarkStart w:id="320" w:name="_Toc180681818"/>
      <w:bookmarkStart w:id="321" w:name="_Toc200469536"/>
      <w:r w:rsidRPr="00521670">
        <w:rPr>
          <w:b/>
          <w:bCs/>
          <w:color w:val="4F81BD" w:themeColor="accent1"/>
          <w:lang w:val="ru-RU"/>
        </w:rPr>
        <w:t>Примечание 12</w:t>
      </w:r>
      <w:r w:rsidRPr="00521670">
        <w:rPr>
          <w:b/>
          <w:bCs/>
          <w:color w:val="4F81BD" w:themeColor="accent1"/>
          <w:lang w:val="ru-RU"/>
        </w:rPr>
        <w:tab/>
      </w:r>
      <w:bookmarkEnd w:id="317"/>
      <w:bookmarkEnd w:id="318"/>
      <w:r w:rsidRPr="00521670">
        <w:rPr>
          <w:b/>
          <w:bCs/>
          <w:color w:val="4F81BD" w:themeColor="accent1"/>
          <w:lang w:val="ru-RU"/>
        </w:rPr>
        <w:t>Активы на этапе строительства</w:t>
      </w:r>
      <w:bookmarkEnd w:id="319"/>
      <w:bookmarkEnd w:id="320"/>
      <w:bookmarkEnd w:id="321"/>
    </w:p>
    <w:p w14:paraId="44E82903" w14:textId="77777777" w:rsidR="00DF251A" w:rsidRPr="00521670" w:rsidRDefault="00DF251A" w:rsidP="002466AA">
      <w:pPr>
        <w:rPr>
          <w:lang w:val="ru-RU"/>
        </w:rPr>
      </w:pPr>
      <w:r w:rsidRPr="00521670">
        <w:rPr>
          <w:lang w:val="ru-RU"/>
        </w:rPr>
        <w:t>На сессии Совета МСЭ, прошедшей в июне 2024 года, Секретариат представил отчет о ходе работ по проекту строительства нового здания. Совет утвердил альтернативный проект с переоценкой и предложил МСЭ пересмотреть и сократить масштабы проекта, чтобы уложиться в утвержденный бюджет в размере 172,7 млн. швейцарских франков и имеющееся финансирование в соответствии с Решением 640 (</w:t>
      </w:r>
      <w:hyperlink r:id="rId26" w:history="1">
        <w:r w:rsidRPr="00521670">
          <w:rPr>
            <w:rStyle w:val="Hyperlink"/>
            <w:rFonts w:eastAsia="Aptos"/>
            <w:lang w:val="ru-RU"/>
          </w:rPr>
          <w:t>C24/132</w:t>
        </w:r>
      </w:hyperlink>
      <w:r w:rsidRPr="00521670">
        <w:rPr>
          <w:lang w:val="ru-RU"/>
        </w:rPr>
        <w:t>).</w:t>
      </w:r>
    </w:p>
    <w:p w14:paraId="197A2C93" w14:textId="77777777" w:rsidR="00DF251A" w:rsidRPr="00521670" w:rsidRDefault="00DF251A" w:rsidP="002466AA">
      <w:pPr>
        <w:rPr>
          <w:lang w:val="ru-RU"/>
        </w:rPr>
      </w:pPr>
      <w:r w:rsidRPr="00521670">
        <w:rPr>
          <w:lang w:val="ru-RU"/>
        </w:rPr>
        <w:t>По результатам проведенного анализа был сделан вывод о том, что понесенные затраты практически полностью утратили свою актуальность после пересмотра проекта, и в Отчете о результатах финансовой деятельности за этот год было признано обесценение в размере 21 млн. швейцарских франков.</w:t>
      </w:r>
    </w:p>
    <w:p w14:paraId="7F0CC257" w14:textId="05E061C0" w:rsidR="00DF251A" w:rsidRPr="00521670" w:rsidRDefault="00DF251A" w:rsidP="002466AA">
      <w:pPr>
        <w:rPr>
          <w:lang w:val="ru-RU"/>
        </w:rPr>
      </w:pPr>
      <w:r w:rsidRPr="00521670">
        <w:rPr>
          <w:lang w:val="ru-RU"/>
        </w:rPr>
        <w:t>Кроме того, МСЭ провел анализ спонсорской помощи, привлекаемой для финансирования отдельных объектов предыдущего проекта строительства здания, таких как конференц-зал, вестибюль, внутренний двор, кафетерий и другие (на общую сумму 16,9 млн. швейцарских</w:t>
      </w:r>
      <w:r w:rsidR="002E735F" w:rsidRPr="00521670">
        <w:rPr>
          <w:lang w:val="ru-RU"/>
        </w:rPr>
        <w:t> </w:t>
      </w:r>
      <w:r w:rsidRPr="00521670">
        <w:rPr>
          <w:lang w:val="ru-RU"/>
        </w:rPr>
        <w:t>франков).</w:t>
      </w:r>
    </w:p>
    <w:p w14:paraId="278873A0" w14:textId="471347A7" w:rsidR="00DF251A" w:rsidRPr="00521670" w:rsidRDefault="00DF251A" w:rsidP="009B7770">
      <w:pPr>
        <w:spacing w:after="120"/>
        <w:rPr>
          <w:lang w:val="ru-RU"/>
        </w:rPr>
      </w:pPr>
      <w:r w:rsidRPr="00521670">
        <w:rPr>
          <w:lang w:val="ru-RU"/>
        </w:rPr>
        <w:lastRenderedPageBreak/>
        <w:t>Одна из спонсирующих сторон расторгла соглашение о спонсорской помощи на сумму 5,0 млн. швейцарских франков в связи с пересмотром проекта нового здания, поэтому был предусмотрен резерв для возврата этих средств. В настоящее время с этой стороной ведутся переговоры в целях согласования возможного нового соглашения о спонсорской помощи для пересмотренного проекта нового здания. Секретариат, со своей стороны, готов взять на себя обязательство включить запрашиваемые спонсором характеристики в дизайн нового проекта. Секретариат активно сотрудничает со всеми сторонами для достижения взаимоприемлемого</w:t>
      </w:r>
      <w:r w:rsidR="002E735F" w:rsidRPr="00521670">
        <w:rPr>
          <w:lang w:val="ru-RU"/>
        </w:rPr>
        <w:t> </w:t>
      </w:r>
      <w:r w:rsidRPr="00521670">
        <w:rPr>
          <w:lang w:val="ru-RU"/>
        </w:rPr>
        <w:t>результата.</w:t>
      </w:r>
    </w:p>
    <w:tbl>
      <w:tblPr>
        <w:tblW w:w="5000" w:type="pct"/>
        <w:tblLook w:val="04A0" w:firstRow="1" w:lastRow="0" w:firstColumn="1" w:lastColumn="0" w:noHBand="0" w:noVBand="1"/>
      </w:tblPr>
      <w:tblGrid>
        <w:gridCol w:w="2029"/>
        <w:gridCol w:w="934"/>
        <w:gridCol w:w="829"/>
        <w:gridCol w:w="835"/>
        <w:gridCol w:w="829"/>
        <w:gridCol w:w="835"/>
        <w:gridCol w:w="831"/>
        <w:gridCol w:w="980"/>
        <w:gridCol w:w="969"/>
      </w:tblGrid>
      <w:tr w:rsidR="00DF251A" w:rsidRPr="00521670" w14:paraId="21FA2229" w14:textId="77777777" w:rsidTr="00C24781">
        <w:trPr>
          <w:trHeight w:val="555"/>
        </w:trPr>
        <w:tc>
          <w:tcPr>
            <w:tcW w:w="1119" w:type="pct"/>
            <w:vMerge w:val="restart"/>
            <w:tcBorders>
              <w:top w:val="nil"/>
              <w:left w:val="nil"/>
              <w:bottom w:val="nil"/>
              <w:right w:val="nil"/>
            </w:tcBorders>
            <w:shd w:val="clear" w:color="000000" w:fill="0070C0"/>
            <w:vAlign w:val="center"/>
            <w:hideMark/>
          </w:tcPr>
          <w:p w14:paraId="38C889E2" w14:textId="77777777" w:rsidR="00DF251A" w:rsidRPr="00521670" w:rsidRDefault="00DF251A" w:rsidP="00835292">
            <w:pPr>
              <w:pStyle w:val="Tablehead"/>
              <w:rPr>
                <w:szCs w:val="18"/>
                <w:lang w:val="ru-RU" w:eastAsia="en-GB"/>
              </w:rPr>
            </w:pPr>
            <w:r w:rsidRPr="00521670">
              <w:rPr>
                <w:rFonts w:cs="Calibri"/>
                <w:szCs w:val="18"/>
                <w:lang w:val="ru-RU"/>
              </w:rPr>
              <w:t xml:space="preserve">Категории активов </w:t>
            </w:r>
            <w:r w:rsidRPr="00521670">
              <w:rPr>
                <w:rFonts w:cs="Calibri"/>
                <w:szCs w:val="18"/>
                <w:lang w:val="ru-RU"/>
              </w:rPr>
              <w:br/>
              <w:t>(тыс. шв. фр.)</w:t>
            </w:r>
          </w:p>
        </w:tc>
        <w:tc>
          <w:tcPr>
            <w:tcW w:w="972" w:type="pct"/>
            <w:gridSpan w:val="2"/>
            <w:tcBorders>
              <w:top w:val="nil"/>
              <w:left w:val="nil"/>
              <w:bottom w:val="nil"/>
              <w:right w:val="nil"/>
            </w:tcBorders>
            <w:shd w:val="clear" w:color="000000" w:fill="0070C0"/>
            <w:vAlign w:val="center"/>
            <w:hideMark/>
          </w:tcPr>
          <w:p w14:paraId="005E64E5" w14:textId="77777777" w:rsidR="00DF251A" w:rsidRPr="00521670" w:rsidRDefault="00DF251A" w:rsidP="00835292">
            <w:pPr>
              <w:pStyle w:val="Tablehead"/>
              <w:rPr>
                <w:szCs w:val="18"/>
                <w:lang w:val="ru-RU" w:eastAsia="en-GB"/>
              </w:rPr>
            </w:pPr>
            <w:r w:rsidRPr="00521670">
              <w:rPr>
                <w:szCs w:val="18"/>
                <w:lang w:val="ru-RU"/>
              </w:rPr>
              <w:t>Проект строительства нового здания</w:t>
            </w:r>
          </w:p>
        </w:tc>
        <w:tc>
          <w:tcPr>
            <w:tcW w:w="917" w:type="pct"/>
            <w:gridSpan w:val="2"/>
            <w:tcBorders>
              <w:top w:val="nil"/>
              <w:left w:val="nil"/>
              <w:bottom w:val="nil"/>
              <w:right w:val="nil"/>
            </w:tcBorders>
            <w:shd w:val="clear" w:color="000000" w:fill="0070C0"/>
            <w:vAlign w:val="center"/>
            <w:hideMark/>
          </w:tcPr>
          <w:p w14:paraId="405144BD" w14:textId="77777777" w:rsidR="00DF251A" w:rsidRPr="00521670" w:rsidRDefault="00DF251A" w:rsidP="00835292">
            <w:pPr>
              <w:pStyle w:val="Tablehead"/>
              <w:rPr>
                <w:szCs w:val="18"/>
                <w:lang w:val="ru-RU" w:eastAsia="en-GB"/>
              </w:rPr>
            </w:pPr>
            <w:r w:rsidRPr="00521670">
              <w:rPr>
                <w:szCs w:val="18"/>
                <w:lang w:val="ru-RU" w:eastAsia="en-GB"/>
              </w:rPr>
              <w:t>Другой проект строительства</w:t>
            </w:r>
          </w:p>
        </w:tc>
        <w:tc>
          <w:tcPr>
            <w:tcW w:w="918" w:type="pct"/>
            <w:gridSpan w:val="2"/>
            <w:tcBorders>
              <w:top w:val="nil"/>
              <w:left w:val="nil"/>
              <w:bottom w:val="nil"/>
              <w:right w:val="nil"/>
            </w:tcBorders>
            <w:shd w:val="clear" w:color="000000" w:fill="0070C0"/>
            <w:vAlign w:val="center"/>
            <w:hideMark/>
          </w:tcPr>
          <w:p w14:paraId="08C6CC33" w14:textId="77777777" w:rsidR="00DF251A" w:rsidRPr="00521670" w:rsidRDefault="00DF251A" w:rsidP="00835292">
            <w:pPr>
              <w:pStyle w:val="Tablehead"/>
              <w:rPr>
                <w:szCs w:val="18"/>
                <w:lang w:val="ru-RU" w:eastAsia="en-GB"/>
              </w:rPr>
            </w:pPr>
            <w:r w:rsidRPr="00521670">
              <w:rPr>
                <w:szCs w:val="18"/>
                <w:lang w:val="ru-RU" w:eastAsia="en-GB"/>
              </w:rPr>
              <w:t>Прочие нематериальные активы на этапе строительства</w:t>
            </w:r>
          </w:p>
        </w:tc>
        <w:tc>
          <w:tcPr>
            <w:tcW w:w="540" w:type="pct"/>
            <w:vMerge w:val="restart"/>
            <w:tcBorders>
              <w:top w:val="nil"/>
              <w:left w:val="nil"/>
              <w:right w:val="nil"/>
            </w:tcBorders>
            <w:shd w:val="clear" w:color="000000" w:fill="0070C0"/>
            <w:vAlign w:val="center"/>
            <w:hideMark/>
          </w:tcPr>
          <w:p w14:paraId="4D94719B" w14:textId="42A51CA4" w:rsidR="00DF251A" w:rsidRPr="00521670" w:rsidRDefault="00DF251A" w:rsidP="00AD5E53">
            <w:pPr>
              <w:pStyle w:val="Tablehead"/>
              <w:spacing w:before="900"/>
              <w:rPr>
                <w:szCs w:val="18"/>
                <w:lang w:val="ru-RU" w:eastAsia="en-GB"/>
              </w:rPr>
            </w:pPr>
            <w:r w:rsidRPr="00521670">
              <w:rPr>
                <w:szCs w:val="18"/>
                <w:lang w:val="ru-RU" w:eastAsia="en-GB"/>
              </w:rPr>
              <w:t>Всего</w:t>
            </w:r>
            <w:r w:rsidRPr="00521670">
              <w:rPr>
                <w:szCs w:val="18"/>
                <w:lang w:val="ru-RU" w:eastAsia="en-GB"/>
              </w:rPr>
              <w:br/>
              <w:t>2024 г.</w:t>
            </w:r>
          </w:p>
        </w:tc>
        <w:tc>
          <w:tcPr>
            <w:tcW w:w="534" w:type="pct"/>
            <w:vMerge w:val="restart"/>
            <w:tcBorders>
              <w:top w:val="nil"/>
              <w:left w:val="nil"/>
              <w:right w:val="nil"/>
            </w:tcBorders>
            <w:shd w:val="clear" w:color="000000" w:fill="0070C0"/>
            <w:vAlign w:val="center"/>
            <w:hideMark/>
          </w:tcPr>
          <w:p w14:paraId="52D7202C" w14:textId="3F4A376A" w:rsidR="00DF251A" w:rsidRPr="00521670" w:rsidRDefault="00DF251A" w:rsidP="00AD5E53">
            <w:pPr>
              <w:pStyle w:val="Tablehead"/>
              <w:spacing w:before="900"/>
              <w:rPr>
                <w:szCs w:val="18"/>
                <w:lang w:val="ru-RU" w:eastAsia="en-GB"/>
              </w:rPr>
            </w:pPr>
            <w:r w:rsidRPr="00521670">
              <w:rPr>
                <w:szCs w:val="18"/>
                <w:lang w:val="ru-RU" w:eastAsia="en-GB"/>
              </w:rPr>
              <w:t>Всего</w:t>
            </w:r>
            <w:r w:rsidRPr="00521670">
              <w:rPr>
                <w:szCs w:val="18"/>
                <w:lang w:val="ru-RU" w:eastAsia="en-GB"/>
              </w:rPr>
              <w:br/>
              <w:t>2023 г.</w:t>
            </w:r>
          </w:p>
        </w:tc>
      </w:tr>
      <w:tr w:rsidR="00DF251A" w:rsidRPr="00521670" w14:paraId="6D4E0EE5" w14:textId="77777777" w:rsidTr="00C24781">
        <w:trPr>
          <w:trHeight w:val="300"/>
        </w:trPr>
        <w:tc>
          <w:tcPr>
            <w:tcW w:w="1119" w:type="pct"/>
            <w:vMerge/>
            <w:tcBorders>
              <w:top w:val="nil"/>
              <w:left w:val="nil"/>
              <w:bottom w:val="nil"/>
              <w:right w:val="nil"/>
            </w:tcBorders>
            <w:vAlign w:val="center"/>
            <w:hideMark/>
          </w:tcPr>
          <w:p w14:paraId="13FD4122" w14:textId="77777777" w:rsidR="00DF251A" w:rsidRPr="00521670" w:rsidRDefault="00DF251A" w:rsidP="002466AA">
            <w:pPr>
              <w:tabs>
                <w:tab w:val="clear" w:pos="794"/>
                <w:tab w:val="clear" w:pos="1191"/>
                <w:tab w:val="clear" w:pos="1588"/>
                <w:tab w:val="clear" w:pos="1985"/>
              </w:tabs>
              <w:overflowPunct/>
              <w:autoSpaceDE/>
              <w:autoSpaceDN/>
              <w:adjustRightInd/>
              <w:spacing w:before="0"/>
              <w:textAlignment w:val="auto"/>
              <w:rPr>
                <w:rFonts w:ascii="Arial Narrow" w:hAnsi="Arial Narrow" w:cs="Calibri"/>
                <w:b/>
                <w:bCs/>
                <w:sz w:val="18"/>
                <w:szCs w:val="18"/>
                <w:lang w:val="ru-RU" w:eastAsia="en-GB"/>
              </w:rPr>
            </w:pPr>
          </w:p>
        </w:tc>
        <w:tc>
          <w:tcPr>
            <w:tcW w:w="515" w:type="pct"/>
            <w:tcBorders>
              <w:top w:val="nil"/>
              <w:left w:val="nil"/>
              <w:bottom w:val="nil"/>
              <w:right w:val="nil"/>
            </w:tcBorders>
            <w:shd w:val="clear" w:color="000000" w:fill="0070C0"/>
            <w:vAlign w:val="center"/>
          </w:tcPr>
          <w:p w14:paraId="75B87EB4" w14:textId="77777777" w:rsidR="00DF251A" w:rsidRPr="00521670" w:rsidRDefault="00DF251A" w:rsidP="002466AA">
            <w:pPr>
              <w:pStyle w:val="Tablehead"/>
              <w:rPr>
                <w:szCs w:val="18"/>
                <w:lang w:val="ru-RU" w:eastAsia="en-GB"/>
              </w:rPr>
            </w:pPr>
            <w:r w:rsidRPr="00521670">
              <w:rPr>
                <w:szCs w:val="18"/>
                <w:lang w:val="ru-RU" w:eastAsia="en-GB"/>
              </w:rPr>
              <w:t>2024 г.</w:t>
            </w:r>
          </w:p>
        </w:tc>
        <w:tc>
          <w:tcPr>
            <w:tcW w:w="457" w:type="pct"/>
            <w:tcBorders>
              <w:top w:val="nil"/>
              <w:left w:val="nil"/>
              <w:bottom w:val="nil"/>
              <w:right w:val="nil"/>
            </w:tcBorders>
            <w:shd w:val="clear" w:color="000000" w:fill="0070C0"/>
            <w:vAlign w:val="center"/>
          </w:tcPr>
          <w:p w14:paraId="41E1B8ED" w14:textId="77777777" w:rsidR="00DF251A" w:rsidRPr="00521670" w:rsidRDefault="00DF251A" w:rsidP="002466AA">
            <w:pPr>
              <w:pStyle w:val="Tablehead"/>
              <w:rPr>
                <w:szCs w:val="18"/>
                <w:lang w:val="ru-RU" w:eastAsia="en-GB"/>
              </w:rPr>
            </w:pPr>
            <w:r w:rsidRPr="00521670">
              <w:rPr>
                <w:szCs w:val="18"/>
                <w:lang w:val="ru-RU" w:eastAsia="en-GB"/>
              </w:rPr>
              <w:t>2023 г.</w:t>
            </w:r>
          </w:p>
        </w:tc>
        <w:tc>
          <w:tcPr>
            <w:tcW w:w="460" w:type="pct"/>
            <w:tcBorders>
              <w:top w:val="nil"/>
              <w:left w:val="nil"/>
              <w:bottom w:val="nil"/>
              <w:right w:val="nil"/>
            </w:tcBorders>
            <w:shd w:val="clear" w:color="000000" w:fill="0070C0"/>
            <w:vAlign w:val="center"/>
          </w:tcPr>
          <w:p w14:paraId="0B80278E" w14:textId="77777777" w:rsidR="00DF251A" w:rsidRPr="00521670" w:rsidRDefault="00DF251A" w:rsidP="002466AA">
            <w:pPr>
              <w:pStyle w:val="Tablehead"/>
              <w:rPr>
                <w:szCs w:val="18"/>
                <w:lang w:val="ru-RU" w:eastAsia="en-GB"/>
              </w:rPr>
            </w:pPr>
            <w:r w:rsidRPr="00521670">
              <w:rPr>
                <w:szCs w:val="18"/>
                <w:lang w:val="ru-RU" w:eastAsia="en-GB"/>
              </w:rPr>
              <w:t>2024 г.</w:t>
            </w:r>
          </w:p>
        </w:tc>
        <w:tc>
          <w:tcPr>
            <w:tcW w:w="457" w:type="pct"/>
            <w:tcBorders>
              <w:top w:val="nil"/>
              <w:left w:val="nil"/>
              <w:bottom w:val="nil"/>
              <w:right w:val="nil"/>
            </w:tcBorders>
            <w:shd w:val="clear" w:color="000000" w:fill="0070C0"/>
            <w:vAlign w:val="center"/>
          </w:tcPr>
          <w:p w14:paraId="4E7A22B0" w14:textId="77777777" w:rsidR="00DF251A" w:rsidRPr="00521670" w:rsidRDefault="00DF251A" w:rsidP="002466AA">
            <w:pPr>
              <w:pStyle w:val="Tablehead"/>
              <w:rPr>
                <w:szCs w:val="18"/>
                <w:lang w:val="ru-RU" w:eastAsia="en-GB"/>
              </w:rPr>
            </w:pPr>
            <w:r w:rsidRPr="00521670">
              <w:rPr>
                <w:szCs w:val="18"/>
                <w:lang w:val="ru-RU" w:eastAsia="en-GB"/>
              </w:rPr>
              <w:t>2023 г.</w:t>
            </w:r>
          </w:p>
        </w:tc>
        <w:tc>
          <w:tcPr>
            <w:tcW w:w="460" w:type="pct"/>
            <w:tcBorders>
              <w:top w:val="nil"/>
              <w:left w:val="nil"/>
              <w:bottom w:val="nil"/>
              <w:right w:val="nil"/>
            </w:tcBorders>
            <w:shd w:val="clear" w:color="000000" w:fill="0070C0"/>
            <w:vAlign w:val="center"/>
          </w:tcPr>
          <w:p w14:paraId="3E91AB4E" w14:textId="77777777" w:rsidR="00DF251A" w:rsidRPr="00521670" w:rsidRDefault="00DF251A" w:rsidP="002466AA">
            <w:pPr>
              <w:pStyle w:val="Tablehead"/>
              <w:rPr>
                <w:szCs w:val="18"/>
                <w:lang w:val="ru-RU" w:eastAsia="en-GB"/>
              </w:rPr>
            </w:pPr>
            <w:r w:rsidRPr="00521670">
              <w:rPr>
                <w:szCs w:val="18"/>
                <w:lang w:val="ru-RU" w:eastAsia="en-GB"/>
              </w:rPr>
              <w:t>2024 г.</w:t>
            </w:r>
          </w:p>
        </w:tc>
        <w:tc>
          <w:tcPr>
            <w:tcW w:w="458" w:type="pct"/>
            <w:tcBorders>
              <w:top w:val="nil"/>
              <w:left w:val="nil"/>
              <w:bottom w:val="nil"/>
              <w:right w:val="nil"/>
            </w:tcBorders>
            <w:shd w:val="clear" w:color="000000" w:fill="0070C0"/>
            <w:vAlign w:val="center"/>
          </w:tcPr>
          <w:p w14:paraId="7565A25B" w14:textId="77777777" w:rsidR="00DF251A" w:rsidRPr="00521670" w:rsidRDefault="00DF251A" w:rsidP="002466AA">
            <w:pPr>
              <w:pStyle w:val="Tablehead"/>
              <w:rPr>
                <w:szCs w:val="18"/>
                <w:lang w:val="ru-RU" w:eastAsia="en-GB"/>
              </w:rPr>
            </w:pPr>
            <w:r w:rsidRPr="00521670">
              <w:rPr>
                <w:szCs w:val="18"/>
                <w:lang w:val="ru-RU" w:eastAsia="en-GB"/>
              </w:rPr>
              <w:t>2023 г.</w:t>
            </w:r>
          </w:p>
        </w:tc>
        <w:tc>
          <w:tcPr>
            <w:tcW w:w="540" w:type="pct"/>
            <w:vMerge/>
            <w:tcBorders>
              <w:left w:val="nil"/>
              <w:bottom w:val="nil"/>
              <w:right w:val="nil"/>
            </w:tcBorders>
            <w:shd w:val="clear" w:color="000000" w:fill="0070C0"/>
            <w:vAlign w:val="center"/>
            <w:hideMark/>
          </w:tcPr>
          <w:p w14:paraId="571260C9" w14:textId="77777777" w:rsidR="00DF251A" w:rsidRPr="00521670" w:rsidRDefault="00DF251A" w:rsidP="002466AA">
            <w:pPr>
              <w:pStyle w:val="Tablehead"/>
              <w:rPr>
                <w:szCs w:val="18"/>
                <w:lang w:val="ru-RU" w:eastAsia="en-GB"/>
              </w:rPr>
            </w:pPr>
          </w:p>
        </w:tc>
        <w:tc>
          <w:tcPr>
            <w:tcW w:w="534" w:type="pct"/>
            <w:vMerge/>
            <w:tcBorders>
              <w:left w:val="nil"/>
              <w:bottom w:val="nil"/>
              <w:right w:val="nil"/>
            </w:tcBorders>
            <w:shd w:val="clear" w:color="000000" w:fill="0070C0"/>
            <w:vAlign w:val="center"/>
            <w:hideMark/>
          </w:tcPr>
          <w:p w14:paraId="7717F63A" w14:textId="77777777" w:rsidR="00DF251A" w:rsidRPr="00521670" w:rsidRDefault="00DF251A" w:rsidP="002466AA">
            <w:pPr>
              <w:pStyle w:val="Tablehead"/>
              <w:rPr>
                <w:szCs w:val="18"/>
                <w:lang w:val="ru-RU" w:eastAsia="en-GB"/>
              </w:rPr>
            </w:pPr>
          </w:p>
        </w:tc>
      </w:tr>
      <w:tr w:rsidR="00DF251A" w:rsidRPr="00521670" w14:paraId="01CAC245" w14:textId="77777777" w:rsidTr="00C24781">
        <w:trPr>
          <w:trHeight w:val="300"/>
        </w:trPr>
        <w:tc>
          <w:tcPr>
            <w:tcW w:w="1119" w:type="pct"/>
            <w:tcBorders>
              <w:top w:val="nil"/>
              <w:left w:val="nil"/>
              <w:bottom w:val="nil"/>
              <w:right w:val="nil"/>
            </w:tcBorders>
            <w:shd w:val="clear" w:color="000000" w:fill="auto"/>
            <w:vAlign w:val="bottom"/>
            <w:hideMark/>
          </w:tcPr>
          <w:p w14:paraId="669E62E5" w14:textId="77777777" w:rsidR="00DF251A" w:rsidRPr="00521670" w:rsidRDefault="00DF251A" w:rsidP="002466AA">
            <w:pPr>
              <w:pStyle w:val="Tabletext"/>
              <w:keepNext/>
              <w:rPr>
                <w:b/>
                <w:bCs/>
                <w:szCs w:val="18"/>
                <w:lang w:val="ru-RU" w:eastAsia="en-GB"/>
              </w:rPr>
            </w:pPr>
            <w:r w:rsidRPr="00521670">
              <w:rPr>
                <w:b/>
                <w:bCs/>
                <w:szCs w:val="18"/>
                <w:lang w:val="ru-RU"/>
              </w:rPr>
              <w:t>Стоимость на 1 января</w:t>
            </w:r>
          </w:p>
        </w:tc>
        <w:tc>
          <w:tcPr>
            <w:tcW w:w="515" w:type="pct"/>
            <w:tcBorders>
              <w:top w:val="nil"/>
              <w:left w:val="nil"/>
              <w:bottom w:val="nil"/>
              <w:right w:val="nil"/>
            </w:tcBorders>
            <w:shd w:val="clear" w:color="000000" w:fill="auto"/>
            <w:noWrap/>
            <w:vAlign w:val="bottom"/>
          </w:tcPr>
          <w:p w14:paraId="6544E732" w14:textId="77777777" w:rsidR="00DF251A" w:rsidRPr="00521670" w:rsidRDefault="00DF251A" w:rsidP="002466AA">
            <w:pPr>
              <w:pStyle w:val="Tabletext"/>
              <w:keepNext/>
              <w:jc w:val="right"/>
              <w:rPr>
                <w:b/>
                <w:bCs/>
                <w:szCs w:val="18"/>
                <w:lang w:val="ru-RU" w:eastAsia="en-GB"/>
              </w:rPr>
            </w:pPr>
            <w:r w:rsidRPr="00521670">
              <w:rPr>
                <w:b/>
                <w:bCs/>
                <w:szCs w:val="18"/>
                <w:lang w:val="ru-RU"/>
              </w:rPr>
              <w:t>19 735</w:t>
            </w:r>
          </w:p>
        </w:tc>
        <w:tc>
          <w:tcPr>
            <w:tcW w:w="457" w:type="pct"/>
            <w:tcBorders>
              <w:top w:val="nil"/>
              <w:left w:val="nil"/>
              <w:bottom w:val="nil"/>
              <w:right w:val="nil"/>
            </w:tcBorders>
            <w:shd w:val="clear" w:color="000000" w:fill="auto"/>
            <w:noWrap/>
            <w:vAlign w:val="bottom"/>
          </w:tcPr>
          <w:p w14:paraId="1F665A9C" w14:textId="77777777" w:rsidR="00DF251A" w:rsidRPr="00521670" w:rsidRDefault="00DF251A" w:rsidP="002466AA">
            <w:pPr>
              <w:pStyle w:val="Tabletext"/>
              <w:keepNext/>
              <w:jc w:val="right"/>
              <w:rPr>
                <w:b/>
                <w:bCs/>
                <w:szCs w:val="18"/>
                <w:lang w:val="ru-RU" w:eastAsia="en-GB"/>
              </w:rPr>
            </w:pPr>
            <w:r w:rsidRPr="00521670">
              <w:rPr>
                <w:b/>
                <w:bCs/>
                <w:szCs w:val="18"/>
                <w:lang w:val="ru-RU" w:eastAsia="en-GB"/>
              </w:rPr>
              <w:t>17 283</w:t>
            </w:r>
          </w:p>
        </w:tc>
        <w:tc>
          <w:tcPr>
            <w:tcW w:w="460" w:type="pct"/>
            <w:tcBorders>
              <w:top w:val="nil"/>
              <w:left w:val="nil"/>
              <w:bottom w:val="nil"/>
              <w:right w:val="nil"/>
            </w:tcBorders>
            <w:shd w:val="clear" w:color="auto" w:fill="auto"/>
            <w:noWrap/>
            <w:vAlign w:val="bottom"/>
          </w:tcPr>
          <w:p w14:paraId="34AEC64C" w14:textId="77777777" w:rsidR="00DF251A" w:rsidRPr="00521670" w:rsidRDefault="00DF251A" w:rsidP="002466AA">
            <w:pPr>
              <w:pStyle w:val="Tabletext"/>
              <w:keepNext/>
              <w:jc w:val="right"/>
              <w:rPr>
                <w:b/>
                <w:bCs/>
                <w:szCs w:val="18"/>
                <w:lang w:val="ru-RU" w:eastAsia="en-GB"/>
              </w:rPr>
            </w:pPr>
            <w:r w:rsidRPr="00521670">
              <w:rPr>
                <w:b/>
                <w:bCs/>
                <w:szCs w:val="18"/>
                <w:lang w:val="ru-RU"/>
              </w:rPr>
              <w:t>1 518</w:t>
            </w:r>
          </w:p>
        </w:tc>
        <w:tc>
          <w:tcPr>
            <w:tcW w:w="457" w:type="pct"/>
            <w:tcBorders>
              <w:top w:val="nil"/>
              <w:left w:val="nil"/>
              <w:bottom w:val="nil"/>
              <w:right w:val="nil"/>
            </w:tcBorders>
            <w:shd w:val="clear" w:color="auto" w:fill="auto"/>
            <w:noWrap/>
            <w:vAlign w:val="bottom"/>
          </w:tcPr>
          <w:p w14:paraId="2FFA3138" w14:textId="77777777" w:rsidR="00DF251A" w:rsidRPr="00521670" w:rsidRDefault="00DF251A" w:rsidP="002466AA">
            <w:pPr>
              <w:pStyle w:val="Tabletext"/>
              <w:keepNext/>
              <w:jc w:val="right"/>
              <w:rPr>
                <w:b/>
                <w:bCs/>
                <w:szCs w:val="18"/>
                <w:lang w:val="ru-RU" w:eastAsia="en-GB"/>
              </w:rPr>
            </w:pPr>
            <w:r w:rsidRPr="00521670">
              <w:rPr>
                <w:b/>
                <w:bCs/>
                <w:szCs w:val="18"/>
                <w:lang w:val="ru-RU" w:eastAsia="en-GB"/>
              </w:rPr>
              <w:t>199</w:t>
            </w:r>
          </w:p>
        </w:tc>
        <w:tc>
          <w:tcPr>
            <w:tcW w:w="460" w:type="pct"/>
            <w:tcBorders>
              <w:top w:val="nil"/>
              <w:left w:val="nil"/>
              <w:bottom w:val="nil"/>
              <w:right w:val="nil"/>
            </w:tcBorders>
            <w:shd w:val="clear" w:color="auto" w:fill="auto"/>
            <w:noWrap/>
            <w:vAlign w:val="bottom"/>
          </w:tcPr>
          <w:p w14:paraId="2C3F027E" w14:textId="77777777" w:rsidR="00DF251A" w:rsidRPr="00521670" w:rsidRDefault="00DF251A" w:rsidP="002466AA">
            <w:pPr>
              <w:pStyle w:val="Tabletext"/>
              <w:keepNext/>
              <w:jc w:val="right"/>
              <w:rPr>
                <w:b/>
                <w:bCs/>
                <w:szCs w:val="18"/>
                <w:lang w:val="ru-RU" w:eastAsia="en-GB"/>
              </w:rPr>
            </w:pPr>
            <w:r w:rsidRPr="00521670">
              <w:rPr>
                <w:b/>
                <w:bCs/>
                <w:szCs w:val="18"/>
                <w:lang w:val="ru-RU"/>
              </w:rPr>
              <w:t>5 344</w:t>
            </w:r>
          </w:p>
        </w:tc>
        <w:tc>
          <w:tcPr>
            <w:tcW w:w="458" w:type="pct"/>
            <w:tcBorders>
              <w:top w:val="nil"/>
              <w:left w:val="nil"/>
              <w:bottom w:val="nil"/>
              <w:right w:val="nil"/>
            </w:tcBorders>
            <w:shd w:val="clear" w:color="auto" w:fill="auto"/>
            <w:noWrap/>
            <w:vAlign w:val="bottom"/>
          </w:tcPr>
          <w:p w14:paraId="084F6AC0" w14:textId="77777777" w:rsidR="00DF251A" w:rsidRPr="00521670" w:rsidRDefault="00DF251A" w:rsidP="002466AA">
            <w:pPr>
              <w:pStyle w:val="Tabletext"/>
              <w:keepNext/>
              <w:jc w:val="right"/>
              <w:rPr>
                <w:b/>
                <w:bCs/>
                <w:szCs w:val="18"/>
                <w:lang w:val="ru-RU" w:eastAsia="en-GB"/>
              </w:rPr>
            </w:pPr>
            <w:r w:rsidRPr="00521670">
              <w:rPr>
                <w:b/>
                <w:bCs/>
                <w:szCs w:val="18"/>
                <w:lang w:val="ru-RU" w:eastAsia="en-GB"/>
              </w:rPr>
              <w:t>2 287</w:t>
            </w:r>
          </w:p>
        </w:tc>
        <w:tc>
          <w:tcPr>
            <w:tcW w:w="540" w:type="pct"/>
            <w:tcBorders>
              <w:top w:val="nil"/>
              <w:left w:val="nil"/>
              <w:bottom w:val="nil"/>
              <w:right w:val="nil"/>
            </w:tcBorders>
            <w:shd w:val="clear" w:color="auto" w:fill="auto"/>
            <w:noWrap/>
            <w:vAlign w:val="bottom"/>
          </w:tcPr>
          <w:p w14:paraId="69BF0C75" w14:textId="77777777" w:rsidR="00DF251A" w:rsidRPr="00521670" w:rsidRDefault="00DF251A" w:rsidP="002466AA">
            <w:pPr>
              <w:pStyle w:val="Tabletext"/>
              <w:keepNext/>
              <w:jc w:val="right"/>
              <w:rPr>
                <w:b/>
                <w:bCs/>
                <w:szCs w:val="18"/>
                <w:lang w:val="ru-RU" w:eastAsia="en-GB"/>
              </w:rPr>
            </w:pPr>
            <w:r w:rsidRPr="00521670">
              <w:rPr>
                <w:b/>
                <w:bCs/>
                <w:szCs w:val="18"/>
                <w:lang w:val="ru-RU"/>
              </w:rPr>
              <w:t>26 597</w:t>
            </w:r>
          </w:p>
        </w:tc>
        <w:tc>
          <w:tcPr>
            <w:tcW w:w="534" w:type="pct"/>
            <w:tcBorders>
              <w:top w:val="nil"/>
              <w:left w:val="nil"/>
              <w:bottom w:val="nil"/>
              <w:right w:val="nil"/>
            </w:tcBorders>
            <w:shd w:val="clear" w:color="auto" w:fill="auto"/>
            <w:noWrap/>
            <w:vAlign w:val="bottom"/>
          </w:tcPr>
          <w:p w14:paraId="614DD3FF" w14:textId="77777777" w:rsidR="00DF251A" w:rsidRPr="00521670" w:rsidRDefault="00DF251A" w:rsidP="002466AA">
            <w:pPr>
              <w:pStyle w:val="Tabletext"/>
              <w:keepNext/>
              <w:jc w:val="right"/>
              <w:rPr>
                <w:b/>
                <w:bCs/>
                <w:szCs w:val="18"/>
                <w:lang w:val="ru-RU" w:eastAsia="en-GB"/>
              </w:rPr>
            </w:pPr>
            <w:r w:rsidRPr="00521670">
              <w:rPr>
                <w:b/>
                <w:bCs/>
                <w:szCs w:val="18"/>
                <w:lang w:val="ru-RU" w:eastAsia="en-GB"/>
              </w:rPr>
              <w:t>19 769</w:t>
            </w:r>
          </w:p>
        </w:tc>
      </w:tr>
      <w:tr w:rsidR="00DF251A" w:rsidRPr="00521670" w14:paraId="2D7521BA" w14:textId="77777777" w:rsidTr="00C24781">
        <w:trPr>
          <w:trHeight w:val="300"/>
        </w:trPr>
        <w:tc>
          <w:tcPr>
            <w:tcW w:w="1119" w:type="pct"/>
            <w:tcBorders>
              <w:top w:val="nil"/>
              <w:left w:val="nil"/>
              <w:bottom w:val="nil"/>
              <w:right w:val="nil"/>
            </w:tcBorders>
            <w:shd w:val="clear" w:color="000000" w:fill="auto"/>
            <w:vAlign w:val="bottom"/>
            <w:hideMark/>
          </w:tcPr>
          <w:p w14:paraId="5A8B825E" w14:textId="77777777" w:rsidR="00DF251A" w:rsidRPr="00521670" w:rsidRDefault="00DF251A" w:rsidP="002466AA">
            <w:pPr>
              <w:pStyle w:val="Tabletext"/>
              <w:keepNext/>
              <w:rPr>
                <w:szCs w:val="18"/>
                <w:lang w:val="ru-RU" w:eastAsia="en-GB"/>
              </w:rPr>
            </w:pPr>
            <w:r w:rsidRPr="00521670">
              <w:rPr>
                <w:szCs w:val="18"/>
                <w:lang w:val="ru-RU"/>
              </w:rPr>
              <w:t>Дополнения</w:t>
            </w:r>
          </w:p>
        </w:tc>
        <w:tc>
          <w:tcPr>
            <w:tcW w:w="515" w:type="pct"/>
            <w:tcBorders>
              <w:top w:val="nil"/>
              <w:left w:val="nil"/>
              <w:bottom w:val="nil"/>
              <w:right w:val="nil"/>
            </w:tcBorders>
            <w:shd w:val="clear" w:color="000000" w:fill="auto"/>
            <w:noWrap/>
            <w:vAlign w:val="bottom"/>
          </w:tcPr>
          <w:p w14:paraId="35153DEC" w14:textId="77777777" w:rsidR="00DF251A" w:rsidRPr="00521670" w:rsidRDefault="00DF251A" w:rsidP="002466AA">
            <w:pPr>
              <w:pStyle w:val="Tabletext"/>
              <w:keepNext/>
              <w:jc w:val="right"/>
              <w:rPr>
                <w:szCs w:val="18"/>
                <w:lang w:val="ru-RU" w:eastAsia="en-GB"/>
              </w:rPr>
            </w:pPr>
            <w:r w:rsidRPr="00521670">
              <w:rPr>
                <w:szCs w:val="18"/>
                <w:lang w:val="ru-RU"/>
              </w:rPr>
              <w:t>1 573</w:t>
            </w:r>
          </w:p>
        </w:tc>
        <w:tc>
          <w:tcPr>
            <w:tcW w:w="457" w:type="pct"/>
            <w:tcBorders>
              <w:top w:val="nil"/>
              <w:left w:val="nil"/>
              <w:bottom w:val="nil"/>
              <w:right w:val="nil"/>
            </w:tcBorders>
            <w:shd w:val="clear" w:color="000000" w:fill="auto"/>
            <w:noWrap/>
            <w:vAlign w:val="bottom"/>
          </w:tcPr>
          <w:p w14:paraId="0AF55530" w14:textId="77777777" w:rsidR="00DF251A" w:rsidRPr="00521670" w:rsidRDefault="00DF251A" w:rsidP="002466AA">
            <w:pPr>
              <w:pStyle w:val="Tabletext"/>
              <w:keepNext/>
              <w:jc w:val="right"/>
              <w:rPr>
                <w:szCs w:val="18"/>
                <w:lang w:val="ru-RU" w:eastAsia="en-GB"/>
              </w:rPr>
            </w:pPr>
            <w:r w:rsidRPr="00521670">
              <w:rPr>
                <w:szCs w:val="18"/>
                <w:lang w:val="ru-RU" w:eastAsia="en-GB"/>
              </w:rPr>
              <w:t>2 482</w:t>
            </w:r>
          </w:p>
        </w:tc>
        <w:tc>
          <w:tcPr>
            <w:tcW w:w="460" w:type="pct"/>
            <w:tcBorders>
              <w:top w:val="nil"/>
              <w:left w:val="nil"/>
              <w:bottom w:val="nil"/>
              <w:right w:val="nil"/>
            </w:tcBorders>
            <w:shd w:val="clear" w:color="auto" w:fill="auto"/>
            <w:noWrap/>
            <w:vAlign w:val="bottom"/>
          </w:tcPr>
          <w:p w14:paraId="00D1CCBC" w14:textId="77777777" w:rsidR="00DF251A" w:rsidRPr="00521670" w:rsidRDefault="00DF251A" w:rsidP="002466AA">
            <w:pPr>
              <w:pStyle w:val="Tabletext"/>
              <w:keepNext/>
              <w:jc w:val="right"/>
              <w:rPr>
                <w:szCs w:val="18"/>
                <w:lang w:val="ru-RU" w:eastAsia="en-GB"/>
              </w:rPr>
            </w:pPr>
            <w:r w:rsidRPr="00521670">
              <w:rPr>
                <w:szCs w:val="18"/>
                <w:lang w:val="ru-RU"/>
              </w:rPr>
              <w:t>−</w:t>
            </w:r>
          </w:p>
        </w:tc>
        <w:tc>
          <w:tcPr>
            <w:tcW w:w="457" w:type="pct"/>
            <w:tcBorders>
              <w:top w:val="nil"/>
              <w:left w:val="nil"/>
              <w:bottom w:val="nil"/>
              <w:right w:val="nil"/>
            </w:tcBorders>
            <w:shd w:val="clear" w:color="auto" w:fill="auto"/>
            <w:noWrap/>
            <w:vAlign w:val="bottom"/>
          </w:tcPr>
          <w:p w14:paraId="0BA807EA" w14:textId="77777777" w:rsidR="00DF251A" w:rsidRPr="00521670" w:rsidRDefault="00DF251A" w:rsidP="002466AA">
            <w:pPr>
              <w:pStyle w:val="Tabletext"/>
              <w:keepNext/>
              <w:jc w:val="right"/>
              <w:rPr>
                <w:szCs w:val="18"/>
                <w:lang w:val="ru-RU" w:eastAsia="en-GB"/>
              </w:rPr>
            </w:pPr>
            <w:r w:rsidRPr="00521670">
              <w:rPr>
                <w:szCs w:val="18"/>
                <w:lang w:val="ru-RU" w:eastAsia="en-GB"/>
              </w:rPr>
              <w:t>1 344</w:t>
            </w:r>
          </w:p>
        </w:tc>
        <w:tc>
          <w:tcPr>
            <w:tcW w:w="460" w:type="pct"/>
            <w:tcBorders>
              <w:top w:val="nil"/>
              <w:left w:val="nil"/>
              <w:bottom w:val="nil"/>
              <w:right w:val="nil"/>
            </w:tcBorders>
            <w:shd w:val="clear" w:color="auto" w:fill="auto"/>
            <w:noWrap/>
            <w:vAlign w:val="bottom"/>
          </w:tcPr>
          <w:p w14:paraId="484457A7" w14:textId="77777777" w:rsidR="00DF251A" w:rsidRPr="00521670" w:rsidRDefault="00DF251A" w:rsidP="002466AA">
            <w:pPr>
              <w:pStyle w:val="Tabletext"/>
              <w:keepNext/>
              <w:jc w:val="right"/>
              <w:rPr>
                <w:szCs w:val="18"/>
                <w:lang w:val="ru-RU" w:eastAsia="en-GB"/>
              </w:rPr>
            </w:pPr>
            <w:r w:rsidRPr="00521670">
              <w:rPr>
                <w:szCs w:val="18"/>
                <w:lang w:val="ru-RU"/>
              </w:rPr>
              <w:t>1 860</w:t>
            </w:r>
          </w:p>
        </w:tc>
        <w:tc>
          <w:tcPr>
            <w:tcW w:w="458" w:type="pct"/>
            <w:tcBorders>
              <w:top w:val="nil"/>
              <w:left w:val="nil"/>
              <w:bottom w:val="nil"/>
              <w:right w:val="nil"/>
            </w:tcBorders>
            <w:shd w:val="clear" w:color="auto" w:fill="auto"/>
            <w:noWrap/>
            <w:vAlign w:val="bottom"/>
          </w:tcPr>
          <w:p w14:paraId="00E37721" w14:textId="77777777" w:rsidR="00DF251A" w:rsidRPr="00521670" w:rsidRDefault="00DF251A" w:rsidP="002466AA">
            <w:pPr>
              <w:pStyle w:val="Tabletext"/>
              <w:keepNext/>
              <w:jc w:val="right"/>
              <w:rPr>
                <w:szCs w:val="18"/>
                <w:lang w:val="ru-RU" w:eastAsia="en-GB"/>
              </w:rPr>
            </w:pPr>
            <w:r w:rsidRPr="00521670">
              <w:rPr>
                <w:szCs w:val="18"/>
                <w:lang w:val="ru-RU" w:eastAsia="en-GB"/>
              </w:rPr>
              <w:t>3 365</w:t>
            </w:r>
          </w:p>
        </w:tc>
        <w:tc>
          <w:tcPr>
            <w:tcW w:w="540" w:type="pct"/>
            <w:tcBorders>
              <w:top w:val="nil"/>
              <w:left w:val="nil"/>
              <w:bottom w:val="nil"/>
              <w:right w:val="nil"/>
            </w:tcBorders>
            <w:shd w:val="clear" w:color="auto" w:fill="auto"/>
            <w:noWrap/>
            <w:vAlign w:val="bottom"/>
          </w:tcPr>
          <w:p w14:paraId="315DD381" w14:textId="77777777" w:rsidR="00DF251A" w:rsidRPr="00521670" w:rsidRDefault="00DF251A" w:rsidP="002466AA">
            <w:pPr>
              <w:pStyle w:val="Tabletext"/>
              <w:keepNext/>
              <w:jc w:val="right"/>
              <w:rPr>
                <w:b/>
                <w:bCs/>
                <w:szCs w:val="18"/>
                <w:lang w:val="ru-RU" w:eastAsia="en-GB"/>
              </w:rPr>
            </w:pPr>
            <w:r w:rsidRPr="00521670">
              <w:rPr>
                <w:b/>
                <w:bCs/>
                <w:szCs w:val="18"/>
                <w:lang w:val="ru-RU"/>
              </w:rPr>
              <w:t>3 433</w:t>
            </w:r>
          </w:p>
        </w:tc>
        <w:tc>
          <w:tcPr>
            <w:tcW w:w="534" w:type="pct"/>
            <w:tcBorders>
              <w:top w:val="nil"/>
              <w:left w:val="nil"/>
              <w:bottom w:val="nil"/>
              <w:right w:val="nil"/>
            </w:tcBorders>
            <w:shd w:val="clear" w:color="auto" w:fill="auto"/>
            <w:noWrap/>
            <w:vAlign w:val="bottom"/>
          </w:tcPr>
          <w:p w14:paraId="7787BD46" w14:textId="77777777" w:rsidR="00DF251A" w:rsidRPr="00521670" w:rsidRDefault="00DF251A" w:rsidP="002466AA">
            <w:pPr>
              <w:pStyle w:val="Tabletext"/>
              <w:keepNext/>
              <w:jc w:val="right"/>
              <w:rPr>
                <w:b/>
                <w:bCs/>
                <w:szCs w:val="18"/>
                <w:lang w:val="ru-RU" w:eastAsia="en-GB"/>
              </w:rPr>
            </w:pPr>
            <w:r w:rsidRPr="00521670">
              <w:rPr>
                <w:b/>
                <w:bCs/>
                <w:szCs w:val="18"/>
                <w:lang w:val="ru-RU" w:eastAsia="en-GB"/>
              </w:rPr>
              <w:t>7 191</w:t>
            </w:r>
          </w:p>
        </w:tc>
      </w:tr>
      <w:tr w:rsidR="00DF251A" w:rsidRPr="00521670" w14:paraId="4D3D6140" w14:textId="77777777" w:rsidTr="00C24781">
        <w:trPr>
          <w:trHeight w:val="300"/>
        </w:trPr>
        <w:tc>
          <w:tcPr>
            <w:tcW w:w="1119" w:type="pct"/>
            <w:tcBorders>
              <w:top w:val="nil"/>
              <w:left w:val="nil"/>
              <w:bottom w:val="nil"/>
              <w:right w:val="nil"/>
            </w:tcBorders>
            <w:shd w:val="clear" w:color="000000" w:fill="auto"/>
            <w:vAlign w:val="bottom"/>
          </w:tcPr>
          <w:p w14:paraId="019B9F09" w14:textId="77777777" w:rsidR="00DF251A" w:rsidRPr="00521670" w:rsidRDefault="00DF251A" w:rsidP="00B24CAF">
            <w:pPr>
              <w:pStyle w:val="Tabletext"/>
              <w:keepNext/>
              <w:rPr>
                <w:szCs w:val="18"/>
                <w:lang w:val="ru-RU"/>
              </w:rPr>
            </w:pPr>
            <w:r w:rsidRPr="00521670">
              <w:rPr>
                <w:szCs w:val="18"/>
                <w:lang w:val="ru-RU"/>
              </w:rPr>
              <w:t>Обесценение/Выбытие</w:t>
            </w:r>
          </w:p>
        </w:tc>
        <w:tc>
          <w:tcPr>
            <w:tcW w:w="515" w:type="pct"/>
            <w:tcBorders>
              <w:top w:val="nil"/>
              <w:left w:val="nil"/>
              <w:bottom w:val="nil"/>
              <w:right w:val="nil"/>
            </w:tcBorders>
            <w:shd w:val="clear" w:color="000000" w:fill="auto"/>
            <w:noWrap/>
            <w:vAlign w:val="bottom"/>
          </w:tcPr>
          <w:p w14:paraId="4A30D42A" w14:textId="77777777" w:rsidR="00DF251A" w:rsidRPr="00521670" w:rsidRDefault="00DF251A" w:rsidP="002466AA">
            <w:pPr>
              <w:pStyle w:val="Tabletext"/>
              <w:keepNext/>
              <w:jc w:val="right"/>
              <w:rPr>
                <w:szCs w:val="18"/>
                <w:lang w:val="ru-RU" w:eastAsia="en-GB"/>
              </w:rPr>
            </w:pPr>
            <w:r w:rsidRPr="00521670">
              <w:rPr>
                <w:szCs w:val="18"/>
                <w:lang w:val="ru-RU"/>
              </w:rPr>
              <w:t>(20 986)</w:t>
            </w:r>
          </w:p>
        </w:tc>
        <w:tc>
          <w:tcPr>
            <w:tcW w:w="457" w:type="pct"/>
            <w:tcBorders>
              <w:top w:val="nil"/>
              <w:left w:val="nil"/>
              <w:bottom w:val="nil"/>
              <w:right w:val="nil"/>
            </w:tcBorders>
            <w:shd w:val="clear" w:color="000000" w:fill="auto"/>
            <w:noWrap/>
            <w:vAlign w:val="bottom"/>
          </w:tcPr>
          <w:p w14:paraId="4E483C6E" w14:textId="77777777" w:rsidR="00DF251A" w:rsidRPr="00521670" w:rsidRDefault="00DF251A" w:rsidP="002466AA">
            <w:pPr>
              <w:pStyle w:val="Tabletext"/>
              <w:keepNext/>
              <w:jc w:val="right"/>
              <w:rPr>
                <w:szCs w:val="18"/>
                <w:lang w:val="ru-RU" w:eastAsia="en-GB"/>
              </w:rPr>
            </w:pPr>
            <w:r w:rsidRPr="00521670">
              <w:rPr>
                <w:szCs w:val="18"/>
                <w:lang w:val="ru-RU" w:eastAsia="en-GB"/>
              </w:rPr>
              <w:t>−</w:t>
            </w:r>
          </w:p>
        </w:tc>
        <w:tc>
          <w:tcPr>
            <w:tcW w:w="460" w:type="pct"/>
            <w:tcBorders>
              <w:top w:val="nil"/>
              <w:left w:val="nil"/>
              <w:bottom w:val="nil"/>
              <w:right w:val="nil"/>
            </w:tcBorders>
            <w:shd w:val="clear" w:color="auto" w:fill="auto"/>
            <w:noWrap/>
            <w:vAlign w:val="bottom"/>
          </w:tcPr>
          <w:p w14:paraId="44431FDA" w14:textId="77777777" w:rsidR="00DF251A" w:rsidRPr="00521670" w:rsidRDefault="00DF251A" w:rsidP="002466AA">
            <w:pPr>
              <w:pStyle w:val="Tabletext"/>
              <w:keepNext/>
              <w:jc w:val="right"/>
              <w:rPr>
                <w:szCs w:val="18"/>
                <w:lang w:val="ru-RU" w:eastAsia="en-GB"/>
              </w:rPr>
            </w:pPr>
            <w:r w:rsidRPr="00521670">
              <w:rPr>
                <w:szCs w:val="18"/>
                <w:lang w:val="ru-RU"/>
              </w:rPr>
              <w:t>(14)</w:t>
            </w:r>
          </w:p>
        </w:tc>
        <w:tc>
          <w:tcPr>
            <w:tcW w:w="457" w:type="pct"/>
            <w:tcBorders>
              <w:top w:val="nil"/>
              <w:left w:val="nil"/>
              <w:bottom w:val="nil"/>
              <w:right w:val="nil"/>
            </w:tcBorders>
            <w:shd w:val="clear" w:color="auto" w:fill="auto"/>
            <w:noWrap/>
            <w:vAlign w:val="bottom"/>
          </w:tcPr>
          <w:p w14:paraId="5E29CA81" w14:textId="77777777" w:rsidR="00DF251A" w:rsidRPr="00521670" w:rsidRDefault="00DF251A" w:rsidP="002466AA">
            <w:pPr>
              <w:pStyle w:val="Tabletext"/>
              <w:keepNext/>
              <w:jc w:val="right"/>
              <w:rPr>
                <w:szCs w:val="18"/>
                <w:lang w:val="ru-RU" w:eastAsia="en-GB"/>
              </w:rPr>
            </w:pPr>
            <w:r w:rsidRPr="00521670">
              <w:rPr>
                <w:szCs w:val="18"/>
                <w:lang w:val="ru-RU" w:eastAsia="en-GB"/>
              </w:rPr>
              <w:t>−</w:t>
            </w:r>
          </w:p>
        </w:tc>
        <w:tc>
          <w:tcPr>
            <w:tcW w:w="460" w:type="pct"/>
            <w:tcBorders>
              <w:top w:val="nil"/>
              <w:left w:val="nil"/>
              <w:bottom w:val="nil"/>
              <w:right w:val="nil"/>
            </w:tcBorders>
            <w:shd w:val="clear" w:color="auto" w:fill="auto"/>
            <w:noWrap/>
            <w:vAlign w:val="bottom"/>
          </w:tcPr>
          <w:p w14:paraId="044AAEAD" w14:textId="77777777" w:rsidR="00DF251A" w:rsidRPr="00521670" w:rsidRDefault="00DF251A" w:rsidP="002466AA">
            <w:pPr>
              <w:pStyle w:val="Tabletext"/>
              <w:keepNext/>
              <w:jc w:val="right"/>
              <w:rPr>
                <w:szCs w:val="18"/>
                <w:lang w:val="ru-RU" w:eastAsia="en-GB"/>
              </w:rPr>
            </w:pPr>
            <w:r w:rsidRPr="00521670">
              <w:rPr>
                <w:szCs w:val="18"/>
                <w:lang w:val="ru-RU"/>
              </w:rPr>
              <w:t>(10)</w:t>
            </w:r>
          </w:p>
        </w:tc>
        <w:tc>
          <w:tcPr>
            <w:tcW w:w="458" w:type="pct"/>
            <w:tcBorders>
              <w:top w:val="nil"/>
              <w:left w:val="nil"/>
              <w:bottom w:val="nil"/>
              <w:right w:val="nil"/>
            </w:tcBorders>
            <w:shd w:val="clear" w:color="auto" w:fill="auto"/>
            <w:noWrap/>
            <w:vAlign w:val="bottom"/>
          </w:tcPr>
          <w:p w14:paraId="401BE755" w14:textId="77777777" w:rsidR="00DF251A" w:rsidRPr="00521670" w:rsidRDefault="00DF251A" w:rsidP="002466AA">
            <w:pPr>
              <w:pStyle w:val="Tabletext"/>
              <w:keepNext/>
              <w:jc w:val="right"/>
              <w:rPr>
                <w:szCs w:val="18"/>
                <w:lang w:val="ru-RU" w:eastAsia="en-GB"/>
              </w:rPr>
            </w:pPr>
            <w:r w:rsidRPr="00521670">
              <w:rPr>
                <w:szCs w:val="18"/>
                <w:lang w:val="ru-RU" w:eastAsia="en-GB"/>
              </w:rPr>
              <w:t>−</w:t>
            </w:r>
          </w:p>
        </w:tc>
        <w:tc>
          <w:tcPr>
            <w:tcW w:w="540" w:type="pct"/>
            <w:tcBorders>
              <w:top w:val="nil"/>
              <w:left w:val="nil"/>
              <w:bottom w:val="nil"/>
              <w:right w:val="nil"/>
            </w:tcBorders>
            <w:shd w:val="clear" w:color="auto" w:fill="auto"/>
            <w:noWrap/>
            <w:vAlign w:val="bottom"/>
          </w:tcPr>
          <w:p w14:paraId="09868279" w14:textId="77777777" w:rsidR="00DF251A" w:rsidRPr="00521670" w:rsidRDefault="00DF251A" w:rsidP="002466AA">
            <w:pPr>
              <w:pStyle w:val="Tabletext"/>
              <w:keepNext/>
              <w:jc w:val="right"/>
              <w:rPr>
                <w:b/>
                <w:bCs/>
                <w:szCs w:val="18"/>
                <w:lang w:val="ru-RU" w:eastAsia="en-GB"/>
              </w:rPr>
            </w:pPr>
            <w:r w:rsidRPr="00521670">
              <w:rPr>
                <w:b/>
                <w:bCs/>
                <w:szCs w:val="18"/>
                <w:lang w:val="ru-RU"/>
              </w:rPr>
              <w:t>(21 010)</w:t>
            </w:r>
          </w:p>
        </w:tc>
        <w:tc>
          <w:tcPr>
            <w:tcW w:w="534" w:type="pct"/>
            <w:tcBorders>
              <w:top w:val="nil"/>
              <w:left w:val="nil"/>
              <w:bottom w:val="nil"/>
              <w:right w:val="nil"/>
            </w:tcBorders>
            <w:shd w:val="clear" w:color="auto" w:fill="auto"/>
            <w:noWrap/>
            <w:vAlign w:val="bottom"/>
          </w:tcPr>
          <w:p w14:paraId="0848003A" w14:textId="77777777" w:rsidR="00DF251A" w:rsidRPr="00521670" w:rsidRDefault="00DF251A" w:rsidP="002466AA">
            <w:pPr>
              <w:pStyle w:val="Tabletext"/>
              <w:keepNext/>
              <w:jc w:val="right"/>
              <w:rPr>
                <w:b/>
                <w:bCs/>
                <w:szCs w:val="18"/>
                <w:lang w:val="ru-RU" w:eastAsia="en-GB"/>
              </w:rPr>
            </w:pPr>
            <w:r w:rsidRPr="00521670">
              <w:rPr>
                <w:b/>
                <w:bCs/>
                <w:szCs w:val="18"/>
                <w:lang w:val="ru-RU" w:eastAsia="en-GB"/>
              </w:rPr>
              <w:t>−</w:t>
            </w:r>
          </w:p>
        </w:tc>
      </w:tr>
      <w:tr w:rsidR="00DF251A" w:rsidRPr="00521670" w14:paraId="5B91FFDC" w14:textId="77777777" w:rsidTr="00C24781">
        <w:trPr>
          <w:trHeight w:val="300"/>
        </w:trPr>
        <w:tc>
          <w:tcPr>
            <w:tcW w:w="1119" w:type="pct"/>
            <w:tcBorders>
              <w:top w:val="nil"/>
              <w:left w:val="nil"/>
              <w:bottom w:val="nil"/>
              <w:right w:val="nil"/>
            </w:tcBorders>
            <w:shd w:val="clear" w:color="000000" w:fill="auto"/>
            <w:vAlign w:val="bottom"/>
            <w:hideMark/>
          </w:tcPr>
          <w:p w14:paraId="46C8A639" w14:textId="77777777" w:rsidR="00DF251A" w:rsidRPr="00521670" w:rsidRDefault="00DF251A" w:rsidP="002466AA">
            <w:pPr>
              <w:pStyle w:val="Tabletext"/>
              <w:keepNext/>
              <w:rPr>
                <w:szCs w:val="18"/>
                <w:lang w:val="ru-RU" w:eastAsia="en-GB"/>
              </w:rPr>
            </w:pPr>
            <w:r w:rsidRPr="00521670">
              <w:rPr>
                <w:szCs w:val="18"/>
                <w:lang w:val="ru-RU"/>
              </w:rPr>
              <w:t>Переводы в другие категории</w:t>
            </w:r>
          </w:p>
        </w:tc>
        <w:tc>
          <w:tcPr>
            <w:tcW w:w="515" w:type="pct"/>
            <w:tcBorders>
              <w:top w:val="nil"/>
              <w:left w:val="nil"/>
              <w:bottom w:val="nil"/>
              <w:right w:val="nil"/>
            </w:tcBorders>
            <w:shd w:val="clear" w:color="000000" w:fill="auto"/>
            <w:noWrap/>
            <w:vAlign w:val="bottom"/>
          </w:tcPr>
          <w:p w14:paraId="1A9DA79C" w14:textId="77777777" w:rsidR="00DF251A" w:rsidRPr="00521670" w:rsidRDefault="00DF251A" w:rsidP="002466AA">
            <w:pPr>
              <w:pStyle w:val="Tabletext"/>
              <w:keepNext/>
              <w:jc w:val="right"/>
              <w:rPr>
                <w:szCs w:val="18"/>
                <w:lang w:val="ru-RU" w:eastAsia="en-GB"/>
              </w:rPr>
            </w:pPr>
            <w:r w:rsidRPr="00521670">
              <w:rPr>
                <w:szCs w:val="18"/>
                <w:lang w:val="ru-RU"/>
              </w:rPr>
              <w:t>(83)</w:t>
            </w:r>
          </w:p>
        </w:tc>
        <w:tc>
          <w:tcPr>
            <w:tcW w:w="457" w:type="pct"/>
            <w:tcBorders>
              <w:top w:val="nil"/>
              <w:left w:val="nil"/>
              <w:bottom w:val="nil"/>
              <w:right w:val="nil"/>
            </w:tcBorders>
            <w:shd w:val="clear" w:color="000000" w:fill="auto"/>
            <w:noWrap/>
            <w:vAlign w:val="bottom"/>
          </w:tcPr>
          <w:p w14:paraId="2D33C96A" w14:textId="77777777" w:rsidR="00DF251A" w:rsidRPr="00521670" w:rsidRDefault="00DF251A" w:rsidP="002466AA">
            <w:pPr>
              <w:pStyle w:val="Tabletext"/>
              <w:keepNext/>
              <w:jc w:val="right"/>
              <w:rPr>
                <w:szCs w:val="18"/>
                <w:lang w:val="ru-RU" w:eastAsia="en-GB"/>
              </w:rPr>
            </w:pPr>
            <w:r w:rsidRPr="00521670">
              <w:rPr>
                <w:szCs w:val="18"/>
                <w:lang w:val="ru-RU" w:eastAsia="en-GB"/>
              </w:rPr>
              <w:t>(30)</w:t>
            </w:r>
          </w:p>
        </w:tc>
        <w:tc>
          <w:tcPr>
            <w:tcW w:w="460" w:type="pct"/>
            <w:tcBorders>
              <w:top w:val="nil"/>
              <w:left w:val="nil"/>
              <w:bottom w:val="nil"/>
              <w:right w:val="nil"/>
            </w:tcBorders>
            <w:shd w:val="clear" w:color="auto" w:fill="auto"/>
            <w:noWrap/>
            <w:vAlign w:val="bottom"/>
          </w:tcPr>
          <w:p w14:paraId="36C2B4C3" w14:textId="77777777" w:rsidR="00DF251A" w:rsidRPr="00521670" w:rsidRDefault="00DF251A" w:rsidP="002466AA">
            <w:pPr>
              <w:pStyle w:val="Tabletext"/>
              <w:keepNext/>
              <w:jc w:val="right"/>
              <w:rPr>
                <w:szCs w:val="18"/>
                <w:lang w:val="ru-RU" w:eastAsia="en-GB"/>
              </w:rPr>
            </w:pPr>
            <w:r w:rsidRPr="00521670">
              <w:rPr>
                <w:szCs w:val="18"/>
                <w:lang w:val="ru-RU"/>
              </w:rPr>
              <w:t>(1 504)</w:t>
            </w:r>
          </w:p>
        </w:tc>
        <w:tc>
          <w:tcPr>
            <w:tcW w:w="457" w:type="pct"/>
            <w:tcBorders>
              <w:top w:val="nil"/>
              <w:left w:val="nil"/>
              <w:bottom w:val="nil"/>
              <w:right w:val="nil"/>
            </w:tcBorders>
            <w:shd w:val="clear" w:color="auto" w:fill="auto"/>
            <w:noWrap/>
            <w:vAlign w:val="bottom"/>
          </w:tcPr>
          <w:p w14:paraId="669D5ABB" w14:textId="77777777" w:rsidR="00DF251A" w:rsidRPr="00521670" w:rsidRDefault="00DF251A" w:rsidP="002466AA">
            <w:pPr>
              <w:pStyle w:val="Tabletext"/>
              <w:keepNext/>
              <w:jc w:val="right"/>
              <w:rPr>
                <w:szCs w:val="18"/>
                <w:lang w:val="ru-RU" w:eastAsia="en-GB"/>
              </w:rPr>
            </w:pPr>
            <w:r w:rsidRPr="00521670">
              <w:rPr>
                <w:szCs w:val="18"/>
                <w:lang w:val="ru-RU" w:eastAsia="en-GB"/>
              </w:rPr>
              <w:t>(25)</w:t>
            </w:r>
          </w:p>
        </w:tc>
        <w:tc>
          <w:tcPr>
            <w:tcW w:w="460" w:type="pct"/>
            <w:tcBorders>
              <w:top w:val="nil"/>
              <w:left w:val="nil"/>
              <w:bottom w:val="nil"/>
              <w:right w:val="nil"/>
            </w:tcBorders>
            <w:shd w:val="clear" w:color="auto" w:fill="auto"/>
            <w:noWrap/>
            <w:vAlign w:val="bottom"/>
          </w:tcPr>
          <w:p w14:paraId="3DAE931F" w14:textId="77777777" w:rsidR="00DF251A" w:rsidRPr="00521670" w:rsidRDefault="00DF251A" w:rsidP="002466AA">
            <w:pPr>
              <w:pStyle w:val="Tabletext"/>
              <w:keepNext/>
              <w:jc w:val="right"/>
              <w:rPr>
                <w:szCs w:val="18"/>
                <w:lang w:val="ru-RU" w:eastAsia="en-GB"/>
              </w:rPr>
            </w:pPr>
            <w:r w:rsidRPr="00521670">
              <w:rPr>
                <w:szCs w:val="18"/>
                <w:lang w:val="ru-RU"/>
              </w:rPr>
              <w:t>(2 841)</w:t>
            </w:r>
          </w:p>
        </w:tc>
        <w:tc>
          <w:tcPr>
            <w:tcW w:w="458" w:type="pct"/>
            <w:tcBorders>
              <w:top w:val="nil"/>
              <w:left w:val="nil"/>
              <w:bottom w:val="nil"/>
              <w:right w:val="nil"/>
            </w:tcBorders>
            <w:shd w:val="clear" w:color="auto" w:fill="auto"/>
            <w:noWrap/>
            <w:vAlign w:val="bottom"/>
          </w:tcPr>
          <w:p w14:paraId="6D4EE845" w14:textId="77777777" w:rsidR="00DF251A" w:rsidRPr="00521670" w:rsidRDefault="00DF251A" w:rsidP="002466AA">
            <w:pPr>
              <w:pStyle w:val="Tabletext"/>
              <w:keepNext/>
              <w:jc w:val="right"/>
              <w:rPr>
                <w:szCs w:val="18"/>
                <w:lang w:val="ru-RU" w:eastAsia="en-GB"/>
              </w:rPr>
            </w:pPr>
            <w:r w:rsidRPr="00521670">
              <w:rPr>
                <w:szCs w:val="18"/>
                <w:lang w:val="ru-RU" w:eastAsia="en-GB"/>
              </w:rPr>
              <w:t>(308)</w:t>
            </w:r>
          </w:p>
        </w:tc>
        <w:tc>
          <w:tcPr>
            <w:tcW w:w="540" w:type="pct"/>
            <w:tcBorders>
              <w:top w:val="nil"/>
              <w:left w:val="nil"/>
              <w:bottom w:val="nil"/>
              <w:right w:val="nil"/>
            </w:tcBorders>
            <w:shd w:val="clear" w:color="auto" w:fill="auto"/>
            <w:noWrap/>
            <w:vAlign w:val="bottom"/>
          </w:tcPr>
          <w:p w14:paraId="0731A15F" w14:textId="77777777" w:rsidR="00DF251A" w:rsidRPr="00521670" w:rsidRDefault="00DF251A" w:rsidP="002466AA">
            <w:pPr>
              <w:pStyle w:val="Tabletext"/>
              <w:keepNext/>
              <w:jc w:val="right"/>
              <w:rPr>
                <w:b/>
                <w:bCs/>
                <w:szCs w:val="18"/>
                <w:lang w:val="ru-RU" w:eastAsia="en-GB"/>
              </w:rPr>
            </w:pPr>
            <w:r w:rsidRPr="00521670">
              <w:rPr>
                <w:b/>
                <w:bCs/>
                <w:szCs w:val="18"/>
                <w:lang w:val="ru-RU"/>
              </w:rPr>
              <w:t>(4 428)</w:t>
            </w:r>
          </w:p>
        </w:tc>
        <w:tc>
          <w:tcPr>
            <w:tcW w:w="534" w:type="pct"/>
            <w:tcBorders>
              <w:top w:val="nil"/>
              <w:left w:val="nil"/>
              <w:bottom w:val="nil"/>
              <w:right w:val="nil"/>
            </w:tcBorders>
            <w:shd w:val="clear" w:color="auto" w:fill="auto"/>
            <w:noWrap/>
            <w:vAlign w:val="bottom"/>
          </w:tcPr>
          <w:p w14:paraId="16086832" w14:textId="77777777" w:rsidR="00DF251A" w:rsidRPr="00521670" w:rsidRDefault="00DF251A" w:rsidP="002466AA">
            <w:pPr>
              <w:pStyle w:val="Tabletext"/>
              <w:keepNext/>
              <w:jc w:val="right"/>
              <w:rPr>
                <w:b/>
                <w:bCs/>
                <w:szCs w:val="18"/>
                <w:lang w:val="ru-RU" w:eastAsia="en-GB"/>
              </w:rPr>
            </w:pPr>
            <w:r w:rsidRPr="00521670">
              <w:rPr>
                <w:b/>
                <w:bCs/>
                <w:szCs w:val="18"/>
                <w:lang w:val="ru-RU" w:eastAsia="en-GB"/>
              </w:rPr>
              <w:t>(363)</w:t>
            </w:r>
          </w:p>
        </w:tc>
      </w:tr>
      <w:tr w:rsidR="00DF251A" w:rsidRPr="00521670" w14:paraId="29F1AEE9" w14:textId="77777777" w:rsidTr="00C24781">
        <w:trPr>
          <w:trHeight w:val="713"/>
        </w:trPr>
        <w:tc>
          <w:tcPr>
            <w:tcW w:w="1119" w:type="pct"/>
            <w:tcBorders>
              <w:top w:val="nil"/>
              <w:left w:val="nil"/>
              <w:bottom w:val="nil"/>
              <w:right w:val="nil"/>
            </w:tcBorders>
            <w:shd w:val="clear" w:color="000000" w:fill="0070C0"/>
            <w:hideMark/>
          </w:tcPr>
          <w:p w14:paraId="0B116F85" w14:textId="77777777" w:rsidR="00DF251A" w:rsidRPr="00521670" w:rsidRDefault="00DF251A" w:rsidP="002466AA">
            <w:pPr>
              <w:pStyle w:val="Tabletext"/>
              <w:rPr>
                <w:b/>
                <w:bCs/>
                <w:szCs w:val="18"/>
                <w:lang w:val="ru-RU" w:eastAsia="en-GB"/>
              </w:rPr>
            </w:pPr>
            <w:r w:rsidRPr="00521670">
              <w:rPr>
                <w:b/>
                <w:bCs/>
                <w:szCs w:val="18"/>
                <w:lang w:val="ru-RU"/>
              </w:rPr>
              <w:t>Чистая балансовая стоимость на 31 декабря</w:t>
            </w:r>
          </w:p>
        </w:tc>
        <w:tc>
          <w:tcPr>
            <w:tcW w:w="515" w:type="pct"/>
            <w:tcBorders>
              <w:top w:val="nil"/>
              <w:left w:val="nil"/>
              <w:bottom w:val="nil"/>
              <w:right w:val="nil"/>
            </w:tcBorders>
            <w:shd w:val="clear" w:color="000000" w:fill="0070C0"/>
            <w:noWrap/>
            <w:vAlign w:val="bottom"/>
          </w:tcPr>
          <w:p w14:paraId="36EFF791" w14:textId="77777777" w:rsidR="00DF251A" w:rsidRPr="00521670" w:rsidRDefault="00DF251A" w:rsidP="002466AA">
            <w:pPr>
              <w:pStyle w:val="Tabletext"/>
              <w:jc w:val="right"/>
              <w:rPr>
                <w:b/>
                <w:bCs/>
                <w:szCs w:val="18"/>
                <w:lang w:val="ru-RU" w:eastAsia="en-GB"/>
              </w:rPr>
            </w:pPr>
            <w:r w:rsidRPr="00521670">
              <w:rPr>
                <w:b/>
                <w:bCs/>
                <w:szCs w:val="18"/>
                <w:lang w:val="ru-RU" w:eastAsia="en-GB"/>
              </w:rPr>
              <w:t>239</w:t>
            </w:r>
          </w:p>
        </w:tc>
        <w:tc>
          <w:tcPr>
            <w:tcW w:w="457" w:type="pct"/>
            <w:tcBorders>
              <w:top w:val="nil"/>
              <w:left w:val="nil"/>
              <w:bottom w:val="nil"/>
              <w:right w:val="nil"/>
            </w:tcBorders>
            <w:shd w:val="clear" w:color="000000" w:fill="0070C0"/>
            <w:noWrap/>
            <w:vAlign w:val="bottom"/>
          </w:tcPr>
          <w:p w14:paraId="2EF93CA2" w14:textId="77777777" w:rsidR="00DF251A" w:rsidRPr="00521670" w:rsidRDefault="00DF251A" w:rsidP="002466AA">
            <w:pPr>
              <w:pStyle w:val="Tabletext"/>
              <w:jc w:val="right"/>
              <w:rPr>
                <w:b/>
                <w:bCs/>
                <w:szCs w:val="18"/>
                <w:lang w:val="ru-RU" w:eastAsia="en-GB"/>
              </w:rPr>
            </w:pPr>
            <w:r w:rsidRPr="00521670">
              <w:rPr>
                <w:b/>
                <w:bCs/>
                <w:szCs w:val="18"/>
                <w:lang w:val="ru-RU" w:eastAsia="en-GB"/>
              </w:rPr>
              <w:t>19 735</w:t>
            </w:r>
          </w:p>
        </w:tc>
        <w:tc>
          <w:tcPr>
            <w:tcW w:w="460" w:type="pct"/>
            <w:tcBorders>
              <w:top w:val="nil"/>
              <w:left w:val="nil"/>
              <w:bottom w:val="nil"/>
              <w:right w:val="nil"/>
            </w:tcBorders>
            <w:shd w:val="clear" w:color="000000" w:fill="0070C0"/>
            <w:noWrap/>
            <w:vAlign w:val="bottom"/>
          </w:tcPr>
          <w:p w14:paraId="2A97ED37" w14:textId="77777777" w:rsidR="00DF251A" w:rsidRPr="00521670" w:rsidRDefault="00DF251A" w:rsidP="002466AA">
            <w:pPr>
              <w:pStyle w:val="Tabletext"/>
              <w:jc w:val="right"/>
              <w:rPr>
                <w:b/>
                <w:bCs/>
                <w:szCs w:val="18"/>
                <w:lang w:val="ru-RU" w:eastAsia="en-GB"/>
              </w:rPr>
            </w:pPr>
            <w:r w:rsidRPr="00521670">
              <w:rPr>
                <w:b/>
                <w:bCs/>
                <w:szCs w:val="18"/>
                <w:lang w:val="ru-RU" w:eastAsia="en-GB"/>
              </w:rPr>
              <w:t>−</w:t>
            </w:r>
          </w:p>
        </w:tc>
        <w:tc>
          <w:tcPr>
            <w:tcW w:w="457" w:type="pct"/>
            <w:tcBorders>
              <w:top w:val="nil"/>
              <w:left w:val="nil"/>
              <w:bottom w:val="nil"/>
              <w:right w:val="nil"/>
            </w:tcBorders>
            <w:shd w:val="clear" w:color="000000" w:fill="0070C0"/>
            <w:noWrap/>
            <w:vAlign w:val="bottom"/>
          </w:tcPr>
          <w:p w14:paraId="21743312" w14:textId="77777777" w:rsidR="00DF251A" w:rsidRPr="00521670" w:rsidRDefault="00DF251A" w:rsidP="002466AA">
            <w:pPr>
              <w:pStyle w:val="Tabletext"/>
              <w:jc w:val="right"/>
              <w:rPr>
                <w:b/>
                <w:bCs/>
                <w:szCs w:val="18"/>
                <w:lang w:val="ru-RU" w:eastAsia="en-GB"/>
              </w:rPr>
            </w:pPr>
            <w:r w:rsidRPr="00521670">
              <w:rPr>
                <w:b/>
                <w:bCs/>
                <w:szCs w:val="18"/>
                <w:lang w:val="ru-RU" w:eastAsia="en-GB"/>
              </w:rPr>
              <w:t>1 518</w:t>
            </w:r>
          </w:p>
        </w:tc>
        <w:tc>
          <w:tcPr>
            <w:tcW w:w="460" w:type="pct"/>
            <w:tcBorders>
              <w:top w:val="nil"/>
              <w:left w:val="nil"/>
              <w:bottom w:val="nil"/>
              <w:right w:val="nil"/>
            </w:tcBorders>
            <w:shd w:val="clear" w:color="000000" w:fill="0070C0"/>
            <w:noWrap/>
            <w:vAlign w:val="bottom"/>
          </w:tcPr>
          <w:p w14:paraId="01D7F616" w14:textId="77777777" w:rsidR="00DF251A" w:rsidRPr="00521670" w:rsidRDefault="00DF251A" w:rsidP="002466AA">
            <w:pPr>
              <w:pStyle w:val="Tabletext"/>
              <w:jc w:val="right"/>
              <w:rPr>
                <w:b/>
                <w:bCs/>
                <w:szCs w:val="18"/>
                <w:lang w:val="ru-RU" w:eastAsia="en-GB"/>
              </w:rPr>
            </w:pPr>
            <w:r w:rsidRPr="00521670">
              <w:rPr>
                <w:b/>
                <w:bCs/>
                <w:szCs w:val="18"/>
                <w:lang w:val="ru-RU" w:eastAsia="en-GB"/>
              </w:rPr>
              <w:t>4 353</w:t>
            </w:r>
          </w:p>
        </w:tc>
        <w:tc>
          <w:tcPr>
            <w:tcW w:w="458" w:type="pct"/>
            <w:tcBorders>
              <w:top w:val="nil"/>
              <w:left w:val="nil"/>
              <w:bottom w:val="nil"/>
              <w:right w:val="nil"/>
            </w:tcBorders>
            <w:shd w:val="clear" w:color="000000" w:fill="0070C0"/>
            <w:noWrap/>
            <w:vAlign w:val="bottom"/>
          </w:tcPr>
          <w:p w14:paraId="5508547A" w14:textId="77777777" w:rsidR="00DF251A" w:rsidRPr="00521670" w:rsidRDefault="00DF251A" w:rsidP="002466AA">
            <w:pPr>
              <w:pStyle w:val="Tabletext"/>
              <w:jc w:val="right"/>
              <w:rPr>
                <w:b/>
                <w:bCs/>
                <w:szCs w:val="18"/>
                <w:lang w:val="ru-RU" w:eastAsia="en-GB"/>
              </w:rPr>
            </w:pPr>
            <w:r w:rsidRPr="00521670">
              <w:rPr>
                <w:b/>
                <w:bCs/>
                <w:szCs w:val="18"/>
                <w:lang w:val="ru-RU" w:eastAsia="en-GB"/>
              </w:rPr>
              <w:t>5 344</w:t>
            </w:r>
          </w:p>
        </w:tc>
        <w:tc>
          <w:tcPr>
            <w:tcW w:w="540" w:type="pct"/>
            <w:tcBorders>
              <w:top w:val="nil"/>
              <w:left w:val="nil"/>
              <w:bottom w:val="nil"/>
              <w:right w:val="nil"/>
            </w:tcBorders>
            <w:shd w:val="clear" w:color="000000" w:fill="0070C0"/>
            <w:noWrap/>
            <w:vAlign w:val="bottom"/>
          </w:tcPr>
          <w:p w14:paraId="3B9DA5CA" w14:textId="77777777" w:rsidR="00DF251A" w:rsidRPr="00521670" w:rsidRDefault="00DF251A" w:rsidP="002466AA">
            <w:pPr>
              <w:pStyle w:val="Tabletext"/>
              <w:jc w:val="right"/>
              <w:rPr>
                <w:b/>
                <w:bCs/>
                <w:szCs w:val="18"/>
                <w:lang w:val="ru-RU" w:eastAsia="en-GB"/>
              </w:rPr>
            </w:pPr>
            <w:r w:rsidRPr="00521670">
              <w:rPr>
                <w:b/>
                <w:bCs/>
                <w:szCs w:val="18"/>
                <w:lang w:val="ru-RU" w:eastAsia="en-GB"/>
              </w:rPr>
              <w:t>4 592</w:t>
            </w:r>
          </w:p>
        </w:tc>
        <w:tc>
          <w:tcPr>
            <w:tcW w:w="534" w:type="pct"/>
            <w:tcBorders>
              <w:top w:val="nil"/>
              <w:left w:val="nil"/>
              <w:bottom w:val="nil"/>
              <w:right w:val="nil"/>
            </w:tcBorders>
            <w:shd w:val="clear" w:color="000000" w:fill="0070C0"/>
            <w:noWrap/>
            <w:vAlign w:val="bottom"/>
          </w:tcPr>
          <w:p w14:paraId="29EDFC38" w14:textId="77777777" w:rsidR="00DF251A" w:rsidRPr="00521670" w:rsidRDefault="00DF251A" w:rsidP="002466AA">
            <w:pPr>
              <w:pStyle w:val="Tabletext"/>
              <w:jc w:val="right"/>
              <w:rPr>
                <w:b/>
                <w:bCs/>
                <w:szCs w:val="18"/>
                <w:lang w:val="ru-RU" w:eastAsia="en-GB"/>
              </w:rPr>
            </w:pPr>
            <w:r w:rsidRPr="00521670">
              <w:rPr>
                <w:b/>
                <w:bCs/>
                <w:szCs w:val="18"/>
                <w:lang w:val="ru-RU" w:eastAsia="en-GB"/>
              </w:rPr>
              <w:t>26 597</w:t>
            </w:r>
          </w:p>
        </w:tc>
      </w:tr>
    </w:tbl>
    <w:p w14:paraId="37CFEDD2" w14:textId="77777777" w:rsidR="00DF251A" w:rsidRPr="00521670" w:rsidRDefault="00DF251A" w:rsidP="000413F4">
      <w:pPr>
        <w:pStyle w:val="Heading5"/>
        <w:rPr>
          <w:b/>
          <w:bCs/>
          <w:color w:val="4F81BD" w:themeColor="accent1"/>
          <w:lang w:val="ru-RU"/>
        </w:rPr>
      </w:pPr>
      <w:bookmarkStart w:id="322" w:name="_Toc168578474"/>
      <w:bookmarkStart w:id="323" w:name="_Toc180681819"/>
      <w:bookmarkStart w:id="324" w:name="_Toc200469537"/>
      <w:bookmarkStart w:id="325" w:name="_Toc635167924"/>
      <w:bookmarkStart w:id="326" w:name="_Toc164845560"/>
      <w:r w:rsidRPr="00521670">
        <w:rPr>
          <w:b/>
          <w:bCs/>
          <w:color w:val="4F81BD" w:themeColor="accent1"/>
          <w:lang w:val="ru-RU"/>
        </w:rPr>
        <w:t>Примечание 13</w:t>
      </w:r>
      <w:r w:rsidRPr="00521670">
        <w:rPr>
          <w:b/>
          <w:bCs/>
          <w:color w:val="4F81BD" w:themeColor="accent1"/>
          <w:lang w:val="ru-RU"/>
        </w:rPr>
        <w:tab/>
      </w:r>
      <w:hyperlink r:id="rId27" w:history="1">
        <w:r w:rsidRPr="00521670">
          <w:rPr>
            <w:b/>
            <w:bCs/>
            <w:color w:val="4F81BD" w:themeColor="accent1"/>
            <w:lang w:val="ru-RU"/>
          </w:rPr>
          <w:t>Кредиторская задолженность</w:t>
        </w:r>
        <w:bookmarkEnd w:id="322"/>
        <w:bookmarkEnd w:id="323"/>
        <w:bookmarkEnd w:id="324"/>
      </w:hyperlink>
      <w:bookmarkEnd w:id="325"/>
      <w:bookmarkEnd w:id="326"/>
    </w:p>
    <w:p w14:paraId="3EE36E93" w14:textId="77777777" w:rsidR="00DF251A" w:rsidRPr="00521670" w:rsidRDefault="00DF251A" w:rsidP="000413F4">
      <w:pPr>
        <w:rPr>
          <w:lang w:val="ru-RU"/>
        </w:rPr>
      </w:pPr>
      <w:r w:rsidRPr="00521670">
        <w:rPr>
          <w:lang w:val="ru-RU"/>
        </w:rPr>
        <w:t>Кредиторская задолженность поставщикам связана в основном с неоплаченными счетами-фактурами, расчетами с персоналом, а также с авансовыми платежами по авизо внутренних расчетов (АВР) в ожидании урегулирования сумм с ПРООН.</w:t>
      </w:r>
    </w:p>
    <w:p w14:paraId="3615DCB6" w14:textId="49B0B134" w:rsidR="00DF251A" w:rsidRPr="00521670" w:rsidRDefault="00DF251A" w:rsidP="000413F4">
      <w:pPr>
        <w:spacing w:after="120"/>
        <w:rPr>
          <w:lang w:val="ru-RU"/>
        </w:rPr>
      </w:pPr>
      <w:r w:rsidRPr="00521670">
        <w:rPr>
          <w:lang w:val="ru-RU"/>
        </w:rPr>
        <w:t>Авансовые платежи поступают от клиентов за обработку заявок на регистрацию спутниковых сетей, а также за оплату будущих публикаций или счетов-фактур. Эти суммы могут возмещаться бенефициарам или использоваться для оплаты будущих счетов-фактур за обработку заявок на регистрацию спутниковых сетей и за публикации.</w:t>
      </w:r>
    </w:p>
    <w:p w14:paraId="7FC10DC0" w14:textId="77777777" w:rsidR="00DF251A" w:rsidRPr="00521670" w:rsidRDefault="00DF251A" w:rsidP="000413F4">
      <w:pPr>
        <w:spacing w:after="120"/>
        <w:rPr>
          <w:lang w:val="ru-RU"/>
        </w:rPr>
      </w:pPr>
      <w:r w:rsidRPr="00521670">
        <w:rPr>
          <w:lang w:val="ru-RU"/>
        </w:rPr>
        <w:t xml:space="preserve">Авансы за конференции </w:t>
      </w:r>
      <w:r w:rsidRPr="00521670">
        <w:rPr>
          <w:rFonts w:cs="Calibri"/>
          <w:lang w:val="ru-RU"/>
        </w:rPr>
        <w:t>–</w:t>
      </w:r>
      <w:r w:rsidRPr="00521670">
        <w:rPr>
          <w:lang w:val="ru-RU"/>
        </w:rPr>
        <w:t xml:space="preserve"> это средства, переведенные на счета Союза принимающими странами, для организации таких мероприятий, как всемирные конференции. По завершении мероприятий </w:t>
      </w:r>
      <w:r w:rsidRPr="00521670">
        <w:rPr>
          <w:color w:val="000000"/>
          <w:lang w:val="ru-RU"/>
        </w:rPr>
        <w:t>остаток средств, как правило, возвращается</w:t>
      </w:r>
      <w:r w:rsidRPr="00521670">
        <w:rPr>
          <w:lang w:val="ru-RU"/>
        </w:rPr>
        <w:t xml:space="preserve"> принимающим странам в соответствии с подписанными соглашениями.</w:t>
      </w:r>
    </w:p>
    <w:tbl>
      <w:tblPr>
        <w:tblW w:w="5000" w:type="pct"/>
        <w:jc w:val="center"/>
        <w:tblLook w:val="04A0" w:firstRow="1" w:lastRow="0" w:firstColumn="1" w:lastColumn="0" w:noHBand="0" w:noVBand="1"/>
      </w:tblPr>
      <w:tblGrid>
        <w:gridCol w:w="5189"/>
        <w:gridCol w:w="1941"/>
        <w:gridCol w:w="1941"/>
      </w:tblGrid>
      <w:tr w:rsidR="00DF251A" w:rsidRPr="00521670" w14:paraId="057FA95C" w14:textId="77777777" w:rsidTr="00835292">
        <w:trPr>
          <w:trHeight w:val="419"/>
          <w:jc w:val="center"/>
        </w:trPr>
        <w:tc>
          <w:tcPr>
            <w:tcW w:w="2860" w:type="pct"/>
            <w:tcBorders>
              <w:top w:val="nil"/>
              <w:left w:val="nil"/>
              <w:bottom w:val="nil"/>
              <w:right w:val="nil"/>
            </w:tcBorders>
            <w:shd w:val="clear" w:color="000000" w:fill="0070C0"/>
            <w:noWrap/>
            <w:vAlign w:val="center"/>
            <w:hideMark/>
          </w:tcPr>
          <w:p w14:paraId="2C398493" w14:textId="77777777" w:rsidR="00DF251A" w:rsidRPr="00521670" w:rsidRDefault="00DF251A" w:rsidP="00835292">
            <w:pPr>
              <w:pStyle w:val="Tablehead"/>
              <w:rPr>
                <w:szCs w:val="18"/>
                <w:lang w:val="ru-RU" w:eastAsia="en-GB"/>
              </w:rPr>
            </w:pPr>
            <w:r w:rsidRPr="00521670">
              <w:rPr>
                <w:szCs w:val="18"/>
                <w:lang w:val="ru-RU" w:eastAsia="en-GB"/>
              </w:rPr>
              <w:t xml:space="preserve">Описание (тыс. шв. фр.) </w:t>
            </w:r>
          </w:p>
        </w:tc>
        <w:tc>
          <w:tcPr>
            <w:tcW w:w="1070" w:type="pct"/>
            <w:tcBorders>
              <w:top w:val="nil"/>
              <w:left w:val="nil"/>
              <w:bottom w:val="nil"/>
              <w:right w:val="nil"/>
            </w:tcBorders>
            <w:shd w:val="clear" w:color="000000" w:fill="0070C0"/>
            <w:vAlign w:val="center"/>
            <w:hideMark/>
          </w:tcPr>
          <w:p w14:paraId="359FBEC4" w14:textId="77777777" w:rsidR="00DF251A" w:rsidRPr="00521670" w:rsidRDefault="00DF251A" w:rsidP="00AB7557">
            <w:pPr>
              <w:pStyle w:val="Tablehead"/>
              <w:jc w:val="right"/>
              <w:rPr>
                <w:szCs w:val="18"/>
                <w:lang w:val="ru-RU" w:eastAsia="en-GB"/>
              </w:rPr>
            </w:pPr>
            <w:r w:rsidRPr="00521670">
              <w:rPr>
                <w:szCs w:val="18"/>
                <w:lang w:val="ru-RU" w:eastAsia="en-GB"/>
              </w:rPr>
              <w:t>31 декабря 2024 г.</w:t>
            </w:r>
          </w:p>
        </w:tc>
        <w:tc>
          <w:tcPr>
            <w:tcW w:w="1070" w:type="pct"/>
            <w:tcBorders>
              <w:top w:val="nil"/>
              <w:left w:val="nil"/>
              <w:bottom w:val="nil"/>
              <w:right w:val="nil"/>
            </w:tcBorders>
            <w:shd w:val="clear" w:color="000000" w:fill="0070C0"/>
            <w:vAlign w:val="center"/>
            <w:hideMark/>
          </w:tcPr>
          <w:p w14:paraId="4C6623FE" w14:textId="77777777" w:rsidR="00DF251A" w:rsidRPr="00521670" w:rsidRDefault="00DF251A" w:rsidP="00AB7557">
            <w:pPr>
              <w:pStyle w:val="Tablehead"/>
              <w:jc w:val="right"/>
              <w:rPr>
                <w:szCs w:val="18"/>
                <w:lang w:val="ru-RU" w:eastAsia="en-GB"/>
              </w:rPr>
            </w:pPr>
            <w:r w:rsidRPr="00521670">
              <w:rPr>
                <w:szCs w:val="18"/>
                <w:lang w:val="ru-RU" w:eastAsia="en-GB"/>
              </w:rPr>
              <w:t>31 декабря 2023 г.</w:t>
            </w:r>
          </w:p>
        </w:tc>
      </w:tr>
      <w:tr w:rsidR="00DF251A" w:rsidRPr="00521670" w14:paraId="3A960CF7" w14:textId="77777777" w:rsidTr="00333F56">
        <w:trPr>
          <w:trHeight w:val="260"/>
          <w:jc w:val="center"/>
        </w:trPr>
        <w:tc>
          <w:tcPr>
            <w:tcW w:w="2860" w:type="pct"/>
            <w:tcBorders>
              <w:top w:val="nil"/>
              <w:left w:val="nil"/>
              <w:bottom w:val="nil"/>
              <w:right w:val="nil"/>
            </w:tcBorders>
            <w:shd w:val="clear" w:color="auto" w:fill="auto"/>
            <w:noWrap/>
            <w:vAlign w:val="bottom"/>
            <w:hideMark/>
          </w:tcPr>
          <w:p w14:paraId="0D90D8FC" w14:textId="77777777" w:rsidR="00DF251A" w:rsidRPr="00521670" w:rsidRDefault="00DF251A" w:rsidP="00333F56">
            <w:pPr>
              <w:pStyle w:val="Tabletext"/>
              <w:keepNext/>
              <w:rPr>
                <w:szCs w:val="18"/>
                <w:lang w:val="ru-RU" w:eastAsia="en-GB"/>
              </w:rPr>
            </w:pPr>
            <w:r w:rsidRPr="00521670">
              <w:rPr>
                <w:szCs w:val="18"/>
                <w:lang w:val="ru-RU"/>
              </w:rPr>
              <w:t>Поставщики</w:t>
            </w:r>
          </w:p>
        </w:tc>
        <w:tc>
          <w:tcPr>
            <w:tcW w:w="1070" w:type="pct"/>
            <w:tcBorders>
              <w:top w:val="nil"/>
              <w:left w:val="nil"/>
              <w:bottom w:val="nil"/>
              <w:right w:val="nil"/>
            </w:tcBorders>
            <w:shd w:val="clear" w:color="auto" w:fill="auto"/>
            <w:noWrap/>
            <w:vAlign w:val="bottom"/>
            <w:hideMark/>
          </w:tcPr>
          <w:p w14:paraId="08E0F59F" w14:textId="77777777" w:rsidR="00DF251A" w:rsidRPr="00521670" w:rsidRDefault="00DF251A" w:rsidP="00333F56">
            <w:pPr>
              <w:pStyle w:val="Tabletext"/>
              <w:keepNext/>
              <w:jc w:val="right"/>
              <w:rPr>
                <w:szCs w:val="18"/>
                <w:lang w:val="ru-RU" w:eastAsia="en-GB"/>
              </w:rPr>
            </w:pPr>
            <w:r w:rsidRPr="00521670">
              <w:rPr>
                <w:szCs w:val="18"/>
                <w:lang w:val="ru-RU"/>
              </w:rPr>
              <w:t>2 240</w:t>
            </w:r>
          </w:p>
        </w:tc>
        <w:tc>
          <w:tcPr>
            <w:tcW w:w="1070" w:type="pct"/>
            <w:tcBorders>
              <w:top w:val="nil"/>
              <w:left w:val="nil"/>
              <w:bottom w:val="nil"/>
              <w:right w:val="nil"/>
            </w:tcBorders>
            <w:shd w:val="clear" w:color="auto" w:fill="auto"/>
            <w:noWrap/>
            <w:vAlign w:val="bottom"/>
            <w:hideMark/>
          </w:tcPr>
          <w:p w14:paraId="393B7F79" w14:textId="77777777" w:rsidR="00DF251A" w:rsidRPr="00521670" w:rsidRDefault="00DF251A" w:rsidP="00333F56">
            <w:pPr>
              <w:pStyle w:val="Tabletext"/>
              <w:keepNext/>
              <w:jc w:val="right"/>
              <w:rPr>
                <w:szCs w:val="18"/>
                <w:lang w:val="ru-RU" w:eastAsia="en-GB"/>
              </w:rPr>
            </w:pPr>
            <w:r w:rsidRPr="00521670">
              <w:rPr>
                <w:szCs w:val="18"/>
                <w:lang w:val="ru-RU"/>
              </w:rPr>
              <w:t>3 911</w:t>
            </w:r>
          </w:p>
        </w:tc>
      </w:tr>
      <w:tr w:rsidR="00DF251A" w:rsidRPr="00521670" w14:paraId="113F4D6D" w14:textId="77777777" w:rsidTr="00333F56">
        <w:trPr>
          <w:trHeight w:val="260"/>
          <w:jc w:val="center"/>
        </w:trPr>
        <w:tc>
          <w:tcPr>
            <w:tcW w:w="2860" w:type="pct"/>
            <w:tcBorders>
              <w:top w:val="nil"/>
              <w:left w:val="nil"/>
              <w:bottom w:val="nil"/>
              <w:right w:val="nil"/>
            </w:tcBorders>
            <w:shd w:val="clear" w:color="auto" w:fill="auto"/>
            <w:noWrap/>
            <w:vAlign w:val="center"/>
            <w:hideMark/>
          </w:tcPr>
          <w:p w14:paraId="297C2890" w14:textId="77777777" w:rsidR="00DF251A" w:rsidRPr="00521670" w:rsidRDefault="00DF251A" w:rsidP="00333F56">
            <w:pPr>
              <w:pStyle w:val="Tabletext"/>
              <w:keepNext/>
              <w:rPr>
                <w:szCs w:val="18"/>
                <w:lang w:val="ru-RU" w:eastAsia="en-GB"/>
              </w:rPr>
            </w:pPr>
            <w:r w:rsidRPr="00521670">
              <w:rPr>
                <w:szCs w:val="18"/>
                <w:lang w:val="ru-RU"/>
              </w:rPr>
              <w:t>Авансы, полученные от клиентов</w:t>
            </w:r>
          </w:p>
        </w:tc>
        <w:tc>
          <w:tcPr>
            <w:tcW w:w="1070" w:type="pct"/>
            <w:tcBorders>
              <w:top w:val="nil"/>
              <w:left w:val="nil"/>
              <w:bottom w:val="nil"/>
              <w:right w:val="nil"/>
            </w:tcBorders>
            <w:shd w:val="clear" w:color="auto" w:fill="auto"/>
            <w:noWrap/>
            <w:vAlign w:val="bottom"/>
            <w:hideMark/>
          </w:tcPr>
          <w:p w14:paraId="1B2CE512" w14:textId="77777777" w:rsidR="00DF251A" w:rsidRPr="00521670" w:rsidRDefault="00DF251A" w:rsidP="00333F56">
            <w:pPr>
              <w:pStyle w:val="Tabletext"/>
              <w:keepNext/>
              <w:jc w:val="right"/>
              <w:rPr>
                <w:szCs w:val="18"/>
                <w:lang w:val="ru-RU" w:eastAsia="en-GB"/>
              </w:rPr>
            </w:pPr>
            <w:r w:rsidRPr="00521670">
              <w:rPr>
                <w:szCs w:val="18"/>
                <w:lang w:val="ru-RU"/>
              </w:rPr>
              <w:t>8 172</w:t>
            </w:r>
          </w:p>
        </w:tc>
        <w:tc>
          <w:tcPr>
            <w:tcW w:w="1070" w:type="pct"/>
            <w:tcBorders>
              <w:top w:val="nil"/>
              <w:left w:val="nil"/>
              <w:bottom w:val="nil"/>
              <w:right w:val="nil"/>
            </w:tcBorders>
            <w:shd w:val="clear" w:color="auto" w:fill="auto"/>
            <w:noWrap/>
            <w:vAlign w:val="bottom"/>
            <w:hideMark/>
          </w:tcPr>
          <w:p w14:paraId="245CA554" w14:textId="77777777" w:rsidR="00DF251A" w:rsidRPr="00521670" w:rsidRDefault="00DF251A" w:rsidP="00333F56">
            <w:pPr>
              <w:pStyle w:val="Tabletext"/>
              <w:keepNext/>
              <w:jc w:val="right"/>
              <w:rPr>
                <w:szCs w:val="18"/>
                <w:lang w:val="ru-RU" w:eastAsia="en-GB"/>
              </w:rPr>
            </w:pPr>
            <w:r w:rsidRPr="00521670">
              <w:rPr>
                <w:szCs w:val="18"/>
                <w:lang w:val="ru-RU"/>
              </w:rPr>
              <w:t>6 871</w:t>
            </w:r>
          </w:p>
        </w:tc>
      </w:tr>
      <w:tr w:rsidR="00DF251A" w:rsidRPr="00521670" w14:paraId="32FE9ED7" w14:textId="77777777" w:rsidTr="00333F56">
        <w:trPr>
          <w:trHeight w:val="260"/>
          <w:jc w:val="center"/>
        </w:trPr>
        <w:tc>
          <w:tcPr>
            <w:tcW w:w="2860" w:type="pct"/>
            <w:tcBorders>
              <w:top w:val="nil"/>
              <w:left w:val="nil"/>
              <w:bottom w:val="nil"/>
              <w:right w:val="nil"/>
            </w:tcBorders>
            <w:shd w:val="clear" w:color="auto" w:fill="auto"/>
            <w:noWrap/>
            <w:vAlign w:val="bottom"/>
            <w:hideMark/>
          </w:tcPr>
          <w:p w14:paraId="448A1422" w14:textId="77777777" w:rsidR="00DF251A" w:rsidRPr="00521670" w:rsidRDefault="00DF251A" w:rsidP="00333F56">
            <w:pPr>
              <w:pStyle w:val="Tabletext"/>
              <w:keepNext/>
              <w:rPr>
                <w:szCs w:val="18"/>
                <w:lang w:val="ru-RU" w:eastAsia="en-GB"/>
              </w:rPr>
            </w:pPr>
            <w:r w:rsidRPr="00521670">
              <w:rPr>
                <w:szCs w:val="18"/>
                <w:lang w:val="ru-RU"/>
              </w:rPr>
              <w:t>Авансы на проведение конференций</w:t>
            </w:r>
          </w:p>
        </w:tc>
        <w:tc>
          <w:tcPr>
            <w:tcW w:w="1070" w:type="pct"/>
            <w:tcBorders>
              <w:top w:val="nil"/>
              <w:left w:val="nil"/>
              <w:bottom w:val="nil"/>
              <w:right w:val="nil"/>
            </w:tcBorders>
            <w:shd w:val="clear" w:color="auto" w:fill="auto"/>
            <w:noWrap/>
            <w:vAlign w:val="bottom"/>
            <w:hideMark/>
          </w:tcPr>
          <w:p w14:paraId="00332569" w14:textId="77777777" w:rsidR="00DF251A" w:rsidRPr="00521670" w:rsidRDefault="00DF251A" w:rsidP="00333F56">
            <w:pPr>
              <w:pStyle w:val="Tabletext"/>
              <w:keepNext/>
              <w:jc w:val="right"/>
              <w:rPr>
                <w:szCs w:val="18"/>
                <w:lang w:val="ru-RU" w:eastAsia="en-GB"/>
              </w:rPr>
            </w:pPr>
            <w:r w:rsidRPr="00521670">
              <w:rPr>
                <w:szCs w:val="18"/>
                <w:lang w:val="ru-RU"/>
              </w:rPr>
              <w:t>1 065</w:t>
            </w:r>
          </w:p>
        </w:tc>
        <w:tc>
          <w:tcPr>
            <w:tcW w:w="1070" w:type="pct"/>
            <w:tcBorders>
              <w:top w:val="nil"/>
              <w:left w:val="nil"/>
              <w:bottom w:val="nil"/>
              <w:right w:val="nil"/>
            </w:tcBorders>
            <w:shd w:val="clear" w:color="auto" w:fill="auto"/>
            <w:noWrap/>
            <w:vAlign w:val="bottom"/>
            <w:hideMark/>
          </w:tcPr>
          <w:p w14:paraId="452EE471" w14:textId="77777777" w:rsidR="00DF251A" w:rsidRPr="00521670" w:rsidRDefault="00DF251A" w:rsidP="00333F56">
            <w:pPr>
              <w:pStyle w:val="Tabletext"/>
              <w:keepNext/>
              <w:jc w:val="right"/>
              <w:rPr>
                <w:szCs w:val="18"/>
                <w:lang w:val="ru-RU" w:eastAsia="en-GB"/>
              </w:rPr>
            </w:pPr>
            <w:r w:rsidRPr="00521670">
              <w:rPr>
                <w:szCs w:val="18"/>
                <w:lang w:val="ru-RU"/>
              </w:rPr>
              <w:t>2 260</w:t>
            </w:r>
          </w:p>
        </w:tc>
      </w:tr>
      <w:tr w:rsidR="00DF251A" w:rsidRPr="00521670" w14:paraId="4767073C" w14:textId="77777777" w:rsidTr="00333F56">
        <w:trPr>
          <w:trHeight w:val="367"/>
          <w:jc w:val="center"/>
        </w:trPr>
        <w:tc>
          <w:tcPr>
            <w:tcW w:w="2860" w:type="pct"/>
            <w:tcBorders>
              <w:top w:val="nil"/>
              <w:left w:val="nil"/>
              <w:bottom w:val="nil"/>
              <w:right w:val="nil"/>
            </w:tcBorders>
            <w:shd w:val="clear" w:color="000000" w:fill="0070C0"/>
            <w:noWrap/>
            <w:vAlign w:val="center"/>
            <w:hideMark/>
          </w:tcPr>
          <w:p w14:paraId="6D207385" w14:textId="77777777" w:rsidR="00DF251A" w:rsidRPr="00521670" w:rsidRDefault="00DF251A" w:rsidP="00333F56">
            <w:pPr>
              <w:pStyle w:val="Tabletext"/>
              <w:rPr>
                <w:b/>
                <w:bCs/>
                <w:szCs w:val="18"/>
                <w:lang w:val="ru-RU" w:eastAsia="en-GB"/>
              </w:rPr>
            </w:pPr>
            <w:r w:rsidRPr="00521670">
              <w:rPr>
                <w:b/>
                <w:bCs/>
                <w:szCs w:val="18"/>
                <w:lang w:val="ru-RU"/>
              </w:rPr>
              <w:t>Всего: поставщики и прочие кредиторы</w:t>
            </w:r>
          </w:p>
        </w:tc>
        <w:tc>
          <w:tcPr>
            <w:tcW w:w="1070" w:type="pct"/>
            <w:tcBorders>
              <w:top w:val="nil"/>
              <w:left w:val="nil"/>
              <w:bottom w:val="nil"/>
              <w:right w:val="nil"/>
            </w:tcBorders>
            <w:shd w:val="clear" w:color="000000" w:fill="0070C0"/>
            <w:noWrap/>
            <w:vAlign w:val="bottom"/>
            <w:hideMark/>
          </w:tcPr>
          <w:p w14:paraId="10FCB838" w14:textId="77777777" w:rsidR="00DF251A" w:rsidRPr="00521670" w:rsidRDefault="00DF251A" w:rsidP="00333F56">
            <w:pPr>
              <w:pStyle w:val="Tabletext"/>
              <w:jc w:val="right"/>
              <w:rPr>
                <w:b/>
                <w:bCs/>
                <w:szCs w:val="18"/>
                <w:lang w:val="ru-RU" w:eastAsia="en-GB"/>
              </w:rPr>
            </w:pPr>
            <w:r w:rsidRPr="00521670">
              <w:rPr>
                <w:b/>
                <w:bCs/>
                <w:szCs w:val="18"/>
                <w:lang w:val="ru-RU"/>
              </w:rPr>
              <w:t>11 478</w:t>
            </w:r>
          </w:p>
        </w:tc>
        <w:tc>
          <w:tcPr>
            <w:tcW w:w="1070" w:type="pct"/>
            <w:tcBorders>
              <w:top w:val="nil"/>
              <w:left w:val="nil"/>
              <w:bottom w:val="nil"/>
              <w:right w:val="nil"/>
            </w:tcBorders>
            <w:shd w:val="clear" w:color="000000" w:fill="0070C0"/>
            <w:noWrap/>
            <w:vAlign w:val="bottom"/>
            <w:hideMark/>
          </w:tcPr>
          <w:p w14:paraId="4A33FC68" w14:textId="77777777" w:rsidR="00DF251A" w:rsidRPr="00521670" w:rsidRDefault="00DF251A" w:rsidP="00333F56">
            <w:pPr>
              <w:pStyle w:val="Tabletext"/>
              <w:jc w:val="right"/>
              <w:rPr>
                <w:b/>
                <w:bCs/>
                <w:szCs w:val="18"/>
                <w:lang w:val="ru-RU" w:eastAsia="en-GB"/>
              </w:rPr>
            </w:pPr>
            <w:r w:rsidRPr="00521670">
              <w:rPr>
                <w:b/>
                <w:bCs/>
                <w:szCs w:val="18"/>
                <w:lang w:val="ru-RU"/>
              </w:rPr>
              <w:t>13 042</w:t>
            </w:r>
          </w:p>
        </w:tc>
      </w:tr>
    </w:tbl>
    <w:p w14:paraId="568D6063" w14:textId="77777777" w:rsidR="00DF251A" w:rsidRPr="00521670" w:rsidRDefault="00DF251A" w:rsidP="00254EDA">
      <w:pPr>
        <w:pStyle w:val="Heading5"/>
        <w:rPr>
          <w:b/>
          <w:bCs/>
          <w:color w:val="4F81BD" w:themeColor="accent1"/>
          <w:lang w:val="ru-RU"/>
        </w:rPr>
      </w:pPr>
      <w:bookmarkStart w:id="327" w:name="_Toc305764088"/>
      <w:bookmarkStart w:id="328" w:name="_Toc2056268247"/>
      <w:bookmarkStart w:id="329" w:name="_Toc164845561"/>
      <w:bookmarkStart w:id="330" w:name="_Toc168578475"/>
      <w:bookmarkStart w:id="331" w:name="_Toc180681820"/>
      <w:bookmarkStart w:id="332" w:name="_Toc200469538"/>
      <w:r w:rsidRPr="00521670">
        <w:rPr>
          <w:b/>
          <w:bCs/>
          <w:color w:val="4F81BD" w:themeColor="accent1"/>
          <w:lang w:val="ru-RU"/>
        </w:rPr>
        <w:t>Примечание 14</w:t>
      </w:r>
      <w:r w:rsidRPr="00521670">
        <w:rPr>
          <w:b/>
          <w:bCs/>
          <w:color w:val="4F81BD" w:themeColor="accent1"/>
          <w:lang w:val="ru-RU"/>
        </w:rPr>
        <w:tab/>
      </w:r>
      <w:bookmarkEnd w:id="327"/>
      <w:bookmarkEnd w:id="328"/>
      <w:bookmarkEnd w:id="329"/>
      <w:bookmarkEnd w:id="330"/>
      <w:bookmarkEnd w:id="331"/>
      <w:r w:rsidRPr="00521670">
        <w:rPr>
          <w:b/>
          <w:color w:val="4F81BD" w:themeColor="accent1"/>
          <w:lang w:val="ru-RU"/>
        </w:rPr>
        <w:t>Доходы будущих периодов</w:t>
      </w:r>
      <w:bookmarkEnd w:id="332"/>
    </w:p>
    <w:p w14:paraId="08B79CC5" w14:textId="77777777" w:rsidR="00DF251A" w:rsidRPr="00521670" w:rsidRDefault="00DF251A" w:rsidP="00254EDA">
      <w:pPr>
        <w:rPr>
          <w:lang w:val="ru-RU"/>
        </w:rPr>
      </w:pPr>
      <w:r w:rsidRPr="00521670">
        <w:rPr>
          <w:lang w:val="ru-RU"/>
        </w:rPr>
        <w:t>К доходам будущих периодов относятся:</w:t>
      </w:r>
    </w:p>
    <w:p w14:paraId="0705ED23" w14:textId="4602B33A" w:rsidR="00DF251A" w:rsidRPr="00521670" w:rsidRDefault="00DF251A" w:rsidP="00254EDA">
      <w:pPr>
        <w:pStyle w:val="enumlev1"/>
        <w:rPr>
          <w:lang w:val="ru-RU"/>
        </w:rPr>
      </w:pPr>
      <w:r w:rsidRPr="00521670">
        <w:rPr>
          <w:rFonts w:cs="Calibri"/>
          <w:lang w:val="ru-RU"/>
        </w:rPr>
        <w:t>•</w:t>
      </w:r>
      <w:r w:rsidRPr="00521670">
        <w:rPr>
          <w:lang w:val="ru-RU"/>
        </w:rPr>
        <w:tab/>
        <w:t>начисленные взносы, полученные от Государств-Членов, Членов Секторов, Ассоциированных членов и Академических организаций, относящиеся к следующему</w:t>
      </w:r>
      <w:r w:rsidR="002E735F" w:rsidRPr="00521670">
        <w:rPr>
          <w:lang w:val="ru-RU"/>
        </w:rPr>
        <w:t> </w:t>
      </w:r>
      <w:r w:rsidRPr="00521670">
        <w:rPr>
          <w:lang w:val="ru-RU"/>
        </w:rPr>
        <w:t>году</w:t>
      </w:r>
      <w:r w:rsidR="002E735F" w:rsidRPr="00521670">
        <w:rPr>
          <w:lang w:val="ru-RU"/>
        </w:rPr>
        <w:t>;</w:t>
      </w:r>
    </w:p>
    <w:p w14:paraId="09671AB4" w14:textId="2F5475C6" w:rsidR="00DF251A" w:rsidRPr="00521670" w:rsidRDefault="00DF251A" w:rsidP="00254EDA">
      <w:pPr>
        <w:pStyle w:val="enumlev1"/>
        <w:rPr>
          <w:lang w:val="ru-RU"/>
        </w:rPr>
      </w:pPr>
      <w:r w:rsidRPr="00521670">
        <w:rPr>
          <w:rFonts w:cs="Calibri"/>
          <w:lang w:val="ru-RU"/>
        </w:rPr>
        <w:lastRenderedPageBreak/>
        <w:t>•</w:t>
      </w:r>
      <w:r w:rsidRPr="00521670">
        <w:rPr>
          <w:lang w:val="ru-RU"/>
        </w:rPr>
        <w:tab/>
        <w:t>заявки на регистрацию спутниковых сетей, публикация которых в Международном информационном циркуляре БР по частотам (ИФИК БР) не состоялась по состоянию на конец года</w:t>
      </w:r>
      <w:r w:rsidR="002E735F" w:rsidRPr="00521670">
        <w:rPr>
          <w:lang w:val="ru-RU"/>
        </w:rPr>
        <w:t>;</w:t>
      </w:r>
    </w:p>
    <w:p w14:paraId="53782DB4" w14:textId="181424DA" w:rsidR="00DF251A" w:rsidRPr="00521670" w:rsidRDefault="00DF251A" w:rsidP="007D1279">
      <w:pPr>
        <w:pStyle w:val="enumlev1"/>
        <w:spacing w:after="120"/>
        <w:ind w:left="792" w:hanging="792"/>
        <w:rPr>
          <w:lang w:val="ru-RU"/>
        </w:rPr>
      </w:pPr>
      <w:r w:rsidRPr="00521670">
        <w:rPr>
          <w:rFonts w:cs="Calibri"/>
          <w:lang w:val="ru-RU"/>
        </w:rPr>
        <w:t>•</w:t>
      </w:r>
      <w:r w:rsidRPr="00521670">
        <w:rPr>
          <w:lang w:val="ru-RU"/>
        </w:rPr>
        <w:tab/>
        <w:t>внебюджетные взносы, текущие и нетекущие, относящиеся к осуществляемым проектам с условиями, которые будут выполнены в следующем году/годах. В</w:t>
      </w:r>
      <w:r w:rsidR="002E735F" w:rsidRPr="00521670">
        <w:rPr>
          <w:lang w:val="ru-RU"/>
        </w:rPr>
        <w:t> </w:t>
      </w:r>
      <w:r w:rsidRPr="00521670">
        <w:rPr>
          <w:lang w:val="ru-RU"/>
        </w:rPr>
        <w:t>частности, средства третьих сторон, находящиеся в процессе выделения – это средства, находящиеся в процессе распределения для конкретных проектов, а средства третьих сторон, которые должны быть получены, относятся к соглашениям, подписанным в текущем финансовом году, счета по которым уже выставлены, но средства еще не получены. Выделенные средства третьих сторон относятся к текущим проектам, средства для которых получены или будут получены в следующем или будущих годах. Значительное увеличение внебюджетных доходов будущих периодов связано с рядом крупных и сложных долгосрочных проектов, подписанных с активными донорами, в том числе с Европейским союзом, и направленных на содействие привлечению инвестиций в цифровую инфраструктуру и инновациям в сфере государственных услуг.</w:t>
      </w:r>
    </w:p>
    <w:tbl>
      <w:tblPr>
        <w:tblW w:w="5000" w:type="pct"/>
        <w:jc w:val="center"/>
        <w:tblLook w:val="04A0" w:firstRow="1" w:lastRow="0" w:firstColumn="1" w:lastColumn="0" w:noHBand="0" w:noVBand="1"/>
      </w:tblPr>
      <w:tblGrid>
        <w:gridCol w:w="5813"/>
        <w:gridCol w:w="1629"/>
        <w:gridCol w:w="1629"/>
      </w:tblGrid>
      <w:tr w:rsidR="00DF251A" w:rsidRPr="00521670" w14:paraId="54F76700" w14:textId="77777777" w:rsidTr="00AB7557">
        <w:trPr>
          <w:trHeight w:val="93"/>
          <w:tblHeader/>
          <w:jc w:val="center"/>
        </w:trPr>
        <w:tc>
          <w:tcPr>
            <w:tcW w:w="3204" w:type="pct"/>
            <w:tcBorders>
              <w:top w:val="nil"/>
              <w:left w:val="nil"/>
              <w:bottom w:val="nil"/>
              <w:right w:val="nil"/>
            </w:tcBorders>
            <w:shd w:val="clear" w:color="000000" w:fill="0070C0"/>
            <w:noWrap/>
            <w:vAlign w:val="center"/>
            <w:hideMark/>
          </w:tcPr>
          <w:p w14:paraId="447E22B7" w14:textId="77777777" w:rsidR="00DF251A" w:rsidRPr="00521670" w:rsidRDefault="00DF251A" w:rsidP="00835292">
            <w:pPr>
              <w:pStyle w:val="Tablehead"/>
              <w:rPr>
                <w:szCs w:val="18"/>
                <w:lang w:val="ru-RU" w:eastAsia="en-GB"/>
              </w:rPr>
            </w:pPr>
            <w:r w:rsidRPr="00521670">
              <w:rPr>
                <w:szCs w:val="18"/>
                <w:lang w:val="ru-RU" w:eastAsia="en-GB"/>
              </w:rPr>
              <w:t>Описание (тыс. шв. фр.)</w:t>
            </w:r>
          </w:p>
        </w:tc>
        <w:tc>
          <w:tcPr>
            <w:tcW w:w="898" w:type="pct"/>
            <w:tcBorders>
              <w:top w:val="nil"/>
              <w:left w:val="nil"/>
              <w:bottom w:val="nil"/>
              <w:right w:val="nil"/>
            </w:tcBorders>
            <w:shd w:val="clear" w:color="000000" w:fill="0070C0"/>
            <w:noWrap/>
            <w:vAlign w:val="center"/>
            <w:hideMark/>
          </w:tcPr>
          <w:p w14:paraId="36069588" w14:textId="77777777" w:rsidR="00DF251A" w:rsidRPr="00521670" w:rsidRDefault="00DF251A" w:rsidP="00AB7557">
            <w:pPr>
              <w:pStyle w:val="Tablehead"/>
              <w:jc w:val="right"/>
              <w:rPr>
                <w:szCs w:val="18"/>
                <w:lang w:val="ru-RU" w:eastAsia="en-GB"/>
              </w:rPr>
            </w:pPr>
            <w:r w:rsidRPr="00521670">
              <w:rPr>
                <w:szCs w:val="18"/>
                <w:lang w:val="ru-RU" w:eastAsia="en-GB"/>
              </w:rPr>
              <w:t>31 декабря 2024 г.</w:t>
            </w:r>
          </w:p>
        </w:tc>
        <w:tc>
          <w:tcPr>
            <w:tcW w:w="898" w:type="pct"/>
            <w:tcBorders>
              <w:top w:val="nil"/>
              <w:left w:val="nil"/>
              <w:bottom w:val="nil"/>
              <w:right w:val="nil"/>
            </w:tcBorders>
            <w:shd w:val="clear" w:color="000000" w:fill="0070C0"/>
            <w:noWrap/>
            <w:vAlign w:val="center"/>
            <w:hideMark/>
          </w:tcPr>
          <w:p w14:paraId="35A34E16" w14:textId="77777777" w:rsidR="00DF251A" w:rsidRPr="00521670" w:rsidRDefault="00DF251A" w:rsidP="00AB7557">
            <w:pPr>
              <w:pStyle w:val="Tablehead"/>
              <w:jc w:val="right"/>
              <w:rPr>
                <w:szCs w:val="18"/>
                <w:lang w:val="ru-RU" w:eastAsia="en-GB"/>
              </w:rPr>
            </w:pPr>
            <w:r w:rsidRPr="00521670">
              <w:rPr>
                <w:szCs w:val="18"/>
                <w:lang w:val="ru-RU" w:eastAsia="en-GB"/>
              </w:rPr>
              <w:t>31 декабря 2023 г.</w:t>
            </w:r>
          </w:p>
        </w:tc>
      </w:tr>
      <w:tr w:rsidR="00DF251A" w:rsidRPr="00521670" w14:paraId="3BA93A03" w14:textId="77777777" w:rsidTr="00AB7557">
        <w:trPr>
          <w:trHeight w:val="260"/>
          <w:jc w:val="center"/>
        </w:trPr>
        <w:tc>
          <w:tcPr>
            <w:tcW w:w="3204" w:type="pct"/>
            <w:tcBorders>
              <w:top w:val="nil"/>
              <w:left w:val="nil"/>
              <w:bottom w:val="nil"/>
              <w:right w:val="nil"/>
            </w:tcBorders>
            <w:shd w:val="clear" w:color="auto" w:fill="auto"/>
            <w:noWrap/>
            <w:vAlign w:val="bottom"/>
            <w:hideMark/>
          </w:tcPr>
          <w:p w14:paraId="32375001" w14:textId="77777777" w:rsidR="00DF251A" w:rsidRPr="00521670" w:rsidRDefault="00DF251A" w:rsidP="0046192B">
            <w:pPr>
              <w:pStyle w:val="Tabletext"/>
              <w:keepNext/>
              <w:rPr>
                <w:szCs w:val="18"/>
                <w:lang w:val="ru-RU" w:eastAsia="en-GB"/>
              </w:rPr>
            </w:pPr>
            <w:r w:rsidRPr="00521670">
              <w:rPr>
                <w:szCs w:val="18"/>
                <w:lang w:val="ru-RU"/>
              </w:rPr>
              <w:t>Взносы – Государства-Члены</w:t>
            </w:r>
          </w:p>
        </w:tc>
        <w:tc>
          <w:tcPr>
            <w:tcW w:w="898" w:type="pct"/>
            <w:tcBorders>
              <w:top w:val="nil"/>
              <w:left w:val="nil"/>
              <w:bottom w:val="nil"/>
              <w:right w:val="nil"/>
            </w:tcBorders>
            <w:shd w:val="clear" w:color="auto" w:fill="auto"/>
            <w:noWrap/>
            <w:vAlign w:val="bottom"/>
            <w:hideMark/>
          </w:tcPr>
          <w:p w14:paraId="0F050A83" w14:textId="77777777" w:rsidR="00DF251A" w:rsidRPr="00521670" w:rsidRDefault="00DF251A" w:rsidP="0046192B">
            <w:pPr>
              <w:pStyle w:val="Tabletext"/>
              <w:keepNext/>
              <w:jc w:val="right"/>
              <w:rPr>
                <w:szCs w:val="18"/>
                <w:lang w:val="ru-RU" w:eastAsia="en-GB"/>
              </w:rPr>
            </w:pPr>
            <w:r w:rsidRPr="00521670">
              <w:rPr>
                <w:szCs w:val="18"/>
                <w:lang w:val="ru-RU"/>
              </w:rPr>
              <w:t>42 717</w:t>
            </w:r>
          </w:p>
        </w:tc>
        <w:tc>
          <w:tcPr>
            <w:tcW w:w="898" w:type="pct"/>
            <w:tcBorders>
              <w:top w:val="nil"/>
              <w:left w:val="nil"/>
              <w:bottom w:val="nil"/>
              <w:right w:val="nil"/>
            </w:tcBorders>
            <w:shd w:val="clear" w:color="auto" w:fill="auto"/>
            <w:noWrap/>
            <w:vAlign w:val="bottom"/>
            <w:hideMark/>
          </w:tcPr>
          <w:p w14:paraId="4F70F664" w14:textId="77777777" w:rsidR="00DF251A" w:rsidRPr="00521670" w:rsidRDefault="00DF251A" w:rsidP="0046192B">
            <w:pPr>
              <w:pStyle w:val="Tabletext"/>
              <w:keepNext/>
              <w:jc w:val="right"/>
              <w:rPr>
                <w:szCs w:val="18"/>
                <w:lang w:val="ru-RU" w:eastAsia="en-GB"/>
              </w:rPr>
            </w:pPr>
            <w:r w:rsidRPr="00521670">
              <w:rPr>
                <w:szCs w:val="18"/>
                <w:lang w:val="ru-RU"/>
              </w:rPr>
              <w:t>45 814</w:t>
            </w:r>
          </w:p>
        </w:tc>
      </w:tr>
      <w:tr w:rsidR="00DF251A" w:rsidRPr="00521670" w14:paraId="1156D1BD" w14:textId="77777777" w:rsidTr="00AB7557">
        <w:trPr>
          <w:trHeight w:val="260"/>
          <w:jc w:val="center"/>
        </w:trPr>
        <w:tc>
          <w:tcPr>
            <w:tcW w:w="3204" w:type="pct"/>
            <w:tcBorders>
              <w:top w:val="nil"/>
              <w:left w:val="nil"/>
              <w:bottom w:val="nil"/>
              <w:right w:val="nil"/>
            </w:tcBorders>
            <w:shd w:val="clear" w:color="auto" w:fill="auto"/>
            <w:noWrap/>
            <w:vAlign w:val="bottom"/>
            <w:hideMark/>
          </w:tcPr>
          <w:p w14:paraId="66235D34" w14:textId="77777777" w:rsidR="00DF251A" w:rsidRPr="00521670" w:rsidRDefault="00DF251A" w:rsidP="0046192B">
            <w:pPr>
              <w:pStyle w:val="Tabletext"/>
              <w:keepNext/>
              <w:rPr>
                <w:szCs w:val="18"/>
                <w:lang w:val="ru-RU" w:eastAsia="en-GB"/>
              </w:rPr>
            </w:pPr>
            <w:r w:rsidRPr="00521670">
              <w:rPr>
                <w:szCs w:val="18"/>
                <w:lang w:val="ru-RU"/>
              </w:rPr>
              <w:t>Взносы – Члены Секторов</w:t>
            </w:r>
          </w:p>
        </w:tc>
        <w:tc>
          <w:tcPr>
            <w:tcW w:w="898" w:type="pct"/>
            <w:tcBorders>
              <w:top w:val="nil"/>
              <w:left w:val="nil"/>
              <w:bottom w:val="nil"/>
              <w:right w:val="nil"/>
            </w:tcBorders>
            <w:shd w:val="clear" w:color="auto" w:fill="auto"/>
            <w:noWrap/>
            <w:vAlign w:val="bottom"/>
            <w:hideMark/>
          </w:tcPr>
          <w:p w14:paraId="75BB851B" w14:textId="77777777" w:rsidR="00DF251A" w:rsidRPr="00521670" w:rsidRDefault="00DF251A" w:rsidP="0046192B">
            <w:pPr>
              <w:pStyle w:val="Tabletext"/>
              <w:keepNext/>
              <w:jc w:val="right"/>
              <w:rPr>
                <w:szCs w:val="18"/>
                <w:lang w:val="ru-RU" w:eastAsia="en-GB"/>
              </w:rPr>
            </w:pPr>
            <w:r w:rsidRPr="00521670">
              <w:rPr>
                <w:szCs w:val="18"/>
                <w:lang w:val="ru-RU"/>
              </w:rPr>
              <w:t>3 641</w:t>
            </w:r>
          </w:p>
        </w:tc>
        <w:tc>
          <w:tcPr>
            <w:tcW w:w="898" w:type="pct"/>
            <w:tcBorders>
              <w:top w:val="nil"/>
              <w:left w:val="nil"/>
              <w:bottom w:val="nil"/>
              <w:right w:val="nil"/>
            </w:tcBorders>
            <w:shd w:val="clear" w:color="auto" w:fill="auto"/>
            <w:noWrap/>
            <w:vAlign w:val="bottom"/>
            <w:hideMark/>
          </w:tcPr>
          <w:p w14:paraId="35EE4842" w14:textId="77777777" w:rsidR="00DF251A" w:rsidRPr="00521670" w:rsidRDefault="00DF251A" w:rsidP="0046192B">
            <w:pPr>
              <w:pStyle w:val="Tabletext"/>
              <w:keepNext/>
              <w:jc w:val="right"/>
              <w:rPr>
                <w:szCs w:val="18"/>
                <w:lang w:val="ru-RU" w:eastAsia="en-GB"/>
              </w:rPr>
            </w:pPr>
            <w:r w:rsidRPr="00521670">
              <w:rPr>
                <w:szCs w:val="18"/>
                <w:lang w:val="ru-RU"/>
              </w:rPr>
              <w:t>3 882</w:t>
            </w:r>
          </w:p>
        </w:tc>
      </w:tr>
      <w:tr w:rsidR="00DF251A" w:rsidRPr="00521670" w14:paraId="08FB8E71" w14:textId="77777777" w:rsidTr="00AB7557">
        <w:trPr>
          <w:trHeight w:val="260"/>
          <w:jc w:val="center"/>
        </w:trPr>
        <w:tc>
          <w:tcPr>
            <w:tcW w:w="3204" w:type="pct"/>
            <w:tcBorders>
              <w:top w:val="nil"/>
              <w:left w:val="nil"/>
              <w:bottom w:val="nil"/>
              <w:right w:val="nil"/>
            </w:tcBorders>
            <w:shd w:val="clear" w:color="auto" w:fill="auto"/>
            <w:noWrap/>
            <w:vAlign w:val="bottom"/>
            <w:hideMark/>
          </w:tcPr>
          <w:p w14:paraId="4AB8F742" w14:textId="77777777" w:rsidR="00DF251A" w:rsidRPr="00521670" w:rsidRDefault="00DF251A" w:rsidP="0046192B">
            <w:pPr>
              <w:pStyle w:val="Tabletext"/>
              <w:keepNext/>
              <w:rPr>
                <w:szCs w:val="18"/>
                <w:lang w:val="ru-RU" w:eastAsia="en-GB"/>
              </w:rPr>
            </w:pPr>
            <w:r w:rsidRPr="00521670">
              <w:rPr>
                <w:szCs w:val="18"/>
                <w:lang w:val="ru-RU"/>
              </w:rPr>
              <w:t>Взносы – Ассоциированные члены</w:t>
            </w:r>
          </w:p>
        </w:tc>
        <w:tc>
          <w:tcPr>
            <w:tcW w:w="898" w:type="pct"/>
            <w:tcBorders>
              <w:top w:val="nil"/>
              <w:left w:val="nil"/>
              <w:bottom w:val="nil"/>
              <w:right w:val="nil"/>
            </w:tcBorders>
            <w:shd w:val="clear" w:color="auto" w:fill="auto"/>
            <w:noWrap/>
            <w:vAlign w:val="bottom"/>
            <w:hideMark/>
          </w:tcPr>
          <w:p w14:paraId="34F27046" w14:textId="77777777" w:rsidR="00DF251A" w:rsidRPr="00521670" w:rsidRDefault="00DF251A" w:rsidP="0046192B">
            <w:pPr>
              <w:pStyle w:val="Tabletext"/>
              <w:keepNext/>
              <w:jc w:val="right"/>
              <w:rPr>
                <w:szCs w:val="18"/>
                <w:lang w:val="ru-RU" w:eastAsia="en-GB"/>
              </w:rPr>
            </w:pPr>
            <w:r w:rsidRPr="00521670">
              <w:rPr>
                <w:szCs w:val="18"/>
                <w:lang w:val="ru-RU"/>
              </w:rPr>
              <w:t>611</w:t>
            </w:r>
          </w:p>
        </w:tc>
        <w:tc>
          <w:tcPr>
            <w:tcW w:w="898" w:type="pct"/>
            <w:tcBorders>
              <w:top w:val="nil"/>
              <w:left w:val="nil"/>
              <w:bottom w:val="nil"/>
              <w:right w:val="nil"/>
            </w:tcBorders>
            <w:shd w:val="clear" w:color="auto" w:fill="auto"/>
            <w:noWrap/>
            <w:vAlign w:val="bottom"/>
            <w:hideMark/>
          </w:tcPr>
          <w:p w14:paraId="53CA0A57" w14:textId="77777777" w:rsidR="00DF251A" w:rsidRPr="00521670" w:rsidRDefault="00DF251A" w:rsidP="0046192B">
            <w:pPr>
              <w:pStyle w:val="Tabletext"/>
              <w:keepNext/>
              <w:jc w:val="right"/>
              <w:rPr>
                <w:szCs w:val="18"/>
                <w:lang w:val="ru-RU" w:eastAsia="en-GB"/>
              </w:rPr>
            </w:pPr>
            <w:r w:rsidRPr="00521670">
              <w:rPr>
                <w:szCs w:val="18"/>
                <w:lang w:val="ru-RU"/>
              </w:rPr>
              <w:t>714</w:t>
            </w:r>
          </w:p>
        </w:tc>
      </w:tr>
      <w:tr w:rsidR="00DF251A" w:rsidRPr="00521670" w14:paraId="5B02130C" w14:textId="77777777" w:rsidTr="00AB7557">
        <w:trPr>
          <w:trHeight w:val="260"/>
          <w:jc w:val="center"/>
        </w:trPr>
        <w:tc>
          <w:tcPr>
            <w:tcW w:w="3204" w:type="pct"/>
            <w:tcBorders>
              <w:top w:val="nil"/>
              <w:left w:val="nil"/>
              <w:bottom w:val="single" w:sz="4" w:space="0" w:color="auto"/>
              <w:right w:val="nil"/>
            </w:tcBorders>
            <w:shd w:val="clear" w:color="auto" w:fill="auto"/>
            <w:noWrap/>
            <w:vAlign w:val="bottom"/>
            <w:hideMark/>
          </w:tcPr>
          <w:p w14:paraId="35942891" w14:textId="77777777" w:rsidR="00DF251A" w:rsidRPr="00521670" w:rsidRDefault="00DF251A" w:rsidP="0046192B">
            <w:pPr>
              <w:pStyle w:val="Tabletext"/>
              <w:keepNext/>
              <w:rPr>
                <w:szCs w:val="18"/>
                <w:lang w:val="ru-RU" w:eastAsia="en-GB"/>
              </w:rPr>
            </w:pPr>
            <w:r w:rsidRPr="00521670">
              <w:rPr>
                <w:szCs w:val="18"/>
                <w:lang w:val="ru-RU"/>
              </w:rPr>
              <w:t>Взносы – Академические организации – Члены</w:t>
            </w:r>
          </w:p>
        </w:tc>
        <w:tc>
          <w:tcPr>
            <w:tcW w:w="898" w:type="pct"/>
            <w:tcBorders>
              <w:top w:val="nil"/>
              <w:left w:val="nil"/>
              <w:bottom w:val="single" w:sz="4" w:space="0" w:color="auto"/>
              <w:right w:val="nil"/>
            </w:tcBorders>
            <w:shd w:val="clear" w:color="auto" w:fill="auto"/>
            <w:noWrap/>
            <w:vAlign w:val="bottom"/>
            <w:hideMark/>
          </w:tcPr>
          <w:p w14:paraId="0FE52044" w14:textId="77777777" w:rsidR="00DF251A" w:rsidRPr="00521670" w:rsidRDefault="00DF251A" w:rsidP="0046192B">
            <w:pPr>
              <w:pStyle w:val="Tabletext"/>
              <w:keepNext/>
              <w:jc w:val="right"/>
              <w:rPr>
                <w:szCs w:val="18"/>
                <w:lang w:val="ru-RU" w:eastAsia="en-GB"/>
              </w:rPr>
            </w:pPr>
            <w:r w:rsidRPr="00521670">
              <w:rPr>
                <w:szCs w:val="18"/>
                <w:lang w:val="ru-RU"/>
              </w:rPr>
              <w:t>121</w:t>
            </w:r>
          </w:p>
        </w:tc>
        <w:tc>
          <w:tcPr>
            <w:tcW w:w="898" w:type="pct"/>
            <w:tcBorders>
              <w:top w:val="nil"/>
              <w:left w:val="nil"/>
              <w:bottom w:val="single" w:sz="4" w:space="0" w:color="auto"/>
              <w:right w:val="nil"/>
            </w:tcBorders>
            <w:shd w:val="clear" w:color="auto" w:fill="auto"/>
            <w:noWrap/>
            <w:vAlign w:val="bottom"/>
            <w:hideMark/>
          </w:tcPr>
          <w:p w14:paraId="64137F28" w14:textId="77777777" w:rsidR="00DF251A" w:rsidRPr="00521670" w:rsidRDefault="00DF251A" w:rsidP="0046192B">
            <w:pPr>
              <w:pStyle w:val="Tabletext"/>
              <w:keepNext/>
              <w:jc w:val="right"/>
              <w:rPr>
                <w:szCs w:val="18"/>
                <w:lang w:val="ru-RU" w:eastAsia="en-GB"/>
              </w:rPr>
            </w:pPr>
            <w:r w:rsidRPr="00521670">
              <w:rPr>
                <w:szCs w:val="18"/>
                <w:lang w:val="ru-RU"/>
              </w:rPr>
              <w:t>135</w:t>
            </w:r>
          </w:p>
        </w:tc>
      </w:tr>
      <w:tr w:rsidR="00DF251A" w:rsidRPr="00521670" w14:paraId="6B0278BA" w14:textId="77777777" w:rsidTr="00AB7557">
        <w:trPr>
          <w:trHeight w:val="357"/>
          <w:jc w:val="center"/>
        </w:trPr>
        <w:tc>
          <w:tcPr>
            <w:tcW w:w="3204" w:type="pct"/>
            <w:tcBorders>
              <w:top w:val="single" w:sz="4" w:space="0" w:color="auto"/>
              <w:left w:val="nil"/>
              <w:right w:val="nil"/>
            </w:tcBorders>
            <w:shd w:val="clear" w:color="auto" w:fill="auto"/>
            <w:noWrap/>
            <w:vAlign w:val="center"/>
            <w:hideMark/>
          </w:tcPr>
          <w:p w14:paraId="79A19450" w14:textId="77777777" w:rsidR="00DF251A" w:rsidRPr="00521670" w:rsidRDefault="00DF251A" w:rsidP="0046192B">
            <w:pPr>
              <w:pStyle w:val="Tabletext"/>
              <w:rPr>
                <w:b/>
                <w:bCs/>
                <w:szCs w:val="18"/>
                <w:lang w:val="ru-RU" w:eastAsia="en-GB"/>
              </w:rPr>
            </w:pPr>
            <w:r w:rsidRPr="00521670">
              <w:rPr>
                <w:b/>
                <w:bCs/>
                <w:szCs w:val="18"/>
                <w:lang w:val="ru-RU"/>
              </w:rPr>
              <w:t>Взносы, полученные авансом</w:t>
            </w:r>
          </w:p>
        </w:tc>
        <w:tc>
          <w:tcPr>
            <w:tcW w:w="898" w:type="pct"/>
            <w:tcBorders>
              <w:top w:val="single" w:sz="4" w:space="0" w:color="auto"/>
              <w:left w:val="nil"/>
              <w:right w:val="nil"/>
            </w:tcBorders>
            <w:shd w:val="clear" w:color="auto" w:fill="auto"/>
            <w:noWrap/>
            <w:vAlign w:val="bottom"/>
            <w:hideMark/>
          </w:tcPr>
          <w:p w14:paraId="46C3C2EA" w14:textId="77777777" w:rsidR="00DF251A" w:rsidRPr="00521670" w:rsidRDefault="00DF251A" w:rsidP="0046192B">
            <w:pPr>
              <w:pStyle w:val="Tabletext"/>
              <w:jc w:val="right"/>
              <w:rPr>
                <w:b/>
                <w:bCs/>
                <w:szCs w:val="18"/>
                <w:lang w:val="ru-RU" w:eastAsia="en-GB"/>
              </w:rPr>
            </w:pPr>
            <w:r w:rsidRPr="00521670">
              <w:rPr>
                <w:b/>
                <w:bCs/>
                <w:szCs w:val="18"/>
                <w:lang w:val="ru-RU"/>
              </w:rPr>
              <w:t>47 089</w:t>
            </w:r>
          </w:p>
        </w:tc>
        <w:tc>
          <w:tcPr>
            <w:tcW w:w="898" w:type="pct"/>
            <w:tcBorders>
              <w:top w:val="single" w:sz="4" w:space="0" w:color="auto"/>
              <w:left w:val="nil"/>
              <w:right w:val="nil"/>
            </w:tcBorders>
            <w:shd w:val="clear" w:color="auto" w:fill="auto"/>
            <w:noWrap/>
            <w:vAlign w:val="bottom"/>
            <w:hideMark/>
          </w:tcPr>
          <w:p w14:paraId="5F195C9A" w14:textId="77777777" w:rsidR="00DF251A" w:rsidRPr="00521670" w:rsidRDefault="00DF251A" w:rsidP="0046192B">
            <w:pPr>
              <w:pStyle w:val="Tabletext"/>
              <w:jc w:val="right"/>
              <w:rPr>
                <w:b/>
                <w:bCs/>
                <w:szCs w:val="18"/>
                <w:lang w:val="ru-RU" w:eastAsia="en-GB"/>
              </w:rPr>
            </w:pPr>
            <w:r w:rsidRPr="00521670">
              <w:rPr>
                <w:b/>
                <w:bCs/>
                <w:szCs w:val="18"/>
                <w:lang w:val="ru-RU"/>
              </w:rPr>
              <w:t>50 544</w:t>
            </w:r>
          </w:p>
        </w:tc>
      </w:tr>
      <w:tr w:rsidR="00DF251A" w:rsidRPr="00521670" w14:paraId="04C15816" w14:textId="77777777" w:rsidTr="00AB7557">
        <w:trPr>
          <w:trHeight w:val="357"/>
          <w:jc w:val="center"/>
        </w:trPr>
        <w:tc>
          <w:tcPr>
            <w:tcW w:w="3204" w:type="pct"/>
            <w:tcBorders>
              <w:top w:val="nil"/>
              <w:left w:val="nil"/>
              <w:bottom w:val="nil"/>
              <w:right w:val="nil"/>
            </w:tcBorders>
            <w:shd w:val="clear" w:color="auto" w:fill="auto"/>
            <w:noWrap/>
            <w:vAlign w:val="center"/>
            <w:hideMark/>
          </w:tcPr>
          <w:p w14:paraId="58DE7047" w14:textId="5CCE360E" w:rsidR="00DF251A" w:rsidRPr="00521670" w:rsidRDefault="00DF251A" w:rsidP="0046192B">
            <w:pPr>
              <w:pStyle w:val="Tabletext"/>
              <w:rPr>
                <w:b/>
                <w:bCs/>
                <w:szCs w:val="18"/>
                <w:lang w:val="ru-RU"/>
              </w:rPr>
            </w:pPr>
            <w:r w:rsidRPr="00521670">
              <w:rPr>
                <w:b/>
                <w:bCs/>
                <w:szCs w:val="18"/>
                <w:lang w:val="ru-RU"/>
              </w:rPr>
              <w:t>Доходы будущих периодов − заявки на регистрацию спутниковых</w:t>
            </w:r>
            <w:r w:rsidR="002E735F" w:rsidRPr="00521670">
              <w:rPr>
                <w:b/>
                <w:bCs/>
                <w:szCs w:val="18"/>
                <w:lang w:val="ru-RU"/>
              </w:rPr>
              <w:t> </w:t>
            </w:r>
            <w:r w:rsidRPr="00521670">
              <w:rPr>
                <w:b/>
                <w:bCs/>
                <w:szCs w:val="18"/>
                <w:lang w:val="ru-RU"/>
              </w:rPr>
              <w:t>сетей</w:t>
            </w:r>
          </w:p>
        </w:tc>
        <w:tc>
          <w:tcPr>
            <w:tcW w:w="898" w:type="pct"/>
            <w:tcBorders>
              <w:top w:val="nil"/>
              <w:left w:val="nil"/>
              <w:bottom w:val="nil"/>
              <w:right w:val="nil"/>
            </w:tcBorders>
            <w:shd w:val="clear" w:color="auto" w:fill="auto"/>
            <w:noWrap/>
            <w:vAlign w:val="bottom"/>
            <w:hideMark/>
          </w:tcPr>
          <w:p w14:paraId="6886459B" w14:textId="77777777" w:rsidR="00DF251A" w:rsidRPr="00521670" w:rsidRDefault="00DF251A" w:rsidP="0046192B">
            <w:pPr>
              <w:pStyle w:val="Tabletext"/>
              <w:jc w:val="right"/>
              <w:rPr>
                <w:b/>
                <w:bCs/>
                <w:szCs w:val="18"/>
                <w:lang w:val="ru-RU" w:eastAsia="en-GB"/>
              </w:rPr>
            </w:pPr>
            <w:r w:rsidRPr="00521670">
              <w:rPr>
                <w:b/>
                <w:bCs/>
                <w:szCs w:val="18"/>
                <w:lang w:val="ru-RU"/>
              </w:rPr>
              <w:t>5 385</w:t>
            </w:r>
          </w:p>
        </w:tc>
        <w:tc>
          <w:tcPr>
            <w:tcW w:w="898" w:type="pct"/>
            <w:tcBorders>
              <w:top w:val="nil"/>
              <w:left w:val="nil"/>
              <w:bottom w:val="nil"/>
              <w:right w:val="nil"/>
            </w:tcBorders>
            <w:shd w:val="clear" w:color="auto" w:fill="auto"/>
            <w:noWrap/>
            <w:vAlign w:val="bottom"/>
            <w:hideMark/>
          </w:tcPr>
          <w:p w14:paraId="02294825" w14:textId="77777777" w:rsidR="00DF251A" w:rsidRPr="00521670" w:rsidRDefault="00DF251A" w:rsidP="0046192B">
            <w:pPr>
              <w:pStyle w:val="Tabletext"/>
              <w:jc w:val="right"/>
              <w:rPr>
                <w:b/>
                <w:bCs/>
                <w:szCs w:val="18"/>
                <w:lang w:val="ru-RU" w:eastAsia="en-GB"/>
              </w:rPr>
            </w:pPr>
            <w:r w:rsidRPr="00521670">
              <w:rPr>
                <w:b/>
                <w:bCs/>
                <w:szCs w:val="18"/>
                <w:lang w:val="ru-RU"/>
              </w:rPr>
              <w:t>3 590</w:t>
            </w:r>
          </w:p>
        </w:tc>
      </w:tr>
      <w:tr w:rsidR="00DF251A" w:rsidRPr="00521670" w14:paraId="3DC37DB3" w14:textId="77777777" w:rsidTr="00AB7557">
        <w:trPr>
          <w:trHeight w:val="357"/>
          <w:jc w:val="center"/>
        </w:trPr>
        <w:tc>
          <w:tcPr>
            <w:tcW w:w="3204" w:type="pct"/>
            <w:tcBorders>
              <w:top w:val="nil"/>
              <w:left w:val="nil"/>
              <w:bottom w:val="nil"/>
              <w:right w:val="nil"/>
            </w:tcBorders>
            <w:shd w:val="clear" w:color="auto" w:fill="auto"/>
            <w:noWrap/>
            <w:vAlign w:val="bottom"/>
          </w:tcPr>
          <w:p w14:paraId="085CF0A8" w14:textId="77777777" w:rsidR="00DF251A" w:rsidRPr="00521670" w:rsidRDefault="00DF251A" w:rsidP="00316220">
            <w:pPr>
              <w:pStyle w:val="Tabletext"/>
              <w:keepNext/>
              <w:rPr>
                <w:szCs w:val="18"/>
                <w:lang w:val="ru-RU"/>
              </w:rPr>
            </w:pPr>
            <w:r w:rsidRPr="00521670">
              <w:rPr>
                <w:lang w:val="ru-RU"/>
              </w:rPr>
              <w:t>Выделенные средства третьих сторон, текущие</w:t>
            </w:r>
          </w:p>
        </w:tc>
        <w:tc>
          <w:tcPr>
            <w:tcW w:w="898" w:type="pct"/>
            <w:tcBorders>
              <w:top w:val="nil"/>
              <w:left w:val="nil"/>
              <w:bottom w:val="nil"/>
              <w:right w:val="nil"/>
            </w:tcBorders>
            <w:shd w:val="clear" w:color="auto" w:fill="auto"/>
            <w:noWrap/>
            <w:vAlign w:val="bottom"/>
          </w:tcPr>
          <w:p w14:paraId="70890B06" w14:textId="77777777" w:rsidR="00DF251A" w:rsidRPr="00521670" w:rsidRDefault="00DF251A" w:rsidP="0046192B">
            <w:pPr>
              <w:pStyle w:val="Tabletext"/>
              <w:jc w:val="right"/>
              <w:rPr>
                <w:b/>
                <w:bCs/>
                <w:szCs w:val="18"/>
                <w:lang w:val="ru-RU" w:eastAsia="en-GB"/>
              </w:rPr>
            </w:pPr>
            <w:r w:rsidRPr="00521670">
              <w:rPr>
                <w:szCs w:val="18"/>
                <w:lang w:val="ru-RU"/>
              </w:rPr>
              <w:t>29 367</w:t>
            </w:r>
          </w:p>
        </w:tc>
        <w:tc>
          <w:tcPr>
            <w:tcW w:w="898" w:type="pct"/>
            <w:tcBorders>
              <w:top w:val="nil"/>
              <w:left w:val="nil"/>
              <w:bottom w:val="nil"/>
              <w:right w:val="nil"/>
            </w:tcBorders>
            <w:shd w:val="clear" w:color="auto" w:fill="auto"/>
            <w:noWrap/>
            <w:vAlign w:val="bottom"/>
          </w:tcPr>
          <w:p w14:paraId="5478EA5B" w14:textId="77777777" w:rsidR="00DF251A" w:rsidRPr="00521670" w:rsidRDefault="00DF251A" w:rsidP="0046192B">
            <w:pPr>
              <w:pStyle w:val="Tabletext"/>
              <w:jc w:val="right"/>
              <w:rPr>
                <w:b/>
                <w:bCs/>
                <w:szCs w:val="18"/>
                <w:lang w:val="ru-RU" w:eastAsia="en-GB"/>
              </w:rPr>
            </w:pPr>
            <w:r w:rsidRPr="00521670">
              <w:rPr>
                <w:szCs w:val="18"/>
                <w:lang w:val="ru-RU"/>
              </w:rPr>
              <w:t>19 614</w:t>
            </w:r>
          </w:p>
        </w:tc>
      </w:tr>
      <w:tr w:rsidR="00DF251A" w:rsidRPr="00521670" w14:paraId="2AAFFC92" w14:textId="77777777" w:rsidTr="00AB7557">
        <w:trPr>
          <w:trHeight w:val="357"/>
          <w:jc w:val="center"/>
        </w:trPr>
        <w:tc>
          <w:tcPr>
            <w:tcW w:w="3204" w:type="pct"/>
            <w:tcBorders>
              <w:top w:val="nil"/>
              <w:left w:val="nil"/>
              <w:right w:val="nil"/>
            </w:tcBorders>
            <w:shd w:val="clear" w:color="auto" w:fill="auto"/>
            <w:noWrap/>
            <w:vAlign w:val="bottom"/>
          </w:tcPr>
          <w:p w14:paraId="0FBA114D" w14:textId="77777777" w:rsidR="00DF251A" w:rsidRPr="00521670" w:rsidRDefault="00DF251A" w:rsidP="00316220">
            <w:pPr>
              <w:pStyle w:val="Tabletext"/>
              <w:keepNext/>
              <w:rPr>
                <w:szCs w:val="18"/>
                <w:lang w:val="ru-RU"/>
              </w:rPr>
            </w:pPr>
            <w:r w:rsidRPr="00521670">
              <w:rPr>
                <w:lang w:val="ru-RU"/>
              </w:rPr>
              <w:t>Средства третьих сторон, находящиеся в процессе выделения</w:t>
            </w:r>
          </w:p>
        </w:tc>
        <w:tc>
          <w:tcPr>
            <w:tcW w:w="898" w:type="pct"/>
            <w:tcBorders>
              <w:top w:val="nil"/>
              <w:left w:val="nil"/>
              <w:right w:val="nil"/>
            </w:tcBorders>
            <w:shd w:val="clear" w:color="auto" w:fill="auto"/>
            <w:noWrap/>
            <w:vAlign w:val="bottom"/>
          </w:tcPr>
          <w:p w14:paraId="70365F35" w14:textId="77777777" w:rsidR="00DF251A" w:rsidRPr="00521670" w:rsidRDefault="00DF251A" w:rsidP="0046192B">
            <w:pPr>
              <w:pStyle w:val="Tabletext"/>
              <w:jc w:val="right"/>
              <w:rPr>
                <w:b/>
                <w:bCs/>
                <w:szCs w:val="18"/>
                <w:lang w:val="ru-RU" w:eastAsia="en-GB"/>
              </w:rPr>
            </w:pPr>
            <w:r w:rsidRPr="00521670">
              <w:rPr>
                <w:szCs w:val="18"/>
                <w:lang w:val="ru-RU"/>
              </w:rPr>
              <w:t>2 454</w:t>
            </w:r>
          </w:p>
        </w:tc>
        <w:tc>
          <w:tcPr>
            <w:tcW w:w="898" w:type="pct"/>
            <w:tcBorders>
              <w:top w:val="nil"/>
              <w:left w:val="nil"/>
              <w:right w:val="nil"/>
            </w:tcBorders>
            <w:shd w:val="clear" w:color="auto" w:fill="auto"/>
            <w:noWrap/>
            <w:vAlign w:val="bottom"/>
          </w:tcPr>
          <w:p w14:paraId="70EF62D8" w14:textId="77777777" w:rsidR="00DF251A" w:rsidRPr="00521670" w:rsidRDefault="00DF251A" w:rsidP="0046192B">
            <w:pPr>
              <w:pStyle w:val="Tabletext"/>
              <w:jc w:val="right"/>
              <w:rPr>
                <w:b/>
                <w:bCs/>
                <w:szCs w:val="18"/>
                <w:lang w:val="ru-RU" w:eastAsia="en-GB"/>
              </w:rPr>
            </w:pPr>
            <w:r w:rsidRPr="00521670">
              <w:rPr>
                <w:szCs w:val="18"/>
                <w:lang w:val="ru-RU"/>
              </w:rPr>
              <w:t>3 405</w:t>
            </w:r>
          </w:p>
        </w:tc>
      </w:tr>
      <w:tr w:rsidR="00DF251A" w:rsidRPr="00521670" w14:paraId="2E839683" w14:textId="77777777" w:rsidTr="00AB7557">
        <w:trPr>
          <w:trHeight w:val="357"/>
          <w:jc w:val="center"/>
        </w:trPr>
        <w:tc>
          <w:tcPr>
            <w:tcW w:w="3204" w:type="pct"/>
            <w:tcBorders>
              <w:top w:val="nil"/>
              <w:left w:val="nil"/>
              <w:bottom w:val="single" w:sz="4" w:space="0" w:color="auto"/>
              <w:right w:val="nil"/>
            </w:tcBorders>
            <w:shd w:val="clear" w:color="auto" w:fill="auto"/>
            <w:noWrap/>
            <w:vAlign w:val="bottom"/>
          </w:tcPr>
          <w:p w14:paraId="3C792982" w14:textId="77777777" w:rsidR="00DF251A" w:rsidRPr="00521670" w:rsidRDefault="00DF251A" w:rsidP="0046192B">
            <w:pPr>
              <w:pStyle w:val="Tabletext"/>
              <w:keepNext/>
              <w:rPr>
                <w:szCs w:val="18"/>
                <w:lang w:val="ru-RU"/>
              </w:rPr>
            </w:pPr>
            <w:r w:rsidRPr="00521670">
              <w:rPr>
                <w:lang w:val="ru-RU"/>
              </w:rPr>
              <w:t>Средства третьих сторон, которые должны быть получены</w:t>
            </w:r>
          </w:p>
        </w:tc>
        <w:tc>
          <w:tcPr>
            <w:tcW w:w="898" w:type="pct"/>
            <w:tcBorders>
              <w:top w:val="nil"/>
              <w:left w:val="nil"/>
              <w:bottom w:val="single" w:sz="4" w:space="0" w:color="auto"/>
              <w:right w:val="nil"/>
            </w:tcBorders>
            <w:shd w:val="clear" w:color="auto" w:fill="auto"/>
            <w:noWrap/>
            <w:vAlign w:val="bottom"/>
          </w:tcPr>
          <w:p w14:paraId="0F3A2A1C" w14:textId="77777777" w:rsidR="00DF251A" w:rsidRPr="00521670" w:rsidRDefault="00DF251A" w:rsidP="0046192B">
            <w:pPr>
              <w:pStyle w:val="Tabletext"/>
              <w:jc w:val="right"/>
              <w:rPr>
                <w:b/>
                <w:bCs/>
                <w:szCs w:val="18"/>
                <w:lang w:val="ru-RU" w:eastAsia="en-GB"/>
              </w:rPr>
            </w:pPr>
            <w:r w:rsidRPr="00521670">
              <w:rPr>
                <w:szCs w:val="18"/>
                <w:lang w:val="ru-RU"/>
              </w:rPr>
              <w:t>1 367</w:t>
            </w:r>
          </w:p>
        </w:tc>
        <w:tc>
          <w:tcPr>
            <w:tcW w:w="898" w:type="pct"/>
            <w:tcBorders>
              <w:top w:val="nil"/>
              <w:left w:val="nil"/>
              <w:bottom w:val="single" w:sz="4" w:space="0" w:color="auto"/>
              <w:right w:val="nil"/>
            </w:tcBorders>
            <w:shd w:val="clear" w:color="auto" w:fill="auto"/>
            <w:noWrap/>
            <w:vAlign w:val="bottom"/>
          </w:tcPr>
          <w:p w14:paraId="456E2B65" w14:textId="77777777" w:rsidR="00DF251A" w:rsidRPr="00521670" w:rsidRDefault="00DF251A" w:rsidP="0046192B">
            <w:pPr>
              <w:pStyle w:val="Tabletext"/>
              <w:jc w:val="right"/>
              <w:rPr>
                <w:b/>
                <w:bCs/>
                <w:szCs w:val="18"/>
                <w:lang w:val="ru-RU" w:eastAsia="en-GB"/>
              </w:rPr>
            </w:pPr>
            <w:r w:rsidRPr="00521670">
              <w:rPr>
                <w:szCs w:val="18"/>
                <w:lang w:val="ru-RU"/>
              </w:rPr>
              <w:t>1 340</w:t>
            </w:r>
          </w:p>
        </w:tc>
      </w:tr>
      <w:tr w:rsidR="00DF251A" w:rsidRPr="00521670" w14:paraId="4641A302" w14:textId="77777777" w:rsidTr="00AB7557">
        <w:trPr>
          <w:trHeight w:val="357"/>
          <w:jc w:val="center"/>
        </w:trPr>
        <w:tc>
          <w:tcPr>
            <w:tcW w:w="3204" w:type="pct"/>
            <w:tcBorders>
              <w:top w:val="single" w:sz="4" w:space="0" w:color="auto"/>
              <w:left w:val="nil"/>
              <w:bottom w:val="nil"/>
              <w:right w:val="nil"/>
            </w:tcBorders>
            <w:shd w:val="clear" w:color="auto" w:fill="auto"/>
            <w:noWrap/>
            <w:vAlign w:val="center"/>
          </w:tcPr>
          <w:p w14:paraId="0931EABF" w14:textId="77777777" w:rsidR="00DF251A" w:rsidRPr="00521670" w:rsidRDefault="00DF251A" w:rsidP="00316220">
            <w:pPr>
              <w:pStyle w:val="Tabletext"/>
              <w:keepNext/>
              <w:rPr>
                <w:szCs w:val="18"/>
                <w:lang w:val="ru-RU"/>
              </w:rPr>
            </w:pPr>
            <w:r w:rsidRPr="00521670">
              <w:rPr>
                <w:b/>
                <w:bCs/>
                <w:szCs w:val="18"/>
                <w:lang w:val="ru-RU"/>
              </w:rPr>
              <w:t>Доходы будущих периодов, внебюджетные</w:t>
            </w:r>
          </w:p>
        </w:tc>
        <w:tc>
          <w:tcPr>
            <w:tcW w:w="898" w:type="pct"/>
            <w:tcBorders>
              <w:top w:val="single" w:sz="4" w:space="0" w:color="auto"/>
              <w:left w:val="nil"/>
              <w:bottom w:val="nil"/>
              <w:right w:val="nil"/>
            </w:tcBorders>
            <w:shd w:val="clear" w:color="auto" w:fill="auto"/>
            <w:noWrap/>
            <w:vAlign w:val="bottom"/>
          </w:tcPr>
          <w:p w14:paraId="5B075BFB" w14:textId="77777777" w:rsidR="00DF251A" w:rsidRPr="00521670" w:rsidRDefault="00DF251A" w:rsidP="0046192B">
            <w:pPr>
              <w:pStyle w:val="Tabletext"/>
              <w:jc w:val="right"/>
              <w:rPr>
                <w:b/>
                <w:bCs/>
                <w:szCs w:val="18"/>
                <w:lang w:val="ru-RU" w:eastAsia="en-GB"/>
              </w:rPr>
            </w:pPr>
            <w:r w:rsidRPr="00521670">
              <w:rPr>
                <w:b/>
                <w:bCs/>
                <w:szCs w:val="18"/>
                <w:lang w:val="ru-RU"/>
              </w:rPr>
              <w:t>33 189</w:t>
            </w:r>
          </w:p>
        </w:tc>
        <w:tc>
          <w:tcPr>
            <w:tcW w:w="898" w:type="pct"/>
            <w:tcBorders>
              <w:top w:val="single" w:sz="4" w:space="0" w:color="auto"/>
              <w:left w:val="nil"/>
              <w:bottom w:val="nil"/>
              <w:right w:val="nil"/>
            </w:tcBorders>
            <w:shd w:val="clear" w:color="auto" w:fill="auto"/>
            <w:noWrap/>
            <w:vAlign w:val="bottom"/>
          </w:tcPr>
          <w:p w14:paraId="446087AC" w14:textId="77777777" w:rsidR="00DF251A" w:rsidRPr="00521670" w:rsidRDefault="00DF251A" w:rsidP="0046192B">
            <w:pPr>
              <w:pStyle w:val="Tabletext"/>
              <w:jc w:val="right"/>
              <w:rPr>
                <w:b/>
                <w:bCs/>
                <w:szCs w:val="18"/>
                <w:lang w:val="ru-RU" w:eastAsia="en-GB"/>
              </w:rPr>
            </w:pPr>
            <w:r w:rsidRPr="00521670">
              <w:rPr>
                <w:b/>
                <w:bCs/>
                <w:szCs w:val="18"/>
                <w:lang w:val="ru-RU"/>
              </w:rPr>
              <w:t>24 359</w:t>
            </w:r>
          </w:p>
        </w:tc>
      </w:tr>
      <w:tr w:rsidR="00DF251A" w:rsidRPr="00521670" w14:paraId="64023080" w14:textId="77777777" w:rsidTr="00AB7557">
        <w:trPr>
          <w:trHeight w:val="357"/>
          <w:jc w:val="center"/>
        </w:trPr>
        <w:tc>
          <w:tcPr>
            <w:tcW w:w="3204" w:type="pct"/>
            <w:tcBorders>
              <w:top w:val="nil"/>
              <w:left w:val="nil"/>
              <w:right w:val="nil"/>
            </w:tcBorders>
            <w:shd w:val="clear" w:color="auto" w:fill="auto"/>
            <w:noWrap/>
            <w:vAlign w:val="center"/>
          </w:tcPr>
          <w:p w14:paraId="5F174F2E" w14:textId="77777777" w:rsidR="00DF251A" w:rsidRPr="00521670" w:rsidRDefault="00DF251A" w:rsidP="0046192B">
            <w:pPr>
              <w:pStyle w:val="Tabletext"/>
              <w:keepNext/>
              <w:rPr>
                <w:b/>
                <w:bCs/>
                <w:szCs w:val="18"/>
                <w:lang w:val="ru-RU"/>
              </w:rPr>
            </w:pPr>
            <w:r w:rsidRPr="00521670">
              <w:rPr>
                <w:b/>
                <w:bCs/>
                <w:szCs w:val="18"/>
                <w:lang w:val="ru-RU"/>
              </w:rPr>
              <w:t>Всего: доходы будущих периодов, текущие</w:t>
            </w:r>
          </w:p>
        </w:tc>
        <w:tc>
          <w:tcPr>
            <w:tcW w:w="898" w:type="pct"/>
            <w:tcBorders>
              <w:top w:val="nil"/>
              <w:left w:val="nil"/>
              <w:right w:val="nil"/>
            </w:tcBorders>
            <w:shd w:val="clear" w:color="auto" w:fill="auto"/>
            <w:noWrap/>
            <w:vAlign w:val="bottom"/>
          </w:tcPr>
          <w:p w14:paraId="1C456E2E" w14:textId="77777777" w:rsidR="00DF251A" w:rsidRPr="00521670" w:rsidRDefault="00DF251A" w:rsidP="0046192B">
            <w:pPr>
              <w:pStyle w:val="Tabletext"/>
              <w:jc w:val="right"/>
              <w:rPr>
                <w:b/>
                <w:bCs/>
                <w:szCs w:val="18"/>
                <w:lang w:val="ru-RU" w:eastAsia="en-GB"/>
              </w:rPr>
            </w:pPr>
            <w:r w:rsidRPr="00521670">
              <w:rPr>
                <w:b/>
                <w:bCs/>
                <w:szCs w:val="18"/>
                <w:lang w:val="ru-RU"/>
              </w:rPr>
              <w:t>85 662</w:t>
            </w:r>
          </w:p>
        </w:tc>
        <w:tc>
          <w:tcPr>
            <w:tcW w:w="898" w:type="pct"/>
            <w:tcBorders>
              <w:top w:val="nil"/>
              <w:left w:val="nil"/>
              <w:right w:val="nil"/>
            </w:tcBorders>
            <w:shd w:val="clear" w:color="auto" w:fill="auto"/>
            <w:noWrap/>
            <w:vAlign w:val="bottom"/>
          </w:tcPr>
          <w:p w14:paraId="2EA0A5B7" w14:textId="77777777" w:rsidR="00DF251A" w:rsidRPr="00521670" w:rsidRDefault="00DF251A" w:rsidP="0046192B">
            <w:pPr>
              <w:pStyle w:val="Tabletext"/>
              <w:jc w:val="right"/>
              <w:rPr>
                <w:b/>
                <w:bCs/>
                <w:szCs w:val="18"/>
                <w:lang w:val="ru-RU" w:eastAsia="en-GB"/>
              </w:rPr>
            </w:pPr>
            <w:r w:rsidRPr="00521670">
              <w:rPr>
                <w:b/>
                <w:bCs/>
                <w:szCs w:val="18"/>
                <w:lang w:val="ru-RU"/>
              </w:rPr>
              <w:t>78 493</w:t>
            </w:r>
          </w:p>
        </w:tc>
      </w:tr>
      <w:tr w:rsidR="00DF251A" w:rsidRPr="00521670" w14:paraId="1278E811" w14:textId="77777777" w:rsidTr="00AB7557">
        <w:trPr>
          <w:trHeight w:val="357"/>
          <w:jc w:val="center"/>
        </w:trPr>
        <w:tc>
          <w:tcPr>
            <w:tcW w:w="3204" w:type="pct"/>
            <w:tcBorders>
              <w:top w:val="nil"/>
              <w:left w:val="nil"/>
              <w:bottom w:val="single" w:sz="4" w:space="0" w:color="auto"/>
              <w:right w:val="nil"/>
            </w:tcBorders>
            <w:shd w:val="clear" w:color="auto" w:fill="auto"/>
            <w:noWrap/>
            <w:vAlign w:val="center"/>
          </w:tcPr>
          <w:p w14:paraId="430B823B" w14:textId="77777777" w:rsidR="00DF251A" w:rsidRPr="00521670" w:rsidRDefault="00DF251A" w:rsidP="0046192B">
            <w:pPr>
              <w:pStyle w:val="Tabletext"/>
              <w:keepNext/>
              <w:rPr>
                <w:szCs w:val="18"/>
                <w:lang w:val="ru-RU"/>
              </w:rPr>
            </w:pPr>
            <w:r w:rsidRPr="00521670">
              <w:rPr>
                <w:lang w:val="ru-RU"/>
              </w:rPr>
              <w:t>Выделенные средства третьих сторон, нетекущие</w:t>
            </w:r>
          </w:p>
        </w:tc>
        <w:tc>
          <w:tcPr>
            <w:tcW w:w="898" w:type="pct"/>
            <w:tcBorders>
              <w:top w:val="nil"/>
              <w:left w:val="nil"/>
              <w:bottom w:val="single" w:sz="4" w:space="0" w:color="auto"/>
              <w:right w:val="nil"/>
            </w:tcBorders>
            <w:shd w:val="clear" w:color="auto" w:fill="auto"/>
            <w:noWrap/>
            <w:vAlign w:val="bottom"/>
          </w:tcPr>
          <w:p w14:paraId="2B8FE235" w14:textId="77777777" w:rsidR="00DF251A" w:rsidRPr="00521670" w:rsidRDefault="00DF251A" w:rsidP="0046192B">
            <w:pPr>
              <w:pStyle w:val="Tabletext"/>
              <w:jc w:val="right"/>
              <w:rPr>
                <w:b/>
                <w:bCs/>
                <w:szCs w:val="18"/>
                <w:lang w:val="ru-RU" w:eastAsia="en-GB"/>
              </w:rPr>
            </w:pPr>
            <w:r w:rsidRPr="00521670">
              <w:rPr>
                <w:szCs w:val="18"/>
                <w:lang w:val="ru-RU"/>
              </w:rPr>
              <w:t>40 038</w:t>
            </w:r>
          </w:p>
        </w:tc>
        <w:tc>
          <w:tcPr>
            <w:tcW w:w="898" w:type="pct"/>
            <w:tcBorders>
              <w:top w:val="nil"/>
              <w:left w:val="nil"/>
              <w:bottom w:val="single" w:sz="4" w:space="0" w:color="auto"/>
              <w:right w:val="nil"/>
            </w:tcBorders>
            <w:shd w:val="clear" w:color="auto" w:fill="auto"/>
            <w:noWrap/>
            <w:vAlign w:val="bottom"/>
          </w:tcPr>
          <w:p w14:paraId="49E5DDC0" w14:textId="77777777" w:rsidR="00DF251A" w:rsidRPr="00521670" w:rsidRDefault="00DF251A" w:rsidP="0046192B">
            <w:pPr>
              <w:pStyle w:val="Tabletext"/>
              <w:jc w:val="right"/>
              <w:rPr>
                <w:b/>
                <w:bCs/>
                <w:szCs w:val="18"/>
                <w:lang w:val="ru-RU" w:eastAsia="en-GB"/>
              </w:rPr>
            </w:pPr>
            <w:r w:rsidRPr="00521670">
              <w:rPr>
                <w:szCs w:val="18"/>
                <w:lang w:val="ru-RU"/>
              </w:rPr>
              <w:t>17 088</w:t>
            </w:r>
          </w:p>
        </w:tc>
      </w:tr>
      <w:tr w:rsidR="00DF251A" w:rsidRPr="00521670" w14:paraId="32990F65" w14:textId="77777777" w:rsidTr="00AB7557">
        <w:trPr>
          <w:trHeight w:val="357"/>
          <w:jc w:val="center"/>
        </w:trPr>
        <w:tc>
          <w:tcPr>
            <w:tcW w:w="3204" w:type="pct"/>
            <w:tcBorders>
              <w:top w:val="single" w:sz="4" w:space="0" w:color="auto"/>
              <w:left w:val="nil"/>
              <w:bottom w:val="nil"/>
              <w:right w:val="nil"/>
            </w:tcBorders>
            <w:shd w:val="clear" w:color="auto" w:fill="auto"/>
            <w:noWrap/>
            <w:vAlign w:val="center"/>
          </w:tcPr>
          <w:p w14:paraId="436B9B6F" w14:textId="77777777" w:rsidR="00DF251A" w:rsidRPr="00521670" w:rsidRDefault="00DF251A" w:rsidP="0046192B">
            <w:pPr>
              <w:pStyle w:val="Tabletext"/>
              <w:keepNext/>
              <w:rPr>
                <w:b/>
                <w:bCs/>
                <w:szCs w:val="18"/>
                <w:lang w:val="ru-RU"/>
              </w:rPr>
            </w:pPr>
            <w:r w:rsidRPr="00521670">
              <w:rPr>
                <w:b/>
                <w:bCs/>
                <w:szCs w:val="18"/>
                <w:lang w:val="ru-RU"/>
              </w:rPr>
              <w:t>Доходы будущих периодов, внебюджетные, нетекущие</w:t>
            </w:r>
          </w:p>
        </w:tc>
        <w:tc>
          <w:tcPr>
            <w:tcW w:w="898" w:type="pct"/>
            <w:tcBorders>
              <w:top w:val="single" w:sz="4" w:space="0" w:color="auto"/>
              <w:left w:val="nil"/>
              <w:bottom w:val="nil"/>
              <w:right w:val="nil"/>
            </w:tcBorders>
            <w:shd w:val="clear" w:color="auto" w:fill="auto"/>
            <w:noWrap/>
            <w:vAlign w:val="bottom"/>
          </w:tcPr>
          <w:p w14:paraId="1236C133" w14:textId="77777777" w:rsidR="00DF251A" w:rsidRPr="00521670" w:rsidRDefault="00DF251A" w:rsidP="0046192B">
            <w:pPr>
              <w:pStyle w:val="Tabletext"/>
              <w:jc w:val="right"/>
              <w:rPr>
                <w:b/>
                <w:bCs/>
                <w:szCs w:val="18"/>
                <w:lang w:val="ru-RU" w:eastAsia="en-GB"/>
              </w:rPr>
            </w:pPr>
            <w:r w:rsidRPr="00521670">
              <w:rPr>
                <w:b/>
                <w:bCs/>
                <w:szCs w:val="18"/>
                <w:lang w:val="ru-RU"/>
              </w:rPr>
              <w:t>40 038</w:t>
            </w:r>
          </w:p>
        </w:tc>
        <w:tc>
          <w:tcPr>
            <w:tcW w:w="898" w:type="pct"/>
            <w:tcBorders>
              <w:top w:val="single" w:sz="4" w:space="0" w:color="auto"/>
              <w:left w:val="nil"/>
              <w:bottom w:val="nil"/>
              <w:right w:val="nil"/>
            </w:tcBorders>
            <w:shd w:val="clear" w:color="auto" w:fill="auto"/>
            <w:noWrap/>
            <w:vAlign w:val="bottom"/>
          </w:tcPr>
          <w:p w14:paraId="599E8D21" w14:textId="77777777" w:rsidR="00DF251A" w:rsidRPr="00521670" w:rsidRDefault="00DF251A" w:rsidP="0046192B">
            <w:pPr>
              <w:pStyle w:val="Tabletext"/>
              <w:jc w:val="right"/>
              <w:rPr>
                <w:b/>
                <w:bCs/>
                <w:szCs w:val="18"/>
                <w:lang w:val="ru-RU" w:eastAsia="en-GB"/>
              </w:rPr>
            </w:pPr>
            <w:r w:rsidRPr="00521670">
              <w:rPr>
                <w:b/>
                <w:bCs/>
                <w:szCs w:val="18"/>
                <w:lang w:val="ru-RU"/>
              </w:rPr>
              <w:t>17 088</w:t>
            </w:r>
          </w:p>
        </w:tc>
      </w:tr>
      <w:tr w:rsidR="00DF251A" w:rsidRPr="00521670" w14:paraId="0B492ACF" w14:textId="77777777" w:rsidTr="00AB7557">
        <w:trPr>
          <w:trHeight w:val="357"/>
          <w:jc w:val="center"/>
        </w:trPr>
        <w:tc>
          <w:tcPr>
            <w:tcW w:w="3204" w:type="pct"/>
            <w:tcBorders>
              <w:top w:val="nil"/>
              <w:left w:val="nil"/>
              <w:bottom w:val="nil"/>
              <w:right w:val="nil"/>
            </w:tcBorders>
            <w:shd w:val="clear" w:color="auto" w:fill="0070C0"/>
            <w:noWrap/>
            <w:vAlign w:val="center"/>
          </w:tcPr>
          <w:p w14:paraId="34F05874" w14:textId="77777777" w:rsidR="00DF251A" w:rsidRPr="00521670" w:rsidRDefault="00DF251A" w:rsidP="0046192B">
            <w:pPr>
              <w:pStyle w:val="Tabletext"/>
              <w:keepNext/>
              <w:rPr>
                <w:szCs w:val="18"/>
                <w:lang w:val="ru-RU"/>
              </w:rPr>
            </w:pPr>
            <w:r w:rsidRPr="00521670">
              <w:rPr>
                <w:b/>
                <w:bCs/>
                <w:szCs w:val="18"/>
                <w:lang w:val="ru-RU"/>
              </w:rPr>
              <w:t>Всего: доходы будущих периодов</w:t>
            </w:r>
          </w:p>
        </w:tc>
        <w:tc>
          <w:tcPr>
            <w:tcW w:w="898" w:type="pct"/>
            <w:tcBorders>
              <w:top w:val="nil"/>
              <w:left w:val="nil"/>
              <w:bottom w:val="nil"/>
              <w:right w:val="nil"/>
            </w:tcBorders>
            <w:shd w:val="clear" w:color="auto" w:fill="0070C0"/>
            <w:noWrap/>
            <w:vAlign w:val="center"/>
          </w:tcPr>
          <w:p w14:paraId="037E2DEA" w14:textId="77777777" w:rsidR="00DF251A" w:rsidRPr="00521670" w:rsidRDefault="00DF251A" w:rsidP="0046192B">
            <w:pPr>
              <w:pStyle w:val="Tabletext"/>
              <w:jc w:val="right"/>
              <w:rPr>
                <w:b/>
                <w:bCs/>
                <w:szCs w:val="18"/>
                <w:lang w:val="ru-RU"/>
              </w:rPr>
            </w:pPr>
            <w:r w:rsidRPr="00521670">
              <w:rPr>
                <w:b/>
                <w:bCs/>
                <w:szCs w:val="18"/>
                <w:lang w:val="ru-RU"/>
              </w:rPr>
              <w:t>125 700</w:t>
            </w:r>
          </w:p>
        </w:tc>
        <w:tc>
          <w:tcPr>
            <w:tcW w:w="898" w:type="pct"/>
            <w:tcBorders>
              <w:top w:val="nil"/>
              <w:left w:val="nil"/>
              <w:bottom w:val="nil"/>
              <w:right w:val="nil"/>
            </w:tcBorders>
            <w:shd w:val="clear" w:color="auto" w:fill="0070C0"/>
            <w:noWrap/>
            <w:vAlign w:val="center"/>
          </w:tcPr>
          <w:p w14:paraId="1AB42055" w14:textId="77777777" w:rsidR="00DF251A" w:rsidRPr="00521670" w:rsidRDefault="00DF251A" w:rsidP="0046192B">
            <w:pPr>
              <w:pStyle w:val="Tabletext"/>
              <w:jc w:val="right"/>
              <w:rPr>
                <w:b/>
                <w:bCs/>
                <w:szCs w:val="18"/>
                <w:lang w:val="ru-RU"/>
              </w:rPr>
            </w:pPr>
            <w:r w:rsidRPr="00521670">
              <w:rPr>
                <w:b/>
                <w:bCs/>
                <w:szCs w:val="18"/>
                <w:lang w:val="ru-RU"/>
              </w:rPr>
              <w:t>95 581</w:t>
            </w:r>
          </w:p>
        </w:tc>
      </w:tr>
    </w:tbl>
    <w:p w14:paraId="10FBF715" w14:textId="77777777" w:rsidR="00DF251A" w:rsidRPr="00521670" w:rsidRDefault="00DF251A" w:rsidP="0067079E">
      <w:pPr>
        <w:pStyle w:val="Heading5"/>
        <w:rPr>
          <w:b/>
          <w:bCs/>
          <w:color w:val="4F81BD" w:themeColor="accent1"/>
          <w:lang w:val="ru-RU"/>
        </w:rPr>
      </w:pPr>
      <w:bookmarkStart w:id="333" w:name="_Toc305764089"/>
      <w:bookmarkStart w:id="334" w:name="_Toc2021876045"/>
      <w:bookmarkStart w:id="335" w:name="_Toc164845562"/>
      <w:bookmarkStart w:id="336" w:name="_Toc168578476"/>
      <w:bookmarkStart w:id="337" w:name="_Toc180681821"/>
      <w:bookmarkStart w:id="338" w:name="_Toc200469539"/>
      <w:r w:rsidRPr="00521670">
        <w:rPr>
          <w:b/>
          <w:bCs/>
          <w:color w:val="4F81BD" w:themeColor="accent1"/>
          <w:lang w:val="ru-RU"/>
        </w:rPr>
        <w:t>Примечание 15</w:t>
      </w:r>
      <w:r w:rsidRPr="00521670">
        <w:rPr>
          <w:b/>
          <w:bCs/>
          <w:color w:val="4F81BD" w:themeColor="accent1"/>
          <w:lang w:val="ru-RU"/>
        </w:rPr>
        <w:tab/>
      </w:r>
      <w:bookmarkEnd w:id="333"/>
      <w:bookmarkEnd w:id="334"/>
      <w:bookmarkEnd w:id="335"/>
      <w:r w:rsidRPr="00521670">
        <w:rPr>
          <w:b/>
          <w:bCs/>
          <w:color w:val="4F81BD" w:themeColor="accent1"/>
          <w:lang w:val="ru-RU"/>
        </w:rPr>
        <w:t>Займы и прочая финансовая задолженность</w:t>
      </w:r>
      <w:bookmarkEnd w:id="336"/>
      <w:bookmarkEnd w:id="337"/>
      <w:bookmarkEnd w:id="338"/>
    </w:p>
    <w:p w14:paraId="2D4296BB" w14:textId="77777777" w:rsidR="00DF251A" w:rsidRPr="00521670" w:rsidRDefault="00DF251A" w:rsidP="0067079E">
      <w:pPr>
        <w:rPr>
          <w:rFonts w:eastAsia="Segoe UI"/>
          <w:lang w:val="ru-RU"/>
        </w:rPr>
      </w:pPr>
      <w:r w:rsidRPr="00521670">
        <w:rPr>
          <w:rFonts w:eastAsia="Segoe UI"/>
          <w:lang w:val="ru-RU"/>
        </w:rPr>
        <w:t>В настоящее время у МСЭ есть четыре беспроцентных ссуды в Фонде недвижимого имущества для международных организаций (ФИПОИ), три из которых, по состоянию на 31 декабря 2024 года, отражены в финансовой отчетности по справедливой стоимости.</w:t>
      </w:r>
    </w:p>
    <w:p w14:paraId="6E9D3CF4" w14:textId="0F5EAE1B" w:rsidR="00DF251A" w:rsidRPr="00521670" w:rsidRDefault="00DF251A" w:rsidP="0067079E">
      <w:pPr>
        <w:rPr>
          <w:rFonts w:eastAsia="Segoe UI"/>
          <w:highlight w:val="lightGray"/>
          <w:lang w:val="ru-RU"/>
        </w:rPr>
      </w:pPr>
      <w:r w:rsidRPr="00521670">
        <w:rPr>
          <w:rFonts w:eastAsia="Segoe UI"/>
          <w:lang w:val="ru-RU"/>
        </w:rPr>
        <w:t xml:space="preserve">Общая сумма задолженности по состоянию на 31 декабря 2024 года составляет 54,8 млн. швейцарских франков, а чистая приведенная стоимость </w:t>
      </w:r>
      <w:r w:rsidRPr="00521670">
        <w:rPr>
          <w:rFonts w:eastAsia="Segoe UI" w:cs="Calibri"/>
          <w:lang w:val="ru-RU"/>
        </w:rPr>
        <w:t>–</w:t>
      </w:r>
      <w:r w:rsidRPr="00521670">
        <w:rPr>
          <w:rFonts w:eastAsia="Segoe UI"/>
          <w:lang w:val="ru-RU"/>
        </w:rPr>
        <w:t xml:space="preserve"> 53,3 млн. швейцарских</w:t>
      </w:r>
      <w:r w:rsidR="002E735F" w:rsidRPr="00521670">
        <w:rPr>
          <w:rFonts w:eastAsia="Segoe UI"/>
          <w:lang w:val="ru-RU"/>
        </w:rPr>
        <w:t> </w:t>
      </w:r>
      <w:r w:rsidRPr="00521670">
        <w:rPr>
          <w:rFonts w:eastAsia="Segoe UI"/>
          <w:lang w:val="ru-RU"/>
        </w:rPr>
        <w:t>франков.</w:t>
      </w:r>
    </w:p>
    <w:p w14:paraId="21383F40" w14:textId="383C6D35" w:rsidR="00DF251A" w:rsidRPr="00521670" w:rsidRDefault="00DF251A" w:rsidP="0067079E">
      <w:pPr>
        <w:rPr>
          <w:rFonts w:eastAsia="Segoe UI"/>
          <w:lang w:val="ru-RU"/>
        </w:rPr>
      </w:pPr>
      <w:r w:rsidRPr="00521670">
        <w:rPr>
          <w:lang w:val="ru-RU"/>
        </w:rPr>
        <w:t>Непогашенная сумма первых трех ссуд на существующие здания составляет 32,3 млн. швейцарских франков;</w:t>
      </w:r>
      <w:r w:rsidRPr="00521670">
        <w:rPr>
          <w:rFonts w:eastAsia="Segoe UI"/>
          <w:lang w:val="ru-RU"/>
        </w:rPr>
        <w:t xml:space="preserve"> чистая приведенная стоимость составляет 30,8 млн. швейцарских</w:t>
      </w:r>
      <w:r w:rsidR="002E735F" w:rsidRPr="00521670">
        <w:rPr>
          <w:rFonts w:eastAsia="Segoe UI"/>
          <w:lang w:val="ru-RU"/>
        </w:rPr>
        <w:t> </w:t>
      </w:r>
      <w:r w:rsidRPr="00521670">
        <w:rPr>
          <w:rFonts w:eastAsia="Segoe UI"/>
          <w:lang w:val="ru-RU"/>
        </w:rPr>
        <w:t>франков.</w:t>
      </w:r>
    </w:p>
    <w:p w14:paraId="05DF2F3A" w14:textId="1D185080" w:rsidR="00DF251A" w:rsidRPr="00521670" w:rsidRDefault="00DF251A" w:rsidP="0067079E">
      <w:pPr>
        <w:rPr>
          <w:rFonts w:eastAsia="Segoe UI"/>
          <w:highlight w:val="lightGray"/>
          <w:lang w:val="ru-RU"/>
        </w:rPr>
      </w:pPr>
      <w:r w:rsidRPr="00521670">
        <w:rPr>
          <w:rFonts w:eastAsia="Segoe UI"/>
          <w:lang w:val="ru-RU"/>
        </w:rPr>
        <w:t xml:space="preserve">В 2017 году для проекта строительства нового здания МСЭ была предоставлена новая беспроцентная ссуда на сумму 150 млн. швейцарских франков. Сумма, полученная МСЭ по этой </w:t>
      </w:r>
      <w:r w:rsidRPr="00521670">
        <w:rPr>
          <w:rFonts w:eastAsia="Segoe UI"/>
          <w:lang w:val="ru-RU"/>
        </w:rPr>
        <w:lastRenderedPageBreak/>
        <w:t>четвертой ссуде, по состоянию на 31 декабря 2024 года составляет 22,5 млн. швейцарских</w:t>
      </w:r>
      <w:r w:rsidR="002E735F" w:rsidRPr="00521670">
        <w:rPr>
          <w:rFonts w:eastAsia="Segoe UI"/>
          <w:lang w:val="ru-RU"/>
        </w:rPr>
        <w:t> </w:t>
      </w:r>
      <w:r w:rsidRPr="00521670">
        <w:rPr>
          <w:rFonts w:eastAsia="Segoe UI"/>
          <w:lang w:val="ru-RU"/>
        </w:rPr>
        <w:t>франков.</w:t>
      </w:r>
    </w:p>
    <w:p w14:paraId="5E2387A7" w14:textId="48D4F307" w:rsidR="00DF251A" w:rsidRPr="00521670" w:rsidRDefault="00DF251A" w:rsidP="006F3D9A">
      <w:pPr>
        <w:rPr>
          <w:lang w:val="ru-RU"/>
        </w:rPr>
      </w:pPr>
      <w:r w:rsidRPr="00521670">
        <w:rPr>
          <w:lang w:val="ru-RU"/>
        </w:rPr>
        <w:t>МСЭ получил подтверждение того, что данная ссуда может быть использована для пересмотренного проекта строительства нового здания. Федеральное правительство Швейцарии дало официальное согласие на такое использование. МСЭ продолжает поддерживать открытую и регулярную связь с финансирующими сторонами и соответствующими органами власти, с тем чтобы предоставлять обновленную информацию о ходе реализации пересмотренного проекта строительства нового здания в соответствии с резолюцией, утвержденной Советом в 2024 году.</w:t>
      </w:r>
    </w:p>
    <w:p w14:paraId="14180BBB" w14:textId="77777777" w:rsidR="00DF251A" w:rsidRPr="00521670" w:rsidRDefault="00DF251A" w:rsidP="002E735F">
      <w:pPr>
        <w:spacing w:after="120"/>
        <w:rPr>
          <w:lang w:val="ru-RU"/>
        </w:rPr>
      </w:pPr>
      <w:r w:rsidRPr="00521670">
        <w:rPr>
          <w:lang w:val="ru-RU"/>
        </w:rPr>
        <w:t>Погашение ссуды, предоставленной для новых помещений МСЭ, начнется только после успешной приемки нового здания в эксплуатацию.</w:t>
      </w:r>
    </w:p>
    <w:tbl>
      <w:tblPr>
        <w:tblW w:w="5000" w:type="pct"/>
        <w:jc w:val="center"/>
        <w:tblLayout w:type="fixed"/>
        <w:tblLook w:val="04A0" w:firstRow="1" w:lastRow="0" w:firstColumn="1" w:lastColumn="0" w:noHBand="0" w:noVBand="1"/>
      </w:tblPr>
      <w:tblGrid>
        <w:gridCol w:w="3824"/>
        <w:gridCol w:w="1313"/>
        <w:gridCol w:w="1312"/>
        <w:gridCol w:w="1312"/>
        <w:gridCol w:w="1310"/>
      </w:tblGrid>
      <w:tr w:rsidR="00DF251A" w:rsidRPr="00521670" w14:paraId="4433BA8F" w14:textId="77777777" w:rsidTr="00106C96">
        <w:trPr>
          <w:trHeight w:val="530"/>
          <w:jc w:val="center"/>
        </w:trPr>
        <w:tc>
          <w:tcPr>
            <w:tcW w:w="2108" w:type="pct"/>
            <w:tcBorders>
              <w:top w:val="nil"/>
              <w:left w:val="nil"/>
              <w:bottom w:val="nil"/>
              <w:right w:val="nil"/>
            </w:tcBorders>
            <w:shd w:val="clear" w:color="000000" w:fill="0070C0"/>
            <w:noWrap/>
            <w:vAlign w:val="center"/>
            <w:hideMark/>
          </w:tcPr>
          <w:p w14:paraId="7986B449" w14:textId="77777777" w:rsidR="00DF251A" w:rsidRPr="00521670" w:rsidRDefault="00DF251A" w:rsidP="00835292">
            <w:pPr>
              <w:pStyle w:val="Tablehead"/>
              <w:rPr>
                <w:szCs w:val="16"/>
                <w:lang w:val="ru-RU" w:eastAsia="en-GB"/>
              </w:rPr>
            </w:pPr>
            <w:r w:rsidRPr="00521670">
              <w:rPr>
                <w:szCs w:val="16"/>
                <w:lang w:val="ru-RU" w:eastAsia="en-GB"/>
              </w:rPr>
              <w:t>Описание (тыс. шв. фр.)</w:t>
            </w:r>
          </w:p>
        </w:tc>
        <w:tc>
          <w:tcPr>
            <w:tcW w:w="724" w:type="pct"/>
            <w:tcBorders>
              <w:top w:val="nil"/>
              <w:left w:val="nil"/>
              <w:bottom w:val="nil"/>
              <w:right w:val="nil"/>
            </w:tcBorders>
            <w:shd w:val="clear" w:color="000000" w:fill="0070C0"/>
            <w:noWrap/>
            <w:vAlign w:val="center"/>
            <w:hideMark/>
          </w:tcPr>
          <w:p w14:paraId="3FBF4CEE" w14:textId="77777777" w:rsidR="00DF251A" w:rsidRPr="00521670" w:rsidRDefault="00DF251A" w:rsidP="00835292">
            <w:pPr>
              <w:pStyle w:val="Tablehead"/>
              <w:rPr>
                <w:szCs w:val="16"/>
                <w:lang w:val="ru-RU" w:eastAsia="en-GB"/>
              </w:rPr>
            </w:pPr>
            <w:r w:rsidRPr="00521670">
              <w:rPr>
                <w:szCs w:val="16"/>
                <w:lang w:val="ru-RU" w:eastAsia="en-GB"/>
              </w:rPr>
              <w:t>Ссуда</w:t>
            </w:r>
          </w:p>
        </w:tc>
        <w:tc>
          <w:tcPr>
            <w:tcW w:w="723" w:type="pct"/>
            <w:tcBorders>
              <w:top w:val="nil"/>
              <w:left w:val="nil"/>
              <w:bottom w:val="nil"/>
              <w:right w:val="nil"/>
            </w:tcBorders>
            <w:shd w:val="clear" w:color="000000" w:fill="0070C0"/>
            <w:noWrap/>
            <w:vAlign w:val="center"/>
            <w:hideMark/>
          </w:tcPr>
          <w:p w14:paraId="28F71C68" w14:textId="77777777" w:rsidR="00DF251A" w:rsidRPr="00521670" w:rsidRDefault="00DF251A" w:rsidP="006573AA">
            <w:pPr>
              <w:pStyle w:val="Tablehead"/>
              <w:rPr>
                <w:szCs w:val="16"/>
                <w:lang w:val="ru-RU" w:eastAsia="en-GB"/>
              </w:rPr>
            </w:pPr>
            <w:r w:rsidRPr="00521670">
              <w:rPr>
                <w:szCs w:val="16"/>
                <w:lang w:val="ru-RU"/>
              </w:rPr>
              <w:t>Срок погашения</w:t>
            </w:r>
          </w:p>
        </w:tc>
        <w:tc>
          <w:tcPr>
            <w:tcW w:w="723" w:type="pct"/>
            <w:tcBorders>
              <w:top w:val="nil"/>
              <w:left w:val="nil"/>
              <w:bottom w:val="nil"/>
              <w:right w:val="nil"/>
            </w:tcBorders>
            <w:shd w:val="clear" w:color="000000" w:fill="0070C0"/>
            <w:vAlign w:val="center"/>
            <w:hideMark/>
          </w:tcPr>
          <w:p w14:paraId="2B09825F" w14:textId="77777777" w:rsidR="00DF251A" w:rsidRPr="00521670" w:rsidRDefault="00DF251A" w:rsidP="00835292">
            <w:pPr>
              <w:pStyle w:val="Tablehead"/>
              <w:rPr>
                <w:szCs w:val="16"/>
                <w:lang w:val="ru-RU" w:eastAsia="en-GB"/>
              </w:rPr>
            </w:pPr>
            <w:r w:rsidRPr="00521670">
              <w:rPr>
                <w:szCs w:val="16"/>
                <w:lang w:val="ru-RU" w:eastAsia="en-GB"/>
              </w:rPr>
              <w:t>31 декабря 2024 г.</w:t>
            </w:r>
          </w:p>
        </w:tc>
        <w:tc>
          <w:tcPr>
            <w:tcW w:w="722" w:type="pct"/>
            <w:tcBorders>
              <w:top w:val="nil"/>
              <w:left w:val="nil"/>
              <w:bottom w:val="nil"/>
              <w:right w:val="nil"/>
            </w:tcBorders>
            <w:shd w:val="clear" w:color="000000" w:fill="0070C0"/>
            <w:vAlign w:val="center"/>
            <w:hideMark/>
          </w:tcPr>
          <w:p w14:paraId="26DB4005" w14:textId="77777777" w:rsidR="00DF251A" w:rsidRPr="00521670" w:rsidRDefault="00DF251A" w:rsidP="00835292">
            <w:pPr>
              <w:pStyle w:val="Tablehead"/>
              <w:rPr>
                <w:szCs w:val="16"/>
                <w:lang w:val="ru-RU" w:eastAsia="en-GB"/>
              </w:rPr>
            </w:pPr>
            <w:r w:rsidRPr="00521670">
              <w:rPr>
                <w:szCs w:val="16"/>
                <w:lang w:val="ru-RU" w:eastAsia="en-GB"/>
              </w:rPr>
              <w:t>31 декабря 2023 г.</w:t>
            </w:r>
          </w:p>
        </w:tc>
      </w:tr>
      <w:tr w:rsidR="00DF251A" w:rsidRPr="00521670" w14:paraId="6360498D" w14:textId="77777777" w:rsidTr="00106C96">
        <w:trPr>
          <w:trHeight w:val="260"/>
          <w:jc w:val="center"/>
        </w:trPr>
        <w:tc>
          <w:tcPr>
            <w:tcW w:w="2108" w:type="pct"/>
            <w:tcBorders>
              <w:top w:val="nil"/>
              <w:left w:val="nil"/>
              <w:bottom w:val="nil"/>
              <w:right w:val="nil"/>
            </w:tcBorders>
            <w:shd w:val="clear" w:color="auto" w:fill="auto"/>
            <w:vAlign w:val="center"/>
            <w:hideMark/>
          </w:tcPr>
          <w:p w14:paraId="0F88E960" w14:textId="77777777" w:rsidR="00DF251A" w:rsidRPr="00521670" w:rsidRDefault="00DF251A" w:rsidP="00835292">
            <w:pPr>
              <w:pStyle w:val="Tabletext"/>
              <w:keepNext/>
              <w:rPr>
                <w:b/>
                <w:bCs/>
                <w:szCs w:val="18"/>
                <w:lang w:val="ru-RU" w:eastAsia="en-GB"/>
              </w:rPr>
            </w:pPr>
            <w:r w:rsidRPr="00521670">
              <w:rPr>
                <w:b/>
                <w:bCs/>
                <w:szCs w:val="18"/>
                <w:lang w:val="ru-RU" w:eastAsia="en-GB"/>
              </w:rPr>
              <w:t>Чистая текущая стоимость займов</w:t>
            </w:r>
          </w:p>
        </w:tc>
        <w:tc>
          <w:tcPr>
            <w:tcW w:w="724" w:type="pct"/>
            <w:tcBorders>
              <w:top w:val="nil"/>
              <w:left w:val="nil"/>
              <w:bottom w:val="nil"/>
              <w:right w:val="nil"/>
            </w:tcBorders>
            <w:shd w:val="clear" w:color="auto" w:fill="auto"/>
            <w:vAlign w:val="center"/>
            <w:hideMark/>
          </w:tcPr>
          <w:p w14:paraId="126DD128" w14:textId="77777777" w:rsidR="00DF251A" w:rsidRPr="00521670" w:rsidRDefault="00DF251A" w:rsidP="00835292">
            <w:pPr>
              <w:pStyle w:val="Tabletext"/>
              <w:keepNext/>
              <w:rPr>
                <w:b/>
                <w:bCs/>
                <w:szCs w:val="18"/>
                <w:lang w:val="ru-RU" w:eastAsia="en-GB"/>
              </w:rPr>
            </w:pPr>
          </w:p>
        </w:tc>
        <w:tc>
          <w:tcPr>
            <w:tcW w:w="723" w:type="pct"/>
            <w:tcBorders>
              <w:top w:val="nil"/>
              <w:left w:val="nil"/>
              <w:bottom w:val="nil"/>
              <w:right w:val="nil"/>
            </w:tcBorders>
            <w:shd w:val="clear" w:color="auto" w:fill="auto"/>
            <w:vAlign w:val="center"/>
            <w:hideMark/>
          </w:tcPr>
          <w:p w14:paraId="19FDB7BC" w14:textId="77777777" w:rsidR="00DF251A" w:rsidRPr="00521670" w:rsidRDefault="00DF251A" w:rsidP="00835292">
            <w:pPr>
              <w:pStyle w:val="Tabletext"/>
              <w:keepNext/>
              <w:rPr>
                <w:rFonts w:ascii="Times New Roman" w:hAnsi="Times New Roman"/>
                <w:b/>
                <w:bCs/>
                <w:szCs w:val="18"/>
                <w:lang w:val="ru-RU" w:eastAsia="en-GB"/>
              </w:rPr>
            </w:pPr>
          </w:p>
        </w:tc>
        <w:tc>
          <w:tcPr>
            <w:tcW w:w="723" w:type="pct"/>
            <w:tcBorders>
              <w:top w:val="nil"/>
              <w:left w:val="nil"/>
              <w:bottom w:val="nil"/>
              <w:right w:val="nil"/>
            </w:tcBorders>
            <w:shd w:val="clear" w:color="auto" w:fill="auto"/>
            <w:vAlign w:val="center"/>
            <w:hideMark/>
          </w:tcPr>
          <w:p w14:paraId="357E76B9" w14:textId="77777777" w:rsidR="00DF251A" w:rsidRPr="00521670" w:rsidRDefault="00DF251A" w:rsidP="00835292">
            <w:pPr>
              <w:pStyle w:val="Tabletext"/>
              <w:keepNext/>
              <w:rPr>
                <w:rFonts w:ascii="Times New Roman" w:hAnsi="Times New Roman"/>
                <w:b/>
                <w:bCs/>
                <w:szCs w:val="18"/>
                <w:lang w:val="ru-RU" w:eastAsia="en-GB"/>
              </w:rPr>
            </w:pPr>
          </w:p>
        </w:tc>
        <w:tc>
          <w:tcPr>
            <w:tcW w:w="722" w:type="pct"/>
            <w:tcBorders>
              <w:top w:val="nil"/>
              <w:left w:val="nil"/>
              <w:bottom w:val="nil"/>
              <w:right w:val="nil"/>
            </w:tcBorders>
            <w:shd w:val="clear" w:color="auto" w:fill="auto"/>
            <w:vAlign w:val="center"/>
            <w:hideMark/>
          </w:tcPr>
          <w:p w14:paraId="4F9D5F5D" w14:textId="77777777" w:rsidR="00DF251A" w:rsidRPr="00521670" w:rsidRDefault="00DF251A" w:rsidP="00835292">
            <w:pPr>
              <w:pStyle w:val="Tabletext"/>
              <w:keepNext/>
              <w:rPr>
                <w:rFonts w:ascii="Times New Roman" w:hAnsi="Times New Roman"/>
                <w:b/>
                <w:bCs/>
                <w:szCs w:val="18"/>
                <w:lang w:val="ru-RU" w:eastAsia="en-GB"/>
              </w:rPr>
            </w:pPr>
          </w:p>
        </w:tc>
      </w:tr>
      <w:tr w:rsidR="00DF251A" w:rsidRPr="00521670" w14:paraId="3749BD8A" w14:textId="77777777" w:rsidTr="00106C96">
        <w:trPr>
          <w:trHeight w:val="260"/>
          <w:jc w:val="center"/>
        </w:trPr>
        <w:tc>
          <w:tcPr>
            <w:tcW w:w="2108" w:type="pct"/>
            <w:tcBorders>
              <w:top w:val="nil"/>
              <w:left w:val="nil"/>
              <w:bottom w:val="nil"/>
              <w:right w:val="nil"/>
            </w:tcBorders>
            <w:shd w:val="clear" w:color="auto" w:fill="auto"/>
            <w:vAlign w:val="center"/>
            <w:hideMark/>
          </w:tcPr>
          <w:p w14:paraId="7FF28D18" w14:textId="77777777" w:rsidR="00DF251A" w:rsidRPr="00521670" w:rsidRDefault="00DF251A" w:rsidP="005F7FFE">
            <w:pPr>
              <w:pStyle w:val="Tabletext"/>
              <w:keepNext/>
              <w:rPr>
                <w:szCs w:val="18"/>
                <w:lang w:val="ru-RU" w:eastAsia="en-GB"/>
              </w:rPr>
            </w:pPr>
            <w:r w:rsidRPr="00521670">
              <w:rPr>
                <w:szCs w:val="18"/>
                <w:lang w:val="ru-RU"/>
              </w:rPr>
              <w:t>19 627 590 шв. фр. − с 1990 г.</w:t>
            </w:r>
          </w:p>
        </w:tc>
        <w:tc>
          <w:tcPr>
            <w:tcW w:w="724" w:type="pct"/>
            <w:tcBorders>
              <w:top w:val="nil"/>
              <w:left w:val="nil"/>
              <w:bottom w:val="nil"/>
              <w:right w:val="nil"/>
            </w:tcBorders>
            <w:shd w:val="clear" w:color="auto" w:fill="auto"/>
            <w:vAlign w:val="center"/>
            <w:hideMark/>
          </w:tcPr>
          <w:p w14:paraId="171BE0FC" w14:textId="77777777" w:rsidR="00DF251A" w:rsidRPr="00521670" w:rsidRDefault="00DF251A" w:rsidP="005F7FFE">
            <w:pPr>
              <w:pStyle w:val="Tabletext"/>
              <w:keepNext/>
              <w:jc w:val="center"/>
              <w:rPr>
                <w:szCs w:val="18"/>
                <w:lang w:val="ru-RU" w:eastAsia="en-GB"/>
              </w:rPr>
            </w:pPr>
            <w:r w:rsidRPr="00521670">
              <w:rPr>
                <w:szCs w:val="18"/>
                <w:lang w:val="ru-RU" w:eastAsia="en-GB"/>
              </w:rPr>
              <w:t>I</w:t>
            </w:r>
          </w:p>
        </w:tc>
        <w:tc>
          <w:tcPr>
            <w:tcW w:w="723" w:type="pct"/>
            <w:tcBorders>
              <w:top w:val="nil"/>
              <w:left w:val="nil"/>
              <w:bottom w:val="nil"/>
              <w:right w:val="nil"/>
            </w:tcBorders>
            <w:shd w:val="clear" w:color="auto" w:fill="auto"/>
            <w:vAlign w:val="center"/>
            <w:hideMark/>
          </w:tcPr>
          <w:p w14:paraId="2392E26A" w14:textId="77777777" w:rsidR="00DF251A" w:rsidRPr="00521670" w:rsidRDefault="00DF251A" w:rsidP="005F7FFE">
            <w:pPr>
              <w:pStyle w:val="Tabletext"/>
              <w:keepNext/>
              <w:jc w:val="center"/>
              <w:rPr>
                <w:szCs w:val="18"/>
                <w:lang w:val="ru-RU" w:eastAsia="en-GB"/>
              </w:rPr>
            </w:pPr>
            <w:r w:rsidRPr="00521670">
              <w:rPr>
                <w:szCs w:val="18"/>
                <w:lang w:val="ru-RU" w:eastAsia="en-GB"/>
              </w:rPr>
              <w:t>2039 г.</w:t>
            </w:r>
          </w:p>
        </w:tc>
        <w:tc>
          <w:tcPr>
            <w:tcW w:w="723" w:type="pct"/>
            <w:tcBorders>
              <w:top w:val="nil"/>
              <w:left w:val="nil"/>
              <w:bottom w:val="nil"/>
              <w:right w:val="nil"/>
            </w:tcBorders>
            <w:shd w:val="clear" w:color="auto" w:fill="auto"/>
            <w:noWrap/>
            <w:vAlign w:val="bottom"/>
          </w:tcPr>
          <w:p w14:paraId="5504BF31" w14:textId="77777777" w:rsidR="00DF251A" w:rsidRPr="00521670" w:rsidRDefault="00DF251A" w:rsidP="00E33449">
            <w:pPr>
              <w:pStyle w:val="Tabletext"/>
              <w:keepNext/>
              <w:jc w:val="right"/>
              <w:rPr>
                <w:szCs w:val="18"/>
                <w:lang w:val="ru-RU" w:eastAsia="en-GB"/>
              </w:rPr>
            </w:pPr>
            <w:r w:rsidRPr="00521670">
              <w:rPr>
                <w:szCs w:val="18"/>
                <w:lang w:val="ru-RU"/>
              </w:rPr>
              <w:t>6 450</w:t>
            </w:r>
          </w:p>
        </w:tc>
        <w:tc>
          <w:tcPr>
            <w:tcW w:w="722" w:type="pct"/>
            <w:tcBorders>
              <w:top w:val="nil"/>
              <w:left w:val="nil"/>
              <w:bottom w:val="nil"/>
              <w:right w:val="nil"/>
            </w:tcBorders>
            <w:shd w:val="clear" w:color="auto" w:fill="auto"/>
            <w:noWrap/>
            <w:vAlign w:val="bottom"/>
          </w:tcPr>
          <w:p w14:paraId="3227ADF7" w14:textId="77777777" w:rsidR="00DF251A" w:rsidRPr="00521670" w:rsidRDefault="00DF251A" w:rsidP="00E33449">
            <w:pPr>
              <w:pStyle w:val="Tabletext"/>
              <w:keepNext/>
              <w:jc w:val="right"/>
              <w:rPr>
                <w:szCs w:val="18"/>
                <w:lang w:val="ru-RU" w:eastAsia="en-GB"/>
              </w:rPr>
            </w:pPr>
            <w:r w:rsidRPr="00521670">
              <w:rPr>
                <w:szCs w:val="18"/>
                <w:lang w:val="ru-RU"/>
              </w:rPr>
              <w:t>6 793</w:t>
            </w:r>
          </w:p>
        </w:tc>
      </w:tr>
      <w:tr w:rsidR="00DF251A" w:rsidRPr="00521670" w14:paraId="5EC04ADE" w14:textId="77777777" w:rsidTr="00106C96">
        <w:trPr>
          <w:trHeight w:val="260"/>
          <w:jc w:val="center"/>
        </w:trPr>
        <w:tc>
          <w:tcPr>
            <w:tcW w:w="2108" w:type="pct"/>
            <w:tcBorders>
              <w:top w:val="nil"/>
              <w:left w:val="nil"/>
              <w:bottom w:val="nil"/>
              <w:right w:val="nil"/>
            </w:tcBorders>
            <w:shd w:val="clear" w:color="auto" w:fill="auto"/>
            <w:vAlign w:val="center"/>
            <w:hideMark/>
          </w:tcPr>
          <w:p w14:paraId="22F924B0" w14:textId="77777777" w:rsidR="00DF251A" w:rsidRPr="00521670" w:rsidRDefault="00DF251A" w:rsidP="005F7FFE">
            <w:pPr>
              <w:pStyle w:val="Tabletext"/>
              <w:keepNext/>
              <w:rPr>
                <w:szCs w:val="18"/>
                <w:lang w:val="ru-RU" w:eastAsia="en-GB"/>
              </w:rPr>
            </w:pPr>
            <w:r w:rsidRPr="00521670">
              <w:rPr>
                <w:szCs w:val="18"/>
                <w:lang w:val="ru-RU"/>
              </w:rPr>
              <w:t>45 427 250 шв. фр. − с 2002 г.</w:t>
            </w:r>
          </w:p>
        </w:tc>
        <w:tc>
          <w:tcPr>
            <w:tcW w:w="724" w:type="pct"/>
            <w:tcBorders>
              <w:top w:val="nil"/>
              <w:left w:val="nil"/>
              <w:bottom w:val="nil"/>
              <w:right w:val="nil"/>
            </w:tcBorders>
            <w:shd w:val="clear" w:color="auto" w:fill="auto"/>
            <w:vAlign w:val="center"/>
            <w:hideMark/>
          </w:tcPr>
          <w:p w14:paraId="4B012757" w14:textId="77777777" w:rsidR="00DF251A" w:rsidRPr="00521670" w:rsidRDefault="00DF251A" w:rsidP="005F7FFE">
            <w:pPr>
              <w:pStyle w:val="Tabletext"/>
              <w:keepNext/>
              <w:jc w:val="center"/>
              <w:rPr>
                <w:szCs w:val="18"/>
                <w:lang w:val="ru-RU" w:eastAsia="en-GB"/>
              </w:rPr>
            </w:pPr>
            <w:r w:rsidRPr="00521670">
              <w:rPr>
                <w:szCs w:val="18"/>
                <w:lang w:val="ru-RU" w:eastAsia="en-GB"/>
              </w:rPr>
              <w:t>II</w:t>
            </w:r>
          </w:p>
        </w:tc>
        <w:tc>
          <w:tcPr>
            <w:tcW w:w="723" w:type="pct"/>
            <w:tcBorders>
              <w:top w:val="nil"/>
              <w:left w:val="nil"/>
              <w:bottom w:val="nil"/>
              <w:right w:val="nil"/>
            </w:tcBorders>
            <w:shd w:val="clear" w:color="auto" w:fill="auto"/>
            <w:vAlign w:val="center"/>
            <w:hideMark/>
          </w:tcPr>
          <w:p w14:paraId="064EFF50" w14:textId="77777777" w:rsidR="00DF251A" w:rsidRPr="00521670" w:rsidRDefault="00DF251A" w:rsidP="005F7FFE">
            <w:pPr>
              <w:pStyle w:val="Tabletext"/>
              <w:keepNext/>
              <w:jc w:val="center"/>
              <w:rPr>
                <w:szCs w:val="18"/>
                <w:lang w:val="ru-RU" w:eastAsia="en-GB"/>
              </w:rPr>
            </w:pPr>
            <w:r w:rsidRPr="00521670">
              <w:rPr>
                <w:szCs w:val="18"/>
                <w:lang w:val="ru-RU" w:eastAsia="en-GB"/>
              </w:rPr>
              <w:t>2051 г.</w:t>
            </w:r>
          </w:p>
        </w:tc>
        <w:tc>
          <w:tcPr>
            <w:tcW w:w="723" w:type="pct"/>
            <w:tcBorders>
              <w:top w:val="nil"/>
              <w:left w:val="nil"/>
              <w:bottom w:val="nil"/>
              <w:right w:val="nil"/>
            </w:tcBorders>
            <w:shd w:val="clear" w:color="auto" w:fill="auto"/>
            <w:noWrap/>
            <w:vAlign w:val="bottom"/>
          </w:tcPr>
          <w:p w14:paraId="1FA55736" w14:textId="77777777" w:rsidR="00DF251A" w:rsidRPr="00521670" w:rsidRDefault="00DF251A" w:rsidP="00E33449">
            <w:pPr>
              <w:pStyle w:val="Tabletext"/>
              <w:keepNext/>
              <w:jc w:val="right"/>
              <w:rPr>
                <w:szCs w:val="18"/>
                <w:lang w:val="ru-RU" w:eastAsia="en-GB"/>
              </w:rPr>
            </w:pPr>
            <w:r w:rsidRPr="00521670">
              <w:rPr>
                <w:szCs w:val="18"/>
                <w:lang w:val="ru-RU"/>
              </w:rPr>
              <w:t>23 308</w:t>
            </w:r>
          </w:p>
        </w:tc>
        <w:tc>
          <w:tcPr>
            <w:tcW w:w="722" w:type="pct"/>
            <w:tcBorders>
              <w:top w:val="nil"/>
              <w:left w:val="nil"/>
              <w:bottom w:val="nil"/>
              <w:right w:val="nil"/>
            </w:tcBorders>
            <w:shd w:val="clear" w:color="auto" w:fill="auto"/>
            <w:noWrap/>
            <w:vAlign w:val="bottom"/>
          </w:tcPr>
          <w:p w14:paraId="250F8078" w14:textId="77777777" w:rsidR="00DF251A" w:rsidRPr="00521670" w:rsidRDefault="00DF251A" w:rsidP="00E33449">
            <w:pPr>
              <w:pStyle w:val="Tabletext"/>
              <w:keepNext/>
              <w:jc w:val="right"/>
              <w:rPr>
                <w:szCs w:val="18"/>
                <w:lang w:val="ru-RU" w:eastAsia="en-GB"/>
              </w:rPr>
            </w:pPr>
            <w:r w:rsidRPr="00521670">
              <w:rPr>
                <w:szCs w:val="18"/>
                <w:lang w:val="ru-RU"/>
              </w:rPr>
              <w:t>23 687</w:t>
            </w:r>
          </w:p>
        </w:tc>
      </w:tr>
      <w:tr w:rsidR="00DF251A" w:rsidRPr="00521670" w14:paraId="3E42BA4F" w14:textId="77777777" w:rsidTr="00106C96">
        <w:trPr>
          <w:trHeight w:val="260"/>
          <w:jc w:val="center"/>
        </w:trPr>
        <w:tc>
          <w:tcPr>
            <w:tcW w:w="2108" w:type="pct"/>
            <w:tcBorders>
              <w:top w:val="nil"/>
              <w:left w:val="nil"/>
              <w:bottom w:val="nil"/>
              <w:right w:val="nil"/>
            </w:tcBorders>
            <w:shd w:val="clear" w:color="auto" w:fill="auto"/>
            <w:vAlign w:val="center"/>
            <w:hideMark/>
          </w:tcPr>
          <w:p w14:paraId="1205073C" w14:textId="77777777" w:rsidR="00DF251A" w:rsidRPr="00521670" w:rsidRDefault="00DF251A" w:rsidP="005F7FFE">
            <w:pPr>
              <w:pStyle w:val="Tabletext"/>
              <w:keepNext/>
              <w:rPr>
                <w:szCs w:val="18"/>
                <w:lang w:val="ru-RU" w:eastAsia="en-GB"/>
              </w:rPr>
            </w:pPr>
            <w:r w:rsidRPr="00521670">
              <w:rPr>
                <w:szCs w:val="18"/>
                <w:lang w:val="ru-RU"/>
              </w:rPr>
              <w:t>2 000 000 шв. фр. − с 2002 г.</w:t>
            </w:r>
          </w:p>
        </w:tc>
        <w:tc>
          <w:tcPr>
            <w:tcW w:w="724" w:type="pct"/>
            <w:tcBorders>
              <w:top w:val="nil"/>
              <w:left w:val="nil"/>
              <w:bottom w:val="nil"/>
              <w:right w:val="nil"/>
            </w:tcBorders>
            <w:shd w:val="clear" w:color="auto" w:fill="auto"/>
            <w:vAlign w:val="center"/>
            <w:hideMark/>
          </w:tcPr>
          <w:p w14:paraId="65F34171" w14:textId="77777777" w:rsidR="00DF251A" w:rsidRPr="00521670" w:rsidRDefault="00DF251A" w:rsidP="005F7FFE">
            <w:pPr>
              <w:pStyle w:val="Tabletext"/>
              <w:keepNext/>
              <w:jc w:val="center"/>
              <w:rPr>
                <w:szCs w:val="18"/>
                <w:lang w:val="ru-RU" w:eastAsia="en-GB"/>
              </w:rPr>
            </w:pPr>
            <w:r w:rsidRPr="00521670">
              <w:rPr>
                <w:szCs w:val="18"/>
                <w:lang w:val="ru-RU" w:eastAsia="en-GB"/>
              </w:rPr>
              <w:t>III</w:t>
            </w:r>
          </w:p>
        </w:tc>
        <w:tc>
          <w:tcPr>
            <w:tcW w:w="723" w:type="pct"/>
            <w:tcBorders>
              <w:top w:val="nil"/>
              <w:left w:val="nil"/>
              <w:bottom w:val="nil"/>
              <w:right w:val="nil"/>
            </w:tcBorders>
            <w:shd w:val="clear" w:color="auto" w:fill="auto"/>
            <w:vAlign w:val="center"/>
            <w:hideMark/>
          </w:tcPr>
          <w:p w14:paraId="4022722E" w14:textId="77777777" w:rsidR="00DF251A" w:rsidRPr="00521670" w:rsidRDefault="00DF251A" w:rsidP="005F7FFE">
            <w:pPr>
              <w:pStyle w:val="Tabletext"/>
              <w:keepNext/>
              <w:jc w:val="center"/>
              <w:rPr>
                <w:szCs w:val="18"/>
                <w:lang w:val="ru-RU" w:eastAsia="en-GB"/>
              </w:rPr>
            </w:pPr>
            <w:r w:rsidRPr="00521670">
              <w:rPr>
                <w:szCs w:val="18"/>
                <w:lang w:val="ru-RU" w:eastAsia="en-GB"/>
              </w:rPr>
              <w:t>2051 г.</w:t>
            </w:r>
          </w:p>
        </w:tc>
        <w:tc>
          <w:tcPr>
            <w:tcW w:w="723" w:type="pct"/>
            <w:tcBorders>
              <w:top w:val="nil"/>
              <w:left w:val="nil"/>
              <w:bottom w:val="nil"/>
              <w:right w:val="nil"/>
            </w:tcBorders>
            <w:shd w:val="clear" w:color="auto" w:fill="auto"/>
            <w:noWrap/>
            <w:vAlign w:val="bottom"/>
          </w:tcPr>
          <w:p w14:paraId="0483184B" w14:textId="77777777" w:rsidR="00DF251A" w:rsidRPr="00521670" w:rsidRDefault="00DF251A" w:rsidP="00E33449">
            <w:pPr>
              <w:pStyle w:val="Tabletext"/>
              <w:keepNext/>
              <w:jc w:val="right"/>
              <w:rPr>
                <w:szCs w:val="18"/>
                <w:lang w:val="ru-RU" w:eastAsia="en-GB"/>
              </w:rPr>
            </w:pPr>
            <w:r w:rsidRPr="00521670">
              <w:rPr>
                <w:szCs w:val="18"/>
                <w:lang w:val="ru-RU"/>
              </w:rPr>
              <w:t>1 026</w:t>
            </w:r>
          </w:p>
        </w:tc>
        <w:tc>
          <w:tcPr>
            <w:tcW w:w="722" w:type="pct"/>
            <w:tcBorders>
              <w:top w:val="nil"/>
              <w:left w:val="nil"/>
              <w:bottom w:val="nil"/>
              <w:right w:val="nil"/>
            </w:tcBorders>
            <w:shd w:val="clear" w:color="auto" w:fill="auto"/>
            <w:noWrap/>
            <w:vAlign w:val="bottom"/>
          </w:tcPr>
          <w:p w14:paraId="3447B6F6" w14:textId="77777777" w:rsidR="00DF251A" w:rsidRPr="00521670" w:rsidRDefault="00DF251A" w:rsidP="00E33449">
            <w:pPr>
              <w:pStyle w:val="Tabletext"/>
              <w:keepNext/>
              <w:jc w:val="right"/>
              <w:rPr>
                <w:szCs w:val="18"/>
                <w:lang w:val="ru-RU" w:eastAsia="en-GB"/>
              </w:rPr>
            </w:pPr>
            <w:r w:rsidRPr="00521670">
              <w:rPr>
                <w:szCs w:val="18"/>
                <w:lang w:val="ru-RU"/>
              </w:rPr>
              <w:t>1 043</w:t>
            </w:r>
          </w:p>
        </w:tc>
      </w:tr>
      <w:tr w:rsidR="00DF251A" w:rsidRPr="00521670" w14:paraId="740472F8" w14:textId="77777777" w:rsidTr="00106C96">
        <w:trPr>
          <w:trHeight w:val="260"/>
          <w:jc w:val="center"/>
        </w:trPr>
        <w:tc>
          <w:tcPr>
            <w:tcW w:w="2108" w:type="pct"/>
            <w:tcBorders>
              <w:top w:val="nil"/>
              <w:left w:val="nil"/>
              <w:bottom w:val="nil"/>
              <w:right w:val="nil"/>
            </w:tcBorders>
            <w:shd w:val="clear" w:color="auto" w:fill="auto"/>
            <w:vAlign w:val="center"/>
            <w:hideMark/>
          </w:tcPr>
          <w:p w14:paraId="20F2325B" w14:textId="77777777" w:rsidR="00DF251A" w:rsidRPr="00521670" w:rsidRDefault="00DF251A" w:rsidP="005F7FFE">
            <w:pPr>
              <w:pStyle w:val="Tabletext"/>
              <w:keepNext/>
              <w:rPr>
                <w:szCs w:val="18"/>
                <w:lang w:val="ru-RU" w:eastAsia="en-GB"/>
              </w:rPr>
            </w:pPr>
            <w:r w:rsidRPr="00521670">
              <w:rPr>
                <w:szCs w:val="18"/>
                <w:lang w:val="ru-RU"/>
              </w:rPr>
              <w:t>Ссуда на проект строительства нового здания</w:t>
            </w:r>
          </w:p>
        </w:tc>
        <w:tc>
          <w:tcPr>
            <w:tcW w:w="724" w:type="pct"/>
            <w:tcBorders>
              <w:top w:val="nil"/>
              <w:left w:val="nil"/>
              <w:bottom w:val="nil"/>
              <w:right w:val="nil"/>
            </w:tcBorders>
            <w:shd w:val="clear" w:color="auto" w:fill="auto"/>
            <w:vAlign w:val="center"/>
            <w:hideMark/>
          </w:tcPr>
          <w:p w14:paraId="068295BE" w14:textId="77777777" w:rsidR="00DF251A" w:rsidRPr="00521670" w:rsidRDefault="00DF251A" w:rsidP="005F7FFE">
            <w:pPr>
              <w:pStyle w:val="Tabletext"/>
              <w:keepNext/>
              <w:jc w:val="center"/>
              <w:rPr>
                <w:szCs w:val="18"/>
                <w:lang w:val="ru-RU" w:eastAsia="en-GB"/>
              </w:rPr>
            </w:pPr>
            <w:r w:rsidRPr="00521670">
              <w:rPr>
                <w:szCs w:val="18"/>
                <w:lang w:val="ru-RU" w:eastAsia="en-GB"/>
              </w:rPr>
              <w:t>IV</w:t>
            </w:r>
          </w:p>
        </w:tc>
        <w:tc>
          <w:tcPr>
            <w:tcW w:w="723" w:type="pct"/>
            <w:tcBorders>
              <w:top w:val="nil"/>
              <w:left w:val="nil"/>
              <w:bottom w:val="nil"/>
              <w:right w:val="nil"/>
            </w:tcBorders>
            <w:shd w:val="clear" w:color="auto" w:fill="auto"/>
            <w:vAlign w:val="center"/>
            <w:hideMark/>
          </w:tcPr>
          <w:p w14:paraId="5AB754D7" w14:textId="77777777" w:rsidR="00DF251A" w:rsidRPr="00521670" w:rsidRDefault="00DF251A" w:rsidP="006573AA">
            <w:pPr>
              <w:pStyle w:val="Tabletext"/>
              <w:keepNext/>
              <w:jc w:val="center"/>
              <w:rPr>
                <w:szCs w:val="18"/>
                <w:lang w:val="ru-RU" w:eastAsia="en-GB"/>
              </w:rPr>
            </w:pPr>
            <w:r w:rsidRPr="00521670">
              <w:rPr>
                <w:szCs w:val="18"/>
                <w:lang w:val="ru-RU" w:eastAsia="en-GB"/>
              </w:rPr>
              <w:t>не установлен</w:t>
            </w:r>
          </w:p>
        </w:tc>
        <w:tc>
          <w:tcPr>
            <w:tcW w:w="723" w:type="pct"/>
            <w:tcBorders>
              <w:top w:val="nil"/>
              <w:left w:val="nil"/>
              <w:bottom w:val="nil"/>
              <w:right w:val="nil"/>
            </w:tcBorders>
            <w:shd w:val="clear" w:color="auto" w:fill="auto"/>
            <w:noWrap/>
            <w:vAlign w:val="bottom"/>
          </w:tcPr>
          <w:p w14:paraId="463EAC7F" w14:textId="77777777" w:rsidR="00DF251A" w:rsidRPr="00521670" w:rsidRDefault="00DF251A" w:rsidP="00E33449">
            <w:pPr>
              <w:pStyle w:val="Tabletext"/>
              <w:keepNext/>
              <w:jc w:val="right"/>
              <w:rPr>
                <w:szCs w:val="18"/>
                <w:lang w:val="ru-RU" w:eastAsia="en-GB"/>
              </w:rPr>
            </w:pPr>
            <w:r w:rsidRPr="00521670">
              <w:rPr>
                <w:szCs w:val="18"/>
                <w:lang w:val="ru-RU"/>
              </w:rPr>
              <w:t>22 525</w:t>
            </w:r>
          </w:p>
        </w:tc>
        <w:tc>
          <w:tcPr>
            <w:tcW w:w="722" w:type="pct"/>
            <w:tcBorders>
              <w:top w:val="nil"/>
              <w:left w:val="nil"/>
              <w:bottom w:val="nil"/>
              <w:right w:val="nil"/>
            </w:tcBorders>
            <w:shd w:val="clear" w:color="auto" w:fill="auto"/>
            <w:noWrap/>
            <w:vAlign w:val="bottom"/>
          </w:tcPr>
          <w:p w14:paraId="6D6C6FA8" w14:textId="77777777" w:rsidR="00DF251A" w:rsidRPr="00521670" w:rsidRDefault="00DF251A" w:rsidP="00E33449">
            <w:pPr>
              <w:pStyle w:val="Tabletext"/>
              <w:keepNext/>
              <w:jc w:val="right"/>
              <w:rPr>
                <w:szCs w:val="18"/>
                <w:lang w:val="ru-RU" w:eastAsia="en-GB"/>
              </w:rPr>
            </w:pPr>
            <w:r w:rsidRPr="00521670">
              <w:rPr>
                <w:szCs w:val="18"/>
                <w:lang w:val="ru-RU"/>
              </w:rPr>
              <w:t>21 525</w:t>
            </w:r>
          </w:p>
        </w:tc>
      </w:tr>
      <w:tr w:rsidR="00DF251A" w:rsidRPr="00521670" w14:paraId="15B4CFF3" w14:textId="77777777" w:rsidTr="00106C96">
        <w:trPr>
          <w:trHeight w:val="260"/>
          <w:jc w:val="center"/>
        </w:trPr>
        <w:tc>
          <w:tcPr>
            <w:tcW w:w="2108" w:type="pct"/>
            <w:tcBorders>
              <w:top w:val="nil"/>
              <w:left w:val="nil"/>
              <w:bottom w:val="nil"/>
              <w:right w:val="nil"/>
            </w:tcBorders>
            <w:shd w:val="clear" w:color="auto" w:fill="auto"/>
            <w:vAlign w:val="center"/>
            <w:hideMark/>
          </w:tcPr>
          <w:p w14:paraId="69BB8682" w14:textId="77777777" w:rsidR="00DF251A" w:rsidRPr="00521670" w:rsidRDefault="00DF251A" w:rsidP="00835292">
            <w:pPr>
              <w:pStyle w:val="Tabletext"/>
              <w:spacing w:before="0" w:after="0"/>
              <w:rPr>
                <w:szCs w:val="18"/>
                <w:lang w:val="ru-RU"/>
              </w:rPr>
            </w:pPr>
          </w:p>
        </w:tc>
        <w:tc>
          <w:tcPr>
            <w:tcW w:w="724" w:type="pct"/>
            <w:tcBorders>
              <w:top w:val="nil"/>
              <w:left w:val="nil"/>
              <w:bottom w:val="nil"/>
              <w:right w:val="nil"/>
            </w:tcBorders>
            <w:shd w:val="clear" w:color="auto" w:fill="auto"/>
            <w:vAlign w:val="center"/>
            <w:hideMark/>
          </w:tcPr>
          <w:p w14:paraId="5A241127" w14:textId="77777777" w:rsidR="00DF251A" w:rsidRPr="00521670" w:rsidRDefault="00DF251A" w:rsidP="00835292">
            <w:pPr>
              <w:pStyle w:val="Tabletext"/>
              <w:spacing w:before="0" w:after="0"/>
              <w:jc w:val="right"/>
              <w:rPr>
                <w:szCs w:val="18"/>
                <w:lang w:val="ru-RU"/>
              </w:rPr>
            </w:pPr>
          </w:p>
        </w:tc>
        <w:tc>
          <w:tcPr>
            <w:tcW w:w="723" w:type="pct"/>
            <w:tcBorders>
              <w:top w:val="nil"/>
              <w:left w:val="nil"/>
              <w:bottom w:val="nil"/>
              <w:right w:val="nil"/>
            </w:tcBorders>
            <w:shd w:val="clear" w:color="auto" w:fill="auto"/>
            <w:vAlign w:val="center"/>
            <w:hideMark/>
          </w:tcPr>
          <w:p w14:paraId="34B2DC89" w14:textId="77777777" w:rsidR="00DF251A" w:rsidRPr="00521670" w:rsidRDefault="00DF251A" w:rsidP="00835292">
            <w:pPr>
              <w:pStyle w:val="Tabletext"/>
              <w:spacing w:before="0" w:after="0"/>
              <w:jc w:val="right"/>
              <w:rPr>
                <w:szCs w:val="18"/>
                <w:lang w:val="ru-RU"/>
              </w:rPr>
            </w:pPr>
          </w:p>
        </w:tc>
        <w:tc>
          <w:tcPr>
            <w:tcW w:w="723" w:type="pct"/>
            <w:tcBorders>
              <w:top w:val="nil"/>
              <w:left w:val="nil"/>
              <w:bottom w:val="nil"/>
              <w:right w:val="nil"/>
            </w:tcBorders>
            <w:shd w:val="clear" w:color="auto" w:fill="auto"/>
            <w:noWrap/>
            <w:vAlign w:val="bottom"/>
          </w:tcPr>
          <w:p w14:paraId="4CC345AA" w14:textId="77777777" w:rsidR="00DF251A" w:rsidRPr="00521670" w:rsidRDefault="00DF251A" w:rsidP="00E33449">
            <w:pPr>
              <w:pStyle w:val="Tabletext"/>
              <w:spacing w:before="0" w:after="0"/>
              <w:jc w:val="right"/>
              <w:rPr>
                <w:szCs w:val="18"/>
                <w:lang w:val="ru-RU"/>
              </w:rPr>
            </w:pPr>
          </w:p>
        </w:tc>
        <w:tc>
          <w:tcPr>
            <w:tcW w:w="722" w:type="pct"/>
            <w:tcBorders>
              <w:top w:val="nil"/>
              <w:left w:val="nil"/>
              <w:bottom w:val="nil"/>
              <w:right w:val="nil"/>
            </w:tcBorders>
            <w:shd w:val="clear" w:color="auto" w:fill="auto"/>
            <w:noWrap/>
            <w:vAlign w:val="bottom"/>
          </w:tcPr>
          <w:p w14:paraId="7A54790D" w14:textId="77777777" w:rsidR="00DF251A" w:rsidRPr="00521670" w:rsidRDefault="00DF251A" w:rsidP="00E33449">
            <w:pPr>
              <w:pStyle w:val="Tabletext"/>
              <w:spacing w:before="0" w:after="0"/>
              <w:jc w:val="right"/>
              <w:rPr>
                <w:szCs w:val="18"/>
                <w:lang w:val="ru-RU"/>
              </w:rPr>
            </w:pPr>
          </w:p>
        </w:tc>
      </w:tr>
      <w:tr w:rsidR="00DF251A" w:rsidRPr="00521670" w14:paraId="0F854FE0" w14:textId="77777777" w:rsidTr="00106C96">
        <w:trPr>
          <w:trHeight w:val="260"/>
          <w:jc w:val="center"/>
        </w:trPr>
        <w:tc>
          <w:tcPr>
            <w:tcW w:w="2108" w:type="pct"/>
            <w:tcBorders>
              <w:top w:val="nil"/>
              <w:left w:val="nil"/>
              <w:bottom w:val="nil"/>
              <w:right w:val="nil"/>
            </w:tcBorders>
            <w:shd w:val="clear" w:color="auto" w:fill="auto"/>
            <w:vAlign w:val="center"/>
            <w:hideMark/>
          </w:tcPr>
          <w:p w14:paraId="549A6A3A" w14:textId="77777777" w:rsidR="00DF251A" w:rsidRPr="00521670" w:rsidRDefault="00DF251A" w:rsidP="005F7FFE">
            <w:pPr>
              <w:pStyle w:val="Tabletext"/>
              <w:keepNext/>
              <w:rPr>
                <w:szCs w:val="18"/>
                <w:lang w:val="ru-RU" w:eastAsia="en-GB"/>
              </w:rPr>
            </w:pPr>
            <w:r w:rsidRPr="00521670">
              <w:rPr>
                <w:szCs w:val="18"/>
                <w:lang w:val="ru-RU"/>
              </w:rPr>
              <w:t>в том числе краткосрочные</w:t>
            </w:r>
          </w:p>
        </w:tc>
        <w:tc>
          <w:tcPr>
            <w:tcW w:w="724" w:type="pct"/>
            <w:tcBorders>
              <w:top w:val="nil"/>
              <w:left w:val="nil"/>
              <w:bottom w:val="nil"/>
              <w:right w:val="nil"/>
            </w:tcBorders>
            <w:shd w:val="clear" w:color="auto" w:fill="auto"/>
            <w:vAlign w:val="center"/>
          </w:tcPr>
          <w:p w14:paraId="42EA21D1" w14:textId="77777777" w:rsidR="00DF251A" w:rsidRPr="00521670" w:rsidRDefault="00DF251A" w:rsidP="005F7FFE">
            <w:pPr>
              <w:pStyle w:val="Tabletext"/>
              <w:keepNext/>
              <w:jc w:val="right"/>
              <w:rPr>
                <w:szCs w:val="18"/>
                <w:lang w:val="ru-RU" w:eastAsia="en-GB"/>
              </w:rPr>
            </w:pPr>
          </w:p>
        </w:tc>
        <w:tc>
          <w:tcPr>
            <w:tcW w:w="723" w:type="pct"/>
            <w:tcBorders>
              <w:top w:val="nil"/>
              <w:left w:val="nil"/>
              <w:bottom w:val="nil"/>
              <w:right w:val="nil"/>
            </w:tcBorders>
            <w:shd w:val="clear" w:color="auto" w:fill="auto"/>
            <w:vAlign w:val="center"/>
          </w:tcPr>
          <w:p w14:paraId="2B20143C" w14:textId="77777777" w:rsidR="00DF251A" w:rsidRPr="00521670" w:rsidRDefault="00DF251A" w:rsidP="005F7FFE">
            <w:pPr>
              <w:pStyle w:val="Tabletext"/>
              <w:keepNext/>
              <w:jc w:val="right"/>
              <w:rPr>
                <w:rFonts w:ascii="Times New Roman" w:hAnsi="Times New Roman"/>
                <w:szCs w:val="18"/>
                <w:lang w:val="ru-RU" w:eastAsia="en-GB"/>
              </w:rPr>
            </w:pPr>
          </w:p>
        </w:tc>
        <w:tc>
          <w:tcPr>
            <w:tcW w:w="723" w:type="pct"/>
            <w:tcBorders>
              <w:top w:val="nil"/>
              <w:left w:val="nil"/>
              <w:bottom w:val="nil"/>
              <w:right w:val="nil"/>
            </w:tcBorders>
            <w:shd w:val="clear" w:color="auto" w:fill="auto"/>
            <w:noWrap/>
            <w:vAlign w:val="bottom"/>
          </w:tcPr>
          <w:p w14:paraId="08B51C50" w14:textId="77777777" w:rsidR="00DF251A" w:rsidRPr="00521670" w:rsidRDefault="00DF251A" w:rsidP="00E33449">
            <w:pPr>
              <w:pStyle w:val="Tabletext"/>
              <w:keepNext/>
              <w:jc w:val="right"/>
              <w:rPr>
                <w:szCs w:val="18"/>
                <w:lang w:val="ru-RU" w:eastAsia="en-GB"/>
              </w:rPr>
            </w:pPr>
            <w:r w:rsidRPr="00521670">
              <w:rPr>
                <w:szCs w:val="18"/>
                <w:lang w:val="ru-RU"/>
              </w:rPr>
              <w:t>1 391</w:t>
            </w:r>
          </w:p>
        </w:tc>
        <w:tc>
          <w:tcPr>
            <w:tcW w:w="722" w:type="pct"/>
            <w:tcBorders>
              <w:top w:val="nil"/>
              <w:left w:val="nil"/>
              <w:bottom w:val="nil"/>
              <w:right w:val="nil"/>
            </w:tcBorders>
            <w:shd w:val="clear" w:color="auto" w:fill="auto"/>
            <w:noWrap/>
            <w:vAlign w:val="bottom"/>
          </w:tcPr>
          <w:p w14:paraId="270BECB9" w14:textId="77777777" w:rsidR="00DF251A" w:rsidRPr="00521670" w:rsidRDefault="00DF251A" w:rsidP="00E33449">
            <w:pPr>
              <w:pStyle w:val="Tabletext"/>
              <w:keepNext/>
              <w:jc w:val="right"/>
              <w:rPr>
                <w:szCs w:val="18"/>
                <w:lang w:val="ru-RU" w:eastAsia="en-GB"/>
              </w:rPr>
            </w:pPr>
            <w:r w:rsidRPr="00521670">
              <w:rPr>
                <w:szCs w:val="18"/>
                <w:lang w:val="ru-RU"/>
              </w:rPr>
              <w:t>1 391</w:t>
            </w:r>
          </w:p>
        </w:tc>
      </w:tr>
      <w:tr w:rsidR="00DF251A" w:rsidRPr="00521670" w14:paraId="6B31C21D" w14:textId="77777777" w:rsidTr="00106C96">
        <w:trPr>
          <w:trHeight w:val="260"/>
          <w:jc w:val="center"/>
        </w:trPr>
        <w:tc>
          <w:tcPr>
            <w:tcW w:w="2108" w:type="pct"/>
            <w:tcBorders>
              <w:top w:val="nil"/>
              <w:left w:val="nil"/>
              <w:bottom w:val="nil"/>
              <w:right w:val="nil"/>
            </w:tcBorders>
            <w:shd w:val="clear" w:color="auto" w:fill="auto"/>
            <w:vAlign w:val="center"/>
            <w:hideMark/>
          </w:tcPr>
          <w:p w14:paraId="0855EF9D" w14:textId="77777777" w:rsidR="00DF251A" w:rsidRPr="00521670" w:rsidRDefault="00DF251A" w:rsidP="005F7FFE">
            <w:pPr>
              <w:pStyle w:val="Tabletext"/>
              <w:keepNext/>
              <w:rPr>
                <w:szCs w:val="18"/>
                <w:lang w:val="ru-RU" w:eastAsia="en-GB"/>
              </w:rPr>
            </w:pPr>
            <w:r w:rsidRPr="00521670">
              <w:rPr>
                <w:szCs w:val="18"/>
                <w:lang w:val="ru-RU"/>
              </w:rPr>
              <w:t>в том числе долгосрочные</w:t>
            </w:r>
          </w:p>
        </w:tc>
        <w:tc>
          <w:tcPr>
            <w:tcW w:w="724" w:type="pct"/>
            <w:tcBorders>
              <w:top w:val="nil"/>
              <w:left w:val="nil"/>
              <w:bottom w:val="nil"/>
              <w:right w:val="nil"/>
            </w:tcBorders>
            <w:shd w:val="clear" w:color="auto" w:fill="auto"/>
            <w:vAlign w:val="center"/>
          </w:tcPr>
          <w:p w14:paraId="63D60617" w14:textId="77777777" w:rsidR="00DF251A" w:rsidRPr="00521670" w:rsidRDefault="00DF251A" w:rsidP="005F7FFE">
            <w:pPr>
              <w:pStyle w:val="Tabletext"/>
              <w:keepNext/>
              <w:jc w:val="right"/>
              <w:rPr>
                <w:szCs w:val="18"/>
                <w:lang w:val="ru-RU" w:eastAsia="en-GB"/>
              </w:rPr>
            </w:pPr>
          </w:p>
        </w:tc>
        <w:tc>
          <w:tcPr>
            <w:tcW w:w="723" w:type="pct"/>
            <w:tcBorders>
              <w:top w:val="nil"/>
              <w:left w:val="nil"/>
              <w:bottom w:val="nil"/>
              <w:right w:val="nil"/>
            </w:tcBorders>
            <w:shd w:val="clear" w:color="auto" w:fill="auto"/>
            <w:vAlign w:val="center"/>
          </w:tcPr>
          <w:p w14:paraId="24B49911" w14:textId="77777777" w:rsidR="00DF251A" w:rsidRPr="00521670" w:rsidRDefault="00DF251A" w:rsidP="005F7FFE">
            <w:pPr>
              <w:pStyle w:val="Tabletext"/>
              <w:keepNext/>
              <w:jc w:val="right"/>
              <w:rPr>
                <w:rFonts w:ascii="Times New Roman" w:hAnsi="Times New Roman"/>
                <w:szCs w:val="18"/>
                <w:lang w:val="ru-RU" w:eastAsia="en-GB"/>
              </w:rPr>
            </w:pPr>
          </w:p>
        </w:tc>
        <w:tc>
          <w:tcPr>
            <w:tcW w:w="723" w:type="pct"/>
            <w:tcBorders>
              <w:top w:val="nil"/>
              <w:left w:val="nil"/>
              <w:bottom w:val="nil"/>
              <w:right w:val="nil"/>
            </w:tcBorders>
            <w:shd w:val="clear" w:color="auto" w:fill="auto"/>
            <w:noWrap/>
            <w:vAlign w:val="bottom"/>
          </w:tcPr>
          <w:p w14:paraId="3F60EC8E" w14:textId="77777777" w:rsidR="00DF251A" w:rsidRPr="00521670" w:rsidRDefault="00DF251A" w:rsidP="00E33449">
            <w:pPr>
              <w:pStyle w:val="Tabletext"/>
              <w:keepNext/>
              <w:jc w:val="right"/>
              <w:rPr>
                <w:szCs w:val="18"/>
                <w:lang w:val="ru-RU" w:eastAsia="en-GB"/>
              </w:rPr>
            </w:pPr>
            <w:r w:rsidRPr="00521670">
              <w:rPr>
                <w:szCs w:val="18"/>
                <w:lang w:val="ru-RU"/>
              </w:rPr>
              <w:t>51 918</w:t>
            </w:r>
          </w:p>
        </w:tc>
        <w:tc>
          <w:tcPr>
            <w:tcW w:w="722" w:type="pct"/>
            <w:tcBorders>
              <w:top w:val="nil"/>
              <w:left w:val="nil"/>
              <w:bottom w:val="nil"/>
              <w:right w:val="nil"/>
            </w:tcBorders>
            <w:shd w:val="clear" w:color="auto" w:fill="auto"/>
            <w:noWrap/>
            <w:vAlign w:val="bottom"/>
          </w:tcPr>
          <w:p w14:paraId="045FD317" w14:textId="77777777" w:rsidR="00DF251A" w:rsidRPr="00521670" w:rsidRDefault="00DF251A" w:rsidP="00E33449">
            <w:pPr>
              <w:pStyle w:val="Tabletext"/>
              <w:keepNext/>
              <w:jc w:val="right"/>
              <w:rPr>
                <w:szCs w:val="18"/>
                <w:lang w:val="ru-RU" w:eastAsia="en-GB"/>
              </w:rPr>
            </w:pPr>
            <w:r w:rsidRPr="00521670">
              <w:rPr>
                <w:szCs w:val="18"/>
                <w:lang w:val="ru-RU"/>
              </w:rPr>
              <w:t>51 657</w:t>
            </w:r>
          </w:p>
        </w:tc>
      </w:tr>
      <w:tr w:rsidR="00DF251A" w:rsidRPr="00521670" w14:paraId="0A1BEA89" w14:textId="77777777" w:rsidTr="00106C96">
        <w:trPr>
          <w:trHeight w:val="339"/>
          <w:jc w:val="center"/>
        </w:trPr>
        <w:tc>
          <w:tcPr>
            <w:tcW w:w="2108" w:type="pct"/>
            <w:tcBorders>
              <w:top w:val="nil"/>
              <w:left w:val="nil"/>
              <w:bottom w:val="nil"/>
              <w:right w:val="nil"/>
            </w:tcBorders>
            <w:shd w:val="clear" w:color="000000" w:fill="0070C0"/>
            <w:vAlign w:val="center"/>
            <w:hideMark/>
          </w:tcPr>
          <w:p w14:paraId="6EF0CB8B" w14:textId="77777777" w:rsidR="00DF251A" w:rsidRPr="00521670" w:rsidRDefault="00DF251A" w:rsidP="005F7FFE">
            <w:pPr>
              <w:pStyle w:val="Tabletext"/>
              <w:rPr>
                <w:b/>
                <w:bCs/>
                <w:szCs w:val="18"/>
                <w:lang w:val="ru-RU" w:eastAsia="en-GB"/>
              </w:rPr>
            </w:pPr>
            <w:r w:rsidRPr="00521670">
              <w:rPr>
                <w:b/>
                <w:bCs/>
                <w:szCs w:val="18"/>
                <w:lang w:val="ru-RU"/>
              </w:rPr>
              <w:t>Займы − чистая текущая стоимость</w:t>
            </w:r>
          </w:p>
        </w:tc>
        <w:tc>
          <w:tcPr>
            <w:tcW w:w="724" w:type="pct"/>
            <w:tcBorders>
              <w:top w:val="nil"/>
              <w:left w:val="nil"/>
              <w:bottom w:val="nil"/>
              <w:right w:val="nil"/>
            </w:tcBorders>
            <w:shd w:val="clear" w:color="000000" w:fill="0070C0"/>
            <w:vAlign w:val="center"/>
          </w:tcPr>
          <w:p w14:paraId="26BD7AD3" w14:textId="77777777" w:rsidR="00DF251A" w:rsidRPr="00521670" w:rsidRDefault="00DF251A" w:rsidP="005F7FFE">
            <w:pPr>
              <w:pStyle w:val="Tabletext"/>
              <w:jc w:val="right"/>
              <w:rPr>
                <w:b/>
                <w:bCs/>
                <w:szCs w:val="18"/>
                <w:lang w:val="ru-RU" w:eastAsia="en-GB"/>
              </w:rPr>
            </w:pPr>
          </w:p>
        </w:tc>
        <w:tc>
          <w:tcPr>
            <w:tcW w:w="723" w:type="pct"/>
            <w:tcBorders>
              <w:top w:val="nil"/>
              <w:left w:val="nil"/>
              <w:bottom w:val="nil"/>
              <w:right w:val="nil"/>
            </w:tcBorders>
            <w:shd w:val="clear" w:color="000000" w:fill="0070C0"/>
            <w:noWrap/>
            <w:vAlign w:val="center"/>
          </w:tcPr>
          <w:p w14:paraId="4E1DB6B6" w14:textId="77777777" w:rsidR="00DF251A" w:rsidRPr="00521670" w:rsidRDefault="00DF251A" w:rsidP="005F7FFE">
            <w:pPr>
              <w:pStyle w:val="Tabletext"/>
              <w:jc w:val="right"/>
              <w:rPr>
                <w:b/>
                <w:bCs/>
                <w:szCs w:val="18"/>
                <w:lang w:val="ru-RU" w:eastAsia="en-GB"/>
              </w:rPr>
            </w:pPr>
          </w:p>
        </w:tc>
        <w:tc>
          <w:tcPr>
            <w:tcW w:w="723" w:type="pct"/>
            <w:tcBorders>
              <w:top w:val="nil"/>
              <w:left w:val="nil"/>
              <w:bottom w:val="nil"/>
              <w:right w:val="nil"/>
            </w:tcBorders>
            <w:shd w:val="clear" w:color="000000" w:fill="0070C0"/>
            <w:noWrap/>
            <w:vAlign w:val="bottom"/>
          </w:tcPr>
          <w:p w14:paraId="64F73796" w14:textId="77777777" w:rsidR="00DF251A" w:rsidRPr="00521670" w:rsidRDefault="00DF251A" w:rsidP="00E33449">
            <w:pPr>
              <w:pStyle w:val="Tabletext"/>
              <w:jc w:val="right"/>
              <w:rPr>
                <w:b/>
                <w:bCs/>
                <w:szCs w:val="18"/>
                <w:lang w:val="ru-RU" w:eastAsia="en-GB"/>
              </w:rPr>
            </w:pPr>
            <w:r w:rsidRPr="00521670">
              <w:rPr>
                <w:b/>
                <w:bCs/>
                <w:szCs w:val="18"/>
                <w:lang w:val="ru-RU"/>
              </w:rPr>
              <w:t>53 309</w:t>
            </w:r>
          </w:p>
        </w:tc>
        <w:tc>
          <w:tcPr>
            <w:tcW w:w="722" w:type="pct"/>
            <w:tcBorders>
              <w:top w:val="nil"/>
              <w:left w:val="nil"/>
              <w:bottom w:val="nil"/>
              <w:right w:val="nil"/>
            </w:tcBorders>
            <w:shd w:val="clear" w:color="000000" w:fill="0070C0"/>
            <w:noWrap/>
            <w:vAlign w:val="bottom"/>
          </w:tcPr>
          <w:p w14:paraId="7B1C5CAA" w14:textId="77777777" w:rsidR="00DF251A" w:rsidRPr="00521670" w:rsidRDefault="00DF251A" w:rsidP="00E33449">
            <w:pPr>
              <w:pStyle w:val="Tabletext"/>
              <w:jc w:val="right"/>
              <w:rPr>
                <w:b/>
                <w:bCs/>
                <w:szCs w:val="18"/>
                <w:lang w:val="ru-RU" w:eastAsia="en-GB"/>
              </w:rPr>
            </w:pPr>
            <w:r w:rsidRPr="00521670">
              <w:rPr>
                <w:b/>
                <w:bCs/>
                <w:szCs w:val="18"/>
                <w:lang w:val="ru-RU"/>
              </w:rPr>
              <w:t>53 048</w:t>
            </w:r>
          </w:p>
        </w:tc>
      </w:tr>
    </w:tbl>
    <w:p w14:paraId="6C013826" w14:textId="77777777" w:rsidR="00DF251A" w:rsidRPr="00521670" w:rsidRDefault="00DF251A" w:rsidP="009B7770">
      <w:pPr>
        <w:pStyle w:val="Heading5"/>
        <w:rPr>
          <w:b/>
          <w:bCs/>
          <w:color w:val="4F81BD" w:themeColor="accent1"/>
          <w:lang w:val="ru-RU"/>
        </w:rPr>
      </w:pPr>
      <w:bookmarkStart w:id="339" w:name="_Toc1569757906"/>
      <w:bookmarkStart w:id="340" w:name="_Toc164845563"/>
      <w:bookmarkStart w:id="341" w:name="_Toc168578477"/>
      <w:bookmarkStart w:id="342" w:name="_Toc180681822"/>
      <w:bookmarkStart w:id="343" w:name="_Toc200469540"/>
      <w:r w:rsidRPr="00521670">
        <w:rPr>
          <w:b/>
          <w:bCs/>
          <w:color w:val="4F81BD" w:themeColor="accent1"/>
          <w:lang w:val="ru-RU"/>
        </w:rPr>
        <w:t>Примечание 16</w:t>
      </w:r>
      <w:r w:rsidRPr="00521670">
        <w:rPr>
          <w:b/>
          <w:bCs/>
          <w:color w:val="4F81BD" w:themeColor="accent1"/>
          <w:lang w:val="ru-RU"/>
        </w:rPr>
        <w:tab/>
      </w:r>
      <w:bookmarkEnd w:id="339"/>
      <w:bookmarkEnd w:id="340"/>
      <w:r w:rsidRPr="00521670">
        <w:rPr>
          <w:b/>
          <w:bCs/>
          <w:color w:val="4F81BD" w:themeColor="accent1"/>
          <w:lang w:val="ru-RU"/>
        </w:rPr>
        <w:t>Вознаграждение сотрудников</w:t>
      </w:r>
      <w:bookmarkEnd w:id="341"/>
      <w:bookmarkEnd w:id="342"/>
      <w:bookmarkEnd w:id="343"/>
    </w:p>
    <w:p w14:paraId="05D3F45B" w14:textId="77777777" w:rsidR="00DF251A" w:rsidRPr="00521670" w:rsidRDefault="00DF251A" w:rsidP="009B7770">
      <w:pPr>
        <w:spacing w:after="120"/>
        <w:rPr>
          <w:rFonts w:eastAsia="SimSun"/>
          <w:lang w:val="ru-RU"/>
        </w:rPr>
      </w:pPr>
      <w:r w:rsidRPr="00521670">
        <w:rPr>
          <w:lang w:val="ru-RU"/>
        </w:rPr>
        <w:t>Вознаграждение сотрудников означает все формы компенсаций, предоставляемых МСЭ за услуги, оказываемые его сотрудниками. Они учитываются по мере их получения персоналом.</w:t>
      </w:r>
    </w:p>
    <w:tbl>
      <w:tblPr>
        <w:tblW w:w="5000" w:type="pct"/>
        <w:jc w:val="center"/>
        <w:tblLayout w:type="fixed"/>
        <w:tblLook w:val="04A0" w:firstRow="1" w:lastRow="0" w:firstColumn="1" w:lastColumn="0" w:noHBand="0" w:noVBand="1"/>
      </w:tblPr>
      <w:tblGrid>
        <w:gridCol w:w="5465"/>
        <w:gridCol w:w="1803"/>
        <w:gridCol w:w="1803"/>
      </w:tblGrid>
      <w:tr w:rsidR="00DF251A" w:rsidRPr="00521670" w14:paraId="2EBCC72C" w14:textId="77777777" w:rsidTr="009B7770">
        <w:trPr>
          <w:jc w:val="center"/>
        </w:trPr>
        <w:tc>
          <w:tcPr>
            <w:tcW w:w="3012" w:type="pct"/>
            <w:tcBorders>
              <w:top w:val="nil"/>
              <w:left w:val="nil"/>
              <w:bottom w:val="nil"/>
              <w:right w:val="nil"/>
            </w:tcBorders>
            <w:shd w:val="clear" w:color="000000" w:fill="0070C0"/>
            <w:noWrap/>
            <w:vAlign w:val="center"/>
            <w:hideMark/>
          </w:tcPr>
          <w:p w14:paraId="2F5205ED" w14:textId="77777777" w:rsidR="00DF251A" w:rsidRPr="00521670" w:rsidRDefault="00DF251A" w:rsidP="00835292">
            <w:pPr>
              <w:pStyle w:val="Tablehead"/>
              <w:rPr>
                <w:lang w:val="ru-RU" w:eastAsia="en-GB"/>
              </w:rPr>
            </w:pPr>
            <w:r w:rsidRPr="00521670">
              <w:rPr>
                <w:lang w:val="ru-RU" w:eastAsia="en-GB"/>
              </w:rPr>
              <w:t xml:space="preserve">Описание (тыс. шв. фр.) </w:t>
            </w:r>
          </w:p>
        </w:tc>
        <w:tc>
          <w:tcPr>
            <w:tcW w:w="994" w:type="pct"/>
            <w:tcBorders>
              <w:top w:val="nil"/>
              <w:left w:val="nil"/>
              <w:bottom w:val="nil"/>
              <w:right w:val="nil"/>
            </w:tcBorders>
            <w:shd w:val="clear" w:color="000000" w:fill="0070C0"/>
            <w:noWrap/>
            <w:vAlign w:val="center"/>
            <w:hideMark/>
          </w:tcPr>
          <w:p w14:paraId="78BA17C8" w14:textId="77777777" w:rsidR="00DF251A" w:rsidRPr="00521670" w:rsidRDefault="00DF251A" w:rsidP="00AB7557">
            <w:pPr>
              <w:pStyle w:val="Tablehead"/>
              <w:jc w:val="right"/>
              <w:rPr>
                <w:lang w:val="ru-RU" w:eastAsia="en-GB"/>
              </w:rPr>
            </w:pPr>
            <w:r w:rsidRPr="00521670">
              <w:rPr>
                <w:lang w:val="ru-RU" w:eastAsia="en-GB"/>
              </w:rPr>
              <w:t>31 декабря 2024 г.</w:t>
            </w:r>
          </w:p>
        </w:tc>
        <w:tc>
          <w:tcPr>
            <w:tcW w:w="994" w:type="pct"/>
            <w:tcBorders>
              <w:top w:val="nil"/>
              <w:left w:val="nil"/>
              <w:bottom w:val="nil"/>
              <w:right w:val="nil"/>
            </w:tcBorders>
            <w:shd w:val="clear" w:color="000000" w:fill="0070C0"/>
            <w:noWrap/>
            <w:vAlign w:val="center"/>
            <w:hideMark/>
          </w:tcPr>
          <w:p w14:paraId="162F46D3" w14:textId="77777777" w:rsidR="00DF251A" w:rsidRPr="00521670" w:rsidRDefault="00DF251A" w:rsidP="00AB7557">
            <w:pPr>
              <w:pStyle w:val="Tablehead"/>
              <w:jc w:val="right"/>
              <w:rPr>
                <w:lang w:val="ru-RU" w:eastAsia="en-GB"/>
              </w:rPr>
            </w:pPr>
            <w:r w:rsidRPr="00521670">
              <w:rPr>
                <w:lang w:val="ru-RU" w:eastAsia="en-GB"/>
              </w:rPr>
              <w:t>31 декабря 2023 г.</w:t>
            </w:r>
          </w:p>
        </w:tc>
      </w:tr>
      <w:tr w:rsidR="00DF251A" w:rsidRPr="00521670" w14:paraId="55698553" w14:textId="77777777" w:rsidTr="009B7770">
        <w:trPr>
          <w:jc w:val="center"/>
        </w:trPr>
        <w:tc>
          <w:tcPr>
            <w:tcW w:w="3012" w:type="pct"/>
            <w:tcBorders>
              <w:top w:val="nil"/>
              <w:left w:val="nil"/>
              <w:bottom w:val="nil"/>
              <w:right w:val="nil"/>
            </w:tcBorders>
            <w:shd w:val="clear" w:color="auto" w:fill="auto"/>
            <w:hideMark/>
          </w:tcPr>
          <w:p w14:paraId="1B31B782" w14:textId="77777777" w:rsidR="00DF251A" w:rsidRPr="00521670" w:rsidRDefault="00DF251A" w:rsidP="00316220">
            <w:pPr>
              <w:pStyle w:val="Tabletext"/>
              <w:keepNext/>
              <w:rPr>
                <w:lang w:val="ru-RU" w:eastAsia="en-GB"/>
              </w:rPr>
            </w:pPr>
            <w:r w:rsidRPr="00521670">
              <w:rPr>
                <w:szCs w:val="18"/>
                <w:lang w:val="ru-RU"/>
              </w:rPr>
              <w:t>Накопленные дни отпуска − текущие</w:t>
            </w:r>
          </w:p>
        </w:tc>
        <w:tc>
          <w:tcPr>
            <w:tcW w:w="994" w:type="pct"/>
            <w:tcBorders>
              <w:top w:val="nil"/>
              <w:left w:val="nil"/>
              <w:bottom w:val="nil"/>
              <w:right w:val="nil"/>
            </w:tcBorders>
            <w:shd w:val="clear" w:color="auto" w:fill="auto"/>
            <w:noWrap/>
            <w:hideMark/>
          </w:tcPr>
          <w:p w14:paraId="5D59A581" w14:textId="77777777" w:rsidR="00DF251A" w:rsidRPr="00521670" w:rsidRDefault="00DF251A" w:rsidP="009B7770">
            <w:pPr>
              <w:pStyle w:val="Tabletext"/>
              <w:keepNext/>
              <w:jc w:val="right"/>
              <w:rPr>
                <w:lang w:val="ru-RU" w:eastAsia="en-GB"/>
              </w:rPr>
            </w:pPr>
            <w:r w:rsidRPr="00521670">
              <w:rPr>
                <w:lang w:val="ru-RU"/>
              </w:rPr>
              <w:t>284</w:t>
            </w:r>
          </w:p>
        </w:tc>
        <w:tc>
          <w:tcPr>
            <w:tcW w:w="994" w:type="pct"/>
            <w:tcBorders>
              <w:top w:val="nil"/>
              <w:left w:val="nil"/>
              <w:bottom w:val="nil"/>
              <w:right w:val="nil"/>
            </w:tcBorders>
            <w:shd w:val="clear" w:color="auto" w:fill="auto"/>
            <w:noWrap/>
            <w:hideMark/>
          </w:tcPr>
          <w:p w14:paraId="532F374E" w14:textId="77777777" w:rsidR="00DF251A" w:rsidRPr="00521670" w:rsidRDefault="00DF251A" w:rsidP="009B7770">
            <w:pPr>
              <w:pStyle w:val="Tabletext"/>
              <w:keepNext/>
              <w:jc w:val="right"/>
              <w:rPr>
                <w:lang w:val="ru-RU" w:eastAsia="en-GB"/>
              </w:rPr>
            </w:pPr>
            <w:r w:rsidRPr="00521670">
              <w:rPr>
                <w:lang w:val="ru-RU"/>
              </w:rPr>
              <w:t>319</w:t>
            </w:r>
          </w:p>
        </w:tc>
      </w:tr>
      <w:tr w:rsidR="00DF251A" w:rsidRPr="00521670" w14:paraId="5170D22C" w14:textId="77777777" w:rsidTr="009B7770">
        <w:trPr>
          <w:jc w:val="center"/>
        </w:trPr>
        <w:tc>
          <w:tcPr>
            <w:tcW w:w="3012" w:type="pct"/>
            <w:tcBorders>
              <w:top w:val="nil"/>
              <w:left w:val="nil"/>
              <w:bottom w:val="nil"/>
              <w:right w:val="nil"/>
            </w:tcBorders>
            <w:shd w:val="clear" w:color="auto" w:fill="auto"/>
            <w:hideMark/>
          </w:tcPr>
          <w:p w14:paraId="4C2CA0C3" w14:textId="77777777" w:rsidR="00DF251A" w:rsidRPr="00521670" w:rsidRDefault="00DF251A" w:rsidP="009B7770">
            <w:pPr>
              <w:pStyle w:val="Tabletext"/>
              <w:keepNext/>
              <w:rPr>
                <w:lang w:val="ru-RU" w:eastAsia="en-GB"/>
              </w:rPr>
            </w:pPr>
            <w:r w:rsidRPr="00521670">
              <w:rPr>
                <w:szCs w:val="18"/>
                <w:lang w:val="ru-RU"/>
              </w:rPr>
              <w:t>Сверхурочные</w:t>
            </w:r>
          </w:p>
        </w:tc>
        <w:tc>
          <w:tcPr>
            <w:tcW w:w="994" w:type="pct"/>
            <w:tcBorders>
              <w:top w:val="nil"/>
              <w:left w:val="nil"/>
              <w:bottom w:val="nil"/>
              <w:right w:val="nil"/>
            </w:tcBorders>
            <w:shd w:val="clear" w:color="auto" w:fill="auto"/>
            <w:noWrap/>
            <w:hideMark/>
          </w:tcPr>
          <w:p w14:paraId="672029FC" w14:textId="77777777" w:rsidR="00DF251A" w:rsidRPr="00521670" w:rsidRDefault="00DF251A" w:rsidP="009B7770">
            <w:pPr>
              <w:pStyle w:val="Tabletext"/>
              <w:keepNext/>
              <w:jc w:val="right"/>
              <w:rPr>
                <w:lang w:val="ru-RU" w:eastAsia="en-GB"/>
              </w:rPr>
            </w:pPr>
            <w:r w:rsidRPr="00521670">
              <w:rPr>
                <w:lang w:val="ru-RU"/>
              </w:rPr>
              <w:t>34</w:t>
            </w:r>
          </w:p>
        </w:tc>
        <w:tc>
          <w:tcPr>
            <w:tcW w:w="994" w:type="pct"/>
            <w:tcBorders>
              <w:top w:val="nil"/>
              <w:left w:val="nil"/>
              <w:bottom w:val="nil"/>
              <w:right w:val="nil"/>
            </w:tcBorders>
            <w:shd w:val="clear" w:color="auto" w:fill="auto"/>
            <w:noWrap/>
            <w:hideMark/>
          </w:tcPr>
          <w:p w14:paraId="57F79DE2" w14:textId="77777777" w:rsidR="00DF251A" w:rsidRPr="00521670" w:rsidRDefault="00DF251A" w:rsidP="009B7770">
            <w:pPr>
              <w:pStyle w:val="Tabletext"/>
              <w:keepNext/>
              <w:jc w:val="right"/>
              <w:rPr>
                <w:lang w:val="ru-RU" w:eastAsia="en-GB"/>
              </w:rPr>
            </w:pPr>
            <w:r w:rsidRPr="00521670">
              <w:rPr>
                <w:lang w:val="ru-RU"/>
              </w:rPr>
              <w:t>208</w:t>
            </w:r>
          </w:p>
        </w:tc>
      </w:tr>
      <w:tr w:rsidR="00DF251A" w:rsidRPr="00521670" w14:paraId="1E272932" w14:textId="77777777" w:rsidTr="009B7770">
        <w:trPr>
          <w:jc w:val="center"/>
        </w:trPr>
        <w:tc>
          <w:tcPr>
            <w:tcW w:w="3012" w:type="pct"/>
            <w:tcBorders>
              <w:top w:val="nil"/>
              <w:left w:val="nil"/>
              <w:bottom w:val="nil"/>
              <w:right w:val="nil"/>
            </w:tcBorders>
            <w:shd w:val="clear" w:color="auto" w:fill="auto"/>
            <w:hideMark/>
          </w:tcPr>
          <w:p w14:paraId="703BD17A" w14:textId="77777777" w:rsidR="00DF251A" w:rsidRPr="00521670" w:rsidRDefault="00DF251A" w:rsidP="009B7770">
            <w:pPr>
              <w:pStyle w:val="Tabletext"/>
              <w:keepNext/>
              <w:rPr>
                <w:b/>
                <w:bCs/>
                <w:lang w:val="ru-RU" w:eastAsia="en-GB"/>
              </w:rPr>
            </w:pPr>
            <w:r w:rsidRPr="00521670">
              <w:rPr>
                <w:b/>
                <w:bCs/>
                <w:szCs w:val="18"/>
                <w:lang w:val="ru-RU"/>
              </w:rPr>
              <w:t>Всего: текущие обязательства по вознаграждению сотрудников</w:t>
            </w:r>
          </w:p>
        </w:tc>
        <w:tc>
          <w:tcPr>
            <w:tcW w:w="994" w:type="pct"/>
            <w:tcBorders>
              <w:top w:val="nil"/>
              <w:left w:val="nil"/>
              <w:bottom w:val="nil"/>
              <w:right w:val="nil"/>
            </w:tcBorders>
            <w:shd w:val="clear" w:color="auto" w:fill="auto"/>
            <w:noWrap/>
            <w:hideMark/>
          </w:tcPr>
          <w:p w14:paraId="41E019F3" w14:textId="77777777" w:rsidR="00DF251A" w:rsidRPr="00521670" w:rsidRDefault="00DF251A" w:rsidP="009B7770">
            <w:pPr>
              <w:pStyle w:val="Tabletext"/>
              <w:keepNext/>
              <w:jc w:val="right"/>
              <w:rPr>
                <w:b/>
                <w:bCs/>
                <w:lang w:val="ru-RU" w:eastAsia="en-GB"/>
              </w:rPr>
            </w:pPr>
            <w:r w:rsidRPr="00521670">
              <w:rPr>
                <w:b/>
                <w:bCs/>
                <w:lang w:val="ru-RU"/>
              </w:rPr>
              <w:t>318</w:t>
            </w:r>
          </w:p>
        </w:tc>
        <w:tc>
          <w:tcPr>
            <w:tcW w:w="994" w:type="pct"/>
            <w:tcBorders>
              <w:top w:val="nil"/>
              <w:left w:val="nil"/>
              <w:bottom w:val="nil"/>
              <w:right w:val="nil"/>
            </w:tcBorders>
            <w:shd w:val="clear" w:color="auto" w:fill="auto"/>
            <w:noWrap/>
            <w:hideMark/>
          </w:tcPr>
          <w:p w14:paraId="4D505705" w14:textId="77777777" w:rsidR="00DF251A" w:rsidRPr="00521670" w:rsidRDefault="00DF251A" w:rsidP="009B7770">
            <w:pPr>
              <w:pStyle w:val="Tabletext"/>
              <w:keepNext/>
              <w:jc w:val="right"/>
              <w:rPr>
                <w:b/>
                <w:bCs/>
                <w:lang w:val="ru-RU" w:eastAsia="en-GB"/>
              </w:rPr>
            </w:pPr>
            <w:r w:rsidRPr="00521670">
              <w:rPr>
                <w:b/>
                <w:bCs/>
                <w:lang w:val="ru-RU"/>
              </w:rPr>
              <w:t>527</w:t>
            </w:r>
          </w:p>
        </w:tc>
      </w:tr>
      <w:tr w:rsidR="00DF251A" w:rsidRPr="00521670" w14:paraId="37652C66" w14:textId="77777777" w:rsidTr="009B7770">
        <w:trPr>
          <w:jc w:val="center"/>
        </w:trPr>
        <w:tc>
          <w:tcPr>
            <w:tcW w:w="3012" w:type="pct"/>
            <w:tcBorders>
              <w:top w:val="nil"/>
              <w:left w:val="nil"/>
              <w:bottom w:val="nil"/>
              <w:right w:val="nil"/>
            </w:tcBorders>
            <w:shd w:val="clear" w:color="auto" w:fill="auto"/>
            <w:noWrap/>
            <w:hideMark/>
          </w:tcPr>
          <w:p w14:paraId="5F64167D" w14:textId="77777777" w:rsidR="00DF251A" w:rsidRPr="00521670" w:rsidRDefault="00DF251A" w:rsidP="009B7770">
            <w:pPr>
              <w:pStyle w:val="Tabletext"/>
              <w:keepNext/>
              <w:spacing w:before="0" w:after="0"/>
              <w:rPr>
                <w:b/>
                <w:bCs/>
                <w:lang w:val="ru-RU" w:eastAsia="en-GB"/>
              </w:rPr>
            </w:pPr>
          </w:p>
        </w:tc>
        <w:tc>
          <w:tcPr>
            <w:tcW w:w="994" w:type="pct"/>
            <w:tcBorders>
              <w:top w:val="nil"/>
              <w:left w:val="nil"/>
              <w:bottom w:val="nil"/>
              <w:right w:val="nil"/>
            </w:tcBorders>
            <w:shd w:val="clear" w:color="auto" w:fill="auto"/>
            <w:noWrap/>
            <w:hideMark/>
          </w:tcPr>
          <w:p w14:paraId="1DBFA383" w14:textId="77777777" w:rsidR="00DF251A" w:rsidRPr="00521670" w:rsidRDefault="00DF251A" w:rsidP="009B7770">
            <w:pPr>
              <w:pStyle w:val="Tabletext"/>
              <w:keepNext/>
              <w:spacing w:before="0" w:after="0"/>
              <w:jc w:val="right"/>
              <w:rPr>
                <w:rFonts w:ascii="Times New Roman" w:hAnsi="Times New Roman"/>
                <w:lang w:val="ru-RU" w:eastAsia="en-GB"/>
              </w:rPr>
            </w:pPr>
          </w:p>
        </w:tc>
        <w:tc>
          <w:tcPr>
            <w:tcW w:w="994" w:type="pct"/>
            <w:tcBorders>
              <w:top w:val="nil"/>
              <w:left w:val="nil"/>
              <w:bottom w:val="nil"/>
              <w:right w:val="nil"/>
            </w:tcBorders>
            <w:shd w:val="clear" w:color="auto" w:fill="auto"/>
            <w:noWrap/>
            <w:hideMark/>
          </w:tcPr>
          <w:p w14:paraId="5BF093DB" w14:textId="77777777" w:rsidR="00DF251A" w:rsidRPr="00521670" w:rsidRDefault="00DF251A" w:rsidP="009B7770">
            <w:pPr>
              <w:pStyle w:val="Tabletext"/>
              <w:keepNext/>
              <w:spacing w:before="0" w:after="0"/>
              <w:jc w:val="right"/>
              <w:rPr>
                <w:rFonts w:ascii="Times New Roman" w:hAnsi="Times New Roman"/>
                <w:lang w:val="ru-RU" w:eastAsia="en-GB"/>
              </w:rPr>
            </w:pPr>
          </w:p>
        </w:tc>
      </w:tr>
      <w:tr w:rsidR="00DF251A" w:rsidRPr="00521670" w14:paraId="10034B04" w14:textId="77777777" w:rsidTr="009B7770">
        <w:trPr>
          <w:jc w:val="center"/>
        </w:trPr>
        <w:tc>
          <w:tcPr>
            <w:tcW w:w="3012" w:type="pct"/>
            <w:tcBorders>
              <w:top w:val="nil"/>
              <w:left w:val="nil"/>
              <w:bottom w:val="nil"/>
              <w:right w:val="nil"/>
            </w:tcBorders>
            <w:shd w:val="clear" w:color="auto" w:fill="auto"/>
            <w:hideMark/>
          </w:tcPr>
          <w:p w14:paraId="3F6517DA" w14:textId="77777777" w:rsidR="00DF251A" w:rsidRPr="00521670" w:rsidRDefault="00DF251A" w:rsidP="00316220">
            <w:pPr>
              <w:pStyle w:val="Tabletext"/>
              <w:keepNext/>
              <w:rPr>
                <w:lang w:val="ru-RU" w:eastAsia="en-GB"/>
              </w:rPr>
            </w:pPr>
            <w:r w:rsidRPr="00521670">
              <w:rPr>
                <w:szCs w:val="18"/>
                <w:lang w:val="ru-RU"/>
              </w:rPr>
              <w:t>Накопленные дни отпуска − нетекущие</w:t>
            </w:r>
          </w:p>
        </w:tc>
        <w:tc>
          <w:tcPr>
            <w:tcW w:w="994" w:type="pct"/>
            <w:tcBorders>
              <w:top w:val="nil"/>
              <w:left w:val="nil"/>
              <w:bottom w:val="nil"/>
              <w:right w:val="nil"/>
            </w:tcBorders>
            <w:shd w:val="clear" w:color="auto" w:fill="auto"/>
            <w:noWrap/>
            <w:hideMark/>
          </w:tcPr>
          <w:p w14:paraId="2450D506" w14:textId="77777777" w:rsidR="00DF251A" w:rsidRPr="00521670" w:rsidRDefault="00DF251A" w:rsidP="009B7770">
            <w:pPr>
              <w:pStyle w:val="Tabletext"/>
              <w:keepNext/>
              <w:jc w:val="right"/>
              <w:rPr>
                <w:lang w:val="ru-RU" w:eastAsia="en-GB"/>
              </w:rPr>
            </w:pPr>
            <w:r w:rsidRPr="00521670">
              <w:rPr>
                <w:lang w:val="ru-RU"/>
              </w:rPr>
              <w:t>11 426</w:t>
            </w:r>
          </w:p>
        </w:tc>
        <w:tc>
          <w:tcPr>
            <w:tcW w:w="994" w:type="pct"/>
            <w:tcBorders>
              <w:top w:val="nil"/>
              <w:left w:val="nil"/>
              <w:bottom w:val="nil"/>
              <w:right w:val="nil"/>
            </w:tcBorders>
            <w:shd w:val="clear" w:color="auto" w:fill="auto"/>
            <w:noWrap/>
            <w:hideMark/>
          </w:tcPr>
          <w:p w14:paraId="4C08FDF4" w14:textId="77777777" w:rsidR="00DF251A" w:rsidRPr="00521670" w:rsidRDefault="00DF251A" w:rsidP="009B7770">
            <w:pPr>
              <w:pStyle w:val="Tabletext"/>
              <w:keepNext/>
              <w:jc w:val="right"/>
              <w:rPr>
                <w:lang w:val="ru-RU" w:eastAsia="en-GB"/>
              </w:rPr>
            </w:pPr>
            <w:r w:rsidRPr="00521670">
              <w:rPr>
                <w:lang w:val="ru-RU"/>
              </w:rPr>
              <w:t>11 328</w:t>
            </w:r>
          </w:p>
        </w:tc>
      </w:tr>
      <w:tr w:rsidR="00DF251A" w:rsidRPr="00521670" w14:paraId="5182E26B" w14:textId="77777777" w:rsidTr="009B7770">
        <w:trPr>
          <w:jc w:val="center"/>
        </w:trPr>
        <w:tc>
          <w:tcPr>
            <w:tcW w:w="3012" w:type="pct"/>
            <w:tcBorders>
              <w:top w:val="nil"/>
              <w:left w:val="nil"/>
              <w:bottom w:val="nil"/>
              <w:right w:val="nil"/>
            </w:tcBorders>
            <w:shd w:val="clear" w:color="auto" w:fill="auto"/>
            <w:hideMark/>
          </w:tcPr>
          <w:p w14:paraId="696195F8" w14:textId="77777777" w:rsidR="00DF251A" w:rsidRPr="00521670" w:rsidRDefault="00DF251A" w:rsidP="009B7770">
            <w:pPr>
              <w:pStyle w:val="Tabletext"/>
              <w:keepNext/>
              <w:rPr>
                <w:lang w:val="ru-RU" w:eastAsia="en-GB"/>
              </w:rPr>
            </w:pPr>
            <w:r w:rsidRPr="00521670">
              <w:rPr>
                <w:szCs w:val="18"/>
                <w:lang w:val="ru-RU"/>
              </w:rPr>
              <w:t>Субсидии на репатриацию</w:t>
            </w:r>
          </w:p>
        </w:tc>
        <w:tc>
          <w:tcPr>
            <w:tcW w:w="994" w:type="pct"/>
            <w:tcBorders>
              <w:top w:val="nil"/>
              <w:left w:val="nil"/>
              <w:bottom w:val="nil"/>
              <w:right w:val="nil"/>
            </w:tcBorders>
            <w:shd w:val="clear" w:color="auto" w:fill="auto"/>
            <w:noWrap/>
            <w:hideMark/>
          </w:tcPr>
          <w:p w14:paraId="5FC329CD" w14:textId="77777777" w:rsidR="00DF251A" w:rsidRPr="00521670" w:rsidRDefault="00DF251A" w:rsidP="009B7770">
            <w:pPr>
              <w:pStyle w:val="Tabletext"/>
              <w:keepNext/>
              <w:jc w:val="right"/>
              <w:rPr>
                <w:lang w:val="ru-RU" w:eastAsia="en-GB"/>
              </w:rPr>
            </w:pPr>
            <w:r w:rsidRPr="00521670">
              <w:rPr>
                <w:lang w:val="ru-RU"/>
              </w:rPr>
              <w:t>13 795</w:t>
            </w:r>
          </w:p>
        </w:tc>
        <w:tc>
          <w:tcPr>
            <w:tcW w:w="994" w:type="pct"/>
            <w:tcBorders>
              <w:top w:val="nil"/>
              <w:left w:val="nil"/>
              <w:bottom w:val="nil"/>
              <w:right w:val="nil"/>
            </w:tcBorders>
            <w:shd w:val="clear" w:color="auto" w:fill="auto"/>
            <w:noWrap/>
            <w:hideMark/>
          </w:tcPr>
          <w:p w14:paraId="5D278E17" w14:textId="77777777" w:rsidR="00DF251A" w:rsidRPr="00521670" w:rsidRDefault="00DF251A" w:rsidP="009B7770">
            <w:pPr>
              <w:pStyle w:val="Tabletext"/>
              <w:keepNext/>
              <w:jc w:val="right"/>
              <w:rPr>
                <w:lang w:val="ru-RU" w:eastAsia="en-GB"/>
              </w:rPr>
            </w:pPr>
            <w:r w:rsidRPr="00521670">
              <w:rPr>
                <w:lang w:val="ru-RU"/>
              </w:rPr>
              <w:t>12 208</w:t>
            </w:r>
          </w:p>
        </w:tc>
      </w:tr>
      <w:tr w:rsidR="00DF251A" w:rsidRPr="00521670" w14:paraId="78539DB2" w14:textId="77777777" w:rsidTr="009B7770">
        <w:trPr>
          <w:jc w:val="center"/>
        </w:trPr>
        <w:tc>
          <w:tcPr>
            <w:tcW w:w="3012" w:type="pct"/>
            <w:tcBorders>
              <w:top w:val="nil"/>
              <w:left w:val="nil"/>
              <w:bottom w:val="nil"/>
              <w:right w:val="nil"/>
            </w:tcBorders>
            <w:shd w:val="clear" w:color="auto" w:fill="auto"/>
            <w:hideMark/>
          </w:tcPr>
          <w:p w14:paraId="25350973" w14:textId="77777777" w:rsidR="00DF251A" w:rsidRPr="00521670" w:rsidRDefault="00DF251A" w:rsidP="00D2577F">
            <w:pPr>
              <w:pStyle w:val="Tabletext"/>
              <w:keepNext/>
              <w:rPr>
                <w:lang w:val="ru-RU" w:eastAsia="en-GB"/>
              </w:rPr>
            </w:pPr>
            <w:r w:rsidRPr="00521670">
              <w:rPr>
                <w:szCs w:val="18"/>
                <w:lang w:val="ru-RU"/>
              </w:rPr>
              <w:t>Пенсионные обязательства</w:t>
            </w:r>
          </w:p>
        </w:tc>
        <w:tc>
          <w:tcPr>
            <w:tcW w:w="994" w:type="pct"/>
            <w:tcBorders>
              <w:top w:val="nil"/>
              <w:left w:val="nil"/>
              <w:bottom w:val="nil"/>
              <w:right w:val="nil"/>
            </w:tcBorders>
            <w:shd w:val="clear" w:color="auto" w:fill="auto"/>
            <w:noWrap/>
            <w:hideMark/>
          </w:tcPr>
          <w:p w14:paraId="7EB84DCD" w14:textId="77777777" w:rsidR="00DF251A" w:rsidRPr="00521670" w:rsidRDefault="00DF251A" w:rsidP="009B7770">
            <w:pPr>
              <w:pStyle w:val="Tabletext"/>
              <w:keepNext/>
              <w:jc w:val="right"/>
              <w:rPr>
                <w:lang w:val="ru-RU" w:eastAsia="en-GB"/>
              </w:rPr>
            </w:pPr>
            <w:r w:rsidRPr="00521670">
              <w:rPr>
                <w:lang w:val="ru-RU"/>
              </w:rPr>
              <w:t>54</w:t>
            </w:r>
          </w:p>
        </w:tc>
        <w:tc>
          <w:tcPr>
            <w:tcW w:w="994" w:type="pct"/>
            <w:tcBorders>
              <w:top w:val="nil"/>
              <w:left w:val="nil"/>
              <w:bottom w:val="nil"/>
              <w:right w:val="nil"/>
            </w:tcBorders>
            <w:shd w:val="clear" w:color="auto" w:fill="auto"/>
            <w:noWrap/>
            <w:hideMark/>
          </w:tcPr>
          <w:p w14:paraId="7F8DA72E" w14:textId="77777777" w:rsidR="00DF251A" w:rsidRPr="00521670" w:rsidRDefault="00DF251A" w:rsidP="009B7770">
            <w:pPr>
              <w:pStyle w:val="Tabletext"/>
              <w:keepNext/>
              <w:jc w:val="right"/>
              <w:rPr>
                <w:lang w:val="ru-RU" w:eastAsia="en-GB"/>
              </w:rPr>
            </w:pPr>
            <w:r w:rsidRPr="00521670">
              <w:rPr>
                <w:lang w:val="ru-RU"/>
              </w:rPr>
              <w:t>54</w:t>
            </w:r>
          </w:p>
        </w:tc>
      </w:tr>
      <w:tr w:rsidR="00DF251A" w:rsidRPr="00521670" w14:paraId="12E178BB" w14:textId="77777777" w:rsidTr="009B7770">
        <w:trPr>
          <w:jc w:val="center"/>
        </w:trPr>
        <w:tc>
          <w:tcPr>
            <w:tcW w:w="3012" w:type="pct"/>
            <w:tcBorders>
              <w:top w:val="nil"/>
              <w:left w:val="nil"/>
              <w:bottom w:val="nil"/>
              <w:right w:val="nil"/>
            </w:tcBorders>
            <w:shd w:val="clear" w:color="auto" w:fill="auto"/>
            <w:hideMark/>
          </w:tcPr>
          <w:p w14:paraId="3AD5BDF6" w14:textId="77777777" w:rsidR="00DF251A" w:rsidRPr="00521670" w:rsidRDefault="00DF251A" w:rsidP="009B7770">
            <w:pPr>
              <w:pStyle w:val="Tabletext"/>
              <w:keepNext/>
              <w:rPr>
                <w:lang w:val="ru-RU" w:eastAsia="en-GB"/>
              </w:rPr>
            </w:pPr>
            <w:r w:rsidRPr="00521670">
              <w:rPr>
                <w:szCs w:val="18"/>
                <w:lang w:val="ru-RU"/>
              </w:rPr>
              <w:t>АСХИ</w:t>
            </w:r>
          </w:p>
        </w:tc>
        <w:tc>
          <w:tcPr>
            <w:tcW w:w="994" w:type="pct"/>
            <w:tcBorders>
              <w:top w:val="nil"/>
              <w:left w:val="nil"/>
              <w:bottom w:val="nil"/>
              <w:right w:val="nil"/>
            </w:tcBorders>
            <w:shd w:val="clear" w:color="auto" w:fill="auto"/>
            <w:noWrap/>
            <w:hideMark/>
          </w:tcPr>
          <w:p w14:paraId="34E5496E" w14:textId="77777777" w:rsidR="00DF251A" w:rsidRPr="00521670" w:rsidRDefault="00DF251A" w:rsidP="009B7770">
            <w:pPr>
              <w:pStyle w:val="Tabletext"/>
              <w:keepNext/>
              <w:jc w:val="right"/>
              <w:rPr>
                <w:lang w:val="ru-RU" w:eastAsia="en-GB"/>
              </w:rPr>
            </w:pPr>
            <w:r w:rsidRPr="00521670">
              <w:rPr>
                <w:lang w:val="ru-RU"/>
              </w:rPr>
              <w:t>415 835</w:t>
            </w:r>
          </w:p>
        </w:tc>
        <w:tc>
          <w:tcPr>
            <w:tcW w:w="994" w:type="pct"/>
            <w:tcBorders>
              <w:top w:val="nil"/>
              <w:left w:val="nil"/>
              <w:bottom w:val="nil"/>
              <w:right w:val="nil"/>
            </w:tcBorders>
            <w:shd w:val="clear" w:color="auto" w:fill="auto"/>
            <w:noWrap/>
            <w:hideMark/>
          </w:tcPr>
          <w:p w14:paraId="5B3ECA3D" w14:textId="77777777" w:rsidR="00DF251A" w:rsidRPr="00521670" w:rsidRDefault="00DF251A" w:rsidP="009B7770">
            <w:pPr>
              <w:pStyle w:val="Tabletext"/>
              <w:keepNext/>
              <w:jc w:val="right"/>
              <w:rPr>
                <w:lang w:val="ru-RU" w:eastAsia="en-GB"/>
              </w:rPr>
            </w:pPr>
            <w:r w:rsidRPr="00521670">
              <w:rPr>
                <w:lang w:val="ru-RU"/>
              </w:rPr>
              <w:t>375 271</w:t>
            </w:r>
          </w:p>
        </w:tc>
      </w:tr>
      <w:tr w:rsidR="00DF251A" w:rsidRPr="00521670" w14:paraId="434C2E56" w14:textId="77777777" w:rsidTr="009B7770">
        <w:trPr>
          <w:jc w:val="center"/>
        </w:trPr>
        <w:tc>
          <w:tcPr>
            <w:tcW w:w="3012" w:type="pct"/>
            <w:tcBorders>
              <w:top w:val="nil"/>
              <w:left w:val="nil"/>
              <w:bottom w:val="nil"/>
              <w:right w:val="nil"/>
            </w:tcBorders>
            <w:shd w:val="clear" w:color="auto" w:fill="auto"/>
            <w:hideMark/>
          </w:tcPr>
          <w:p w14:paraId="6EE146FE" w14:textId="77777777" w:rsidR="00DF251A" w:rsidRPr="00521670" w:rsidRDefault="00DF251A" w:rsidP="00410BEB">
            <w:pPr>
              <w:pStyle w:val="Tabletext"/>
              <w:keepNext/>
              <w:rPr>
                <w:b/>
                <w:bCs/>
                <w:lang w:val="ru-RU" w:eastAsia="en-GB"/>
              </w:rPr>
            </w:pPr>
            <w:r w:rsidRPr="00521670">
              <w:rPr>
                <w:b/>
                <w:bCs/>
                <w:szCs w:val="18"/>
                <w:lang w:val="ru-RU"/>
              </w:rPr>
              <w:t>Всего: нетекущие обязательства по вознаграждению сотрудников</w:t>
            </w:r>
          </w:p>
        </w:tc>
        <w:tc>
          <w:tcPr>
            <w:tcW w:w="994" w:type="pct"/>
            <w:tcBorders>
              <w:top w:val="nil"/>
              <w:left w:val="nil"/>
              <w:bottom w:val="nil"/>
              <w:right w:val="nil"/>
            </w:tcBorders>
            <w:shd w:val="clear" w:color="auto" w:fill="auto"/>
            <w:noWrap/>
            <w:vAlign w:val="bottom"/>
            <w:hideMark/>
          </w:tcPr>
          <w:p w14:paraId="536D6CCB" w14:textId="77777777" w:rsidR="00DF251A" w:rsidRPr="00521670" w:rsidRDefault="00DF251A" w:rsidP="009B7770">
            <w:pPr>
              <w:pStyle w:val="Tabletext"/>
              <w:keepNext/>
              <w:jc w:val="right"/>
              <w:rPr>
                <w:b/>
                <w:bCs/>
                <w:lang w:val="ru-RU" w:eastAsia="en-GB"/>
              </w:rPr>
            </w:pPr>
            <w:r w:rsidRPr="00521670">
              <w:rPr>
                <w:b/>
                <w:bCs/>
                <w:lang w:val="ru-RU"/>
              </w:rPr>
              <w:t>441 110</w:t>
            </w:r>
          </w:p>
        </w:tc>
        <w:tc>
          <w:tcPr>
            <w:tcW w:w="994" w:type="pct"/>
            <w:tcBorders>
              <w:top w:val="nil"/>
              <w:left w:val="nil"/>
              <w:bottom w:val="nil"/>
              <w:right w:val="nil"/>
            </w:tcBorders>
            <w:shd w:val="clear" w:color="auto" w:fill="auto"/>
            <w:noWrap/>
            <w:vAlign w:val="bottom"/>
            <w:hideMark/>
          </w:tcPr>
          <w:p w14:paraId="27F37E97" w14:textId="77777777" w:rsidR="00DF251A" w:rsidRPr="00521670" w:rsidRDefault="00DF251A" w:rsidP="009B7770">
            <w:pPr>
              <w:pStyle w:val="Tabletext"/>
              <w:keepNext/>
              <w:jc w:val="right"/>
              <w:rPr>
                <w:b/>
                <w:bCs/>
                <w:lang w:val="ru-RU" w:eastAsia="en-GB"/>
              </w:rPr>
            </w:pPr>
            <w:r w:rsidRPr="00521670">
              <w:rPr>
                <w:b/>
                <w:bCs/>
                <w:lang w:val="ru-RU"/>
              </w:rPr>
              <w:t>398 861</w:t>
            </w:r>
          </w:p>
        </w:tc>
      </w:tr>
      <w:tr w:rsidR="00DF251A" w:rsidRPr="00521670" w14:paraId="06EEA09E" w14:textId="77777777" w:rsidTr="00835292">
        <w:trPr>
          <w:jc w:val="center"/>
        </w:trPr>
        <w:tc>
          <w:tcPr>
            <w:tcW w:w="3012" w:type="pct"/>
            <w:tcBorders>
              <w:top w:val="nil"/>
              <w:left w:val="nil"/>
              <w:bottom w:val="nil"/>
              <w:right w:val="nil"/>
            </w:tcBorders>
            <w:shd w:val="clear" w:color="000000" w:fill="0070C0"/>
            <w:vAlign w:val="center"/>
            <w:hideMark/>
          </w:tcPr>
          <w:p w14:paraId="5C9A7E05" w14:textId="77777777" w:rsidR="00DF251A" w:rsidRPr="00521670" w:rsidRDefault="00DF251A" w:rsidP="009B7770">
            <w:pPr>
              <w:pStyle w:val="Tabletext"/>
              <w:rPr>
                <w:b/>
                <w:bCs/>
                <w:lang w:val="ru-RU" w:eastAsia="en-GB"/>
              </w:rPr>
            </w:pPr>
            <w:r w:rsidRPr="00521670">
              <w:rPr>
                <w:b/>
                <w:bCs/>
                <w:szCs w:val="18"/>
                <w:lang w:val="ru-RU"/>
              </w:rPr>
              <w:t>Всего: обязательства по вознаграждению сотрудников</w:t>
            </w:r>
          </w:p>
        </w:tc>
        <w:tc>
          <w:tcPr>
            <w:tcW w:w="994" w:type="pct"/>
            <w:tcBorders>
              <w:top w:val="nil"/>
              <w:left w:val="nil"/>
              <w:bottom w:val="nil"/>
              <w:right w:val="nil"/>
            </w:tcBorders>
            <w:shd w:val="clear" w:color="000000" w:fill="0070C0"/>
            <w:noWrap/>
            <w:hideMark/>
          </w:tcPr>
          <w:p w14:paraId="2DE16B6C" w14:textId="77777777" w:rsidR="00DF251A" w:rsidRPr="00521670" w:rsidRDefault="00DF251A" w:rsidP="009B7770">
            <w:pPr>
              <w:pStyle w:val="Tabletext"/>
              <w:jc w:val="right"/>
              <w:rPr>
                <w:b/>
                <w:bCs/>
                <w:lang w:val="ru-RU" w:eastAsia="en-GB"/>
              </w:rPr>
            </w:pPr>
            <w:r w:rsidRPr="00521670">
              <w:rPr>
                <w:b/>
                <w:bCs/>
                <w:lang w:val="ru-RU"/>
              </w:rPr>
              <w:t>441 428</w:t>
            </w:r>
          </w:p>
        </w:tc>
        <w:tc>
          <w:tcPr>
            <w:tcW w:w="994" w:type="pct"/>
            <w:tcBorders>
              <w:top w:val="nil"/>
              <w:left w:val="nil"/>
              <w:bottom w:val="nil"/>
              <w:right w:val="nil"/>
            </w:tcBorders>
            <w:shd w:val="clear" w:color="000000" w:fill="0070C0"/>
            <w:noWrap/>
            <w:hideMark/>
          </w:tcPr>
          <w:p w14:paraId="3BE2CD66" w14:textId="77777777" w:rsidR="00DF251A" w:rsidRPr="00521670" w:rsidRDefault="00DF251A" w:rsidP="009B7770">
            <w:pPr>
              <w:pStyle w:val="Tabletext"/>
              <w:jc w:val="right"/>
              <w:rPr>
                <w:b/>
                <w:bCs/>
                <w:lang w:val="ru-RU" w:eastAsia="en-GB"/>
              </w:rPr>
            </w:pPr>
            <w:r w:rsidRPr="00521670">
              <w:rPr>
                <w:b/>
                <w:bCs/>
                <w:lang w:val="ru-RU"/>
              </w:rPr>
              <w:t>399 388</w:t>
            </w:r>
          </w:p>
        </w:tc>
      </w:tr>
    </w:tbl>
    <w:p w14:paraId="0B9489B8" w14:textId="77777777" w:rsidR="00DF251A" w:rsidRPr="00521670" w:rsidRDefault="00DF251A" w:rsidP="001C53EA">
      <w:pPr>
        <w:pStyle w:val="Heading3"/>
        <w:rPr>
          <w:lang w:val="ru-RU"/>
        </w:rPr>
      </w:pPr>
      <w:bookmarkStart w:id="344" w:name="_Toc131156448"/>
      <w:bookmarkStart w:id="345" w:name="_Toc1313097152"/>
      <w:bookmarkStart w:id="346" w:name="_Toc164845564"/>
      <w:bookmarkStart w:id="347" w:name="_Toc168578478"/>
      <w:bookmarkStart w:id="348" w:name="_Toc168578840"/>
      <w:bookmarkStart w:id="349" w:name="_Toc180681823"/>
      <w:r w:rsidRPr="00521670">
        <w:rPr>
          <w:lang w:val="ru-RU"/>
        </w:rPr>
        <w:t>16.1</w:t>
      </w:r>
      <w:r w:rsidRPr="00521670">
        <w:rPr>
          <w:lang w:val="ru-RU"/>
        </w:rPr>
        <w:tab/>
      </w:r>
      <w:bookmarkEnd w:id="344"/>
      <w:bookmarkEnd w:id="345"/>
      <w:bookmarkEnd w:id="346"/>
      <w:r w:rsidRPr="00521670">
        <w:rPr>
          <w:lang w:val="ru-RU"/>
        </w:rPr>
        <w:t>Медицинское страхование после выхода в отставку</w:t>
      </w:r>
      <w:bookmarkEnd w:id="347"/>
      <w:bookmarkEnd w:id="348"/>
      <w:bookmarkEnd w:id="349"/>
    </w:p>
    <w:p w14:paraId="5C7413C9" w14:textId="77777777" w:rsidR="00DF251A" w:rsidRPr="00521670" w:rsidRDefault="00DF251A" w:rsidP="001C53EA">
      <w:pPr>
        <w:pStyle w:val="Headingi"/>
        <w:ind w:left="794" w:hanging="794"/>
        <w:rPr>
          <w:lang w:val="ru-RU"/>
        </w:rPr>
      </w:pPr>
      <w:bookmarkStart w:id="350" w:name="_Toc305764093"/>
      <w:bookmarkStart w:id="351" w:name="_Toc200469184"/>
      <w:bookmarkStart w:id="352" w:name="_Hlk131158609"/>
      <w:r w:rsidRPr="00521670">
        <w:rPr>
          <w:lang w:val="ru-RU"/>
        </w:rPr>
        <w:t>16.1.1</w:t>
      </w:r>
      <w:r w:rsidRPr="00521670">
        <w:rPr>
          <w:lang w:val="ru-RU"/>
        </w:rPr>
        <w:tab/>
      </w:r>
      <w:bookmarkEnd w:id="350"/>
      <w:r w:rsidRPr="00521670">
        <w:rPr>
          <w:lang w:val="ru-RU"/>
        </w:rPr>
        <w:t>Актуарная оценка пособий, которые причитаются после прекращения службы и связаны с планом АСХИ</w:t>
      </w:r>
      <w:bookmarkEnd w:id="351"/>
    </w:p>
    <w:p w14:paraId="6C27EBD8" w14:textId="30C522BF" w:rsidR="00DF251A" w:rsidRPr="00521670" w:rsidRDefault="00DF251A" w:rsidP="001C53EA">
      <w:pPr>
        <w:rPr>
          <w:lang w:val="ru-RU"/>
        </w:rPr>
      </w:pPr>
      <w:r w:rsidRPr="00521670">
        <w:rPr>
          <w:lang w:val="ru-RU"/>
        </w:rPr>
        <w:t xml:space="preserve">Учет связанных с АCХИ обязательств основывается на ежегодном актуарном исследовании, выполняемом независимой консультативной компанией. По результатам последней по времени оценки, проведенной в январе 2025 года, было установлено, что сумма обязательств МСЭ по линии пособий по болезни после прекращения службы, причитающихся сотрудникам, которые удовлетворяют необходимым условиям, составляет на 31 декабря 2024 года </w:t>
      </w:r>
      <w:r w:rsidRPr="00521670">
        <w:rPr>
          <w:lang w:val="ru-RU"/>
        </w:rPr>
        <w:lastRenderedPageBreak/>
        <w:t>415,8 млн. швейцарских франков по сравнению с 375,3 млн. швейцарских франков на конец 2023 года. Актуарное исследование проводилось на основе данных (затраты по заявкам на возмещение расходов/уплаченные взносы/отвечающие критериям лица), предоставленных</w:t>
      </w:r>
      <w:r w:rsidR="002E735F" w:rsidRPr="00521670">
        <w:rPr>
          <w:lang w:val="ru-RU"/>
        </w:rPr>
        <w:t> </w:t>
      </w:r>
      <w:r w:rsidRPr="00521670">
        <w:rPr>
          <w:lang w:val="ru-RU"/>
        </w:rPr>
        <w:t>МСЭ.</w:t>
      </w:r>
    </w:p>
    <w:p w14:paraId="528FB7E7" w14:textId="77777777" w:rsidR="00DF251A" w:rsidRPr="00521670" w:rsidRDefault="00DF251A" w:rsidP="001C53EA">
      <w:pPr>
        <w:pStyle w:val="Headingi"/>
        <w:rPr>
          <w:lang w:val="ru-RU"/>
        </w:rPr>
      </w:pPr>
      <w:bookmarkStart w:id="353" w:name="_Toc305764094"/>
      <w:bookmarkStart w:id="354" w:name="_Toc200469185"/>
      <w:bookmarkEnd w:id="352"/>
      <w:r w:rsidRPr="00521670">
        <w:rPr>
          <w:lang w:val="ru-RU"/>
        </w:rPr>
        <w:t>16.1.2</w:t>
      </w:r>
      <w:r w:rsidRPr="00521670">
        <w:rPr>
          <w:lang w:val="ru-RU"/>
        </w:rPr>
        <w:tab/>
      </w:r>
      <w:bookmarkEnd w:id="353"/>
      <w:r w:rsidRPr="00521670">
        <w:rPr>
          <w:lang w:val="ru-RU"/>
        </w:rPr>
        <w:t>Актуарная оценка – допущения и методы</w:t>
      </w:r>
      <w:bookmarkEnd w:id="354"/>
    </w:p>
    <w:p w14:paraId="6E8EEB43" w14:textId="77777777" w:rsidR="00DF251A" w:rsidRPr="00521670" w:rsidRDefault="00DF251A" w:rsidP="001C53EA">
      <w:pPr>
        <w:spacing w:after="120"/>
        <w:rPr>
          <w:lang w:val="ru-RU"/>
        </w:rPr>
      </w:pPr>
      <w:r w:rsidRPr="00521670">
        <w:rPr>
          <w:lang w:val="ru-RU"/>
        </w:rPr>
        <w:t>В рамках проводимой оценки обязательств, связанных с планом АСХИ по состоянию на 31 декабря 2024 года, и взноса за 2024 финансовый год МСЭ проверяет правильность допущений и методов, использованных актуариями. Ниже описываются допущения и методы, которые использовались для оценки, охватывающей 2024 финансовый год.</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5640"/>
      </w:tblGrid>
      <w:tr w:rsidR="00DF251A" w:rsidRPr="00521670" w14:paraId="15B01FD7" w14:textId="77777777" w:rsidTr="00835292">
        <w:tc>
          <w:tcPr>
            <w:tcW w:w="3432" w:type="dxa"/>
          </w:tcPr>
          <w:p w14:paraId="7BE45B14" w14:textId="77777777" w:rsidR="00DF251A" w:rsidRPr="00521670" w:rsidRDefault="00DF251A" w:rsidP="00835292">
            <w:pPr>
              <w:pStyle w:val="Tabletext"/>
              <w:rPr>
                <w:szCs w:val="18"/>
                <w:lang w:val="ru-RU"/>
              </w:rPr>
            </w:pPr>
            <w:bookmarkStart w:id="355" w:name="_Hlk37059178"/>
            <w:r w:rsidRPr="00521670">
              <w:rPr>
                <w:szCs w:val="18"/>
                <w:lang w:val="ru-RU"/>
              </w:rPr>
              <w:t>Ставка дисконтирования</w:t>
            </w:r>
          </w:p>
        </w:tc>
        <w:tc>
          <w:tcPr>
            <w:tcW w:w="5640" w:type="dxa"/>
          </w:tcPr>
          <w:p w14:paraId="02870448" w14:textId="77777777" w:rsidR="00DF251A" w:rsidRPr="00521670" w:rsidRDefault="00DF251A" w:rsidP="00835292">
            <w:pPr>
              <w:pStyle w:val="Tabletext"/>
              <w:rPr>
                <w:szCs w:val="18"/>
                <w:lang w:val="ru-RU"/>
              </w:rPr>
            </w:pPr>
            <w:r w:rsidRPr="00521670">
              <w:rPr>
                <w:szCs w:val="18"/>
                <w:lang w:val="ru-RU"/>
              </w:rPr>
              <w:t>1,40% в 2024 году и 1,90% в 2023 году</w:t>
            </w:r>
          </w:p>
          <w:p w14:paraId="10BBF4EF" w14:textId="77777777" w:rsidR="00DF251A" w:rsidRPr="00521670" w:rsidRDefault="00DF251A" w:rsidP="00835292">
            <w:pPr>
              <w:pStyle w:val="Tabletext"/>
              <w:rPr>
                <w:szCs w:val="18"/>
                <w:lang w:val="ru-RU"/>
              </w:rPr>
            </w:pPr>
            <w:r w:rsidRPr="00521670">
              <w:rPr>
                <w:szCs w:val="18"/>
                <w:lang w:val="ru-RU"/>
              </w:rPr>
              <w:t>Ставки дисконтирования, использованные для данной оценки, сначала были определены отдельно для каждой из основных валют, включая швейцарский франк, доллар США и евро, с помощью кривой доходности корпоративных облигаций Aon AA по состоянию на 31 декабря 2024 года. Затем была определена конечная ставка дисконтирования путем усреднения ставок дисконтирования по валютам, взвешенных по сумме выплат пособий текущим неработающим в каждой валюте.</w:t>
            </w:r>
          </w:p>
        </w:tc>
      </w:tr>
      <w:tr w:rsidR="00DF251A" w:rsidRPr="00521670" w14:paraId="7F52C29F" w14:textId="77777777" w:rsidTr="00835292">
        <w:tc>
          <w:tcPr>
            <w:tcW w:w="3432" w:type="dxa"/>
          </w:tcPr>
          <w:p w14:paraId="20C22943" w14:textId="77777777" w:rsidR="00DF251A" w:rsidRPr="00521670" w:rsidRDefault="00DF251A" w:rsidP="00835292">
            <w:pPr>
              <w:pStyle w:val="Tabletext"/>
              <w:rPr>
                <w:szCs w:val="18"/>
                <w:lang w:val="ru-RU"/>
              </w:rPr>
            </w:pPr>
            <w:r w:rsidRPr="00521670">
              <w:rPr>
                <w:szCs w:val="18"/>
                <w:lang w:val="ru-RU"/>
              </w:rPr>
              <w:t xml:space="preserve">Рост затрат на медицинские услуги </w:t>
            </w:r>
          </w:p>
        </w:tc>
        <w:tc>
          <w:tcPr>
            <w:tcW w:w="5640" w:type="dxa"/>
          </w:tcPr>
          <w:p w14:paraId="53B5C4FB" w14:textId="77777777" w:rsidR="00DF251A" w:rsidRPr="00521670" w:rsidRDefault="00DF251A" w:rsidP="00D85BAE">
            <w:pPr>
              <w:pStyle w:val="Tabletext"/>
              <w:rPr>
                <w:szCs w:val="18"/>
                <w:lang w:val="ru-RU"/>
              </w:rPr>
            </w:pPr>
            <w:r w:rsidRPr="00521670">
              <w:rPr>
                <w:szCs w:val="18"/>
                <w:lang w:val="ru-RU"/>
              </w:rPr>
              <w:t>2,40% в 2024 году и 2,60% в 2023 году</w:t>
            </w:r>
          </w:p>
        </w:tc>
      </w:tr>
      <w:tr w:rsidR="00DF251A" w:rsidRPr="00521670" w14:paraId="3542D276" w14:textId="77777777" w:rsidTr="00835292">
        <w:tc>
          <w:tcPr>
            <w:tcW w:w="3432" w:type="dxa"/>
          </w:tcPr>
          <w:p w14:paraId="25014E1E" w14:textId="77777777" w:rsidR="00DF251A" w:rsidRPr="00521670" w:rsidRDefault="00DF251A" w:rsidP="00835292">
            <w:pPr>
              <w:pStyle w:val="Tabletext"/>
              <w:rPr>
                <w:szCs w:val="18"/>
                <w:lang w:val="ru-RU"/>
              </w:rPr>
            </w:pPr>
            <w:r w:rsidRPr="00521670">
              <w:rPr>
                <w:szCs w:val="18"/>
                <w:lang w:val="ru-RU"/>
              </w:rPr>
              <w:t>Увеличение окладов</w:t>
            </w:r>
          </w:p>
        </w:tc>
        <w:tc>
          <w:tcPr>
            <w:tcW w:w="5640" w:type="dxa"/>
          </w:tcPr>
          <w:p w14:paraId="3E1E8E38" w14:textId="15D2B69B" w:rsidR="00DF251A" w:rsidRPr="00521670" w:rsidRDefault="00DF251A" w:rsidP="00D85BAE">
            <w:pPr>
              <w:pStyle w:val="Tabletext"/>
              <w:rPr>
                <w:szCs w:val="18"/>
                <w:lang w:val="ru-RU"/>
              </w:rPr>
            </w:pPr>
            <w:r w:rsidRPr="00521670">
              <w:rPr>
                <w:szCs w:val="18"/>
                <w:lang w:val="ru-RU"/>
              </w:rPr>
              <w:t xml:space="preserve">3,10% рост в 2024 и 2023 годах согласно </w:t>
            </w:r>
            <w:r w:rsidRPr="00521670">
              <w:rPr>
                <w:color w:val="000000"/>
                <w:szCs w:val="18"/>
                <w:lang w:val="ru-RU"/>
              </w:rPr>
              <w:t>фиксированной шкале роста окладов, используемой ОПФП ООН</w:t>
            </w:r>
          </w:p>
        </w:tc>
      </w:tr>
      <w:tr w:rsidR="00DF251A" w:rsidRPr="00521670" w14:paraId="6121E3DA" w14:textId="77777777" w:rsidTr="00835292">
        <w:tc>
          <w:tcPr>
            <w:tcW w:w="3432" w:type="dxa"/>
          </w:tcPr>
          <w:p w14:paraId="5F90C3B8" w14:textId="77777777" w:rsidR="00DF251A" w:rsidRPr="00521670" w:rsidRDefault="00DF251A" w:rsidP="00835292">
            <w:pPr>
              <w:pStyle w:val="Tabletext"/>
              <w:rPr>
                <w:szCs w:val="18"/>
                <w:lang w:val="ru-RU"/>
              </w:rPr>
            </w:pPr>
            <w:r w:rsidRPr="00521670">
              <w:rPr>
                <w:szCs w:val="18"/>
                <w:lang w:val="ru-RU"/>
              </w:rPr>
              <w:t>Увеличений пенсий</w:t>
            </w:r>
          </w:p>
        </w:tc>
        <w:tc>
          <w:tcPr>
            <w:tcW w:w="5640" w:type="dxa"/>
          </w:tcPr>
          <w:p w14:paraId="4FB1554A" w14:textId="77777777" w:rsidR="00DF251A" w:rsidRPr="00521670" w:rsidRDefault="00DF251A" w:rsidP="00D85BAE">
            <w:pPr>
              <w:pStyle w:val="Tabletext"/>
              <w:rPr>
                <w:szCs w:val="18"/>
                <w:lang w:val="ru-RU"/>
              </w:rPr>
            </w:pPr>
            <w:r w:rsidRPr="00521670">
              <w:rPr>
                <w:szCs w:val="18"/>
                <w:lang w:val="ru-RU"/>
              </w:rPr>
              <w:t>2,60% в 2024 и 2023 годах</w:t>
            </w:r>
          </w:p>
        </w:tc>
      </w:tr>
      <w:tr w:rsidR="00DF251A" w:rsidRPr="00521670" w14:paraId="142DCABA" w14:textId="77777777" w:rsidTr="00835292">
        <w:tc>
          <w:tcPr>
            <w:tcW w:w="3432" w:type="dxa"/>
          </w:tcPr>
          <w:p w14:paraId="6C2F1894" w14:textId="77777777" w:rsidR="00DF251A" w:rsidRPr="00521670" w:rsidRDefault="00DF251A" w:rsidP="00835292">
            <w:pPr>
              <w:pStyle w:val="Tabletext"/>
              <w:rPr>
                <w:szCs w:val="18"/>
                <w:lang w:val="ru-RU"/>
              </w:rPr>
            </w:pPr>
            <w:r w:rsidRPr="00521670">
              <w:rPr>
                <w:szCs w:val="18"/>
                <w:lang w:val="ru-RU"/>
              </w:rPr>
              <w:t>Оценочные среднегодовые затраты по заявкам на возмещение медицинских расходов в 2024 г. и колебания медицинских расходов в зависимости от возраста</w:t>
            </w:r>
          </w:p>
        </w:tc>
        <w:tc>
          <w:tcPr>
            <w:tcW w:w="5640" w:type="dxa"/>
          </w:tcPr>
          <w:p w14:paraId="65CEE5AB" w14:textId="77777777" w:rsidR="00DF251A" w:rsidRPr="00521670" w:rsidRDefault="00DF251A" w:rsidP="00835292">
            <w:pPr>
              <w:pStyle w:val="Tabletext"/>
              <w:rPr>
                <w:szCs w:val="18"/>
                <w:lang w:val="ru-RU"/>
              </w:rPr>
            </w:pPr>
            <w:r w:rsidRPr="00521670">
              <w:rPr>
                <w:szCs w:val="18"/>
                <w:lang w:val="ru-RU"/>
              </w:rPr>
              <w:t>Актуарный отчет за 2024 год базируется на величине средних затрат по заявкам на возмещение расходов на конец года, которые оценивались по возрастным категориям следующим образом:</w:t>
            </w:r>
          </w:p>
          <w:tbl>
            <w:tblPr>
              <w:tblStyle w:val="TableGrid"/>
              <w:tblW w:w="0" w:type="auto"/>
              <w:jc w:val="center"/>
              <w:tblLayout w:type="fixed"/>
              <w:tblLook w:val="06A0" w:firstRow="1" w:lastRow="0" w:firstColumn="1" w:lastColumn="0" w:noHBand="1" w:noVBand="1"/>
            </w:tblPr>
            <w:tblGrid>
              <w:gridCol w:w="1135"/>
              <w:gridCol w:w="1701"/>
              <w:gridCol w:w="1701"/>
            </w:tblGrid>
            <w:tr w:rsidR="00DF251A" w:rsidRPr="00521670" w14:paraId="608DC8E4" w14:textId="77777777" w:rsidTr="00835292">
              <w:trPr>
                <w:trHeight w:val="300"/>
                <w:jc w:val="center"/>
              </w:trPr>
              <w:tc>
                <w:tcPr>
                  <w:tcW w:w="1135" w:type="dxa"/>
                </w:tcPr>
                <w:p w14:paraId="4D4DAD5B" w14:textId="77777777" w:rsidR="00DF251A" w:rsidRPr="00521670" w:rsidRDefault="00DF251A" w:rsidP="00865942">
                  <w:pPr>
                    <w:pStyle w:val="Tablehead"/>
                    <w:rPr>
                      <w:lang w:val="ru-RU"/>
                    </w:rPr>
                  </w:pPr>
                  <w:r w:rsidRPr="00521670">
                    <w:rPr>
                      <w:lang w:val="ru-RU"/>
                    </w:rPr>
                    <w:t>Возрастная категория</w:t>
                  </w:r>
                </w:p>
              </w:tc>
              <w:tc>
                <w:tcPr>
                  <w:tcW w:w="1701" w:type="dxa"/>
                </w:tcPr>
                <w:p w14:paraId="38006CE7" w14:textId="77777777" w:rsidR="00DF251A" w:rsidRPr="00521670" w:rsidRDefault="00DF251A" w:rsidP="00A5107F">
                  <w:pPr>
                    <w:pStyle w:val="Tablehead"/>
                    <w:rPr>
                      <w:lang w:val="ru-RU"/>
                    </w:rPr>
                  </w:pPr>
                  <w:r w:rsidRPr="00521670">
                    <w:rPr>
                      <w:szCs w:val="18"/>
                      <w:lang w:val="ru-RU"/>
                    </w:rPr>
                    <w:t xml:space="preserve">Затраты по заявкам на возмещение расходов </w:t>
                  </w:r>
                  <w:r w:rsidRPr="00521670">
                    <w:rPr>
                      <w:lang w:val="ru-RU"/>
                    </w:rPr>
                    <w:t>(</w:t>
                  </w:r>
                  <w:r w:rsidRPr="00521670">
                    <w:rPr>
                      <w:szCs w:val="18"/>
                      <w:lang w:val="ru-RU"/>
                    </w:rPr>
                    <w:t>шв. фр.</w:t>
                  </w:r>
                  <w:r w:rsidRPr="00521670">
                    <w:rPr>
                      <w:lang w:val="ru-RU"/>
                    </w:rPr>
                    <w:t>) 2024 г.</w:t>
                  </w:r>
                </w:p>
              </w:tc>
              <w:tc>
                <w:tcPr>
                  <w:tcW w:w="1701" w:type="dxa"/>
                </w:tcPr>
                <w:p w14:paraId="035EA287" w14:textId="77777777" w:rsidR="00DF251A" w:rsidRPr="00521670" w:rsidRDefault="00DF251A" w:rsidP="00865942">
                  <w:pPr>
                    <w:pStyle w:val="Tablehead"/>
                    <w:rPr>
                      <w:lang w:val="ru-RU"/>
                    </w:rPr>
                  </w:pPr>
                  <w:r w:rsidRPr="00521670">
                    <w:rPr>
                      <w:szCs w:val="18"/>
                      <w:lang w:val="ru-RU"/>
                    </w:rPr>
                    <w:t xml:space="preserve">Затраты по заявкам на возмещение расходов </w:t>
                  </w:r>
                  <w:r w:rsidRPr="00521670">
                    <w:rPr>
                      <w:lang w:val="ru-RU"/>
                    </w:rPr>
                    <w:t>(</w:t>
                  </w:r>
                  <w:r w:rsidRPr="00521670">
                    <w:rPr>
                      <w:szCs w:val="18"/>
                      <w:lang w:val="ru-RU"/>
                    </w:rPr>
                    <w:t>шв. фр.</w:t>
                  </w:r>
                  <w:r w:rsidRPr="00521670">
                    <w:rPr>
                      <w:lang w:val="ru-RU"/>
                    </w:rPr>
                    <w:t>) 2023 г.</w:t>
                  </w:r>
                </w:p>
              </w:tc>
            </w:tr>
            <w:tr w:rsidR="00DF251A" w:rsidRPr="00521670" w14:paraId="6C06BB1F" w14:textId="77777777" w:rsidTr="00865942">
              <w:trPr>
                <w:trHeight w:val="300"/>
                <w:jc w:val="center"/>
              </w:trPr>
              <w:tc>
                <w:tcPr>
                  <w:tcW w:w="1135" w:type="dxa"/>
                </w:tcPr>
                <w:p w14:paraId="3A60C758" w14:textId="77777777" w:rsidR="00DF251A" w:rsidRPr="00521670" w:rsidRDefault="00DF251A" w:rsidP="00865942">
                  <w:pPr>
                    <w:pStyle w:val="Tabletext"/>
                    <w:jc w:val="center"/>
                    <w:rPr>
                      <w:lang w:val="ru-RU"/>
                    </w:rPr>
                  </w:pPr>
                  <w:r w:rsidRPr="00521670">
                    <w:rPr>
                      <w:lang w:val="ru-RU"/>
                    </w:rPr>
                    <w:t>50</w:t>
                  </w:r>
                </w:p>
              </w:tc>
              <w:tc>
                <w:tcPr>
                  <w:tcW w:w="1701" w:type="dxa"/>
                </w:tcPr>
                <w:p w14:paraId="2DCC3FC1" w14:textId="77777777" w:rsidR="00DF251A" w:rsidRPr="00521670" w:rsidRDefault="00DF251A" w:rsidP="00865942">
                  <w:pPr>
                    <w:pStyle w:val="Tabletext"/>
                    <w:jc w:val="right"/>
                    <w:rPr>
                      <w:lang w:val="ru-RU"/>
                    </w:rPr>
                  </w:pPr>
                  <w:r w:rsidRPr="00521670">
                    <w:rPr>
                      <w:lang w:val="ru-RU"/>
                    </w:rPr>
                    <w:t>4 408</w:t>
                  </w:r>
                </w:p>
              </w:tc>
              <w:tc>
                <w:tcPr>
                  <w:tcW w:w="1701" w:type="dxa"/>
                </w:tcPr>
                <w:p w14:paraId="0FB69F37" w14:textId="77777777" w:rsidR="00DF251A" w:rsidRPr="00521670" w:rsidRDefault="00DF251A" w:rsidP="00865942">
                  <w:pPr>
                    <w:pStyle w:val="Tabletext"/>
                    <w:jc w:val="right"/>
                    <w:rPr>
                      <w:lang w:val="ru-RU"/>
                    </w:rPr>
                  </w:pPr>
                  <w:r w:rsidRPr="00521670">
                    <w:rPr>
                      <w:lang w:val="ru-RU"/>
                    </w:rPr>
                    <w:t>3 226</w:t>
                  </w:r>
                </w:p>
              </w:tc>
            </w:tr>
            <w:tr w:rsidR="00DF251A" w:rsidRPr="00521670" w14:paraId="01B9FEF4" w14:textId="77777777" w:rsidTr="00865942">
              <w:trPr>
                <w:trHeight w:val="300"/>
                <w:jc w:val="center"/>
              </w:trPr>
              <w:tc>
                <w:tcPr>
                  <w:tcW w:w="1135" w:type="dxa"/>
                </w:tcPr>
                <w:p w14:paraId="594592AA" w14:textId="77777777" w:rsidR="00DF251A" w:rsidRPr="00521670" w:rsidRDefault="00DF251A" w:rsidP="00865942">
                  <w:pPr>
                    <w:pStyle w:val="Tabletext"/>
                    <w:jc w:val="center"/>
                    <w:rPr>
                      <w:lang w:val="ru-RU"/>
                    </w:rPr>
                  </w:pPr>
                  <w:r w:rsidRPr="00521670">
                    <w:rPr>
                      <w:lang w:val="ru-RU"/>
                    </w:rPr>
                    <w:t>55</w:t>
                  </w:r>
                </w:p>
              </w:tc>
              <w:tc>
                <w:tcPr>
                  <w:tcW w:w="1701" w:type="dxa"/>
                </w:tcPr>
                <w:p w14:paraId="5D186E14" w14:textId="77777777" w:rsidR="00DF251A" w:rsidRPr="00521670" w:rsidRDefault="00DF251A" w:rsidP="00865942">
                  <w:pPr>
                    <w:pStyle w:val="Tabletext"/>
                    <w:jc w:val="right"/>
                    <w:rPr>
                      <w:lang w:val="ru-RU"/>
                    </w:rPr>
                  </w:pPr>
                  <w:r w:rsidRPr="00521670">
                    <w:rPr>
                      <w:lang w:val="ru-RU"/>
                    </w:rPr>
                    <w:t>5 441</w:t>
                  </w:r>
                </w:p>
              </w:tc>
              <w:tc>
                <w:tcPr>
                  <w:tcW w:w="1701" w:type="dxa"/>
                </w:tcPr>
                <w:p w14:paraId="0D43EBCE" w14:textId="77777777" w:rsidR="00DF251A" w:rsidRPr="00521670" w:rsidRDefault="00DF251A" w:rsidP="00865942">
                  <w:pPr>
                    <w:pStyle w:val="Tabletext"/>
                    <w:jc w:val="right"/>
                    <w:rPr>
                      <w:lang w:val="ru-RU"/>
                    </w:rPr>
                  </w:pPr>
                  <w:r w:rsidRPr="00521670">
                    <w:rPr>
                      <w:lang w:val="ru-RU"/>
                    </w:rPr>
                    <w:t>4 038</w:t>
                  </w:r>
                </w:p>
              </w:tc>
            </w:tr>
            <w:tr w:rsidR="00DF251A" w:rsidRPr="00521670" w14:paraId="6505168A" w14:textId="77777777" w:rsidTr="00865942">
              <w:trPr>
                <w:trHeight w:val="300"/>
                <w:jc w:val="center"/>
              </w:trPr>
              <w:tc>
                <w:tcPr>
                  <w:tcW w:w="1135" w:type="dxa"/>
                </w:tcPr>
                <w:p w14:paraId="57768432" w14:textId="77777777" w:rsidR="00DF251A" w:rsidRPr="00521670" w:rsidRDefault="00DF251A" w:rsidP="00865942">
                  <w:pPr>
                    <w:pStyle w:val="Tabletext"/>
                    <w:jc w:val="center"/>
                    <w:rPr>
                      <w:lang w:val="ru-RU"/>
                    </w:rPr>
                  </w:pPr>
                  <w:r w:rsidRPr="00521670">
                    <w:rPr>
                      <w:lang w:val="ru-RU"/>
                    </w:rPr>
                    <w:t>60</w:t>
                  </w:r>
                </w:p>
              </w:tc>
              <w:tc>
                <w:tcPr>
                  <w:tcW w:w="1701" w:type="dxa"/>
                </w:tcPr>
                <w:p w14:paraId="78BA5CC9" w14:textId="77777777" w:rsidR="00DF251A" w:rsidRPr="00521670" w:rsidRDefault="00DF251A" w:rsidP="00865942">
                  <w:pPr>
                    <w:pStyle w:val="Tabletext"/>
                    <w:jc w:val="right"/>
                    <w:rPr>
                      <w:lang w:val="ru-RU"/>
                    </w:rPr>
                  </w:pPr>
                  <w:r w:rsidRPr="00521670">
                    <w:rPr>
                      <w:lang w:val="ru-RU"/>
                    </w:rPr>
                    <w:t>6 620</w:t>
                  </w:r>
                </w:p>
              </w:tc>
              <w:tc>
                <w:tcPr>
                  <w:tcW w:w="1701" w:type="dxa"/>
                </w:tcPr>
                <w:p w14:paraId="20868E12" w14:textId="77777777" w:rsidR="00DF251A" w:rsidRPr="00521670" w:rsidRDefault="00DF251A" w:rsidP="00865942">
                  <w:pPr>
                    <w:pStyle w:val="Tabletext"/>
                    <w:jc w:val="right"/>
                    <w:rPr>
                      <w:lang w:val="ru-RU"/>
                    </w:rPr>
                  </w:pPr>
                  <w:r w:rsidRPr="00521670">
                    <w:rPr>
                      <w:lang w:val="ru-RU"/>
                    </w:rPr>
                    <w:t>5 063</w:t>
                  </w:r>
                </w:p>
              </w:tc>
            </w:tr>
            <w:tr w:rsidR="00DF251A" w:rsidRPr="00521670" w14:paraId="27B57ABD" w14:textId="77777777" w:rsidTr="00865942">
              <w:trPr>
                <w:trHeight w:val="300"/>
                <w:jc w:val="center"/>
              </w:trPr>
              <w:tc>
                <w:tcPr>
                  <w:tcW w:w="1135" w:type="dxa"/>
                </w:tcPr>
                <w:p w14:paraId="0F3E8959" w14:textId="77777777" w:rsidR="00DF251A" w:rsidRPr="00521670" w:rsidRDefault="00DF251A" w:rsidP="00865942">
                  <w:pPr>
                    <w:pStyle w:val="Tabletext"/>
                    <w:jc w:val="center"/>
                    <w:rPr>
                      <w:lang w:val="ru-RU"/>
                    </w:rPr>
                  </w:pPr>
                  <w:r w:rsidRPr="00521670">
                    <w:rPr>
                      <w:lang w:val="ru-RU"/>
                    </w:rPr>
                    <w:t>65</w:t>
                  </w:r>
                </w:p>
              </w:tc>
              <w:tc>
                <w:tcPr>
                  <w:tcW w:w="1701" w:type="dxa"/>
                </w:tcPr>
                <w:p w14:paraId="6D27CD4F" w14:textId="77777777" w:rsidR="00DF251A" w:rsidRPr="00521670" w:rsidRDefault="00DF251A" w:rsidP="00865942">
                  <w:pPr>
                    <w:pStyle w:val="Tabletext"/>
                    <w:jc w:val="right"/>
                    <w:rPr>
                      <w:lang w:val="ru-RU"/>
                    </w:rPr>
                  </w:pPr>
                  <w:r w:rsidRPr="00521670">
                    <w:rPr>
                      <w:lang w:val="ru-RU"/>
                    </w:rPr>
                    <w:t>7 938</w:t>
                  </w:r>
                </w:p>
              </w:tc>
              <w:tc>
                <w:tcPr>
                  <w:tcW w:w="1701" w:type="dxa"/>
                </w:tcPr>
                <w:p w14:paraId="2AFC2F76" w14:textId="77777777" w:rsidR="00DF251A" w:rsidRPr="00521670" w:rsidRDefault="00DF251A" w:rsidP="00865942">
                  <w:pPr>
                    <w:pStyle w:val="Tabletext"/>
                    <w:jc w:val="right"/>
                    <w:rPr>
                      <w:lang w:val="ru-RU"/>
                    </w:rPr>
                  </w:pPr>
                  <w:r w:rsidRPr="00521670">
                    <w:rPr>
                      <w:lang w:val="ru-RU"/>
                    </w:rPr>
                    <w:t>6 357</w:t>
                  </w:r>
                </w:p>
              </w:tc>
            </w:tr>
            <w:tr w:rsidR="00DF251A" w:rsidRPr="00521670" w14:paraId="01EEF5FC" w14:textId="77777777" w:rsidTr="00865942">
              <w:trPr>
                <w:trHeight w:val="300"/>
                <w:jc w:val="center"/>
              </w:trPr>
              <w:tc>
                <w:tcPr>
                  <w:tcW w:w="1135" w:type="dxa"/>
                </w:tcPr>
                <w:p w14:paraId="78327953" w14:textId="77777777" w:rsidR="00DF251A" w:rsidRPr="00521670" w:rsidRDefault="00DF251A" w:rsidP="00865942">
                  <w:pPr>
                    <w:pStyle w:val="Tabletext"/>
                    <w:jc w:val="center"/>
                    <w:rPr>
                      <w:lang w:val="ru-RU"/>
                    </w:rPr>
                  </w:pPr>
                  <w:r w:rsidRPr="00521670">
                    <w:rPr>
                      <w:lang w:val="ru-RU"/>
                    </w:rPr>
                    <w:t>70</w:t>
                  </w:r>
                </w:p>
              </w:tc>
              <w:tc>
                <w:tcPr>
                  <w:tcW w:w="1701" w:type="dxa"/>
                </w:tcPr>
                <w:p w14:paraId="43656F18" w14:textId="77777777" w:rsidR="00DF251A" w:rsidRPr="00521670" w:rsidRDefault="00DF251A" w:rsidP="00865942">
                  <w:pPr>
                    <w:pStyle w:val="Tabletext"/>
                    <w:jc w:val="right"/>
                    <w:rPr>
                      <w:lang w:val="ru-RU"/>
                    </w:rPr>
                  </w:pPr>
                  <w:r w:rsidRPr="00521670">
                    <w:rPr>
                      <w:lang w:val="ru-RU"/>
                    </w:rPr>
                    <w:t>9 566</w:t>
                  </w:r>
                </w:p>
              </w:tc>
              <w:tc>
                <w:tcPr>
                  <w:tcW w:w="1701" w:type="dxa"/>
                </w:tcPr>
                <w:p w14:paraId="2563D4FF" w14:textId="77777777" w:rsidR="00DF251A" w:rsidRPr="00521670" w:rsidRDefault="00DF251A" w:rsidP="00865942">
                  <w:pPr>
                    <w:pStyle w:val="Tabletext"/>
                    <w:jc w:val="right"/>
                    <w:rPr>
                      <w:lang w:val="ru-RU"/>
                    </w:rPr>
                  </w:pPr>
                  <w:r w:rsidRPr="00521670">
                    <w:rPr>
                      <w:lang w:val="ru-RU"/>
                    </w:rPr>
                    <w:t>7 995</w:t>
                  </w:r>
                </w:p>
              </w:tc>
            </w:tr>
            <w:tr w:rsidR="00DF251A" w:rsidRPr="00521670" w14:paraId="1BBD2D6B" w14:textId="77777777" w:rsidTr="00865942">
              <w:trPr>
                <w:trHeight w:val="300"/>
                <w:jc w:val="center"/>
              </w:trPr>
              <w:tc>
                <w:tcPr>
                  <w:tcW w:w="1135" w:type="dxa"/>
                </w:tcPr>
                <w:p w14:paraId="475F72A1" w14:textId="77777777" w:rsidR="00DF251A" w:rsidRPr="00521670" w:rsidRDefault="00DF251A" w:rsidP="00865942">
                  <w:pPr>
                    <w:pStyle w:val="Tabletext"/>
                    <w:jc w:val="center"/>
                    <w:rPr>
                      <w:lang w:val="ru-RU"/>
                    </w:rPr>
                  </w:pPr>
                  <w:r w:rsidRPr="00521670">
                    <w:rPr>
                      <w:lang w:val="ru-RU"/>
                    </w:rPr>
                    <w:t>75</w:t>
                  </w:r>
                </w:p>
              </w:tc>
              <w:tc>
                <w:tcPr>
                  <w:tcW w:w="1701" w:type="dxa"/>
                </w:tcPr>
                <w:p w14:paraId="33BD592B" w14:textId="77777777" w:rsidR="00DF251A" w:rsidRPr="00521670" w:rsidRDefault="00DF251A" w:rsidP="00865942">
                  <w:pPr>
                    <w:pStyle w:val="Tabletext"/>
                    <w:jc w:val="right"/>
                    <w:rPr>
                      <w:lang w:val="ru-RU"/>
                    </w:rPr>
                  </w:pPr>
                  <w:r w:rsidRPr="00521670">
                    <w:rPr>
                      <w:lang w:val="ru-RU"/>
                    </w:rPr>
                    <w:t>10 926</w:t>
                  </w:r>
                </w:p>
              </w:tc>
              <w:tc>
                <w:tcPr>
                  <w:tcW w:w="1701" w:type="dxa"/>
                </w:tcPr>
                <w:p w14:paraId="02128677" w14:textId="77777777" w:rsidR="00DF251A" w:rsidRPr="00521670" w:rsidRDefault="00DF251A" w:rsidP="00865942">
                  <w:pPr>
                    <w:pStyle w:val="Tabletext"/>
                    <w:jc w:val="right"/>
                    <w:rPr>
                      <w:lang w:val="ru-RU"/>
                    </w:rPr>
                  </w:pPr>
                  <w:r w:rsidRPr="00521670">
                    <w:rPr>
                      <w:lang w:val="ru-RU"/>
                    </w:rPr>
                    <w:t>10 074</w:t>
                  </w:r>
                </w:p>
              </w:tc>
            </w:tr>
            <w:tr w:rsidR="00DF251A" w:rsidRPr="00521670" w14:paraId="18797626" w14:textId="77777777" w:rsidTr="00865942">
              <w:trPr>
                <w:trHeight w:val="300"/>
                <w:jc w:val="center"/>
              </w:trPr>
              <w:tc>
                <w:tcPr>
                  <w:tcW w:w="1135" w:type="dxa"/>
                </w:tcPr>
                <w:p w14:paraId="43841F77" w14:textId="77777777" w:rsidR="00DF251A" w:rsidRPr="00521670" w:rsidRDefault="00DF251A" w:rsidP="00865942">
                  <w:pPr>
                    <w:pStyle w:val="Tabletext"/>
                    <w:jc w:val="center"/>
                    <w:rPr>
                      <w:lang w:val="ru-RU"/>
                    </w:rPr>
                  </w:pPr>
                  <w:r w:rsidRPr="00521670">
                    <w:rPr>
                      <w:lang w:val="ru-RU"/>
                    </w:rPr>
                    <w:t>80</w:t>
                  </w:r>
                </w:p>
              </w:tc>
              <w:tc>
                <w:tcPr>
                  <w:tcW w:w="1701" w:type="dxa"/>
                </w:tcPr>
                <w:p w14:paraId="3EB7EE8C" w14:textId="77777777" w:rsidR="00DF251A" w:rsidRPr="00521670" w:rsidRDefault="00DF251A" w:rsidP="00865942">
                  <w:pPr>
                    <w:pStyle w:val="Tabletext"/>
                    <w:jc w:val="right"/>
                    <w:rPr>
                      <w:lang w:val="ru-RU"/>
                    </w:rPr>
                  </w:pPr>
                  <w:r w:rsidRPr="00521670">
                    <w:rPr>
                      <w:lang w:val="ru-RU"/>
                    </w:rPr>
                    <w:t>12 060</w:t>
                  </w:r>
                </w:p>
              </w:tc>
              <w:tc>
                <w:tcPr>
                  <w:tcW w:w="1701" w:type="dxa"/>
                </w:tcPr>
                <w:p w14:paraId="3147544A" w14:textId="77777777" w:rsidR="00DF251A" w:rsidRPr="00521670" w:rsidRDefault="00DF251A" w:rsidP="00865942">
                  <w:pPr>
                    <w:pStyle w:val="Tabletext"/>
                    <w:jc w:val="right"/>
                    <w:rPr>
                      <w:lang w:val="ru-RU"/>
                    </w:rPr>
                  </w:pPr>
                  <w:r w:rsidRPr="00521670">
                    <w:rPr>
                      <w:lang w:val="ru-RU"/>
                    </w:rPr>
                    <w:t>12 715</w:t>
                  </w:r>
                </w:p>
              </w:tc>
            </w:tr>
            <w:tr w:rsidR="00DF251A" w:rsidRPr="00521670" w14:paraId="430304BE" w14:textId="77777777" w:rsidTr="00865942">
              <w:trPr>
                <w:trHeight w:val="300"/>
                <w:jc w:val="center"/>
              </w:trPr>
              <w:tc>
                <w:tcPr>
                  <w:tcW w:w="1135" w:type="dxa"/>
                </w:tcPr>
                <w:p w14:paraId="06B64C6D" w14:textId="77777777" w:rsidR="00DF251A" w:rsidRPr="00521670" w:rsidRDefault="00DF251A" w:rsidP="00865942">
                  <w:pPr>
                    <w:pStyle w:val="Tabletext"/>
                    <w:jc w:val="center"/>
                    <w:rPr>
                      <w:lang w:val="ru-RU"/>
                    </w:rPr>
                  </w:pPr>
                  <w:r w:rsidRPr="00521670">
                    <w:rPr>
                      <w:lang w:val="ru-RU"/>
                    </w:rPr>
                    <w:t>85</w:t>
                  </w:r>
                </w:p>
              </w:tc>
              <w:tc>
                <w:tcPr>
                  <w:tcW w:w="1701" w:type="dxa"/>
                </w:tcPr>
                <w:p w14:paraId="1A9EA30E" w14:textId="77777777" w:rsidR="00DF251A" w:rsidRPr="00521670" w:rsidRDefault="00DF251A" w:rsidP="00865942">
                  <w:pPr>
                    <w:pStyle w:val="Tabletext"/>
                    <w:jc w:val="right"/>
                    <w:rPr>
                      <w:lang w:val="ru-RU"/>
                    </w:rPr>
                  </w:pPr>
                  <w:r w:rsidRPr="00521670">
                    <w:rPr>
                      <w:lang w:val="ru-RU"/>
                    </w:rPr>
                    <w:t>14 672</w:t>
                  </w:r>
                </w:p>
              </w:tc>
              <w:tc>
                <w:tcPr>
                  <w:tcW w:w="1701" w:type="dxa"/>
                </w:tcPr>
                <w:p w14:paraId="52E1FF11" w14:textId="77777777" w:rsidR="00DF251A" w:rsidRPr="00521670" w:rsidRDefault="00DF251A" w:rsidP="00865942">
                  <w:pPr>
                    <w:pStyle w:val="Tabletext"/>
                    <w:jc w:val="right"/>
                    <w:rPr>
                      <w:lang w:val="ru-RU"/>
                    </w:rPr>
                  </w:pPr>
                  <w:r w:rsidRPr="00521670">
                    <w:rPr>
                      <w:lang w:val="ru-RU"/>
                    </w:rPr>
                    <w:t>14 736</w:t>
                  </w:r>
                </w:p>
              </w:tc>
            </w:tr>
            <w:tr w:rsidR="00DF251A" w:rsidRPr="00521670" w14:paraId="171F5302" w14:textId="77777777" w:rsidTr="00865942">
              <w:trPr>
                <w:trHeight w:val="300"/>
                <w:jc w:val="center"/>
              </w:trPr>
              <w:tc>
                <w:tcPr>
                  <w:tcW w:w="1135" w:type="dxa"/>
                </w:tcPr>
                <w:p w14:paraId="65D9D77F" w14:textId="77777777" w:rsidR="00DF251A" w:rsidRPr="00521670" w:rsidRDefault="00DF251A" w:rsidP="00865942">
                  <w:pPr>
                    <w:pStyle w:val="Tabletext"/>
                    <w:jc w:val="center"/>
                    <w:rPr>
                      <w:lang w:val="ru-RU"/>
                    </w:rPr>
                  </w:pPr>
                  <w:r w:rsidRPr="00521670">
                    <w:rPr>
                      <w:lang w:val="ru-RU"/>
                    </w:rPr>
                    <w:t>90</w:t>
                  </w:r>
                </w:p>
              </w:tc>
              <w:tc>
                <w:tcPr>
                  <w:tcW w:w="1701" w:type="dxa"/>
                </w:tcPr>
                <w:p w14:paraId="712D013E" w14:textId="77777777" w:rsidR="00DF251A" w:rsidRPr="00521670" w:rsidRDefault="00DF251A" w:rsidP="00865942">
                  <w:pPr>
                    <w:pStyle w:val="Tabletext"/>
                    <w:jc w:val="right"/>
                    <w:rPr>
                      <w:lang w:val="ru-RU"/>
                    </w:rPr>
                  </w:pPr>
                  <w:r w:rsidRPr="00521670">
                    <w:rPr>
                      <w:lang w:val="ru-RU"/>
                    </w:rPr>
                    <w:t>16 919</w:t>
                  </w:r>
                </w:p>
              </w:tc>
              <w:tc>
                <w:tcPr>
                  <w:tcW w:w="1701" w:type="dxa"/>
                </w:tcPr>
                <w:p w14:paraId="6695AD1E" w14:textId="77777777" w:rsidR="00DF251A" w:rsidRPr="00521670" w:rsidRDefault="00DF251A" w:rsidP="00865942">
                  <w:pPr>
                    <w:pStyle w:val="Tabletext"/>
                    <w:jc w:val="right"/>
                    <w:rPr>
                      <w:lang w:val="ru-RU"/>
                    </w:rPr>
                  </w:pPr>
                  <w:r w:rsidRPr="00521670">
                    <w:rPr>
                      <w:lang w:val="ru-RU"/>
                    </w:rPr>
                    <w:t>16 953</w:t>
                  </w:r>
                </w:p>
              </w:tc>
            </w:tr>
          </w:tbl>
          <w:p w14:paraId="27C037EA" w14:textId="77777777" w:rsidR="00DF251A" w:rsidRPr="00521670" w:rsidRDefault="00DF251A" w:rsidP="00835292">
            <w:pPr>
              <w:pStyle w:val="Tabletext"/>
              <w:rPr>
                <w:szCs w:val="18"/>
                <w:lang w:val="ru-RU"/>
              </w:rPr>
            </w:pPr>
          </w:p>
        </w:tc>
      </w:tr>
      <w:tr w:rsidR="00DF251A" w:rsidRPr="00521670" w14:paraId="0A95D771" w14:textId="77777777" w:rsidTr="00835292">
        <w:tc>
          <w:tcPr>
            <w:tcW w:w="3432" w:type="dxa"/>
          </w:tcPr>
          <w:p w14:paraId="3BC6F652" w14:textId="77777777" w:rsidR="00DF251A" w:rsidRPr="00521670" w:rsidRDefault="00DF251A" w:rsidP="00835292">
            <w:pPr>
              <w:pStyle w:val="Tabletext"/>
              <w:keepNext/>
              <w:keepLines/>
              <w:rPr>
                <w:szCs w:val="18"/>
                <w:lang w:val="ru-RU"/>
              </w:rPr>
            </w:pPr>
            <w:r w:rsidRPr="00521670">
              <w:rPr>
                <w:szCs w:val="18"/>
                <w:lang w:val="ru-RU"/>
              </w:rPr>
              <w:t>Административные расходы</w:t>
            </w:r>
          </w:p>
        </w:tc>
        <w:tc>
          <w:tcPr>
            <w:tcW w:w="5640" w:type="dxa"/>
          </w:tcPr>
          <w:p w14:paraId="5AE47CD5" w14:textId="77777777" w:rsidR="00DF251A" w:rsidRPr="00521670" w:rsidRDefault="00DF251A" w:rsidP="00E32178">
            <w:pPr>
              <w:pStyle w:val="Tabletext"/>
              <w:keepNext/>
              <w:keepLines/>
              <w:rPr>
                <w:szCs w:val="18"/>
                <w:lang w:val="ru-RU"/>
              </w:rPr>
            </w:pPr>
            <w:r w:rsidRPr="00521670">
              <w:rPr>
                <w:szCs w:val="18"/>
                <w:lang w:val="ru-RU"/>
              </w:rPr>
              <w:t xml:space="preserve">Годовые административные затраты оценивались в среднем на уровне 166 шв. фр. на человека (164 шв. фр. на человека в 2023 году). </w:t>
            </w:r>
          </w:p>
        </w:tc>
      </w:tr>
      <w:tr w:rsidR="00DF251A" w:rsidRPr="00521670" w14:paraId="39741286" w14:textId="77777777" w:rsidTr="00835292">
        <w:tc>
          <w:tcPr>
            <w:tcW w:w="3432" w:type="dxa"/>
          </w:tcPr>
          <w:p w14:paraId="3176B848" w14:textId="77777777" w:rsidR="00DF251A" w:rsidRPr="00521670" w:rsidRDefault="00DF251A" w:rsidP="00835292">
            <w:pPr>
              <w:pStyle w:val="Tabletext"/>
              <w:rPr>
                <w:szCs w:val="18"/>
                <w:lang w:val="ru-RU"/>
              </w:rPr>
            </w:pPr>
            <w:r w:rsidRPr="00521670">
              <w:rPr>
                <w:szCs w:val="18"/>
                <w:lang w:val="ru-RU"/>
              </w:rPr>
              <w:t>Смертность</w:t>
            </w:r>
          </w:p>
        </w:tc>
        <w:tc>
          <w:tcPr>
            <w:tcW w:w="5640" w:type="dxa"/>
          </w:tcPr>
          <w:p w14:paraId="32887EC5" w14:textId="77777777" w:rsidR="00DF251A" w:rsidRPr="00521670" w:rsidRDefault="00DF251A" w:rsidP="00835292">
            <w:pPr>
              <w:pStyle w:val="Tabletext"/>
              <w:rPr>
                <w:szCs w:val="18"/>
                <w:lang w:val="ru-RU"/>
              </w:rPr>
            </w:pPr>
            <w:r w:rsidRPr="00521670">
              <w:rPr>
                <w:szCs w:val="18"/>
                <w:lang w:val="ru-RU"/>
              </w:rPr>
              <w:t xml:space="preserve">Показатель смертности рассчитан на основе таблиц смертности Организации Объединенных Наций (январь 2024 г.) в разбивке по полу при отсутствии увеличения продолжительности жизни для действующих сотрудников и нетрудоспособных пенсионеров и увеличении продолжительности жизни </w:t>
            </w:r>
            <w:r w:rsidRPr="00521670">
              <w:rPr>
                <w:color w:val="000000"/>
                <w:szCs w:val="18"/>
                <w:lang w:val="ru-RU"/>
              </w:rPr>
              <w:t>по поколениям</w:t>
            </w:r>
            <w:r w:rsidRPr="00521670">
              <w:rPr>
                <w:szCs w:val="18"/>
                <w:lang w:val="ru-RU"/>
              </w:rPr>
              <w:t xml:space="preserve"> для пенсионеров, оставивших службу, вдов и вдовцов вплоть до 2044 года; при этом базовым годом является 2017 год.</w:t>
            </w:r>
          </w:p>
        </w:tc>
      </w:tr>
      <w:tr w:rsidR="00DF251A" w:rsidRPr="00521670" w14:paraId="28444389" w14:textId="77777777" w:rsidTr="00835292">
        <w:tc>
          <w:tcPr>
            <w:tcW w:w="3432" w:type="dxa"/>
          </w:tcPr>
          <w:p w14:paraId="34F7790B" w14:textId="77777777" w:rsidR="00DF251A" w:rsidRPr="00521670" w:rsidRDefault="00DF251A" w:rsidP="00835292">
            <w:pPr>
              <w:pStyle w:val="Tabletext"/>
              <w:rPr>
                <w:szCs w:val="18"/>
                <w:lang w:val="ru-RU"/>
              </w:rPr>
            </w:pPr>
            <w:r w:rsidRPr="00521670">
              <w:rPr>
                <w:szCs w:val="18"/>
                <w:lang w:val="ru-RU"/>
              </w:rPr>
              <w:t>Оценка стоимости активов</w:t>
            </w:r>
          </w:p>
        </w:tc>
        <w:tc>
          <w:tcPr>
            <w:tcW w:w="5640" w:type="dxa"/>
          </w:tcPr>
          <w:p w14:paraId="14EB7716" w14:textId="77777777" w:rsidR="00DF251A" w:rsidRPr="00521670" w:rsidRDefault="00DF251A" w:rsidP="00A61A3C">
            <w:pPr>
              <w:pStyle w:val="Tabletext"/>
              <w:rPr>
                <w:szCs w:val="18"/>
                <w:lang w:val="ru-RU"/>
              </w:rPr>
            </w:pPr>
            <w:r w:rsidRPr="00521670">
              <w:rPr>
                <w:lang w:val="ru-RU"/>
              </w:rPr>
              <w:t>МСЭ не имеет предусмотренных планом активов Фонда АСХИ (2023 г.: отсутствует).</w:t>
            </w:r>
          </w:p>
        </w:tc>
      </w:tr>
      <w:tr w:rsidR="00DF251A" w:rsidRPr="00521670" w14:paraId="4D2A087A" w14:textId="77777777" w:rsidTr="00835292">
        <w:tc>
          <w:tcPr>
            <w:tcW w:w="3432" w:type="dxa"/>
          </w:tcPr>
          <w:p w14:paraId="5DDFAF9E" w14:textId="77777777" w:rsidR="00DF251A" w:rsidRPr="00521670" w:rsidRDefault="00DF251A" w:rsidP="00835292">
            <w:pPr>
              <w:pStyle w:val="Tabletext"/>
              <w:rPr>
                <w:szCs w:val="18"/>
                <w:lang w:val="ru-RU"/>
              </w:rPr>
            </w:pPr>
            <w:r w:rsidRPr="00521670">
              <w:rPr>
                <w:szCs w:val="18"/>
                <w:lang w:val="ru-RU"/>
              </w:rPr>
              <w:lastRenderedPageBreak/>
              <w:t>Показатель инвалидности</w:t>
            </w:r>
          </w:p>
        </w:tc>
        <w:tc>
          <w:tcPr>
            <w:tcW w:w="5640" w:type="dxa"/>
          </w:tcPr>
          <w:p w14:paraId="696119DC" w14:textId="18D1BCB5" w:rsidR="00DF251A" w:rsidRPr="00521670" w:rsidRDefault="00DF251A" w:rsidP="00A61A3C">
            <w:pPr>
              <w:pStyle w:val="Tabletext"/>
              <w:rPr>
                <w:rFonts w:asciiTheme="minorHAnsi" w:eastAsia="TimesNewRoman" w:hAnsiTheme="minorHAnsi" w:cstheme="minorHAnsi"/>
                <w:szCs w:val="18"/>
                <w:lang w:val="ru-RU" w:eastAsia="zh-CN"/>
              </w:rPr>
            </w:pPr>
            <w:r w:rsidRPr="00521670">
              <w:rPr>
                <w:rFonts w:asciiTheme="minorHAnsi" w:eastAsia="TimesNewRoman" w:hAnsiTheme="minorHAnsi" w:cstheme="minorHAnsi"/>
                <w:szCs w:val="18"/>
                <w:lang w:val="ru-RU" w:eastAsia="zh-CN"/>
              </w:rPr>
              <w:t>Различается в зависимости от возраста и пола, а также для сотрудников категории специалистов и категории общего обслуживания, увеличиваясь с возрастом от 19 до 70 лет. Этот</w:t>
            </w:r>
            <w:r w:rsidR="002E735F" w:rsidRPr="00521670">
              <w:rPr>
                <w:rFonts w:asciiTheme="minorHAnsi" w:eastAsia="TimesNewRoman" w:hAnsiTheme="minorHAnsi" w:cstheme="minorHAnsi"/>
                <w:szCs w:val="18"/>
                <w:lang w:val="ru-RU" w:eastAsia="zh-CN"/>
              </w:rPr>
              <w:t> </w:t>
            </w:r>
            <w:r w:rsidRPr="00521670">
              <w:rPr>
                <w:rFonts w:asciiTheme="minorHAnsi" w:eastAsia="TimesNewRoman" w:hAnsiTheme="minorHAnsi" w:cstheme="minorHAnsi"/>
                <w:szCs w:val="18"/>
                <w:lang w:val="ru-RU" w:eastAsia="zh-CN"/>
              </w:rPr>
              <w:t>показатель основан на данных Таблицы нетрудоспособности Организации Объединенных Наций, обнародованных в январе 2025 года, и составляет от 0,00006 до 0,00550.</w:t>
            </w:r>
          </w:p>
        </w:tc>
      </w:tr>
      <w:tr w:rsidR="00DF251A" w:rsidRPr="00521670" w14:paraId="372510A8" w14:textId="77777777" w:rsidTr="00835292">
        <w:tc>
          <w:tcPr>
            <w:tcW w:w="3432" w:type="dxa"/>
          </w:tcPr>
          <w:p w14:paraId="60941E50" w14:textId="77777777" w:rsidR="00DF251A" w:rsidRPr="00521670" w:rsidRDefault="00DF251A" w:rsidP="00835292">
            <w:pPr>
              <w:pStyle w:val="Tabletext"/>
              <w:rPr>
                <w:szCs w:val="18"/>
                <w:lang w:val="ru-RU"/>
              </w:rPr>
            </w:pPr>
            <w:r w:rsidRPr="00521670">
              <w:rPr>
                <w:szCs w:val="18"/>
                <w:lang w:val="ru-RU"/>
              </w:rPr>
              <w:t>Текучесть кадров</w:t>
            </w:r>
          </w:p>
        </w:tc>
        <w:tc>
          <w:tcPr>
            <w:tcW w:w="5640" w:type="dxa"/>
          </w:tcPr>
          <w:p w14:paraId="2D5BD5C7" w14:textId="77777777" w:rsidR="00DF251A" w:rsidRPr="00521670" w:rsidRDefault="00DF251A" w:rsidP="00C77145">
            <w:pPr>
              <w:pStyle w:val="Tabletext"/>
              <w:rPr>
                <w:szCs w:val="18"/>
                <w:lang w:val="ru-RU"/>
              </w:rPr>
            </w:pPr>
            <w:r w:rsidRPr="00521670">
              <w:rPr>
                <w:lang w:val="ru-RU"/>
              </w:rPr>
              <w:t>Допущение о текучести кадров, рассматриваемое в оценке, было уточнено с учетом самых последних фактических данных для получения более обоснованной оценки и ориентировано на сотрудников, работающих не по краткосрочным контрактам, которые были разделены на две группы в зависимости от возраста: менее 45 лет и более 45 лет (4% и 2,5% соответственно).</w:t>
            </w:r>
          </w:p>
        </w:tc>
      </w:tr>
      <w:tr w:rsidR="00DF251A" w:rsidRPr="00521670" w14:paraId="6231C6CB" w14:textId="77777777" w:rsidTr="00835292">
        <w:tc>
          <w:tcPr>
            <w:tcW w:w="3432" w:type="dxa"/>
          </w:tcPr>
          <w:p w14:paraId="23FCBCF2" w14:textId="77777777" w:rsidR="00DF251A" w:rsidRPr="00521670" w:rsidRDefault="00DF251A" w:rsidP="00835292">
            <w:pPr>
              <w:pStyle w:val="Tabletext"/>
              <w:rPr>
                <w:szCs w:val="18"/>
                <w:lang w:val="ru-RU"/>
              </w:rPr>
            </w:pPr>
            <w:r w:rsidRPr="00521670">
              <w:rPr>
                <w:szCs w:val="18"/>
                <w:lang w:val="ru-RU"/>
              </w:rPr>
              <w:t>Коэффициент пенсионеров</w:t>
            </w:r>
          </w:p>
        </w:tc>
        <w:tc>
          <w:tcPr>
            <w:tcW w:w="5640" w:type="dxa"/>
          </w:tcPr>
          <w:p w14:paraId="31E9676E" w14:textId="77777777" w:rsidR="00DF251A" w:rsidRPr="00521670" w:rsidRDefault="00DF251A" w:rsidP="00835292">
            <w:pPr>
              <w:pStyle w:val="Tabletext"/>
              <w:rPr>
                <w:szCs w:val="18"/>
                <w:lang w:val="ru-RU"/>
              </w:rPr>
            </w:pPr>
            <w:r w:rsidRPr="00521670">
              <w:rPr>
                <w:szCs w:val="18"/>
                <w:lang w:val="ru-RU"/>
              </w:rPr>
              <w:t xml:space="preserve">По всем сотрудникам коэффициенты пенсионеров установлены равными коэффициентам, которые были сообщены </w:t>
            </w:r>
            <w:r w:rsidRPr="00521670">
              <w:rPr>
                <w:color w:val="000000"/>
                <w:szCs w:val="18"/>
                <w:lang w:val="ru-RU"/>
              </w:rPr>
              <w:t>Целевой группой Организации Объединенных Наций</w:t>
            </w:r>
            <w:r w:rsidRPr="00521670">
              <w:rPr>
                <w:szCs w:val="18"/>
                <w:lang w:val="ru-RU"/>
              </w:rPr>
              <w:t xml:space="preserve"> в январе 2025 года. Коэффициенты различаются в зависимости от возраста, пола, продолжительности службы и категории должности.</w:t>
            </w:r>
          </w:p>
        </w:tc>
      </w:tr>
      <w:tr w:rsidR="00DF251A" w:rsidRPr="00521670" w14:paraId="19E87E95" w14:textId="77777777" w:rsidTr="00835292">
        <w:tc>
          <w:tcPr>
            <w:tcW w:w="3432" w:type="dxa"/>
          </w:tcPr>
          <w:p w14:paraId="2AA43FCD" w14:textId="77777777" w:rsidR="00DF251A" w:rsidRPr="00521670" w:rsidRDefault="00DF251A" w:rsidP="00835292">
            <w:pPr>
              <w:pStyle w:val="Tabletext"/>
              <w:rPr>
                <w:szCs w:val="18"/>
                <w:lang w:val="ru-RU"/>
              </w:rPr>
            </w:pPr>
            <w:r w:rsidRPr="00521670">
              <w:rPr>
                <w:szCs w:val="18"/>
                <w:lang w:val="ru-RU"/>
              </w:rPr>
              <w:t>Участие</w:t>
            </w:r>
          </w:p>
        </w:tc>
        <w:tc>
          <w:tcPr>
            <w:tcW w:w="5640" w:type="dxa"/>
          </w:tcPr>
          <w:p w14:paraId="7A305E15" w14:textId="77777777" w:rsidR="00DF251A" w:rsidRPr="00521670" w:rsidRDefault="00DF251A" w:rsidP="002E735F">
            <w:pPr>
              <w:pStyle w:val="Tabletext"/>
              <w:rPr>
                <w:lang w:val="ru-RU"/>
              </w:rPr>
            </w:pPr>
            <w:r w:rsidRPr="00521670">
              <w:rPr>
                <w:lang w:val="ru-RU"/>
              </w:rPr>
              <w:t>97,5% будущих пенсионеров выберут покрытие в АСХИ. Сотрудники МСЭ, выходящие на пенсию, могут продолжать осуществлять свое медицинское страхование в рамках ЮНСМИС при условии, что они вносили взносы в программу медицинского страхования ООН не менее 10 лет, что они получают пенсию ОПФП ООН и что они являлись застрахованными лицами на момент выхода на пенсию. Время работы в других учреждениях системы ООН с признанными системами медицинского страхования может засчитываться в требуемый 10-летний срок при условии, что страховое покрытие было непрерывным.</w:t>
            </w:r>
          </w:p>
          <w:p w14:paraId="2C9637D4" w14:textId="027C41CB" w:rsidR="00DF251A" w:rsidRPr="00521670" w:rsidRDefault="00DF251A" w:rsidP="002E735F">
            <w:pPr>
              <w:pStyle w:val="Tabletext"/>
              <w:rPr>
                <w:lang w:val="ru-RU"/>
              </w:rPr>
            </w:pPr>
            <w:r w:rsidRPr="00521670">
              <w:rPr>
                <w:lang w:val="ru-RU"/>
              </w:rPr>
              <w:t>С полной информацией о критериях соответствия, условиях покрытия и необходимых взносах можно ознакомиться на официальном веб</w:t>
            </w:r>
            <w:r w:rsidR="00AB7557" w:rsidRPr="00521670">
              <w:rPr>
                <w:lang w:val="ru-RU"/>
              </w:rPr>
              <w:t>­</w:t>
            </w:r>
            <w:r w:rsidRPr="00521670">
              <w:rPr>
                <w:lang w:val="ru-RU"/>
              </w:rPr>
              <w:t xml:space="preserve">сайте ЮНСМИС по адресу: </w:t>
            </w:r>
            <w:hyperlink r:id="rId28" w:history="1">
              <w:r w:rsidRPr="00521670">
                <w:rPr>
                  <w:rStyle w:val="Hyperlink"/>
                  <w:lang w:val="ru-RU"/>
                </w:rPr>
                <w:t>https://medical-insurance.unog.ch/en</w:t>
              </w:r>
            </w:hyperlink>
            <w:r w:rsidR="00AB7557" w:rsidRPr="00521670">
              <w:rPr>
                <w:lang w:val="ru-RU"/>
              </w:rPr>
              <w:t>.</w:t>
            </w:r>
          </w:p>
        </w:tc>
      </w:tr>
      <w:tr w:rsidR="00DF251A" w:rsidRPr="00521670" w14:paraId="72EA4B11" w14:textId="77777777" w:rsidTr="00835292">
        <w:tc>
          <w:tcPr>
            <w:tcW w:w="3432" w:type="dxa"/>
          </w:tcPr>
          <w:p w14:paraId="074CE74F" w14:textId="77777777" w:rsidR="00DF251A" w:rsidRPr="00521670" w:rsidRDefault="00DF251A" w:rsidP="00835292">
            <w:pPr>
              <w:pStyle w:val="Tabletext"/>
              <w:rPr>
                <w:szCs w:val="18"/>
                <w:lang w:val="ru-RU"/>
              </w:rPr>
            </w:pPr>
            <w:r w:rsidRPr="00521670">
              <w:rPr>
                <w:szCs w:val="18"/>
                <w:lang w:val="ru-RU"/>
              </w:rPr>
              <w:t>Покрытие супругов</w:t>
            </w:r>
          </w:p>
        </w:tc>
        <w:tc>
          <w:tcPr>
            <w:tcW w:w="5640" w:type="dxa"/>
          </w:tcPr>
          <w:p w14:paraId="2C5278A0" w14:textId="77777777" w:rsidR="00DF251A" w:rsidRPr="00521670" w:rsidRDefault="00DF251A" w:rsidP="00FD3685">
            <w:pPr>
              <w:pStyle w:val="Tabletext"/>
              <w:rPr>
                <w:szCs w:val="18"/>
                <w:lang w:val="ru-RU"/>
              </w:rPr>
            </w:pPr>
            <w:r w:rsidRPr="00521670">
              <w:rPr>
                <w:szCs w:val="18"/>
                <w:lang w:val="ru-RU"/>
              </w:rPr>
              <w:t>75% пенсионеров мужского пола и 25% пенсионеров женского пола имеют супругу/супруга, которые выберут покрытие в АСХИ. Предполагается, что мужчины на пять лет старше своих супруг.</w:t>
            </w:r>
          </w:p>
        </w:tc>
      </w:tr>
      <w:tr w:rsidR="00DF251A" w:rsidRPr="00521670" w14:paraId="21D4A648" w14:textId="77777777" w:rsidTr="00835292">
        <w:tc>
          <w:tcPr>
            <w:tcW w:w="3432" w:type="dxa"/>
          </w:tcPr>
          <w:p w14:paraId="214ECD2E" w14:textId="77777777" w:rsidR="00DF251A" w:rsidRPr="00521670" w:rsidRDefault="00DF251A" w:rsidP="00835292">
            <w:pPr>
              <w:pStyle w:val="Tabletext"/>
              <w:rPr>
                <w:szCs w:val="18"/>
                <w:lang w:val="ru-RU"/>
              </w:rPr>
            </w:pPr>
            <w:r w:rsidRPr="00521670">
              <w:rPr>
                <w:szCs w:val="18"/>
                <w:lang w:val="ru-RU"/>
              </w:rPr>
              <w:t>Актуарный метод</w:t>
            </w:r>
          </w:p>
        </w:tc>
        <w:tc>
          <w:tcPr>
            <w:tcW w:w="5640" w:type="dxa"/>
          </w:tcPr>
          <w:p w14:paraId="672216E1" w14:textId="77777777" w:rsidR="00DF251A" w:rsidRPr="00521670" w:rsidRDefault="00DF251A" w:rsidP="00835292">
            <w:pPr>
              <w:pStyle w:val="Tabletext"/>
              <w:rPr>
                <w:szCs w:val="18"/>
                <w:lang w:val="ru-RU"/>
              </w:rPr>
            </w:pPr>
            <w:r w:rsidRPr="00521670">
              <w:rPr>
                <w:szCs w:val="18"/>
                <w:lang w:val="ru-RU"/>
              </w:rPr>
              <w:t>Метод предполагаемых кредитных единиц, устанавливаемых пропорционально сроку службы. Период начисления начинается с 45 лет, чтобы отразить тот факт, что для получения права на пособие сотрудник должен быть не младше 55 лет, а срок его службы должен составлять не менее 10 лет.</w:t>
            </w:r>
          </w:p>
        </w:tc>
      </w:tr>
      <w:tr w:rsidR="00DF251A" w:rsidRPr="00521670" w14:paraId="3DCE96EE" w14:textId="77777777" w:rsidTr="00835292">
        <w:tc>
          <w:tcPr>
            <w:tcW w:w="3432" w:type="dxa"/>
          </w:tcPr>
          <w:p w14:paraId="75FBEB40" w14:textId="77777777" w:rsidR="00DF251A" w:rsidRPr="00521670" w:rsidRDefault="00DF251A" w:rsidP="00835292">
            <w:pPr>
              <w:pStyle w:val="Tabletext"/>
              <w:rPr>
                <w:szCs w:val="18"/>
                <w:lang w:val="ru-RU"/>
              </w:rPr>
            </w:pPr>
            <w:r w:rsidRPr="00521670">
              <w:rPr>
                <w:szCs w:val="18"/>
                <w:lang w:val="ru-RU"/>
              </w:rPr>
              <w:t>Методика чистых активов</w:t>
            </w:r>
          </w:p>
        </w:tc>
        <w:tc>
          <w:tcPr>
            <w:tcW w:w="5640" w:type="dxa"/>
          </w:tcPr>
          <w:p w14:paraId="5C7CE0F2" w14:textId="0B3B9125" w:rsidR="00DF251A" w:rsidRPr="00521670" w:rsidRDefault="00DF251A" w:rsidP="00835292">
            <w:pPr>
              <w:pStyle w:val="Tabletext"/>
              <w:rPr>
                <w:szCs w:val="18"/>
                <w:lang w:val="ru-RU"/>
              </w:rPr>
            </w:pPr>
            <w:r w:rsidRPr="00521670">
              <w:rPr>
                <w:szCs w:val="18"/>
                <w:lang w:val="ru-RU"/>
              </w:rPr>
              <w:t>Все прибыли/убытки учитываются в полном объеме немедленно в течение года, в котором они возникли, но не отражаются в активном сальдо или дефиците, а отражаются в отчете об изменениях в чистых</w:t>
            </w:r>
            <w:r w:rsidR="002E735F" w:rsidRPr="00521670">
              <w:rPr>
                <w:szCs w:val="18"/>
                <w:lang w:val="ru-RU"/>
              </w:rPr>
              <w:t> </w:t>
            </w:r>
            <w:r w:rsidRPr="00521670">
              <w:rPr>
                <w:szCs w:val="18"/>
                <w:lang w:val="ru-RU"/>
              </w:rPr>
              <w:t>активах.</w:t>
            </w:r>
          </w:p>
        </w:tc>
      </w:tr>
    </w:tbl>
    <w:bookmarkEnd w:id="355"/>
    <w:p w14:paraId="3980FB55" w14:textId="7A89BB5D" w:rsidR="00DF251A" w:rsidRPr="00521670" w:rsidRDefault="00DF251A" w:rsidP="002E735F">
      <w:pPr>
        <w:rPr>
          <w:lang w:val="ru-RU"/>
        </w:rPr>
      </w:pPr>
      <w:r w:rsidRPr="00521670">
        <w:rPr>
          <w:lang w:val="ru-RU"/>
        </w:rPr>
        <w:t>Сотрудники, уходящие со службы в возрасте 55 лет или старше, а также их супруги, находящиеся на иждивении дети и пережившие супруги, имеют право на медицинское страхование после прекращения службы, если они проработали не менее 10 лет в Организации Объединенных Наций или специализированном учреждении ООН и были застрахованы в плане медицинского страхования ЮНСМИС в течение пяти лет, непосредственно предшествующих окончанию их службы. Те же самые пособия действуют в отношении сотрудников, получающих пенсию по инвалидности Объединенного пенсионного фонда персонала Организации Объединенных Наций. Эта система финансируется за счет совместной уплаты страховых взносов: доля МСЭ составляет 2/3, доля застрахованных лиц составляет 1/3.</w:t>
      </w:r>
    </w:p>
    <w:p w14:paraId="2436C1AC" w14:textId="77777777" w:rsidR="00DF251A" w:rsidRPr="00521670" w:rsidRDefault="00DF251A" w:rsidP="002E735F">
      <w:pPr>
        <w:rPr>
          <w:lang w:val="ru-RU"/>
        </w:rPr>
      </w:pPr>
      <w:r w:rsidRPr="00521670">
        <w:rPr>
          <w:lang w:val="ru-RU"/>
        </w:rPr>
        <w:t>В представленной ниже таблице содержится дополнительная информация и анализ, касающиеся обязательств по АСХИ, которые вытекают из субсидий, причитающихся сотрудникам в соответствии с актуарным исследованием, проведенным для получения сумм по состоянию на 31 декабря 2024 года.</w:t>
      </w:r>
    </w:p>
    <w:tbl>
      <w:tblPr>
        <w:tblW w:w="5000" w:type="pct"/>
        <w:jc w:val="center"/>
        <w:tblLook w:val="04A0" w:firstRow="1" w:lastRow="0" w:firstColumn="1" w:lastColumn="0" w:noHBand="0" w:noVBand="1"/>
      </w:tblPr>
      <w:tblGrid>
        <w:gridCol w:w="5951"/>
        <w:gridCol w:w="1560"/>
        <w:gridCol w:w="1560"/>
      </w:tblGrid>
      <w:tr w:rsidR="00DF251A" w:rsidRPr="00521670" w14:paraId="27AB53FE" w14:textId="77777777" w:rsidTr="00D42EC6">
        <w:trPr>
          <w:jc w:val="center"/>
        </w:trPr>
        <w:tc>
          <w:tcPr>
            <w:tcW w:w="3128" w:type="pct"/>
            <w:tcBorders>
              <w:top w:val="nil"/>
              <w:left w:val="nil"/>
              <w:bottom w:val="nil"/>
              <w:right w:val="nil"/>
            </w:tcBorders>
            <w:shd w:val="clear" w:color="000000" w:fill="0070C0"/>
            <w:noWrap/>
            <w:vAlign w:val="center"/>
            <w:hideMark/>
          </w:tcPr>
          <w:p w14:paraId="63B0BC7F" w14:textId="77777777" w:rsidR="00DF251A" w:rsidRPr="00521670" w:rsidRDefault="00DF251A" w:rsidP="00835292">
            <w:pPr>
              <w:pStyle w:val="Tablehead"/>
              <w:rPr>
                <w:lang w:val="ru-RU" w:eastAsia="en-GB"/>
              </w:rPr>
            </w:pPr>
            <w:r w:rsidRPr="00521670">
              <w:rPr>
                <w:lang w:val="ru-RU" w:eastAsia="en-GB"/>
              </w:rPr>
              <w:lastRenderedPageBreak/>
              <w:t xml:space="preserve">Описание (тыс. шв. фр.) </w:t>
            </w:r>
          </w:p>
        </w:tc>
        <w:tc>
          <w:tcPr>
            <w:tcW w:w="936" w:type="pct"/>
            <w:tcBorders>
              <w:top w:val="nil"/>
              <w:left w:val="nil"/>
              <w:bottom w:val="nil"/>
              <w:right w:val="nil"/>
            </w:tcBorders>
            <w:shd w:val="clear" w:color="000000" w:fill="0070C0"/>
            <w:noWrap/>
            <w:vAlign w:val="center"/>
            <w:hideMark/>
          </w:tcPr>
          <w:p w14:paraId="0E3C4C40" w14:textId="77777777" w:rsidR="00DF251A" w:rsidRPr="00521670" w:rsidRDefault="00DF251A" w:rsidP="00835292">
            <w:pPr>
              <w:pStyle w:val="Tablehead"/>
              <w:rPr>
                <w:lang w:val="ru-RU" w:eastAsia="en-GB"/>
              </w:rPr>
            </w:pPr>
            <w:r w:rsidRPr="00521670">
              <w:rPr>
                <w:lang w:val="ru-RU" w:eastAsia="en-GB"/>
              </w:rPr>
              <w:t>31 декабря 2024 г.</w:t>
            </w:r>
          </w:p>
        </w:tc>
        <w:tc>
          <w:tcPr>
            <w:tcW w:w="936" w:type="pct"/>
            <w:tcBorders>
              <w:top w:val="nil"/>
              <w:left w:val="nil"/>
              <w:bottom w:val="nil"/>
              <w:right w:val="nil"/>
            </w:tcBorders>
            <w:shd w:val="clear" w:color="000000" w:fill="0070C0"/>
            <w:noWrap/>
            <w:vAlign w:val="center"/>
            <w:hideMark/>
          </w:tcPr>
          <w:p w14:paraId="3A45ED3F" w14:textId="77777777" w:rsidR="00DF251A" w:rsidRPr="00521670" w:rsidRDefault="00DF251A" w:rsidP="00835292">
            <w:pPr>
              <w:pStyle w:val="Tablehead"/>
              <w:rPr>
                <w:lang w:val="ru-RU" w:eastAsia="en-GB"/>
              </w:rPr>
            </w:pPr>
            <w:r w:rsidRPr="00521670">
              <w:rPr>
                <w:lang w:val="ru-RU" w:eastAsia="en-GB"/>
              </w:rPr>
              <w:t>31 декабря 2023 г.</w:t>
            </w:r>
          </w:p>
        </w:tc>
      </w:tr>
      <w:tr w:rsidR="00DF251A" w:rsidRPr="00521670" w14:paraId="4CB2C3EE" w14:textId="77777777" w:rsidTr="00D42EC6">
        <w:trPr>
          <w:jc w:val="center"/>
        </w:trPr>
        <w:tc>
          <w:tcPr>
            <w:tcW w:w="3128" w:type="pct"/>
            <w:tcBorders>
              <w:top w:val="nil"/>
              <w:left w:val="nil"/>
              <w:bottom w:val="nil"/>
              <w:right w:val="nil"/>
            </w:tcBorders>
            <w:shd w:val="clear" w:color="auto" w:fill="auto"/>
            <w:noWrap/>
            <w:vAlign w:val="bottom"/>
            <w:hideMark/>
          </w:tcPr>
          <w:p w14:paraId="72C20366" w14:textId="77777777" w:rsidR="00DF251A" w:rsidRPr="00521670" w:rsidRDefault="00DF251A" w:rsidP="003E1CE0">
            <w:pPr>
              <w:pStyle w:val="Tabletext"/>
              <w:keepNext/>
              <w:rPr>
                <w:lang w:val="ru-RU" w:eastAsia="en-GB"/>
              </w:rPr>
            </w:pPr>
            <w:r w:rsidRPr="00521670">
              <w:rPr>
                <w:lang w:val="ru-RU" w:eastAsia="en-GB"/>
              </w:rPr>
              <w:t>Баланс на 1 января</w:t>
            </w:r>
          </w:p>
        </w:tc>
        <w:tc>
          <w:tcPr>
            <w:tcW w:w="936" w:type="pct"/>
            <w:tcBorders>
              <w:top w:val="nil"/>
              <w:left w:val="nil"/>
              <w:bottom w:val="nil"/>
              <w:right w:val="nil"/>
            </w:tcBorders>
            <w:shd w:val="clear" w:color="auto" w:fill="auto"/>
            <w:noWrap/>
            <w:vAlign w:val="bottom"/>
            <w:hideMark/>
          </w:tcPr>
          <w:p w14:paraId="18094EE0" w14:textId="77777777" w:rsidR="00DF251A" w:rsidRPr="00521670" w:rsidRDefault="00DF251A" w:rsidP="003E1CE0">
            <w:pPr>
              <w:pStyle w:val="Tabletext"/>
              <w:keepNext/>
              <w:jc w:val="right"/>
              <w:rPr>
                <w:lang w:val="ru-RU" w:eastAsia="en-GB"/>
              </w:rPr>
            </w:pPr>
            <w:r w:rsidRPr="00521670">
              <w:rPr>
                <w:lang w:val="ru-RU"/>
              </w:rPr>
              <w:t>375 271</w:t>
            </w:r>
          </w:p>
        </w:tc>
        <w:tc>
          <w:tcPr>
            <w:tcW w:w="936" w:type="pct"/>
            <w:tcBorders>
              <w:top w:val="nil"/>
              <w:left w:val="nil"/>
              <w:bottom w:val="nil"/>
              <w:right w:val="nil"/>
            </w:tcBorders>
            <w:shd w:val="clear" w:color="auto" w:fill="auto"/>
            <w:noWrap/>
            <w:vAlign w:val="bottom"/>
            <w:hideMark/>
          </w:tcPr>
          <w:p w14:paraId="3823B3BA" w14:textId="77777777" w:rsidR="00DF251A" w:rsidRPr="00521670" w:rsidRDefault="00DF251A" w:rsidP="003E1CE0">
            <w:pPr>
              <w:pStyle w:val="Tabletext"/>
              <w:keepNext/>
              <w:jc w:val="right"/>
              <w:rPr>
                <w:lang w:val="ru-RU" w:eastAsia="en-GB"/>
              </w:rPr>
            </w:pPr>
            <w:r w:rsidRPr="00521670">
              <w:rPr>
                <w:lang w:val="ru-RU"/>
              </w:rPr>
              <w:t>344 102</w:t>
            </w:r>
          </w:p>
        </w:tc>
      </w:tr>
      <w:tr w:rsidR="00DF251A" w:rsidRPr="00521670" w14:paraId="7AD53939" w14:textId="77777777" w:rsidTr="00D42EC6">
        <w:trPr>
          <w:jc w:val="center"/>
        </w:trPr>
        <w:tc>
          <w:tcPr>
            <w:tcW w:w="3128" w:type="pct"/>
            <w:tcBorders>
              <w:top w:val="nil"/>
              <w:left w:val="nil"/>
              <w:bottom w:val="nil"/>
              <w:right w:val="nil"/>
            </w:tcBorders>
            <w:shd w:val="clear" w:color="auto" w:fill="auto"/>
            <w:noWrap/>
            <w:vAlign w:val="bottom"/>
            <w:hideMark/>
          </w:tcPr>
          <w:p w14:paraId="011367BE" w14:textId="77777777" w:rsidR="00DF251A" w:rsidRPr="00521670" w:rsidRDefault="00DF251A" w:rsidP="003E1CE0">
            <w:pPr>
              <w:pStyle w:val="Tabletext"/>
              <w:keepNext/>
              <w:rPr>
                <w:i/>
                <w:iCs/>
                <w:lang w:val="ru-RU" w:eastAsia="en-GB"/>
              </w:rPr>
            </w:pPr>
            <w:r w:rsidRPr="00521670">
              <w:rPr>
                <w:i/>
                <w:iCs/>
                <w:szCs w:val="18"/>
                <w:lang w:val="ru-RU"/>
              </w:rPr>
              <w:t>−</w:t>
            </w:r>
            <w:r w:rsidRPr="00521670">
              <w:rPr>
                <w:i/>
                <w:iCs/>
                <w:szCs w:val="18"/>
                <w:lang w:val="ru-RU"/>
              </w:rPr>
              <w:tab/>
              <w:t>Чистая стоимость текущих услуг</w:t>
            </w:r>
          </w:p>
        </w:tc>
        <w:tc>
          <w:tcPr>
            <w:tcW w:w="936" w:type="pct"/>
            <w:tcBorders>
              <w:top w:val="nil"/>
              <w:left w:val="nil"/>
              <w:bottom w:val="nil"/>
              <w:right w:val="nil"/>
            </w:tcBorders>
            <w:shd w:val="clear" w:color="auto" w:fill="auto"/>
            <w:noWrap/>
            <w:vAlign w:val="bottom"/>
            <w:hideMark/>
          </w:tcPr>
          <w:p w14:paraId="607F952D" w14:textId="77777777" w:rsidR="00DF251A" w:rsidRPr="00521670" w:rsidRDefault="00DF251A" w:rsidP="003E1CE0">
            <w:pPr>
              <w:pStyle w:val="Tabletext"/>
              <w:keepNext/>
              <w:jc w:val="right"/>
              <w:rPr>
                <w:i/>
                <w:iCs/>
                <w:lang w:val="ru-RU" w:eastAsia="en-GB"/>
              </w:rPr>
            </w:pPr>
          </w:p>
        </w:tc>
        <w:tc>
          <w:tcPr>
            <w:tcW w:w="936" w:type="pct"/>
            <w:tcBorders>
              <w:top w:val="nil"/>
              <w:left w:val="nil"/>
              <w:bottom w:val="nil"/>
              <w:right w:val="nil"/>
            </w:tcBorders>
            <w:shd w:val="clear" w:color="auto" w:fill="auto"/>
            <w:noWrap/>
            <w:vAlign w:val="bottom"/>
            <w:hideMark/>
          </w:tcPr>
          <w:p w14:paraId="198ABF2F" w14:textId="77777777" w:rsidR="00DF251A" w:rsidRPr="00521670" w:rsidRDefault="00DF251A" w:rsidP="003E1CE0">
            <w:pPr>
              <w:pStyle w:val="Tabletext"/>
              <w:keepNext/>
              <w:jc w:val="right"/>
              <w:rPr>
                <w:i/>
                <w:iCs/>
                <w:lang w:val="ru-RU" w:eastAsia="en-GB"/>
              </w:rPr>
            </w:pPr>
          </w:p>
        </w:tc>
      </w:tr>
      <w:tr w:rsidR="00DF251A" w:rsidRPr="00521670" w14:paraId="640B1A31" w14:textId="77777777" w:rsidTr="00D42EC6">
        <w:trPr>
          <w:jc w:val="center"/>
        </w:trPr>
        <w:tc>
          <w:tcPr>
            <w:tcW w:w="3128" w:type="pct"/>
            <w:tcBorders>
              <w:top w:val="nil"/>
              <w:left w:val="nil"/>
              <w:bottom w:val="nil"/>
              <w:right w:val="nil"/>
            </w:tcBorders>
            <w:shd w:val="clear" w:color="auto" w:fill="auto"/>
            <w:noWrap/>
            <w:vAlign w:val="bottom"/>
            <w:hideMark/>
          </w:tcPr>
          <w:p w14:paraId="61014707" w14:textId="77777777" w:rsidR="00DF251A" w:rsidRPr="00521670" w:rsidRDefault="00DF251A" w:rsidP="003E1CE0">
            <w:pPr>
              <w:pStyle w:val="Tabletext"/>
              <w:keepNext/>
              <w:rPr>
                <w:i/>
                <w:iCs/>
                <w:lang w:val="ru-RU" w:eastAsia="en-GB"/>
              </w:rPr>
            </w:pPr>
            <w:r w:rsidRPr="00521670">
              <w:rPr>
                <w:i/>
                <w:iCs/>
                <w:szCs w:val="18"/>
                <w:lang w:val="ru-RU"/>
              </w:rPr>
              <w:t>−</w:t>
            </w:r>
            <w:r w:rsidRPr="00521670">
              <w:rPr>
                <w:i/>
                <w:iCs/>
                <w:szCs w:val="18"/>
                <w:lang w:val="ru-RU"/>
              </w:rPr>
              <w:tab/>
              <w:t>Финансовые расходы</w:t>
            </w:r>
          </w:p>
        </w:tc>
        <w:tc>
          <w:tcPr>
            <w:tcW w:w="936" w:type="pct"/>
            <w:tcBorders>
              <w:top w:val="nil"/>
              <w:left w:val="nil"/>
              <w:bottom w:val="nil"/>
              <w:right w:val="nil"/>
            </w:tcBorders>
            <w:shd w:val="clear" w:color="auto" w:fill="auto"/>
            <w:noWrap/>
            <w:vAlign w:val="bottom"/>
            <w:hideMark/>
          </w:tcPr>
          <w:p w14:paraId="090EB32F" w14:textId="77777777" w:rsidR="00DF251A" w:rsidRPr="00521670" w:rsidRDefault="00DF251A" w:rsidP="003E1CE0">
            <w:pPr>
              <w:pStyle w:val="Tabletext"/>
              <w:keepNext/>
              <w:jc w:val="right"/>
              <w:rPr>
                <w:i/>
                <w:iCs/>
                <w:lang w:val="ru-RU" w:eastAsia="en-GB"/>
              </w:rPr>
            </w:pPr>
            <w:r w:rsidRPr="00521670">
              <w:rPr>
                <w:lang w:val="ru-RU"/>
              </w:rPr>
              <w:t>11 095</w:t>
            </w:r>
          </w:p>
        </w:tc>
        <w:tc>
          <w:tcPr>
            <w:tcW w:w="936" w:type="pct"/>
            <w:tcBorders>
              <w:top w:val="nil"/>
              <w:left w:val="nil"/>
              <w:bottom w:val="nil"/>
              <w:right w:val="nil"/>
            </w:tcBorders>
            <w:shd w:val="clear" w:color="auto" w:fill="auto"/>
            <w:noWrap/>
            <w:vAlign w:val="bottom"/>
            <w:hideMark/>
          </w:tcPr>
          <w:p w14:paraId="13FCCB2C" w14:textId="77777777" w:rsidR="00DF251A" w:rsidRPr="00521670" w:rsidRDefault="00DF251A" w:rsidP="003E1CE0">
            <w:pPr>
              <w:pStyle w:val="Tabletext"/>
              <w:keepNext/>
              <w:jc w:val="right"/>
              <w:rPr>
                <w:i/>
                <w:iCs/>
                <w:lang w:val="ru-RU" w:eastAsia="en-GB"/>
              </w:rPr>
            </w:pPr>
            <w:r w:rsidRPr="00521670">
              <w:rPr>
                <w:lang w:val="ru-RU"/>
              </w:rPr>
              <w:t>10 165</w:t>
            </w:r>
          </w:p>
        </w:tc>
      </w:tr>
      <w:tr w:rsidR="00DF251A" w:rsidRPr="00521670" w14:paraId="483DFE86" w14:textId="77777777" w:rsidTr="00D42EC6">
        <w:trPr>
          <w:jc w:val="center"/>
        </w:trPr>
        <w:tc>
          <w:tcPr>
            <w:tcW w:w="3128" w:type="pct"/>
            <w:tcBorders>
              <w:top w:val="nil"/>
              <w:left w:val="nil"/>
              <w:bottom w:val="nil"/>
              <w:right w:val="nil"/>
            </w:tcBorders>
            <w:shd w:val="clear" w:color="auto" w:fill="auto"/>
            <w:vAlign w:val="bottom"/>
            <w:hideMark/>
          </w:tcPr>
          <w:p w14:paraId="18F8C762" w14:textId="5B4245EC" w:rsidR="00DF251A" w:rsidRPr="00521670" w:rsidRDefault="00DF251A" w:rsidP="00C623D7">
            <w:pPr>
              <w:pStyle w:val="Tabletext"/>
              <w:keepNext/>
              <w:rPr>
                <w:b/>
                <w:bCs/>
                <w:lang w:val="ru-RU" w:eastAsia="en-GB"/>
              </w:rPr>
            </w:pPr>
            <w:r w:rsidRPr="00521670">
              <w:rPr>
                <w:b/>
                <w:bCs/>
                <w:szCs w:val="18"/>
                <w:lang w:val="ru-RU"/>
              </w:rPr>
              <w:t>Всего: расходы, признанные в Отчете о результатах финансовой</w:t>
            </w:r>
            <w:r w:rsidR="00D42EC6" w:rsidRPr="00521670">
              <w:rPr>
                <w:b/>
                <w:bCs/>
                <w:szCs w:val="18"/>
                <w:lang w:val="ru-RU"/>
              </w:rPr>
              <w:t> </w:t>
            </w:r>
            <w:r w:rsidRPr="00521670">
              <w:rPr>
                <w:b/>
                <w:bCs/>
                <w:szCs w:val="18"/>
                <w:lang w:val="ru-RU"/>
              </w:rPr>
              <w:t>деятельности</w:t>
            </w:r>
          </w:p>
        </w:tc>
        <w:tc>
          <w:tcPr>
            <w:tcW w:w="936" w:type="pct"/>
            <w:tcBorders>
              <w:top w:val="nil"/>
              <w:left w:val="nil"/>
              <w:bottom w:val="nil"/>
              <w:right w:val="nil"/>
            </w:tcBorders>
            <w:shd w:val="clear" w:color="auto" w:fill="auto"/>
            <w:noWrap/>
            <w:vAlign w:val="bottom"/>
            <w:hideMark/>
          </w:tcPr>
          <w:p w14:paraId="1B05BE90" w14:textId="77777777" w:rsidR="00DF251A" w:rsidRPr="00521670" w:rsidRDefault="00DF251A" w:rsidP="003E1CE0">
            <w:pPr>
              <w:pStyle w:val="Tabletext"/>
              <w:keepNext/>
              <w:jc w:val="right"/>
              <w:rPr>
                <w:b/>
                <w:bCs/>
                <w:lang w:val="ru-RU" w:eastAsia="en-GB"/>
              </w:rPr>
            </w:pPr>
            <w:r w:rsidRPr="00521670">
              <w:rPr>
                <w:lang w:val="ru-RU"/>
              </w:rPr>
              <w:t>7 046</w:t>
            </w:r>
          </w:p>
        </w:tc>
        <w:tc>
          <w:tcPr>
            <w:tcW w:w="936" w:type="pct"/>
            <w:tcBorders>
              <w:top w:val="nil"/>
              <w:left w:val="nil"/>
              <w:bottom w:val="nil"/>
              <w:right w:val="nil"/>
            </w:tcBorders>
            <w:shd w:val="clear" w:color="auto" w:fill="auto"/>
            <w:noWrap/>
            <w:vAlign w:val="bottom"/>
            <w:hideMark/>
          </w:tcPr>
          <w:p w14:paraId="466C6A7C" w14:textId="77777777" w:rsidR="00DF251A" w:rsidRPr="00521670" w:rsidRDefault="00DF251A" w:rsidP="003E1CE0">
            <w:pPr>
              <w:pStyle w:val="Tabletext"/>
              <w:keepNext/>
              <w:jc w:val="right"/>
              <w:rPr>
                <w:b/>
                <w:bCs/>
                <w:lang w:val="ru-RU" w:eastAsia="en-GB"/>
              </w:rPr>
            </w:pPr>
            <w:r w:rsidRPr="00521670">
              <w:rPr>
                <w:lang w:val="ru-RU"/>
              </w:rPr>
              <w:t>8 489</w:t>
            </w:r>
          </w:p>
        </w:tc>
      </w:tr>
      <w:tr w:rsidR="00DF251A" w:rsidRPr="00521670" w14:paraId="130A6A2F" w14:textId="77777777" w:rsidTr="00D42EC6">
        <w:trPr>
          <w:jc w:val="center"/>
        </w:trPr>
        <w:tc>
          <w:tcPr>
            <w:tcW w:w="3128" w:type="pct"/>
            <w:tcBorders>
              <w:top w:val="nil"/>
              <w:left w:val="nil"/>
              <w:bottom w:val="nil"/>
              <w:right w:val="nil"/>
            </w:tcBorders>
            <w:shd w:val="clear" w:color="auto" w:fill="auto"/>
            <w:noWrap/>
            <w:vAlign w:val="bottom"/>
            <w:hideMark/>
          </w:tcPr>
          <w:p w14:paraId="0D5A2E9A" w14:textId="77777777" w:rsidR="00DF251A" w:rsidRPr="00521670" w:rsidRDefault="00DF251A" w:rsidP="003E1CE0">
            <w:pPr>
              <w:pStyle w:val="Tabletext"/>
              <w:keepNext/>
              <w:spacing w:before="0" w:after="0"/>
              <w:rPr>
                <w:b/>
                <w:bCs/>
                <w:i/>
                <w:iCs/>
                <w:lang w:val="ru-RU" w:eastAsia="en-GB"/>
              </w:rPr>
            </w:pPr>
          </w:p>
        </w:tc>
        <w:tc>
          <w:tcPr>
            <w:tcW w:w="936" w:type="pct"/>
            <w:tcBorders>
              <w:top w:val="nil"/>
              <w:left w:val="nil"/>
              <w:bottom w:val="nil"/>
              <w:right w:val="nil"/>
            </w:tcBorders>
            <w:shd w:val="clear" w:color="auto" w:fill="auto"/>
            <w:noWrap/>
            <w:vAlign w:val="bottom"/>
            <w:hideMark/>
          </w:tcPr>
          <w:p w14:paraId="57BA8E34" w14:textId="77777777" w:rsidR="00DF251A" w:rsidRPr="00521670" w:rsidRDefault="00DF251A" w:rsidP="003E1CE0">
            <w:pPr>
              <w:pStyle w:val="Tabletext"/>
              <w:keepNext/>
              <w:spacing w:before="0" w:after="0"/>
              <w:jc w:val="right"/>
              <w:rPr>
                <w:rFonts w:ascii="Times New Roman" w:hAnsi="Times New Roman"/>
                <w:b/>
                <w:bCs/>
                <w:lang w:val="ru-RU" w:eastAsia="en-GB"/>
              </w:rPr>
            </w:pPr>
            <w:r w:rsidRPr="00521670">
              <w:rPr>
                <w:b/>
                <w:bCs/>
                <w:lang w:val="ru-RU"/>
              </w:rPr>
              <w:t>18 141</w:t>
            </w:r>
          </w:p>
        </w:tc>
        <w:tc>
          <w:tcPr>
            <w:tcW w:w="936" w:type="pct"/>
            <w:tcBorders>
              <w:top w:val="nil"/>
              <w:left w:val="nil"/>
              <w:bottom w:val="nil"/>
              <w:right w:val="nil"/>
            </w:tcBorders>
            <w:shd w:val="clear" w:color="auto" w:fill="auto"/>
            <w:noWrap/>
            <w:vAlign w:val="bottom"/>
            <w:hideMark/>
          </w:tcPr>
          <w:p w14:paraId="2AEE4CF0" w14:textId="77777777" w:rsidR="00DF251A" w:rsidRPr="00521670" w:rsidRDefault="00DF251A" w:rsidP="003E1CE0">
            <w:pPr>
              <w:pStyle w:val="Tabletext"/>
              <w:keepNext/>
              <w:spacing w:before="0" w:after="0"/>
              <w:jc w:val="right"/>
              <w:rPr>
                <w:rFonts w:ascii="Times New Roman" w:hAnsi="Times New Roman"/>
                <w:b/>
                <w:bCs/>
                <w:lang w:val="ru-RU" w:eastAsia="en-GB"/>
              </w:rPr>
            </w:pPr>
            <w:r w:rsidRPr="00521670">
              <w:rPr>
                <w:b/>
                <w:bCs/>
                <w:lang w:val="ru-RU"/>
              </w:rPr>
              <w:t>18 654</w:t>
            </w:r>
          </w:p>
        </w:tc>
      </w:tr>
      <w:tr w:rsidR="00DF251A" w:rsidRPr="00521670" w14:paraId="2E352A64" w14:textId="77777777" w:rsidTr="00D42EC6">
        <w:trPr>
          <w:jc w:val="center"/>
        </w:trPr>
        <w:tc>
          <w:tcPr>
            <w:tcW w:w="3128" w:type="pct"/>
            <w:tcBorders>
              <w:top w:val="nil"/>
              <w:left w:val="nil"/>
              <w:bottom w:val="nil"/>
              <w:right w:val="nil"/>
            </w:tcBorders>
            <w:shd w:val="clear" w:color="auto" w:fill="auto"/>
            <w:noWrap/>
            <w:vAlign w:val="bottom"/>
            <w:hideMark/>
          </w:tcPr>
          <w:p w14:paraId="11983C22" w14:textId="77777777" w:rsidR="00DF251A" w:rsidRPr="00521670" w:rsidRDefault="00DF251A" w:rsidP="003E1CE0">
            <w:pPr>
              <w:pStyle w:val="Tabletext"/>
              <w:keepNext/>
              <w:rPr>
                <w:lang w:val="ru-RU" w:eastAsia="en-GB"/>
              </w:rPr>
            </w:pPr>
            <w:r w:rsidRPr="00521670">
              <w:rPr>
                <w:szCs w:val="18"/>
                <w:lang w:val="ru-RU"/>
              </w:rPr>
              <w:t>−</w:t>
            </w:r>
            <w:r w:rsidRPr="00521670">
              <w:rPr>
                <w:szCs w:val="18"/>
                <w:lang w:val="ru-RU"/>
              </w:rPr>
              <w:tab/>
              <w:t>Обязательства в связи с изменением демографических допущений</w:t>
            </w:r>
          </w:p>
        </w:tc>
        <w:tc>
          <w:tcPr>
            <w:tcW w:w="936" w:type="pct"/>
            <w:tcBorders>
              <w:top w:val="nil"/>
              <w:left w:val="nil"/>
              <w:bottom w:val="nil"/>
              <w:right w:val="nil"/>
            </w:tcBorders>
            <w:shd w:val="clear" w:color="auto" w:fill="auto"/>
            <w:noWrap/>
            <w:vAlign w:val="bottom"/>
            <w:hideMark/>
          </w:tcPr>
          <w:p w14:paraId="18479A87" w14:textId="77777777" w:rsidR="00DF251A" w:rsidRPr="00521670" w:rsidRDefault="00DF251A" w:rsidP="003E1CE0">
            <w:pPr>
              <w:pStyle w:val="Tabletext"/>
              <w:keepNext/>
              <w:jc w:val="right"/>
              <w:rPr>
                <w:lang w:val="ru-RU" w:eastAsia="en-GB"/>
              </w:rPr>
            </w:pPr>
          </w:p>
        </w:tc>
        <w:tc>
          <w:tcPr>
            <w:tcW w:w="936" w:type="pct"/>
            <w:tcBorders>
              <w:top w:val="nil"/>
              <w:left w:val="nil"/>
              <w:bottom w:val="nil"/>
              <w:right w:val="nil"/>
            </w:tcBorders>
            <w:shd w:val="clear" w:color="auto" w:fill="auto"/>
            <w:noWrap/>
            <w:vAlign w:val="bottom"/>
            <w:hideMark/>
          </w:tcPr>
          <w:p w14:paraId="0DFFED09" w14:textId="77777777" w:rsidR="00DF251A" w:rsidRPr="00521670" w:rsidRDefault="00DF251A" w:rsidP="003E1CE0">
            <w:pPr>
              <w:pStyle w:val="Tabletext"/>
              <w:keepNext/>
              <w:jc w:val="right"/>
              <w:rPr>
                <w:lang w:val="ru-RU" w:eastAsia="en-GB"/>
              </w:rPr>
            </w:pPr>
          </w:p>
        </w:tc>
      </w:tr>
      <w:tr w:rsidR="00DF251A" w:rsidRPr="00521670" w14:paraId="563C21A8" w14:textId="77777777" w:rsidTr="00D42EC6">
        <w:trPr>
          <w:jc w:val="center"/>
        </w:trPr>
        <w:tc>
          <w:tcPr>
            <w:tcW w:w="3128" w:type="pct"/>
            <w:tcBorders>
              <w:top w:val="nil"/>
              <w:left w:val="nil"/>
              <w:bottom w:val="nil"/>
              <w:right w:val="nil"/>
            </w:tcBorders>
            <w:shd w:val="clear" w:color="auto" w:fill="auto"/>
            <w:noWrap/>
            <w:vAlign w:val="bottom"/>
            <w:hideMark/>
          </w:tcPr>
          <w:p w14:paraId="48A81A0A" w14:textId="77777777" w:rsidR="00DF251A" w:rsidRPr="00521670" w:rsidRDefault="00DF251A" w:rsidP="003E1CE0">
            <w:pPr>
              <w:pStyle w:val="Tabletext"/>
              <w:keepNext/>
              <w:rPr>
                <w:lang w:val="ru-RU" w:eastAsia="en-GB"/>
              </w:rPr>
            </w:pPr>
            <w:r w:rsidRPr="00521670">
              <w:rPr>
                <w:szCs w:val="18"/>
                <w:lang w:val="ru-RU"/>
              </w:rPr>
              <w:t>−</w:t>
            </w:r>
            <w:r w:rsidRPr="00521670">
              <w:rPr>
                <w:szCs w:val="18"/>
                <w:lang w:val="ru-RU"/>
              </w:rPr>
              <w:tab/>
              <w:t>Обязательства в связи с изменением финансовых допущений</w:t>
            </w:r>
          </w:p>
        </w:tc>
        <w:tc>
          <w:tcPr>
            <w:tcW w:w="936" w:type="pct"/>
            <w:tcBorders>
              <w:top w:val="nil"/>
              <w:left w:val="nil"/>
              <w:bottom w:val="nil"/>
              <w:right w:val="nil"/>
            </w:tcBorders>
            <w:shd w:val="clear" w:color="auto" w:fill="auto"/>
            <w:noWrap/>
            <w:vAlign w:val="bottom"/>
            <w:hideMark/>
          </w:tcPr>
          <w:p w14:paraId="73FBD80F" w14:textId="77777777" w:rsidR="00DF251A" w:rsidRPr="00521670" w:rsidRDefault="00DF251A" w:rsidP="003E1CE0">
            <w:pPr>
              <w:pStyle w:val="Tabletext"/>
              <w:keepNext/>
              <w:jc w:val="right"/>
              <w:rPr>
                <w:lang w:val="ru-RU" w:eastAsia="en-GB"/>
              </w:rPr>
            </w:pPr>
            <w:r w:rsidRPr="00521670">
              <w:rPr>
                <w:lang w:val="ru-RU"/>
              </w:rPr>
              <w:t>10 602</w:t>
            </w:r>
          </w:p>
        </w:tc>
        <w:tc>
          <w:tcPr>
            <w:tcW w:w="936" w:type="pct"/>
            <w:tcBorders>
              <w:top w:val="nil"/>
              <w:left w:val="nil"/>
              <w:bottom w:val="nil"/>
              <w:right w:val="nil"/>
            </w:tcBorders>
            <w:shd w:val="clear" w:color="auto" w:fill="auto"/>
            <w:noWrap/>
            <w:vAlign w:val="bottom"/>
            <w:hideMark/>
          </w:tcPr>
          <w:p w14:paraId="1F9C9CE8" w14:textId="77777777" w:rsidR="00DF251A" w:rsidRPr="00521670" w:rsidRDefault="00DF251A" w:rsidP="003E1CE0">
            <w:pPr>
              <w:pStyle w:val="Tabletext"/>
              <w:keepNext/>
              <w:jc w:val="right"/>
              <w:rPr>
                <w:lang w:val="ru-RU" w:eastAsia="en-GB"/>
              </w:rPr>
            </w:pPr>
            <w:r w:rsidRPr="00521670">
              <w:rPr>
                <w:lang w:val="ru-RU"/>
              </w:rPr>
              <w:t>(574)</w:t>
            </w:r>
          </w:p>
        </w:tc>
      </w:tr>
      <w:tr w:rsidR="00DF251A" w:rsidRPr="00521670" w14:paraId="0978FFC1" w14:textId="77777777" w:rsidTr="00D42EC6">
        <w:trPr>
          <w:jc w:val="center"/>
        </w:trPr>
        <w:tc>
          <w:tcPr>
            <w:tcW w:w="3128" w:type="pct"/>
            <w:tcBorders>
              <w:top w:val="nil"/>
              <w:left w:val="nil"/>
              <w:bottom w:val="nil"/>
              <w:right w:val="nil"/>
            </w:tcBorders>
            <w:shd w:val="clear" w:color="auto" w:fill="auto"/>
            <w:noWrap/>
            <w:vAlign w:val="bottom"/>
            <w:hideMark/>
          </w:tcPr>
          <w:p w14:paraId="5BE41EC5" w14:textId="34FA87DB" w:rsidR="00DF251A" w:rsidRPr="00521670" w:rsidRDefault="00DF251A" w:rsidP="003E1CE0">
            <w:pPr>
              <w:pStyle w:val="Tabletext"/>
              <w:keepNext/>
              <w:ind w:left="284" w:hanging="284"/>
              <w:rPr>
                <w:lang w:val="ru-RU" w:eastAsia="en-GB"/>
              </w:rPr>
            </w:pPr>
            <w:r w:rsidRPr="00521670">
              <w:rPr>
                <w:szCs w:val="18"/>
                <w:lang w:val="ru-RU"/>
              </w:rPr>
              <w:t>−</w:t>
            </w:r>
            <w:r w:rsidRPr="00521670">
              <w:rPr>
                <w:szCs w:val="18"/>
                <w:lang w:val="ru-RU"/>
              </w:rPr>
              <w:tab/>
              <w:t>Обязательства, определяемые на основе статистики за финансовый</w:t>
            </w:r>
            <w:r w:rsidR="00D42EC6" w:rsidRPr="00521670">
              <w:rPr>
                <w:szCs w:val="18"/>
                <w:lang w:val="ru-RU"/>
              </w:rPr>
              <w:t> </w:t>
            </w:r>
            <w:r w:rsidRPr="00521670">
              <w:rPr>
                <w:szCs w:val="18"/>
                <w:lang w:val="ru-RU"/>
              </w:rPr>
              <w:t>период</w:t>
            </w:r>
          </w:p>
        </w:tc>
        <w:tc>
          <w:tcPr>
            <w:tcW w:w="936" w:type="pct"/>
            <w:tcBorders>
              <w:top w:val="nil"/>
              <w:left w:val="nil"/>
              <w:bottom w:val="nil"/>
              <w:right w:val="nil"/>
            </w:tcBorders>
            <w:shd w:val="clear" w:color="auto" w:fill="auto"/>
            <w:noWrap/>
            <w:vAlign w:val="bottom"/>
            <w:hideMark/>
          </w:tcPr>
          <w:p w14:paraId="597D4541" w14:textId="77777777" w:rsidR="00DF251A" w:rsidRPr="00521670" w:rsidRDefault="00DF251A" w:rsidP="003E1CE0">
            <w:pPr>
              <w:pStyle w:val="Tabletext"/>
              <w:keepNext/>
              <w:jc w:val="right"/>
              <w:rPr>
                <w:lang w:val="ru-RU" w:eastAsia="en-GB"/>
              </w:rPr>
            </w:pPr>
            <w:r w:rsidRPr="00521670">
              <w:rPr>
                <w:lang w:val="ru-RU"/>
              </w:rPr>
              <w:t>20 635</w:t>
            </w:r>
          </w:p>
        </w:tc>
        <w:tc>
          <w:tcPr>
            <w:tcW w:w="936" w:type="pct"/>
            <w:tcBorders>
              <w:top w:val="nil"/>
              <w:left w:val="nil"/>
              <w:bottom w:val="nil"/>
              <w:right w:val="nil"/>
            </w:tcBorders>
            <w:shd w:val="clear" w:color="auto" w:fill="auto"/>
            <w:noWrap/>
            <w:vAlign w:val="bottom"/>
            <w:hideMark/>
          </w:tcPr>
          <w:p w14:paraId="35D6B8B6" w14:textId="77777777" w:rsidR="00DF251A" w:rsidRPr="00521670" w:rsidRDefault="00DF251A" w:rsidP="003E1CE0">
            <w:pPr>
              <w:pStyle w:val="Tabletext"/>
              <w:keepNext/>
              <w:jc w:val="right"/>
              <w:rPr>
                <w:lang w:val="ru-RU" w:eastAsia="en-GB"/>
              </w:rPr>
            </w:pPr>
            <w:r w:rsidRPr="00521670">
              <w:rPr>
                <w:lang w:val="ru-RU"/>
              </w:rPr>
              <w:t>24 687</w:t>
            </w:r>
          </w:p>
        </w:tc>
      </w:tr>
      <w:tr w:rsidR="00DF251A" w:rsidRPr="00521670" w14:paraId="2A51E619" w14:textId="77777777" w:rsidTr="00D42EC6">
        <w:trPr>
          <w:jc w:val="center"/>
        </w:trPr>
        <w:tc>
          <w:tcPr>
            <w:tcW w:w="3128" w:type="pct"/>
            <w:tcBorders>
              <w:top w:val="nil"/>
              <w:left w:val="nil"/>
              <w:bottom w:val="nil"/>
              <w:right w:val="nil"/>
            </w:tcBorders>
            <w:shd w:val="clear" w:color="auto" w:fill="auto"/>
            <w:noWrap/>
            <w:vAlign w:val="bottom"/>
            <w:hideMark/>
          </w:tcPr>
          <w:p w14:paraId="01F8363B" w14:textId="77777777" w:rsidR="00DF251A" w:rsidRPr="00521670" w:rsidRDefault="00DF251A" w:rsidP="003E1CE0">
            <w:pPr>
              <w:pStyle w:val="Tabletext"/>
              <w:keepNext/>
              <w:rPr>
                <w:b/>
                <w:bCs/>
                <w:lang w:val="ru-RU" w:eastAsia="en-GB"/>
              </w:rPr>
            </w:pPr>
            <w:r w:rsidRPr="00521670">
              <w:rPr>
                <w:b/>
                <w:bCs/>
                <w:szCs w:val="18"/>
                <w:lang w:val="ru-RU"/>
              </w:rPr>
              <w:t>Всего: актуарные (прибыли) потери, признанные в чистых активах</w:t>
            </w:r>
          </w:p>
        </w:tc>
        <w:tc>
          <w:tcPr>
            <w:tcW w:w="936" w:type="pct"/>
            <w:tcBorders>
              <w:top w:val="nil"/>
              <w:left w:val="nil"/>
              <w:bottom w:val="nil"/>
              <w:right w:val="nil"/>
            </w:tcBorders>
            <w:shd w:val="clear" w:color="auto" w:fill="auto"/>
            <w:noWrap/>
            <w:vAlign w:val="bottom"/>
            <w:hideMark/>
          </w:tcPr>
          <w:p w14:paraId="2A4521DE" w14:textId="77777777" w:rsidR="00DF251A" w:rsidRPr="00521670" w:rsidRDefault="00DF251A" w:rsidP="003E1CE0">
            <w:pPr>
              <w:pStyle w:val="Tabletext"/>
              <w:keepNext/>
              <w:jc w:val="right"/>
              <w:rPr>
                <w:b/>
                <w:bCs/>
                <w:lang w:val="ru-RU" w:eastAsia="en-GB"/>
              </w:rPr>
            </w:pPr>
            <w:r w:rsidRPr="00521670">
              <w:rPr>
                <w:lang w:val="ru-RU"/>
              </w:rPr>
              <w:t>1 511</w:t>
            </w:r>
          </w:p>
        </w:tc>
        <w:tc>
          <w:tcPr>
            <w:tcW w:w="936" w:type="pct"/>
            <w:tcBorders>
              <w:top w:val="nil"/>
              <w:left w:val="nil"/>
              <w:bottom w:val="nil"/>
              <w:right w:val="nil"/>
            </w:tcBorders>
            <w:shd w:val="clear" w:color="auto" w:fill="auto"/>
            <w:noWrap/>
            <w:vAlign w:val="bottom"/>
            <w:hideMark/>
          </w:tcPr>
          <w:p w14:paraId="3931107A" w14:textId="77777777" w:rsidR="00DF251A" w:rsidRPr="00521670" w:rsidRDefault="00DF251A" w:rsidP="003E1CE0">
            <w:pPr>
              <w:pStyle w:val="Tabletext"/>
              <w:keepNext/>
              <w:jc w:val="right"/>
              <w:rPr>
                <w:b/>
                <w:bCs/>
                <w:lang w:val="ru-RU" w:eastAsia="en-GB"/>
              </w:rPr>
            </w:pPr>
            <w:r w:rsidRPr="00521670">
              <w:rPr>
                <w:lang w:val="ru-RU"/>
              </w:rPr>
              <w:t>(4 589)</w:t>
            </w:r>
          </w:p>
        </w:tc>
      </w:tr>
      <w:tr w:rsidR="00DF251A" w:rsidRPr="00521670" w14:paraId="2C220EC4" w14:textId="77777777" w:rsidTr="00D42EC6">
        <w:trPr>
          <w:jc w:val="center"/>
        </w:trPr>
        <w:tc>
          <w:tcPr>
            <w:tcW w:w="3128" w:type="pct"/>
            <w:tcBorders>
              <w:top w:val="nil"/>
              <w:left w:val="nil"/>
              <w:bottom w:val="nil"/>
              <w:right w:val="nil"/>
            </w:tcBorders>
            <w:shd w:val="clear" w:color="auto" w:fill="auto"/>
            <w:noWrap/>
            <w:vAlign w:val="bottom"/>
            <w:hideMark/>
          </w:tcPr>
          <w:p w14:paraId="22F51564" w14:textId="77777777" w:rsidR="00DF251A" w:rsidRPr="00521670" w:rsidRDefault="00DF251A" w:rsidP="003E1CE0">
            <w:pPr>
              <w:pStyle w:val="Tabletext"/>
              <w:keepNext/>
              <w:spacing w:before="0" w:after="0"/>
              <w:rPr>
                <w:b/>
                <w:bCs/>
                <w:lang w:val="ru-RU" w:eastAsia="en-GB"/>
              </w:rPr>
            </w:pPr>
          </w:p>
        </w:tc>
        <w:tc>
          <w:tcPr>
            <w:tcW w:w="936" w:type="pct"/>
            <w:tcBorders>
              <w:top w:val="nil"/>
              <w:left w:val="nil"/>
              <w:bottom w:val="nil"/>
              <w:right w:val="nil"/>
            </w:tcBorders>
            <w:shd w:val="clear" w:color="auto" w:fill="auto"/>
            <w:noWrap/>
            <w:vAlign w:val="bottom"/>
            <w:hideMark/>
          </w:tcPr>
          <w:p w14:paraId="2F425BAB" w14:textId="77777777" w:rsidR="00DF251A" w:rsidRPr="00521670" w:rsidRDefault="00DF251A" w:rsidP="003E1CE0">
            <w:pPr>
              <w:pStyle w:val="Tabletext"/>
              <w:keepNext/>
              <w:spacing w:before="0" w:after="0"/>
              <w:jc w:val="right"/>
              <w:rPr>
                <w:rFonts w:ascii="Times New Roman" w:hAnsi="Times New Roman"/>
                <w:b/>
                <w:bCs/>
                <w:lang w:val="ru-RU" w:eastAsia="en-GB"/>
              </w:rPr>
            </w:pPr>
            <w:r w:rsidRPr="00521670">
              <w:rPr>
                <w:b/>
                <w:bCs/>
                <w:lang w:val="ru-RU"/>
              </w:rPr>
              <w:t>32 748</w:t>
            </w:r>
          </w:p>
        </w:tc>
        <w:tc>
          <w:tcPr>
            <w:tcW w:w="936" w:type="pct"/>
            <w:tcBorders>
              <w:top w:val="nil"/>
              <w:left w:val="nil"/>
              <w:bottom w:val="nil"/>
              <w:right w:val="nil"/>
            </w:tcBorders>
            <w:shd w:val="clear" w:color="auto" w:fill="auto"/>
            <w:noWrap/>
            <w:vAlign w:val="bottom"/>
            <w:hideMark/>
          </w:tcPr>
          <w:p w14:paraId="1FC38DC2" w14:textId="77777777" w:rsidR="00DF251A" w:rsidRPr="00521670" w:rsidRDefault="00DF251A" w:rsidP="003E1CE0">
            <w:pPr>
              <w:pStyle w:val="Tabletext"/>
              <w:keepNext/>
              <w:spacing w:before="0" w:after="0"/>
              <w:jc w:val="right"/>
              <w:rPr>
                <w:rFonts w:ascii="Times New Roman" w:hAnsi="Times New Roman"/>
                <w:b/>
                <w:bCs/>
                <w:lang w:val="ru-RU" w:eastAsia="en-GB"/>
              </w:rPr>
            </w:pPr>
            <w:r w:rsidRPr="00521670">
              <w:rPr>
                <w:b/>
                <w:bCs/>
                <w:lang w:val="ru-RU"/>
              </w:rPr>
              <w:t>19 524</w:t>
            </w:r>
          </w:p>
        </w:tc>
      </w:tr>
      <w:tr w:rsidR="00DF251A" w:rsidRPr="00521670" w14:paraId="04BB22D7" w14:textId="77777777" w:rsidTr="00D42EC6">
        <w:trPr>
          <w:jc w:val="center"/>
        </w:trPr>
        <w:tc>
          <w:tcPr>
            <w:tcW w:w="3128" w:type="pct"/>
            <w:tcBorders>
              <w:top w:val="nil"/>
              <w:left w:val="nil"/>
              <w:bottom w:val="nil"/>
              <w:right w:val="nil"/>
            </w:tcBorders>
            <w:shd w:val="clear" w:color="auto" w:fill="auto"/>
            <w:noWrap/>
            <w:vAlign w:val="bottom"/>
            <w:hideMark/>
          </w:tcPr>
          <w:p w14:paraId="319D2D07" w14:textId="77777777" w:rsidR="00DF251A" w:rsidRPr="00521670" w:rsidRDefault="00DF251A" w:rsidP="003E1CE0">
            <w:pPr>
              <w:pStyle w:val="Tabletext"/>
              <w:keepNext/>
              <w:rPr>
                <w:b/>
                <w:bCs/>
                <w:lang w:val="ru-RU" w:eastAsia="en-GB"/>
              </w:rPr>
            </w:pPr>
            <w:r w:rsidRPr="00521670">
              <w:rPr>
                <w:b/>
                <w:bCs/>
                <w:szCs w:val="18"/>
                <w:lang w:val="ru-RU"/>
              </w:rPr>
              <w:t>Взносы в финансовом периоде</w:t>
            </w:r>
          </w:p>
        </w:tc>
        <w:tc>
          <w:tcPr>
            <w:tcW w:w="936" w:type="pct"/>
            <w:tcBorders>
              <w:top w:val="nil"/>
              <w:left w:val="nil"/>
              <w:bottom w:val="nil"/>
              <w:right w:val="nil"/>
            </w:tcBorders>
            <w:shd w:val="clear" w:color="auto" w:fill="auto"/>
            <w:noWrap/>
            <w:vAlign w:val="bottom"/>
            <w:hideMark/>
          </w:tcPr>
          <w:p w14:paraId="75D52561" w14:textId="09B09604" w:rsidR="00DF251A" w:rsidRPr="00521670" w:rsidRDefault="00DF251A" w:rsidP="00D42EC6">
            <w:pPr>
              <w:pStyle w:val="Tabletext"/>
              <w:keepNext/>
              <w:jc w:val="right"/>
              <w:rPr>
                <w:b/>
                <w:bCs/>
                <w:lang w:val="ru-RU" w:eastAsia="en-GB"/>
              </w:rPr>
            </w:pPr>
            <w:r w:rsidRPr="00521670">
              <w:rPr>
                <w:b/>
                <w:bCs/>
                <w:lang w:val="ru-RU"/>
              </w:rPr>
              <w:t>(10 325)</w:t>
            </w:r>
          </w:p>
        </w:tc>
        <w:tc>
          <w:tcPr>
            <w:tcW w:w="936" w:type="pct"/>
            <w:tcBorders>
              <w:top w:val="nil"/>
              <w:left w:val="nil"/>
              <w:bottom w:val="nil"/>
              <w:right w:val="nil"/>
            </w:tcBorders>
            <w:shd w:val="clear" w:color="auto" w:fill="auto"/>
            <w:noWrap/>
            <w:vAlign w:val="bottom"/>
            <w:hideMark/>
          </w:tcPr>
          <w:p w14:paraId="0D07F127" w14:textId="77777777" w:rsidR="00DF251A" w:rsidRPr="00521670" w:rsidRDefault="00DF251A" w:rsidP="003E1CE0">
            <w:pPr>
              <w:pStyle w:val="Tabletext"/>
              <w:keepNext/>
              <w:jc w:val="right"/>
              <w:rPr>
                <w:b/>
                <w:bCs/>
                <w:lang w:val="ru-RU" w:eastAsia="en-GB"/>
              </w:rPr>
            </w:pPr>
            <w:r w:rsidRPr="00521670">
              <w:rPr>
                <w:b/>
                <w:bCs/>
                <w:lang w:val="ru-RU"/>
              </w:rPr>
              <w:t>(7 009)</w:t>
            </w:r>
          </w:p>
        </w:tc>
      </w:tr>
      <w:tr w:rsidR="00DF251A" w:rsidRPr="00521670" w14:paraId="28903A97" w14:textId="77777777" w:rsidTr="00D42EC6">
        <w:trPr>
          <w:jc w:val="center"/>
        </w:trPr>
        <w:tc>
          <w:tcPr>
            <w:tcW w:w="3128" w:type="pct"/>
            <w:tcBorders>
              <w:top w:val="nil"/>
              <w:left w:val="nil"/>
              <w:bottom w:val="nil"/>
              <w:right w:val="nil"/>
            </w:tcBorders>
            <w:shd w:val="clear" w:color="000000" w:fill="0070C0"/>
            <w:noWrap/>
            <w:vAlign w:val="center"/>
            <w:hideMark/>
          </w:tcPr>
          <w:p w14:paraId="1A343207" w14:textId="77777777" w:rsidR="00DF251A" w:rsidRPr="00521670" w:rsidRDefault="00DF251A" w:rsidP="003E1CE0">
            <w:pPr>
              <w:pStyle w:val="Tabletext"/>
              <w:rPr>
                <w:b/>
                <w:bCs/>
                <w:lang w:val="ru-RU" w:eastAsia="en-GB"/>
              </w:rPr>
            </w:pPr>
            <w:r w:rsidRPr="00521670">
              <w:rPr>
                <w:b/>
                <w:bCs/>
                <w:szCs w:val="18"/>
                <w:lang w:val="ru-RU"/>
              </w:rPr>
              <w:t>Всего: сумма обязательств в рамках плана АСХИ</w:t>
            </w:r>
          </w:p>
        </w:tc>
        <w:tc>
          <w:tcPr>
            <w:tcW w:w="936" w:type="pct"/>
            <w:tcBorders>
              <w:top w:val="nil"/>
              <w:left w:val="nil"/>
              <w:bottom w:val="nil"/>
              <w:right w:val="nil"/>
            </w:tcBorders>
            <w:shd w:val="clear" w:color="000000" w:fill="0070C0"/>
            <w:noWrap/>
            <w:vAlign w:val="bottom"/>
            <w:hideMark/>
          </w:tcPr>
          <w:p w14:paraId="5F6FF88E" w14:textId="77777777" w:rsidR="00DF251A" w:rsidRPr="00521670" w:rsidRDefault="00DF251A" w:rsidP="003E1CE0">
            <w:pPr>
              <w:pStyle w:val="Tabletext"/>
              <w:jc w:val="right"/>
              <w:rPr>
                <w:b/>
                <w:bCs/>
                <w:lang w:val="ru-RU" w:eastAsia="en-GB"/>
              </w:rPr>
            </w:pPr>
            <w:r w:rsidRPr="00521670">
              <w:rPr>
                <w:b/>
                <w:bCs/>
                <w:lang w:val="ru-RU"/>
              </w:rPr>
              <w:t>415 835</w:t>
            </w:r>
          </w:p>
        </w:tc>
        <w:tc>
          <w:tcPr>
            <w:tcW w:w="936" w:type="pct"/>
            <w:tcBorders>
              <w:top w:val="nil"/>
              <w:left w:val="nil"/>
              <w:bottom w:val="nil"/>
              <w:right w:val="nil"/>
            </w:tcBorders>
            <w:shd w:val="clear" w:color="000000" w:fill="0070C0"/>
            <w:noWrap/>
            <w:vAlign w:val="bottom"/>
            <w:hideMark/>
          </w:tcPr>
          <w:p w14:paraId="659F3A66" w14:textId="77777777" w:rsidR="00DF251A" w:rsidRPr="00521670" w:rsidRDefault="00DF251A" w:rsidP="003E1CE0">
            <w:pPr>
              <w:pStyle w:val="Tabletext"/>
              <w:jc w:val="right"/>
              <w:rPr>
                <w:b/>
                <w:bCs/>
                <w:lang w:val="ru-RU" w:eastAsia="en-GB"/>
              </w:rPr>
            </w:pPr>
            <w:r w:rsidRPr="00521670">
              <w:rPr>
                <w:b/>
                <w:bCs/>
                <w:lang w:val="ru-RU"/>
              </w:rPr>
              <w:t>375 271</w:t>
            </w:r>
          </w:p>
        </w:tc>
      </w:tr>
    </w:tbl>
    <w:p w14:paraId="40247D09" w14:textId="77777777" w:rsidR="00DF251A" w:rsidRPr="00521670" w:rsidRDefault="00DF251A" w:rsidP="005E7CE1">
      <w:pPr>
        <w:rPr>
          <w:lang w:val="ru-RU"/>
        </w:rPr>
      </w:pPr>
      <w:r w:rsidRPr="00521670">
        <w:rPr>
          <w:lang w:val="ru-RU"/>
        </w:rPr>
        <w:t>Основным фактором, влияющим на величину стоимости АСХИ, является ставка дисконтирования, которая используется для расчета текущей стоимости будущих заявок. В 2024 году ставка дисконтирования снизилась с 1,9% (2023 г.) до 1,4% (2024 г.), сохранив прежнюю динамику, наблюдавшуюся в 2023 году, когда ставка снизилась с 2,5% (2022 г.) до 1,9% (2023 г.). Такие тенденции привели к актуарным потерям в размере 20,6 млн. швейцарских франков в 2024 году по сравнению с 24,7 млн. швейцарских франков в 2023 году.</w:t>
      </w:r>
    </w:p>
    <w:p w14:paraId="52DD955D" w14:textId="77777777" w:rsidR="00DF251A" w:rsidRPr="00521670" w:rsidRDefault="00DF251A" w:rsidP="00276E0F">
      <w:pPr>
        <w:rPr>
          <w:lang w:val="ru-RU"/>
        </w:rPr>
      </w:pPr>
      <w:bookmarkStart w:id="356" w:name="_Hlk132877785"/>
      <w:r w:rsidRPr="00521670">
        <w:rPr>
          <w:lang w:val="ru-RU"/>
        </w:rPr>
        <w:t>Другие факторы, которые повлияли на обязательства по АСХИ:</w:t>
      </w:r>
    </w:p>
    <w:p w14:paraId="19B7FB7C" w14:textId="3BA00D81" w:rsidR="00DF251A" w:rsidRPr="00521670" w:rsidRDefault="00DF251A" w:rsidP="00276E0F">
      <w:pPr>
        <w:pStyle w:val="enumlev1"/>
        <w:rPr>
          <w:lang w:val="ru-RU"/>
        </w:rPr>
      </w:pPr>
      <w:r w:rsidRPr="00521670">
        <w:rPr>
          <w:rFonts w:cs="Calibri"/>
          <w:lang w:val="ru-RU"/>
        </w:rPr>
        <w:t>•</w:t>
      </w:r>
      <w:r w:rsidRPr="00521670">
        <w:rPr>
          <w:lang w:val="ru-RU"/>
        </w:rPr>
        <w:tab/>
        <w:t>корректировка демографических допущений в связи с убытком в размере 10,6 млн. швейцарских франков в 2024 году (в 2023 г. прибыль составила 0,6 млн. швейцарских франков) по результатам проведения новых демографических исследований, которые показали убытки в размере 6,5 млн. швейцарских франков в связи с текучестью кадров, в размере 3,7 млн. швейцарских франков – в связи с затратами по заявкам на возмещение медицинских расходов, и 0,4 млн. швейцарских франков – в связи с обновлением данных о смертности;</w:t>
      </w:r>
    </w:p>
    <w:p w14:paraId="423790B3" w14:textId="77777777" w:rsidR="00DF251A" w:rsidRPr="00521670" w:rsidRDefault="00DF251A" w:rsidP="00276E0F">
      <w:pPr>
        <w:pStyle w:val="enumlev1"/>
        <w:rPr>
          <w:rFonts w:cstheme="minorHAnsi"/>
          <w:lang w:val="ru-RU"/>
        </w:rPr>
      </w:pPr>
      <w:r w:rsidRPr="00521670">
        <w:rPr>
          <w:rFonts w:cs="Calibri"/>
          <w:lang w:val="ru-RU"/>
        </w:rPr>
        <w:t>•</w:t>
      </w:r>
      <w:r w:rsidRPr="00521670">
        <w:rPr>
          <w:lang w:val="ru-RU"/>
        </w:rPr>
        <w:tab/>
        <w:t>фактические убытки в размере 1,5 млн. швейцарских франков (в 2023 г. прибыль составила 4,6 млн. швейцарских франков) из-за разницы между фактическими понесенными чистыми затратами по заявкам на возмещение медицинских расходов и предполагаемыми расходами за год;</w:t>
      </w:r>
      <w:r w:rsidRPr="00521670">
        <w:rPr>
          <w:rFonts w:cstheme="minorHAnsi"/>
          <w:lang w:val="ru-RU"/>
        </w:rPr>
        <w:t xml:space="preserve"> и</w:t>
      </w:r>
    </w:p>
    <w:p w14:paraId="68B6F5E5" w14:textId="0632E95B" w:rsidR="00DF251A" w:rsidRPr="00521670" w:rsidRDefault="00DF251A" w:rsidP="00276E0F">
      <w:pPr>
        <w:pStyle w:val="enumlev1"/>
        <w:rPr>
          <w:rFonts w:cstheme="minorHAnsi"/>
          <w:lang w:val="ru-RU"/>
        </w:rPr>
      </w:pPr>
      <w:r w:rsidRPr="00521670">
        <w:rPr>
          <w:rFonts w:cs="Calibri"/>
          <w:lang w:val="ru-RU"/>
        </w:rPr>
        <w:t>•</w:t>
      </w:r>
      <w:r w:rsidRPr="00521670">
        <w:rPr>
          <w:lang w:val="ru-RU"/>
        </w:rPr>
        <w:tab/>
        <w:t>увеличение чистых затрат на услуги на 0,9 млн. швейцарских франков (с 10,2 млн. швейцарских франков в 2023 г. до 11,1 млн. швейцарских франков в 2024 г.), что указывает на рост стоимости льгот, выплачиваемых действующим сотрудникам.</w:t>
      </w:r>
    </w:p>
    <w:p w14:paraId="4E044E59" w14:textId="77777777" w:rsidR="00DF251A" w:rsidRPr="00521670" w:rsidRDefault="00DF251A" w:rsidP="00920D5F">
      <w:pPr>
        <w:rPr>
          <w:lang w:val="ru-RU"/>
        </w:rPr>
      </w:pPr>
      <w:r w:rsidRPr="00521670">
        <w:rPr>
          <w:lang w:val="ru-RU"/>
        </w:rPr>
        <w:t>В рамках проводимой МСЭ оценки в соответствии со стандартом IPSAS 39 было проведено обновленное исследование заявок на возмещение медицинских расходов с целью переоценки допущений, ранее использовавшихся в отношении медицинских пособий после прекращения службы. В исследовании были проанализированы фактические данные по заявкам на возмещение медицинских расходов с 2020 по 2023 год, с поправкой на инфляцию в сфере медицинских услуг и индексацией заявок, с целью получить более точный прогноз затрат. Выводы указывают на тенденцию к увеличению объемов возмещения расходов на медицинские услуги на душу населения, что делает необходимым пересмотр допущений МСЭ относительно медицинских затрат. Эти обновленные допущения были применены при проведении оценки в соответствии со стандартом IPSAS в конце 2024 года для обеспечения более точной оценки обязательств МСЭ по выплате пособий после прекращения службы.</w:t>
      </w:r>
    </w:p>
    <w:p w14:paraId="163E855A" w14:textId="77777777" w:rsidR="00DF251A" w:rsidRPr="00521670" w:rsidRDefault="00DF251A" w:rsidP="00920D5F">
      <w:pPr>
        <w:rPr>
          <w:lang w:val="ru-RU"/>
        </w:rPr>
      </w:pPr>
      <w:bookmarkStart w:id="357" w:name="_Toc305764095"/>
      <w:bookmarkEnd w:id="356"/>
      <w:r w:rsidRPr="00521670">
        <w:rPr>
          <w:lang w:val="ru-RU"/>
        </w:rPr>
        <w:lastRenderedPageBreak/>
        <w:t>Взносы, уплачиваемые Организацией по линии АСХИ, в 2024 году составили 10,3 млн. швейцарских франков (7 млн. шв. фр. в 2023 г.). Согласно оценкам, в 2025 году размер взноса, выплачиваемого работодателем, должен составить 9,8 млн. швейцарских франков.</w:t>
      </w:r>
    </w:p>
    <w:p w14:paraId="778E7913" w14:textId="263576CC" w:rsidR="00DF251A" w:rsidRPr="00521670" w:rsidRDefault="00DF251A" w:rsidP="00920D5F">
      <w:pPr>
        <w:rPr>
          <w:lang w:val="ru-RU"/>
        </w:rPr>
      </w:pPr>
      <w:r w:rsidRPr="00521670">
        <w:rPr>
          <w:lang w:val="ru-RU"/>
        </w:rPr>
        <w:t>С января 2020 года МСЭ входит в состав Общества взаимного страхования сотрудников Организации Объединенных Наций от болезней и несчастных случаев (ЮНСМИС). Это фонд медицинского страхования сотрудников ООН, основанный в 1947 году, со штаб-квартирой в Женеве. ЮНСМИС предназначено для возмещения медицинских расходов своих членов, включая расходы, связанные с болезнями, несчастными случаями и материнством. Общество обслуживает как действующих, так и вышедших на пенсию сотрудников ООН и членов их</w:t>
      </w:r>
      <w:r w:rsidR="00F24559" w:rsidRPr="00521670">
        <w:rPr>
          <w:lang w:val="ru-RU"/>
        </w:rPr>
        <w:t> </w:t>
      </w:r>
      <w:r w:rsidRPr="00521670">
        <w:rPr>
          <w:lang w:val="ru-RU"/>
        </w:rPr>
        <w:t>семей.</w:t>
      </w:r>
    </w:p>
    <w:p w14:paraId="2FC7D4A0" w14:textId="77777777" w:rsidR="00DF251A" w:rsidRPr="00521670" w:rsidRDefault="00DF251A" w:rsidP="00920D5F">
      <w:pPr>
        <w:rPr>
          <w:lang w:val="ru-RU"/>
        </w:rPr>
      </w:pPr>
      <w:r w:rsidRPr="00521670">
        <w:rPr>
          <w:lang w:val="ru-RU"/>
        </w:rPr>
        <w:t>ЮНСМИС работает за счет взносов участвующих организаций и сотрудников, чтобы обеспечить своим членам возмещение расходов на медицинское обслуживание в соответствии с правилами и положениями общества. Помимо обработки заявок, ЮНСМИС отвечает за заключение договоров с поставщиками медицинских услуг и обеспечение финансовой стабильности плана страхования.</w:t>
      </w:r>
    </w:p>
    <w:p w14:paraId="2034C862" w14:textId="6D6F66C4" w:rsidR="00DF251A" w:rsidRPr="00521670" w:rsidRDefault="00DF251A" w:rsidP="00920D5F">
      <w:pPr>
        <w:rPr>
          <w:lang w:val="ru-RU"/>
        </w:rPr>
      </w:pPr>
      <w:r w:rsidRPr="00521670">
        <w:rPr>
          <w:lang w:val="ru-RU"/>
        </w:rPr>
        <w:t>Актуарный резерв для долгосрочных рисков в рамках ЮНСМИС был создан в 1995 году для покрытия постоянного роста расходов на медицинское обслуживание и постепенного увеличения среднего возраста членов. Инвестиционный доход от этого резерва для долгосрочных рисков должен позволить ограничить рост страховых взносов и покрыть любые непредвиденные расходы. В исследовании, проведенном компанией EY, было предложено сохранить суммарный объем данного резервного фонда на уровне 58,8 млн. долларов США. По</w:t>
      </w:r>
      <w:r w:rsidR="00F24559" w:rsidRPr="00521670">
        <w:rPr>
          <w:lang w:val="ru-RU"/>
        </w:rPr>
        <w:t> </w:t>
      </w:r>
      <w:r w:rsidRPr="00521670">
        <w:rPr>
          <w:lang w:val="ru-RU"/>
        </w:rPr>
        <w:t>состоянию на 31 декабря 2022 года данный резерв был обеспечен финансированием в полном объеме.</w:t>
      </w:r>
    </w:p>
    <w:p w14:paraId="23F80B4E" w14:textId="77777777" w:rsidR="00DF251A" w:rsidRPr="00521670" w:rsidRDefault="00DF251A" w:rsidP="00920D5F">
      <w:pPr>
        <w:rPr>
          <w:lang w:val="ru-RU"/>
        </w:rPr>
      </w:pPr>
      <w:bookmarkStart w:id="358" w:name="_Hlk52542193"/>
      <w:bookmarkStart w:id="359" w:name="_Hlk53040691"/>
      <w:bookmarkStart w:id="360" w:name="_Hlk131410232"/>
      <w:r w:rsidRPr="00521670">
        <w:rPr>
          <w:color w:val="000000"/>
          <w:lang w:val="ru-RU"/>
        </w:rPr>
        <w:t>Присоединение к этому плану медицинского страхования ООН является выгодным не только для персонала, ввиду уменьшения размера взноса и исключения франшизы, но и в долгосрочной перспективе для МСЭ ввиду охвата этого плана страхования.</w:t>
      </w:r>
      <w:r w:rsidRPr="00521670">
        <w:rPr>
          <w:lang w:val="ru-RU"/>
        </w:rPr>
        <w:t xml:space="preserve"> П</w:t>
      </w:r>
      <w:r w:rsidRPr="00521670">
        <w:rPr>
          <w:szCs w:val="24"/>
          <w:lang w:val="ru-RU"/>
        </w:rPr>
        <w:t xml:space="preserve">лан </w:t>
      </w:r>
      <w:r w:rsidRPr="00521670">
        <w:rPr>
          <w:color w:val="000000"/>
          <w:lang w:val="ru-RU"/>
        </w:rPr>
        <w:t xml:space="preserve">ЮНСМИС </w:t>
      </w:r>
      <w:r w:rsidRPr="00521670">
        <w:rPr>
          <w:szCs w:val="24"/>
          <w:lang w:val="ru-RU"/>
        </w:rPr>
        <w:t>объединяет несколько</w:t>
      </w:r>
      <w:r w:rsidRPr="00521670">
        <w:rPr>
          <w:lang w:val="ru-RU"/>
        </w:rPr>
        <w:t xml:space="preserve"> организаций и </w:t>
      </w:r>
      <w:r w:rsidRPr="00521670">
        <w:rPr>
          <w:color w:val="000000"/>
          <w:lang w:val="ru-RU"/>
        </w:rPr>
        <w:t>специализированных учреждений системы Организации Объединенных Наций, расположенных в Женеве. Этот план медицинского страхования</w:t>
      </w:r>
      <w:r w:rsidRPr="00521670">
        <w:rPr>
          <w:lang w:val="ru-RU"/>
        </w:rPr>
        <w:t xml:space="preserve"> включает сотрудников Отделения ООН в Женеве, УВКБ ООН и ВМО.</w:t>
      </w:r>
    </w:p>
    <w:p w14:paraId="7DD66F8C" w14:textId="77777777" w:rsidR="00DF251A" w:rsidRPr="00521670" w:rsidRDefault="00DF251A" w:rsidP="00920D5F">
      <w:pPr>
        <w:rPr>
          <w:color w:val="000000" w:themeColor="text1"/>
          <w:lang w:val="ru-RU"/>
        </w:rPr>
      </w:pPr>
      <w:r w:rsidRPr="00521670">
        <w:rPr>
          <w:lang w:val="ru-RU"/>
        </w:rPr>
        <w:t>Чтобы присоединиться к п</w:t>
      </w:r>
      <w:r w:rsidRPr="00521670">
        <w:rPr>
          <w:color w:val="000000"/>
          <w:lang w:val="ru-RU"/>
        </w:rPr>
        <w:t>лану медицинского страхования ЮНСМИС в январе 2020 года МСЭ должен был выплачивать взносы в резервный фонд этого плана для компенсации</w:t>
      </w:r>
      <w:r w:rsidRPr="00521670">
        <w:rPr>
          <w:lang w:val="ru-RU"/>
        </w:rPr>
        <w:t xml:space="preserve">. Размер взноса был согласован на уровне 19,5 млн. долларов США, которые были выплачены в начале 2020 года из </w:t>
      </w:r>
      <w:r w:rsidRPr="00521670">
        <w:rPr>
          <w:color w:val="000000"/>
          <w:lang w:val="ru-RU"/>
        </w:rPr>
        <w:t>гарантийного фонда ПКМС (План непрерывного медицинского страхования).</w:t>
      </w:r>
      <w:r w:rsidRPr="00521670">
        <w:rPr>
          <w:lang w:val="ru-RU"/>
        </w:rPr>
        <w:t xml:space="preserve"> Кроме того, было согласовано, что начиная с 2020 года, на протяжении 13 лет на ежегодной основе будет также выплачивать чрезвычайный взнос. Данный чрезвычайный взнос необходим для урегулирования последствий присоединения МСЭ к плану медицинского страхования на основании возраста действующих и вышедших на пенсию сотрудников, демографических данных и других согласованных факторов</w:t>
      </w:r>
      <w:r w:rsidRPr="00521670">
        <w:rPr>
          <w:spacing w:val="-2"/>
          <w:lang w:val="ru-RU"/>
        </w:rPr>
        <w:t>. Этот чрезвычайный взнос в общей сумме составляет 22,5 </w:t>
      </w:r>
      <w:r w:rsidRPr="00521670">
        <w:rPr>
          <w:lang w:val="ru-RU"/>
        </w:rPr>
        <w:t xml:space="preserve">млн. долларов США и должен выплачиваться по частям на ежегодной основе в течение </w:t>
      </w:r>
      <w:r w:rsidRPr="00521670">
        <w:rPr>
          <w:spacing w:val="-2"/>
          <w:lang w:val="ru-RU"/>
        </w:rPr>
        <w:t>13 лет</w:t>
      </w:r>
      <w:r w:rsidRPr="00521670">
        <w:rPr>
          <w:szCs w:val="24"/>
          <w:lang w:val="ru-RU"/>
        </w:rPr>
        <w:t>.</w:t>
      </w:r>
      <w:r w:rsidRPr="00521670">
        <w:rPr>
          <w:color w:val="000000" w:themeColor="text1"/>
          <w:lang w:val="ru-RU"/>
        </w:rPr>
        <w:t xml:space="preserve"> </w:t>
      </w:r>
      <w:r w:rsidRPr="00521670">
        <w:rPr>
          <w:lang w:val="ru-RU"/>
        </w:rPr>
        <w:t>В 2024 и 2023 годах в ЮНСМИС были выплачены дополнительные взносы в размере 1,7 млн. долл. США (1,5 млн. швейцарских франков).</w:t>
      </w:r>
    </w:p>
    <w:p w14:paraId="26824140" w14:textId="1A41F5B3" w:rsidR="00DF251A" w:rsidRPr="00521670" w:rsidRDefault="00DF251A" w:rsidP="00920D5F">
      <w:pPr>
        <w:rPr>
          <w:lang w:val="ru-RU"/>
        </w:rPr>
      </w:pPr>
      <w:r w:rsidRPr="00521670">
        <w:rPr>
          <w:color w:val="000000"/>
          <w:lang w:val="ru-RU"/>
        </w:rPr>
        <w:t>Последующие меры по сдерживанию затрат в настоящее время осуществляет Комитет ЮНСМИС, новым членом которого теперь является МСЭ</w:t>
      </w:r>
      <w:r w:rsidRPr="00521670">
        <w:rPr>
          <w:lang w:val="ru-RU"/>
        </w:rPr>
        <w:t>. С более подробной информацией можно ознакомиться в</w:t>
      </w:r>
      <w:r w:rsidR="000F73F4" w:rsidRPr="00521670">
        <w:rPr>
          <w:lang w:val="ru-RU"/>
        </w:rPr>
        <w:t xml:space="preserve"> Документе</w:t>
      </w:r>
      <w:hyperlink r:id="rId29" w:history="1">
        <w:r w:rsidR="000F73F4" w:rsidRPr="00521670">
          <w:rPr>
            <w:lang w:val="ru-RU"/>
          </w:rPr>
          <w:t xml:space="preserve"> </w:t>
        </w:r>
        <w:r w:rsidRPr="00521670">
          <w:rPr>
            <w:rStyle w:val="Hyperlink"/>
            <w:color w:val="0000E1"/>
            <w:lang w:val="ru-RU"/>
          </w:rPr>
          <w:t>C25/46</w:t>
        </w:r>
      </w:hyperlink>
      <w:r w:rsidRPr="00521670">
        <w:rPr>
          <w:lang w:val="ru-RU"/>
        </w:rPr>
        <w:t xml:space="preserve"> о ежегодном отчете по АСХИ.</w:t>
      </w:r>
    </w:p>
    <w:p w14:paraId="6E0E0399" w14:textId="77777777" w:rsidR="00DF251A" w:rsidRPr="00521670" w:rsidRDefault="00DF251A" w:rsidP="00DA70BF">
      <w:pPr>
        <w:pStyle w:val="Headingi"/>
        <w:rPr>
          <w:lang w:val="ru-RU"/>
        </w:rPr>
      </w:pPr>
      <w:bookmarkStart w:id="361" w:name="_Toc200469186"/>
      <w:bookmarkEnd w:id="358"/>
      <w:bookmarkEnd w:id="359"/>
      <w:bookmarkEnd w:id="360"/>
      <w:r w:rsidRPr="00521670">
        <w:rPr>
          <w:lang w:val="ru-RU"/>
        </w:rPr>
        <w:t>16.1.3</w:t>
      </w:r>
      <w:r w:rsidRPr="00521670">
        <w:rPr>
          <w:lang w:val="ru-RU"/>
        </w:rPr>
        <w:tab/>
      </w:r>
      <w:bookmarkEnd w:id="357"/>
      <w:r w:rsidRPr="00521670">
        <w:rPr>
          <w:lang w:val="ru-RU"/>
        </w:rPr>
        <w:t>Информация о чувствительности для плана медицинского обслуживания</w:t>
      </w:r>
      <w:bookmarkEnd w:id="361"/>
    </w:p>
    <w:p w14:paraId="2AACEC22" w14:textId="77777777" w:rsidR="00DF251A" w:rsidRPr="00521670" w:rsidRDefault="00DF251A" w:rsidP="00607939">
      <w:pPr>
        <w:rPr>
          <w:lang w:val="ru-RU"/>
        </w:rPr>
      </w:pPr>
      <w:r w:rsidRPr="00521670">
        <w:rPr>
          <w:lang w:val="ru-RU"/>
        </w:rPr>
        <w:t>Ниже представлен анализ чувствительности в отношении стоимости услуг и затрат на погашение процентов, а также обязательств по установленным пособиям, при предполагаемом увеличении/уменьшении стоимости медицинского обслуживания на 1%.</w:t>
      </w:r>
    </w:p>
    <w:p w14:paraId="46EBAF64" w14:textId="77777777" w:rsidR="00DF251A" w:rsidRPr="00521670" w:rsidRDefault="00DF251A" w:rsidP="001E094F">
      <w:pPr>
        <w:spacing w:after="120"/>
        <w:rPr>
          <w:lang w:val="ru-RU"/>
        </w:rPr>
      </w:pPr>
      <w:r w:rsidRPr="00521670">
        <w:rPr>
          <w:lang w:val="ru-RU"/>
        </w:rPr>
        <w:lastRenderedPageBreak/>
        <w:t>Ставки дисконтирования, использованные для данной оценки, были определены с помощью кривых доходности корпоративных облигаций Aon AA по состоянию на 31 декабря 2024 года. Представлен анализ чувствительности в отношении обязательств по установленным пособиям, предполагающий увеличение/уменьшение ставки дисконтирования на 1%.</w:t>
      </w:r>
    </w:p>
    <w:tbl>
      <w:tblPr>
        <w:tblW w:w="5000" w:type="pct"/>
        <w:jc w:val="center"/>
        <w:tblLayout w:type="fixed"/>
        <w:tblLook w:val="04A0" w:firstRow="1" w:lastRow="0" w:firstColumn="1" w:lastColumn="0" w:noHBand="0" w:noVBand="1"/>
      </w:tblPr>
      <w:tblGrid>
        <w:gridCol w:w="7104"/>
        <w:gridCol w:w="1967"/>
      </w:tblGrid>
      <w:tr w:rsidR="00DF251A" w:rsidRPr="00521670" w14:paraId="6C05EDCD" w14:textId="77777777" w:rsidTr="00835292">
        <w:trPr>
          <w:jc w:val="center"/>
        </w:trPr>
        <w:tc>
          <w:tcPr>
            <w:tcW w:w="3916" w:type="pct"/>
            <w:tcBorders>
              <w:top w:val="nil"/>
              <w:left w:val="nil"/>
              <w:bottom w:val="nil"/>
              <w:right w:val="nil"/>
            </w:tcBorders>
            <w:shd w:val="clear" w:color="000000" w:fill="0070C0"/>
            <w:vAlign w:val="center"/>
            <w:hideMark/>
          </w:tcPr>
          <w:p w14:paraId="5AB45D67" w14:textId="77777777" w:rsidR="00DF251A" w:rsidRPr="00521670" w:rsidRDefault="00DF251A" w:rsidP="00835292">
            <w:pPr>
              <w:pStyle w:val="Tablehead"/>
              <w:rPr>
                <w:lang w:val="ru-RU" w:eastAsia="en-GB"/>
              </w:rPr>
            </w:pPr>
            <w:r w:rsidRPr="00521670">
              <w:rPr>
                <w:lang w:val="ru-RU" w:eastAsia="en-GB"/>
              </w:rPr>
              <w:t>Финансовый год (тыс. шв. фр.)</w:t>
            </w:r>
          </w:p>
        </w:tc>
        <w:tc>
          <w:tcPr>
            <w:tcW w:w="1084" w:type="pct"/>
            <w:tcBorders>
              <w:top w:val="nil"/>
              <w:left w:val="nil"/>
              <w:bottom w:val="nil"/>
              <w:right w:val="nil"/>
            </w:tcBorders>
            <w:shd w:val="clear" w:color="000000" w:fill="0070C0"/>
            <w:vAlign w:val="center"/>
            <w:hideMark/>
          </w:tcPr>
          <w:p w14:paraId="54701C99" w14:textId="77777777" w:rsidR="00DF251A" w:rsidRPr="00521670" w:rsidRDefault="00DF251A" w:rsidP="00835292">
            <w:pPr>
              <w:pStyle w:val="Tablehead"/>
              <w:rPr>
                <w:lang w:val="ru-RU" w:eastAsia="en-GB"/>
              </w:rPr>
            </w:pPr>
            <w:r w:rsidRPr="00521670">
              <w:rPr>
                <w:lang w:val="ru-RU" w:eastAsia="en-GB"/>
              </w:rPr>
              <w:t>31 декабря 2024 г.</w:t>
            </w:r>
          </w:p>
        </w:tc>
      </w:tr>
      <w:tr w:rsidR="00DF251A" w:rsidRPr="00521670" w14:paraId="5322BD5F" w14:textId="77777777" w:rsidTr="001E094F">
        <w:trPr>
          <w:jc w:val="center"/>
        </w:trPr>
        <w:tc>
          <w:tcPr>
            <w:tcW w:w="3916" w:type="pct"/>
            <w:tcBorders>
              <w:top w:val="nil"/>
              <w:left w:val="nil"/>
              <w:bottom w:val="nil"/>
              <w:right w:val="nil"/>
            </w:tcBorders>
            <w:shd w:val="clear" w:color="auto" w:fill="auto"/>
            <w:noWrap/>
            <w:vAlign w:val="bottom"/>
            <w:hideMark/>
          </w:tcPr>
          <w:p w14:paraId="3A80B19B" w14:textId="77777777" w:rsidR="00DF251A" w:rsidRPr="00521670" w:rsidRDefault="00DF251A" w:rsidP="001E094F">
            <w:pPr>
              <w:pStyle w:val="Tabletext"/>
              <w:keepNext/>
              <w:rPr>
                <w:lang w:val="ru-RU" w:eastAsia="en-GB"/>
              </w:rPr>
            </w:pPr>
            <w:r w:rsidRPr="00521670">
              <w:rPr>
                <w:lang w:val="ru-RU" w:eastAsia="en-GB"/>
              </w:rPr>
              <w:t>1% увеличение ставки в рамках динамики медицинского обслуживания – влияние на стоимость услуг и процентные расходы</w:t>
            </w:r>
          </w:p>
        </w:tc>
        <w:tc>
          <w:tcPr>
            <w:tcW w:w="1084" w:type="pct"/>
            <w:tcBorders>
              <w:top w:val="nil"/>
              <w:left w:val="nil"/>
              <w:bottom w:val="nil"/>
              <w:right w:val="nil"/>
            </w:tcBorders>
            <w:shd w:val="clear" w:color="auto" w:fill="auto"/>
            <w:noWrap/>
            <w:vAlign w:val="bottom"/>
            <w:hideMark/>
          </w:tcPr>
          <w:p w14:paraId="762A62F1" w14:textId="77777777" w:rsidR="00DF251A" w:rsidRPr="00521670" w:rsidRDefault="00DF251A" w:rsidP="001E094F">
            <w:pPr>
              <w:pStyle w:val="Tabletext"/>
              <w:keepNext/>
              <w:jc w:val="right"/>
              <w:rPr>
                <w:lang w:val="ru-RU" w:eastAsia="en-GB"/>
              </w:rPr>
            </w:pPr>
            <w:r w:rsidRPr="00521670">
              <w:rPr>
                <w:lang w:val="ru-RU"/>
              </w:rPr>
              <w:t>7 855</w:t>
            </w:r>
          </w:p>
        </w:tc>
      </w:tr>
      <w:tr w:rsidR="00DF251A" w:rsidRPr="00521670" w14:paraId="6964ED82" w14:textId="77777777" w:rsidTr="001E094F">
        <w:trPr>
          <w:jc w:val="center"/>
        </w:trPr>
        <w:tc>
          <w:tcPr>
            <w:tcW w:w="3916" w:type="pct"/>
            <w:tcBorders>
              <w:top w:val="nil"/>
              <w:left w:val="nil"/>
              <w:bottom w:val="nil"/>
              <w:right w:val="nil"/>
            </w:tcBorders>
            <w:shd w:val="clear" w:color="auto" w:fill="auto"/>
            <w:noWrap/>
            <w:vAlign w:val="bottom"/>
            <w:hideMark/>
          </w:tcPr>
          <w:p w14:paraId="76C7CF3C" w14:textId="77777777" w:rsidR="00DF251A" w:rsidRPr="00521670" w:rsidRDefault="00DF251A" w:rsidP="001E094F">
            <w:pPr>
              <w:pStyle w:val="Tabletext"/>
              <w:keepNext/>
              <w:rPr>
                <w:lang w:val="ru-RU" w:eastAsia="en-GB"/>
              </w:rPr>
            </w:pPr>
            <w:r w:rsidRPr="00521670">
              <w:rPr>
                <w:lang w:val="ru-RU" w:eastAsia="en-GB"/>
              </w:rPr>
              <w:t>1% снижение ставки в рамках динамики медицинского обслуживания – влияние на стоимость услуг и процентные расходы</w:t>
            </w:r>
          </w:p>
        </w:tc>
        <w:tc>
          <w:tcPr>
            <w:tcW w:w="1084" w:type="pct"/>
            <w:tcBorders>
              <w:top w:val="nil"/>
              <w:left w:val="nil"/>
              <w:bottom w:val="nil"/>
              <w:right w:val="nil"/>
            </w:tcBorders>
            <w:shd w:val="clear" w:color="auto" w:fill="auto"/>
            <w:noWrap/>
            <w:vAlign w:val="bottom"/>
            <w:hideMark/>
          </w:tcPr>
          <w:p w14:paraId="6A6615F3" w14:textId="77777777" w:rsidR="00DF251A" w:rsidRPr="00521670" w:rsidRDefault="00DF251A" w:rsidP="001E094F">
            <w:pPr>
              <w:pStyle w:val="Tabletext"/>
              <w:keepNext/>
              <w:jc w:val="right"/>
              <w:rPr>
                <w:lang w:val="ru-RU" w:eastAsia="en-GB"/>
              </w:rPr>
            </w:pPr>
            <w:r w:rsidRPr="00521670">
              <w:rPr>
                <w:lang w:val="ru-RU"/>
              </w:rPr>
              <w:t>(5 716)</w:t>
            </w:r>
          </w:p>
        </w:tc>
      </w:tr>
      <w:tr w:rsidR="00DF251A" w:rsidRPr="00521670" w14:paraId="69423BE5" w14:textId="77777777" w:rsidTr="001E094F">
        <w:trPr>
          <w:jc w:val="center"/>
        </w:trPr>
        <w:tc>
          <w:tcPr>
            <w:tcW w:w="3916" w:type="pct"/>
            <w:tcBorders>
              <w:top w:val="nil"/>
              <w:left w:val="nil"/>
              <w:bottom w:val="nil"/>
              <w:right w:val="nil"/>
            </w:tcBorders>
            <w:shd w:val="clear" w:color="auto" w:fill="auto"/>
            <w:noWrap/>
            <w:vAlign w:val="bottom"/>
            <w:hideMark/>
          </w:tcPr>
          <w:p w14:paraId="5FF87316" w14:textId="77777777" w:rsidR="00DF251A" w:rsidRPr="00521670" w:rsidRDefault="00DF251A" w:rsidP="001E094F">
            <w:pPr>
              <w:pStyle w:val="Tabletext"/>
              <w:keepNext/>
              <w:spacing w:before="0" w:after="0"/>
              <w:rPr>
                <w:lang w:val="ru-RU" w:eastAsia="en-GB"/>
              </w:rPr>
            </w:pPr>
          </w:p>
        </w:tc>
        <w:tc>
          <w:tcPr>
            <w:tcW w:w="1084" w:type="pct"/>
            <w:tcBorders>
              <w:top w:val="nil"/>
              <w:left w:val="nil"/>
              <w:bottom w:val="nil"/>
              <w:right w:val="nil"/>
            </w:tcBorders>
            <w:shd w:val="clear" w:color="auto" w:fill="auto"/>
            <w:noWrap/>
            <w:vAlign w:val="bottom"/>
            <w:hideMark/>
          </w:tcPr>
          <w:p w14:paraId="5963EB2E" w14:textId="77777777" w:rsidR="00DF251A" w:rsidRPr="00521670" w:rsidRDefault="00DF251A" w:rsidP="001E094F">
            <w:pPr>
              <w:pStyle w:val="Tabletext"/>
              <w:keepNext/>
              <w:spacing w:before="0" w:after="0"/>
              <w:jc w:val="right"/>
              <w:rPr>
                <w:rFonts w:ascii="Times New Roman" w:hAnsi="Times New Roman"/>
                <w:lang w:val="ru-RU" w:eastAsia="en-GB"/>
              </w:rPr>
            </w:pPr>
          </w:p>
        </w:tc>
      </w:tr>
      <w:tr w:rsidR="00DF251A" w:rsidRPr="00521670" w14:paraId="3A7FD97A" w14:textId="77777777" w:rsidTr="001E094F">
        <w:trPr>
          <w:jc w:val="center"/>
        </w:trPr>
        <w:tc>
          <w:tcPr>
            <w:tcW w:w="3916" w:type="pct"/>
            <w:tcBorders>
              <w:top w:val="nil"/>
              <w:left w:val="nil"/>
              <w:bottom w:val="nil"/>
              <w:right w:val="nil"/>
            </w:tcBorders>
            <w:shd w:val="clear" w:color="auto" w:fill="auto"/>
            <w:noWrap/>
            <w:vAlign w:val="bottom"/>
            <w:hideMark/>
          </w:tcPr>
          <w:p w14:paraId="2D00A785" w14:textId="77777777" w:rsidR="00DF251A" w:rsidRPr="00521670" w:rsidRDefault="00DF251A" w:rsidP="00186DDC">
            <w:pPr>
              <w:pStyle w:val="Tabletext"/>
              <w:keepNext/>
              <w:rPr>
                <w:lang w:val="ru-RU" w:eastAsia="en-GB"/>
              </w:rPr>
            </w:pPr>
            <w:r w:rsidRPr="00521670">
              <w:rPr>
                <w:lang w:val="ru-RU" w:eastAsia="en-GB"/>
              </w:rPr>
              <w:t>1% увеличение ставки в рамках динамики медицинского обслуживания – влияние на </w:t>
            </w:r>
            <w:r w:rsidRPr="00521670">
              <w:rPr>
                <w:lang w:val="ru-RU"/>
              </w:rPr>
              <w:t>обязательства по установленным пособиям</w:t>
            </w:r>
          </w:p>
        </w:tc>
        <w:tc>
          <w:tcPr>
            <w:tcW w:w="1084" w:type="pct"/>
            <w:tcBorders>
              <w:top w:val="nil"/>
              <w:left w:val="nil"/>
              <w:bottom w:val="nil"/>
              <w:right w:val="nil"/>
            </w:tcBorders>
            <w:shd w:val="clear" w:color="auto" w:fill="auto"/>
            <w:noWrap/>
            <w:vAlign w:val="bottom"/>
            <w:hideMark/>
          </w:tcPr>
          <w:p w14:paraId="0D275F4E" w14:textId="77777777" w:rsidR="00DF251A" w:rsidRPr="00521670" w:rsidRDefault="00DF251A" w:rsidP="001E094F">
            <w:pPr>
              <w:pStyle w:val="Tabletext"/>
              <w:keepNext/>
              <w:jc w:val="right"/>
              <w:rPr>
                <w:lang w:val="ru-RU" w:eastAsia="en-GB"/>
              </w:rPr>
            </w:pPr>
            <w:r w:rsidRPr="00521670">
              <w:rPr>
                <w:lang w:val="ru-RU"/>
              </w:rPr>
              <w:t>107 554</w:t>
            </w:r>
          </w:p>
        </w:tc>
      </w:tr>
      <w:tr w:rsidR="00DF251A" w:rsidRPr="00521670" w14:paraId="195F7993" w14:textId="77777777" w:rsidTr="001E094F">
        <w:trPr>
          <w:jc w:val="center"/>
        </w:trPr>
        <w:tc>
          <w:tcPr>
            <w:tcW w:w="3916" w:type="pct"/>
            <w:tcBorders>
              <w:top w:val="nil"/>
              <w:left w:val="nil"/>
              <w:bottom w:val="nil"/>
              <w:right w:val="nil"/>
            </w:tcBorders>
            <w:shd w:val="clear" w:color="auto" w:fill="auto"/>
            <w:noWrap/>
            <w:vAlign w:val="bottom"/>
            <w:hideMark/>
          </w:tcPr>
          <w:p w14:paraId="55C6E241" w14:textId="77777777" w:rsidR="00DF251A" w:rsidRPr="00521670" w:rsidRDefault="00DF251A" w:rsidP="00186DDC">
            <w:pPr>
              <w:pStyle w:val="Tabletext"/>
              <w:rPr>
                <w:lang w:val="ru-RU" w:eastAsia="en-GB"/>
              </w:rPr>
            </w:pPr>
            <w:r w:rsidRPr="00521670">
              <w:rPr>
                <w:lang w:val="ru-RU" w:eastAsia="en-GB"/>
              </w:rPr>
              <w:t>1% снижение ставки в рамках динамики медицинского обслуживания – влияние на </w:t>
            </w:r>
            <w:r w:rsidRPr="00521670">
              <w:rPr>
                <w:lang w:val="ru-RU"/>
              </w:rPr>
              <w:t>обязательства по установленным пособиям</w:t>
            </w:r>
            <w:r w:rsidRPr="00521670">
              <w:rPr>
                <w:lang w:val="ru-RU" w:eastAsia="en-GB"/>
              </w:rPr>
              <w:t xml:space="preserve"> </w:t>
            </w:r>
          </w:p>
        </w:tc>
        <w:tc>
          <w:tcPr>
            <w:tcW w:w="1084" w:type="pct"/>
            <w:tcBorders>
              <w:top w:val="nil"/>
              <w:left w:val="nil"/>
              <w:bottom w:val="nil"/>
              <w:right w:val="nil"/>
            </w:tcBorders>
            <w:shd w:val="clear" w:color="auto" w:fill="auto"/>
            <w:noWrap/>
            <w:vAlign w:val="bottom"/>
            <w:hideMark/>
          </w:tcPr>
          <w:p w14:paraId="49E2B5A6" w14:textId="77777777" w:rsidR="00DF251A" w:rsidRPr="00521670" w:rsidRDefault="00DF251A" w:rsidP="001E094F">
            <w:pPr>
              <w:pStyle w:val="Tabletext"/>
              <w:jc w:val="right"/>
              <w:rPr>
                <w:lang w:val="ru-RU" w:eastAsia="en-GB"/>
              </w:rPr>
            </w:pPr>
            <w:r w:rsidRPr="00521670">
              <w:rPr>
                <w:lang w:val="ru-RU"/>
              </w:rPr>
              <w:t>(83 449)</w:t>
            </w:r>
          </w:p>
        </w:tc>
      </w:tr>
      <w:tr w:rsidR="00DF251A" w:rsidRPr="00521670" w14:paraId="637BF710" w14:textId="77777777" w:rsidTr="001E094F">
        <w:trPr>
          <w:jc w:val="center"/>
        </w:trPr>
        <w:tc>
          <w:tcPr>
            <w:tcW w:w="3916" w:type="pct"/>
            <w:tcBorders>
              <w:top w:val="nil"/>
              <w:left w:val="nil"/>
              <w:bottom w:val="nil"/>
              <w:right w:val="nil"/>
            </w:tcBorders>
            <w:shd w:val="clear" w:color="auto" w:fill="auto"/>
            <w:noWrap/>
            <w:vAlign w:val="bottom"/>
          </w:tcPr>
          <w:p w14:paraId="7EC7AED3" w14:textId="77777777" w:rsidR="00DF251A" w:rsidRPr="00521670" w:rsidRDefault="00DF251A" w:rsidP="001E094F">
            <w:pPr>
              <w:pStyle w:val="Tabletext"/>
              <w:rPr>
                <w:lang w:val="ru-RU" w:eastAsia="en-GB"/>
              </w:rPr>
            </w:pPr>
          </w:p>
        </w:tc>
        <w:tc>
          <w:tcPr>
            <w:tcW w:w="1084" w:type="pct"/>
            <w:tcBorders>
              <w:top w:val="nil"/>
              <w:left w:val="nil"/>
              <w:bottom w:val="nil"/>
              <w:right w:val="nil"/>
            </w:tcBorders>
            <w:shd w:val="clear" w:color="auto" w:fill="auto"/>
            <w:noWrap/>
            <w:vAlign w:val="bottom"/>
          </w:tcPr>
          <w:p w14:paraId="4D8ADE38" w14:textId="77777777" w:rsidR="00DF251A" w:rsidRPr="00521670" w:rsidRDefault="00DF251A" w:rsidP="001E094F">
            <w:pPr>
              <w:pStyle w:val="Tabletext"/>
              <w:jc w:val="right"/>
              <w:rPr>
                <w:lang w:val="ru-RU"/>
              </w:rPr>
            </w:pPr>
          </w:p>
        </w:tc>
      </w:tr>
      <w:tr w:rsidR="00DF251A" w:rsidRPr="00521670" w14:paraId="17B95B9E" w14:textId="77777777" w:rsidTr="001E094F">
        <w:trPr>
          <w:jc w:val="center"/>
        </w:trPr>
        <w:tc>
          <w:tcPr>
            <w:tcW w:w="3916" w:type="pct"/>
            <w:tcBorders>
              <w:top w:val="nil"/>
              <w:left w:val="nil"/>
              <w:bottom w:val="nil"/>
              <w:right w:val="nil"/>
            </w:tcBorders>
            <w:shd w:val="clear" w:color="auto" w:fill="auto"/>
            <w:noWrap/>
            <w:vAlign w:val="bottom"/>
            <w:hideMark/>
          </w:tcPr>
          <w:p w14:paraId="25C21028" w14:textId="77777777" w:rsidR="00DF251A" w:rsidRPr="00521670" w:rsidRDefault="00DF251A" w:rsidP="00186DDC">
            <w:pPr>
              <w:pStyle w:val="Tabletext"/>
              <w:rPr>
                <w:lang w:val="ru-RU" w:eastAsia="en-GB"/>
              </w:rPr>
            </w:pPr>
            <w:r w:rsidRPr="00521670">
              <w:rPr>
                <w:lang w:val="ru-RU" w:eastAsia="en-GB"/>
              </w:rPr>
              <w:t>1% увеличение ставки дисконтирования – влияние на обязательства по установленным пособиям</w:t>
            </w:r>
          </w:p>
        </w:tc>
        <w:tc>
          <w:tcPr>
            <w:tcW w:w="1084" w:type="pct"/>
            <w:tcBorders>
              <w:top w:val="nil"/>
              <w:left w:val="nil"/>
              <w:bottom w:val="nil"/>
              <w:right w:val="nil"/>
            </w:tcBorders>
            <w:shd w:val="clear" w:color="auto" w:fill="auto"/>
            <w:noWrap/>
            <w:vAlign w:val="bottom"/>
            <w:hideMark/>
          </w:tcPr>
          <w:p w14:paraId="20F2A53A" w14:textId="77777777" w:rsidR="00DF251A" w:rsidRPr="00521670" w:rsidRDefault="00DF251A" w:rsidP="001E094F">
            <w:pPr>
              <w:pStyle w:val="Tabletext"/>
              <w:jc w:val="right"/>
              <w:rPr>
                <w:lang w:val="ru-RU"/>
              </w:rPr>
            </w:pPr>
            <w:r w:rsidRPr="00521670">
              <w:rPr>
                <w:lang w:val="ru-RU"/>
              </w:rPr>
              <w:t>(70 391)</w:t>
            </w:r>
          </w:p>
        </w:tc>
      </w:tr>
      <w:tr w:rsidR="00DF251A" w:rsidRPr="00521670" w14:paraId="352AA7C2" w14:textId="77777777" w:rsidTr="001E094F">
        <w:trPr>
          <w:jc w:val="center"/>
        </w:trPr>
        <w:tc>
          <w:tcPr>
            <w:tcW w:w="3916" w:type="pct"/>
            <w:tcBorders>
              <w:top w:val="nil"/>
              <w:left w:val="nil"/>
              <w:bottom w:val="nil"/>
              <w:right w:val="nil"/>
            </w:tcBorders>
            <w:shd w:val="clear" w:color="auto" w:fill="auto"/>
            <w:noWrap/>
            <w:vAlign w:val="bottom"/>
            <w:hideMark/>
          </w:tcPr>
          <w:p w14:paraId="3CFC830E" w14:textId="77777777" w:rsidR="00DF251A" w:rsidRPr="00521670" w:rsidRDefault="00DF251A" w:rsidP="00186DDC">
            <w:pPr>
              <w:pStyle w:val="Tabletext"/>
              <w:rPr>
                <w:lang w:val="ru-RU" w:eastAsia="en-GB"/>
              </w:rPr>
            </w:pPr>
            <w:r w:rsidRPr="00521670">
              <w:rPr>
                <w:lang w:val="ru-RU" w:eastAsia="en-GB"/>
              </w:rPr>
              <w:t>1% снижение ставки дисконтирования – влияние на обязательства по установленным пособиям</w:t>
            </w:r>
          </w:p>
        </w:tc>
        <w:tc>
          <w:tcPr>
            <w:tcW w:w="1084" w:type="pct"/>
            <w:tcBorders>
              <w:top w:val="nil"/>
              <w:left w:val="nil"/>
              <w:bottom w:val="nil"/>
              <w:right w:val="nil"/>
            </w:tcBorders>
            <w:shd w:val="clear" w:color="auto" w:fill="auto"/>
            <w:noWrap/>
            <w:vAlign w:val="bottom"/>
            <w:hideMark/>
          </w:tcPr>
          <w:p w14:paraId="3E3C94F1" w14:textId="77777777" w:rsidR="00DF251A" w:rsidRPr="00521670" w:rsidRDefault="00DF251A" w:rsidP="001E094F">
            <w:pPr>
              <w:pStyle w:val="Tabletext"/>
              <w:jc w:val="right"/>
              <w:rPr>
                <w:lang w:val="ru-RU"/>
              </w:rPr>
            </w:pPr>
            <w:r w:rsidRPr="00521670">
              <w:rPr>
                <w:lang w:val="ru-RU"/>
              </w:rPr>
              <w:t>93 193</w:t>
            </w:r>
          </w:p>
        </w:tc>
      </w:tr>
    </w:tbl>
    <w:p w14:paraId="40729EE2" w14:textId="77777777" w:rsidR="00DF251A" w:rsidRPr="00521670" w:rsidRDefault="00DF251A" w:rsidP="00DA70BF">
      <w:pPr>
        <w:pStyle w:val="Heading3"/>
        <w:rPr>
          <w:lang w:val="ru-RU"/>
        </w:rPr>
      </w:pPr>
      <w:bookmarkStart w:id="362" w:name="_Toc131156449"/>
      <w:bookmarkStart w:id="363" w:name="_Toc417759981"/>
      <w:bookmarkStart w:id="364" w:name="_Toc164845565"/>
      <w:bookmarkStart w:id="365" w:name="_Toc168578479"/>
      <w:bookmarkStart w:id="366" w:name="_Toc168578841"/>
      <w:bookmarkStart w:id="367" w:name="_Toc180681824"/>
      <w:r w:rsidRPr="00521670">
        <w:rPr>
          <w:lang w:val="ru-RU"/>
        </w:rPr>
        <w:t>16.2</w:t>
      </w:r>
      <w:r w:rsidRPr="00521670">
        <w:rPr>
          <w:lang w:val="ru-RU"/>
        </w:rPr>
        <w:tab/>
      </w:r>
      <w:bookmarkEnd w:id="362"/>
      <w:bookmarkEnd w:id="363"/>
      <w:bookmarkEnd w:id="364"/>
      <w:r w:rsidRPr="00521670">
        <w:rPr>
          <w:lang w:val="ru-RU"/>
        </w:rPr>
        <w:t>Субсидия на репатриацию</w:t>
      </w:r>
      <w:bookmarkEnd w:id="365"/>
      <w:bookmarkEnd w:id="366"/>
      <w:bookmarkEnd w:id="367"/>
    </w:p>
    <w:p w14:paraId="0846230A" w14:textId="77777777" w:rsidR="00DF251A" w:rsidRPr="00521670" w:rsidRDefault="00DF251A" w:rsidP="00DA70BF">
      <w:pPr>
        <w:pStyle w:val="Headingi"/>
        <w:rPr>
          <w:lang w:val="ru-RU"/>
        </w:rPr>
      </w:pPr>
      <w:bookmarkStart w:id="368" w:name="_Toc200469187"/>
      <w:r w:rsidRPr="00521670">
        <w:rPr>
          <w:lang w:val="ru-RU"/>
        </w:rPr>
        <w:t>16.2.1</w:t>
      </w:r>
      <w:r w:rsidRPr="00521670">
        <w:rPr>
          <w:lang w:val="ru-RU"/>
        </w:rPr>
        <w:tab/>
        <w:t>Определение</w:t>
      </w:r>
      <w:bookmarkEnd w:id="368"/>
    </w:p>
    <w:p w14:paraId="05BAEF6F" w14:textId="075D4C2C" w:rsidR="00DF251A" w:rsidRPr="00521670" w:rsidRDefault="00DF251A" w:rsidP="00DA70BF">
      <w:pPr>
        <w:rPr>
          <w:lang w:val="ru-RU"/>
        </w:rPr>
      </w:pPr>
      <w:r w:rsidRPr="00521670">
        <w:rPr>
          <w:lang w:val="ru-RU"/>
        </w:rPr>
        <w:t>В принципе субсидия на репатриацию выплачивается сотрудникам, которые непрерывно проработали в Организации не менее пяти лет и которых Союз обязался возвратить на родину. В расходы включены транспортные расходы на возвращение и переезд. Подробные условия и определения, касающиеся права на эту субсидию, а также необходимые документы, подтверждающие изменение места жительства, подробно определяются Генеральным</w:t>
      </w:r>
      <w:r w:rsidR="00F24559" w:rsidRPr="00521670">
        <w:rPr>
          <w:lang w:val="ru-RU"/>
        </w:rPr>
        <w:t> </w:t>
      </w:r>
      <w:r w:rsidRPr="00521670">
        <w:rPr>
          <w:lang w:val="ru-RU"/>
        </w:rPr>
        <w:t>секретарем.</w:t>
      </w:r>
    </w:p>
    <w:p w14:paraId="6F801CA9" w14:textId="77777777" w:rsidR="00DF251A" w:rsidRPr="00521670" w:rsidRDefault="00DF251A" w:rsidP="00DA70BF">
      <w:pPr>
        <w:rPr>
          <w:lang w:val="ru-RU"/>
        </w:rPr>
      </w:pPr>
      <w:r w:rsidRPr="00521670">
        <w:rPr>
          <w:lang w:val="ru-RU"/>
        </w:rPr>
        <w:t xml:space="preserve">При расчете общей суммы обязательств на 31 декабря 2024 года учитывались продолжительность службы, валовые оклады </w:t>
      </w:r>
      <w:r w:rsidRPr="00521670">
        <w:rPr>
          <w:rFonts w:ascii="Segoe UI" w:hAnsi="Segoe UI" w:cs="Segoe UI"/>
          <w:color w:val="000000"/>
          <w:sz w:val="20"/>
          <w:shd w:val="clear" w:color="auto" w:fill="FFFFFF"/>
          <w:lang w:val="ru-RU"/>
        </w:rPr>
        <w:t xml:space="preserve">за вычетом налога на персонал (включая </w:t>
      </w:r>
      <w:r w:rsidRPr="00521670">
        <w:rPr>
          <w:lang w:val="ru-RU"/>
        </w:rPr>
        <w:t>любые надбавки за знание языков и надбавку для нерезидентов, если таковая применяется в случае сотрудников категории общего обслуживания). Использовавшиеся экономические допущения относятся к ставке дисконтирования в размере 1,4 процента (по сравнению с 1,9 процента в 2023 г.) и темпам роста окладов в размере 3,1 процента. Для проведения оценки в 2024 году допущения для актуарного исследования субсидий на репатриацию были приведены в соответствие с допущениями по АСХИ.</w:t>
      </w:r>
    </w:p>
    <w:p w14:paraId="20D86719" w14:textId="77777777" w:rsidR="00DF251A" w:rsidRPr="00521670" w:rsidRDefault="00DF251A" w:rsidP="00DA70BF">
      <w:pPr>
        <w:pStyle w:val="Headingi"/>
        <w:jc w:val="both"/>
        <w:outlineLvl w:val="9"/>
        <w:rPr>
          <w:lang w:val="ru-RU"/>
        </w:rPr>
      </w:pPr>
      <w:bookmarkStart w:id="369" w:name="_Toc305764097"/>
      <w:bookmarkStart w:id="370" w:name="_Toc200469188"/>
      <w:r w:rsidRPr="00521670">
        <w:rPr>
          <w:lang w:val="ru-RU"/>
        </w:rPr>
        <w:t>16.2.2</w:t>
      </w:r>
      <w:r w:rsidRPr="00521670">
        <w:rPr>
          <w:lang w:val="ru-RU"/>
        </w:rPr>
        <w:tab/>
      </w:r>
      <w:bookmarkStart w:id="371" w:name="_Toc329002796"/>
      <w:bookmarkStart w:id="372" w:name="_Toc482810342"/>
      <w:bookmarkStart w:id="373" w:name="_Toc511401579"/>
      <w:bookmarkStart w:id="374" w:name="_Toc511401702"/>
      <w:bookmarkStart w:id="375" w:name="_Toc10540815"/>
      <w:bookmarkEnd w:id="369"/>
      <w:r w:rsidRPr="00521670">
        <w:rPr>
          <w:lang w:val="ru-RU"/>
        </w:rPr>
        <w:t>Выплата субсидии на репатриацию</w:t>
      </w:r>
      <w:bookmarkEnd w:id="371"/>
      <w:bookmarkEnd w:id="372"/>
      <w:bookmarkEnd w:id="373"/>
      <w:bookmarkEnd w:id="374"/>
      <w:bookmarkEnd w:id="375"/>
      <w:bookmarkEnd w:id="370"/>
    </w:p>
    <w:p w14:paraId="28F7EC8C" w14:textId="2AB0D646" w:rsidR="00DF251A" w:rsidRPr="00521670" w:rsidRDefault="00DF251A" w:rsidP="00DA70BF">
      <w:pPr>
        <w:rPr>
          <w:lang w:val="ru-RU"/>
        </w:rPr>
      </w:pPr>
      <w:r w:rsidRPr="00521670">
        <w:rPr>
          <w:lang w:val="ru-RU"/>
        </w:rPr>
        <w:t>Выплата субсидии на репатриацию регулируется условиями и определениями, которые содержатся в Положениях о персонале и Правилах о персонале. По состоянию на 31 декабря 2024 года обязательства по субсидии на репатриацию сотрудников составили 13,5 млн. швейцарских франков по сравнению с 12 млн. швейцарских франков в 2023 году. Этот</w:t>
      </w:r>
      <w:r w:rsidR="00F24559" w:rsidRPr="00521670">
        <w:rPr>
          <w:lang w:val="ru-RU"/>
        </w:rPr>
        <w:t> </w:t>
      </w:r>
      <w:r w:rsidRPr="00521670">
        <w:rPr>
          <w:lang w:val="ru-RU"/>
        </w:rPr>
        <w:t>резервный фонд пополняется за счет удержания одного процента (1%) от вознаграждения сотрудников, за исключением сотрудников, нанятых для работы на конференциях или в рамках краткосрочных контрактов.</w:t>
      </w:r>
    </w:p>
    <w:p w14:paraId="4A3A6EC1" w14:textId="77777777" w:rsidR="00DF251A" w:rsidRPr="00521670" w:rsidRDefault="00DF251A" w:rsidP="00DA70BF">
      <w:pPr>
        <w:rPr>
          <w:lang w:val="ru-RU"/>
        </w:rPr>
      </w:pPr>
      <w:r w:rsidRPr="00521670">
        <w:rPr>
          <w:lang w:val="ru-RU"/>
        </w:rPr>
        <w:t xml:space="preserve">Обязательства по прочим долгосрочным выплатам представляют собой текущую стоимость обязательств по установленным пособиям на отчетную дату. Обязательства рассчитываются независимым актуарием с использованием метода прогнозируемой условной единицы. Процентные расходы, расходы на текущее обслуживание, а также актуарные прибыли или </w:t>
      </w:r>
      <w:r w:rsidRPr="00521670">
        <w:rPr>
          <w:lang w:val="ru-RU"/>
        </w:rPr>
        <w:lastRenderedPageBreak/>
        <w:t>потери, возникающие в результате изменений актуарных допущений или корректировок на основе опыта, отражаются в Отчете о результатах финансовой деятельности.</w:t>
      </w:r>
    </w:p>
    <w:p w14:paraId="3EB7CF49" w14:textId="17868379" w:rsidR="00DF251A" w:rsidRPr="00521670" w:rsidRDefault="00DF251A" w:rsidP="00DA70BF">
      <w:pPr>
        <w:rPr>
          <w:lang w:val="ru-RU"/>
        </w:rPr>
      </w:pPr>
      <w:r w:rsidRPr="00521670">
        <w:rPr>
          <w:lang w:val="ru-RU"/>
        </w:rPr>
        <w:t>Актуарная оценка в соответствии со стандартами IPSAS проводится ежегодно независимой консультационной компанией.</w:t>
      </w:r>
    </w:p>
    <w:p w14:paraId="2C97EFF3" w14:textId="77777777" w:rsidR="00DF251A" w:rsidRPr="00521670" w:rsidRDefault="00DF251A" w:rsidP="000A03DB">
      <w:pPr>
        <w:pStyle w:val="Heading3"/>
        <w:ind w:left="794" w:hanging="794"/>
        <w:rPr>
          <w:lang w:val="ru-RU"/>
        </w:rPr>
      </w:pPr>
      <w:bookmarkStart w:id="376" w:name="_Toc168578480"/>
      <w:bookmarkStart w:id="377" w:name="_Toc168578842"/>
      <w:bookmarkStart w:id="378" w:name="_Toc180681825"/>
      <w:r w:rsidRPr="00521670">
        <w:rPr>
          <w:lang w:val="ru-RU"/>
        </w:rPr>
        <w:t>16.3</w:t>
      </w:r>
      <w:r w:rsidRPr="00521670">
        <w:rPr>
          <w:lang w:val="ru-RU"/>
        </w:rPr>
        <w:tab/>
        <w:t>Пособия сотрудникам в рамках пенсионной программы для персонала Организации Объединенных Наций</w:t>
      </w:r>
      <w:bookmarkEnd w:id="376"/>
      <w:bookmarkEnd w:id="377"/>
      <w:bookmarkEnd w:id="378"/>
    </w:p>
    <w:p w14:paraId="5BDCFB3E" w14:textId="77777777" w:rsidR="00DF251A" w:rsidRPr="00521670" w:rsidRDefault="00DF251A" w:rsidP="000A03DB">
      <w:pPr>
        <w:rPr>
          <w:lang w:val="ru-RU"/>
        </w:rPr>
      </w:pPr>
      <w:r w:rsidRPr="00521670">
        <w:rPr>
          <w:lang w:val="ru-RU"/>
        </w:rPr>
        <w:t>МСЭ является организацией-членом, участвующей в Объединенном пенсионном фонде персонала Организации Объединенных Наций ("Фонд"), который был учрежден Генеральной Ассамблеей Организации Объединенных Наций в целях выплат персоналу пособий при выходе на пенсию, в случае смерти, потери трудоспособности и других соответствующих пособий. Фонд – это план с установленным размером выплат, финансируемый несколькими работодателями. Как указано в пункте b) Статьи 3 Устава Фонда, членство в Фонде открыто для специализированных учреждений и любой другой международной, межправительственной организации, участвующей в общей системе выплаты окладов и пособий и других условий службы в Организации Объединенных Наций и специализированных учреждениях.</w:t>
      </w:r>
    </w:p>
    <w:p w14:paraId="479F5BAE" w14:textId="77777777" w:rsidR="00DF251A" w:rsidRPr="00521670" w:rsidRDefault="00DF251A" w:rsidP="000A03DB">
      <w:pPr>
        <w:rPr>
          <w:lang w:val="ru-RU"/>
        </w:rPr>
      </w:pPr>
      <w:r w:rsidRPr="00521670">
        <w:rPr>
          <w:lang w:val="ru-RU"/>
        </w:rPr>
        <w:t xml:space="preserve">Согласно принципам этого Фонда, участвующие организации несут актуарные риски, связанные с действующими и бывшими сотрудниками других организаций, участвующих в Фонде, и поэтому не существует никакой последовательной и надежной основы для распределения обязательств, предусмотренных планом активов и затрат между отдельными участвующими в Фонде организациями. МСЭ и Фонд, наряду с другими участвующими в Фонде организациями, не в состоянии определить долю МСЭ в определенном финансовом обеспечении, предусмотренных планом активах и затратах, связанных с планом, с достаточной для бухгалтерского учета точностью. Вследствие этого МСЭ учитывает этот план как план с фиксированным взносом в соответствии с требованиями стандарта IPSAS 39 </w:t>
      </w:r>
      <w:r w:rsidRPr="00521670">
        <w:rPr>
          <w:color w:val="000000"/>
          <w:lang w:val="ru-RU"/>
        </w:rPr>
        <w:t>"Вознаграждение сотрудников"</w:t>
      </w:r>
      <w:r w:rsidRPr="00521670">
        <w:rPr>
          <w:lang w:val="ru-RU"/>
        </w:rPr>
        <w:t>. Взносы МСЭ в Фонд в течение финансового периода учитываются как расходы в Отчете о результатах финансовой деятельности.</w:t>
      </w:r>
    </w:p>
    <w:p w14:paraId="478CFA1A" w14:textId="77777777" w:rsidR="00DF251A" w:rsidRPr="00521670" w:rsidRDefault="00DF251A" w:rsidP="000A03DB">
      <w:pPr>
        <w:rPr>
          <w:lang w:val="ru-RU"/>
        </w:rPr>
      </w:pPr>
      <w:r w:rsidRPr="00521670">
        <w:rPr>
          <w:lang w:val="ru-RU" w:eastAsia="zh-CN"/>
        </w:rPr>
        <w:t>Положения о Фонде предусматривают, что Правление Фонда обеспечивает проведение актуарием-консультантом Фонда его актуарной оценки не реже одного раза в три года. Правление, как правило, придерживается практики проведения актуарных оценок один раз в два года. Главная цель актуарной оценки заключается в том, чтобы определить, достаточно ли текущих и прогнозируемых будущих активов Фонда для покрытия его обязательств</w:t>
      </w:r>
      <w:r w:rsidRPr="00521670">
        <w:rPr>
          <w:lang w:val="ru-RU"/>
        </w:rPr>
        <w:t xml:space="preserve"> в бессрочной перспективе. В опубликованной политике Фонда в области финансирования (размещена на веб-сайте Фонда) изложены методы, процессы и целевые показатели, которые используются для мониторинга состояния финансирования и связанных с ним рисков. Она также включает практику использования актуарной стоимости активов, которая сглаживает краткосрочные инвестиционные прибыли и убытки для целей отчетности о долгосрочной платежеспособности.</w:t>
      </w:r>
    </w:p>
    <w:p w14:paraId="066393C3" w14:textId="1E6E646B" w:rsidR="00DF251A" w:rsidRPr="00521670" w:rsidRDefault="00DF251A" w:rsidP="000A03DB">
      <w:pPr>
        <w:rPr>
          <w:lang w:val="ru-RU"/>
        </w:rPr>
      </w:pPr>
      <w:r w:rsidRPr="00521670">
        <w:rPr>
          <w:szCs w:val="24"/>
          <w:lang w:val="ru-RU"/>
        </w:rPr>
        <w:t xml:space="preserve">Финансовые обязательства МСЭ перед Фондом заключаются в уплате своего обязательного взноса по ставке, устанавливаемой Генеральной Ассамблеей Организации Объединенных Наций (в настоящее время – 7,9% </w:t>
      </w:r>
      <w:r w:rsidRPr="00521670">
        <w:rPr>
          <w:lang w:val="ru-RU"/>
        </w:rPr>
        <w:t>засчитываемого для пенсии вознаграждения</w:t>
      </w:r>
      <w:r w:rsidRPr="00521670">
        <w:rPr>
          <w:szCs w:val="24"/>
          <w:lang w:val="ru-RU"/>
        </w:rPr>
        <w:t xml:space="preserve"> для участников и 15,8% для организаций-членов), </w:t>
      </w:r>
      <w:r w:rsidRPr="00521670">
        <w:rPr>
          <w:lang w:val="ru-RU"/>
        </w:rPr>
        <w:t xml:space="preserve">а также своей доли в любых предназначенных для покрытия актуарного дефицита платежах в соответствии со Статьей 26 Положений Пенсионного фонда. Такие платежи для покрытия дефицита производятся только в том случае, если и когда Генеральная Ассамблея Организации Объединенных Наций решает применить Статью 26, после того как в результате оценки актуарной достаточности средств фонда на дату оценки была установлена необходимость перечисления средств для покрытия дефицита. Каждая организация-член вносит для покрытия такого дефицита сумму, пропорциональную общей сумме взносов, выплаченных каждой из них в течение трех лет, предшествующих дате оценки. </w:t>
      </w:r>
      <w:r w:rsidRPr="00521670">
        <w:rPr>
          <w:lang w:val="ru-RU"/>
        </w:rPr>
        <w:lastRenderedPageBreak/>
        <w:t>К настоящему моменту необходимости применять статью 26 никогда не возникало, и никаких просьб о выплате недостающей суммы никогда не поступало.</w:t>
      </w:r>
    </w:p>
    <w:p w14:paraId="35284AED" w14:textId="0C0F1DD6" w:rsidR="00DF251A" w:rsidRPr="00521670" w:rsidRDefault="00DF251A" w:rsidP="000A03DB">
      <w:pPr>
        <w:rPr>
          <w:lang w:val="ru-RU"/>
        </w:rPr>
      </w:pPr>
      <w:r w:rsidRPr="00521670">
        <w:rPr>
          <w:lang w:val="ru-RU"/>
        </w:rPr>
        <w:t>Последняя актуарная оценка Фонда была завершена 31 декабря 2023 года, и Фонд будет использовать перенос данных об участии с 31 декабря 2023 года на 31 декабря 2024 года для представления текущей актуарной стоимости накопленных пособий по плану в своей финансовой отчетности за 2024 год.</w:t>
      </w:r>
    </w:p>
    <w:p w14:paraId="65CF2A95" w14:textId="77777777" w:rsidR="00DF251A" w:rsidRPr="00521670" w:rsidRDefault="00DF251A" w:rsidP="000A03DB">
      <w:pPr>
        <w:rPr>
          <w:lang w:val="ru-RU"/>
        </w:rPr>
      </w:pPr>
      <w:r w:rsidRPr="00521670">
        <w:rPr>
          <w:lang w:val="ru-RU"/>
        </w:rPr>
        <w:t>Согласно актуарной оценке коэффициент покрытия, т. е. соотношение актуарных активов и актуарных обязательств, по состоянию на 31 декабря 2023 года составлял 111,0% (117,0% по результатам оценки 2021 года) с учетом будущих ожидаемых корректировок пенсий (индексация пособий в зависимости от удорожания стоимости жизни). При отсутствии учета действующей системы пенсионных корректировок коэффициент покрытия составляет 152,0% (158,2% по результатам оценки 2021 года), что позволяет обеспечить актуарную достаточность в соответствии со статьей 26.</w:t>
      </w:r>
    </w:p>
    <w:p w14:paraId="57A170B7" w14:textId="77777777" w:rsidR="00DF251A" w:rsidRPr="00521670" w:rsidRDefault="00DF251A" w:rsidP="000A03DB">
      <w:pPr>
        <w:rPr>
          <w:lang w:val="ru-RU"/>
        </w:rPr>
      </w:pPr>
      <w:r w:rsidRPr="00521670">
        <w:rPr>
          <w:lang w:val="ru-RU"/>
        </w:rPr>
        <w:t>После оценки актуарной достаточности средств Фонда актуарий-консультант пришел к выводу о том, что по состоянию на 31 декабря 2023 года производить выплаты для покрытия дефицита согласно статье 26 Положений фонда не требуется, поскольку актуарная стоимость активов превышает актуарную стоимость всех накопленных обязательств по программе. На дату подготовки настоящего отчета Генеральная Ассамблея положения статьи 26 не применяла.</w:t>
      </w:r>
    </w:p>
    <w:p w14:paraId="676E0D78" w14:textId="77777777" w:rsidR="00DF251A" w:rsidRPr="00521670" w:rsidRDefault="00DF251A" w:rsidP="000A03DB">
      <w:pPr>
        <w:rPr>
          <w:lang w:val="ru-RU"/>
        </w:rPr>
      </w:pPr>
      <w:r w:rsidRPr="00521670">
        <w:rPr>
          <w:lang w:val="ru-RU"/>
        </w:rPr>
        <w:t xml:space="preserve">В случае применения статьи 26 вследствие актуарного дефицита либо в процессе текущей деятельности, либо вследствие прекращения действия пенсионной программы </w:t>
      </w:r>
      <w:r w:rsidRPr="00521670">
        <w:rPr>
          <w:color w:val="000000"/>
          <w:lang w:val="ru-RU"/>
        </w:rPr>
        <w:t>Фонда</w:t>
      </w:r>
      <w:r w:rsidRPr="00521670">
        <w:rPr>
          <w:lang w:val="ru-RU"/>
        </w:rPr>
        <w:t xml:space="preserve">, выплаты для покрытия дефицита, требуемые от каждой организации-члена, будут базироваться на доле взносов этой организации-члена в общей сумме взносов, уплаченных в Фонд в течение трех лет, предшествующих дате оценки. Общая сумма взносов, уплаченных в </w:t>
      </w:r>
      <w:r w:rsidRPr="00521670">
        <w:rPr>
          <w:color w:val="000000"/>
          <w:lang w:val="ru-RU"/>
        </w:rPr>
        <w:t>Фонд</w:t>
      </w:r>
      <w:r w:rsidRPr="00521670">
        <w:rPr>
          <w:lang w:val="ru-RU"/>
        </w:rPr>
        <w:t xml:space="preserve"> в течение трех предшествующих лет (2021 г., 2022 г. и 2023 г.) составила 9499,41 млн. долларов США, из которых 0,92% было внесено МСЭ.</w:t>
      </w:r>
    </w:p>
    <w:p w14:paraId="0407B181" w14:textId="77777777" w:rsidR="00DF251A" w:rsidRPr="00521670" w:rsidRDefault="00DF251A" w:rsidP="00FA3FC2">
      <w:pPr>
        <w:rPr>
          <w:lang w:val="ru-RU"/>
        </w:rPr>
      </w:pPr>
      <w:r w:rsidRPr="00521670">
        <w:rPr>
          <w:lang w:val="ru-RU"/>
        </w:rPr>
        <w:t xml:space="preserve">В течение 2024 года взносы в </w:t>
      </w:r>
      <w:r w:rsidRPr="00521670">
        <w:rPr>
          <w:color w:val="000000"/>
          <w:lang w:val="ru-RU"/>
        </w:rPr>
        <w:t>Фонд</w:t>
      </w:r>
      <w:r w:rsidRPr="00521670">
        <w:rPr>
          <w:lang w:val="ru-RU"/>
        </w:rPr>
        <w:t xml:space="preserve"> со стороны МСЭ составили 27,3 млн. швейцарских франков (31,1 млн. долл. США) (27,2 млн. швейцарских франков или 30,3 млн. долл. США в 2023 г.). Согласно оценкам, в 2025 году размер взносов должен составить приблизительно 28,5 млн. швейцарских франков (31,6 млн. долл. США).</w:t>
      </w:r>
    </w:p>
    <w:p w14:paraId="36314D79" w14:textId="77777777" w:rsidR="00DF251A" w:rsidRPr="00521670" w:rsidRDefault="00DF251A" w:rsidP="00FA3FC2">
      <w:pPr>
        <w:rPr>
          <w:lang w:val="ru-RU"/>
        </w:rPr>
      </w:pPr>
      <w:r w:rsidRPr="00521670">
        <w:rPr>
          <w:lang w:val="ru-RU"/>
        </w:rPr>
        <w:t>Членство в Фонде может быть прекращено по решению Генеральной Ассамблеи Организации Объединенных Наций на основании положительной рекомендации правления Пенсионного фонда. Пропорциональная доля общих активов Фонда на дату прекращения должна быть выплачена организации – бывшему члену в исключительную пользу ее сотрудников, являвшихся участниками Фона на эту дату, в соответствии с договоренностью, согласованной между организацией и Фондом. Сумма определяется Правлением Объединенного пенсионного фонда персонала Организации Объединенных Наций на основе актуарной оценки активов и обязательств Фонда на дату прекращения членства; никакая часть активов, превышающих обязательства, в эту сумму не включается.</w:t>
      </w:r>
    </w:p>
    <w:p w14:paraId="1C75E9DC" w14:textId="77777777" w:rsidR="00DF251A" w:rsidRPr="00521670" w:rsidRDefault="00DF251A" w:rsidP="00FA3FC2">
      <w:pPr>
        <w:spacing w:after="120"/>
        <w:rPr>
          <w:lang w:val="ru-RU"/>
        </w:rPr>
      </w:pPr>
      <w:r w:rsidRPr="00521670">
        <w:rPr>
          <w:lang w:val="ru-RU"/>
        </w:rPr>
        <w:t xml:space="preserve">Комиссия ревизоров Организации Объединенных Наций ежегодно проводит ревизию Фонда и ежегодно представляет свои доклады о ревизии Правлению Фонда и Генеральной Ассамблее Организации Объединенных Наций. Фонд публикует квартальные доклады о своих инвестициях, с которыми можно ознакомиться на веб-сайте Фонда по адресу: </w:t>
      </w:r>
      <w:hyperlink r:id="rId30" w:history="1">
        <w:r w:rsidRPr="00521670">
          <w:rPr>
            <w:rStyle w:val="Hyperlink"/>
            <w:lang w:val="ru-RU"/>
          </w:rPr>
          <w:t>www.unjspf.org</w:t>
        </w:r>
      </w:hyperlink>
      <w:r w:rsidRPr="00521670">
        <w:rPr>
          <w:lang w:val="ru-RU"/>
        </w:rPr>
        <w:t>.</w:t>
      </w:r>
    </w:p>
    <w:p w14:paraId="72995AA9" w14:textId="77777777" w:rsidR="00DF251A" w:rsidRPr="00521670" w:rsidRDefault="00DF251A" w:rsidP="00FC7EDF">
      <w:pPr>
        <w:pStyle w:val="Tabletitle"/>
        <w:keepLines/>
        <w:rPr>
          <w:lang w:val="ru-RU"/>
        </w:rPr>
      </w:pPr>
      <w:r w:rsidRPr="00521670">
        <w:rPr>
          <w:lang w:val="ru-RU"/>
        </w:rPr>
        <w:lastRenderedPageBreak/>
        <w:t xml:space="preserve">Сводная таблица взносов, выплаченных в Фонд </w:t>
      </w:r>
      <w:r w:rsidRPr="00521670">
        <w:rPr>
          <w:lang w:val="ru-RU"/>
        </w:rPr>
        <w:br/>
        <w:t>за период с 1 января по 31 декабря</w:t>
      </w:r>
      <w:r w:rsidRPr="00521670">
        <w:rPr>
          <w:color w:val="000000"/>
          <w:lang w:val="ru-RU"/>
        </w:rPr>
        <w:t xml:space="preserve"> 2024 года</w:t>
      </w:r>
    </w:p>
    <w:tbl>
      <w:tblPr>
        <w:tblW w:w="5000" w:type="pct"/>
        <w:jc w:val="center"/>
        <w:tblLayout w:type="fixed"/>
        <w:tblLook w:val="04A0" w:firstRow="1" w:lastRow="0" w:firstColumn="1" w:lastColumn="0" w:noHBand="0" w:noVBand="1"/>
      </w:tblPr>
      <w:tblGrid>
        <w:gridCol w:w="2409"/>
        <w:gridCol w:w="1428"/>
        <w:gridCol w:w="2400"/>
        <w:gridCol w:w="1560"/>
        <w:gridCol w:w="1274"/>
      </w:tblGrid>
      <w:tr w:rsidR="00DF251A" w:rsidRPr="00521670" w14:paraId="14A7D9BF" w14:textId="77777777" w:rsidTr="00835292">
        <w:trPr>
          <w:jc w:val="center"/>
        </w:trPr>
        <w:tc>
          <w:tcPr>
            <w:tcW w:w="1328" w:type="pct"/>
            <w:tcBorders>
              <w:top w:val="nil"/>
              <w:left w:val="nil"/>
              <w:bottom w:val="nil"/>
              <w:right w:val="nil"/>
            </w:tcBorders>
            <w:shd w:val="clear" w:color="000000" w:fill="0070C0"/>
            <w:vAlign w:val="center"/>
            <w:hideMark/>
          </w:tcPr>
          <w:p w14:paraId="0037F903" w14:textId="77777777" w:rsidR="00DF251A" w:rsidRPr="00521670" w:rsidRDefault="00DF251A" w:rsidP="00835292">
            <w:pPr>
              <w:pStyle w:val="Tablehead"/>
              <w:rPr>
                <w:lang w:val="ru-RU" w:eastAsia="en-GB"/>
              </w:rPr>
            </w:pPr>
            <w:r w:rsidRPr="00521670">
              <w:rPr>
                <w:lang w:val="ru-RU" w:eastAsia="en-GB"/>
              </w:rPr>
              <w:t>Описание (тыс. шв. фр.)</w:t>
            </w:r>
          </w:p>
        </w:tc>
        <w:tc>
          <w:tcPr>
            <w:tcW w:w="787" w:type="pct"/>
            <w:tcBorders>
              <w:top w:val="nil"/>
              <w:left w:val="nil"/>
              <w:bottom w:val="nil"/>
              <w:right w:val="nil"/>
            </w:tcBorders>
            <w:shd w:val="clear" w:color="000000" w:fill="0070C0"/>
            <w:vAlign w:val="center"/>
            <w:hideMark/>
          </w:tcPr>
          <w:p w14:paraId="7E58A60D" w14:textId="77777777" w:rsidR="00DF251A" w:rsidRPr="00521670" w:rsidRDefault="00DF251A" w:rsidP="00835292">
            <w:pPr>
              <w:pStyle w:val="Tablehead"/>
              <w:rPr>
                <w:lang w:val="ru-RU" w:eastAsia="en-GB"/>
              </w:rPr>
            </w:pPr>
            <w:r w:rsidRPr="00521670">
              <w:rPr>
                <w:szCs w:val="18"/>
                <w:lang w:val="ru-RU"/>
              </w:rPr>
              <w:t xml:space="preserve">Обычные </w:t>
            </w:r>
            <w:r w:rsidRPr="00521670">
              <w:rPr>
                <w:szCs w:val="18"/>
                <w:lang w:val="ru-RU"/>
              </w:rPr>
              <w:br/>
              <w:t>взносы</w:t>
            </w:r>
          </w:p>
        </w:tc>
        <w:tc>
          <w:tcPr>
            <w:tcW w:w="1323" w:type="pct"/>
            <w:tcBorders>
              <w:top w:val="nil"/>
              <w:left w:val="nil"/>
              <w:bottom w:val="nil"/>
              <w:right w:val="nil"/>
            </w:tcBorders>
            <w:shd w:val="clear" w:color="000000" w:fill="0070C0"/>
            <w:vAlign w:val="center"/>
            <w:hideMark/>
          </w:tcPr>
          <w:p w14:paraId="29E7493F" w14:textId="77777777" w:rsidR="00DF251A" w:rsidRPr="00521670" w:rsidRDefault="00DF251A" w:rsidP="00835292">
            <w:pPr>
              <w:pStyle w:val="Tablehead"/>
              <w:rPr>
                <w:lang w:val="ru-RU" w:eastAsia="en-GB"/>
              </w:rPr>
            </w:pPr>
            <w:r w:rsidRPr="00521670">
              <w:rPr>
                <w:szCs w:val="18"/>
                <w:lang w:val="ru-RU"/>
              </w:rPr>
              <w:t>Взносы на подтверждение службы/восстановление</w:t>
            </w:r>
          </w:p>
        </w:tc>
        <w:tc>
          <w:tcPr>
            <w:tcW w:w="860" w:type="pct"/>
            <w:tcBorders>
              <w:top w:val="nil"/>
              <w:left w:val="nil"/>
              <w:bottom w:val="nil"/>
              <w:right w:val="nil"/>
            </w:tcBorders>
            <w:shd w:val="clear" w:color="000000" w:fill="0070C0"/>
            <w:vAlign w:val="center"/>
            <w:hideMark/>
          </w:tcPr>
          <w:p w14:paraId="28F1B5CD" w14:textId="77777777" w:rsidR="00DF251A" w:rsidRPr="00521670" w:rsidRDefault="00DF251A" w:rsidP="00835292">
            <w:pPr>
              <w:pStyle w:val="Tablehead"/>
              <w:rPr>
                <w:lang w:val="ru-RU" w:eastAsia="en-GB"/>
              </w:rPr>
            </w:pPr>
            <w:r w:rsidRPr="00521670">
              <w:rPr>
                <w:szCs w:val="18"/>
                <w:lang w:val="ru-RU"/>
              </w:rPr>
              <w:t>Добровольные взносы</w:t>
            </w:r>
          </w:p>
        </w:tc>
        <w:tc>
          <w:tcPr>
            <w:tcW w:w="702" w:type="pct"/>
            <w:tcBorders>
              <w:top w:val="nil"/>
              <w:left w:val="nil"/>
              <w:bottom w:val="nil"/>
              <w:right w:val="nil"/>
            </w:tcBorders>
            <w:shd w:val="clear" w:color="000000" w:fill="0070C0"/>
            <w:vAlign w:val="center"/>
            <w:hideMark/>
          </w:tcPr>
          <w:p w14:paraId="5BD850FD" w14:textId="77777777" w:rsidR="00DF251A" w:rsidRPr="00521670" w:rsidRDefault="00DF251A" w:rsidP="00835292">
            <w:pPr>
              <w:pStyle w:val="Tablehead"/>
              <w:rPr>
                <w:lang w:val="ru-RU" w:eastAsia="en-GB"/>
              </w:rPr>
            </w:pPr>
            <w:r w:rsidRPr="00521670">
              <w:rPr>
                <w:szCs w:val="18"/>
                <w:lang w:val="ru-RU"/>
              </w:rPr>
              <w:t>Всего</w:t>
            </w:r>
          </w:p>
        </w:tc>
      </w:tr>
      <w:tr w:rsidR="00DF251A" w:rsidRPr="00521670" w14:paraId="057EC282" w14:textId="77777777" w:rsidTr="00835292">
        <w:trPr>
          <w:jc w:val="center"/>
        </w:trPr>
        <w:tc>
          <w:tcPr>
            <w:tcW w:w="1328" w:type="pct"/>
            <w:tcBorders>
              <w:top w:val="nil"/>
              <w:left w:val="nil"/>
              <w:bottom w:val="nil"/>
              <w:right w:val="nil"/>
            </w:tcBorders>
            <w:shd w:val="clear" w:color="auto" w:fill="auto"/>
            <w:noWrap/>
            <w:hideMark/>
          </w:tcPr>
          <w:p w14:paraId="06593414" w14:textId="77777777" w:rsidR="00DF251A" w:rsidRPr="00521670" w:rsidRDefault="00DF251A" w:rsidP="00FC7EDF">
            <w:pPr>
              <w:pStyle w:val="Tabletext"/>
              <w:keepNext/>
              <w:rPr>
                <w:lang w:val="ru-RU" w:eastAsia="en-GB"/>
              </w:rPr>
            </w:pPr>
            <w:r w:rsidRPr="00521670">
              <w:rPr>
                <w:szCs w:val="18"/>
                <w:lang w:val="ru-RU"/>
              </w:rPr>
              <w:t>Взносы участников</w:t>
            </w:r>
          </w:p>
        </w:tc>
        <w:tc>
          <w:tcPr>
            <w:tcW w:w="787" w:type="pct"/>
            <w:tcBorders>
              <w:top w:val="nil"/>
              <w:left w:val="nil"/>
              <w:bottom w:val="nil"/>
              <w:right w:val="nil"/>
            </w:tcBorders>
            <w:shd w:val="clear" w:color="auto" w:fill="auto"/>
            <w:noWrap/>
            <w:hideMark/>
          </w:tcPr>
          <w:p w14:paraId="272FA5E1" w14:textId="77777777" w:rsidR="00DF251A" w:rsidRPr="00521670" w:rsidRDefault="00DF251A" w:rsidP="00FC7EDF">
            <w:pPr>
              <w:pStyle w:val="Tabletext"/>
              <w:keepNext/>
              <w:jc w:val="right"/>
              <w:rPr>
                <w:lang w:val="ru-RU" w:eastAsia="en-GB"/>
              </w:rPr>
            </w:pPr>
            <w:r w:rsidRPr="00521670">
              <w:rPr>
                <w:lang w:val="ru-RU"/>
              </w:rPr>
              <w:t>8 972</w:t>
            </w:r>
          </w:p>
        </w:tc>
        <w:tc>
          <w:tcPr>
            <w:tcW w:w="1323" w:type="pct"/>
            <w:tcBorders>
              <w:top w:val="nil"/>
              <w:left w:val="nil"/>
              <w:bottom w:val="nil"/>
              <w:right w:val="nil"/>
            </w:tcBorders>
            <w:shd w:val="clear" w:color="auto" w:fill="auto"/>
            <w:noWrap/>
            <w:hideMark/>
          </w:tcPr>
          <w:p w14:paraId="69FB6E92" w14:textId="77777777" w:rsidR="00DF251A" w:rsidRPr="00521670" w:rsidRDefault="00DF251A" w:rsidP="00FC7EDF">
            <w:pPr>
              <w:pStyle w:val="Tabletext"/>
              <w:keepNext/>
              <w:jc w:val="right"/>
              <w:rPr>
                <w:lang w:val="ru-RU" w:eastAsia="en-GB"/>
              </w:rPr>
            </w:pPr>
            <w:r w:rsidRPr="00521670">
              <w:rPr>
                <w:lang w:val="ru-RU"/>
              </w:rPr>
              <w:t>55</w:t>
            </w:r>
          </w:p>
        </w:tc>
        <w:tc>
          <w:tcPr>
            <w:tcW w:w="860" w:type="pct"/>
            <w:tcBorders>
              <w:top w:val="nil"/>
              <w:left w:val="nil"/>
              <w:bottom w:val="nil"/>
              <w:right w:val="nil"/>
            </w:tcBorders>
            <w:shd w:val="clear" w:color="auto" w:fill="auto"/>
            <w:noWrap/>
            <w:hideMark/>
          </w:tcPr>
          <w:p w14:paraId="6DCDBBF7" w14:textId="77777777" w:rsidR="00DF251A" w:rsidRPr="00521670" w:rsidRDefault="00DF251A" w:rsidP="00FC7EDF">
            <w:pPr>
              <w:pStyle w:val="Tabletext"/>
              <w:keepNext/>
              <w:jc w:val="right"/>
              <w:rPr>
                <w:lang w:val="ru-RU" w:eastAsia="en-GB"/>
              </w:rPr>
            </w:pPr>
            <w:r w:rsidRPr="00521670">
              <w:rPr>
                <w:lang w:val="ru-RU"/>
              </w:rPr>
              <w:t>139</w:t>
            </w:r>
          </w:p>
        </w:tc>
        <w:tc>
          <w:tcPr>
            <w:tcW w:w="702" w:type="pct"/>
            <w:tcBorders>
              <w:top w:val="nil"/>
              <w:left w:val="nil"/>
              <w:bottom w:val="nil"/>
              <w:right w:val="nil"/>
            </w:tcBorders>
            <w:shd w:val="clear" w:color="auto" w:fill="auto"/>
            <w:noWrap/>
            <w:hideMark/>
          </w:tcPr>
          <w:p w14:paraId="08B0E646" w14:textId="77777777" w:rsidR="00DF251A" w:rsidRPr="00521670" w:rsidRDefault="00DF251A" w:rsidP="00FC7EDF">
            <w:pPr>
              <w:pStyle w:val="Tabletext"/>
              <w:keepNext/>
              <w:jc w:val="right"/>
              <w:rPr>
                <w:lang w:val="ru-RU" w:eastAsia="en-GB"/>
              </w:rPr>
            </w:pPr>
            <w:r w:rsidRPr="00521670">
              <w:rPr>
                <w:lang w:val="ru-RU"/>
              </w:rPr>
              <w:t>9 165</w:t>
            </w:r>
          </w:p>
        </w:tc>
      </w:tr>
      <w:tr w:rsidR="00DF251A" w:rsidRPr="00521670" w14:paraId="56088498" w14:textId="77777777" w:rsidTr="00835292">
        <w:trPr>
          <w:jc w:val="center"/>
        </w:trPr>
        <w:tc>
          <w:tcPr>
            <w:tcW w:w="1328" w:type="pct"/>
            <w:tcBorders>
              <w:top w:val="nil"/>
              <w:left w:val="nil"/>
              <w:bottom w:val="nil"/>
              <w:right w:val="nil"/>
            </w:tcBorders>
            <w:shd w:val="clear" w:color="auto" w:fill="auto"/>
            <w:noWrap/>
            <w:hideMark/>
          </w:tcPr>
          <w:p w14:paraId="6AF895BE" w14:textId="77777777" w:rsidR="00DF251A" w:rsidRPr="00521670" w:rsidRDefault="00DF251A" w:rsidP="00FC7EDF">
            <w:pPr>
              <w:pStyle w:val="Tabletext"/>
              <w:keepNext/>
              <w:rPr>
                <w:lang w:val="ru-RU" w:eastAsia="en-GB"/>
              </w:rPr>
            </w:pPr>
            <w:r w:rsidRPr="00521670">
              <w:rPr>
                <w:szCs w:val="18"/>
                <w:lang w:val="ru-RU"/>
              </w:rPr>
              <w:t>Взносы Союза</w:t>
            </w:r>
          </w:p>
        </w:tc>
        <w:tc>
          <w:tcPr>
            <w:tcW w:w="787" w:type="pct"/>
            <w:tcBorders>
              <w:top w:val="nil"/>
              <w:left w:val="nil"/>
              <w:bottom w:val="nil"/>
              <w:right w:val="nil"/>
            </w:tcBorders>
            <w:shd w:val="clear" w:color="auto" w:fill="auto"/>
            <w:noWrap/>
            <w:hideMark/>
          </w:tcPr>
          <w:p w14:paraId="5D9593C8" w14:textId="77777777" w:rsidR="00DF251A" w:rsidRPr="00521670" w:rsidRDefault="00DF251A" w:rsidP="00FC7EDF">
            <w:pPr>
              <w:pStyle w:val="Tabletext"/>
              <w:keepNext/>
              <w:jc w:val="right"/>
              <w:rPr>
                <w:lang w:val="ru-RU" w:eastAsia="en-GB"/>
              </w:rPr>
            </w:pPr>
            <w:r w:rsidRPr="00521670">
              <w:rPr>
                <w:lang w:val="ru-RU"/>
              </w:rPr>
              <w:t>17 943</w:t>
            </w:r>
          </w:p>
        </w:tc>
        <w:tc>
          <w:tcPr>
            <w:tcW w:w="1323" w:type="pct"/>
            <w:tcBorders>
              <w:top w:val="nil"/>
              <w:left w:val="nil"/>
              <w:bottom w:val="nil"/>
              <w:right w:val="nil"/>
            </w:tcBorders>
            <w:shd w:val="clear" w:color="auto" w:fill="auto"/>
            <w:noWrap/>
            <w:hideMark/>
          </w:tcPr>
          <w:p w14:paraId="4E533FF0" w14:textId="77777777" w:rsidR="00DF251A" w:rsidRPr="00521670" w:rsidRDefault="00DF251A" w:rsidP="00FC7EDF">
            <w:pPr>
              <w:pStyle w:val="Tabletext"/>
              <w:keepNext/>
              <w:jc w:val="right"/>
              <w:rPr>
                <w:lang w:val="ru-RU" w:eastAsia="en-GB"/>
              </w:rPr>
            </w:pPr>
            <w:r w:rsidRPr="00521670">
              <w:rPr>
                <w:lang w:val="ru-RU"/>
              </w:rPr>
              <w:t>28</w:t>
            </w:r>
          </w:p>
        </w:tc>
        <w:tc>
          <w:tcPr>
            <w:tcW w:w="860" w:type="pct"/>
            <w:tcBorders>
              <w:top w:val="nil"/>
              <w:left w:val="nil"/>
              <w:bottom w:val="nil"/>
              <w:right w:val="nil"/>
            </w:tcBorders>
            <w:shd w:val="clear" w:color="auto" w:fill="auto"/>
            <w:noWrap/>
            <w:hideMark/>
          </w:tcPr>
          <w:p w14:paraId="6AC8C3AF" w14:textId="77777777" w:rsidR="00DF251A" w:rsidRPr="00521670" w:rsidRDefault="00DF251A" w:rsidP="00FC7EDF">
            <w:pPr>
              <w:pStyle w:val="Tabletext"/>
              <w:keepNext/>
              <w:jc w:val="right"/>
              <w:rPr>
                <w:lang w:val="ru-RU" w:eastAsia="en-GB"/>
              </w:rPr>
            </w:pPr>
            <w:r w:rsidRPr="00521670">
              <w:rPr>
                <w:lang w:val="ru-RU"/>
              </w:rPr>
              <w:t>211</w:t>
            </w:r>
          </w:p>
        </w:tc>
        <w:tc>
          <w:tcPr>
            <w:tcW w:w="702" w:type="pct"/>
            <w:tcBorders>
              <w:top w:val="nil"/>
              <w:left w:val="nil"/>
              <w:bottom w:val="nil"/>
              <w:right w:val="nil"/>
            </w:tcBorders>
            <w:shd w:val="clear" w:color="auto" w:fill="auto"/>
            <w:noWrap/>
            <w:hideMark/>
          </w:tcPr>
          <w:p w14:paraId="33080730" w14:textId="77777777" w:rsidR="00DF251A" w:rsidRPr="00521670" w:rsidRDefault="00DF251A" w:rsidP="00FC7EDF">
            <w:pPr>
              <w:pStyle w:val="Tabletext"/>
              <w:keepNext/>
              <w:jc w:val="right"/>
              <w:rPr>
                <w:lang w:val="ru-RU" w:eastAsia="en-GB"/>
              </w:rPr>
            </w:pPr>
            <w:r w:rsidRPr="00521670">
              <w:rPr>
                <w:lang w:val="ru-RU"/>
              </w:rPr>
              <w:t>18 182</w:t>
            </w:r>
          </w:p>
        </w:tc>
      </w:tr>
      <w:tr w:rsidR="00DF251A" w:rsidRPr="00521670" w14:paraId="3C8540BA" w14:textId="77777777" w:rsidTr="00835292">
        <w:trPr>
          <w:jc w:val="center"/>
        </w:trPr>
        <w:tc>
          <w:tcPr>
            <w:tcW w:w="1328" w:type="pct"/>
            <w:tcBorders>
              <w:top w:val="nil"/>
              <w:left w:val="nil"/>
              <w:bottom w:val="nil"/>
              <w:right w:val="nil"/>
            </w:tcBorders>
            <w:shd w:val="clear" w:color="000000" w:fill="0070C0"/>
            <w:noWrap/>
            <w:vAlign w:val="center"/>
            <w:hideMark/>
          </w:tcPr>
          <w:p w14:paraId="1FD391FD" w14:textId="77777777" w:rsidR="00DF251A" w:rsidRPr="00521670" w:rsidRDefault="00DF251A" w:rsidP="00FC7EDF">
            <w:pPr>
              <w:pStyle w:val="Tabletext"/>
              <w:rPr>
                <w:b/>
                <w:bCs/>
                <w:lang w:val="ru-RU" w:eastAsia="en-GB"/>
              </w:rPr>
            </w:pPr>
            <w:r w:rsidRPr="00521670">
              <w:rPr>
                <w:b/>
                <w:bCs/>
                <w:lang w:val="ru-RU" w:eastAsia="en-GB"/>
              </w:rPr>
              <w:t>Всего</w:t>
            </w:r>
          </w:p>
        </w:tc>
        <w:tc>
          <w:tcPr>
            <w:tcW w:w="787" w:type="pct"/>
            <w:tcBorders>
              <w:top w:val="nil"/>
              <w:left w:val="nil"/>
              <w:bottom w:val="nil"/>
              <w:right w:val="nil"/>
            </w:tcBorders>
            <w:shd w:val="clear" w:color="000000" w:fill="0070C0"/>
            <w:noWrap/>
            <w:hideMark/>
          </w:tcPr>
          <w:p w14:paraId="1294576D" w14:textId="77777777" w:rsidR="00DF251A" w:rsidRPr="00521670" w:rsidRDefault="00DF251A" w:rsidP="00FC7EDF">
            <w:pPr>
              <w:pStyle w:val="Tabletext"/>
              <w:jc w:val="right"/>
              <w:rPr>
                <w:b/>
                <w:bCs/>
                <w:lang w:val="ru-RU" w:eastAsia="en-GB"/>
              </w:rPr>
            </w:pPr>
            <w:r w:rsidRPr="00521670">
              <w:rPr>
                <w:b/>
                <w:bCs/>
                <w:lang w:val="ru-RU"/>
              </w:rPr>
              <w:t>26 915</w:t>
            </w:r>
          </w:p>
        </w:tc>
        <w:tc>
          <w:tcPr>
            <w:tcW w:w="1323" w:type="pct"/>
            <w:tcBorders>
              <w:top w:val="nil"/>
              <w:left w:val="nil"/>
              <w:bottom w:val="nil"/>
              <w:right w:val="nil"/>
            </w:tcBorders>
            <w:shd w:val="clear" w:color="000000" w:fill="0070C0"/>
            <w:noWrap/>
            <w:hideMark/>
          </w:tcPr>
          <w:p w14:paraId="5FEAB322" w14:textId="77777777" w:rsidR="00DF251A" w:rsidRPr="00521670" w:rsidRDefault="00DF251A" w:rsidP="00FC7EDF">
            <w:pPr>
              <w:pStyle w:val="Tabletext"/>
              <w:jc w:val="right"/>
              <w:rPr>
                <w:b/>
                <w:bCs/>
                <w:lang w:val="ru-RU" w:eastAsia="en-GB"/>
              </w:rPr>
            </w:pPr>
            <w:r w:rsidRPr="00521670">
              <w:rPr>
                <w:b/>
                <w:bCs/>
                <w:lang w:val="ru-RU"/>
              </w:rPr>
              <w:t>83</w:t>
            </w:r>
          </w:p>
        </w:tc>
        <w:tc>
          <w:tcPr>
            <w:tcW w:w="860" w:type="pct"/>
            <w:tcBorders>
              <w:top w:val="nil"/>
              <w:left w:val="nil"/>
              <w:bottom w:val="nil"/>
              <w:right w:val="nil"/>
            </w:tcBorders>
            <w:shd w:val="clear" w:color="000000" w:fill="0070C0"/>
            <w:noWrap/>
            <w:hideMark/>
          </w:tcPr>
          <w:p w14:paraId="49E70494" w14:textId="77777777" w:rsidR="00DF251A" w:rsidRPr="00521670" w:rsidRDefault="00DF251A" w:rsidP="00FC7EDF">
            <w:pPr>
              <w:pStyle w:val="Tabletext"/>
              <w:jc w:val="right"/>
              <w:rPr>
                <w:b/>
                <w:bCs/>
                <w:lang w:val="ru-RU" w:eastAsia="en-GB"/>
              </w:rPr>
            </w:pPr>
            <w:r w:rsidRPr="00521670">
              <w:rPr>
                <w:b/>
                <w:bCs/>
                <w:lang w:val="ru-RU"/>
              </w:rPr>
              <w:t>350</w:t>
            </w:r>
          </w:p>
        </w:tc>
        <w:tc>
          <w:tcPr>
            <w:tcW w:w="702" w:type="pct"/>
            <w:tcBorders>
              <w:top w:val="nil"/>
              <w:left w:val="nil"/>
              <w:bottom w:val="nil"/>
              <w:right w:val="nil"/>
            </w:tcBorders>
            <w:shd w:val="clear" w:color="000000" w:fill="0070C0"/>
            <w:noWrap/>
            <w:hideMark/>
          </w:tcPr>
          <w:p w14:paraId="3EA78AD1" w14:textId="77777777" w:rsidR="00DF251A" w:rsidRPr="00521670" w:rsidRDefault="00DF251A" w:rsidP="00FC7EDF">
            <w:pPr>
              <w:pStyle w:val="Tabletext"/>
              <w:jc w:val="right"/>
              <w:rPr>
                <w:b/>
                <w:bCs/>
                <w:lang w:val="ru-RU" w:eastAsia="en-GB"/>
              </w:rPr>
            </w:pPr>
            <w:r w:rsidRPr="00521670">
              <w:rPr>
                <w:b/>
                <w:bCs/>
                <w:lang w:val="ru-RU"/>
              </w:rPr>
              <w:t>27 347</w:t>
            </w:r>
          </w:p>
        </w:tc>
      </w:tr>
    </w:tbl>
    <w:p w14:paraId="5F110060" w14:textId="77777777" w:rsidR="00DF251A" w:rsidRPr="00521670" w:rsidRDefault="00DF251A" w:rsidP="00CF1923">
      <w:pPr>
        <w:keepNext/>
        <w:keepLines/>
        <w:spacing w:before="240"/>
        <w:rPr>
          <w:u w:val="single"/>
          <w:lang w:val="ru-RU"/>
        </w:rPr>
      </w:pPr>
      <w:r w:rsidRPr="00521670">
        <w:rPr>
          <w:u w:val="single"/>
          <w:lang w:val="ru-RU"/>
        </w:rPr>
        <w:t>Обязательства, касающиеся прочих вознаграждений сотрудников</w:t>
      </w:r>
    </w:p>
    <w:p w14:paraId="2A4856CA" w14:textId="77777777" w:rsidR="00DF251A" w:rsidRPr="00521670" w:rsidRDefault="00DF251A" w:rsidP="00442780">
      <w:pPr>
        <w:rPr>
          <w:lang w:val="ru-RU"/>
        </w:rPr>
      </w:pPr>
      <w:r w:rsidRPr="00521670">
        <w:rPr>
          <w:lang w:val="ru-RU"/>
        </w:rPr>
        <w:t>Перед образованием Объединенного пенсионного фонда персонала Организации Объединенных Наций и присоединением к нему МСЭ Союз создал фонды для предоставления пенсионных пособий, пособий по случаю смерти и по инвалидности, а также по медицинскому страхованию своих сотрудников. Созданные МСЭ фонды функционируют как закрытая касса после того, как МСЭ стал аффилированным членом указанного выше фонда. Связанные с этим обязательства указываются в долгосрочных обязательствах. Были достигнуты договоренности между МСЭ и его фондами в целях обеспечения финансирования этих фондов.</w:t>
      </w:r>
    </w:p>
    <w:p w14:paraId="34365D26" w14:textId="77777777" w:rsidR="00DF251A" w:rsidRPr="00521670" w:rsidRDefault="00DF251A" w:rsidP="00442780">
      <w:pPr>
        <w:rPr>
          <w:lang w:val="ru-RU"/>
        </w:rPr>
      </w:pPr>
      <w:r w:rsidRPr="00521670">
        <w:rPr>
          <w:lang w:val="ru-RU"/>
        </w:rPr>
        <w:t>В 2024 году Союз счел нецелесообразным обращаться с просьбой о проведении нового актуарного исследования в отношении Страховой кассы персонала. По состоянию на 31 декабря 2024 года резервный фонд для обязательств, вытекающих из выплачиваемых в настоящее время пенсий бывшим сотрудникам – членам Страховой кассы персонала, учтенных в 2010 году в размере 54 000 швейцарских франков, оставался без изменений.</w:t>
      </w:r>
    </w:p>
    <w:p w14:paraId="24A04583" w14:textId="77777777" w:rsidR="00DF251A" w:rsidRPr="00521670" w:rsidRDefault="00DF251A" w:rsidP="00091CA1">
      <w:pPr>
        <w:pStyle w:val="Heading5"/>
        <w:rPr>
          <w:b/>
          <w:bCs/>
          <w:color w:val="4F81BD" w:themeColor="accent1"/>
          <w:lang w:val="ru-RU"/>
        </w:rPr>
      </w:pPr>
      <w:bookmarkStart w:id="379" w:name="_Toc1506214376"/>
      <w:bookmarkStart w:id="380" w:name="_Toc196292789"/>
      <w:bookmarkStart w:id="381" w:name="_Toc305764100"/>
      <w:bookmarkStart w:id="382" w:name="_Toc200469541"/>
      <w:r w:rsidRPr="00521670">
        <w:rPr>
          <w:b/>
          <w:bCs/>
          <w:color w:val="4F81BD" w:themeColor="accent1"/>
          <w:lang w:val="ru-RU"/>
        </w:rPr>
        <w:t>Примечание 17</w:t>
      </w:r>
      <w:r w:rsidRPr="00521670">
        <w:rPr>
          <w:b/>
          <w:bCs/>
          <w:color w:val="4F81BD" w:themeColor="accent1"/>
          <w:lang w:val="ru-RU"/>
        </w:rPr>
        <w:tab/>
      </w:r>
      <w:bookmarkEnd w:id="379"/>
      <w:bookmarkEnd w:id="380"/>
      <w:bookmarkEnd w:id="381"/>
      <w:r w:rsidRPr="00521670">
        <w:rPr>
          <w:b/>
          <w:bCs/>
          <w:color w:val="4F81BD" w:themeColor="accent1"/>
          <w:lang w:val="ru-RU"/>
        </w:rPr>
        <w:t>Прочие обязательства</w:t>
      </w:r>
      <w:bookmarkEnd w:id="382"/>
    </w:p>
    <w:p w14:paraId="339769BD" w14:textId="4E4179D6" w:rsidR="00DF251A" w:rsidRPr="00521670" w:rsidRDefault="00DF251A" w:rsidP="00091CA1">
      <w:pPr>
        <w:rPr>
          <w:lang w:val="ru-RU"/>
        </w:rPr>
      </w:pPr>
      <w:r w:rsidRPr="00521670">
        <w:rPr>
          <w:lang w:val="ru-RU"/>
        </w:rPr>
        <w:t>Увеличение кредиторской задолженности вызвано активизацией деятельности в конце года и увеличением невыплаченной кредиторской задолженности по межведомственным</w:t>
      </w:r>
      <w:r w:rsidR="008B37B3" w:rsidRPr="00521670">
        <w:rPr>
          <w:lang w:val="ru-RU"/>
        </w:rPr>
        <w:t> </w:t>
      </w:r>
      <w:r w:rsidRPr="00521670">
        <w:rPr>
          <w:lang w:val="ru-RU"/>
        </w:rPr>
        <w:t>соглашениям.</w:t>
      </w:r>
    </w:p>
    <w:p w14:paraId="52C04583" w14:textId="40EBE4C7" w:rsidR="00DF251A" w:rsidRPr="00521670" w:rsidRDefault="00DF251A" w:rsidP="00091CA1">
      <w:pPr>
        <w:spacing w:after="120"/>
        <w:rPr>
          <w:lang w:val="ru-RU"/>
        </w:rPr>
      </w:pPr>
      <w:r w:rsidRPr="00521670">
        <w:rPr>
          <w:lang w:val="ru-RU"/>
        </w:rPr>
        <w:t>Уменьшение прочих обязательств перед сотрудниками обусловлено уменьшением непогашенных обязательств, связанных с текущими соглашениями о специальных услугах, и вычетами из выплат сотрудникам в связи с окончанием срока службы.</w:t>
      </w:r>
    </w:p>
    <w:tbl>
      <w:tblPr>
        <w:tblW w:w="5000" w:type="pct"/>
        <w:jc w:val="center"/>
        <w:tblLook w:val="04A0" w:firstRow="1" w:lastRow="0" w:firstColumn="1" w:lastColumn="0" w:noHBand="0" w:noVBand="1"/>
      </w:tblPr>
      <w:tblGrid>
        <w:gridCol w:w="3921"/>
        <w:gridCol w:w="2717"/>
        <w:gridCol w:w="2433"/>
      </w:tblGrid>
      <w:tr w:rsidR="00DF251A" w:rsidRPr="00521670" w14:paraId="5B9ABD28" w14:textId="77777777" w:rsidTr="00405CBE">
        <w:trPr>
          <w:jc w:val="center"/>
        </w:trPr>
        <w:tc>
          <w:tcPr>
            <w:tcW w:w="2111" w:type="pct"/>
            <w:tcBorders>
              <w:top w:val="nil"/>
              <w:left w:val="nil"/>
              <w:bottom w:val="nil"/>
              <w:right w:val="nil"/>
            </w:tcBorders>
            <w:shd w:val="clear" w:color="000000" w:fill="0070C0"/>
            <w:vAlign w:val="center"/>
            <w:hideMark/>
          </w:tcPr>
          <w:p w14:paraId="353781DD" w14:textId="77777777" w:rsidR="00DF251A" w:rsidRPr="00521670" w:rsidRDefault="00DF251A" w:rsidP="00091CA1">
            <w:pPr>
              <w:pStyle w:val="Tablehead"/>
              <w:rPr>
                <w:lang w:val="ru-RU" w:eastAsia="en-GB"/>
              </w:rPr>
            </w:pPr>
            <w:r w:rsidRPr="00521670">
              <w:rPr>
                <w:lang w:val="ru-RU" w:eastAsia="en-GB"/>
              </w:rPr>
              <w:t>Описание (тыс. шв. фр.)</w:t>
            </w:r>
          </w:p>
        </w:tc>
        <w:tc>
          <w:tcPr>
            <w:tcW w:w="1523" w:type="pct"/>
            <w:tcBorders>
              <w:top w:val="nil"/>
              <w:left w:val="nil"/>
              <w:bottom w:val="nil"/>
              <w:right w:val="nil"/>
            </w:tcBorders>
            <w:shd w:val="clear" w:color="000000" w:fill="0070C0"/>
            <w:vAlign w:val="center"/>
            <w:hideMark/>
          </w:tcPr>
          <w:p w14:paraId="2D7DDBDF" w14:textId="77777777" w:rsidR="00DF251A" w:rsidRPr="00521670" w:rsidRDefault="00DF251A" w:rsidP="00D42EC6">
            <w:pPr>
              <w:pStyle w:val="Tablehead"/>
              <w:jc w:val="right"/>
              <w:rPr>
                <w:lang w:val="ru-RU" w:eastAsia="en-GB"/>
              </w:rPr>
            </w:pPr>
            <w:r w:rsidRPr="00521670">
              <w:rPr>
                <w:lang w:val="ru-RU" w:eastAsia="en-GB"/>
              </w:rPr>
              <w:t>31 декабря 2024 г.</w:t>
            </w:r>
          </w:p>
        </w:tc>
        <w:tc>
          <w:tcPr>
            <w:tcW w:w="1366" w:type="pct"/>
            <w:tcBorders>
              <w:top w:val="nil"/>
              <w:left w:val="nil"/>
              <w:bottom w:val="nil"/>
              <w:right w:val="nil"/>
            </w:tcBorders>
            <w:shd w:val="clear" w:color="000000" w:fill="0070C0"/>
            <w:vAlign w:val="center"/>
            <w:hideMark/>
          </w:tcPr>
          <w:p w14:paraId="5068B2A8" w14:textId="77777777" w:rsidR="00DF251A" w:rsidRPr="00521670" w:rsidRDefault="00DF251A" w:rsidP="00D42EC6">
            <w:pPr>
              <w:pStyle w:val="Tablehead"/>
              <w:jc w:val="right"/>
              <w:rPr>
                <w:lang w:val="ru-RU" w:eastAsia="en-GB"/>
              </w:rPr>
            </w:pPr>
            <w:r w:rsidRPr="00521670">
              <w:rPr>
                <w:lang w:val="ru-RU" w:eastAsia="en-GB"/>
              </w:rPr>
              <w:t>31 декабря 2023 г.</w:t>
            </w:r>
          </w:p>
        </w:tc>
      </w:tr>
      <w:tr w:rsidR="00DF251A" w:rsidRPr="00521670" w14:paraId="59326645" w14:textId="77777777" w:rsidTr="00405CBE">
        <w:trPr>
          <w:jc w:val="center"/>
        </w:trPr>
        <w:tc>
          <w:tcPr>
            <w:tcW w:w="2111" w:type="pct"/>
            <w:tcBorders>
              <w:top w:val="nil"/>
              <w:left w:val="nil"/>
              <w:bottom w:val="nil"/>
              <w:right w:val="nil"/>
            </w:tcBorders>
            <w:shd w:val="clear" w:color="auto" w:fill="auto"/>
            <w:noWrap/>
          </w:tcPr>
          <w:p w14:paraId="5A579779" w14:textId="77777777" w:rsidR="00DF251A" w:rsidRPr="00521670" w:rsidRDefault="00DF251A" w:rsidP="00AB3F8F">
            <w:pPr>
              <w:pStyle w:val="Tabletext"/>
              <w:keepNext/>
              <w:rPr>
                <w:lang w:val="ru-RU" w:eastAsia="en-GB"/>
              </w:rPr>
            </w:pPr>
            <w:r w:rsidRPr="00521670">
              <w:rPr>
                <w:lang w:val="ru-RU"/>
              </w:rPr>
              <w:t>Кредиторская задолженность</w:t>
            </w:r>
          </w:p>
        </w:tc>
        <w:tc>
          <w:tcPr>
            <w:tcW w:w="1523" w:type="pct"/>
            <w:tcBorders>
              <w:top w:val="nil"/>
              <w:left w:val="nil"/>
              <w:bottom w:val="nil"/>
              <w:right w:val="nil"/>
            </w:tcBorders>
            <w:shd w:val="clear" w:color="auto" w:fill="auto"/>
            <w:noWrap/>
          </w:tcPr>
          <w:p w14:paraId="6D5AE508" w14:textId="77777777" w:rsidR="00DF251A" w:rsidRPr="00521670" w:rsidRDefault="00DF251A" w:rsidP="004616C3">
            <w:pPr>
              <w:pStyle w:val="Tabletext"/>
              <w:keepNext/>
              <w:jc w:val="right"/>
              <w:rPr>
                <w:lang w:val="ru-RU" w:eastAsia="en-GB"/>
              </w:rPr>
            </w:pPr>
            <w:r w:rsidRPr="00521670">
              <w:rPr>
                <w:lang w:val="ru-RU"/>
              </w:rPr>
              <w:t>1 465</w:t>
            </w:r>
          </w:p>
        </w:tc>
        <w:tc>
          <w:tcPr>
            <w:tcW w:w="1366" w:type="pct"/>
            <w:tcBorders>
              <w:top w:val="nil"/>
              <w:left w:val="nil"/>
              <w:bottom w:val="nil"/>
              <w:right w:val="nil"/>
            </w:tcBorders>
            <w:shd w:val="clear" w:color="auto" w:fill="auto"/>
            <w:noWrap/>
          </w:tcPr>
          <w:p w14:paraId="53114935" w14:textId="77777777" w:rsidR="00DF251A" w:rsidRPr="00521670" w:rsidRDefault="00DF251A" w:rsidP="004616C3">
            <w:pPr>
              <w:pStyle w:val="Tabletext"/>
              <w:keepNext/>
              <w:jc w:val="right"/>
              <w:rPr>
                <w:lang w:val="ru-RU" w:eastAsia="en-GB"/>
              </w:rPr>
            </w:pPr>
            <w:r w:rsidRPr="00521670">
              <w:rPr>
                <w:lang w:val="ru-RU"/>
              </w:rPr>
              <w:t>677</w:t>
            </w:r>
          </w:p>
        </w:tc>
      </w:tr>
      <w:tr w:rsidR="00DF251A" w:rsidRPr="00521670" w14:paraId="299D3F63" w14:textId="77777777" w:rsidTr="00405CBE">
        <w:trPr>
          <w:jc w:val="center"/>
        </w:trPr>
        <w:tc>
          <w:tcPr>
            <w:tcW w:w="2111" w:type="pct"/>
            <w:tcBorders>
              <w:top w:val="nil"/>
              <w:left w:val="nil"/>
              <w:bottom w:val="nil"/>
              <w:right w:val="nil"/>
            </w:tcBorders>
            <w:shd w:val="clear" w:color="auto" w:fill="auto"/>
            <w:noWrap/>
          </w:tcPr>
          <w:p w14:paraId="7D8A541B" w14:textId="77777777" w:rsidR="00DF251A" w:rsidRPr="00521670" w:rsidRDefault="00DF251A" w:rsidP="00AB3F8F">
            <w:pPr>
              <w:pStyle w:val="Tabletext"/>
              <w:keepNext/>
              <w:rPr>
                <w:lang w:val="ru-RU" w:eastAsia="en-GB"/>
              </w:rPr>
            </w:pPr>
            <w:r w:rsidRPr="00521670">
              <w:rPr>
                <w:lang w:val="ru-RU"/>
              </w:rPr>
              <w:t>Прочие обязательства перед сотрудниками</w:t>
            </w:r>
          </w:p>
        </w:tc>
        <w:tc>
          <w:tcPr>
            <w:tcW w:w="1523" w:type="pct"/>
            <w:tcBorders>
              <w:top w:val="nil"/>
              <w:left w:val="nil"/>
              <w:bottom w:val="nil"/>
              <w:right w:val="nil"/>
            </w:tcBorders>
            <w:shd w:val="clear" w:color="auto" w:fill="auto"/>
            <w:noWrap/>
          </w:tcPr>
          <w:p w14:paraId="3EC9975B" w14:textId="77777777" w:rsidR="00DF251A" w:rsidRPr="00521670" w:rsidRDefault="00DF251A" w:rsidP="004616C3">
            <w:pPr>
              <w:pStyle w:val="Tabletext"/>
              <w:keepNext/>
              <w:jc w:val="right"/>
              <w:rPr>
                <w:lang w:val="ru-RU" w:eastAsia="en-GB"/>
              </w:rPr>
            </w:pPr>
            <w:r w:rsidRPr="00521670">
              <w:rPr>
                <w:lang w:val="ru-RU"/>
              </w:rPr>
              <w:t>788</w:t>
            </w:r>
          </w:p>
        </w:tc>
        <w:tc>
          <w:tcPr>
            <w:tcW w:w="1366" w:type="pct"/>
            <w:tcBorders>
              <w:top w:val="nil"/>
              <w:left w:val="nil"/>
              <w:bottom w:val="nil"/>
              <w:right w:val="nil"/>
            </w:tcBorders>
            <w:shd w:val="clear" w:color="auto" w:fill="auto"/>
            <w:noWrap/>
          </w:tcPr>
          <w:p w14:paraId="56C04829" w14:textId="77777777" w:rsidR="00DF251A" w:rsidRPr="00521670" w:rsidRDefault="00DF251A" w:rsidP="004616C3">
            <w:pPr>
              <w:pStyle w:val="Tabletext"/>
              <w:keepNext/>
              <w:jc w:val="right"/>
              <w:rPr>
                <w:lang w:val="ru-RU" w:eastAsia="en-GB"/>
              </w:rPr>
            </w:pPr>
            <w:r w:rsidRPr="00521670">
              <w:rPr>
                <w:lang w:val="ru-RU"/>
              </w:rPr>
              <w:t>2 176</w:t>
            </w:r>
          </w:p>
        </w:tc>
      </w:tr>
      <w:tr w:rsidR="00DF251A" w:rsidRPr="00521670" w14:paraId="2E6B5A95" w14:textId="77777777" w:rsidTr="00405CBE">
        <w:trPr>
          <w:jc w:val="center"/>
        </w:trPr>
        <w:tc>
          <w:tcPr>
            <w:tcW w:w="2111" w:type="pct"/>
            <w:tcBorders>
              <w:top w:val="nil"/>
              <w:left w:val="nil"/>
              <w:bottom w:val="nil"/>
              <w:right w:val="nil"/>
            </w:tcBorders>
            <w:shd w:val="clear" w:color="auto" w:fill="auto"/>
            <w:noWrap/>
          </w:tcPr>
          <w:p w14:paraId="1095816C" w14:textId="77777777" w:rsidR="00DF251A" w:rsidRPr="00521670" w:rsidRDefault="00DF251A" w:rsidP="004616C3">
            <w:pPr>
              <w:pStyle w:val="Tabletext"/>
              <w:keepNext/>
              <w:rPr>
                <w:szCs w:val="18"/>
                <w:lang w:val="ru-RU"/>
              </w:rPr>
            </w:pPr>
            <w:r w:rsidRPr="00521670">
              <w:rPr>
                <w:lang w:val="ru-RU"/>
              </w:rPr>
              <w:t>Полученные товары/полученные счета-фактуры</w:t>
            </w:r>
          </w:p>
        </w:tc>
        <w:tc>
          <w:tcPr>
            <w:tcW w:w="1523" w:type="pct"/>
            <w:tcBorders>
              <w:top w:val="nil"/>
              <w:left w:val="nil"/>
              <w:bottom w:val="nil"/>
              <w:right w:val="nil"/>
            </w:tcBorders>
            <w:shd w:val="clear" w:color="auto" w:fill="auto"/>
            <w:noWrap/>
          </w:tcPr>
          <w:p w14:paraId="5292D883" w14:textId="77777777" w:rsidR="00DF251A" w:rsidRPr="00521670" w:rsidRDefault="00DF251A" w:rsidP="004616C3">
            <w:pPr>
              <w:pStyle w:val="Tabletext"/>
              <w:keepNext/>
              <w:jc w:val="right"/>
              <w:rPr>
                <w:lang w:val="ru-RU"/>
              </w:rPr>
            </w:pPr>
            <w:r w:rsidRPr="00521670">
              <w:rPr>
                <w:lang w:val="ru-RU"/>
              </w:rPr>
              <w:t>19</w:t>
            </w:r>
          </w:p>
        </w:tc>
        <w:tc>
          <w:tcPr>
            <w:tcW w:w="1366" w:type="pct"/>
            <w:tcBorders>
              <w:top w:val="nil"/>
              <w:left w:val="nil"/>
              <w:bottom w:val="nil"/>
              <w:right w:val="nil"/>
            </w:tcBorders>
            <w:shd w:val="clear" w:color="auto" w:fill="auto"/>
            <w:noWrap/>
          </w:tcPr>
          <w:p w14:paraId="6688EFFB" w14:textId="77777777" w:rsidR="00DF251A" w:rsidRPr="00521670" w:rsidRDefault="00DF251A" w:rsidP="004616C3">
            <w:pPr>
              <w:pStyle w:val="Tabletext"/>
              <w:keepNext/>
              <w:jc w:val="right"/>
              <w:rPr>
                <w:lang w:val="ru-RU"/>
              </w:rPr>
            </w:pPr>
            <w:r w:rsidRPr="00521670">
              <w:rPr>
                <w:lang w:val="ru-RU"/>
              </w:rPr>
              <w:t>202</w:t>
            </w:r>
          </w:p>
        </w:tc>
      </w:tr>
      <w:tr w:rsidR="00DF251A" w:rsidRPr="00521670" w14:paraId="3D4E1425" w14:textId="77777777" w:rsidTr="00405CBE">
        <w:trPr>
          <w:jc w:val="center"/>
        </w:trPr>
        <w:tc>
          <w:tcPr>
            <w:tcW w:w="2111" w:type="pct"/>
            <w:tcBorders>
              <w:top w:val="nil"/>
              <w:left w:val="nil"/>
              <w:bottom w:val="nil"/>
              <w:right w:val="nil"/>
            </w:tcBorders>
            <w:shd w:val="clear" w:color="auto" w:fill="auto"/>
            <w:noWrap/>
          </w:tcPr>
          <w:p w14:paraId="677EDD45" w14:textId="77777777" w:rsidR="00DF251A" w:rsidRPr="00521670" w:rsidRDefault="00DF251A" w:rsidP="004616C3">
            <w:pPr>
              <w:pStyle w:val="Tabletext"/>
              <w:keepNext/>
              <w:rPr>
                <w:szCs w:val="18"/>
                <w:lang w:val="ru-RU"/>
              </w:rPr>
            </w:pPr>
            <w:r w:rsidRPr="00521670">
              <w:rPr>
                <w:lang w:val="ru-RU"/>
              </w:rPr>
              <w:t>Резервные фонды</w:t>
            </w:r>
          </w:p>
        </w:tc>
        <w:tc>
          <w:tcPr>
            <w:tcW w:w="1523" w:type="pct"/>
            <w:tcBorders>
              <w:top w:val="nil"/>
              <w:left w:val="nil"/>
              <w:bottom w:val="nil"/>
              <w:right w:val="nil"/>
            </w:tcBorders>
            <w:shd w:val="clear" w:color="auto" w:fill="auto"/>
            <w:noWrap/>
          </w:tcPr>
          <w:p w14:paraId="08FB836D" w14:textId="77777777" w:rsidR="00DF251A" w:rsidRPr="00521670" w:rsidRDefault="00DF251A" w:rsidP="004616C3">
            <w:pPr>
              <w:pStyle w:val="Tabletext"/>
              <w:keepNext/>
              <w:jc w:val="right"/>
              <w:rPr>
                <w:lang w:val="ru-RU"/>
              </w:rPr>
            </w:pPr>
            <w:r w:rsidRPr="00521670">
              <w:rPr>
                <w:lang w:val="ru-RU"/>
              </w:rPr>
              <w:t>6 494</w:t>
            </w:r>
          </w:p>
        </w:tc>
        <w:tc>
          <w:tcPr>
            <w:tcW w:w="1366" w:type="pct"/>
            <w:tcBorders>
              <w:top w:val="nil"/>
              <w:left w:val="nil"/>
              <w:bottom w:val="nil"/>
              <w:right w:val="nil"/>
            </w:tcBorders>
            <w:shd w:val="clear" w:color="auto" w:fill="auto"/>
            <w:noWrap/>
          </w:tcPr>
          <w:p w14:paraId="33ED9A88" w14:textId="77777777" w:rsidR="00DF251A" w:rsidRPr="00521670" w:rsidRDefault="00DF251A" w:rsidP="004616C3">
            <w:pPr>
              <w:pStyle w:val="Tabletext"/>
              <w:keepNext/>
              <w:jc w:val="right"/>
              <w:rPr>
                <w:lang w:val="ru-RU"/>
              </w:rPr>
            </w:pPr>
            <w:r w:rsidRPr="00521670">
              <w:rPr>
                <w:lang w:val="ru-RU"/>
              </w:rPr>
              <w:t>1 778</w:t>
            </w:r>
          </w:p>
        </w:tc>
      </w:tr>
      <w:tr w:rsidR="00DF251A" w:rsidRPr="00521670" w14:paraId="24478343" w14:textId="77777777" w:rsidTr="00405CBE">
        <w:trPr>
          <w:jc w:val="center"/>
        </w:trPr>
        <w:tc>
          <w:tcPr>
            <w:tcW w:w="2111" w:type="pct"/>
            <w:tcBorders>
              <w:top w:val="nil"/>
              <w:left w:val="nil"/>
              <w:bottom w:val="nil"/>
              <w:right w:val="nil"/>
            </w:tcBorders>
            <w:shd w:val="clear" w:color="auto" w:fill="auto"/>
            <w:noWrap/>
          </w:tcPr>
          <w:p w14:paraId="7767A6E1" w14:textId="77777777" w:rsidR="00DF251A" w:rsidRPr="00521670" w:rsidRDefault="00DF251A" w:rsidP="004616C3">
            <w:pPr>
              <w:pStyle w:val="Tabletext"/>
              <w:keepNext/>
              <w:rPr>
                <w:szCs w:val="18"/>
                <w:lang w:val="ru-RU"/>
              </w:rPr>
            </w:pPr>
            <w:r w:rsidRPr="00521670">
              <w:rPr>
                <w:szCs w:val="18"/>
                <w:lang w:val="ru-RU"/>
              </w:rPr>
              <w:t>ПРООН</w:t>
            </w:r>
          </w:p>
        </w:tc>
        <w:tc>
          <w:tcPr>
            <w:tcW w:w="1523" w:type="pct"/>
            <w:tcBorders>
              <w:top w:val="nil"/>
              <w:left w:val="nil"/>
              <w:bottom w:val="nil"/>
              <w:right w:val="nil"/>
            </w:tcBorders>
            <w:shd w:val="clear" w:color="auto" w:fill="auto"/>
            <w:noWrap/>
          </w:tcPr>
          <w:p w14:paraId="5E7A04F7" w14:textId="77777777" w:rsidR="00DF251A" w:rsidRPr="00521670" w:rsidRDefault="00DF251A" w:rsidP="004616C3">
            <w:pPr>
              <w:pStyle w:val="Tabletext"/>
              <w:keepNext/>
              <w:jc w:val="right"/>
              <w:rPr>
                <w:lang w:val="ru-RU"/>
              </w:rPr>
            </w:pPr>
            <w:r w:rsidRPr="00521670">
              <w:rPr>
                <w:lang w:val="ru-RU"/>
              </w:rPr>
              <w:t>−</w:t>
            </w:r>
          </w:p>
        </w:tc>
        <w:tc>
          <w:tcPr>
            <w:tcW w:w="1366" w:type="pct"/>
            <w:tcBorders>
              <w:top w:val="nil"/>
              <w:left w:val="nil"/>
              <w:bottom w:val="nil"/>
              <w:right w:val="nil"/>
            </w:tcBorders>
            <w:shd w:val="clear" w:color="auto" w:fill="auto"/>
            <w:noWrap/>
          </w:tcPr>
          <w:p w14:paraId="0A1D620F" w14:textId="77777777" w:rsidR="00DF251A" w:rsidRPr="00521670" w:rsidRDefault="00DF251A" w:rsidP="004616C3">
            <w:pPr>
              <w:pStyle w:val="Tabletext"/>
              <w:keepNext/>
              <w:jc w:val="right"/>
              <w:rPr>
                <w:lang w:val="ru-RU"/>
              </w:rPr>
            </w:pPr>
            <w:r w:rsidRPr="00521670">
              <w:rPr>
                <w:lang w:val="ru-RU"/>
              </w:rPr>
              <w:t>3</w:t>
            </w:r>
          </w:p>
        </w:tc>
      </w:tr>
      <w:tr w:rsidR="00DF251A" w:rsidRPr="00521670" w14:paraId="7D853095" w14:textId="77777777" w:rsidTr="00405CBE">
        <w:trPr>
          <w:jc w:val="center"/>
        </w:trPr>
        <w:tc>
          <w:tcPr>
            <w:tcW w:w="2111" w:type="pct"/>
            <w:tcBorders>
              <w:top w:val="nil"/>
              <w:left w:val="nil"/>
              <w:bottom w:val="nil"/>
              <w:right w:val="nil"/>
            </w:tcBorders>
            <w:shd w:val="clear" w:color="000000" w:fill="0070C0"/>
            <w:noWrap/>
            <w:vAlign w:val="center"/>
            <w:hideMark/>
          </w:tcPr>
          <w:p w14:paraId="66836273" w14:textId="77777777" w:rsidR="00DF251A" w:rsidRPr="00521670" w:rsidRDefault="00DF251A" w:rsidP="00405CBE">
            <w:pPr>
              <w:pStyle w:val="Tabletext"/>
              <w:rPr>
                <w:b/>
                <w:bCs/>
                <w:lang w:val="ru-RU" w:eastAsia="en-GB"/>
              </w:rPr>
            </w:pPr>
            <w:r w:rsidRPr="00521670">
              <w:rPr>
                <w:b/>
                <w:bCs/>
                <w:lang w:val="ru-RU" w:eastAsia="en-GB"/>
              </w:rPr>
              <w:t>Всего − Прочие обязательства</w:t>
            </w:r>
          </w:p>
        </w:tc>
        <w:tc>
          <w:tcPr>
            <w:tcW w:w="1523" w:type="pct"/>
            <w:tcBorders>
              <w:top w:val="nil"/>
              <w:left w:val="nil"/>
              <w:bottom w:val="nil"/>
              <w:right w:val="nil"/>
            </w:tcBorders>
            <w:shd w:val="clear" w:color="000000" w:fill="0070C0"/>
            <w:noWrap/>
          </w:tcPr>
          <w:p w14:paraId="5964D00F" w14:textId="77777777" w:rsidR="00DF251A" w:rsidRPr="00521670" w:rsidRDefault="00DF251A" w:rsidP="004616C3">
            <w:pPr>
              <w:pStyle w:val="Tabletext"/>
              <w:jc w:val="right"/>
              <w:rPr>
                <w:b/>
                <w:bCs/>
                <w:lang w:val="ru-RU" w:eastAsia="en-GB"/>
              </w:rPr>
            </w:pPr>
            <w:r w:rsidRPr="00521670">
              <w:rPr>
                <w:b/>
                <w:bCs/>
                <w:lang w:val="ru-RU"/>
              </w:rPr>
              <w:t>8 765</w:t>
            </w:r>
          </w:p>
        </w:tc>
        <w:tc>
          <w:tcPr>
            <w:tcW w:w="1366" w:type="pct"/>
            <w:tcBorders>
              <w:top w:val="nil"/>
              <w:left w:val="nil"/>
              <w:bottom w:val="nil"/>
              <w:right w:val="nil"/>
            </w:tcBorders>
            <w:shd w:val="clear" w:color="000000" w:fill="0070C0"/>
            <w:noWrap/>
          </w:tcPr>
          <w:p w14:paraId="0B8EBA13" w14:textId="77777777" w:rsidR="00DF251A" w:rsidRPr="00521670" w:rsidRDefault="00DF251A" w:rsidP="004616C3">
            <w:pPr>
              <w:pStyle w:val="Tabletext"/>
              <w:jc w:val="right"/>
              <w:rPr>
                <w:b/>
                <w:bCs/>
                <w:lang w:val="ru-RU" w:eastAsia="en-GB"/>
              </w:rPr>
            </w:pPr>
            <w:r w:rsidRPr="00521670">
              <w:rPr>
                <w:b/>
                <w:bCs/>
                <w:lang w:val="ru-RU"/>
              </w:rPr>
              <w:t>4 835</w:t>
            </w:r>
          </w:p>
        </w:tc>
      </w:tr>
    </w:tbl>
    <w:p w14:paraId="79A5C17B" w14:textId="34B47E8F" w:rsidR="00DF251A" w:rsidRPr="00521670" w:rsidRDefault="00DF251A" w:rsidP="000267BA">
      <w:pPr>
        <w:rPr>
          <w:lang w:val="ru-RU"/>
        </w:rPr>
      </w:pPr>
      <w:r w:rsidRPr="00521670">
        <w:rPr>
          <w:lang w:val="ru-RU"/>
        </w:rPr>
        <w:t>Резервный фонд представляет собой наилучшую оценку руководством на дату закрытия счетов будущих обязательств, связанных с прошлыми событиями, по которым существует неопределенность относительно окончательной стоимости и сроков оттока ресурсов МСЭ.</w:t>
      </w:r>
    </w:p>
    <w:p w14:paraId="66FC878A" w14:textId="77777777" w:rsidR="00DF251A" w:rsidRPr="00521670" w:rsidRDefault="00DF251A" w:rsidP="000267BA">
      <w:pPr>
        <w:rPr>
          <w:lang w:val="ru-RU"/>
        </w:rPr>
      </w:pPr>
      <w:r w:rsidRPr="00521670">
        <w:rPr>
          <w:lang w:val="ru-RU"/>
        </w:rPr>
        <w:t>В частности, в него входят: i) резервный фонд для покрытия рисков и административных расходов, связанных с текущими судебными разбирательствами по делам, счета на оплату которых периодически выставляет трибунал; ii) резервный фонд для покрытия стоимости невостребованных бесплатных публикаций, которые администрации вправе запрашивать в отношении своих заявок на регистрацию спутниковых сетей (SNF); и iii) резервный фонд для выплаты суммы спонсорской поддержки в размере 5,0 млн. швейцарских франков, полученной для проекта строительства нового здания, которая должна быть возвращена в связи с прекращением действия соглашения о спонсорской помощи.</w:t>
      </w:r>
    </w:p>
    <w:p w14:paraId="00E89CB7" w14:textId="0B680CBE" w:rsidR="00DF251A" w:rsidRPr="00521670" w:rsidRDefault="00DF251A" w:rsidP="00A56E91">
      <w:pPr>
        <w:spacing w:after="120"/>
        <w:rPr>
          <w:bCs/>
          <w:lang w:val="ru-RU"/>
        </w:rPr>
      </w:pPr>
      <w:r w:rsidRPr="00521670">
        <w:rPr>
          <w:lang w:val="ru-RU"/>
        </w:rPr>
        <w:lastRenderedPageBreak/>
        <w:t xml:space="preserve">Средства резервного фонда для </w:t>
      </w:r>
      <w:r w:rsidRPr="00521670">
        <w:rPr>
          <w:bCs/>
          <w:lang w:val="ru-RU"/>
        </w:rPr>
        <w:t>SNF</w:t>
      </w:r>
      <w:r w:rsidRPr="00521670">
        <w:rPr>
          <w:lang w:val="ru-RU"/>
        </w:rPr>
        <w:t xml:space="preserve"> будут в полном объеме использованы или разблокированы в течение 2025 финансового года.</w:t>
      </w:r>
    </w:p>
    <w:tbl>
      <w:tblPr>
        <w:tblW w:w="5000" w:type="pct"/>
        <w:jc w:val="center"/>
        <w:tblLayout w:type="fixed"/>
        <w:tblLook w:val="04A0" w:firstRow="1" w:lastRow="0" w:firstColumn="1" w:lastColumn="0" w:noHBand="0" w:noVBand="1"/>
      </w:tblPr>
      <w:tblGrid>
        <w:gridCol w:w="2615"/>
        <w:gridCol w:w="807"/>
        <w:gridCol w:w="811"/>
        <w:gridCol w:w="809"/>
        <w:gridCol w:w="813"/>
        <w:gridCol w:w="809"/>
        <w:gridCol w:w="809"/>
        <w:gridCol w:w="809"/>
        <w:gridCol w:w="789"/>
      </w:tblGrid>
      <w:tr w:rsidR="00DF251A" w:rsidRPr="00521670" w14:paraId="010ED613" w14:textId="77777777" w:rsidTr="00E30179">
        <w:trPr>
          <w:jc w:val="center"/>
        </w:trPr>
        <w:tc>
          <w:tcPr>
            <w:tcW w:w="1441" w:type="pct"/>
            <w:vMerge w:val="restart"/>
            <w:tcBorders>
              <w:top w:val="nil"/>
              <w:left w:val="nil"/>
              <w:bottom w:val="nil"/>
              <w:right w:val="nil"/>
            </w:tcBorders>
            <w:shd w:val="clear" w:color="000000" w:fill="0070C0"/>
            <w:noWrap/>
            <w:vAlign w:val="center"/>
            <w:hideMark/>
          </w:tcPr>
          <w:p w14:paraId="76D0DB50" w14:textId="31BD91DE" w:rsidR="00DF251A" w:rsidRPr="00521670" w:rsidRDefault="00DF251A" w:rsidP="00835292">
            <w:pPr>
              <w:pStyle w:val="Tablehead"/>
              <w:spacing w:before="60" w:after="60"/>
              <w:rPr>
                <w:lang w:val="ru-RU" w:eastAsia="en-GB"/>
              </w:rPr>
            </w:pPr>
            <w:r w:rsidRPr="00521670">
              <w:rPr>
                <w:lang w:val="ru-RU" w:eastAsia="en-GB"/>
              </w:rPr>
              <w:t>Описание (тыс. шв. фр.)</w:t>
            </w:r>
          </w:p>
        </w:tc>
        <w:tc>
          <w:tcPr>
            <w:tcW w:w="892" w:type="pct"/>
            <w:gridSpan w:val="2"/>
            <w:vMerge w:val="restart"/>
            <w:tcBorders>
              <w:top w:val="nil"/>
              <w:left w:val="nil"/>
              <w:right w:val="nil"/>
            </w:tcBorders>
            <w:shd w:val="clear" w:color="000000" w:fill="0070C0"/>
          </w:tcPr>
          <w:p w14:paraId="457A8D2A" w14:textId="77777777" w:rsidR="00DF251A" w:rsidRPr="00521670" w:rsidRDefault="00DF251A" w:rsidP="00D32890">
            <w:pPr>
              <w:pStyle w:val="Tablehead"/>
              <w:spacing w:before="60" w:after="60"/>
              <w:rPr>
                <w:lang w:val="ru-RU" w:eastAsia="en-GB"/>
              </w:rPr>
            </w:pPr>
            <w:r w:rsidRPr="00521670">
              <w:rPr>
                <w:lang w:val="ru-RU" w:eastAsia="en-GB"/>
              </w:rPr>
              <w:t>Резерв для возврата суммы спонсорской поддержки на строительство нового здания</w:t>
            </w:r>
          </w:p>
        </w:tc>
        <w:tc>
          <w:tcPr>
            <w:tcW w:w="894" w:type="pct"/>
            <w:gridSpan w:val="2"/>
            <w:vMerge w:val="restart"/>
            <w:tcBorders>
              <w:top w:val="nil"/>
              <w:left w:val="nil"/>
              <w:right w:val="nil"/>
            </w:tcBorders>
            <w:shd w:val="clear" w:color="000000" w:fill="0070C0"/>
            <w:noWrap/>
            <w:vAlign w:val="center"/>
          </w:tcPr>
          <w:p w14:paraId="09866871" w14:textId="77777777" w:rsidR="00DF251A" w:rsidRPr="00521670" w:rsidRDefault="00DF251A" w:rsidP="00835292">
            <w:pPr>
              <w:pStyle w:val="Tablehead"/>
              <w:spacing w:before="60" w:after="60"/>
              <w:rPr>
                <w:lang w:val="ru-RU" w:eastAsia="en-GB"/>
              </w:rPr>
            </w:pPr>
            <w:r w:rsidRPr="00521670">
              <w:rPr>
                <w:lang w:val="ru-RU" w:eastAsia="en-GB"/>
              </w:rPr>
              <w:t>Регистрация спутниковых сетей</w:t>
            </w:r>
          </w:p>
        </w:tc>
        <w:tc>
          <w:tcPr>
            <w:tcW w:w="892" w:type="pct"/>
            <w:gridSpan w:val="2"/>
            <w:vMerge w:val="restart"/>
            <w:tcBorders>
              <w:top w:val="nil"/>
              <w:left w:val="nil"/>
              <w:right w:val="nil"/>
            </w:tcBorders>
            <w:shd w:val="clear" w:color="000000" w:fill="0070C0"/>
            <w:noWrap/>
            <w:vAlign w:val="center"/>
          </w:tcPr>
          <w:p w14:paraId="046164E9" w14:textId="77777777" w:rsidR="00DF251A" w:rsidRPr="00521670" w:rsidRDefault="00DF251A" w:rsidP="00835292">
            <w:pPr>
              <w:pStyle w:val="Tablehead"/>
              <w:spacing w:before="60" w:after="60"/>
              <w:rPr>
                <w:lang w:val="ru-RU" w:eastAsia="en-GB"/>
              </w:rPr>
            </w:pPr>
            <w:r w:rsidRPr="00521670">
              <w:rPr>
                <w:szCs w:val="18"/>
                <w:lang w:val="ru-RU"/>
              </w:rPr>
              <w:t>Урегулирование споров</w:t>
            </w:r>
          </w:p>
        </w:tc>
        <w:tc>
          <w:tcPr>
            <w:tcW w:w="882" w:type="pct"/>
            <w:gridSpan w:val="2"/>
            <w:tcBorders>
              <w:top w:val="nil"/>
              <w:left w:val="nil"/>
              <w:bottom w:val="nil"/>
              <w:right w:val="nil"/>
            </w:tcBorders>
            <w:shd w:val="clear" w:color="000000" w:fill="0070C0"/>
            <w:noWrap/>
            <w:vAlign w:val="center"/>
            <w:hideMark/>
          </w:tcPr>
          <w:p w14:paraId="2768F86B" w14:textId="77777777" w:rsidR="00DF251A" w:rsidRPr="00521670" w:rsidRDefault="00DF251A" w:rsidP="00835292">
            <w:pPr>
              <w:pStyle w:val="Tablehead"/>
              <w:spacing w:before="60" w:after="60"/>
              <w:rPr>
                <w:lang w:val="ru-RU" w:eastAsia="en-GB"/>
              </w:rPr>
            </w:pPr>
            <w:r w:rsidRPr="00521670">
              <w:rPr>
                <w:lang w:val="ru-RU" w:eastAsia="en-GB"/>
              </w:rPr>
              <w:t>Всего</w:t>
            </w:r>
          </w:p>
        </w:tc>
      </w:tr>
      <w:tr w:rsidR="00DF251A" w:rsidRPr="00521670" w14:paraId="602BF106" w14:textId="77777777" w:rsidTr="00E30179">
        <w:trPr>
          <w:trHeight w:val="340"/>
          <w:jc w:val="center"/>
        </w:trPr>
        <w:tc>
          <w:tcPr>
            <w:tcW w:w="1441" w:type="pct"/>
            <w:vMerge/>
            <w:tcBorders>
              <w:top w:val="nil"/>
              <w:left w:val="nil"/>
              <w:bottom w:val="nil"/>
              <w:right w:val="nil"/>
            </w:tcBorders>
            <w:vAlign w:val="center"/>
            <w:hideMark/>
          </w:tcPr>
          <w:p w14:paraId="31374908" w14:textId="77777777" w:rsidR="00DF251A" w:rsidRPr="00521670" w:rsidRDefault="00DF251A" w:rsidP="00835292">
            <w:pPr>
              <w:pStyle w:val="Tablehead"/>
              <w:spacing w:before="60" w:after="60"/>
              <w:rPr>
                <w:lang w:val="ru-RU" w:eastAsia="en-GB"/>
              </w:rPr>
            </w:pPr>
          </w:p>
        </w:tc>
        <w:tc>
          <w:tcPr>
            <w:tcW w:w="892" w:type="pct"/>
            <w:gridSpan w:val="2"/>
            <w:vMerge/>
            <w:tcBorders>
              <w:left w:val="nil"/>
              <w:bottom w:val="nil"/>
              <w:right w:val="nil"/>
            </w:tcBorders>
            <w:shd w:val="clear" w:color="000000" w:fill="0070C0"/>
          </w:tcPr>
          <w:p w14:paraId="30F97F3E" w14:textId="77777777" w:rsidR="00DF251A" w:rsidRPr="00521670" w:rsidRDefault="00DF251A" w:rsidP="00835292">
            <w:pPr>
              <w:pStyle w:val="Tablehead"/>
              <w:spacing w:before="60" w:after="60"/>
              <w:rPr>
                <w:lang w:val="ru-RU" w:eastAsia="en-GB"/>
              </w:rPr>
            </w:pPr>
          </w:p>
        </w:tc>
        <w:tc>
          <w:tcPr>
            <w:tcW w:w="894" w:type="pct"/>
            <w:gridSpan w:val="2"/>
            <w:vMerge/>
            <w:tcBorders>
              <w:left w:val="nil"/>
              <w:bottom w:val="nil"/>
              <w:right w:val="nil"/>
            </w:tcBorders>
            <w:shd w:val="clear" w:color="000000" w:fill="0070C0"/>
            <w:noWrap/>
            <w:vAlign w:val="center"/>
            <w:hideMark/>
          </w:tcPr>
          <w:p w14:paraId="6E932980" w14:textId="77777777" w:rsidR="00DF251A" w:rsidRPr="00521670" w:rsidRDefault="00DF251A" w:rsidP="00835292">
            <w:pPr>
              <w:pStyle w:val="Tablehead"/>
              <w:spacing w:before="60" w:after="60"/>
              <w:rPr>
                <w:lang w:val="ru-RU" w:eastAsia="en-GB"/>
              </w:rPr>
            </w:pPr>
          </w:p>
        </w:tc>
        <w:tc>
          <w:tcPr>
            <w:tcW w:w="892" w:type="pct"/>
            <w:gridSpan w:val="2"/>
            <w:vMerge/>
            <w:tcBorders>
              <w:left w:val="nil"/>
              <w:bottom w:val="nil"/>
              <w:right w:val="nil"/>
            </w:tcBorders>
            <w:shd w:val="clear" w:color="000000" w:fill="0070C0"/>
            <w:noWrap/>
            <w:vAlign w:val="center"/>
            <w:hideMark/>
          </w:tcPr>
          <w:p w14:paraId="1EAC0FFF" w14:textId="77777777" w:rsidR="00DF251A" w:rsidRPr="00521670" w:rsidRDefault="00DF251A" w:rsidP="00835292">
            <w:pPr>
              <w:pStyle w:val="Tablehead"/>
              <w:spacing w:before="60" w:after="60"/>
              <w:rPr>
                <w:lang w:val="ru-RU" w:eastAsia="en-GB"/>
              </w:rPr>
            </w:pPr>
          </w:p>
        </w:tc>
        <w:tc>
          <w:tcPr>
            <w:tcW w:w="446" w:type="pct"/>
            <w:vMerge w:val="restart"/>
            <w:tcBorders>
              <w:top w:val="nil"/>
              <w:left w:val="nil"/>
              <w:right w:val="nil"/>
            </w:tcBorders>
            <w:shd w:val="clear" w:color="000000" w:fill="0070C0"/>
            <w:vAlign w:val="center"/>
            <w:hideMark/>
          </w:tcPr>
          <w:p w14:paraId="49EE6880" w14:textId="77777777" w:rsidR="00DF251A" w:rsidRPr="00521670" w:rsidRDefault="00DF251A" w:rsidP="00D42EC6">
            <w:pPr>
              <w:pStyle w:val="Tablehead"/>
              <w:spacing w:before="60" w:after="60"/>
              <w:ind w:left="-57" w:right="-57"/>
              <w:rPr>
                <w:lang w:val="ru-RU" w:eastAsia="en-GB"/>
              </w:rPr>
            </w:pPr>
            <w:r w:rsidRPr="00521670">
              <w:rPr>
                <w:lang w:val="ru-RU" w:eastAsia="en-GB"/>
              </w:rPr>
              <w:t>31 декабря 2024 г.</w:t>
            </w:r>
          </w:p>
        </w:tc>
        <w:tc>
          <w:tcPr>
            <w:tcW w:w="436" w:type="pct"/>
            <w:vMerge w:val="restart"/>
            <w:tcBorders>
              <w:top w:val="nil"/>
              <w:left w:val="nil"/>
              <w:right w:val="nil"/>
            </w:tcBorders>
            <w:shd w:val="clear" w:color="000000" w:fill="0070C0"/>
            <w:vAlign w:val="center"/>
            <w:hideMark/>
          </w:tcPr>
          <w:p w14:paraId="5A2BDF8C" w14:textId="77777777" w:rsidR="00DF251A" w:rsidRPr="00521670" w:rsidRDefault="00DF251A" w:rsidP="00D42EC6">
            <w:pPr>
              <w:pStyle w:val="Tablehead"/>
              <w:spacing w:before="60" w:after="60"/>
              <w:ind w:left="-57" w:right="-57"/>
              <w:rPr>
                <w:lang w:val="ru-RU" w:eastAsia="en-GB"/>
              </w:rPr>
            </w:pPr>
            <w:r w:rsidRPr="00521670">
              <w:rPr>
                <w:lang w:val="ru-RU" w:eastAsia="en-GB"/>
              </w:rPr>
              <w:t>31 декабря 2023 г.</w:t>
            </w:r>
          </w:p>
        </w:tc>
      </w:tr>
      <w:tr w:rsidR="00DF251A" w:rsidRPr="00521670" w14:paraId="7DD7733C" w14:textId="77777777" w:rsidTr="00E30179">
        <w:trPr>
          <w:jc w:val="center"/>
        </w:trPr>
        <w:tc>
          <w:tcPr>
            <w:tcW w:w="1441" w:type="pct"/>
            <w:vMerge/>
            <w:tcBorders>
              <w:top w:val="nil"/>
              <w:left w:val="nil"/>
              <w:bottom w:val="nil"/>
              <w:right w:val="nil"/>
            </w:tcBorders>
            <w:vAlign w:val="center"/>
            <w:hideMark/>
          </w:tcPr>
          <w:p w14:paraId="10CA53FE" w14:textId="77777777" w:rsidR="00DF251A" w:rsidRPr="00521670" w:rsidRDefault="00DF251A" w:rsidP="00A56E91">
            <w:pPr>
              <w:pStyle w:val="Tablehead"/>
              <w:spacing w:before="60" w:after="60"/>
              <w:rPr>
                <w:lang w:val="ru-RU" w:eastAsia="en-GB"/>
              </w:rPr>
            </w:pPr>
          </w:p>
        </w:tc>
        <w:tc>
          <w:tcPr>
            <w:tcW w:w="445" w:type="pct"/>
            <w:tcBorders>
              <w:top w:val="nil"/>
              <w:left w:val="nil"/>
              <w:bottom w:val="nil"/>
              <w:right w:val="nil"/>
            </w:tcBorders>
            <w:shd w:val="clear" w:color="000000" w:fill="0070C0"/>
            <w:vAlign w:val="center"/>
          </w:tcPr>
          <w:p w14:paraId="3D04DE76" w14:textId="77777777" w:rsidR="00DF251A" w:rsidRPr="00521670" w:rsidRDefault="00DF251A" w:rsidP="00A56E91">
            <w:pPr>
              <w:pStyle w:val="Tablehead"/>
              <w:spacing w:before="60" w:after="60"/>
              <w:rPr>
                <w:lang w:val="ru-RU" w:eastAsia="en-GB"/>
              </w:rPr>
            </w:pPr>
            <w:r w:rsidRPr="00521670">
              <w:rPr>
                <w:lang w:val="ru-RU" w:eastAsia="en-GB"/>
              </w:rPr>
              <w:t>2024 г.</w:t>
            </w:r>
          </w:p>
        </w:tc>
        <w:tc>
          <w:tcPr>
            <w:tcW w:w="447" w:type="pct"/>
            <w:tcBorders>
              <w:top w:val="nil"/>
              <w:left w:val="nil"/>
              <w:bottom w:val="nil"/>
              <w:right w:val="nil"/>
            </w:tcBorders>
            <w:shd w:val="clear" w:color="000000" w:fill="0070C0"/>
            <w:vAlign w:val="center"/>
          </w:tcPr>
          <w:p w14:paraId="7ED72EA1" w14:textId="77777777" w:rsidR="00DF251A" w:rsidRPr="00521670" w:rsidRDefault="00DF251A" w:rsidP="00A56E91">
            <w:pPr>
              <w:pStyle w:val="Tablehead"/>
              <w:spacing w:before="60" w:after="60"/>
              <w:rPr>
                <w:lang w:val="ru-RU" w:eastAsia="en-GB"/>
              </w:rPr>
            </w:pPr>
            <w:r w:rsidRPr="00521670">
              <w:rPr>
                <w:lang w:val="ru-RU" w:eastAsia="en-GB"/>
              </w:rPr>
              <w:t>2023 г.</w:t>
            </w:r>
          </w:p>
        </w:tc>
        <w:tc>
          <w:tcPr>
            <w:tcW w:w="446" w:type="pct"/>
            <w:tcBorders>
              <w:top w:val="nil"/>
              <w:left w:val="nil"/>
              <w:bottom w:val="nil"/>
              <w:right w:val="nil"/>
            </w:tcBorders>
            <w:shd w:val="clear" w:color="000000" w:fill="0070C0"/>
            <w:noWrap/>
            <w:vAlign w:val="center"/>
            <w:hideMark/>
          </w:tcPr>
          <w:p w14:paraId="2024C78F" w14:textId="77777777" w:rsidR="00DF251A" w:rsidRPr="00521670" w:rsidRDefault="00DF251A" w:rsidP="00A56E91">
            <w:pPr>
              <w:pStyle w:val="Tablehead"/>
              <w:spacing w:before="60" w:after="60"/>
              <w:rPr>
                <w:lang w:val="ru-RU" w:eastAsia="en-GB"/>
              </w:rPr>
            </w:pPr>
            <w:r w:rsidRPr="00521670">
              <w:rPr>
                <w:lang w:val="ru-RU" w:eastAsia="en-GB"/>
              </w:rPr>
              <w:t>2024 г.</w:t>
            </w:r>
          </w:p>
        </w:tc>
        <w:tc>
          <w:tcPr>
            <w:tcW w:w="448" w:type="pct"/>
            <w:tcBorders>
              <w:top w:val="nil"/>
              <w:left w:val="nil"/>
              <w:bottom w:val="nil"/>
              <w:right w:val="nil"/>
            </w:tcBorders>
            <w:shd w:val="clear" w:color="000000" w:fill="0070C0"/>
            <w:noWrap/>
            <w:vAlign w:val="center"/>
            <w:hideMark/>
          </w:tcPr>
          <w:p w14:paraId="3E08702C" w14:textId="77777777" w:rsidR="00DF251A" w:rsidRPr="00521670" w:rsidRDefault="00DF251A" w:rsidP="00A56E91">
            <w:pPr>
              <w:pStyle w:val="Tablehead"/>
              <w:spacing w:before="60" w:after="60"/>
              <w:rPr>
                <w:lang w:val="ru-RU" w:eastAsia="en-GB"/>
              </w:rPr>
            </w:pPr>
            <w:r w:rsidRPr="00521670">
              <w:rPr>
                <w:lang w:val="ru-RU" w:eastAsia="en-GB"/>
              </w:rPr>
              <w:t>2023 г.</w:t>
            </w:r>
          </w:p>
        </w:tc>
        <w:tc>
          <w:tcPr>
            <w:tcW w:w="446" w:type="pct"/>
            <w:tcBorders>
              <w:top w:val="nil"/>
              <w:left w:val="nil"/>
              <w:bottom w:val="nil"/>
              <w:right w:val="nil"/>
            </w:tcBorders>
            <w:shd w:val="clear" w:color="000000" w:fill="0070C0"/>
            <w:noWrap/>
            <w:vAlign w:val="center"/>
            <w:hideMark/>
          </w:tcPr>
          <w:p w14:paraId="64C41CCD" w14:textId="77777777" w:rsidR="00DF251A" w:rsidRPr="00521670" w:rsidRDefault="00DF251A" w:rsidP="00A56E91">
            <w:pPr>
              <w:pStyle w:val="Tablehead"/>
              <w:spacing w:before="60" w:after="60"/>
              <w:rPr>
                <w:lang w:val="ru-RU" w:eastAsia="en-GB"/>
              </w:rPr>
            </w:pPr>
            <w:r w:rsidRPr="00521670">
              <w:rPr>
                <w:lang w:val="ru-RU" w:eastAsia="en-GB"/>
              </w:rPr>
              <w:t>2024 г.</w:t>
            </w:r>
          </w:p>
        </w:tc>
        <w:tc>
          <w:tcPr>
            <w:tcW w:w="446" w:type="pct"/>
            <w:tcBorders>
              <w:top w:val="nil"/>
              <w:left w:val="nil"/>
              <w:bottom w:val="nil"/>
              <w:right w:val="nil"/>
            </w:tcBorders>
            <w:shd w:val="clear" w:color="000000" w:fill="0070C0"/>
            <w:noWrap/>
            <w:vAlign w:val="center"/>
            <w:hideMark/>
          </w:tcPr>
          <w:p w14:paraId="5291D5FD" w14:textId="77777777" w:rsidR="00DF251A" w:rsidRPr="00521670" w:rsidRDefault="00DF251A" w:rsidP="00A56E91">
            <w:pPr>
              <w:pStyle w:val="Tablehead"/>
              <w:spacing w:before="60" w:after="60"/>
              <w:rPr>
                <w:lang w:val="ru-RU" w:eastAsia="en-GB"/>
              </w:rPr>
            </w:pPr>
            <w:r w:rsidRPr="00521670">
              <w:rPr>
                <w:lang w:val="ru-RU" w:eastAsia="en-GB"/>
              </w:rPr>
              <w:t>2023 г.</w:t>
            </w:r>
          </w:p>
        </w:tc>
        <w:tc>
          <w:tcPr>
            <w:tcW w:w="446" w:type="pct"/>
            <w:vMerge/>
            <w:tcBorders>
              <w:left w:val="nil"/>
              <w:bottom w:val="nil"/>
              <w:right w:val="nil"/>
            </w:tcBorders>
            <w:shd w:val="clear" w:color="000000" w:fill="0070C0"/>
            <w:vAlign w:val="center"/>
            <w:hideMark/>
          </w:tcPr>
          <w:p w14:paraId="3FCB2BDE" w14:textId="77777777" w:rsidR="00DF251A" w:rsidRPr="00521670" w:rsidRDefault="00DF251A" w:rsidP="00A56E91">
            <w:pPr>
              <w:pStyle w:val="Tablehead"/>
              <w:spacing w:before="60" w:after="60"/>
              <w:rPr>
                <w:lang w:val="ru-RU" w:eastAsia="en-GB"/>
              </w:rPr>
            </w:pPr>
          </w:p>
        </w:tc>
        <w:tc>
          <w:tcPr>
            <w:tcW w:w="436" w:type="pct"/>
            <w:vMerge/>
            <w:tcBorders>
              <w:left w:val="nil"/>
              <w:bottom w:val="nil"/>
              <w:right w:val="nil"/>
            </w:tcBorders>
            <w:shd w:val="clear" w:color="000000" w:fill="0070C0"/>
            <w:vAlign w:val="center"/>
            <w:hideMark/>
          </w:tcPr>
          <w:p w14:paraId="705EBF22" w14:textId="77777777" w:rsidR="00DF251A" w:rsidRPr="00521670" w:rsidRDefault="00DF251A" w:rsidP="00A56E91">
            <w:pPr>
              <w:pStyle w:val="Tablehead"/>
              <w:spacing w:before="60" w:after="60"/>
              <w:rPr>
                <w:lang w:val="ru-RU" w:eastAsia="en-GB"/>
              </w:rPr>
            </w:pPr>
          </w:p>
        </w:tc>
      </w:tr>
      <w:tr w:rsidR="00DF251A" w:rsidRPr="00521670" w14:paraId="7BB8F023" w14:textId="77777777" w:rsidTr="00E30179">
        <w:trPr>
          <w:jc w:val="center"/>
        </w:trPr>
        <w:tc>
          <w:tcPr>
            <w:tcW w:w="1441" w:type="pct"/>
            <w:tcBorders>
              <w:top w:val="nil"/>
              <w:left w:val="nil"/>
              <w:bottom w:val="nil"/>
              <w:right w:val="nil"/>
            </w:tcBorders>
            <w:shd w:val="clear" w:color="000000" w:fill="auto"/>
            <w:noWrap/>
            <w:hideMark/>
          </w:tcPr>
          <w:p w14:paraId="4D6CB69D" w14:textId="77777777" w:rsidR="00DF251A" w:rsidRPr="00521670" w:rsidRDefault="00DF251A" w:rsidP="00A56E91">
            <w:pPr>
              <w:pStyle w:val="Tabletext"/>
              <w:keepNext/>
              <w:rPr>
                <w:lang w:val="ru-RU" w:eastAsia="en-GB"/>
              </w:rPr>
            </w:pPr>
            <w:r w:rsidRPr="00521670">
              <w:rPr>
                <w:szCs w:val="18"/>
                <w:lang w:val="ru-RU"/>
              </w:rPr>
              <w:t>Начальное сальдо</w:t>
            </w:r>
          </w:p>
        </w:tc>
        <w:tc>
          <w:tcPr>
            <w:tcW w:w="445" w:type="pct"/>
            <w:tcBorders>
              <w:top w:val="nil"/>
              <w:left w:val="nil"/>
              <w:bottom w:val="nil"/>
              <w:right w:val="nil"/>
            </w:tcBorders>
            <w:vAlign w:val="bottom"/>
          </w:tcPr>
          <w:p w14:paraId="5EA67B93" w14:textId="77777777" w:rsidR="00DF251A" w:rsidRPr="00521670" w:rsidRDefault="00DF251A" w:rsidP="00A56E91">
            <w:pPr>
              <w:pStyle w:val="Tabletext"/>
              <w:keepNext/>
              <w:jc w:val="right"/>
              <w:rPr>
                <w:lang w:val="ru-RU" w:eastAsia="en-GB"/>
              </w:rPr>
            </w:pPr>
            <w:r w:rsidRPr="00521670">
              <w:rPr>
                <w:lang w:val="ru-RU" w:eastAsia="en-GB"/>
              </w:rPr>
              <w:t>−</w:t>
            </w:r>
          </w:p>
        </w:tc>
        <w:tc>
          <w:tcPr>
            <w:tcW w:w="447" w:type="pct"/>
            <w:tcBorders>
              <w:top w:val="nil"/>
              <w:left w:val="nil"/>
              <w:bottom w:val="nil"/>
              <w:right w:val="nil"/>
            </w:tcBorders>
            <w:vAlign w:val="bottom"/>
          </w:tcPr>
          <w:p w14:paraId="33DFAEBD" w14:textId="77777777" w:rsidR="00DF251A" w:rsidRPr="00521670" w:rsidRDefault="00DF251A" w:rsidP="00A56E91">
            <w:pPr>
              <w:pStyle w:val="Tabletext"/>
              <w:keepNext/>
              <w:jc w:val="right"/>
              <w:rPr>
                <w:lang w:val="ru-RU" w:eastAsia="en-GB"/>
              </w:rPr>
            </w:pPr>
            <w:r w:rsidRPr="00521670">
              <w:rPr>
                <w:lang w:val="ru-RU" w:eastAsia="en-GB"/>
              </w:rPr>
              <w:t>−</w:t>
            </w:r>
          </w:p>
        </w:tc>
        <w:tc>
          <w:tcPr>
            <w:tcW w:w="446" w:type="pct"/>
            <w:tcBorders>
              <w:top w:val="nil"/>
              <w:left w:val="nil"/>
              <w:bottom w:val="nil"/>
              <w:right w:val="nil"/>
            </w:tcBorders>
            <w:shd w:val="clear" w:color="auto" w:fill="auto"/>
            <w:noWrap/>
            <w:vAlign w:val="bottom"/>
            <w:hideMark/>
          </w:tcPr>
          <w:p w14:paraId="273F5790" w14:textId="77777777" w:rsidR="00DF251A" w:rsidRPr="00521670" w:rsidRDefault="00DF251A" w:rsidP="00A56E91">
            <w:pPr>
              <w:pStyle w:val="Tabletext"/>
              <w:keepNext/>
              <w:jc w:val="right"/>
              <w:rPr>
                <w:lang w:val="ru-RU" w:eastAsia="en-GB"/>
              </w:rPr>
            </w:pPr>
            <w:r w:rsidRPr="00521670">
              <w:rPr>
                <w:lang w:val="ru-RU"/>
              </w:rPr>
              <w:t>693</w:t>
            </w:r>
          </w:p>
        </w:tc>
        <w:tc>
          <w:tcPr>
            <w:tcW w:w="448" w:type="pct"/>
            <w:tcBorders>
              <w:top w:val="nil"/>
              <w:left w:val="nil"/>
              <w:bottom w:val="nil"/>
              <w:right w:val="nil"/>
            </w:tcBorders>
            <w:shd w:val="clear" w:color="auto" w:fill="auto"/>
            <w:noWrap/>
            <w:vAlign w:val="bottom"/>
            <w:hideMark/>
          </w:tcPr>
          <w:p w14:paraId="440EED0E" w14:textId="77777777" w:rsidR="00DF251A" w:rsidRPr="00521670" w:rsidRDefault="00DF251A" w:rsidP="00A56E91">
            <w:pPr>
              <w:pStyle w:val="Tabletext"/>
              <w:keepNext/>
              <w:jc w:val="right"/>
              <w:rPr>
                <w:lang w:val="ru-RU" w:eastAsia="en-GB"/>
              </w:rPr>
            </w:pPr>
            <w:r w:rsidRPr="00521670">
              <w:rPr>
                <w:lang w:val="ru-RU"/>
              </w:rPr>
              <w:t>370</w:t>
            </w:r>
          </w:p>
        </w:tc>
        <w:tc>
          <w:tcPr>
            <w:tcW w:w="446" w:type="pct"/>
            <w:tcBorders>
              <w:top w:val="nil"/>
              <w:left w:val="nil"/>
              <w:bottom w:val="nil"/>
              <w:right w:val="nil"/>
            </w:tcBorders>
            <w:shd w:val="clear" w:color="auto" w:fill="auto"/>
            <w:noWrap/>
            <w:vAlign w:val="bottom"/>
            <w:hideMark/>
          </w:tcPr>
          <w:p w14:paraId="0BA8FF57" w14:textId="77777777" w:rsidR="00DF251A" w:rsidRPr="00521670" w:rsidRDefault="00DF251A" w:rsidP="00A56E91">
            <w:pPr>
              <w:pStyle w:val="Tabletext"/>
              <w:keepNext/>
              <w:jc w:val="right"/>
              <w:rPr>
                <w:lang w:val="ru-RU" w:eastAsia="en-GB"/>
              </w:rPr>
            </w:pPr>
            <w:r w:rsidRPr="00521670">
              <w:rPr>
                <w:lang w:val="ru-RU"/>
              </w:rPr>
              <w:t>1 085</w:t>
            </w:r>
          </w:p>
        </w:tc>
        <w:tc>
          <w:tcPr>
            <w:tcW w:w="446" w:type="pct"/>
            <w:tcBorders>
              <w:top w:val="nil"/>
              <w:left w:val="nil"/>
              <w:bottom w:val="nil"/>
              <w:right w:val="nil"/>
            </w:tcBorders>
            <w:shd w:val="clear" w:color="auto" w:fill="auto"/>
            <w:noWrap/>
            <w:vAlign w:val="bottom"/>
            <w:hideMark/>
          </w:tcPr>
          <w:p w14:paraId="6D586A7E" w14:textId="77777777" w:rsidR="00DF251A" w:rsidRPr="00521670" w:rsidRDefault="00DF251A" w:rsidP="00A56E91">
            <w:pPr>
              <w:pStyle w:val="Tabletext"/>
              <w:keepNext/>
              <w:jc w:val="right"/>
              <w:rPr>
                <w:lang w:val="ru-RU" w:eastAsia="en-GB"/>
              </w:rPr>
            </w:pPr>
            <w:r w:rsidRPr="00521670">
              <w:rPr>
                <w:lang w:val="ru-RU"/>
              </w:rPr>
              <w:t>1 089</w:t>
            </w:r>
          </w:p>
        </w:tc>
        <w:tc>
          <w:tcPr>
            <w:tcW w:w="446" w:type="pct"/>
            <w:tcBorders>
              <w:top w:val="nil"/>
              <w:left w:val="nil"/>
              <w:bottom w:val="nil"/>
              <w:right w:val="nil"/>
            </w:tcBorders>
            <w:shd w:val="clear" w:color="auto" w:fill="auto"/>
            <w:noWrap/>
            <w:vAlign w:val="bottom"/>
            <w:hideMark/>
          </w:tcPr>
          <w:p w14:paraId="73FA6552" w14:textId="77777777" w:rsidR="00DF251A" w:rsidRPr="00521670" w:rsidRDefault="00DF251A" w:rsidP="00A56E91">
            <w:pPr>
              <w:pStyle w:val="Tabletext"/>
              <w:keepNext/>
              <w:jc w:val="right"/>
              <w:rPr>
                <w:b/>
                <w:bCs/>
                <w:lang w:val="ru-RU" w:eastAsia="en-GB"/>
              </w:rPr>
            </w:pPr>
            <w:r w:rsidRPr="00521670">
              <w:rPr>
                <w:b/>
                <w:bCs/>
                <w:lang w:val="ru-RU"/>
              </w:rPr>
              <w:t>1 778</w:t>
            </w:r>
          </w:p>
        </w:tc>
        <w:tc>
          <w:tcPr>
            <w:tcW w:w="436" w:type="pct"/>
            <w:tcBorders>
              <w:top w:val="nil"/>
              <w:left w:val="nil"/>
              <w:bottom w:val="nil"/>
              <w:right w:val="nil"/>
            </w:tcBorders>
            <w:shd w:val="clear" w:color="000000" w:fill="auto"/>
            <w:noWrap/>
            <w:vAlign w:val="bottom"/>
            <w:hideMark/>
          </w:tcPr>
          <w:p w14:paraId="680DFD3D" w14:textId="77777777" w:rsidR="00DF251A" w:rsidRPr="00521670" w:rsidRDefault="00DF251A" w:rsidP="00A56E91">
            <w:pPr>
              <w:pStyle w:val="Tabletext"/>
              <w:keepNext/>
              <w:jc w:val="right"/>
              <w:rPr>
                <w:b/>
                <w:bCs/>
                <w:lang w:val="ru-RU" w:eastAsia="en-GB"/>
              </w:rPr>
            </w:pPr>
            <w:r w:rsidRPr="00521670">
              <w:rPr>
                <w:b/>
                <w:bCs/>
                <w:lang w:val="ru-RU"/>
              </w:rPr>
              <w:t>1 459</w:t>
            </w:r>
          </w:p>
        </w:tc>
      </w:tr>
      <w:tr w:rsidR="00DF251A" w:rsidRPr="00521670" w14:paraId="049E4C39" w14:textId="77777777" w:rsidTr="00E30179">
        <w:trPr>
          <w:jc w:val="center"/>
        </w:trPr>
        <w:tc>
          <w:tcPr>
            <w:tcW w:w="1441" w:type="pct"/>
            <w:tcBorders>
              <w:top w:val="nil"/>
              <w:left w:val="nil"/>
              <w:bottom w:val="nil"/>
              <w:right w:val="nil"/>
            </w:tcBorders>
            <w:shd w:val="clear" w:color="000000" w:fill="auto"/>
            <w:noWrap/>
            <w:hideMark/>
          </w:tcPr>
          <w:p w14:paraId="00E16CE6" w14:textId="77777777" w:rsidR="00DF251A" w:rsidRPr="00521670" w:rsidRDefault="00DF251A" w:rsidP="00A56E91">
            <w:pPr>
              <w:pStyle w:val="Tabletext"/>
              <w:keepNext/>
              <w:rPr>
                <w:lang w:val="ru-RU" w:eastAsia="en-GB"/>
              </w:rPr>
            </w:pPr>
            <w:r w:rsidRPr="00521670">
              <w:rPr>
                <w:szCs w:val="18"/>
                <w:lang w:val="ru-RU"/>
              </w:rPr>
              <w:t>Увеличение</w:t>
            </w:r>
          </w:p>
        </w:tc>
        <w:tc>
          <w:tcPr>
            <w:tcW w:w="445" w:type="pct"/>
            <w:tcBorders>
              <w:top w:val="nil"/>
              <w:left w:val="nil"/>
              <w:bottom w:val="nil"/>
              <w:right w:val="nil"/>
            </w:tcBorders>
            <w:vAlign w:val="bottom"/>
          </w:tcPr>
          <w:p w14:paraId="631B6288" w14:textId="77777777" w:rsidR="00DF251A" w:rsidRPr="00521670" w:rsidRDefault="00DF251A" w:rsidP="00A56E91">
            <w:pPr>
              <w:pStyle w:val="Tabletext"/>
              <w:keepNext/>
              <w:jc w:val="right"/>
              <w:rPr>
                <w:lang w:val="ru-RU" w:eastAsia="en-GB"/>
              </w:rPr>
            </w:pPr>
            <w:r w:rsidRPr="00521670">
              <w:rPr>
                <w:lang w:val="ru-RU" w:eastAsia="en-GB"/>
              </w:rPr>
              <w:t>5 000</w:t>
            </w:r>
          </w:p>
        </w:tc>
        <w:tc>
          <w:tcPr>
            <w:tcW w:w="447" w:type="pct"/>
            <w:tcBorders>
              <w:top w:val="nil"/>
              <w:left w:val="nil"/>
              <w:bottom w:val="nil"/>
              <w:right w:val="nil"/>
            </w:tcBorders>
            <w:vAlign w:val="bottom"/>
          </w:tcPr>
          <w:p w14:paraId="2C9FF757" w14:textId="77777777" w:rsidR="00DF251A" w:rsidRPr="00521670" w:rsidRDefault="00DF251A" w:rsidP="00A56E91">
            <w:pPr>
              <w:pStyle w:val="Tabletext"/>
              <w:keepNext/>
              <w:jc w:val="right"/>
              <w:rPr>
                <w:lang w:val="ru-RU" w:eastAsia="en-GB"/>
              </w:rPr>
            </w:pPr>
            <w:r w:rsidRPr="00521670">
              <w:rPr>
                <w:lang w:val="ru-RU" w:eastAsia="en-GB"/>
              </w:rPr>
              <w:t>−</w:t>
            </w:r>
          </w:p>
        </w:tc>
        <w:tc>
          <w:tcPr>
            <w:tcW w:w="446" w:type="pct"/>
            <w:tcBorders>
              <w:top w:val="nil"/>
              <w:left w:val="nil"/>
              <w:bottom w:val="nil"/>
              <w:right w:val="nil"/>
            </w:tcBorders>
            <w:shd w:val="clear" w:color="auto" w:fill="auto"/>
            <w:noWrap/>
            <w:vAlign w:val="bottom"/>
            <w:hideMark/>
          </w:tcPr>
          <w:p w14:paraId="0FE0942F" w14:textId="77777777" w:rsidR="00DF251A" w:rsidRPr="00521670" w:rsidRDefault="00DF251A" w:rsidP="00A56E91">
            <w:pPr>
              <w:pStyle w:val="Tabletext"/>
              <w:keepNext/>
              <w:jc w:val="right"/>
              <w:rPr>
                <w:lang w:val="ru-RU" w:eastAsia="en-GB"/>
              </w:rPr>
            </w:pPr>
            <w:r w:rsidRPr="00521670">
              <w:rPr>
                <w:lang w:val="ru-RU"/>
              </w:rPr>
              <w:t>715</w:t>
            </w:r>
          </w:p>
        </w:tc>
        <w:tc>
          <w:tcPr>
            <w:tcW w:w="448" w:type="pct"/>
            <w:tcBorders>
              <w:top w:val="nil"/>
              <w:left w:val="nil"/>
              <w:bottom w:val="nil"/>
              <w:right w:val="nil"/>
            </w:tcBorders>
            <w:shd w:val="clear" w:color="auto" w:fill="auto"/>
            <w:noWrap/>
            <w:vAlign w:val="bottom"/>
            <w:hideMark/>
          </w:tcPr>
          <w:p w14:paraId="35A17ECE" w14:textId="77777777" w:rsidR="00DF251A" w:rsidRPr="00521670" w:rsidRDefault="00DF251A" w:rsidP="00A56E91">
            <w:pPr>
              <w:pStyle w:val="Tabletext"/>
              <w:keepNext/>
              <w:jc w:val="right"/>
              <w:rPr>
                <w:lang w:val="ru-RU" w:eastAsia="en-GB"/>
              </w:rPr>
            </w:pPr>
            <w:r w:rsidRPr="00521670">
              <w:rPr>
                <w:lang w:val="ru-RU"/>
              </w:rPr>
              <w:t>693</w:t>
            </w:r>
          </w:p>
        </w:tc>
        <w:tc>
          <w:tcPr>
            <w:tcW w:w="446" w:type="pct"/>
            <w:tcBorders>
              <w:top w:val="nil"/>
              <w:left w:val="nil"/>
              <w:bottom w:val="nil"/>
              <w:right w:val="nil"/>
            </w:tcBorders>
            <w:shd w:val="clear" w:color="auto" w:fill="auto"/>
            <w:noWrap/>
            <w:vAlign w:val="bottom"/>
            <w:hideMark/>
          </w:tcPr>
          <w:p w14:paraId="0F8A735D" w14:textId="77777777" w:rsidR="00DF251A" w:rsidRPr="00521670" w:rsidRDefault="00DF251A" w:rsidP="00A56E91">
            <w:pPr>
              <w:pStyle w:val="Tabletext"/>
              <w:keepNext/>
              <w:jc w:val="right"/>
              <w:rPr>
                <w:lang w:val="ru-RU" w:eastAsia="en-GB"/>
              </w:rPr>
            </w:pPr>
            <w:r w:rsidRPr="00521670">
              <w:rPr>
                <w:lang w:val="ru-RU"/>
              </w:rPr>
              <w:t>17</w:t>
            </w:r>
          </w:p>
        </w:tc>
        <w:tc>
          <w:tcPr>
            <w:tcW w:w="446" w:type="pct"/>
            <w:tcBorders>
              <w:top w:val="nil"/>
              <w:left w:val="nil"/>
              <w:bottom w:val="nil"/>
              <w:right w:val="nil"/>
            </w:tcBorders>
            <w:shd w:val="clear" w:color="auto" w:fill="auto"/>
            <w:noWrap/>
            <w:vAlign w:val="bottom"/>
            <w:hideMark/>
          </w:tcPr>
          <w:p w14:paraId="4D78780C" w14:textId="77777777" w:rsidR="00DF251A" w:rsidRPr="00521670" w:rsidRDefault="00DF251A" w:rsidP="00A56E91">
            <w:pPr>
              <w:pStyle w:val="Tabletext"/>
              <w:keepNext/>
              <w:jc w:val="right"/>
              <w:rPr>
                <w:lang w:val="ru-RU" w:eastAsia="en-GB"/>
              </w:rPr>
            </w:pPr>
            <w:r w:rsidRPr="00521670">
              <w:rPr>
                <w:lang w:val="ru-RU"/>
              </w:rPr>
              <w:t>61</w:t>
            </w:r>
          </w:p>
        </w:tc>
        <w:tc>
          <w:tcPr>
            <w:tcW w:w="446" w:type="pct"/>
            <w:tcBorders>
              <w:top w:val="nil"/>
              <w:left w:val="nil"/>
              <w:bottom w:val="nil"/>
              <w:right w:val="nil"/>
            </w:tcBorders>
            <w:shd w:val="clear" w:color="auto" w:fill="auto"/>
            <w:noWrap/>
            <w:vAlign w:val="bottom"/>
            <w:hideMark/>
          </w:tcPr>
          <w:p w14:paraId="21A24638" w14:textId="77777777" w:rsidR="00DF251A" w:rsidRPr="00521670" w:rsidRDefault="00DF251A" w:rsidP="00A56E91">
            <w:pPr>
              <w:pStyle w:val="Tabletext"/>
              <w:keepNext/>
              <w:jc w:val="right"/>
              <w:rPr>
                <w:b/>
                <w:bCs/>
                <w:lang w:val="ru-RU" w:eastAsia="en-GB"/>
              </w:rPr>
            </w:pPr>
            <w:r w:rsidRPr="00521670">
              <w:rPr>
                <w:b/>
                <w:bCs/>
                <w:lang w:val="ru-RU"/>
              </w:rPr>
              <w:t>732</w:t>
            </w:r>
          </w:p>
        </w:tc>
        <w:tc>
          <w:tcPr>
            <w:tcW w:w="436" w:type="pct"/>
            <w:tcBorders>
              <w:top w:val="nil"/>
              <w:left w:val="nil"/>
              <w:bottom w:val="nil"/>
              <w:right w:val="nil"/>
            </w:tcBorders>
            <w:shd w:val="clear" w:color="000000" w:fill="auto"/>
            <w:noWrap/>
            <w:vAlign w:val="bottom"/>
            <w:hideMark/>
          </w:tcPr>
          <w:p w14:paraId="696C8E5C" w14:textId="77777777" w:rsidR="00DF251A" w:rsidRPr="00521670" w:rsidRDefault="00DF251A" w:rsidP="00A56E91">
            <w:pPr>
              <w:pStyle w:val="Tabletext"/>
              <w:keepNext/>
              <w:jc w:val="right"/>
              <w:rPr>
                <w:b/>
                <w:bCs/>
                <w:lang w:val="ru-RU" w:eastAsia="en-GB"/>
              </w:rPr>
            </w:pPr>
            <w:r w:rsidRPr="00521670">
              <w:rPr>
                <w:b/>
                <w:bCs/>
                <w:lang w:val="ru-RU"/>
              </w:rPr>
              <w:t>754</w:t>
            </w:r>
          </w:p>
        </w:tc>
      </w:tr>
      <w:tr w:rsidR="00DF251A" w:rsidRPr="00521670" w14:paraId="02B0C0C4" w14:textId="77777777" w:rsidTr="00E30179">
        <w:trPr>
          <w:jc w:val="center"/>
        </w:trPr>
        <w:tc>
          <w:tcPr>
            <w:tcW w:w="1441" w:type="pct"/>
            <w:tcBorders>
              <w:top w:val="nil"/>
              <w:left w:val="nil"/>
              <w:bottom w:val="nil"/>
              <w:right w:val="nil"/>
            </w:tcBorders>
            <w:shd w:val="clear" w:color="000000" w:fill="auto"/>
            <w:noWrap/>
            <w:hideMark/>
          </w:tcPr>
          <w:p w14:paraId="47DED04B" w14:textId="77777777" w:rsidR="00DF251A" w:rsidRPr="00521670" w:rsidRDefault="00DF251A" w:rsidP="00A56E91">
            <w:pPr>
              <w:pStyle w:val="Tabletext"/>
              <w:keepNext/>
              <w:rPr>
                <w:lang w:val="ru-RU" w:eastAsia="en-GB"/>
              </w:rPr>
            </w:pPr>
            <w:r w:rsidRPr="00521670">
              <w:rPr>
                <w:szCs w:val="18"/>
                <w:lang w:val="ru-RU"/>
              </w:rPr>
              <w:t>Использование в течение года</w:t>
            </w:r>
          </w:p>
        </w:tc>
        <w:tc>
          <w:tcPr>
            <w:tcW w:w="445" w:type="pct"/>
            <w:tcBorders>
              <w:top w:val="nil"/>
              <w:left w:val="nil"/>
              <w:bottom w:val="nil"/>
              <w:right w:val="nil"/>
            </w:tcBorders>
            <w:vAlign w:val="bottom"/>
          </w:tcPr>
          <w:p w14:paraId="49E99FD1" w14:textId="77777777" w:rsidR="00DF251A" w:rsidRPr="00521670" w:rsidRDefault="00DF251A" w:rsidP="00A56E91">
            <w:pPr>
              <w:pStyle w:val="Tabletext"/>
              <w:keepNext/>
              <w:jc w:val="right"/>
              <w:rPr>
                <w:lang w:val="ru-RU" w:eastAsia="en-GB"/>
              </w:rPr>
            </w:pPr>
            <w:r w:rsidRPr="00521670">
              <w:rPr>
                <w:lang w:val="ru-RU" w:eastAsia="en-GB"/>
              </w:rPr>
              <w:t>−</w:t>
            </w:r>
          </w:p>
        </w:tc>
        <w:tc>
          <w:tcPr>
            <w:tcW w:w="447" w:type="pct"/>
            <w:tcBorders>
              <w:top w:val="nil"/>
              <w:left w:val="nil"/>
              <w:bottom w:val="nil"/>
              <w:right w:val="nil"/>
            </w:tcBorders>
            <w:vAlign w:val="bottom"/>
          </w:tcPr>
          <w:p w14:paraId="22A4F536" w14:textId="77777777" w:rsidR="00DF251A" w:rsidRPr="00521670" w:rsidRDefault="00DF251A" w:rsidP="00A56E91">
            <w:pPr>
              <w:pStyle w:val="Tabletext"/>
              <w:keepNext/>
              <w:jc w:val="right"/>
              <w:rPr>
                <w:lang w:val="ru-RU" w:eastAsia="en-GB"/>
              </w:rPr>
            </w:pPr>
            <w:r w:rsidRPr="00521670">
              <w:rPr>
                <w:lang w:val="ru-RU" w:eastAsia="en-GB"/>
              </w:rPr>
              <w:t>−</w:t>
            </w:r>
          </w:p>
        </w:tc>
        <w:tc>
          <w:tcPr>
            <w:tcW w:w="446" w:type="pct"/>
            <w:tcBorders>
              <w:top w:val="nil"/>
              <w:left w:val="nil"/>
              <w:bottom w:val="nil"/>
              <w:right w:val="nil"/>
            </w:tcBorders>
            <w:shd w:val="clear" w:color="auto" w:fill="auto"/>
            <w:noWrap/>
            <w:vAlign w:val="bottom"/>
            <w:hideMark/>
          </w:tcPr>
          <w:p w14:paraId="2D5FDBC1" w14:textId="77777777" w:rsidR="00DF251A" w:rsidRPr="00521670" w:rsidRDefault="00DF251A" w:rsidP="00A56E91">
            <w:pPr>
              <w:pStyle w:val="Tabletext"/>
              <w:keepNext/>
              <w:jc w:val="right"/>
              <w:rPr>
                <w:lang w:val="ru-RU" w:eastAsia="en-GB"/>
              </w:rPr>
            </w:pPr>
            <w:r w:rsidRPr="00521670">
              <w:rPr>
                <w:lang w:val="ru-RU"/>
              </w:rPr>
              <w:t>(361)</w:t>
            </w:r>
          </w:p>
        </w:tc>
        <w:tc>
          <w:tcPr>
            <w:tcW w:w="448" w:type="pct"/>
            <w:tcBorders>
              <w:top w:val="nil"/>
              <w:left w:val="nil"/>
              <w:bottom w:val="nil"/>
              <w:right w:val="nil"/>
            </w:tcBorders>
            <w:shd w:val="clear" w:color="auto" w:fill="auto"/>
            <w:noWrap/>
            <w:vAlign w:val="bottom"/>
            <w:hideMark/>
          </w:tcPr>
          <w:p w14:paraId="517E4B5C" w14:textId="77777777" w:rsidR="00DF251A" w:rsidRPr="00521670" w:rsidRDefault="00DF251A" w:rsidP="00A56E91">
            <w:pPr>
              <w:pStyle w:val="Tabletext"/>
              <w:keepNext/>
              <w:jc w:val="right"/>
              <w:rPr>
                <w:lang w:val="ru-RU" w:eastAsia="en-GB"/>
              </w:rPr>
            </w:pPr>
            <w:r w:rsidRPr="00521670">
              <w:rPr>
                <w:lang w:val="ru-RU"/>
              </w:rPr>
              <w:t>(305)</w:t>
            </w:r>
          </w:p>
        </w:tc>
        <w:tc>
          <w:tcPr>
            <w:tcW w:w="446" w:type="pct"/>
            <w:tcBorders>
              <w:top w:val="nil"/>
              <w:left w:val="nil"/>
              <w:bottom w:val="nil"/>
              <w:right w:val="nil"/>
            </w:tcBorders>
            <w:shd w:val="clear" w:color="auto" w:fill="auto"/>
            <w:noWrap/>
            <w:vAlign w:val="bottom"/>
            <w:hideMark/>
          </w:tcPr>
          <w:p w14:paraId="751DF6DD" w14:textId="77777777" w:rsidR="00DF251A" w:rsidRPr="00521670" w:rsidRDefault="00DF251A" w:rsidP="00A56E91">
            <w:pPr>
              <w:pStyle w:val="Tabletext"/>
              <w:keepNext/>
              <w:jc w:val="right"/>
              <w:rPr>
                <w:lang w:val="ru-RU" w:eastAsia="en-GB"/>
              </w:rPr>
            </w:pPr>
            <w:r w:rsidRPr="00521670">
              <w:rPr>
                <w:lang w:val="ru-RU"/>
              </w:rPr>
              <w:t>(200)</w:t>
            </w:r>
          </w:p>
        </w:tc>
        <w:tc>
          <w:tcPr>
            <w:tcW w:w="446" w:type="pct"/>
            <w:tcBorders>
              <w:top w:val="nil"/>
              <w:left w:val="nil"/>
              <w:bottom w:val="nil"/>
              <w:right w:val="nil"/>
            </w:tcBorders>
            <w:shd w:val="clear" w:color="auto" w:fill="auto"/>
            <w:noWrap/>
            <w:vAlign w:val="bottom"/>
            <w:hideMark/>
          </w:tcPr>
          <w:p w14:paraId="19947273" w14:textId="77777777" w:rsidR="00DF251A" w:rsidRPr="00521670" w:rsidRDefault="00DF251A" w:rsidP="00A56E91">
            <w:pPr>
              <w:pStyle w:val="Tabletext"/>
              <w:keepNext/>
              <w:jc w:val="right"/>
              <w:rPr>
                <w:lang w:val="ru-RU" w:eastAsia="en-GB"/>
              </w:rPr>
            </w:pPr>
            <w:r w:rsidRPr="00521670">
              <w:rPr>
                <w:lang w:val="ru-RU"/>
              </w:rPr>
              <w:t>(49)</w:t>
            </w:r>
          </w:p>
        </w:tc>
        <w:tc>
          <w:tcPr>
            <w:tcW w:w="446" w:type="pct"/>
            <w:tcBorders>
              <w:top w:val="nil"/>
              <w:left w:val="nil"/>
              <w:bottom w:val="nil"/>
              <w:right w:val="nil"/>
            </w:tcBorders>
            <w:shd w:val="clear" w:color="auto" w:fill="auto"/>
            <w:noWrap/>
            <w:vAlign w:val="bottom"/>
            <w:hideMark/>
          </w:tcPr>
          <w:p w14:paraId="6EF76A7C" w14:textId="77777777" w:rsidR="00DF251A" w:rsidRPr="00521670" w:rsidRDefault="00DF251A" w:rsidP="00A56E91">
            <w:pPr>
              <w:pStyle w:val="Tabletext"/>
              <w:keepNext/>
              <w:jc w:val="right"/>
              <w:rPr>
                <w:b/>
                <w:bCs/>
                <w:lang w:val="ru-RU" w:eastAsia="en-GB"/>
              </w:rPr>
            </w:pPr>
            <w:r w:rsidRPr="00521670">
              <w:rPr>
                <w:b/>
                <w:bCs/>
                <w:lang w:val="ru-RU"/>
              </w:rPr>
              <w:t>(561)</w:t>
            </w:r>
          </w:p>
        </w:tc>
        <w:tc>
          <w:tcPr>
            <w:tcW w:w="436" w:type="pct"/>
            <w:tcBorders>
              <w:top w:val="nil"/>
              <w:left w:val="nil"/>
              <w:bottom w:val="nil"/>
              <w:right w:val="nil"/>
            </w:tcBorders>
            <w:shd w:val="clear" w:color="000000" w:fill="auto"/>
            <w:noWrap/>
            <w:vAlign w:val="bottom"/>
            <w:hideMark/>
          </w:tcPr>
          <w:p w14:paraId="24BD068B" w14:textId="77777777" w:rsidR="00DF251A" w:rsidRPr="00521670" w:rsidRDefault="00DF251A" w:rsidP="00A56E91">
            <w:pPr>
              <w:pStyle w:val="Tabletext"/>
              <w:keepNext/>
              <w:jc w:val="right"/>
              <w:rPr>
                <w:b/>
                <w:bCs/>
                <w:lang w:val="ru-RU" w:eastAsia="en-GB"/>
              </w:rPr>
            </w:pPr>
            <w:r w:rsidRPr="00521670">
              <w:rPr>
                <w:b/>
                <w:bCs/>
                <w:lang w:val="ru-RU"/>
              </w:rPr>
              <w:t>(354)</w:t>
            </w:r>
          </w:p>
        </w:tc>
      </w:tr>
      <w:tr w:rsidR="00DF251A" w:rsidRPr="00521670" w14:paraId="7F64CBA8" w14:textId="77777777" w:rsidTr="00E30179">
        <w:trPr>
          <w:jc w:val="center"/>
        </w:trPr>
        <w:tc>
          <w:tcPr>
            <w:tcW w:w="1441" w:type="pct"/>
            <w:tcBorders>
              <w:top w:val="nil"/>
              <w:left w:val="nil"/>
              <w:bottom w:val="nil"/>
              <w:right w:val="nil"/>
            </w:tcBorders>
            <w:shd w:val="clear" w:color="000000" w:fill="auto"/>
            <w:noWrap/>
            <w:vAlign w:val="bottom"/>
            <w:hideMark/>
          </w:tcPr>
          <w:p w14:paraId="51DFD081" w14:textId="77777777" w:rsidR="00DF251A" w:rsidRPr="00521670" w:rsidRDefault="00DF251A" w:rsidP="00A56E91">
            <w:pPr>
              <w:pStyle w:val="Tabletext"/>
              <w:keepNext/>
              <w:rPr>
                <w:lang w:val="ru-RU" w:eastAsia="en-GB"/>
              </w:rPr>
            </w:pPr>
            <w:r w:rsidRPr="00521670">
              <w:rPr>
                <w:szCs w:val="18"/>
                <w:lang w:val="ru-RU"/>
              </w:rPr>
              <w:t>Возвращенные неиспользованные суммы</w:t>
            </w:r>
          </w:p>
        </w:tc>
        <w:tc>
          <w:tcPr>
            <w:tcW w:w="445" w:type="pct"/>
            <w:tcBorders>
              <w:top w:val="nil"/>
              <w:left w:val="nil"/>
              <w:bottom w:val="nil"/>
              <w:right w:val="nil"/>
            </w:tcBorders>
            <w:vAlign w:val="bottom"/>
          </w:tcPr>
          <w:p w14:paraId="124ED2A4" w14:textId="77777777" w:rsidR="00DF251A" w:rsidRPr="00521670" w:rsidRDefault="00DF251A" w:rsidP="00A56E91">
            <w:pPr>
              <w:pStyle w:val="Tabletext"/>
              <w:keepNext/>
              <w:jc w:val="right"/>
              <w:rPr>
                <w:lang w:val="ru-RU" w:eastAsia="en-GB"/>
              </w:rPr>
            </w:pPr>
            <w:r w:rsidRPr="00521670">
              <w:rPr>
                <w:lang w:val="ru-RU" w:eastAsia="en-GB"/>
              </w:rPr>
              <w:t>−</w:t>
            </w:r>
          </w:p>
        </w:tc>
        <w:tc>
          <w:tcPr>
            <w:tcW w:w="447" w:type="pct"/>
            <w:tcBorders>
              <w:top w:val="nil"/>
              <w:left w:val="nil"/>
              <w:bottom w:val="nil"/>
              <w:right w:val="nil"/>
            </w:tcBorders>
            <w:vAlign w:val="bottom"/>
          </w:tcPr>
          <w:p w14:paraId="74F385A9" w14:textId="77777777" w:rsidR="00DF251A" w:rsidRPr="00521670" w:rsidRDefault="00DF251A" w:rsidP="00A56E91">
            <w:pPr>
              <w:pStyle w:val="Tabletext"/>
              <w:keepNext/>
              <w:jc w:val="right"/>
              <w:rPr>
                <w:lang w:val="ru-RU" w:eastAsia="en-GB"/>
              </w:rPr>
            </w:pPr>
            <w:r w:rsidRPr="00521670">
              <w:rPr>
                <w:lang w:val="ru-RU" w:eastAsia="en-GB"/>
              </w:rPr>
              <w:t>−</w:t>
            </w:r>
          </w:p>
        </w:tc>
        <w:tc>
          <w:tcPr>
            <w:tcW w:w="446" w:type="pct"/>
            <w:tcBorders>
              <w:top w:val="nil"/>
              <w:left w:val="nil"/>
              <w:bottom w:val="nil"/>
              <w:right w:val="nil"/>
            </w:tcBorders>
            <w:shd w:val="clear" w:color="auto" w:fill="auto"/>
            <w:noWrap/>
            <w:vAlign w:val="bottom"/>
            <w:hideMark/>
          </w:tcPr>
          <w:p w14:paraId="3D5BAB6A" w14:textId="77777777" w:rsidR="00DF251A" w:rsidRPr="00521670" w:rsidRDefault="00DF251A" w:rsidP="00A56E91">
            <w:pPr>
              <w:pStyle w:val="Tabletext"/>
              <w:keepNext/>
              <w:jc w:val="right"/>
              <w:rPr>
                <w:lang w:val="ru-RU" w:eastAsia="en-GB"/>
              </w:rPr>
            </w:pPr>
            <w:r w:rsidRPr="00521670">
              <w:rPr>
                <w:lang w:val="ru-RU"/>
              </w:rPr>
              <w:t>(332)</w:t>
            </w:r>
          </w:p>
        </w:tc>
        <w:tc>
          <w:tcPr>
            <w:tcW w:w="448" w:type="pct"/>
            <w:tcBorders>
              <w:top w:val="nil"/>
              <w:left w:val="nil"/>
              <w:bottom w:val="nil"/>
              <w:right w:val="nil"/>
            </w:tcBorders>
            <w:shd w:val="clear" w:color="auto" w:fill="auto"/>
            <w:noWrap/>
            <w:vAlign w:val="bottom"/>
            <w:hideMark/>
          </w:tcPr>
          <w:p w14:paraId="00CBE7A4" w14:textId="77777777" w:rsidR="00DF251A" w:rsidRPr="00521670" w:rsidRDefault="00DF251A" w:rsidP="00A56E91">
            <w:pPr>
              <w:pStyle w:val="Tabletext"/>
              <w:keepNext/>
              <w:jc w:val="right"/>
              <w:rPr>
                <w:lang w:val="ru-RU" w:eastAsia="en-GB"/>
              </w:rPr>
            </w:pPr>
            <w:r w:rsidRPr="00521670">
              <w:rPr>
                <w:lang w:val="ru-RU"/>
              </w:rPr>
              <w:t>(65)</w:t>
            </w:r>
          </w:p>
        </w:tc>
        <w:tc>
          <w:tcPr>
            <w:tcW w:w="446" w:type="pct"/>
            <w:tcBorders>
              <w:top w:val="nil"/>
              <w:left w:val="nil"/>
              <w:bottom w:val="nil"/>
              <w:right w:val="nil"/>
            </w:tcBorders>
            <w:shd w:val="clear" w:color="auto" w:fill="auto"/>
            <w:noWrap/>
            <w:vAlign w:val="bottom"/>
            <w:hideMark/>
          </w:tcPr>
          <w:p w14:paraId="298221CC" w14:textId="77777777" w:rsidR="00DF251A" w:rsidRPr="00521670" w:rsidRDefault="00DF251A" w:rsidP="00A56E91">
            <w:pPr>
              <w:pStyle w:val="Tabletext"/>
              <w:keepNext/>
              <w:jc w:val="right"/>
              <w:rPr>
                <w:lang w:val="ru-RU" w:eastAsia="en-GB"/>
              </w:rPr>
            </w:pPr>
            <w:r w:rsidRPr="00521670">
              <w:rPr>
                <w:lang w:val="ru-RU"/>
              </w:rPr>
              <w:t>(123)</w:t>
            </w:r>
          </w:p>
        </w:tc>
        <w:tc>
          <w:tcPr>
            <w:tcW w:w="446" w:type="pct"/>
            <w:tcBorders>
              <w:top w:val="nil"/>
              <w:left w:val="nil"/>
              <w:bottom w:val="nil"/>
              <w:right w:val="nil"/>
            </w:tcBorders>
            <w:shd w:val="clear" w:color="auto" w:fill="auto"/>
            <w:noWrap/>
            <w:vAlign w:val="bottom"/>
            <w:hideMark/>
          </w:tcPr>
          <w:p w14:paraId="005750D4" w14:textId="77777777" w:rsidR="00DF251A" w:rsidRPr="00521670" w:rsidRDefault="00DF251A" w:rsidP="00A56E91">
            <w:pPr>
              <w:pStyle w:val="Tabletext"/>
              <w:keepNext/>
              <w:jc w:val="right"/>
              <w:rPr>
                <w:lang w:val="ru-RU" w:eastAsia="en-GB"/>
              </w:rPr>
            </w:pPr>
            <w:r w:rsidRPr="00521670">
              <w:rPr>
                <w:lang w:val="ru-RU"/>
              </w:rPr>
              <w:t>(16)</w:t>
            </w:r>
          </w:p>
        </w:tc>
        <w:tc>
          <w:tcPr>
            <w:tcW w:w="446" w:type="pct"/>
            <w:tcBorders>
              <w:top w:val="nil"/>
              <w:left w:val="nil"/>
              <w:bottom w:val="nil"/>
              <w:right w:val="nil"/>
            </w:tcBorders>
            <w:shd w:val="clear" w:color="auto" w:fill="auto"/>
            <w:noWrap/>
            <w:vAlign w:val="bottom"/>
            <w:hideMark/>
          </w:tcPr>
          <w:p w14:paraId="30C47918" w14:textId="77777777" w:rsidR="00DF251A" w:rsidRPr="00521670" w:rsidRDefault="00DF251A" w:rsidP="00A56E91">
            <w:pPr>
              <w:pStyle w:val="Tabletext"/>
              <w:keepNext/>
              <w:jc w:val="right"/>
              <w:rPr>
                <w:b/>
                <w:bCs/>
                <w:lang w:val="ru-RU" w:eastAsia="en-GB"/>
              </w:rPr>
            </w:pPr>
            <w:r w:rsidRPr="00521670">
              <w:rPr>
                <w:b/>
                <w:bCs/>
                <w:lang w:val="ru-RU"/>
              </w:rPr>
              <w:t>(455)</w:t>
            </w:r>
          </w:p>
        </w:tc>
        <w:tc>
          <w:tcPr>
            <w:tcW w:w="436" w:type="pct"/>
            <w:tcBorders>
              <w:top w:val="nil"/>
              <w:left w:val="nil"/>
              <w:bottom w:val="nil"/>
              <w:right w:val="nil"/>
            </w:tcBorders>
            <w:shd w:val="clear" w:color="000000" w:fill="auto"/>
            <w:noWrap/>
            <w:vAlign w:val="bottom"/>
            <w:hideMark/>
          </w:tcPr>
          <w:p w14:paraId="7C666605" w14:textId="77777777" w:rsidR="00DF251A" w:rsidRPr="00521670" w:rsidRDefault="00DF251A" w:rsidP="00A56E91">
            <w:pPr>
              <w:pStyle w:val="Tabletext"/>
              <w:keepNext/>
              <w:jc w:val="right"/>
              <w:rPr>
                <w:b/>
                <w:bCs/>
                <w:lang w:val="ru-RU" w:eastAsia="en-GB"/>
              </w:rPr>
            </w:pPr>
            <w:r w:rsidRPr="00521670">
              <w:rPr>
                <w:b/>
                <w:bCs/>
                <w:lang w:val="ru-RU"/>
              </w:rPr>
              <w:t>(81)</w:t>
            </w:r>
          </w:p>
        </w:tc>
      </w:tr>
      <w:tr w:rsidR="00DF251A" w:rsidRPr="00521670" w14:paraId="49FBE23B" w14:textId="77777777" w:rsidTr="00E30179">
        <w:trPr>
          <w:jc w:val="center"/>
        </w:trPr>
        <w:tc>
          <w:tcPr>
            <w:tcW w:w="1441" w:type="pct"/>
            <w:tcBorders>
              <w:top w:val="nil"/>
              <w:left w:val="nil"/>
              <w:bottom w:val="nil"/>
              <w:right w:val="nil"/>
            </w:tcBorders>
            <w:shd w:val="clear" w:color="000000" w:fill="0070C0"/>
            <w:noWrap/>
            <w:vAlign w:val="center"/>
            <w:hideMark/>
          </w:tcPr>
          <w:p w14:paraId="58E5DB99" w14:textId="77777777" w:rsidR="00DF251A" w:rsidRPr="00521670" w:rsidRDefault="00DF251A" w:rsidP="00A56E91">
            <w:pPr>
              <w:pStyle w:val="Tabletext"/>
              <w:rPr>
                <w:b/>
                <w:bCs/>
                <w:lang w:val="ru-RU" w:eastAsia="en-GB"/>
              </w:rPr>
            </w:pPr>
            <w:r w:rsidRPr="00521670">
              <w:rPr>
                <w:b/>
                <w:bCs/>
                <w:szCs w:val="18"/>
                <w:lang w:val="ru-RU"/>
              </w:rPr>
              <w:t>Всего: 31 декабря 2023 г.</w:t>
            </w:r>
          </w:p>
        </w:tc>
        <w:tc>
          <w:tcPr>
            <w:tcW w:w="445" w:type="pct"/>
            <w:tcBorders>
              <w:top w:val="nil"/>
              <w:left w:val="nil"/>
              <w:bottom w:val="nil"/>
              <w:right w:val="nil"/>
            </w:tcBorders>
            <w:shd w:val="clear" w:color="000000" w:fill="0070C0"/>
            <w:vAlign w:val="bottom"/>
          </w:tcPr>
          <w:p w14:paraId="05266842" w14:textId="77777777" w:rsidR="00DF251A" w:rsidRPr="00521670" w:rsidRDefault="00DF251A" w:rsidP="00A56E91">
            <w:pPr>
              <w:pStyle w:val="Tabletext"/>
              <w:jc w:val="right"/>
              <w:rPr>
                <w:b/>
                <w:bCs/>
                <w:lang w:val="ru-RU" w:eastAsia="en-GB"/>
              </w:rPr>
            </w:pPr>
            <w:r w:rsidRPr="00521670">
              <w:rPr>
                <w:b/>
                <w:bCs/>
                <w:lang w:val="ru-RU" w:eastAsia="en-GB"/>
              </w:rPr>
              <w:t>5 000</w:t>
            </w:r>
          </w:p>
        </w:tc>
        <w:tc>
          <w:tcPr>
            <w:tcW w:w="447" w:type="pct"/>
            <w:tcBorders>
              <w:top w:val="nil"/>
              <w:left w:val="nil"/>
              <w:bottom w:val="nil"/>
              <w:right w:val="nil"/>
            </w:tcBorders>
            <w:shd w:val="clear" w:color="000000" w:fill="0070C0"/>
            <w:vAlign w:val="bottom"/>
          </w:tcPr>
          <w:p w14:paraId="2D7A6021" w14:textId="77777777" w:rsidR="00DF251A" w:rsidRPr="00521670" w:rsidRDefault="00DF251A" w:rsidP="00A56E91">
            <w:pPr>
              <w:pStyle w:val="Tabletext"/>
              <w:jc w:val="right"/>
              <w:rPr>
                <w:b/>
                <w:bCs/>
                <w:lang w:val="ru-RU" w:eastAsia="en-GB"/>
              </w:rPr>
            </w:pPr>
            <w:r w:rsidRPr="00521670">
              <w:rPr>
                <w:b/>
                <w:bCs/>
                <w:lang w:val="ru-RU" w:eastAsia="en-GB"/>
              </w:rPr>
              <w:t>−</w:t>
            </w:r>
          </w:p>
        </w:tc>
        <w:tc>
          <w:tcPr>
            <w:tcW w:w="446" w:type="pct"/>
            <w:tcBorders>
              <w:top w:val="nil"/>
              <w:left w:val="nil"/>
              <w:bottom w:val="nil"/>
              <w:right w:val="nil"/>
            </w:tcBorders>
            <w:shd w:val="clear" w:color="000000" w:fill="0070C0"/>
            <w:noWrap/>
            <w:vAlign w:val="bottom"/>
            <w:hideMark/>
          </w:tcPr>
          <w:p w14:paraId="4AC695A6" w14:textId="77777777" w:rsidR="00DF251A" w:rsidRPr="00521670" w:rsidRDefault="00DF251A" w:rsidP="00A56E91">
            <w:pPr>
              <w:pStyle w:val="Tabletext"/>
              <w:jc w:val="right"/>
              <w:rPr>
                <w:b/>
                <w:bCs/>
                <w:lang w:val="ru-RU" w:eastAsia="en-GB"/>
              </w:rPr>
            </w:pPr>
            <w:r w:rsidRPr="00521670">
              <w:rPr>
                <w:b/>
                <w:bCs/>
                <w:lang w:val="ru-RU"/>
              </w:rPr>
              <w:t>715</w:t>
            </w:r>
          </w:p>
        </w:tc>
        <w:tc>
          <w:tcPr>
            <w:tcW w:w="448" w:type="pct"/>
            <w:tcBorders>
              <w:top w:val="nil"/>
              <w:left w:val="nil"/>
              <w:bottom w:val="nil"/>
              <w:right w:val="nil"/>
            </w:tcBorders>
            <w:shd w:val="clear" w:color="000000" w:fill="0070C0"/>
            <w:noWrap/>
            <w:vAlign w:val="bottom"/>
            <w:hideMark/>
          </w:tcPr>
          <w:p w14:paraId="3F67DBF8" w14:textId="77777777" w:rsidR="00DF251A" w:rsidRPr="00521670" w:rsidRDefault="00DF251A" w:rsidP="00A56E91">
            <w:pPr>
              <w:pStyle w:val="Tabletext"/>
              <w:jc w:val="right"/>
              <w:rPr>
                <w:b/>
                <w:bCs/>
                <w:lang w:val="ru-RU" w:eastAsia="en-GB"/>
              </w:rPr>
            </w:pPr>
            <w:r w:rsidRPr="00521670">
              <w:rPr>
                <w:b/>
                <w:bCs/>
                <w:lang w:val="ru-RU"/>
              </w:rPr>
              <w:t>693</w:t>
            </w:r>
          </w:p>
        </w:tc>
        <w:tc>
          <w:tcPr>
            <w:tcW w:w="446" w:type="pct"/>
            <w:tcBorders>
              <w:top w:val="nil"/>
              <w:left w:val="nil"/>
              <w:bottom w:val="nil"/>
              <w:right w:val="nil"/>
            </w:tcBorders>
            <w:shd w:val="clear" w:color="000000" w:fill="0070C0"/>
            <w:noWrap/>
            <w:vAlign w:val="bottom"/>
            <w:hideMark/>
          </w:tcPr>
          <w:p w14:paraId="0E6E8AB2" w14:textId="77777777" w:rsidR="00DF251A" w:rsidRPr="00521670" w:rsidRDefault="00DF251A" w:rsidP="00A56E91">
            <w:pPr>
              <w:pStyle w:val="Tabletext"/>
              <w:jc w:val="right"/>
              <w:rPr>
                <w:b/>
                <w:bCs/>
                <w:lang w:val="ru-RU" w:eastAsia="en-GB"/>
              </w:rPr>
            </w:pPr>
            <w:r w:rsidRPr="00521670">
              <w:rPr>
                <w:b/>
                <w:bCs/>
                <w:lang w:val="ru-RU"/>
              </w:rPr>
              <w:t>779</w:t>
            </w:r>
          </w:p>
        </w:tc>
        <w:tc>
          <w:tcPr>
            <w:tcW w:w="446" w:type="pct"/>
            <w:tcBorders>
              <w:top w:val="nil"/>
              <w:left w:val="nil"/>
              <w:bottom w:val="nil"/>
              <w:right w:val="nil"/>
            </w:tcBorders>
            <w:shd w:val="clear" w:color="000000" w:fill="0070C0"/>
            <w:noWrap/>
            <w:vAlign w:val="bottom"/>
            <w:hideMark/>
          </w:tcPr>
          <w:p w14:paraId="41CB7AB9" w14:textId="77777777" w:rsidR="00DF251A" w:rsidRPr="00521670" w:rsidRDefault="00DF251A" w:rsidP="00A56E91">
            <w:pPr>
              <w:pStyle w:val="Tabletext"/>
              <w:jc w:val="right"/>
              <w:rPr>
                <w:b/>
                <w:bCs/>
                <w:lang w:val="ru-RU" w:eastAsia="en-GB"/>
              </w:rPr>
            </w:pPr>
            <w:r w:rsidRPr="00521670">
              <w:rPr>
                <w:b/>
                <w:bCs/>
                <w:lang w:val="ru-RU"/>
              </w:rPr>
              <w:t>1 085</w:t>
            </w:r>
          </w:p>
        </w:tc>
        <w:tc>
          <w:tcPr>
            <w:tcW w:w="446" w:type="pct"/>
            <w:tcBorders>
              <w:top w:val="nil"/>
              <w:left w:val="nil"/>
              <w:bottom w:val="nil"/>
              <w:right w:val="nil"/>
            </w:tcBorders>
            <w:shd w:val="clear" w:color="000000" w:fill="0070C0"/>
            <w:noWrap/>
            <w:vAlign w:val="bottom"/>
            <w:hideMark/>
          </w:tcPr>
          <w:p w14:paraId="362FDD8E" w14:textId="77777777" w:rsidR="00DF251A" w:rsidRPr="00521670" w:rsidRDefault="00DF251A" w:rsidP="00A56E91">
            <w:pPr>
              <w:pStyle w:val="Tabletext"/>
              <w:jc w:val="right"/>
              <w:rPr>
                <w:b/>
                <w:bCs/>
                <w:lang w:val="ru-RU" w:eastAsia="en-GB"/>
              </w:rPr>
            </w:pPr>
            <w:r w:rsidRPr="00521670">
              <w:rPr>
                <w:b/>
                <w:bCs/>
                <w:lang w:val="ru-RU"/>
              </w:rPr>
              <w:t>1 494</w:t>
            </w:r>
          </w:p>
        </w:tc>
        <w:tc>
          <w:tcPr>
            <w:tcW w:w="436" w:type="pct"/>
            <w:tcBorders>
              <w:top w:val="nil"/>
              <w:left w:val="nil"/>
              <w:bottom w:val="nil"/>
              <w:right w:val="nil"/>
            </w:tcBorders>
            <w:shd w:val="clear" w:color="000000" w:fill="0070C0"/>
            <w:noWrap/>
            <w:vAlign w:val="bottom"/>
            <w:hideMark/>
          </w:tcPr>
          <w:p w14:paraId="65535BF6" w14:textId="77777777" w:rsidR="00DF251A" w:rsidRPr="00521670" w:rsidRDefault="00DF251A" w:rsidP="00A56E91">
            <w:pPr>
              <w:pStyle w:val="Tabletext"/>
              <w:jc w:val="right"/>
              <w:rPr>
                <w:b/>
                <w:bCs/>
                <w:lang w:val="ru-RU" w:eastAsia="en-GB"/>
              </w:rPr>
            </w:pPr>
            <w:r w:rsidRPr="00521670">
              <w:rPr>
                <w:b/>
                <w:bCs/>
                <w:lang w:val="ru-RU"/>
              </w:rPr>
              <w:t>1 778</w:t>
            </w:r>
          </w:p>
        </w:tc>
      </w:tr>
    </w:tbl>
    <w:p w14:paraId="5F22C08E" w14:textId="77777777" w:rsidR="00DF251A" w:rsidRPr="00521670" w:rsidRDefault="00DF251A" w:rsidP="00233578">
      <w:pPr>
        <w:pStyle w:val="Heading5"/>
        <w:rPr>
          <w:b/>
          <w:bCs/>
          <w:color w:val="4F81BD" w:themeColor="accent1"/>
          <w:lang w:val="ru-RU"/>
        </w:rPr>
      </w:pPr>
      <w:bookmarkStart w:id="383" w:name="_Toc1546949396"/>
      <w:bookmarkStart w:id="384" w:name="_Toc164845570"/>
      <w:bookmarkStart w:id="385" w:name="_Toc168578484"/>
      <w:bookmarkStart w:id="386" w:name="_Toc180681829"/>
      <w:bookmarkStart w:id="387" w:name="_Toc200469542"/>
      <w:r w:rsidRPr="00521670">
        <w:rPr>
          <w:b/>
          <w:bCs/>
          <w:color w:val="4F81BD" w:themeColor="accent1"/>
          <w:lang w:val="ru-RU"/>
        </w:rPr>
        <w:t>Примечание 18</w:t>
      </w:r>
      <w:r w:rsidRPr="00521670">
        <w:rPr>
          <w:b/>
          <w:bCs/>
          <w:color w:val="4F81BD" w:themeColor="accent1"/>
          <w:lang w:val="ru-RU"/>
        </w:rPr>
        <w:tab/>
      </w:r>
      <w:bookmarkEnd w:id="383"/>
      <w:bookmarkEnd w:id="384"/>
      <w:r w:rsidRPr="00521670">
        <w:rPr>
          <w:b/>
          <w:bCs/>
          <w:color w:val="4F81BD" w:themeColor="accent1"/>
          <w:lang w:val="ru-RU"/>
        </w:rPr>
        <w:t>Доходы</w:t>
      </w:r>
      <w:bookmarkEnd w:id="385"/>
      <w:bookmarkEnd w:id="386"/>
      <w:bookmarkEnd w:id="387"/>
    </w:p>
    <w:p w14:paraId="53420098" w14:textId="77777777" w:rsidR="00DF251A" w:rsidRPr="00521670" w:rsidRDefault="00DF251A" w:rsidP="00233578">
      <w:pPr>
        <w:pStyle w:val="Headingb"/>
        <w:rPr>
          <w:lang w:val="ru-RU" w:bidi="ru-RU"/>
        </w:rPr>
      </w:pPr>
      <w:r w:rsidRPr="00521670">
        <w:rPr>
          <w:lang w:val="ru-RU" w:bidi="ru-RU"/>
        </w:rPr>
        <w:t>Начисленные взносы</w:t>
      </w:r>
    </w:p>
    <w:p w14:paraId="261DAE79" w14:textId="77777777" w:rsidR="00DF251A" w:rsidRPr="00521670" w:rsidRDefault="00DF251A" w:rsidP="00233578">
      <w:pPr>
        <w:rPr>
          <w:lang w:val="ru-RU" w:bidi="ru-RU"/>
        </w:rPr>
      </w:pPr>
      <w:r w:rsidRPr="00521670">
        <w:rPr>
          <w:lang w:val="ru-RU" w:bidi="ru-RU"/>
        </w:rPr>
        <w:t>Совет в своей Резолюции 1417, принятой на сессии 2023 года, утвердил бюджет Союза на период 2024−2025 годов.</w:t>
      </w:r>
    </w:p>
    <w:p w14:paraId="5BBB16F8" w14:textId="77777777" w:rsidR="00DF251A" w:rsidRPr="00521670" w:rsidRDefault="00DF251A" w:rsidP="00233578">
      <w:pPr>
        <w:rPr>
          <w:lang w:val="ru-RU" w:bidi="ru-RU"/>
        </w:rPr>
      </w:pPr>
      <w:r w:rsidRPr="00521670">
        <w:rPr>
          <w:lang w:val="ru-RU" w:bidi="ru-RU"/>
        </w:rPr>
        <w:t xml:space="preserve">Доходы от Государств-Членов за 2024 год </w:t>
      </w:r>
      <w:r w:rsidRPr="00521670">
        <w:rPr>
          <w:color w:val="000000"/>
          <w:lang w:val="ru-RU"/>
        </w:rPr>
        <w:t>соответствуют Финансовому плану, представленному на ПК</w:t>
      </w:r>
      <w:r w:rsidRPr="00521670">
        <w:rPr>
          <w:color w:val="000000"/>
          <w:lang w:val="ru-RU"/>
        </w:rPr>
        <w:noBreakHyphen/>
        <w:t>22</w:t>
      </w:r>
      <w:r w:rsidRPr="00521670">
        <w:rPr>
          <w:lang w:val="ru-RU" w:bidi="ru-RU"/>
        </w:rPr>
        <w:t xml:space="preserve">. </w:t>
      </w:r>
      <w:r w:rsidRPr="00521670">
        <w:rPr>
          <w:color w:val="000000"/>
          <w:lang w:val="ru-RU"/>
        </w:rPr>
        <w:t>Начисленные взносы Государств-Членов базируются на сумме 356 единиц</w:t>
      </w:r>
      <w:r w:rsidRPr="00521670">
        <w:rPr>
          <w:lang w:val="ru-RU" w:bidi="ru-RU"/>
        </w:rPr>
        <w:t>.</w:t>
      </w:r>
    </w:p>
    <w:p w14:paraId="336D1F15" w14:textId="77777777" w:rsidR="00DF251A" w:rsidRPr="00521670" w:rsidRDefault="00DF251A" w:rsidP="00233578">
      <w:pPr>
        <w:rPr>
          <w:lang w:val="ru-RU" w:bidi="ru-RU"/>
        </w:rPr>
      </w:pPr>
      <w:r w:rsidRPr="00521670">
        <w:rPr>
          <w:color w:val="000000"/>
          <w:lang w:val="ru-RU"/>
        </w:rPr>
        <w:t>Были отражены полученные взносы за следующие конференционные мероприятия</w:t>
      </w:r>
      <w:r w:rsidRPr="00521670">
        <w:rPr>
          <w:lang w:val="ru-RU" w:bidi="ru-RU"/>
        </w:rPr>
        <w:t>:</w:t>
      </w:r>
    </w:p>
    <w:p w14:paraId="7C4E2D2F" w14:textId="77777777" w:rsidR="00DF251A" w:rsidRPr="00521670" w:rsidRDefault="00DF251A" w:rsidP="00233578">
      <w:pPr>
        <w:pStyle w:val="enumlev1"/>
        <w:rPr>
          <w:lang w:val="ru-RU" w:bidi="ru-RU"/>
        </w:rPr>
      </w:pPr>
      <w:r w:rsidRPr="00521670">
        <w:rPr>
          <w:lang w:val="ru-RU" w:bidi="ru-RU"/>
        </w:rPr>
        <w:t>•</w:t>
      </w:r>
      <w:r w:rsidRPr="00521670">
        <w:rPr>
          <w:lang w:val="ru-RU" w:bidi="ru-RU"/>
        </w:rPr>
        <w:tab/>
        <w:t xml:space="preserve">Всемирную ассамблею по стандартизации электросвязи (ВАСЭ-24), проходившую в Дели, Индия. Правительство Индии </w:t>
      </w:r>
      <w:r w:rsidRPr="00521670">
        <w:rPr>
          <w:color w:val="000000"/>
          <w:lang w:val="ru-RU"/>
        </w:rPr>
        <w:t>взяло на себя транспортные расходы и расходы на проживание всех сотрудников МСЭ, приехавших на мероприятие. Правительство также непосредственно занималось всеми вопросами материально-технического обеспечения и безопасности всех участников</w:t>
      </w:r>
      <w:r w:rsidRPr="00521670">
        <w:rPr>
          <w:lang w:val="ru-RU" w:bidi="ru-RU"/>
        </w:rPr>
        <w:t>.</w:t>
      </w:r>
    </w:p>
    <w:p w14:paraId="5E286BFE" w14:textId="014CEDB6" w:rsidR="00DF251A" w:rsidRPr="00521670" w:rsidRDefault="00DF251A" w:rsidP="00233578">
      <w:pPr>
        <w:pStyle w:val="enumlev1"/>
        <w:rPr>
          <w:lang w:val="ru-RU" w:bidi="ru-RU"/>
        </w:rPr>
      </w:pPr>
      <w:r w:rsidRPr="00521670">
        <w:rPr>
          <w:lang w:val="ru-RU" w:bidi="ru-RU"/>
        </w:rPr>
        <w:t>•</w:t>
      </w:r>
      <w:r w:rsidRPr="00521670">
        <w:rPr>
          <w:lang w:val="ru-RU" w:bidi="ru-RU"/>
        </w:rPr>
        <w:tab/>
        <w:t>Глобальный симпозиум для регуляторных органов (ГСР-24), проходивший в Кампале, Уганда. В соответствии с соглашением с принимающей страной правительство Уганды профинансировало расходы, связанные с транспортировкой и размещением всех сотрудников МСЭ, приехавших на мероприятие, а также непосредственно занималось всеми вопросами материально-технического обеспечения и безопасности всех</w:t>
      </w:r>
      <w:r w:rsidR="008B37B3" w:rsidRPr="00521670">
        <w:rPr>
          <w:lang w:val="ru-RU" w:bidi="ru-RU"/>
        </w:rPr>
        <w:t> </w:t>
      </w:r>
      <w:r w:rsidRPr="00521670">
        <w:rPr>
          <w:lang w:val="ru-RU" w:bidi="ru-RU"/>
        </w:rPr>
        <w:t>участников.</w:t>
      </w:r>
    </w:p>
    <w:p w14:paraId="4FC3DC4B" w14:textId="77777777" w:rsidR="00DF251A" w:rsidRPr="00521670" w:rsidRDefault="00DF251A" w:rsidP="00233578">
      <w:pPr>
        <w:keepNext/>
        <w:keepLines/>
        <w:spacing w:after="120"/>
        <w:rPr>
          <w:lang w:val="ru-RU" w:bidi="ru-RU"/>
        </w:rPr>
      </w:pPr>
      <w:r w:rsidRPr="00521670">
        <w:rPr>
          <w:lang w:val="ru-RU" w:bidi="ru-RU"/>
        </w:rPr>
        <w:t>В приведенной ниже таблице представлены начисленные взносы, фактически поступившие на счет в 2024 и 2023 годах.</w:t>
      </w:r>
    </w:p>
    <w:tbl>
      <w:tblPr>
        <w:tblW w:w="5000" w:type="pct"/>
        <w:jc w:val="center"/>
        <w:tblLayout w:type="fixed"/>
        <w:tblLook w:val="04A0" w:firstRow="1" w:lastRow="0" w:firstColumn="1" w:lastColumn="0" w:noHBand="0" w:noVBand="1"/>
      </w:tblPr>
      <w:tblGrid>
        <w:gridCol w:w="5167"/>
        <w:gridCol w:w="1952"/>
        <w:gridCol w:w="1952"/>
      </w:tblGrid>
      <w:tr w:rsidR="00DF251A" w:rsidRPr="00521670" w14:paraId="100D88D7" w14:textId="77777777" w:rsidTr="005E2CD7">
        <w:trPr>
          <w:jc w:val="center"/>
        </w:trPr>
        <w:tc>
          <w:tcPr>
            <w:tcW w:w="2848" w:type="pct"/>
            <w:tcBorders>
              <w:top w:val="nil"/>
              <w:left w:val="nil"/>
              <w:bottom w:val="nil"/>
              <w:right w:val="nil"/>
            </w:tcBorders>
            <w:shd w:val="clear" w:color="000000" w:fill="0070C0"/>
            <w:vAlign w:val="center"/>
            <w:hideMark/>
          </w:tcPr>
          <w:p w14:paraId="27E70E1A" w14:textId="77777777" w:rsidR="00DF251A" w:rsidRPr="00521670" w:rsidRDefault="00DF251A" w:rsidP="00835292">
            <w:pPr>
              <w:pStyle w:val="Tablehead"/>
              <w:keepLines/>
              <w:rPr>
                <w:lang w:val="ru-RU" w:eastAsia="en-GB"/>
              </w:rPr>
            </w:pPr>
            <w:r w:rsidRPr="00521670">
              <w:rPr>
                <w:szCs w:val="18"/>
                <w:lang w:val="ru-RU" w:eastAsia="en-GB"/>
              </w:rPr>
              <w:t>Описание (тыс. шв. фр.)</w:t>
            </w:r>
          </w:p>
        </w:tc>
        <w:tc>
          <w:tcPr>
            <w:tcW w:w="1076" w:type="pct"/>
            <w:tcBorders>
              <w:top w:val="nil"/>
              <w:left w:val="nil"/>
              <w:bottom w:val="nil"/>
              <w:right w:val="nil"/>
            </w:tcBorders>
            <w:shd w:val="clear" w:color="000000" w:fill="0070C0"/>
            <w:vAlign w:val="center"/>
            <w:hideMark/>
          </w:tcPr>
          <w:p w14:paraId="6614C1A7" w14:textId="77777777" w:rsidR="00DF251A" w:rsidRPr="00521670" w:rsidRDefault="00DF251A" w:rsidP="008B37B3">
            <w:pPr>
              <w:pStyle w:val="Tablehead"/>
              <w:keepLines/>
              <w:jc w:val="right"/>
              <w:rPr>
                <w:lang w:val="ru-RU" w:eastAsia="en-GB"/>
              </w:rPr>
            </w:pPr>
            <w:r w:rsidRPr="00521670">
              <w:rPr>
                <w:lang w:val="ru-RU" w:eastAsia="en-GB"/>
              </w:rPr>
              <w:t>2024 г.</w:t>
            </w:r>
          </w:p>
        </w:tc>
        <w:tc>
          <w:tcPr>
            <w:tcW w:w="1076" w:type="pct"/>
            <w:tcBorders>
              <w:top w:val="nil"/>
              <w:left w:val="nil"/>
              <w:bottom w:val="nil"/>
              <w:right w:val="nil"/>
            </w:tcBorders>
            <w:shd w:val="clear" w:color="000000" w:fill="0070C0"/>
            <w:vAlign w:val="center"/>
            <w:hideMark/>
          </w:tcPr>
          <w:p w14:paraId="45560513" w14:textId="77777777" w:rsidR="00DF251A" w:rsidRPr="00521670" w:rsidRDefault="00DF251A" w:rsidP="008B37B3">
            <w:pPr>
              <w:pStyle w:val="Tablehead"/>
              <w:keepLines/>
              <w:jc w:val="right"/>
              <w:rPr>
                <w:lang w:val="ru-RU" w:eastAsia="en-GB"/>
              </w:rPr>
            </w:pPr>
            <w:r w:rsidRPr="00521670">
              <w:rPr>
                <w:lang w:val="ru-RU" w:eastAsia="en-GB"/>
              </w:rPr>
              <w:t>2023 г.</w:t>
            </w:r>
          </w:p>
        </w:tc>
      </w:tr>
      <w:tr w:rsidR="00DF251A" w:rsidRPr="00521670" w14:paraId="14DA63C8" w14:textId="77777777" w:rsidTr="005E2CD7">
        <w:trPr>
          <w:jc w:val="center"/>
        </w:trPr>
        <w:tc>
          <w:tcPr>
            <w:tcW w:w="2848" w:type="pct"/>
            <w:tcBorders>
              <w:top w:val="nil"/>
              <w:left w:val="nil"/>
              <w:bottom w:val="nil"/>
              <w:right w:val="nil"/>
            </w:tcBorders>
            <w:shd w:val="clear" w:color="auto" w:fill="auto"/>
            <w:noWrap/>
            <w:hideMark/>
          </w:tcPr>
          <w:p w14:paraId="724758E6" w14:textId="77777777" w:rsidR="00DF251A" w:rsidRPr="00521670" w:rsidRDefault="00DF251A" w:rsidP="005E2CD7">
            <w:pPr>
              <w:pStyle w:val="Tabletext"/>
              <w:keepNext/>
              <w:keepLines/>
              <w:rPr>
                <w:lang w:val="ru-RU" w:eastAsia="en-GB"/>
              </w:rPr>
            </w:pPr>
            <w:r w:rsidRPr="00521670">
              <w:rPr>
                <w:szCs w:val="18"/>
                <w:lang w:val="ru-RU"/>
              </w:rPr>
              <w:t>Взносы Государств-Членов</w:t>
            </w:r>
          </w:p>
        </w:tc>
        <w:tc>
          <w:tcPr>
            <w:tcW w:w="1076" w:type="pct"/>
            <w:tcBorders>
              <w:top w:val="nil"/>
              <w:left w:val="nil"/>
              <w:bottom w:val="nil"/>
              <w:right w:val="nil"/>
            </w:tcBorders>
            <w:shd w:val="clear" w:color="auto" w:fill="auto"/>
            <w:noWrap/>
            <w:vAlign w:val="bottom"/>
            <w:hideMark/>
          </w:tcPr>
          <w:p w14:paraId="362A639F" w14:textId="77777777" w:rsidR="00DF251A" w:rsidRPr="00521670" w:rsidRDefault="00DF251A" w:rsidP="005E2CD7">
            <w:pPr>
              <w:pStyle w:val="Tabletext"/>
              <w:keepNext/>
              <w:keepLines/>
              <w:jc w:val="right"/>
              <w:rPr>
                <w:lang w:val="ru-RU" w:eastAsia="en-GB"/>
              </w:rPr>
            </w:pPr>
            <w:r w:rsidRPr="00521670">
              <w:rPr>
                <w:lang w:val="ru-RU"/>
              </w:rPr>
              <w:t>113 195</w:t>
            </w:r>
          </w:p>
        </w:tc>
        <w:tc>
          <w:tcPr>
            <w:tcW w:w="1076" w:type="pct"/>
            <w:tcBorders>
              <w:top w:val="nil"/>
              <w:left w:val="nil"/>
              <w:bottom w:val="nil"/>
              <w:right w:val="nil"/>
            </w:tcBorders>
            <w:shd w:val="clear" w:color="auto" w:fill="auto"/>
            <w:noWrap/>
            <w:vAlign w:val="bottom"/>
            <w:hideMark/>
          </w:tcPr>
          <w:p w14:paraId="133C8C2D" w14:textId="77777777" w:rsidR="00DF251A" w:rsidRPr="00521670" w:rsidRDefault="00DF251A" w:rsidP="005E2CD7">
            <w:pPr>
              <w:pStyle w:val="Tabletext"/>
              <w:keepNext/>
              <w:keepLines/>
              <w:jc w:val="right"/>
              <w:rPr>
                <w:lang w:val="ru-RU" w:eastAsia="en-GB"/>
              </w:rPr>
            </w:pPr>
            <w:r w:rsidRPr="00521670">
              <w:rPr>
                <w:lang w:val="ru-RU"/>
              </w:rPr>
              <w:t>109 293</w:t>
            </w:r>
          </w:p>
        </w:tc>
      </w:tr>
      <w:tr w:rsidR="00DF251A" w:rsidRPr="00521670" w14:paraId="7DD43C12" w14:textId="77777777" w:rsidTr="005E2CD7">
        <w:trPr>
          <w:jc w:val="center"/>
        </w:trPr>
        <w:tc>
          <w:tcPr>
            <w:tcW w:w="2848" w:type="pct"/>
            <w:tcBorders>
              <w:top w:val="nil"/>
              <w:left w:val="nil"/>
              <w:bottom w:val="nil"/>
              <w:right w:val="nil"/>
            </w:tcBorders>
            <w:shd w:val="clear" w:color="auto" w:fill="auto"/>
            <w:noWrap/>
            <w:hideMark/>
          </w:tcPr>
          <w:p w14:paraId="1932A36F" w14:textId="77777777" w:rsidR="00DF251A" w:rsidRPr="00521670" w:rsidRDefault="00DF251A" w:rsidP="005E2CD7">
            <w:pPr>
              <w:pStyle w:val="Tabletext"/>
              <w:keepNext/>
              <w:keepLines/>
              <w:rPr>
                <w:lang w:val="ru-RU" w:eastAsia="en-GB"/>
              </w:rPr>
            </w:pPr>
            <w:r w:rsidRPr="00521670">
              <w:rPr>
                <w:szCs w:val="18"/>
                <w:lang w:val="ru-RU"/>
              </w:rPr>
              <w:t>Взносы Членов Секторов</w:t>
            </w:r>
          </w:p>
        </w:tc>
        <w:tc>
          <w:tcPr>
            <w:tcW w:w="1076" w:type="pct"/>
            <w:tcBorders>
              <w:top w:val="nil"/>
              <w:left w:val="nil"/>
              <w:bottom w:val="nil"/>
              <w:right w:val="nil"/>
            </w:tcBorders>
            <w:shd w:val="clear" w:color="auto" w:fill="auto"/>
            <w:noWrap/>
            <w:vAlign w:val="bottom"/>
            <w:hideMark/>
          </w:tcPr>
          <w:p w14:paraId="46B4A082" w14:textId="77777777" w:rsidR="00DF251A" w:rsidRPr="00521670" w:rsidRDefault="00DF251A" w:rsidP="005E2CD7">
            <w:pPr>
              <w:pStyle w:val="Tabletext"/>
              <w:keepNext/>
              <w:keepLines/>
              <w:jc w:val="right"/>
              <w:rPr>
                <w:lang w:val="ru-RU" w:eastAsia="en-GB"/>
              </w:rPr>
            </w:pPr>
            <w:r w:rsidRPr="00521670">
              <w:rPr>
                <w:lang w:val="ru-RU"/>
              </w:rPr>
              <w:t>14 105</w:t>
            </w:r>
          </w:p>
        </w:tc>
        <w:tc>
          <w:tcPr>
            <w:tcW w:w="1076" w:type="pct"/>
            <w:tcBorders>
              <w:top w:val="nil"/>
              <w:left w:val="nil"/>
              <w:bottom w:val="nil"/>
              <w:right w:val="nil"/>
            </w:tcBorders>
            <w:shd w:val="clear" w:color="auto" w:fill="auto"/>
            <w:noWrap/>
            <w:vAlign w:val="bottom"/>
            <w:hideMark/>
          </w:tcPr>
          <w:p w14:paraId="1A7E6422" w14:textId="77777777" w:rsidR="00DF251A" w:rsidRPr="00521670" w:rsidRDefault="00DF251A" w:rsidP="005E2CD7">
            <w:pPr>
              <w:pStyle w:val="Tabletext"/>
              <w:keepNext/>
              <w:keepLines/>
              <w:jc w:val="right"/>
              <w:rPr>
                <w:lang w:val="ru-RU" w:eastAsia="en-GB"/>
              </w:rPr>
            </w:pPr>
            <w:r w:rsidRPr="00521670">
              <w:rPr>
                <w:lang w:val="ru-RU"/>
              </w:rPr>
              <w:t>13 967</w:t>
            </w:r>
          </w:p>
        </w:tc>
      </w:tr>
      <w:tr w:rsidR="00DF251A" w:rsidRPr="00521670" w14:paraId="28F42AC8" w14:textId="77777777" w:rsidTr="005E2CD7">
        <w:trPr>
          <w:jc w:val="center"/>
        </w:trPr>
        <w:tc>
          <w:tcPr>
            <w:tcW w:w="2848" w:type="pct"/>
            <w:tcBorders>
              <w:top w:val="nil"/>
              <w:left w:val="nil"/>
              <w:bottom w:val="nil"/>
              <w:right w:val="nil"/>
            </w:tcBorders>
            <w:shd w:val="clear" w:color="auto" w:fill="auto"/>
            <w:noWrap/>
            <w:hideMark/>
          </w:tcPr>
          <w:p w14:paraId="521188EE" w14:textId="77777777" w:rsidR="00DF251A" w:rsidRPr="00521670" w:rsidRDefault="00DF251A" w:rsidP="005E2CD7">
            <w:pPr>
              <w:pStyle w:val="Tabletext"/>
              <w:keepNext/>
              <w:keepLines/>
              <w:rPr>
                <w:lang w:val="ru-RU" w:eastAsia="en-GB"/>
              </w:rPr>
            </w:pPr>
            <w:r w:rsidRPr="00521670">
              <w:rPr>
                <w:szCs w:val="18"/>
                <w:lang w:val="ru-RU"/>
              </w:rPr>
              <w:t>Взносы Ассоциированных членов</w:t>
            </w:r>
          </w:p>
        </w:tc>
        <w:tc>
          <w:tcPr>
            <w:tcW w:w="1076" w:type="pct"/>
            <w:tcBorders>
              <w:top w:val="nil"/>
              <w:left w:val="nil"/>
              <w:bottom w:val="nil"/>
              <w:right w:val="nil"/>
            </w:tcBorders>
            <w:shd w:val="clear" w:color="auto" w:fill="auto"/>
            <w:noWrap/>
            <w:vAlign w:val="bottom"/>
            <w:hideMark/>
          </w:tcPr>
          <w:p w14:paraId="05BEFF30" w14:textId="77777777" w:rsidR="00DF251A" w:rsidRPr="00521670" w:rsidRDefault="00DF251A" w:rsidP="005E2CD7">
            <w:pPr>
              <w:pStyle w:val="Tabletext"/>
              <w:keepNext/>
              <w:keepLines/>
              <w:jc w:val="right"/>
              <w:rPr>
                <w:lang w:val="ru-RU" w:eastAsia="en-GB"/>
              </w:rPr>
            </w:pPr>
            <w:r w:rsidRPr="00521670">
              <w:rPr>
                <w:lang w:val="ru-RU"/>
              </w:rPr>
              <w:t>2 173</w:t>
            </w:r>
          </w:p>
        </w:tc>
        <w:tc>
          <w:tcPr>
            <w:tcW w:w="1076" w:type="pct"/>
            <w:tcBorders>
              <w:top w:val="nil"/>
              <w:left w:val="nil"/>
              <w:bottom w:val="nil"/>
              <w:right w:val="nil"/>
            </w:tcBorders>
            <w:shd w:val="clear" w:color="auto" w:fill="auto"/>
            <w:noWrap/>
            <w:vAlign w:val="bottom"/>
            <w:hideMark/>
          </w:tcPr>
          <w:p w14:paraId="0B50770F" w14:textId="77777777" w:rsidR="00DF251A" w:rsidRPr="00521670" w:rsidRDefault="00DF251A" w:rsidP="005E2CD7">
            <w:pPr>
              <w:pStyle w:val="Tabletext"/>
              <w:keepNext/>
              <w:keepLines/>
              <w:jc w:val="right"/>
              <w:rPr>
                <w:lang w:val="ru-RU" w:eastAsia="en-GB"/>
              </w:rPr>
            </w:pPr>
            <w:r w:rsidRPr="00521670">
              <w:rPr>
                <w:lang w:val="ru-RU"/>
              </w:rPr>
              <w:t>2 164</w:t>
            </w:r>
          </w:p>
        </w:tc>
      </w:tr>
      <w:tr w:rsidR="00DF251A" w:rsidRPr="00521670" w14:paraId="23E4D2B1" w14:textId="77777777" w:rsidTr="005E2CD7">
        <w:trPr>
          <w:jc w:val="center"/>
        </w:trPr>
        <w:tc>
          <w:tcPr>
            <w:tcW w:w="2848" w:type="pct"/>
            <w:tcBorders>
              <w:top w:val="nil"/>
              <w:left w:val="nil"/>
              <w:bottom w:val="nil"/>
              <w:right w:val="nil"/>
            </w:tcBorders>
            <w:shd w:val="clear" w:color="auto" w:fill="auto"/>
            <w:noWrap/>
            <w:hideMark/>
          </w:tcPr>
          <w:p w14:paraId="3A19F434" w14:textId="77777777" w:rsidR="00DF251A" w:rsidRPr="00521670" w:rsidRDefault="00DF251A" w:rsidP="005E2CD7">
            <w:pPr>
              <w:pStyle w:val="Tabletext"/>
              <w:keepNext/>
              <w:keepLines/>
              <w:rPr>
                <w:lang w:val="ru-RU" w:eastAsia="en-GB"/>
              </w:rPr>
            </w:pPr>
            <w:r w:rsidRPr="00521670">
              <w:rPr>
                <w:szCs w:val="18"/>
                <w:lang w:val="ru-RU"/>
              </w:rPr>
              <w:t>Взносы Академических организаций − Членов</w:t>
            </w:r>
          </w:p>
        </w:tc>
        <w:tc>
          <w:tcPr>
            <w:tcW w:w="1076" w:type="pct"/>
            <w:tcBorders>
              <w:top w:val="nil"/>
              <w:left w:val="nil"/>
              <w:bottom w:val="nil"/>
              <w:right w:val="nil"/>
            </w:tcBorders>
            <w:shd w:val="clear" w:color="auto" w:fill="auto"/>
            <w:noWrap/>
            <w:vAlign w:val="bottom"/>
            <w:hideMark/>
          </w:tcPr>
          <w:p w14:paraId="10BA358D" w14:textId="77777777" w:rsidR="00DF251A" w:rsidRPr="00521670" w:rsidRDefault="00DF251A" w:rsidP="005E2CD7">
            <w:pPr>
              <w:pStyle w:val="Tabletext"/>
              <w:keepNext/>
              <w:keepLines/>
              <w:jc w:val="right"/>
              <w:rPr>
                <w:lang w:val="ru-RU" w:eastAsia="en-GB"/>
              </w:rPr>
            </w:pPr>
            <w:r w:rsidRPr="00521670">
              <w:rPr>
                <w:lang w:val="ru-RU"/>
              </w:rPr>
              <w:t>416</w:t>
            </w:r>
          </w:p>
        </w:tc>
        <w:tc>
          <w:tcPr>
            <w:tcW w:w="1076" w:type="pct"/>
            <w:tcBorders>
              <w:top w:val="nil"/>
              <w:left w:val="nil"/>
              <w:bottom w:val="nil"/>
              <w:right w:val="nil"/>
            </w:tcBorders>
            <w:shd w:val="clear" w:color="auto" w:fill="auto"/>
            <w:noWrap/>
            <w:vAlign w:val="bottom"/>
            <w:hideMark/>
          </w:tcPr>
          <w:p w14:paraId="52A520B6" w14:textId="77777777" w:rsidR="00DF251A" w:rsidRPr="00521670" w:rsidRDefault="00DF251A" w:rsidP="005E2CD7">
            <w:pPr>
              <w:pStyle w:val="Tabletext"/>
              <w:keepNext/>
              <w:keepLines/>
              <w:jc w:val="right"/>
              <w:rPr>
                <w:lang w:val="ru-RU" w:eastAsia="en-GB"/>
              </w:rPr>
            </w:pPr>
            <w:r w:rsidRPr="00521670">
              <w:rPr>
                <w:lang w:val="ru-RU"/>
              </w:rPr>
              <w:t>413</w:t>
            </w:r>
          </w:p>
        </w:tc>
      </w:tr>
      <w:tr w:rsidR="00DF251A" w:rsidRPr="00521670" w14:paraId="6182EAF7" w14:textId="77777777" w:rsidTr="005E2CD7">
        <w:trPr>
          <w:jc w:val="center"/>
        </w:trPr>
        <w:tc>
          <w:tcPr>
            <w:tcW w:w="2848" w:type="pct"/>
            <w:tcBorders>
              <w:top w:val="nil"/>
              <w:left w:val="nil"/>
              <w:bottom w:val="nil"/>
              <w:right w:val="nil"/>
            </w:tcBorders>
            <w:shd w:val="clear" w:color="auto" w:fill="auto"/>
            <w:noWrap/>
            <w:hideMark/>
          </w:tcPr>
          <w:p w14:paraId="1C738B59" w14:textId="77777777" w:rsidR="00DF251A" w:rsidRPr="00521670" w:rsidRDefault="00DF251A" w:rsidP="005E2CD7">
            <w:pPr>
              <w:pStyle w:val="Tabletext"/>
              <w:keepNext/>
              <w:keepLines/>
              <w:rPr>
                <w:lang w:val="ru-RU" w:eastAsia="en-GB"/>
              </w:rPr>
            </w:pPr>
            <w:r w:rsidRPr="00521670">
              <w:rPr>
                <w:szCs w:val="18"/>
                <w:lang w:val="ru-RU"/>
              </w:rPr>
              <w:t>Взносы на проведение конференций</w:t>
            </w:r>
          </w:p>
        </w:tc>
        <w:tc>
          <w:tcPr>
            <w:tcW w:w="1076" w:type="pct"/>
            <w:tcBorders>
              <w:top w:val="nil"/>
              <w:left w:val="nil"/>
              <w:bottom w:val="nil"/>
              <w:right w:val="nil"/>
            </w:tcBorders>
            <w:shd w:val="clear" w:color="auto" w:fill="auto"/>
            <w:noWrap/>
            <w:vAlign w:val="bottom"/>
            <w:hideMark/>
          </w:tcPr>
          <w:p w14:paraId="17B58DE8" w14:textId="77777777" w:rsidR="00DF251A" w:rsidRPr="00521670" w:rsidRDefault="00DF251A" w:rsidP="005E2CD7">
            <w:pPr>
              <w:pStyle w:val="Tabletext"/>
              <w:keepNext/>
              <w:keepLines/>
              <w:jc w:val="right"/>
              <w:rPr>
                <w:lang w:val="ru-RU" w:eastAsia="en-GB"/>
              </w:rPr>
            </w:pPr>
            <w:r w:rsidRPr="00521670">
              <w:rPr>
                <w:lang w:val="ru-RU"/>
              </w:rPr>
              <w:t>1 028</w:t>
            </w:r>
          </w:p>
        </w:tc>
        <w:tc>
          <w:tcPr>
            <w:tcW w:w="1076" w:type="pct"/>
            <w:tcBorders>
              <w:top w:val="nil"/>
              <w:left w:val="nil"/>
              <w:bottom w:val="nil"/>
              <w:right w:val="nil"/>
            </w:tcBorders>
            <w:shd w:val="clear" w:color="auto" w:fill="auto"/>
            <w:noWrap/>
            <w:vAlign w:val="bottom"/>
            <w:hideMark/>
          </w:tcPr>
          <w:p w14:paraId="2B11B614" w14:textId="77777777" w:rsidR="00DF251A" w:rsidRPr="00521670" w:rsidRDefault="00DF251A" w:rsidP="005E2CD7">
            <w:pPr>
              <w:pStyle w:val="Tabletext"/>
              <w:keepNext/>
              <w:keepLines/>
              <w:jc w:val="right"/>
              <w:rPr>
                <w:lang w:val="ru-RU" w:eastAsia="en-GB"/>
              </w:rPr>
            </w:pPr>
            <w:r w:rsidRPr="00521670">
              <w:rPr>
                <w:lang w:val="ru-RU"/>
              </w:rPr>
              <w:t>1 725</w:t>
            </w:r>
          </w:p>
        </w:tc>
      </w:tr>
      <w:tr w:rsidR="00DF251A" w:rsidRPr="00521670" w14:paraId="34C67ED6" w14:textId="77777777" w:rsidTr="00835292">
        <w:trPr>
          <w:jc w:val="center"/>
        </w:trPr>
        <w:tc>
          <w:tcPr>
            <w:tcW w:w="2848" w:type="pct"/>
            <w:tcBorders>
              <w:top w:val="nil"/>
              <w:left w:val="nil"/>
              <w:bottom w:val="nil"/>
              <w:right w:val="nil"/>
            </w:tcBorders>
            <w:shd w:val="clear" w:color="000000" w:fill="0070C0"/>
            <w:noWrap/>
            <w:vAlign w:val="center"/>
            <w:hideMark/>
          </w:tcPr>
          <w:p w14:paraId="767CED6E" w14:textId="77777777" w:rsidR="00DF251A" w:rsidRPr="00521670" w:rsidRDefault="00DF251A" w:rsidP="005E2CD7">
            <w:pPr>
              <w:pStyle w:val="Tabletext"/>
              <w:rPr>
                <w:b/>
                <w:bCs/>
                <w:lang w:val="ru-RU" w:eastAsia="en-GB"/>
              </w:rPr>
            </w:pPr>
            <w:r w:rsidRPr="00521670">
              <w:rPr>
                <w:b/>
                <w:bCs/>
                <w:lang w:val="ru-RU" w:eastAsia="en-GB"/>
              </w:rPr>
              <w:t>Всего: начисленные взносы</w:t>
            </w:r>
          </w:p>
        </w:tc>
        <w:tc>
          <w:tcPr>
            <w:tcW w:w="1076" w:type="pct"/>
            <w:tcBorders>
              <w:top w:val="nil"/>
              <w:left w:val="nil"/>
              <w:bottom w:val="nil"/>
              <w:right w:val="nil"/>
            </w:tcBorders>
            <w:shd w:val="clear" w:color="000000" w:fill="0070C0"/>
            <w:noWrap/>
            <w:hideMark/>
          </w:tcPr>
          <w:p w14:paraId="31AD7DC9" w14:textId="77777777" w:rsidR="00DF251A" w:rsidRPr="00521670" w:rsidRDefault="00DF251A" w:rsidP="005E2CD7">
            <w:pPr>
              <w:pStyle w:val="Tabletext"/>
              <w:jc w:val="right"/>
              <w:rPr>
                <w:b/>
                <w:bCs/>
                <w:lang w:val="ru-RU" w:eastAsia="en-GB"/>
              </w:rPr>
            </w:pPr>
            <w:r w:rsidRPr="00521670">
              <w:rPr>
                <w:b/>
                <w:bCs/>
                <w:lang w:val="ru-RU"/>
              </w:rPr>
              <w:t>130 917</w:t>
            </w:r>
          </w:p>
        </w:tc>
        <w:tc>
          <w:tcPr>
            <w:tcW w:w="1076" w:type="pct"/>
            <w:tcBorders>
              <w:top w:val="nil"/>
              <w:left w:val="nil"/>
              <w:bottom w:val="nil"/>
              <w:right w:val="nil"/>
            </w:tcBorders>
            <w:shd w:val="clear" w:color="000000" w:fill="0070C0"/>
            <w:noWrap/>
            <w:hideMark/>
          </w:tcPr>
          <w:p w14:paraId="67BF665A" w14:textId="77777777" w:rsidR="00DF251A" w:rsidRPr="00521670" w:rsidRDefault="00DF251A" w:rsidP="005E2CD7">
            <w:pPr>
              <w:pStyle w:val="Tabletext"/>
              <w:jc w:val="right"/>
              <w:rPr>
                <w:b/>
                <w:bCs/>
                <w:lang w:val="ru-RU" w:eastAsia="en-GB"/>
              </w:rPr>
            </w:pPr>
            <w:r w:rsidRPr="00521670">
              <w:rPr>
                <w:b/>
                <w:bCs/>
                <w:lang w:val="ru-RU"/>
              </w:rPr>
              <w:t>127 562</w:t>
            </w:r>
          </w:p>
        </w:tc>
      </w:tr>
    </w:tbl>
    <w:p w14:paraId="3DFCA00C" w14:textId="77777777" w:rsidR="00DF251A" w:rsidRPr="00521670" w:rsidRDefault="00DF251A" w:rsidP="00016765">
      <w:pPr>
        <w:pStyle w:val="Headingb"/>
        <w:rPr>
          <w:lang w:val="ru-RU" w:bidi="ru-RU"/>
        </w:rPr>
      </w:pPr>
      <w:r w:rsidRPr="00521670">
        <w:rPr>
          <w:lang w:val="ru-RU" w:bidi="ru-RU"/>
        </w:rPr>
        <w:t>Внебюджетные взносы</w:t>
      </w:r>
    </w:p>
    <w:p w14:paraId="1F94D111" w14:textId="77777777" w:rsidR="00DF251A" w:rsidRPr="00521670" w:rsidRDefault="00DF251A" w:rsidP="00016765">
      <w:pPr>
        <w:spacing w:after="120"/>
        <w:rPr>
          <w:lang w:val="ru-RU" w:bidi="ru-RU"/>
        </w:rPr>
      </w:pPr>
      <w:r w:rsidRPr="00521670">
        <w:rPr>
          <w:lang w:val="ru-RU"/>
        </w:rPr>
        <w:t xml:space="preserve">Добровольные взносы и взносы целевых фондов являются источниками финансирования, предоставляемыми третьими сторонами для поддержки МСЭ в реализации проектов в области </w:t>
      </w:r>
      <w:r w:rsidRPr="00521670">
        <w:rPr>
          <w:lang w:val="ru-RU"/>
        </w:rPr>
        <w:lastRenderedPageBreak/>
        <w:t>развития в интересах развивающихся стран, включая наименее развитые страны, малые островные развивающиеся государства, развивающиеся страны, не имеющие выхода к морю, и страны с переходной экономикой, а также для осуществления деятельности, финансируемой из регулярного бюджета МСЭ.</w:t>
      </w:r>
    </w:p>
    <w:tbl>
      <w:tblPr>
        <w:tblW w:w="5000" w:type="pct"/>
        <w:jc w:val="center"/>
        <w:tblLayout w:type="fixed"/>
        <w:tblLook w:val="04A0" w:firstRow="1" w:lastRow="0" w:firstColumn="1" w:lastColumn="0" w:noHBand="0" w:noVBand="1"/>
      </w:tblPr>
      <w:tblGrid>
        <w:gridCol w:w="5159"/>
        <w:gridCol w:w="1956"/>
        <w:gridCol w:w="1956"/>
      </w:tblGrid>
      <w:tr w:rsidR="00DF251A" w:rsidRPr="00521670" w14:paraId="2D829FD7" w14:textId="77777777" w:rsidTr="00835292">
        <w:trPr>
          <w:jc w:val="center"/>
        </w:trPr>
        <w:tc>
          <w:tcPr>
            <w:tcW w:w="2844" w:type="pct"/>
            <w:tcBorders>
              <w:top w:val="nil"/>
              <w:left w:val="nil"/>
              <w:bottom w:val="nil"/>
              <w:right w:val="nil"/>
            </w:tcBorders>
            <w:shd w:val="clear" w:color="000000" w:fill="0070C0"/>
            <w:vAlign w:val="center"/>
            <w:hideMark/>
          </w:tcPr>
          <w:p w14:paraId="2B253173" w14:textId="77777777" w:rsidR="00DF251A" w:rsidRPr="00521670" w:rsidRDefault="00DF251A" w:rsidP="00835292">
            <w:pPr>
              <w:pStyle w:val="Tablehead"/>
              <w:keepLines/>
              <w:rPr>
                <w:lang w:val="ru-RU" w:eastAsia="en-GB"/>
              </w:rPr>
            </w:pPr>
            <w:r w:rsidRPr="00521670">
              <w:rPr>
                <w:szCs w:val="18"/>
                <w:lang w:val="ru-RU" w:eastAsia="en-GB"/>
              </w:rPr>
              <w:t>Описание (тыс. шв. фр.)</w:t>
            </w:r>
          </w:p>
        </w:tc>
        <w:tc>
          <w:tcPr>
            <w:tcW w:w="1078" w:type="pct"/>
            <w:tcBorders>
              <w:top w:val="nil"/>
              <w:left w:val="nil"/>
              <w:bottom w:val="nil"/>
              <w:right w:val="nil"/>
            </w:tcBorders>
            <w:shd w:val="clear" w:color="000000" w:fill="0070C0"/>
            <w:vAlign w:val="center"/>
            <w:hideMark/>
          </w:tcPr>
          <w:p w14:paraId="4CE6CC10" w14:textId="77777777" w:rsidR="00DF251A" w:rsidRPr="00521670" w:rsidRDefault="00DF251A" w:rsidP="008B37B3">
            <w:pPr>
              <w:pStyle w:val="Tablehead"/>
              <w:keepLines/>
              <w:jc w:val="right"/>
              <w:rPr>
                <w:lang w:val="ru-RU" w:eastAsia="en-GB"/>
              </w:rPr>
            </w:pPr>
            <w:r w:rsidRPr="00521670">
              <w:rPr>
                <w:lang w:val="ru-RU" w:eastAsia="en-GB"/>
              </w:rPr>
              <w:t>2024 г.</w:t>
            </w:r>
          </w:p>
        </w:tc>
        <w:tc>
          <w:tcPr>
            <w:tcW w:w="1078" w:type="pct"/>
            <w:tcBorders>
              <w:top w:val="nil"/>
              <w:left w:val="nil"/>
              <w:bottom w:val="nil"/>
              <w:right w:val="nil"/>
            </w:tcBorders>
            <w:shd w:val="clear" w:color="000000" w:fill="0070C0"/>
            <w:vAlign w:val="center"/>
            <w:hideMark/>
          </w:tcPr>
          <w:p w14:paraId="4D2F5FFF" w14:textId="77777777" w:rsidR="00DF251A" w:rsidRPr="00521670" w:rsidRDefault="00DF251A" w:rsidP="008B37B3">
            <w:pPr>
              <w:pStyle w:val="Tablehead"/>
              <w:keepLines/>
              <w:jc w:val="right"/>
              <w:rPr>
                <w:lang w:val="ru-RU" w:eastAsia="en-GB"/>
              </w:rPr>
            </w:pPr>
            <w:r w:rsidRPr="00521670">
              <w:rPr>
                <w:lang w:val="ru-RU" w:eastAsia="en-GB"/>
              </w:rPr>
              <w:t>2023 г.</w:t>
            </w:r>
          </w:p>
        </w:tc>
      </w:tr>
      <w:tr w:rsidR="00DF251A" w:rsidRPr="00521670" w14:paraId="332F9B42" w14:textId="77777777" w:rsidTr="00835292">
        <w:trPr>
          <w:jc w:val="center"/>
        </w:trPr>
        <w:tc>
          <w:tcPr>
            <w:tcW w:w="2844" w:type="pct"/>
            <w:tcBorders>
              <w:top w:val="nil"/>
              <w:left w:val="nil"/>
              <w:bottom w:val="nil"/>
              <w:right w:val="nil"/>
            </w:tcBorders>
            <w:shd w:val="clear" w:color="auto" w:fill="auto"/>
            <w:noWrap/>
            <w:hideMark/>
          </w:tcPr>
          <w:p w14:paraId="073ACBA8" w14:textId="77777777" w:rsidR="00DF251A" w:rsidRPr="00521670" w:rsidRDefault="00DF251A" w:rsidP="00835292">
            <w:pPr>
              <w:pStyle w:val="Tabletext"/>
              <w:keepNext/>
              <w:keepLines/>
              <w:rPr>
                <w:b/>
                <w:bCs/>
                <w:lang w:val="ru-RU" w:eastAsia="en-GB"/>
              </w:rPr>
            </w:pPr>
            <w:r w:rsidRPr="00521670">
              <w:rPr>
                <w:b/>
                <w:bCs/>
                <w:lang w:val="ru-RU" w:eastAsia="en-GB"/>
              </w:rPr>
              <w:t>Внебюджетные взносы</w:t>
            </w:r>
          </w:p>
        </w:tc>
        <w:tc>
          <w:tcPr>
            <w:tcW w:w="1078" w:type="pct"/>
            <w:tcBorders>
              <w:top w:val="nil"/>
              <w:left w:val="nil"/>
              <w:bottom w:val="nil"/>
              <w:right w:val="nil"/>
            </w:tcBorders>
            <w:shd w:val="clear" w:color="auto" w:fill="auto"/>
            <w:noWrap/>
            <w:vAlign w:val="bottom"/>
            <w:hideMark/>
          </w:tcPr>
          <w:p w14:paraId="75A3A99F" w14:textId="77777777" w:rsidR="00DF251A" w:rsidRPr="00521670" w:rsidRDefault="00DF251A" w:rsidP="00835292">
            <w:pPr>
              <w:pStyle w:val="Tabletext"/>
              <w:keepNext/>
              <w:keepLines/>
              <w:jc w:val="center"/>
              <w:rPr>
                <w:b/>
                <w:bCs/>
                <w:lang w:val="ru-RU" w:eastAsia="en-GB"/>
              </w:rPr>
            </w:pPr>
          </w:p>
        </w:tc>
        <w:tc>
          <w:tcPr>
            <w:tcW w:w="1078" w:type="pct"/>
            <w:tcBorders>
              <w:top w:val="nil"/>
              <w:left w:val="nil"/>
              <w:bottom w:val="nil"/>
              <w:right w:val="nil"/>
            </w:tcBorders>
            <w:shd w:val="clear" w:color="auto" w:fill="auto"/>
            <w:noWrap/>
            <w:vAlign w:val="bottom"/>
            <w:hideMark/>
          </w:tcPr>
          <w:p w14:paraId="22AF1E71" w14:textId="77777777" w:rsidR="00DF251A" w:rsidRPr="00521670" w:rsidRDefault="00DF251A" w:rsidP="00835292">
            <w:pPr>
              <w:pStyle w:val="Tabletext"/>
              <w:keepNext/>
              <w:keepLines/>
              <w:jc w:val="center"/>
              <w:rPr>
                <w:rFonts w:ascii="Times New Roman" w:hAnsi="Times New Roman"/>
                <w:b/>
                <w:bCs/>
                <w:lang w:val="ru-RU" w:eastAsia="en-GB"/>
              </w:rPr>
            </w:pPr>
          </w:p>
        </w:tc>
      </w:tr>
      <w:tr w:rsidR="00DF251A" w:rsidRPr="00521670" w14:paraId="7F836828" w14:textId="77777777" w:rsidTr="00835292">
        <w:trPr>
          <w:jc w:val="center"/>
        </w:trPr>
        <w:tc>
          <w:tcPr>
            <w:tcW w:w="2844" w:type="pct"/>
            <w:tcBorders>
              <w:top w:val="nil"/>
              <w:left w:val="nil"/>
              <w:bottom w:val="nil"/>
              <w:right w:val="nil"/>
            </w:tcBorders>
            <w:shd w:val="clear" w:color="auto" w:fill="auto"/>
            <w:noWrap/>
            <w:hideMark/>
          </w:tcPr>
          <w:p w14:paraId="44641462" w14:textId="77777777" w:rsidR="00DF251A" w:rsidRPr="00521670" w:rsidRDefault="00DF251A" w:rsidP="00016765">
            <w:pPr>
              <w:pStyle w:val="Tabletext"/>
              <w:keepNext/>
              <w:keepLines/>
              <w:rPr>
                <w:lang w:val="ru-RU" w:eastAsia="en-GB"/>
              </w:rPr>
            </w:pPr>
            <w:r w:rsidRPr="00521670">
              <w:rPr>
                <w:lang w:val="ru-RU" w:eastAsia="en-GB"/>
              </w:rPr>
              <w:t>−</w:t>
            </w:r>
            <w:r w:rsidRPr="00521670">
              <w:rPr>
                <w:lang w:val="ru-RU" w:eastAsia="en-GB"/>
              </w:rPr>
              <w:tab/>
              <w:t>Добровольные взносы</w:t>
            </w:r>
          </w:p>
        </w:tc>
        <w:tc>
          <w:tcPr>
            <w:tcW w:w="1078" w:type="pct"/>
            <w:tcBorders>
              <w:top w:val="nil"/>
              <w:left w:val="nil"/>
              <w:bottom w:val="nil"/>
              <w:right w:val="nil"/>
            </w:tcBorders>
            <w:shd w:val="clear" w:color="auto" w:fill="auto"/>
            <w:noWrap/>
          </w:tcPr>
          <w:p w14:paraId="4E6ED289" w14:textId="77777777" w:rsidR="00DF251A" w:rsidRPr="00521670" w:rsidRDefault="00DF251A" w:rsidP="00016765">
            <w:pPr>
              <w:pStyle w:val="Tabletext"/>
              <w:keepNext/>
              <w:keepLines/>
              <w:jc w:val="right"/>
              <w:rPr>
                <w:lang w:val="ru-RU" w:eastAsia="en-GB"/>
              </w:rPr>
            </w:pPr>
            <w:r w:rsidRPr="00521670">
              <w:rPr>
                <w:lang w:val="ru-RU"/>
              </w:rPr>
              <w:t>4 927</w:t>
            </w:r>
          </w:p>
        </w:tc>
        <w:tc>
          <w:tcPr>
            <w:tcW w:w="1078" w:type="pct"/>
            <w:tcBorders>
              <w:top w:val="nil"/>
              <w:left w:val="nil"/>
              <w:bottom w:val="nil"/>
              <w:right w:val="nil"/>
            </w:tcBorders>
            <w:shd w:val="clear" w:color="auto" w:fill="auto"/>
            <w:noWrap/>
          </w:tcPr>
          <w:p w14:paraId="0C8FB0EF" w14:textId="77777777" w:rsidR="00DF251A" w:rsidRPr="00521670" w:rsidRDefault="00DF251A" w:rsidP="00016765">
            <w:pPr>
              <w:pStyle w:val="Tabletext"/>
              <w:keepNext/>
              <w:keepLines/>
              <w:jc w:val="right"/>
              <w:rPr>
                <w:lang w:val="ru-RU" w:eastAsia="en-GB"/>
              </w:rPr>
            </w:pPr>
            <w:r w:rsidRPr="00521670">
              <w:rPr>
                <w:lang w:val="ru-RU"/>
              </w:rPr>
              <w:t>3 889</w:t>
            </w:r>
          </w:p>
        </w:tc>
      </w:tr>
      <w:tr w:rsidR="00DF251A" w:rsidRPr="00521670" w14:paraId="54CBD2BA" w14:textId="77777777" w:rsidTr="00835292">
        <w:trPr>
          <w:jc w:val="center"/>
        </w:trPr>
        <w:tc>
          <w:tcPr>
            <w:tcW w:w="2844" w:type="pct"/>
            <w:tcBorders>
              <w:top w:val="nil"/>
              <w:left w:val="nil"/>
              <w:bottom w:val="nil"/>
              <w:right w:val="nil"/>
            </w:tcBorders>
            <w:shd w:val="clear" w:color="auto" w:fill="auto"/>
            <w:noWrap/>
            <w:hideMark/>
          </w:tcPr>
          <w:p w14:paraId="6F3FD498" w14:textId="77777777" w:rsidR="00DF251A" w:rsidRPr="00521670" w:rsidRDefault="00DF251A" w:rsidP="00016765">
            <w:pPr>
              <w:pStyle w:val="Tabletext"/>
              <w:keepNext/>
              <w:keepLines/>
              <w:rPr>
                <w:lang w:val="ru-RU" w:eastAsia="en-GB"/>
              </w:rPr>
            </w:pPr>
            <w:r w:rsidRPr="00521670">
              <w:rPr>
                <w:lang w:val="ru-RU" w:eastAsia="en-GB"/>
              </w:rPr>
              <w:t>−</w:t>
            </w:r>
            <w:r w:rsidRPr="00521670">
              <w:rPr>
                <w:lang w:val="ru-RU" w:eastAsia="en-GB"/>
              </w:rPr>
              <w:tab/>
              <w:t>Взносы в целевые фонды</w:t>
            </w:r>
          </w:p>
        </w:tc>
        <w:tc>
          <w:tcPr>
            <w:tcW w:w="1078" w:type="pct"/>
            <w:tcBorders>
              <w:top w:val="nil"/>
              <w:left w:val="nil"/>
              <w:bottom w:val="nil"/>
              <w:right w:val="nil"/>
            </w:tcBorders>
            <w:shd w:val="clear" w:color="auto" w:fill="auto"/>
            <w:noWrap/>
          </w:tcPr>
          <w:p w14:paraId="7ECBB40A" w14:textId="77777777" w:rsidR="00DF251A" w:rsidRPr="00521670" w:rsidRDefault="00DF251A" w:rsidP="00016765">
            <w:pPr>
              <w:pStyle w:val="Tabletext"/>
              <w:keepNext/>
              <w:keepLines/>
              <w:jc w:val="right"/>
              <w:rPr>
                <w:lang w:val="ru-RU" w:eastAsia="en-GB"/>
              </w:rPr>
            </w:pPr>
            <w:r w:rsidRPr="00521670">
              <w:rPr>
                <w:lang w:val="ru-RU"/>
              </w:rPr>
              <w:t>16 365</w:t>
            </w:r>
          </w:p>
        </w:tc>
        <w:tc>
          <w:tcPr>
            <w:tcW w:w="1078" w:type="pct"/>
            <w:tcBorders>
              <w:top w:val="nil"/>
              <w:left w:val="nil"/>
              <w:bottom w:val="nil"/>
              <w:right w:val="nil"/>
            </w:tcBorders>
            <w:shd w:val="clear" w:color="auto" w:fill="auto"/>
            <w:noWrap/>
          </w:tcPr>
          <w:p w14:paraId="67C6E854" w14:textId="77777777" w:rsidR="00DF251A" w:rsidRPr="00521670" w:rsidRDefault="00DF251A" w:rsidP="00016765">
            <w:pPr>
              <w:pStyle w:val="Tabletext"/>
              <w:keepNext/>
              <w:keepLines/>
              <w:jc w:val="right"/>
              <w:rPr>
                <w:lang w:val="ru-RU" w:eastAsia="en-GB"/>
              </w:rPr>
            </w:pPr>
            <w:r w:rsidRPr="00521670">
              <w:rPr>
                <w:lang w:val="ru-RU"/>
              </w:rPr>
              <w:t>15 063</w:t>
            </w:r>
          </w:p>
        </w:tc>
      </w:tr>
      <w:tr w:rsidR="00DF251A" w:rsidRPr="00521670" w14:paraId="2FDA8FE1" w14:textId="77777777" w:rsidTr="00835292">
        <w:trPr>
          <w:jc w:val="center"/>
        </w:trPr>
        <w:tc>
          <w:tcPr>
            <w:tcW w:w="2844" w:type="pct"/>
            <w:tcBorders>
              <w:top w:val="nil"/>
              <w:left w:val="nil"/>
              <w:bottom w:val="nil"/>
              <w:right w:val="nil"/>
            </w:tcBorders>
            <w:shd w:val="clear" w:color="000000" w:fill="0070C0"/>
            <w:noWrap/>
            <w:vAlign w:val="center"/>
            <w:hideMark/>
          </w:tcPr>
          <w:p w14:paraId="2A601F36" w14:textId="77777777" w:rsidR="00DF251A" w:rsidRPr="00521670" w:rsidRDefault="00DF251A" w:rsidP="00016765">
            <w:pPr>
              <w:pStyle w:val="Tabletext"/>
              <w:rPr>
                <w:b/>
                <w:bCs/>
                <w:lang w:val="ru-RU" w:eastAsia="en-GB"/>
              </w:rPr>
            </w:pPr>
            <w:r w:rsidRPr="00521670">
              <w:rPr>
                <w:b/>
                <w:bCs/>
                <w:lang w:val="ru-RU" w:eastAsia="en-GB"/>
              </w:rPr>
              <w:t>Всего: внебюджетные средства</w:t>
            </w:r>
          </w:p>
        </w:tc>
        <w:tc>
          <w:tcPr>
            <w:tcW w:w="1078" w:type="pct"/>
            <w:tcBorders>
              <w:top w:val="nil"/>
              <w:left w:val="nil"/>
              <w:bottom w:val="nil"/>
              <w:right w:val="nil"/>
            </w:tcBorders>
            <w:shd w:val="clear" w:color="000000" w:fill="0070C0"/>
            <w:noWrap/>
          </w:tcPr>
          <w:p w14:paraId="449A14D6" w14:textId="77777777" w:rsidR="00DF251A" w:rsidRPr="00521670" w:rsidRDefault="00DF251A" w:rsidP="00016765">
            <w:pPr>
              <w:pStyle w:val="Tabletext"/>
              <w:jc w:val="right"/>
              <w:rPr>
                <w:b/>
                <w:bCs/>
                <w:lang w:val="ru-RU" w:eastAsia="en-GB"/>
              </w:rPr>
            </w:pPr>
            <w:r w:rsidRPr="00521670">
              <w:rPr>
                <w:b/>
                <w:bCs/>
                <w:lang w:val="ru-RU"/>
              </w:rPr>
              <w:t>21 291</w:t>
            </w:r>
          </w:p>
        </w:tc>
        <w:tc>
          <w:tcPr>
            <w:tcW w:w="1078" w:type="pct"/>
            <w:tcBorders>
              <w:top w:val="nil"/>
              <w:left w:val="nil"/>
              <w:bottom w:val="nil"/>
              <w:right w:val="nil"/>
            </w:tcBorders>
            <w:shd w:val="clear" w:color="000000" w:fill="0070C0"/>
            <w:noWrap/>
          </w:tcPr>
          <w:p w14:paraId="661E34C0" w14:textId="77777777" w:rsidR="00DF251A" w:rsidRPr="00521670" w:rsidRDefault="00DF251A" w:rsidP="00016765">
            <w:pPr>
              <w:pStyle w:val="Tabletext"/>
              <w:jc w:val="right"/>
              <w:rPr>
                <w:b/>
                <w:bCs/>
                <w:lang w:val="ru-RU" w:eastAsia="en-GB"/>
              </w:rPr>
            </w:pPr>
            <w:r w:rsidRPr="00521670">
              <w:rPr>
                <w:b/>
                <w:bCs/>
                <w:lang w:val="ru-RU"/>
              </w:rPr>
              <w:t>18 952</w:t>
            </w:r>
          </w:p>
        </w:tc>
      </w:tr>
    </w:tbl>
    <w:p w14:paraId="6ECE7451" w14:textId="77777777" w:rsidR="00DF251A" w:rsidRPr="00521670" w:rsidRDefault="00DF251A" w:rsidP="003C1760">
      <w:pPr>
        <w:pStyle w:val="Headingb"/>
        <w:rPr>
          <w:lang w:val="ru-RU" w:bidi="ru-RU"/>
        </w:rPr>
      </w:pPr>
      <w:r w:rsidRPr="00521670">
        <w:rPr>
          <w:lang w:val="ru-RU" w:bidi="ru-RU"/>
        </w:rPr>
        <w:t>Прочие доходы от деятельности</w:t>
      </w:r>
    </w:p>
    <w:p w14:paraId="01512F81" w14:textId="77777777" w:rsidR="00DF251A" w:rsidRPr="00521670" w:rsidRDefault="00DF251A" w:rsidP="003C1760">
      <w:pPr>
        <w:rPr>
          <w:lang w:val="ru-RU"/>
        </w:rPr>
      </w:pPr>
      <w:r w:rsidRPr="00521670">
        <w:rPr>
          <w:lang w:val="ru-RU"/>
        </w:rPr>
        <w:t>В 2024 году доходы МСЭ от продажи публикаций достигли 19,2 млн. швейцарских франков, превысив показатели предыдущего года на 2,5 млн. швейцарских франков.</w:t>
      </w:r>
      <w:r w:rsidRPr="00521670">
        <w:rPr>
          <w:lang w:val="ru-RU" w:bidi="ru-RU"/>
        </w:rPr>
        <w:t xml:space="preserve"> </w:t>
      </w:r>
      <w:r w:rsidRPr="00521670">
        <w:rPr>
          <w:lang w:val="ru-RU"/>
        </w:rPr>
        <w:t xml:space="preserve">Это увеличение объясняется в основном сроками выхода публикаций данного периода, </w:t>
      </w:r>
      <w:r w:rsidRPr="00521670">
        <w:rPr>
          <w:lang w:val="ru-RU" w:bidi="ru-RU"/>
        </w:rPr>
        <w:t>в частности</w:t>
      </w:r>
      <w:r w:rsidRPr="00521670">
        <w:rPr>
          <w:lang w:val="ru-RU"/>
        </w:rPr>
        <w:t>, выпуском Руководства по морской службе и Регламента радиосвязи в четвертом квартале этого года.</w:t>
      </w:r>
    </w:p>
    <w:p w14:paraId="229826E1" w14:textId="77777777" w:rsidR="00DF251A" w:rsidRPr="00521670" w:rsidRDefault="00DF251A" w:rsidP="003C1760">
      <w:pPr>
        <w:rPr>
          <w:lang w:val="ru-RU"/>
        </w:rPr>
      </w:pPr>
      <w:r w:rsidRPr="00521670">
        <w:rPr>
          <w:lang w:val="ru-RU"/>
        </w:rPr>
        <w:t>Снижение доходов от обработки заявок на регистрацию спутниковых сетей вызвано главным образом задержками с окончательными публикациями (доходы учитываются в момент окончательной публикации заявки в Международном информационном циркуляре по частотам (ИФИК) БР). Это связано с решениями ВКР-23, согласно которым было предложено внести соответствующие корректировки в программное обеспечение, а также с увеличением числа представлений в 2024 году.</w:t>
      </w:r>
    </w:p>
    <w:p w14:paraId="4218565D" w14:textId="7F480F71" w:rsidR="00DF251A" w:rsidRPr="00521670" w:rsidRDefault="00DF251A" w:rsidP="003215C5">
      <w:pPr>
        <w:spacing w:after="120"/>
        <w:rPr>
          <w:lang w:val="ru-RU" w:bidi="ru-RU"/>
        </w:rPr>
      </w:pPr>
      <w:r w:rsidRPr="00521670">
        <w:rPr>
          <w:lang w:val="ru-RU" w:bidi="ru-RU"/>
        </w:rPr>
        <w:t>Уменьшение</w:t>
      </w:r>
      <w:r w:rsidRPr="00521670">
        <w:rPr>
          <w:lang w:val="ru-RU"/>
        </w:rPr>
        <w:t xml:space="preserve"> прочих доходов от деятельности в основном связано с тем, что в 2023 году были получены взносы на проект нового здания, которые в текущем году не поступали.</w:t>
      </w:r>
    </w:p>
    <w:tbl>
      <w:tblPr>
        <w:tblW w:w="5000" w:type="pct"/>
        <w:jc w:val="center"/>
        <w:tblLayout w:type="fixed"/>
        <w:tblLook w:val="04A0" w:firstRow="1" w:lastRow="0" w:firstColumn="1" w:lastColumn="0" w:noHBand="0" w:noVBand="1"/>
      </w:tblPr>
      <w:tblGrid>
        <w:gridCol w:w="5167"/>
        <w:gridCol w:w="1952"/>
        <w:gridCol w:w="1952"/>
      </w:tblGrid>
      <w:tr w:rsidR="00DF251A" w:rsidRPr="00521670" w14:paraId="434CB449" w14:textId="77777777" w:rsidTr="00835292">
        <w:trPr>
          <w:jc w:val="center"/>
        </w:trPr>
        <w:tc>
          <w:tcPr>
            <w:tcW w:w="2848" w:type="pct"/>
            <w:tcBorders>
              <w:top w:val="nil"/>
              <w:left w:val="nil"/>
              <w:bottom w:val="nil"/>
              <w:right w:val="nil"/>
            </w:tcBorders>
            <w:shd w:val="clear" w:color="000000" w:fill="0070C0"/>
            <w:noWrap/>
            <w:vAlign w:val="center"/>
            <w:hideMark/>
          </w:tcPr>
          <w:p w14:paraId="3AB5FDD9" w14:textId="77777777" w:rsidR="00DF251A" w:rsidRPr="00521670" w:rsidRDefault="00DF251A" w:rsidP="00835292">
            <w:pPr>
              <w:pStyle w:val="Tablehead"/>
              <w:rPr>
                <w:lang w:val="ru-RU" w:eastAsia="en-GB"/>
              </w:rPr>
            </w:pPr>
            <w:bookmarkStart w:id="388" w:name="_Hlk167986868"/>
            <w:r w:rsidRPr="00521670">
              <w:rPr>
                <w:szCs w:val="18"/>
                <w:lang w:val="ru-RU" w:eastAsia="en-GB"/>
              </w:rPr>
              <w:t>Описание (тыс. шв. фр.)</w:t>
            </w:r>
          </w:p>
        </w:tc>
        <w:tc>
          <w:tcPr>
            <w:tcW w:w="1076" w:type="pct"/>
            <w:tcBorders>
              <w:top w:val="nil"/>
              <w:left w:val="nil"/>
              <w:bottom w:val="nil"/>
              <w:right w:val="nil"/>
            </w:tcBorders>
            <w:shd w:val="clear" w:color="000000" w:fill="0070C0"/>
            <w:noWrap/>
            <w:vAlign w:val="center"/>
            <w:hideMark/>
          </w:tcPr>
          <w:p w14:paraId="72D837B5" w14:textId="77777777" w:rsidR="00DF251A" w:rsidRPr="00521670" w:rsidRDefault="00DF251A" w:rsidP="008B37B3">
            <w:pPr>
              <w:pStyle w:val="Tablehead"/>
              <w:jc w:val="right"/>
              <w:rPr>
                <w:lang w:val="ru-RU" w:eastAsia="en-GB"/>
              </w:rPr>
            </w:pPr>
            <w:r w:rsidRPr="00521670">
              <w:rPr>
                <w:lang w:val="ru-RU" w:eastAsia="en-GB"/>
              </w:rPr>
              <w:t>2024 г.</w:t>
            </w:r>
          </w:p>
        </w:tc>
        <w:tc>
          <w:tcPr>
            <w:tcW w:w="1076" w:type="pct"/>
            <w:tcBorders>
              <w:top w:val="nil"/>
              <w:left w:val="nil"/>
              <w:bottom w:val="nil"/>
              <w:right w:val="nil"/>
            </w:tcBorders>
            <w:shd w:val="clear" w:color="000000" w:fill="0070C0"/>
            <w:noWrap/>
            <w:vAlign w:val="center"/>
            <w:hideMark/>
          </w:tcPr>
          <w:p w14:paraId="6BDE1EB3" w14:textId="77777777" w:rsidR="00DF251A" w:rsidRPr="00521670" w:rsidRDefault="00DF251A" w:rsidP="008B37B3">
            <w:pPr>
              <w:pStyle w:val="Tablehead"/>
              <w:jc w:val="right"/>
              <w:rPr>
                <w:lang w:val="ru-RU" w:eastAsia="en-GB"/>
              </w:rPr>
            </w:pPr>
            <w:r w:rsidRPr="00521670">
              <w:rPr>
                <w:lang w:val="ru-RU" w:eastAsia="en-GB"/>
              </w:rPr>
              <w:t>2023 г.</w:t>
            </w:r>
          </w:p>
        </w:tc>
      </w:tr>
      <w:tr w:rsidR="00DF251A" w:rsidRPr="00521670" w14:paraId="0B330EB8" w14:textId="77777777" w:rsidTr="00835292">
        <w:trPr>
          <w:jc w:val="center"/>
        </w:trPr>
        <w:tc>
          <w:tcPr>
            <w:tcW w:w="2848" w:type="pct"/>
            <w:tcBorders>
              <w:top w:val="nil"/>
              <w:left w:val="nil"/>
              <w:bottom w:val="nil"/>
              <w:right w:val="nil"/>
            </w:tcBorders>
            <w:shd w:val="clear" w:color="auto" w:fill="auto"/>
            <w:noWrap/>
            <w:hideMark/>
          </w:tcPr>
          <w:p w14:paraId="70AD26B7" w14:textId="77777777" w:rsidR="00DF251A" w:rsidRPr="00521670" w:rsidRDefault="00DF251A" w:rsidP="00835292">
            <w:pPr>
              <w:pStyle w:val="Tabletext"/>
              <w:keepNext/>
              <w:keepLines/>
              <w:rPr>
                <w:b/>
                <w:bCs/>
                <w:lang w:val="ru-RU" w:eastAsia="en-GB"/>
              </w:rPr>
            </w:pPr>
            <w:r w:rsidRPr="00521670">
              <w:rPr>
                <w:b/>
                <w:bCs/>
                <w:lang w:val="ru-RU" w:eastAsia="en-GB"/>
              </w:rPr>
              <w:t>Доходы по линии возмещения затрат</w:t>
            </w:r>
          </w:p>
        </w:tc>
        <w:tc>
          <w:tcPr>
            <w:tcW w:w="1076" w:type="pct"/>
            <w:tcBorders>
              <w:top w:val="nil"/>
              <w:left w:val="nil"/>
              <w:bottom w:val="nil"/>
              <w:right w:val="nil"/>
            </w:tcBorders>
            <w:shd w:val="clear" w:color="auto" w:fill="auto"/>
            <w:noWrap/>
            <w:vAlign w:val="bottom"/>
            <w:hideMark/>
          </w:tcPr>
          <w:p w14:paraId="3DB31E49" w14:textId="77777777" w:rsidR="00DF251A" w:rsidRPr="00521670" w:rsidRDefault="00DF251A" w:rsidP="00835292">
            <w:pPr>
              <w:pStyle w:val="Tabletext"/>
              <w:keepNext/>
              <w:keepLines/>
              <w:jc w:val="right"/>
              <w:rPr>
                <w:b/>
                <w:bCs/>
                <w:lang w:val="ru-RU" w:eastAsia="en-GB"/>
              </w:rPr>
            </w:pPr>
          </w:p>
        </w:tc>
        <w:tc>
          <w:tcPr>
            <w:tcW w:w="1076" w:type="pct"/>
            <w:tcBorders>
              <w:top w:val="nil"/>
              <w:left w:val="nil"/>
              <w:bottom w:val="nil"/>
              <w:right w:val="nil"/>
            </w:tcBorders>
            <w:shd w:val="clear" w:color="auto" w:fill="auto"/>
            <w:noWrap/>
            <w:vAlign w:val="bottom"/>
            <w:hideMark/>
          </w:tcPr>
          <w:p w14:paraId="1B9DAE43" w14:textId="77777777" w:rsidR="00DF251A" w:rsidRPr="00521670" w:rsidRDefault="00DF251A" w:rsidP="00835292">
            <w:pPr>
              <w:pStyle w:val="Tabletext"/>
              <w:keepNext/>
              <w:keepLines/>
              <w:jc w:val="right"/>
              <w:rPr>
                <w:rFonts w:ascii="Times New Roman" w:hAnsi="Times New Roman"/>
                <w:b/>
                <w:bCs/>
                <w:lang w:val="ru-RU" w:eastAsia="en-GB"/>
              </w:rPr>
            </w:pPr>
          </w:p>
        </w:tc>
      </w:tr>
      <w:tr w:rsidR="00DF251A" w:rsidRPr="00521670" w14:paraId="0B3478CD" w14:textId="77777777" w:rsidTr="00835292">
        <w:trPr>
          <w:jc w:val="center"/>
        </w:trPr>
        <w:tc>
          <w:tcPr>
            <w:tcW w:w="2848" w:type="pct"/>
            <w:tcBorders>
              <w:top w:val="nil"/>
              <w:left w:val="nil"/>
              <w:bottom w:val="nil"/>
              <w:right w:val="nil"/>
            </w:tcBorders>
            <w:shd w:val="clear" w:color="auto" w:fill="auto"/>
            <w:noWrap/>
            <w:hideMark/>
          </w:tcPr>
          <w:p w14:paraId="40C85C2B" w14:textId="77777777" w:rsidR="00DF251A" w:rsidRPr="00521670" w:rsidRDefault="00DF251A" w:rsidP="003215C5">
            <w:pPr>
              <w:pStyle w:val="Tabletext"/>
              <w:keepNext/>
              <w:keepLines/>
              <w:rPr>
                <w:lang w:val="ru-RU" w:eastAsia="en-GB"/>
              </w:rPr>
            </w:pPr>
            <w:r w:rsidRPr="00521670">
              <w:rPr>
                <w:lang w:val="ru-RU" w:eastAsia="en-GB"/>
              </w:rPr>
              <w:t>−</w:t>
            </w:r>
            <w:r w:rsidRPr="00521670">
              <w:rPr>
                <w:lang w:val="ru-RU" w:eastAsia="en-GB"/>
              </w:rPr>
              <w:tab/>
              <w:t>Публикации</w:t>
            </w:r>
          </w:p>
        </w:tc>
        <w:tc>
          <w:tcPr>
            <w:tcW w:w="1076" w:type="pct"/>
            <w:tcBorders>
              <w:top w:val="nil"/>
              <w:left w:val="nil"/>
              <w:bottom w:val="nil"/>
              <w:right w:val="nil"/>
            </w:tcBorders>
            <w:shd w:val="clear" w:color="auto" w:fill="auto"/>
            <w:noWrap/>
            <w:hideMark/>
          </w:tcPr>
          <w:p w14:paraId="6184C7B8" w14:textId="77777777" w:rsidR="00DF251A" w:rsidRPr="00521670" w:rsidRDefault="00DF251A" w:rsidP="003215C5">
            <w:pPr>
              <w:pStyle w:val="Tabletext"/>
              <w:keepNext/>
              <w:keepLines/>
              <w:jc w:val="right"/>
              <w:rPr>
                <w:lang w:val="ru-RU" w:eastAsia="en-GB"/>
              </w:rPr>
            </w:pPr>
            <w:r w:rsidRPr="00521670">
              <w:rPr>
                <w:lang w:val="ru-RU"/>
              </w:rPr>
              <w:t>19 208</w:t>
            </w:r>
          </w:p>
        </w:tc>
        <w:tc>
          <w:tcPr>
            <w:tcW w:w="1076" w:type="pct"/>
            <w:tcBorders>
              <w:top w:val="nil"/>
              <w:left w:val="nil"/>
              <w:bottom w:val="nil"/>
              <w:right w:val="nil"/>
            </w:tcBorders>
            <w:shd w:val="clear" w:color="auto" w:fill="auto"/>
            <w:noWrap/>
            <w:hideMark/>
          </w:tcPr>
          <w:p w14:paraId="3DEEBF7A" w14:textId="77777777" w:rsidR="00DF251A" w:rsidRPr="00521670" w:rsidRDefault="00DF251A" w:rsidP="003215C5">
            <w:pPr>
              <w:pStyle w:val="Tabletext"/>
              <w:keepNext/>
              <w:keepLines/>
              <w:jc w:val="right"/>
              <w:rPr>
                <w:lang w:val="ru-RU" w:eastAsia="en-GB"/>
              </w:rPr>
            </w:pPr>
            <w:r w:rsidRPr="00521670">
              <w:rPr>
                <w:lang w:val="ru-RU"/>
              </w:rPr>
              <w:t>16 724</w:t>
            </w:r>
          </w:p>
        </w:tc>
      </w:tr>
      <w:tr w:rsidR="00DF251A" w:rsidRPr="00521670" w14:paraId="33BDB45D" w14:textId="77777777" w:rsidTr="00835292">
        <w:trPr>
          <w:jc w:val="center"/>
        </w:trPr>
        <w:tc>
          <w:tcPr>
            <w:tcW w:w="2848" w:type="pct"/>
            <w:tcBorders>
              <w:top w:val="nil"/>
              <w:left w:val="nil"/>
              <w:bottom w:val="nil"/>
              <w:right w:val="nil"/>
            </w:tcBorders>
            <w:shd w:val="clear" w:color="auto" w:fill="auto"/>
            <w:noWrap/>
            <w:hideMark/>
          </w:tcPr>
          <w:p w14:paraId="770AFCE7" w14:textId="77777777" w:rsidR="00DF251A" w:rsidRPr="00521670" w:rsidRDefault="00DF251A" w:rsidP="003215C5">
            <w:pPr>
              <w:pStyle w:val="Tabletext"/>
              <w:keepNext/>
              <w:keepLines/>
              <w:rPr>
                <w:lang w:val="ru-RU" w:eastAsia="en-GB"/>
              </w:rPr>
            </w:pPr>
            <w:r w:rsidRPr="00521670">
              <w:rPr>
                <w:lang w:val="ru-RU" w:eastAsia="en-GB"/>
              </w:rPr>
              <w:t>−</w:t>
            </w:r>
            <w:r w:rsidRPr="00521670">
              <w:rPr>
                <w:lang w:val="ru-RU" w:eastAsia="en-GB"/>
              </w:rPr>
              <w:tab/>
              <w:t>Обработка заявок на регистрацию спутниковых сетей (SNF)</w:t>
            </w:r>
          </w:p>
        </w:tc>
        <w:tc>
          <w:tcPr>
            <w:tcW w:w="1076" w:type="pct"/>
            <w:tcBorders>
              <w:top w:val="nil"/>
              <w:left w:val="nil"/>
              <w:bottom w:val="nil"/>
              <w:right w:val="nil"/>
            </w:tcBorders>
            <w:shd w:val="clear" w:color="auto" w:fill="auto"/>
            <w:noWrap/>
            <w:hideMark/>
          </w:tcPr>
          <w:p w14:paraId="7B951F1A" w14:textId="77777777" w:rsidR="00DF251A" w:rsidRPr="00521670" w:rsidRDefault="00DF251A" w:rsidP="003215C5">
            <w:pPr>
              <w:pStyle w:val="Tabletext"/>
              <w:keepNext/>
              <w:keepLines/>
              <w:jc w:val="right"/>
              <w:rPr>
                <w:lang w:val="ru-RU" w:eastAsia="en-GB"/>
              </w:rPr>
            </w:pPr>
            <w:r w:rsidRPr="00521670">
              <w:rPr>
                <w:lang w:val="ru-RU"/>
              </w:rPr>
              <w:t>7 553</w:t>
            </w:r>
          </w:p>
        </w:tc>
        <w:tc>
          <w:tcPr>
            <w:tcW w:w="1076" w:type="pct"/>
            <w:tcBorders>
              <w:top w:val="nil"/>
              <w:left w:val="nil"/>
              <w:bottom w:val="nil"/>
              <w:right w:val="nil"/>
            </w:tcBorders>
            <w:shd w:val="clear" w:color="auto" w:fill="auto"/>
            <w:noWrap/>
            <w:hideMark/>
          </w:tcPr>
          <w:p w14:paraId="22D72BF2" w14:textId="77777777" w:rsidR="00DF251A" w:rsidRPr="00521670" w:rsidRDefault="00DF251A" w:rsidP="003215C5">
            <w:pPr>
              <w:pStyle w:val="Tabletext"/>
              <w:keepNext/>
              <w:keepLines/>
              <w:jc w:val="right"/>
              <w:rPr>
                <w:lang w:val="ru-RU" w:eastAsia="en-GB"/>
              </w:rPr>
            </w:pPr>
            <w:r w:rsidRPr="00521670">
              <w:rPr>
                <w:lang w:val="ru-RU"/>
              </w:rPr>
              <w:t>10 643</w:t>
            </w:r>
          </w:p>
        </w:tc>
      </w:tr>
      <w:tr w:rsidR="00DF251A" w:rsidRPr="00521670" w14:paraId="5F6ED5EF" w14:textId="77777777" w:rsidTr="00835292">
        <w:trPr>
          <w:jc w:val="center"/>
        </w:trPr>
        <w:tc>
          <w:tcPr>
            <w:tcW w:w="2848" w:type="pct"/>
            <w:tcBorders>
              <w:top w:val="nil"/>
              <w:left w:val="nil"/>
              <w:bottom w:val="nil"/>
              <w:right w:val="nil"/>
            </w:tcBorders>
            <w:shd w:val="clear" w:color="auto" w:fill="auto"/>
            <w:noWrap/>
            <w:hideMark/>
          </w:tcPr>
          <w:p w14:paraId="0FBD1846" w14:textId="77777777" w:rsidR="00DF251A" w:rsidRPr="00521670" w:rsidRDefault="00DF251A" w:rsidP="003215C5">
            <w:pPr>
              <w:pStyle w:val="Tabletext"/>
              <w:keepNext/>
              <w:keepLines/>
              <w:rPr>
                <w:lang w:val="ru-RU" w:eastAsia="en-GB"/>
              </w:rPr>
            </w:pPr>
            <w:r w:rsidRPr="00521670">
              <w:rPr>
                <w:lang w:val="ru-RU" w:eastAsia="en-GB"/>
              </w:rPr>
              <w:t>−</w:t>
            </w:r>
            <w:r w:rsidRPr="00521670">
              <w:rPr>
                <w:lang w:val="ru-RU" w:eastAsia="en-GB"/>
              </w:rPr>
              <w:tab/>
              <w:t>Прочие доходы по линии возмещения затрат</w:t>
            </w:r>
          </w:p>
        </w:tc>
        <w:tc>
          <w:tcPr>
            <w:tcW w:w="1076" w:type="pct"/>
            <w:tcBorders>
              <w:top w:val="nil"/>
              <w:left w:val="nil"/>
              <w:bottom w:val="nil"/>
              <w:right w:val="nil"/>
            </w:tcBorders>
            <w:shd w:val="clear" w:color="auto" w:fill="auto"/>
            <w:noWrap/>
            <w:hideMark/>
          </w:tcPr>
          <w:p w14:paraId="6458E9A7" w14:textId="77777777" w:rsidR="00DF251A" w:rsidRPr="00521670" w:rsidRDefault="00DF251A" w:rsidP="003215C5">
            <w:pPr>
              <w:pStyle w:val="Tabletext"/>
              <w:keepNext/>
              <w:keepLines/>
              <w:jc w:val="right"/>
              <w:rPr>
                <w:lang w:val="ru-RU" w:eastAsia="en-GB"/>
              </w:rPr>
            </w:pPr>
            <w:r w:rsidRPr="00521670">
              <w:rPr>
                <w:lang w:val="ru-RU"/>
              </w:rPr>
              <w:t>431</w:t>
            </w:r>
          </w:p>
        </w:tc>
        <w:tc>
          <w:tcPr>
            <w:tcW w:w="1076" w:type="pct"/>
            <w:tcBorders>
              <w:top w:val="nil"/>
              <w:left w:val="nil"/>
              <w:bottom w:val="nil"/>
              <w:right w:val="nil"/>
            </w:tcBorders>
            <w:shd w:val="clear" w:color="auto" w:fill="auto"/>
            <w:noWrap/>
            <w:hideMark/>
          </w:tcPr>
          <w:p w14:paraId="42089CA9" w14:textId="77777777" w:rsidR="00DF251A" w:rsidRPr="00521670" w:rsidRDefault="00DF251A" w:rsidP="003215C5">
            <w:pPr>
              <w:pStyle w:val="Tabletext"/>
              <w:keepNext/>
              <w:keepLines/>
              <w:jc w:val="right"/>
              <w:rPr>
                <w:lang w:val="ru-RU" w:eastAsia="en-GB"/>
              </w:rPr>
            </w:pPr>
            <w:r w:rsidRPr="00521670">
              <w:rPr>
                <w:lang w:val="ru-RU"/>
              </w:rPr>
              <w:t>296</w:t>
            </w:r>
          </w:p>
        </w:tc>
      </w:tr>
      <w:tr w:rsidR="00DF251A" w:rsidRPr="00521670" w14:paraId="6515C872" w14:textId="77777777" w:rsidTr="00835292">
        <w:trPr>
          <w:jc w:val="center"/>
        </w:trPr>
        <w:tc>
          <w:tcPr>
            <w:tcW w:w="2848" w:type="pct"/>
            <w:tcBorders>
              <w:top w:val="nil"/>
              <w:left w:val="nil"/>
              <w:bottom w:val="nil"/>
              <w:right w:val="nil"/>
            </w:tcBorders>
            <w:shd w:val="clear" w:color="auto" w:fill="auto"/>
            <w:noWrap/>
            <w:hideMark/>
          </w:tcPr>
          <w:p w14:paraId="3A122A29" w14:textId="77777777" w:rsidR="00DF251A" w:rsidRPr="00521670" w:rsidRDefault="00DF251A" w:rsidP="003215C5">
            <w:pPr>
              <w:pStyle w:val="Tabletext"/>
              <w:keepNext/>
              <w:keepLines/>
              <w:rPr>
                <w:b/>
                <w:bCs/>
                <w:lang w:val="ru-RU" w:eastAsia="en-GB"/>
              </w:rPr>
            </w:pPr>
            <w:r w:rsidRPr="00521670">
              <w:rPr>
                <w:b/>
                <w:bCs/>
                <w:lang w:val="ru-RU" w:eastAsia="en-GB"/>
              </w:rPr>
              <w:t>Всего: доходы по линии возмещения затрат</w:t>
            </w:r>
          </w:p>
        </w:tc>
        <w:tc>
          <w:tcPr>
            <w:tcW w:w="1076" w:type="pct"/>
            <w:tcBorders>
              <w:top w:val="nil"/>
              <w:left w:val="nil"/>
              <w:bottom w:val="nil"/>
              <w:right w:val="nil"/>
            </w:tcBorders>
            <w:shd w:val="clear" w:color="auto" w:fill="auto"/>
            <w:noWrap/>
            <w:hideMark/>
          </w:tcPr>
          <w:p w14:paraId="65E835CB" w14:textId="77777777" w:rsidR="00DF251A" w:rsidRPr="00521670" w:rsidRDefault="00DF251A" w:rsidP="003215C5">
            <w:pPr>
              <w:pStyle w:val="Tabletext"/>
              <w:keepNext/>
              <w:keepLines/>
              <w:jc w:val="right"/>
              <w:rPr>
                <w:b/>
                <w:bCs/>
                <w:lang w:val="ru-RU" w:eastAsia="en-GB"/>
              </w:rPr>
            </w:pPr>
            <w:r w:rsidRPr="00521670">
              <w:rPr>
                <w:b/>
                <w:bCs/>
                <w:lang w:val="ru-RU"/>
              </w:rPr>
              <w:t>27 192</w:t>
            </w:r>
          </w:p>
        </w:tc>
        <w:tc>
          <w:tcPr>
            <w:tcW w:w="1076" w:type="pct"/>
            <w:tcBorders>
              <w:top w:val="nil"/>
              <w:left w:val="nil"/>
              <w:bottom w:val="nil"/>
              <w:right w:val="nil"/>
            </w:tcBorders>
            <w:shd w:val="clear" w:color="auto" w:fill="auto"/>
            <w:noWrap/>
            <w:hideMark/>
          </w:tcPr>
          <w:p w14:paraId="186490DA" w14:textId="77777777" w:rsidR="00DF251A" w:rsidRPr="00521670" w:rsidRDefault="00DF251A" w:rsidP="003215C5">
            <w:pPr>
              <w:pStyle w:val="Tabletext"/>
              <w:keepNext/>
              <w:keepLines/>
              <w:jc w:val="right"/>
              <w:rPr>
                <w:b/>
                <w:bCs/>
                <w:lang w:val="ru-RU" w:eastAsia="en-GB"/>
              </w:rPr>
            </w:pPr>
            <w:r w:rsidRPr="00521670">
              <w:rPr>
                <w:b/>
                <w:bCs/>
                <w:lang w:val="ru-RU"/>
              </w:rPr>
              <w:t>27 663</w:t>
            </w:r>
          </w:p>
        </w:tc>
      </w:tr>
      <w:tr w:rsidR="00DF251A" w:rsidRPr="00521670" w14:paraId="13F0840F" w14:textId="77777777" w:rsidTr="00835292">
        <w:trPr>
          <w:jc w:val="center"/>
        </w:trPr>
        <w:tc>
          <w:tcPr>
            <w:tcW w:w="2848" w:type="pct"/>
            <w:tcBorders>
              <w:top w:val="nil"/>
              <w:left w:val="nil"/>
              <w:bottom w:val="nil"/>
              <w:right w:val="nil"/>
            </w:tcBorders>
            <w:shd w:val="clear" w:color="auto" w:fill="auto"/>
            <w:noWrap/>
            <w:hideMark/>
          </w:tcPr>
          <w:p w14:paraId="0FB7A1AC" w14:textId="77777777" w:rsidR="00DF251A" w:rsidRPr="00521670" w:rsidRDefault="00DF251A" w:rsidP="003215C5">
            <w:pPr>
              <w:pStyle w:val="Tabletext"/>
              <w:keepNext/>
              <w:keepLines/>
              <w:rPr>
                <w:lang w:val="ru-RU" w:eastAsia="en-GB"/>
              </w:rPr>
            </w:pPr>
            <w:r w:rsidRPr="00521670">
              <w:rPr>
                <w:lang w:val="ru-RU" w:eastAsia="en-GB"/>
              </w:rPr>
              <w:t>−</w:t>
            </w:r>
            <w:r w:rsidRPr="00521670">
              <w:rPr>
                <w:lang w:val="ru-RU" w:eastAsia="en-GB"/>
              </w:rPr>
              <w:tab/>
              <w:t>Прочие доходы от деятельности</w:t>
            </w:r>
          </w:p>
        </w:tc>
        <w:tc>
          <w:tcPr>
            <w:tcW w:w="1076" w:type="pct"/>
            <w:tcBorders>
              <w:top w:val="nil"/>
              <w:left w:val="nil"/>
              <w:bottom w:val="nil"/>
              <w:right w:val="nil"/>
            </w:tcBorders>
            <w:shd w:val="clear" w:color="auto" w:fill="auto"/>
            <w:noWrap/>
            <w:hideMark/>
          </w:tcPr>
          <w:p w14:paraId="12C1F850" w14:textId="77777777" w:rsidR="00DF251A" w:rsidRPr="00521670" w:rsidRDefault="00DF251A" w:rsidP="003215C5">
            <w:pPr>
              <w:pStyle w:val="Tabletext"/>
              <w:keepNext/>
              <w:keepLines/>
              <w:jc w:val="right"/>
              <w:rPr>
                <w:lang w:val="ru-RU" w:eastAsia="en-GB"/>
              </w:rPr>
            </w:pPr>
            <w:r w:rsidRPr="00521670">
              <w:rPr>
                <w:lang w:val="ru-RU"/>
              </w:rPr>
              <w:t>5 248</w:t>
            </w:r>
          </w:p>
        </w:tc>
        <w:tc>
          <w:tcPr>
            <w:tcW w:w="1076" w:type="pct"/>
            <w:tcBorders>
              <w:top w:val="nil"/>
              <w:left w:val="nil"/>
              <w:bottom w:val="nil"/>
              <w:right w:val="nil"/>
            </w:tcBorders>
            <w:shd w:val="clear" w:color="auto" w:fill="auto"/>
            <w:noWrap/>
            <w:hideMark/>
          </w:tcPr>
          <w:p w14:paraId="365FCAB6" w14:textId="77777777" w:rsidR="00DF251A" w:rsidRPr="00521670" w:rsidRDefault="00DF251A" w:rsidP="003215C5">
            <w:pPr>
              <w:pStyle w:val="Tabletext"/>
              <w:keepNext/>
              <w:keepLines/>
              <w:jc w:val="right"/>
              <w:rPr>
                <w:lang w:val="ru-RU" w:eastAsia="en-GB"/>
              </w:rPr>
            </w:pPr>
            <w:r w:rsidRPr="00521670">
              <w:rPr>
                <w:lang w:val="ru-RU"/>
              </w:rPr>
              <w:t>6 482</w:t>
            </w:r>
          </w:p>
        </w:tc>
      </w:tr>
      <w:tr w:rsidR="00DF251A" w:rsidRPr="00521670" w14:paraId="16AF890D" w14:textId="77777777" w:rsidTr="00835292">
        <w:trPr>
          <w:jc w:val="center"/>
        </w:trPr>
        <w:tc>
          <w:tcPr>
            <w:tcW w:w="2848" w:type="pct"/>
            <w:tcBorders>
              <w:top w:val="nil"/>
              <w:left w:val="nil"/>
              <w:bottom w:val="nil"/>
              <w:right w:val="nil"/>
            </w:tcBorders>
            <w:shd w:val="clear" w:color="000000" w:fill="0070C0"/>
            <w:noWrap/>
            <w:vAlign w:val="center"/>
            <w:hideMark/>
          </w:tcPr>
          <w:p w14:paraId="0D06E20F" w14:textId="77777777" w:rsidR="00DF251A" w:rsidRPr="00521670" w:rsidRDefault="00DF251A" w:rsidP="003215C5">
            <w:pPr>
              <w:pStyle w:val="Tabletext"/>
              <w:rPr>
                <w:b/>
                <w:bCs/>
                <w:lang w:val="ru-RU" w:eastAsia="en-GB"/>
              </w:rPr>
            </w:pPr>
            <w:r w:rsidRPr="00521670">
              <w:rPr>
                <w:b/>
                <w:bCs/>
                <w:lang w:val="ru-RU" w:eastAsia="en-GB"/>
              </w:rPr>
              <w:t>Всего: прочие доходы от деятельности</w:t>
            </w:r>
          </w:p>
        </w:tc>
        <w:tc>
          <w:tcPr>
            <w:tcW w:w="1076" w:type="pct"/>
            <w:tcBorders>
              <w:top w:val="nil"/>
              <w:left w:val="nil"/>
              <w:bottom w:val="nil"/>
              <w:right w:val="nil"/>
            </w:tcBorders>
            <w:shd w:val="clear" w:color="000000" w:fill="0070C0"/>
            <w:noWrap/>
            <w:hideMark/>
          </w:tcPr>
          <w:p w14:paraId="5C1B0C2D" w14:textId="77777777" w:rsidR="00DF251A" w:rsidRPr="00521670" w:rsidRDefault="00DF251A" w:rsidP="003215C5">
            <w:pPr>
              <w:pStyle w:val="Tabletext"/>
              <w:jc w:val="right"/>
              <w:rPr>
                <w:b/>
                <w:bCs/>
                <w:lang w:val="ru-RU" w:eastAsia="en-GB"/>
              </w:rPr>
            </w:pPr>
            <w:r w:rsidRPr="00521670">
              <w:rPr>
                <w:b/>
                <w:bCs/>
                <w:lang w:val="ru-RU"/>
              </w:rPr>
              <w:t>32 440</w:t>
            </w:r>
          </w:p>
        </w:tc>
        <w:tc>
          <w:tcPr>
            <w:tcW w:w="1076" w:type="pct"/>
            <w:tcBorders>
              <w:top w:val="nil"/>
              <w:left w:val="nil"/>
              <w:bottom w:val="nil"/>
              <w:right w:val="nil"/>
            </w:tcBorders>
            <w:shd w:val="clear" w:color="000000" w:fill="0070C0"/>
            <w:noWrap/>
            <w:hideMark/>
          </w:tcPr>
          <w:p w14:paraId="14AEF311" w14:textId="77777777" w:rsidR="00DF251A" w:rsidRPr="00521670" w:rsidRDefault="00DF251A" w:rsidP="003215C5">
            <w:pPr>
              <w:pStyle w:val="Tabletext"/>
              <w:jc w:val="right"/>
              <w:rPr>
                <w:b/>
                <w:bCs/>
                <w:lang w:val="ru-RU" w:eastAsia="en-GB"/>
              </w:rPr>
            </w:pPr>
            <w:r w:rsidRPr="00521670">
              <w:rPr>
                <w:b/>
                <w:bCs/>
                <w:lang w:val="ru-RU"/>
              </w:rPr>
              <w:t>34 145</w:t>
            </w:r>
          </w:p>
        </w:tc>
      </w:tr>
    </w:tbl>
    <w:bookmarkEnd w:id="388"/>
    <w:p w14:paraId="67298233" w14:textId="77777777" w:rsidR="00DF251A" w:rsidRPr="00521670" w:rsidRDefault="00DF251A" w:rsidP="00822BE8">
      <w:pPr>
        <w:pStyle w:val="Headingb"/>
        <w:rPr>
          <w:lang w:val="ru-RU" w:bidi="ru-RU"/>
        </w:rPr>
      </w:pPr>
      <w:r w:rsidRPr="00521670">
        <w:rPr>
          <w:lang w:val="ru-RU" w:bidi="ru-RU"/>
        </w:rPr>
        <w:t>Финансовые доходы/(затраты)</w:t>
      </w:r>
    </w:p>
    <w:p w14:paraId="3E74CD7F" w14:textId="3D4A616E" w:rsidR="00DF251A" w:rsidRPr="00521670" w:rsidRDefault="00DF251A" w:rsidP="00822BE8">
      <w:pPr>
        <w:rPr>
          <w:rFonts w:eastAsia="SimSun"/>
          <w:lang w:val="ru-RU"/>
        </w:rPr>
      </w:pPr>
      <w:r w:rsidRPr="00521670">
        <w:rPr>
          <w:lang w:val="ru-RU"/>
        </w:rPr>
        <w:t>Процентная ставка по краткосрочным депозитам в долларах США и евро в течение всего года оставалась относительно стабильной, что позволило получить сопоставимый с предыдущим годом доход по вложениям в размере около 4,6 млн. швейцарских франков.</w:t>
      </w:r>
    </w:p>
    <w:p w14:paraId="21FC5B5A" w14:textId="77777777" w:rsidR="00DF251A" w:rsidRPr="00521670" w:rsidRDefault="00DF251A" w:rsidP="00822BE8">
      <w:pPr>
        <w:rPr>
          <w:lang w:val="ru-RU"/>
        </w:rPr>
      </w:pPr>
      <w:r w:rsidRPr="00521670">
        <w:rPr>
          <w:lang w:val="ru-RU"/>
        </w:rPr>
        <w:t xml:space="preserve">Инвестиции </w:t>
      </w:r>
      <w:r w:rsidRPr="00521670">
        <w:rPr>
          <w:rFonts w:eastAsia="SimSun"/>
          <w:lang w:val="ru-RU"/>
        </w:rPr>
        <w:t>осуществляются</w:t>
      </w:r>
      <w:r w:rsidRPr="00521670">
        <w:rPr>
          <w:lang w:val="ru-RU"/>
        </w:rPr>
        <w:t xml:space="preserve"> в основном в долларах США и евро, в результате чего в 2024 году МСЭ </w:t>
      </w:r>
      <w:r w:rsidRPr="00521670">
        <w:rPr>
          <w:rFonts w:eastAsia="SimSun"/>
          <w:lang w:val="ru-RU"/>
        </w:rPr>
        <w:t>зарегистрировал</w:t>
      </w:r>
      <w:r w:rsidRPr="00521670">
        <w:rPr>
          <w:lang w:val="ru-RU"/>
        </w:rPr>
        <w:t xml:space="preserve"> прибыль от курсовой разницы по инвестициям на общую сумму 3,9 млн. швейцарских франков по сравнению с убытком в размере 6,2 млн. швейцарских франков в 2023 году, </w:t>
      </w:r>
      <w:r w:rsidRPr="00521670">
        <w:rPr>
          <w:rFonts w:eastAsia="SimSun"/>
          <w:lang w:val="ru-RU"/>
        </w:rPr>
        <w:t xml:space="preserve">главным образом благодаря более </w:t>
      </w:r>
      <w:r w:rsidRPr="00521670">
        <w:rPr>
          <w:lang w:val="ru-RU"/>
        </w:rPr>
        <w:t xml:space="preserve">благоприятной </w:t>
      </w:r>
      <w:r w:rsidRPr="00521670">
        <w:rPr>
          <w:rFonts w:eastAsia="SimSun"/>
          <w:lang w:val="ru-RU"/>
        </w:rPr>
        <w:t>динамике</w:t>
      </w:r>
      <w:r w:rsidRPr="00521670">
        <w:rPr>
          <w:lang w:val="ru-RU"/>
        </w:rPr>
        <w:t xml:space="preserve"> обменного курса швейцарского франка по отношению к доллару США.</w:t>
      </w:r>
    </w:p>
    <w:p w14:paraId="694959D8" w14:textId="77777777" w:rsidR="00DF251A" w:rsidRPr="00521670" w:rsidRDefault="00DF251A" w:rsidP="00822BE8">
      <w:pPr>
        <w:rPr>
          <w:rFonts w:eastAsia="SimSun"/>
          <w:lang w:val="ru-RU"/>
        </w:rPr>
      </w:pPr>
      <w:r w:rsidRPr="00521670">
        <w:rPr>
          <w:lang w:val="ru-RU"/>
        </w:rPr>
        <w:t>Прибыль от курсовой разницы по операциям, зарегистрированная в 2024 году, обусловлена динамикой валютных курсов, описанной выше в отношении инвестиций, и ослаблением швейцарского франка по отношению к доллару США.</w:t>
      </w:r>
    </w:p>
    <w:p w14:paraId="3E089E9E" w14:textId="77777777" w:rsidR="00DF251A" w:rsidRPr="00521670" w:rsidRDefault="00DF251A" w:rsidP="00044CD4">
      <w:pPr>
        <w:spacing w:after="120"/>
        <w:rPr>
          <w:rFonts w:eastAsia="SimSun"/>
          <w:lang w:val="ru-RU"/>
        </w:rPr>
      </w:pPr>
      <w:r w:rsidRPr="00521670">
        <w:rPr>
          <w:lang w:val="ru-RU"/>
        </w:rPr>
        <w:lastRenderedPageBreak/>
        <w:t>Ставка по 30-летним государственным облигациям Швейцарии на конец 2024 года составила 0,37%, тогда как на конец 2023 года она составляла 0,50%. Это снижение привело к увеличению обязательств по кредитам на 0,7 млн. швейцарских франков.</w:t>
      </w:r>
    </w:p>
    <w:tbl>
      <w:tblPr>
        <w:tblW w:w="5000" w:type="pct"/>
        <w:jc w:val="center"/>
        <w:tblLayout w:type="fixed"/>
        <w:tblLook w:val="04A0" w:firstRow="1" w:lastRow="0" w:firstColumn="1" w:lastColumn="0" w:noHBand="0" w:noVBand="1"/>
      </w:tblPr>
      <w:tblGrid>
        <w:gridCol w:w="5581"/>
        <w:gridCol w:w="1745"/>
        <w:gridCol w:w="1745"/>
      </w:tblGrid>
      <w:tr w:rsidR="00DF251A" w:rsidRPr="00521670" w14:paraId="6AACCB6E" w14:textId="77777777" w:rsidTr="00822BE8">
        <w:trPr>
          <w:jc w:val="center"/>
        </w:trPr>
        <w:tc>
          <w:tcPr>
            <w:tcW w:w="3076" w:type="pct"/>
            <w:tcBorders>
              <w:top w:val="nil"/>
              <w:left w:val="nil"/>
              <w:bottom w:val="nil"/>
              <w:right w:val="nil"/>
            </w:tcBorders>
            <w:shd w:val="clear" w:color="000000" w:fill="0070C0"/>
            <w:vAlign w:val="center"/>
            <w:hideMark/>
          </w:tcPr>
          <w:p w14:paraId="6BB9E37F" w14:textId="77777777" w:rsidR="00DF251A" w:rsidRPr="00521670" w:rsidRDefault="00DF251A" w:rsidP="00835292">
            <w:pPr>
              <w:pStyle w:val="Tablehead"/>
              <w:keepLines/>
              <w:rPr>
                <w:lang w:val="ru-RU" w:eastAsia="en-GB"/>
              </w:rPr>
            </w:pPr>
            <w:r w:rsidRPr="00521670">
              <w:rPr>
                <w:szCs w:val="18"/>
                <w:lang w:val="ru-RU" w:eastAsia="en-GB"/>
              </w:rPr>
              <w:t>Описание (тыс. шв. фр.)</w:t>
            </w:r>
          </w:p>
        </w:tc>
        <w:tc>
          <w:tcPr>
            <w:tcW w:w="962" w:type="pct"/>
            <w:tcBorders>
              <w:top w:val="nil"/>
              <w:left w:val="nil"/>
              <w:bottom w:val="nil"/>
              <w:right w:val="nil"/>
            </w:tcBorders>
            <w:shd w:val="clear" w:color="000000" w:fill="0070C0"/>
            <w:vAlign w:val="center"/>
            <w:hideMark/>
          </w:tcPr>
          <w:p w14:paraId="55595FA5" w14:textId="77777777" w:rsidR="00DF251A" w:rsidRPr="00521670" w:rsidRDefault="00DF251A" w:rsidP="00D42EC6">
            <w:pPr>
              <w:pStyle w:val="Tablehead"/>
              <w:keepLines/>
              <w:jc w:val="right"/>
              <w:rPr>
                <w:lang w:val="ru-RU" w:eastAsia="en-GB"/>
              </w:rPr>
            </w:pPr>
            <w:r w:rsidRPr="00521670">
              <w:rPr>
                <w:lang w:val="ru-RU" w:eastAsia="en-GB"/>
              </w:rPr>
              <w:t>2024 г.</w:t>
            </w:r>
          </w:p>
        </w:tc>
        <w:tc>
          <w:tcPr>
            <w:tcW w:w="962" w:type="pct"/>
            <w:tcBorders>
              <w:top w:val="nil"/>
              <w:left w:val="nil"/>
              <w:bottom w:val="nil"/>
              <w:right w:val="nil"/>
            </w:tcBorders>
            <w:shd w:val="clear" w:color="000000" w:fill="0070C0"/>
            <w:vAlign w:val="center"/>
            <w:hideMark/>
          </w:tcPr>
          <w:p w14:paraId="60B714FB" w14:textId="77777777" w:rsidR="00DF251A" w:rsidRPr="00521670" w:rsidRDefault="00DF251A" w:rsidP="00D42EC6">
            <w:pPr>
              <w:pStyle w:val="Tablehead"/>
              <w:keepLines/>
              <w:jc w:val="right"/>
              <w:rPr>
                <w:lang w:val="ru-RU" w:eastAsia="en-GB"/>
              </w:rPr>
            </w:pPr>
            <w:r w:rsidRPr="00521670">
              <w:rPr>
                <w:lang w:val="ru-RU" w:eastAsia="en-GB"/>
              </w:rPr>
              <w:t>2023 г.</w:t>
            </w:r>
          </w:p>
        </w:tc>
      </w:tr>
      <w:tr w:rsidR="00DF251A" w:rsidRPr="00521670" w14:paraId="55F0BD69" w14:textId="77777777" w:rsidTr="00835292">
        <w:trPr>
          <w:jc w:val="center"/>
        </w:trPr>
        <w:tc>
          <w:tcPr>
            <w:tcW w:w="3076" w:type="pct"/>
            <w:tcBorders>
              <w:top w:val="nil"/>
              <w:left w:val="nil"/>
              <w:bottom w:val="nil"/>
              <w:right w:val="nil"/>
            </w:tcBorders>
            <w:shd w:val="clear" w:color="000000" w:fill="auto"/>
            <w:noWrap/>
            <w:hideMark/>
          </w:tcPr>
          <w:p w14:paraId="02052A89" w14:textId="77777777" w:rsidR="00DF251A" w:rsidRPr="00521670" w:rsidRDefault="00DF251A" w:rsidP="00822BE8">
            <w:pPr>
              <w:pStyle w:val="Tabletext"/>
              <w:keepNext/>
              <w:keepLines/>
              <w:rPr>
                <w:lang w:val="ru-RU" w:eastAsia="en-GB"/>
              </w:rPr>
            </w:pPr>
            <w:r w:rsidRPr="00521670">
              <w:rPr>
                <w:lang w:val="ru-RU" w:eastAsia="en-GB"/>
              </w:rPr>
              <w:t>Проценты по инвестициям</w:t>
            </w:r>
          </w:p>
        </w:tc>
        <w:tc>
          <w:tcPr>
            <w:tcW w:w="962" w:type="pct"/>
            <w:tcBorders>
              <w:top w:val="nil"/>
              <w:left w:val="nil"/>
              <w:bottom w:val="nil"/>
              <w:right w:val="nil"/>
            </w:tcBorders>
            <w:shd w:val="clear" w:color="auto" w:fill="auto"/>
            <w:noWrap/>
          </w:tcPr>
          <w:p w14:paraId="1B3D68A4" w14:textId="77777777" w:rsidR="00DF251A" w:rsidRPr="00521670" w:rsidRDefault="00DF251A" w:rsidP="00822BE8">
            <w:pPr>
              <w:pStyle w:val="Tabletext"/>
              <w:keepNext/>
              <w:keepLines/>
              <w:jc w:val="right"/>
              <w:rPr>
                <w:lang w:val="ru-RU" w:eastAsia="en-GB"/>
              </w:rPr>
            </w:pPr>
            <w:r w:rsidRPr="00521670">
              <w:rPr>
                <w:lang w:val="ru-RU"/>
              </w:rPr>
              <w:t>4 645</w:t>
            </w:r>
          </w:p>
        </w:tc>
        <w:tc>
          <w:tcPr>
            <w:tcW w:w="962" w:type="pct"/>
            <w:tcBorders>
              <w:top w:val="nil"/>
              <w:left w:val="nil"/>
              <w:bottom w:val="nil"/>
              <w:right w:val="nil"/>
            </w:tcBorders>
            <w:shd w:val="clear" w:color="auto" w:fill="auto"/>
            <w:noWrap/>
          </w:tcPr>
          <w:p w14:paraId="1DE42F21" w14:textId="77777777" w:rsidR="00DF251A" w:rsidRPr="00521670" w:rsidRDefault="00DF251A" w:rsidP="00822BE8">
            <w:pPr>
              <w:pStyle w:val="Tabletext"/>
              <w:keepNext/>
              <w:keepLines/>
              <w:jc w:val="right"/>
              <w:rPr>
                <w:lang w:val="ru-RU" w:eastAsia="en-GB"/>
              </w:rPr>
            </w:pPr>
            <w:r w:rsidRPr="00521670">
              <w:rPr>
                <w:lang w:val="ru-RU"/>
              </w:rPr>
              <w:t>4 559</w:t>
            </w:r>
          </w:p>
        </w:tc>
      </w:tr>
      <w:tr w:rsidR="00DF251A" w:rsidRPr="00521670" w14:paraId="4BEA4F34" w14:textId="77777777" w:rsidTr="00835292">
        <w:trPr>
          <w:jc w:val="center"/>
        </w:trPr>
        <w:tc>
          <w:tcPr>
            <w:tcW w:w="3076" w:type="pct"/>
            <w:tcBorders>
              <w:top w:val="nil"/>
              <w:left w:val="nil"/>
              <w:bottom w:val="nil"/>
              <w:right w:val="nil"/>
            </w:tcBorders>
            <w:shd w:val="clear" w:color="auto" w:fill="auto"/>
            <w:noWrap/>
            <w:hideMark/>
          </w:tcPr>
          <w:p w14:paraId="0F9F365F" w14:textId="77777777" w:rsidR="00DF251A" w:rsidRPr="00521670" w:rsidRDefault="00DF251A" w:rsidP="00822BE8">
            <w:pPr>
              <w:pStyle w:val="Tabletext"/>
              <w:keepNext/>
              <w:keepLines/>
              <w:rPr>
                <w:lang w:val="ru-RU" w:eastAsia="en-GB"/>
              </w:rPr>
            </w:pPr>
            <w:r w:rsidRPr="00521670">
              <w:rPr>
                <w:lang w:val="ru-RU"/>
              </w:rPr>
              <w:t>Курсовые прибыли/убытки по инвестициям</w:t>
            </w:r>
          </w:p>
        </w:tc>
        <w:tc>
          <w:tcPr>
            <w:tcW w:w="962" w:type="pct"/>
            <w:tcBorders>
              <w:top w:val="nil"/>
              <w:left w:val="nil"/>
              <w:bottom w:val="nil"/>
              <w:right w:val="nil"/>
            </w:tcBorders>
            <w:shd w:val="clear" w:color="auto" w:fill="auto"/>
            <w:noWrap/>
          </w:tcPr>
          <w:p w14:paraId="69F58A17" w14:textId="77777777" w:rsidR="00DF251A" w:rsidRPr="00521670" w:rsidRDefault="00DF251A" w:rsidP="00822BE8">
            <w:pPr>
              <w:pStyle w:val="Tabletext"/>
              <w:keepNext/>
              <w:keepLines/>
              <w:jc w:val="right"/>
              <w:rPr>
                <w:lang w:val="ru-RU" w:eastAsia="en-GB"/>
              </w:rPr>
            </w:pPr>
            <w:r w:rsidRPr="00521670">
              <w:rPr>
                <w:lang w:val="ru-RU"/>
              </w:rPr>
              <w:t>3 990</w:t>
            </w:r>
          </w:p>
        </w:tc>
        <w:tc>
          <w:tcPr>
            <w:tcW w:w="962" w:type="pct"/>
            <w:tcBorders>
              <w:top w:val="nil"/>
              <w:left w:val="nil"/>
              <w:bottom w:val="nil"/>
              <w:right w:val="nil"/>
            </w:tcBorders>
            <w:shd w:val="clear" w:color="auto" w:fill="auto"/>
            <w:noWrap/>
          </w:tcPr>
          <w:p w14:paraId="0BBF7B4F" w14:textId="77777777" w:rsidR="00DF251A" w:rsidRPr="00521670" w:rsidRDefault="00DF251A" w:rsidP="00822BE8">
            <w:pPr>
              <w:pStyle w:val="Tabletext"/>
              <w:keepNext/>
              <w:keepLines/>
              <w:jc w:val="right"/>
              <w:rPr>
                <w:lang w:val="ru-RU" w:eastAsia="en-GB"/>
              </w:rPr>
            </w:pPr>
            <w:r w:rsidRPr="00521670">
              <w:rPr>
                <w:lang w:val="ru-RU"/>
              </w:rPr>
              <w:t>(6 184)</w:t>
            </w:r>
          </w:p>
        </w:tc>
      </w:tr>
      <w:tr w:rsidR="00DF251A" w:rsidRPr="00521670" w14:paraId="68684DCA" w14:textId="77777777" w:rsidTr="00835292">
        <w:trPr>
          <w:jc w:val="center"/>
        </w:trPr>
        <w:tc>
          <w:tcPr>
            <w:tcW w:w="3076" w:type="pct"/>
            <w:tcBorders>
              <w:top w:val="nil"/>
              <w:left w:val="nil"/>
              <w:bottom w:val="nil"/>
              <w:right w:val="nil"/>
            </w:tcBorders>
            <w:shd w:val="clear" w:color="000000" w:fill="auto"/>
            <w:noWrap/>
            <w:hideMark/>
          </w:tcPr>
          <w:p w14:paraId="76ED5EFF" w14:textId="77777777" w:rsidR="00DF251A" w:rsidRPr="00521670" w:rsidRDefault="00DF251A" w:rsidP="00822BE8">
            <w:pPr>
              <w:pStyle w:val="Tabletext"/>
              <w:keepNext/>
              <w:keepLines/>
              <w:rPr>
                <w:lang w:val="ru-RU" w:eastAsia="en-GB"/>
              </w:rPr>
            </w:pPr>
            <w:r w:rsidRPr="00521670">
              <w:rPr>
                <w:lang w:val="ru-RU" w:eastAsia="en-GB"/>
              </w:rPr>
              <w:t>Банковские платежи</w:t>
            </w:r>
          </w:p>
        </w:tc>
        <w:tc>
          <w:tcPr>
            <w:tcW w:w="962" w:type="pct"/>
            <w:tcBorders>
              <w:top w:val="nil"/>
              <w:left w:val="nil"/>
              <w:bottom w:val="nil"/>
              <w:right w:val="nil"/>
            </w:tcBorders>
            <w:shd w:val="clear" w:color="auto" w:fill="auto"/>
            <w:noWrap/>
          </w:tcPr>
          <w:p w14:paraId="0B624610" w14:textId="77777777" w:rsidR="00DF251A" w:rsidRPr="00521670" w:rsidRDefault="00DF251A" w:rsidP="00822BE8">
            <w:pPr>
              <w:pStyle w:val="Tabletext"/>
              <w:keepNext/>
              <w:keepLines/>
              <w:jc w:val="right"/>
              <w:rPr>
                <w:lang w:val="ru-RU" w:eastAsia="en-GB"/>
              </w:rPr>
            </w:pPr>
            <w:r w:rsidRPr="00521670">
              <w:rPr>
                <w:lang w:val="ru-RU"/>
              </w:rPr>
              <w:t>(235)</w:t>
            </w:r>
          </w:p>
        </w:tc>
        <w:tc>
          <w:tcPr>
            <w:tcW w:w="962" w:type="pct"/>
            <w:tcBorders>
              <w:top w:val="nil"/>
              <w:left w:val="nil"/>
              <w:bottom w:val="nil"/>
              <w:right w:val="nil"/>
            </w:tcBorders>
            <w:shd w:val="clear" w:color="auto" w:fill="auto"/>
            <w:noWrap/>
          </w:tcPr>
          <w:p w14:paraId="54269D2B" w14:textId="77777777" w:rsidR="00DF251A" w:rsidRPr="00521670" w:rsidRDefault="00DF251A" w:rsidP="00822BE8">
            <w:pPr>
              <w:pStyle w:val="Tabletext"/>
              <w:keepNext/>
              <w:keepLines/>
              <w:jc w:val="right"/>
              <w:rPr>
                <w:lang w:val="ru-RU" w:eastAsia="en-GB"/>
              </w:rPr>
            </w:pPr>
            <w:r w:rsidRPr="00521670">
              <w:rPr>
                <w:lang w:val="ru-RU"/>
              </w:rPr>
              <w:t>(193)</w:t>
            </w:r>
          </w:p>
        </w:tc>
      </w:tr>
      <w:tr w:rsidR="00DF251A" w:rsidRPr="00521670" w14:paraId="6351DD31" w14:textId="77777777" w:rsidTr="00835292">
        <w:trPr>
          <w:jc w:val="center"/>
        </w:trPr>
        <w:tc>
          <w:tcPr>
            <w:tcW w:w="3076" w:type="pct"/>
            <w:tcBorders>
              <w:top w:val="nil"/>
              <w:left w:val="nil"/>
              <w:bottom w:val="nil"/>
              <w:right w:val="nil"/>
            </w:tcBorders>
            <w:shd w:val="clear" w:color="auto" w:fill="auto"/>
            <w:noWrap/>
            <w:hideMark/>
          </w:tcPr>
          <w:p w14:paraId="047D300E" w14:textId="77777777" w:rsidR="00DF251A" w:rsidRPr="00521670" w:rsidRDefault="00DF251A" w:rsidP="00822BE8">
            <w:pPr>
              <w:pStyle w:val="Tabletext"/>
              <w:keepNext/>
              <w:keepLines/>
              <w:rPr>
                <w:lang w:val="ru-RU" w:eastAsia="en-GB"/>
              </w:rPr>
            </w:pPr>
            <w:r w:rsidRPr="00521670">
              <w:rPr>
                <w:lang w:val="ru-RU" w:eastAsia="en-GB"/>
              </w:rPr>
              <w:t>Изменение чистой приведенной стоимости ссуды</w:t>
            </w:r>
          </w:p>
        </w:tc>
        <w:tc>
          <w:tcPr>
            <w:tcW w:w="962" w:type="pct"/>
            <w:tcBorders>
              <w:top w:val="nil"/>
              <w:left w:val="nil"/>
              <w:bottom w:val="nil"/>
              <w:right w:val="nil"/>
            </w:tcBorders>
            <w:shd w:val="clear" w:color="auto" w:fill="auto"/>
            <w:noWrap/>
          </w:tcPr>
          <w:p w14:paraId="51A92B41" w14:textId="77777777" w:rsidR="00DF251A" w:rsidRPr="00521670" w:rsidRDefault="00DF251A" w:rsidP="00822BE8">
            <w:pPr>
              <w:pStyle w:val="Tabletext"/>
              <w:keepNext/>
              <w:keepLines/>
              <w:jc w:val="right"/>
              <w:rPr>
                <w:lang w:val="ru-RU" w:eastAsia="en-GB"/>
              </w:rPr>
            </w:pPr>
            <w:r w:rsidRPr="00521670">
              <w:rPr>
                <w:lang w:val="ru-RU"/>
              </w:rPr>
              <w:t>(652)</w:t>
            </w:r>
          </w:p>
        </w:tc>
        <w:tc>
          <w:tcPr>
            <w:tcW w:w="962" w:type="pct"/>
            <w:tcBorders>
              <w:top w:val="nil"/>
              <w:left w:val="nil"/>
              <w:bottom w:val="nil"/>
              <w:right w:val="nil"/>
            </w:tcBorders>
            <w:shd w:val="clear" w:color="auto" w:fill="auto"/>
            <w:noWrap/>
          </w:tcPr>
          <w:p w14:paraId="61ED2FDB" w14:textId="77777777" w:rsidR="00DF251A" w:rsidRPr="00521670" w:rsidRDefault="00DF251A" w:rsidP="00822BE8">
            <w:pPr>
              <w:pStyle w:val="Tabletext"/>
              <w:keepNext/>
              <w:keepLines/>
              <w:jc w:val="right"/>
              <w:rPr>
                <w:lang w:val="ru-RU" w:eastAsia="en-GB"/>
              </w:rPr>
            </w:pPr>
            <w:r w:rsidRPr="00521670">
              <w:rPr>
                <w:lang w:val="ru-RU"/>
              </w:rPr>
              <w:t>(4 055)</w:t>
            </w:r>
          </w:p>
        </w:tc>
      </w:tr>
      <w:tr w:rsidR="00DF251A" w:rsidRPr="00521670" w14:paraId="4DA58EA1" w14:textId="77777777" w:rsidTr="00835292">
        <w:trPr>
          <w:jc w:val="center"/>
        </w:trPr>
        <w:tc>
          <w:tcPr>
            <w:tcW w:w="3076" w:type="pct"/>
            <w:tcBorders>
              <w:top w:val="nil"/>
              <w:left w:val="nil"/>
              <w:bottom w:val="nil"/>
              <w:right w:val="nil"/>
            </w:tcBorders>
            <w:shd w:val="clear" w:color="auto" w:fill="auto"/>
            <w:noWrap/>
            <w:hideMark/>
          </w:tcPr>
          <w:p w14:paraId="569F8B93" w14:textId="77777777" w:rsidR="00DF251A" w:rsidRPr="00521670" w:rsidRDefault="00DF251A" w:rsidP="006E4F70">
            <w:pPr>
              <w:pStyle w:val="Tabletext"/>
              <w:keepNext/>
              <w:keepLines/>
              <w:rPr>
                <w:lang w:val="ru-RU" w:eastAsia="en-GB"/>
              </w:rPr>
            </w:pPr>
            <w:r w:rsidRPr="00521670">
              <w:rPr>
                <w:lang w:val="ru-RU"/>
              </w:rPr>
              <w:t>Курсовые прибыли/убытки по операциям</w:t>
            </w:r>
          </w:p>
        </w:tc>
        <w:tc>
          <w:tcPr>
            <w:tcW w:w="962" w:type="pct"/>
            <w:tcBorders>
              <w:top w:val="nil"/>
              <w:left w:val="nil"/>
              <w:bottom w:val="nil"/>
              <w:right w:val="nil"/>
            </w:tcBorders>
            <w:shd w:val="clear" w:color="auto" w:fill="auto"/>
            <w:noWrap/>
          </w:tcPr>
          <w:p w14:paraId="41BA5A06" w14:textId="77777777" w:rsidR="00DF251A" w:rsidRPr="00521670" w:rsidRDefault="00DF251A" w:rsidP="00822BE8">
            <w:pPr>
              <w:pStyle w:val="Tabletext"/>
              <w:keepNext/>
              <w:keepLines/>
              <w:jc w:val="right"/>
              <w:rPr>
                <w:lang w:val="ru-RU" w:eastAsia="en-GB"/>
              </w:rPr>
            </w:pPr>
            <w:r w:rsidRPr="00521670">
              <w:rPr>
                <w:lang w:val="ru-RU"/>
              </w:rPr>
              <w:t>1 754</w:t>
            </w:r>
          </w:p>
        </w:tc>
        <w:tc>
          <w:tcPr>
            <w:tcW w:w="962" w:type="pct"/>
            <w:tcBorders>
              <w:top w:val="nil"/>
              <w:left w:val="nil"/>
              <w:bottom w:val="nil"/>
              <w:right w:val="nil"/>
            </w:tcBorders>
            <w:shd w:val="clear" w:color="auto" w:fill="auto"/>
            <w:noWrap/>
          </w:tcPr>
          <w:p w14:paraId="251C66EE" w14:textId="77777777" w:rsidR="00DF251A" w:rsidRPr="00521670" w:rsidRDefault="00DF251A" w:rsidP="00822BE8">
            <w:pPr>
              <w:pStyle w:val="Tabletext"/>
              <w:keepNext/>
              <w:keepLines/>
              <w:jc w:val="right"/>
              <w:rPr>
                <w:lang w:val="ru-RU" w:eastAsia="en-GB"/>
              </w:rPr>
            </w:pPr>
            <w:r w:rsidRPr="00521670">
              <w:rPr>
                <w:lang w:val="ru-RU"/>
              </w:rPr>
              <w:t>(2 399)</w:t>
            </w:r>
          </w:p>
        </w:tc>
      </w:tr>
      <w:tr w:rsidR="00DF251A" w:rsidRPr="00521670" w14:paraId="05B4817C" w14:textId="77777777" w:rsidTr="00835292">
        <w:trPr>
          <w:jc w:val="center"/>
        </w:trPr>
        <w:tc>
          <w:tcPr>
            <w:tcW w:w="3076" w:type="pct"/>
            <w:tcBorders>
              <w:top w:val="nil"/>
              <w:left w:val="nil"/>
              <w:bottom w:val="nil"/>
              <w:right w:val="nil"/>
            </w:tcBorders>
            <w:shd w:val="clear" w:color="000000" w:fill="0070C0"/>
            <w:noWrap/>
            <w:vAlign w:val="center"/>
            <w:hideMark/>
          </w:tcPr>
          <w:p w14:paraId="635D8BFB" w14:textId="77777777" w:rsidR="00DF251A" w:rsidRPr="00521670" w:rsidRDefault="00DF251A" w:rsidP="00822BE8">
            <w:pPr>
              <w:pStyle w:val="Tabletext"/>
              <w:rPr>
                <w:b/>
                <w:bCs/>
                <w:lang w:val="ru-RU" w:eastAsia="en-GB"/>
              </w:rPr>
            </w:pPr>
            <w:r w:rsidRPr="00521670">
              <w:rPr>
                <w:b/>
                <w:bCs/>
                <w:lang w:val="ru-RU" w:eastAsia="en-GB"/>
              </w:rPr>
              <w:t>Всего: финансовые доходы/(расходы)</w:t>
            </w:r>
          </w:p>
        </w:tc>
        <w:tc>
          <w:tcPr>
            <w:tcW w:w="962" w:type="pct"/>
            <w:tcBorders>
              <w:top w:val="nil"/>
              <w:left w:val="nil"/>
              <w:bottom w:val="nil"/>
              <w:right w:val="nil"/>
            </w:tcBorders>
            <w:shd w:val="clear" w:color="000000" w:fill="0070C0"/>
            <w:noWrap/>
          </w:tcPr>
          <w:p w14:paraId="16CFFFB1" w14:textId="77777777" w:rsidR="00DF251A" w:rsidRPr="00521670" w:rsidRDefault="00DF251A" w:rsidP="00822BE8">
            <w:pPr>
              <w:pStyle w:val="Tabletext"/>
              <w:jc w:val="right"/>
              <w:rPr>
                <w:b/>
                <w:bCs/>
                <w:lang w:val="ru-RU" w:eastAsia="en-GB"/>
              </w:rPr>
            </w:pPr>
            <w:r w:rsidRPr="00521670">
              <w:rPr>
                <w:b/>
                <w:bCs/>
                <w:lang w:val="ru-RU"/>
              </w:rPr>
              <w:t>9 503</w:t>
            </w:r>
          </w:p>
        </w:tc>
        <w:tc>
          <w:tcPr>
            <w:tcW w:w="962" w:type="pct"/>
            <w:tcBorders>
              <w:top w:val="nil"/>
              <w:left w:val="nil"/>
              <w:bottom w:val="nil"/>
              <w:right w:val="nil"/>
            </w:tcBorders>
            <w:shd w:val="clear" w:color="000000" w:fill="0070C0"/>
            <w:noWrap/>
          </w:tcPr>
          <w:p w14:paraId="4490E52B" w14:textId="77777777" w:rsidR="00DF251A" w:rsidRPr="00521670" w:rsidRDefault="00DF251A" w:rsidP="00822BE8">
            <w:pPr>
              <w:pStyle w:val="Tabletext"/>
              <w:jc w:val="right"/>
              <w:rPr>
                <w:b/>
                <w:bCs/>
                <w:lang w:val="ru-RU" w:eastAsia="en-GB"/>
              </w:rPr>
            </w:pPr>
            <w:r w:rsidRPr="00521670">
              <w:rPr>
                <w:b/>
                <w:bCs/>
                <w:lang w:val="ru-RU"/>
              </w:rPr>
              <w:t>(8 272)</w:t>
            </w:r>
          </w:p>
        </w:tc>
      </w:tr>
    </w:tbl>
    <w:p w14:paraId="78D823DF" w14:textId="77777777" w:rsidR="00DF251A" w:rsidRPr="00521670" w:rsidRDefault="00DF251A" w:rsidP="005343E6">
      <w:pPr>
        <w:pStyle w:val="Heading5"/>
        <w:rPr>
          <w:b/>
          <w:bCs/>
          <w:color w:val="4F81BD" w:themeColor="accent1"/>
          <w:lang w:val="ru-RU"/>
        </w:rPr>
      </w:pPr>
      <w:bookmarkStart w:id="389" w:name="_Toc2116969957"/>
      <w:bookmarkStart w:id="390" w:name="_Toc164845571"/>
      <w:bookmarkStart w:id="391" w:name="_Toc168578485"/>
      <w:bookmarkStart w:id="392" w:name="_Toc180681830"/>
      <w:bookmarkStart w:id="393" w:name="_Toc200469543"/>
      <w:bookmarkStart w:id="394" w:name="_Toc305764108"/>
      <w:r w:rsidRPr="00521670">
        <w:rPr>
          <w:b/>
          <w:bCs/>
          <w:color w:val="4F81BD" w:themeColor="accent1"/>
          <w:lang w:val="ru-RU"/>
        </w:rPr>
        <w:t>Примечание 19</w:t>
      </w:r>
      <w:r w:rsidRPr="00521670">
        <w:rPr>
          <w:b/>
          <w:bCs/>
          <w:color w:val="4F81BD" w:themeColor="accent1"/>
          <w:lang w:val="ru-RU"/>
        </w:rPr>
        <w:tab/>
      </w:r>
      <w:bookmarkEnd w:id="389"/>
      <w:bookmarkEnd w:id="390"/>
      <w:r w:rsidRPr="00521670">
        <w:rPr>
          <w:b/>
          <w:bCs/>
          <w:color w:val="4F81BD" w:themeColor="accent1"/>
          <w:lang w:val="ru-RU"/>
        </w:rPr>
        <w:t>Расходы</w:t>
      </w:r>
      <w:bookmarkEnd w:id="391"/>
      <w:bookmarkEnd w:id="392"/>
      <w:bookmarkEnd w:id="393"/>
    </w:p>
    <w:bookmarkEnd w:id="394"/>
    <w:p w14:paraId="16E51A33" w14:textId="77777777" w:rsidR="00DF251A" w:rsidRPr="00521670" w:rsidRDefault="00DF251A" w:rsidP="005343E6">
      <w:pPr>
        <w:pStyle w:val="Headingb"/>
        <w:rPr>
          <w:lang w:val="ru-RU" w:bidi="ru-RU"/>
        </w:rPr>
      </w:pPr>
      <w:r w:rsidRPr="00521670">
        <w:rPr>
          <w:lang w:val="ru-RU" w:bidi="ru-RU"/>
        </w:rPr>
        <w:t>Расходы на персонал</w:t>
      </w:r>
    </w:p>
    <w:p w14:paraId="6E2AD77D" w14:textId="69868CF9" w:rsidR="00DF251A" w:rsidRPr="00521670" w:rsidRDefault="00DF251A" w:rsidP="005343E6">
      <w:pPr>
        <w:rPr>
          <w:highlight w:val="lightGray"/>
          <w:lang w:val="ru-RU" w:bidi="ru-RU"/>
        </w:rPr>
      </w:pPr>
      <w:r w:rsidRPr="00521670">
        <w:rPr>
          <w:lang w:val="ru-RU" w:bidi="ru-RU"/>
        </w:rPr>
        <w:t>Расходы на персонал охватывают все статьи вознаграждения, выплачиваемого занимающим постоянные должности сотрудникам, а также всему персоналу, обслуживающему конференции или работающему по краткосрочным контрактам, в том числе базовые оклады, коррективы по месту службы, надбавки за знание языков и надбавки для нерезидентов, надбавки на иждивенцев и сверхурочные, а также прочие расходы по персоналу.</w:t>
      </w:r>
    </w:p>
    <w:p w14:paraId="7C99C2C1" w14:textId="34277A2B" w:rsidR="00DF251A" w:rsidRPr="00521670" w:rsidRDefault="00DF251A" w:rsidP="005343E6">
      <w:pPr>
        <w:rPr>
          <w:highlight w:val="lightGray"/>
          <w:lang w:val="ru-RU" w:bidi="ru-RU"/>
        </w:rPr>
      </w:pPr>
      <w:r w:rsidRPr="00521670">
        <w:rPr>
          <w:lang w:val="ru-RU" w:bidi="ru-RU"/>
        </w:rPr>
        <w:t>В целом расходы на персонал в 2024 году снизились. Это снижение во многом является</w:t>
      </w:r>
      <w:r w:rsidR="009E772D" w:rsidRPr="00521670">
        <w:rPr>
          <w:lang w:val="ru-RU" w:bidi="ru-RU"/>
        </w:rPr>
        <w:t> </w:t>
      </w:r>
      <w:r w:rsidRPr="00521670">
        <w:rPr>
          <w:lang w:val="ru-RU" w:bidi="ru-RU"/>
        </w:rPr>
        <w:t>результатом:</w:t>
      </w:r>
    </w:p>
    <w:p w14:paraId="31D15921" w14:textId="77777777" w:rsidR="00DF251A" w:rsidRPr="00521670" w:rsidRDefault="00DF251A" w:rsidP="005343E6">
      <w:pPr>
        <w:pStyle w:val="enumlev1"/>
        <w:rPr>
          <w:lang w:val="ru-RU"/>
        </w:rPr>
      </w:pPr>
      <w:r w:rsidRPr="00521670">
        <w:rPr>
          <w:rFonts w:cs="Calibri"/>
          <w:lang w:val="ru-RU"/>
        </w:rPr>
        <w:t>•</w:t>
      </w:r>
      <w:r w:rsidRPr="00521670">
        <w:rPr>
          <w:lang w:val="ru-RU"/>
        </w:rPr>
        <w:tab/>
        <w:t>уменьшения корректировки АСХИ – (3,8 млн. швейцарских франков). Данная корректировка для АСХИ связана с чистыми затратами на услуги и затратами на погашение процентов, которые уменьшились за счет выплат за этот период. Сокращение по сравнению с 2023 годом в основном обусловлено увеличением выплат с 7,0 млн. швейцарских франков в 2023 году до 10,3 млн. швейцарских франков в 2024 году;</w:t>
      </w:r>
    </w:p>
    <w:p w14:paraId="475519EF" w14:textId="174D4C94" w:rsidR="00DF251A" w:rsidRPr="00521670" w:rsidRDefault="00DF251A" w:rsidP="005343E6">
      <w:pPr>
        <w:pStyle w:val="enumlev1"/>
        <w:rPr>
          <w:lang w:val="ru-RU"/>
        </w:rPr>
      </w:pPr>
      <w:r w:rsidRPr="00521670">
        <w:rPr>
          <w:rFonts w:cs="Calibri"/>
          <w:lang w:val="ru-RU"/>
        </w:rPr>
        <w:t>•</w:t>
      </w:r>
      <w:r w:rsidRPr="00521670">
        <w:rPr>
          <w:lang w:val="ru-RU"/>
        </w:rPr>
        <w:tab/>
        <w:t>снижения прочих расходов − (3,4 млн. швейцарских франков), что в основном связано с расходами по программе добровольного прекращения службы, понесенными в 2023 году</w:t>
      </w:r>
      <w:r w:rsidR="009E772D" w:rsidRPr="00521670">
        <w:rPr>
          <w:lang w:val="ru-RU"/>
        </w:rPr>
        <w:t>;</w:t>
      </w:r>
      <w:r w:rsidRPr="00521670">
        <w:rPr>
          <w:lang w:val="ru-RU"/>
        </w:rPr>
        <w:t xml:space="preserve"> и</w:t>
      </w:r>
    </w:p>
    <w:p w14:paraId="26D0C296" w14:textId="77777777" w:rsidR="00DF251A" w:rsidRPr="00521670" w:rsidRDefault="00DF251A" w:rsidP="00A54701">
      <w:pPr>
        <w:pStyle w:val="enumlev1"/>
        <w:spacing w:after="120"/>
        <w:ind w:left="792" w:hanging="792"/>
        <w:rPr>
          <w:lang w:val="ru-RU"/>
        </w:rPr>
      </w:pPr>
      <w:r w:rsidRPr="00521670">
        <w:rPr>
          <w:rFonts w:cs="Calibri"/>
          <w:lang w:val="ru-RU"/>
        </w:rPr>
        <w:t>•</w:t>
      </w:r>
      <w:r w:rsidRPr="00521670">
        <w:rPr>
          <w:lang w:val="ru-RU"/>
        </w:rPr>
        <w:tab/>
        <w:t>снижения окладов и надбавок − (1,4 млн. швейцарских франков).</w:t>
      </w:r>
    </w:p>
    <w:tbl>
      <w:tblPr>
        <w:tblW w:w="5000" w:type="pct"/>
        <w:jc w:val="center"/>
        <w:tblLook w:val="04A0" w:firstRow="1" w:lastRow="0" w:firstColumn="1" w:lastColumn="0" w:noHBand="0" w:noVBand="1"/>
      </w:tblPr>
      <w:tblGrid>
        <w:gridCol w:w="5461"/>
        <w:gridCol w:w="1734"/>
        <w:gridCol w:w="1876"/>
      </w:tblGrid>
      <w:tr w:rsidR="00DF251A" w:rsidRPr="00521670" w14:paraId="0A9EFDE2" w14:textId="77777777" w:rsidTr="00602C19">
        <w:trPr>
          <w:jc w:val="center"/>
        </w:trPr>
        <w:tc>
          <w:tcPr>
            <w:tcW w:w="3000" w:type="pct"/>
            <w:tcBorders>
              <w:top w:val="nil"/>
              <w:left w:val="nil"/>
              <w:bottom w:val="nil"/>
              <w:right w:val="nil"/>
            </w:tcBorders>
            <w:shd w:val="clear" w:color="000000" w:fill="0070C0"/>
            <w:noWrap/>
            <w:vAlign w:val="center"/>
            <w:hideMark/>
          </w:tcPr>
          <w:p w14:paraId="31C5C963" w14:textId="77777777" w:rsidR="00DF251A" w:rsidRPr="00521670" w:rsidRDefault="00DF251A" w:rsidP="00835292">
            <w:pPr>
              <w:pStyle w:val="Tablehead"/>
              <w:rPr>
                <w:lang w:val="ru-RU" w:eastAsia="en-GB"/>
              </w:rPr>
            </w:pPr>
            <w:r w:rsidRPr="00521670">
              <w:rPr>
                <w:szCs w:val="18"/>
                <w:lang w:val="ru-RU" w:eastAsia="en-GB"/>
              </w:rPr>
              <w:t>Описание (тыс. шв. фр.)</w:t>
            </w:r>
          </w:p>
        </w:tc>
        <w:tc>
          <w:tcPr>
            <w:tcW w:w="961" w:type="pct"/>
            <w:tcBorders>
              <w:top w:val="nil"/>
              <w:left w:val="nil"/>
              <w:bottom w:val="nil"/>
              <w:right w:val="nil"/>
            </w:tcBorders>
            <w:shd w:val="clear" w:color="000000" w:fill="0070C0"/>
            <w:vAlign w:val="center"/>
            <w:hideMark/>
          </w:tcPr>
          <w:p w14:paraId="0BCBAD17" w14:textId="77777777" w:rsidR="00DF251A" w:rsidRPr="00521670" w:rsidRDefault="00DF251A" w:rsidP="00602C19">
            <w:pPr>
              <w:pStyle w:val="Tablehead"/>
              <w:jc w:val="right"/>
              <w:rPr>
                <w:lang w:val="ru-RU" w:eastAsia="en-GB"/>
              </w:rPr>
            </w:pPr>
            <w:r w:rsidRPr="00521670">
              <w:rPr>
                <w:lang w:val="ru-RU" w:eastAsia="en-GB"/>
              </w:rPr>
              <w:t>2024 г.</w:t>
            </w:r>
          </w:p>
        </w:tc>
        <w:tc>
          <w:tcPr>
            <w:tcW w:w="1039" w:type="pct"/>
            <w:tcBorders>
              <w:top w:val="nil"/>
              <w:left w:val="nil"/>
              <w:bottom w:val="nil"/>
              <w:right w:val="nil"/>
            </w:tcBorders>
            <w:shd w:val="clear" w:color="000000" w:fill="0070C0"/>
            <w:vAlign w:val="center"/>
            <w:hideMark/>
          </w:tcPr>
          <w:p w14:paraId="1FBC01D5" w14:textId="77777777" w:rsidR="00DF251A" w:rsidRPr="00521670" w:rsidRDefault="00DF251A" w:rsidP="00602C19">
            <w:pPr>
              <w:pStyle w:val="Tablehead"/>
              <w:jc w:val="right"/>
              <w:rPr>
                <w:lang w:val="ru-RU" w:eastAsia="en-GB"/>
              </w:rPr>
            </w:pPr>
            <w:r w:rsidRPr="00521670">
              <w:rPr>
                <w:lang w:val="ru-RU" w:eastAsia="en-GB"/>
              </w:rPr>
              <w:t>2023 г.</w:t>
            </w:r>
          </w:p>
        </w:tc>
      </w:tr>
      <w:tr w:rsidR="00DF251A" w:rsidRPr="00521670" w14:paraId="674BC074" w14:textId="77777777" w:rsidTr="00602C19">
        <w:trPr>
          <w:jc w:val="center"/>
        </w:trPr>
        <w:tc>
          <w:tcPr>
            <w:tcW w:w="3000" w:type="pct"/>
            <w:tcBorders>
              <w:top w:val="nil"/>
              <w:left w:val="nil"/>
              <w:bottom w:val="nil"/>
              <w:right w:val="nil"/>
            </w:tcBorders>
            <w:shd w:val="clear" w:color="000000" w:fill="auto"/>
            <w:noWrap/>
            <w:hideMark/>
          </w:tcPr>
          <w:p w14:paraId="107E6EBE" w14:textId="77777777" w:rsidR="00DF251A" w:rsidRPr="00521670" w:rsidRDefault="00DF251A" w:rsidP="00A54701">
            <w:pPr>
              <w:pStyle w:val="Tabletext"/>
              <w:keepNext/>
              <w:keepLines/>
              <w:rPr>
                <w:b/>
                <w:bCs/>
                <w:lang w:val="ru-RU" w:eastAsia="en-GB"/>
              </w:rPr>
            </w:pPr>
            <w:r w:rsidRPr="00521670">
              <w:rPr>
                <w:b/>
                <w:bCs/>
                <w:lang w:val="ru-RU" w:eastAsia="en-GB"/>
              </w:rPr>
              <w:t>Оклады и надбавки</w:t>
            </w:r>
          </w:p>
        </w:tc>
        <w:tc>
          <w:tcPr>
            <w:tcW w:w="961" w:type="pct"/>
            <w:tcBorders>
              <w:top w:val="nil"/>
              <w:left w:val="nil"/>
              <w:bottom w:val="nil"/>
              <w:right w:val="nil"/>
            </w:tcBorders>
            <w:shd w:val="clear" w:color="000000" w:fill="auto"/>
            <w:noWrap/>
            <w:hideMark/>
          </w:tcPr>
          <w:p w14:paraId="5D6B25DF" w14:textId="77777777" w:rsidR="00DF251A" w:rsidRPr="00521670" w:rsidRDefault="00DF251A" w:rsidP="00A54701">
            <w:pPr>
              <w:pStyle w:val="Tabletext"/>
              <w:keepNext/>
              <w:keepLines/>
              <w:jc w:val="right"/>
              <w:rPr>
                <w:b/>
                <w:bCs/>
                <w:lang w:val="ru-RU" w:eastAsia="en-GB"/>
              </w:rPr>
            </w:pPr>
            <w:r w:rsidRPr="00521670">
              <w:rPr>
                <w:b/>
                <w:bCs/>
                <w:lang w:val="ru-RU"/>
              </w:rPr>
              <w:t>96 412</w:t>
            </w:r>
          </w:p>
        </w:tc>
        <w:tc>
          <w:tcPr>
            <w:tcW w:w="1039" w:type="pct"/>
            <w:tcBorders>
              <w:top w:val="nil"/>
              <w:left w:val="nil"/>
              <w:bottom w:val="nil"/>
              <w:right w:val="nil"/>
            </w:tcBorders>
            <w:shd w:val="clear" w:color="000000" w:fill="auto"/>
            <w:noWrap/>
            <w:hideMark/>
          </w:tcPr>
          <w:p w14:paraId="7298B459" w14:textId="77777777" w:rsidR="00DF251A" w:rsidRPr="00521670" w:rsidRDefault="00DF251A" w:rsidP="00A54701">
            <w:pPr>
              <w:pStyle w:val="Tabletext"/>
              <w:keepNext/>
              <w:keepLines/>
              <w:jc w:val="right"/>
              <w:rPr>
                <w:b/>
                <w:bCs/>
                <w:lang w:val="ru-RU" w:eastAsia="en-GB"/>
              </w:rPr>
            </w:pPr>
            <w:r w:rsidRPr="00521670">
              <w:rPr>
                <w:b/>
                <w:bCs/>
                <w:lang w:val="ru-RU"/>
              </w:rPr>
              <w:t>97 804</w:t>
            </w:r>
          </w:p>
        </w:tc>
      </w:tr>
      <w:tr w:rsidR="00DF251A" w:rsidRPr="00521670" w14:paraId="6D0FCE19" w14:textId="77777777" w:rsidTr="00602C19">
        <w:trPr>
          <w:jc w:val="center"/>
        </w:trPr>
        <w:tc>
          <w:tcPr>
            <w:tcW w:w="3000" w:type="pct"/>
            <w:tcBorders>
              <w:top w:val="nil"/>
              <w:left w:val="nil"/>
              <w:bottom w:val="nil"/>
              <w:right w:val="nil"/>
            </w:tcBorders>
            <w:shd w:val="clear" w:color="000000" w:fill="auto"/>
            <w:noWrap/>
            <w:hideMark/>
          </w:tcPr>
          <w:p w14:paraId="6023015F"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Введение в должность и возвращение на родину</w:t>
            </w:r>
          </w:p>
        </w:tc>
        <w:tc>
          <w:tcPr>
            <w:tcW w:w="961" w:type="pct"/>
            <w:tcBorders>
              <w:top w:val="nil"/>
              <w:left w:val="nil"/>
              <w:bottom w:val="nil"/>
              <w:right w:val="nil"/>
            </w:tcBorders>
            <w:shd w:val="clear" w:color="000000" w:fill="auto"/>
            <w:noWrap/>
            <w:hideMark/>
          </w:tcPr>
          <w:p w14:paraId="39F8948B" w14:textId="77777777" w:rsidR="00DF251A" w:rsidRPr="00521670" w:rsidRDefault="00DF251A" w:rsidP="00A54701">
            <w:pPr>
              <w:pStyle w:val="Tabletext"/>
              <w:keepNext/>
              <w:keepLines/>
              <w:jc w:val="right"/>
              <w:rPr>
                <w:lang w:val="ru-RU" w:eastAsia="en-GB"/>
              </w:rPr>
            </w:pPr>
            <w:r w:rsidRPr="00521670">
              <w:rPr>
                <w:lang w:val="ru-RU"/>
              </w:rPr>
              <w:t>2 887</w:t>
            </w:r>
          </w:p>
        </w:tc>
        <w:tc>
          <w:tcPr>
            <w:tcW w:w="1039" w:type="pct"/>
            <w:tcBorders>
              <w:top w:val="nil"/>
              <w:left w:val="nil"/>
              <w:bottom w:val="nil"/>
              <w:right w:val="nil"/>
            </w:tcBorders>
            <w:shd w:val="clear" w:color="000000" w:fill="auto"/>
            <w:noWrap/>
            <w:hideMark/>
          </w:tcPr>
          <w:p w14:paraId="10677C14" w14:textId="77777777" w:rsidR="00DF251A" w:rsidRPr="00521670" w:rsidRDefault="00DF251A" w:rsidP="00A54701">
            <w:pPr>
              <w:pStyle w:val="Tabletext"/>
              <w:keepNext/>
              <w:keepLines/>
              <w:jc w:val="right"/>
              <w:rPr>
                <w:lang w:val="ru-RU" w:eastAsia="en-GB"/>
              </w:rPr>
            </w:pPr>
            <w:r w:rsidRPr="00521670">
              <w:rPr>
                <w:lang w:val="ru-RU"/>
              </w:rPr>
              <w:t>1 143</w:t>
            </w:r>
          </w:p>
        </w:tc>
      </w:tr>
      <w:tr w:rsidR="00DF251A" w:rsidRPr="00521670" w14:paraId="43C05A80" w14:textId="77777777" w:rsidTr="00602C19">
        <w:trPr>
          <w:jc w:val="center"/>
        </w:trPr>
        <w:tc>
          <w:tcPr>
            <w:tcW w:w="3000" w:type="pct"/>
            <w:tcBorders>
              <w:top w:val="nil"/>
              <w:left w:val="nil"/>
              <w:bottom w:val="nil"/>
              <w:right w:val="nil"/>
            </w:tcBorders>
            <w:shd w:val="clear" w:color="000000" w:fill="auto"/>
            <w:noWrap/>
            <w:hideMark/>
          </w:tcPr>
          <w:p w14:paraId="12629630"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Субсидия на образование</w:t>
            </w:r>
          </w:p>
        </w:tc>
        <w:tc>
          <w:tcPr>
            <w:tcW w:w="961" w:type="pct"/>
            <w:tcBorders>
              <w:top w:val="nil"/>
              <w:left w:val="nil"/>
              <w:bottom w:val="nil"/>
              <w:right w:val="nil"/>
            </w:tcBorders>
            <w:shd w:val="clear" w:color="000000" w:fill="auto"/>
            <w:noWrap/>
            <w:hideMark/>
          </w:tcPr>
          <w:p w14:paraId="6B2861B6" w14:textId="77777777" w:rsidR="00DF251A" w:rsidRPr="00521670" w:rsidRDefault="00DF251A" w:rsidP="00A54701">
            <w:pPr>
              <w:pStyle w:val="Tabletext"/>
              <w:keepNext/>
              <w:keepLines/>
              <w:jc w:val="right"/>
              <w:rPr>
                <w:lang w:val="ru-RU" w:eastAsia="en-GB"/>
              </w:rPr>
            </w:pPr>
            <w:r w:rsidRPr="00521670">
              <w:rPr>
                <w:lang w:val="ru-RU"/>
              </w:rPr>
              <w:t>4 038</w:t>
            </w:r>
          </w:p>
        </w:tc>
        <w:tc>
          <w:tcPr>
            <w:tcW w:w="1039" w:type="pct"/>
            <w:tcBorders>
              <w:top w:val="nil"/>
              <w:left w:val="nil"/>
              <w:bottom w:val="nil"/>
              <w:right w:val="nil"/>
            </w:tcBorders>
            <w:shd w:val="clear" w:color="000000" w:fill="auto"/>
            <w:noWrap/>
            <w:hideMark/>
          </w:tcPr>
          <w:p w14:paraId="07397EC1" w14:textId="77777777" w:rsidR="00DF251A" w:rsidRPr="00521670" w:rsidRDefault="00DF251A" w:rsidP="00A54701">
            <w:pPr>
              <w:pStyle w:val="Tabletext"/>
              <w:keepNext/>
              <w:keepLines/>
              <w:jc w:val="right"/>
              <w:rPr>
                <w:lang w:val="ru-RU" w:eastAsia="en-GB"/>
              </w:rPr>
            </w:pPr>
            <w:r w:rsidRPr="00521670">
              <w:rPr>
                <w:lang w:val="ru-RU"/>
              </w:rPr>
              <w:t>4 152</w:t>
            </w:r>
          </w:p>
        </w:tc>
      </w:tr>
      <w:tr w:rsidR="00DF251A" w:rsidRPr="00521670" w14:paraId="2AAA7D5E" w14:textId="77777777" w:rsidTr="00602C19">
        <w:trPr>
          <w:jc w:val="center"/>
        </w:trPr>
        <w:tc>
          <w:tcPr>
            <w:tcW w:w="3000" w:type="pct"/>
            <w:tcBorders>
              <w:top w:val="nil"/>
              <w:left w:val="nil"/>
              <w:bottom w:val="nil"/>
              <w:right w:val="nil"/>
            </w:tcBorders>
            <w:shd w:val="clear" w:color="000000" w:fill="auto"/>
            <w:noWrap/>
            <w:hideMark/>
          </w:tcPr>
          <w:p w14:paraId="455CB6AB"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Отпуск на родину</w:t>
            </w:r>
          </w:p>
        </w:tc>
        <w:tc>
          <w:tcPr>
            <w:tcW w:w="961" w:type="pct"/>
            <w:tcBorders>
              <w:top w:val="nil"/>
              <w:left w:val="nil"/>
              <w:bottom w:val="nil"/>
              <w:right w:val="nil"/>
            </w:tcBorders>
            <w:shd w:val="clear" w:color="000000" w:fill="auto"/>
            <w:noWrap/>
            <w:hideMark/>
          </w:tcPr>
          <w:p w14:paraId="10D8939E" w14:textId="77777777" w:rsidR="00DF251A" w:rsidRPr="00521670" w:rsidRDefault="00DF251A" w:rsidP="00A54701">
            <w:pPr>
              <w:pStyle w:val="Tabletext"/>
              <w:keepNext/>
              <w:keepLines/>
              <w:jc w:val="right"/>
              <w:rPr>
                <w:lang w:val="ru-RU" w:eastAsia="en-GB"/>
              </w:rPr>
            </w:pPr>
            <w:r w:rsidRPr="00521670">
              <w:rPr>
                <w:lang w:val="ru-RU"/>
              </w:rPr>
              <w:t>1 078</w:t>
            </w:r>
          </w:p>
        </w:tc>
        <w:tc>
          <w:tcPr>
            <w:tcW w:w="1039" w:type="pct"/>
            <w:tcBorders>
              <w:top w:val="nil"/>
              <w:left w:val="nil"/>
              <w:bottom w:val="nil"/>
              <w:right w:val="nil"/>
            </w:tcBorders>
            <w:shd w:val="clear" w:color="000000" w:fill="auto"/>
            <w:noWrap/>
            <w:hideMark/>
          </w:tcPr>
          <w:p w14:paraId="5FA3D18A" w14:textId="77777777" w:rsidR="00DF251A" w:rsidRPr="00521670" w:rsidRDefault="00DF251A" w:rsidP="00A54701">
            <w:pPr>
              <w:pStyle w:val="Tabletext"/>
              <w:keepNext/>
              <w:keepLines/>
              <w:jc w:val="right"/>
              <w:rPr>
                <w:lang w:val="ru-RU" w:eastAsia="en-GB"/>
              </w:rPr>
            </w:pPr>
            <w:r w:rsidRPr="00521670">
              <w:rPr>
                <w:lang w:val="ru-RU"/>
              </w:rPr>
              <w:t>954</w:t>
            </w:r>
          </w:p>
        </w:tc>
      </w:tr>
      <w:tr w:rsidR="00DF251A" w:rsidRPr="00521670" w14:paraId="648C364F" w14:textId="77777777" w:rsidTr="00602C19">
        <w:trPr>
          <w:jc w:val="center"/>
        </w:trPr>
        <w:tc>
          <w:tcPr>
            <w:tcW w:w="3000" w:type="pct"/>
            <w:tcBorders>
              <w:top w:val="nil"/>
              <w:left w:val="nil"/>
              <w:bottom w:val="nil"/>
              <w:right w:val="nil"/>
            </w:tcBorders>
            <w:shd w:val="clear" w:color="000000" w:fill="auto"/>
            <w:noWrap/>
            <w:hideMark/>
          </w:tcPr>
          <w:p w14:paraId="699837A4"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Накопленные дни отпуска</w:t>
            </w:r>
          </w:p>
        </w:tc>
        <w:tc>
          <w:tcPr>
            <w:tcW w:w="961" w:type="pct"/>
            <w:tcBorders>
              <w:top w:val="nil"/>
              <w:left w:val="nil"/>
              <w:bottom w:val="nil"/>
              <w:right w:val="nil"/>
            </w:tcBorders>
            <w:shd w:val="clear" w:color="000000" w:fill="auto"/>
            <w:noWrap/>
            <w:hideMark/>
          </w:tcPr>
          <w:p w14:paraId="0F9B8D23" w14:textId="77777777" w:rsidR="00DF251A" w:rsidRPr="00521670" w:rsidRDefault="00DF251A" w:rsidP="00A54701">
            <w:pPr>
              <w:pStyle w:val="Tabletext"/>
              <w:keepNext/>
              <w:keepLines/>
              <w:jc w:val="right"/>
              <w:rPr>
                <w:lang w:val="ru-RU" w:eastAsia="en-GB"/>
              </w:rPr>
            </w:pPr>
            <w:r w:rsidRPr="00521670">
              <w:rPr>
                <w:lang w:val="ru-RU"/>
              </w:rPr>
              <w:t>944</w:t>
            </w:r>
          </w:p>
        </w:tc>
        <w:tc>
          <w:tcPr>
            <w:tcW w:w="1039" w:type="pct"/>
            <w:tcBorders>
              <w:top w:val="nil"/>
              <w:left w:val="nil"/>
              <w:bottom w:val="nil"/>
              <w:right w:val="nil"/>
            </w:tcBorders>
            <w:shd w:val="clear" w:color="000000" w:fill="auto"/>
            <w:noWrap/>
            <w:hideMark/>
          </w:tcPr>
          <w:p w14:paraId="5D82232C" w14:textId="77777777" w:rsidR="00DF251A" w:rsidRPr="00521670" w:rsidRDefault="00DF251A" w:rsidP="00A54701">
            <w:pPr>
              <w:pStyle w:val="Tabletext"/>
              <w:keepNext/>
              <w:keepLines/>
              <w:jc w:val="right"/>
              <w:rPr>
                <w:lang w:val="ru-RU" w:eastAsia="en-GB"/>
              </w:rPr>
            </w:pPr>
            <w:r w:rsidRPr="00521670">
              <w:rPr>
                <w:lang w:val="ru-RU"/>
              </w:rPr>
              <w:t>1 307</w:t>
            </w:r>
          </w:p>
        </w:tc>
      </w:tr>
      <w:tr w:rsidR="00DF251A" w:rsidRPr="00521670" w14:paraId="1028D641" w14:textId="77777777" w:rsidTr="00602C19">
        <w:trPr>
          <w:jc w:val="center"/>
        </w:trPr>
        <w:tc>
          <w:tcPr>
            <w:tcW w:w="3000" w:type="pct"/>
            <w:tcBorders>
              <w:top w:val="nil"/>
              <w:left w:val="nil"/>
              <w:bottom w:val="nil"/>
              <w:right w:val="nil"/>
            </w:tcBorders>
            <w:shd w:val="clear" w:color="000000" w:fill="auto"/>
            <w:noWrap/>
            <w:hideMark/>
          </w:tcPr>
          <w:p w14:paraId="720C610B"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Медицинское страхование и страхование от несчастных случаев</w:t>
            </w:r>
          </w:p>
        </w:tc>
        <w:tc>
          <w:tcPr>
            <w:tcW w:w="961" w:type="pct"/>
            <w:tcBorders>
              <w:top w:val="nil"/>
              <w:left w:val="nil"/>
              <w:bottom w:val="nil"/>
              <w:right w:val="nil"/>
            </w:tcBorders>
            <w:shd w:val="clear" w:color="000000" w:fill="auto"/>
            <w:noWrap/>
            <w:hideMark/>
          </w:tcPr>
          <w:p w14:paraId="5FF3D5DC" w14:textId="77777777" w:rsidR="00DF251A" w:rsidRPr="00521670" w:rsidRDefault="00DF251A" w:rsidP="00A54701">
            <w:pPr>
              <w:pStyle w:val="Tabletext"/>
              <w:keepNext/>
              <w:keepLines/>
              <w:jc w:val="right"/>
              <w:rPr>
                <w:lang w:val="ru-RU" w:eastAsia="en-GB"/>
              </w:rPr>
            </w:pPr>
            <w:r w:rsidRPr="00521670">
              <w:rPr>
                <w:lang w:val="ru-RU"/>
              </w:rPr>
              <w:t>10 220</w:t>
            </w:r>
          </w:p>
        </w:tc>
        <w:tc>
          <w:tcPr>
            <w:tcW w:w="1039" w:type="pct"/>
            <w:tcBorders>
              <w:top w:val="nil"/>
              <w:left w:val="nil"/>
              <w:bottom w:val="nil"/>
              <w:right w:val="nil"/>
            </w:tcBorders>
            <w:shd w:val="clear" w:color="000000" w:fill="auto"/>
            <w:noWrap/>
            <w:hideMark/>
          </w:tcPr>
          <w:p w14:paraId="2860444C" w14:textId="77777777" w:rsidR="00DF251A" w:rsidRPr="00521670" w:rsidRDefault="00DF251A" w:rsidP="00A54701">
            <w:pPr>
              <w:pStyle w:val="Tabletext"/>
              <w:keepNext/>
              <w:keepLines/>
              <w:jc w:val="right"/>
              <w:rPr>
                <w:lang w:val="ru-RU" w:eastAsia="en-GB"/>
              </w:rPr>
            </w:pPr>
            <w:r w:rsidRPr="00521670">
              <w:rPr>
                <w:lang w:val="ru-RU"/>
              </w:rPr>
              <w:t>11 408</w:t>
            </w:r>
          </w:p>
        </w:tc>
      </w:tr>
      <w:tr w:rsidR="00DF251A" w:rsidRPr="00521670" w14:paraId="14B54FA4" w14:textId="77777777" w:rsidTr="00602C19">
        <w:trPr>
          <w:jc w:val="center"/>
        </w:trPr>
        <w:tc>
          <w:tcPr>
            <w:tcW w:w="3000" w:type="pct"/>
            <w:tcBorders>
              <w:top w:val="nil"/>
              <w:left w:val="nil"/>
              <w:bottom w:val="nil"/>
              <w:right w:val="nil"/>
            </w:tcBorders>
            <w:shd w:val="clear" w:color="000000" w:fill="auto"/>
            <w:noWrap/>
            <w:hideMark/>
          </w:tcPr>
          <w:p w14:paraId="09B02966"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Взносы в ОПФП ООН</w:t>
            </w:r>
          </w:p>
        </w:tc>
        <w:tc>
          <w:tcPr>
            <w:tcW w:w="961" w:type="pct"/>
            <w:tcBorders>
              <w:top w:val="nil"/>
              <w:left w:val="nil"/>
              <w:bottom w:val="nil"/>
              <w:right w:val="nil"/>
            </w:tcBorders>
            <w:shd w:val="clear" w:color="auto" w:fill="auto"/>
            <w:noWrap/>
            <w:hideMark/>
          </w:tcPr>
          <w:p w14:paraId="4630E0DB" w14:textId="77777777" w:rsidR="00DF251A" w:rsidRPr="00521670" w:rsidRDefault="00DF251A" w:rsidP="00A54701">
            <w:pPr>
              <w:pStyle w:val="Tabletext"/>
              <w:keepNext/>
              <w:keepLines/>
              <w:jc w:val="right"/>
              <w:rPr>
                <w:lang w:val="ru-RU" w:eastAsia="en-GB"/>
              </w:rPr>
            </w:pPr>
            <w:r w:rsidRPr="00521670">
              <w:rPr>
                <w:lang w:val="ru-RU"/>
              </w:rPr>
              <w:t>19 073</w:t>
            </w:r>
          </w:p>
        </w:tc>
        <w:tc>
          <w:tcPr>
            <w:tcW w:w="1039" w:type="pct"/>
            <w:tcBorders>
              <w:top w:val="nil"/>
              <w:left w:val="nil"/>
              <w:bottom w:val="nil"/>
              <w:right w:val="nil"/>
            </w:tcBorders>
            <w:shd w:val="clear" w:color="000000" w:fill="auto"/>
            <w:noWrap/>
            <w:hideMark/>
          </w:tcPr>
          <w:p w14:paraId="5C2F113E" w14:textId="77777777" w:rsidR="00DF251A" w:rsidRPr="00521670" w:rsidRDefault="00DF251A" w:rsidP="00A54701">
            <w:pPr>
              <w:pStyle w:val="Tabletext"/>
              <w:keepNext/>
              <w:keepLines/>
              <w:jc w:val="right"/>
              <w:rPr>
                <w:lang w:val="ru-RU" w:eastAsia="en-GB"/>
              </w:rPr>
            </w:pPr>
            <w:r w:rsidRPr="00521670">
              <w:rPr>
                <w:lang w:val="ru-RU"/>
              </w:rPr>
              <w:t>18 761</w:t>
            </w:r>
          </w:p>
        </w:tc>
      </w:tr>
      <w:tr w:rsidR="00DF251A" w:rsidRPr="00521670" w14:paraId="75C4CD22" w14:textId="77777777" w:rsidTr="00602C19">
        <w:trPr>
          <w:jc w:val="center"/>
        </w:trPr>
        <w:tc>
          <w:tcPr>
            <w:tcW w:w="3000" w:type="pct"/>
            <w:tcBorders>
              <w:top w:val="nil"/>
              <w:left w:val="nil"/>
              <w:bottom w:val="nil"/>
              <w:right w:val="nil"/>
            </w:tcBorders>
            <w:shd w:val="clear" w:color="000000" w:fill="auto"/>
            <w:noWrap/>
            <w:hideMark/>
          </w:tcPr>
          <w:p w14:paraId="0ABD116F"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Прочие расходы</w:t>
            </w:r>
          </w:p>
        </w:tc>
        <w:tc>
          <w:tcPr>
            <w:tcW w:w="961" w:type="pct"/>
            <w:tcBorders>
              <w:top w:val="nil"/>
              <w:left w:val="nil"/>
              <w:bottom w:val="nil"/>
              <w:right w:val="nil"/>
            </w:tcBorders>
            <w:shd w:val="clear" w:color="auto" w:fill="auto"/>
            <w:noWrap/>
            <w:hideMark/>
          </w:tcPr>
          <w:p w14:paraId="12529469" w14:textId="77777777" w:rsidR="00DF251A" w:rsidRPr="00521670" w:rsidRDefault="00DF251A" w:rsidP="00A54701">
            <w:pPr>
              <w:pStyle w:val="Tabletext"/>
              <w:keepNext/>
              <w:keepLines/>
              <w:jc w:val="right"/>
              <w:rPr>
                <w:lang w:val="ru-RU" w:eastAsia="en-GB"/>
              </w:rPr>
            </w:pPr>
            <w:r w:rsidRPr="00521670">
              <w:rPr>
                <w:lang w:val="ru-RU"/>
              </w:rPr>
              <w:t>81</w:t>
            </w:r>
          </w:p>
        </w:tc>
        <w:tc>
          <w:tcPr>
            <w:tcW w:w="1039" w:type="pct"/>
            <w:tcBorders>
              <w:top w:val="nil"/>
              <w:left w:val="nil"/>
              <w:bottom w:val="nil"/>
              <w:right w:val="nil"/>
            </w:tcBorders>
            <w:shd w:val="clear" w:color="000000" w:fill="auto"/>
            <w:noWrap/>
            <w:hideMark/>
          </w:tcPr>
          <w:p w14:paraId="051445C2" w14:textId="77777777" w:rsidR="00DF251A" w:rsidRPr="00521670" w:rsidRDefault="00DF251A" w:rsidP="00A54701">
            <w:pPr>
              <w:pStyle w:val="Tabletext"/>
              <w:keepNext/>
              <w:keepLines/>
              <w:jc w:val="right"/>
              <w:rPr>
                <w:lang w:val="ru-RU" w:eastAsia="en-GB"/>
              </w:rPr>
            </w:pPr>
            <w:r w:rsidRPr="00521670">
              <w:rPr>
                <w:lang w:val="ru-RU"/>
              </w:rPr>
              <w:t>3 550</w:t>
            </w:r>
          </w:p>
        </w:tc>
      </w:tr>
      <w:tr w:rsidR="00DF251A" w:rsidRPr="00521670" w14:paraId="3AFC2C74" w14:textId="77777777" w:rsidTr="00602C19">
        <w:trPr>
          <w:jc w:val="center"/>
        </w:trPr>
        <w:tc>
          <w:tcPr>
            <w:tcW w:w="3000" w:type="pct"/>
            <w:tcBorders>
              <w:top w:val="nil"/>
              <w:left w:val="nil"/>
              <w:bottom w:val="nil"/>
              <w:right w:val="nil"/>
            </w:tcBorders>
            <w:shd w:val="clear" w:color="000000" w:fill="auto"/>
            <w:noWrap/>
            <w:hideMark/>
          </w:tcPr>
          <w:p w14:paraId="19FE9142" w14:textId="77777777" w:rsidR="00DF251A" w:rsidRPr="00521670" w:rsidRDefault="00DF251A" w:rsidP="00A54701">
            <w:pPr>
              <w:pStyle w:val="Tabletext"/>
              <w:keepNext/>
              <w:keepLines/>
              <w:rPr>
                <w:lang w:val="ru-RU" w:eastAsia="en-GB"/>
              </w:rPr>
            </w:pPr>
            <w:r w:rsidRPr="00521670">
              <w:rPr>
                <w:lang w:val="ru-RU" w:eastAsia="en-GB"/>
              </w:rPr>
              <w:t>−</w:t>
            </w:r>
            <w:r w:rsidRPr="00521670">
              <w:rPr>
                <w:lang w:val="ru-RU" w:eastAsia="en-GB"/>
              </w:rPr>
              <w:tab/>
              <w:t>АСХИ: чистые затраты на услуги</w:t>
            </w:r>
          </w:p>
        </w:tc>
        <w:tc>
          <w:tcPr>
            <w:tcW w:w="961" w:type="pct"/>
            <w:tcBorders>
              <w:top w:val="nil"/>
              <w:left w:val="nil"/>
              <w:bottom w:val="nil"/>
              <w:right w:val="nil"/>
            </w:tcBorders>
            <w:shd w:val="clear" w:color="000000" w:fill="auto"/>
            <w:noWrap/>
            <w:hideMark/>
          </w:tcPr>
          <w:p w14:paraId="561746D9" w14:textId="77777777" w:rsidR="00DF251A" w:rsidRPr="00521670" w:rsidRDefault="00DF251A" w:rsidP="00A54701">
            <w:pPr>
              <w:pStyle w:val="Tabletext"/>
              <w:keepNext/>
              <w:keepLines/>
              <w:jc w:val="right"/>
              <w:rPr>
                <w:lang w:val="ru-RU" w:eastAsia="en-GB"/>
              </w:rPr>
            </w:pPr>
            <w:r w:rsidRPr="00521670">
              <w:rPr>
                <w:lang w:val="ru-RU"/>
              </w:rPr>
              <w:t>7 816</w:t>
            </w:r>
          </w:p>
        </w:tc>
        <w:tc>
          <w:tcPr>
            <w:tcW w:w="1039" w:type="pct"/>
            <w:tcBorders>
              <w:top w:val="nil"/>
              <w:left w:val="nil"/>
              <w:bottom w:val="nil"/>
              <w:right w:val="nil"/>
            </w:tcBorders>
            <w:shd w:val="clear" w:color="000000" w:fill="auto"/>
            <w:noWrap/>
            <w:hideMark/>
          </w:tcPr>
          <w:p w14:paraId="5605E3AC" w14:textId="77777777" w:rsidR="00DF251A" w:rsidRPr="00521670" w:rsidRDefault="00DF251A" w:rsidP="00A54701">
            <w:pPr>
              <w:pStyle w:val="Tabletext"/>
              <w:keepNext/>
              <w:keepLines/>
              <w:jc w:val="right"/>
              <w:rPr>
                <w:lang w:val="ru-RU" w:eastAsia="en-GB"/>
              </w:rPr>
            </w:pPr>
            <w:r w:rsidRPr="00521670">
              <w:rPr>
                <w:lang w:val="ru-RU"/>
              </w:rPr>
              <w:t>11 645</w:t>
            </w:r>
          </w:p>
        </w:tc>
      </w:tr>
      <w:tr w:rsidR="00DF251A" w:rsidRPr="00521670" w14:paraId="5E95DC63" w14:textId="77777777" w:rsidTr="00602C19">
        <w:trPr>
          <w:jc w:val="center"/>
        </w:trPr>
        <w:tc>
          <w:tcPr>
            <w:tcW w:w="3000" w:type="pct"/>
            <w:tcBorders>
              <w:top w:val="nil"/>
              <w:left w:val="nil"/>
              <w:bottom w:val="nil"/>
              <w:right w:val="nil"/>
            </w:tcBorders>
            <w:shd w:val="clear" w:color="000000" w:fill="auto"/>
            <w:noWrap/>
            <w:hideMark/>
          </w:tcPr>
          <w:p w14:paraId="7742385A" w14:textId="77777777" w:rsidR="00DF251A" w:rsidRPr="00521670" w:rsidRDefault="00DF251A" w:rsidP="00CB175E">
            <w:pPr>
              <w:pStyle w:val="Tabletext"/>
              <w:keepNext/>
              <w:keepLines/>
              <w:rPr>
                <w:b/>
                <w:bCs/>
                <w:lang w:val="ru-RU" w:eastAsia="en-GB"/>
              </w:rPr>
            </w:pPr>
            <w:r w:rsidRPr="00521670">
              <w:rPr>
                <w:b/>
                <w:bCs/>
                <w:lang w:val="ru-RU" w:eastAsia="en-GB"/>
              </w:rPr>
              <w:t>Прочие расходы на персонал</w:t>
            </w:r>
          </w:p>
        </w:tc>
        <w:tc>
          <w:tcPr>
            <w:tcW w:w="961" w:type="pct"/>
            <w:tcBorders>
              <w:top w:val="nil"/>
              <w:left w:val="nil"/>
              <w:bottom w:val="nil"/>
              <w:right w:val="nil"/>
            </w:tcBorders>
            <w:shd w:val="clear" w:color="000000" w:fill="auto"/>
            <w:noWrap/>
            <w:hideMark/>
          </w:tcPr>
          <w:p w14:paraId="4278C936" w14:textId="77777777" w:rsidR="00DF251A" w:rsidRPr="00521670" w:rsidRDefault="00DF251A" w:rsidP="00A54701">
            <w:pPr>
              <w:pStyle w:val="Tabletext"/>
              <w:keepNext/>
              <w:keepLines/>
              <w:jc w:val="right"/>
              <w:rPr>
                <w:b/>
                <w:bCs/>
                <w:lang w:val="ru-RU" w:eastAsia="en-GB"/>
              </w:rPr>
            </w:pPr>
            <w:r w:rsidRPr="00521670">
              <w:rPr>
                <w:b/>
                <w:bCs/>
                <w:lang w:val="ru-RU"/>
              </w:rPr>
              <w:t>46 137</w:t>
            </w:r>
          </w:p>
        </w:tc>
        <w:tc>
          <w:tcPr>
            <w:tcW w:w="1039" w:type="pct"/>
            <w:tcBorders>
              <w:top w:val="nil"/>
              <w:left w:val="nil"/>
              <w:bottom w:val="nil"/>
              <w:right w:val="nil"/>
            </w:tcBorders>
            <w:shd w:val="clear" w:color="000000" w:fill="auto"/>
            <w:noWrap/>
            <w:hideMark/>
          </w:tcPr>
          <w:p w14:paraId="2ECBE17A" w14:textId="77777777" w:rsidR="00DF251A" w:rsidRPr="00521670" w:rsidRDefault="00DF251A" w:rsidP="00A54701">
            <w:pPr>
              <w:pStyle w:val="Tabletext"/>
              <w:keepNext/>
              <w:keepLines/>
              <w:jc w:val="right"/>
              <w:rPr>
                <w:b/>
                <w:bCs/>
                <w:lang w:val="ru-RU" w:eastAsia="en-GB"/>
              </w:rPr>
            </w:pPr>
            <w:r w:rsidRPr="00521670">
              <w:rPr>
                <w:b/>
                <w:bCs/>
                <w:lang w:val="ru-RU"/>
              </w:rPr>
              <w:t>52 920</w:t>
            </w:r>
          </w:p>
        </w:tc>
      </w:tr>
      <w:tr w:rsidR="00DF251A" w:rsidRPr="00521670" w14:paraId="01D9DD86" w14:textId="77777777" w:rsidTr="00602C19">
        <w:trPr>
          <w:jc w:val="center"/>
        </w:trPr>
        <w:tc>
          <w:tcPr>
            <w:tcW w:w="3000" w:type="pct"/>
            <w:tcBorders>
              <w:top w:val="nil"/>
              <w:left w:val="nil"/>
              <w:bottom w:val="nil"/>
              <w:right w:val="nil"/>
            </w:tcBorders>
            <w:shd w:val="clear" w:color="000000" w:fill="0070C0"/>
            <w:noWrap/>
            <w:vAlign w:val="center"/>
            <w:hideMark/>
          </w:tcPr>
          <w:p w14:paraId="36349E5A" w14:textId="77777777" w:rsidR="00DF251A" w:rsidRPr="00521670" w:rsidRDefault="00DF251A" w:rsidP="00A54701">
            <w:pPr>
              <w:pStyle w:val="Tabletext"/>
              <w:rPr>
                <w:b/>
                <w:bCs/>
                <w:lang w:val="ru-RU" w:eastAsia="en-GB"/>
              </w:rPr>
            </w:pPr>
            <w:r w:rsidRPr="00521670">
              <w:rPr>
                <w:b/>
                <w:bCs/>
                <w:lang w:val="ru-RU" w:eastAsia="en-GB"/>
              </w:rPr>
              <w:t>Всего: расходы на персонал</w:t>
            </w:r>
          </w:p>
        </w:tc>
        <w:tc>
          <w:tcPr>
            <w:tcW w:w="961" w:type="pct"/>
            <w:tcBorders>
              <w:top w:val="nil"/>
              <w:left w:val="nil"/>
              <w:bottom w:val="nil"/>
              <w:right w:val="nil"/>
            </w:tcBorders>
            <w:shd w:val="clear" w:color="000000" w:fill="0070C0"/>
            <w:noWrap/>
            <w:hideMark/>
          </w:tcPr>
          <w:p w14:paraId="1BABBB1D" w14:textId="77777777" w:rsidR="00DF251A" w:rsidRPr="00521670" w:rsidRDefault="00DF251A" w:rsidP="00A54701">
            <w:pPr>
              <w:pStyle w:val="Tabletext"/>
              <w:jc w:val="right"/>
              <w:rPr>
                <w:b/>
                <w:bCs/>
                <w:lang w:val="ru-RU" w:eastAsia="en-GB"/>
              </w:rPr>
            </w:pPr>
            <w:r w:rsidRPr="00521670">
              <w:rPr>
                <w:b/>
                <w:bCs/>
                <w:lang w:val="ru-RU"/>
              </w:rPr>
              <w:t>142 549</w:t>
            </w:r>
          </w:p>
        </w:tc>
        <w:tc>
          <w:tcPr>
            <w:tcW w:w="1039" w:type="pct"/>
            <w:tcBorders>
              <w:top w:val="nil"/>
              <w:left w:val="nil"/>
              <w:bottom w:val="nil"/>
              <w:right w:val="nil"/>
            </w:tcBorders>
            <w:shd w:val="clear" w:color="000000" w:fill="0070C0"/>
            <w:noWrap/>
            <w:hideMark/>
          </w:tcPr>
          <w:p w14:paraId="263607E7" w14:textId="77777777" w:rsidR="00DF251A" w:rsidRPr="00521670" w:rsidRDefault="00DF251A" w:rsidP="00A54701">
            <w:pPr>
              <w:pStyle w:val="Tabletext"/>
              <w:jc w:val="right"/>
              <w:rPr>
                <w:b/>
                <w:bCs/>
                <w:lang w:val="ru-RU" w:eastAsia="en-GB"/>
              </w:rPr>
            </w:pPr>
            <w:r w:rsidRPr="00521670">
              <w:rPr>
                <w:b/>
                <w:bCs/>
                <w:lang w:val="ru-RU"/>
              </w:rPr>
              <w:t>150 724</w:t>
            </w:r>
          </w:p>
        </w:tc>
      </w:tr>
    </w:tbl>
    <w:p w14:paraId="1E13FE6D" w14:textId="77777777" w:rsidR="00DF251A" w:rsidRPr="00521670" w:rsidRDefault="00DF251A" w:rsidP="002F5F1A">
      <w:pPr>
        <w:pStyle w:val="Headingb"/>
        <w:rPr>
          <w:lang w:val="ru-RU" w:bidi="ru-RU"/>
        </w:rPr>
      </w:pPr>
      <w:r w:rsidRPr="00521670">
        <w:rPr>
          <w:lang w:val="ru-RU" w:bidi="ru-RU"/>
        </w:rPr>
        <w:lastRenderedPageBreak/>
        <w:t>Затраты, не связанные с персоналом</w:t>
      </w:r>
    </w:p>
    <w:p w14:paraId="00145D8B" w14:textId="77777777" w:rsidR="00DF251A" w:rsidRPr="00521670" w:rsidRDefault="00DF251A" w:rsidP="002F5F1A">
      <w:pPr>
        <w:pStyle w:val="Headingi"/>
        <w:rPr>
          <w:lang w:val="ru-RU" w:bidi="ru-RU"/>
        </w:rPr>
      </w:pPr>
      <w:bookmarkStart w:id="395" w:name="_Toc200469192"/>
      <w:r w:rsidRPr="00521670">
        <w:rPr>
          <w:lang w:val="ru-RU" w:bidi="ru-RU"/>
        </w:rPr>
        <w:t>Расходы по служебным командировкам</w:t>
      </w:r>
      <w:bookmarkEnd w:id="395"/>
    </w:p>
    <w:p w14:paraId="28553B9E" w14:textId="0570D56D" w:rsidR="00DF251A" w:rsidRPr="00521670" w:rsidRDefault="00DF251A" w:rsidP="002F5F1A">
      <w:pPr>
        <w:rPr>
          <w:lang w:val="ru-RU"/>
        </w:rPr>
      </w:pPr>
      <w:r w:rsidRPr="00521670">
        <w:rPr>
          <w:lang w:val="ru-RU"/>
        </w:rPr>
        <w:t>Путевые расходы увеличились по сравнению с 2023 годом на 0,4 млн. швейцарских франков и составили в 2024 году 8,2 млн. швейцарских франков.</w:t>
      </w:r>
    </w:p>
    <w:p w14:paraId="68DCF6FC" w14:textId="77777777" w:rsidR="00DF251A" w:rsidRPr="00521670" w:rsidRDefault="00DF251A" w:rsidP="002F5F1A">
      <w:pPr>
        <w:pStyle w:val="Headingi"/>
        <w:rPr>
          <w:lang w:val="ru-RU" w:bidi="ru-RU"/>
        </w:rPr>
      </w:pPr>
      <w:bookmarkStart w:id="396" w:name="_Toc200469193"/>
      <w:r w:rsidRPr="00521670">
        <w:rPr>
          <w:lang w:val="ru-RU" w:bidi="ru-RU"/>
        </w:rPr>
        <w:t>Контрактные услуги</w:t>
      </w:r>
      <w:bookmarkEnd w:id="396"/>
    </w:p>
    <w:p w14:paraId="7FFC202C" w14:textId="77777777" w:rsidR="00DF251A" w:rsidRPr="00521670" w:rsidRDefault="00DF251A" w:rsidP="002F5F1A">
      <w:pPr>
        <w:rPr>
          <w:lang w:val="ru-RU" w:bidi="ru-RU"/>
        </w:rPr>
      </w:pPr>
      <w:r w:rsidRPr="00521670">
        <w:rPr>
          <w:lang w:val="ru-RU" w:bidi="ru-RU"/>
        </w:rPr>
        <w:t>В эту категорию входят все платежи, гонорары и выплаты, которые производятся компаниям, предоставляющим консультантов в рамках соглашений и договорных положений. К этой категории также относятся соглашения о специальных услугах, расходы, связанные с курсами иностранных языков в рамках профессиональной подготовки, и затраты на услуги, оказываемые внешними подрядчиками.</w:t>
      </w:r>
    </w:p>
    <w:p w14:paraId="066B3724" w14:textId="77777777" w:rsidR="00DF251A" w:rsidRPr="00521670" w:rsidRDefault="00DF251A" w:rsidP="002F5F1A">
      <w:pPr>
        <w:pStyle w:val="Headingi"/>
        <w:rPr>
          <w:lang w:val="ru-RU" w:bidi="ru-RU"/>
        </w:rPr>
      </w:pPr>
      <w:bookmarkStart w:id="397" w:name="_Toc200469194"/>
      <w:bookmarkStart w:id="398" w:name="_Hlk130480918"/>
      <w:r w:rsidRPr="00521670">
        <w:rPr>
          <w:lang w:val="ru-RU" w:bidi="ru-RU"/>
        </w:rPr>
        <w:t>Аренда и эксплуатация помещений и оборудования</w:t>
      </w:r>
      <w:bookmarkEnd w:id="397"/>
    </w:p>
    <w:bookmarkEnd w:id="398"/>
    <w:p w14:paraId="5A2F1CFE" w14:textId="77777777" w:rsidR="00DF251A" w:rsidRPr="00521670" w:rsidRDefault="00DF251A" w:rsidP="002F5F1A">
      <w:pPr>
        <w:rPr>
          <w:lang w:val="ru-RU" w:bidi="ru-RU"/>
        </w:rPr>
      </w:pPr>
      <w:r w:rsidRPr="00521670">
        <w:rPr>
          <w:lang w:val="ru-RU" w:bidi="ru-RU"/>
        </w:rPr>
        <w:t xml:space="preserve">Расходы на аренду и оборудование составили 4,0 млн. швейцарских франков в 2024 году (3,5 млн. шв. фр. в 2023 г.). </w:t>
      </w:r>
      <w:bookmarkStart w:id="399" w:name="_Hlk106632265"/>
      <w:r w:rsidRPr="00521670">
        <w:rPr>
          <w:lang w:val="ru-RU" w:bidi="ru-RU"/>
        </w:rPr>
        <w:t>Это незначительное увеличение объясняется проведением конференций в МЦКЖ, где были арендованы помещения и аудиовизуальное оборудование.</w:t>
      </w:r>
    </w:p>
    <w:p w14:paraId="5C782FF6" w14:textId="77777777" w:rsidR="00DF251A" w:rsidRPr="00521670" w:rsidRDefault="00DF251A" w:rsidP="002F5F1A">
      <w:pPr>
        <w:pStyle w:val="Headingi"/>
        <w:rPr>
          <w:lang w:val="ru-RU" w:bidi="ru-RU"/>
        </w:rPr>
      </w:pPr>
      <w:bookmarkStart w:id="400" w:name="_Toc200469195"/>
      <w:bookmarkEnd w:id="399"/>
      <w:r w:rsidRPr="00521670">
        <w:rPr>
          <w:lang w:val="ru-RU" w:bidi="ru-RU"/>
        </w:rPr>
        <w:t>Амортизация и потеря стоимости</w:t>
      </w:r>
      <w:bookmarkEnd w:id="400"/>
    </w:p>
    <w:p w14:paraId="09D4DB98" w14:textId="77777777" w:rsidR="00DF251A" w:rsidRPr="00521670" w:rsidRDefault="00DF251A" w:rsidP="002F5F1A">
      <w:pPr>
        <w:rPr>
          <w:lang w:val="ru-RU" w:bidi="ru-RU"/>
        </w:rPr>
      </w:pPr>
      <w:r w:rsidRPr="00521670">
        <w:rPr>
          <w:lang w:val="ru-RU"/>
        </w:rPr>
        <w:t>Расходы, связанные с амортизацией и потерей стоимости, значительно увеличились в связи с признанием обесценения актива на этапе строительства, относящегося к проекту нового здания, на сумму 21 млн. швейцарских франков после пересмотра проекта, утвержденного Советом в 2024 году.</w:t>
      </w:r>
      <w:r w:rsidRPr="00521670">
        <w:rPr>
          <w:lang w:val="ru-RU" w:bidi="ru-RU"/>
        </w:rPr>
        <w:t xml:space="preserve"> </w:t>
      </w:r>
      <w:r w:rsidRPr="00521670">
        <w:rPr>
          <w:lang w:val="ru-RU"/>
        </w:rPr>
        <w:t>См. также Примечание 12 выше.</w:t>
      </w:r>
    </w:p>
    <w:p w14:paraId="45F906EC" w14:textId="77777777" w:rsidR="00DF251A" w:rsidRPr="00521670" w:rsidRDefault="00DF251A" w:rsidP="002F5F1A">
      <w:pPr>
        <w:pStyle w:val="Headingi"/>
        <w:rPr>
          <w:lang w:val="ru-RU" w:bidi="ru-RU"/>
        </w:rPr>
      </w:pPr>
      <w:bookmarkStart w:id="401" w:name="_Toc200469196"/>
      <w:r w:rsidRPr="00521670">
        <w:rPr>
          <w:lang w:val="ru-RU" w:bidi="ru-RU"/>
        </w:rPr>
        <w:t>Движение резерва под обесценение/резервный фонд</w:t>
      </w:r>
      <w:bookmarkEnd w:id="401"/>
    </w:p>
    <w:p w14:paraId="7D8B681E" w14:textId="77777777" w:rsidR="00DF251A" w:rsidRPr="00521670" w:rsidRDefault="00DF251A" w:rsidP="002F5F1A">
      <w:pPr>
        <w:rPr>
          <w:lang w:val="ru-RU"/>
        </w:rPr>
      </w:pPr>
      <w:r w:rsidRPr="00521670">
        <w:rPr>
          <w:lang w:val="ru-RU"/>
        </w:rPr>
        <w:t>Увеличение в значительной степени обусловлено как увеличением резерва для сомнительной задолженности, признанным для покрытия рисков по взысканию задолженности по взносам одного из Государств-Членов, которое сталкивается с ограничениями в осуществлении международных платежей, так и признанным резервным фондом для расторжения соглашения о спонсорской поддержке проекта строительства нового здания, находящегося на стадии оценки на время проектирования в рамках пересмотренного проекта.</w:t>
      </w:r>
    </w:p>
    <w:p w14:paraId="682645AD" w14:textId="77777777" w:rsidR="00DF251A" w:rsidRPr="00521670" w:rsidRDefault="00DF251A" w:rsidP="002F5F1A">
      <w:pPr>
        <w:pStyle w:val="Headingi"/>
        <w:rPr>
          <w:lang w:val="ru-RU" w:bidi="ru-RU"/>
        </w:rPr>
      </w:pPr>
      <w:bookmarkStart w:id="402" w:name="_Toc200469197"/>
      <w:r w:rsidRPr="00521670">
        <w:rPr>
          <w:lang w:val="ru-RU" w:bidi="ru-RU"/>
        </w:rPr>
        <w:t>Прочие расходы</w:t>
      </w:r>
      <w:bookmarkEnd w:id="402"/>
    </w:p>
    <w:p w14:paraId="1F4BE494" w14:textId="54B87131" w:rsidR="00DF251A" w:rsidRPr="00521670" w:rsidRDefault="00DF251A" w:rsidP="001974BC">
      <w:pPr>
        <w:spacing w:after="120"/>
        <w:rPr>
          <w:lang w:val="ru-RU" w:bidi="ru-RU"/>
        </w:rPr>
      </w:pPr>
      <w:r w:rsidRPr="00521670">
        <w:rPr>
          <w:lang w:val="ru-RU"/>
        </w:rPr>
        <w:t>Это увеличение связано в основном с увеличением объемов займов персонала ПРООН и других учреждений</w:t>
      </w:r>
      <w:r w:rsidRPr="00521670">
        <w:rPr>
          <w:lang w:val="ru-RU" w:bidi="ru-RU"/>
        </w:rPr>
        <w:t xml:space="preserve"> </w:t>
      </w:r>
    </w:p>
    <w:tbl>
      <w:tblPr>
        <w:tblW w:w="5000" w:type="pct"/>
        <w:jc w:val="center"/>
        <w:tblLayout w:type="fixed"/>
        <w:tblLook w:val="04A0" w:firstRow="1" w:lastRow="0" w:firstColumn="1" w:lastColumn="0" w:noHBand="0" w:noVBand="1"/>
      </w:tblPr>
      <w:tblGrid>
        <w:gridCol w:w="5177"/>
        <w:gridCol w:w="1947"/>
        <w:gridCol w:w="1947"/>
      </w:tblGrid>
      <w:tr w:rsidR="00DF251A" w:rsidRPr="00521670" w14:paraId="7317E8DA" w14:textId="77777777" w:rsidTr="00835292">
        <w:trPr>
          <w:jc w:val="center"/>
        </w:trPr>
        <w:tc>
          <w:tcPr>
            <w:tcW w:w="2854" w:type="pct"/>
            <w:tcBorders>
              <w:top w:val="nil"/>
              <w:left w:val="nil"/>
              <w:bottom w:val="nil"/>
              <w:right w:val="nil"/>
            </w:tcBorders>
            <w:shd w:val="clear" w:color="000000" w:fill="0070C0"/>
            <w:noWrap/>
            <w:vAlign w:val="center"/>
            <w:hideMark/>
          </w:tcPr>
          <w:p w14:paraId="3D8CB65E" w14:textId="77777777" w:rsidR="00DF251A" w:rsidRPr="00521670" w:rsidRDefault="00DF251A" w:rsidP="00835292">
            <w:pPr>
              <w:pStyle w:val="Tablehead"/>
              <w:rPr>
                <w:lang w:val="ru-RU"/>
              </w:rPr>
            </w:pPr>
            <w:r w:rsidRPr="00521670">
              <w:rPr>
                <w:szCs w:val="18"/>
                <w:lang w:val="ru-RU" w:eastAsia="en-GB"/>
              </w:rPr>
              <w:t>Описание (тыс. шв. фр.)</w:t>
            </w:r>
          </w:p>
        </w:tc>
        <w:tc>
          <w:tcPr>
            <w:tcW w:w="1073" w:type="pct"/>
            <w:tcBorders>
              <w:top w:val="nil"/>
              <w:left w:val="nil"/>
              <w:bottom w:val="nil"/>
              <w:right w:val="nil"/>
            </w:tcBorders>
            <w:shd w:val="clear" w:color="000000" w:fill="0070C0"/>
            <w:vAlign w:val="center"/>
            <w:hideMark/>
          </w:tcPr>
          <w:p w14:paraId="5A3CFB41" w14:textId="77777777" w:rsidR="00DF251A" w:rsidRPr="00521670" w:rsidRDefault="00DF251A" w:rsidP="00602C19">
            <w:pPr>
              <w:pStyle w:val="Tablehead"/>
              <w:jc w:val="right"/>
              <w:rPr>
                <w:lang w:val="ru-RU"/>
              </w:rPr>
            </w:pPr>
            <w:r w:rsidRPr="00521670">
              <w:rPr>
                <w:lang w:val="ru-RU" w:eastAsia="en-GB"/>
              </w:rPr>
              <w:t>2024 г.</w:t>
            </w:r>
          </w:p>
        </w:tc>
        <w:tc>
          <w:tcPr>
            <w:tcW w:w="1073" w:type="pct"/>
            <w:tcBorders>
              <w:top w:val="nil"/>
              <w:left w:val="nil"/>
              <w:bottom w:val="nil"/>
              <w:right w:val="nil"/>
            </w:tcBorders>
            <w:shd w:val="clear" w:color="000000" w:fill="0070C0"/>
            <w:vAlign w:val="center"/>
            <w:hideMark/>
          </w:tcPr>
          <w:p w14:paraId="707FD4E9" w14:textId="77777777" w:rsidR="00DF251A" w:rsidRPr="00521670" w:rsidRDefault="00DF251A" w:rsidP="00602C19">
            <w:pPr>
              <w:pStyle w:val="Tablehead"/>
              <w:jc w:val="right"/>
              <w:rPr>
                <w:lang w:val="ru-RU"/>
              </w:rPr>
            </w:pPr>
            <w:r w:rsidRPr="00521670">
              <w:rPr>
                <w:lang w:val="ru-RU"/>
              </w:rPr>
              <w:t>2023 г.</w:t>
            </w:r>
          </w:p>
        </w:tc>
      </w:tr>
      <w:tr w:rsidR="00DF251A" w:rsidRPr="00521670" w14:paraId="36E9E94E" w14:textId="77777777" w:rsidTr="00835292">
        <w:trPr>
          <w:jc w:val="center"/>
        </w:trPr>
        <w:tc>
          <w:tcPr>
            <w:tcW w:w="2854" w:type="pct"/>
            <w:tcBorders>
              <w:top w:val="nil"/>
              <w:left w:val="nil"/>
              <w:bottom w:val="nil"/>
              <w:right w:val="nil"/>
            </w:tcBorders>
            <w:shd w:val="clear" w:color="000000" w:fill="auto"/>
            <w:noWrap/>
            <w:hideMark/>
          </w:tcPr>
          <w:p w14:paraId="774CD6EC" w14:textId="77777777" w:rsidR="00DF251A" w:rsidRPr="00521670" w:rsidRDefault="00DF251A" w:rsidP="00835292">
            <w:pPr>
              <w:pStyle w:val="Tabletext"/>
              <w:keepNext/>
              <w:keepLines/>
              <w:rPr>
                <w:b/>
                <w:bCs/>
                <w:lang w:val="ru-RU"/>
              </w:rPr>
            </w:pPr>
            <w:r w:rsidRPr="00521670">
              <w:rPr>
                <w:b/>
                <w:bCs/>
                <w:lang w:val="ru-RU"/>
              </w:rPr>
              <w:t>Затраты, не связанные с персоналом</w:t>
            </w:r>
          </w:p>
        </w:tc>
        <w:tc>
          <w:tcPr>
            <w:tcW w:w="1073" w:type="pct"/>
            <w:tcBorders>
              <w:top w:val="nil"/>
              <w:left w:val="nil"/>
              <w:bottom w:val="nil"/>
              <w:right w:val="nil"/>
            </w:tcBorders>
            <w:shd w:val="clear" w:color="000000" w:fill="auto"/>
            <w:noWrap/>
            <w:vAlign w:val="bottom"/>
          </w:tcPr>
          <w:p w14:paraId="59DE12F2" w14:textId="77777777" w:rsidR="00DF251A" w:rsidRPr="00521670" w:rsidRDefault="00DF251A" w:rsidP="00835292">
            <w:pPr>
              <w:pStyle w:val="Tabletext"/>
              <w:keepNext/>
              <w:keepLines/>
              <w:rPr>
                <w:b/>
                <w:bCs/>
                <w:lang w:val="ru-RU"/>
              </w:rPr>
            </w:pPr>
          </w:p>
        </w:tc>
        <w:tc>
          <w:tcPr>
            <w:tcW w:w="1073" w:type="pct"/>
            <w:tcBorders>
              <w:top w:val="nil"/>
              <w:left w:val="nil"/>
              <w:bottom w:val="nil"/>
              <w:right w:val="nil"/>
            </w:tcBorders>
            <w:shd w:val="clear" w:color="000000" w:fill="auto"/>
            <w:noWrap/>
            <w:vAlign w:val="bottom"/>
          </w:tcPr>
          <w:p w14:paraId="3789A774" w14:textId="77777777" w:rsidR="00DF251A" w:rsidRPr="00521670" w:rsidRDefault="00DF251A" w:rsidP="00835292">
            <w:pPr>
              <w:pStyle w:val="Tabletext"/>
              <w:keepNext/>
              <w:keepLines/>
              <w:rPr>
                <w:b/>
                <w:bCs/>
                <w:lang w:val="ru-RU"/>
              </w:rPr>
            </w:pPr>
          </w:p>
        </w:tc>
      </w:tr>
      <w:tr w:rsidR="00DF251A" w:rsidRPr="00521670" w14:paraId="4392F30E" w14:textId="77777777" w:rsidTr="00835292">
        <w:trPr>
          <w:jc w:val="center"/>
        </w:trPr>
        <w:tc>
          <w:tcPr>
            <w:tcW w:w="2854" w:type="pct"/>
            <w:tcBorders>
              <w:top w:val="nil"/>
              <w:left w:val="nil"/>
              <w:bottom w:val="nil"/>
              <w:right w:val="nil"/>
            </w:tcBorders>
            <w:shd w:val="clear" w:color="000000" w:fill="auto"/>
            <w:noWrap/>
            <w:vAlign w:val="bottom"/>
            <w:hideMark/>
          </w:tcPr>
          <w:p w14:paraId="46A818D9" w14:textId="77777777" w:rsidR="00DF251A" w:rsidRPr="00521670" w:rsidRDefault="00DF251A" w:rsidP="001974BC">
            <w:pPr>
              <w:pStyle w:val="Tabletext"/>
              <w:keepNext/>
              <w:keepLines/>
              <w:rPr>
                <w:lang w:val="ru-RU"/>
              </w:rPr>
            </w:pPr>
            <w:r w:rsidRPr="00521670">
              <w:rPr>
                <w:lang w:val="ru-RU"/>
              </w:rPr>
              <w:t>−</w:t>
            </w:r>
            <w:r w:rsidRPr="00521670">
              <w:rPr>
                <w:lang w:val="ru-RU"/>
              </w:rPr>
              <w:tab/>
              <w:t>Расходы по служебным командировкам</w:t>
            </w:r>
          </w:p>
        </w:tc>
        <w:tc>
          <w:tcPr>
            <w:tcW w:w="1073" w:type="pct"/>
            <w:tcBorders>
              <w:top w:val="nil"/>
              <w:left w:val="nil"/>
              <w:bottom w:val="nil"/>
              <w:right w:val="nil"/>
            </w:tcBorders>
            <w:shd w:val="clear" w:color="000000" w:fill="auto"/>
            <w:noWrap/>
          </w:tcPr>
          <w:p w14:paraId="39CE098F" w14:textId="77777777" w:rsidR="00DF251A" w:rsidRPr="00521670" w:rsidRDefault="00DF251A" w:rsidP="001974BC">
            <w:pPr>
              <w:pStyle w:val="Tabletext"/>
              <w:keepNext/>
              <w:keepLines/>
              <w:jc w:val="right"/>
              <w:rPr>
                <w:lang w:val="ru-RU"/>
              </w:rPr>
            </w:pPr>
            <w:r w:rsidRPr="00521670">
              <w:rPr>
                <w:lang w:val="ru-RU"/>
              </w:rPr>
              <w:t>8 177</w:t>
            </w:r>
          </w:p>
        </w:tc>
        <w:tc>
          <w:tcPr>
            <w:tcW w:w="1073" w:type="pct"/>
            <w:tcBorders>
              <w:top w:val="nil"/>
              <w:left w:val="nil"/>
              <w:bottom w:val="nil"/>
              <w:right w:val="nil"/>
            </w:tcBorders>
            <w:shd w:val="clear" w:color="000000" w:fill="auto"/>
            <w:noWrap/>
          </w:tcPr>
          <w:p w14:paraId="30518CCA" w14:textId="77777777" w:rsidR="00DF251A" w:rsidRPr="00521670" w:rsidRDefault="00DF251A" w:rsidP="001974BC">
            <w:pPr>
              <w:pStyle w:val="Tabletext"/>
              <w:keepNext/>
              <w:keepLines/>
              <w:jc w:val="right"/>
              <w:rPr>
                <w:lang w:val="ru-RU"/>
              </w:rPr>
            </w:pPr>
            <w:r w:rsidRPr="00521670">
              <w:rPr>
                <w:lang w:val="ru-RU"/>
              </w:rPr>
              <w:t>7 788</w:t>
            </w:r>
          </w:p>
        </w:tc>
      </w:tr>
      <w:tr w:rsidR="00DF251A" w:rsidRPr="00521670" w14:paraId="778BA403" w14:textId="77777777" w:rsidTr="00835292">
        <w:trPr>
          <w:jc w:val="center"/>
        </w:trPr>
        <w:tc>
          <w:tcPr>
            <w:tcW w:w="2854" w:type="pct"/>
            <w:tcBorders>
              <w:top w:val="nil"/>
              <w:left w:val="nil"/>
              <w:bottom w:val="nil"/>
              <w:right w:val="nil"/>
            </w:tcBorders>
            <w:shd w:val="clear" w:color="000000" w:fill="auto"/>
            <w:noWrap/>
            <w:vAlign w:val="bottom"/>
            <w:hideMark/>
          </w:tcPr>
          <w:p w14:paraId="77833979" w14:textId="77777777" w:rsidR="00DF251A" w:rsidRPr="00521670" w:rsidRDefault="00DF251A" w:rsidP="001974BC">
            <w:pPr>
              <w:pStyle w:val="Tabletext"/>
              <w:keepNext/>
              <w:keepLines/>
              <w:rPr>
                <w:lang w:val="ru-RU"/>
              </w:rPr>
            </w:pPr>
            <w:r w:rsidRPr="00521670">
              <w:rPr>
                <w:lang w:val="ru-RU"/>
              </w:rPr>
              <w:t>−</w:t>
            </w:r>
            <w:r w:rsidRPr="00521670">
              <w:rPr>
                <w:lang w:val="ru-RU"/>
              </w:rPr>
              <w:tab/>
              <w:t>Контрактные услуги</w:t>
            </w:r>
          </w:p>
        </w:tc>
        <w:tc>
          <w:tcPr>
            <w:tcW w:w="1073" w:type="pct"/>
            <w:tcBorders>
              <w:top w:val="nil"/>
              <w:left w:val="nil"/>
              <w:bottom w:val="nil"/>
              <w:right w:val="nil"/>
            </w:tcBorders>
            <w:shd w:val="clear" w:color="000000" w:fill="auto"/>
            <w:noWrap/>
          </w:tcPr>
          <w:p w14:paraId="0040CB8D" w14:textId="77777777" w:rsidR="00DF251A" w:rsidRPr="00521670" w:rsidRDefault="00DF251A" w:rsidP="001974BC">
            <w:pPr>
              <w:pStyle w:val="Tabletext"/>
              <w:keepNext/>
              <w:keepLines/>
              <w:jc w:val="right"/>
              <w:rPr>
                <w:lang w:val="ru-RU"/>
              </w:rPr>
            </w:pPr>
            <w:r w:rsidRPr="00521670">
              <w:rPr>
                <w:lang w:val="ru-RU"/>
              </w:rPr>
              <w:t>20 637</w:t>
            </w:r>
          </w:p>
        </w:tc>
        <w:tc>
          <w:tcPr>
            <w:tcW w:w="1073" w:type="pct"/>
            <w:tcBorders>
              <w:top w:val="nil"/>
              <w:left w:val="nil"/>
              <w:bottom w:val="nil"/>
              <w:right w:val="nil"/>
            </w:tcBorders>
            <w:shd w:val="clear" w:color="000000" w:fill="auto"/>
            <w:noWrap/>
          </w:tcPr>
          <w:p w14:paraId="50CD859C" w14:textId="77777777" w:rsidR="00DF251A" w:rsidRPr="00521670" w:rsidRDefault="00DF251A" w:rsidP="001974BC">
            <w:pPr>
              <w:pStyle w:val="Tabletext"/>
              <w:keepNext/>
              <w:keepLines/>
              <w:jc w:val="right"/>
              <w:rPr>
                <w:lang w:val="ru-RU"/>
              </w:rPr>
            </w:pPr>
            <w:r w:rsidRPr="00521670">
              <w:rPr>
                <w:lang w:val="ru-RU"/>
              </w:rPr>
              <w:t>21 821</w:t>
            </w:r>
          </w:p>
        </w:tc>
      </w:tr>
      <w:tr w:rsidR="00DF251A" w:rsidRPr="00521670" w14:paraId="37389422" w14:textId="77777777" w:rsidTr="00835292">
        <w:trPr>
          <w:jc w:val="center"/>
        </w:trPr>
        <w:tc>
          <w:tcPr>
            <w:tcW w:w="2854" w:type="pct"/>
            <w:tcBorders>
              <w:top w:val="nil"/>
              <w:left w:val="nil"/>
              <w:bottom w:val="nil"/>
              <w:right w:val="nil"/>
            </w:tcBorders>
            <w:shd w:val="clear" w:color="000000" w:fill="auto"/>
            <w:noWrap/>
            <w:vAlign w:val="bottom"/>
            <w:hideMark/>
          </w:tcPr>
          <w:p w14:paraId="431FF65C" w14:textId="77777777" w:rsidR="00DF251A" w:rsidRPr="00521670" w:rsidRDefault="00DF251A" w:rsidP="001974BC">
            <w:pPr>
              <w:pStyle w:val="Tabletext"/>
              <w:keepNext/>
              <w:keepLines/>
              <w:rPr>
                <w:lang w:val="ru-RU"/>
              </w:rPr>
            </w:pPr>
            <w:r w:rsidRPr="00521670">
              <w:rPr>
                <w:lang w:val="ru-RU"/>
              </w:rPr>
              <w:t>−</w:t>
            </w:r>
            <w:r w:rsidRPr="00521670">
              <w:rPr>
                <w:lang w:val="ru-RU"/>
              </w:rPr>
              <w:tab/>
              <w:t>Аренда и эксплуатация помещений и оборудования</w:t>
            </w:r>
          </w:p>
        </w:tc>
        <w:tc>
          <w:tcPr>
            <w:tcW w:w="1073" w:type="pct"/>
            <w:tcBorders>
              <w:top w:val="nil"/>
              <w:left w:val="nil"/>
              <w:bottom w:val="nil"/>
              <w:right w:val="nil"/>
            </w:tcBorders>
            <w:shd w:val="clear" w:color="000000" w:fill="auto"/>
            <w:noWrap/>
          </w:tcPr>
          <w:p w14:paraId="3C3AF739" w14:textId="77777777" w:rsidR="00DF251A" w:rsidRPr="00521670" w:rsidRDefault="00DF251A" w:rsidP="001974BC">
            <w:pPr>
              <w:pStyle w:val="Tabletext"/>
              <w:keepNext/>
              <w:keepLines/>
              <w:jc w:val="right"/>
              <w:rPr>
                <w:lang w:val="ru-RU"/>
              </w:rPr>
            </w:pPr>
            <w:r w:rsidRPr="00521670">
              <w:rPr>
                <w:lang w:val="ru-RU"/>
              </w:rPr>
              <w:t>4 002</w:t>
            </w:r>
          </w:p>
        </w:tc>
        <w:tc>
          <w:tcPr>
            <w:tcW w:w="1073" w:type="pct"/>
            <w:tcBorders>
              <w:top w:val="nil"/>
              <w:left w:val="nil"/>
              <w:bottom w:val="nil"/>
              <w:right w:val="nil"/>
            </w:tcBorders>
            <w:shd w:val="clear" w:color="000000" w:fill="auto"/>
            <w:noWrap/>
          </w:tcPr>
          <w:p w14:paraId="3D2B0A58" w14:textId="77777777" w:rsidR="00DF251A" w:rsidRPr="00521670" w:rsidRDefault="00DF251A" w:rsidP="001974BC">
            <w:pPr>
              <w:pStyle w:val="Tabletext"/>
              <w:keepNext/>
              <w:keepLines/>
              <w:jc w:val="right"/>
              <w:rPr>
                <w:lang w:val="ru-RU"/>
              </w:rPr>
            </w:pPr>
            <w:r w:rsidRPr="00521670">
              <w:rPr>
                <w:lang w:val="ru-RU"/>
              </w:rPr>
              <w:t>3 537</w:t>
            </w:r>
          </w:p>
        </w:tc>
      </w:tr>
      <w:tr w:rsidR="00DF251A" w:rsidRPr="00521670" w14:paraId="1D8F0318" w14:textId="77777777" w:rsidTr="00835292">
        <w:trPr>
          <w:jc w:val="center"/>
        </w:trPr>
        <w:tc>
          <w:tcPr>
            <w:tcW w:w="2854" w:type="pct"/>
            <w:tcBorders>
              <w:top w:val="nil"/>
              <w:left w:val="nil"/>
              <w:bottom w:val="nil"/>
              <w:right w:val="nil"/>
            </w:tcBorders>
            <w:shd w:val="clear" w:color="000000" w:fill="auto"/>
            <w:noWrap/>
            <w:vAlign w:val="bottom"/>
            <w:hideMark/>
          </w:tcPr>
          <w:p w14:paraId="10979EBE" w14:textId="77777777" w:rsidR="00DF251A" w:rsidRPr="00521670" w:rsidRDefault="00DF251A" w:rsidP="001974BC">
            <w:pPr>
              <w:pStyle w:val="Tabletext"/>
              <w:keepNext/>
              <w:keepLines/>
              <w:rPr>
                <w:lang w:val="ru-RU"/>
              </w:rPr>
            </w:pPr>
            <w:r w:rsidRPr="00521670">
              <w:rPr>
                <w:lang w:val="ru-RU"/>
              </w:rPr>
              <w:t>−</w:t>
            </w:r>
            <w:r w:rsidRPr="00521670">
              <w:rPr>
                <w:lang w:val="ru-RU"/>
              </w:rPr>
              <w:tab/>
              <w:t>Оборудование и предметы снабжения</w:t>
            </w:r>
          </w:p>
        </w:tc>
        <w:tc>
          <w:tcPr>
            <w:tcW w:w="1073" w:type="pct"/>
            <w:tcBorders>
              <w:top w:val="nil"/>
              <w:left w:val="nil"/>
              <w:bottom w:val="nil"/>
              <w:right w:val="nil"/>
            </w:tcBorders>
            <w:shd w:val="clear" w:color="000000" w:fill="auto"/>
            <w:noWrap/>
          </w:tcPr>
          <w:p w14:paraId="23B18FF4" w14:textId="77777777" w:rsidR="00DF251A" w:rsidRPr="00521670" w:rsidRDefault="00DF251A" w:rsidP="001974BC">
            <w:pPr>
              <w:pStyle w:val="Tabletext"/>
              <w:keepNext/>
              <w:keepLines/>
              <w:jc w:val="right"/>
              <w:rPr>
                <w:lang w:val="ru-RU"/>
              </w:rPr>
            </w:pPr>
            <w:r w:rsidRPr="00521670">
              <w:rPr>
                <w:lang w:val="ru-RU"/>
              </w:rPr>
              <w:t>3 177</w:t>
            </w:r>
          </w:p>
        </w:tc>
        <w:tc>
          <w:tcPr>
            <w:tcW w:w="1073" w:type="pct"/>
            <w:tcBorders>
              <w:top w:val="nil"/>
              <w:left w:val="nil"/>
              <w:bottom w:val="nil"/>
              <w:right w:val="nil"/>
            </w:tcBorders>
            <w:shd w:val="clear" w:color="000000" w:fill="auto"/>
            <w:noWrap/>
          </w:tcPr>
          <w:p w14:paraId="6DEC4E91" w14:textId="77777777" w:rsidR="00DF251A" w:rsidRPr="00521670" w:rsidRDefault="00DF251A" w:rsidP="001974BC">
            <w:pPr>
              <w:pStyle w:val="Tabletext"/>
              <w:keepNext/>
              <w:keepLines/>
              <w:jc w:val="right"/>
              <w:rPr>
                <w:lang w:val="ru-RU"/>
              </w:rPr>
            </w:pPr>
            <w:r w:rsidRPr="00521670">
              <w:rPr>
                <w:lang w:val="ru-RU"/>
              </w:rPr>
              <w:t>3 150</w:t>
            </w:r>
          </w:p>
        </w:tc>
      </w:tr>
      <w:tr w:rsidR="00DF251A" w:rsidRPr="00521670" w14:paraId="363D21B3" w14:textId="77777777" w:rsidTr="00835292">
        <w:trPr>
          <w:jc w:val="center"/>
        </w:trPr>
        <w:tc>
          <w:tcPr>
            <w:tcW w:w="2854" w:type="pct"/>
            <w:tcBorders>
              <w:top w:val="nil"/>
              <w:left w:val="nil"/>
              <w:bottom w:val="nil"/>
              <w:right w:val="nil"/>
            </w:tcBorders>
            <w:shd w:val="clear" w:color="000000" w:fill="auto"/>
            <w:noWrap/>
            <w:vAlign w:val="bottom"/>
            <w:hideMark/>
          </w:tcPr>
          <w:p w14:paraId="12767149" w14:textId="77777777" w:rsidR="00DF251A" w:rsidRPr="00521670" w:rsidRDefault="00DF251A" w:rsidP="00E93A7E">
            <w:pPr>
              <w:pStyle w:val="Tabletext"/>
              <w:keepNext/>
              <w:keepLines/>
              <w:rPr>
                <w:lang w:val="ru-RU"/>
              </w:rPr>
            </w:pPr>
            <w:r w:rsidRPr="00521670">
              <w:rPr>
                <w:lang w:val="ru-RU"/>
              </w:rPr>
              <w:t>−</w:t>
            </w:r>
            <w:r w:rsidRPr="00521670">
              <w:rPr>
                <w:lang w:val="ru-RU"/>
              </w:rPr>
              <w:tab/>
              <w:t>Потери в связи с амортизацией и обесценением</w:t>
            </w:r>
          </w:p>
        </w:tc>
        <w:tc>
          <w:tcPr>
            <w:tcW w:w="1073" w:type="pct"/>
            <w:tcBorders>
              <w:top w:val="nil"/>
              <w:left w:val="nil"/>
              <w:bottom w:val="nil"/>
              <w:right w:val="nil"/>
            </w:tcBorders>
            <w:shd w:val="clear" w:color="000000" w:fill="auto"/>
            <w:noWrap/>
          </w:tcPr>
          <w:p w14:paraId="64E4AE85" w14:textId="77777777" w:rsidR="00DF251A" w:rsidRPr="00521670" w:rsidRDefault="00DF251A" w:rsidP="001974BC">
            <w:pPr>
              <w:pStyle w:val="Tabletext"/>
              <w:keepNext/>
              <w:keepLines/>
              <w:jc w:val="right"/>
              <w:rPr>
                <w:lang w:val="ru-RU"/>
              </w:rPr>
            </w:pPr>
            <w:r w:rsidRPr="00521670">
              <w:rPr>
                <w:lang w:val="ru-RU"/>
              </w:rPr>
              <w:t>26 295</w:t>
            </w:r>
          </w:p>
        </w:tc>
        <w:tc>
          <w:tcPr>
            <w:tcW w:w="1073" w:type="pct"/>
            <w:tcBorders>
              <w:top w:val="nil"/>
              <w:left w:val="nil"/>
              <w:bottom w:val="nil"/>
              <w:right w:val="nil"/>
            </w:tcBorders>
            <w:shd w:val="clear" w:color="000000" w:fill="auto"/>
            <w:noWrap/>
          </w:tcPr>
          <w:p w14:paraId="34081C94" w14:textId="77777777" w:rsidR="00DF251A" w:rsidRPr="00521670" w:rsidRDefault="00DF251A" w:rsidP="001974BC">
            <w:pPr>
              <w:pStyle w:val="Tabletext"/>
              <w:keepNext/>
              <w:keepLines/>
              <w:jc w:val="right"/>
              <w:rPr>
                <w:lang w:val="ru-RU"/>
              </w:rPr>
            </w:pPr>
            <w:r w:rsidRPr="00521670">
              <w:rPr>
                <w:lang w:val="ru-RU"/>
              </w:rPr>
              <w:t>5 660</w:t>
            </w:r>
          </w:p>
        </w:tc>
      </w:tr>
      <w:tr w:rsidR="00DF251A" w:rsidRPr="00521670" w14:paraId="20C5BC0E" w14:textId="77777777" w:rsidTr="00835292">
        <w:trPr>
          <w:jc w:val="center"/>
        </w:trPr>
        <w:tc>
          <w:tcPr>
            <w:tcW w:w="2854" w:type="pct"/>
            <w:tcBorders>
              <w:top w:val="nil"/>
              <w:left w:val="nil"/>
              <w:bottom w:val="nil"/>
              <w:right w:val="nil"/>
            </w:tcBorders>
            <w:shd w:val="clear" w:color="000000" w:fill="auto"/>
            <w:noWrap/>
            <w:vAlign w:val="bottom"/>
            <w:hideMark/>
          </w:tcPr>
          <w:p w14:paraId="624291E3" w14:textId="77777777" w:rsidR="00DF251A" w:rsidRPr="00521670" w:rsidRDefault="00DF251A" w:rsidP="001974BC">
            <w:pPr>
              <w:pStyle w:val="Tabletext"/>
              <w:keepNext/>
              <w:keepLines/>
              <w:rPr>
                <w:lang w:val="ru-RU"/>
              </w:rPr>
            </w:pPr>
            <w:r w:rsidRPr="00521670">
              <w:rPr>
                <w:lang w:val="ru-RU"/>
              </w:rPr>
              <w:t>−</w:t>
            </w:r>
            <w:r w:rsidRPr="00521670">
              <w:rPr>
                <w:lang w:val="ru-RU"/>
              </w:rPr>
              <w:tab/>
              <w:t>Расходы по перевозке, электросвязи и услугам</w:t>
            </w:r>
          </w:p>
        </w:tc>
        <w:tc>
          <w:tcPr>
            <w:tcW w:w="1073" w:type="pct"/>
            <w:tcBorders>
              <w:top w:val="nil"/>
              <w:left w:val="nil"/>
              <w:bottom w:val="nil"/>
              <w:right w:val="nil"/>
            </w:tcBorders>
            <w:shd w:val="clear" w:color="auto" w:fill="auto"/>
            <w:noWrap/>
          </w:tcPr>
          <w:p w14:paraId="2EE3A4B5" w14:textId="77777777" w:rsidR="00DF251A" w:rsidRPr="00521670" w:rsidRDefault="00DF251A" w:rsidP="001974BC">
            <w:pPr>
              <w:pStyle w:val="Tabletext"/>
              <w:keepNext/>
              <w:keepLines/>
              <w:jc w:val="right"/>
              <w:rPr>
                <w:lang w:val="ru-RU"/>
              </w:rPr>
            </w:pPr>
            <w:r w:rsidRPr="00521670">
              <w:rPr>
                <w:lang w:val="ru-RU"/>
              </w:rPr>
              <w:t>2 125</w:t>
            </w:r>
          </w:p>
        </w:tc>
        <w:tc>
          <w:tcPr>
            <w:tcW w:w="1073" w:type="pct"/>
            <w:tcBorders>
              <w:top w:val="nil"/>
              <w:left w:val="nil"/>
              <w:bottom w:val="nil"/>
              <w:right w:val="nil"/>
            </w:tcBorders>
            <w:shd w:val="clear" w:color="000000" w:fill="auto"/>
            <w:noWrap/>
          </w:tcPr>
          <w:p w14:paraId="6E32752A" w14:textId="77777777" w:rsidR="00DF251A" w:rsidRPr="00521670" w:rsidRDefault="00DF251A" w:rsidP="001974BC">
            <w:pPr>
              <w:pStyle w:val="Tabletext"/>
              <w:keepNext/>
              <w:keepLines/>
              <w:jc w:val="right"/>
              <w:rPr>
                <w:lang w:val="ru-RU"/>
              </w:rPr>
            </w:pPr>
            <w:r w:rsidRPr="00521670">
              <w:rPr>
                <w:lang w:val="ru-RU"/>
              </w:rPr>
              <w:t>2 673</w:t>
            </w:r>
          </w:p>
        </w:tc>
      </w:tr>
      <w:tr w:rsidR="00DF251A" w:rsidRPr="00521670" w14:paraId="253B773A" w14:textId="77777777" w:rsidTr="00835292">
        <w:trPr>
          <w:jc w:val="center"/>
        </w:trPr>
        <w:tc>
          <w:tcPr>
            <w:tcW w:w="2854" w:type="pct"/>
            <w:tcBorders>
              <w:top w:val="nil"/>
              <w:left w:val="nil"/>
              <w:bottom w:val="nil"/>
              <w:right w:val="nil"/>
            </w:tcBorders>
            <w:shd w:val="clear" w:color="000000" w:fill="auto"/>
            <w:noWrap/>
            <w:vAlign w:val="bottom"/>
          </w:tcPr>
          <w:p w14:paraId="5CCC18DC" w14:textId="77777777" w:rsidR="00DF251A" w:rsidRPr="00521670" w:rsidRDefault="00DF251A" w:rsidP="001974BC">
            <w:pPr>
              <w:pStyle w:val="Tabletext"/>
              <w:keepNext/>
              <w:keepLines/>
              <w:rPr>
                <w:lang w:val="ru-RU"/>
              </w:rPr>
            </w:pPr>
            <w:r w:rsidRPr="00521670">
              <w:rPr>
                <w:lang w:val="ru-RU"/>
              </w:rPr>
              <w:t>−</w:t>
            </w:r>
            <w:r w:rsidRPr="00521670">
              <w:rPr>
                <w:lang w:val="ru-RU"/>
              </w:rPr>
              <w:tab/>
              <w:t>Движение под обесценение/резервный фонд</w:t>
            </w:r>
          </w:p>
        </w:tc>
        <w:tc>
          <w:tcPr>
            <w:tcW w:w="1073" w:type="pct"/>
            <w:tcBorders>
              <w:top w:val="nil"/>
              <w:left w:val="nil"/>
              <w:bottom w:val="nil"/>
              <w:right w:val="nil"/>
            </w:tcBorders>
            <w:shd w:val="clear" w:color="auto" w:fill="auto"/>
            <w:noWrap/>
          </w:tcPr>
          <w:p w14:paraId="1CE29D78" w14:textId="77777777" w:rsidR="00DF251A" w:rsidRPr="00521670" w:rsidRDefault="00DF251A" w:rsidP="001974BC">
            <w:pPr>
              <w:pStyle w:val="Tabletext"/>
              <w:keepNext/>
              <w:keepLines/>
              <w:jc w:val="right"/>
              <w:rPr>
                <w:lang w:val="ru-RU"/>
              </w:rPr>
            </w:pPr>
            <w:r w:rsidRPr="00521670">
              <w:rPr>
                <w:lang w:val="ru-RU"/>
              </w:rPr>
              <w:t>11 401</w:t>
            </w:r>
          </w:p>
        </w:tc>
        <w:tc>
          <w:tcPr>
            <w:tcW w:w="1073" w:type="pct"/>
            <w:tcBorders>
              <w:top w:val="nil"/>
              <w:left w:val="nil"/>
              <w:bottom w:val="nil"/>
              <w:right w:val="nil"/>
            </w:tcBorders>
            <w:shd w:val="clear" w:color="000000" w:fill="auto"/>
            <w:noWrap/>
          </w:tcPr>
          <w:p w14:paraId="3CBFCD80" w14:textId="77777777" w:rsidR="00DF251A" w:rsidRPr="00521670" w:rsidRDefault="00DF251A" w:rsidP="001974BC">
            <w:pPr>
              <w:pStyle w:val="Tabletext"/>
              <w:keepNext/>
              <w:keepLines/>
              <w:jc w:val="right"/>
              <w:rPr>
                <w:lang w:val="ru-RU"/>
              </w:rPr>
            </w:pPr>
            <w:r w:rsidRPr="00521670">
              <w:rPr>
                <w:lang w:val="ru-RU"/>
              </w:rPr>
              <w:t>4</w:t>
            </w:r>
          </w:p>
        </w:tc>
      </w:tr>
      <w:tr w:rsidR="00DF251A" w:rsidRPr="00521670" w14:paraId="768714A6" w14:textId="77777777" w:rsidTr="00835292">
        <w:trPr>
          <w:jc w:val="center"/>
        </w:trPr>
        <w:tc>
          <w:tcPr>
            <w:tcW w:w="2854" w:type="pct"/>
            <w:tcBorders>
              <w:top w:val="nil"/>
              <w:left w:val="nil"/>
              <w:bottom w:val="nil"/>
              <w:right w:val="nil"/>
            </w:tcBorders>
            <w:shd w:val="clear" w:color="000000" w:fill="auto"/>
            <w:noWrap/>
            <w:vAlign w:val="bottom"/>
            <w:hideMark/>
          </w:tcPr>
          <w:p w14:paraId="7559A9BC" w14:textId="77777777" w:rsidR="00DF251A" w:rsidRPr="00521670" w:rsidRDefault="00DF251A" w:rsidP="001974BC">
            <w:pPr>
              <w:pStyle w:val="Tabletext"/>
              <w:keepNext/>
              <w:keepLines/>
              <w:rPr>
                <w:lang w:val="ru-RU"/>
              </w:rPr>
            </w:pPr>
            <w:r w:rsidRPr="00521670">
              <w:rPr>
                <w:lang w:val="ru-RU"/>
              </w:rPr>
              <w:t>−</w:t>
            </w:r>
            <w:r w:rsidRPr="00521670">
              <w:rPr>
                <w:lang w:val="ru-RU"/>
              </w:rPr>
              <w:tab/>
              <w:t>Прочие расходы</w:t>
            </w:r>
          </w:p>
        </w:tc>
        <w:tc>
          <w:tcPr>
            <w:tcW w:w="1073" w:type="pct"/>
            <w:tcBorders>
              <w:top w:val="nil"/>
              <w:left w:val="nil"/>
              <w:bottom w:val="nil"/>
              <w:right w:val="nil"/>
            </w:tcBorders>
            <w:shd w:val="clear" w:color="auto" w:fill="auto"/>
            <w:noWrap/>
          </w:tcPr>
          <w:p w14:paraId="0BD17DF2" w14:textId="77777777" w:rsidR="00DF251A" w:rsidRPr="00521670" w:rsidRDefault="00DF251A" w:rsidP="001974BC">
            <w:pPr>
              <w:pStyle w:val="Tabletext"/>
              <w:keepNext/>
              <w:keepLines/>
              <w:jc w:val="right"/>
              <w:rPr>
                <w:lang w:val="ru-RU"/>
              </w:rPr>
            </w:pPr>
            <w:r w:rsidRPr="00521670">
              <w:rPr>
                <w:lang w:val="ru-RU"/>
              </w:rPr>
              <w:t>3 653</w:t>
            </w:r>
          </w:p>
        </w:tc>
        <w:tc>
          <w:tcPr>
            <w:tcW w:w="1073" w:type="pct"/>
            <w:tcBorders>
              <w:top w:val="nil"/>
              <w:left w:val="nil"/>
              <w:bottom w:val="nil"/>
              <w:right w:val="nil"/>
            </w:tcBorders>
            <w:shd w:val="clear" w:color="000000" w:fill="auto"/>
            <w:noWrap/>
          </w:tcPr>
          <w:p w14:paraId="7ED96F12" w14:textId="77777777" w:rsidR="00DF251A" w:rsidRPr="00521670" w:rsidRDefault="00DF251A" w:rsidP="001974BC">
            <w:pPr>
              <w:pStyle w:val="Tabletext"/>
              <w:keepNext/>
              <w:keepLines/>
              <w:jc w:val="right"/>
              <w:rPr>
                <w:lang w:val="ru-RU"/>
              </w:rPr>
            </w:pPr>
            <w:r w:rsidRPr="00521670">
              <w:rPr>
                <w:lang w:val="ru-RU"/>
              </w:rPr>
              <w:t>1 804</w:t>
            </w:r>
          </w:p>
        </w:tc>
      </w:tr>
      <w:tr w:rsidR="00DF251A" w:rsidRPr="00521670" w14:paraId="3A85E58B" w14:textId="77777777" w:rsidTr="00835292">
        <w:trPr>
          <w:jc w:val="center"/>
        </w:trPr>
        <w:tc>
          <w:tcPr>
            <w:tcW w:w="2854" w:type="pct"/>
            <w:tcBorders>
              <w:top w:val="nil"/>
              <w:left w:val="nil"/>
              <w:bottom w:val="nil"/>
              <w:right w:val="nil"/>
            </w:tcBorders>
            <w:shd w:val="clear" w:color="000000" w:fill="0070C0"/>
            <w:noWrap/>
            <w:vAlign w:val="center"/>
            <w:hideMark/>
          </w:tcPr>
          <w:p w14:paraId="3730221C" w14:textId="77777777" w:rsidR="00DF251A" w:rsidRPr="00521670" w:rsidRDefault="00DF251A" w:rsidP="001974BC">
            <w:pPr>
              <w:pStyle w:val="Tabletext"/>
              <w:rPr>
                <w:b/>
                <w:bCs/>
                <w:lang w:val="ru-RU"/>
              </w:rPr>
            </w:pPr>
            <w:r w:rsidRPr="00521670">
              <w:rPr>
                <w:b/>
                <w:bCs/>
                <w:lang w:val="ru-RU"/>
              </w:rPr>
              <w:t>Всего: затраты, не связанные с персоналом</w:t>
            </w:r>
          </w:p>
        </w:tc>
        <w:tc>
          <w:tcPr>
            <w:tcW w:w="1073" w:type="pct"/>
            <w:tcBorders>
              <w:top w:val="nil"/>
              <w:left w:val="nil"/>
              <w:bottom w:val="nil"/>
              <w:right w:val="nil"/>
            </w:tcBorders>
            <w:shd w:val="clear" w:color="000000" w:fill="0070C0"/>
            <w:noWrap/>
          </w:tcPr>
          <w:p w14:paraId="4C99651C" w14:textId="77777777" w:rsidR="00DF251A" w:rsidRPr="00521670" w:rsidRDefault="00DF251A" w:rsidP="001974BC">
            <w:pPr>
              <w:pStyle w:val="Tabletext"/>
              <w:jc w:val="right"/>
              <w:rPr>
                <w:b/>
                <w:bCs/>
                <w:lang w:val="ru-RU"/>
              </w:rPr>
            </w:pPr>
            <w:r w:rsidRPr="00521670">
              <w:rPr>
                <w:b/>
                <w:bCs/>
                <w:lang w:val="ru-RU"/>
              </w:rPr>
              <w:t>79 467</w:t>
            </w:r>
          </w:p>
        </w:tc>
        <w:tc>
          <w:tcPr>
            <w:tcW w:w="1073" w:type="pct"/>
            <w:tcBorders>
              <w:top w:val="nil"/>
              <w:left w:val="nil"/>
              <w:bottom w:val="nil"/>
              <w:right w:val="nil"/>
            </w:tcBorders>
            <w:shd w:val="clear" w:color="000000" w:fill="0070C0"/>
            <w:noWrap/>
          </w:tcPr>
          <w:p w14:paraId="33C8D451" w14:textId="77777777" w:rsidR="00DF251A" w:rsidRPr="00521670" w:rsidRDefault="00DF251A" w:rsidP="001974BC">
            <w:pPr>
              <w:pStyle w:val="Tabletext"/>
              <w:jc w:val="right"/>
              <w:rPr>
                <w:b/>
                <w:bCs/>
                <w:lang w:val="ru-RU"/>
              </w:rPr>
            </w:pPr>
            <w:r w:rsidRPr="00521670">
              <w:rPr>
                <w:b/>
                <w:bCs/>
                <w:lang w:val="ru-RU"/>
              </w:rPr>
              <w:t>46 437</w:t>
            </w:r>
          </w:p>
        </w:tc>
      </w:tr>
    </w:tbl>
    <w:p w14:paraId="3DC3CF3A" w14:textId="77777777" w:rsidR="00DF251A" w:rsidRPr="00521670" w:rsidRDefault="00DF251A" w:rsidP="00016765">
      <w:pPr>
        <w:spacing w:after="120"/>
        <w:rPr>
          <w:lang w:val="ru-RU" w:bidi="ru-RU"/>
        </w:rPr>
        <w:sectPr w:rsidR="00DF251A" w:rsidRPr="00521670" w:rsidSect="00DF251A">
          <w:headerReference w:type="default" r:id="rId31"/>
          <w:footerReference w:type="default" r:id="rId32"/>
          <w:headerReference w:type="first" r:id="rId33"/>
          <w:footerReference w:type="first" r:id="rId34"/>
          <w:pgSz w:w="11907" w:h="16834"/>
          <w:pgMar w:top="1418" w:right="1418" w:bottom="1418" w:left="1418" w:header="720" w:footer="720" w:gutter="0"/>
          <w:paperSrc w:first="286" w:other="286"/>
          <w:cols w:space="720"/>
          <w:titlePg/>
          <w:docGrid w:linePitch="299"/>
        </w:sectPr>
      </w:pPr>
    </w:p>
    <w:p w14:paraId="1BF1B3B9" w14:textId="77777777" w:rsidR="00DF251A" w:rsidRPr="00521670" w:rsidRDefault="00DF251A" w:rsidP="00F14E41">
      <w:pPr>
        <w:pStyle w:val="Heading5"/>
        <w:spacing w:before="0" w:after="120"/>
        <w:rPr>
          <w:b/>
          <w:bCs/>
          <w:color w:val="4F81BD" w:themeColor="accent1"/>
          <w:lang w:val="ru-RU"/>
        </w:rPr>
      </w:pPr>
      <w:bookmarkStart w:id="403" w:name="_Toc305764117"/>
      <w:bookmarkStart w:id="404" w:name="_Toc329011659"/>
      <w:bookmarkStart w:id="405" w:name="_Toc237032957"/>
      <w:bookmarkStart w:id="406" w:name="_Toc164845572"/>
      <w:bookmarkStart w:id="407" w:name="_Toc168578486"/>
      <w:bookmarkStart w:id="408" w:name="_Toc180681831"/>
      <w:bookmarkStart w:id="409" w:name="_Toc200469544"/>
      <w:r w:rsidRPr="00521670">
        <w:rPr>
          <w:b/>
          <w:bCs/>
          <w:color w:val="4F81BD" w:themeColor="accent1"/>
          <w:lang w:val="ru-RU"/>
        </w:rPr>
        <w:lastRenderedPageBreak/>
        <w:t>Примечание 20</w:t>
      </w:r>
      <w:r w:rsidRPr="00521670">
        <w:rPr>
          <w:b/>
          <w:bCs/>
          <w:color w:val="4F81BD" w:themeColor="accent1"/>
          <w:lang w:val="ru-RU"/>
        </w:rPr>
        <w:tab/>
        <w:t>Информация по сегментам – Отчет о результатах финансовой деятельности за 2024 год</w:t>
      </w:r>
      <w:bookmarkEnd w:id="403"/>
      <w:bookmarkEnd w:id="404"/>
      <w:bookmarkEnd w:id="405"/>
      <w:bookmarkEnd w:id="406"/>
      <w:bookmarkEnd w:id="407"/>
      <w:bookmarkEnd w:id="408"/>
      <w:bookmarkEnd w:id="409"/>
    </w:p>
    <w:tbl>
      <w:tblPr>
        <w:tblW w:w="5000" w:type="pct"/>
        <w:tblCellMar>
          <w:left w:w="85" w:type="dxa"/>
          <w:right w:w="85" w:type="dxa"/>
        </w:tblCellMar>
        <w:tblLook w:val="04A0" w:firstRow="1" w:lastRow="0" w:firstColumn="1" w:lastColumn="0" w:noHBand="0" w:noVBand="1"/>
      </w:tblPr>
      <w:tblGrid>
        <w:gridCol w:w="5004"/>
        <w:gridCol w:w="1306"/>
        <w:gridCol w:w="844"/>
        <w:gridCol w:w="844"/>
        <w:gridCol w:w="849"/>
        <w:gridCol w:w="1194"/>
        <w:gridCol w:w="807"/>
        <w:gridCol w:w="1124"/>
        <w:gridCol w:w="1076"/>
        <w:gridCol w:w="950"/>
      </w:tblGrid>
      <w:tr w:rsidR="00DF251A" w:rsidRPr="00521670" w14:paraId="66068E08" w14:textId="77777777" w:rsidTr="00602C19">
        <w:tc>
          <w:tcPr>
            <w:tcW w:w="1476" w:type="pct"/>
            <w:tcBorders>
              <w:top w:val="nil"/>
              <w:left w:val="nil"/>
              <w:bottom w:val="nil"/>
              <w:right w:val="nil"/>
            </w:tcBorders>
            <w:shd w:val="clear" w:color="000000" w:fill="0070C0"/>
            <w:noWrap/>
            <w:vAlign w:val="center"/>
            <w:hideMark/>
          </w:tcPr>
          <w:p w14:paraId="228876E8" w14:textId="77777777" w:rsidR="00DF251A" w:rsidRPr="00521670" w:rsidRDefault="00DF251A" w:rsidP="00835292">
            <w:pPr>
              <w:pStyle w:val="Tablehead"/>
              <w:ind w:left="-57" w:right="-57"/>
              <w:rPr>
                <w:lang w:val="ru-RU" w:eastAsia="en-GB"/>
              </w:rPr>
            </w:pPr>
            <w:r w:rsidRPr="00521670">
              <w:rPr>
                <w:szCs w:val="18"/>
                <w:lang w:val="ru-RU" w:eastAsia="en-GB"/>
              </w:rPr>
              <w:t>Описание (тыс. шв. фр.)</w:t>
            </w:r>
          </w:p>
        </w:tc>
        <w:tc>
          <w:tcPr>
            <w:tcW w:w="501" w:type="pct"/>
            <w:tcBorders>
              <w:top w:val="nil"/>
              <w:left w:val="nil"/>
              <w:bottom w:val="nil"/>
              <w:right w:val="nil"/>
            </w:tcBorders>
            <w:shd w:val="clear" w:color="000000" w:fill="0070C0"/>
            <w:vAlign w:val="center"/>
            <w:hideMark/>
          </w:tcPr>
          <w:p w14:paraId="68466CAF" w14:textId="77777777" w:rsidR="00DF251A" w:rsidRPr="00521670" w:rsidRDefault="00DF251A" w:rsidP="00835292">
            <w:pPr>
              <w:pStyle w:val="Tablehead"/>
              <w:ind w:left="-57" w:right="-57"/>
              <w:rPr>
                <w:lang w:val="ru-RU" w:eastAsia="en-GB"/>
              </w:rPr>
            </w:pPr>
            <w:r w:rsidRPr="00521670">
              <w:rPr>
                <w:lang w:val="ru-RU" w:eastAsia="en-GB"/>
              </w:rPr>
              <w:t>Генеральный секретариат</w:t>
            </w:r>
          </w:p>
        </w:tc>
        <w:tc>
          <w:tcPr>
            <w:tcW w:w="336" w:type="pct"/>
            <w:tcBorders>
              <w:top w:val="nil"/>
              <w:left w:val="nil"/>
              <w:bottom w:val="nil"/>
              <w:right w:val="nil"/>
            </w:tcBorders>
            <w:shd w:val="clear" w:color="000000" w:fill="0070C0"/>
            <w:vAlign w:val="center"/>
            <w:hideMark/>
          </w:tcPr>
          <w:p w14:paraId="70C45D92" w14:textId="77777777" w:rsidR="00DF251A" w:rsidRPr="00521670" w:rsidRDefault="00DF251A" w:rsidP="00835292">
            <w:pPr>
              <w:pStyle w:val="Tablehead"/>
              <w:ind w:left="-57" w:right="-57"/>
              <w:rPr>
                <w:lang w:val="ru-RU" w:eastAsia="en-GB"/>
              </w:rPr>
            </w:pPr>
            <w:r w:rsidRPr="00521670">
              <w:rPr>
                <w:lang w:val="ru-RU" w:eastAsia="en-GB"/>
              </w:rPr>
              <w:t>МСЭ-R</w:t>
            </w:r>
          </w:p>
        </w:tc>
        <w:tc>
          <w:tcPr>
            <w:tcW w:w="336" w:type="pct"/>
            <w:tcBorders>
              <w:top w:val="nil"/>
              <w:left w:val="nil"/>
              <w:bottom w:val="nil"/>
              <w:right w:val="nil"/>
            </w:tcBorders>
            <w:shd w:val="clear" w:color="000000" w:fill="0070C0"/>
            <w:vAlign w:val="center"/>
            <w:hideMark/>
          </w:tcPr>
          <w:p w14:paraId="3846AEBD" w14:textId="77777777" w:rsidR="00DF251A" w:rsidRPr="00521670" w:rsidRDefault="00DF251A" w:rsidP="00835292">
            <w:pPr>
              <w:pStyle w:val="Tablehead"/>
              <w:ind w:left="-57" w:right="-57"/>
              <w:rPr>
                <w:lang w:val="ru-RU" w:eastAsia="en-GB"/>
              </w:rPr>
            </w:pPr>
            <w:r w:rsidRPr="00521670">
              <w:rPr>
                <w:lang w:val="ru-RU" w:eastAsia="en-GB"/>
              </w:rPr>
              <w:t>МСЭ-T</w:t>
            </w:r>
          </w:p>
        </w:tc>
        <w:tc>
          <w:tcPr>
            <w:tcW w:w="338" w:type="pct"/>
            <w:tcBorders>
              <w:top w:val="nil"/>
              <w:left w:val="nil"/>
              <w:bottom w:val="nil"/>
              <w:right w:val="nil"/>
            </w:tcBorders>
            <w:shd w:val="clear" w:color="000000" w:fill="0070C0"/>
            <w:vAlign w:val="center"/>
            <w:hideMark/>
          </w:tcPr>
          <w:p w14:paraId="0AAA5684" w14:textId="77777777" w:rsidR="00DF251A" w:rsidRPr="00521670" w:rsidRDefault="00DF251A" w:rsidP="00835292">
            <w:pPr>
              <w:pStyle w:val="Tablehead"/>
              <w:ind w:left="-57" w:right="-57"/>
              <w:rPr>
                <w:lang w:val="ru-RU" w:eastAsia="en-GB"/>
              </w:rPr>
            </w:pPr>
            <w:r w:rsidRPr="00521670">
              <w:rPr>
                <w:lang w:val="ru-RU" w:eastAsia="en-GB"/>
              </w:rPr>
              <w:t>МСЭ-D</w:t>
            </w:r>
          </w:p>
        </w:tc>
        <w:tc>
          <w:tcPr>
            <w:tcW w:w="461" w:type="pct"/>
            <w:tcBorders>
              <w:top w:val="nil"/>
              <w:left w:val="nil"/>
              <w:bottom w:val="nil"/>
              <w:right w:val="nil"/>
            </w:tcBorders>
            <w:shd w:val="clear" w:color="000000" w:fill="0070C0"/>
            <w:vAlign w:val="center"/>
            <w:hideMark/>
          </w:tcPr>
          <w:p w14:paraId="43C5AEDD" w14:textId="77777777" w:rsidR="00DF251A" w:rsidRPr="00521670" w:rsidRDefault="00DF251A" w:rsidP="00835292">
            <w:pPr>
              <w:pStyle w:val="Tablehead"/>
              <w:ind w:left="-57" w:right="-57"/>
              <w:rPr>
                <w:lang w:val="ru-RU" w:eastAsia="en-GB"/>
              </w:rPr>
            </w:pPr>
            <w:r w:rsidRPr="00521670">
              <w:rPr>
                <w:lang w:val="ru-RU" w:eastAsia="en-GB"/>
              </w:rPr>
              <w:t>Общий объем средств регулярного бюджета</w:t>
            </w:r>
          </w:p>
        </w:tc>
        <w:tc>
          <w:tcPr>
            <w:tcW w:w="323" w:type="pct"/>
            <w:tcBorders>
              <w:top w:val="nil"/>
              <w:left w:val="nil"/>
              <w:bottom w:val="nil"/>
              <w:right w:val="nil"/>
            </w:tcBorders>
            <w:shd w:val="clear" w:color="000000" w:fill="0070C0"/>
            <w:vAlign w:val="center"/>
            <w:hideMark/>
          </w:tcPr>
          <w:p w14:paraId="11D234DF" w14:textId="77777777" w:rsidR="00DF251A" w:rsidRPr="00521670" w:rsidRDefault="00DF251A" w:rsidP="00835292">
            <w:pPr>
              <w:pStyle w:val="Tablehead"/>
              <w:ind w:left="-57" w:right="-57"/>
              <w:rPr>
                <w:lang w:val="ru-RU" w:eastAsia="en-GB"/>
              </w:rPr>
            </w:pPr>
            <w:r w:rsidRPr="00521670">
              <w:rPr>
                <w:lang w:val="ru-RU" w:eastAsia="en-GB"/>
              </w:rPr>
              <w:t>Фонды SS&amp;B</w:t>
            </w:r>
          </w:p>
        </w:tc>
        <w:tc>
          <w:tcPr>
            <w:tcW w:w="436" w:type="pct"/>
            <w:tcBorders>
              <w:top w:val="nil"/>
              <w:left w:val="nil"/>
              <w:bottom w:val="nil"/>
              <w:right w:val="nil"/>
            </w:tcBorders>
            <w:shd w:val="clear" w:color="000000" w:fill="0070C0"/>
            <w:vAlign w:val="center"/>
            <w:hideMark/>
          </w:tcPr>
          <w:p w14:paraId="484307A8" w14:textId="77777777" w:rsidR="00DF251A" w:rsidRPr="00521670" w:rsidRDefault="00DF251A" w:rsidP="00835292">
            <w:pPr>
              <w:pStyle w:val="Tablehead"/>
              <w:ind w:left="-57" w:right="-57"/>
              <w:rPr>
                <w:lang w:val="ru-RU" w:eastAsia="en-GB"/>
              </w:rPr>
            </w:pPr>
            <w:r w:rsidRPr="00521670">
              <w:rPr>
                <w:lang w:val="ru-RU" w:eastAsia="en-GB"/>
              </w:rPr>
              <w:t>Общий объем внебюджет-ных средств</w:t>
            </w:r>
          </w:p>
        </w:tc>
        <w:tc>
          <w:tcPr>
            <w:tcW w:w="416" w:type="pct"/>
            <w:tcBorders>
              <w:top w:val="nil"/>
              <w:left w:val="nil"/>
              <w:bottom w:val="nil"/>
              <w:right w:val="nil"/>
            </w:tcBorders>
            <w:shd w:val="clear" w:color="000000" w:fill="0070C0"/>
            <w:vAlign w:val="center"/>
            <w:hideMark/>
          </w:tcPr>
          <w:p w14:paraId="4E899E28" w14:textId="77777777" w:rsidR="00DF251A" w:rsidRPr="00521670" w:rsidRDefault="00DF251A" w:rsidP="00835292">
            <w:pPr>
              <w:pStyle w:val="Tablehead"/>
              <w:ind w:left="-57" w:right="-57"/>
              <w:rPr>
                <w:lang w:val="ru-RU" w:eastAsia="en-GB"/>
              </w:rPr>
            </w:pPr>
            <w:r w:rsidRPr="00521670">
              <w:rPr>
                <w:lang w:val="ru-RU" w:eastAsia="en-GB"/>
              </w:rPr>
              <w:t>Межсег-ментное исключение</w:t>
            </w:r>
          </w:p>
        </w:tc>
        <w:tc>
          <w:tcPr>
            <w:tcW w:w="377" w:type="pct"/>
            <w:tcBorders>
              <w:top w:val="nil"/>
              <w:left w:val="nil"/>
              <w:bottom w:val="nil"/>
              <w:right w:val="nil"/>
            </w:tcBorders>
            <w:shd w:val="clear" w:color="000000" w:fill="0070C0"/>
            <w:vAlign w:val="center"/>
            <w:hideMark/>
          </w:tcPr>
          <w:p w14:paraId="1085547A" w14:textId="77777777" w:rsidR="00DF251A" w:rsidRPr="00521670" w:rsidRDefault="00DF251A" w:rsidP="00835292">
            <w:pPr>
              <w:pStyle w:val="Tablehead"/>
              <w:ind w:left="-57" w:right="-57"/>
              <w:rPr>
                <w:lang w:val="ru-RU" w:eastAsia="en-GB"/>
              </w:rPr>
            </w:pPr>
            <w:r w:rsidRPr="00521670">
              <w:rPr>
                <w:lang w:val="ru-RU" w:eastAsia="en-GB"/>
              </w:rPr>
              <w:t>Всего</w:t>
            </w:r>
          </w:p>
        </w:tc>
      </w:tr>
      <w:tr w:rsidR="00DF251A" w:rsidRPr="00521670" w14:paraId="6A8D2DB2" w14:textId="77777777" w:rsidTr="00602C19">
        <w:tc>
          <w:tcPr>
            <w:tcW w:w="1476" w:type="pct"/>
            <w:tcBorders>
              <w:top w:val="nil"/>
              <w:left w:val="nil"/>
              <w:bottom w:val="nil"/>
              <w:right w:val="nil"/>
            </w:tcBorders>
            <w:shd w:val="clear" w:color="auto" w:fill="auto"/>
            <w:noWrap/>
            <w:hideMark/>
          </w:tcPr>
          <w:p w14:paraId="2483AE36" w14:textId="77777777" w:rsidR="00DF251A" w:rsidRPr="00521670" w:rsidRDefault="00DF251A" w:rsidP="00602C19">
            <w:pPr>
              <w:pStyle w:val="Tabletext"/>
              <w:spacing w:before="20" w:after="20"/>
              <w:rPr>
                <w:b/>
                <w:bCs/>
                <w:lang w:val="ru-RU" w:eastAsia="en-GB"/>
              </w:rPr>
            </w:pPr>
            <w:r w:rsidRPr="00521670">
              <w:rPr>
                <w:b/>
                <w:bCs/>
                <w:lang w:val="ru-RU" w:eastAsia="en-GB"/>
              </w:rPr>
              <w:t>ДОХОДЫ</w:t>
            </w:r>
          </w:p>
        </w:tc>
        <w:tc>
          <w:tcPr>
            <w:tcW w:w="501" w:type="pct"/>
            <w:tcBorders>
              <w:top w:val="nil"/>
              <w:left w:val="nil"/>
              <w:bottom w:val="nil"/>
              <w:right w:val="nil"/>
            </w:tcBorders>
            <w:shd w:val="clear" w:color="auto" w:fill="auto"/>
            <w:noWrap/>
            <w:vAlign w:val="bottom"/>
            <w:hideMark/>
          </w:tcPr>
          <w:p w14:paraId="6ABF1745"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hideMark/>
          </w:tcPr>
          <w:p w14:paraId="3FECA11C"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hideMark/>
          </w:tcPr>
          <w:p w14:paraId="73ED905A" w14:textId="77777777" w:rsidR="00DF251A" w:rsidRPr="00521670" w:rsidRDefault="00DF251A" w:rsidP="00602C19">
            <w:pPr>
              <w:pStyle w:val="Tabletext"/>
              <w:spacing w:before="20" w:after="20"/>
              <w:jc w:val="right"/>
              <w:rPr>
                <w:rFonts w:ascii="Times New Roman" w:hAnsi="Times New Roman"/>
                <w:lang w:val="ru-RU" w:eastAsia="en-GB"/>
              </w:rPr>
            </w:pPr>
          </w:p>
        </w:tc>
        <w:tc>
          <w:tcPr>
            <w:tcW w:w="338" w:type="pct"/>
            <w:tcBorders>
              <w:top w:val="nil"/>
              <w:left w:val="nil"/>
              <w:bottom w:val="nil"/>
              <w:right w:val="nil"/>
            </w:tcBorders>
            <w:shd w:val="clear" w:color="auto" w:fill="auto"/>
            <w:noWrap/>
            <w:vAlign w:val="bottom"/>
            <w:hideMark/>
          </w:tcPr>
          <w:p w14:paraId="7BC7BD16" w14:textId="77777777" w:rsidR="00DF251A" w:rsidRPr="00521670" w:rsidRDefault="00DF251A" w:rsidP="00602C19">
            <w:pPr>
              <w:pStyle w:val="Tabletext"/>
              <w:spacing w:before="20" w:after="20"/>
              <w:jc w:val="right"/>
              <w:rPr>
                <w:rFonts w:ascii="Times New Roman" w:hAnsi="Times New Roman"/>
                <w:lang w:val="ru-RU" w:eastAsia="en-GB"/>
              </w:rPr>
            </w:pPr>
          </w:p>
        </w:tc>
        <w:tc>
          <w:tcPr>
            <w:tcW w:w="461" w:type="pct"/>
            <w:tcBorders>
              <w:top w:val="nil"/>
              <w:left w:val="nil"/>
              <w:bottom w:val="nil"/>
              <w:right w:val="nil"/>
            </w:tcBorders>
            <w:shd w:val="clear" w:color="auto" w:fill="auto"/>
            <w:noWrap/>
            <w:vAlign w:val="bottom"/>
            <w:hideMark/>
          </w:tcPr>
          <w:p w14:paraId="38ADE084" w14:textId="77777777" w:rsidR="00DF251A" w:rsidRPr="00521670" w:rsidRDefault="00DF251A" w:rsidP="00602C19">
            <w:pPr>
              <w:pStyle w:val="Tabletext"/>
              <w:spacing w:before="20" w:after="20"/>
              <w:jc w:val="right"/>
              <w:rPr>
                <w:rFonts w:ascii="Times New Roman" w:hAnsi="Times New Roman"/>
                <w:lang w:val="ru-RU" w:eastAsia="en-GB"/>
              </w:rPr>
            </w:pPr>
          </w:p>
        </w:tc>
        <w:tc>
          <w:tcPr>
            <w:tcW w:w="323" w:type="pct"/>
            <w:tcBorders>
              <w:top w:val="nil"/>
              <w:left w:val="nil"/>
              <w:bottom w:val="nil"/>
              <w:right w:val="nil"/>
            </w:tcBorders>
            <w:shd w:val="clear" w:color="auto" w:fill="auto"/>
            <w:noWrap/>
            <w:vAlign w:val="bottom"/>
            <w:hideMark/>
          </w:tcPr>
          <w:p w14:paraId="018AF49C" w14:textId="77777777" w:rsidR="00DF251A" w:rsidRPr="00521670" w:rsidRDefault="00DF251A" w:rsidP="00602C19">
            <w:pPr>
              <w:pStyle w:val="Tabletext"/>
              <w:spacing w:before="20" w:after="20"/>
              <w:jc w:val="right"/>
              <w:rPr>
                <w:rFonts w:ascii="Times New Roman" w:hAnsi="Times New Roman"/>
                <w:lang w:val="ru-RU" w:eastAsia="en-GB"/>
              </w:rPr>
            </w:pPr>
          </w:p>
        </w:tc>
        <w:tc>
          <w:tcPr>
            <w:tcW w:w="436" w:type="pct"/>
            <w:tcBorders>
              <w:top w:val="nil"/>
              <w:left w:val="nil"/>
              <w:bottom w:val="nil"/>
              <w:right w:val="nil"/>
            </w:tcBorders>
            <w:shd w:val="clear" w:color="auto" w:fill="auto"/>
            <w:noWrap/>
            <w:vAlign w:val="bottom"/>
            <w:hideMark/>
          </w:tcPr>
          <w:p w14:paraId="4AD6B12E" w14:textId="77777777" w:rsidR="00DF251A" w:rsidRPr="00521670" w:rsidRDefault="00DF251A" w:rsidP="00602C19">
            <w:pPr>
              <w:pStyle w:val="Tabletext"/>
              <w:spacing w:before="20" w:after="20"/>
              <w:jc w:val="right"/>
              <w:rPr>
                <w:rFonts w:ascii="Times New Roman" w:hAnsi="Times New Roman"/>
                <w:lang w:val="ru-RU" w:eastAsia="en-GB"/>
              </w:rPr>
            </w:pPr>
          </w:p>
        </w:tc>
        <w:tc>
          <w:tcPr>
            <w:tcW w:w="416" w:type="pct"/>
            <w:tcBorders>
              <w:top w:val="nil"/>
              <w:left w:val="nil"/>
              <w:bottom w:val="nil"/>
              <w:right w:val="nil"/>
            </w:tcBorders>
            <w:shd w:val="clear" w:color="auto" w:fill="auto"/>
            <w:noWrap/>
            <w:vAlign w:val="bottom"/>
            <w:hideMark/>
          </w:tcPr>
          <w:p w14:paraId="29580782" w14:textId="77777777" w:rsidR="00DF251A" w:rsidRPr="00521670" w:rsidRDefault="00DF251A" w:rsidP="00602C19">
            <w:pPr>
              <w:pStyle w:val="Tabletext"/>
              <w:spacing w:before="20" w:after="20"/>
              <w:jc w:val="right"/>
              <w:rPr>
                <w:rFonts w:ascii="Times New Roman" w:hAnsi="Times New Roman"/>
                <w:lang w:val="ru-RU" w:eastAsia="en-GB"/>
              </w:rPr>
            </w:pPr>
          </w:p>
        </w:tc>
        <w:tc>
          <w:tcPr>
            <w:tcW w:w="377" w:type="pct"/>
            <w:tcBorders>
              <w:top w:val="nil"/>
              <w:left w:val="nil"/>
              <w:bottom w:val="nil"/>
              <w:right w:val="nil"/>
            </w:tcBorders>
            <w:shd w:val="clear" w:color="auto" w:fill="auto"/>
            <w:noWrap/>
            <w:vAlign w:val="bottom"/>
            <w:hideMark/>
          </w:tcPr>
          <w:p w14:paraId="3124C458" w14:textId="77777777" w:rsidR="00DF251A" w:rsidRPr="00521670" w:rsidRDefault="00DF251A" w:rsidP="00602C19">
            <w:pPr>
              <w:pStyle w:val="Tabletext"/>
              <w:spacing w:before="20" w:after="20"/>
              <w:jc w:val="right"/>
              <w:rPr>
                <w:rFonts w:ascii="Times New Roman" w:hAnsi="Times New Roman"/>
                <w:lang w:val="ru-RU" w:eastAsia="en-GB"/>
              </w:rPr>
            </w:pPr>
          </w:p>
        </w:tc>
      </w:tr>
      <w:tr w:rsidR="00DF251A" w:rsidRPr="00521670" w14:paraId="10B8D2CC" w14:textId="77777777" w:rsidTr="00602C19">
        <w:tc>
          <w:tcPr>
            <w:tcW w:w="1476" w:type="pct"/>
            <w:tcBorders>
              <w:top w:val="nil"/>
              <w:left w:val="nil"/>
              <w:bottom w:val="nil"/>
              <w:right w:val="nil"/>
            </w:tcBorders>
            <w:shd w:val="clear" w:color="auto" w:fill="auto"/>
            <w:noWrap/>
            <w:hideMark/>
          </w:tcPr>
          <w:p w14:paraId="451EFBAD" w14:textId="77777777" w:rsidR="00DF251A" w:rsidRPr="00521670" w:rsidRDefault="00DF251A" w:rsidP="00602C19">
            <w:pPr>
              <w:pStyle w:val="Tabletext"/>
              <w:spacing w:before="20" w:after="20"/>
              <w:rPr>
                <w:lang w:val="ru-RU" w:eastAsia="en-GB"/>
              </w:rPr>
            </w:pPr>
            <w:r w:rsidRPr="00521670">
              <w:rPr>
                <w:lang w:val="ru-RU"/>
              </w:rPr>
              <w:t>Начисленные взносы</w:t>
            </w:r>
          </w:p>
        </w:tc>
        <w:tc>
          <w:tcPr>
            <w:tcW w:w="501" w:type="pct"/>
            <w:tcBorders>
              <w:top w:val="nil"/>
              <w:left w:val="nil"/>
              <w:bottom w:val="nil"/>
              <w:right w:val="nil"/>
            </w:tcBorders>
            <w:shd w:val="clear" w:color="auto" w:fill="auto"/>
            <w:noWrap/>
            <w:vAlign w:val="bottom"/>
          </w:tcPr>
          <w:p w14:paraId="50A9F8E8" w14:textId="77777777" w:rsidR="00DF251A" w:rsidRPr="00521670" w:rsidRDefault="00DF251A" w:rsidP="00602C19">
            <w:pPr>
              <w:pStyle w:val="Tabletext"/>
              <w:spacing w:before="20" w:after="20"/>
              <w:jc w:val="right"/>
              <w:rPr>
                <w:lang w:val="ru-RU" w:eastAsia="en-GB"/>
              </w:rPr>
            </w:pPr>
            <w:r w:rsidRPr="00521670">
              <w:rPr>
                <w:lang w:val="ru-RU"/>
              </w:rPr>
              <w:t>61 901</w:t>
            </w:r>
          </w:p>
        </w:tc>
        <w:tc>
          <w:tcPr>
            <w:tcW w:w="336" w:type="pct"/>
            <w:tcBorders>
              <w:top w:val="nil"/>
              <w:left w:val="nil"/>
              <w:bottom w:val="nil"/>
              <w:right w:val="nil"/>
            </w:tcBorders>
            <w:shd w:val="clear" w:color="auto" w:fill="auto"/>
            <w:noWrap/>
            <w:vAlign w:val="bottom"/>
          </w:tcPr>
          <w:p w14:paraId="23BECD0D" w14:textId="77777777" w:rsidR="00DF251A" w:rsidRPr="00521670" w:rsidRDefault="00DF251A" w:rsidP="00602C19">
            <w:pPr>
              <w:pStyle w:val="Tabletext"/>
              <w:spacing w:before="20" w:after="20"/>
              <w:jc w:val="right"/>
              <w:rPr>
                <w:lang w:val="ru-RU" w:eastAsia="en-GB"/>
              </w:rPr>
            </w:pPr>
            <w:r w:rsidRPr="00521670">
              <w:rPr>
                <w:lang w:val="ru-RU"/>
              </w:rPr>
              <w:t>27 853</w:t>
            </w:r>
          </w:p>
        </w:tc>
        <w:tc>
          <w:tcPr>
            <w:tcW w:w="336" w:type="pct"/>
            <w:tcBorders>
              <w:top w:val="nil"/>
              <w:left w:val="nil"/>
              <w:bottom w:val="nil"/>
              <w:right w:val="nil"/>
            </w:tcBorders>
            <w:shd w:val="clear" w:color="auto" w:fill="auto"/>
            <w:noWrap/>
            <w:vAlign w:val="bottom"/>
          </w:tcPr>
          <w:p w14:paraId="69CD2D5C" w14:textId="77777777" w:rsidR="00DF251A" w:rsidRPr="00521670" w:rsidRDefault="00DF251A" w:rsidP="00602C19">
            <w:pPr>
              <w:pStyle w:val="Tabletext"/>
              <w:spacing w:before="20" w:after="20"/>
              <w:jc w:val="right"/>
              <w:rPr>
                <w:lang w:val="ru-RU" w:eastAsia="en-GB"/>
              </w:rPr>
            </w:pPr>
            <w:r w:rsidRPr="00521670">
              <w:rPr>
                <w:lang w:val="ru-RU"/>
              </w:rPr>
              <w:t>19 231</w:t>
            </w:r>
          </w:p>
        </w:tc>
        <w:tc>
          <w:tcPr>
            <w:tcW w:w="338" w:type="pct"/>
            <w:tcBorders>
              <w:top w:val="nil"/>
              <w:left w:val="nil"/>
              <w:bottom w:val="nil"/>
              <w:right w:val="nil"/>
            </w:tcBorders>
            <w:shd w:val="clear" w:color="auto" w:fill="auto"/>
            <w:noWrap/>
            <w:vAlign w:val="bottom"/>
          </w:tcPr>
          <w:p w14:paraId="7F5200C1" w14:textId="77777777" w:rsidR="00DF251A" w:rsidRPr="00521670" w:rsidRDefault="00DF251A" w:rsidP="00602C19">
            <w:pPr>
              <w:pStyle w:val="Tabletext"/>
              <w:spacing w:before="20" w:after="20"/>
              <w:jc w:val="right"/>
              <w:rPr>
                <w:lang w:val="ru-RU" w:eastAsia="en-GB"/>
              </w:rPr>
            </w:pPr>
            <w:r w:rsidRPr="00521670">
              <w:rPr>
                <w:lang w:val="ru-RU"/>
              </w:rPr>
              <w:t>21 932</w:t>
            </w:r>
          </w:p>
        </w:tc>
        <w:tc>
          <w:tcPr>
            <w:tcW w:w="461" w:type="pct"/>
            <w:tcBorders>
              <w:top w:val="nil"/>
              <w:left w:val="nil"/>
              <w:bottom w:val="nil"/>
              <w:right w:val="nil"/>
            </w:tcBorders>
            <w:shd w:val="clear" w:color="auto" w:fill="auto"/>
            <w:noWrap/>
            <w:vAlign w:val="bottom"/>
          </w:tcPr>
          <w:p w14:paraId="07F3E042" w14:textId="77777777" w:rsidR="00DF251A" w:rsidRPr="00521670" w:rsidRDefault="00DF251A" w:rsidP="00602C19">
            <w:pPr>
              <w:pStyle w:val="Tabletext"/>
              <w:spacing w:before="20" w:after="20"/>
              <w:jc w:val="right"/>
              <w:rPr>
                <w:b/>
                <w:bCs/>
                <w:lang w:val="ru-RU" w:eastAsia="en-GB"/>
              </w:rPr>
            </w:pPr>
            <w:r w:rsidRPr="00521670">
              <w:rPr>
                <w:b/>
                <w:bCs/>
                <w:lang w:val="ru-RU"/>
              </w:rPr>
              <w:t>130 917</w:t>
            </w:r>
          </w:p>
        </w:tc>
        <w:tc>
          <w:tcPr>
            <w:tcW w:w="323" w:type="pct"/>
            <w:tcBorders>
              <w:top w:val="nil"/>
              <w:left w:val="nil"/>
              <w:bottom w:val="nil"/>
              <w:right w:val="nil"/>
            </w:tcBorders>
            <w:shd w:val="clear" w:color="auto" w:fill="auto"/>
            <w:noWrap/>
            <w:vAlign w:val="bottom"/>
          </w:tcPr>
          <w:p w14:paraId="31EEE612"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34FD0CD1"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16" w:type="pct"/>
            <w:tcBorders>
              <w:top w:val="nil"/>
              <w:left w:val="nil"/>
              <w:bottom w:val="nil"/>
              <w:right w:val="nil"/>
            </w:tcBorders>
            <w:shd w:val="clear" w:color="auto" w:fill="auto"/>
            <w:noWrap/>
            <w:vAlign w:val="bottom"/>
          </w:tcPr>
          <w:p w14:paraId="6AE18451" w14:textId="77777777" w:rsidR="00DF251A" w:rsidRPr="00521670" w:rsidRDefault="00DF251A" w:rsidP="00602C19">
            <w:pPr>
              <w:pStyle w:val="Tabletext"/>
              <w:spacing w:before="20" w:after="20"/>
              <w:jc w:val="right"/>
              <w:rPr>
                <w:rFonts w:ascii="Times New Roman" w:hAnsi="Times New Roman"/>
                <w:lang w:val="ru-RU" w:eastAsia="en-GB"/>
              </w:rPr>
            </w:pPr>
          </w:p>
        </w:tc>
        <w:tc>
          <w:tcPr>
            <w:tcW w:w="377" w:type="pct"/>
            <w:tcBorders>
              <w:top w:val="nil"/>
              <w:left w:val="nil"/>
              <w:bottom w:val="nil"/>
              <w:right w:val="nil"/>
            </w:tcBorders>
            <w:shd w:val="clear" w:color="auto" w:fill="auto"/>
            <w:noWrap/>
            <w:vAlign w:val="bottom"/>
          </w:tcPr>
          <w:p w14:paraId="689E01D2"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130 917</w:t>
            </w:r>
          </w:p>
        </w:tc>
      </w:tr>
      <w:tr w:rsidR="00DF251A" w:rsidRPr="00521670" w14:paraId="6A88FB80" w14:textId="77777777" w:rsidTr="00602C19">
        <w:tc>
          <w:tcPr>
            <w:tcW w:w="1476" w:type="pct"/>
            <w:tcBorders>
              <w:top w:val="nil"/>
              <w:left w:val="nil"/>
              <w:bottom w:val="nil"/>
              <w:right w:val="nil"/>
            </w:tcBorders>
            <w:shd w:val="clear" w:color="auto" w:fill="auto"/>
            <w:noWrap/>
            <w:hideMark/>
          </w:tcPr>
          <w:p w14:paraId="1D7B991A" w14:textId="77777777" w:rsidR="00DF251A" w:rsidRPr="00521670" w:rsidRDefault="00DF251A" w:rsidP="00602C19">
            <w:pPr>
              <w:pStyle w:val="Tabletext"/>
              <w:spacing w:before="20" w:after="20"/>
              <w:rPr>
                <w:lang w:val="ru-RU" w:eastAsia="en-GB"/>
              </w:rPr>
            </w:pPr>
            <w:r w:rsidRPr="00521670">
              <w:rPr>
                <w:lang w:val="ru-RU"/>
              </w:rPr>
              <w:t>Внебюджетные взносы</w:t>
            </w:r>
          </w:p>
        </w:tc>
        <w:tc>
          <w:tcPr>
            <w:tcW w:w="501" w:type="pct"/>
            <w:tcBorders>
              <w:top w:val="nil"/>
              <w:left w:val="nil"/>
              <w:bottom w:val="nil"/>
              <w:right w:val="nil"/>
            </w:tcBorders>
            <w:shd w:val="clear" w:color="auto" w:fill="auto"/>
            <w:noWrap/>
            <w:vAlign w:val="bottom"/>
          </w:tcPr>
          <w:p w14:paraId="29AD4EBE" w14:textId="77777777" w:rsidR="00DF251A" w:rsidRPr="00521670" w:rsidRDefault="00DF251A" w:rsidP="00602C19">
            <w:pPr>
              <w:pStyle w:val="Tabletext"/>
              <w:spacing w:before="20" w:after="20"/>
              <w:jc w:val="right"/>
              <w:rPr>
                <w:lang w:val="ru-RU" w:eastAsia="en-GB"/>
              </w:rPr>
            </w:pPr>
            <w:r w:rsidRPr="00521670">
              <w:rPr>
                <w:lang w:val="ru-RU"/>
              </w:rPr>
              <w:t>231</w:t>
            </w:r>
          </w:p>
        </w:tc>
        <w:tc>
          <w:tcPr>
            <w:tcW w:w="336" w:type="pct"/>
            <w:tcBorders>
              <w:top w:val="nil"/>
              <w:left w:val="nil"/>
              <w:bottom w:val="nil"/>
              <w:right w:val="nil"/>
            </w:tcBorders>
            <w:shd w:val="clear" w:color="auto" w:fill="auto"/>
            <w:noWrap/>
            <w:vAlign w:val="bottom"/>
          </w:tcPr>
          <w:p w14:paraId="78B28FC2" w14:textId="77777777" w:rsidR="00DF251A" w:rsidRPr="00521670" w:rsidRDefault="00DF251A" w:rsidP="00602C19">
            <w:pPr>
              <w:pStyle w:val="Tabletext"/>
              <w:spacing w:before="20" w:after="20"/>
              <w:jc w:val="right"/>
              <w:rPr>
                <w:lang w:val="ru-RU" w:eastAsia="en-GB"/>
              </w:rPr>
            </w:pPr>
            <w:r w:rsidRPr="00521670">
              <w:rPr>
                <w:lang w:val="ru-RU"/>
              </w:rPr>
              <w:t>144</w:t>
            </w:r>
          </w:p>
        </w:tc>
        <w:tc>
          <w:tcPr>
            <w:tcW w:w="336" w:type="pct"/>
            <w:tcBorders>
              <w:top w:val="nil"/>
              <w:left w:val="nil"/>
              <w:bottom w:val="nil"/>
              <w:right w:val="nil"/>
            </w:tcBorders>
            <w:shd w:val="clear" w:color="auto" w:fill="auto"/>
            <w:noWrap/>
            <w:vAlign w:val="bottom"/>
          </w:tcPr>
          <w:p w14:paraId="75420347" w14:textId="77777777" w:rsidR="00DF251A" w:rsidRPr="00521670" w:rsidRDefault="00DF251A" w:rsidP="00602C19">
            <w:pPr>
              <w:pStyle w:val="Tabletext"/>
              <w:spacing w:before="20" w:after="20"/>
              <w:jc w:val="right"/>
              <w:rPr>
                <w:lang w:val="ru-RU" w:eastAsia="en-GB"/>
              </w:rPr>
            </w:pPr>
            <w:r w:rsidRPr="00521670">
              <w:rPr>
                <w:lang w:val="ru-RU"/>
              </w:rPr>
              <w:t>41</w:t>
            </w:r>
          </w:p>
        </w:tc>
        <w:tc>
          <w:tcPr>
            <w:tcW w:w="338" w:type="pct"/>
            <w:tcBorders>
              <w:top w:val="nil"/>
              <w:left w:val="nil"/>
              <w:bottom w:val="nil"/>
              <w:right w:val="nil"/>
            </w:tcBorders>
            <w:shd w:val="clear" w:color="auto" w:fill="auto"/>
            <w:noWrap/>
            <w:vAlign w:val="bottom"/>
          </w:tcPr>
          <w:p w14:paraId="0084BA1A" w14:textId="77777777" w:rsidR="00DF251A" w:rsidRPr="00521670" w:rsidRDefault="00DF251A" w:rsidP="00602C19">
            <w:pPr>
              <w:pStyle w:val="Tabletext"/>
              <w:spacing w:before="20" w:after="20"/>
              <w:jc w:val="right"/>
              <w:rPr>
                <w:lang w:val="ru-RU" w:eastAsia="en-GB"/>
              </w:rPr>
            </w:pPr>
            <w:r w:rsidRPr="00521670">
              <w:rPr>
                <w:lang w:val="ru-RU"/>
              </w:rPr>
              <w:t>74</w:t>
            </w:r>
          </w:p>
        </w:tc>
        <w:tc>
          <w:tcPr>
            <w:tcW w:w="461" w:type="pct"/>
            <w:tcBorders>
              <w:top w:val="nil"/>
              <w:left w:val="nil"/>
              <w:bottom w:val="nil"/>
              <w:right w:val="nil"/>
            </w:tcBorders>
            <w:shd w:val="clear" w:color="auto" w:fill="auto"/>
            <w:noWrap/>
            <w:vAlign w:val="bottom"/>
          </w:tcPr>
          <w:p w14:paraId="7EE41BEF" w14:textId="77777777" w:rsidR="00DF251A" w:rsidRPr="00521670" w:rsidRDefault="00DF251A" w:rsidP="00602C19">
            <w:pPr>
              <w:pStyle w:val="Tabletext"/>
              <w:spacing w:before="20" w:after="20"/>
              <w:jc w:val="right"/>
              <w:rPr>
                <w:b/>
                <w:bCs/>
                <w:lang w:val="ru-RU" w:eastAsia="en-GB"/>
              </w:rPr>
            </w:pPr>
            <w:r w:rsidRPr="00521670">
              <w:rPr>
                <w:b/>
                <w:bCs/>
                <w:lang w:val="ru-RU"/>
              </w:rPr>
              <w:t>490</w:t>
            </w:r>
          </w:p>
        </w:tc>
        <w:tc>
          <w:tcPr>
            <w:tcW w:w="323" w:type="pct"/>
            <w:tcBorders>
              <w:top w:val="nil"/>
              <w:left w:val="nil"/>
              <w:bottom w:val="nil"/>
              <w:right w:val="nil"/>
            </w:tcBorders>
            <w:shd w:val="clear" w:color="auto" w:fill="auto"/>
            <w:noWrap/>
            <w:vAlign w:val="bottom"/>
          </w:tcPr>
          <w:p w14:paraId="10108B47"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65BBCD93" w14:textId="77777777" w:rsidR="00DF251A" w:rsidRPr="00521670" w:rsidRDefault="00DF251A" w:rsidP="00602C19">
            <w:pPr>
              <w:pStyle w:val="Tabletext"/>
              <w:spacing w:before="20" w:after="20"/>
              <w:jc w:val="right"/>
              <w:rPr>
                <w:lang w:val="ru-RU" w:eastAsia="en-GB"/>
              </w:rPr>
            </w:pPr>
            <w:r w:rsidRPr="00521670">
              <w:rPr>
                <w:lang w:val="ru-RU"/>
              </w:rPr>
              <w:t>20 801</w:t>
            </w:r>
          </w:p>
        </w:tc>
        <w:tc>
          <w:tcPr>
            <w:tcW w:w="416" w:type="pct"/>
            <w:tcBorders>
              <w:top w:val="nil"/>
              <w:left w:val="nil"/>
              <w:bottom w:val="nil"/>
              <w:right w:val="nil"/>
            </w:tcBorders>
            <w:shd w:val="clear" w:color="auto" w:fill="auto"/>
            <w:noWrap/>
            <w:vAlign w:val="bottom"/>
          </w:tcPr>
          <w:p w14:paraId="70CA75BD"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2213BEBC"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21 291</w:t>
            </w:r>
          </w:p>
        </w:tc>
      </w:tr>
      <w:tr w:rsidR="00DF251A" w:rsidRPr="00521670" w14:paraId="3DCDA420" w14:textId="77777777" w:rsidTr="00602C19">
        <w:tc>
          <w:tcPr>
            <w:tcW w:w="1476" w:type="pct"/>
            <w:tcBorders>
              <w:top w:val="nil"/>
              <w:left w:val="nil"/>
              <w:bottom w:val="nil"/>
              <w:right w:val="nil"/>
            </w:tcBorders>
            <w:shd w:val="clear" w:color="auto" w:fill="auto"/>
            <w:noWrap/>
            <w:hideMark/>
          </w:tcPr>
          <w:p w14:paraId="24254919" w14:textId="77777777" w:rsidR="00DF251A" w:rsidRPr="00521670" w:rsidRDefault="00DF251A" w:rsidP="00602C19">
            <w:pPr>
              <w:pStyle w:val="Tabletext"/>
              <w:spacing w:before="20" w:after="20"/>
              <w:rPr>
                <w:i/>
                <w:iCs/>
                <w:lang w:val="ru-RU" w:eastAsia="en-GB"/>
              </w:rPr>
            </w:pPr>
            <w:r w:rsidRPr="00521670">
              <w:rPr>
                <w:i/>
                <w:iCs/>
                <w:lang w:val="ru-RU" w:eastAsia="en-GB"/>
              </w:rPr>
              <w:t>Прочие доходы от деятельности</w:t>
            </w:r>
          </w:p>
        </w:tc>
        <w:tc>
          <w:tcPr>
            <w:tcW w:w="501" w:type="pct"/>
            <w:tcBorders>
              <w:top w:val="nil"/>
              <w:left w:val="nil"/>
              <w:bottom w:val="nil"/>
              <w:right w:val="nil"/>
            </w:tcBorders>
            <w:shd w:val="clear" w:color="auto" w:fill="auto"/>
            <w:noWrap/>
            <w:vAlign w:val="bottom"/>
          </w:tcPr>
          <w:p w14:paraId="457217A1" w14:textId="77777777" w:rsidR="00DF251A" w:rsidRPr="00521670" w:rsidRDefault="00DF251A" w:rsidP="00602C19">
            <w:pPr>
              <w:pStyle w:val="Tabletext"/>
              <w:spacing w:before="20" w:after="20"/>
              <w:jc w:val="right"/>
              <w:rPr>
                <w:rFonts w:ascii="Times New Roman" w:hAnsi="Times New Roman"/>
                <w:lang w:val="ru-RU" w:eastAsia="en-GB"/>
              </w:rPr>
            </w:pPr>
            <w:r w:rsidRPr="00521670">
              <w:rPr>
                <w:lang w:val="ru-RU"/>
              </w:rPr>
              <w:t>32</w:t>
            </w:r>
          </w:p>
        </w:tc>
        <w:tc>
          <w:tcPr>
            <w:tcW w:w="336" w:type="pct"/>
            <w:tcBorders>
              <w:top w:val="nil"/>
              <w:left w:val="nil"/>
              <w:bottom w:val="nil"/>
              <w:right w:val="nil"/>
            </w:tcBorders>
            <w:shd w:val="clear" w:color="auto" w:fill="auto"/>
            <w:noWrap/>
            <w:vAlign w:val="bottom"/>
          </w:tcPr>
          <w:p w14:paraId="45014345" w14:textId="77777777" w:rsidR="00DF251A" w:rsidRPr="00521670" w:rsidRDefault="00DF251A" w:rsidP="00602C19">
            <w:pPr>
              <w:pStyle w:val="Tabletext"/>
              <w:spacing w:before="20" w:after="20"/>
              <w:jc w:val="right"/>
              <w:rPr>
                <w:rFonts w:ascii="Times New Roman" w:hAnsi="Times New Roman"/>
                <w:lang w:val="ru-RU" w:eastAsia="en-GB"/>
              </w:rPr>
            </w:pPr>
            <w:r w:rsidRPr="00521670">
              <w:rPr>
                <w:lang w:val="ru-RU"/>
              </w:rPr>
              <w:t>19 159</w:t>
            </w:r>
          </w:p>
        </w:tc>
        <w:tc>
          <w:tcPr>
            <w:tcW w:w="336" w:type="pct"/>
            <w:tcBorders>
              <w:top w:val="nil"/>
              <w:left w:val="nil"/>
              <w:bottom w:val="nil"/>
              <w:right w:val="nil"/>
            </w:tcBorders>
            <w:shd w:val="clear" w:color="auto" w:fill="auto"/>
            <w:noWrap/>
            <w:vAlign w:val="bottom"/>
          </w:tcPr>
          <w:p w14:paraId="5C7E885B" w14:textId="77777777" w:rsidR="00DF251A" w:rsidRPr="00521670" w:rsidRDefault="00DF251A" w:rsidP="00602C19">
            <w:pPr>
              <w:pStyle w:val="Tabletext"/>
              <w:spacing w:before="20" w:after="20"/>
              <w:jc w:val="right"/>
              <w:rPr>
                <w:rFonts w:ascii="Times New Roman" w:hAnsi="Times New Roman"/>
                <w:lang w:val="ru-RU" w:eastAsia="en-GB"/>
              </w:rPr>
            </w:pPr>
            <w:r w:rsidRPr="00521670">
              <w:rPr>
                <w:lang w:val="ru-RU"/>
              </w:rPr>
              <w:t>2</w:t>
            </w:r>
          </w:p>
        </w:tc>
        <w:tc>
          <w:tcPr>
            <w:tcW w:w="338" w:type="pct"/>
            <w:tcBorders>
              <w:top w:val="nil"/>
              <w:left w:val="nil"/>
              <w:bottom w:val="nil"/>
              <w:right w:val="nil"/>
            </w:tcBorders>
            <w:shd w:val="clear" w:color="auto" w:fill="auto"/>
            <w:noWrap/>
            <w:vAlign w:val="bottom"/>
          </w:tcPr>
          <w:p w14:paraId="7D41E02C" w14:textId="77777777" w:rsidR="00DF251A" w:rsidRPr="00521670" w:rsidRDefault="00DF251A" w:rsidP="00602C19">
            <w:pPr>
              <w:pStyle w:val="Tabletext"/>
              <w:spacing w:before="20" w:after="20"/>
              <w:jc w:val="right"/>
              <w:rPr>
                <w:rFonts w:ascii="Times New Roman" w:hAnsi="Times New Roman"/>
                <w:lang w:val="ru-RU" w:eastAsia="en-GB"/>
              </w:rPr>
            </w:pPr>
            <w:r w:rsidRPr="00521670">
              <w:rPr>
                <w:lang w:val="ru-RU"/>
              </w:rPr>
              <w:t>8</w:t>
            </w:r>
          </w:p>
        </w:tc>
        <w:tc>
          <w:tcPr>
            <w:tcW w:w="461" w:type="pct"/>
            <w:tcBorders>
              <w:top w:val="nil"/>
              <w:left w:val="nil"/>
              <w:bottom w:val="nil"/>
              <w:right w:val="nil"/>
            </w:tcBorders>
            <w:shd w:val="clear" w:color="auto" w:fill="auto"/>
            <w:noWrap/>
            <w:vAlign w:val="bottom"/>
          </w:tcPr>
          <w:p w14:paraId="6342055F" w14:textId="77777777" w:rsidR="00DF251A" w:rsidRPr="00521670" w:rsidRDefault="00DF251A" w:rsidP="00602C19">
            <w:pPr>
              <w:pStyle w:val="Tabletext"/>
              <w:spacing w:before="20" w:after="20"/>
              <w:jc w:val="right"/>
              <w:rPr>
                <w:rFonts w:ascii="Times New Roman" w:hAnsi="Times New Roman"/>
                <w:b/>
                <w:bCs/>
                <w:lang w:val="ru-RU" w:eastAsia="en-GB"/>
              </w:rPr>
            </w:pPr>
            <w:r w:rsidRPr="00521670">
              <w:rPr>
                <w:b/>
                <w:bCs/>
                <w:lang w:val="ru-RU"/>
              </w:rPr>
              <w:t>19 201</w:t>
            </w:r>
          </w:p>
        </w:tc>
        <w:tc>
          <w:tcPr>
            <w:tcW w:w="323" w:type="pct"/>
            <w:tcBorders>
              <w:top w:val="nil"/>
              <w:left w:val="nil"/>
              <w:bottom w:val="nil"/>
              <w:right w:val="nil"/>
            </w:tcBorders>
            <w:shd w:val="clear" w:color="auto" w:fill="auto"/>
            <w:noWrap/>
            <w:vAlign w:val="bottom"/>
          </w:tcPr>
          <w:p w14:paraId="76D5046B"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65178730" w14:textId="77777777" w:rsidR="00DF251A" w:rsidRPr="00521670" w:rsidRDefault="00DF251A" w:rsidP="00602C19">
            <w:pPr>
              <w:pStyle w:val="Tabletext"/>
              <w:spacing w:before="20" w:after="20"/>
              <w:jc w:val="right"/>
              <w:rPr>
                <w:rFonts w:ascii="Times New Roman" w:hAnsi="Times New Roman"/>
                <w:lang w:val="ru-RU" w:eastAsia="en-GB"/>
              </w:rPr>
            </w:pPr>
            <w:r w:rsidRPr="00521670">
              <w:rPr>
                <w:lang w:val="ru-RU"/>
              </w:rPr>
              <w:t>7</w:t>
            </w:r>
          </w:p>
        </w:tc>
        <w:tc>
          <w:tcPr>
            <w:tcW w:w="416" w:type="pct"/>
            <w:tcBorders>
              <w:top w:val="nil"/>
              <w:left w:val="nil"/>
              <w:bottom w:val="nil"/>
              <w:right w:val="nil"/>
            </w:tcBorders>
            <w:shd w:val="clear" w:color="auto" w:fill="auto"/>
            <w:noWrap/>
            <w:vAlign w:val="bottom"/>
          </w:tcPr>
          <w:p w14:paraId="52AA2244" w14:textId="77777777" w:rsidR="00DF251A" w:rsidRPr="00521670" w:rsidRDefault="00DF251A" w:rsidP="00602C19">
            <w:pPr>
              <w:pStyle w:val="Tabletext"/>
              <w:spacing w:before="20" w:after="20"/>
              <w:jc w:val="right"/>
              <w:rPr>
                <w:rFonts w:ascii="Times New Roman" w:hAnsi="Times New Roman"/>
                <w:lang w:val="ru-RU" w:eastAsia="en-GB"/>
              </w:rPr>
            </w:pPr>
          </w:p>
        </w:tc>
        <w:tc>
          <w:tcPr>
            <w:tcW w:w="377" w:type="pct"/>
            <w:tcBorders>
              <w:top w:val="nil"/>
              <w:left w:val="nil"/>
              <w:bottom w:val="nil"/>
              <w:right w:val="nil"/>
            </w:tcBorders>
            <w:shd w:val="clear" w:color="auto" w:fill="auto"/>
            <w:noWrap/>
            <w:vAlign w:val="bottom"/>
          </w:tcPr>
          <w:p w14:paraId="63F15EC5" w14:textId="77777777" w:rsidR="00DF251A" w:rsidRPr="00521670" w:rsidRDefault="00DF251A" w:rsidP="00602C19">
            <w:pPr>
              <w:pStyle w:val="Tabletext"/>
              <w:spacing w:before="20" w:after="20"/>
              <w:jc w:val="right"/>
              <w:rPr>
                <w:rFonts w:ascii="Times New Roman" w:hAnsi="Times New Roman"/>
                <w:b/>
                <w:bCs/>
                <w:lang w:val="ru-RU" w:eastAsia="en-GB"/>
              </w:rPr>
            </w:pPr>
            <w:r w:rsidRPr="00521670">
              <w:rPr>
                <w:b/>
                <w:bCs/>
                <w:lang w:val="ru-RU"/>
              </w:rPr>
              <w:t>19 208</w:t>
            </w:r>
          </w:p>
        </w:tc>
      </w:tr>
      <w:tr w:rsidR="00DF251A" w:rsidRPr="00521670" w14:paraId="38C919C2" w14:textId="77777777" w:rsidTr="00602C19">
        <w:tc>
          <w:tcPr>
            <w:tcW w:w="1476" w:type="pct"/>
            <w:tcBorders>
              <w:top w:val="nil"/>
              <w:left w:val="nil"/>
              <w:bottom w:val="nil"/>
              <w:right w:val="nil"/>
            </w:tcBorders>
            <w:shd w:val="clear" w:color="auto" w:fill="auto"/>
            <w:noWrap/>
            <w:hideMark/>
          </w:tcPr>
          <w:p w14:paraId="151E436F" w14:textId="77777777" w:rsidR="00DF251A" w:rsidRPr="00521670" w:rsidRDefault="00DF251A" w:rsidP="00602C19">
            <w:pPr>
              <w:pStyle w:val="Tabletext"/>
              <w:spacing w:before="20" w:after="20"/>
              <w:rPr>
                <w:lang w:val="ru-RU" w:eastAsia="en-GB"/>
              </w:rPr>
            </w:pPr>
            <w:r w:rsidRPr="00521670">
              <w:rPr>
                <w:lang w:val="ru-RU" w:eastAsia="en-GB"/>
              </w:rPr>
              <w:t>−</w:t>
            </w:r>
            <w:r w:rsidRPr="00521670">
              <w:rPr>
                <w:lang w:val="ru-RU" w:eastAsia="en-GB"/>
              </w:rPr>
              <w:tab/>
              <w:t>Публикации</w:t>
            </w:r>
          </w:p>
        </w:tc>
        <w:tc>
          <w:tcPr>
            <w:tcW w:w="501" w:type="pct"/>
            <w:tcBorders>
              <w:top w:val="nil"/>
              <w:left w:val="nil"/>
              <w:bottom w:val="nil"/>
              <w:right w:val="nil"/>
            </w:tcBorders>
            <w:shd w:val="clear" w:color="auto" w:fill="auto"/>
            <w:noWrap/>
            <w:vAlign w:val="bottom"/>
          </w:tcPr>
          <w:p w14:paraId="450DAAB4" w14:textId="77777777" w:rsidR="00DF251A" w:rsidRPr="00521670" w:rsidRDefault="00DF251A" w:rsidP="00602C19">
            <w:pPr>
              <w:pStyle w:val="Tabletext"/>
              <w:spacing w:before="20" w:after="20"/>
              <w:jc w:val="right"/>
              <w:rPr>
                <w:lang w:val="ru-RU" w:eastAsia="en-GB"/>
              </w:rPr>
            </w:pPr>
            <w:r w:rsidRPr="00521670">
              <w:rPr>
                <w:lang w:val="ru-RU" w:eastAsia="en-GB"/>
              </w:rPr>
              <w:t>−</w:t>
            </w:r>
          </w:p>
        </w:tc>
        <w:tc>
          <w:tcPr>
            <w:tcW w:w="336" w:type="pct"/>
            <w:tcBorders>
              <w:top w:val="nil"/>
              <w:left w:val="nil"/>
              <w:bottom w:val="nil"/>
              <w:right w:val="nil"/>
            </w:tcBorders>
            <w:shd w:val="clear" w:color="auto" w:fill="auto"/>
            <w:noWrap/>
            <w:vAlign w:val="bottom"/>
          </w:tcPr>
          <w:p w14:paraId="385A89C4" w14:textId="77777777" w:rsidR="00DF251A" w:rsidRPr="00521670" w:rsidRDefault="00DF251A" w:rsidP="00602C19">
            <w:pPr>
              <w:pStyle w:val="Tabletext"/>
              <w:spacing w:before="20" w:after="20"/>
              <w:jc w:val="right"/>
              <w:rPr>
                <w:lang w:val="ru-RU" w:eastAsia="en-GB"/>
              </w:rPr>
            </w:pPr>
            <w:r w:rsidRPr="00521670">
              <w:rPr>
                <w:lang w:val="ru-RU"/>
              </w:rPr>
              <w:t>7 553</w:t>
            </w:r>
          </w:p>
        </w:tc>
        <w:tc>
          <w:tcPr>
            <w:tcW w:w="336" w:type="pct"/>
            <w:tcBorders>
              <w:top w:val="nil"/>
              <w:left w:val="nil"/>
              <w:bottom w:val="nil"/>
              <w:right w:val="nil"/>
            </w:tcBorders>
            <w:shd w:val="clear" w:color="auto" w:fill="auto"/>
            <w:noWrap/>
            <w:vAlign w:val="bottom"/>
          </w:tcPr>
          <w:p w14:paraId="0463FDE5" w14:textId="77777777" w:rsidR="00DF251A" w:rsidRPr="00521670" w:rsidRDefault="00DF251A" w:rsidP="00602C19">
            <w:pPr>
              <w:pStyle w:val="Tabletext"/>
              <w:spacing w:before="20" w:after="20"/>
              <w:jc w:val="right"/>
              <w:rPr>
                <w:lang w:val="ru-RU" w:eastAsia="en-GB"/>
              </w:rPr>
            </w:pPr>
            <w:r w:rsidRPr="00521670">
              <w:rPr>
                <w:lang w:val="ru-RU"/>
              </w:rPr>
              <w:t>−</w:t>
            </w:r>
          </w:p>
        </w:tc>
        <w:tc>
          <w:tcPr>
            <w:tcW w:w="338" w:type="pct"/>
            <w:tcBorders>
              <w:top w:val="nil"/>
              <w:left w:val="nil"/>
              <w:bottom w:val="nil"/>
              <w:right w:val="nil"/>
            </w:tcBorders>
            <w:shd w:val="clear" w:color="auto" w:fill="auto"/>
            <w:noWrap/>
            <w:vAlign w:val="bottom"/>
          </w:tcPr>
          <w:p w14:paraId="0B0FFDEE" w14:textId="77777777" w:rsidR="00DF251A" w:rsidRPr="00521670" w:rsidRDefault="00DF251A" w:rsidP="00602C19">
            <w:pPr>
              <w:pStyle w:val="Tabletext"/>
              <w:spacing w:before="20" w:after="20"/>
              <w:jc w:val="right"/>
              <w:rPr>
                <w:lang w:val="ru-RU" w:eastAsia="en-GB"/>
              </w:rPr>
            </w:pPr>
            <w:r w:rsidRPr="00521670">
              <w:rPr>
                <w:lang w:val="ru-RU" w:eastAsia="en-GB"/>
              </w:rPr>
              <w:t>−</w:t>
            </w:r>
          </w:p>
        </w:tc>
        <w:tc>
          <w:tcPr>
            <w:tcW w:w="461" w:type="pct"/>
            <w:tcBorders>
              <w:top w:val="nil"/>
              <w:left w:val="nil"/>
              <w:bottom w:val="nil"/>
              <w:right w:val="nil"/>
            </w:tcBorders>
            <w:shd w:val="clear" w:color="auto" w:fill="auto"/>
            <w:noWrap/>
            <w:vAlign w:val="bottom"/>
          </w:tcPr>
          <w:p w14:paraId="7F8D4EBA" w14:textId="77777777" w:rsidR="00DF251A" w:rsidRPr="00521670" w:rsidRDefault="00DF251A" w:rsidP="00602C19">
            <w:pPr>
              <w:pStyle w:val="Tabletext"/>
              <w:spacing w:before="20" w:after="20"/>
              <w:jc w:val="right"/>
              <w:rPr>
                <w:b/>
                <w:bCs/>
                <w:lang w:val="ru-RU" w:eastAsia="en-GB"/>
              </w:rPr>
            </w:pPr>
            <w:r w:rsidRPr="00521670">
              <w:rPr>
                <w:b/>
                <w:bCs/>
                <w:lang w:val="ru-RU"/>
              </w:rPr>
              <w:t>7 553</w:t>
            </w:r>
          </w:p>
        </w:tc>
        <w:tc>
          <w:tcPr>
            <w:tcW w:w="323" w:type="pct"/>
            <w:tcBorders>
              <w:top w:val="nil"/>
              <w:left w:val="nil"/>
              <w:bottom w:val="nil"/>
              <w:right w:val="nil"/>
            </w:tcBorders>
            <w:shd w:val="clear" w:color="auto" w:fill="auto"/>
            <w:noWrap/>
            <w:vAlign w:val="bottom"/>
          </w:tcPr>
          <w:p w14:paraId="6B122968"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32CB7417" w14:textId="77777777" w:rsidR="00DF251A" w:rsidRPr="00521670" w:rsidRDefault="00DF251A" w:rsidP="00602C19">
            <w:pPr>
              <w:pStyle w:val="Tabletext"/>
              <w:spacing w:before="20" w:after="20"/>
              <w:jc w:val="right"/>
              <w:rPr>
                <w:lang w:val="ru-RU" w:eastAsia="en-GB"/>
              </w:rPr>
            </w:pPr>
            <w:r w:rsidRPr="00521670">
              <w:rPr>
                <w:lang w:val="ru-RU" w:eastAsia="en-GB"/>
              </w:rPr>
              <w:t>−</w:t>
            </w:r>
          </w:p>
        </w:tc>
        <w:tc>
          <w:tcPr>
            <w:tcW w:w="416" w:type="pct"/>
            <w:tcBorders>
              <w:top w:val="nil"/>
              <w:left w:val="nil"/>
              <w:bottom w:val="nil"/>
              <w:right w:val="nil"/>
            </w:tcBorders>
            <w:shd w:val="clear" w:color="auto" w:fill="auto"/>
            <w:noWrap/>
            <w:vAlign w:val="bottom"/>
          </w:tcPr>
          <w:p w14:paraId="42317331"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7E1CFAA9"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7 553</w:t>
            </w:r>
          </w:p>
        </w:tc>
      </w:tr>
      <w:tr w:rsidR="00DF251A" w:rsidRPr="00521670" w14:paraId="0420068C" w14:textId="77777777" w:rsidTr="00602C19">
        <w:tc>
          <w:tcPr>
            <w:tcW w:w="1476" w:type="pct"/>
            <w:tcBorders>
              <w:top w:val="nil"/>
              <w:left w:val="nil"/>
              <w:bottom w:val="nil"/>
              <w:right w:val="nil"/>
            </w:tcBorders>
            <w:shd w:val="clear" w:color="auto" w:fill="auto"/>
            <w:noWrap/>
            <w:hideMark/>
          </w:tcPr>
          <w:p w14:paraId="15EE04C4" w14:textId="77777777" w:rsidR="00DF251A" w:rsidRPr="00521670" w:rsidRDefault="00DF251A" w:rsidP="00602C19">
            <w:pPr>
              <w:pStyle w:val="Tabletext"/>
              <w:spacing w:before="20" w:after="20"/>
              <w:ind w:left="284" w:hanging="284"/>
              <w:rPr>
                <w:lang w:val="ru-RU" w:eastAsia="en-GB"/>
              </w:rPr>
            </w:pPr>
            <w:r w:rsidRPr="00521670">
              <w:rPr>
                <w:lang w:val="ru-RU" w:eastAsia="en-GB"/>
              </w:rPr>
              <w:t>−</w:t>
            </w:r>
            <w:r w:rsidRPr="00521670">
              <w:rPr>
                <w:lang w:val="ru-RU" w:eastAsia="en-GB"/>
              </w:rPr>
              <w:tab/>
              <w:t>Обработка заявок на регистрацию спутниковых сетей (SNF)</w:t>
            </w:r>
          </w:p>
        </w:tc>
        <w:tc>
          <w:tcPr>
            <w:tcW w:w="501" w:type="pct"/>
            <w:tcBorders>
              <w:top w:val="nil"/>
              <w:left w:val="nil"/>
              <w:bottom w:val="nil"/>
              <w:right w:val="nil"/>
            </w:tcBorders>
            <w:shd w:val="clear" w:color="auto" w:fill="auto"/>
            <w:noWrap/>
            <w:vAlign w:val="bottom"/>
          </w:tcPr>
          <w:p w14:paraId="67398C26" w14:textId="77777777" w:rsidR="00DF251A" w:rsidRPr="00521670" w:rsidRDefault="00DF251A" w:rsidP="00602C19">
            <w:pPr>
              <w:pStyle w:val="Tabletext"/>
              <w:spacing w:before="20" w:after="20"/>
              <w:jc w:val="right"/>
              <w:rPr>
                <w:rFonts w:ascii="Times New Roman" w:hAnsi="Times New Roman"/>
                <w:lang w:val="ru-RU" w:eastAsia="en-GB"/>
              </w:rPr>
            </w:pPr>
            <w:r w:rsidRPr="00521670">
              <w:rPr>
                <w:lang w:val="ru-RU"/>
              </w:rPr>
              <w:t>297</w:t>
            </w:r>
          </w:p>
        </w:tc>
        <w:tc>
          <w:tcPr>
            <w:tcW w:w="336" w:type="pct"/>
            <w:tcBorders>
              <w:top w:val="nil"/>
              <w:left w:val="nil"/>
              <w:bottom w:val="nil"/>
              <w:right w:val="nil"/>
            </w:tcBorders>
            <w:shd w:val="clear" w:color="auto" w:fill="auto"/>
            <w:noWrap/>
            <w:vAlign w:val="bottom"/>
          </w:tcPr>
          <w:p w14:paraId="25C26972" w14:textId="77777777" w:rsidR="00DF251A" w:rsidRPr="00521670" w:rsidRDefault="00DF251A" w:rsidP="00602C19">
            <w:pPr>
              <w:pStyle w:val="Tabletext"/>
              <w:spacing w:before="20" w:after="20"/>
              <w:jc w:val="right"/>
              <w:rPr>
                <w:lang w:val="ru-RU" w:eastAsia="en-GB"/>
              </w:rPr>
            </w:pPr>
            <w:r w:rsidRPr="00521670">
              <w:rPr>
                <w:lang w:val="ru-RU"/>
              </w:rPr>
              <w:t>62</w:t>
            </w:r>
          </w:p>
        </w:tc>
        <w:tc>
          <w:tcPr>
            <w:tcW w:w="336" w:type="pct"/>
            <w:tcBorders>
              <w:top w:val="nil"/>
              <w:left w:val="nil"/>
              <w:bottom w:val="nil"/>
              <w:right w:val="nil"/>
            </w:tcBorders>
            <w:shd w:val="clear" w:color="auto" w:fill="auto"/>
            <w:noWrap/>
            <w:vAlign w:val="bottom"/>
          </w:tcPr>
          <w:p w14:paraId="2E53F383" w14:textId="77777777" w:rsidR="00DF251A" w:rsidRPr="00521670" w:rsidRDefault="00DF251A" w:rsidP="00602C19">
            <w:pPr>
              <w:pStyle w:val="Tabletext"/>
              <w:spacing w:before="20" w:after="20"/>
              <w:jc w:val="right"/>
              <w:rPr>
                <w:lang w:val="ru-RU" w:eastAsia="en-GB"/>
              </w:rPr>
            </w:pPr>
            <w:r w:rsidRPr="00521670">
              <w:rPr>
                <w:lang w:val="ru-RU"/>
              </w:rPr>
              <w:t>527</w:t>
            </w:r>
          </w:p>
        </w:tc>
        <w:tc>
          <w:tcPr>
            <w:tcW w:w="338" w:type="pct"/>
            <w:tcBorders>
              <w:top w:val="nil"/>
              <w:left w:val="nil"/>
              <w:bottom w:val="nil"/>
              <w:right w:val="nil"/>
            </w:tcBorders>
            <w:shd w:val="clear" w:color="auto" w:fill="auto"/>
            <w:noWrap/>
            <w:vAlign w:val="bottom"/>
          </w:tcPr>
          <w:p w14:paraId="65B1ABCC" w14:textId="77777777" w:rsidR="00DF251A" w:rsidRPr="00521670" w:rsidRDefault="00DF251A" w:rsidP="00602C19">
            <w:pPr>
              <w:pStyle w:val="Tabletext"/>
              <w:spacing w:before="20" w:after="20"/>
              <w:jc w:val="right"/>
              <w:rPr>
                <w:rFonts w:ascii="Times New Roman" w:hAnsi="Times New Roman"/>
                <w:lang w:val="ru-RU" w:eastAsia="en-GB"/>
              </w:rPr>
            </w:pPr>
            <w:r w:rsidRPr="00521670">
              <w:rPr>
                <w:lang w:val="ru-RU"/>
              </w:rPr>
              <w:t>771</w:t>
            </w:r>
          </w:p>
        </w:tc>
        <w:tc>
          <w:tcPr>
            <w:tcW w:w="461" w:type="pct"/>
            <w:tcBorders>
              <w:top w:val="nil"/>
              <w:left w:val="nil"/>
              <w:bottom w:val="nil"/>
              <w:right w:val="nil"/>
            </w:tcBorders>
            <w:shd w:val="clear" w:color="auto" w:fill="auto"/>
            <w:noWrap/>
            <w:vAlign w:val="bottom"/>
          </w:tcPr>
          <w:p w14:paraId="6C18AEB0" w14:textId="77777777" w:rsidR="00DF251A" w:rsidRPr="00521670" w:rsidRDefault="00DF251A" w:rsidP="00602C19">
            <w:pPr>
              <w:pStyle w:val="Tabletext"/>
              <w:spacing w:before="20" w:after="20"/>
              <w:jc w:val="right"/>
              <w:rPr>
                <w:b/>
                <w:bCs/>
                <w:lang w:val="ru-RU" w:eastAsia="en-GB"/>
              </w:rPr>
            </w:pPr>
            <w:r w:rsidRPr="00521670">
              <w:rPr>
                <w:b/>
                <w:bCs/>
                <w:lang w:val="ru-RU"/>
              </w:rPr>
              <w:t>1 656</w:t>
            </w:r>
          </w:p>
        </w:tc>
        <w:tc>
          <w:tcPr>
            <w:tcW w:w="323" w:type="pct"/>
            <w:tcBorders>
              <w:top w:val="nil"/>
              <w:left w:val="nil"/>
              <w:bottom w:val="nil"/>
              <w:right w:val="nil"/>
            </w:tcBorders>
            <w:shd w:val="clear" w:color="auto" w:fill="auto"/>
            <w:noWrap/>
            <w:vAlign w:val="bottom"/>
          </w:tcPr>
          <w:p w14:paraId="09F28044"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372F5A97"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16" w:type="pct"/>
            <w:tcBorders>
              <w:top w:val="nil"/>
              <w:left w:val="nil"/>
              <w:bottom w:val="nil"/>
              <w:right w:val="nil"/>
            </w:tcBorders>
            <w:shd w:val="clear" w:color="auto" w:fill="auto"/>
            <w:noWrap/>
            <w:vAlign w:val="bottom"/>
          </w:tcPr>
          <w:p w14:paraId="2EB31AF0" w14:textId="77777777" w:rsidR="00DF251A" w:rsidRPr="00521670" w:rsidRDefault="00DF251A" w:rsidP="00602C19">
            <w:pPr>
              <w:pStyle w:val="Tabletext"/>
              <w:spacing w:before="20" w:after="20"/>
              <w:jc w:val="right"/>
              <w:rPr>
                <w:rFonts w:ascii="Times New Roman" w:hAnsi="Times New Roman"/>
                <w:lang w:val="ru-RU" w:eastAsia="en-GB"/>
              </w:rPr>
            </w:pPr>
          </w:p>
        </w:tc>
        <w:tc>
          <w:tcPr>
            <w:tcW w:w="377" w:type="pct"/>
            <w:tcBorders>
              <w:top w:val="nil"/>
              <w:left w:val="nil"/>
              <w:bottom w:val="nil"/>
              <w:right w:val="nil"/>
            </w:tcBorders>
            <w:shd w:val="clear" w:color="auto" w:fill="auto"/>
            <w:noWrap/>
            <w:vAlign w:val="bottom"/>
          </w:tcPr>
          <w:p w14:paraId="281D38FD"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1 656</w:t>
            </w:r>
          </w:p>
        </w:tc>
      </w:tr>
      <w:tr w:rsidR="00DF251A" w:rsidRPr="00521670" w14:paraId="6368CB39" w14:textId="77777777" w:rsidTr="00602C19">
        <w:tc>
          <w:tcPr>
            <w:tcW w:w="1476" w:type="pct"/>
            <w:tcBorders>
              <w:top w:val="nil"/>
              <w:left w:val="nil"/>
              <w:bottom w:val="nil"/>
              <w:right w:val="nil"/>
            </w:tcBorders>
            <w:shd w:val="clear" w:color="auto" w:fill="auto"/>
            <w:noWrap/>
            <w:hideMark/>
          </w:tcPr>
          <w:p w14:paraId="5BA7EB05" w14:textId="77777777" w:rsidR="00DF251A" w:rsidRPr="00521670" w:rsidRDefault="00DF251A" w:rsidP="00602C19">
            <w:pPr>
              <w:pStyle w:val="Tabletext"/>
              <w:spacing w:before="20" w:after="20"/>
              <w:ind w:left="278" w:hanging="278"/>
              <w:rPr>
                <w:lang w:val="ru-RU" w:eastAsia="en-GB"/>
              </w:rPr>
            </w:pPr>
            <w:r w:rsidRPr="00521670">
              <w:rPr>
                <w:lang w:val="ru-RU" w:eastAsia="en-GB"/>
              </w:rPr>
              <w:t>−</w:t>
            </w:r>
            <w:r w:rsidRPr="00521670">
              <w:rPr>
                <w:lang w:val="ru-RU" w:eastAsia="en-GB"/>
              </w:rPr>
              <w:tab/>
              <w:t>Прочие доходы по линии возмещения затрат</w:t>
            </w:r>
          </w:p>
        </w:tc>
        <w:tc>
          <w:tcPr>
            <w:tcW w:w="501" w:type="pct"/>
            <w:tcBorders>
              <w:top w:val="nil"/>
              <w:left w:val="nil"/>
              <w:bottom w:val="nil"/>
              <w:right w:val="nil"/>
            </w:tcBorders>
            <w:shd w:val="clear" w:color="auto" w:fill="auto"/>
            <w:noWrap/>
            <w:vAlign w:val="bottom"/>
          </w:tcPr>
          <w:p w14:paraId="53F00791" w14:textId="77777777" w:rsidR="00DF251A" w:rsidRPr="00521670" w:rsidRDefault="00DF251A" w:rsidP="00602C19">
            <w:pPr>
              <w:pStyle w:val="Tabletext"/>
              <w:spacing w:before="20" w:after="20"/>
              <w:jc w:val="right"/>
              <w:rPr>
                <w:lang w:val="ru-RU" w:eastAsia="en-GB"/>
              </w:rPr>
            </w:pPr>
            <w:r w:rsidRPr="00521670">
              <w:rPr>
                <w:lang w:val="ru-RU"/>
              </w:rPr>
              <w:t>553</w:t>
            </w:r>
          </w:p>
        </w:tc>
        <w:tc>
          <w:tcPr>
            <w:tcW w:w="336" w:type="pct"/>
            <w:tcBorders>
              <w:top w:val="nil"/>
              <w:left w:val="nil"/>
              <w:bottom w:val="nil"/>
              <w:right w:val="nil"/>
            </w:tcBorders>
            <w:shd w:val="clear" w:color="auto" w:fill="auto"/>
            <w:noWrap/>
            <w:vAlign w:val="bottom"/>
          </w:tcPr>
          <w:p w14:paraId="3A5F1CF8" w14:textId="77777777" w:rsidR="00DF251A" w:rsidRPr="00521670" w:rsidRDefault="00DF251A" w:rsidP="00602C19">
            <w:pPr>
              <w:pStyle w:val="Tabletext"/>
              <w:spacing w:before="20" w:after="20"/>
              <w:jc w:val="right"/>
              <w:rPr>
                <w:lang w:val="ru-RU" w:eastAsia="en-GB"/>
              </w:rPr>
            </w:pPr>
            <w:r w:rsidRPr="00521670">
              <w:rPr>
                <w:lang w:val="ru-RU"/>
              </w:rPr>
              <w:t>434</w:t>
            </w:r>
          </w:p>
        </w:tc>
        <w:tc>
          <w:tcPr>
            <w:tcW w:w="336" w:type="pct"/>
            <w:tcBorders>
              <w:top w:val="nil"/>
              <w:left w:val="nil"/>
              <w:bottom w:val="nil"/>
              <w:right w:val="nil"/>
            </w:tcBorders>
            <w:shd w:val="clear" w:color="auto" w:fill="auto"/>
            <w:noWrap/>
            <w:vAlign w:val="bottom"/>
          </w:tcPr>
          <w:p w14:paraId="6DE72105" w14:textId="77777777" w:rsidR="00DF251A" w:rsidRPr="00521670" w:rsidRDefault="00DF251A" w:rsidP="00602C19">
            <w:pPr>
              <w:pStyle w:val="Tabletext"/>
              <w:spacing w:before="20" w:after="20"/>
              <w:jc w:val="right"/>
              <w:rPr>
                <w:lang w:val="ru-RU" w:eastAsia="en-GB"/>
              </w:rPr>
            </w:pPr>
            <w:r w:rsidRPr="00521670">
              <w:rPr>
                <w:lang w:val="ru-RU"/>
              </w:rPr>
              <w:t>84</w:t>
            </w:r>
          </w:p>
        </w:tc>
        <w:tc>
          <w:tcPr>
            <w:tcW w:w="338" w:type="pct"/>
            <w:tcBorders>
              <w:top w:val="nil"/>
              <w:left w:val="nil"/>
              <w:bottom w:val="nil"/>
              <w:right w:val="nil"/>
            </w:tcBorders>
            <w:shd w:val="clear" w:color="auto" w:fill="auto"/>
            <w:noWrap/>
            <w:vAlign w:val="bottom"/>
          </w:tcPr>
          <w:p w14:paraId="56EAAF3B" w14:textId="77777777" w:rsidR="00DF251A" w:rsidRPr="00521670" w:rsidRDefault="00DF251A" w:rsidP="00602C19">
            <w:pPr>
              <w:pStyle w:val="Tabletext"/>
              <w:spacing w:before="20" w:after="20"/>
              <w:jc w:val="right"/>
              <w:rPr>
                <w:lang w:val="ru-RU" w:eastAsia="en-GB"/>
              </w:rPr>
            </w:pPr>
            <w:r w:rsidRPr="00521670">
              <w:rPr>
                <w:lang w:val="ru-RU"/>
              </w:rPr>
              <w:t>153</w:t>
            </w:r>
          </w:p>
        </w:tc>
        <w:tc>
          <w:tcPr>
            <w:tcW w:w="461" w:type="pct"/>
            <w:tcBorders>
              <w:top w:val="nil"/>
              <w:left w:val="nil"/>
              <w:bottom w:val="nil"/>
              <w:right w:val="nil"/>
            </w:tcBorders>
            <w:shd w:val="clear" w:color="auto" w:fill="auto"/>
            <w:noWrap/>
            <w:vAlign w:val="bottom"/>
          </w:tcPr>
          <w:p w14:paraId="0451525D" w14:textId="77777777" w:rsidR="00DF251A" w:rsidRPr="00521670" w:rsidRDefault="00DF251A" w:rsidP="00602C19">
            <w:pPr>
              <w:pStyle w:val="Tabletext"/>
              <w:spacing w:before="20" w:after="20"/>
              <w:jc w:val="right"/>
              <w:rPr>
                <w:b/>
                <w:bCs/>
                <w:lang w:val="ru-RU" w:eastAsia="en-GB"/>
              </w:rPr>
            </w:pPr>
            <w:r w:rsidRPr="00521670">
              <w:rPr>
                <w:b/>
                <w:bCs/>
                <w:lang w:val="ru-RU"/>
              </w:rPr>
              <w:t>1 225</w:t>
            </w:r>
          </w:p>
        </w:tc>
        <w:tc>
          <w:tcPr>
            <w:tcW w:w="323" w:type="pct"/>
            <w:tcBorders>
              <w:top w:val="nil"/>
              <w:left w:val="nil"/>
              <w:bottom w:val="nil"/>
              <w:right w:val="nil"/>
            </w:tcBorders>
            <w:shd w:val="clear" w:color="auto" w:fill="auto"/>
            <w:noWrap/>
            <w:vAlign w:val="bottom"/>
          </w:tcPr>
          <w:p w14:paraId="3ED16ACA"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02FA9949"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16" w:type="pct"/>
            <w:tcBorders>
              <w:top w:val="nil"/>
              <w:left w:val="nil"/>
              <w:bottom w:val="nil"/>
              <w:right w:val="nil"/>
            </w:tcBorders>
            <w:shd w:val="clear" w:color="auto" w:fill="auto"/>
            <w:noWrap/>
            <w:vAlign w:val="bottom"/>
          </w:tcPr>
          <w:p w14:paraId="62D72716" w14:textId="77777777" w:rsidR="00DF251A" w:rsidRPr="00521670" w:rsidRDefault="00DF251A" w:rsidP="00602C19">
            <w:pPr>
              <w:pStyle w:val="Tabletext"/>
              <w:spacing w:before="20" w:after="20"/>
              <w:jc w:val="right"/>
              <w:rPr>
                <w:lang w:val="ru-RU" w:eastAsia="en-GB"/>
              </w:rPr>
            </w:pPr>
            <w:r w:rsidRPr="00521670">
              <w:rPr>
                <w:lang w:val="ru-RU"/>
              </w:rPr>
              <w:t>(1 225)</w:t>
            </w:r>
          </w:p>
        </w:tc>
        <w:tc>
          <w:tcPr>
            <w:tcW w:w="377" w:type="pct"/>
            <w:tcBorders>
              <w:top w:val="nil"/>
              <w:left w:val="nil"/>
              <w:bottom w:val="nil"/>
              <w:right w:val="nil"/>
            </w:tcBorders>
            <w:shd w:val="clear" w:color="auto" w:fill="auto"/>
            <w:noWrap/>
            <w:vAlign w:val="bottom"/>
          </w:tcPr>
          <w:p w14:paraId="73035F3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0</w:t>
            </w:r>
          </w:p>
        </w:tc>
      </w:tr>
      <w:tr w:rsidR="00DF251A" w:rsidRPr="00521670" w14:paraId="3CBA8A29" w14:textId="77777777" w:rsidTr="00602C19">
        <w:tc>
          <w:tcPr>
            <w:tcW w:w="1476" w:type="pct"/>
            <w:tcBorders>
              <w:top w:val="nil"/>
              <w:left w:val="nil"/>
              <w:bottom w:val="nil"/>
              <w:right w:val="nil"/>
            </w:tcBorders>
            <w:shd w:val="clear" w:color="auto" w:fill="auto"/>
            <w:noWrap/>
            <w:hideMark/>
          </w:tcPr>
          <w:p w14:paraId="4649287E" w14:textId="77777777" w:rsidR="00DF251A" w:rsidRPr="00521670" w:rsidRDefault="00DF251A" w:rsidP="00602C19">
            <w:pPr>
              <w:pStyle w:val="Tabletext"/>
              <w:spacing w:before="20" w:after="20"/>
              <w:rPr>
                <w:lang w:val="ru-RU" w:eastAsia="en-GB"/>
              </w:rPr>
            </w:pPr>
            <w:r w:rsidRPr="00521670">
              <w:rPr>
                <w:lang w:val="ru-RU" w:eastAsia="en-GB"/>
              </w:rPr>
              <w:t>−</w:t>
            </w:r>
            <w:r w:rsidRPr="00521670">
              <w:rPr>
                <w:lang w:val="ru-RU" w:eastAsia="en-GB"/>
              </w:rPr>
              <w:tab/>
              <w:t>Прочие доходы</w:t>
            </w:r>
          </w:p>
        </w:tc>
        <w:tc>
          <w:tcPr>
            <w:tcW w:w="501" w:type="pct"/>
            <w:tcBorders>
              <w:top w:val="nil"/>
              <w:left w:val="nil"/>
              <w:bottom w:val="nil"/>
              <w:right w:val="nil"/>
            </w:tcBorders>
            <w:shd w:val="clear" w:color="auto" w:fill="auto"/>
            <w:noWrap/>
            <w:vAlign w:val="bottom"/>
          </w:tcPr>
          <w:p w14:paraId="7FA33AFE" w14:textId="77777777" w:rsidR="00DF251A" w:rsidRPr="00521670" w:rsidRDefault="00DF251A" w:rsidP="00602C19">
            <w:pPr>
              <w:pStyle w:val="Tabletext"/>
              <w:spacing w:before="20" w:after="20"/>
              <w:jc w:val="right"/>
              <w:rPr>
                <w:lang w:val="ru-RU" w:eastAsia="en-GB"/>
              </w:rPr>
            </w:pPr>
            <w:r w:rsidRPr="00521670">
              <w:rPr>
                <w:lang w:val="ru-RU"/>
              </w:rPr>
              <w:t>−</w:t>
            </w:r>
          </w:p>
        </w:tc>
        <w:tc>
          <w:tcPr>
            <w:tcW w:w="336" w:type="pct"/>
            <w:tcBorders>
              <w:top w:val="nil"/>
              <w:left w:val="nil"/>
              <w:bottom w:val="nil"/>
              <w:right w:val="nil"/>
            </w:tcBorders>
            <w:shd w:val="clear" w:color="auto" w:fill="auto"/>
            <w:noWrap/>
            <w:vAlign w:val="bottom"/>
          </w:tcPr>
          <w:p w14:paraId="341B1E95" w14:textId="77777777" w:rsidR="00DF251A" w:rsidRPr="00521670" w:rsidRDefault="00DF251A" w:rsidP="00602C19">
            <w:pPr>
              <w:pStyle w:val="Tabletext"/>
              <w:spacing w:before="20" w:after="20"/>
              <w:jc w:val="right"/>
              <w:rPr>
                <w:lang w:val="ru-RU" w:eastAsia="en-GB"/>
              </w:rPr>
            </w:pPr>
            <w:r w:rsidRPr="00521670">
              <w:rPr>
                <w:lang w:val="ru-RU"/>
              </w:rPr>
              <w:t>−</w:t>
            </w:r>
          </w:p>
        </w:tc>
        <w:tc>
          <w:tcPr>
            <w:tcW w:w="336" w:type="pct"/>
            <w:tcBorders>
              <w:top w:val="nil"/>
              <w:left w:val="nil"/>
              <w:bottom w:val="nil"/>
              <w:right w:val="nil"/>
            </w:tcBorders>
            <w:shd w:val="clear" w:color="auto" w:fill="auto"/>
            <w:noWrap/>
            <w:vAlign w:val="bottom"/>
          </w:tcPr>
          <w:p w14:paraId="0F70FACC" w14:textId="77777777" w:rsidR="00DF251A" w:rsidRPr="00521670" w:rsidRDefault="00DF251A" w:rsidP="00602C19">
            <w:pPr>
              <w:pStyle w:val="Tabletext"/>
              <w:spacing w:before="20" w:after="20"/>
              <w:jc w:val="right"/>
              <w:rPr>
                <w:lang w:val="ru-RU" w:eastAsia="en-GB"/>
              </w:rPr>
            </w:pPr>
            <w:r w:rsidRPr="00521670">
              <w:rPr>
                <w:lang w:val="ru-RU" w:eastAsia="en-GB"/>
              </w:rPr>
              <w:t>−</w:t>
            </w:r>
          </w:p>
        </w:tc>
        <w:tc>
          <w:tcPr>
            <w:tcW w:w="338" w:type="pct"/>
            <w:tcBorders>
              <w:top w:val="nil"/>
              <w:left w:val="nil"/>
              <w:bottom w:val="nil"/>
              <w:right w:val="nil"/>
            </w:tcBorders>
            <w:shd w:val="clear" w:color="auto" w:fill="auto"/>
            <w:noWrap/>
            <w:vAlign w:val="bottom"/>
          </w:tcPr>
          <w:p w14:paraId="7C520E37" w14:textId="77777777" w:rsidR="00DF251A" w:rsidRPr="00521670" w:rsidRDefault="00DF251A" w:rsidP="00602C19">
            <w:pPr>
              <w:pStyle w:val="Tabletext"/>
              <w:spacing w:before="20" w:after="20"/>
              <w:jc w:val="right"/>
              <w:rPr>
                <w:lang w:val="ru-RU" w:eastAsia="en-GB"/>
              </w:rPr>
            </w:pPr>
            <w:r w:rsidRPr="00521670">
              <w:rPr>
                <w:lang w:val="ru-RU" w:eastAsia="en-GB"/>
              </w:rPr>
              <w:t>−</w:t>
            </w:r>
          </w:p>
        </w:tc>
        <w:tc>
          <w:tcPr>
            <w:tcW w:w="461" w:type="pct"/>
            <w:tcBorders>
              <w:top w:val="nil"/>
              <w:left w:val="nil"/>
              <w:bottom w:val="nil"/>
              <w:right w:val="nil"/>
            </w:tcBorders>
            <w:shd w:val="clear" w:color="auto" w:fill="auto"/>
            <w:noWrap/>
            <w:vAlign w:val="bottom"/>
          </w:tcPr>
          <w:p w14:paraId="72F85754" w14:textId="77777777" w:rsidR="00DF251A" w:rsidRPr="00521670" w:rsidRDefault="00DF251A" w:rsidP="00602C19">
            <w:pPr>
              <w:pStyle w:val="Tabletext"/>
              <w:spacing w:before="20" w:after="20"/>
              <w:jc w:val="right"/>
              <w:rPr>
                <w:b/>
                <w:bCs/>
                <w:lang w:val="ru-RU" w:eastAsia="en-GB"/>
              </w:rPr>
            </w:pPr>
            <w:r w:rsidRPr="00521670">
              <w:rPr>
                <w:b/>
                <w:bCs/>
                <w:lang w:val="ru-RU" w:eastAsia="en-GB"/>
              </w:rPr>
              <w:t>−</w:t>
            </w:r>
          </w:p>
        </w:tc>
        <w:tc>
          <w:tcPr>
            <w:tcW w:w="323" w:type="pct"/>
            <w:tcBorders>
              <w:top w:val="nil"/>
              <w:left w:val="nil"/>
              <w:bottom w:val="nil"/>
              <w:right w:val="nil"/>
            </w:tcBorders>
            <w:shd w:val="clear" w:color="auto" w:fill="auto"/>
            <w:noWrap/>
            <w:vAlign w:val="bottom"/>
          </w:tcPr>
          <w:p w14:paraId="3C3B1B64" w14:textId="77777777" w:rsidR="00DF251A" w:rsidRPr="00521670" w:rsidRDefault="00DF251A" w:rsidP="00602C19">
            <w:pPr>
              <w:pStyle w:val="Tabletext"/>
              <w:spacing w:before="20" w:after="20"/>
              <w:jc w:val="right"/>
              <w:rPr>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42969821" w14:textId="77777777" w:rsidR="00DF251A" w:rsidRPr="00521670" w:rsidRDefault="00DF251A" w:rsidP="00602C19">
            <w:pPr>
              <w:pStyle w:val="Tabletext"/>
              <w:spacing w:before="20" w:after="20"/>
              <w:jc w:val="right"/>
              <w:rPr>
                <w:lang w:val="ru-RU" w:eastAsia="en-GB"/>
              </w:rPr>
            </w:pPr>
            <w:r w:rsidRPr="00521670">
              <w:rPr>
                <w:lang w:val="ru-RU"/>
              </w:rPr>
              <w:t>4 023</w:t>
            </w:r>
          </w:p>
        </w:tc>
        <w:tc>
          <w:tcPr>
            <w:tcW w:w="416" w:type="pct"/>
            <w:tcBorders>
              <w:top w:val="nil"/>
              <w:left w:val="nil"/>
              <w:bottom w:val="nil"/>
              <w:right w:val="nil"/>
            </w:tcBorders>
            <w:shd w:val="clear" w:color="auto" w:fill="auto"/>
            <w:noWrap/>
            <w:vAlign w:val="bottom"/>
          </w:tcPr>
          <w:p w14:paraId="26570ACC"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744601A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4 023</w:t>
            </w:r>
          </w:p>
        </w:tc>
      </w:tr>
      <w:tr w:rsidR="00DF251A" w:rsidRPr="00521670" w14:paraId="6D50A2B7" w14:textId="77777777" w:rsidTr="00602C19">
        <w:tc>
          <w:tcPr>
            <w:tcW w:w="1476" w:type="pct"/>
            <w:tcBorders>
              <w:top w:val="nil"/>
              <w:left w:val="nil"/>
              <w:bottom w:val="nil"/>
              <w:right w:val="nil"/>
            </w:tcBorders>
            <w:shd w:val="clear" w:color="auto" w:fill="auto"/>
            <w:noWrap/>
            <w:hideMark/>
          </w:tcPr>
          <w:p w14:paraId="5B5311BF" w14:textId="77777777" w:rsidR="00DF251A" w:rsidRPr="00521670" w:rsidRDefault="00DF251A" w:rsidP="00602C19">
            <w:pPr>
              <w:pStyle w:val="Tabletext"/>
              <w:spacing w:before="20" w:after="20"/>
              <w:rPr>
                <w:b/>
                <w:bCs/>
                <w:color w:val="000000"/>
                <w:lang w:val="ru-RU" w:eastAsia="en-GB"/>
              </w:rPr>
            </w:pPr>
            <w:r w:rsidRPr="00521670">
              <w:rPr>
                <w:b/>
                <w:bCs/>
                <w:color w:val="000000"/>
                <w:lang w:val="ru-RU" w:eastAsia="en-GB"/>
              </w:rPr>
              <w:t>Всего: доходы</w:t>
            </w:r>
          </w:p>
        </w:tc>
        <w:tc>
          <w:tcPr>
            <w:tcW w:w="501" w:type="pct"/>
            <w:tcBorders>
              <w:top w:val="nil"/>
              <w:left w:val="nil"/>
              <w:bottom w:val="nil"/>
              <w:right w:val="nil"/>
            </w:tcBorders>
            <w:shd w:val="clear" w:color="auto" w:fill="auto"/>
            <w:noWrap/>
            <w:vAlign w:val="bottom"/>
          </w:tcPr>
          <w:p w14:paraId="1CDCB7D6"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63 015</w:t>
            </w:r>
          </w:p>
        </w:tc>
        <w:tc>
          <w:tcPr>
            <w:tcW w:w="336" w:type="pct"/>
            <w:tcBorders>
              <w:top w:val="nil"/>
              <w:left w:val="nil"/>
              <w:bottom w:val="nil"/>
              <w:right w:val="nil"/>
            </w:tcBorders>
            <w:shd w:val="clear" w:color="auto" w:fill="auto"/>
            <w:noWrap/>
            <w:vAlign w:val="bottom"/>
          </w:tcPr>
          <w:p w14:paraId="5A855259"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55 205</w:t>
            </w:r>
          </w:p>
        </w:tc>
        <w:tc>
          <w:tcPr>
            <w:tcW w:w="336" w:type="pct"/>
            <w:tcBorders>
              <w:top w:val="nil"/>
              <w:left w:val="nil"/>
              <w:bottom w:val="nil"/>
              <w:right w:val="nil"/>
            </w:tcBorders>
            <w:shd w:val="clear" w:color="auto" w:fill="auto"/>
            <w:noWrap/>
            <w:vAlign w:val="bottom"/>
          </w:tcPr>
          <w:p w14:paraId="47B516B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19 884</w:t>
            </w:r>
          </w:p>
        </w:tc>
        <w:tc>
          <w:tcPr>
            <w:tcW w:w="338" w:type="pct"/>
            <w:tcBorders>
              <w:top w:val="nil"/>
              <w:left w:val="nil"/>
              <w:bottom w:val="nil"/>
              <w:right w:val="nil"/>
            </w:tcBorders>
            <w:shd w:val="clear" w:color="auto" w:fill="auto"/>
            <w:noWrap/>
            <w:vAlign w:val="bottom"/>
          </w:tcPr>
          <w:p w14:paraId="09356A63"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22 938</w:t>
            </w:r>
          </w:p>
        </w:tc>
        <w:tc>
          <w:tcPr>
            <w:tcW w:w="461" w:type="pct"/>
            <w:tcBorders>
              <w:top w:val="nil"/>
              <w:left w:val="nil"/>
              <w:bottom w:val="nil"/>
              <w:right w:val="nil"/>
            </w:tcBorders>
            <w:shd w:val="clear" w:color="auto" w:fill="auto"/>
            <w:noWrap/>
            <w:vAlign w:val="bottom"/>
          </w:tcPr>
          <w:p w14:paraId="613F0DC3" w14:textId="77777777" w:rsidR="00DF251A" w:rsidRPr="00521670" w:rsidRDefault="00DF251A" w:rsidP="00602C19">
            <w:pPr>
              <w:pStyle w:val="Tabletext"/>
              <w:spacing w:before="20" w:after="20"/>
              <w:jc w:val="right"/>
              <w:rPr>
                <w:b/>
                <w:bCs/>
                <w:lang w:val="ru-RU" w:eastAsia="en-GB"/>
              </w:rPr>
            </w:pPr>
            <w:r w:rsidRPr="00521670">
              <w:rPr>
                <w:b/>
                <w:bCs/>
                <w:lang w:val="ru-RU"/>
              </w:rPr>
              <w:t>161 042</w:t>
            </w:r>
          </w:p>
        </w:tc>
        <w:tc>
          <w:tcPr>
            <w:tcW w:w="323" w:type="pct"/>
            <w:tcBorders>
              <w:top w:val="nil"/>
              <w:left w:val="nil"/>
              <w:bottom w:val="nil"/>
              <w:right w:val="nil"/>
            </w:tcBorders>
            <w:shd w:val="clear" w:color="auto" w:fill="auto"/>
            <w:noWrap/>
            <w:vAlign w:val="bottom"/>
          </w:tcPr>
          <w:p w14:paraId="4AFFDBB7" w14:textId="77777777" w:rsidR="00DF251A" w:rsidRPr="00521670" w:rsidRDefault="00DF251A" w:rsidP="00602C19">
            <w:pPr>
              <w:pStyle w:val="Tabletext"/>
              <w:spacing w:before="20" w:after="20"/>
              <w:jc w:val="right"/>
              <w:rPr>
                <w:b/>
                <w:bCs/>
                <w:color w:val="000000"/>
                <w:lang w:val="ru-RU" w:eastAsia="en-GB"/>
              </w:rPr>
            </w:pPr>
            <w:r w:rsidRPr="00521670">
              <w:rPr>
                <w:rFonts w:ascii="Times New Roman" w:hAnsi="Times New Roman"/>
                <w:b/>
                <w:bCs/>
                <w:lang w:val="ru-RU" w:eastAsia="en-GB"/>
              </w:rPr>
              <w:t>−</w:t>
            </w:r>
          </w:p>
        </w:tc>
        <w:tc>
          <w:tcPr>
            <w:tcW w:w="436" w:type="pct"/>
            <w:tcBorders>
              <w:top w:val="nil"/>
              <w:left w:val="nil"/>
              <w:bottom w:val="nil"/>
              <w:right w:val="nil"/>
            </w:tcBorders>
            <w:shd w:val="clear" w:color="auto" w:fill="auto"/>
            <w:noWrap/>
            <w:vAlign w:val="bottom"/>
          </w:tcPr>
          <w:p w14:paraId="549CC835"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24 831</w:t>
            </w:r>
          </w:p>
        </w:tc>
        <w:tc>
          <w:tcPr>
            <w:tcW w:w="416" w:type="pct"/>
            <w:tcBorders>
              <w:top w:val="nil"/>
              <w:left w:val="nil"/>
              <w:bottom w:val="nil"/>
              <w:right w:val="nil"/>
            </w:tcBorders>
            <w:shd w:val="clear" w:color="auto" w:fill="auto"/>
            <w:noWrap/>
            <w:vAlign w:val="bottom"/>
          </w:tcPr>
          <w:p w14:paraId="1DB9731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(1 225)</w:t>
            </w:r>
          </w:p>
        </w:tc>
        <w:tc>
          <w:tcPr>
            <w:tcW w:w="377" w:type="pct"/>
            <w:tcBorders>
              <w:top w:val="nil"/>
              <w:left w:val="nil"/>
              <w:bottom w:val="nil"/>
              <w:right w:val="nil"/>
            </w:tcBorders>
            <w:shd w:val="clear" w:color="auto" w:fill="auto"/>
            <w:noWrap/>
            <w:vAlign w:val="bottom"/>
          </w:tcPr>
          <w:p w14:paraId="6E813163"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184 648</w:t>
            </w:r>
          </w:p>
        </w:tc>
      </w:tr>
      <w:tr w:rsidR="00DF251A" w:rsidRPr="00521670" w14:paraId="78707E82" w14:textId="77777777" w:rsidTr="00602C19">
        <w:tc>
          <w:tcPr>
            <w:tcW w:w="1476" w:type="pct"/>
            <w:tcBorders>
              <w:top w:val="nil"/>
              <w:left w:val="nil"/>
              <w:bottom w:val="nil"/>
              <w:right w:val="nil"/>
            </w:tcBorders>
            <w:shd w:val="clear" w:color="auto" w:fill="auto"/>
            <w:noWrap/>
            <w:hideMark/>
          </w:tcPr>
          <w:p w14:paraId="497F3B25" w14:textId="77777777" w:rsidR="00DF251A" w:rsidRPr="00521670" w:rsidRDefault="00DF251A" w:rsidP="00602C19">
            <w:pPr>
              <w:pStyle w:val="Tabletext"/>
              <w:spacing w:before="20" w:after="20"/>
              <w:rPr>
                <w:color w:val="000000"/>
                <w:lang w:val="ru-RU" w:eastAsia="en-GB"/>
              </w:rPr>
            </w:pPr>
          </w:p>
        </w:tc>
        <w:tc>
          <w:tcPr>
            <w:tcW w:w="501" w:type="pct"/>
            <w:tcBorders>
              <w:top w:val="nil"/>
              <w:left w:val="nil"/>
              <w:bottom w:val="nil"/>
              <w:right w:val="nil"/>
            </w:tcBorders>
            <w:shd w:val="clear" w:color="auto" w:fill="auto"/>
            <w:noWrap/>
            <w:vAlign w:val="bottom"/>
          </w:tcPr>
          <w:p w14:paraId="310CCD3D"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tcPr>
          <w:p w14:paraId="532A6BFC"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tcPr>
          <w:p w14:paraId="1D7D7FAF" w14:textId="77777777" w:rsidR="00DF251A" w:rsidRPr="00521670" w:rsidRDefault="00DF251A" w:rsidP="00602C19">
            <w:pPr>
              <w:pStyle w:val="Tabletext"/>
              <w:spacing w:before="20" w:after="20"/>
              <w:jc w:val="right"/>
              <w:rPr>
                <w:rFonts w:ascii="Times New Roman" w:hAnsi="Times New Roman"/>
                <w:lang w:val="ru-RU" w:eastAsia="en-GB"/>
              </w:rPr>
            </w:pPr>
          </w:p>
        </w:tc>
        <w:tc>
          <w:tcPr>
            <w:tcW w:w="338" w:type="pct"/>
            <w:tcBorders>
              <w:top w:val="nil"/>
              <w:left w:val="nil"/>
              <w:bottom w:val="nil"/>
              <w:right w:val="nil"/>
            </w:tcBorders>
            <w:shd w:val="clear" w:color="auto" w:fill="auto"/>
            <w:noWrap/>
            <w:vAlign w:val="bottom"/>
          </w:tcPr>
          <w:p w14:paraId="72982DF2" w14:textId="77777777" w:rsidR="00DF251A" w:rsidRPr="00521670" w:rsidRDefault="00DF251A" w:rsidP="00602C19">
            <w:pPr>
              <w:pStyle w:val="Tabletext"/>
              <w:spacing w:before="20" w:after="20"/>
              <w:jc w:val="right"/>
              <w:rPr>
                <w:rFonts w:ascii="Times New Roman" w:hAnsi="Times New Roman"/>
                <w:lang w:val="ru-RU" w:eastAsia="en-GB"/>
              </w:rPr>
            </w:pPr>
          </w:p>
        </w:tc>
        <w:tc>
          <w:tcPr>
            <w:tcW w:w="461" w:type="pct"/>
            <w:tcBorders>
              <w:top w:val="nil"/>
              <w:left w:val="nil"/>
              <w:bottom w:val="nil"/>
              <w:right w:val="nil"/>
            </w:tcBorders>
            <w:shd w:val="clear" w:color="auto" w:fill="auto"/>
            <w:noWrap/>
            <w:vAlign w:val="bottom"/>
          </w:tcPr>
          <w:p w14:paraId="532780CB" w14:textId="77777777" w:rsidR="00DF251A" w:rsidRPr="00521670" w:rsidRDefault="00DF251A" w:rsidP="00602C19">
            <w:pPr>
              <w:pStyle w:val="Tabletext"/>
              <w:spacing w:before="20" w:after="20"/>
              <w:jc w:val="right"/>
              <w:rPr>
                <w:rFonts w:ascii="Times New Roman" w:hAnsi="Times New Roman"/>
                <w:b/>
                <w:bCs/>
                <w:lang w:val="ru-RU" w:eastAsia="en-GB"/>
              </w:rPr>
            </w:pPr>
          </w:p>
        </w:tc>
        <w:tc>
          <w:tcPr>
            <w:tcW w:w="323" w:type="pct"/>
            <w:tcBorders>
              <w:top w:val="nil"/>
              <w:left w:val="nil"/>
              <w:bottom w:val="nil"/>
              <w:right w:val="nil"/>
            </w:tcBorders>
            <w:shd w:val="clear" w:color="auto" w:fill="auto"/>
            <w:noWrap/>
            <w:vAlign w:val="bottom"/>
          </w:tcPr>
          <w:p w14:paraId="2D84CA88" w14:textId="77777777" w:rsidR="00DF251A" w:rsidRPr="00521670" w:rsidRDefault="00DF251A" w:rsidP="00602C19">
            <w:pPr>
              <w:pStyle w:val="Tabletext"/>
              <w:spacing w:before="20" w:after="20"/>
              <w:jc w:val="right"/>
              <w:rPr>
                <w:rFonts w:ascii="Times New Roman" w:hAnsi="Times New Roman"/>
                <w:lang w:val="ru-RU" w:eastAsia="en-GB"/>
              </w:rPr>
            </w:pPr>
          </w:p>
        </w:tc>
        <w:tc>
          <w:tcPr>
            <w:tcW w:w="436" w:type="pct"/>
            <w:tcBorders>
              <w:top w:val="nil"/>
              <w:left w:val="nil"/>
              <w:bottom w:val="nil"/>
              <w:right w:val="nil"/>
            </w:tcBorders>
            <w:shd w:val="clear" w:color="auto" w:fill="auto"/>
            <w:noWrap/>
            <w:vAlign w:val="bottom"/>
          </w:tcPr>
          <w:p w14:paraId="5A5A94A1" w14:textId="77777777" w:rsidR="00DF251A" w:rsidRPr="00521670" w:rsidRDefault="00DF251A" w:rsidP="00602C19">
            <w:pPr>
              <w:pStyle w:val="Tabletext"/>
              <w:spacing w:before="20" w:after="20"/>
              <w:jc w:val="right"/>
              <w:rPr>
                <w:rFonts w:ascii="Times New Roman" w:hAnsi="Times New Roman"/>
                <w:lang w:val="ru-RU" w:eastAsia="en-GB"/>
              </w:rPr>
            </w:pPr>
          </w:p>
        </w:tc>
        <w:tc>
          <w:tcPr>
            <w:tcW w:w="416" w:type="pct"/>
            <w:tcBorders>
              <w:top w:val="nil"/>
              <w:left w:val="nil"/>
              <w:bottom w:val="nil"/>
              <w:right w:val="nil"/>
            </w:tcBorders>
            <w:shd w:val="clear" w:color="auto" w:fill="auto"/>
            <w:noWrap/>
            <w:vAlign w:val="bottom"/>
          </w:tcPr>
          <w:p w14:paraId="6004BA6E" w14:textId="77777777" w:rsidR="00DF251A" w:rsidRPr="00521670" w:rsidRDefault="00DF251A" w:rsidP="00602C19">
            <w:pPr>
              <w:pStyle w:val="Tabletext"/>
              <w:spacing w:before="20" w:after="20"/>
              <w:jc w:val="right"/>
              <w:rPr>
                <w:rFonts w:ascii="Times New Roman" w:hAnsi="Times New Roman"/>
                <w:lang w:val="ru-RU" w:eastAsia="en-GB"/>
              </w:rPr>
            </w:pPr>
          </w:p>
        </w:tc>
        <w:tc>
          <w:tcPr>
            <w:tcW w:w="377" w:type="pct"/>
            <w:tcBorders>
              <w:top w:val="nil"/>
              <w:left w:val="nil"/>
              <w:bottom w:val="nil"/>
              <w:right w:val="nil"/>
            </w:tcBorders>
            <w:shd w:val="clear" w:color="auto" w:fill="auto"/>
            <w:noWrap/>
            <w:vAlign w:val="bottom"/>
          </w:tcPr>
          <w:p w14:paraId="3070F4EA" w14:textId="77777777" w:rsidR="00DF251A" w:rsidRPr="00521670" w:rsidRDefault="00DF251A" w:rsidP="00602C19">
            <w:pPr>
              <w:pStyle w:val="Tabletext"/>
              <w:spacing w:before="20" w:after="20"/>
              <w:jc w:val="right"/>
              <w:rPr>
                <w:rFonts w:ascii="Times New Roman" w:hAnsi="Times New Roman"/>
                <w:b/>
                <w:bCs/>
                <w:lang w:val="ru-RU" w:eastAsia="en-GB"/>
              </w:rPr>
            </w:pPr>
          </w:p>
        </w:tc>
      </w:tr>
      <w:tr w:rsidR="00DF251A" w:rsidRPr="00521670" w14:paraId="6DA0448C" w14:textId="77777777" w:rsidTr="00602C19">
        <w:tc>
          <w:tcPr>
            <w:tcW w:w="1476" w:type="pct"/>
            <w:tcBorders>
              <w:top w:val="nil"/>
              <w:left w:val="nil"/>
              <w:bottom w:val="nil"/>
              <w:right w:val="nil"/>
            </w:tcBorders>
            <w:shd w:val="clear" w:color="auto" w:fill="auto"/>
            <w:hideMark/>
          </w:tcPr>
          <w:p w14:paraId="0EB248B3" w14:textId="77777777" w:rsidR="00DF251A" w:rsidRPr="00521670" w:rsidRDefault="00DF251A" w:rsidP="00602C19">
            <w:pPr>
              <w:pStyle w:val="Tabletext"/>
              <w:spacing w:before="20" w:after="20"/>
              <w:rPr>
                <w:b/>
                <w:bCs/>
                <w:color w:val="000000"/>
                <w:lang w:val="ru-RU" w:eastAsia="en-GB"/>
              </w:rPr>
            </w:pPr>
            <w:r w:rsidRPr="00521670">
              <w:rPr>
                <w:b/>
                <w:bCs/>
                <w:color w:val="000000"/>
                <w:lang w:val="ru-RU" w:eastAsia="en-GB"/>
              </w:rPr>
              <w:t>РАСХОДЫ</w:t>
            </w:r>
          </w:p>
        </w:tc>
        <w:tc>
          <w:tcPr>
            <w:tcW w:w="501" w:type="pct"/>
            <w:tcBorders>
              <w:top w:val="nil"/>
              <w:left w:val="nil"/>
              <w:bottom w:val="nil"/>
              <w:right w:val="nil"/>
            </w:tcBorders>
            <w:shd w:val="clear" w:color="auto" w:fill="auto"/>
            <w:noWrap/>
            <w:vAlign w:val="bottom"/>
          </w:tcPr>
          <w:p w14:paraId="689BBE16"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tcPr>
          <w:p w14:paraId="39D841A3"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tcPr>
          <w:p w14:paraId="385AD66B" w14:textId="77777777" w:rsidR="00DF251A" w:rsidRPr="00521670" w:rsidRDefault="00DF251A" w:rsidP="00602C19">
            <w:pPr>
              <w:pStyle w:val="Tabletext"/>
              <w:spacing w:before="20" w:after="20"/>
              <w:jc w:val="right"/>
              <w:rPr>
                <w:rFonts w:ascii="Times New Roman" w:hAnsi="Times New Roman"/>
                <w:lang w:val="ru-RU" w:eastAsia="en-GB"/>
              </w:rPr>
            </w:pPr>
          </w:p>
        </w:tc>
        <w:tc>
          <w:tcPr>
            <w:tcW w:w="338" w:type="pct"/>
            <w:tcBorders>
              <w:top w:val="nil"/>
              <w:left w:val="nil"/>
              <w:bottom w:val="nil"/>
              <w:right w:val="nil"/>
            </w:tcBorders>
            <w:shd w:val="clear" w:color="auto" w:fill="auto"/>
            <w:noWrap/>
            <w:vAlign w:val="bottom"/>
          </w:tcPr>
          <w:p w14:paraId="0FE0964C" w14:textId="77777777" w:rsidR="00DF251A" w:rsidRPr="00521670" w:rsidRDefault="00DF251A" w:rsidP="00602C19">
            <w:pPr>
              <w:pStyle w:val="Tabletext"/>
              <w:spacing w:before="20" w:after="20"/>
              <w:jc w:val="right"/>
              <w:rPr>
                <w:rFonts w:ascii="Times New Roman" w:hAnsi="Times New Roman"/>
                <w:lang w:val="ru-RU" w:eastAsia="en-GB"/>
              </w:rPr>
            </w:pPr>
          </w:p>
        </w:tc>
        <w:tc>
          <w:tcPr>
            <w:tcW w:w="461" w:type="pct"/>
            <w:tcBorders>
              <w:top w:val="nil"/>
              <w:left w:val="nil"/>
              <w:bottom w:val="nil"/>
              <w:right w:val="nil"/>
            </w:tcBorders>
            <w:shd w:val="clear" w:color="auto" w:fill="auto"/>
            <w:noWrap/>
            <w:vAlign w:val="bottom"/>
          </w:tcPr>
          <w:p w14:paraId="35F2A9C4" w14:textId="77777777" w:rsidR="00DF251A" w:rsidRPr="00521670" w:rsidRDefault="00DF251A" w:rsidP="00602C19">
            <w:pPr>
              <w:pStyle w:val="Tabletext"/>
              <w:spacing w:before="20" w:after="20"/>
              <w:jc w:val="right"/>
              <w:rPr>
                <w:rFonts w:ascii="Times New Roman" w:hAnsi="Times New Roman"/>
                <w:b/>
                <w:bCs/>
                <w:lang w:val="ru-RU" w:eastAsia="en-GB"/>
              </w:rPr>
            </w:pPr>
          </w:p>
        </w:tc>
        <w:tc>
          <w:tcPr>
            <w:tcW w:w="323" w:type="pct"/>
            <w:tcBorders>
              <w:top w:val="nil"/>
              <w:left w:val="nil"/>
              <w:bottom w:val="nil"/>
              <w:right w:val="nil"/>
            </w:tcBorders>
            <w:shd w:val="clear" w:color="auto" w:fill="auto"/>
            <w:noWrap/>
            <w:vAlign w:val="bottom"/>
          </w:tcPr>
          <w:p w14:paraId="39679AF9" w14:textId="77777777" w:rsidR="00DF251A" w:rsidRPr="00521670" w:rsidRDefault="00DF251A" w:rsidP="00602C19">
            <w:pPr>
              <w:pStyle w:val="Tabletext"/>
              <w:spacing w:before="20" w:after="20"/>
              <w:jc w:val="right"/>
              <w:rPr>
                <w:rFonts w:ascii="Times New Roman" w:hAnsi="Times New Roman"/>
                <w:lang w:val="ru-RU" w:eastAsia="en-GB"/>
              </w:rPr>
            </w:pPr>
          </w:p>
        </w:tc>
        <w:tc>
          <w:tcPr>
            <w:tcW w:w="436" w:type="pct"/>
            <w:tcBorders>
              <w:top w:val="nil"/>
              <w:left w:val="nil"/>
              <w:bottom w:val="nil"/>
              <w:right w:val="nil"/>
            </w:tcBorders>
            <w:shd w:val="clear" w:color="auto" w:fill="auto"/>
            <w:noWrap/>
            <w:vAlign w:val="bottom"/>
          </w:tcPr>
          <w:p w14:paraId="56B102F8" w14:textId="77777777" w:rsidR="00DF251A" w:rsidRPr="00521670" w:rsidRDefault="00DF251A" w:rsidP="00602C19">
            <w:pPr>
              <w:pStyle w:val="Tabletext"/>
              <w:spacing w:before="20" w:after="20"/>
              <w:jc w:val="right"/>
              <w:rPr>
                <w:rFonts w:ascii="Times New Roman" w:hAnsi="Times New Roman"/>
                <w:lang w:val="ru-RU" w:eastAsia="en-GB"/>
              </w:rPr>
            </w:pPr>
          </w:p>
        </w:tc>
        <w:tc>
          <w:tcPr>
            <w:tcW w:w="416" w:type="pct"/>
            <w:tcBorders>
              <w:top w:val="nil"/>
              <w:left w:val="nil"/>
              <w:bottom w:val="nil"/>
              <w:right w:val="nil"/>
            </w:tcBorders>
            <w:shd w:val="clear" w:color="auto" w:fill="auto"/>
            <w:noWrap/>
            <w:vAlign w:val="bottom"/>
          </w:tcPr>
          <w:p w14:paraId="5FCBCCFE" w14:textId="77777777" w:rsidR="00DF251A" w:rsidRPr="00521670" w:rsidRDefault="00DF251A" w:rsidP="00602C19">
            <w:pPr>
              <w:pStyle w:val="Tabletext"/>
              <w:spacing w:before="20" w:after="20"/>
              <w:jc w:val="right"/>
              <w:rPr>
                <w:rFonts w:ascii="Times New Roman" w:hAnsi="Times New Roman"/>
                <w:lang w:val="ru-RU" w:eastAsia="en-GB"/>
              </w:rPr>
            </w:pPr>
          </w:p>
        </w:tc>
        <w:tc>
          <w:tcPr>
            <w:tcW w:w="377" w:type="pct"/>
            <w:tcBorders>
              <w:top w:val="nil"/>
              <w:left w:val="nil"/>
              <w:bottom w:val="nil"/>
              <w:right w:val="nil"/>
            </w:tcBorders>
            <w:shd w:val="clear" w:color="auto" w:fill="auto"/>
            <w:noWrap/>
            <w:vAlign w:val="bottom"/>
          </w:tcPr>
          <w:p w14:paraId="28841181" w14:textId="77777777" w:rsidR="00DF251A" w:rsidRPr="00521670" w:rsidRDefault="00DF251A" w:rsidP="00602C19">
            <w:pPr>
              <w:pStyle w:val="Tabletext"/>
              <w:spacing w:before="20" w:after="20"/>
              <w:jc w:val="right"/>
              <w:rPr>
                <w:rFonts w:ascii="Times New Roman" w:hAnsi="Times New Roman"/>
                <w:b/>
                <w:bCs/>
                <w:lang w:val="ru-RU" w:eastAsia="en-GB"/>
              </w:rPr>
            </w:pPr>
          </w:p>
        </w:tc>
      </w:tr>
      <w:tr w:rsidR="00DF251A" w:rsidRPr="00521670" w14:paraId="4054558C" w14:textId="77777777" w:rsidTr="00602C19">
        <w:tc>
          <w:tcPr>
            <w:tcW w:w="1476" w:type="pct"/>
            <w:tcBorders>
              <w:top w:val="nil"/>
              <w:left w:val="nil"/>
              <w:bottom w:val="nil"/>
              <w:right w:val="nil"/>
            </w:tcBorders>
            <w:shd w:val="clear" w:color="auto" w:fill="auto"/>
            <w:hideMark/>
          </w:tcPr>
          <w:p w14:paraId="3872A206" w14:textId="77777777" w:rsidR="00DF251A" w:rsidRPr="00521670" w:rsidRDefault="00DF251A" w:rsidP="00602C19">
            <w:pPr>
              <w:pStyle w:val="Tabletext"/>
              <w:spacing w:before="20" w:after="20"/>
              <w:rPr>
                <w:color w:val="000000"/>
                <w:lang w:val="ru-RU" w:eastAsia="en-GB"/>
              </w:rPr>
            </w:pPr>
            <w:r w:rsidRPr="00521670">
              <w:rPr>
                <w:color w:val="000000"/>
                <w:lang w:val="ru-RU" w:eastAsia="en-GB"/>
              </w:rPr>
              <w:t>Расходы на персонал</w:t>
            </w:r>
          </w:p>
        </w:tc>
        <w:tc>
          <w:tcPr>
            <w:tcW w:w="501" w:type="pct"/>
            <w:tcBorders>
              <w:top w:val="nil"/>
              <w:left w:val="nil"/>
              <w:bottom w:val="nil"/>
              <w:right w:val="nil"/>
            </w:tcBorders>
            <w:shd w:val="clear" w:color="auto" w:fill="auto"/>
            <w:noWrap/>
            <w:vAlign w:val="bottom"/>
          </w:tcPr>
          <w:p w14:paraId="20BEA110" w14:textId="77777777" w:rsidR="00DF251A" w:rsidRPr="00521670" w:rsidRDefault="00DF251A" w:rsidP="00602C19">
            <w:pPr>
              <w:pStyle w:val="Tabletext"/>
              <w:spacing w:before="20" w:after="20"/>
              <w:jc w:val="right"/>
              <w:rPr>
                <w:lang w:val="ru-RU" w:eastAsia="en-GB"/>
              </w:rPr>
            </w:pPr>
            <w:r w:rsidRPr="00521670">
              <w:rPr>
                <w:lang w:val="ru-RU"/>
              </w:rPr>
              <w:t>68 858</w:t>
            </w:r>
          </w:p>
        </w:tc>
        <w:tc>
          <w:tcPr>
            <w:tcW w:w="336" w:type="pct"/>
            <w:tcBorders>
              <w:top w:val="nil"/>
              <w:left w:val="nil"/>
              <w:bottom w:val="nil"/>
              <w:right w:val="nil"/>
            </w:tcBorders>
            <w:shd w:val="clear" w:color="auto" w:fill="auto"/>
            <w:noWrap/>
            <w:vAlign w:val="bottom"/>
          </w:tcPr>
          <w:p w14:paraId="4C35B755" w14:textId="77777777" w:rsidR="00DF251A" w:rsidRPr="00521670" w:rsidRDefault="00DF251A" w:rsidP="00602C19">
            <w:pPr>
              <w:pStyle w:val="Tabletext"/>
              <w:spacing w:before="20" w:after="20"/>
              <w:jc w:val="right"/>
              <w:rPr>
                <w:lang w:val="ru-RU" w:eastAsia="en-GB"/>
              </w:rPr>
            </w:pPr>
            <w:r w:rsidRPr="00521670">
              <w:rPr>
                <w:lang w:val="ru-RU"/>
              </w:rPr>
              <w:t>27 568</w:t>
            </w:r>
          </w:p>
        </w:tc>
        <w:tc>
          <w:tcPr>
            <w:tcW w:w="336" w:type="pct"/>
            <w:tcBorders>
              <w:top w:val="nil"/>
              <w:left w:val="nil"/>
              <w:bottom w:val="nil"/>
              <w:right w:val="nil"/>
            </w:tcBorders>
            <w:shd w:val="clear" w:color="auto" w:fill="auto"/>
            <w:noWrap/>
            <w:vAlign w:val="bottom"/>
          </w:tcPr>
          <w:p w14:paraId="43C70D86" w14:textId="77777777" w:rsidR="00DF251A" w:rsidRPr="00521670" w:rsidRDefault="00DF251A" w:rsidP="00602C19">
            <w:pPr>
              <w:pStyle w:val="Tabletext"/>
              <w:spacing w:before="20" w:after="20"/>
              <w:jc w:val="right"/>
              <w:rPr>
                <w:lang w:val="ru-RU" w:eastAsia="en-GB"/>
              </w:rPr>
            </w:pPr>
            <w:r w:rsidRPr="00521670">
              <w:rPr>
                <w:lang w:val="ru-RU"/>
              </w:rPr>
              <w:t>13 108</w:t>
            </w:r>
          </w:p>
        </w:tc>
        <w:tc>
          <w:tcPr>
            <w:tcW w:w="338" w:type="pct"/>
            <w:tcBorders>
              <w:top w:val="nil"/>
              <w:left w:val="nil"/>
              <w:bottom w:val="nil"/>
              <w:right w:val="nil"/>
            </w:tcBorders>
            <w:shd w:val="clear" w:color="auto" w:fill="auto"/>
            <w:noWrap/>
            <w:vAlign w:val="bottom"/>
          </w:tcPr>
          <w:p w14:paraId="465E98C2" w14:textId="77777777" w:rsidR="00DF251A" w:rsidRPr="00521670" w:rsidRDefault="00DF251A" w:rsidP="00602C19">
            <w:pPr>
              <w:pStyle w:val="Tabletext"/>
              <w:spacing w:before="20" w:after="20"/>
              <w:jc w:val="right"/>
              <w:rPr>
                <w:lang w:val="ru-RU" w:eastAsia="en-GB"/>
              </w:rPr>
            </w:pPr>
            <w:r w:rsidRPr="00521670">
              <w:rPr>
                <w:lang w:val="ru-RU"/>
              </w:rPr>
              <w:t>23 572</w:t>
            </w:r>
          </w:p>
        </w:tc>
        <w:tc>
          <w:tcPr>
            <w:tcW w:w="461" w:type="pct"/>
            <w:tcBorders>
              <w:top w:val="nil"/>
              <w:left w:val="nil"/>
              <w:bottom w:val="nil"/>
              <w:right w:val="nil"/>
            </w:tcBorders>
            <w:shd w:val="clear" w:color="auto" w:fill="auto"/>
            <w:noWrap/>
            <w:vAlign w:val="bottom"/>
          </w:tcPr>
          <w:p w14:paraId="36172477" w14:textId="77777777" w:rsidR="00DF251A" w:rsidRPr="00521670" w:rsidRDefault="00DF251A" w:rsidP="00602C19">
            <w:pPr>
              <w:pStyle w:val="Tabletext"/>
              <w:spacing w:before="20" w:after="20"/>
              <w:jc w:val="right"/>
              <w:rPr>
                <w:b/>
                <w:bCs/>
                <w:lang w:val="ru-RU" w:eastAsia="en-GB"/>
              </w:rPr>
            </w:pPr>
            <w:r w:rsidRPr="00521670">
              <w:rPr>
                <w:b/>
                <w:bCs/>
                <w:lang w:val="ru-RU"/>
              </w:rPr>
              <w:t>133 107</w:t>
            </w:r>
          </w:p>
        </w:tc>
        <w:tc>
          <w:tcPr>
            <w:tcW w:w="323" w:type="pct"/>
            <w:tcBorders>
              <w:top w:val="nil"/>
              <w:left w:val="nil"/>
              <w:bottom w:val="nil"/>
              <w:right w:val="nil"/>
            </w:tcBorders>
            <w:shd w:val="clear" w:color="auto" w:fill="auto"/>
            <w:noWrap/>
            <w:vAlign w:val="bottom"/>
          </w:tcPr>
          <w:p w14:paraId="30DEC8D7" w14:textId="77777777" w:rsidR="00DF251A" w:rsidRPr="00521670" w:rsidRDefault="00DF251A" w:rsidP="00602C19">
            <w:pPr>
              <w:pStyle w:val="Tabletext"/>
              <w:spacing w:before="20" w:after="20"/>
              <w:jc w:val="right"/>
              <w:rPr>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6DCBB140" w14:textId="77777777" w:rsidR="00DF251A" w:rsidRPr="00521670" w:rsidRDefault="00DF251A" w:rsidP="00602C19">
            <w:pPr>
              <w:pStyle w:val="Tabletext"/>
              <w:spacing w:before="20" w:after="20"/>
              <w:jc w:val="right"/>
              <w:rPr>
                <w:lang w:val="ru-RU" w:eastAsia="en-GB"/>
              </w:rPr>
            </w:pPr>
            <w:r w:rsidRPr="00521670">
              <w:rPr>
                <w:lang w:val="ru-RU"/>
              </w:rPr>
              <w:t>9 442</w:t>
            </w:r>
          </w:p>
        </w:tc>
        <w:tc>
          <w:tcPr>
            <w:tcW w:w="416" w:type="pct"/>
            <w:tcBorders>
              <w:top w:val="nil"/>
              <w:left w:val="nil"/>
              <w:bottom w:val="nil"/>
              <w:right w:val="nil"/>
            </w:tcBorders>
            <w:shd w:val="clear" w:color="auto" w:fill="auto"/>
            <w:noWrap/>
            <w:vAlign w:val="bottom"/>
          </w:tcPr>
          <w:p w14:paraId="3A5BD997"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70B73AB6"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142 549</w:t>
            </w:r>
          </w:p>
        </w:tc>
      </w:tr>
      <w:tr w:rsidR="00DF251A" w:rsidRPr="00521670" w14:paraId="7B3CAFE8" w14:textId="77777777" w:rsidTr="00602C19">
        <w:tc>
          <w:tcPr>
            <w:tcW w:w="1476" w:type="pct"/>
            <w:tcBorders>
              <w:top w:val="nil"/>
              <w:left w:val="nil"/>
              <w:bottom w:val="nil"/>
              <w:right w:val="nil"/>
            </w:tcBorders>
            <w:shd w:val="clear" w:color="auto" w:fill="auto"/>
            <w:hideMark/>
          </w:tcPr>
          <w:p w14:paraId="7E62B864" w14:textId="77777777" w:rsidR="00DF251A" w:rsidRPr="00521670" w:rsidRDefault="00DF251A" w:rsidP="00602C19">
            <w:pPr>
              <w:pStyle w:val="Tabletext"/>
              <w:spacing w:before="20" w:after="20"/>
              <w:rPr>
                <w:color w:val="000000"/>
                <w:lang w:val="ru-RU" w:eastAsia="en-GB"/>
              </w:rPr>
            </w:pPr>
            <w:r w:rsidRPr="00521670">
              <w:rPr>
                <w:color w:val="000000"/>
                <w:lang w:val="ru-RU" w:eastAsia="en-GB"/>
              </w:rPr>
              <w:t>Служебные командировки</w:t>
            </w:r>
          </w:p>
        </w:tc>
        <w:tc>
          <w:tcPr>
            <w:tcW w:w="501" w:type="pct"/>
            <w:tcBorders>
              <w:top w:val="nil"/>
              <w:left w:val="nil"/>
              <w:bottom w:val="nil"/>
              <w:right w:val="nil"/>
            </w:tcBorders>
            <w:shd w:val="clear" w:color="auto" w:fill="auto"/>
            <w:noWrap/>
            <w:vAlign w:val="bottom"/>
          </w:tcPr>
          <w:p w14:paraId="2C48E10C" w14:textId="77777777" w:rsidR="00DF251A" w:rsidRPr="00521670" w:rsidRDefault="00DF251A" w:rsidP="00602C19">
            <w:pPr>
              <w:pStyle w:val="Tabletext"/>
              <w:spacing w:before="20" w:after="20"/>
              <w:jc w:val="right"/>
              <w:rPr>
                <w:lang w:val="ru-RU" w:eastAsia="en-GB"/>
              </w:rPr>
            </w:pPr>
            <w:r w:rsidRPr="00521670">
              <w:rPr>
                <w:lang w:val="ru-RU"/>
              </w:rPr>
              <w:t>949</w:t>
            </w:r>
          </w:p>
        </w:tc>
        <w:tc>
          <w:tcPr>
            <w:tcW w:w="336" w:type="pct"/>
            <w:tcBorders>
              <w:top w:val="nil"/>
              <w:left w:val="nil"/>
              <w:bottom w:val="nil"/>
              <w:right w:val="nil"/>
            </w:tcBorders>
            <w:shd w:val="clear" w:color="auto" w:fill="auto"/>
            <w:noWrap/>
            <w:vAlign w:val="bottom"/>
          </w:tcPr>
          <w:p w14:paraId="02EE41A2" w14:textId="77777777" w:rsidR="00DF251A" w:rsidRPr="00521670" w:rsidRDefault="00DF251A" w:rsidP="00602C19">
            <w:pPr>
              <w:pStyle w:val="Tabletext"/>
              <w:spacing w:before="20" w:after="20"/>
              <w:jc w:val="right"/>
              <w:rPr>
                <w:lang w:val="ru-RU" w:eastAsia="en-GB"/>
              </w:rPr>
            </w:pPr>
            <w:r w:rsidRPr="00521670">
              <w:rPr>
                <w:lang w:val="ru-RU"/>
              </w:rPr>
              <w:t>986</w:t>
            </w:r>
          </w:p>
        </w:tc>
        <w:tc>
          <w:tcPr>
            <w:tcW w:w="336" w:type="pct"/>
            <w:tcBorders>
              <w:top w:val="nil"/>
              <w:left w:val="nil"/>
              <w:bottom w:val="nil"/>
              <w:right w:val="nil"/>
            </w:tcBorders>
            <w:shd w:val="clear" w:color="auto" w:fill="auto"/>
            <w:noWrap/>
            <w:vAlign w:val="bottom"/>
          </w:tcPr>
          <w:p w14:paraId="0958A724" w14:textId="77777777" w:rsidR="00DF251A" w:rsidRPr="00521670" w:rsidRDefault="00DF251A" w:rsidP="00602C19">
            <w:pPr>
              <w:pStyle w:val="Tabletext"/>
              <w:spacing w:before="20" w:after="20"/>
              <w:jc w:val="right"/>
              <w:rPr>
                <w:lang w:val="ru-RU" w:eastAsia="en-GB"/>
              </w:rPr>
            </w:pPr>
            <w:r w:rsidRPr="00521670">
              <w:rPr>
                <w:lang w:val="ru-RU"/>
              </w:rPr>
              <w:t>1 297</w:t>
            </w:r>
          </w:p>
        </w:tc>
        <w:tc>
          <w:tcPr>
            <w:tcW w:w="338" w:type="pct"/>
            <w:tcBorders>
              <w:top w:val="nil"/>
              <w:left w:val="nil"/>
              <w:bottom w:val="nil"/>
              <w:right w:val="nil"/>
            </w:tcBorders>
            <w:shd w:val="clear" w:color="auto" w:fill="auto"/>
            <w:noWrap/>
            <w:vAlign w:val="bottom"/>
          </w:tcPr>
          <w:p w14:paraId="2910C7E7" w14:textId="77777777" w:rsidR="00DF251A" w:rsidRPr="00521670" w:rsidRDefault="00DF251A" w:rsidP="00602C19">
            <w:pPr>
              <w:pStyle w:val="Tabletext"/>
              <w:spacing w:before="20" w:after="20"/>
              <w:jc w:val="right"/>
              <w:rPr>
                <w:lang w:val="ru-RU" w:eastAsia="en-GB"/>
              </w:rPr>
            </w:pPr>
            <w:r w:rsidRPr="00521670">
              <w:rPr>
                <w:lang w:val="ru-RU"/>
              </w:rPr>
              <w:t>1 866</w:t>
            </w:r>
          </w:p>
        </w:tc>
        <w:tc>
          <w:tcPr>
            <w:tcW w:w="461" w:type="pct"/>
            <w:tcBorders>
              <w:top w:val="nil"/>
              <w:left w:val="nil"/>
              <w:bottom w:val="nil"/>
              <w:right w:val="nil"/>
            </w:tcBorders>
            <w:shd w:val="clear" w:color="auto" w:fill="auto"/>
            <w:noWrap/>
            <w:vAlign w:val="bottom"/>
          </w:tcPr>
          <w:p w14:paraId="03D1BFC1" w14:textId="77777777" w:rsidR="00DF251A" w:rsidRPr="00521670" w:rsidRDefault="00DF251A" w:rsidP="00602C19">
            <w:pPr>
              <w:pStyle w:val="Tabletext"/>
              <w:spacing w:before="20" w:after="20"/>
              <w:jc w:val="right"/>
              <w:rPr>
                <w:b/>
                <w:bCs/>
                <w:lang w:val="ru-RU" w:eastAsia="en-GB"/>
              </w:rPr>
            </w:pPr>
            <w:r w:rsidRPr="00521670">
              <w:rPr>
                <w:b/>
                <w:bCs/>
                <w:lang w:val="ru-RU"/>
              </w:rPr>
              <w:t>5 097</w:t>
            </w:r>
          </w:p>
        </w:tc>
        <w:tc>
          <w:tcPr>
            <w:tcW w:w="323" w:type="pct"/>
            <w:tcBorders>
              <w:top w:val="nil"/>
              <w:left w:val="nil"/>
              <w:bottom w:val="nil"/>
              <w:right w:val="nil"/>
            </w:tcBorders>
            <w:shd w:val="clear" w:color="auto" w:fill="auto"/>
            <w:noWrap/>
            <w:vAlign w:val="bottom"/>
          </w:tcPr>
          <w:p w14:paraId="20B60759"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0244B452" w14:textId="77777777" w:rsidR="00DF251A" w:rsidRPr="00521670" w:rsidRDefault="00DF251A" w:rsidP="00602C19">
            <w:pPr>
              <w:pStyle w:val="Tabletext"/>
              <w:spacing w:before="20" w:after="20"/>
              <w:jc w:val="right"/>
              <w:rPr>
                <w:lang w:val="ru-RU" w:eastAsia="en-GB"/>
              </w:rPr>
            </w:pPr>
            <w:r w:rsidRPr="00521670">
              <w:rPr>
                <w:lang w:val="ru-RU"/>
              </w:rPr>
              <w:t>3 079</w:t>
            </w:r>
          </w:p>
        </w:tc>
        <w:tc>
          <w:tcPr>
            <w:tcW w:w="416" w:type="pct"/>
            <w:tcBorders>
              <w:top w:val="nil"/>
              <w:left w:val="nil"/>
              <w:bottom w:val="nil"/>
              <w:right w:val="nil"/>
            </w:tcBorders>
            <w:shd w:val="clear" w:color="auto" w:fill="auto"/>
            <w:noWrap/>
            <w:vAlign w:val="bottom"/>
          </w:tcPr>
          <w:p w14:paraId="20C6547E"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73A4256D"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8 177</w:t>
            </w:r>
          </w:p>
        </w:tc>
      </w:tr>
      <w:tr w:rsidR="00DF251A" w:rsidRPr="00521670" w14:paraId="132E8489" w14:textId="77777777" w:rsidTr="00602C19">
        <w:tc>
          <w:tcPr>
            <w:tcW w:w="1476" w:type="pct"/>
            <w:tcBorders>
              <w:top w:val="nil"/>
              <w:left w:val="nil"/>
              <w:bottom w:val="nil"/>
              <w:right w:val="nil"/>
            </w:tcBorders>
            <w:shd w:val="clear" w:color="auto" w:fill="auto"/>
            <w:hideMark/>
          </w:tcPr>
          <w:p w14:paraId="62354FB0" w14:textId="77777777" w:rsidR="00DF251A" w:rsidRPr="00521670" w:rsidRDefault="00DF251A" w:rsidP="00602C19">
            <w:pPr>
              <w:pStyle w:val="Tabletext"/>
              <w:spacing w:before="20" w:after="20"/>
              <w:rPr>
                <w:color w:val="000000"/>
                <w:lang w:val="ru-RU" w:eastAsia="en-GB"/>
              </w:rPr>
            </w:pPr>
            <w:r w:rsidRPr="00521670">
              <w:rPr>
                <w:lang w:val="ru-RU"/>
              </w:rPr>
              <w:t>Контрактные услуги</w:t>
            </w:r>
          </w:p>
        </w:tc>
        <w:tc>
          <w:tcPr>
            <w:tcW w:w="501" w:type="pct"/>
            <w:tcBorders>
              <w:top w:val="nil"/>
              <w:left w:val="nil"/>
              <w:bottom w:val="nil"/>
              <w:right w:val="nil"/>
            </w:tcBorders>
            <w:shd w:val="clear" w:color="auto" w:fill="auto"/>
            <w:noWrap/>
            <w:vAlign w:val="bottom"/>
          </w:tcPr>
          <w:p w14:paraId="323F0F3F" w14:textId="77777777" w:rsidR="00DF251A" w:rsidRPr="00521670" w:rsidRDefault="00DF251A" w:rsidP="00602C19">
            <w:pPr>
              <w:pStyle w:val="Tabletext"/>
              <w:spacing w:before="20" w:after="20"/>
              <w:jc w:val="right"/>
              <w:rPr>
                <w:lang w:val="ru-RU" w:eastAsia="en-GB"/>
              </w:rPr>
            </w:pPr>
            <w:r w:rsidRPr="00521670">
              <w:rPr>
                <w:lang w:val="ru-RU"/>
              </w:rPr>
              <w:t>8 624</w:t>
            </w:r>
          </w:p>
        </w:tc>
        <w:tc>
          <w:tcPr>
            <w:tcW w:w="336" w:type="pct"/>
            <w:tcBorders>
              <w:top w:val="nil"/>
              <w:left w:val="nil"/>
              <w:bottom w:val="nil"/>
              <w:right w:val="nil"/>
            </w:tcBorders>
            <w:shd w:val="clear" w:color="auto" w:fill="auto"/>
            <w:noWrap/>
            <w:vAlign w:val="bottom"/>
          </w:tcPr>
          <w:p w14:paraId="3838A47A" w14:textId="77777777" w:rsidR="00DF251A" w:rsidRPr="00521670" w:rsidRDefault="00DF251A" w:rsidP="00602C19">
            <w:pPr>
              <w:pStyle w:val="Tabletext"/>
              <w:spacing w:before="20" w:after="20"/>
              <w:jc w:val="right"/>
              <w:rPr>
                <w:lang w:val="ru-RU" w:eastAsia="en-GB"/>
              </w:rPr>
            </w:pPr>
            <w:r w:rsidRPr="00521670">
              <w:rPr>
                <w:lang w:val="ru-RU"/>
              </w:rPr>
              <w:t>882</w:t>
            </w:r>
          </w:p>
        </w:tc>
        <w:tc>
          <w:tcPr>
            <w:tcW w:w="336" w:type="pct"/>
            <w:tcBorders>
              <w:top w:val="nil"/>
              <w:left w:val="nil"/>
              <w:bottom w:val="nil"/>
              <w:right w:val="nil"/>
            </w:tcBorders>
            <w:shd w:val="clear" w:color="auto" w:fill="auto"/>
            <w:noWrap/>
            <w:vAlign w:val="bottom"/>
          </w:tcPr>
          <w:p w14:paraId="700AA5D3" w14:textId="77777777" w:rsidR="00DF251A" w:rsidRPr="00521670" w:rsidRDefault="00DF251A" w:rsidP="00602C19">
            <w:pPr>
              <w:pStyle w:val="Tabletext"/>
              <w:spacing w:before="20" w:after="20"/>
              <w:jc w:val="right"/>
              <w:rPr>
                <w:lang w:val="ru-RU" w:eastAsia="en-GB"/>
              </w:rPr>
            </w:pPr>
            <w:r w:rsidRPr="00521670">
              <w:rPr>
                <w:lang w:val="ru-RU"/>
              </w:rPr>
              <w:t>926</w:t>
            </w:r>
          </w:p>
        </w:tc>
        <w:tc>
          <w:tcPr>
            <w:tcW w:w="338" w:type="pct"/>
            <w:tcBorders>
              <w:top w:val="nil"/>
              <w:left w:val="nil"/>
              <w:bottom w:val="nil"/>
              <w:right w:val="nil"/>
            </w:tcBorders>
            <w:shd w:val="clear" w:color="auto" w:fill="auto"/>
            <w:noWrap/>
            <w:vAlign w:val="bottom"/>
          </w:tcPr>
          <w:p w14:paraId="638870C2" w14:textId="77777777" w:rsidR="00DF251A" w:rsidRPr="00521670" w:rsidRDefault="00DF251A" w:rsidP="00602C19">
            <w:pPr>
              <w:pStyle w:val="Tabletext"/>
              <w:spacing w:before="20" w:after="20"/>
              <w:jc w:val="right"/>
              <w:rPr>
                <w:lang w:val="ru-RU" w:eastAsia="en-GB"/>
              </w:rPr>
            </w:pPr>
            <w:r w:rsidRPr="00521670">
              <w:rPr>
                <w:lang w:val="ru-RU"/>
              </w:rPr>
              <w:t>2 464</w:t>
            </w:r>
          </w:p>
        </w:tc>
        <w:tc>
          <w:tcPr>
            <w:tcW w:w="461" w:type="pct"/>
            <w:tcBorders>
              <w:top w:val="nil"/>
              <w:left w:val="nil"/>
              <w:bottom w:val="nil"/>
              <w:right w:val="nil"/>
            </w:tcBorders>
            <w:shd w:val="clear" w:color="auto" w:fill="auto"/>
            <w:noWrap/>
            <w:vAlign w:val="bottom"/>
          </w:tcPr>
          <w:p w14:paraId="045AABE8" w14:textId="77777777" w:rsidR="00DF251A" w:rsidRPr="00521670" w:rsidRDefault="00DF251A" w:rsidP="00602C19">
            <w:pPr>
              <w:pStyle w:val="Tabletext"/>
              <w:spacing w:before="20" w:after="20"/>
              <w:jc w:val="right"/>
              <w:rPr>
                <w:b/>
                <w:bCs/>
                <w:lang w:val="ru-RU" w:eastAsia="en-GB"/>
              </w:rPr>
            </w:pPr>
            <w:r w:rsidRPr="00521670">
              <w:rPr>
                <w:b/>
                <w:bCs/>
                <w:lang w:val="ru-RU"/>
              </w:rPr>
              <w:t>12 897</w:t>
            </w:r>
          </w:p>
        </w:tc>
        <w:tc>
          <w:tcPr>
            <w:tcW w:w="323" w:type="pct"/>
            <w:tcBorders>
              <w:top w:val="nil"/>
              <w:left w:val="nil"/>
              <w:bottom w:val="nil"/>
              <w:right w:val="nil"/>
            </w:tcBorders>
            <w:shd w:val="clear" w:color="auto" w:fill="auto"/>
            <w:noWrap/>
            <w:vAlign w:val="bottom"/>
          </w:tcPr>
          <w:p w14:paraId="25818633" w14:textId="77777777" w:rsidR="00DF251A" w:rsidRPr="00521670" w:rsidRDefault="00DF251A" w:rsidP="00602C19">
            <w:pPr>
              <w:pStyle w:val="Tabletext"/>
              <w:spacing w:before="20" w:after="20"/>
              <w:jc w:val="right"/>
              <w:rPr>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75061EBA" w14:textId="77777777" w:rsidR="00DF251A" w:rsidRPr="00521670" w:rsidRDefault="00DF251A" w:rsidP="00602C19">
            <w:pPr>
              <w:pStyle w:val="Tabletext"/>
              <w:spacing w:before="20" w:after="20"/>
              <w:jc w:val="right"/>
              <w:rPr>
                <w:lang w:val="ru-RU" w:eastAsia="en-GB"/>
              </w:rPr>
            </w:pPr>
            <w:r w:rsidRPr="00521670">
              <w:rPr>
                <w:lang w:val="ru-RU"/>
              </w:rPr>
              <w:t>7 740</w:t>
            </w:r>
          </w:p>
        </w:tc>
        <w:tc>
          <w:tcPr>
            <w:tcW w:w="416" w:type="pct"/>
            <w:tcBorders>
              <w:top w:val="nil"/>
              <w:left w:val="nil"/>
              <w:bottom w:val="nil"/>
              <w:right w:val="nil"/>
            </w:tcBorders>
            <w:shd w:val="clear" w:color="auto" w:fill="auto"/>
            <w:noWrap/>
            <w:vAlign w:val="bottom"/>
          </w:tcPr>
          <w:p w14:paraId="06D5BB5D"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50818094"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20 637</w:t>
            </w:r>
          </w:p>
        </w:tc>
      </w:tr>
      <w:tr w:rsidR="00DF251A" w:rsidRPr="00521670" w14:paraId="7D14F7BE" w14:textId="77777777" w:rsidTr="00602C19">
        <w:tc>
          <w:tcPr>
            <w:tcW w:w="1476" w:type="pct"/>
            <w:tcBorders>
              <w:top w:val="nil"/>
              <w:left w:val="nil"/>
              <w:bottom w:val="nil"/>
              <w:right w:val="nil"/>
            </w:tcBorders>
            <w:shd w:val="clear" w:color="auto" w:fill="auto"/>
            <w:hideMark/>
          </w:tcPr>
          <w:p w14:paraId="7A9F3C48" w14:textId="77777777" w:rsidR="00DF251A" w:rsidRPr="00521670" w:rsidRDefault="00DF251A" w:rsidP="00602C19">
            <w:pPr>
              <w:pStyle w:val="Tabletext"/>
              <w:spacing w:before="20" w:after="20"/>
              <w:rPr>
                <w:color w:val="000000"/>
                <w:lang w:val="ru-RU" w:eastAsia="en-GB"/>
              </w:rPr>
            </w:pPr>
            <w:r w:rsidRPr="00521670">
              <w:rPr>
                <w:lang w:val="ru-RU"/>
              </w:rPr>
              <w:t>Аренда и эксплуатация помещений и оборудования</w:t>
            </w:r>
          </w:p>
        </w:tc>
        <w:tc>
          <w:tcPr>
            <w:tcW w:w="501" w:type="pct"/>
            <w:tcBorders>
              <w:top w:val="nil"/>
              <w:left w:val="nil"/>
              <w:bottom w:val="nil"/>
              <w:right w:val="nil"/>
            </w:tcBorders>
            <w:shd w:val="clear" w:color="auto" w:fill="auto"/>
            <w:noWrap/>
            <w:vAlign w:val="bottom"/>
          </w:tcPr>
          <w:p w14:paraId="49D87F0E" w14:textId="77777777" w:rsidR="00DF251A" w:rsidRPr="00521670" w:rsidRDefault="00DF251A" w:rsidP="00602C19">
            <w:pPr>
              <w:pStyle w:val="Tabletext"/>
              <w:spacing w:before="20" w:after="20"/>
              <w:jc w:val="right"/>
              <w:rPr>
                <w:lang w:val="ru-RU" w:eastAsia="en-GB"/>
              </w:rPr>
            </w:pPr>
            <w:r w:rsidRPr="00521670">
              <w:rPr>
                <w:lang w:val="ru-RU"/>
              </w:rPr>
              <w:t>2 820</w:t>
            </w:r>
          </w:p>
        </w:tc>
        <w:tc>
          <w:tcPr>
            <w:tcW w:w="336" w:type="pct"/>
            <w:tcBorders>
              <w:top w:val="nil"/>
              <w:left w:val="nil"/>
              <w:bottom w:val="nil"/>
              <w:right w:val="nil"/>
            </w:tcBorders>
            <w:shd w:val="clear" w:color="auto" w:fill="auto"/>
            <w:noWrap/>
            <w:vAlign w:val="bottom"/>
          </w:tcPr>
          <w:p w14:paraId="118F2151" w14:textId="77777777" w:rsidR="00DF251A" w:rsidRPr="00521670" w:rsidRDefault="00DF251A" w:rsidP="00602C19">
            <w:pPr>
              <w:pStyle w:val="Tabletext"/>
              <w:spacing w:before="20" w:after="20"/>
              <w:jc w:val="right"/>
              <w:rPr>
                <w:lang w:val="ru-RU" w:eastAsia="en-GB"/>
              </w:rPr>
            </w:pPr>
            <w:r w:rsidRPr="00521670">
              <w:rPr>
                <w:lang w:val="ru-RU"/>
              </w:rPr>
              <w:t>38</w:t>
            </w:r>
          </w:p>
        </w:tc>
        <w:tc>
          <w:tcPr>
            <w:tcW w:w="336" w:type="pct"/>
            <w:tcBorders>
              <w:top w:val="nil"/>
              <w:left w:val="nil"/>
              <w:bottom w:val="nil"/>
              <w:right w:val="nil"/>
            </w:tcBorders>
            <w:shd w:val="clear" w:color="auto" w:fill="auto"/>
            <w:noWrap/>
            <w:vAlign w:val="bottom"/>
          </w:tcPr>
          <w:p w14:paraId="3AFDE31D" w14:textId="77777777" w:rsidR="00DF251A" w:rsidRPr="00521670" w:rsidRDefault="00DF251A" w:rsidP="00602C19">
            <w:pPr>
              <w:pStyle w:val="Tabletext"/>
              <w:spacing w:before="20" w:after="20"/>
              <w:jc w:val="right"/>
              <w:rPr>
                <w:lang w:val="ru-RU" w:eastAsia="en-GB"/>
              </w:rPr>
            </w:pPr>
            <w:r w:rsidRPr="00521670">
              <w:rPr>
                <w:lang w:val="ru-RU"/>
              </w:rPr>
              <w:t>25</w:t>
            </w:r>
          </w:p>
        </w:tc>
        <w:tc>
          <w:tcPr>
            <w:tcW w:w="338" w:type="pct"/>
            <w:tcBorders>
              <w:top w:val="nil"/>
              <w:left w:val="nil"/>
              <w:bottom w:val="nil"/>
              <w:right w:val="nil"/>
            </w:tcBorders>
            <w:shd w:val="clear" w:color="auto" w:fill="auto"/>
            <w:noWrap/>
            <w:vAlign w:val="bottom"/>
          </w:tcPr>
          <w:p w14:paraId="38FE9C56" w14:textId="77777777" w:rsidR="00DF251A" w:rsidRPr="00521670" w:rsidRDefault="00DF251A" w:rsidP="00602C19">
            <w:pPr>
              <w:pStyle w:val="Tabletext"/>
              <w:spacing w:before="20" w:after="20"/>
              <w:jc w:val="right"/>
              <w:rPr>
                <w:lang w:val="ru-RU" w:eastAsia="en-GB"/>
              </w:rPr>
            </w:pPr>
            <w:r w:rsidRPr="00521670">
              <w:rPr>
                <w:lang w:val="ru-RU"/>
              </w:rPr>
              <w:t>43</w:t>
            </w:r>
          </w:p>
        </w:tc>
        <w:tc>
          <w:tcPr>
            <w:tcW w:w="461" w:type="pct"/>
            <w:tcBorders>
              <w:top w:val="nil"/>
              <w:left w:val="nil"/>
              <w:bottom w:val="nil"/>
              <w:right w:val="nil"/>
            </w:tcBorders>
            <w:shd w:val="clear" w:color="auto" w:fill="auto"/>
            <w:noWrap/>
            <w:vAlign w:val="bottom"/>
          </w:tcPr>
          <w:p w14:paraId="1AC0700D" w14:textId="77777777" w:rsidR="00DF251A" w:rsidRPr="00521670" w:rsidRDefault="00DF251A" w:rsidP="00602C19">
            <w:pPr>
              <w:pStyle w:val="Tabletext"/>
              <w:spacing w:before="20" w:after="20"/>
              <w:jc w:val="right"/>
              <w:rPr>
                <w:b/>
                <w:bCs/>
                <w:lang w:val="ru-RU" w:eastAsia="en-GB"/>
              </w:rPr>
            </w:pPr>
            <w:r w:rsidRPr="00521670">
              <w:rPr>
                <w:b/>
                <w:bCs/>
                <w:lang w:val="ru-RU"/>
              </w:rPr>
              <w:t>2 926</w:t>
            </w:r>
          </w:p>
        </w:tc>
        <w:tc>
          <w:tcPr>
            <w:tcW w:w="323" w:type="pct"/>
            <w:tcBorders>
              <w:top w:val="nil"/>
              <w:left w:val="nil"/>
              <w:bottom w:val="nil"/>
              <w:right w:val="nil"/>
            </w:tcBorders>
            <w:shd w:val="clear" w:color="auto" w:fill="auto"/>
            <w:noWrap/>
            <w:vAlign w:val="bottom"/>
          </w:tcPr>
          <w:p w14:paraId="63977046"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43BB0732" w14:textId="77777777" w:rsidR="00DF251A" w:rsidRPr="00521670" w:rsidRDefault="00DF251A" w:rsidP="00602C19">
            <w:pPr>
              <w:pStyle w:val="Tabletext"/>
              <w:spacing w:before="20" w:after="20"/>
              <w:jc w:val="right"/>
              <w:rPr>
                <w:lang w:val="ru-RU" w:eastAsia="en-GB"/>
              </w:rPr>
            </w:pPr>
            <w:r w:rsidRPr="00521670">
              <w:rPr>
                <w:lang w:val="ru-RU"/>
              </w:rPr>
              <w:t>1 076</w:t>
            </w:r>
          </w:p>
        </w:tc>
        <w:tc>
          <w:tcPr>
            <w:tcW w:w="416" w:type="pct"/>
            <w:tcBorders>
              <w:top w:val="nil"/>
              <w:left w:val="nil"/>
              <w:bottom w:val="nil"/>
              <w:right w:val="nil"/>
            </w:tcBorders>
            <w:shd w:val="clear" w:color="auto" w:fill="auto"/>
            <w:noWrap/>
            <w:vAlign w:val="bottom"/>
          </w:tcPr>
          <w:p w14:paraId="790FD3DD"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6F3FC92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4 002</w:t>
            </w:r>
          </w:p>
        </w:tc>
      </w:tr>
      <w:tr w:rsidR="00DF251A" w:rsidRPr="00521670" w14:paraId="5756E74D" w14:textId="77777777" w:rsidTr="00602C19">
        <w:tc>
          <w:tcPr>
            <w:tcW w:w="1476" w:type="pct"/>
            <w:tcBorders>
              <w:top w:val="nil"/>
              <w:left w:val="nil"/>
              <w:bottom w:val="nil"/>
              <w:right w:val="nil"/>
            </w:tcBorders>
            <w:shd w:val="clear" w:color="auto" w:fill="auto"/>
            <w:hideMark/>
          </w:tcPr>
          <w:p w14:paraId="287129BD" w14:textId="77777777" w:rsidR="00DF251A" w:rsidRPr="00521670" w:rsidRDefault="00DF251A" w:rsidP="00602C19">
            <w:pPr>
              <w:pStyle w:val="Tabletext"/>
              <w:spacing w:before="20" w:after="20"/>
              <w:rPr>
                <w:color w:val="000000"/>
                <w:lang w:val="ru-RU" w:eastAsia="en-GB"/>
              </w:rPr>
            </w:pPr>
            <w:r w:rsidRPr="00521670">
              <w:rPr>
                <w:color w:val="000000"/>
                <w:lang w:val="ru-RU" w:eastAsia="en-GB"/>
              </w:rPr>
              <w:t>Оборудование и предметы снабжения</w:t>
            </w:r>
          </w:p>
        </w:tc>
        <w:tc>
          <w:tcPr>
            <w:tcW w:w="501" w:type="pct"/>
            <w:tcBorders>
              <w:top w:val="nil"/>
              <w:left w:val="nil"/>
              <w:bottom w:val="nil"/>
              <w:right w:val="nil"/>
            </w:tcBorders>
            <w:shd w:val="clear" w:color="auto" w:fill="auto"/>
            <w:noWrap/>
            <w:vAlign w:val="bottom"/>
          </w:tcPr>
          <w:p w14:paraId="185AF8ED" w14:textId="77777777" w:rsidR="00DF251A" w:rsidRPr="00521670" w:rsidRDefault="00DF251A" w:rsidP="00602C19">
            <w:pPr>
              <w:pStyle w:val="Tabletext"/>
              <w:spacing w:before="20" w:after="20"/>
              <w:jc w:val="right"/>
              <w:rPr>
                <w:lang w:val="ru-RU" w:eastAsia="en-GB"/>
              </w:rPr>
            </w:pPr>
            <w:r w:rsidRPr="00521670">
              <w:rPr>
                <w:lang w:val="ru-RU"/>
              </w:rPr>
              <w:t>1 490</w:t>
            </w:r>
          </w:p>
        </w:tc>
        <w:tc>
          <w:tcPr>
            <w:tcW w:w="336" w:type="pct"/>
            <w:tcBorders>
              <w:top w:val="nil"/>
              <w:left w:val="nil"/>
              <w:bottom w:val="nil"/>
              <w:right w:val="nil"/>
            </w:tcBorders>
            <w:shd w:val="clear" w:color="auto" w:fill="auto"/>
            <w:noWrap/>
            <w:vAlign w:val="bottom"/>
          </w:tcPr>
          <w:p w14:paraId="750C5796" w14:textId="77777777" w:rsidR="00DF251A" w:rsidRPr="00521670" w:rsidRDefault="00DF251A" w:rsidP="00602C19">
            <w:pPr>
              <w:pStyle w:val="Tabletext"/>
              <w:spacing w:before="20" w:after="20"/>
              <w:jc w:val="right"/>
              <w:rPr>
                <w:lang w:val="ru-RU" w:eastAsia="en-GB"/>
              </w:rPr>
            </w:pPr>
            <w:r w:rsidRPr="00521670">
              <w:rPr>
                <w:lang w:val="ru-RU"/>
              </w:rPr>
              <w:t>296</w:t>
            </w:r>
          </w:p>
        </w:tc>
        <w:tc>
          <w:tcPr>
            <w:tcW w:w="336" w:type="pct"/>
            <w:tcBorders>
              <w:top w:val="nil"/>
              <w:left w:val="nil"/>
              <w:bottom w:val="nil"/>
              <w:right w:val="nil"/>
            </w:tcBorders>
            <w:shd w:val="clear" w:color="auto" w:fill="auto"/>
            <w:noWrap/>
            <w:vAlign w:val="bottom"/>
          </w:tcPr>
          <w:p w14:paraId="75891E3C" w14:textId="77777777" w:rsidR="00DF251A" w:rsidRPr="00521670" w:rsidRDefault="00DF251A" w:rsidP="00602C19">
            <w:pPr>
              <w:pStyle w:val="Tabletext"/>
              <w:spacing w:before="20" w:after="20"/>
              <w:jc w:val="right"/>
              <w:rPr>
                <w:lang w:val="ru-RU" w:eastAsia="en-GB"/>
              </w:rPr>
            </w:pPr>
            <w:r w:rsidRPr="00521670">
              <w:rPr>
                <w:lang w:val="ru-RU"/>
              </w:rPr>
              <w:t>168</w:t>
            </w:r>
          </w:p>
        </w:tc>
        <w:tc>
          <w:tcPr>
            <w:tcW w:w="338" w:type="pct"/>
            <w:tcBorders>
              <w:top w:val="nil"/>
              <w:left w:val="nil"/>
              <w:bottom w:val="nil"/>
              <w:right w:val="nil"/>
            </w:tcBorders>
            <w:shd w:val="clear" w:color="auto" w:fill="auto"/>
            <w:noWrap/>
            <w:vAlign w:val="bottom"/>
          </w:tcPr>
          <w:p w14:paraId="2859D0AB" w14:textId="77777777" w:rsidR="00DF251A" w:rsidRPr="00521670" w:rsidRDefault="00DF251A" w:rsidP="00602C19">
            <w:pPr>
              <w:pStyle w:val="Tabletext"/>
              <w:spacing w:before="20" w:after="20"/>
              <w:jc w:val="right"/>
              <w:rPr>
                <w:lang w:val="ru-RU" w:eastAsia="en-GB"/>
              </w:rPr>
            </w:pPr>
            <w:r w:rsidRPr="00521670">
              <w:rPr>
                <w:lang w:val="ru-RU"/>
              </w:rPr>
              <w:t>385</w:t>
            </w:r>
          </w:p>
        </w:tc>
        <w:tc>
          <w:tcPr>
            <w:tcW w:w="461" w:type="pct"/>
            <w:tcBorders>
              <w:top w:val="nil"/>
              <w:left w:val="nil"/>
              <w:bottom w:val="nil"/>
              <w:right w:val="nil"/>
            </w:tcBorders>
            <w:shd w:val="clear" w:color="auto" w:fill="auto"/>
            <w:noWrap/>
            <w:vAlign w:val="bottom"/>
          </w:tcPr>
          <w:p w14:paraId="18A7071E" w14:textId="77777777" w:rsidR="00DF251A" w:rsidRPr="00521670" w:rsidRDefault="00DF251A" w:rsidP="00602C19">
            <w:pPr>
              <w:pStyle w:val="Tabletext"/>
              <w:spacing w:before="20" w:after="20"/>
              <w:jc w:val="right"/>
              <w:rPr>
                <w:b/>
                <w:bCs/>
                <w:lang w:val="ru-RU" w:eastAsia="en-GB"/>
              </w:rPr>
            </w:pPr>
            <w:r w:rsidRPr="00521670">
              <w:rPr>
                <w:b/>
                <w:bCs/>
                <w:lang w:val="ru-RU"/>
              </w:rPr>
              <w:t>2 339</w:t>
            </w:r>
          </w:p>
        </w:tc>
        <w:tc>
          <w:tcPr>
            <w:tcW w:w="323" w:type="pct"/>
            <w:tcBorders>
              <w:top w:val="nil"/>
              <w:left w:val="nil"/>
              <w:bottom w:val="nil"/>
              <w:right w:val="nil"/>
            </w:tcBorders>
            <w:shd w:val="clear" w:color="auto" w:fill="auto"/>
            <w:noWrap/>
            <w:vAlign w:val="bottom"/>
          </w:tcPr>
          <w:p w14:paraId="5AC8B8F4" w14:textId="77777777" w:rsidR="00DF251A" w:rsidRPr="00521670" w:rsidRDefault="00DF251A" w:rsidP="00602C19">
            <w:pPr>
              <w:pStyle w:val="Tabletext"/>
              <w:spacing w:before="20" w:after="20"/>
              <w:jc w:val="right"/>
              <w:rPr>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616C452D" w14:textId="77777777" w:rsidR="00DF251A" w:rsidRPr="00521670" w:rsidRDefault="00DF251A" w:rsidP="00602C19">
            <w:pPr>
              <w:pStyle w:val="Tabletext"/>
              <w:spacing w:before="20" w:after="20"/>
              <w:jc w:val="right"/>
              <w:rPr>
                <w:lang w:val="ru-RU" w:eastAsia="en-GB"/>
              </w:rPr>
            </w:pPr>
            <w:r w:rsidRPr="00521670">
              <w:rPr>
                <w:lang w:val="ru-RU"/>
              </w:rPr>
              <w:t>838</w:t>
            </w:r>
          </w:p>
        </w:tc>
        <w:tc>
          <w:tcPr>
            <w:tcW w:w="416" w:type="pct"/>
            <w:tcBorders>
              <w:top w:val="nil"/>
              <w:left w:val="nil"/>
              <w:bottom w:val="nil"/>
              <w:right w:val="nil"/>
            </w:tcBorders>
            <w:shd w:val="clear" w:color="auto" w:fill="auto"/>
            <w:noWrap/>
            <w:vAlign w:val="bottom"/>
          </w:tcPr>
          <w:p w14:paraId="11A6B5B4"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43957283"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3 177</w:t>
            </w:r>
          </w:p>
        </w:tc>
      </w:tr>
      <w:tr w:rsidR="00DF251A" w:rsidRPr="00521670" w14:paraId="6C8F031F" w14:textId="77777777" w:rsidTr="00602C19">
        <w:tc>
          <w:tcPr>
            <w:tcW w:w="1476" w:type="pct"/>
            <w:tcBorders>
              <w:top w:val="nil"/>
              <w:left w:val="nil"/>
              <w:bottom w:val="nil"/>
              <w:right w:val="nil"/>
            </w:tcBorders>
            <w:shd w:val="clear" w:color="auto" w:fill="auto"/>
            <w:hideMark/>
          </w:tcPr>
          <w:p w14:paraId="3BF45B66" w14:textId="77777777" w:rsidR="00DF251A" w:rsidRPr="00521670" w:rsidRDefault="00DF251A" w:rsidP="00602C19">
            <w:pPr>
              <w:pStyle w:val="Tabletext"/>
              <w:spacing w:before="20" w:after="20"/>
              <w:rPr>
                <w:color w:val="000000"/>
                <w:lang w:val="ru-RU" w:eastAsia="en-GB"/>
              </w:rPr>
            </w:pPr>
            <w:r w:rsidRPr="00521670">
              <w:rPr>
                <w:color w:val="000000"/>
                <w:lang w:val="ru-RU" w:eastAsia="en-GB"/>
              </w:rPr>
              <w:t>Амортизация</w:t>
            </w:r>
          </w:p>
        </w:tc>
        <w:tc>
          <w:tcPr>
            <w:tcW w:w="501" w:type="pct"/>
            <w:tcBorders>
              <w:top w:val="nil"/>
              <w:left w:val="nil"/>
              <w:bottom w:val="nil"/>
              <w:right w:val="nil"/>
            </w:tcBorders>
            <w:shd w:val="clear" w:color="auto" w:fill="auto"/>
            <w:noWrap/>
            <w:vAlign w:val="bottom"/>
          </w:tcPr>
          <w:p w14:paraId="28633D82" w14:textId="77777777" w:rsidR="00DF251A" w:rsidRPr="00521670" w:rsidRDefault="00DF251A" w:rsidP="00602C19">
            <w:pPr>
              <w:pStyle w:val="Tabletext"/>
              <w:spacing w:before="20" w:after="20"/>
              <w:jc w:val="right"/>
              <w:rPr>
                <w:lang w:val="ru-RU" w:eastAsia="en-GB"/>
              </w:rPr>
            </w:pPr>
            <w:r w:rsidRPr="00521670">
              <w:rPr>
                <w:lang w:val="ru-RU"/>
              </w:rPr>
              <w:t>14 381</w:t>
            </w:r>
          </w:p>
        </w:tc>
        <w:tc>
          <w:tcPr>
            <w:tcW w:w="336" w:type="pct"/>
            <w:tcBorders>
              <w:top w:val="nil"/>
              <w:left w:val="nil"/>
              <w:bottom w:val="nil"/>
              <w:right w:val="nil"/>
            </w:tcBorders>
            <w:shd w:val="clear" w:color="auto" w:fill="auto"/>
            <w:noWrap/>
            <w:vAlign w:val="bottom"/>
          </w:tcPr>
          <w:p w14:paraId="023B7BD2" w14:textId="77777777" w:rsidR="00DF251A" w:rsidRPr="00521670" w:rsidRDefault="00DF251A" w:rsidP="00602C19">
            <w:pPr>
              <w:pStyle w:val="Tabletext"/>
              <w:spacing w:before="20" w:after="20"/>
              <w:jc w:val="right"/>
              <w:rPr>
                <w:lang w:val="ru-RU" w:eastAsia="en-GB"/>
              </w:rPr>
            </w:pPr>
            <w:r w:rsidRPr="00521670">
              <w:rPr>
                <w:lang w:val="ru-RU"/>
              </w:rPr>
              <w:t>4 762</w:t>
            </w:r>
          </w:p>
        </w:tc>
        <w:tc>
          <w:tcPr>
            <w:tcW w:w="336" w:type="pct"/>
            <w:tcBorders>
              <w:top w:val="nil"/>
              <w:left w:val="nil"/>
              <w:bottom w:val="nil"/>
              <w:right w:val="nil"/>
            </w:tcBorders>
            <w:shd w:val="clear" w:color="auto" w:fill="auto"/>
            <w:noWrap/>
            <w:vAlign w:val="bottom"/>
          </w:tcPr>
          <w:p w14:paraId="3F09E7BA" w14:textId="77777777" w:rsidR="00DF251A" w:rsidRPr="00521670" w:rsidRDefault="00DF251A" w:rsidP="00602C19">
            <w:pPr>
              <w:pStyle w:val="Tabletext"/>
              <w:spacing w:before="20" w:after="20"/>
              <w:jc w:val="right"/>
              <w:rPr>
                <w:lang w:val="ru-RU" w:eastAsia="en-GB"/>
              </w:rPr>
            </w:pPr>
            <w:r w:rsidRPr="00521670">
              <w:rPr>
                <w:lang w:val="ru-RU"/>
              </w:rPr>
              <w:t>2 480</w:t>
            </w:r>
          </w:p>
        </w:tc>
        <w:tc>
          <w:tcPr>
            <w:tcW w:w="338" w:type="pct"/>
            <w:tcBorders>
              <w:top w:val="nil"/>
              <w:left w:val="nil"/>
              <w:bottom w:val="nil"/>
              <w:right w:val="nil"/>
            </w:tcBorders>
            <w:shd w:val="clear" w:color="auto" w:fill="auto"/>
            <w:noWrap/>
            <w:vAlign w:val="bottom"/>
          </w:tcPr>
          <w:p w14:paraId="7A0BAC80" w14:textId="77777777" w:rsidR="00DF251A" w:rsidRPr="00521670" w:rsidRDefault="00DF251A" w:rsidP="00602C19">
            <w:pPr>
              <w:pStyle w:val="Tabletext"/>
              <w:spacing w:before="20" w:after="20"/>
              <w:jc w:val="right"/>
              <w:rPr>
                <w:lang w:val="ru-RU" w:eastAsia="en-GB"/>
              </w:rPr>
            </w:pPr>
            <w:r w:rsidRPr="00521670">
              <w:rPr>
                <w:lang w:val="ru-RU"/>
              </w:rPr>
              <w:t>4 535</w:t>
            </w:r>
          </w:p>
        </w:tc>
        <w:tc>
          <w:tcPr>
            <w:tcW w:w="461" w:type="pct"/>
            <w:tcBorders>
              <w:top w:val="nil"/>
              <w:left w:val="nil"/>
              <w:bottom w:val="nil"/>
              <w:right w:val="nil"/>
            </w:tcBorders>
            <w:shd w:val="clear" w:color="auto" w:fill="auto"/>
            <w:noWrap/>
            <w:vAlign w:val="bottom"/>
          </w:tcPr>
          <w:p w14:paraId="2CE5AADB" w14:textId="77777777" w:rsidR="00DF251A" w:rsidRPr="00521670" w:rsidRDefault="00DF251A" w:rsidP="00602C19">
            <w:pPr>
              <w:pStyle w:val="Tabletext"/>
              <w:spacing w:before="20" w:after="20"/>
              <w:jc w:val="right"/>
              <w:rPr>
                <w:b/>
                <w:bCs/>
                <w:lang w:val="ru-RU" w:eastAsia="en-GB"/>
              </w:rPr>
            </w:pPr>
            <w:r w:rsidRPr="00521670">
              <w:rPr>
                <w:b/>
                <w:bCs/>
                <w:lang w:val="ru-RU"/>
              </w:rPr>
              <w:t>26 158</w:t>
            </w:r>
          </w:p>
        </w:tc>
        <w:tc>
          <w:tcPr>
            <w:tcW w:w="323" w:type="pct"/>
            <w:tcBorders>
              <w:top w:val="nil"/>
              <w:left w:val="nil"/>
              <w:bottom w:val="nil"/>
              <w:right w:val="nil"/>
            </w:tcBorders>
            <w:shd w:val="clear" w:color="auto" w:fill="auto"/>
            <w:noWrap/>
            <w:vAlign w:val="bottom"/>
          </w:tcPr>
          <w:p w14:paraId="01D84CE2" w14:textId="77777777" w:rsidR="00DF251A" w:rsidRPr="00521670" w:rsidRDefault="00DF251A" w:rsidP="00602C19">
            <w:pPr>
              <w:pStyle w:val="Tabletext"/>
              <w:spacing w:before="20" w:after="20"/>
              <w:jc w:val="right"/>
              <w:rPr>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620A2BDA" w14:textId="77777777" w:rsidR="00DF251A" w:rsidRPr="00521670" w:rsidRDefault="00DF251A" w:rsidP="00602C19">
            <w:pPr>
              <w:pStyle w:val="Tabletext"/>
              <w:spacing w:before="20" w:after="20"/>
              <w:jc w:val="right"/>
              <w:rPr>
                <w:lang w:val="ru-RU" w:eastAsia="en-GB"/>
              </w:rPr>
            </w:pPr>
            <w:r w:rsidRPr="00521670">
              <w:rPr>
                <w:lang w:val="ru-RU"/>
              </w:rPr>
              <w:t>137</w:t>
            </w:r>
          </w:p>
        </w:tc>
        <w:tc>
          <w:tcPr>
            <w:tcW w:w="416" w:type="pct"/>
            <w:tcBorders>
              <w:top w:val="nil"/>
              <w:left w:val="nil"/>
              <w:bottom w:val="nil"/>
              <w:right w:val="nil"/>
            </w:tcBorders>
            <w:shd w:val="clear" w:color="auto" w:fill="auto"/>
            <w:noWrap/>
            <w:vAlign w:val="bottom"/>
          </w:tcPr>
          <w:p w14:paraId="3B413B6A"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50912D9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26 295</w:t>
            </w:r>
          </w:p>
        </w:tc>
      </w:tr>
      <w:tr w:rsidR="00DF251A" w:rsidRPr="00521670" w14:paraId="7C879CF7" w14:textId="77777777" w:rsidTr="00602C19">
        <w:tc>
          <w:tcPr>
            <w:tcW w:w="1476" w:type="pct"/>
            <w:tcBorders>
              <w:top w:val="nil"/>
              <w:left w:val="nil"/>
              <w:bottom w:val="nil"/>
              <w:right w:val="nil"/>
            </w:tcBorders>
            <w:shd w:val="clear" w:color="auto" w:fill="auto"/>
            <w:hideMark/>
          </w:tcPr>
          <w:p w14:paraId="4577B379" w14:textId="77777777" w:rsidR="00DF251A" w:rsidRPr="00521670" w:rsidRDefault="00DF251A" w:rsidP="00602C19">
            <w:pPr>
              <w:pStyle w:val="Tabletext"/>
              <w:spacing w:before="20" w:after="20"/>
              <w:rPr>
                <w:color w:val="000000"/>
                <w:lang w:val="ru-RU" w:eastAsia="en-GB"/>
              </w:rPr>
            </w:pPr>
            <w:r w:rsidRPr="00521670">
              <w:rPr>
                <w:color w:val="000000"/>
                <w:lang w:val="ru-RU" w:eastAsia="en-GB"/>
              </w:rPr>
              <w:t>Расходы по перевозке, электросвязи и услугам</w:t>
            </w:r>
          </w:p>
        </w:tc>
        <w:tc>
          <w:tcPr>
            <w:tcW w:w="501" w:type="pct"/>
            <w:tcBorders>
              <w:top w:val="nil"/>
              <w:left w:val="nil"/>
              <w:bottom w:val="nil"/>
              <w:right w:val="nil"/>
            </w:tcBorders>
            <w:shd w:val="clear" w:color="auto" w:fill="auto"/>
            <w:noWrap/>
            <w:vAlign w:val="bottom"/>
          </w:tcPr>
          <w:p w14:paraId="1C2D0280" w14:textId="77777777" w:rsidR="00DF251A" w:rsidRPr="00521670" w:rsidRDefault="00DF251A" w:rsidP="00602C19">
            <w:pPr>
              <w:pStyle w:val="Tabletext"/>
              <w:spacing w:before="20" w:after="20"/>
              <w:jc w:val="right"/>
              <w:rPr>
                <w:lang w:val="ru-RU" w:eastAsia="en-GB"/>
              </w:rPr>
            </w:pPr>
            <w:r w:rsidRPr="00521670">
              <w:rPr>
                <w:lang w:val="ru-RU"/>
              </w:rPr>
              <w:t>2 033</w:t>
            </w:r>
          </w:p>
        </w:tc>
        <w:tc>
          <w:tcPr>
            <w:tcW w:w="336" w:type="pct"/>
            <w:tcBorders>
              <w:top w:val="nil"/>
              <w:left w:val="nil"/>
              <w:bottom w:val="nil"/>
              <w:right w:val="nil"/>
            </w:tcBorders>
            <w:shd w:val="clear" w:color="auto" w:fill="auto"/>
            <w:noWrap/>
            <w:vAlign w:val="bottom"/>
          </w:tcPr>
          <w:p w14:paraId="05C59E4D" w14:textId="77777777" w:rsidR="00DF251A" w:rsidRPr="00521670" w:rsidRDefault="00DF251A" w:rsidP="00602C19">
            <w:pPr>
              <w:pStyle w:val="Tabletext"/>
              <w:spacing w:before="20" w:after="20"/>
              <w:jc w:val="right"/>
              <w:rPr>
                <w:lang w:val="ru-RU" w:eastAsia="en-GB"/>
              </w:rPr>
            </w:pPr>
            <w:r w:rsidRPr="00521670">
              <w:rPr>
                <w:lang w:val="ru-RU" w:eastAsia="en-GB"/>
              </w:rPr>
              <w:t>−</w:t>
            </w:r>
          </w:p>
        </w:tc>
        <w:tc>
          <w:tcPr>
            <w:tcW w:w="336" w:type="pct"/>
            <w:tcBorders>
              <w:top w:val="nil"/>
              <w:left w:val="nil"/>
              <w:bottom w:val="nil"/>
              <w:right w:val="nil"/>
            </w:tcBorders>
            <w:shd w:val="clear" w:color="auto" w:fill="auto"/>
            <w:noWrap/>
            <w:vAlign w:val="bottom"/>
          </w:tcPr>
          <w:p w14:paraId="0956B37D" w14:textId="77777777" w:rsidR="00DF251A" w:rsidRPr="00521670" w:rsidRDefault="00DF251A" w:rsidP="00602C19">
            <w:pPr>
              <w:pStyle w:val="Tabletext"/>
              <w:spacing w:before="20" w:after="20"/>
              <w:jc w:val="right"/>
              <w:rPr>
                <w:lang w:val="ru-RU" w:eastAsia="en-GB"/>
              </w:rPr>
            </w:pPr>
            <w:r w:rsidRPr="00521670">
              <w:rPr>
                <w:lang w:val="ru-RU"/>
              </w:rPr>
              <w:t>28</w:t>
            </w:r>
          </w:p>
        </w:tc>
        <w:tc>
          <w:tcPr>
            <w:tcW w:w="338" w:type="pct"/>
            <w:tcBorders>
              <w:top w:val="nil"/>
              <w:left w:val="nil"/>
              <w:bottom w:val="nil"/>
              <w:right w:val="nil"/>
            </w:tcBorders>
            <w:shd w:val="clear" w:color="auto" w:fill="auto"/>
            <w:noWrap/>
            <w:vAlign w:val="bottom"/>
          </w:tcPr>
          <w:p w14:paraId="5E3068C6" w14:textId="77777777" w:rsidR="00DF251A" w:rsidRPr="00521670" w:rsidRDefault="00DF251A" w:rsidP="00602C19">
            <w:pPr>
              <w:pStyle w:val="Tabletext"/>
              <w:spacing w:before="20" w:after="20"/>
              <w:jc w:val="right"/>
              <w:rPr>
                <w:lang w:val="ru-RU" w:eastAsia="en-GB"/>
              </w:rPr>
            </w:pPr>
            <w:r w:rsidRPr="00521670">
              <w:rPr>
                <w:lang w:val="ru-RU"/>
              </w:rPr>
              <w:t>63</w:t>
            </w:r>
          </w:p>
        </w:tc>
        <w:tc>
          <w:tcPr>
            <w:tcW w:w="461" w:type="pct"/>
            <w:tcBorders>
              <w:top w:val="nil"/>
              <w:left w:val="nil"/>
              <w:bottom w:val="nil"/>
              <w:right w:val="nil"/>
            </w:tcBorders>
            <w:shd w:val="clear" w:color="auto" w:fill="auto"/>
            <w:noWrap/>
            <w:vAlign w:val="bottom"/>
          </w:tcPr>
          <w:p w14:paraId="02304DC6" w14:textId="77777777" w:rsidR="00DF251A" w:rsidRPr="00521670" w:rsidRDefault="00DF251A" w:rsidP="00602C19">
            <w:pPr>
              <w:pStyle w:val="Tabletext"/>
              <w:spacing w:before="20" w:after="20"/>
              <w:jc w:val="right"/>
              <w:rPr>
                <w:b/>
                <w:bCs/>
                <w:lang w:val="ru-RU" w:eastAsia="en-GB"/>
              </w:rPr>
            </w:pPr>
            <w:r w:rsidRPr="00521670">
              <w:rPr>
                <w:b/>
                <w:bCs/>
                <w:lang w:val="ru-RU"/>
              </w:rPr>
              <w:t>2 123</w:t>
            </w:r>
          </w:p>
        </w:tc>
        <w:tc>
          <w:tcPr>
            <w:tcW w:w="323" w:type="pct"/>
            <w:tcBorders>
              <w:top w:val="nil"/>
              <w:left w:val="nil"/>
              <w:bottom w:val="nil"/>
              <w:right w:val="nil"/>
            </w:tcBorders>
            <w:shd w:val="clear" w:color="auto" w:fill="auto"/>
            <w:noWrap/>
            <w:vAlign w:val="bottom"/>
          </w:tcPr>
          <w:p w14:paraId="1224503E"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16270D8E" w14:textId="77777777" w:rsidR="00DF251A" w:rsidRPr="00521670" w:rsidRDefault="00DF251A" w:rsidP="00602C19">
            <w:pPr>
              <w:pStyle w:val="Tabletext"/>
              <w:spacing w:before="20" w:after="20"/>
              <w:jc w:val="right"/>
              <w:rPr>
                <w:lang w:val="ru-RU" w:eastAsia="en-GB"/>
              </w:rPr>
            </w:pPr>
            <w:r w:rsidRPr="00521670">
              <w:rPr>
                <w:lang w:val="ru-RU"/>
              </w:rPr>
              <w:t>2</w:t>
            </w:r>
          </w:p>
        </w:tc>
        <w:tc>
          <w:tcPr>
            <w:tcW w:w="416" w:type="pct"/>
            <w:tcBorders>
              <w:top w:val="nil"/>
              <w:left w:val="nil"/>
              <w:bottom w:val="nil"/>
              <w:right w:val="nil"/>
            </w:tcBorders>
            <w:shd w:val="clear" w:color="auto" w:fill="auto"/>
            <w:noWrap/>
            <w:vAlign w:val="bottom"/>
          </w:tcPr>
          <w:p w14:paraId="733FBF73"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6FA087D3"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2 125</w:t>
            </w:r>
          </w:p>
        </w:tc>
      </w:tr>
      <w:tr w:rsidR="00DF251A" w:rsidRPr="00521670" w14:paraId="743A69A7" w14:textId="77777777" w:rsidTr="00602C19">
        <w:tc>
          <w:tcPr>
            <w:tcW w:w="1476" w:type="pct"/>
            <w:tcBorders>
              <w:top w:val="nil"/>
              <w:left w:val="nil"/>
              <w:bottom w:val="nil"/>
              <w:right w:val="nil"/>
            </w:tcBorders>
            <w:shd w:val="clear" w:color="auto" w:fill="auto"/>
          </w:tcPr>
          <w:p w14:paraId="799D9E8C" w14:textId="77777777" w:rsidR="00DF251A" w:rsidRPr="00521670" w:rsidRDefault="00DF251A" w:rsidP="00602C19">
            <w:pPr>
              <w:pStyle w:val="Tabletext"/>
              <w:spacing w:before="20" w:after="20"/>
              <w:rPr>
                <w:color w:val="000000"/>
                <w:lang w:val="ru-RU" w:eastAsia="en-GB"/>
              </w:rPr>
            </w:pPr>
            <w:r w:rsidRPr="00521670">
              <w:rPr>
                <w:color w:val="000000"/>
                <w:lang w:val="ru-RU" w:eastAsia="en-GB"/>
              </w:rPr>
              <w:t>Движение резерва под обесценение/резервный фонд</w:t>
            </w:r>
          </w:p>
        </w:tc>
        <w:tc>
          <w:tcPr>
            <w:tcW w:w="501" w:type="pct"/>
            <w:tcBorders>
              <w:top w:val="nil"/>
              <w:left w:val="nil"/>
              <w:bottom w:val="nil"/>
              <w:right w:val="nil"/>
            </w:tcBorders>
            <w:shd w:val="clear" w:color="auto" w:fill="auto"/>
            <w:noWrap/>
            <w:vAlign w:val="bottom"/>
          </w:tcPr>
          <w:p w14:paraId="2ED85393" w14:textId="77777777" w:rsidR="00DF251A" w:rsidRPr="00521670" w:rsidRDefault="00DF251A" w:rsidP="00602C19">
            <w:pPr>
              <w:pStyle w:val="Tabletext"/>
              <w:spacing w:before="20" w:after="20"/>
              <w:jc w:val="right"/>
              <w:rPr>
                <w:lang w:val="ru-RU" w:eastAsia="en-GB"/>
              </w:rPr>
            </w:pPr>
            <w:r w:rsidRPr="00521670">
              <w:rPr>
                <w:lang w:val="ru-RU"/>
              </w:rPr>
              <w:t>8 487</w:t>
            </w:r>
          </w:p>
        </w:tc>
        <w:tc>
          <w:tcPr>
            <w:tcW w:w="336" w:type="pct"/>
            <w:tcBorders>
              <w:top w:val="nil"/>
              <w:left w:val="nil"/>
              <w:bottom w:val="nil"/>
              <w:right w:val="nil"/>
            </w:tcBorders>
            <w:shd w:val="clear" w:color="auto" w:fill="auto"/>
            <w:noWrap/>
            <w:vAlign w:val="bottom"/>
          </w:tcPr>
          <w:p w14:paraId="3C0B0BD7" w14:textId="77777777" w:rsidR="00DF251A" w:rsidRPr="00521670" w:rsidRDefault="00DF251A" w:rsidP="00602C19">
            <w:pPr>
              <w:pStyle w:val="Tabletext"/>
              <w:spacing w:before="20" w:after="20"/>
              <w:jc w:val="right"/>
              <w:rPr>
                <w:lang w:val="ru-RU" w:eastAsia="en-GB"/>
              </w:rPr>
            </w:pPr>
            <w:r w:rsidRPr="00521670">
              <w:rPr>
                <w:lang w:val="ru-RU"/>
              </w:rPr>
              <w:t>1 174</w:t>
            </w:r>
          </w:p>
        </w:tc>
        <w:tc>
          <w:tcPr>
            <w:tcW w:w="336" w:type="pct"/>
            <w:tcBorders>
              <w:top w:val="nil"/>
              <w:left w:val="nil"/>
              <w:bottom w:val="nil"/>
              <w:right w:val="nil"/>
            </w:tcBorders>
            <w:shd w:val="clear" w:color="auto" w:fill="auto"/>
            <w:noWrap/>
            <w:vAlign w:val="bottom"/>
          </w:tcPr>
          <w:p w14:paraId="0ED1FDFE" w14:textId="77777777" w:rsidR="00DF251A" w:rsidRPr="00521670" w:rsidRDefault="00DF251A" w:rsidP="00602C19">
            <w:pPr>
              <w:pStyle w:val="Tabletext"/>
              <w:spacing w:before="20" w:after="20"/>
              <w:jc w:val="right"/>
              <w:rPr>
                <w:lang w:val="ru-RU" w:eastAsia="en-GB"/>
              </w:rPr>
            </w:pPr>
            <w:r w:rsidRPr="00521670">
              <w:rPr>
                <w:lang w:val="ru-RU"/>
              </w:rPr>
              <w:t>618</w:t>
            </w:r>
          </w:p>
        </w:tc>
        <w:tc>
          <w:tcPr>
            <w:tcW w:w="338" w:type="pct"/>
            <w:tcBorders>
              <w:top w:val="nil"/>
              <w:left w:val="nil"/>
              <w:bottom w:val="nil"/>
              <w:right w:val="nil"/>
            </w:tcBorders>
            <w:shd w:val="clear" w:color="auto" w:fill="auto"/>
            <w:noWrap/>
            <w:vAlign w:val="bottom"/>
          </w:tcPr>
          <w:p w14:paraId="2909A64F" w14:textId="77777777" w:rsidR="00DF251A" w:rsidRPr="00521670" w:rsidRDefault="00DF251A" w:rsidP="00602C19">
            <w:pPr>
              <w:pStyle w:val="Tabletext"/>
              <w:spacing w:before="20" w:after="20"/>
              <w:jc w:val="right"/>
              <w:rPr>
                <w:lang w:val="ru-RU" w:eastAsia="en-GB"/>
              </w:rPr>
            </w:pPr>
            <w:r w:rsidRPr="00521670">
              <w:rPr>
                <w:lang w:val="ru-RU"/>
              </w:rPr>
              <w:t>1 122</w:t>
            </w:r>
          </w:p>
        </w:tc>
        <w:tc>
          <w:tcPr>
            <w:tcW w:w="461" w:type="pct"/>
            <w:tcBorders>
              <w:top w:val="nil"/>
              <w:left w:val="nil"/>
              <w:bottom w:val="nil"/>
              <w:right w:val="nil"/>
            </w:tcBorders>
            <w:shd w:val="clear" w:color="auto" w:fill="auto"/>
            <w:noWrap/>
            <w:vAlign w:val="bottom"/>
          </w:tcPr>
          <w:p w14:paraId="723DDE8B" w14:textId="77777777" w:rsidR="00DF251A" w:rsidRPr="00521670" w:rsidRDefault="00DF251A" w:rsidP="00602C19">
            <w:pPr>
              <w:pStyle w:val="Tabletext"/>
              <w:spacing w:before="20" w:after="20"/>
              <w:jc w:val="right"/>
              <w:rPr>
                <w:b/>
                <w:bCs/>
                <w:lang w:val="ru-RU" w:eastAsia="en-GB"/>
              </w:rPr>
            </w:pPr>
            <w:r w:rsidRPr="00521670">
              <w:rPr>
                <w:b/>
                <w:bCs/>
                <w:lang w:val="ru-RU"/>
              </w:rPr>
              <w:t>11 401</w:t>
            </w:r>
          </w:p>
        </w:tc>
        <w:tc>
          <w:tcPr>
            <w:tcW w:w="323" w:type="pct"/>
            <w:tcBorders>
              <w:top w:val="nil"/>
              <w:left w:val="nil"/>
              <w:bottom w:val="nil"/>
              <w:right w:val="nil"/>
            </w:tcBorders>
            <w:shd w:val="clear" w:color="auto" w:fill="auto"/>
            <w:noWrap/>
            <w:vAlign w:val="bottom"/>
          </w:tcPr>
          <w:p w14:paraId="4A8F5D07"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78F0A9FC" w14:textId="77777777" w:rsidR="00DF251A" w:rsidRPr="00521670" w:rsidRDefault="00DF251A" w:rsidP="00602C19">
            <w:pPr>
              <w:pStyle w:val="Tabletext"/>
              <w:spacing w:before="20" w:after="20"/>
              <w:jc w:val="right"/>
              <w:rPr>
                <w:lang w:val="ru-RU" w:eastAsia="en-GB"/>
              </w:rPr>
            </w:pPr>
            <w:r w:rsidRPr="00521670">
              <w:rPr>
                <w:lang w:val="ru-RU" w:eastAsia="en-GB"/>
              </w:rPr>
              <w:t>−</w:t>
            </w:r>
          </w:p>
        </w:tc>
        <w:tc>
          <w:tcPr>
            <w:tcW w:w="416" w:type="pct"/>
            <w:tcBorders>
              <w:top w:val="nil"/>
              <w:left w:val="nil"/>
              <w:bottom w:val="nil"/>
              <w:right w:val="nil"/>
            </w:tcBorders>
            <w:shd w:val="clear" w:color="auto" w:fill="auto"/>
            <w:noWrap/>
            <w:vAlign w:val="bottom"/>
          </w:tcPr>
          <w:p w14:paraId="43B61D96" w14:textId="77777777" w:rsidR="00DF251A" w:rsidRPr="00521670" w:rsidRDefault="00DF251A" w:rsidP="00602C19">
            <w:pPr>
              <w:pStyle w:val="Tabletext"/>
              <w:spacing w:before="20" w:after="20"/>
              <w:jc w:val="right"/>
              <w:rPr>
                <w:lang w:val="ru-RU" w:eastAsia="en-GB"/>
              </w:rPr>
            </w:pPr>
          </w:p>
        </w:tc>
        <w:tc>
          <w:tcPr>
            <w:tcW w:w="377" w:type="pct"/>
            <w:tcBorders>
              <w:top w:val="nil"/>
              <w:left w:val="nil"/>
              <w:bottom w:val="nil"/>
              <w:right w:val="nil"/>
            </w:tcBorders>
            <w:shd w:val="clear" w:color="auto" w:fill="auto"/>
            <w:noWrap/>
            <w:vAlign w:val="bottom"/>
          </w:tcPr>
          <w:p w14:paraId="3C99D2D7"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11 401</w:t>
            </w:r>
          </w:p>
        </w:tc>
      </w:tr>
      <w:tr w:rsidR="00DF251A" w:rsidRPr="00521670" w14:paraId="011F3567" w14:textId="77777777" w:rsidTr="00602C19">
        <w:tc>
          <w:tcPr>
            <w:tcW w:w="1476" w:type="pct"/>
            <w:tcBorders>
              <w:top w:val="nil"/>
              <w:left w:val="nil"/>
              <w:bottom w:val="nil"/>
              <w:right w:val="nil"/>
            </w:tcBorders>
            <w:shd w:val="clear" w:color="auto" w:fill="auto"/>
            <w:hideMark/>
          </w:tcPr>
          <w:p w14:paraId="7FF42CEA" w14:textId="77777777" w:rsidR="00DF251A" w:rsidRPr="00521670" w:rsidRDefault="00DF251A" w:rsidP="00602C19">
            <w:pPr>
              <w:pStyle w:val="Tabletext"/>
              <w:spacing w:before="20" w:after="20"/>
              <w:rPr>
                <w:color w:val="000000"/>
                <w:lang w:val="ru-RU" w:eastAsia="en-GB"/>
              </w:rPr>
            </w:pPr>
            <w:r w:rsidRPr="00521670">
              <w:rPr>
                <w:color w:val="000000"/>
                <w:lang w:val="ru-RU" w:eastAsia="en-GB"/>
              </w:rPr>
              <w:t>Прочие расходы</w:t>
            </w:r>
          </w:p>
        </w:tc>
        <w:tc>
          <w:tcPr>
            <w:tcW w:w="501" w:type="pct"/>
            <w:tcBorders>
              <w:top w:val="nil"/>
              <w:left w:val="nil"/>
              <w:bottom w:val="nil"/>
              <w:right w:val="nil"/>
            </w:tcBorders>
            <w:shd w:val="clear" w:color="auto" w:fill="auto"/>
            <w:noWrap/>
            <w:vAlign w:val="bottom"/>
          </w:tcPr>
          <w:p w14:paraId="556C19F2" w14:textId="77777777" w:rsidR="00DF251A" w:rsidRPr="00521670" w:rsidRDefault="00DF251A" w:rsidP="00602C19">
            <w:pPr>
              <w:pStyle w:val="Tabletext"/>
              <w:spacing w:before="20" w:after="20"/>
              <w:jc w:val="right"/>
              <w:rPr>
                <w:lang w:val="ru-RU" w:eastAsia="en-GB"/>
              </w:rPr>
            </w:pPr>
            <w:r w:rsidRPr="00521670">
              <w:rPr>
                <w:lang w:val="ru-RU"/>
              </w:rPr>
              <w:t>2 822</w:t>
            </w:r>
          </w:p>
        </w:tc>
        <w:tc>
          <w:tcPr>
            <w:tcW w:w="336" w:type="pct"/>
            <w:tcBorders>
              <w:top w:val="nil"/>
              <w:left w:val="nil"/>
              <w:bottom w:val="nil"/>
              <w:right w:val="nil"/>
            </w:tcBorders>
            <w:shd w:val="clear" w:color="auto" w:fill="auto"/>
            <w:noWrap/>
            <w:vAlign w:val="bottom"/>
          </w:tcPr>
          <w:p w14:paraId="2F2C4C61" w14:textId="77777777" w:rsidR="00DF251A" w:rsidRPr="00521670" w:rsidRDefault="00DF251A" w:rsidP="00602C19">
            <w:pPr>
              <w:pStyle w:val="Tabletext"/>
              <w:spacing w:before="20" w:after="20"/>
              <w:jc w:val="right"/>
              <w:rPr>
                <w:lang w:val="ru-RU" w:eastAsia="en-GB"/>
              </w:rPr>
            </w:pPr>
            <w:r w:rsidRPr="00521670">
              <w:rPr>
                <w:lang w:val="ru-RU"/>
              </w:rPr>
              <w:t>3</w:t>
            </w:r>
          </w:p>
        </w:tc>
        <w:tc>
          <w:tcPr>
            <w:tcW w:w="336" w:type="pct"/>
            <w:tcBorders>
              <w:top w:val="nil"/>
              <w:left w:val="nil"/>
              <w:bottom w:val="nil"/>
              <w:right w:val="nil"/>
            </w:tcBorders>
            <w:shd w:val="clear" w:color="auto" w:fill="auto"/>
            <w:noWrap/>
            <w:vAlign w:val="bottom"/>
          </w:tcPr>
          <w:p w14:paraId="517AFB8E" w14:textId="77777777" w:rsidR="00DF251A" w:rsidRPr="00521670" w:rsidRDefault="00DF251A" w:rsidP="00602C19">
            <w:pPr>
              <w:pStyle w:val="Tabletext"/>
              <w:spacing w:before="20" w:after="20"/>
              <w:jc w:val="right"/>
              <w:rPr>
                <w:lang w:val="ru-RU" w:eastAsia="en-GB"/>
              </w:rPr>
            </w:pPr>
            <w:r w:rsidRPr="00521670">
              <w:rPr>
                <w:lang w:val="ru-RU"/>
              </w:rPr>
              <w:t>2</w:t>
            </w:r>
          </w:p>
        </w:tc>
        <w:tc>
          <w:tcPr>
            <w:tcW w:w="338" w:type="pct"/>
            <w:tcBorders>
              <w:top w:val="nil"/>
              <w:left w:val="nil"/>
              <w:bottom w:val="nil"/>
              <w:right w:val="nil"/>
            </w:tcBorders>
            <w:shd w:val="clear" w:color="auto" w:fill="auto"/>
            <w:noWrap/>
            <w:vAlign w:val="bottom"/>
          </w:tcPr>
          <w:p w14:paraId="76115A03" w14:textId="77777777" w:rsidR="00DF251A" w:rsidRPr="00521670" w:rsidRDefault="00DF251A" w:rsidP="00602C19">
            <w:pPr>
              <w:pStyle w:val="Tabletext"/>
              <w:spacing w:before="20" w:after="20"/>
              <w:jc w:val="right"/>
              <w:rPr>
                <w:lang w:val="ru-RU" w:eastAsia="en-GB"/>
              </w:rPr>
            </w:pPr>
            <w:r w:rsidRPr="00521670">
              <w:rPr>
                <w:lang w:val="ru-RU"/>
              </w:rPr>
              <w:t>53</w:t>
            </w:r>
          </w:p>
        </w:tc>
        <w:tc>
          <w:tcPr>
            <w:tcW w:w="461" w:type="pct"/>
            <w:tcBorders>
              <w:top w:val="nil"/>
              <w:left w:val="nil"/>
              <w:bottom w:val="nil"/>
              <w:right w:val="nil"/>
            </w:tcBorders>
            <w:shd w:val="clear" w:color="auto" w:fill="auto"/>
            <w:noWrap/>
            <w:vAlign w:val="bottom"/>
          </w:tcPr>
          <w:p w14:paraId="12B726B8" w14:textId="77777777" w:rsidR="00DF251A" w:rsidRPr="00521670" w:rsidRDefault="00DF251A" w:rsidP="00602C19">
            <w:pPr>
              <w:pStyle w:val="Tabletext"/>
              <w:spacing w:before="20" w:after="20"/>
              <w:jc w:val="right"/>
              <w:rPr>
                <w:b/>
                <w:bCs/>
                <w:lang w:val="ru-RU" w:eastAsia="en-GB"/>
              </w:rPr>
            </w:pPr>
            <w:r w:rsidRPr="00521670">
              <w:rPr>
                <w:b/>
                <w:bCs/>
                <w:lang w:val="ru-RU"/>
              </w:rPr>
              <w:t>2 878</w:t>
            </w:r>
          </w:p>
        </w:tc>
        <w:tc>
          <w:tcPr>
            <w:tcW w:w="323" w:type="pct"/>
            <w:tcBorders>
              <w:top w:val="nil"/>
              <w:left w:val="nil"/>
              <w:bottom w:val="nil"/>
              <w:right w:val="nil"/>
            </w:tcBorders>
            <w:shd w:val="clear" w:color="auto" w:fill="auto"/>
            <w:noWrap/>
            <w:vAlign w:val="bottom"/>
          </w:tcPr>
          <w:p w14:paraId="17551D9D" w14:textId="77777777" w:rsidR="00DF251A" w:rsidRPr="00521670" w:rsidRDefault="00DF251A" w:rsidP="00602C19">
            <w:pPr>
              <w:pStyle w:val="Tabletext"/>
              <w:spacing w:before="20" w:after="20"/>
              <w:jc w:val="right"/>
              <w:rPr>
                <w:rFonts w:ascii="Times New Roman" w:hAnsi="Times New Roman"/>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375DCF6D" w14:textId="77777777" w:rsidR="00DF251A" w:rsidRPr="00521670" w:rsidRDefault="00DF251A" w:rsidP="00602C19">
            <w:pPr>
              <w:pStyle w:val="Tabletext"/>
              <w:spacing w:before="20" w:after="20"/>
              <w:jc w:val="right"/>
              <w:rPr>
                <w:lang w:val="ru-RU" w:eastAsia="en-GB"/>
              </w:rPr>
            </w:pPr>
            <w:r w:rsidRPr="00521670">
              <w:rPr>
                <w:lang w:val="ru-RU"/>
              </w:rPr>
              <w:t>1 998</w:t>
            </w:r>
          </w:p>
        </w:tc>
        <w:tc>
          <w:tcPr>
            <w:tcW w:w="416" w:type="pct"/>
            <w:tcBorders>
              <w:top w:val="nil"/>
              <w:left w:val="nil"/>
              <w:bottom w:val="nil"/>
              <w:right w:val="nil"/>
            </w:tcBorders>
            <w:shd w:val="clear" w:color="auto" w:fill="auto"/>
            <w:noWrap/>
            <w:vAlign w:val="bottom"/>
          </w:tcPr>
          <w:p w14:paraId="24EB55B3" w14:textId="77777777" w:rsidR="00DF251A" w:rsidRPr="00521670" w:rsidRDefault="00DF251A" w:rsidP="00602C19">
            <w:pPr>
              <w:pStyle w:val="Tabletext"/>
              <w:spacing w:before="20" w:after="20"/>
              <w:jc w:val="right"/>
              <w:rPr>
                <w:lang w:val="ru-RU" w:eastAsia="en-GB"/>
              </w:rPr>
            </w:pPr>
            <w:r w:rsidRPr="00521670">
              <w:rPr>
                <w:lang w:val="ru-RU"/>
              </w:rPr>
              <w:t>(1 225)</w:t>
            </w:r>
          </w:p>
        </w:tc>
        <w:tc>
          <w:tcPr>
            <w:tcW w:w="377" w:type="pct"/>
            <w:tcBorders>
              <w:top w:val="nil"/>
              <w:left w:val="nil"/>
              <w:bottom w:val="nil"/>
              <w:right w:val="nil"/>
            </w:tcBorders>
            <w:shd w:val="clear" w:color="auto" w:fill="auto"/>
            <w:noWrap/>
            <w:vAlign w:val="bottom"/>
          </w:tcPr>
          <w:p w14:paraId="73438A5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3 652</w:t>
            </w:r>
          </w:p>
        </w:tc>
      </w:tr>
      <w:tr w:rsidR="00DF251A" w:rsidRPr="00521670" w14:paraId="2B6DCC8A" w14:textId="77777777" w:rsidTr="00602C19">
        <w:tc>
          <w:tcPr>
            <w:tcW w:w="1476" w:type="pct"/>
            <w:tcBorders>
              <w:top w:val="nil"/>
              <w:left w:val="nil"/>
              <w:bottom w:val="nil"/>
              <w:right w:val="nil"/>
            </w:tcBorders>
            <w:shd w:val="clear" w:color="auto" w:fill="auto"/>
            <w:noWrap/>
            <w:hideMark/>
          </w:tcPr>
          <w:p w14:paraId="25506565" w14:textId="77777777" w:rsidR="00DF251A" w:rsidRPr="00521670" w:rsidRDefault="00DF251A" w:rsidP="00602C19">
            <w:pPr>
              <w:pStyle w:val="Tabletext"/>
              <w:spacing w:before="20" w:after="20"/>
              <w:rPr>
                <w:b/>
                <w:bCs/>
                <w:color w:val="000000"/>
                <w:lang w:val="ru-RU" w:eastAsia="en-GB"/>
              </w:rPr>
            </w:pPr>
            <w:r w:rsidRPr="00521670">
              <w:rPr>
                <w:b/>
                <w:bCs/>
                <w:color w:val="000000"/>
                <w:lang w:val="ru-RU" w:eastAsia="en-GB"/>
              </w:rPr>
              <w:t>Всего: расходы</w:t>
            </w:r>
          </w:p>
        </w:tc>
        <w:tc>
          <w:tcPr>
            <w:tcW w:w="501" w:type="pct"/>
            <w:tcBorders>
              <w:top w:val="nil"/>
              <w:left w:val="nil"/>
              <w:bottom w:val="nil"/>
              <w:right w:val="nil"/>
            </w:tcBorders>
            <w:shd w:val="clear" w:color="auto" w:fill="auto"/>
            <w:noWrap/>
            <w:vAlign w:val="bottom"/>
          </w:tcPr>
          <w:p w14:paraId="184E9748"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110 463</w:t>
            </w:r>
          </w:p>
        </w:tc>
        <w:tc>
          <w:tcPr>
            <w:tcW w:w="336" w:type="pct"/>
            <w:tcBorders>
              <w:top w:val="nil"/>
              <w:left w:val="nil"/>
              <w:bottom w:val="nil"/>
              <w:right w:val="nil"/>
            </w:tcBorders>
            <w:shd w:val="clear" w:color="auto" w:fill="auto"/>
            <w:noWrap/>
            <w:vAlign w:val="bottom"/>
          </w:tcPr>
          <w:p w14:paraId="1A0E5DFE"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35 709</w:t>
            </w:r>
          </w:p>
        </w:tc>
        <w:tc>
          <w:tcPr>
            <w:tcW w:w="336" w:type="pct"/>
            <w:tcBorders>
              <w:top w:val="nil"/>
              <w:left w:val="nil"/>
              <w:bottom w:val="nil"/>
              <w:right w:val="nil"/>
            </w:tcBorders>
            <w:shd w:val="clear" w:color="auto" w:fill="auto"/>
            <w:noWrap/>
            <w:vAlign w:val="bottom"/>
          </w:tcPr>
          <w:p w14:paraId="34389747"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18 651</w:t>
            </w:r>
          </w:p>
        </w:tc>
        <w:tc>
          <w:tcPr>
            <w:tcW w:w="338" w:type="pct"/>
            <w:tcBorders>
              <w:top w:val="nil"/>
              <w:left w:val="nil"/>
              <w:bottom w:val="nil"/>
              <w:right w:val="nil"/>
            </w:tcBorders>
            <w:shd w:val="clear" w:color="auto" w:fill="auto"/>
            <w:noWrap/>
            <w:vAlign w:val="bottom"/>
          </w:tcPr>
          <w:p w14:paraId="7A105140"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34 103</w:t>
            </w:r>
          </w:p>
        </w:tc>
        <w:tc>
          <w:tcPr>
            <w:tcW w:w="461" w:type="pct"/>
            <w:tcBorders>
              <w:top w:val="nil"/>
              <w:left w:val="nil"/>
              <w:bottom w:val="nil"/>
              <w:right w:val="nil"/>
            </w:tcBorders>
            <w:shd w:val="clear" w:color="auto" w:fill="auto"/>
            <w:noWrap/>
            <w:vAlign w:val="bottom"/>
          </w:tcPr>
          <w:p w14:paraId="5F09ED43"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198 927</w:t>
            </w:r>
          </w:p>
        </w:tc>
        <w:tc>
          <w:tcPr>
            <w:tcW w:w="323" w:type="pct"/>
            <w:tcBorders>
              <w:top w:val="nil"/>
              <w:left w:val="nil"/>
              <w:bottom w:val="nil"/>
              <w:right w:val="nil"/>
            </w:tcBorders>
            <w:shd w:val="clear" w:color="auto" w:fill="auto"/>
            <w:noWrap/>
            <w:vAlign w:val="bottom"/>
          </w:tcPr>
          <w:p w14:paraId="1ADFFFE1" w14:textId="77777777" w:rsidR="00DF251A" w:rsidRPr="00521670" w:rsidRDefault="00DF251A" w:rsidP="00602C19">
            <w:pPr>
              <w:pStyle w:val="Tabletext"/>
              <w:spacing w:before="20" w:after="20"/>
              <w:jc w:val="right"/>
              <w:rPr>
                <w:b/>
                <w:bCs/>
                <w:color w:val="000000"/>
                <w:lang w:val="ru-RU" w:eastAsia="en-GB"/>
              </w:rPr>
            </w:pPr>
            <w:r w:rsidRPr="00521670">
              <w:rPr>
                <w:rFonts w:ascii="Times New Roman" w:hAnsi="Times New Roman"/>
                <w:lang w:val="ru-RU" w:eastAsia="en-GB"/>
              </w:rPr>
              <w:t>−</w:t>
            </w:r>
          </w:p>
        </w:tc>
        <w:tc>
          <w:tcPr>
            <w:tcW w:w="436" w:type="pct"/>
            <w:tcBorders>
              <w:top w:val="nil"/>
              <w:left w:val="nil"/>
              <w:bottom w:val="nil"/>
              <w:right w:val="nil"/>
            </w:tcBorders>
            <w:shd w:val="clear" w:color="auto" w:fill="auto"/>
            <w:noWrap/>
            <w:vAlign w:val="bottom"/>
          </w:tcPr>
          <w:p w14:paraId="1E681ABB"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24 313</w:t>
            </w:r>
          </w:p>
        </w:tc>
        <w:tc>
          <w:tcPr>
            <w:tcW w:w="416" w:type="pct"/>
            <w:tcBorders>
              <w:top w:val="nil"/>
              <w:left w:val="nil"/>
              <w:bottom w:val="nil"/>
              <w:right w:val="nil"/>
            </w:tcBorders>
            <w:shd w:val="clear" w:color="auto" w:fill="auto"/>
            <w:noWrap/>
            <w:vAlign w:val="bottom"/>
          </w:tcPr>
          <w:p w14:paraId="1AD6300F"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(1 225)</w:t>
            </w:r>
          </w:p>
        </w:tc>
        <w:tc>
          <w:tcPr>
            <w:tcW w:w="377" w:type="pct"/>
            <w:tcBorders>
              <w:top w:val="nil"/>
              <w:left w:val="nil"/>
              <w:bottom w:val="nil"/>
              <w:right w:val="nil"/>
            </w:tcBorders>
            <w:shd w:val="clear" w:color="auto" w:fill="auto"/>
            <w:noWrap/>
            <w:vAlign w:val="bottom"/>
          </w:tcPr>
          <w:p w14:paraId="25FE64CD"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222 016</w:t>
            </w:r>
          </w:p>
        </w:tc>
      </w:tr>
      <w:tr w:rsidR="00DF251A" w:rsidRPr="00521670" w14:paraId="383E1189" w14:textId="77777777" w:rsidTr="00602C19">
        <w:tc>
          <w:tcPr>
            <w:tcW w:w="1476" w:type="pct"/>
            <w:tcBorders>
              <w:top w:val="nil"/>
              <w:left w:val="nil"/>
              <w:bottom w:val="nil"/>
              <w:right w:val="nil"/>
            </w:tcBorders>
            <w:shd w:val="clear" w:color="auto" w:fill="auto"/>
            <w:noWrap/>
            <w:hideMark/>
          </w:tcPr>
          <w:p w14:paraId="2E4C8939" w14:textId="77777777" w:rsidR="00DF251A" w:rsidRPr="00521670" w:rsidRDefault="00DF251A" w:rsidP="00602C19">
            <w:pPr>
              <w:pStyle w:val="Tabletext"/>
              <w:spacing w:before="20" w:after="20"/>
              <w:rPr>
                <w:color w:val="000000"/>
                <w:lang w:val="ru-RU" w:eastAsia="en-GB"/>
              </w:rPr>
            </w:pPr>
          </w:p>
        </w:tc>
        <w:tc>
          <w:tcPr>
            <w:tcW w:w="501" w:type="pct"/>
            <w:tcBorders>
              <w:top w:val="nil"/>
              <w:left w:val="nil"/>
              <w:bottom w:val="nil"/>
              <w:right w:val="nil"/>
            </w:tcBorders>
            <w:shd w:val="clear" w:color="auto" w:fill="auto"/>
            <w:noWrap/>
            <w:vAlign w:val="bottom"/>
          </w:tcPr>
          <w:p w14:paraId="4939274C"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tcPr>
          <w:p w14:paraId="30A5756A" w14:textId="77777777" w:rsidR="00DF251A" w:rsidRPr="00521670" w:rsidRDefault="00DF251A" w:rsidP="00602C19">
            <w:pPr>
              <w:pStyle w:val="Tabletext"/>
              <w:spacing w:before="20" w:after="20"/>
              <w:jc w:val="right"/>
              <w:rPr>
                <w:rFonts w:ascii="Times New Roman" w:hAnsi="Times New Roman"/>
                <w:lang w:val="ru-RU" w:eastAsia="en-GB"/>
              </w:rPr>
            </w:pPr>
          </w:p>
        </w:tc>
        <w:tc>
          <w:tcPr>
            <w:tcW w:w="336" w:type="pct"/>
            <w:tcBorders>
              <w:top w:val="nil"/>
              <w:left w:val="nil"/>
              <w:bottom w:val="nil"/>
              <w:right w:val="nil"/>
            </w:tcBorders>
            <w:shd w:val="clear" w:color="auto" w:fill="auto"/>
            <w:noWrap/>
            <w:vAlign w:val="bottom"/>
          </w:tcPr>
          <w:p w14:paraId="56961F13" w14:textId="77777777" w:rsidR="00DF251A" w:rsidRPr="00521670" w:rsidRDefault="00DF251A" w:rsidP="00602C19">
            <w:pPr>
              <w:pStyle w:val="Tabletext"/>
              <w:spacing w:before="20" w:after="20"/>
              <w:jc w:val="right"/>
              <w:rPr>
                <w:rFonts w:ascii="Times New Roman" w:hAnsi="Times New Roman"/>
                <w:lang w:val="ru-RU" w:eastAsia="en-GB"/>
              </w:rPr>
            </w:pPr>
          </w:p>
        </w:tc>
        <w:tc>
          <w:tcPr>
            <w:tcW w:w="338" w:type="pct"/>
            <w:tcBorders>
              <w:top w:val="nil"/>
              <w:left w:val="nil"/>
              <w:bottom w:val="nil"/>
              <w:right w:val="nil"/>
            </w:tcBorders>
            <w:shd w:val="clear" w:color="auto" w:fill="auto"/>
            <w:noWrap/>
            <w:vAlign w:val="bottom"/>
          </w:tcPr>
          <w:p w14:paraId="58330540" w14:textId="77777777" w:rsidR="00DF251A" w:rsidRPr="00521670" w:rsidRDefault="00DF251A" w:rsidP="00602C19">
            <w:pPr>
              <w:pStyle w:val="Tabletext"/>
              <w:spacing w:before="20" w:after="20"/>
              <w:jc w:val="right"/>
              <w:rPr>
                <w:rFonts w:ascii="Times New Roman" w:hAnsi="Times New Roman"/>
                <w:lang w:val="ru-RU" w:eastAsia="en-GB"/>
              </w:rPr>
            </w:pPr>
          </w:p>
        </w:tc>
        <w:tc>
          <w:tcPr>
            <w:tcW w:w="461" w:type="pct"/>
            <w:tcBorders>
              <w:top w:val="nil"/>
              <w:left w:val="nil"/>
              <w:bottom w:val="nil"/>
              <w:right w:val="nil"/>
            </w:tcBorders>
            <w:shd w:val="clear" w:color="auto" w:fill="auto"/>
            <w:noWrap/>
            <w:vAlign w:val="bottom"/>
          </w:tcPr>
          <w:p w14:paraId="385D50ED" w14:textId="77777777" w:rsidR="00DF251A" w:rsidRPr="00521670" w:rsidRDefault="00DF251A" w:rsidP="00602C19">
            <w:pPr>
              <w:pStyle w:val="Tabletext"/>
              <w:spacing w:before="20" w:after="20"/>
              <w:jc w:val="right"/>
              <w:rPr>
                <w:rFonts w:ascii="Times New Roman" w:hAnsi="Times New Roman"/>
                <w:b/>
                <w:bCs/>
                <w:lang w:val="ru-RU" w:eastAsia="en-GB"/>
              </w:rPr>
            </w:pPr>
          </w:p>
        </w:tc>
        <w:tc>
          <w:tcPr>
            <w:tcW w:w="323" w:type="pct"/>
            <w:tcBorders>
              <w:top w:val="nil"/>
              <w:left w:val="nil"/>
              <w:bottom w:val="nil"/>
              <w:right w:val="nil"/>
            </w:tcBorders>
            <w:shd w:val="clear" w:color="auto" w:fill="auto"/>
            <w:noWrap/>
            <w:vAlign w:val="bottom"/>
          </w:tcPr>
          <w:p w14:paraId="6EF6646B" w14:textId="77777777" w:rsidR="00DF251A" w:rsidRPr="00521670" w:rsidRDefault="00DF251A" w:rsidP="00602C19">
            <w:pPr>
              <w:pStyle w:val="Tabletext"/>
              <w:spacing w:before="20" w:after="20"/>
              <w:jc w:val="right"/>
              <w:rPr>
                <w:rFonts w:ascii="Times New Roman" w:hAnsi="Times New Roman"/>
                <w:lang w:val="ru-RU" w:eastAsia="en-GB"/>
              </w:rPr>
            </w:pPr>
          </w:p>
        </w:tc>
        <w:tc>
          <w:tcPr>
            <w:tcW w:w="436" w:type="pct"/>
            <w:tcBorders>
              <w:top w:val="nil"/>
              <w:left w:val="nil"/>
              <w:bottom w:val="nil"/>
              <w:right w:val="nil"/>
            </w:tcBorders>
            <w:shd w:val="clear" w:color="auto" w:fill="auto"/>
            <w:noWrap/>
            <w:vAlign w:val="bottom"/>
          </w:tcPr>
          <w:p w14:paraId="7D775248" w14:textId="77777777" w:rsidR="00DF251A" w:rsidRPr="00521670" w:rsidRDefault="00DF251A" w:rsidP="00602C19">
            <w:pPr>
              <w:pStyle w:val="Tabletext"/>
              <w:spacing w:before="20" w:after="20"/>
              <w:jc w:val="right"/>
              <w:rPr>
                <w:rFonts w:ascii="Times New Roman" w:hAnsi="Times New Roman"/>
                <w:lang w:val="ru-RU" w:eastAsia="en-GB"/>
              </w:rPr>
            </w:pPr>
          </w:p>
        </w:tc>
        <w:tc>
          <w:tcPr>
            <w:tcW w:w="416" w:type="pct"/>
            <w:tcBorders>
              <w:top w:val="nil"/>
              <w:left w:val="nil"/>
              <w:bottom w:val="nil"/>
              <w:right w:val="nil"/>
            </w:tcBorders>
            <w:shd w:val="clear" w:color="auto" w:fill="auto"/>
            <w:noWrap/>
            <w:vAlign w:val="bottom"/>
          </w:tcPr>
          <w:p w14:paraId="659C8645" w14:textId="77777777" w:rsidR="00DF251A" w:rsidRPr="00521670" w:rsidRDefault="00DF251A" w:rsidP="00602C19">
            <w:pPr>
              <w:pStyle w:val="Tabletext"/>
              <w:spacing w:before="20" w:after="20"/>
              <w:jc w:val="right"/>
              <w:rPr>
                <w:rFonts w:ascii="Times New Roman" w:hAnsi="Times New Roman"/>
                <w:lang w:val="ru-RU" w:eastAsia="en-GB"/>
              </w:rPr>
            </w:pPr>
          </w:p>
        </w:tc>
        <w:tc>
          <w:tcPr>
            <w:tcW w:w="377" w:type="pct"/>
            <w:tcBorders>
              <w:top w:val="nil"/>
              <w:left w:val="nil"/>
              <w:bottom w:val="nil"/>
              <w:right w:val="nil"/>
            </w:tcBorders>
            <w:shd w:val="clear" w:color="auto" w:fill="auto"/>
            <w:noWrap/>
            <w:vAlign w:val="bottom"/>
          </w:tcPr>
          <w:p w14:paraId="40D7F77B" w14:textId="77777777" w:rsidR="00DF251A" w:rsidRPr="00521670" w:rsidRDefault="00DF251A" w:rsidP="00602C19">
            <w:pPr>
              <w:pStyle w:val="Tabletext"/>
              <w:spacing w:before="20" w:after="20"/>
              <w:jc w:val="right"/>
              <w:rPr>
                <w:rFonts w:ascii="Times New Roman" w:hAnsi="Times New Roman"/>
                <w:b/>
                <w:bCs/>
                <w:lang w:val="ru-RU" w:eastAsia="en-GB"/>
              </w:rPr>
            </w:pPr>
          </w:p>
        </w:tc>
      </w:tr>
      <w:tr w:rsidR="00DF251A" w:rsidRPr="00521670" w14:paraId="7DAA8E5A" w14:textId="77777777" w:rsidTr="00602C19">
        <w:tc>
          <w:tcPr>
            <w:tcW w:w="1476" w:type="pct"/>
            <w:tcBorders>
              <w:top w:val="nil"/>
              <w:left w:val="nil"/>
              <w:bottom w:val="nil"/>
              <w:right w:val="nil"/>
            </w:tcBorders>
            <w:shd w:val="clear" w:color="auto" w:fill="auto"/>
            <w:noWrap/>
            <w:hideMark/>
          </w:tcPr>
          <w:p w14:paraId="4033852B" w14:textId="77777777" w:rsidR="00DF251A" w:rsidRPr="00521670" w:rsidRDefault="00DF251A" w:rsidP="00602C19">
            <w:pPr>
              <w:pStyle w:val="Tabletext"/>
              <w:spacing w:before="20" w:after="20"/>
              <w:rPr>
                <w:b/>
                <w:bCs/>
                <w:color w:val="000000"/>
                <w:lang w:val="ru-RU" w:eastAsia="en-GB"/>
              </w:rPr>
            </w:pPr>
            <w:r w:rsidRPr="00521670">
              <w:rPr>
                <w:b/>
                <w:bCs/>
                <w:color w:val="000000"/>
                <w:lang w:val="ru-RU" w:eastAsia="en-GB"/>
              </w:rPr>
              <w:t>Финансовые доходы/(затраты)</w:t>
            </w:r>
          </w:p>
        </w:tc>
        <w:tc>
          <w:tcPr>
            <w:tcW w:w="501" w:type="pct"/>
            <w:tcBorders>
              <w:top w:val="nil"/>
              <w:left w:val="nil"/>
              <w:bottom w:val="nil"/>
              <w:right w:val="nil"/>
            </w:tcBorders>
            <w:shd w:val="clear" w:color="auto" w:fill="auto"/>
            <w:noWrap/>
            <w:vAlign w:val="bottom"/>
          </w:tcPr>
          <w:p w14:paraId="138898A4" w14:textId="77777777" w:rsidR="00DF251A" w:rsidRPr="00521670" w:rsidRDefault="00DF251A" w:rsidP="00602C19">
            <w:pPr>
              <w:pStyle w:val="Tabletext"/>
              <w:spacing w:before="20" w:after="20"/>
              <w:jc w:val="right"/>
              <w:rPr>
                <w:b/>
                <w:bCs/>
                <w:lang w:val="ru-RU" w:eastAsia="en-GB"/>
              </w:rPr>
            </w:pPr>
            <w:r w:rsidRPr="00521670">
              <w:rPr>
                <w:lang w:val="ru-RU"/>
              </w:rPr>
              <w:t>3 356</w:t>
            </w:r>
          </w:p>
        </w:tc>
        <w:tc>
          <w:tcPr>
            <w:tcW w:w="336" w:type="pct"/>
            <w:tcBorders>
              <w:top w:val="nil"/>
              <w:left w:val="nil"/>
              <w:bottom w:val="nil"/>
              <w:right w:val="nil"/>
            </w:tcBorders>
            <w:shd w:val="clear" w:color="auto" w:fill="auto"/>
            <w:noWrap/>
            <w:vAlign w:val="bottom"/>
          </w:tcPr>
          <w:p w14:paraId="7A549322" w14:textId="77777777" w:rsidR="00DF251A" w:rsidRPr="00521670" w:rsidRDefault="00DF251A" w:rsidP="00602C19">
            <w:pPr>
              <w:pStyle w:val="Tabletext"/>
              <w:spacing w:before="20" w:after="20"/>
              <w:jc w:val="right"/>
              <w:rPr>
                <w:b/>
                <w:bCs/>
                <w:lang w:val="ru-RU" w:eastAsia="en-GB"/>
              </w:rPr>
            </w:pPr>
            <w:r w:rsidRPr="00521670">
              <w:rPr>
                <w:lang w:val="ru-RU"/>
              </w:rPr>
              <w:t>1 130</w:t>
            </w:r>
          </w:p>
        </w:tc>
        <w:tc>
          <w:tcPr>
            <w:tcW w:w="336" w:type="pct"/>
            <w:tcBorders>
              <w:top w:val="nil"/>
              <w:left w:val="nil"/>
              <w:bottom w:val="nil"/>
              <w:right w:val="nil"/>
            </w:tcBorders>
            <w:shd w:val="clear" w:color="auto" w:fill="auto"/>
            <w:noWrap/>
            <w:vAlign w:val="bottom"/>
          </w:tcPr>
          <w:p w14:paraId="199D6B1A" w14:textId="77777777" w:rsidR="00DF251A" w:rsidRPr="00521670" w:rsidRDefault="00DF251A" w:rsidP="00602C19">
            <w:pPr>
              <w:pStyle w:val="Tabletext"/>
              <w:spacing w:before="20" w:after="20"/>
              <w:jc w:val="right"/>
              <w:rPr>
                <w:b/>
                <w:bCs/>
                <w:lang w:val="ru-RU" w:eastAsia="en-GB"/>
              </w:rPr>
            </w:pPr>
            <w:r w:rsidRPr="00521670">
              <w:rPr>
                <w:lang w:val="ru-RU"/>
              </w:rPr>
              <w:t>595</w:t>
            </w:r>
          </w:p>
        </w:tc>
        <w:tc>
          <w:tcPr>
            <w:tcW w:w="338" w:type="pct"/>
            <w:tcBorders>
              <w:top w:val="nil"/>
              <w:left w:val="nil"/>
              <w:bottom w:val="nil"/>
              <w:right w:val="nil"/>
            </w:tcBorders>
            <w:shd w:val="clear" w:color="auto" w:fill="auto"/>
            <w:noWrap/>
            <w:vAlign w:val="bottom"/>
          </w:tcPr>
          <w:p w14:paraId="47227FB7" w14:textId="77777777" w:rsidR="00DF251A" w:rsidRPr="00521670" w:rsidRDefault="00DF251A" w:rsidP="00602C19">
            <w:pPr>
              <w:pStyle w:val="Tabletext"/>
              <w:spacing w:before="20" w:after="20"/>
              <w:jc w:val="right"/>
              <w:rPr>
                <w:b/>
                <w:bCs/>
                <w:lang w:val="ru-RU" w:eastAsia="en-GB"/>
              </w:rPr>
            </w:pPr>
            <w:r w:rsidRPr="00521670">
              <w:rPr>
                <w:lang w:val="ru-RU"/>
              </w:rPr>
              <w:t>1 080</w:t>
            </w:r>
          </w:p>
        </w:tc>
        <w:tc>
          <w:tcPr>
            <w:tcW w:w="461" w:type="pct"/>
            <w:tcBorders>
              <w:top w:val="nil"/>
              <w:left w:val="nil"/>
              <w:bottom w:val="nil"/>
              <w:right w:val="nil"/>
            </w:tcBorders>
            <w:shd w:val="clear" w:color="auto" w:fill="auto"/>
            <w:noWrap/>
            <w:vAlign w:val="bottom"/>
          </w:tcPr>
          <w:p w14:paraId="118A5CF6" w14:textId="77777777" w:rsidR="00DF251A" w:rsidRPr="00521670" w:rsidRDefault="00DF251A" w:rsidP="00602C19">
            <w:pPr>
              <w:pStyle w:val="Tabletext"/>
              <w:spacing w:before="20" w:after="20"/>
              <w:jc w:val="right"/>
              <w:rPr>
                <w:b/>
                <w:bCs/>
                <w:lang w:val="ru-RU" w:eastAsia="en-GB"/>
              </w:rPr>
            </w:pPr>
            <w:r w:rsidRPr="00521670">
              <w:rPr>
                <w:b/>
                <w:bCs/>
                <w:lang w:val="ru-RU"/>
              </w:rPr>
              <w:t>6 161</w:t>
            </w:r>
          </w:p>
        </w:tc>
        <w:tc>
          <w:tcPr>
            <w:tcW w:w="323" w:type="pct"/>
            <w:tcBorders>
              <w:top w:val="nil"/>
              <w:left w:val="nil"/>
              <w:bottom w:val="nil"/>
              <w:right w:val="nil"/>
            </w:tcBorders>
            <w:shd w:val="clear" w:color="auto" w:fill="auto"/>
            <w:noWrap/>
            <w:vAlign w:val="bottom"/>
          </w:tcPr>
          <w:p w14:paraId="041CF5CE" w14:textId="77777777" w:rsidR="00DF251A" w:rsidRPr="00521670" w:rsidRDefault="00DF251A" w:rsidP="00602C19">
            <w:pPr>
              <w:pStyle w:val="Tabletext"/>
              <w:spacing w:before="20" w:after="20"/>
              <w:jc w:val="right"/>
              <w:rPr>
                <w:b/>
                <w:bCs/>
                <w:lang w:val="ru-RU" w:eastAsia="en-GB"/>
              </w:rPr>
            </w:pPr>
            <w:r w:rsidRPr="00521670">
              <w:rPr>
                <w:b/>
                <w:bCs/>
                <w:lang w:val="ru-RU"/>
              </w:rPr>
              <w:t>735</w:t>
            </w:r>
          </w:p>
        </w:tc>
        <w:tc>
          <w:tcPr>
            <w:tcW w:w="436" w:type="pct"/>
            <w:tcBorders>
              <w:top w:val="nil"/>
              <w:left w:val="nil"/>
              <w:bottom w:val="nil"/>
              <w:right w:val="nil"/>
            </w:tcBorders>
            <w:shd w:val="clear" w:color="auto" w:fill="auto"/>
            <w:noWrap/>
            <w:vAlign w:val="bottom"/>
          </w:tcPr>
          <w:p w14:paraId="660E884C" w14:textId="77777777" w:rsidR="00DF251A" w:rsidRPr="00521670" w:rsidRDefault="00DF251A" w:rsidP="00602C19">
            <w:pPr>
              <w:pStyle w:val="Tabletext"/>
              <w:spacing w:before="20" w:after="20"/>
              <w:jc w:val="right"/>
              <w:rPr>
                <w:b/>
                <w:bCs/>
                <w:lang w:val="ru-RU" w:eastAsia="en-GB"/>
              </w:rPr>
            </w:pPr>
            <w:r w:rsidRPr="00521670">
              <w:rPr>
                <w:b/>
                <w:bCs/>
                <w:lang w:val="ru-RU"/>
              </w:rPr>
              <w:t>2 606</w:t>
            </w:r>
          </w:p>
        </w:tc>
        <w:tc>
          <w:tcPr>
            <w:tcW w:w="416" w:type="pct"/>
            <w:tcBorders>
              <w:top w:val="nil"/>
              <w:left w:val="nil"/>
              <w:bottom w:val="nil"/>
              <w:right w:val="nil"/>
            </w:tcBorders>
            <w:shd w:val="clear" w:color="auto" w:fill="auto"/>
            <w:noWrap/>
            <w:vAlign w:val="bottom"/>
          </w:tcPr>
          <w:p w14:paraId="568FA8BF" w14:textId="77777777" w:rsidR="00DF251A" w:rsidRPr="00521670" w:rsidRDefault="00DF251A" w:rsidP="00602C19">
            <w:pPr>
              <w:pStyle w:val="Tabletext"/>
              <w:spacing w:before="20" w:after="20"/>
              <w:jc w:val="right"/>
              <w:rPr>
                <w:b/>
                <w:bCs/>
                <w:lang w:val="ru-RU" w:eastAsia="en-GB"/>
              </w:rPr>
            </w:pPr>
          </w:p>
        </w:tc>
        <w:tc>
          <w:tcPr>
            <w:tcW w:w="377" w:type="pct"/>
            <w:tcBorders>
              <w:top w:val="nil"/>
              <w:left w:val="nil"/>
              <w:bottom w:val="nil"/>
              <w:right w:val="nil"/>
            </w:tcBorders>
            <w:shd w:val="clear" w:color="auto" w:fill="auto"/>
            <w:noWrap/>
            <w:vAlign w:val="bottom"/>
          </w:tcPr>
          <w:p w14:paraId="604978C2" w14:textId="77777777" w:rsidR="00DF251A" w:rsidRPr="00521670" w:rsidRDefault="00DF251A" w:rsidP="00602C19">
            <w:pPr>
              <w:pStyle w:val="Tabletext"/>
              <w:spacing w:before="20" w:after="20"/>
              <w:jc w:val="right"/>
              <w:rPr>
                <w:b/>
                <w:bCs/>
                <w:color w:val="000000"/>
                <w:lang w:val="ru-RU" w:eastAsia="en-GB"/>
              </w:rPr>
            </w:pPr>
            <w:r w:rsidRPr="00521670">
              <w:rPr>
                <w:b/>
                <w:bCs/>
                <w:lang w:val="ru-RU"/>
              </w:rPr>
              <w:t>9 503</w:t>
            </w:r>
          </w:p>
        </w:tc>
      </w:tr>
      <w:tr w:rsidR="00DF251A" w:rsidRPr="00521670" w14:paraId="0AF8F694" w14:textId="77777777" w:rsidTr="00602C19">
        <w:tc>
          <w:tcPr>
            <w:tcW w:w="1476" w:type="pct"/>
            <w:tcBorders>
              <w:top w:val="nil"/>
              <w:left w:val="nil"/>
              <w:bottom w:val="nil"/>
              <w:right w:val="nil"/>
            </w:tcBorders>
            <w:shd w:val="clear" w:color="000000" w:fill="0070C0"/>
            <w:vAlign w:val="center"/>
            <w:hideMark/>
          </w:tcPr>
          <w:p w14:paraId="132417C5" w14:textId="77777777" w:rsidR="00DF251A" w:rsidRPr="00521670" w:rsidRDefault="00DF251A" w:rsidP="00602C19">
            <w:pPr>
              <w:pStyle w:val="Tabletext"/>
              <w:spacing w:before="20" w:after="20"/>
              <w:rPr>
                <w:b/>
                <w:bCs/>
                <w:lang w:val="ru-RU" w:eastAsia="en-GB"/>
              </w:rPr>
            </w:pPr>
            <w:r w:rsidRPr="00521670">
              <w:rPr>
                <w:b/>
                <w:bCs/>
                <w:lang w:val="ru-RU" w:eastAsia="en-GB"/>
              </w:rPr>
              <w:t>Активное сальдо/(дефицит) за период</w:t>
            </w:r>
          </w:p>
        </w:tc>
        <w:tc>
          <w:tcPr>
            <w:tcW w:w="501" w:type="pct"/>
            <w:tcBorders>
              <w:top w:val="nil"/>
              <w:left w:val="nil"/>
              <w:bottom w:val="nil"/>
              <w:right w:val="nil"/>
            </w:tcBorders>
            <w:shd w:val="clear" w:color="000000" w:fill="0070C0"/>
            <w:noWrap/>
          </w:tcPr>
          <w:p w14:paraId="6AB0AAD1" w14:textId="77777777" w:rsidR="00DF251A" w:rsidRPr="00521670" w:rsidRDefault="00DF251A" w:rsidP="00602C19">
            <w:pPr>
              <w:pStyle w:val="Tabletext"/>
              <w:spacing w:before="20" w:after="20"/>
              <w:jc w:val="right"/>
              <w:rPr>
                <w:b/>
                <w:bCs/>
                <w:lang w:val="ru-RU" w:eastAsia="en-GB"/>
              </w:rPr>
            </w:pPr>
            <w:r w:rsidRPr="00521670">
              <w:rPr>
                <w:b/>
                <w:bCs/>
                <w:lang w:val="ru-RU"/>
              </w:rPr>
              <w:t>(44 092)</w:t>
            </w:r>
          </w:p>
        </w:tc>
        <w:tc>
          <w:tcPr>
            <w:tcW w:w="336" w:type="pct"/>
            <w:tcBorders>
              <w:top w:val="nil"/>
              <w:left w:val="nil"/>
              <w:bottom w:val="nil"/>
              <w:right w:val="nil"/>
            </w:tcBorders>
            <w:shd w:val="clear" w:color="000000" w:fill="0070C0"/>
            <w:noWrap/>
          </w:tcPr>
          <w:p w14:paraId="1696145B" w14:textId="77777777" w:rsidR="00DF251A" w:rsidRPr="00521670" w:rsidRDefault="00DF251A" w:rsidP="00602C19">
            <w:pPr>
              <w:pStyle w:val="Tabletext"/>
              <w:spacing w:before="20" w:after="20"/>
              <w:jc w:val="right"/>
              <w:rPr>
                <w:b/>
                <w:bCs/>
                <w:lang w:val="ru-RU" w:eastAsia="en-GB"/>
              </w:rPr>
            </w:pPr>
            <w:r w:rsidRPr="00521670">
              <w:rPr>
                <w:b/>
                <w:bCs/>
                <w:lang w:val="ru-RU"/>
              </w:rPr>
              <w:t>20 626</w:t>
            </w:r>
          </w:p>
        </w:tc>
        <w:tc>
          <w:tcPr>
            <w:tcW w:w="336" w:type="pct"/>
            <w:tcBorders>
              <w:top w:val="nil"/>
              <w:left w:val="nil"/>
              <w:bottom w:val="nil"/>
              <w:right w:val="nil"/>
            </w:tcBorders>
            <w:shd w:val="clear" w:color="000000" w:fill="0070C0"/>
            <w:noWrap/>
          </w:tcPr>
          <w:p w14:paraId="1697A746" w14:textId="77777777" w:rsidR="00DF251A" w:rsidRPr="00521670" w:rsidRDefault="00DF251A" w:rsidP="00602C19">
            <w:pPr>
              <w:pStyle w:val="Tabletext"/>
              <w:spacing w:before="20" w:after="20"/>
              <w:jc w:val="right"/>
              <w:rPr>
                <w:b/>
                <w:bCs/>
                <w:lang w:val="ru-RU" w:eastAsia="en-GB"/>
              </w:rPr>
            </w:pPr>
            <w:r w:rsidRPr="00521670">
              <w:rPr>
                <w:b/>
                <w:bCs/>
                <w:lang w:val="ru-RU"/>
              </w:rPr>
              <w:t>1 828</w:t>
            </w:r>
          </w:p>
        </w:tc>
        <w:tc>
          <w:tcPr>
            <w:tcW w:w="338" w:type="pct"/>
            <w:tcBorders>
              <w:top w:val="nil"/>
              <w:left w:val="nil"/>
              <w:bottom w:val="nil"/>
              <w:right w:val="nil"/>
            </w:tcBorders>
            <w:shd w:val="clear" w:color="000000" w:fill="0070C0"/>
            <w:noWrap/>
          </w:tcPr>
          <w:p w14:paraId="52F8F575" w14:textId="77777777" w:rsidR="00DF251A" w:rsidRPr="00521670" w:rsidRDefault="00DF251A" w:rsidP="00602C19">
            <w:pPr>
              <w:pStyle w:val="Tabletext"/>
              <w:spacing w:before="20" w:after="20"/>
              <w:jc w:val="right"/>
              <w:rPr>
                <w:b/>
                <w:bCs/>
                <w:lang w:val="ru-RU" w:eastAsia="en-GB"/>
              </w:rPr>
            </w:pPr>
            <w:r w:rsidRPr="00521670">
              <w:rPr>
                <w:b/>
                <w:bCs/>
                <w:lang w:val="ru-RU"/>
              </w:rPr>
              <w:t>(10 085)</w:t>
            </w:r>
          </w:p>
        </w:tc>
        <w:tc>
          <w:tcPr>
            <w:tcW w:w="461" w:type="pct"/>
            <w:tcBorders>
              <w:top w:val="nil"/>
              <w:left w:val="nil"/>
              <w:bottom w:val="nil"/>
              <w:right w:val="nil"/>
            </w:tcBorders>
            <w:shd w:val="clear" w:color="000000" w:fill="0070C0"/>
            <w:noWrap/>
          </w:tcPr>
          <w:p w14:paraId="33ED58DB" w14:textId="77777777" w:rsidR="00DF251A" w:rsidRPr="00521670" w:rsidRDefault="00DF251A" w:rsidP="00602C19">
            <w:pPr>
              <w:pStyle w:val="Tabletext"/>
              <w:spacing w:before="20" w:after="20"/>
              <w:jc w:val="right"/>
              <w:rPr>
                <w:b/>
                <w:bCs/>
                <w:lang w:val="ru-RU" w:eastAsia="en-GB"/>
              </w:rPr>
            </w:pPr>
            <w:r w:rsidRPr="00521670">
              <w:rPr>
                <w:b/>
                <w:bCs/>
                <w:lang w:val="ru-RU"/>
              </w:rPr>
              <w:t>(31 724)</w:t>
            </w:r>
          </w:p>
        </w:tc>
        <w:tc>
          <w:tcPr>
            <w:tcW w:w="323" w:type="pct"/>
            <w:tcBorders>
              <w:top w:val="nil"/>
              <w:left w:val="nil"/>
              <w:bottom w:val="nil"/>
              <w:right w:val="nil"/>
            </w:tcBorders>
            <w:shd w:val="clear" w:color="000000" w:fill="0070C0"/>
            <w:noWrap/>
          </w:tcPr>
          <w:p w14:paraId="33768ABF" w14:textId="77777777" w:rsidR="00DF251A" w:rsidRPr="00521670" w:rsidRDefault="00DF251A" w:rsidP="00602C19">
            <w:pPr>
              <w:pStyle w:val="Tabletext"/>
              <w:spacing w:before="20" w:after="20"/>
              <w:jc w:val="right"/>
              <w:rPr>
                <w:b/>
                <w:bCs/>
                <w:lang w:val="ru-RU" w:eastAsia="en-GB"/>
              </w:rPr>
            </w:pPr>
            <w:r w:rsidRPr="00521670">
              <w:rPr>
                <w:b/>
                <w:bCs/>
                <w:lang w:val="ru-RU"/>
              </w:rPr>
              <w:t>735</w:t>
            </w:r>
          </w:p>
        </w:tc>
        <w:tc>
          <w:tcPr>
            <w:tcW w:w="436" w:type="pct"/>
            <w:tcBorders>
              <w:top w:val="nil"/>
              <w:left w:val="nil"/>
              <w:bottom w:val="nil"/>
              <w:right w:val="nil"/>
            </w:tcBorders>
            <w:shd w:val="clear" w:color="000000" w:fill="0070C0"/>
            <w:noWrap/>
          </w:tcPr>
          <w:p w14:paraId="65B59C46" w14:textId="77777777" w:rsidR="00DF251A" w:rsidRPr="00521670" w:rsidRDefault="00DF251A" w:rsidP="00602C19">
            <w:pPr>
              <w:pStyle w:val="Tabletext"/>
              <w:spacing w:before="20" w:after="20"/>
              <w:jc w:val="right"/>
              <w:rPr>
                <w:b/>
                <w:bCs/>
                <w:lang w:val="ru-RU" w:eastAsia="en-GB"/>
              </w:rPr>
            </w:pPr>
            <w:r w:rsidRPr="00521670">
              <w:rPr>
                <w:b/>
                <w:bCs/>
                <w:lang w:val="ru-RU"/>
              </w:rPr>
              <w:t>3 124</w:t>
            </w:r>
          </w:p>
        </w:tc>
        <w:tc>
          <w:tcPr>
            <w:tcW w:w="416" w:type="pct"/>
            <w:tcBorders>
              <w:top w:val="nil"/>
              <w:left w:val="nil"/>
              <w:bottom w:val="nil"/>
              <w:right w:val="nil"/>
            </w:tcBorders>
            <w:shd w:val="clear" w:color="000000" w:fill="0070C0"/>
            <w:noWrap/>
          </w:tcPr>
          <w:p w14:paraId="03390FF0" w14:textId="77777777" w:rsidR="00DF251A" w:rsidRPr="00521670" w:rsidRDefault="00DF251A" w:rsidP="00602C19">
            <w:pPr>
              <w:pStyle w:val="Tabletext"/>
              <w:spacing w:before="20" w:after="20"/>
              <w:jc w:val="right"/>
              <w:rPr>
                <w:b/>
                <w:bCs/>
                <w:lang w:val="ru-RU" w:eastAsia="en-GB"/>
              </w:rPr>
            </w:pPr>
            <w:r w:rsidRPr="00521670">
              <w:rPr>
                <w:b/>
                <w:bCs/>
                <w:lang w:val="ru-RU" w:eastAsia="en-GB"/>
              </w:rPr>
              <w:t>−</w:t>
            </w:r>
          </w:p>
        </w:tc>
        <w:tc>
          <w:tcPr>
            <w:tcW w:w="377" w:type="pct"/>
            <w:tcBorders>
              <w:top w:val="nil"/>
              <w:left w:val="nil"/>
              <w:bottom w:val="nil"/>
              <w:right w:val="nil"/>
            </w:tcBorders>
            <w:shd w:val="clear" w:color="000000" w:fill="0070C0"/>
            <w:noWrap/>
          </w:tcPr>
          <w:p w14:paraId="3F2509E2" w14:textId="77777777" w:rsidR="00DF251A" w:rsidRPr="00521670" w:rsidRDefault="00DF251A" w:rsidP="00602C19">
            <w:pPr>
              <w:pStyle w:val="Tabletext"/>
              <w:spacing w:before="20" w:after="20"/>
              <w:jc w:val="right"/>
              <w:rPr>
                <w:b/>
                <w:bCs/>
                <w:lang w:val="ru-RU" w:eastAsia="en-GB"/>
              </w:rPr>
            </w:pPr>
            <w:r w:rsidRPr="00521670">
              <w:rPr>
                <w:b/>
                <w:bCs/>
                <w:lang w:val="ru-RU"/>
              </w:rPr>
              <w:t>(27 865)</w:t>
            </w:r>
          </w:p>
        </w:tc>
      </w:tr>
    </w:tbl>
    <w:p w14:paraId="0C183D39" w14:textId="77777777" w:rsidR="00DF251A" w:rsidRPr="00521670" w:rsidRDefault="00DF251A" w:rsidP="00602C19">
      <w:pPr>
        <w:spacing w:before="20" w:after="20"/>
        <w:rPr>
          <w:i/>
          <w:iCs/>
          <w:sz w:val="20"/>
          <w:lang w:val="ru-RU" w:bidi="ru-RU"/>
        </w:rPr>
      </w:pPr>
      <w:r w:rsidRPr="00521670">
        <w:rPr>
          <w:i/>
          <w:iCs/>
          <w:sz w:val="20"/>
          <w:lang w:val="ru-RU" w:bidi="ru-RU"/>
        </w:rPr>
        <w:t>Межсегментное исключение представляет собой затраты на поддержку (административная и оперативная поддержка, АОП), отнесенные к проектам и переведенные в регулярный бюджет МСЭ.</w:t>
      </w:r>
    </w:p>
    <w:p w14:paraId="18F162B1" w14:textId="77777777" w:rsidR="00DF251A" w:rsidRPr="00521670" w:rsidRDefault="00DF251A" w:rsidP="00602C19">
      <w:pPr>
        <w:spacing w:before="20" w:after="20"/>
        <w:rPr>
          <w:i/>
          <w:iCs/>
          <w:sz w:val="20"/>
          <w:lang w:val="ru-RU" w:bidi="ru-RU"/>
        </w:rPr>
      </w:pPr>
      <w:r w:rsidRPr="00521670">
        <w:rPr>
          <w:i/>
          <w:iCs/>
          <w:sz w:val="20"/>
          <w:lang w:val="ru-RU" w:bidi="ru-RU"/>
        </w:rPr>
        <w:t>В 2024 году средства Резервного фонда для нового здания были отнесены к средствам Генерального секретариата.</w:t>
      </w:r>
    </w:p>
    <w:p w14:paraId="7F63CF81" w14:textId="6F7B96C9" w:rsidR="000F73F4" w:rsidRPr="00521670" w:rsidRDefault="000F73F4" w:rsidP="000F73F4">
      <w:pPr>
        <w:rPr>
          <w:lang w:val="ru-RU"/>
        </w:rPr>
      </w:pPr>
      <w:r w:rsidRPr="00521670">
        <w:rPr>
          <w:lang w:val="ru-RU"/>
        </w:rPr>
        <w:br w:type="page"/>
      </w:r>
    </w:p>
    <w:p w14:paraId="7436EF8D" w14:textId="77777777" w:rsidR="00DF251A" w:rsidRPr="00521670" w:rsidRDefault="00DF251A" w:rsidP="003521AA">
      <w:pPr>
        <w:spacing w:before="0" w:after="120"/>
        <w:rPr>
          <w:lang w:val="ru-RU" w:bidi="ru-RU"/>
        </w:rPr>
      </w:pPr>
      <w:r w:rsidRPr="00521670">
        <w:rPr>
          <w:b/>
          <w:bCs/>
          <w:color w:val="4F81BD" w:themeColor="accent1"/>
          <w:lang w:val="ru-RU"/>
        </w:rPr>
        <w:lastRenderedPageBreak/>
        <w:t>Информация по сегментам – Отчет о результатах финансовой деятельности за 2023 год</w:t>
      </w:r>
    </w:p>
    <w:tbl>
      <w:tblPr>
        <w:tblW w:w="5000" w:type="pct"/>
        <w:tblCellMar>
          <w:left w:w="85" w:type="dxa"/>
          <w:right w:w="85" w:type="dxa"/>
        </w:tblCellMar>
        <w:tblLook w:val="04A0" w:firstRow="1" w:lastRow="0" w:firstColumn="1" w:lastColumn="0" w:noHBand="0" w:noVBand="1"/>
      </w:tblPr>
      <w:tblGrid>
        <w:gridCol w:w="5004"/>
        <w:gridCol w:w="1200"/>
        <w:gridCol w:w="768"/>
        <w:gridCol w:w="768"/>
        <w:gridCol w:w="770"/>
        <w:gridCol w:w="1095"/>
        <w:gridCol w:w="731"/>
        <w:gridCol w:w="731"/>
        <w:gridCol w:w="1076"/>
        <w:gridCol w:w="1076"/>
        <w:gridCol w:w="779"/>
      </w:tblGrid>
      <w:tr w:rsidR="003861F2" w:rsidRPr="00521670" w14:paraId="4D5E9F37" w14:textId="77777777" w:rsidTr="00602C19">
        <w:tc>
          <w:tcPr>
            <w:tcW w:w="1386" w:type="pct"/>
            <w:tcBorders>
              <w:top w:val="nil"/>
              <w:left w:val="nil"/>
              <w:bottom w:val="nil"/>
              <w:right w:val="nil"/>
            </w:tcBorders>
            <w:shd w:val="clear" w:color="000000" w:fill="0070C0"/>
            <w:noWrap/>
            <w:vAlign w:val="center"/>
            <w:hideMark/>
          </w:tcPr>
          <w:p w14:paraId="71B9BC4D" w14:textId="77777777" w:rsidR="003861F2" w:rsidRPr="00521670" w:rsidRDefault="003861F2" w:rsidP="001E3273">
            <w:pPr>
              <w:pStyle w:val="Tablehead"/>
              <w:ind w:left="-57" w:right="-57"/>
              <w:rPr>
                <w:lang w:val="ru-RU" w:eastAsia="en-GB"/>
              </w:rPr>
            </w:pPr>
            <w:r w:rsidRPr="00521670">
              <w:rPr>
                <w:szCs w:val="18"/>
                <w:lang w:val="ru-RU" w:eastAsia="en-GB"/>
              </w:rPr>
              <w:t>Описание (тыс. шв. фр.)</w:t>
            </w:r>
          </w:p>
        </w:tc>
        <w:tc>
          <w:tcPr>
            <w:tcW w:w="471" w:type="pct"/>
            <w:tcBorders>
              <w:top w:val="nil"/>
              <w:left w:val="nil"/>
              <w:bottom w:val="nil"/>
              <w:right w:val="nil"/>
            </w:tcBorders>
            <w:shd w:val="clear" w:color="000000" w:fill="0070C0"/>
            <w:vAlign w:val="center"/>
            <w:hideMark/>
          </w:tcPr>
          <w:p w14:paraId="7D79DC2A" w14:textId="77777777" w:rsidR="003861F2" w:rsidRPr="00521670" w:rsidRDefault="003861F2" w:rsidP="001E3273">
            <w:pPr>
              <w:pStyle w:val="Tablehead"/>
              <w:ind w:left="-57" w:right="-57"/>
              <w:rPr>
                <w:lang w:val="ru-RU" w:eastAsia="en-GB"/>
              </w:rPr>
            </w:pPr>
            <w:r w:rsidRPr="00521670">
              <w:rPr>
                <w:lang w:val="ru-RU" w:eastAsia="en-GB"/>
              </w:rPr>
              <w:t>Генеральный секретариат</w:t>
            </w:r>
          </w:p>
        </w:tc>
        <w:tc>
          <w:tcPr>
            <w:tcW w:w="316" w:type="pct"/>
            <w:tcBorders>
              <w:top w:val="nil"/>
              <w:left w:val="nil"/>
              <w:bottom w:val="nil"/>
              <w:right w:val="nil"/>
            </w:tcBorders>
            <w:shd w:val="clear" w:color="000000" w:fill="0070C0"/>
            <w:vAlign w:val="center"/>
            <w:hideMark/>
          </w:tcPr>
          <w:p w14:paraId="470043C0" w14:textId="77777777" w:rsidR="003861F2" w:rsidRPr="00521670" w:rsidRDefault="003861F2" w:rsidP="001E3273">
            <w:pPr>
              <w:pStyle w:val="Tablehead"/>
              <w:ind w:left="-57" w:right="-57"/>
              <w:rPr>
                <w:lang w:val="ru-RU" w:eastAsia="en-GB"/>
              </w:rPr>
            </w:pPr>
            <w:r w:rsidRPr="00521670">
              <w:rPr>
                <w:lang w:val="ru-RU" w:eastAsia="en-GB"/>
              </w:rPr>
              <w:t>МСЭ-R</w:t>
            </w:r>
          </w:p>
        </w:tc>
        <w:tc>
          <w:tcPr>
            <w:tcW w:w="316" w:type="pct"/>
            <w:tcBorders>
              <w:top w:val="nil"/>
              <w:left w:val="nil"/>
              <w:bottom w:val="nil"/>
              <w:right w:val="nil"/>
            </w:tcBorders>
            <w:shd w:val="clear" w:color="000000" w:fill="0070C0"/>
            <w:vAlign w:val="center"/>
            <w:hideMark/>
          </w:tcPr>
          <w:p w14:paraId="7033E667" w14:textId="77777777" w:rsidR="003861F2" w:rsidRPr="00521670" w:rsidRDefault="003861F2" w:rsidP="001E3273">
            <w:pPr>
              <w:pStyle w:val="Tablehead"/>
              <w:ind w:left="-57" w:right="-57"/>
              <w:rPr>
                <w:lang w:val="ru-RU" w:eastAsia="en-GB"/>
              </w:rPr>
            </w:pPr>
            <w:r w:rsidRPr="00521670">
              <w:rPr>
                <w:lang w:val="ru-RU" w:eastAsia="en-GB"/>
              </w:rPr>
              <w:t>МСЭ-T</w:t>
            </w:r>
          </w:p>
        </w:tc>
        <w:tc>
          <w:tcPr>
            <w:tcW w:w="317" w:type="pct"/>
            <w:tcBorders>
              <w:top w:val="nil"/>
              <w:left w:val="nil"/>
              <w:bottom w:val="nil"/>
              <w:right w:val="nil"/>
            </w:tcBorders>
            <w:shd w:val="clear" w:color="000000" w:fill="0070C0"/>
            <w:vAlign w:val="center"/>
            <w:hideMark/>
          </w:tcPr>
          <w:p w14:paraId="121AEC77" w14:textId="77777777" w:rsidR="003861F2" w:rsidRPr="00521670" w:rsidRDefault="003861F2" w:rsidP="001E3273">
            <w:pPr>
              <w:pStyle w:val="Tablehead"/>
              <w:ind w:left="-57" w:right="-57"/>
              <w:rPr>
                <w:lang w:val="ru-RU" w:eastAsia="en-GB"/>
              </w:rPr>
            </w:pPr>
            <w:r w:rsidRPr="00521670">
              <w:rPr>
                <w:lang w:val="ru-RU" w:eastAsia="en-GB"/>
              </w:rPr>
              <w:t>МСЭ-D</w:t>
            </w:r>
          </w:p>
        </w:tc>
        <w:tc>
          <w:tcPr>
            <w:tcW w:w="433" w:type="pct"/>
            <w:tcBorders>
              <w:top w:val="nil"/>
              <w:left w:val="nil"/>
              <w:bottom w:val="nil"/>
              <w:right w:val="nil"/>
            </w:tcBorders>
            <w:shd w:val="clear" w:color="000000" w:fill="0070C0"/>
            <w:vAlign w:val="center"/>
            <w:hideMark/>
          </w:tcPr>
          <w:p w14:paraId="2DEE4C33" w14:textId="77777777" w:rsidR="003861F2" w:rsidRPr="00521670" w:rsidRDefault="003861F2" w:rsidP="001E3273">
            <w:pPr>
              <w:pStyle w:val="Tablehead"/>
              <w:ind w:left="-57" w:right="-57"/>
              <w:rPr>
                <w:lang w:val="ru-RU" w:eastAsia="en-GB"/>
              </w:rPr>
            </w:pPr>
            <w:r w:rsidRPr="00521670">
              <w:rPr>
                <w:lang w:val="ru-RU" w:eastAsia="en-GB"/>
              </w:rPr>
              <w:t>Общий объем средств регулярного бюджета</w:t>
            </w:r>
          </w:p>
        </w:tc>
        <w:tc>
          <w:tcPr>
            <w:tcW w:w="303" w:type="pct"/>
            <w:tcBorders>
              <w:top w:val="nil"/>
              <w:left w:val="nil"/>
              <w:bottom w:val="nil"/>
              <w:right w:val="nil"/>
            </w:tcBorders>
            <w:shd w:val="clear" w:color="000000" w:fill="0070C0"/>
            <w:vAlign w:val="center"/>
          </w:tcPr>
          <w:p w14:paraId="76DEF90B" w14:textId="0188218E" w:rsidR="003861F2" w:rsidRPr="00521670" w:rsidRDefault="003861F2" w:rsidP="003861F2">
            <w:pPr>
              <w:pStyle w:val="Tablehead"/>
              <w:ind w:left="-57" w:right="-57"/>
              <w:rPr>
                <w:lang w:val="ru-RU" w:eastAsia="en-GB"/>
              </w:rPr>
            </w:pPr>
            <w:r w:rsidRPr="00521670">
              <w:rPr>
                <w:lang w:val="ru-RU" w:eastAsia="en-GB"/>
              </w:rPr>
              <w:t>Новое здание</w:t>
            </w:r>
          </w:p>
        </w:tc>
        <w:tc>
          <w:tcPr>
            <w:tcW w:w="303" w:type="pct"/>
            <w:tcBorders>
              <w:top w:val="nil"/>
              <w:left w:val="nil"/>
              <w:bottom w:val="nil"/>
              <w:right w:val="nil"/>
            </w:tcBorders>
            <w:shd w:val="clear" w:color="000000" w:fill="0070C0"/>
            <w:vAlign w:val="center"/>
            <w:hideMark/>
          </w:tcPr>
          <w:p w14:paraId="29EE187F" w14:textId="3FFD6380" w:rsidR="003861F2" w:rsidRPr="00521670" w:rsidRDefault="003861F2" w:rsidP="001E3273">
            <w:pPr>
              <w:pStyle w:val="Tablehead"/>
              <w:ind w:left="-57" w:right="-57"/>
              <w:rPr>
                <w:lang w:val="ru-RU" w:eastAsia="en-GB"/>
              </w:rPr>
            </w:pPr>
            <w:r w:rsidRPr="00521670">
              <w:rPr>
                <w:lang w:val="ru-RU" w:eastAsia="en-GB"/>
              </w:rPr>
              <w:t>Фонды SS&amp;B</w:t>
            </w:r>
          </w:p>
        </w:tc>
        <w:tc>
          <w:tcPr>
            <w:tcW w:w="409" w:type="pct"/>
            <w:tcBorders>
              <w:top w:val="nil"/>
              <w:left w:val="nil"/>
              <w:bottom w:val="nil"/>
              <w:right w:val="nil"/>
            </w:tcBorders>
            <w:shd w:val="clear" w:color="000000" w:fill="0070C0"/>
            <w:vAlign w:val="center"/>
            <w:hideMark/>
          </w:tcPr>
          <w:p w14:paraId="2E2E7D0E" w14:textId="77777777" w:rsidR="003861F2" w:rsidRPr="00521670" w:rsidRDefault="003861F2" w:rsidP="001E3273">
            <w:pPr>
              <w:pStyle w:val="Tablehead"/>
              <w:ind w:left="-57" w:right="-57"/>
              <w:rPr>
                <w:lang w:val="ru-RU" w:eastAsia="en-GB"/>
              </w:rPr>
            </w:pPr>
            <w:r w:rsidRPr="00521670">
              <w:rPr>
                <w:lang w:val="ru-RU" w:eastAsia="en-GB"/>
              </w:rPr>
              <w:t>Общий объем внебюджет-ных средств</w:t>
            </w:r>
          </w:p>
        </w:tc>
        <w:tc>
          <w:tcPr>
            <w:tcW w:w="391" w:type="pct"/>
            <w:tcBorders>
              <w:top w:val="nil"/>
              <w:left w:val="nil"/>
              <w:bottom w:val="nil"/>
              <w:right w:val="nil"/>
            </w:tcBorders>
            <w:shd w:val="clear" w:color="000000" w:fill="0070C0"/>
            <w:vAlign w:val="center"/>
            <w:hideMark/>
          </w:tcPr>
          <w:p w14:paraId="48804F69" w14:textId="77777777" w:rsidR="003861F2" w:rsidRPr="00521670" w:rsidRDefault="003861F2" w:rsidP="001E3273">
            <w:pPr>
              <w:pStyle w:val="Tablehead"/>
              <w:ind w:left="-57" w:right="-57"/>
              <w:rPr>
                <w:lang w:val="ru-RU" w:eastAsia="en-GB"/>
              </w:rPr>
            </w:pPr>
            <w:r w:rsidRPr="00521670">
              <w:rPr>
                <w:lang w:val="ru-RU" w:eastAsia="en-GB"/>
              </w:rPr>
              <w:t>Межсег-ментное исключение</w:t>
            </w:r>
          </w:p>
        </w:tc>
        <w:tc>
          <w:tcPr>
            <w:tcW w:w="354" w:type="pct"/>
            <w:tcBorders>
              <w:top w:val="nil"/>
              <w:left w:val="nil"/>
              <w:bottom w:val="nil"/>
              <w:right w:val="nil"/>
            </w:tcBorders>
            <w:shd w:val="clear" w:color="000000" w:fill="0070C0"/>
            <w:vAlign w:val="center"/>
            <w:hideMark/>
          </w:tcPr>
          <w:p w14:paraId="7D735A5D" w14:textId="77777777" w:rsidR="003861F2" w:rsidRPr="00521670" w:rsidRDefault="003861F2" w:rsidP="001E3273">
            <w:pPr>
              <w:pStyle w:val="Tablehead"/>
              <w:ind w:left="-57" w:right="-57"/>
              <w:rPr>
                <w:lang w:val="ru-RU" w:eastAsia="en-GB"/>
              </w:rPr>
            </w:pPr>
            <w:r w:rsidRPr="00521670">
              <w:rPr>
                <w:lang w:val="ru-RU" w:eastAsia="en-GB"/>
              </w:rPr>
              <w:t>Всего</w:t>
            </w:r>
          </w:p>
        </w:tc>
      </w:tr>
      <w:tr w:rsidR="003861F2" w:rsidRPr="00521670" w14:paraId="1C5BC523" w14:textId="77777777" w:rsidTr="00602C19">
        <w:tc>
          <w:tcPr>
            <w:tcW w:w="1386" w:type="pct"/>
            <w:tcBorders>
              <w:top w:val="nil"/>
              <w:left w:val="nil"/>
              <w:bottom w:val="nil"/>
              <w:right w:val="nil"/>
            </w:tcBorders>
            <w:shd w:val="clear" w:color="auto" w:fill="auto"/>
            <w:noWrap/>
            <w:hideMark/>
          </w:tcPr>
          <w:p w14:paraId="420EDD84" w14:textId="77777777" w:rsidR="003861F2" w:rsidRPr="00521670" w:rsidRDefault="003861F2" w:rsidP="001E3273">
            <w:pPr>
              <w:pStyle w:val="Tabletext"/>
              <w:rPr>
                <w:b/>
                <w:bCs/>
                <w:lang w:val="ru-RU" w:eastAsia="en-GB"/>
              </w:rPr>
            </w:pPr>
            <w:r w:rsidRPr="00521670">
              <w:rPr>
                <w:b/>
                <w:bCs/>
                <w:lang w:val="ru-RU" w:eastAsia="en-GB"/>
              </w:rPr>
              <w:t>ДОХОДЫ</w:t>
            </w:r>
          </w:p>
        </w:tc>
        <w:tc>
          <w:tcPr>
            <w:tcW w:w="471" w:type="pct"/>
            <w:tcBorders>
              <w:top w:val="nil"/>
              <w:left w:val="nil"/>
              <w:bottom w:val="nil"/>
              <w:right w:val="nil"/>
            </w:tcBorders>
            <w:shd w:val="clear" w:color="auto" w:fill="auto"/>
            <w:noWrap/>
            <w:vAlign w:val="bottom"/>
            <w:hideMark/>
          </w:tcPr>
          <w:p w14:paraId="4F54F74E" w14:textId="77777777" w:rsidR="003861F2" w:rsidRPr="00521670" w:rsidRDefault="003861F2" w:rsidP="001E3273">
            <w:pPr>
              <w:pStyle w:val="Tabletext"/>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hideMark/>
          </w:tcPr>
          <w:p w14:paraId="09A049D3" w14:textId="77777777" w:rsidR="003861F2" w:rsidRPr="00521670" w:rsidRDefault="003861F2" w:rsidP="001E3273">
            <w:pPr>
              <w:pStyle w:val="Tabletext"/>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hideMark/>
          </w:tcPr>
          <w:p w14:paraId="653CD900" w14:textId="77777777" w:rsidR="003861F2" w:rsidRPr="00521670" w:rsidRDefault="003861F2" w:rsidP="001E3273">
            <w:pPr>
              <w:pStyle w:val="Tabletext"/>
              <w:jc w:val="right"/>
              <w:rPr>
                <w:rFonts w:ascii="Times New Roman" w:hAnsi="Times New Roman"/>
                <w:lang w:val="ru-RU" w:eastAsia="en-GB"/>
              </w:rPr>
            </w:pPr>
          </w:p>
        </w:tc>
        <w:tc>
          <w:tcPr>
            <w:tcW w:w="317" w:type="pct"/>
            <w:tcBorders>
              <w:top w:val="nil"/>
              <w:left w:val="nil"/>
              <w:bottom w:val="nil"/>
              <w:right w:val="nil"/>
            </w:tcBorders>
            <w:shd w:val="clear" w:color="auto" w:fill="auto"/>
            <w:noWrap/>
            <w:vAlign w:val="bottom"/>
            <w:hideMark/>
          </w:tcPr>
          <w:p w14:paraId="6A5DBB6D" w14:textId="77777777" w:rsidR="003861F2" w:rsidRPr="00521670" w:rsidRDefault="003861F2" w:rsidP="001E3273">
            <w:pPr>
              <w:pStyle w:val="Tabletext"/>
              <w:jc w:val="right"/>
              <w:rPr>
                <w:rFonts w:ascii="Times New Roman" w:hAnsi="Times New Roman"/>
                <w:lang w:val="ru-RU" w:eastAsia="en-GB"/>
              </w:rPr>
            </w:pPr>
          </w:p>
        </w:tc>
        <w:tc>
          <w:tcPr>
            <w:tcW w:w="433" w:type="pct"/>
            <w:tcBorders>
              <w:top w:val="nil"/>
              <w:left w:val="nil"/>
              <w:bottom w:val="nil"/>
              <w:right w:val="nil"/>
            </w:tcBorders>
            <w:shd w:val="clear" w:color="auto" w:fill="auto"/>
            <w:noWrap/>
            <w:vAlign w:val="bottom"/>
            <w:hideMark/>
          </w:tcPr>
          <w:p w14:paraId="28EC2A0D" w14:textId="77777777" w:rsidR="003861F2" w:rsidRPr="00521670" w:rsidRDefault="003861F2" w:rsidP="001E3273">
            <w:pPr>
              <w:pStyle w:val="Tabletext"/>
              <w:jc w:val="right"/>
              <w:rPr>
                <w:rFonts w:ascii="Times New Roman" w:hAnsi="Times New Roman"/>
                <w:lang w:val="ru-RU" w:eastAsia="en-GB"/>
              </w:rPr>
            </w:pPr>
          </w:p>
        </w:tc>
        <w:tc>
          <w:tcPr>
            <w:tcW w:w="303" w:type="pct"/>
            <w:tcBorders>
              <w:top w:val="nil"/>
              <w:left w:val="nil"/>
              <w:bottom w:val="nil"/>
              <w:right w:val="nil"/>
            </w:tcBorders>
          </w:tcPr>
          <w:p w14:paraId="533C8484" w14:textId="77777777" w:rsidR="003861F2" w:rsidRPr="00521670" w:rsidRDefault="003861F2" w:rsidP="001E3273">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07160C51" w14:textId="63050924" w:rsidR="003861F2" w:rsidRPr="00521670" w:rsidRDefault="003861F2" w:rsidP="001E3273">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vAlign w:val="bottom"/>
            <w:hideMark/>
          </w:tcPr>
          <w:p w14:paraId="73E33FDC" w14:textId="77777777" w:rsidR="003861F2" w:rsidRPr="00521670" w:rsidRDefault="003861F2" w:rsidP="001E3273">
            <w:pPr>
              <w:pStyle w:val="Tabletext"/>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hideMark/>
          </w:tcPr>
          <w:p w14:paraId="7015E337" w14:textId="77777777" w:rsidR="003861F2" w:rsidRPr="00521670" w:rsidRDefault="003861F2" w:rsidP="001E3273">
            <w:pPr>
              <w:pStyle w:val="Tabletext"/>
              <w:jc w:val="right"/>
              <w:rPr>
                <w:rFonts w:ascii="Times New Roman" w:hAnsi="Times New Roman"/>
                <w:lang w:val="ru-RU" w:eastAsia="en-GB"/>
              </w:rPr>
            </w:pPr>
          </w:p>
        </w:tc>
        <w:tc>
          <w:tcPr>
            <w:tcW w:w="354" w:type="pct"/>
            <w:tcBorders>
              <w:top w:val="nil"/>
              <w:left w:val="nil"/>
              <w:bottom w:val="nil"/>
              <w:right w:val="nil"/>
            </w:tcBorders>
            <w:shd w:val="clear" w:color="auto" w:fill="auto"/>
            <w:noWrap/>
            <w:vAlign w:val="bottom"/>
            <w:hideMark/>
          </w:tcPr>
          <w:p w14:paraId="12BA9E68" w14:textId="77777777" w:rsidR="003861F2" w:rsidRPr="00521670" w:rsidRDefault="003861F2" w:rsidP="001E3273">
            <w:pPr>
              <w:pStyle w:val="Tabletext"/>
              <w:jc w:val="right"/>
              <w:rPr>
                <w:rFonts w:ascii="Times New Roman" w:hAnsi="Times New Roman"/>
                <w:lang w:val="ru-RU" w:eastAsia="en-GB"/>
              </w:rPr>
            </w:pPr>
          </w:p>
        </w:tc>
      </w:tr>
      <w:tr w:rsidR="003861F2" w:rsidRPr="00521670" w14:paraId="57CBD4C0" w14:textId="77777777" w:rsidTr="00602C19">
        <w:tc>
          <w:tcPr>
            <w:tcW w:w="1386" w:type="pct"/>
            <w:tcBorders>
              <w:top w:val="nil"/>
              <w:left w:val="nil"/>
              <w:bottom w:val="nil"/>
              <w:right w:val="nil"/>
            </w:tcBorders>
            <w:shd w:val="clear" w:color="auto" w:fill="auto"/>
            <w:noWrap/>
            <w:hideMark/>
          </w:tcPr>
          <w:p w14:paraId="07A6A2E4" w14:textId="77777777" w:rsidR="003861F2" w:rsidRPr="00521670" w:rsidRDefault="003861F2" w:rsidP="003861F2">
            <w:pPr>
              <w:pStyle w:val="Tabletext"/>
              <w:rPr>
                <w:lang w:val="ru-RU" w:eastAsia="en-GB"/>
              </w:rPr>
            </w:pPr>
            <w:r w:rsidRPr="00521670">
              <w:rPr>
                <w:lang w:val="ru-RU"/>
              </w:rPr>
              <w:t>Начисленные взносы</w:t>
            </w:r>
          </w:p>
        </w:tc>
        <w:tc>
          <w:tcPr>
            <w:tcW w:w="471" w:type="pct"/>
            <w:tcBorders>
              <w:top w:val="nil"/>
              <w:left w:val="nil"/>
              <w:bottom w:val="nil"/>
              <w:right w:val="nil"/>
            </w:tcBorders>
            <w:shd w:val="clear" w:color="auto" w:fill="auto"/>
            <w:noWrap/>
          </w:tcPr>
          <w:p w14:paraId="1EC3A9C5" w14:textId="2C264BF8" w:rsidR="003861F2" w:rsidRPr="00521670" w:rsidRDefault="003861F2" w:rsidP="003861F2">
            <w:pPr>
              <w:pStyle w:val="Tabletext"/>
              <w:jc w:val="right"/>
              <w:rPr>
                <w:lang w:val="ru-RU" w:eastAsia="en-GB"/>
              </w:rPr>
            </w:pPr>
            <w:r w:rsidRPr="00521670">
              <w:rPr>
                <w:lang w:val="ru-RU"/>
              </w:rPr>
              <w:t>58 048</w:t>
            </w:r>
          </w:p>
        </w:tc>
        <w:tc>
          <w:tcPr>
            <w:tcW w:w="316" w:type="pct"/>
            <w:tcBorders>
              <w:top w:val="nil"/>
              <w:left w:val="nil"/>
              <w:bottom w:val="nil"/>
              <w:right w:val="nil"/>
            </w:tcBorders>
            <w:shd w:val="clear" w:color="auto" w:fill="auto"/>
            <w:noWrap/>
          </w:tcPr>
          <w:p w14:paraId="5354B319" w14:textId="46891015" w:rsidR="003861F2" w:rsidRPr="00521670" w:rsidRDefault="003861F2" w:rsidP="003861F2">
            <w:pPr>
              <w:pStyle w:val="Tabletext"/>
              <w:jc w:val="right"/>
              <w:rPr>
                <w:lang w:val="ru-RU" w:eastAsia="en-GB"/>
              </w:rPr>
            </w:pPr>
            <w:r w:rsidRPr="00521670">
              <w:rPr>
                <w:lang w:val="ru-RU"/>
              </w:rPr>
              <w:t>31 611</w:t>
            </w:r>
          </w:p>
        </w:tc>
        <w:tc>
          <w:tcPr>
            <w:tcW w:w="316" w:type="pct"/>
            <w:tcBorders>
              <w:top w:val="nil"/>
              <w:left w:val="nil"/>
              <w:bottom w:val="nil"/>
              <w:right w:val="nil"/>
            </w:tcBorders>
            <w:shd w:val="clear" w:color="auto" w:fill="auto"/>
            <w:noWrap/>
          </w:tcPr>
          <w:p w14:paraId="73679953" w14:textId="074A260D" w:rsidR="003861F2" w:rsidRPr="00521670" w:rsidRDefault="003861F2" w:rsidP="003861F2">
            <w:pPr>
              <w:pStyle w:val="Tabletext"/>
              <w:jc w:val="right"/>
              <w:rPr>
                <w:lang w:val="ru-RU" w:eastAsia="en-GB"/>
              </w:rPr>
            </w:pPr>
            <w:r w:rsidRPr="00521670">
              <w:rPr>
                <w:lang w:val="ru-RU"/>
              </w:rPr>
              <w:t>16 893</w:t>
            </w:r>
          </w:p>
        </w:tc>
        <w:tc>
          <w:tcPr>
            <w:tcW w:w="317" w:type="pct"/>
            <w:tcBorders>
              <w:top w:val="nil"/>
              <w:left w:val="nil"/>
              <w:bottom w:val="nil"/>
              <w:right w:val="nil"/>
            </w:tcBorders>
            <w:shd w:val="clear" w:color="auto" w:fill="auto"/>
            <w:noWrap/>
          </w:tcPr>
          <w:p w14:paraId="6871FDC9" w14:textId="1AC437A5" w:rsidR="003861F2" w:rsidRPr="00521670" w:rsidRDefault="003861F2" w:rsidP="003861F2">
            <w:pPr>
              <w:pStyle w:val="Tabletext"/>
              <w:jc w:val="right"/>
              <w:rPr>
                <w:lang w:val="ru-RU" w:eastAsia="en-GB"/>
              </w:rPr>
            </w:pPr>
            <w:r w:rsidRPr="00521670">
              <w:rPr>
                <w:lang w:val="ru-RU"/>
              </w:rPr>
              <w:t>21 009</w:t>
            </w:r>
          </w:p>
        </w:tc>
        <w:tc>
          <w:tcPr>
            <w:tcW w:w="433" w:type="pct"/>
            <w:tcBorders>
              <w:top w:val="nil"/>
              <w:left w:val="nil"/>
              <w:bottom w:val="nil"/>
              <w:right w:val="nil"/>
            </w:tcBorders>
            <w:shd w:val="clear" w:color="auto" w:fill="auto"/>
            <w:noWrap/>
          </w:tcPr>
          <w:p w14:paraId="7821F2F0" w14:textId="4B1A05C6" w:rsidR="003861F2" w:rsidRPr="00521670" w:rsidRDefault="003861F2" w:rsidP="003861F2">
            <w:pPr>
              <w:pStyle w:val="Tabletext"/>
              <w:jc w:val="right"/>
              <w:rPr>
                <w:b/>
                <w:bCs/>
                <w:lang w:val="ru-RU" w:eastAsia="en-GB"/>
              </w:rPr>
            </w:pPr>
            <w:r w:rsidRPr="00521670">
              <w:rPr>
                <w:b/>
                <w:bCs/>
                <w:lang w:val="ru-RU"/>
              </w:rPr>
              <w:t>127 562</w:t>
            </w:r>
          </w:p>
        </w:tc>
        <w:tc>
          <w:tcPr>
            <w:tcW w:w="303" w:type="pct"/>
            <w:tcBorders>
              <w:top w:val="nil"/>
              <w:left w:val="nil"/>
              <w:bottom w:val="nil"/>
              <w:right w:val="nil"/>
            </w:tcBorders>
          </w:tcPr>
          <w:p w14:paraId="5344EE83" w14:textId="77777777" w:rsidR="003861F2" w:rsidRPr="00521670" w:rsidRDefault="003861F2" w:rsidP="003861F2">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4971E91B" w14:textId="53E81F5E"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vAlign w:val="bottom"/>
          </w:tcPr>
          <w:p w14:paraId="32089DD5" w14:textId="025757E8" w:rsidR="003861F2" w:rsidRPr="00521670" w:rsidRDefault="003861F2" w:rsidP="003861F2">
            <w:pPr>
              <w:pStyle w:val="Tabletext"/>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tcPr>
          <w:p w14:paraId="0F9BB2DF" w14:textId="77777777" w:rsidR="003861F2" w:rsidRPr="00521670" w:rsidRDefault="003861F2" w:rsidP="003861F2">
            <w:pPr>
              <w:pStyle w:val="Tabletext"/>
              <w:jc w:val="right"/>
              <w:rPr>
                <w:rFonts w:ascii="Times New Roman" w:hAnsi="Times New Roman"/>
                <w:lang w:val="ru-RU" w:eastAsia="en-GB"/>
              </w:rPr>
            </w:pPr>
          </w:p>
        </w:tc>
        <w:tc>
          <w:tcPr>
            <w:tcW w:w="354" w:type="pct"/>
            <w:tcBorders>
              <w:top w:val="nil"/>
              <w:left w:val="nil"/>
              <w:bottom w:val="nil"/>
              <w:right w:val="nil"/>
            </w:tcBorders>
            <w:shd w:val="clear" w:color="auto" w:fill="auto"/>
            <w:noWrap/>
          </w:tcPr>
          <w:p w14:paraId="6329DB38" w14:textId="268EC3AD" w:rsidR="003861F2" w:rsidRPr="00521670" w:rsidRDefault="003861F2" w:rsidP="003861F2">
            <w:pPr>
              <w:pStyle w:val="Tabletext"/>
              <w:jc w:val="right"/>
              <w:rPr>
                <w:b/>
                <w:bCs/>
                <w:color w:val="000000"/>
                <w:lang w:val="ru-RU" w:eastAsia="en-GB"/>
              </w:rPr>
            </w:pPr>
            <w:r w:rsidRPr="00521670">
              <w:rPr>
                <w:b/>
                <w:bCs/>
                <w:lang w:val="ru-RU"/>
              </w:rPr>
              <w:t>127 562</w:t>
            </w:r>
          </w:p>
        </w:tc>
      </w:tr>
      <w:tr w:rsidR="003861F2" w:rsidRPr="00521670" w14:paraId="1EBBAD65" w14:textId="77777777" w:rsidTr="00602C19">
        <w:tc>
          <w:tcPr>
            <w:tcW w:w="1386" w:type="pct"/>
            <w:tcBorders>
              <w:top w:val="nil"/>
              <w:left w:val="nil"/>
              <w:bottom w:val="nil"/>
              <w:right w:val="nil"/>
            </w:tcBorders>
            <w:shd w:val="clear" w:color="auto" w:fill="auto"/>
            <w:noWrap/>
            <w:hideMark/>
          </w:tcPr>
          <w:p w14:paraId="41ADA8AF" w14:textId="77777777" w:rsidR="003861F2" w:rsidRPr="00521670" w:rsidRDefault="003861F2" w:rsidP="003861F2">
            <w:pPr>
              <w:pStyle w:val="Tabletext"/>
              <w:rPr>
                <w:lang w:val="ru-RU" w:eastAsia="en-GB"/>
              </w:rPr>
            </w:pPr>
            <w:r w:rsidRPr="00521670">
              <w:rPr>
                <w:lang w:val="ru-RU"/>
              </w:rPr>
              <w:t>Внебюджетные взносы</w:t>
            </w:r>
          </w:p>
        </w:tc>
        <w:tc>
          <w:tcPr>
            <w:tcW w:w="471" w:type="pct"/>
            <w:tcBorders>
              <w:top w:val="nil"/>
              <w:left w:val="nil"/>
              <w:bottom w:val="nil"/>
              <w:right w:val="nil"/>
            </w:tcBorders>
            <w:shd w:val="clear" w:color="auto" w:fill="auto"/>
            <w:noWrap/>
          </w:tcPr>
          <w:p w14:paraId="3E2D20BC" w14:textId="2543FA2E" w:rsidR="003861F2" w:rsidRPr="00521670" w:rsidRDefault="003861F2" w:rsidP="003861F2">
            <w:pPr>
              <w:pStyle w:val="Tabletext"/>
              <w:jc w:val="right"/>
              <w:rPr>
                <w:lang w:val="ru-RU" w:eastAsia="en-GB"/>
              </w:rPr>
            </w:pPr>
            <w:r w:rsidRPr="00521670">
              <w:rPr>
                <w:lang w:val="ru-RU"/>
              </w:rPr>
              <w:t>4</w:t>
            </w:r>
          </w:p>
        </w:tc>
        <w:tc>
          <w:tcPr>
            <w:tcW w:w="316" w:type="pct"/>
            <w:tcBorders>
              <w:top w:val="nil"/>
              <w:left w:val="nil"/>
              <w:bottom w:val="nil"/>
              <w:right w:val="nil"/>
            </w:tcBorders>
            <w:shd w:val="clear" w:color="auto" w:fill="auto"/>
            <w:noWrap/>
          </w:tcPr>
          <w:p w14:paraId="644D99FF" w14:textId="133AC37C" w:rsidR="003861F2" w:rsidRPr="00521670" w:rsidRDefault="003861F2" w:rsidP="003861F2">
            <w:pPr>
              <w:pStyle w:val="Tabletext"/>
              <w:jc w:val="right"/>
              <w:rPr>
                <w:lang w:val="ru-RU" w:eastAsia="en-GB"/>
              </w:rPr>
            </w:pPr>
            <w:r w:rsidRPr="00521670">
              <w:rPr>
                <w:lang w:val="ru-RU"/>
              </w:rPr>
              <w:t>1</w:t>
            </w:r>
          </w:p>
        </w:tc>
        <w:tc>
          <w:tcPr>
            <w:tcW w:w="316" w:type="pct"/>
            <w:tcBorders>
              <w:top w:val="nil"/>
              <w:left w:val="nil"/>
              <w:bottom w:val="nil"/>
              <w:right w:val="nil"/>
            </w:tcBorders>
            <w:shd w:val="clear" w:color="auto" w:fill="auto"/>
            <w:noWrap/>
          </w:tcPr>
          <w:p w14:paraId="1019B357" w14:textId="42A27C71" w:rsidR="003861F2" w:rsidRPr="00521670" w:rsidRDefault="003861F2" w:rsidP="003861F2">
            <w:pPr>
              <w:pStyle w:val="Tabletext"/>
              <w:jc w:val="right"/>
              <w:rPr>
                <w:lang w:val="ru-RU" w:eastAsia="en-GB"/>
              </w:rPr>
            </w:pPr>
            <w:r w:rsidRPr="00521670">
              <w:rPr>
                <w:lang w:val="ru-RU"/>
              </w:rPr>
              <w:t>1</w:t>
            </w:r>
          </w:p>
        </w:tc>
        <w:tc>
          <w:tcPr>
            <w:tcW w:w="317" w:type="pct"/>
            <w:tcBorders>
              <w:top w:val="nil"/>
              <w:left w:val="nil"/>
              <w:bottom w:val="nil"/>
              <w:right w:val="nil"/>
            </w:tcBorders>
            <w:shd w:val="clear" w:color="auto" w:fill="auto"/>
            <w:noWrap/>
          </w:tcPr>
          <w:p w14:paraId="4501D311" w14:textId="74977633" w:rsidR="003861F2" w:rsidRPr="00521670" w:rsidRDefault="003861F2" w:rsidP="003861F2">
            <w:pPr>
              <w:pStyle w:val="Tabletext"/>
              <w:jc w:val="right"/>
              <w:rPr>
                <w:lang w:val="ru-RU" w:eastAsia="en-GB"/>
              </w:rPr>
            </w:pPr>
            <w:r w:rsidRPr="00521670">
              <w:rPr>
                <w:lang w:val="ru-RU"/>
              </w:rPr>
              <w:t>192</w:t>
            </w:r>
          </w:p>
        </w:tc>
        <w:tc>
          <w:tcPr>
            <w:tcW w:w="433" w:type="pct"/>
            <w:tcBorders>
              <w:top w:val="nil"/>
              <w:left w:val="nil"/>
              <w:bottom w:val="nil"/>
              <w:right w:val="nil"/>
            </w:tcBorders>
            <w:shd w:val="clear" w:color="auto" w:fill="auto"/>
            <w:noWrap/>
          </w:tcPr>
          <w:p w14:paraId="720B116F" w14:textId="405C635C" w:rsidR="003861F2" w:rsidRPr="00521670" w:rsidRDefault="003861F2" w:rsidP="003861F2">
            <w:pPr>
              <w:pStyle w:val="Tabletext"/>
              <w:jc w:val="right"/>
              <w:rPr>
                <w:b/>
                <w:bCs/>
                <w:lang w:val="ru-RU" w:eastAsia="en-GB"/>
              </w:rPr>
            </w:pPr>
            <w:r w:rsidRPr="00521670">
              <w:rPr>
                <w:b/>
                <w:bCs/>
                <w:lang w:val="ru-RU"/>
              </w:rPr>
              <w:t>198</w:t>
            </w:r>
          </w:p>
        </w:tc>
        <w:tc>
          <w:tcPr>
            <w:tcW w:w="303" w:type="pct"/>
            <w:tcBorders>
              <w:top w:val="nil"/>
              <w:left w:val="nil"/>
              <w:bottom w:val="nil"/>
              <w:right w:val="nil"/>
            </w:tcBorders>
          </w:tcPr>
          <w:p w14:paraId="1DB64982" w14:textId="77777777" w:rsidR="003861F2" w:rsidRPr="00521670" w:rsidRDefault="003861F2" w:rsidP="003861F2">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2DA8BC7F" w14:textId="0B082D72"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3D5420A4" w14:textId="7A276AA5" w:rsidR="003861F2" w:rsidRPr="00521670" w:rsidRDefault="003861F2" w:rsidP="003861F2">
            <w:pPr>
              <w:pStyle w:val="Tabletext"/>
              <w:jc w:val="right"/>
              <w:rPr>
                <w:lang w:val="ru-RU" w:eastAsia="en-GB"/>
              </w:rPr>
            </w:pPr>
            <w:r w:rsidRPr="00521670">
              <w:rPr>
                <w:lang w:val="ru-RU"/>
              </w:rPr>
              <w:t>18 754</w:t>
            </w:r>
          </w:p>
        </w:tc>
        <w:tc>
          <w:tcPr>
            <w:tcW w:w="391" w:type="pct"/>
            <w:tcBorders>
              <w:top w:val="nil"/>
              <w:left w:val="nil"/>
              <w:bottom w:val="nil"/>
              <w:right w:val="nil"/>
            </w:tcBorders>
            <w:shd w:val="clear" w:color="auto" w:fill="auto"/>
            <w:noWrap/>
            <w:vAlign w:val="bottom"/>
          </w:tcPr>
          <w:p w14:paraId="5F74F883"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256E97A0" w14:textId="4DF59B5D" w:rsidR="003861F2" w:rsidRPr="00521670" w:rsidRDefault="003861F2" w:rsidP="003861F2">
            <w:pPr>
              <w:pStyle w:val="Tabletext"/>
              <w:jc w:val="right"/>
              <w:rPr>
                <w:b/>
                <w:bCs/>
                <w:color w:val="000000"/>
                <w:lang w:val="ru-RU" w:eastAsia="en-GB"/>
              </w:rPr>
            </w:pPr>
            <w:r w:rsidRPr="00521670">
              <w:rPr>
                <w:b/>
                <w:bCs/>
                <w:lang w:val="ru-RU"/>
              </w:rPr>
              <w:t>18 952</w:t>
            </w:r>
          </w:p>
        </w:tc>
      </w:tr>
      <w:tr w:rsidR="003861F2" w:rsidRPr="00521670" w14:paraId="17391664" w14:textId="77777777" w:rsidTr="00602C19">
        <w:tc>
          <w:tcPr>
            <w:tcW w:w="1386" w:type="pct"/>
            <w:tcBorders>
              <w:top w:val="nil"/>
              <w:left w:val="nil"/>
              <w:bottom w:val="nil"/>
              <w:right w:val="nil"/>
            </w:tcBorders>
            <w:shd w:val="clear" w:color="auto" w:fill="auto"/>
            <w:noWrap/>
            <w:hideMark/>
          </w:tcPr>
          <w:p w14:paraId="20F7AE1F" w14:textId="77777777" w:rsidR="003861F2" w:rsidRPr="00521670" w:rsidRDefault="003861F2" w:rsidP="003861F2">
            <w:pPr>
              <w:pStyle w:val="Tabletext"/>
              <w:rPr>
                <w:i/>
                <w:iCs/>
                <w:lang w:val="ru-RU" w:eastAsia="en-GB"/>
              </w:rPr>
            </w:pPr>
            <w:r w:rsidRPr="00521670">
              <w:rPr>
                <w:i/>
                <w:iCs/>
                <w:lang w:val="ru-RU" w:eastAsia="en-GB"/>
              </w:rPr>
              <w:t>Прочие доходы от деятельности</w:t>
            </w:r>
          </w:p>
        </w:tc>
        <w:tc>
          <w:tcPr>
            <w:tcW w:w="471" w:type="pct"/>
            <w:tcBorders>
              <w:top w:val="nil"/>
              <w:left w:val="nil"/>
              <w:bottom w:val="nil"/>
              <w:right w:val="nil"/>
            </w:tcBorders>
            <w:shd w:val="clear" w:color="auto" w:fill="auto"/>
            <w:noWrap/>
            <w:vAlign w:val="bottom"/>
          </w:tcPr>
          <w:p w14:paraId="58DF981A" w14:textId="456B0C89" w:rsidR="003861F2" w:rsidRPr="00521670" w:rsidRDefault="003861F2" w:rsidP="003861F2">
            <w:pPr>
              <w:pStyle w:val="Tabletext"/>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14DB0A2B" w14:textId="5A4FE0AC" w:rsidR="003861F2" w:rsidRPr="00521670" w:rsidRDefault="003861F2" w:rsidP="003861F2">
            <w:pPr>
              <w:pStyle w:val="Tabletext"/>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3221DC9A" w14:textId="54D068C3" w:rsidR="003861F2" w:rsidRPr="00521670" w:rsidRDefault="003861F2" w:rsidP="003861F2">
            <w:pPr>
              <w:pStyle w:val="Tabletext"/>
              <w:jc w:val="right"/>
              <w:rPr>
                <w:rFonts w:ascii="Times New Roman" w:hAnsi="Times New Roman"/>
                <w:lang w:val="ru-RU" w:eastAsia="en-GB"/>
              </w:rPr>
            </w:pPr>
          </w:p>
        </w:tc>
        <w:tc>
          <w:tcPr>
            <w:tcW w:w="317" w:type="pct"/>
            <w:tcBorders>
              <w:top w:val="nil"/>
              <w:left w:val="nil"/>
              <w:bottom w:val="nil"/>
              <w:right w:val="nil"/>
            </w:tcBorders>
            <w:shd w:val="clear" w:color="auto" w:fill="auto"/>
            <w:noWrap/>
            <w:vAlign w:val="bottom"/>
          </w:tcPr>
          <w:p w14:paraId="5818D6A3" w14:textId="6B98826C" w:rsidR="003861F2" w:rsidRPr="00521670" w:rsidRDefault="003861F2" w:rsidP="003861F2">
            <w:pPr>
              <w:pStyle w:val="Tabletext"/>
              <w:jc w:val="right"/>
              <w:rPr>
                <w:rFonts w:ascii="Times New Roman" w:hAnsi="Times New Roman"/>
                <w:lang w:val="ru-RU" w:eastAsia="en-GB"/>
              </w:rPr>
            </w:pPr>
          </w:p>
        </w:tc>
        <w:tc>
          <w:tcPr>
            <w:tcW w:w="433" w:type="pct"/>
            <w:tcBorders>
              <w:top w:val="nil"/>
              <w:left w:val="nil"/>
              <w:bottom w:val="nil"/>
              <w:right w:val="nil"/>
            </w:tcBorders>
            <w:shd w:val="clear" w:color="auto" w:fill="auto"/>
            <w:noWrap/>
            <w:vAlign w:val="bottom"/>
          </w:tcPr>
          <w:p w14:paraId="4BEF0B1F" w14:textId="41FEEB5F" w:rsidR="003861F2" w:rsidRPr="00521670" w:rsidRDefault="003861F2" w:rsidP="003861F2">
            <w:pPr>
              <w:pStyle w:val="Tabletext"/>
              <w:jc w:val="right"/>
              <w:rPr>
                <w:rFonts w:ascii="Times New Roman" w:hAnsi="Times New Roman"/>
                <w:b/>
                <w:bCs/>
                <w:lang w:val="ru-RU" w:eastAsia="en-GB"/>
              </w:rPr>
            </w:pPr>
          </w:p>
        </w:tc>
        <w:tc>
          <w:tcPr>
            <w:tcW w:w="303" w:type="pct"/>
            <w:tcBorders>
              <w:top w:val="nil"/>
              <w:left w:val="nil"/>
              <w:bottom w:val="nil"/>
              <w:right w:val="nil"/>
            </w:tcBorders>
          </w:tcPr>
          <w:p w14:paraId="1DA7DB6F" w14:textId="77777777" w:rsidR="003861F2" w:rsidRPr="00521670" w:rsidRDefault="003861F2" w:rsidP="003861F2">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2C8A9149" w14:textId="53C42F27"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5AF45C02" w14:textId="489FDAE2" w:rsidR="003861F2" w:rsidRPr="00521670" w:rsidRDefault="003861F2" w:rsidP="003861F2">
            <w:pPr>
              <w:pStyle w:val="Tabletext"/>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tcPr>
          <w:p w14:paraId="6B7AA54C" w14:textId="77777777" w:rsidR="003861F2" w:rsidRPr="00521670" w:rsidRDefault="003861F2" w:rsidP="003861F2">
            <w:pPr>
              <w:pStyle w:val="Tabletext"/>
              <w:jc w:val="right"/>
              <w:rPr>
                <w:rFonts w:ascii="Times New Roman" w:hAnsi="Times New Roman"/>
                <w:lang w:val="ru-RU" w:eastAsia="en-GB"/>
              </w:rPr>
            </w:pPr>
          </w:p>
        </w:tc>
        <w:tc>
          <w:tcPr>
            <w:tcW w:w="354" w:type="pct"/>
            <w:tcBorders>
              <w:top w:val="nil"/>
              <w:left w:val="nil"/>
              <w:bottom w:val="nil"/>
              <w:right w:val="nil"/>
            </w:tcBorders>
            <w:shd w:val="clear" w:color="auto" w:fill="auto"/>
            <w:noWrap/>
          </w:tcPr>
          <w:p w14:paraId="5B243604" w14:textId="541A27C3" w:rsidR="003861F2" w:rsidRPr="00521670" w:rsidRDefault="003861F2" w:rsidP="003861F2">
            <w:pPr>
              <w:pStyle w:val="Tabletext"/>
              <w:jc w:val="right"/>
              <w:rPr>
                <w:rFonts w:ascii="Times New Roman" w:hAnsi="Times New Roman"/>
                <w:b/>
                <w:bCs/>
                <w:lang w:val="ru-RU" w:eastAsia="en-GB"/>
              </w:rPr>
            </w:pPr>
          </w:p>
        </w:tc>
      </w:tr>
      <w:tr w:rsidR="003861F2" w:rsidRPr="00521670" w14:paraId="073537A9" w14:textId="77777777" w:rsidTr="00602C19">
        <w:tc>
          <w:tcPr>
            <w:tcW w:w="1386" w:type="pct"/>
            <w:tcBorders>
              <w:top w:val="nil"/>
              <w:left w:val="nil"/>
              <w:bottom w:val="nil"/>
              <w:right w:val="nil"/>
            </w:tcBorders>
            <w:shd w:val="clear" w:color="auto" w:fill="auto"/>
            <w:noWrap/>
            <w:hideMark/>
          </w:tcPr>
          <w:p w14:paraId="041CB321" w14:textId="77777777" w:rsidR="003861F2" w:rsidRPr="00521670" w:rsidRDefault="003861F2" w:rsidP="003861F2">
            <w:pPr>
              <w:pStyle w:val="Tabletext"/>
              <w:rPr>
                <w:lang w:val="ru-RU" w:eastAsia="en-GB"/>
              </w:rPr>
            </w:pPr>
            <w:r w:rsidRPr="00521670">
              <w:rPr>
                <w:lang w:val="ru-RU" w:eastAsia="en-GB"/>
              </w:rPr>
              <w:t>−</w:t>
            </w:r>
            <w:r w:rsidRPr="00521670">
              <w:rPr>
                <w:lang w:val="ru-RU" w:eastAsia="en-GB"/>
              </w:rPr>
              <w:tab/>
              <w:t>Публикации</w:t>
            </w:r>
          </w:p>
        </w:tc>
        <w:tc>
          <w:tcPr>
            <w:tcW w:w="471" w:type="pct"/>
            <w:tcBorders>
              <w:top w:val="nil"/>
              <w:left w:val="nil"/>
              <w:bottom w:val="nil"/>
              <w:right w:val="nil"/>
            </w:tcBorders>
            <w:shd w:val="clear" w:color="auto" w:fill="auto"/>
            <w:noWrap/>
          </w:tcPr>
          <w:p w14:paraId="5C10A053" w14:textId="3BE17128" w:rsidR="003861F2" w:rsidRPr="00521670" w:rsidRDefault="003861F2" w:rsidP="003861F2">
            <w:pPr>
              <w:pStyle w:val="Tabletext"/>
              <w:jc w:val="right"/>
              <w:rPr>
                <w:lang w:val="ru-RU" w:eastAsia="en-GB"/>
              </w:rPr>
            </w:pPr>
            <w:r w:rsidRPr="00521670">
              <w:rPr>
                <w:lang w:val="ru-RU"/>
              </w:rPr>
              <w:t>50</w:t>
            </w:r>
          </w:p>
        </w:tc>
        <w:tc>
          <w:tcPr>
            <w:tcW w:w="316" w:type="pct"/>
            <w:tcBorders>
              <w:top w:val="nil"/>
              <w:left w:val="nil"/>
              <w:bottom w:val="nil"/>
              <w:right w:val="nil"/>
            </w:tcBorders>
            <w:shd w:val="clear" w:color="auto" w:fill="auto"/>
            <w:noWrap/>
          </w:tcPr>
          <w:p w14:paraId="04E377DB" w14:textId="506A14F5" w:rsidR="003861F2" w:rsidRPr="00521670" w:rsidRDefault="003861F2" w:rsidP="003861F2">
            <w:pPr>
              <w:pStyle w:val="Tabletext"/>
              <w:jc w:val="right"/>
              <w:rPr>
                <w:lang w:val="ru-RU" w:eastAsia="en-GB"/>
              </w:rPr>
            </w:pPr>
            <w:r w:rsidRPr="00521670">
              <w:rPr>
                <w:lang w:val="ru-RU"/>
              </w:rPr>
              <w:t>16 634</w:t>
            </w:r>
          </w:p>
        </w:tc>
        <w:tc>
          <w:tcPr>
            <w:tcW w:w="316" w:type="pct"/>
            <w:tcBorders>
              <w:top w:val="nil"/>
              <w:left w:val="nil"/>
              <w:bottom w:val="nil"/>
              <w:right w:val="nil"/>
            </w:tcBorders>
            <w:shd w:val="clear" w:color="auto" w:fill="auto"/>
            <w:noWrap/>
          </w:tcPr>
          <w:p w14:paraId="2579CF06" w14:textId="6E8CCBF9" w:rsidR="003861F2" w:rsidRPr="00521670" w:rsidRDefault="003861F2" w:rsidP="003861F2">
            <w:pPr>
              <w:pStyle w:val="Tabletext"/>
              <w:jc w:val="right"/>
              <w:rPr>
                <w:lang w:val="ru-RU" w:eastAsia="en-GB"/>
              </w:rPr>
            </w:pPr>
            <w:r w:rsidRPr="00521670">
              <w:rPr>
                <w:lang w:val="ru-RU"/>
              </w:rPr>
              <w:t>1</w:t>
            </w:r>
          </w:p>
        </w:tc>
        <w:tc>
          <w:tcPr>
            <w:tcW w:w="317" w:type="pct"/>
            <w:tcBorders>
              <w:top w:val="nil"/>
              <w:left w:val="nil"/>
              <w:bottom w:val="nil"/>
              <w:right w:val="nil"/>
            </w:tcBorders>
            <w:shd w:val="clear" w:color="auto" w:fill="auto"/>
            <w:noWrap/>
          </w:tcPr>
          <w:p w14:paraId="4D07D113" w14:textId="719E8ABF" w:rsidR="003861F2" w:rsidRPr="00521670" w:rsidRDefault="003861F2" w:rsidP="003861F2">
            <w:pPr>
              <w:pStyle w:val="Tabletext"/>
              <w:jc w:val="right"/>
              <w:rPr>
                <w:lang w:val="ru-RU" w:eastAsia="en-GB"/>
              </w:rPr>
            </w:pPr>
            <w:r w:rsidRPr="00521670">
              <w:rPr>
                <w:lang w:val="ru-RU"/>
              </w:rPr>
              <w:t>35</w:t>
            </w:r>
          </w:p>
        </w:tc>
        <w:tc>
          <w:tcPr>
            <w:tcW w:w="433" w:type="pct"/>
            <w:tcBorders>
              <w:top w:val="nil"/>
              <w:left w:val="nil"/>
              <w:bottom w:val="nil"/>
              <w:right w:val="nil"/>
            </w:tcBorders>
            <w:shd w:val="clear" w:color="auto" w:fill="auto"/>
            <w:noWrap/>
          </w:tcPr>
          <w:p w14:paraId="3FECB313" w14:textId="335C9684" w:rsidR="003861F2" w:rsidRPr="00521670" w:rsidRDefault="003861F2" w:rsidP="003861F2">
            <w:pPr>
              <w:pStyle w:val="Tabletext"/>
              <w:jc w:val="right"/>
              <w:rPr>
                <w:b/>
                <w:bCs/>
                <w:lang w:val="ru-RU" w:eastAsia="en-GB"/>
              </w:rPr>
            </w:pPr>
            <w:r w:rsidRPr="00521670">
              <w:rPr>
                <w:b/>
                <w:bCs/>
                <w:lang w:val="ru-RU"/>
              </w:rPr>
              <w:t>16 719</w:t>
            </w:r>
          </w:p>
        </w:tc>
        <w:tc>
          <w:tcPr>
            <w:tcW w:w="303" w:type="pct"/>
            <w:tcBorders>
              <w:top w:val="nil"/>
              <w:left w:val="nil"/>
              <w:bottom w:val="nil"/>
              <w:right w:val="nil"/>
            </w:tcBorders>
          </w:tcPr>
          <w:p w14:paraId="6B051178" w14:textId="77777777" w:rsidR="003861F2" w:rsidRPr="00521670" w:rsidRDefault="003861F2" w:rsidP="003861F2">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769EAC54" w14:textId="2851C29C"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4045F6D8" w14:textId="55333241" w:rsidR="003861F2" w:rsidRPr="00521670" w:rsidRDefault="003861F2" w:rsidP="003861F2">
            <w:pPr>
              <w:pStyle w:val="Tabletext"/>
              <w:jc w:val="right"/>
              <w:rPr>
                <w:lang w:val="ru-RU" w:eastAsia="en-GB"/>
              </w:rPr>
            </w:pPr>
            <w:r w:rsidRPr="00521670">
              <w:rPr>
                <w:lang w:val="ru-RU"/>
              </w:rPr>
              <w:t>5</w:t>
            </w:r>
          </w:p>
        </w:tc>
        <w:tc>
          <w:tcPr>
            <w:tcW w:w="391" w:type="pct"/>
            <w:tcBorders>
              <w:top w:val="nil"/>
              <w:left w:val="nil"/>
              <w:bottom w:val="nil"/>
              <w:right w:val="nil"/>
            </w:tcBorders>
            <w:shd w:val="clear" w:color="auto" w:fill="auto"/>
            <w:noWrap/>
            <w:vAlign w:val="bottom"/>
          </w:tcPr>
          <w:p w14:paraId="571B9EB3"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59A417E3" w14:textId="62561E9E" w:rsidR="003861F2" w:rsidRPr="00521670" w:rsidRDefault="003861F2" w:rsidP="003861F2">
            <w:pPr>
              <w:pStyle w:val="Tabletext"/>
              <w:jc w:val="right"/>
              <w:rPr>
                <w:b/>
                <w:bCs/>
                <w:color w:val="000000"/>
                <w:lang w:val="ru-RU" w:eastAsia="en-GB"/>
              </w:rPr>
            </w:pPr>
            <w:r w:rsidRPr="00521670">
              <w:rPr>
                <w:b/>
                <w:bCs/>
                <w:lang w:val="ru-RU"/>
              </w:rPr>
              <w:t>16 725</w:t>
            </w:r>
          </w:p>
        </w:tc>
      </w:tr>
      <w:tr w:rsidR="003861F2" w:rsidRPr="00521670" w14:paraId="21A2290D" w14:textId="77777777" w:rsidTr="00602C19">
        <w:tc>
          <w:tcPr>
            <w:tcW w:w="1386" w:type="pct"/>
            <w:tcBorders>
              <w:top w:val="nil"/>
              <w:left w:val="nil"/>
              <w:bottom w:val="nil"/>
              <w:right w:val="nil"/>
            </w:tcBorders>
            <w:shd w:val="clear" w:color="auto" w:fill="auto"/>
            <w:noWrap/>
            <w:hideMark/>
          </w:tcPr>
          <w:p w14:paraId="1FA4F9DB" w14:textId="77777777" w:rsidR="003861F2" w:rsidRPr="00521670" w:rsidRDefault="003861F2" w:rsidP="003861F2">
            <w:pPr>
              <w:pStyle w:val="Tabletext"/>
              <w:ind w:left="284" w:hanging="284"/>
              <w:rPr>
                <w:lang w:val="ru-RU" w:eastAsia="en-GB"/>
              </w:rPr>
            </w:pPr>
            <w:r w:rsidRPr="00521670">
              <w:rPr>
                <w:lang w:val="ru-RU" w:eastAsia="en-GB"/>
              </w:rPr>
              <w:t>−</w:t>
            </w:r>
            <w:r w:rsidRPr="00521670">
              <w:rPr>
                <w:lang w:val="ru-RU" w:eastAsia="en-GB"/>
              </w:rPr>
              <w:tab/>
              <w:t>Обработка заявок на регистрацию спутниковых сетей (SNF)</w:t>
            </w:r>
          </w:p>
        </w:tc>
        <w:tc>
          <w:tcPr>
            <w:tcW w:w="471" w:type="pct"/>
            <w:tcBorders>
              <w:top w:val="nil"/>
              <w:left w:val="nil"/>
              <w:bottom w:val="nil"/>
              <w:right w:val="nil"/>
            </w:tcBorders>
            <w:shd w:val="clear" w:color="auto" w:fill="auto"/>
            <w:noWrap/>
            <w:vAlign w:val="bottom"/>
          </w:tcPr>
          <w:p w14:paraId="17120786" w14:textId="2071C583" w:rsidR="003861F2" w:rsidRPr="00521670" w:rsidRDefault="003861F2" w:rsidP="00976441">
            <w:pPr>
              <w:pStyle w:val="Tabletext"/>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29B765AA" w14:textId="10B2DB97" w:rsidR="003861F2" w:rsidRPr="00521670" w:rsidRDefault="003861F2" w:rsidP="00976441">
            <w:pPr>
              <w:pStyle w:val="Tabletext"/>
              <w:jc w:val="right"/>
              <w:rPr>
                <w:lang w:val="ru-RU" w:eastAsia="en-GB"/>
              </w:rPr>
            </w:pPr>
            <w:r w:rsidRPr="00521670">
              <w:rPr>
                <w:lang w:val="ru-RU"/>
              </w:rPr>
              <w:t>10 643</w:t>
            </w:r>
          </w:p>
        </w:tc>
        <w:tc>
          <w:tcPr>
            <w:tcW w:w="316" w:type="pct"/>
            <w:tcBorders>
              <w:top w:val="nil"/>
              <w:left w:val="nil"/>
              <w:bottom w:val="nil"/>
              <w:right w:val="nil"/>
            </w:tcBorders>
            <w:shd w:val="clear" w:color="auto" w:fill="auto"/>
            <w:noWrap/>
            <w:vAlign w:val="bottom"/>
          </w:tcPr>
          <w:p w14:paraId="7BC3F742" w14:textId="32BBA149" w:rsidR="003861F2" w:rsidRPr="00521670" w:rsidRDefault="003861F2" w:rsidP="00976441">
            <w:pPr>
              <w:pStyle w:val="Tabletext"/>
              <w:jc w:val="right"/>
              <w:rPr>
                <w:lang w:val="ru-RU" w:eastAsia="en-GB"/>
              </w:rPr>
            </w:pPr>
          </w:p>
        </w:tc>
        <w:tc>
          <w:tcPr>
            <w:tcW w:w="317" w:type="pct"/>
            <w:tcBorders>
              <w:top w:val="nil"/>
              <w:left w:val="nil"/>
              <w:bottom w:val="nil"/>
              <w:right w:val="nil"/>
            </w:tcBorders>
            <w:shd w:val="clear" w:color="auto" w:fill="auto"/>
            <w:noWrap/>
            <w:vAlign w:val="bottom"/>
          </w:tcPr>
          <w:p w14:paraId="27F18A47" w14:textId="6327493B" w:rsidR="003861F2" w:rsidRPr="00521670" w:rsidRDefault="003861F2" w:rsidP="00976441">
            <w:pPr>
              <w:pStyle w:val="Tabletext"/>
              <w:jc w:val="right"/>
              <w:rPr>
                <w:rFonts w:ascii="Times New Roman" w:hAnsi="Times New Roman"/>
                <w:lang w:val="ru-RU" w:eastAsia="en-GB"/>
              </w:rPr>
            </w:pPr>
          </w:p>
        </w:tc>
        <w:tc>
          <w:tcPr>
            <w:tcW w:w="433" w:type="pct"/>
            <w:tcBorders>
              <w:top w:val="nil"/>
              <w:left w:val="nil"/>
              <w:bottom w:val="nil"/>
              <w:right w:val="nil"/>
            </w:tcBorders>
            <w:shd w:val="clear" w:color="auto" w:fill="auto"/>
            <w:noWrap/>
            <w:vAlign w:val="bottom"/>
          </w:tcPr>
          <w:p w14:paraId="78527D76" w14:textId="0207147B" w:rsidR="003861F2" w:rsidRPr="00521670" w:rsidRDefault="003861F2" w:rsidP="00976441">
            <w:pPr>
              <w:pStyle w:val="Tabletext"/>
              <w:jc w:val="right"/>
              <w:rPr>
                <w:b/>
                <w:bCs/>
                <w:lang w:val="ru-RU" w:eastAsia="en-GB"/>
              </w:rPr>
            </w:pPr>
            <w:r w:rsidRPr="00521670">
              <w:rPr>
                <w:b/>
                <w:bCs/>
                <w:lang w:val="ru-RU"/>
              </w:rPr>
              <w:t>10 643</w:t>
            </w:r>
          </w:p>
        </w:tc>
        <w:tc>
          <w:tcPr>
            <w:tcW w:w="303" w:type="pct"/>
            <w:tcBorders>
              <w:top w:val="nil"/>
              <w:left w:val="nil"/>
              <w:bottom w:val="nil"/>
              <w:right w:val="nil"/>
            </w:tcBorders>
            <w:vAlign w:val="bottom"/>
          </w:tcPr>
          <w:p w14:paraId="7F1C8F8C" w14:textId="77777777" w:rsidR="003861F2" w:rsidRPr="00521670" w:rsidRDefault="003861F2" w:rsidP="00976441">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0FA41680" w14:textId="63A3B389" w:rsidR="003861F2" w:rsidRPr="00521670" w:rsidRDefault="003861F2" w:rsidP="00976441">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vAlign w:val="bottom"/>
          </w:tcPr>
          <w:p w14:paraId="24FFDF14" w14:textId="404B90DF" w:rsidR="003861F2" w:rsidRPr="00521670" w:rsidRDefault="003861F2" w:rsidP="00976441">
            <w:pPr>
              <w:pStyle w:val="Tabletext"/>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tcPr>
          <w:p w14:paraId="071DCD0C" w14:textId="77777777" w:rsidR="003861F2" w:rsidRPr="00521670" w:rsidRDefault="003861F2" w:rsidP="00976441">
            <w:pPr>
              <w:pStyle w:val="Tabletext"/>
              <w:jc w:val="right"/>
              <w:rPr>
                <w:rFonts w:ascii="Times New Roman" w:hAnsi="Times New Roman"/>
                <w:lang w:val="ru-RU" w:eastAsia="en-GB"/>
              </w:rPr>
            </w:pPr>
          </w:p>
        </w:tc>
        <w:tc>
          <w:tcPr>
            <w:tcW w:w="354" w:type="pct"/>
            <w:tcBorders>
              <w:top w:val="nil"/>
              <w:left w:val="nil"/>
              <w:bottom w:val="nil"/>
              <w:right w:val="nil"/>
            </w:tcBorders>
            <w:shd w:val="clear" w:color="auto" w:fill="auto"/>
            <w:noWrap/>
            <w:vAlign w:val="bottom"/>
          </w:tcPr>
          <w:p w14:paraId="1D50037A" w14:textId="1CE17974" w:rsidR="003861F2" w:rsidRPr="00521670" w:rsidRDefault="003861F2" w:rsidP="00976441">
            <w:pPr>
              <w:pStyle w:val="Tabletext"/>
              <w:jc w:val="right"/>
              <w:rPr>
                <w:b/>
                <w:bCs/>
                <w:color w:val="000000"/>
                <w:lang w:val="ru-RU" w:eastAsia="en-GB"/>
              </w:rPr>
            </w:pPr>
            <w:r w:rsidRPr="00521670">
              <w:rPr>
                <w:b/>
                <w:bCs/>
                <w:lang w:val="ru-RU"/>
              </w:rPr>
              <w:t>10 643</w:t>
            </w:r>
          </w:p>
        </w:tc>
      </w:tr>
      <w:tr w:rsidR="003861F2" w:rsidRPr="00521670" w14:paraId="59058610" w14:textId="77777777" w:rsidTr="00602C19">
        <w:tc>
          <w:tcPr>
            <w:tcW w:w="1386" w:type="pct"/>
            <w:tcBorders>
              <w:top w:val="nil"/>
              <w:left w:val="nil"/>
              <w:bottom w:val="nil"/>
              <w:right w:val="nil"/>
            </w:tcBorders>
            <w:shd w:val="clear" w:color="auto" w:fill="auto"/>
            <w:noWrap/>
            <w:hideMark/>
          </w:tcPr>
          <w:p w14:paraId="650DA75F" w14:textId="77777777" w:rsidR="003861F2" w:rsidRPr="00521670" w:rsidRDefault="003861F2" w:rsidP="00807D25">
            <w:pPr>
              <w:pStyle w:val="Tabletext"/>
              <w:ind w:left="284" w:hanging="284"/>
              <w:rPr>
                <w:lang w:val="ru-RU" w:eastAsia="en-GB"/>
              </w:rPr>
            </w:pPr>
            <w:r w:rsidRPr="00521670">
              <w:rPr>
                <w:lang w:val="ru-RU" w:eastAsia="en-GB"/>
              </w:rPr>
              <w:t>−</w:t>
            </w:r>
            <w:r w:rsidRPr="00521670">
              <w:rPr>
                <w:lang w:val="ru-RU" w:eastAsia="en-GB"/>
              </w:rPr>
              <w:tab/>
              <w:t>Прочие доходы по линии возмещения затрат</w:t>
            </w:r>
          </w:p>
        </w:tc>
        <w:tc>
          <w:tcPr>
            <w:tcW w:w="471" w:type="pct"/>
            <w:tcBorders>
              <w:top w:val="nil"/>
              <w:left w:val="nil"/>
              <w:bottom w:val="nil"/>
              <w:right w:val="nil"/>
            </w:tcBorders>
            <w:shd w:val="clear" w:color="auto" w:fill="auto"/>
            <w:noWrap/>
            <w:vAlign w:val="bottom"/>
          </w:tcPr>
          <w:p w14:paraId="57DAC492" w14:textId="52BED915" w:rsidR="003861F2" w:rsidRPr="00521670" w:rsidRDefault="003861F2" w:rsidP="00807D25">
            <w:pPr>
              <w:pStyle w:val="Tabletext"/>
              <w:jc w:val="right"/>
              <w:rPr>
                <w:lang w:val="ru-RU" w:eastAsia="en-GB"/>
              </w:rPr>
            </w:pPr>
            <w:r w:rsidRPr="00521670">
              <w:rPr>
                <w:lang w:val="ru-RU"/>
              </w:rPr>
              <w:t>30</w:t>
            </w:r>
          </w:p>
        </w:tc>
        <w:tc>
          <w:tcPr>
            <w:tcW w:w="316" w:type="pct"/>
            <w:tcBorders>
              <w:top w:val="nil"/>
              <w:left w:val="nil"/>
              <w:bottom w:val="nil"/>
              <w:right w:val="nil"/>
            </w:tcBorders>
            <w:shd w:val="clear" w:color="auto" w:fill="auto"/>
            <w:noWrap/>
            <w:vAlign w:val="bottom"/>
          </w:tcPr>
          <w:p w14:paraId="7EB405CD" w14:textId="389EE881" w:rsidR="003861F2" w:rsidRPr="00521670" w:rsidRDefault="003861F2" w:rsidP="00807D25">
            <w:pPr>
              <w:pStyle w:val="Tabletext"/>
              <w:jc w:val="right"/>
              <w:rPr>
                <w:lang w:val="ru-RU" w:eastAsia="en-GB"/>
              </w:rPr>
            </w:pPr>
            <w:r w:rsidRPr="00521670">
              <w:rPr>
                <w:lang w:val="ru-RU"/>
              </w:rPr>
              <w:t>39</w:t>
            </w:r>
          </w:p>
        </w:tc>
        <w:tc>
          <w:tcPr>
            <w:tcW w:w="316" w:type="pct"/>
            <w:tcBorders>
              <w:top w:val="nil"/>
              <w:left w:val="nil"/>
              <w:bottom w:val="nil"/>
              <w:right w:val="nil"/>
            </w:tcBorders>
            <w:shd w:val="clear" w:color="auto" w:fill="auto"/>
            <w:noWrap/>
            <w:vAlign w:val="bottom"/>
          </w:tcPr>
          <w:p w14:paraId="5B4F97D6" w14:textId="2A79EFE4" w:rsidR="003861F2" w:rsidRPr="00521670" w:rsidRDefault="003861F2" w:rsidP="00807D25">
            <w:pPr>
              <w:pStyle w:val="Tabletext"/>
              <w:jc w:val="right"/>
              <w:rPr>
                <w:lang w:val="ru-RU" w:eastAsia="en-GB"/>
              </w:rPr>
            </w:pPr>
            <w:r w:rsidRPr="00521670">
              <w:rPr>
                <w:lang w:val="ru-RU"/>
              </w:rPr>
              <w:t>395</w:t>
            </w:r>
          </w:p>
        </w:tc>
        <w:tc>
          <w:tcPr>
            <w:tcW w:w="317" w:type="pct"/>
            <w:tcBorders>
              <w:top w:val="nil"/>
              <w:left w:val="nil"/>
              <w:bottom w:val="nil"/>
              <w:right w:val="nil"/>
            </w:tcBorders>
            <w:shd w:val="clear" w:color="auto" w:fill="auto"/>
            <w:noWrap/>
            <w:vAlign w:val="bottom"/>
          </w:tcPr>
          <w:p w14:paraId="1780CB14" w14:textId="6A3DA3EA" w:rsidR="003861F2" w:rsidRPr="00521670" w:rsidRDefault="003861F2" w:rsidP="00807D25">
            <w:pPr>
              <w:pStyle w:val="Tabletext"/>
              <w:jc w:val="right"/>
              <w:rPr>
                <w:lang w:val="ru-RU" w:eastAsia="en-GB"/>
              </w:rPr>
            </w:pPr>
            <w:r w:rsidRPr="00521670">
              <w:rPr>
                <w:lang w:val="ru-RU"/>
              </w:rPr>
              <w:t>846</w:t>
            </w:r>
          </w:p>
        </w:tc>
        <w:tc>
          <w:tcPr>
            <w:tcW w:w="433" w:type="pct"/>
            <w:tcBorders>
              <w:top w:val="nil"/>
              <w:left w:val="nil"/>
              <w:bottom w:val="nil"/>
              <w:right w:val="nil"/>
            </w:tcBorders>
            <w:shd w:val="clear" w:color="auto" w:fill="auto"/>
            <w:noWrap/>
            <w:vAlign w:val="bottom"/>
          </w:tcPr>
          <w:p w14:paraId="42FB8C0B" w14:textId="64A973F2" w:rsidR="003861F2" w:rsidRPr="00521670" w:rsidRDefault="003861F2" w:rsidP="00807D25">
            <w:pPr>
              <w:pStyle w:val="Tabletext"/>
              <w:jc w:val="right"/>
              <w:rPr>
                <w:b/>
                <w:bCs/>
                <w:lang w:val="ru-RU" w:eastAsia="en-GB"/>
              </w:rPr>
            </w:pPr>
            <w:r w:rsidRPr="00521670">
              <w:rPr>
                <w:b/>
                <w:bCs/>
                <w:lang w:val="ru-RU"/>
              </w:rPr>
              <w:t>1 310</w:t>
            </w:r>
          </w:p>
        </w:tc>
        <w:tc>
          <w:tcPr>
            <w:tcW w:w="303" w:type="pct"/>
            <w:tcBorders>
              <w:top w:val="nil"/>
              <w:left w:val="nil"/>
              <w:bottom w:val="nil"/>
              <w:right w:val="nil"/>
            </w:tcBorders>
            <w:vAlign w:val="bottom"/>
          </w:tcPr>
          <w:p w14:paraId="149D59AA" w14:textId="77777777" w:rsidR="003861F2" w:rsidRPr="00521670" w:rsidRDefault="003861F2" w:rsidP="00807D25">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47384A4D" w14:textId="1A2B78F2" w:rsidR="003861F2" w:rsidRPr="00521670" w:rsidRDefault="003861F2" w:rsidP="00807D25">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vAlign w:val="bottom"/>
          </w:tcPr>
          <w:p w14:paraId="558750AD" w14:textId="2E018EC8" w:rsidR="003861F2" w:rsidRPr="00521670" w:rsidRDefault="003861F2" w:rsidP="00807D25">
            <w:pPr>
              <w:pStyle w:val="Tabletext"/>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tcPr>
          <w:p w14:paraId="432EDB7B" w14:textId="04B4B705" w:rsidR="003861F2" w:rsidRPr="00521670" w:rsidRDefault="003861F2" w:rsidP="00807D25">
            <w:pPr>
              <w:pStyle w:val="Tabletext"/>
              <w:jc w:val="right"/>
              <w:rPr>
                <w:lang w:val="ru-RU" w:eastAsia="en-GB"/>
              </w:rPr>
            </w:pPr>
            <w:r w:rsidRPr="00521670">
              <w:rPr>
                <w:lang w:val="ru-RU"/>
              </w:rPr>
              <w:t>(1 014)</w:t>
            </w:r>
          </w:p>
        </w:tc>
        <w:tc>
          <w:tcPr>
            <w:tcW w:w="354" w:type="pct"/>
            <w:tcBorders>
              <w:top w:val="nil"/>
              <w:left w:val="nil"/>
              <w:bottom w:val="nil"/>
              <w:right w:val="nil"/>
            </w:tcBorders>
            <w:shd w:val="clear" w:color="auto" w:fill="auto"/>
            <w:noWrap/>
            <w:vAlign w:val="bottom"/>
          </w:tcPr>
          <w:p w14:paraId="77A6E754" w14:textId="10FD19C1" w:rsidR="003861F2" w:rsidRPr="00521670" w:rsidRDefault="003861F2" w:rsidP="00807D25">
            <w:pPr>
              <w:pStyle w:val="Tabletext"/>
              <w:jc w:val="right"/>
              <w:rPr>
                <w:b/>
                <w:bCs/>
                <w:color w:val="000000"/>
                <w:lang w:val="ru-RU" w:eastAsia="en-GB"/>
              </w:rPr>
            </w:pPr>
            <w:r w:rsidRPr="00521670">
              <w:rPr>
                <w:b/>
                <w:bCs/>
                <w:lang w:val="ru-RU"/>
              </w:rPr>
              <w:t>296</w:t>
            </w:r>
          </w:p>
        </w:tc>
      </w:tr>
      <w:tr w:rsidR="003861F2" w:rsidRPr="00521670" w14:paraId="2122005B" w14:textId="77777777" w:rsidTr="00602C19">
        <w:tc>
          <w:tcPr>
            <w:tcW w:w="1386" w:type="pct"/>
            <w:tcBorders>
              <w:top w:val="nil"/>
              <w:left w:val="nil"/>
              <w:bottom w:val="nil"/>
              <w:right w:val="nil"/>
            </w:tcBorders>
            <w:shd w:val="clear" w:color="auto" w:fill="auto"/>
            <w:noWrap/>
            <w:hideMark/>
          </w:tcPr>
          <w:p w14:paraId="43F4FA17" w14:textId="77777777" w:rsidR="003861F2" w:rsidRPr="00521670" w:rsidRDefault="003861F2" w:rsidP="003861F2">
            <w:pPr>
              <w:pStyle w:val="Tabletext"/>
              <w:rPr>
                <w:lang w:val="ru-RU" w:eastAsia="en-GB"/>
              </w:rPr>
            </w:pPr>
            <w:r w:rsidRPr="00521670">
              <w:rPr>
                <w:lang w:val="ru-RU" w:eastAsia="en-GB"/>
              </w:rPr>
              <w:t>−</w:t>
            </w:r>
            <w:r w:rsidRPr="00521670">
              <w:rPr>
                <w:lang w:val="ru-RU" w:eastAsia="en-GB"/>
              </w:rPr>
              <w:tab/>
              <w:t>Прочие доходы</w:t>
            </w:r>
          </w:p>
        </w:tc>
        <w:tc>
          <w:tcPr>
            <w:tcW w:w="471" w:type="pct"/>
            <w:tcBorders>
              <w:top w:val="nil"/>
              <w:left w:val="nil"/>
              <w:bottom w:val="nil"/>
              <w:right w:val="nil"/>
            </w:tcBorders>
            <w:shd w:val="clear" w:color="auto" w:fill="auto"/>
            <w:noWrap/>
          </w:tcPr>
          <w:p w14:paraId="282B1BE0" w14:textId="7E9AD464" w:rsidR="003861F2" w:rsidRPr="00521670" w:rsidRDefault="003861F2" w:rsidP="003861F2">
            <w:pPr>
              <w:pStyle w:val="Tabletext"/>
              <w:jc w:val="right"/>
              <w:rPr>
                <w:lang w:val="ru-RU" w:eastAsia="en-GB"/>
              </w:rPr>
            </w:pPr>
            <w:r w:rsidRPr="00521670">
              <w:rPr>
                <w:lang w:val="ru-RU"/>
              </w:rPr>
              <w:t>329</w:t>
            </w:r>
          </w:p>
        </w:tc>
        <w:tc>
          <w:tcPr>
            <w:tcW w:w="316" w:type="pct"/>
            <w:tcBorders>
              <w:top w:val="nil"/>
              <w:left w:val="nil"/>
              <w:bottom w:val="nil"/>
              <w:right w:val="nil"/>
            </w:tcBorders>
            <w:shd w:val="clear" w:color="auto" w:fill="auto"/>
            <w:noWrap/>
          </w:tcPr>
          <w:p w14:paraId="18D919D9" w14:textId="434A5CA1" w:rsidR="003861F2" w:rsidRPr="00521670" w:rsidRDefault="003861F2" w:rsidP="003861F2">
            <w:pPr>
              <w:pStyle w:val="Tabletext"/>
              <w:jc w:val="right"/>
              <w:rPr>
                <w:lang w:val="ru-RU" w:eastAsia="en-GB"/>
              </w:rPr>
            </w:pPr>
            <w:r w:rsidRPr="00521670">
              <w:rPr>
                <w:lang w:val="ru-RU"/>
              </w:rPr>
              <w:t>328</w:t>
            </w:r>
          </w:p>
        </w:tc>
        <w:tc>
          <w:tcPr>
            <w:tcW w:w="316" w:type="pct"/>
            <w:tcBorders>
              <w:top w:val="nil"/>
              <w:left w:val="nil"/>
              <w:bottom w:val="nil"/>
              <w:right w:val="nil"/>
            </w:tcBorders>
            <w:shd w:val="clear" w:color="auto" w:fill="auto"/>
            <w:noWrap/>
          </w:tcPr>
          <w:p w14:paraId="5BC15985" w14:textId="22F4CEFA" w:rsidR="003861F2" w:rsidRPr="00521670" w:rsidRDefault="003861F2" w:rsidP="003861F2">
            <w:pPr>
              <w:pStyle w:val="Tabletext"/>
              <w:jc w:val="right"/>
              <w:rPr>
                <w:lang w:val="ru-RU" w:eastAsia="en-GB"/>
              </w:rPr>
            </w:pPr>
            <w:r w:rsidRPr="00521670">
              <w:rPr>
                <w:lang w:val="ru-RU"/>
              </w:rPr>
              <w:t>46</w:t>
            </w:r>
          </w:p>
        </w:tc>
        <w:tc>
          <w:tcPr>
            <w:tcW w:w="317" w:type="pct"/>
            <w:tcBorders>
              <w:top w:val="nil"/>
              <w:left w:val="nil"/>
              <w:bottom w:val="nil"/>
              <w:right w:val="nil"/>
            </w:tcBorders>
            <w:shd w:val="clear" w:color="auto" w:fill="auto"/>
            <w:noWrap/>
          </w:tcPr>
          <w:p w14:paraId="23942C4B" w14:textId="59C642D0" w:rsidR="003861F2" w:rsidRPr="00521670" w:rsidRDefault="003861F2" w:rsidP="003861F2">
            <w:pPr>
              <w:pStyle w:val="Tabletext"/>
              <w:jc w:val="right"/>
              <w:rPr>
                <w:lang w:val="ru-RU" w:eastAsia="en-GB"/>
              </w:rPr>
            </w:pPr>
            <w:r w:rsidRPr="00521670">
              <w:rPr>
                <w:lang w:val="ru-RU"/>
              </w:rPr>
              <w:t>99</w:t>
            </w:r>
          </w:p>
        </w:tc>
        <w:tc>
          <w:tcPr>
            <w:tcW w:w="433" w:type="pct"/>
            <w:tcBorders>
              <w:top w:val="nil"/>
              <w:left w:val="nil"/>
              <w:bottom w:val="nil"/>
              <w:right w:val="nil"/>
            </w:tcBorders>
            <w:shd w:val="clear" w:color="auto" w:fill="auto"/>
            <w:noWrap/>
          </w:tcPr>
          <w:p w14:paraId="0673FF15" w14:textId="53D1ECC6" w:rsidR="003861F2" w:rsidRPr="00521670" w:rsidRDefault="003861F2" w:rsidP="003861F2">
            <w:pPr>
              <w:pStyle w:val="Tabletext"/>
              <w:jc w:val="right"/>
              <w:rPr>
                <w:b/>
                <w:bCs/>
                <w:lang w:val="ru-RU" w:eastAsia="en-GB"/>
              </w:rPr>
            </w:pPr>
            <w:r w:rsidRPr="00521670">
              <w:rPr>
                <w:b/>
                <w:bCs/>
                <w:lang w:val="ru-RU"/>
              </w:rPr>
              <w:t>802</w:t>
            </w:r>
          </w:p>
        </w:tc>
        <w:tc>
          <w:tcPr>
            <w:tcW w:w="303" w:type="pct"/>
            <w:tcBorders>
              <w:top w:val="nil"/>
              <w:left w:val="nil"/>
              <w:bottom w:val="nil"/>
              <w:right w:val="nil"/>
            </w:tcBorders>
          </w:tcPr>
          <w:p w14:paraId="65D912D6" w14:textId="327118D5" w:rsidR="003861F2" w:rsidRPr="00521670" w:rsidRDefault="003861F2" w:rsidP="003861F2">
            <w:pPr>
              <w:pStyle w:val="Tabletext"/>
              <w:jc w:val="right"/>
              <w:rPr>
                <w:rFonts w:ascii="Times New Roman" w:hAnsi="Times New Roman"/>
                <w:lang w:val="ru-RU" w:eastAsia="en-GB"/>
              </w:rPr>
            </w:pPr>
            <w:r w:rsidRPr="00521670">
              <w:rPr>
                <w:lang w:val="ru-RU"/>
              </w:rPr>
              <w:t>2 570</w:t>
            </w:r>
          </w:p>
        </w:tc>
        <w:tc>
          <w:tcPr>
            <w:tcW w:w="303" w:type="pct"/>
            <w:tcBorders>
              <w:top w:val="nil"/>
              <w:left w:val="nil"/>
              <w:bottom w:val="nil"/>
              <w:right w:val="nil"/>
            </w:tcBorders>
            <w:shd w:val="clear" w:color="auto" w:fill="auto"/>
            <w:noWrap/>
            <w:vAlign w:val="bottom"/>
          </w:tcPr>
          <w:p w14:paraId="2B0D8732" w14:textId="10CB9E27" w:rsidR="003861F2" w:rsidRPr="00521670" w:rsidRDefault="003861F2" w:rsidP="003861F2">
            <w:pPr>
              <w:pStyle w:val="Tabletext"/>
              <w:jc w:val="right"/>
              <w:rPr>
                <w:lang w:val="ru-RU" w:eastAsia="en-GB"/>
              </w:rPr>
            </w:pPr>
          </w:p>
        </w:tc>
        <w:tc>
          <w:tcPr>
            <w:tcW w:w="409" w:type="pct"/>
            <w:tcBorders>
              <w:top w:val="nil"/>
              <w:left w:val="nil"/>
              <w:bottom w:val="nil"/>
              <w:right w:val="nil"/>
            </w:tcBorders>
            <w:shd w:val="clear" w:color="auto" w:fill="auto"/>
            <w:noWrap/>
          </w:tcPr>
          <w:p w14:paraId="41085657" w14:textId="281BBA43" w:rsidR="003861F2" w:rsidRPr="00521670" w:rsidRDefault="003861F2" w:rsidP="003861F2">
            <w:pPr>
              <w:pStyle w:val="Tabletext"/>
              <w:jc w:val="right"/>
              <w:rPr>
                <w:lang w:val="ru-RU" w:eastAsia="en-GB"/>
              </w:rPr>
            </w:pPr>
            <w:r w:rsidRPr="00521670">
              <w:rPr>
                <w:lang w:val="ru-RU"/>
              </w:rPr>
              <w:t>3 110</w:t>
            </w:r>
          </w:p>
        </w:tc>
        <w:tc>
          <w:tcPr>
            <w:tcW w:w="391" w:type="pct"/>
            <w:tcBorders>
              <w:top w:val="nil"/>
              <w:left w:val="nil"/>
              <w:bottom w:val="nil"/>
              <w:right w:val="nil"/>
            </w:tcBorders>
            <w:shd w:val="clear" w:color="auto" w:fill="auto"/>
            <w:noWrap/>
          </w:tcPr>
          <w:p w14:paraId="77E524E3"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2CC51E23" w14:textId="58D1C6F2" w:rsidR="003861F2" w:rsidRPr="00521670" w:rsidRDefault="003861F2" w:rsidP="003861F2">
            <w:pPr>
              <w:pStyle w:val="Tabletext"/>
              <w:jc w:val="right"/>
              <w:rPr>
                <w:b/>
                <w:bCs/>
                <w:color w:val="000000"/>
                <w:lang w:val="ru-RU" w:eastAsia="en-GB"/>
              </w:rPr>
            </w:pPr>
            <w:r w:rsidRPr="00521670">
              <w:rPr>
                <w:b/>
                <w:bCs/>
                <w:lang w:val="ru-RU"/>
              </w:rPr>
              <w:t>6 482</w:t>
            </w:r>
          </w:p>
        </w:tc>
      </w:tr>
      <w:tr w:rsidR="003861F2" w:rsidRPr="00521670" w14:paraId="76E7A73A" w14:textId="77777777" w:rsidTr="00602C19">
        <w:tc>
          <w:tcPr>
            <w:tcW w:w="1386" w:type="pct"/>
            <w:tcBorders>
              <w:top w:val="nil"/>
              <w:left w:val="nil"/>
              <w:bottom w:val="nil"/>
              <w:right w:val="nil"/>
            </w:tcBorders>
            <w:shd w:val="clear" w:color="auto" w:fill="auto"/>
            <w:noWrap/>
            <w:hideMark/>
          </w:tcPr>
          <w:p w14:paraId="30745C28" w14:textId="77777777" w:rsidR="003861F2" w:rsidRPr="00521670" w:rsidRDefault="003861F2" w:rsidP="003861F2">
            <w:pPr>
              <w:pStyle w:val="Tabletext"/>
              <w:rPr>
                <w:b/>
                <w:bCs/>
                <w:color w:val="000000"/>
                <w:lang w:val="ru-RU" w:eastAsia="en-GB"/>
              </w:rPr>
            </w:pPr>
            <w:r w:rsidRPr="00521670">
              <w:rPr>
                <w:b/>
                <w:bCs/>
                <w:color w:val="000000"/>
                <w:lang w:val="ru-RU" w:eastAsia="en-GB"/>
              </w:rPr>
              <w:t>Всего: доходы</w:t>
            </w:r>
          </w:p>
        </w:tc>
        <w:tc>
          <w:tcPr>
            <w:tcW w:w="471" w:type="pct"/>
            <w:tcBorders>
              <w:top w:val="nil"/>
              <w:left w:val="nil"/>
              <w:bottom w:val="nil"/>
              <w:right w:val="nil"/>
            </w:tcBorders>
            <w:shd w:val="clear" w:color="auto" w:fill="auto"/>
            <w:noWrap/>
          </w:tcPr>
          <w:p w14:paraId="7B002DBD" w14:textId="14D2F166" w:rsidR="003861F2" w:rsidRPr="00521670" w:rsidRDefault="003861F2" w:rsidP="003861F2">
            <w:pPr>
              <w:pStyle w:val="Tabletext"/>
              <w:jc w:val="right"/>
              <w:rPr>
                <w:b/>
                <w:bCs/>
                <w:color w:val="000000"/>
                <w:lang w:val="ru-RU" w:eastAsia="en-GB"/>
              </w:rPr>
            </w:pPr>
            <w:r w:rsidRPr="00521670">
              <w:rPr>
                <w:b/>
                <w:bCs/>
                <w:lang w:val="ru-RU"/>
              </w:rPr>
              <w:t>58 509</w:t>
            </w:r>
          </w:p>
        </w:tc>
        <w:tc>
          <w:tcPr>
            <w:tcW w:w="316" w:type="pct"/>
            <w:tcBorders>
              <w:top w:val="nil"/>
              <w:left w:val="nil"/>
              <w:bottom w:val="nil"/>
              <w:right w:val="nil"/>
            </w:tcBorders>
            <w:shd w:val="clear" w:color="auto" w:fill="auto"/>
            <w:noWrap/>
          </w:tcPr>
          <w:p w14:paraId="50E7A93D" w14:textId="16D05612" w:rsidR="003861F2" w:rsidRPr="00521670" w:rsidRDefault="003861F2" w:rsidP="003861F2">
            <w:pPr>
              <w:pStyle w:val="Tabletext"/>
              <w:jc w:val="right"/>
              <w:rPr>
                <w:b/>
                <w:bCs/>
                <w:color w:val="000000"/>
                <w:lang w:val="ru-RU" w:eastAsia="en-GB"/>
              </w:rPr>
            </w:pPr>
            <w:r w:rsidRPr="00521670">
              <w:rPr>
                <w:b/>
                <w:bCs/>
                <w:lang w:val="ru-RU"/>
              </w:rPr>
              <w:t>59 276</w:t>
            </w:r>
          </w:p>
        </w:tc>
        <w:tc>
          <w:tcPr>
            <w:tcW w:w="316" w:type="pct"/>
            <w:tcBorders>
              <w:top w:val="nil"/>
              <w:left w:val="nil"/>
              <w:bottom w:val="nil"/>
              <w:right w:val="nil"/>
            </w:tcBorders>
            <w:shd w:val="clear" w:color="auto" w:fill="auto"/>
            <w:noWrap/>
          </w:tcPr>
          <w:p w14:paraId="6254737B" w14:textId="24B51BCC" w:rsidR="003861F2" w:rsidRPr="00521670" w:rsidRDefault="003861F2" w:rsidP="003861F2">
            <w:pPr>
              <w:pStyle w:val="Tabletext"/>
              <w:jc w:val="right"/>
              <w:rPr>
                <w:b/>
                <w:bCs/>
                <w:color w:val="000000"/>
                <w:lang w:val="ru-RU" w:eastAsia="en-GB"/>
              </w:rPr>
            </w:pPr>
            <w:r w:rsidRPr="00521670">
              <w:rPr>
                <w:b/>
                <w:bCs/>
                <w:lang w:val="ru-RU"/>
              </w:rPr>
              <w:t>17 343</w:t>
            </w:r>
          </w:p>
        </w:tc>
        <w:tc>
          <w:tcPr>
            <w:tcW w:w="317" w:type="pct"/>
            <w:tcBorders>
              <w:top w:val="nil"/>
              <w:left w:val="nil"/>
              <w:bottom w:val="nil"/>
              <w:right w:val="nil"/>
            </w:tcBorders>
            <w:shd w:val="clear" w:color="auto" w:fill="auto"/>
            <w:noWrap/>
          </w:tcPr>
          <w:p w14:paraId="5CDF2C38" w14:textId="25FE1A9A" w:rsidR="003861F2" w:rsidRPr="00521670" w:rsidRDefault="003861F2" w:rsidP="003861F2">
            <w:pPr>
              <w:pStyle w:val="Tabletext"/>
              <w:jc w:val="right"/>
              <w:rPr>
                <w:b/>
                <w:bCs/>
                <w:color w:val="000000"/>
                <w:lang w:val="ru-RU" w:eastAsia="en-GB"/>
              </w:rPr>
            </w:pPr>
            <w:r w:rsidRPr="00521670">
              <w:rPr>
                <w:b/>
                <w:bCs/>
                <w:lang w:val="ru-RU"/>
              </w:rPr>
              <w:t>22 180</w:t>
            </w:r>
          </w:p>
        </w:tc>
        <w:tc>
          <w:tcPr>
            <w:tcW w:w="433" w:type="pct"/>
            <w:tcBorders>
              <w:top w:val="nil"/>
              <w:left w:val="nil"/>
              <w:bottom w:val="nil"/>
              <w:right w:val="nil"/>
            </w:tcBorders>
            <w:shd w:val="clear" w:color="auto" w:fill="auto"/>
            <w:noWrap/>
          </w:tcPr>
          <w:p w14:paraId="78B047D1" w14:textId="37753AF3" w:rsidR="003861F2" w:rsidRPr="00521670" w:rsidRDefault="003861F2" w:rsidP="003861F2">
            <w:pPr>
              <w:pStyle w:val="Tabletext"/>
              <w:jc w:val="right"/>
              <w:rPr>
                <w:b/>
                <w:bCs/>
                <w:lang w:val="ru-RU" w:eastAsia="en-GB"/>
              </w:rPr>
            </w:pPr>
            <w:r w:rsidRPr="00521670">
              <w:rPr>
                <w:b/>
                <w:bCs/>
                <w:lang w:val="ru-RU"/>
              </w:rPr>
              <w:t>157 233</w:t>
            </w:r>
          </w:p>
        </w:tc>
        <w:tc>
          <w:tcPr>
            <w:tcW w:w="303" w:type="pct"/>
            <w:tcBorders>
              <w:top w:val="nil"/>
              <w:left w:val="nil"/>
              <w:bottom w:val="nil"/>
              <w:right w:val="nil"/>
            </w:tcBorders>
          </w:tcPr>
          <w:p w14:paraId="4E295A20" w14:textId="510C52DF" w:rsidR="003861F2" w:rsidRPr="00521670" w:rsidRDefault="003861F2" w:rsidP="003861F2">
            <w:pPr>
              <w:pStyle w:val="Tabletext"/>
              <w:jc w:val="right"/>
              <w:rPr>
                <w:rFonts w:ascii="Times New Roman" w:hAnsi="Times New Roman"/>
                <w:b/>
                <w:bCs/>
                <w:lang w:val="ru-RU" w:eastAsia="en-GB"/>
              </w:rPr>
            </w:pPr>
            <w:r w:rsidRPr="00521670">
              <w:rPr>
                <w:b/>
                <w:bCs/>
                <w:lang w:val="ru-RU"/>
              </w:rPr>
              <w:t>2 570</w:t>
            </w:r>
          </w:p>
        </w:tc>
        <w:tc>
          <w:tcPr>
            <w:tcW w:w="303" w:type="pct"/>
            <w:tcBorders>
              <w:top w:val="nil"/>
              <w:left w:val="nil"/>
              <w:bottom w:val="nil"/>
              <w:right w:val="nil"/>
            </w:tcBorders>
            <w:shd w:val="clear" w:color="auto" w:fill="auto"/>
            <w:noWrap/>
            <w:vAlign w:val="bottom"/>
          </w:tcPr>
          <w:p w14:paraId="1DC01736" w14:textId="6E7F0785" w:rsidR="003861F2" w:rsidRPr="00521670" w:rsidRDefault="003861F2" w:rsidP="003861F2">
            <w:pPr>
              <w:pStyle w:val="Tabletext"/>
              <w:jc w:val="right"/>
              <w:rPr>
                <w:b/>
                <w:bCs/>
                <w:color w:val="000000"/>
                <w:lang w:val="ru-RU" w:eastAsia="en-GB"/>
              </w:rPr>
            </w:pPr>
          </w:p>
        </w:tc>
        <w:tc>
          <w:tcPr>
            <w:tcW w:w="409" w:type="pct"/>
            <w:tcBorders>
              <w:top w:val="nil"/>
              <w:left w:val="nil"/>
              <w:bottom w:val="nil"/>
              <w:right w:val="nil"/>
            </w:tcBorders>
            <w:shd w:val="clear" w:color="auto" w:fill="auto"/>
            <w:noWrap/>
          </w:tcPr>
          <w:p w14:paraId="6D4736E0" w14:textId="4AC55D3A" w:rsidR="003861F2" w:rsidRPr="00521670" w:rsidRDefault="003861F2" w:rsidP="003861F2">
            <w:pPr>
              <w:pStyle w:val="Tabletext"/>
              <w:jc w:val="right"/>
              <w:rPr>
                <w:b/>
                <w:bCs/>
                <w:color w:val="000000"/>
                <w:lang w:val="ru-RU" w:eastAsia="en-GB"/>
              </w:rPr>
            </w:pPr>
            <w:r w:rsidRPr="00521670">
              <w:rPr>
                <w:b/>
                <w:bCs/>
                <w:lang w:val="ru-RU"/>
              </w:rPr>
              <w:t>21 870</w:t>
            </w:r>
          </w:p>
        </w:tc>
        <w:tc>
          <w:tcPr>
            <w:tcW w:w="391" w:type="pct"/>
            <w:tcBorders>
              <w:top w:val="nil"/>
              <w:left w:val="nil"/>
              <w:bottom w:val="nil"/>
              <w:right w:val="nil"/>
            </w:tcBorders>
            <w:shd w:val="clear" w:color="auto" w:fill="auto"/>
            <w:noWrap/>
          </w:tcPr>
          <w:p w14:paraId="60111B6C" w14:textId="23DDEFCB" w:rsidR="003861F2" w:rsidRPr="00521670" w:rsidRDefault="003861F2" w:rsidP="003861F2">
            <w:pPr>
              <w:pStyle w:val="Tabletext"/>
              <w:jc w:val="right"/>
              <w:rPr>
                <w:b/>
                <w:bCs/>
                <w:color w:val="000000"/>
                <w:lang w:val="ru-RU" w:eastAsia="en-GB"/>
              </w:rPr>
            </w:pPr>
            <w:r w:rsidRPr="00521670">
              <w:rPr>
                <w:b/>
                <w:bCs/>
                <w:lang w:val="ru-RU"/>
              </w:rPr>
              <w:t>(1 014)</w:t>
            </w:r>
          </w:p>
        </w:tc>
        <w:tc>
          <w:tcPr>
            <w:tcW w:w="354" w:type="pct"/>
            <w:tcBorders>
              <w:top w:val="nil"/>
              <w:left w:val="nil"/>
              <w:bottom w:val="nil"/>
              <w:right w:val="nil"/>
            </w:tcBorders>
            <w:shd w:val="clear" w:color="auto" w:fill="auto"/>
            <w:noWrap/>
          </w:tcPr>
          <w:p w14:paraId="0B55D561" w14:textId="02CA16D9" w:rsidR="003861F2" w:rsidRPr="00521670" w:rsidRDefault="003861F2" w:rsidP="003861F2">
            <w:pPr>
              <w:pStyle w:val="Tabletext"/>
              <w:jc w:val="right"/>
              <w:rPr>
                <w:b/>
                <w:bCs/>
                <w:color w:val="000000"/>
                <w:lang w:val="ru-RU" w:eastAsia="en-GB"/>
              </w:rPr>
            </w:pPr>
            <w:r w:rsidRPr="00521670">
              <w:rPr>
                <w:b/>
                <w:bCs/>
                <w:lang w:val="ru-RU"/>
              </w:rPr>
              <w:t>180 659</w:t>
            </w:r>
          </w:p>
        </w:tc>
      </w:tr>
      <w:tr w:rsidR="003861F2" w:rsidRPr="00521670" w14:paraId="2ED2A792" w14:textId="77777777" w:rsidTr="00602C19">
        <w:tc>
          <w:tcPr>
            <w:tcW w:w="1386" w:type="pct"/>
            <w:tcBorders>
              <w:top w:val="nil"/>
              <w:left w:val="nil"/>
              <w:bottom w:val="nil"/>
              <w:right w:val="nil"/>
            </w:tcBorders>
            <w:shd w:val="clear" w:color="auto" w:fill="auto"/>
            <w:noWrap/>
            <w:hideMark/>
          </w:tcPr>
          <w:p w14:paraId="300756BB" w14:textId="77777777" w:rsidR="003861F2" w:rsidRPr="00521670" w:rsidRDefault="003861F2" w:rsidP="003861F2">
            <w:pPr>
              <w:pStyle w:val="Tabletext"/>
              <w:spacing w:before="0" w:after="0"/>
              <w:rPr>
                <w:color w:val="000000"/>
                <w:lang w:val="ru-RU" w:eastAsia="en-GB"/>
              </w:rPr>
            </w:pPr>
          </w:p>
        </w:tc>
        <w:tc>
          <w:tcPr>
            <w:tcW w:w="471" w:type="pct"/>
            <w:tcBorders>
              <w:top w:val="nil"/>
              <w:left w:val="nil"/>
              <w:bottom w:val="nil"/>
              <w:right w:val="nil"/>
            </w:tcBorders>
            <w:shd w:val="clear" w:color="auto" w:fill="auto"/>
            <w:noWrap/>
            <w:vAlign w:val="bottom"/>
          </w:tcPr>
          <w:p w14:paraId="249704C0" w14:textId="77777777" w:rsidR="003861F2" w:rsidRPr="00521670" w:rsidRDefault="003861F2" w:rsidP="003861F2">
            <w:pPr>
              <w:pStyle w:val="Tabletext"/>
              <w:spacing w:before="0" w:after="0"/>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509DF1CC" w14:textId="77777777" w:rsidR="003861F2" w:rsidRPr="00521670" w:rsidRDefault="003861F2" w:rsidP="003861F2">
            <w:pPr>
              <w:pStyle w:val="Tabletext"/>
              <w:spacing w:before="0" w:after="0"/>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5651F3DA" w14:textId="77777777" w:rsidR="003861F2" w:rsidRPr="00521670" w:rsidRDefault="003861F2" w:rsidP="003861F2">
            <w:pPr>
              <w:pStyle w:val="Tabletext"/>
              <w:spacing w:before="0" w:after="0"/>
              <w:jc w:val="right"/>
              <w:rPr>
                <w:rFonts w:ascii="Times New Roman" w:hAnsi="Times New Roman"/>
                <w:lang w:val="ru-RU" w:eastAsia="en-GB"/>
              </w:rPr>
            </w:pPr>
          </w:p>
        </w:tc>
        <w:tc>
          <w:tcPr>
            <w:tcW w:w="317" w:type="pct"/>
            <w:tcBorders>
              <w:top w:val="nil"/>
              <w:left w:val="nil"/>
              <w:bottom w:val="nil"/>
              <w:right w:val="nil"/>
            </w:tcBorders>
            <w:shd w:val="clear" w:color="auto" w:fill="auto"/>
            <w:noWrap/>
            <w:vAlign w:val="bottom"/>
          </w:tcPr>
          <w:p w14:paraId="2104DCBF" w14:textId="77777777" w:rsidR="003861F2" w:rsidRPr="00521670" w:rsidRDefault="003861F2" w:rsidP="003861F2">
            <w:pPr>
              <w:pStyle w:val="Tabletext"/>
              <w:spacing w:before="0" w:after="0"/>
              <w:jc w:val="right"/>
              <w:rPr>
                <w:rFonts w:ascii="Times New Roman" w:hAnsi="Times New Roman"/>
                <w:lang w:val="ru-RU" w:eastAsia="en-GB"/>
              </w:rPr>
            </w:pPr>
          </w:p>
        </w:tc>
        <w:tc>
          <w:tcPr>
            <w:tcW w:w="433" w:type="pct"/>
            <w:tcBorders>
              <w:top w:val="nil"/>
              <w:left w:val="nil"/>
              <w:bottom w:val="nil"/>
              <w:right w:val="nil"/>
            </w:tcBorders>
            <w:shd w:val="clear" w:color="auto" w:fill="auto"/>
            <w:noWrap/>
            <w:vAlign w:val="bottom"/>
          </w:tcPr>
          <w:p w14:paraId="52954A1A" w14:textId="77777777" w:rsidR="003861F2" w:rsidRPr="00521670" w:rsidRDefault="003861F2" w:rsidP="003861F2">
            <w:pPr>
              <w:pStyle w:val="Tabletext"/>
              <w:spacing w:before="0" w:after="0"/>
              <w:jc w:val="right"/>
              <w:rPr>
                <w:rFonts w:ascii="Times New Roman" w:hAnsi="Times New Roman"/>
                <w:b/>
                <w:bCs/>
                <w:lang w:val="ru-RU" w:eastAsia="en-GB"/>
              </w:rPr>
            </w:pPr>
          </w:p>
        </w:tc>
        <w:tc>
          <w:tcPr>
            <w:tcW w:w="303" w:type="pct"/>
            <w:tcBorders>
              <w:top w:val="nil"/>
              <w:left w:val="nil"/>
              <w:bottom w:val="nil"/>
              <w:right w:val="nil"/>
            </w:tcBorders>
          </w:tcPr>
          <w:p w14:paraId="1D95A362" w14:textId="77777777" w:rsidR="003861F2" w:rsidRPr="00521670" w:rsidRDefault="003861F2" w:rsidP="003861F2">
            <w:pPr>
              <w:pStyle w:val="Tabletext"/>
              <w:spacing w:before="0" w:after="0"/>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4448A28F" w14:textId="23736926" w:rsidR="003861F2" w:rsidRPr="00521670" w:rsidRDefault="003861F2" w:rsidP="003861F2">
            <w:pPr>
              <w:pStyle w:val="Tabletext"/>
              <w:spacing w:before="0" w:after="0"/>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31911CFE" w14:textId="77777777" w:rsidR="003861F2" w:rsidRPr="00521670" w:rsidRDefault="003861F2" w:rsidP="003861F2">
            <w:pPr>
              <w:pStyle w:val="Tabletext"/>
              <w:spacing w:before="0" w:after="0"/>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tcPr>
          <w:p w14:paraId="27121C55" w14:textId="77777777" w:rsidR="003861F2" w:rsidRPr="00521670" w:rsidRDefault="003861F2" w:rsidP="003861F2">
            <w:pPr>
              <w:pStyle w:val="Tabletext"/>
              <w:spacing w:before="0" w:after="0"/>
              <w:jc w:val="right"/>
              <w:rPr>
                <w:rFonts w:ascii="Times New Roman" w:hAnsi="Times New Roman"/>
                <w:lang w:val="ru-RU" w:eastAsia="en-GB"/>
              </w:rPr>
            </w:pPr>
          </w:p>
        </w:tc>
        <w:tc>
          <w:tcPr>
            <w:tcW w:w="354" w:type="pct"/>
            <w:tcBorders>
              <w:top w:val="nil"/>
              <w:left w:val="nil"/>
              <w:bottom w:val="nil"/>
              <w:right w:val="nil"/>
            </w:tcBorders>
            <w:shd w:val="clear" w:color="auto" w:fill="auto"/>
            <w:noWrap/>
          </w:tcPr>
          <w:p w14:paraId="7CD5BD78" w14:textId="77777777" w:rsidR="003861F2" w:rsidRPr="00521670" w:rsidRDefault="003861F2" w:rsidP="003861F2">
            <w:pPr>
              <w:pStyle w:val="Tabletext"/>
              <w:spacing w:before="0" w:after="0"/>
              <w:jc w:val="right"/>
              <w:rPr>
                <w:rFonts w:ascii="Times New Roman" w:hAnsi="Times New Roman"/>
                <w:b/>
                <w:bCs/>
                <w:lang w:val="ru-RU" w:eastAsia="en-GB"/>
              </w:rPr>
            </w:pPr>
          </w:p>
        </w:tc>
      </w:tr>
      <w:tr w:rsidR="003861F2" w:rsidRPr="00521670" w14:paraId="50C8B67F" w14:textId="77777777" w:rsidTr="00602C19">
        <w:tc>
          <w:tcPr>
            <w:tcW w:w="1386" w:type="pct"/>
            <w:tcBorders>
              <w:top w:val="nil"/>
              <w:left w:val="nil"/>
              <w:bottom w:val="nil"/>
              <w:right w:val="nil"/>
            </w:tcBorders>
            <w:shd w:val="clear" w:color="auto" w:fill="auto"/>
            <w:hideMark/>
          </w:tcPr>
          <w:p w14:paraId="627352FF" w14:textId="77777777" w:rsidR="003861F2" w:rsidRPr="00521670" w:rsidRDefault="003861F2" w:rsidP="003861F2">
            <w:pPr>
              <w:pStyle w:val="Tabletext"/>
              <w:rPr>
                <w:b/>
                <w:bCs/>
                <w:color w:val="000000"/>
                <w:lang w:val="ru-RU" w:eastAsia="en-GB"/>
              </w:rPr>
            </w:pPr>
            <w:r w:rsidRPr="00521670">
              <w:rPr>
                <w:b/>
                <w:bCs/>
                <w:color w:val="000000"/>
                <w:lang w:val="ru-RU" w:eastAsia="en-GB"/>
              </w:rPr>
              <w:t>РАСХОДЫ</w:t>
            </w:r>
          </w:p>
        </w:tc>
        <w:tc>
          <w:tcPr>
            <w:tcW w:w="471" w:type="pct"/>
            <w:tcBorders>
              <w:top w:val="nil"/>
              <w:left w:val="nil"/>
              <w:bottom w:val="nil"/>
              <w:right w:val="nil"/>
            </w:tcBorders>
            <w:shd w:val="clear" w:color="auto" w:fill="auto"/>
            <w:noWrap/>
            <w:vAlign w:val="bottom"/>
          </w:tcPr>
          <w:p w14:paraId="7D43DAFF" w14:textId="77777777" w:rsidR="003861F2" w:rsidRPr="00521670" w:rsidRDefault="003861F2" w:rsidP="003861F2">
            <w:pPr>
              <w:pStyle w:val="Tabletext"/>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2F356B17" w14:textId="77777777" w:rsidR="003861F2" w:rsidRPr="00521670" w:rsidRDefault="003861F2" w:rsidP="003861F2">
            <w:pPr>
              <w:pStyle w:val="Tabletext"/>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2F5A0DF9" w14:textId="77777777" w:rsidR="003861F2" w:rsidRPr="00521670" w:rsidRDefault="003861F2" w:rsidP="003861F2">
            <w:pPr>
              <w:pStyle w:val="Tabletext"/>
              <w:jc w:val="right"/>
              <w:rPr>
                <w:rFonts w:ascii="Times New Roman" w:hAnsi="Times New Roman"/>
                <w:lang w:val="ru-RU" w:eastAsia="en-GB"/>
              </w:rPr>
            </w:pPr>
          </w:p>
        </w:tc>
        <w:tc>
          <w:tcPr>
            <w:tcW w:w="317" w:type="pct"/>
            <w:tcBorders>
              <w:top w:val="nil"/>
              <w:left w:val="nil"/>
              <w:bottom w:val="nil"/>
              <w:right w:val="nil"/>
            </w:tcBorders>
            <w:shd w:val="clear" w:color="auto" w:fill="auto"/>
            <w:noWrap/>
            <w:vAlign w:val="bottom"/>
          </w:tcPr>
          <w:p w14:paraId="2CD6E146" w14:textId="77777777" w:rsidR="003861F2" w:rsidRPr="00521670" w:rsidRDefault="003861F2" w:rsidP="003861F2">
            <w:pPr>
              <w:pStyle w:val="Tabletext"/>
              <w:jc w:val="right"/>
              <w:rPr>
                <w:rFonts w:ascii="Times New Roman" w:hAnsi="Times New Roman"/>
                <w:lang w:val="ru-RU" w:eastAsia="en-GB"/>
              </w:rPr>
            </w:pPr>
          </w:p>
        </w:tc>
        <w:tc>
          <w:tcPr>
            <w:tcW w:w="433" w:type="pct"/>
            <w:tcBorders>
              <w:top w:val="nil"/>
              <w:left w:val="nil"/>
              <w:bottom w:val="nil"/>
              <w:right w:val="nil"/>
            </w:tcBorders>
            <w:shd w:val="clear" w:color="auto" w:fill="auto"/>
            <w:noWrap/>
            <w:vAlign w:val="bottom"/>
          </w:tcPr>
          <w:p w14:paraId="4A8D0FC6" w14:textId="77777777" w:rsidR="003861F2" w:rsidRPr="00521670" w:rsidRDefault="003861F2" w:rsidP="003861F2">
            <w:pPr>
              <w:pStyle w:val="Tabletext"/>
              <w:jc w:val="right"/>
              <w:rPr>
                <w:rFonts w:ascii="Times New Roman" w:hAnsi="Times New Roman"/>
                <w:b/>
                <w:bCs/>
                <w:lang w:val="ru-RU" w:eastAsia="en-GB"/>
              </w:rPr>
            </w:pPr>
          </w:p>
        </w:tc>
        <w:tc>
          <w:tcPr>
            <w:tcW w:w="303" w:type="pct"/>
            <w:tcBorders>
              <w:top w:val="nil"/>
              <w:left w:val="nil"/>
              <w:bottom w:val="nil"/>
              <w:right w:val="nil"/>
            </w:tcBorders>
          </w:tcPr>
          <w:p w14:paraId="5931D8C7" w14:textId="77777777" w:rsidR="003861F2" w:rsidRPr="00521670" w:rsidRDefault="003861F2" w:rsidP="003861F2">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20A2F480" w14:textId="10A9B282"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268A969D" w14:textId="77777777" w:rsidR="003861F2" w:rsidRPr="00521670" w:rsidRDefault="003861F2" w:rsidP="003861F2">
            <w:pPr>
              <w:pStyle w:val="Tabletext"/>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tcPr>
          <w:p w14:paraId="2DC0BCC9" w14:textId="77777777" w:rsidR="003861F2" w:rsidRPr="00521670" w:rsidRDefault="003861F2" w:rsidP="003861F2">
            <w:pPr>
              <w:pStyle w:val="Tabletext"/>
              <w:jc w:val="right"/>
              <w:rPr>
                <w:rFonts w:ascii="Times New Roman" w:hAnsi="Times New Roman"/>
                <w:lang w:val="ru-RU" w:eastAsia="en-GB"/>
              </w:rPr>
            </w:pPr>
          </w:p>
        </w:tc>
        <w:tc>
          <w:tcPr>
            <w:tcW w:w="354" w:type="pct"/>
            <w:tcBorders>
              <w:top w:val="nil"/>
              <w:left w:val="nil"/>
              <w:bottom w:val="nil"/>
              <w:right w:val="nil"/>
            </w:tcBorders>
            <w:shd w:val="clear" w:color="auto" w:fill="auto"/>
            <w:noWrap/>
          </w:tcPr>
          <w:p w14:paraId="561723E4" w14:textId="77777777" w:rsidR="003861F2" w:rsidRPr="00521670" w:rsidRDefault="003861F2" w:rsidP="003861F2">
            <w:pPr>
              <w:pStyle w:val="Tabletext"/>
              <w:jc w:val="right"/>
              <w:rPr>
                <w:rFonts w:ascii="Times New Roman" w:hAnsi="Times New Roman"/>
                <w:b/>
                <w:bCs/>
                <w:lang w:val="ru-RU" w:eastAsia="en-GB"/>
              </w:rPr>
            </w:pPr>
          </w:p>
        </w:tc>
      </w:tr>
      <w:tr w:rsidR="003861F2" w:rsidRPr="00521670" w14:paraId="1DE1A90C" w14:textId="77777777" w:rsidTr="00602C19">
        <w:tc>
          <w:tcPr>
            <w:tcW w:w="1386" w:type="pct"/>
            <w:tcBorders>
              <w:top w:val="nil"/>
              <w:left w:val="nil"/>
              <w:bottom w:val="nil"/>
              <w:right w:val="nil"/>
            </w:tcBorders>
            <w:shd w:val="clear" w:color="auto" w:fill="auto"/>
            <w:hideMark/>
          </w:tcPr>
          <w:p w14:paraId="3F0E09B8" w14:textId="77777777" w:rsidR="003861F2" w:rsidRPr="00521670" w:rsidRDefault="003861F2" w:rsidP="003861F2">
            <w:pPr>
              <w:pStyle w:val="Tabletext"/>
              <w:rPr>
                <w:color w:val="000000"/>
                <w:lang w:val="ru-RU" w:eastAsia="en-GB"/>
              </w:rPr>
            </w:pPr>
            <w:r w:rsidRPr="00521670">
              <w:rPr>
                <w:color w:val="000000"/>
                <w:lang w:val="ru-RU" w:eastAsia="en-GB"/>
              </w:rPr>
              <w:t>Расходы на персонал</w:t>
            </w:r>
          </w:p>
        </w:tc>
        <w:tc>
          <w:tcPr>
            <w:tcW w:w="471" w:type="pct"/>
            <w:tcBorders>
              <w:top w:val="nil"/>
              <w:left w:val="nil"/>
              <w:bottom w:val="nil"/>
              <w:right w:val="nil"/>
            </w:tcBorders>
            <w:shd w:val="clear" w:color="auto" w:fill="auto"/>
            <w:noWrap/>
          </w:tcPr>
          <w:p w14:paraId="18979AAF" w14:textId="7B838D46" w:rsidR="003861F2" w:rsidRPr="00521670" w:rsidRDefault="003861F2" w:rsidP="003861F2">
            <w:pPr>
              <w:pStyle w:val="Tabletext"/>
              <w:jc w:val="right"/>
              <w:rPr>
                <w:lang w:val="ru-RU" w:eastAsia="en-GB"/>
              </w:rPr>
            </w:pPr>
            <w:r w:rsidRPr="00521670">
              <w:rPr>
                <w:lang w:val="ru-RU"/>
              </w:rPr>
              <w:t>72 881</w:t>
            </w:r>
          </w:p>
        </w:tc>
        <w:tc>
          <w:tcPr>
            <w:tcW w:w="316" w:type="pct"/>
            <w:tcBorders>
              <w:top w:val="nil"/>
              <w:left w:val="nil"/>
              <w:bottom w:val="nil"/>
              <w:right w:val="nil"/>
            </w:tcBorders>
            <w:shd w:val="clear" w:color="auto" w:fill="auto"/>
            <w:noWrap/>
          </w:tcPr>
          <w:p w14:paraId="0B15DFF4" w14:textId="5182B240" w:rsidR="003861F2" w:rsidRPr="00521670" w:rsidRDefault="003861F2" w:rsidP="003861F2">
            <w:pPr>
              <w:pStyle w:val="Tabletext"/>
              <w:jc w:val="right"/>
              <w:rPr>
                <w:lang w:val="ru-RU" w:eastAsia="en-GB"/>
              </w:rPr>
            </w:pPr>
            <w:r w:rsidRPr="00521670">
              <w:rPr>
                <w:lang w:val="ru-RU"/>
              </w:rPr>
              <w:t>31 485</w:t>
            </w:r>
          </w:p>
        </w:tc>
        <w:tc>
          <w:tcPr>
            <w:tcW w:w="316" w:type="pct"/>
            <w:tcBorders>
              <w:top w:val="nil"/>
              <w:left w:val="nil"/>
              <w:bottom w:val="nil"/>
              <w:right w:val="nil"/>
            </w:tcBorders>
            <w:shd w:val="clear" w:color="auto" w:fill="auto"/>
            <w:noWrap/>
          </w:tcPr>
          <w:p w14:paraId="613D45D7" w14:textId="52F825D1" w:rsidR="003861F2" w:rsidRPr="00521670" w:rsidRDefault="003861F2" w:rsidP="003861F2">
            <w:pPr>
              <w:pStyle w:val="Tabletext"/>
              <w:jc w:val="right"/>
              <w:rPr>
                <w:lang w:val="ru-RU" w:eastAsia="en-GB"/>
              </w:rPr>
            </w:pPr>
            <w:r w:rsidRPr="00521670">
              <w:rPr>
                <w:lang w:val="ru-RU"/>
              </w:rPr>
              <w:t>12 627</w:t>
            </w:r>
          </w:p>
        </w:tc>
        <w:tc>
          <w:tcPr>
            <w:tcW w:w="317" w:type="pct"/>
            <w:tcBorders>
              <w:top w:val="nil"/>
              <w:left w:val="nil"/>
              <w:bottom w:val="nil"/>
              <w:right w:val="nil"/>
            </w:tcBorders>
            <w:shd w:val="clear" w:color="auto" w:fill="auto"/>
            <w:noWrap/>
          </w:tcPr>
          <w:p w14:paraId="06AD3DC6" w14:textId="204F5526" w:rsidR="003861F2" w:rsidRPr="00521670" w:rsidRDefault="003861F2" w:rsidP="003861F2">
            <w:pPr>
              <w:pStyle w:val="Tabletext"/>
              <w:jc w:val="right"/>
              <w:rPr>
                <w:lang w:val="ru-RU" w:eastAsia="en-GB"/>
              </w:rPr>
            </w:pPr>
            <w:r w:rsidRPr="00521670">
              <w:rPr>
                <w:lang w:val="ru-RU"/>
              </w:rPr>
              <w:t>25 272</w:t>
            </w:r>
          </w:p>
        </w:tc>
        <w:tc>
          <w:tcPr>
            <w:tcW w:w="433" w:type="pct"/>
            <w:tcBorders>
              <w:top w:val="nil"/>
              <w:left w:val="nil"/>
              <w:bottom w:val="nil"/>
              <w:right w:val="nil"/>
            </w:tcBorders>
            <w:shd w:val="clear" w:color="auto" w:fill="auto"/>
            <w:noWrap/>
          </w:tcPr>
          <w:p w14:paraId="3F27814A" w14:textId="27636002" w:rsidR="003861F2" w:rsidRPr="00521670" w:rsidRDefault="003861F2" w:rsidP="003861F2">
            <w:pPr>
              <w:pStyle w:val="Tabletext"/>
              <w:jc w:val="right"/>
              <w:rPr>
                <w:b/>
                <w:bCs/>
                <w:lang w:val="ru-RU" w:eastAsia="en-GB"/>
              </w:rPr>
            </w:pPr>
            <w:r w:rsidRPr="00521670">
              <w:rPr>
                <w:b/>
                <w:bCs/>
                <w:lang w:val="ru-RU"/>
              </w:rPr>
              <w:t>142 266</w:t>
            </w:r>
          </w:p>
        </w:tc>
        <w:tc>
          <w:tcPr>
            <w:tcW w:w="303" w:type="pct"/>
            <w:tcBorders>
              <w:top w:val="nil"/>
              <w:left w:val="nil"/>
              <w:bottom w:val="nil"/>
              <w:right w:val="nil"/>
            </w:tcBorders>
          </w:tcPr>
          <w:p w14:paraId="4B870018" w14:textId="37F6BD15" w:rsidR="003861F2" w:rsidRPr="00521670" w:rsidRDefault="003861F2" w:rsidP="003861F2">
            <w:pPr>
              <w:pStyle w:val="Tabletext"/>
              <w:jc w:val="right"/>
              <w:rPr>
                <w:lang w:val="ru-RU"/>
              </w:rPr>
            </w:pPr>
            <w:r w:rsidRPr="00521670">
              <w:rPr>
                <w:lang w:val="ru-RU"/>
              </w:rPr>
              <w:t>(8)</w:t>
            </w:r>
          </w:p>
        </w:tc>
        <w:tc>
          <w:tcPr>
            <w:tcW w:w="303" w:type="pct"/>
            <w:tcBorders>
              <w:top w:val="nil"/>
              <w:left w:val="nil"/>
              <w:bottom w:val="nil"/>
              <w:right w:val="nil"/>
            </w:tcBorders>
            <w:shd w:val="clear" w:color="auto" w:fill="auto"/>
            <w:noWrap/>
            <w:vAlign w:val="bottom"/>
          </w:tcPr>
          <w:p w14:paraId="6997BBBD" w14:textId="1A5072DA" w:rsidR="003861F2" w:rsidRPr="00521670" w:rsidRDefault="003861F2" w:rsidP="003861F2">
            <w:pPr>
              <w:pStyle w:val="Tabletext"/>
              <w:jc w:val="right"/>
              <w:rPr>
                <w:lang w:val="ru-RU" w:eastAsia="en-GB"/>
              </w:rPr>
            </w:pPr>
          </w:p>
        </w:tc>
        <w:tc>
          <w:tcPr>
            <w:tcW w:w="409" w:type="pct"/>
            <w:tcBorders>
              <w:top w:val="nil"/>
              <w:left w:val="nil"/>
              <w:bottom w:val="nil"/>
              <w:right w:val="nil"/>
            </w:tcBorders>
            <w:shd w:val="clear" w:color="auto" w:fill="auto"/>
            <w:noWrap/>
          </w:tcPr>
          <w:p w14:paraId="7D0A22EA" w14:textId="10965F74" w:rsidR="003861F2" w:rsidRPr="00521670" w:rsidRDefault="003861F2" w:rsidP="003861F2">
            <w:pPr>
              <w:pStyle w:val="Tabletext"/>
              <w:jc w:val="right"/>
              <w:rPr>
                <w:lang w:val="ru-RU" w:eastAsia="en-GB"/>
              </w:rPr>
            </w:pPr>
            <w:r w:rsidRPr="00521670">
              <w:rPr>
                <w:lang w:val="ru-RU"/>
              </w:rPr>
              <w:t>8 466</w:t>
            </w:r>
          </w:p>
        </w:tc>
        <w:tc>
          <w:tcPr>
            <w:tcW w:w="391" w:type="pct"/>
            <w:tcBorders>
              <w:top w:val="nil"/>
              <w:left w:val="nil"/>
              <w:bottom w:val="nil"/>
              <w:right w:val="nil"/>
            </w:tcBorders>
            <w:shd w:val="clear" w:color="auto" w:fill="auto"/>
            <w:noWrap/>
            <w:vAlign w:val="bottom"/>
          </w:tcPr>
          <w:p w14:paraId="08EA625F"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22CC97A0" w14:textId="1DDB29A6" w:rsidR="003861F2" w:rsidRPr="00521670" w:rsidRDefault="003861F2" w:rsidP="003861F2">
            <w:pPr>
              <w:pStyle w:val="Tabletext"/>
              <w:jc w:val="right"/>
              <w:rPr>
                <w:b/>
                <w:bCs/>
                <w:color w:val="000000"/>
                <w:lang w:val="ru-RU" w:eastAsia="en-GB"/>
              </w:rPr>
            </w:pPr>
            <w:r w:rsidRPr="00521670">
              <w:rPr>
                <w:b/>
                <w:bCs/>
                <w:lang w:val="ru-RU"/>
              </w:rPr>
              <w:t>150 724</w:t>
            </w:r>
          </w:p>
        </w:tc>
      </w:tr>
      <w:tr w:rsidR="003861F2" w:rsidRPr="00521670" w14:paraId="5BFCC9A2" w14:textId="77777777" w:rsidTr="00602C19">
        <w:tc>
          <w:tcPr>
            <w:tcW w:w="1386" w:type="pct"/>
            <w:tcBorders>
              <w:top w:val="nil"/>
              <w:left w:val="nil"/>
              <w:bottom w:val="nil"/>
              <w:right w:val="nil"/>
            </w:tcBorders>
            <w:shd w:val="clear" w:color="auto" w:fill="auto"/>
            <w:hideMark/>
          </w:tcPr>
          <w:p w14:paraId="751EF59E" w14:textId="77777777" w:rsidR="003861F2" w:rsidRPr="00521670" w:rsidRDefault="003861F2" w:rsidP="003861F2">
            <w:pPr>
              <w:pStyle w:val="Tabletext"/>
              <w:rPr>
                <w:color w:val="000000"/>
                <w:lang w:val="ru-RU" w:eastAsia="en-GB"/>
              </w:rPr>
            </w:pPr>
            <w:r w:rsidRPr="00521670">
              <w:rPr>
                <w:color w:val="000000"/>
                <w:lang w:val="ru-RU" w:eastAsia="en-GB"/>
              </w:rPr>
              <w:t>Служебные командировки</w:t>
            </w:r>
          </w:p>
        </w:tc>
        <w:tc>
          <w:tcPr>
            <w:tcW w:w="471" w:type="pct"/>
            <w:tcBorders>
              <w:top w:val="nil"/>
              <w:left w:val="nil"/>
              <w:bottom w:val="nil"/>
              <w:right w:val="nil"/>
            </w:tcBorders>
            <w:shd w:val="clear" w:color="auto" w:fill="auto"/>
            <w:noWrap/>
          </w:tcPr>
          <w:p w14:paraId="3FC19A72" w14:textId="00CFB19E" w:rsidR="003861F2" w:rsidRPr="00521670" w:rsidRDefault="003861F2" w:rsidP="003861F2">
            <w:pPr>
              <w:pStyle w:val="Tabletext"/>
              <w:jc w:val="right"/>
              <w:rPr>
                <w:lang w:val="ru-RU" w:eastAsia="en-GB"/>
              </w:rPr>
            </w:pPr>
            <w:r w:rsidRPr="00521670">
              <w:rPr>
                <w:lang w:val="ru-RU"/>
              </w:rPr>
              <w:t>917</w:t>
            </w:r>
          </w:p>
        </w:tc>
        <w:tc>
          <w:tcPr>
            <w:tcW w:w="316" w:type="pct"/>
            <w:tcBorders>
              <w:top w:val="nil"/>
              <w:left w:val="nil"/>
              <w:bottom w:val="nil"/>
              <w:right w:val="nil"/>
            </w:tcBorders>
            <w:shd w:val="clear" w:color="auto" w:fill="auto"/>
            <w:noWrap/>
          </w:tcPr>
          <w:p w14:paraId="014EDE8F" w14:textId="1DFD268E" w:rsidR="003861F2" w:rsidRPr="00521670" w:rsidRDefault="003861F2" w:rsidP="003861F2">
            <w:pPr>
              <w:pStyle w:val="Tabletext"/>
              <w:jc w:val="right"/>
              <w:rPr>
                <w:lang w:val="ru-RU" w:eastAsia="en-GB"/>
              </w:rPr>
            </w:pPr>
            <w:r w:rsidRPr="00521670">
              <w:rPr>
                <w:lang w:val="ru-RU"/>
              </w:rPr>
              <w:t>2 284</w:t>
            </w:r>
          </w:p>
        </w:tc>
        <w:tc>
          <w:tcPr>
            <w:tcW w:w="316" w:type="pct"/>
            <w:tcBorders>
              <w:top w:val="nil"/>
              <w:left w:val="nil"/>
              <w:bottom w:val="nil"/>
              <w:right w:val="nil"/>
            </w:tcBorders>
            <w:shd w:val="clear" w:color="auto" w:fill="auto"/>
            <w:noWrap/>
          </w:tcPr>
          <w:p w14:paraId="49BCD0F1" w14:textId="14CFB26C" w:rsidR="003861F2" w:rsidRPr="00521670" w:rsidRDefault="003861F2" w:rsidP="003861F2">
            <w:pPr>
              <w:pStyle w:val="Tabletext"/>
              <w:jc w:val="right"/>
              <w:rPr>
                <w:lang w:val="ru-RU" w:eastAsia="en-GB"/>
              </w:rPr>
            </w:pPr>
            <w:r w:rsidRPr="00521670">
              <w:rPr>
                <w:lang w:val="ru-RU"/>
              </w:rPr>
              <w:t>519</w:t>
            </w:r>
          </w:p>
        </w:tc>
        <w:tc>
          <w:tcPr>
            <w:tcW w:w="317" w:type="pct"/>
            <w:tcBorders>
              <w:top w:val="nil"/>
              <w:left w:val="nil"/>
              <w:bottom w:val="nil"/>
              <w:right w:val="nil"/>
            </w:tcBorders>
            <w:shd w:val="clear" w:color="auto" w:fill="auto"/>
            <w:noWrap/>
          </w:tcPr>
          <w:p w14:paraId="6BA881D8" w14:textId="1E82460F" w:rsidR="003861F2" w:rsidRPr="00521670" w:rsidRDefault="003861F2" w:rsidP="003861F2">
            <w:pPr>
              <w:pStyle w:val="Tabletext"/>
              <w:jc w:val="right"/>
              <w:rPr>
                <w:lang w:val="ru-RU" w:eastAsia="en-GB"/>
              </w:rPr>
            </w:pPr>
            <w:r w:rsidRPr="00521670">
              <w:rPr>
                <w:lang w:val="ru-RU"/>
              </w:rPr>
              <w:t>1 796</w:t>
            </w:r>
          </w:p>
        </w:tc>
        <w:tc>
          <w:tcPr>
            <w:tcW w:w="433" w:type="pct"/>
            <w:tcBorders>
              <w:top w:val="nil"/>
              <w:left w:val="nil"/>
              <w:bottom w:val="nil"/>
              <w:right w:val="nil"/>
            </w:tcBorders>
            <w:shd w:val="clear" w:color="auto" w:fill="auto"/>
            <w:noWrap/>
          </w:tcPr>
          <w:p w14:paraId="3A8A2E09" w14:textId="2A66FD80" w:rsidR="003861F2" w:rsidRPr="00521670" w:rsidRDefault="003861F2" w:rsidP="003861F2">
            <w:pPr>
              <w:pStyle w:val="Tabletext"/>
              <w:jc w:val="right"/>
              <w:rPr>
                <w:b/>
                <w:bCs/>
                <w:lang w:val="ru-RU" w:eastAsia="en-GB"/>
              </w:rPr>
            </w:pPr>
            <w:r w:rsidRPr="00521670">
              <w:rPr>
                <w:b/>
                <w:bCs/>
                <w:lang w:val="ru-RU"/>
              </w:rPr>
              <w:t>5 516</w:t>
            </w:r>
          </w:p>
        </w:tc>
        <w:tc>
          <w:tcPr>
            <w:tcW w:w="303" w:type="pct"/>
            <w:tcBorders>
              <w:top w:val="nil"/>
              <w:left w:val="nil"/>
              <w:bottom w:val="nil"/>
              <w:right w:val="nil"/>
            </w:tcBorders>
          </w:tcPr>
          <w:p w14:paraId="57577D05" w14:textId="77777777" w:rsidR="003861F2" w:rsidRPr="00521670" w:rsidRDefault="003861F2" w:rsidP="003861F2">
            <w:pPr>
              <w:pStyle w:val="Tabletext"/>
              <w:jc w:val="right"/>
              <w:rPr>
                <w:lang w:val="ru-RU"/>
              </w:rPr>
            </w:pPr>
          </w:p>
        </w:tc>
        <w:tc>
          <w:tcPr>
            <w:tcW w:w="303" w:type="pct"/>
            <w:tcBorders>
              <w:top w:val="nil"/>
              <w:left w:val="nil"/>
              <w:bottom w:val="nil"/>
              <w:right w:val="nil"/>
            </w:tcBorders>
            <w:shd w:val="clear" w:color="auto" w:fill="auto"/>
            <w:noWrap/>
            <w:vAlign w:val="bottom"/>
          </w:tcPr>
          <w:p w14:paraId="6214DEC4" w14:textId="1B52E0A7"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55B2FAB1" w14:textId="73D88F66" w:rsidR="003861F2" w:rsidRPr="00521670" w:rsidRDefault="003861F2" w:rsidP="003861F2">
            <w:pPr>
              <w:pStyle w:val="Tabletext"/>
              <w:jc w:val="right"/>
              <w:rPr>
                <w:lang w:val="ru-RU" w:eastAsia="en-GB"/>
              </w:rPr>
            </w:pPr>
            <w:r w:rsidRPr="00521670">
              <w:rPr>
                <w:lang w:val="ru-RU"/>
              </w:rPr>
              <w:t>2 272</w:t>
            </w:r>
          </w:p>
        </w:tc>
        <w:tc>
          <w:tcPr>
            <w:tcW w:w="391" w:type="pct"/>
            <w:tcBorders>
              <w:top w:val="nil"/>
              <w:left w:val="nil"/>
              <w:bottom w:val="nil"/>
              <w:right w:val="nil"/>
            </w:tcBorders>
            <w:shd w:val="clear" w:color="auto" w:fill="auto"/>
            <w:noWrap/>
            <w:vAlign w:val="bottom"/>
          </w:tcPr>
          <w:p w14:paraId="4E482AF2"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41A46D2A" w14:textId="7BD97C3A" w:rsidR="003861F2" w:rsidRPr="00521670" w:rsidRDefault="003861F2" w:rsidP="003861F2">
            <w:pPr>
              <w:pStyle w:val="Tabletext"/>
              <w:jc w:val="right"/>
              <w:rPr>
                <w:b/>
                <w:bCs/>
                <w:color w:val="000000"/>
                <w:lang w:val="ru-RU" w:eastAsia="en-GB"/>
              </w:rPr>
            </w:pPr>
            <w:r w:rsidRPr="00521670">
              <w:rPr>
                <w:b/>
                <w:bCs/>
                <w:lang w:val="ru-RU"/>
              </w:rPr>
              <w:t>7 788</w:t>
            </w:r>
          </w:p>
        </w:tc>
      </w:tr>
      <w:tr w:rsidR="003861F2" w:rsidRPr="00521670" w14:paraId="3CFCC2FA" w14:textId="77777777" w:rsidTr="00602C19">
        <w:tc>
          <w:tcPr>
            <w:tcW w:w="1386" w:type="pct"/>
            <w:tcBorders>
              <w:top w:val="nil"/>
              <w:left w:val="nil"/>
              <w:bottom w:val="nil"/>
              <w:right w:val="nil"/>
            </w:tcBorders>
            <w:shd w:val="clear" w:color="auto" w:fill="auto"/>
            <w:hideMark/>
          </w:tcPr>
          <w:p w14:paraId="0BD042D7" w14:textId="77777777" w:rsidR="003861F2" w:rsidRPr="00521670" w:rsidRDefault="003861F2" w:rsidP="003861F2">
            <w:pPr>
              <w:pStyle w:val="Tabletext"/>
              <w:rPr>
                <w:color w:val="000000"/>
                <w:lang w:val="ru-RU" w:eastAsia="en-GB"/>
              </w:rPr>
            </w:pPr>
            <w:r w:rsidRPr="00521670">
              <w:rPr>
                <w:lang w:val="ru-RU"/>
              </w:rPr>
              <w:t>Контрактные услуги</w:t>
            </w:r>
          </w:p>
        </w:tc>
        <w:tc>
          <w:tcPr>
            <w:tcW w:w="471" w:type="pct"/>
            <w:tcBorders>
              <w:top w:val="nil"/>
              <w:left w:val="nil"/>
              <w:bottom w:val="nil"/>
              <w:right w:val="nil"/>
            </w:tcBorders>
            <w:shd w:val="clear" w:color="auto" w:fill="auto"/>
            <w:noWrap/>
          </w:tcPr>
          <w:p w14:paraId="4FA0F6AA" w14:textId="3ADD9F30" w:rsidR="003861F2" w:rsidRPr="00521670" w:rsidRDefault="003861F2" w:rsidP="003861F2">
            <w:pPr>
              <w:pStyle w:val="Tabletext"/>
              <w:jc w:val="right"/>
              <w:rPr>
                <w:lang w:val="ru-RU" w:eastAsia="en-GB"/>
              </w:rPr>
            </w:pPr>
            <w:r w:rsidRPr="00521670">
              <w:rPr>
                <w:lang w:val="ru-RU"/>
              </w:rPr>
              <w:t>8 586</w:t>
            </w:r>
          </w:p>
        </w:tc>
        <w:tc>
          <w:tcPr>
            <w:tcW w:w="316" w:type="pct"/>
            <w:tcBorders>
              <w:top w:val="nil"/>
              <w:left w:val="nil"/>
              <w:bottom w:val="nil"/>
              <w:right w:val="nil"/>
            </w:tcBorders>
            <w:shd w:val="clear" w:color="auto" w:fill="auto"/>
            <w:noWrap/>
          </w:tcPr>
          <w:p w14:paraId="6D23B950" w14:textId="13BCDF3E" w:rsidR="003861F2" w:rsidRPr="00521670" w:rsidRDefault="003861F2" w:rsidP="003861F2">
            <w:pPr>
              <w:pStyle w:val="Tabletext"/>
              <w:jc w:val="right"/>
              <w:rPr>
                <w:lang w:val="ru-RU" w:eastAsia="en-GB"/>
              </w:rPr>
            </w:pPr>
            <w:r w:rsidRPr="00521670">
              <w:rPr>
                <w:lang w:val="ru-RU"/>
              </w:rPr>
              <w:t>871</w:t>
            </w:r>
          </w:p>
        </w:tc>
        <w:tc>
          <w:tcPr>
            <w:tcW w:w="316" w:type="pct"/>
            <w:tcBorders>
              <w:top w:val="nil"/>
              <w:left w:val="nil"/>
              <w:bottom w:val="nil"/>
              <w:right w:val="nil"/>
            </w:tcBorders>
            <w:shd w:val="clear" w:color="auto" w:fill="auto"/>
            <w:noWrap/>
          </w:tcPr>
          <w:p w14:paraId="0E891EF0" w14:textId="7EFC977F" w:rsidR="003861F2" w:rsidRPr="00521670" w:rsidRDefault="003861F2" w:rsidP="003861F2">
            <w:pPr>
              <w:pStyle w:val="Tabletext"/>
              <w:jc w:val="right"/>
              <w:rPr>
                <w:lang w:val="ru-RU" w:eastAsia="en-GB"/>
              </w:rPr>
            </w:pPr>
            <w:r w:rsidRPr="00521670">
              <w:rPr>
                <w:lang w:val="ru-RU"/>
              </w:rPr>
              <w:t>524</w:t>
            </w:r>
          </w:p>
        </w:tc>
        <w:tc>
          <w:tcPr>
            <w:tcW w:w="317" w:type="pct"/>
            <w:tcBorders>
              <w:top w:val="nil"/>
              <w:left w:val="nil"/>
              <w:bottom w:val="nil"/>
              <w:right w:val="nil"/>
            </w:tcBorders>
            <w:shd w:val="clear" w:color="auto" w:fill="auto"/>
            <w:noWrap/>
          </w:tcPr>
          <w:p w14:paraId="3D748DD1" w14:textId="06C66A38" w:rsidR="003861F2" w:rsidRPr="00521670" w:rsidRDefault="003861F2" w:rsidP="003861F2">
            <w:pPr>
              <w:pStyle w:val="Tabletext"/>
              <w:jc w:val="right"/>
              <w:rPr>
                <w:lang w:val="ru-RU" w:eastAsia="en-GB"/>
              </w:rPr>
            </w:pPr>
            <w:r w:rsidRPr="00521670">
              <w:rPr>
                <w:lang w:val="ru-RU"/>
              </w:rPr>
              <w:t>2 184</w:t>
            </w:r>
          </w:p>
        </w:tc>
        <w:tc>
          <w:tcPr>
            <w:tcW w:w="433" w:type="pct"/>
            <w:tcBorders>
              <w:top w:val="nil"/>
              <w:left w:val="nil"/>
              <w:bottom w:val="nil"/>
              <w:right w:val="nil"/>
            </w:tcBorders>
            <w:shd w:val="clear" w:color="auto" w:fill="auto"/>
            <w:noWrap/>
          </w:tcPr>
          <w:p w14:paraId="3B716058" w14:textId="4C17E9FF" w:rsidR="003861F2" w:rsidRPr="00521670" w:rsidRDefault="003861F2" w:rsidP="003861F2">
            <w:pPr>
              <w:pStyle w:val="Tabletext"/>
              <w:jc w:val="right"/>
              <w:rPr>
                <w:b/>
                <w:bCs/>
                <w:lang w:val="ru-RU" w:eastAsia="en-GB"/>
              </w:rPr>
            </w:pPr>
            <w:r w:rsidRPr="00521670">
              <w:rPr>
                <w:b/>
                <w:bCs/>
                <w:lang w:val="ru-RU"/>
              </w:rPr>
              <w:t>12 165</w:t>
            </w:r>
          </w:p>
        </w:tc>
        <w:tc>
          <w:tcPr>
            <w:tcW w:w="303" w:type="pct"/>
            <w:tcBorders>
              <w:top w:val="nil"/>
              <w:left w:val="nil"/>
              <w:bottom w:val="nil"/>
              <w:right w:val="nil"/>
            </w:tcBorders>
          </w:tcPr>
          <w:p w14:paraId="625C31FA" w14:textId="1A393815" w:rsidR="003861F2" w:rsidRPr="00521670" w:rsidRDefault="003861F2" w:rsidP="003861F2">
            <w:pPr>
              <w:pStyle w:val="Tabletext"/>
              <w:jc w:val="right"/>
              <w:rPr>
                <w:lang w:val="ru-RU"/>
              </w:rPr>
            </w:pPr>
            <w:r w:rsidRPr="00521670">
              <w:rPr>
                <w:lang w:val="ru-RU"/>
              </w:rPr>
              <w:t>8</w:t>
            </w:r>
          </w:p>
        </w:tc>
        <w:tc>
          <w:tcPr>
            <w:tcW w:w="303" w:type="pct"/>
            <w:tcBorders>
              <w:top w:val="nil"/>
              <w:left w:val="nil"/>
              <w:bottom w:val="nil"/>
              <w:right w:val="nil"/>
            </w:tcBorders>
            <w:shd w:val="clear" w:color="auto" w:fill="auto"/>
            <w:noWrap/>
            <w:vAlign w:val="bottom"/>
          </w:tcPr>
          <w:p w14:paraId="0789EC82" w14:textId="558116C5" w:rsidR="003861F2" w:rsidRPr="00521670" w:rsidRDefault="003861F2" w:rsidP="003861F2">
            <w:pPr>
              <w:pStyle w:val="Tabletext"/>
              <w:jc w:val="right"/>
              <w:rPr>
                <w:lang w:val="ru-RU" w:eastAsia="en-GB"/>
              </w:rPr>
            </w:pPr>
          </w:p>
        </w:tc>
        <w:tc>
          <w:tcPr>
            <w:tcW w:w="409" w:type="pct"/>
            <w:tcBorders>
              <w:top w:val="nil"/>
              <w:left w:val="nil"/>
              <w:bottom w:val="nil"/>
              <w:right w:val="nil"/>
            </w:tcBorders>
            <w:shd w:val="clear" w:color="auto" w:fill="auto"/>
            <w:noWrap/>
          </w:tcPr>
          <w:p w14:paraId="5142F737" w14:textId="560226FA" w:rsidR="003861F2" w:rsidRPr="00521670" w:rsidRDefault="003861F2" w:rsidP="003861F2">
            <w:pPr>
              <w:pStyle w:val="Tabletext"/>
              <w:jc w:val="right"/>
              <w:rPr>
                <w:lang w:val="ru-RU" w:eastAsia="en-GB"/>
              </w:rPr>
            </w:pPr>
            <w:r w:rsidRPr="00521670">
              <w:rPr>
                <w:lang w:val="ru-RU"/>
              </w:rPr>
              <w:t>9 649</w:t>
            </w:r>
          </w:p>
        </w:tc>
        <w:tc>
          <w:tcPr>
            <w:tcW w:w="391" w:type="pct"/>
            <w:tcBorders>
              <w:top w:val="nil"/>
              <w:left w:val="nil"/>
              <w:bottom w:val="nil"/>
              <w:right w:val="nil"/>
            </w:tcBorders>
            <w:shd w:val="clear" w:color="auto" w:fill="auto"/>
            <w:noWrap/>
            <w:vAlign w:val="bottom"/>
          </w:tcPr>
          <w:p w14:paraId="1112D778"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1AE0CBF2" w14:textId="617FB361" w:rsidR="003861F2" w:rsidRPr="00521670" w:rsidRDefault="003861F2" w:rsidP="003861F2">
            <w:pPr>
              <w:pStyle w:val="Tabletext"/>
              <w:jc w:val="right"/>
              <w:rPr>
                <w:b/>
                <w:bCs/>
                <w:color w:val="000000"/>
                <w:lang w:val="ru-RU" w:eastAsia="en-GB"/>
              </w:rPr>
            </w:pPr>
            <w:r w:rsidRPr="00521670">
              <w:rPr>
                <w:b/>
                <w:bCs/>
                <w:lang w:val="ru-RU"/>
              </w:rPr>
              <w:t>21 821</w:t>
            </w:r>
          </w:p>
        </w:tc>
      </w:tr>
      <w:tr w:rsidR="003861F2" w:rsidRPr="00521670" w14:paraId="6113B92E" w14:textId="77777777" w:rsidTr="00602C19">
        <w:tc>
          <w:tcPr>
            <w:tcW w:w="1386" w:type="pct"/>
            <w:tcBorders>
              <w:top w:val="nil"/>
              <w:left w:val="nil"/>
              <w:bottom w:val="nil"/>
              <w:right w:val="nil"/>
            </w:tcBorders>
            <w:shd w:val="clear" w:color="auto" w:fill="auto"/>
            <w:hideMark/>
          </w:tcPr>
          <w:p w14:paraId="47D0D646" w14:textId="77777777" w:rsidR="003861F2" w:rsidRPr="00521670" w:rsidRDefault="003861F2" w:rsidP="003861F2">
            <w:pPr>
              <w:pStyle w:val="Tabletext"/>
              <w:rPr>
                <w:color w:val="000000"/>
                <w:lang w:val="ru-RU" w:eastAsia="en-GB"/>
              </w:rPr>
            </w:pPr>
            <w:r w:rsidRPr="00521670">
              <w:rPr>
                <w:lang w:val="ru-RU"/>
              </w:rPr>
              <w:t>Аренда и эксплуатация помещений и оборудования</w:t>
            </w:r>
          </w:p>
        </w:tc>
        <w:tc>
          <w:tcPr>
            <w:tcW w:w="471" w:type="pct"/>
            <w:tcBorders>
              <w:top w:val="nil"/>
              <w:left w:val="nil"/>
              <w:bottom w:val="nil"/>
              <w:right w:val="nil"/>
            </w:tcBorders>
            <w:shd w:val="clear" w:color="auto" w:fill="auto"/>
            <w:noWrap/>
            <w:vAlign w:val="bottom"/>
          </w:tcPr>
          <w:p w14:paraId="31B91306" w14:textId="6330D565" w:rsidR="003861F2" w:rsidRPr="00521670" w:rsidRDefault="003861F2" w:rsidP="00807D25">
            <w:pPr>
              <w:pStyle w:val="Tabletext"/>
              <w:jc w:val="right"/>
              <w:rPr>
                <w:lang w:val="ru-RU" w:eastAsia="en-GB"/>
              </w:rPr>
            </w:pPr>
            <w:r w:rsidRPr="00521670">
              <w:rPr>
                <w:lang w:val="ru-RU"/>
              </w:rPr>
              <w:t>2 304</w:t>
            </w:r>
          </w:p>
        </w:tc>
        <w:tc>
          <w:tcPr>
            <w:tcW w:w="316" w:type="pct"/>
            <w:tcBorders>
              <w:top w:val="nil"/>
              <w:left w:val="nil"/>
              <w:bottom w:val="nil"/>
              <w:right w:val="nil"/>
            </w:tcBorders>
            <w:shd w:val="clear" w:color="auto" w:fill="auto"/>
            <w:noWrap/>
            <w:vAlign w:val="bottom"/>
          </w:tcPr>
          <w:p w14:paraId="241B8D9F" w14:textId="4FCD1634" w:rsidR="003861F2" w:rsidRPr="00521670" w:rsidRDefault="003861F2" w:rsidP="00807D25">
            <w:pPr>
              <w:pStyle w:val="Tabletext"/>
              <w:jc w:val="right"/>
              <w:rPr>
                <w:lang w:val="ru-RU" w:eastAsia="en-GB"/>
              </w:rPr>
            </w:pPr>
            <w:r w:rsidRPr="00521670">
              <w:rPr>
                <w:lang w:val="ru-RU"/>
              </w:rPr>
              <w:t>171</w:t>
            </w:r>
          </w:p>
        </w:tc>
        <w:tc>
          <w:tcPr>
            <w:tcW w:w="316" w:type="pct"/>
            <w:tcBorders>
              <w:top w:val="nil"/>
              <w:left w:val="nil"/>
              <w:bottom w:val="nil"/>
              <w:right w:val="nil"/>
            </w:tcBorders>
            <w:shd w:val="clear" w:color="auto" w:fill="auto"/>
            <w:noWrap/>
            <w:vAlign w:val="bottom"/>
          </w:tcPr>
          <w:p w14:paraId="5014C854" w14:textId="3B4CE12B" w:rsidR="003861F2" w:rsidRPr="00521670" w:rsidRDefault="003861F2" w:rsidP="00807D25">
            <w:pPr>
              <w:pStyle w:val="Tabletext"/>
              <w:jc w:val="right"/>
              <w:rPr>
                <w:lang w:val="ru-RU" w:eastAsia="en-GB"/>
              </w:rPr>
            </w:pPr>
            <w:r w:rsidRPr="00521670">
              <w:rPr>
                <w:lang w:val="ru-RU"/>
              </w:rPr>
              <w:t>89</w:t>
            </w:r>
          </w:p>
        </w:tc>
        <w:tc>
          <w:tcPr>
            <w:tcW w:w="317" w:type="pct"/>
            <w:tcBorders>
              <w:top w:val="nil"/>
              <w:left w:val="nil"/>
              <w:bottom w:val="nil"/>
              <w:right w:val="nil"/>
            </w:tcBorders>
            <w:shd w:val="clear" w:color="auto" w:fill="auto"/>
            <w:noWrap/>
            <w:vAlign w:val="bottom"/>
          </w:tcPr>
          <w:p w14:paraId="485627DD" w14:textId="04E5A5BD" w:rsidR="003861F2" w:rsidRPr="00521670" w:rsidRDefault="003861F2" w:rsidP="00807D25">
            <w:pPr>
              <w:pStyle w:val="Tabletext"/>
              <w:jc w:val="right"/>
              <w:rPr>
                <w:lang w:val="ru-RU" w:eastAsia="en-GB"/>
              </w:rPr>
            </w:pPr>
            <w:r w:rsidRPr="00521670">
              <w:rPr>
                <w:lang w:val="ru-RU"/>
              </w:rPr>
              <w:t>147</w:t>
            </w:r>
          </w:p>
        </w:tc>
        <w:tc>
          <w:tcPr>
            <w:tcW w:w="433" w:type="pct"/>
            <w:tcBorders>
              <w:top w:val="nil"/>
              <w:left w:val="nil"/>
              <w:bottom w:val="nil"/>
              <w:right w:val="nil"/>
            </w:tcBorders>
            <w:shd w:val="clear" w:color="auto" w:fill="auto"/>
            <w:noWrap/>
            <w:vAlign w:val="bottom"/>
          </w:tcPr>
          <w:p w14:paraId="2C4431F6" w14:textId="4C78B4F3" w:rsidR="003861F2" w:rsidRPr="00521670" w:rsidRDefault="003861F2" w:rsidP="00807D25">
            <w:pPr>
              <w:pStyle w:val="Tabletext"/>
              <w:jc w:val="right"/>
              <w:rPr>
                <w:b/>
                <w:bCs/>
                <w:lang w:val="ru-RU" w:eastAsia="en-GB"/>
              </w:rPr>
            </w:pPr>
            <w:r w:rsidRPr="00521670">
              <w:rPr>
                <w:b/>
                <w:bCs/>
                <w:lang w:val="ru-RU"/>
              </w:rPr>
              <w:t>2 711</w:t>
            </w:r>
          </w:p>
        </w:tc>
        <w:tc>
          <w:tcPr>
            <w:tcW w:w="303" w:type="pct"/>
            <w:tcBorders>
              <w:top w:val="nil"/>
              <w:left w:val="nil"/>
              <w:bottom w:val="nil"/>
              <w:right w:val="nil"/>
            </w:tcBorders>
            <w:vAlign w:val="bottom"/>
          </w:tcPr>
          <w:p w14:paraId="502CD36D" w14:textId="77777777" w:rsidR="003861F2" w:rsidRPr="00521670" w:rsidRDefault="003861F2" w:rsidP="00807D25">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4F3D7AB1" w14:textId="545374EF" w:rsidR="003861F2" w:rsidRPr="00521670" w:rsidRDefault="003861F2" w:rsidP="00807D25">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vAlign w:val="bottom"/>
          </w:tcPr>
          <w:p w14:paraId="0498A75B" w14:textId="2B9E2674" w:rsidR="003861F2" w:rsidRPr="00521670" w:rsidRDefault="003861F2" w:rsidP="00807D25">
            <w:pPr>
              <w:pStyle w:val="Tabletext"/>
              <w:jc w:val="right"/>
              <w:rPr>
                <w:lang w:val="ru-RU" w:eastAsia="en-GB"/>
              </w:rPr>
            </w:pPr>
            <w:r w:rsidRPr="00521670">
              <w:rPr>
                <w:lang w:val="ru-RU"/>
              </w:rPr>
              <w:t>826</w:t>
            </w:r>
          </w:p>
        </w:tc>
        <w:tc>
          <w:tcPr>
            <w:tcW w:w="391" w:type="pct"/>
            <w:tcBorders>
              <w:top w:val="nil"/>
              <w:left w:val="nil"/>
              <w:bottom w:val="nil"/>
              <w:right w:val="nil"/>
            </w:tcBorders>
            <w:shd w:val="clear" w:color="auto" w:fill="auto"/>
            <w:noWrap/>
            <w:vAlign w:val="bottom"/>
          </w:tcPr>
          <w:p w14:paraId="6F58F35F" w14:textId="77777777" w:rsidR="003861F2" w:rsidRPr="00521670" w:rsidRDefault="003861F2" w:rsidP="00807D25">
            <w:pPr>
              <w:pStyle w:val="Tabletext"/>
              <w:jc w:val="right"/>
              <w:rPr>
                <w:lang w:val="ru-RU" w:eastAsia="en-GB"/>
              </w:rPr>
            </w:pPr>
          </w:p>
        </w:tc>
        <w:tc>
          <w:tcPr>
            <w:tcW w:w="354" w:type="pct"/>
            <w:tcBorders>
              <w:top w:val="nil"/>
              <w:left w:val="nil"/>
              <w:bottom w:val="nil"/>
              <w:right w:val="nil"/>
            </w:tcBorders>
            <w:shd w:val="clear" w:color="auto" w:fill="auto"/>
            <w:noWrap/>
            <w:vAlign w:val="bottom"/>
          </w:tcPr>
          <w:p w14:paraId="427D6EE2" w14:textId="7B11893F" w:rsidR="003861F2" w:rsidRPr="00521670" w:rsidRDefault="003861F2" w:rsidP="00807D25">
            <w:pPr>
              <w:pStyle w:val="Tabletext"/>
              <w:jc w:val="right"/>
              <w:rPr>
                <w:b/>
                <w:bCs/>
                <w:color w:val="000000"/>
                <w:lang w:val="ru-RU" w:eastAsia="en-GB"/>
              </w:rPr>
            </w:pPr>
            <w:r w:rsidRPr="00521670">
              <w:rPr>
                <w:b/>
                <w:bCs/>
                <w:lang w:val="ru-RU"/>
              </w:rPr>
              <w:t>3 537</w:t>
            </w:r>
          </w:p>
        </w:tc>
      </w:tr>
      <w:tr w:rsidR="003861F2" w:rsidRPr="00521670" w14:paraId="120859AB" w14:textId="77777777" w:rsidTr="00602C19">
        <w:tc>
          <w:tcPr>
            <w:tcW w:w="1386" w:type="pct"/>
            <w:tcBorders>
              <w:top w:val="nil"/>
              <w:left w:val="nil"/>
              <w:bottom w:val="nil"/>
              <w:right w:val="nil"/>
            </w:tcBorders>
            <w:shd w:val="clear" w:color="auto" w:fill="auto"/>
            <w:hideMark/>
          </w:tcPr>
          <w:p w14:paraId="4CB3F4D3" w14:textId="77777777" w:rsidR="003861F2" w:rsidRPr="00521670" w:rsidRDefault="003861F2" w:rsidP="003861F2">
            <w:pPr>
              <w:pStyle w:val="Tabletext"/>
              <w:rPr>
                <w:color w:val="000000"/>
                <w:lang w:val="ru-RU" w:eastAsia="en-GB"/>
              </w:rPr>
            </w:pPr>
            <w:r w:rsidRPr="00521670">
              <w:rPr>
                <w:color w:val="000000"/>
                <w:lang w:val="ru-RU" w:eastAsia="en-GB"/>
              </w:rPr>
              <w:t>Оборудование и предметы снабжения</w:t>
            </w:r>
          </w:p>
        </w:tc>
        <w:tc>
          <w:tcPr>
            <w:tcW w:w="471" w:type="pct"/>
            <w:tcBorders>
              <w:top w:val="nil"/>
              <w:left w:val="nil"/>
              <w:bottom w:val="nil"/>
              <w:right w:val="nil"/>
            </w:tcBorders>
            <w:shd w:val="clear" w:color="auto" w:fill="auto"/>
            <w:noWrap/>
          </w:tcPr>
          <w:p w14:paraId="2EC417B3" w14:textId="63776AA4" w:rsidR="003861F2" w:rsidRPr="00521670" w:rsidRDefault="003861F2" w:rsidP="003861F2">
            <w:pPr>
              <w:pStyle w:val="Tabletext"/>
              <w:jc w:val="right"/>
              <w:rPr>
                <w:lang w:val="ru-RU" w:eastAsia="en-GB"/>
              </w:rPr>
            </w:pPr>
            <w:r w:rsidRPr="00521670">
              <w:rPr>
                <w:lang w:val="ru-RU"/>
              </w:rPr>
              <w:t>1 431</w:t>
            </w:r>
          </w:p>
        </w:tc>
        <w:tc>
          <w:tcPr>
            <w:tcW w:w="316" w:type="pct"/>
            <w:tcBorders>
              <w:top w:val="nil"/>
              <w:left w:val="nil"/>
              <w:bottom w:val="nil"/>
              <w:right w:val="nil"/>
            </w:tcBorders>
            <w:shd w:val="clear" w:color="auto" w:fill="auto"/>
            <w:noWrap/>
          </w:tcPr>
          <w:p w14:paraId="33CDE7B9" w14:textId="09D9AA14" w:rsidR="003861F2" w:rsidRPr="00521670" w:rsidRDefault="003861F2" w:rsidP="003861F2">
            <w:pPr>
              <w:pStyle w:val="Tabletext"/>
              <w:jc w:val="right"/>
              <w:rPr>
                <w:lang w:val="ru-RU" w:eastAsia="en-GB"/>
              </w:rPr>
            </w:pPr>
            <w:r w:rsidRPr="00521670">
              <w:rPr>
                <w:lang w:val="ru-RU"/>
              </w:rPr>
              <w:t>411</w:t>
            </w:r>
          </w:p>
        </w:tc>
        <w:tc>
          <w:tcPr>
            <w:tcW w:w="316" w:type="pct"/>
            <w:tcBorders>
              <w:top w:val="nil"/>
              <w:left w:val="nil"/>
              <w:bottom w:val="nil"/>
              <w:right w:val="nil"/>
            </w:tcBorders>
            <w:shd w:val="clear" w:color="auto" w:fill="auto"/>
            <w:noWrap/>
          </w:tcPr>
          <w:p w14:paraId="7D3F78CC" w14:textId="0F66F62E" w:rsidR="003861F2" w:rsidRPr="00521670" w:rsidRDefault="003861F2" w:rsidP="003861F2">
            <w:pPr>
              <w:pStyle w:val="Tabletext"/>
              <w:jc w:val="right"/>
              <w:rPr>
                <w:lang w:val="ru-RU" w:eastAsia="en-GB"/>
              </w:rPr>
            </w:pPr>
            <w:r w:rsidRPr="00521670">
              <w:rPr>
                <w:lang w:val="ru-RU"/>
              </w:rPr>
              <w:t>137</w:t>
            </w:r>
          </w:p>
        </w:tc>
        <w:tc>
          <w:tcPr>
            <w:tcW w:w="317" w:type="pct"/>
            <w:tcBorders>
              <w:top w:val="nil"/>
              <w:left w:val="nil"/>
              <w:bottom w:val="nil"/>
              <w:right w:val="nil"/>
            </w:tcBorders>
            <w:shd w:val="clear" w:color="auto" w:fill="auto"/>
            <w:noWrap/>
          </w:tcPr>
          <w:p w14:paraId="070A2D16" w14:textId="7913EA65" w:rsidR="003861F2" w:rsidRPr="00521670" w:rsidRDefault="003861F2" w:rsidP="003861F2">
            <w:pPr>
              <w:pStyle w:val="Tabletext"/>
              <w:jc w:val="right"/>
              <w:rPr>
                <w:lang w:val="ru-RU" w:eastAsia="en-GB"/>
              </w:rPr>
            </w:pPr>
            <w:r w:rsidRPr="00521670">
              <w:rPr>
                <w:lang w:val="ru-RU"/>
              </w:rPr>
              <w:t>302</w:t>
            </w:r>
          </w:p>
        </w:tc>
        <w:tc>
          <w:tcPr>
            <w:tcW w:w="433" w:type="pct"/>
            <w:tcBorders>
              <w:top w:val="nil"/>
              <w:left w:val="nil"/>
              <w:bottom w:val="nil"/>
              <w:right w:val="nil"/>
            </w:tcBorders>
            <w:shd w:val="clear" w:color="auto" w:fill="auto"/>
            <w:noWrap/>
          </w:tcPr>
          <w:p w14:paraId="2C706BF3" w14:textId="4DC2BBE6" w:rsidR="003861F2" w:rsidRPr="00521670" w:rsidRDefault="003861F2" w:rsidP="003861F2">
            <w:pPr>
              <w:pStyle w:val="Tabletext"/>
              <w:jc w:val="right"/>
              <w:rPr>
                <w:b/>
                <w:bCs/>
                <w:lang w:val="ru-RU" w:eastAsia="en-GB"/>
              </w:rPr>
            </w:pPr>
            <w:r w:rsidRPr="00521670">
              <w:rPr>
                <w:b/>
                <w:bCs/>
                <w:lang w:val="ru-RU"/>
              </w:rPr>
              <w:t>2 281</w:t>
            </w:r>
          </w:p>
        </w:tc>
        <w:tc>
          <w:tcPr>
            <w:tcW w:w="303" w:type="pct"/>
            <w:tcBorders>
              <w:top w:val="nil"/>
              <w:left w:val="nil"/>
              <w:bottom w:val="nil"/>
              <w:right w:val="nil"/>
            </w:tcBorders>
          </w:tcPr>
          <w:p w14:paraId="40DB61AC" w14:textId="60D418AA" w:rsidR="003861F2" w:rsidRPr="00521670" w:rsidRDefault="003861F2" w:rsidP="003861F2">
            <w:pPr>
              <w:pStyle w:val="Tabletext"/>
              <w:jc w:val="right"/>
              <w:rPr>
                <w:rFonts w:ascii="Times New Roman" w:hAnsi="Times New Roman"/>
                <w:lang w:val="ru-RU" w:eastAsia="en-GB"/>
              </w:rPr>
            </w:pPr>
            <w:r w:rsidRPr="00521670">
              <w:rPr>
                <w:lang w:val="ru-RU"/>
              </w:rPr>
              <w:t>10</w:t>
            </w:r>
          </w:p>
        </w:tc>
        <w:tc>
          <w:tcPr>
            <w:tcW w:w="303" w:type="pct"/>
            <w:tcBorders>
              <w:top w:val="nil"/>
              <w:left w:val="nil"/>
              <w:bottom w:val="nil"/>
              <w:right w:val="nil"/>
            </w:tcBorders>
            <w:shd w:val="clear" w:color="auto" w:fill="auto"/>
            <w:noWrap/>
            <w:vAlign w:val="bottom"/>
          </w:tcPr>
          <w:p w14:paraId="6FEA23A3" w14:textId="20B9C7D9" w:rsidR="003861F2" w:rsidRPr="00521670" w:rsidRDefault="003861F2" w:rsidP="003861F2">
            <w:pPr>
              <w:pStyle w:val="Tabletext"/>
              <w:jc w:val="right"/>
              <w:rPr>
                <w:lang w:val="ru-RU" w:eastAsia="en-GB"/>
              </w:rPr>
            </w:pPr>
          </w:p>
        </w:tc>
        <w:tc>
          <w:tcPr>
            <w:tcW w:w="409" w:type="pct"/>
            <w:tcBorders>
              <w:top w:val="nil"/>
              <w:left w:val="nil"/>
              <w:bottom w:val="nil"/>
              <w:right w:val="nil"/>
            </w:tcBorders>
            <w:shd w:val="clear" w:color="auto" w:fill="auto"/>
            <w:noWrap/>
          </w:tcPr>
          <w:p w14:paraId="046626AB" w14:textId="6D35FD9D" w:rsidR="003861F2" w:rsidRPr="00521670" w:rsidRDefault="003861F2" w:rsidP="003861F2">
            <w:pPr>
              <w:pStyle w:val="Tabletext"/>
              <w:jc w:val="right"/>
              <w:rPr>
                <w:lang w:val="ru-RU" w:eastAsia="en-GB"/>
              </w:rPr>
            </w:pPr>
            <w:r w:rsidRPr="00521670">
              <w:rPr>
                <w:lang w:val="ru-RU"/>
              </w:rPr>
              <w:t>860</w:t>
            </w:r>
          </w:p>
        </w:tc>
        <w:tc>
          <w:tcPr>
            <w:tcW w:w="391" w:type="pct"/>
            <w:tcBorders>
              <w:top w:val="nil"/>
              <w:left w:val="nil"/>
              <w:bottom w:val="nil"/>
              <w:right w:val="nil"/>
            </w:tcBorders>
            <w:shd w:val="clear" w:color="auto" w:fill="auto"/>
            <w:noWrap/>
            <w:vAlign w:val="bottom"/>
          </w:tcPr>
          <w:p w14:paraId="5DE62ABD"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62026C79" w14:textId="6ACB1D23" w:rsidR="003861F2" w:rsidRPr="00521670" w:rsidRDefault="003861F2" w:rsidP="003861F2">
            <w:pPr>
              <w:pStyle w:val="Tabletext"/>
              <w:jc w:val="right"/>
              <w:rPr>
                <w:b/>
                <w:bCs/>
                <w:color w:val="000000"/>
                <w:lang w:val="ru-RU" w:eastAsia="en-GB"/>
              </w:rPr>
            </w:pPr>
            <w:r w:rsidRPr="00521670">
              <w:rPr>
                <w:b/>
                <w:bCs/>
                <w:lang w:val="ru-RU"/>
              </w:rPr>
              <w:t>3 150</w:t>
            </w:r>
          </w:p>
        </w:tc>
      </w:tr>
      <w:tr w:rsidR="003861F2" w:rsidRPr="00521670" w14:paraId="3CBFEB99" w14:textId="77777777" w:rsidTr="00602C19">
        <w:tc>
          <w:tcPr>
            <w:tcW w:w="1386" w:type="pct"/>
            <w:tcBorders>
              <w:top w:val="nil"/>
              <w:left w:val="nil"/>
              <w:bottom w:val="nil"/>
              <w:right w:val="nil"/>
            </w:tcBorders>
            <w:shd w:val="clear" w:color="auto" w:fill="auto"/>
            <w:hideMark/>
          </w:tcPr>
          <w:p w14:paraId="6564A453" w14:textId="77777777" w:rsidR="003861F2" w:rsidRPr="00521670" w:rsidRDefault="003861F2" w:rsidP="003861F2">
            <w:pPr>
              <w:pStyle w:val="Tabletext"/>
              <w:rPr>
                <w:color w:val="000000"/>
                <w:lang w:val="ru-RU" w:eastAsia="en-GB"/>
              </w:rPr>
            </w:pPr>
            <w:r w:rsidRPr="00521670">
              <w:rPr>
                <w:color w:val="000000"/>
                <w:lang w:val="ru-RU" w:eastAsia="en-GB"/>
              </w:rPr>
              <w:t>Амортизация</w:t>
            </w:r>
          </w:p>
        </w:tc>
        <w:tc>
          <w:tcPr>
            <w:tcW w:w="471" w:type="pct"/>
            <w:tcBorders>
              <w:top w:val="nil"/>
              <w:left w:val="nil"/>
              <w:bottom w:val="nil"/>
              <w:right w:val="nil"/>
            </w:tcBorders>
            <w:shd w:val="clear" w:color="auto" w:fill="auto"/>
            <w:noWrap/>
          </w:tcPr>
          <w:p w14:paraId="6100EEA0" w14:textId="77430571" w:rsidR="003861F2" w:rsidRPr="00521670" w:rsidRDefault="003861F2" w:rsidP="003861F2">
            <w:pPr>
              <w:pStyle w:val="Tabletext"/>
              <w:jc w:val="right"/>
              <w:rPr>
                <w:lang w:val="ru-RU" w:eastAsia="en-GB"/>
              </w:rPr>
            </w:pPr>
            <w:r w:rsidRPr="00521670">
              <w:rPr>
                <w:lang w:val="ru-RU"/>
              </w:rPr>
              <w:t>3 080</w:t>
            </w:r>
          </w:p>
        </w:tc>
        <w:tc>
          <w:tcPr>
            <w:tcW w:w="316" w:type="pct"/>
            <w:tcBorders>
              <w:top w:val="nil"/>
              <w:left w:val="nil"/>
              <w:bottom w:val="nil"/>
              <w:right w:val="nil"/>
            </w:tcBorders>
            <w:shd w:val="clear" w:color="auto" w:fill="auto"/>
            <w:noWrap/>
          </w:tcPr>
          <w:p w14:paraId="7BCF4E3B" w14:textId="7E5E64EE" w:rsidR="003861F2" w:rsidRPr="00521670" w:rsidRDefault="003861F2" w:rsidP="003861F2">
            <w:pPr>
              <w:pStyle w:val="Tabletext"/>
              <w:jc w:val="right"/>
              <w:rPr>
                <w:lang w:val="ru-RU" w:eastAsia="en-GB"/>
              </w:rPr>
            </w:pPr>
            <w:r w:rsidRPr="00521670">
              <w:rPr>
                <w:lang w:val="ru-RU"/>
              </w:rPr>
              <w:t>1 111</w:t>
            </w:r>
          </w:p>
        </w:tc>
        <w:tc>
          <w:tcPr>
            <w:tcW w:w="316" w:type="pct"/>
            <w:tcBorders>
              <w:top w:val="nil"/>
              <w:left w:val="nil"/>
              <w:bottom w:val="nil"/>
              <w:right w:val="nil"/>
            </w:tcBorders>
            <w:shd w:val="clear" w:color="auto" w:fill="auto"/>
            <w:noWrap/>
          </w:tcPr>
          <w:p w14:paraId="5AF93308" w14:textId="7BFF0817" w:rsidR="003861F2" w:rsidRPr="00521670" w:rsidRDefault="003861F2" w:rsidP="003861F2">
            <w:pPr>
              <w:pStyle w:val="Tabletext"/>
              <w:jc w:val="right"/>
              <w:rPr>
                <w:lang w:val="ru-RU" w:eastAsia="en-GB"/>
              </w:rPr>
            </w:pPr>
            <w:r w:rsidRPr="00521670">
              <w:rPr>
                <w:lang w:val="ru-RU"/>
              </w:rPr>
              <w:t>438</w:t>
            </w:r>
          </w:p>
        </w:tc>
        <w:tc>
          <w:tcPr>
            <w:tcW w:w="317" w:type="pct"/>
            <w:tcBorders>
              <w:top w:val="nil"/>
              <w:left w:val="nil"/>
              <w:bottom w:val="nil"/>
              <w:right w:val="nil"/>
            </w:tcBorders>
            <w:shd w:val="clear" w:color="auto" w:fill="auto"/>
            <w:noWrap/>
          </w:tcPr>
          <w:p w14:paraId="25278EA7" w14:textId="0C142160" w:rsidR="003861F2" w:rsidRPr="00521670" w:rsidRDefault="003861F2" w:rsidP="003861F2">
            <w:pPr>
              <w:pStyle w:val="Tabletext"/>
              <w:jc w:val="right"/>
              <w:rPr>
                <w:lang w:val="ru-RU" w:eastAsia="en-GB"/>
              </w:rPr>
            </w:pPr>
            <w:r w:rsidRPr="00521670">
              <w:rPr>
                <w:lang w:val="ru-RU"/>
              </w:rPr>
              <w:t>884</w:t>
            </w:r>
          </w:p>
        </w:tc>
        <w:tc>
          <w:tcPr>
            <w:tcW w:w="433" w:type="pct"/>
            <w:tcBorders>
              <w:top w:val="nil"/>
              <w:left w:val="nil"/>
              <w:bottom w:val="nil"/>
              <w:right w:val="nil"/>
            </w:tcBorders>
            <w:shd w:val="clear" w:color="auto" w:fill="auto"/>
            <w:noWrap/>
          </w:tcPr>
          <w:p w14:paraId="799860D9" w14:textId="42AF366E" w:rsidR="003861F2" w:rsidRPr="00521670" w:rsidRDefault="003861F2" w:rsidP="003861F2">
            <w:pPr>
              <w:pStyle w:val="Tabletext"/>
              <w:jc w:val="right"/>
              <w:rPr>
                <w:b/>
                <w:bCs/>
                <w:lang w:val="ru-RU" w:eastAsia="en-GB"/>
              </w:rPr>
            </w:pPr>
            <w:r w:rsidRPr="00521670">
              <w:rPr>
                <w:b/>
                <w:bCs/>
                <w:lang w:val="ru-RU"/>
              </w:rPr>
              <w:t>5 514</w:t>
            </w:r>
          </w:p>
        </w:tc>
        <w:tc>
          <w:tcPr>
            <w:tcW w:w="303" w:type="pct"/>
            <w:tcBorders>
              <w:top w:val="nil"/>
              <w:left w:val="nil"/>
              <w:bottom w:val="nil"/>
              <w:right w:val="nil"/>
            </w:tcBorders>
          </w:tcPr>
          <w:p w14:paraId="74255D30" w14:textId="43C321ED" w:rsidR="003861F2" w:rsidRPr="00521670" w:rsidRDefault="003861F2" w:rsidP="003861F2">
            <w:pPr>
              <w:pStyle w:val="Tabletext"/>
              <w:jc w:val="right"/>
              <w:rPr>
                <w:rFonts w:ascii="Times New Roman" w:hAnsi="Times New Roman"/>
                <w:lang w:val="ru-RU" w:eastAsia="en-GB"/>
              </w:rPr>
            </w:pPr>
            <w:r w:rsidRPr="00521670">
              <w:rPr>
                <w:lang w:val="ru-RU"/>
              </w:rPr>
              <w:t>7</w:t>
            </w:r>
          </w:p>
        </w:tc>
        <w:tc>
          <w:tcPr>
            <w:tcW w:w="303" w:type="pct"/>
            <w:tcBorders>
              <w:top w:val="nil"/>
              <w:left w:val="nil"/>
              <w:bottom w:val="nil"/>
              <w:right w:val="nil"/>
            </w:tcBorders>
            <w:shd w:val="clear" w:color="auto" w:fill="auto"/>
            <w:noWrap/>
            <w:vAlign w:val="bottom"/>
          </w:tcPr>
          <w:p w14:paraId="65C87046" w14:textId="12348D34" w:rsidR="003861F2" w:rsidRPr="00521670" w:rsidRDefault="003861F2" w:rsidP="003861F2">
            <w:pPr>
              <w:pStyle w:val="Tabletext"/>
              <w:jc w:val="right"/>
              <w:rPr>
                <w:lang w:val="ru-RU" w:eastAsia="en-GB"/>
              </w:rPr>
            </w:pPr>
          </w:p>
        </w:tc>
        <w:tc>
          <w:tcPr>
            <w:tcW w:w="409" w:type="pct"/>
            <w:tcBorders>
              <w:top w:val="nil"/>
              <w:left w:val="nil"/>
              <w:bottom w:val="nil"/>
              <w:right w:val="nil"/>
            </w:tcBorders>
            <w:shd w:val="clear" w:color="auto" w:fill="auto"/>
            <w:noWrap/>
          </w:tcPr>
          <w:p w14:paraId="5588089E" w14:textId="4B4F6932" w:rsidR="003861F2" w:rsidRPr="00521670" w:rsidRDefault="003861F2" w:rsidP="003861F2">
            <w:pPr>
              <w:pStyle w:val="Tabletext"/>
              <w:jc w:val="right"/>
              <w:rPr>
                <w:lang w:val="ru-RU" w:eastAsia="en-GB"/>
              </w:rPr>
            </w:pPr>
            <w:r w:rsidRPr="00521670">
              <w:rPr>
                <w:lang w:val="ru-RU"/>
              </w:rPr>
              <w:t>139</w:t>
            </w:r>
          </w:p>
        </w:tc>
        <w:tc>
          <w:tcPr>
            <w:tcW w:w="391" w:type="pct"/>
            <w:tcBorders>
              <w:top w:val="nil"/>
              <w:left w:val="nil"/>
              <w:bottom w:val="nil"/>
              <w:right w:val="nil"/>
            </w:tcBorders>
            <w:shd w:val="clear" w:color="auto" w:fill="auto"/>
            <w:noWrap/>
            <w:vAlign w:val="bottom"/>
          </w:tcPr>
          <w:p w14:paraId="5EBF7169"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716EA514" w14:textId="0D29AD3F" w:rsidR="003861F2" w:rsidRPr="00521670" w:rsidRDefault="003861F2" w:rsidP="003861F2">
            <w:pPr>
              <w:pStyle w:val="Tabletext"/>
              <w:jc w:val="right"/>
              <w:rPr>
                <w:b/>
                <w:bCs/>
                <w:color w:val="000000"/>
                <w:lang w:val="ru-RU" w:eastAsia="en-GB"/>
              </w:rPr>
            </w:pPr>
            <w:r w:rsidRPr="00521670">
              <w:rPr>
                <w:b/>
                <w:bCs/>
                <w:lang w:val="ru-RU"/>
              </w:rPr>
              <w:t>5 660</w:t>
            </w:r>
          </w:p>
        </w:tc>
      </w:tr>
      <w:tr w:rsidR="003861F2" w:rsidRPr="00521670" w14:paraId="7DF4DFE5" w14:textId="77777777" w:rsidTr="00602C19">
        <w:tc>
          <w:tcPr>
            <w:tcW w:w="1386" w:type="pct"/>
            <w:tcBorders>
              <w:top w:val="nil"/>
              <w:left w:val="nil"/>
              <w:bottom w:val="nil"/>
              <w:right w:val="nil"/>
            </w:tcBorders>
            <w:shd w:val="clear" w:color="auto" w:fill="auto"/>
            <w:hideMark/>
          </w:tcPr>
          <w:p w14:paraId="29BE25D3" w14:textId="77777777" w:rsidR="003861F2" w:rsidRPr="00521670" w:rsidRDefault="003861F2" w:rsidP="003861F2">
            <w:pPr>
              <w:pStyle w:val="Tabletext"/>
              <w:rPr>
                <w:color w:val="000000"/>
                <w:lang w:val="ru-RU" w:eastAsia="en-GB"/>
              </w:rPr>
            </w:pPr>
            <w:r w:rsidRPr="00521670">
              <w:rPr>
                <w:color w:val="000000"/>
                <w:lang w:val="ru-RU" w:eastAsia="en-GB"/>
              </w:rPr>
              <w:t>Расходы по перевозке, электросвязи и услугам</w:t>
            </w:r>
          </w:p>
        </w:tc>
        <w:tc>
          <w:tcPr>
            <w:tcW w:w="471" w:type="pct"/>
            <w:tcBorders>
              <w:top w:val="nil"/>
              <w:left w:val="nil"/>
              <w:bottom w:val="nil"/>
              <w:right w:val="nil"/>
            </w:tcBorders>
            <w:shd w:val="clear" w:color="auto" w:fill="auto"/>
            <w:noWrap/>
          </w:tcPr>
          <w:p w14:paraId="7EBDCFF0" w14:textId="6134C785" w:rsidR="003861F2" w:rsidRPr="00521670" w:rsidRDefault="003861F2" w:rsidP="003861F2">
            <w:pPr>
              <w:pStyle w:val="Tabletext"/>
              <w:jc w:val="right"/>
              <w:rPr>
                <w:lang w:val="ru-RU" w:eastAsia="en-GB"/>
              </w:rPr>
            </w:pPr>
            <w:r w:rsidRPr="00521670">
              <w:rPr>
                <w:lang w:val="ru-RU"/>
              </w:rPr>
              <w:t>2 368</w:t>
            </w:r>
          </w:p>
        </w:tc>
        <w:tc>
          <w:tcPr>
            <w:tcW w:w="316" w:type="pct"/>
            <w:tcBorders>
              <w:top w:val="nil"/>
              <w:left w:val="nil"/>
              <w:bottom w:val="nil"/>
              <w:right w:val="nil"/>
            </w:tcBorders>
            <w:shd w:val="clear" w:color="auto" w:fill="auto"/>
            <w:noWrap/>
          </w:tcPr>
          <w:p w14:paraId="52DF248B" w14:textId="0652E9FD" w:rsidR="003861F2" w:rsidRPr="00521670" w:rsidRDefault="003861F2" w:rsidP="003861F2">
            <w:pPr>
              <w:pStyle w:val="Tabletext"/>
              <w:jc w:val="right"/>
              <w:rPr>
                <w:lang w:val="ru-RU" w:eastAsia="en-GB"/>
              </w:rPr>
            </w:pPr>
            <w:r w:rsidRPr="00521670">
              <w:rPr>
                <w:lang w:val="ru-RU"/>
              </w:rPr>
              <w:t>92</w:t>
            </w:r>
          </w:p>
        </w:tc>
        <w:tc>
          <w:tcPr>
            <w:tcW w:w="316" w:type="pct"/>
            <w:tcBorders>
              <w:top w:val="nil"/>
              <w:left w:val="nil"/>
              <w:bottom w:val="nil"/>
              <w:right w:val="nil"/>
            </w:tcBorders>
            <w:shd w:val="clear" w:color="auto" w:fill="auto"/>
            <w:noWrap/>
          </w:tcPr>
          <w:p w14:paraId="5589DA29" w14:textId="01E66234" w:rsidR="003861F2" w:rsidRPr="00521670" w:rsidRDefault="003861F2" w:rsidP="003861F2">
            <w:pPr>
              <w:pStyle w:val="Tabletext"/>
              <w:jc w:val="right"/>
              <w:rPr>
                <w:lang w:val="ru-RU" w:eastAsia="en-GB"/>
              </w:rPr>
            </w:pPr>
            <w:r w:rsidRPr="00521670">
              <w:rPr>
                <w:lang w:val="ru-RU"/>
              </w:rPr>
              <w:t>40</w:t>
            </w:r>
          </w:p>
        </w:tc>
        <w:tc>
          <w:tcPr>
            <w:tcW w:w="317" w:type="pct"/>
            <w:tcBorders>
              <w:top w:val="nil"/>
              <w:left w:val="nil"/>
              <w:bottom w:val="nil"/>
              <w:right w:val="nil"/>
            </w:tcBorders>
            <w:shd w:val="clear" w:color="auto" w:fill="auto"/>
            <w:noWrap/>
          </w:tcPr>
          <w:p w14:paraId="248345CA" w14:textId="7B511CF0" w:rsidR="003861F2" w:rsidRPr="00521670" w:rsidRDefault="003861F2" w:rsidP="003861F2">
            <w:pPr>
              <w:pStyle w:val="Tabletext"/>
              <w:jc w:val="right"/>
              <w:rPr>
                <w:lang w:val="ru-RU" w:eastAsia="en-GB"/>
              </w:rPr>
            </w:pPr>
            <w:r w:rsidRPr="00521670">
              <w:rPr>
                <w:lang w:val="ru-RU"/>
              </w:rPr>
              <w:t>130</w:t>
            </w:r>
          </w:p>
        </w:tc>
        <w:tc>
          <w:tcPr>
            <w:tcW w:w="433" w:type="pct"/>
            <w:tcBorders>
              <w:top w:val="nil"/>
              <w:left w:val="nil"/>
              <w:bottom w:val="nil"/>
              <w:right w:val="nil"/>
            </w:tcBorders>
            <w:shd w:val="clear" w:color="auto" w:fill="auto"/>
            <w:noWrap/>
          </w:tcPr>
          <w:p w14:paraId="5B1929A0" w14:textId="56C7E590" w:rsidR="003861F2" w:rsidRPr="00521670" w:rsidRDefault="003861F2" w:rsidP="003861F2">
            <w:pPr>
              <w:pStyle w:val="Tabletext"/>
              <w:jc w:val="right"/>
              <w:rPr>
                <w:b/>
                <w:bCs/>
                <w:lang w:val="ru-RU" w:eastAsia="en-GB"/>
              </w:rPr>
            </w:pPr>
            <w:r w:rsidRPr="00521670">
              <w:rPr>
                <w:b/>
                <w:bCs/>
                <w:lang w:val="ru-RU"/>
              </w:rPr>
              <w:t>2 630</w:t>
            </w:r>
          </w:p>
        </w:tc>
        <w:tc>
          <w:tcPr>
            <w:tcW w:w="303" w:type="pct"/>
            <w:tcBorders>
              <w:top w:val="nil"/>
              <w:left w:val="nil"/>
              <w:bottom w:val="nil"/>
              <w:right w:val="nil"/>
            </w:tcBorders>
          </w:tcPr>
          <w:p w14:paraId="1664E982" w14:textId="77777777" w:rsidR="003861F2" w:rsidRPr="00521670" w:rsidRDefault="003861F2" w:rsidP="003861F2">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6F5ED7C2" w14:textId="0519AE4E"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24881840" w14:textId="40837210" w:rsidR="003861F2" w:rsidRPr="00521670" w:rsidRDefault="003861F2" w:rsidP="003861F2">
            <w:pPr>
              <w:pStyle w:val="Tabletext"/>
              <w:jc w:val="right"/>
              <w:rPr>
                <w:lang w:val="ru-RU" w:eastAsia="en-GB"/>
              </w:rPr>
            </w:pPr>
            <w:r w:rsidRPr="00521670">
              <w:rPr>
                <w:lang w:val="ru-RU"/>
              </w:rPr>
              <w:t>43</w:t>
            </w:r>
          </w:p>
        </w:tc>
        <w:tc>
          <w:tcPr>
            <w:tcW w:w="391" w:type="pct"/>
            <w:tcBorders>
              <w:top w:val="nil"/>
              <w:left w:val="nil"/>
              <w:bottom w:val="nil"/>
              <w:right w:val="nil"/>
            </w:tcBorders>
            <w:shd w:val="clear" w:color="auto" w:fill="auto"/>
            <w:noWrap/>
            <w:vAlign w:val="bottom"/>
          </w:tcPr>
          <w:p w14:paraId="141722F3" w14:textId="77777777" w:rsidR="003861F2" w:rsidRPr="00521670" w:rsidRDefault="003861F2" w:rsidP="003861F2">
            <w:pPr>
              <w:pStyle w:val="Tabletext"/>
              <w:jc w:val="right"/>
              <w:rPr>
                <w:lang w:val="ru-RU" w:eastAsia="en-GB"/>
              </w:rPr>
            </w:pPr>
          </w:p>
        </w:tc>
        <w:tc>
          <w:tcPr>
            <w:tcW w:w="354" w:type="pct"/>
            <w:tcBorders>
              <w:top w:val="nil"/>
              <w:left w:val="nil"/>
              <w:bottom w:val="nil"/>
              <w:right w:val="nil"/>
            </w:tcBorders>
            <w:shd w:val="clear" w:color="auto" w:fill="auto"/>
            <w:noWrap/>
          </w:tcPr>
          <w:p w14:paraId="56A473A2" w14:textId="12E80229" w:rsidR="003861F2" w:rsidRPr="00521670" w:rsidRDefault="003861F2" w:rsidP="003861F2">
            <w:pPr>
              <w:pStyle w:val="Tabletext"/>
              <w:jc w:val="right"/>
              <w:rPr>
                <w:b/>
                <w:bCs/>
                <w:color w:val="000000"/>
                <w:lang w:val="ru-RU" w:eastAsia="en-GB"/>
              </w:rPr>
            </w:pPr>
            <w:r w:rsidRPr="00521670">
              <w:rPr>
                <w:b/>
                <w:bCs/>
                <w:lang w:val="ru-RU"/>
              </w:rPr>
              <w:t>2 673</w:t>
            </w:r>
          </w:p>
        </w:tc>
      </w:tr>
      <w:tr w:rsidR="003861F2" w:rsidRPr="00521670" w14:paraId="29AB3C02" w14:textId="77777777" w:rsidTr="00602C19">
        <w:tc>
          <w:tcPr>
            <w:tcW w:w="1386" w:type="pct"/>
            <w:tcBorders>
              <w:top w:val="nil"/>
              <w:left w:val="nil"/>
              <w:bottom w:val="nil"/>
              <w:right w:val="nil"/>
            </w:tcBorders>
            <w:shd w:val="clear" w:color="auto" w:fill="auto"/>
            <w:hideMark/>
          </w:tcPr>
          <w:p w14:paraId="1F7D7FE3" w14:textId="77777777" w:rsidR="003861F2" w:rsidRPr="00521670" w:rsidRDefault="003861F2" w:rsidP="003861F2">
            <w:pPr>
              <w:pStyle w:val="Tabletext"/>
              <w:rPr>
                <w:color w:val="000000"/>
                <w:lang w:val="ru-RU" w:eastAsia="en-GB"/>
              </w:rPr>
            </w:pPr>
            <w:r w:rsidRPr="00521670">
              <w:rPr>
                <w:color w:val="000000"/>
                <w:lang w:val="ru-RU" w:eastAsia="en-GB"/>
              </w:rPr>
              <w:t>Прочие расходы</w:t>
            </w:r>
          </w:p>
        </w:tc>
        <w:tc>
          <w:tcPr>
            <w:tcW w:w="471" w:type="pct"/>
            <w:tcBorders>
              <w:top w:val="nil"/>
              <w:left w:val="nil"/>
              <w:bottom w:val="nil"/>
              <w:right w:val="nil"/>
            </w:tcBorders>
            <w:shd w:val="clear" w:color="auto" w:fill="auto"/>
            <w:noWrap/>
          </w:tcPr>
          <w:p w14:paraId="2C9FE090" w14:textId="40D722BE" w:rsidR="003861F2" w:rsidRPr="00521670" w:rsidRDefault="003861F2" w:rsidP="003861F2">
            <w:pPr>
              <w:pStyle w:val="Tabletext"/>
              <w:jc w:val="right"/>
              <w:rPr>
                <w:lang w:val="ru-RU" w:eastAsia="en-GB"/>
              </w:rPr>
            </w:pPr>
            <w:r w:rsidRPr="00521670">
              <w:rPr>
                <w:lang w:val="ru-RU"/>
              </w:rPr>
              <w:t>638</w:t>
            </w:r>
          </w:p>
        </w:tc>
        <w:tc>
          <w:tcPr>
            <w:tcW w:w="316" w:type="pct"/>
            <w:tcBorders>
              <w:top w:val="nil"/>
              <w:left w:val="nil"/>
              <w:bottom w:val="nil"/>
              <w:right w:val="nil"/>
            </w:tcBorders>
            <w:shd w:val="clear" w:color="auto" w:fill="auto"/>
            <w:noWrap/>
          </w:tcPr>
          <w:p w14:paraId="0C76B787" w14:textId="35E73533" w:rsidR="003861F2" w:rsidRPr="00521670" w:rsidRDefault="003861F2" w:rsidP="003861F2">
            <w:pPr>
              <w:pStyle w:val="Tabletext"/>
              <w:jc w:val="right"/>
              <w:rPr>
                <w:lang w:val="ru-RU" w:eastAsia="en-GB"/>
              </w:rPr>
            </w:pPr>
            <w:r w:rsidRPr="00521670">
              <w:rPr>
                <w:lang w:val="ru-RU"/>
              </w:rPr>
              <w:t>170</w:t>
            </w:r>
          </w:p>
        </w:tc>
        <w:tc>
          <w:tcPr>
            <w:tcW w:w="316" w:type="pct"/>
            <w:tcBorders>
              <w:top w:val="nil"/>
              <w:left w:val="nil"/>
              <w:bottom w:val="nil"/>
              <w:right w:val="nil"/>
            </w:tcBorders>
            <w:shd w:val="clear" w:color="auto" w:fill="auto"/>
            <w:noWrap/>
          </w:tcPr>
          <w:p w14:paraId="416B66E5" w14:textId="7E522480" w:rsidR="003861F2" w:rsidRPr="00521670" w:rsidRDefault="003861F2" w:rsidP="003861F2">
            <w:pPr>
              <w:pStyle w:val="Tabletext"/>
              <w:jc w:val="right"/>
              <w:rPr>
                <w:lang w:val="ru-RU" w:eastAsia="en-GB"/>
              </w:rPr>
            </w:pPr>
            <w:r w:rsidRPr="00521670">
              <w:rPr>
                <w:lang w:val="ru-RU"/>
              </w:rPr>
              <w:t>67</w:t>
            </w:r>
          </w:p>
        </w:tc>
        <w:tc>
          <w:tcPr>
            <w:tcW w:w="317" w:type="pct"/>
            <w:tcBorders>
              <w:top w:val="nil"/>
              <w:left w:val="nil"/>
              <w:bottom w:val="nil"/>
              <w:right w:val="nil"/>
            </w:tcBorders>
            <w:shd w:val="clear" w:color="auto" w:fill="auto"/>
            <w:noWrap/>
          </w:tcPr>
          <w:p w14:paraId="50574984" w14:textId="71D024D0" w:rsidR="003861F2" w:rsidRPr="00521670" w:rsidRDefault="003861F2" w:rsidP="003861F2">
            <w:pPr>
              <w:pStyle w:val="Tabletext"/>
              <w:jc w:val="right"/>
              <w:rPr>
                <w:lang w:val="ru-RU" w:eastAsia="en-GB"/>
              </w:rPr>
            </w:pPr>
            <w:r w:rsidRPr="00521670">
              <w:rPr>
                <w:lang w:val="ru-RU"/>
              </w:rPr>
              <w:t>210</w:t>
            </w:r>
          </w:p>
        </w:tc>
        <w:tc>
          <w:tcPr>
            <w:tcW w:w="433" w:type="pct"/>
            <w:tcBorders>
              <w:top w:val="nil"/>
              <w:left w:val="nil"/>
              <w:bottom w:val="nil"/>
              <w:right w:val="nil"/>
            </w:tcBorders>
            <w:shd w:val="clear" w:color="auto" w:fill="auto"/>
            <w:noWrap/>
          </w:tcPr>
          <w:p w14:paraId="3FAC1D20" w14:textId="4DBEA9B7" w:rsidR="003861F2" w:rsidRPr="00521670" w:rsidRDefault="003861F2" w:rsidP="003861F2">
            <w:pPr>
              <w:pStyle w:val="Tabletext"/>
              <w:jc w:val="right"/>
              <w:rPr>
                <w:b/>
                <w:bCs/>
                <w:lang w:val="ru-RU" w:eastAsia="en-GB"/>
              </w:rPr>
            </w:pPr>
            <w:r w:rsidRPr="00521670">
              <w:rPr>
                <w:b/>
                <w:bCs/>
                <w:lang w:val="ru-RU"/>
              </w:rPr>
              <w:t>1 085</w:t>
            </w:r>
          </w:p>
        </w:tc>
        <w:tc>
          <w:tcPr>
            <w:tcW w:w="303" w:type="pct"/>
            <w:tcBorders>
              <w:top w:val="nil"/>
              <w:left w:val="nil"/>
              <w:bottom w:val="nil"/>
              <w:right w:val="nil"/>
            </w:tcBorders>
          </w:tcPr>
          <w:p w14:paraId="74D3DE80" w14:textId="77777777" w:rsidR="003861F2" w:rsidRPr="00521670" w:rsidRDefault="003861F2" w:rsidP="003861F2">
            <w:pPr>
              <w:pStyle w:val="Tabletext"/>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48E63C1A" w14:textId="45409278" w:rsidR="003861F2" w:rsidRPr="00521670" w:rsidRDefault="003861F2" w:rsidP="003861F2">
            <w:pPr>
              <w:pStyle w:val="Tabletext"/>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439C855D" w14:textId="0DBBB3EC" w:rsidR="003861F2" w:rsidRPr="00521670" w:rsidRDefault="003861F2" w:rsidP="003861F2">
            <w:pPr>
              <w:pStyle w:val="Tabletext"/>
              <w:jc w:val="right"/>
              <w:rPr>
                <w:lang w:val="ru-RU" w:eastAsia="en-GB"/>
              </w:rPr>
            </w:pPr>
            <w:r w:rsidRPr="00521670">
              <w:rPr>
                <w:lang w:val="ru-RU"/>
              </w:rPr>
              <w:t>1 737</w:t>
            </w:r>
          </w:p>
        </w:tc>
        <w:tc>
          <w:tcPr>
            <w:tcW w:w="391" w:type="pct"/>
            <w:tcBorders>
              <w:top w:val="nil"/>
              <w:left w:val="nil"/>
              <w:bottom w:val="nil"/>
              <w:right w:val="nil"/>
            </w:tcBorders>
            <w:shd w:val="clear" w:color="auto" w:fill="auto"/>
            <w:noWrap/>
          </w:tcPr>
          <w:p w14:paraId="66B52B68" w14:textId="14450256" w:rsidR="003861F2" w:rsidRPr="00521670" w:rsidRDefault="003861F2" w:rsidP="003861F2">
            <w:pPr>
              <w:pStyle w:val="Tabletext"/>
              <w:jc w:val="right"/>
              <w:rPr>
                <w:lang w:val="ru-RU" w:eastAsia="en-GB"/>
              </w:rPr>
            </w:pPr>
            <w:r w:rsidRPr="00521670">
              <w:rPr>
                <w:lang w:val="ru-RU"/>
              </w:rPr>
              <w:t>(1 014)</w:t>
            </w:r>
          </w:p>
        </w:tc>
        <w:tc>
          <w:tcPr>
            <w:tcW w:w="354" w:type="pct"/>
            <w:tcBorders>
              <w:top w:val="nil"/>
              <w:left w:val="nil"/>
              <w:bottom w:val="nil"/>
              <w:right w:val="nil"/>
            </w:tcBorders>
            <w:shd w:val="clear" w:color="auto" w:fill="auto"/>
            <w:noWrap/>
          </w:tcPr>
          <w:p w14:paraId="4F4F20D4" w14:textId="69A7A22E" w:rsidR="003861F2" w:rsidRPr="00521670" w:rsidRDefault="003861F2" w:rsidP="003861F2">
            <w:pPr>
              <w:pStyle w:val="Tabletext"/>
              <w:jc w:val="right"/>
              <w:rPr>
                <w:b/>
                <w:bCs/>
                <w:color w:val="000000"/>
                <w:lang w:val="ru-RU" w:eastAsia="en-GB"/>
              </w:rPr>
            </w:pPr>
            <w:r w:rsidRPr="00521670">
              <w:rPr>
                <w:b/>
                <w:bCs/>
                <w:lang w:val="ru-RU"/>
              </w:rPr>
              <w:t>1 809</w:t>
            </w:r>
          </w:p>
        </w:tc>
      </w:tr>
      <w:tr w:rsidR="003861F2" w:rsidRPr="00521670" w14:paraId="22A051D7" w14:textId="77777777" w:rsidTr="00602C19">
        <w:tc>
          <w:tcPr>
            <w:tcW w:w="1386" w:type="pct"/>
            <w:tcBorders>
              <w:top w:val="nil"/>
              <w:left w:val="nil"/>
              <w:bottom w:val="nil"/>
              <w:right w:val="nil"/>
            </w:tcBorders>
            <w:shd w:val="clear" w:color="auto" w:fill="auto"/>
            <w:noWrap/>
            <w:hideMark/>
          </w:tcPr>
          <w:p w14:paraId="2929EE26" w14:textId="77777777" w:rsidR="003861F2" w:rsidRPr="00521670" w:rsidRDefault="003861F2" w:rsidP="003861F2">
            <w:pPr>
              <w:pStyle w:val="Tabletext"/>
              <w:rPr>
                <w:b/>
                <w:bCs/>
                <w:color w:val="000000"/>
                <w:lang w:val="ru-RU" w:eastAsia="en-GB"/>
              </w:rPr>
            </w:pPr>
            <w:r w:rsidRPr="00521670">
              <w:rPr>
                <w:b/>
                <w:bCs/>
                <w:color w:val="000000"/>
                <w:lang w:val="ru-RU" w:eastAsia="en-GB"/>
              </w:rPr>
              <w:t>Всего: расходы</w:t>
            </w:r>
          </w:p>
        </w:tc>
        <w:tc>
          <w:tcPr>
            <w:tcW w:w="471" w:type="pct"/>
            <w:tcBorders>
              <w:top w:val="nil"/>
              <w:left w:val="nil"/>
              <w:bottom w:val="nil"/>
              <w:right w:val="nil"/>
            </w:tcBorders>
            <w:shd w:val="clear" w:color="auto" w:fill="auto"/>
            <w:noWrap/>
          </w:tcPr>
          <w:p w14:paraId="48A1DDFA" w14:textId="185C9C4E" w:rsidR="003861F2" w:rsidRPr="00521670" w:rsidRDefault="003861F2" w:rsidP="003861F2">
            <w:pPr>
              <w:pStyle w:val="Tabletext"/>
              <w:jc w:val="right"/>
              <w:rPr>
                <w:b/>
                <w:bCs/>
                <w:color w:val="000000"/>
                <w:lang w:val="ru-RU" w:eastAsia="en-GB"/>
              </w:rPr>
            </w:pPr>
            <w:r w:rsidRPr="00521670">
              <w:rPr>
                <w:b/>
                <w:bCs/>
                <w:lang w:val="ru-RU"/>
              </w:rPr>
              <w:t>92 205</w:t>
            </w:r>
          </w:p>
        </w:tc>
        <w:tc>
          <w:tcPr>
            <w:tcW w:w="316" w:type="pct"/>
            <w:tcBorders>
              <w:top w:val="nil"/>
              <w:left w:val="nil"/>
              <w:bottom w:val="nil"/>
              <w:right w:val="nil"/>
            </w:tcBorders>
            <w:shd w:val="clear" w:color="auto" w:fill="auto"/>
            <w:noWrap/>
          </w:tcPr>
          <w:p w14:paraId="04CDA62D" w14:textId="01F0B867" w:rsidR="003861F2" w:rsidRPr="00521670" w:rsidRDefault="003861F2" w:rsidP="003861F2">
            <w:pPr>
              <w:pStyle w:val="Tabletext"/>
              <w:jc w:val="right"/>
              <w:rPr>
                <w:b/>
                <w:bCs/>
                <w:color w:val="000000"/>
                <w:lang w:val="ru-RU" w:eastAsia="en-GB"/>
              </w:rPr>
            </w:pPr>
            <w:r w:rsidRPr="00521670">
              <w:rPr>
                <w:b/>
                <w:bCs/>
                <w:lang w:val="ru-RU"/>
              </w:rPr>
              <w:t>36 595</w:t>
            </w:r>
          </w:p>
        </w:tc>
        <w:tc>
          <w:tcPr>
            <w:tcW w:w="316" w:type="pct"/>
            <w:tcBorders>
              <w:top w:val="nil"/>
              <w:left w:val="nil"/>
              <w:bottom w:val="nil"/>
              <w:right w:val="nil"/>
            </w:tcBorders>
            <w:shd w:val="clear" w:color="auto" w:fill="auto"/>
            <w:noWrap/>
          </w:tcPr>
          <w:p w14:paraId="606CC478" w14:textId="304F4AE0" w:rsidR="003861F2" w:rsidRPr="00521670" w:rsidRDefault="003861F2" w:rsidP="003861F2">
            <w:pPr>
              <w:pStyle w:val="Tabletext"/>
              <w:jc w:val="right"/>
              <w:rPr>
                <w:b/>
                <w:bCs/>
                <w:color w:val="000000"/>
                <w:lang w:val="ru-RU" w:eastAsia="en-GB"/>
              </w:rPr>
            </w:pPr>
            <w:r w:rsidRPr="00521670">
              <w:rPr>
                <w:b/>
                <w:bCs/>
                <w:lang w:val="ru-RU"/>
              </w:rPr>
              <w:t>14 441</w:t>
            </w:r>
          </w:p>
        </w:tc>
        <w:tc>
          <w:tcPr>
            <w:tcW w:w="317" w:type="pct"/>
            <w:tcBorders>
              <w:top w:val="nil"/>
              <w:left w:val="nil"/>
              <w:bottom w:val="nil"/>
              <w:right w:val="nil"/>
            </w:tcBorders>
            <w:shd w:val="clear" w:color="auto" w:fill="auto"/>
            <w:noWrap/>
          </w:tcPr>
          <w:p w14:paraId="47BA0B4E" w14:textId="592122B1" w:rsidR="003861F2" w:rsidRPr="00521670" w:rsidRDefault="003861F2" w:rsidP="003861F2">
            <w:pPr>
              <w:pStyle w:val="Tabletext"/>
              <w:jc w:val="right"/>
              <w:rPr>
                <w:b/>
                <w:bCs/>
                <w:color w:val="000000"/>
                <w:lang w:val="ru-RU" w:eastAsia="en-GB"/>
              </w:rPr>
            </w:pPr>
            <w:r w:rsidRPr="00521670">
              <w:rPr>
                <w:b/>
                <w:bCs/>
                <w:lang w:val="ru-RU"/>
              </w:rPr>
              <w:t>30 926</w:t>
            </w:r>
          </w:p>
        </w:tc>
        <w:tc>
          <w:tcPr>
            <w:tcW w:w="433" w:type="pct"/>
            <w:tcBorders>
              <w:top w:val="nil"/>
              <w:left w:val="nil"/>
              <w:bottom w:val="nil"/>
              <w:right w:val="nil"/>
            </w:tcBorders>
            <w:shd w:val="clear" w:color="auto" w:fill="auto"/>
            <w:noWrap/>
          </w:tcPr>
          <w:p w14:paraId="475095C3" w14:textId="2681BA9B" w:rsidR="003861F2" w:rsidRPr="00521670" w:rsidRDefault="003861F2" w:rsidP="003861F2">
            <w:pPr>
              <w:pStyle w:val="Tabletext"/>
              <w:jc w:val="right"/>
              <w:rPr>
                <w:b/>
                <w:bCs/>
                <w:color w:val="000000"/>
                <w:lang w:val="ru-RU" w:eastAsia="en-GB"/>
              </w:rPr>
            </w:pPr>
            <w:r w:rsidRPr="00521670">
              <w:rPr>
                <w:b/>
                <w:bCs/>
                <w:lang w:val="ru-RU"/>
              </w:rPr>
              <w:t>174 167</w:t>
            </w:r>
          </w:p>
        </w:tc>
        <w:tc>
          <w:tcPr>
            <w:tcW w:w="303" w:type="pct"/>
            <w:tcBorders>
              <w:top w:val="nil"/>
              <w:left w:val="nil"/>
              <w:bottom w:val="nil"/>
              <w:right w:val="nil"/>
            </w:tcBorders>
          </w:tcPr>
          <w:p w14:paraId="02340301" w14:textId="2E1FE3DF" w:rsidR="003861F2" w:rsidRPr="00521670" w:rsidRDefault="003861F2" w:rsidP="003861F2">
            <w:pPr>
              <w:pStyle w:val="Tabletext"/>
              <w:jc w:val="right"/>
              <w:rPr>
                <w:b/>
                <w:bCs/>
                <w:lang w:val="ru-RU"/>
              </w:rPr>
            </w:pPr>
            <w:r w:rsidRPr="00521670">
              <w:rPr>
                <w:b/>
                <w:bCs/>
                <w:lang w:val="ru-RU"/>
              </w:rPr>
              <w:t>17</w:t>
            </w:r>
          </w:p>
        </w:tc>
        <w:tc>
          <w:tcPr>
            <w:tcW w:w="303" w:type="pct"/>
            <w:tcBorders>
              <w:top w:val="nil"/>
              <w:left w:val="nil"/>
              <w:bottom w:val="nil"/>
              <w:right w:val="nil"/>
            </w:tcBorders>
            <w:shd w:val="clear" w:color="auto" w:fill="auto"/>
            <w:noWrap/>
            <w:vAlign w:val="bottom"/>
          </w:tcPr>
          <w:p w14:paraId="798E3F4A" w14:textId="593FDEE8" w:rsidR="003861F2" w:rsidRPr="00521670" w:rsidRDefault="003861F2" w:rsidP="003861F2">
            <w:pPr>
              <w:pStyle w:val="Tabletext"/>
              <w:jc w:val="right"/>
              <w:rPr>
                <w:b/>
                <w:bCs/>
                <w:color w:val="000000"/>
                <w:lang w:val="ru-RU" w:eastAsia="en-GB"/>
              </w:rPr>
            </w:pPr>
          </w:p>
        </w:tc>
        <w:tc>
          <w:tcPr>
            <w:tcW w:w="409" w:type="pct"/>
            <w:tcBorders>
              <w:top w:val="nil"/>
              <w:left w:val="nil"/>
              <w:bottom w:val="nil"/>
              <w:right w:val="nil"/>
            </w:tcBorders>
            <w:shd w:val="clear" w:color="auto" w:fill="auto"/>
            <w:noWrap/>
          </w:tcPr>
          <w:p w14:paraId="611EF7D6" w14:textId="74F20B9F" w:rsidR="003861F2" w:rsidRPr="00521670" w:rsidRDefault="003861F2" w:rsidP="003861F2">
            <w:pPr>
              <w:pStyle w:val="Tabletext"/>
              <w:jc w:val="right"/>
              <w:rPr>
                <w:b/>
                <w:bCs/>
                <w:color w:val="000000"/>
                <w:lang w:val="ru-RU" w:eastAsia="en-GB"/>
              </w:rPr>
            </w:pPr>
            <w:r w:rsidRPr="00521670">
              <w:rPr>
                <w:b/>
                <w:bCs/>
                <w:lang w:val="ru-RU"/>
              </w:rPr>
              <w:t>23 991</w:t>
            </w:r>
          </w:p>
        </w:tc>
        <w:tc>
          <w:tcPr>
            <w:tcW w:w="391" w:type="pct"/>
            <w:tcBorders>
              <w:top w:val="nil"/>
              <w:left w:val="nil"/>
              <w:bottom w:val="nil"/>
              <w:right w:val="nil"/>
            </w:tcBorders>
            <w:shd w:val="clear" w:color="auto" w:fill="auto"/>
            <w:noWrap/>
          </w:tcPr>
          <w:p w14:paraId="7C16B39E" w14:textId="36774A93" w:rsidR="003861F2" w:rsidRPr="00521670" w:rsidRDefault="003861F2" w:rsidP="003861F2">
            <w:pPr>
              <w:pStyle w:val="Tabletext"/>
              <w:jc w:val="right"/>
              <w:rPr>
                <w:b/>
                <w:bCs/>
                <w:color w:val="000000"/>
                <w:lang w:val="ru-RU" w:eastAsia="en-GB"/>
              </w:rPr>
            </w:pPr>
            <w:r w:rsidRPr="00521670">
              <w:rPr>
                <w:b/>
                <w:bCs/>
                <w:lang w:val="ru-RU"/>
              </w:rPr>
              <w:t>(1 014)</w:t>
            </w:r>
          </w:p>
        </w:tc>
        <w:tc>
          <w:tcPr>
            <w:tcW w:w="354" w:type="pct"/>
            <w:tcBorders>
              <w:top w:val="nil"/>
              <w:left w:val="nil"/>
              <w:bottom w:val="nil"/>
              <w:right w:val="nil"/>
            </w:tcBorders>
            <w:shd w:val="clear" w:color="auto" w:fill="auto"/>
            <w:noWrap/>
          </w:tcPr>
          <w:p w14:paraId="0DF59D4D" w14:textId="5F059CE5" w:rsidR="003861F2" w:rsidRPr="00521670" w:rsidRDefault="003861F2" w:rsidP="003861F2">
            <w:pPr>
              <w:pStyle w:val="Tabletext"/>
              <w:jc w:val="right"/>
              <w:rPr>
                <w:b/>
                <w:bCs/>
                <w:color w:val="000000"/>
                <w:lang w:val="ru-RU" w:eastAsia="en-GB"/>
              </w:rPr>
            </w:pPr>
            <w:r w:rsidRPr="00521670">
              <w:rPr>
                <w:b/>
                <w:bCs/>
                <w:lang w:val="ru-RU"/>
              </w:rPr>
              <w:t>197 161</w:t>
            </w:r>
          </w:p>
        </w:tc>
      </w:tr>
      <w:tr w:rsidR="003861F2" w:rsidRPr="00521670" w14:paraId="6B598924" w14:textId="77777777" w:rsidTr="00602C19">
        <w:tc>
          <w:tcPr>
            <w:tcW w:w="1386" w:type="pct"/>
            <w:tcBorders>
              <w:top w:val="nil"/>
              <w:left w:val="nil"/>
              <w:bottom w:val="nil"/>
              <w:right w:val="nil"/>
            </w:tcBorders>
            <w:shd w:val="clear" w:color="auto" w:fill="auto"/>
            <w:noWrap/>
            <w:hideMark/>
          </w:tcPr>
          <w:p w14:paraId="7B7067CA" w14:textId="77777777" w:rsidR="003861F2" w:rsidRPr="00521670" w:rsidRDefault="003861F2" w:rsidP="003861F2">
            <w:pPr>
              <w:pStyle w:val="Tabletext"/>
              <w:spacing w:before="0" w:after="0"/>
              <w:rPr>
                <w:color w:val="000000"/>
                <w:lang w:val="ru-RU" w:eastAsia="en-GB"/>
              </w:rPr>
            </w:pPr>
          </w:p>
        </w:tc>
        <w:tc>
          <w:tcPr>
            <w:tcW w:w="471" w:type="pct"/>
            <w:tcBorders>
              <w:top w:val="nil"/>
              <w:left w:val="nil"/>
              <w:bottom w:val="nil"/>
              <w:right w:val="nil"/>
            </w:tcBorders>
            <w:shd w:val="clear" w:color="auto" w:fill="auto"/>
            <w:noWrap/>
            <w:vAlign w:val="bottom"/>
          </w:tcPr>
          <w:p w14:paraId="224AA38D" w14:textId="77777777" w:rsidR="003861F2" w:rsidRPr="00521670" w:rsidRDefault="003861F2" w:rsidP="003861F2">
            <w:pPr>
              <w:pStyle w:val="Tabletext"/>
              <w:spacing w:before="0" w:after="0"/>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247112BE" w14:textId="77777777" w:rsidR="003861F2" w:rsidRPr="00521670" w:rsidRDefault="003861F2" w:rsidP="003861F2">
            <w:pPr>
              <w:pStyle w:val="Tabletext"/>
              <w:spacing w:before="0" w:after="0"/>
              <w:jc w:val="right"/>
              <w:rPr>
                <w:rFonts w:ascii="Times New Roman" w:hAnsi="Times New Roman"/>
                <w:lang w:val="ru-RU" w:eastAsia="en-GB"/>
              </w:rPr>
            </w:pPr>
          </w:p>
        </w:tc>
        <w:tc>
          <w:tcPr>
            <w:tcW w:w="316" w:type="pct"/>
            <w:tcBorders>
              <w:top w:val="nil"/>
              <w:left w:val="nil"/>
              <w:bottom w:val="nil"/>
              <w:right w:val="nil"/>
            </w:tcBorders>
            <w:shd w:val="clear" w:color="auto" w:fill="auto"/>
            <w:noWrap/>
            <w:vAlign w:val="bottom"/>
          </w:tcPr>
          <w:p w14:paraId="20E8D78B" w14:textId="77777777" w:rsidR="003861F2" w:rsidRPr="00521670" w:rsidRDefault="003861F2" w:rsidP="003861F2">
            <w:pPr>
              <w:pStyle w:val="Tabletext"/>
              <w:spacing w:before="0" w:after="0"/>
              <w:jc w:val="right"/>
              <w:rPr>
                <w:rFonts w:ascii="Times New Roman" w:hAnsi="Times New Roman"/>
                <w:lang w:val="ru-RU" w:eastAsia="en-GB"/>
              </w:rPr>
            </w:pPr>
          </w:p>
        </w:tc>
        <w:tc>
          <w:tcPr>
            <w:tcW w:w="317" w:type="pct"/>
            <w:tcBorders>
              <w:top w:val="nil"/>
              <w:left w:val="nil"/>
              <w:bottom w:val="nil"/>
              <w:right w:val="nil"/>
            </w:tcBorders>
            <w:shd w:val="clear" w:color="auto" w:fill="auto"/>
            <w:noWrap/>
            <w:vAlign w:val="bottom"/>
          </w:tcPr>
          <w:p w14:paraId="1FA1C524" w14:textId="77777777" w:rsidR="003861F2" w:rsidRPr="00521670" w:rsidRDefault="003861F2" w:rsidP="003861F2">
            <w:pPr>
              <w:pStyle w:val="Tabletext"/>
              <w:spacing w:before="0" w:after="0"/>
              <w:jc w:val="right"/>
              <w:rPr>
                <w:rFonts w:ascii="Times New Roman" w:hAnsi="Times New Roman"/>
                <w:lang w:val="ru-RU" w:eastAsia="en-GB"/>
              </w:rPr>
            </w:pPr>
          </w:p>
        </w:tc>
        <w:tc>
          <w:tcPr>
            <w:tcW w:w="433" w:type="pct"/>
            <w:tcBorders>
              <w:top w:val="nil"/>
              <w:left w:val="nil"/>
              <w:bottom w:val="nil"/>
              <w:right w:val="nil"/>
            </w:tcBorders>
            <w:shd w:val="clear" w:color="auto" w:fill="auto"/>
            <w:noWrap/>
            <w:vAlign w:val="bottom"/>
          </w:tcPr>
          <w:p w14:paraId="1C14C129" w14:textId="77777777" w:rsidR="003861F2" w:rsidRPr="00521670" w:rsidRDefault="003861F2" w:rsidP="003861F2">
            <w:pPr>
              <w:pStyle w:val="Tabletext"/>
              <w:spacing w:before="0" w:after="0"/>
              <w:jc w:val="right"/>
              <w:rPr>
                <w:rFonts w:ascii="Times New Roman" w:hAnsi="Times New Roman"/>
                <w:b/>
                <w:bCs/>
                <w:lang w:val="ru-RU" w:eastAsia="en-GB"/>
              </w:rPr>
            </w:pPr>
          </w:p>
        </w:tc>
        <w:tc>
          <w:tcPr>
            <w:tcW w:w="303" w:type="pct"/>
            <w:tcBorders>
              <w:top w:val="nil"/>
              <w:left w:val="nil"/>
              <w:bottom w:val="nil"/>
              <w:right w:val="nil"/>
            </w:tcBorders>
          </w:tcPr>
          <w:p w14:paraId="33E4C7BF" w14:textId="77777777" w:rsidR="003861F2" w:rsidRPr="00521670" w:rsidRDefault="003861F2" w:rsidP="003861F2">
            <w:pPr>
              <w:pStyle w:val="Tabletext"/>
              <w:spacing w:before="0" w:after="0"/>
              <w:jc w:val="right"/>
              <w:rPr>
                <w:rFonts w:ascii="Times New Roman" w:hAnsi="Times New Roman"/>
                <w:lang w:val="ru-RU" w:eastAsia="en-GB"/>
              </w:rPr>
            </w:pPr>
          </w:p>
        </w:tc>
        <w:tc>
          <w:tcPr>
            <w:tcW w:w="303" w:type="pct"/>
            <w:tcBorders>
              <w:top w:val="nil"/>
              <w:left w:val="nil"/>
              <w:bottom w:val="nil"/>
              <w:right w:val="nil"/>
            </w:tcBorders>
            <w:shd w:val="clear" w:color="auto" w:fill="auto"/>
            <w:noWrap/>
            <w:vAlign w:val="bottom"/>
          </w:tcPr>
          <w:p w14:paraId="6342F585" w14:textId="2063E8C0" w:rsidR="003861F2" w:rsidRPr="00521670" w:rsidRDefault="003861F2" w:rsidP="003861F2">
            <w:pPr>
              <w:pStyle w:val="Tabletext"/>
              <w:spacing w:before="0" w:after="0"/>
              <w:jc w:val="right"/>
              <w:rPr>
                <w:rFonts w:ascii="Times New Roman" w:hAnsi="Times New Roman"/>
                <w:lang w:val="ru-RU" w:eastAsia="en-GB"/>
              </w:rPr>
            </w:pPr>
          </w:p>
        </w:tc>
        <w:tc>
          <w:tcPr>
            <w:tcW w:w="409" w:type="pct"/>
            <w:tcBorders>
              <w:top w:val="nil"/>
              <w:left w:val="nil"/>
              <w:bottom w:val="nil"/>
              <w:right w:val="nil"/>
            </w:tcBorders>
            <w:shd w:val="clear" w:color="auto" w:fill="auto"/>
            <w:noWrap/>
          </w:tcPr>
          <w:p w14:paraId="1AD1CEED" w14:textId="77777777" w:rsidR="003861F2" w:rsidRPr="00521670" w:rsidRDefault="003861F2" w:rsidP="003861F2">
            <w:pPr>
              <w:pStyle w:val="Tabletext"/>
              <w:spacing w:before="0" w:after="0"/>
              <w:jc w:val="right"/>
              <w:rPr>
                <w:rFonts w:ascii="Times New Roman" w:hAnsi="Times New Roman"/>
                <w:lang w:val="ru-RU" w:eastAsia="en-GB"/>
              </w:rPr>
            </w:pPr>
          </w:p>
        </w:tc>
        <w:tc>
          <w:tcPr>
            <w:tcW w:w="391" w:type="pct"/>
            <w:tcBorders>
              <w:top w:val="nil"/>
              <w:left w:val="nil"/>
              <w:bottom w:val="nil"/>
              <w:right w:val="nil"/>
            </w:tcBorders>
            <w:shd w:val="clear" w:color="auto" w:fill="auto"/>
            <w:noWrap/>
            <w:vAlign w:val="bottom"/>
          </w:tcPr>
          <w:p w14:paraId="7DFC2B3E" w14:textId="77777777" w:rsidR="003861F2" w:rsidRPr="00521670" w:rsidRDefault="003861F2" w:rsidP="003861F2">
            <w:pPr>
              <w:pStyle w:val="Tabletext"/>
              <w:spacing w:before="0" w:after="0"/>
              <w:jc w:val="right"/>
              <w:rPr>
                <w:rFonts w:ascii="Times New Roman" w:hAnsi="Times New Roman"/>
                <w:lang w:val="ru-RU" w:eastAsia="en-GB"/>
              </w:rPr>
            </w:pPr>
          </w:p>
        </w:tc>
        <w:tc>
          <w:tcPr>
            <w:tcW w:w="354" w:type="pct"/>
            <w:tcBorders>
              <w:top w:val="nil"/>
              <w:left w:val="nil"/>
              <w:bottom w:val="nil"/>
              <w:right w:val="nil"/>
            </w:tcBorders>
            <w:shd w:val="clear" w:color="auto" w:fill="auto"/>
            <w:noWrap/>
          </w:tcPr>
          <w:p w14:paraId="4E13DEDC" w14:textId="77777777" w:rsidR="003861F2" w:rsidRPr="00521670" w:rsidRDefault="003861F2" w:rsidP="003861F2">
            <w:pPr>
              <w:pStyle w:val="Tabletext"/>
              <w:spacing w:before="0" w:after="0"/>
              <w:jc w:val="right"/>
              <w:rPr>
                <w:rFonts w:ascii="Times New Roman" w:hAnsi="Times New Roman"/>
                <w:b/>
                <w:bCs/>
                <w:lang w:val="ru-RU" w:eastAsia="en-GB"/>
              </w:rPr>
            </w:pPr>
          </w:p>
        </w:tc>
      </w:tr>
      <w:tr w:rsidR="003861F2" w:rsidRPr="00521670" w14:paraId="5B17613E" w14:textId="77777777" w:rsidTr="00602C19">
        <w:tc>
          <w:tcPr>
            <w:tcW w:w="1386" w:type="pct"/>
            <w:tcBorders>
              <w:top w:val="nil"/>
              <w:left w:val="nil"/>
              <w:bottom w:val="nil"/>
              <w:right w:val="nil"/>
            </w:tcBorders>
            <w:shd w:val="clear" w:color="auto" w:fill="auto"/>
            <w:noWrap/>
            <w:hideMark/>
          </w:tcPr>
          <w:p w14:paraId="64EF2782" w14:textId="77777777" w:rsidR="003861F2" w:rsidRPr="00521670" w:rsidRDefault="003861F2" w:rsidP="003861F2">
            <w:pPr>
              <w:pStyle w:val="Tabletext"/>
              <w:rPr>
                <w:b/>
                <w:bCs/>
                <w:color w:val="000000"/>
                <w:lang w:val="ru-RU" w:eastAsia="en-GB"/>
              </w:rPr>
            </w:pPr>
            <w:r w:rsidRPr="00521670">
              <w:rPr>
                <w:b/>
                <w:bCs/>
                <w:color w:val="000000"/>
                <w:lang w:val="ru-RU" w:eastAsia="en-GB"/>
              </w:rPr>
              <w:t>Финансовые доходы/(затраты)</w:t>
            </w:r>
          </w:p>
        </w:tc>
        <w:tc>
          <w:tcPr>
            <w:tcW w:w="471" w:type="pct"/>
            <w:tcBorders>
              <w:top w:val="nil"/>
              <w:left w:val="nil"/>
              <w:bottom w:val="nil"/>
              <w:right w:val="nil"/>
            </w:tcBorders>
            <w:shd w:val="clear" w:color="auto" w:fill="auto"/>
            <w:noWrap/>
          </w:tcPr>
          <w:p w14:paraId="45CB82C3" w14:textId="6A5A4CDF" w:rsidR="003861F2" w:rsidRPr="00521670" w:rsidRDefault="003861F2" w:rsidP="003861F2">
            <w:pPr>
              <w:pStyle w:val="Tabletext"/>
              <w:jc w:val="right"/>
              <w:rPr>
                <w:b/>
                <w:bCs/>
                <w:lang w:val="ru-RU" w:eastAsia="en-GB"/>
              </w:rPr>
            </w:pPr>
            <w:r w:rsidRPr="00521670">
              <w:rPr>
                <w:lang w:val="ru-RU"/>
              </w:rPr>
              <w:t>(3 361)</w:t>
            </w:r>
          </w:p>
        </w:tc>
        <w:tc>
          <w:tcPr>
            <w:tcW w:w="316" w:type="pct"/>
            <w:tcBorders>
              <w:top w:val="nil"/>
              <w:left w:val="nil"/>
              <w:bottom w:val="nil"/>
              <w:right w:val="nil"/>
            </w:tcBorders>
            <w:shd w:val="clear" w:color="auto" w:fill="auto"/>
            <w:noWrap/>
          </w:tcPr>
          <w:p w14:paraId="2B645932" w14:textId="3AB71CBE" w:rsidR="003861F2" w:rsidRPr="00521670" w:rsidRDefault="003861F2" w:rsidP="003861F2">
            <w:pPr>
              <w:pStyle w:val="Tabletext"/>
              <w:jc w:val="right"/>
              <w:rPr>
                <w:b/>
                <w:bCs/>
                <w:lang w:val="ru-RU" w:eastAsia="en-GB"/>
              </w:rPr>
            </w:pPr>
            <w:r w:rsidRPr="00521670">
              <w:rPr>
                <w:lang w:val="ru-RU"/>
              </w:rPr>
              <w:t>(1 340)</w:t>
            </w:r>
          </w:p>
        </w:tc>
        <w:tc>
          <w:tcPr>
            <w:tcW w:w="316" w:type="pct"/>
            <w:tcBorders>
              <w:top w:val="nil"/>
              <w:left w:val="nil"/>
              <w:bottom w:val="nil"/>
              <w:right w:val="nil"/>
            </w:tcBorders>
            <w:shd w:val="clear" w:color="auto" w:fill="auto"/>
            <w:noWrap/>
          </w:tcPr>
          <w:p w14:paraId="43BE8B49" w14:textId="4B4F6530" w:rsidR="003861F2" w:rsidRPr="00521670" w:rsidRDefault="003861F2" w:rsidP="003861F2">
            <w:pPr>
              <w:pStyle w:val="Tabletext"/>
              <w:jc w:val="right"/>
              <w:rPr>
                <w:b/>
                <w:bCs/>
                <w:lang w:val="ru-RU" w:eastAsia="en-GB"/>
              </w:rPr>
            </w:pPr>
            <w:r w:rsidRPr="00521670">
              <w:rPr>
                <w:lang w:val="ru-RU"/>
              </w:rPr>
              <w:t>(526)</w:t>
            </w:r>
          </w:p>
        </w:tc>
        <w:tc>
          <w:tcPr>
            <w:tcW w:w="317" w:type="pct"/>
            <w:tcBorders>
              <w:top w:val="nil"/>
              <w:left w:val="nil"/>
              <w:bottom w:val="nil"/>
              <w:right w:val="nil"/>
            </w:tcBorders>
            <w:shd w:val="clear" w:color="auto" w:fill="auto"/>
            <w:noWrap/>
          </w:tcPr>
          <w:p w14:paraId="7FF24B3A" w14:textId="0670BA37" w:rsidR="003861F2" w:rsidRPr="00521670" w:rsidRDefault="003861F2" w:rsidP="003861F2">
            <w:pPr>
              <w:pStyle w:val="Tabletext"/>
              <w:jc w:val="right"/>
              <w:rPr>
                <w:b/>
                <w:bCs/>
                <w:lang w:val="ru-RU" w:eastAsia="en-GB"/>
              </w:rPr>
            </w:pPr>
            <w:r w:rsidRPr="00521670">
              <w:rPr>
                <w:lang w:val="ru-RU"/>
              </w:rPr>
              <w:t>(1 123)</w:t>
            </w:r>
          </w:p>
        </w:tc>
        <w:tc>
          <w:tcPr>
            <w:tcW w:w="433" w:type="pct"/>
            <w:tcBorders>
              <w:top w:val="nil"/>
              <w:left w:val="nil"/>
              <w:bottom w:val="nil"/>
              <w:right w:val="nil"/>
            </w:tcBorders>
            <w:shd w:val="clear" w:color="auto" w:fill="auto"/>
            <w:noWrap/>
          </w:tcPr>
          <w:p w14:paraId="0D3CFCDD" w14:textId="5041A8E4" w:rsidR="003861F2" w:rsidRPr="00521670" w:rsidRDefault="003861F2" w:rsidP="003861F2">
            <w:pPr>
              <w:pStyle w:val="Tabletext"/>
              <w:jc w:val="right"/>
              <w:rPr>
                <w:b/>
                <w:bCs/>
                <w:lang w:val="ru-RU" w:eastAsia="en-GB"/>
              </w:rPr>
            </w:pPr>
            <w:r w:rsidRPr="00521670">
              <w:rPr>
                <w:b/>
                <w:bCs/>
                <w:lang w:val="ru-RU"/>
              </w:rPr>
              <w:t>(6 349)</w:t>
            </w:r>
          </w:p>
        </w:tc>
        <w:tc>
          <w:tcPr>
            <w:tcW w:w="303" w:type="pct"/>
            <w:tcBorders>
              <w:top w:val="nil"/>
              <w:left w:val="nil"/>
              <w:bottom w:val="nil"/>
              <w:right w:val="nil"/>
            </w:tcBorders>
          </w:tcPr>
          <w:p w14:paraId="40BE8A33" w14:textId="2284FBDC" w:rsidR="003861F2" w:rsidRPr="00521670" w:rsidRDefault="003861F2" w:rsidP="003861F2">
            <w:pPr>
              <w:pStyle w:val="Tabletext"/>
              <w:jc w:val="right"/>
              <w:rPr>
                <w:b/>
                <w:bCs/>
                <w:lang w:val="ru-RU"/>
              </w:rPr>
            </w:pPr>
            <w:r w:rsidRPr="00521670">
              <w:rPr>
                <w:b/>
                <w:bCs/>
                <w:lang w:val="ru-RU"/>
              </w:rPr>
              <w:t>(61)</w:t>
            </w:r>
          </w:p>
        </w:tc>
        <w:tc>
          <w:tcPr>
            <w:tcW w:w="303" w:type="pct"/>
            <w:tcBorders>
              <w:top w:val="nil"/>
              <w:left w:val="nil"/>
              <w:bottom w:val="nil"/>
              <w:right w:val="nil"/>
            </w:tcBorders>
            <w:shd w:val="clear" w:color="auto" w:fill="auto"/>
            <w:noWrap/>
            <w:vAlign w:val="bottom"/>
          </w:tcPr>
          <w:p w14:paraId="77BD6972" w14:textId="46BC36A0" w:rsidR="003861F2" w:rsidRPr="00521670" w:rsidRDefault="003861F2" w:rsidP="003861F2">
            <w:pPr>
              <w:pStyle w:val="Tabletext"/>
              <w:jc w:val="right"/>
              <w:rPr>
                <w:b/>
                <w:bCs/>
                <w:lang w:val="ru-RU" w:eastAsia="en-GB"/>
              </w:rPr>
            </w:pPr>
            <w:r w:rsidRPr="00521670">
              <w:rPr>
                <w:b/>
                <w:bCs/>
                <w:lang w:val="ru-RU"/>
              </w:rPr>
              <w:t>(312)</w:t>
            </w:r>
          </w:p>
        </w:tc>
        <w:tc>
          <w:tcPr>
            <w:tcW w:w="409" w:type="pct"/>
            <w:tcBorders>
              <w:top w:val="nil"/>
              <w:left w:val="nil"/>
              <w:bottom w:val="nil"/>
              <w:right w:val="nil"/>
            </w:tcBorders>
            <w:shd w:val="clear" w:color="auto" w:fill="auto"/>
            <w:noWrap/>
          </w:tcPr>
          <w:p w14:paraId="38833F56" w14:textId="2D99A3A3" w:rsidR="003861F2" w:rsidRPr="00521670" w:rsidRDefault="003861F2" w:rsidP="003861F2">
            <w:pPr>
              <w:pStyle w:val="Tabletext"/>
              <w:jc w:val="right"/>
              <w:rPr>
                <w:b/>
                <w:bCs/>
                <w:lang w:val="ru-RU" w:eastAsia="en-GB"/>
              </w:rPr>
            </w:pPr>
            <w:r w:rsidRPr="00521670">
              <w:rPr>
                <w:b/>
                <w:bCs/>
                <w:lang w:val="ru-RU"/>
              </w:rPr>
              <w:t>(1 550)</w:t>
            </w:r>
          </w:p>
        </w:tc>
        <w:tc>
          <w:tcPr>
            <w:tcW w:w="391" w:type="pct"/>
            <w:tcBorders>
              <w:top w:val="nil"/>
              <w:left w:val="nil"/>
              <w:bottom w:val="nil"/>
              <w:right w:val="nil"/>
            </w:tcBorders>
            <w:shd w:val="clear" w:color="auto" w:fill="auto"/>
            <w:noWrap/>
            <w:vAlign w:val="bottom"/>
          </w:tcPr>
          <w:p w14:paraId="1E21A913" w14:textId="77777777" w:rsidR="003861F2" w:rsidRPr="00521670" w:rsidRDefault="003861F2" w:rsidP="003861F2">
            <w:pPr>
              <w:pStyle w:val="Tabletext"/>
              <w:jc w:val="right"/>
              <w:rPr>
                <w:b/>
                <w:bCs/>
                <w:lang w:val="ru-RU" w:eastAsia="en-GB"/>
              </w:rPr>
            </w:pPr>
          </w:p>
        </w:tc>
        <w:tc>
          <w:tcPr>
            <w:tcW w:w="354" w:type="pct"/>
            <w:tcBorders>
              <w:top w:val="nil"/>
              <w:left w:val="nil"/>
              <w:bottom w:val="nil"/>
              <w:right w:val="nil"/>
            </w:tcBorders>
            <w:shd w:val="clear" w:color="auto" w:fill="auto"/>
            <w:noWrap/>
          </w:tcPr>
          <w:p w14:paraId="0C6007C9" w14:textId="480FF09E" w:rsidR="003861F2" w:rsidRPr="00521670" w:rsidRDefault="003861F2" w:rsidP="003861F2">
            <w:pPr>
              <w:pStyle w:val="Tabletext"/>
              <w:jc w:val="right"/>
              <w:rPr>
                <w:b/>
                <w:bCs/>
                <w:color w:val="000000"/>
                <w:lang w:val="ru-RU" w:eastAsia="en-GB"/>
              </w:rPr>
            </w:pPr>
            <w:r w:rsidRPr="00521670">
              <w:rPr>
                <w:b/>
                <w:bCs/>
                <w:lang w:val="ru-RU"/>
              </w:rPr>
              <w:t>(8 272)</w:t>
            </w:r>
          </w:p>
        </w:tc>
      </w:tr>
      <w:tr w:rsidR="003861F2" w:rsidRPr="00521670" w14:paraId="2F8835A5" w14:textId="77777777" w:rsidTr="00602C19">
        <w:tc>
          <w:tcPr>
            <w:tcW w:w="1386" w:type="pct"/>
            <w:tcBorders>
              <w:top w:val="nil"/>
              <w:left w:val="nil"/>
              <w:bottom w:val="nil"/>
              <w:right w:val="nil"/>
            </w:tcBorders>
            <w:shd w:val="clear" w:color="000000" w:fill="0070C0"/>
            <w:vAlign w:val="center"/>
            <w:hideMark/>
          </w:tcPr>
          <w:p w14:paraId="2AFA5C58" w14:textId="77777777" w:rsidR="003861F2" w:rsidRPr="00521670" w:rsidRDefault="003861F2" w:rsidP="003861F2">
            <w:pPr>
              <w:pStyle w:val="Tabletext"/>
              <w:rPr>
                <w:b/>
                <w:bCs/>
                <w:lang w:val="ru-RU" w:eastAsia="en-GB"/>
              </w:rPr>
            </w:pPr>
            <w:r w:rsidRPr="00521670">
              <w:rPr>
                <w:b/>
                <w:bCs/>
                <w:lang w:val="ru-RU" w:eastAsia="en-GB"/>
              </w:rPr>
              <w:t>Активное сальдо/(дефицит) за период</w:t>
            </w:r>
          </w:p>
        </w:tc>
        <w:tc>
          <w:tcPr>
            <w:tcW w:w="471" w:type="pct"/>
            <w:tcBorders>
              <w:top w:val="nil"/>
              <w:left w:val="nil"/>
              <w:bottom w:val="nil"/>
              <w:right w:val="nil"/>
            </w:tcBorders>
            <w:shd w:val="clear" w:color="000000" w:fill="0070C0"/>
            <w:noWrap/>
          </w:tcPr>
          <w:p w14:paraId="61B5671F" w14:textId="59B0AFEF" w:rsidR="003861F2" w:rsidRPr="00521670" w:rsidRDefault="003861F2" w:rsidP="003861F2">
            <w:pPr>
              <w:pStyle w:val="Tabletext"/>
              <w:jc w:val="right"/>
              <w:rPr>
                <w:b/>
                <w:bCs/>
                <w:lang w:val="ru-RU" w:eastAsia="en-GB"/>
              </w:rPr>
            </w:pPr>
            <w:r w:rsidRPr="00521670">
              <w:rPr>
                <w:b/>
                <w:bCs/>
                <w:lang w:val="ru-RU"/>
              </w:rPr>
              <w:t>(37 105)</w:t>
            </w:r>
          </w:p>
        </w:tc>
        <w:tc>
          <w:tcPr>
            <w:tcW w:w="316" w:type="pct"/>
            <w:tcBorders>
              <w:top w:val="nil"/>
              <w:left w:val="nil"/>
              <w:bottom w:val="nil"/>
              <w:right w:val="nil"/>
            </w:tcBorders>
            <w:shd w:val="clear" w:color="000000" w:fill="0070C0"/>
            <w:noWrap/>
          </w:tcPr>
          <w:p w14:paraId="0741F139" w14:textId="0ADEF6DA" w:rsidR="003861F2" w:rsidRPr="00521670" w:rsidRDefault="003861F2" w:rsidP="003861F2">
            <w:pPr>
              <w:pStyle w:val="Tabletext"/>
              <w:jc w:val="right"/>
              <w:rPr>
                <w:b/>
                <w:bCs/>
                <w:lang w:val="ru-RU" w:eastAsia="en-GB"/>
              </w:rPr>
            </w:pPr>
            <w:r w:rsidRPr="00521670">
              <w:rPr>
                <w:b/>
                <w:bCs/>
                <w:lang w:val="ru-RU"/>
              </w:rPr>
              <w:t>21 322</w:t>
            </w:r>
          </w:p>
        </w:tc>
        <w:tc>
          <w:tcPr>
            <w:tcW w:w="316" w:type="pct"/>
            <w:tcBorders>
              <w:top w:val="nil"/>
              <w:left w:val="nil"/>
              <w:bottom w:val="nil"/>
              <w:right w:val="nil"/>
            </w:tcBorders>
            <w:shd w:val="clear" w:color="000000" w:fill="0070C0"/>
            <w:noWrap/>
          </w:tcPr>
          <w:p w14:paraId="07CFCCD6" w14:textId="6CF82E0B" w:rsidR="003861F2" w:rsidRPr="00521670" w:rsidRDefault="003861F2" w:rsidP="003861F2">
            <w:pPr>
              <w:pStyle w:val="Tabletext"/>
              <w:jc w:val="right"/>
              <w:rPr>
                <w:b/>
                <w:bCs/>
                <w:lang w:val="ru-RU" w:eastAsia="en-GB"/>
              </w:rPr>
            </w:pPr>
            <w:r w:rsidRPr="00521670">
              <w:rPr>
                <w:b/>
                <w:bCs/>
                <w:lang w:val="ru-RU"/>
              </w:rPr>
              <w:t>2 369</w:t>
            </w:r>
          </w:p>
        </w:tc>
        <w:tc>
          <w:tcPr>
            <w:tcW w:w="317" w:type="pct"/>
            <w:tcBorders>
              <w:top w:val="nil"/>
              <w:left w:val="nil"/>
              <w:bottom w:val="nil"/>
              <w:right w:val="nil"/>
            </w:tcBorders>
            <w:shd w:val="clear" w:color="000000" w:fill="0070C0"/>
            <w:noWrap/>
          </w:tcPr>
          <w:p w14:paraId="49F1D8E7" w14:textId="2DA47FB6" w:rsidR="003861F2" w:rsidRPr="00521670" w:rsidRDefault="003861F2" w:rsidP="003861F2">
            <w:pPr>
              <w:pStyle w:val="Tabletext"/>
              <w:jc w:val="right"/>
              <w:rPr>
                <w:b/>
                <w:bCs/>
                <w:lang w:val="ru-RU" w:eastAsia="en-GB"/>
              </w:rPr>
            </w:pPr>
            <w:r w:rsidRPr="00521670">
              <w:rPr>
                <w:b/>
                <w:bCs/>
                <w:lang w:val="ru-RU"/>
              </w:rPr>
              <w:t>(9 869)</w:t>
            </w:r>
          </w:p>
        </w:tc>
        <w:tc>
          <w:tcPr>
            <w:tcW w:w="433" w:type="pct"/>
            <w:tcBorders>
              <w:top w:val="nil"/>
              <w:left w:val="nil"/>
              <w:bottom w:val="nil"/>
              <w:right w:val="nil"/>
            </w:tcBorders>
            <w:shd w:val="clear" w:color="000000" w:fill="0070C0"/>
            <w:noWrap/>
          </w:tcPr>
          <w:p w14:paraId="5E1AE15F" w14:textId="01F91151" w:rsidR="003861F2" w:rsidRPr="00521670" w:rsidRDefault="003861F2" w:rsidP="003861F2">
            <w:pPr>
              <w:pStyle w:val="Tabletext"/>
              <w:jc w:val="right"/>
              <w:rPr>
                <w:b/>
                <w:bCs/>
                <w:lang w:val="ru-RU" w:eastAsia="en-GB"/>
              </w:rPr>
            </w:pPr>
            <w:r w:rsidRPr="00521670">
              <w:rPr>
                <w:b/>
                <w:bCs/>
                <w:lang w:val="ru-RU"/>
              </w:rPr>
              <w:t>(23 283)</w:t>
            </w:r>
          </w:p>
        </w:tc>
        <w:tc>
          <w:tcPr>
            <w:tcW w:w="303" w:type="pct"/>
            <w:tcBorders>
              <w:top w:val="nil"/>
              <w:left w:val="nil"/>
              <w:bottom w:val="nil"/>
              <w:right w:val="nil"/>
            </w:tcBorders>
            <w:shd w:val="clear" w:color="000000" w:fill="0070C0"/>
          </w:tcPr>
          <w:p w14:paraId="7144A445" w14:textId="5A363177" w:rsidR="003861F2" w:rsidRPr="00521670" w:rsidRDefault="003861F2" w:rsidP="003861F2">
            <w:pPr>
              <w:pStyle w:val="Tabletext"/>
              <w:jc w:val="right"/>
              <w:rPr>
                <w:b/>
                <w:bCs/>
                <w:lang w:val="ru-RU"/>
              </w:rPr>
            </w:pPr>
            <w:r w:rsidRPr="00521670">
              <w:rPr>
                <w:b/>
                <w:bCs/>
                <w:lang w:val="ru-RU"/>
              </w:rPr>
              <w:t>2 491</w:t>
            </w:r>
          </w:p>
        </w:tc>
        <w:tc>
          <w:tcPr>
            <w:tcW w:w="303" w:type="pct"/>
            <w:tcBorders>
              <w:top w:val="nil"/>
              <w:left w:val="nil"/>
              <w:bottom w:val="nil"/>
              <w:right w:val="nil"/>
            </w:tcBorders>
            <w:shd w:val="clear" w:color="000000" w:fill="0070C0"/>
            <w:noWrap/>
          </w:tcPr>
          <w:p w14:paraId="4844CFFB" w14:textId="12363CE5" w:rsidR="003861F2" w:rsidRPr="00521670" w:rsidRDefault="003861F2" w:rsidP="003861F2">
            <w:pPr>
              <w:pStyle w:val="Tabletext"/>
              <w:jc w:val="right"/>
              <w:rPr>
                <w:b/>
                <w:bCs/>
                <w:lang w:val="ru-RU" w:eastAsia="en-GB"/>
              </w:rPr>
            </w:pPr>
            <w:r w:rsidRPr="00521670">
              <w:rPr>
                <w:b/>
                <w:bCs/>
                <w:lang w:val="ru-RU"/>
              </w:rPr>
              <w:t>(312)</w:t>
            </w:r>
          </w:p>
        </w:tc>
        <w:tc>
          <w:tcPr>
            <w:tcW w:w="409" w:type="pct"/>
            <w:tcBorders>
              <w:top w:val="nil"/>
              <w:left w:val="nil"/>
              <w:bottom w:val="nil"/>
              <w:right w:val="nil"/>
            </w:tcBorders>
            <w:shd w:val="clear" w:color="000000" w:fill="0070C0"/>
            <w:noWrap/>
          </w:tcPr>
          <w:p w14:paraId="12EB9B31" w14:textId="3C527F0A" w:rsidR="003861F2" w:rsidRPr="00521670" w:rsidRDefault="003861F2" w:rsidP="003861F2">
            <w:pPr>
              <w:pStyle w:val="Tabletext"/>
              <w:jc w:val="right"/>
              <w:rPr>
                <w:b/>
                <w:bCs/>
                <w:lang w:val="ru-RU" w:eastAsia="en-GB"/>
              </w:rPr>
            </w:pPr>
            <w:r w:rsidRPr="00521670">
              <w:rPr>
                <w:b/>
                <w:bCs/>
                <w:lang w:val="ru-RU"/>
              </w:rPr>
              <w:t>(3 671)</w:t>
            </w:r>
          </w:p>
        </w:tc>
        <w:tc>
          <w:tcPr>
            <w:tcW w:w="391" w:type="pct"/>
            <w:tcBorders>
              <w:top w:val="nil"/>
              <w:left w:val="nil"/>
              <w:bottom w:val="nil"/>
              <w:right w:val="nil"/>
            </w:tcBorders>
            <w:shd w:val="clear" w:color="000000" w:fill="0070C0"/>
            <w:noWrap/>
          </w:tcPr>
          <w:p w14:paraId="73AD5375" w14:textId="71149E2E" w:rsidR="003861F2" w:rsidRPr="00521670" w:rsidRDefault="00D42EC6" w:rsidP="003861F2">
            <w:pPr>
              <w:pStyle w:val="Tabletext"/>
              <w:jc w:val="right"/>
              <w:rPr>
                <w:b/>
                <w:bCs/>
                <w:lang w:val="ru-RU" w:eastAsia="en-GB"/>
              </w:rPr>
            </w:pPr>
            <w:r w:rsidRPr="00521670">
              <w:rPr>
                <w:b/>
                <w:bCs/>
                <w:lang w:val="ru-RU" w:eastAsia="en-GB"/>
              </w:rPr>
              <w:sym w:font="Symbol" w:char="F02D"/>
            </w:r>
          </w:p>
        </w:tc>
        <w:tc>
          <w:tcPr>
            <w:tcW w:w="354" w:type="pct"/>
            <w:tcBorders>
              <w:top w:val="nil"/>
              <w:left w:val="nil"/>
              <w:bottom w:val="nil"/>
              <w:right w:val="nil"/>
            </w:tcBorders>
            <w:shd w:val="clear" w:color="000000" w:fill="0070C0"/>
            <w:noWrap/>
          </w:tcPr>
          <w:p w14:paraId="5B67933B" w14:textId="2DD115C8" w:rsidR="003861F2" w:rsidRPr="00521670" w:rsidRDefault="003861F2" w:rsidP="003861F2">
            <w:pPr>
              <w:pStyle w:val="Tabletext"/>
              <w:jc w:val="right"/>
              <w:rPr>
                <w:b/>
                <w:bCs/>
                <w:lang w:val="ru-RU" w:eastAsia="en-GB"/>
              </w:rPr>
            </w:pPr>
            <w:r w:rsidRPr="00521670">
              <w:rPr>
                <w:b/>
                <w:bCs/>
                <w:lang w:val="ru-RU"/>
              </w:rPr>
              <w:t>(24 774)</w:t>
            </w:r>
          </w:p>
        </w:tc>
      </w:tr>
    </w:tbl>
    <w:p w14:paraId="15E59D98" w14:textId="77777777" w:rsidR="00DF251A" w:rsidRPr="00521670" w:rsidRDefault="00DF251A" w:rsidP="003202AF">
      <w:pPr>
        <w:spacing w:after="120"/>
        <w:rPr>
          <w:lang w:val="ru-RU" w:bidi="ru-RU"/>
        </w:rPr>
        <w:sectPr w:rsidR="00DF251A" w:rsidRPr="00521670" w:rsidSect="00DF251A">
          <w:headerReference w:type="default" r:id="rId35"/>
          <w:footerReference w:type="default" r:id="rId36"/>
          <w:headerReference w:type="first" r:id="rId37"/>
          <w:footerReference w:type="first" r:id="rId38"/>
          <w:pgSz w:w="16834" w:h="11907" w:orient="landscape"/>
          <w:pgMar w:top="1418" w:right="1418" w:bottom="1418" w:left="1418" w:header="720" w:footer="720" w:gutter="0"/>
          <w:paperSrc w:first="286" w:other="286"/>
          <w:cols w:space="720"/>
          <w:docGrid w:linePitch="299"/>
        </w:sectPr>
      </w:pPr>
    </w:p>
    <w:p w14:paraId="24DB94EE" w14:textId="77777777" w:rsidR="00DF251A" w:rsidRPr="00521670" w:rsidRDefault="00DF251A" w:rsidP="00410A36">
      <w:pPr>
        <w:pStyle w:val="Heading5"/>
        <w:ind w:left="2070" w:hanging="2070"/>
        <w:rPr>
          <w:b/>
          <w:bCs/>
          <w:color w:val="4F81BD" w:themeColor="accent1"/>
          <w:lang w:val="ru-RU"/>
        </w:rPr>
      </w:pPr>
      <w:bookmarkStart w:id="410" w:name="_Toc305764118"/>
      <w:bookmarkStart w:id="411" w:name="_Toc329011660"/>
      <w:bookmarkStart w:id="412" w:name="_Toc1399135979"/>
      <w:bookmarkStart w:id="413" w:name="_Toc164845573"/>
      <w:bookmarkStart w:id="414" w:name="_Toc168578487"/>
      <w:bookmarkStart w:id="415" w:name="_Toc180681832"/>
      <w:bookmarkStart w:id="416" w:name="_Toc200469545"/>
      <w:r w:rsidRPr="00521670">
        <w:rPr>
          <w:b/>
          <w:bCs/>
          <w:color w:val="4F81BD" w:themeColor="accent1"/>
          <w:lang w:val="ru-RU"/>
        </w:rPr>
        <w:lastRenderedPageBreak/>
        <w:t>Примечание 21</w:t>
      </w:r>
      <w:r w:rsidRPr="00521670">
        <w:rPr>
          <w:b/>
          <w:bCs/>
          <w:color w:val="4F81BD" w:themeColor="accent1"/>
          <w:lang w:val="ru-RU"/>
        </w:rPr>
        <w:tab/>
      </w:r>
      <w:bookmarkEnd w:id="410"/>
      <w:bookmarkEnd w:id="411"/>
      <w:bookmarkEnd w:id="412"/>
      <w:bookmarkEnd w:id="413"/>
      <w:r w:rsidRPr="00521670">
        <w:rPr>
          <w:b/>
          <w:bCs/>
          <w:color w:val="4F81BD" w:themeColor="accent1"/>
          <w:lang w:val="ru-RU"/>
        </w:rPr>
        <w:t>Сопоставление предусмотренных в бюджете сумм с фактическими суммами</w:t>
      </w:r>
      <w:bookmarkEnd w:id="414"/>
      <w:bookmarkEnd w:id="415"/>
      <w:bookmarkEnd w:id="416"/>
    </w:p>
    <w:p w14:paraId="16ED3798" w14:textId="77777777" w:rsidR="00DF251A" w:rsidRPr="00521670" w:rsidRDefault="00DF251A" w:rsidP="00410A36">
      <w:pPr>
        <w:keepNext/>
        <w:keepLines/>
        <w:rPr>
          <w:b/>
          <w:lang w:val="ru-RU" w:bidi="ru-RU"/>
        </w:rPr>
      </w:pPr>
      <w:r w:rsidRPr="00521670">
        <w:rPr>
          <w:lang w:val="ru-RU" w:bidi="ru-RU"/>
        </w:rPr>
        <w:t>Финансовая отчетность включает:</w:t>
      </w:r>
    </w:p>
    <w:p w14:paraId="257A807C" w14:textId="77777777" w:rsidR="00DF251A" w:rsidRPr="00521670" w:rsidRDefault="00DF251A" w:rsidP="00410A36">
      <w:pPr>
        <w:pStyle w:val="enumlev1"/>
        <w:rPr>
          <w:b/>
          <w:lang w:val="ru-RU" w:bidi="ru-RU"/>
        </w:rPr>
      </w:pPr>
      <w:r w:rsidRPr="00521670">
        <w:rPr>
          <w:lang w:val="ru-RU" w:bidi="ru-RU"/>
        </w:rPr>
        <w:t>•</w:t>
      </w:r>
      <w:r w:rsidRPr="00521670">
        <w:rPr>
          <w:lang w:val="ru-RU" w:bidi="ru-RU"/>
        </w:rPr>
        <w:tab/>
        <w:t>регулярный бюджет МСЭ;</w:t>
      </w:r>
    </w:p>
    <w:p w14:paraId="679FECB6" w14:textId="77777777" w:rsidR="00DF251A" w:rsidRPr="00521670" w:rsidRDefault="00DF251A" w:rsidP="00410A36">
      <w:pPr>
        <w:pStyle w:val="enumlev1"/>
        <w:rPr>
          <w:lang w:val="ru-RU" w:bidi="ru-RU"/>
        </w:rPr>
      </w:pPr>
      <w:r w:rsidRPr="00521670">
        <w:rPr>
          <w:lang w:val="ru-RU" w:bidi="ru-RU"/>
        </w:rPr>
        <w:t>•</w:t>
      </w:r>
      <w:r w:rsidRPr="00521670">
        <w:rPr>
          <w:lang w:val="ru-RU" w:bidi="ru-RU"/>
        </w:rPr>
        <w:tab/>
        <w:t>другие средства; и</w:t>
      </w:r>
    </w:p>
    <w:p w14:paraId="7D48EFE2" w14:textId="77777777" w:rsidR="00DF251A" w:rsidRPr="00521670" w:rsidRDefault="00DF251A" w:rsidP="00410A36">
      <w:pPr>
        <w:pStyle w:val="enumlev1"/>
        <w:rPr>
          <w:lang w:val="ru-RU" w:bidi="ru-RU"/>
        </w:rPr>
      </w:pPr>
      <w:r w:rsidRPr="00521670">
        <w:rPr>
          <w:lang w:val="ru-RU" w:bidi="ru-RU"/>
        </w:rPr>
        <w:t>•</w:t>
      </w:r>
      <w:r w:rsidRPr="00521670">
        <w:rPr>
          <w:lang w:val="ru-RU" w:bidi="ru-RU"/>
        </w:rPr>
        <w:tab/>
        <w:t>внебюджетные средства.</w:t>
      </w:r>
    </w:p>
    <w:p w14:paraId="7227B546" w14:textId="77777777" w:rsidR="00DF251A" w:rsidRPr="00521670" w:rsidRDefault="00DF251A" w:rsidP="00410A36">
      <w:pPr>
        <w:pStyle w:val="Headingb"/>
        <w:rPr>
          <w:lang w:val="ru-RU" w:bidi="ru-RU"/>
        </w:rPr>
      </w:pPr>
      <w:r w:rsidRPr="00521670">
        <w:rPr>
          <w:lang w:val="ru-RU" w:bidi="ru-RU"/>
        </w:rPr>
        <w:t>Сопоставление</w:t>
      </w:r>
    </w:p>
    <w:p w14:paraId="78622827" w14:textId="4D976955" w:rsidR="00DF251A" w:rsidRPr="00521670" w:rsidRDefault="00DF251A" w:rsidP="00410A36">
      <w:pPr>
        <w:rPr>
          <w:lang w:val="ru-RU" w:bidi="ru-RU"/>
        </w:rPr>
      </w:pPr>
      <w:r w:rsidRPr="00521670">
        <w:rPr>
          <w:lang w:val="ru-RU" w:bidi="ru-RU"/>
        </w:rPr>
        <w:t>Для составления бюджета и финансовой отчетности Союза используются разные основы. Бюджет на 2024–2025 годы составлен на базе модифицированного кассового метода и учитывает несколько специфических статей, которые не учитываются на основе метода начисления. Кроме того, в бюджете МСЭ рассматривается только основная деятельность Союза и не учитывается деятельность, финансируемая за счет внебюджетных ресурсов.</w:t>
      </w:r>
    </w:p>
    <w:p w14:paraId="68AB4565" w14:textId="77777777" w:rsidR="00DF251A" w:rsidRPr="00521670" w:rsidRDefault="00DF251A" w:rsidP="00410A36">
      <w:pPr>
        <w:rPr>
          <w:lang w:val="ru-RU" w:bidi="ru-RU"/>
        </w:rPr>
      </w:pPr>
      <w:r w:rsidRPr="00521670">
        <w:rPr>
          <w:lang w:val="ru-RU" w:bidi="ru-RU"/>
        </w:rPr>
        <w:t>Финансовая отчетность Союза составлена по методу начисления с использованием классификации, основанной на характере расходов, включенных в Отчет о результатах финансовой деятельности (см. Отчет II).</w:t>
      </w:r>
    </w:p>
    <w:p w14:paraId="0D921CD2" w14:textId="4A3B3DBB" w:rsidR="00DF251A" w:rsidRPr="00521670" w:rsidRDefault="00DF251A" w:rsidP="00410A36">
      <w:pPr>
        <w:rPr>
          <w:lang w:val="ru-RU" w:bidi="ru-RU"/>
        </w:rPr>
      </w:pPr>
      <w:r w:rsidRPr="00521670">
        <w:rPr>
          <w:lang w:val="ru-RU" w:bidi="ru-RU"/>
        </w:rPr>
        <w:t>Для сверки Отчетов II и V операции разбиваются на две категории разниц – базисную и</w:t>
      </w:r>
      <w:r w:rsidR="00602C19" w:rsidRPr="00521670">
        <w:rPr>
          <w:lang w:val="ru-RU" w:bidi="ru-RU"/>
        </w:rPr>
        <w:t> </w:t>
      </w:r>
      <w:r w:rsidRPr="00521670">
        <w:rPr>
          <w:lang w:val="ru-RU" w:bidi="ru-RU"/>
        </w:rPr>
        <w:t>структурную.</w:t>
      </w:r>
    </w:p>
    <w:p w14:paraId="396851B2" w14:textId="77777777" w:rsidR="00DF251A" w:rsidRPr="00521670" w:rsidRDefault="00DF251A" w:rsidP="00410A36">
      <w:pPr>
        <w:rPr>
          <w:lang w:val="ru-RU" w:bidi="ru-RU"/>
        </w:rPr>
      </w:pPr>
      <w:r w:rsidRPr="00521670">
        <w:rPr>
          <w:b/>
          <w:bCs/>
          <w:lang w:val="ru-RU" w:bidi="ru-RU"/>
        </w:rPr>
        <w:t>Базисная разница</w:t>
      </w:r>
      <w:r w:rsidRPr="00521670">
        <w:rPr>
          <w:lang w:val="ru-RU" w:bidi="ru-RU"/>
        </w:rPr>
        <w:t>: предполагает расходы, которые не включены в бюджет МСЭ или рассматриваются по-другому в соответствии с требованиями IPSAS. Эти расходы обычно означают изменения в резерве сомнительных долгов, признании запасов, капитализации основных средств, амортизации, курсовых прибылях и убытках, АСХИ, погашении ссуды ФИПОИ и излишке и/или дефиците по инвестициям.</w:t>
      </w:r>
    </w:p>
    <w:p w14:paraId="7212F659" w14:textId="77777777" w:rsidR="00DF251A" w:rsidRPr="00521670" w:rsidRDefault="00DF251A" w:rsidP="00410A36">
      <w:pPr>
        <w:spacing w:after="120"/>
        <w:rPr>
          <w:lang w:val="ru-RU" w:bidi="ru-RU"/>
        </w:rPr>
      </w:pPr>
      <w:r w:rsidRPr="00521670">
        <w:rPr>
          <w:b/>
          <w:bCs/>
          <w:lang w:val="ru-RU" w:bidi="ru-RU"/>
        </w:rPr>
        <w:t>Структурная разница</w:t>
      </w:r>
      <w:r w:rsidRPr="00521670">
        <w:rPr>
          <w:color w:val="0070C0"/>
          <w:lang w:val="ru-RU" w:bidi="ru-RU"/>
        </w:rPr>
        <w:t>:</w:t>
      </w:r>
      <w:r w:rsidRPr="00521670">
        <w:rPr>
          <w:lang w:val="ru-RU" w:bidi="ru-RU"/>
        </w:rPr>
        <w:t xml:space="preserve"> обычно относится к доходам и расходам, которые не входят в утвержденный бюджет МСЭ по программам, т. е. к внебюджетным средствам</w:t>
      </w:r>
      <w:r w:rsidRPr="00521670">
        <w:rPr>
          <w:lang w:val="ru-RU"/>
        </w:rPr>
        <w:t xml:space="preserve"> </w:t>
      </w:r>
      <w:r w:rsidRPr="00521670">
        <w:rPr>
          <w:lang w:val="ru-RU" w:bidi="ru-RU"/>
        </w:rPr>
        <w:t>и другим средствам, не относящимся к бюджету Союза.</w:t>
      </w:r>
    </w:p>
    <w:tbl>
      <w:tblPr>
        <w:tblW w:w="5000" w:type="pct"/>
        <w:jc w:val="center"/>
        <w:tblLook w:val="04A0" w:firstRow="1" w:lastRow="0" w:firstColumn="1" w:lastColumn="0" w:noHBand="0" w:noVBand="1"/>
      </w:tblPr>
      <w:tblGrid>
        <w:gridCol w:w="4678"/>
        <w:gridCol w:w="1341"/>
        <w:gridCol w:w="1018"/>
        <w:gridCol w:w="1018"/>
        <w:gridCol w:w="1016"/>
      </w:tblGrid>
      <w:tr w:rsidR="00DF251A" w:rsidRPr="00521670" w14:paraId="252BF97F" w14:textId="77777777" w:rsidTr="00602C19">
        <w:trPr>
          <w:jc w:val="center"/>
        </w:trPr>
        <w:tc>
          <w:tcPr>
            <w:tcW w:w="2579" w:type="pct"/>
            <w:tcBorders>
              <w:top w:val="nil"/>
              <w:left w:val="nil"/>
              <w:bottom w:val="nil"/>
              <w:right w:val="nil"/>
            </w:tcBorders>
            <w:shd w:val="clear" w:color="000000" w:fill="0070C0"/>
            <w:vAlign w:val="center"/>
            <w:hideMark/>
          </w:tcPr>
          <w:p w14:paraId="5C81A89F" w14:textId="77777777" w:rsidR="00DF251A" w:rsidRPr="00521670" w:rsidRDefault="00DF251A" w:rsidP="00835292">
            <w:pPr>
              <w:pStyle w:val="Tablehead"/>
              <w:spacing w:before="40" w:after="40"/>
              <w:rPr>
                <w:lang w:val="ru-RU"/>
              </w:rPr>
            </w:pPr>
            <w:r w:rsidRPr="00521670">
              <w:rPr>
                <w:lang w:val="ru-RU"/>
              </w:rPr>
              <w:t>Описание (тыс. шв. фр.)</w:t>
            </w:r>
          </w:p>
        </w:tc>
        <w:tc>
          <w:tcPr>
            <w:tcW w:w="739" w:type="pct"/>
            <w:tcBorders>
              <w:top w:val="nil"/>
              <w:left w:val="nil"/>
              <w:bottom w:val="nil"/>
              <w:right w:val="nil"/>
            </w:tcBorders>
            <w:shd w:val="clear" w:color="000000" w:fill="0070C0"/>
            <w:hideMark/>
          </w:tcPr>
          <w:p w14:paraId="752EB200" w14:textId="77777777" w:rsidR="00DF251A" w:rsidRPr="00521670" w:rsidRDefault="00DF251A" w:rsidP="00835292">
            <w:pPr>
              <w:pStyle w:val="Tablehead"/>
              <w:spacing w:before="40" w:after="40"/>
              <w:ind w:left="-57" w:right="-57"/>
              <w:rPr>
                <w:lang w:val="ru-RU"/>
              </w:rPr>
            </w:pPr>
            <w:r w:rsidRPr="00521670">
              <w:rPr>
                <w:lang w:val="ru-RU"/>
              </w:rPr>
              <w:t>Операционная деятельность</w:t>
            </w:r>
          </w:p>
        </w:tc>
        <w:tc>
          <w:tcPr>
            <w:tcW w:w="561" w:type="pct"/>
            <w:tcBorders>
              <w:top w:val="nil"/>
              <w:left w:val="nil"/>
              <w:bottom w:val="nil"/>
              <w:right w:val="nil"/>
            </w:tcBorders>
            <w:shd w:val="clear" w:color="000000" w:fill="0070C0"/>
            <w:hideMark/>
          </w:tcPr>
          <w:p w14:paraId="1B6FACD4" w14:textId="77777777" w:rsidR="00DF251A" w:rsidRPr="00521670" w:rsidRDefault="00DF251A" w:rsidP="00835292">
            <w:pPr>
              <w:pStyle w:val="Tablehead"/>
              <w:spacing w:before="40" w:after="40"/>
              <w:rPr>
                <w:lang w:val="ru-RU"/>
              </w:rPr>
            </w:pPr>
            <w:r w:rsidRPr="00521670">
              <w:rPr>
                <w:lang w:val="ru-RU"/>
              </w:rPr>
              <w:t>Инвести-</w:t>
            </w:r>
            <w:r w:rsidRPr="00521670">
              <w:rPr>
                <w:lang w:val="ru-RU"/>
              </w:rPr>
              <w:br/>
              <w:t>рование</w:t>
            </w:r>
          </w:p>
        </w:tc>
        <w:tc>
          <w:tcPr>
            <w:tcW w:w="561" w:type="pct"/>
            <w:tcBorders>
              <w:top w:val="nil"/>
              <w:left w:val="nil"/>
              <w:bottom w:val="nil"/>
              <w:right w:val="nil"/>
            </w:tcBorders>
            <w:shd w:val="clear" w:color="000000" w:fill="0070C0"/>
            <w:hideMark/>
          </w:tcPr>
          <w:p w14:paraId="2645FA30" w14:textId="77777777" w:rsidR="00DF251A" w:rsidRPr="00521670" w:rsidRDefault="00DF251A" w:rsidP="00835292">
            <w:pPr>
              <w:pStyle w:val="Tablehead"/>
              <w:spacing w:before="40" w:after="40"/>
              <w:rPr>
                <w:lang w:val="ru-RU"/>
              </w:rPr>
            </w:pPr>
            <w:r w:rsidRPr="00521670">
              <w:rPr>
                <w:lang w:val="ru-RU"/>
              </w:rPr>
              <w:t>Финанси-</w:t>
            </w:r>
            <w:r w:rsidRPr="00521670">
              <w:rPr>
                <w:lang w:val="ru-RU"/>
              </w:rPr>
              <w:br/>
              <w:t>рование</w:t>
            </w:r>
          </w:p>
        </w:tc>
        <w:tc>
          <w:tcPr>
            <w:tcW w:w="560" w:type="pct"/>
            <w:tcBorders>
              <w:top w:val="nil"/>
              <w:left w:val="nil"/>
              <w:bottom w:val="nil"/>
              <w:right w:val="nil"/>
            </w:tcBorders>
            <w:shd w:val="clear" w:color="000000" w:fill="0070C0"/>
            <w:vAlign w:val="center"/>
            <w:hideMark/>
          </w:tcPr>
          <w:p w14:paraId="659BCD9D" w14:textId="77777777" w:rsidR="00DF251A" w:rsidRPr="00521670" w:rsidRDefault="00DF251A" w:rsidP="00835292">
            <w:pPr>
              <w:pStyle w:val="Tablehead"/>
              <w:spacing w:before="40" w:after="40"/>
              <w:rPr>
                <w:lang w:val="ru-RU"/>
              </w:rPr>
            </w:pPr>
            <w:r w:rsidRPr="00521670">
              <w:rPr>
                <w:lang w:val="ru-RU"/>
              </w:rPr>
              <w:t>Всего</w:t>
            </w:r>
          </w:p>
        </w:tc>
      </w:tr>
      <w:tr w:rsidR="00DF251A" w:rsidRPr="00521670" w14:paraId="03B6104E" w14:textId="77777777" w:rsidTr="00602C19">
        <w:trPr>
          <w:jc w:val="center"/>
        </w:trPr>
        <w:tc>
          <w:tcPr>
            <w:tcW w:w="2579" w:type="pct"/>
            <w:tcBorders>
              <w:top w:val="nil"/>
              <w:left w:val="nil"/>
              <w:bottom w:val="nil"/>
              <w:right w:val="nil"/>
            </w:tcBorders>
            <w:shd w:val="clear" w:color="auto" w:fill="auto"/>
            <w:hideMark/>
          </w:tcPr>
          <w:p w14:paraId="230F4179" w14:textId="77777777" w:rsidR="00DF251A" w:rsidRPr="00521670" w:rsidRDefault="00DF251A" w:rsidP="005B451C">
            <w:pPr>
              <w:pStyle w:val="Tabletext"/>
              <w:keepNext/>
              <w:keepLines/>
              <w:rPr>
                <w:b/>
                <w:bCs/>
                <w:lang w:val="ru-RU" w:eastAsia="en-GB"/>
              </w:rPr>
            </w:pPr>
            <w:r w:rsidRPr="00521670">
              <w:rPr>
                <w:b/>
                <w:bCs/>
                <w:lang w:val="ru-RU" w:eastAsia="en-GB"/>
              </w:rPr>
              <w:t>Результаты на сопоставимой основе</w:t>
            </w:r>
          </w:p>
        </w:tc>
        <w:tc>
          <w:tcPr>
            <w:tcW w:w="739" w:type="pct"/>
            <w:tcBorders>
              <w:top w:val="nil"/>
              <w:left w:val="nil"/>
              <w:bottom w:val="nil"/>
              <w:right w:val="nil"/>
            </w:tcBorders>
            <w:shd w:val="clear" w:color="auto" w:fill="auto"/>
            <w:noWrap/>
            <w:vAlign w:val="bottom"/>
          </w:tcPr>
          <w:p w14:paraId="1B4F8B9C" w14:textId="77777777" w:rsidR="00DF251A" w:rsidRPr="00521670" w:rsidRDefault="00DF251A" w:rsidP="005B451C">
            <w:pPr>
              <w:pStyle w:val="Tabletext"/>
              <w:keepNext/>
              <w:keepLines/>
              <w:jc w:val="right"/>
              <w:rPr>
                <w:b/>
                <w:bCs/>
                <w:lang w:val="ru-RU" w:eastAsia="en-GB"/>
              </w:rPr>
            </w:pPr>
            <w:r w:rsidRPr="00521670">
              <w:rPr>
                <w:b/>
                <w:bCs/>
                <w:lang w:val="ru-RU"/>
              </w:rPr>
              <w:t>5 651</w:t>
            </w:r>
          </w:p>
        </w:tc>
        <w:tc>
          <w:tcPr>
            <w:tcW w:w="561" w:type="pct"/>
            <w:tcBorders>
              <w:top w:val="nil"/>
              <w:left w:val="nil"/>
              <w:bottom w:val="nil"/>
              <w:right w:val="nil"/>
            </w:tcBorders>
            <w:shd w:val="clear" w:color="auto" w:fill="auto"/>
            <w:noWrap/>
            <w:vAlign w:val="bottom"/>
          </w:tcPr>
          <w:p w14:paraId="55ABB28B" w14:textId="77777777" w:rsidR="00DF251A" w:rsidRPr="00521670" w:rsidRDefault="00DF251A" w:rsidP="005B451C">
            <w:pPr>
              <w:pStyle w:val="Tabletext"/>
              <w:keepNext/>
              <w:keepLines/>
              <w:jc w:val="right"/>
              <w:rPr>
                <w:b/>
                <w:bCs/>
                <w:lang w:val="ru-RU" w:eastAsia="en-GB"/>
              </w:rPr>
            </w:pPr>
          </w:p>
        </w:tc>
        <w:tc>
          <w:tcPr>
            <w:tcW w:w="561" w:type="pct"/>
            <w:tcBorders>
              <w:top w:val="nil"/>
              <w:left w:val="nil"/>
              <w:bottom w:val="nil"/>
              <w:right w:val="nil"/>
            </w:tcBorders>
            <w:shd w:val="clear" w:color="auto" w:fill="auto"/>
            <w:noWrap/>
            <w:vAlign w:val="bottom"/>
          </w:tcPr>
          <w:p w14:paraId="36ED544A" w14:textId="77777777" w:rsidR="00DF251A" w:rsidRPr="00521670" w:rsidRDefault="00DF251A" w:rsidP="005B451C">
            <w:pPr>
              <w:pStyle w:val="Tabletext"/>
              <w:keepNext/>
              <w:keepLines/>
              <w:jc w:val="right"/>
              <w:rPr>
                <w:rFonts w:ascii="Times New Roman" w:hAnsi="Times New Roman"/>
                <w:b/>
                <w:bCs/>
                <w:lang w:val="ru-RU" w:eastAsia="en-GB"/>
              </w:rPr>
            </w:pPr>
          </w:p>
        </w:tc>
        <w:tc>
          <w:tcPr>
            <w:tcW w:w="560" w:type="pct"/>
            <w:tcBorders>
              <w:top w:val="nil"/>
              <w:left w:val="nil"/>
              <w:bottom w:val="nil"/>
              <w:right w:val="nil"/>
            </w:tcBorders>
            <w:shd w:val="clear" w:color="auto" w:fill="auto"/>
            <w:noWrap/>
            <w:vAlign w:val="bottom"/>
          </w:tcPr>
          <w:p w14:paraId="49C773E6" w14:textId="77777777" w:rsidR="00DF251A" w:rsidRPr="00521670" w:rsidRDefault="00DF251A" w:rsidP="005B451C">
            <w:pPr>
              <w:pStyle w:val="Tabletext"/>
              <w:keepNext/>
              <w:keepLines/>
              <w:jc w:val="right"/>
              <w:rPr>
                <w:b/>
                <w:bCs/>
                <w:lang w:val="ru-RU" w:eastAsia="en-GB"/>
              </w:rPr>
            </w:pPr>
            <w:r w:rsidRPr="00521670">
              <w:rPr>
                <w:b/>
                <w:bCs/>
                <w:lang w:val="ru-RU"/>
              </w:rPr>
              <w:t>5 651</w:t>
            </w:r>
          </w:p>
        </w:tc>
      </w:tr>
      <w:tr w:rsidR="00DF251A" w:rsidRPr="00521670" w14:paraId="3B71B9A1" w14:textId="77777777" w:rsidTr="00602C19">
        <w:trPr>
          <w:jc w:val="center"/>
        </w:trPr>
        <w:tc>
          <w:tcPr>
            <w:tcW w:w="2579" w:type="pct"/>
            <w:tcBorders>
              <w:top w:val="nil"/>
              <w:left w:val="nil"/>
              <w:bottom w:val="nil"/>
              <w:right w:val="nil"/>
            </w:tcBorders>
            <w:shd w:val="clear" w:color="auto" w:fill="auto"/>
            <w:hideMark/>
          </w:tcPr>
          <w:p w14:paraId="7A9C3A54" w14:textId="77777777" w:rsidR="00DF251A" w:rsidRPr="00521670" w:rsidRDefault="00DF251A" w:rsidP="005B451C">
            <w:pPr>
              <w:pStyle w:val="Tabletext"/>
              <w:keepNext/>
              <w:keepLines/>
              <w:rPr>
                <w:lang w:val="ru-RU" w:eastAsia="en-GB"/>
              </w:rPr>
            </w:pPr>
            <w:r w:rsidRPr="00521670">
              <w:rPr>
                <w:lang w:val="ru-RU" w:eastAsia="en-GB"/>
              </w:rPr>
              <w:t>Изменение и использование резервного фонда для сомнительных долгов</w:t>
            </w:r>
          </w:p>
        </w:tc>
        <w:tc>
          <w:tcPr>
            <w:tcW w:w="739" w:type="pct"/>
            <w:tcBorders>
              <w:top w:val="nil"/>
              <w:left w:val="nil"/>
              <w:bottom w:val="nil"/>
              <w:right w:val="nil"/>
            </w:tcBorders>
            <w:shd w:val="clear" w:color="auto" w:fill="auto"/>
            <w:noWrap/>
            <w:vAlign w:val="bottom"/>
          </w:tcPr>
          <w:p w14:paraId="567698FB" w14:textId="77777777" w:rsidR="00DF251A" w:rsidRPr="00521670" w:rsidRDefault="00DF251A" w:rsidP="005B451C">
            <w:pPr>
              <w:pStyle w:val="Tabletext"/>
              <w:keepNext/>
              <w:keepLines/>
              <w:jc w:val="right"/>
              <w:rPr>
                <w:lang w:val="ru-RU" w:eastAsia="en-GB"/>
              </w:rPr>
            </w:pPr>
            <w:r w:rsidRPr="00521670">
              <w:rPr>
                <w:lang w:val="ru-RU"/>
              </w:rPr>
              <w:t>(6 401)</w:t>
            </w:r>
          </w:p>
        </w:tc>
        <w:tc>
          <w:tcPr>
            <w:tcW w:w="561" w:type="pct"/>
            <w:tcBorders>
              <w:top w:val="nil"/>
              <w:left w:val="nil"/>
              <w:bottom w:val="nil"/>
              <w:right w:val="nil"/>
            </w:tcBorders>
            <w:shd w:val="clear" w:color="auto" w:fill="auto"/>
            <w:noWrap/>
            <w:vAlign w:val="bottom"/>
          </w:tcPr>
          <w:p w14:paraId="1ED7C7C0"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5716E02C" w14:textId="77777777" w:rsidR="00DF251A" w:rsidRPr="00521670" w:rsidRDefault="00DF251A" w:rsidP="005B451C">
            <w:pPr>
              <w:pStyle w:val="Tabletext"/>
              <w:keepNext/>
              <w:keepLines/>
              <w:jc w:val="right"/>
              <w:rPr>
                <w:rFonts w:ascii="Times New Roman" w:hAnsi="Times New Roman"/>
                <w:lang w:val="ru-RU" w:eastAsia="en-GB"/>
              </w:rPr>
            </w:pPr>
          </w:p>
        </w:tc>
        <w:tc>
          <w:tcPr>
            <w:tcW w:w="560" w:type="pct"/>
            <w:tcBorders>
              <w:top w:val="nil"/>
              <w:left w:val="nil"/>
              <w:bottom w:val="nil"/>
              <w:right w:val="nil"/>
            </w:tcBorders>
            <w:shd w:val="clear" w:color="auto" w:fill="auto"/>
            <w:noWrap/>
            <w:vAlign w:val="bottom"/>
          </w:tcPr>
          <w:p w14:paraId="23A2E681" w14:textId="77777777" w:rsidR="00DF251A" w:rsidRPr="00521670" w:rsidRDefault="00DF251A" w:rsidP="005B451C">
            <w:pPr>
              <w:pStyle w:val="Tabletext"/>
              <w:keepNext/>
              <w:keepLines/>
              <w:jc w:val="right"/>
              <w:rPr>
                <w:lang w:val="ru-RU" w:eastAsia="en-GB"/>
              </w:rPr>
            </w:pPr>
            <w:r w:rsidRPr="00521670">
              <w:rPr>
                <w:lang w:val="ru-RU"/>
              </w:rPr>
              <w:t>(6 401)</w:t>
            </w:r>
          </w:p>
        </w:tc>
      </w:tr>
      <w:tr w:rsidR="00DF251A" w:rsidRPr="00521670" w14:paraId="2671EF7E" w14:textId="77777777" w:rsidTr="00602C19">
        <w:trPr>
          <w:jc w:val="center"/>
        </w:trPr>
        <w:tc>
          <w:tcPr>
            <w:tcW w:w="2579" w:type="pct"/>
            <w:tcBorders>
              <w:top w:val="nil"/>
              <w:left w:val="nil"/>
              <w:bottom w:val="nil"/>
              <w:right w:val="nil"/>
            </w:tcBorders>
            <w:shd w:val="clear" w:color="auto" w:fill="auto"/>
            <w:hideMark/>
          </w:tcPr>
          <w:p w14:paraId="14EB3C5E" w14:textId="77777777" w:rsidR="00DF251A" w:rsidRPr="00521670" w:rsidRDefault="00DF251A" w:rsidP="005B451C">
            <w:pPr>
              <w:pStyle w:val="Tabletext"/>
              <w:keepNext/>
              <w:keepLines/>
              <w:rPr>
                <w:lang w:val="ru-RU" w:eastAsia="en-GB"/>
              </w:rPr>
            </w:pPr>
            <w:r w:rsidRPr="00521670">
              <w:rPr>
                <w:lang w:val="ru-RU" w:eastAsia="en-GB"/>
              </w:rPr>
              <w:t>Капитализация материальных/нематериальных активов</w:t>
            </w:r>
          </w:p>
        </w:tc>
        <w:tc>
          <w:tcPr>
            <w:tcW w:w="739" w:type="pct"/>
            <w:tcBorders>
              <w:top w:val="nil"/>
              <w:left w:val="nil"/>
              <w:bottom w:val="nil"/>
              <w:right w:val="nil"/>
            </w:tcBorders>
            <w:shd w:val="clear" w:color="auto" w:fill="auto"/>
            <w:noWrap/>
            <w:vAlign w:val="bottom"/>
          </w:tcPr>
          <w:p w14:paraId="1F77A4B0"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4BF5B2CD" w14:textId="77777777" w:rsidR="00DF251A" w:rsidRPr="00521670" w:rsidRDefault="00DF251A" w:rsidP="005B451C">
            <w:pPr>
              <w:pStyle w:val="Tabletext"/>
              <w:keepNext/>
              <w:keepLines/>
              <w:jc w:val="right"/>
              <w:rPr>
                <w:lang w:val="ru-RU" w:eastAsia="en-GB"/>
              </w:rPr>
            </w:pPr>
            <w:r w:rsidRPr="00521670">
              <w:rPr>
                <w:lang w:val="ru-RU"/>
              </w:rPr>
              <w:t>6 091</w:t>
            </w:r>
          </w:p>
        </w:tc>
        <w:tc>
          <w:tcPr>
            <w:tcW w:w="561" w:type="pct"/>
            <w:tcBorders>
              <w:top w:val="nil"/>
              <w:left w:val="nil"/>
              <w:bottom w:val="nil"/>
              <w:right w:val="nil"/>
            </w:tcBorders>
            <w:shd w:val="clear" w:color="auto" w:fill="auto"/>
            <w:noWrap/>
            <w:vAlign w:val="bottom"/>
          </w:tcPr>
          <w:p w14:paraId="2BD94B86" w14:textId="77777777" w:rsidR="00DF251A" w:rsidRPr="00521670" w:rsidRDefault="00DF251A" w:rsidP="005B451C">
            <w:pPr>
              <w:pStyle w:val="Tabletext"/>
              <w:keepNext/>
              <w:keepLines/>
              <w:jc w:val="right"/>
              <w:rPr>
                <w:lang w:val="ru-RU" w:eastAsia="en-GB"/>
              </w:rPr>
            </w:pPr>
          </w:p>
        </w:tc>
        <w:tc>
          <w:tcPr>
            <w:tcW w:w="560" w:type="pct"/>
            <w:tcBorders>
              <w:top w:val="nil"/>
              <w:left w:val="nil"/>
              <w:bottom w:val="nil"/>
              <w:right w:val="nil"/>
            </w:tcBorders>
            <w:shd w:val="clear" w:color="auto" w:fill="auto"/>
            <w:noWrap/>
            <w:vAlign w:val="bottom"/>
          </w:tcPr>
          <w:p w14:paraId="4A33207B" w14:textId="77777777" w:rsidR="00DF251A" w:rsidRPr="00521670" w:rsidRDefault="00DF251A" w:rsidP="005B451C">
            <w:pPr>
              <w:pStyle w:val="Tabletext"/>
              <w:keepNext/>
              <w:keepLines/>
              <w:jc w:val="right"/>
              <w:rPr>
                <w:lang w:val="ru-RU" w:eastAsia="en-GB"/>
              </w:rPr>
            </w:pPr>
            <w:r w:rsidRPr="00521670">
              <w:rPr>
                <w:lang w:val="ru-RU"/>
              </w:rPr>
              <w:t>6 091</w:t>
            </w:r>
          </w:p>
        </w:tc>
      </w:tr>
      <w:tr w:rsidR="00DF251A" w:rsidRPr="00521670" w14:paraId="4CA00C1A" w14:textId="77777777" w:rsidTr="00602C19">
        <w:trPr>
          <w:jc w:val="center"/>
        </w:trPr>
        <w:tc>
          <w:tcPr>
            <w:tcW w:w="2579" w:type="pct"/>
            <w:tcBorders>
              <w:top w:val="nil"/>
              <w:left w:val="nil"/>
              <w:bottom w:val="nil"/>
              <w:right w:val="nil"/>
            </w:tcBorders>
            <w:shd w:val="clear" w:color="auto" w:fill="auto"/>
            <w:hideMark/>
          </w:tcPr>
          <w:p w14:paraId="7BFD8252" w14:textId="77777777" w:rsidR="00DF251A" w:rsidRPr="00521670" w:rsidRDefault="00DF251A" w:rsidP="005B451C">
            <w:pPr>
              <w:pStyle w:val="Tabletext"/>
              <w:keepNext/>
              <w:keepLines/>
              <w:rPr>
                <w:lang w:val="ru-RU" w:eastAsia="en-GB"/>
              </w:rPr>
            </w:pPr>
            <w:r w:rsidRPr="00521670">
              <w:rPr>
                <w:lang w:val="ru-RU" w:eastAsia="en-GB"/>
              </w:rPr>
              <w:t>Амортизация</w:t>
            </w:r>
          </w:p>
        </w:tc>
        <w:tc>
          <w:tcPr>
            <w:tcW w:w="739" w:type="pct"/>
            <w:tcBorders>
              <w:top w:val="nil"/>
              <w:left w:val="nil"/>
              <w:bottom w:val="nil"/>
              <w:right w:val="nil"/>
            </w:tcBorders>
            <w:shd w:val="clear" w:color="auto" w:fill="auto"/>
            <w:noWrap/>
            <w:vAlign w:val="bottom"/>
          </w:tcPr>
          <w:p w14:paraId="477D83EB" w14:textId="77777777" w:rsidR="00DF251A" w:rsidRPr="00521670" w:rsidRDefault="00DF251A" w:rsidP="005B451C">
            <w:pPr>
              <w:pStyle w:val="Tabletext"/>
              <w:keepNext/>
              <w:keepLines/>
              <w:jc w:val="right"/>
              <w:rPr>
                <w:lang w:val="ru-RU" w:eastAsia="en-GB"/>
              </w:rPr>
            </w:pPr>
            <w:r w:rsidRPr="00521670">
              <w:rPr>
                <w:lang w:val="ru-RU"/>
              </w:rPr>
              <w:t>(5 285)</w:t>
            </w:r>
          </w:p>
        </w:tc>
        <w:tc>
          <w:tcPr>
            <w:tcW w:w="561" w:type="pct"/>
            <w:tcBorders>
              <w:top w:val="nil"/>
              <w:left w:val="nil"/>
              <w:bottom w:val="nil"/>
              <w:right w:val="nil"/>
            </w:tcBorders>
            <w:shd w:val="clear" w:color="auto" w:fill="auto"/>
            <w:noWrap/>
            <w:vAlign w:val="bottom"/>
          </w:tcPr>
          <w:p w14:paraId="353A993A"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24150B28" w14:textId="77777777" w:rsidR="00DF251A" w:rsidRPr="00521670" w:rsidRDefault="00DF251A" w:rsidP="005B451C">
            <w:pPr>
              <w:pStyle w:val="Tabletext"/>
              <w:keepNext/>
              <w:keepLines/>
              <w:jc w:val="right"/>
              <w:rPr>
                <w:rFonts w:ascii="Times New Roman" w:hAnsi="Times New Roman"/>
                <w:lang w:val="ru-RU" w:eastAsia="en-GB"/>
              </w:rPr>
            </w:pPr>
          </w:p>
        </w:tc>
        <w:tc>
          <w:tcPr>
            <w:tcW w:w="560" w:type="pct"/>
            <w:tcBorders>
              <w:top w:val="nil"/>
              <w:left w:val="nil"/>
              <w:bottom w:val="nil"/>
              <w:right w:val="nil"/>
            </w:tcBorders>
            <w:shd w:val="clear" w:color="auto" w:fill="auto"/>
            <w:noWrap/>
            <w:vAlign w:val="bottom"/>
          </w:tcPr>
          <w:p w14:paraId="5659C323" w14:textId="77777777" w:rsidR="00DF251A" w:rsidRPr="00521670" w:rsidRDefault="00DF251A" w:rsidP="005B451C">
            <w:pPr>
              <w:pStyle w:val="Tabletext"/>
              <w:keepNext/>
              <w:keepLines/>
              <w:jc w:val="right"/>
              <w:rPr>
                <w:lang w:val="ru-RU" w:eastAsia="en-GB"/>
              </w:rPr>
            </w:pPr>
            <w:r w:rsidRPr="00521670">
              <w:rPr>
                <w:lang w:val="ru-RU"/>
              </w:rPr>
              <w:t>(5 285)</w:t>
            </w:r>
          </w:p>
        </w:tc>
      </w:tr>
      <w:tr w:rsidR="00DF251A" w:rsidRPr="00521670" w14:paraId="64BCC809" w14:textId="77777777" w:rsidTr="00602C19">
        <w:trPr>
          <w:jc w:val="center"/>
        </w:trPr>
        <w:tc>
          <w:tcPr>
            <w:tcW w:w="2579" w:type="pct"/>
            <w:tcBorders>
              <w:top w:val="nil"/>
              <w:left w:val="nil"/>
              <w:bottom w:val="nil"/>
              <w:right w:val="nil"/>
            </w:tcBorders>
            <w:shd w:val="clear" w:color="auto" w:fill="auto"/>
            <w:hideMark/>
          </w:tcPr>
          <w:p w14:paraId="32FD1AFC" w14:textId="77777777" w:rsidR="00DF251A" w:rsidRPr="00521670" w:rsidRDefault="00DF251A" w:rsidP="005B451C">
            <w:pPr>
              <w:pStyle w:val="Tabletext"/>
              <w:keepNext/>
              <w:keepLines/>
              <w:rPr>
                <w:lang w:val="ru-RU" w:eastAsia="en-GB"/>
              </w:rPr>
            </w:pPr>
            <w:r w:rsidRPr="00521670">
              <w:rPr>
                <w:lang w:val="ru-RU" w:eastAsia="en-GB"/>
              </w:rPr>
              <w:t>Курсовые прибыли и убытки</w:t>
            </w:r>
          </w:p>
        </w:tc>
        <w:tc>
          <w:tcPr>
            <w:tcW w:w="739" w:type="pct"/>
            <w:tcBorders>
              <w:top w:val="nil"/>
              <w:left w:val="nil"/>
              <w:bottom w:val="nil"/>
              <w:right w:val="nil"/>
            </w:tcBorders>
            <w:shd w:val="clear" w:color="auto" w:fill="auto"/>
            <w:noWrap/>
            <w:vAlign w:val="bottom"/>
          </w:tcPr>
          <w:p w14:paraId="330111B6" w14:textId="77777777" w:rsidR="00DF251A" w:rsidRPr="00521670" w:rsidRDefault="00DF251A" w:rsidP="005B451C">
            <w:pPr>
              <w:pStyle w:val="Tabletext"/>
              <w:keepNext/>
              <w:keepLines/>
              <w:jc w:val="right"/>
              <w:rPr>
                <w:lang w:val="ru-RU" w:eastAsia="en-GB"/>
              </w:rPr>
            </w:pPr>
            <w:r w:rsidRPr="00521670">
              <w:rPr>
                <w:lang w:val="ru-RU"/>
              </w:rPr>
              <w:t>5 909</w:t>
            </w:r>
          </w:p>
        </w:tc>
        <w:tc>
          <w:tcPr>
            <w:tcW w:w="561" w:type="pct"/>
            <w:tcBorders>
              <w:top w:val="nil"/>
              <w:left w:val="nil"/>
              <w:bottom w:val="nil"/>
              <w:right w:val="nil"/>
            </w:tcBorders>
            <w:shd w:val="clear" w:color="auto" w:fill="auto"/>
            <w:noWrap/>
            <w:vAlign w:val="bottom"/>
          </w:tcPr>
          <w:p w14:paraId="4B1136A1"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6E698B36" w14:textId="77777777" w:rsidR="00DF251A" w:rsidRPr="00521670" w:rsidRDefault="00DF251A" w:rsidP="005B451C">
            <w:pPr>
              <w:pStyle w:val="Tabletext"/>
              <w:keepNext/>
              <w:keepLines/>
              <w:jc w:val="right"/>
              <w:rPr>
                <w:rFonts w:ascii="Times New Roman" w:hAnsi="Times New Roman"/>
                <w:lang w:val="ru-RU" w:eastAsia="en-GB"/>
              </w:rPr>
            </w:pPr>
          </w:p>
        </w:tc>
        <w:tc>
          <w:tcPr>
            <w:tcW w:w="560" w:type="pct"/>
            <w:tcBorders>
              <w:top w:val="nil"/>
              <w:left w:val="nil"/>
              <w:bottom w:val="nil"/>
              <w:right w:val="nil"/>
            </w:tcBorders>
            <w:shd w:val="clear" w:color="auto" w:fill="auto"/>
            <w:noWrap/>
            <w:vAlign w:val="bottom"/>
          </w:tcPr>
          <w:p w14:paraId="620E96D1" w14:textId="77777777" w:rsidR="00DF251A" w:rsidRPr="00521670" w:rsidRDefault="00DF251A" w:rsidP="005B451C">
            <w:pPr>
              <w:pStyle w:val="Tabletext"/>
              <w:keepNext/>
              <w:keepLines/>
              <w:jc w:val="right"/>
              <w:rPr>
                <w:lang w:val="ru-RU" w:eastAsia="en-GB"/>
              </w:rPr>
            </w:pPr>
            <w:r w:rsidRPr="00521670">
              <w:rPr>
                <w:lang w:val="ru-RU"/>
              </w:rPr>
              <w:t>5 909</w:t>
            </w:r>
          </w:p>
        </w:tc>
      </w:tr>
      <w:tr w:rsidR="00DF251A" w:rsidRPr="00521670" w14:paraId="6BC21AC9" w14:textId="77777777" w:rsidTr="00602C19">
        <w:trPr>
          <w:jc w:val="center"/>
        </w:trPr>
        <w:tc>
          <w:tcPr>
            <w:tcW w:w="2579" w:type="pct"/>
            <w:tcBorders>
              <w:top w:val="nil"/>
              <w:left w:val="nil"/>
              <w:bottom w:val="nil"/>
              <w:right w:val="nil"/>
            </w:tcBorders>
            <w:shd w:val="clear" w:color="auto" w:fill="auto"/>
            <w:hideMark/>
          </w:tcPr>
          <w:p w14:paraId="3952E1A1" w14:textId="77777777" w:rsidR="00DF251A" w:rsidRPr="00521670" w:rsidRDefault="00DF251A" w:rsidP="005B451C">
            <w:pPr>
              <w:pStyle w:val="Tabletext"/>
              <w:keepNext/>
              <w:keepLines/>
              <w:rPr>
                <w:lang w:val="ru-RU" w:eastAsia="en-GB"/>
              </w:rPr>
            </w:pPr>
            <w:r w:rsidRPr="00521670">
              <w:rPr>
                <w:lang w:val="ru-RU" w:eastAsia="en-GB"/>
              </w:rPr>
              <w:t>АСХИ</w:t>
            </w:r>
          </w:p>
        </w:tc>
        <w:tc>
          <w:tcPr>
            <w:tcW w:w="739" w:type="pct"/>
            <w:tcBorders>
              <w:top w:val="nil"/>
              <w:left w:val="nil"/>
              <w:bottom w:val="nil"/>
              <w:right w:val="nil"/>
            </w:tcBorders>
            <w:shd w:val="clear" w:color="auto" w:fill="auto"/>
            <w:noWrap/>
            <w:vAlign w:val="bottom"/>
          </w:tcPr>
          <w:p w14:paraId="3BA6A798" w14:textId="77777777" w:rsidR="00DF251A" w:rsidRPr="00521670" w:rsidRDefault="00DF251A" w:rsidP="005B451C">
            <w:pPr>
              <w:pStyle w:val="Tabletext"/>
              <w:keepNext/>
              <w:keepLines/>
              <w:jc w:val="right"/>
              <w:rPr>
                <w:lang w:val="ru-RU" w:eastAsia="en-GB"/>
              </w:rPr>
            </w:pPr>
            <w:r w:rsidRPr="00521670">
              <w:rPr>
                <w:lang w:val="ru-RU"/>
              </w:rPr>
              <w:t>(7 816)</w:t>
            </w:r>
          </w:p>
        </w:tc>
        <w:tc>
          <w:tcPr>
            <w:tcW w:w="561" w:type="pct"/>
            <w:tcBorders>
              <w:top w:val="nil"/>
              <w:left w:val="nil"/>
              <w:bottom w:val="nil"/>
              <w:right w:val="nil"/>
            </w:tcBorders>
            <w:shd w:val="clear" w:color="auto" w:fill="auto"/>
            <w:noWrap/>
            <w:vAlign w:val="bottom"/>
          </w:tcPr>
          <w:p w14:paraId="03783E5A"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36FCA4CA" w14:textId="77777777" w:rsidR="00DF251A" w:rsidRPr="00521670" w:rsidRDefault="00DF251A" w:rsidP="005B451C">
            <w:pPr>
              <w:pStyle w:val="Tabletext"/>
              <w:keepNext/>
              <w:keepLines/>
              <w:jc w:val="right"/>
              <w:rPr>
                <w:rFonts w:ascii="Times New Roman" w:hAnsi="Times New Roman"/>
                <w:lang w:val="ru-RU" w:eastAsia="en-GB"/>
              </w:rPr>
            </w:pPr>
          </w:p>
        </w:tc>
        <w:tc>
          <w:tcPr>
            <w:tcW w:w="560" w:type="pct"/>
            <w:tcBorders>
              <w:top w:val="nil"/>
              <w:left w:val="nil"/>
              <w:bottom w:val="nil"/>
              <w:right w:val="nil"/>
            </w:tcBorders>
            <w:shd w:val="clear" w:color="auto" w:fill="auto"/>
            <w:noWrap/>
            <w:vAlign w:val="bottom"/>
          </w:tcPr>
          <w:p w14:paraId="154AA5AA" w14:textId="77777777" w:rsidR="00DF251A" w:rsidRPr="00521670" w:rsidRDefault="00DF251A" w:rsidP="005B451C">
            <w:pPr>
              <w:pStyle w:val="Tabletext"/>
              <w:keepNext/>
              <w:keepLines/>
              <w:jc w:val="right"/>
              <w:rPr>
                <w:lang w:val="ru-RU" w:eastAsia="en-GB"/>
              </w:rPr>
            </w:pPr>
            <w:r w:rsidRPr="00521670">
              <w:rPr>
                <w:lang w:val="ru-RU"/>
              </w:rPr>
              <w:t>(7 816)</w:t>
            </w:r>
          </w:p>
        </w:tc>
      </w:tr>
      <w:tr w:rsidR="00DF251A" w:rsidRPr="00521670" w14:paraId="51CA3500" w14:textId="77777777" w:rsidTr="00602C19">
        <w:trPr>
          <w:jc w:val="center"/>
        </w:trPr>
        <w:tc>
          <w:tcPr>
            <w:tcW w:w="2579" w:type="pct"/>
            <w:tcBorders>
              <w:top w:val="nil"/>
              <w:left w:val="nil"/>
              <w:bottom w:val="nil"/>
              <w:right w:val="nil"/>
            </w:tcBorders>
            <w:shd w:val="clear" w:color="auto" w:fill="auto"/>
            <w:hideMark/>
          </w:tcPr>
          <w:p w14:paraId="108A7B6C" w14:textId="77777777" w:rsidR="00DF251A" w:rsidRPr="00521670" w:rsidRDefault="00DF251A" w:rsidP="005B451C">
            <w:pPr>
              <w:pStyle w:val="Tabletext"/>
              <w:keepNext/>
              <w:keepLines/>
              <w:rPr>
                <w:lang w:val="ru-RU" w:eastAsia="en-GB"/>
              </w:rPr>
            </w:pPr>
            <w:r w:rsidRPr="00521670">
              <w:rPr>
                <w:lang w:val="ru-RU" w:eastAsia="en-GB"/>
              </w:rPr>
              <w:t>Выплата ссуды ФИПОИ, не рассматриваемая как расходы</w:t>
            </w:r>
          </w:p>
        </w:tc>
        <w:tc>
          <w:tcPr>
            <w:tcW w:w="739" w:type="pct"/>
            <w:tcBorders>
              <w:top w:val="nil"/>
              <w:left w:val="nil"/>
              <w:bottom w:val="nil"/>
              <w:right w:val="nil"/>
            </w:tcBorders>
            <w:shd w:val="clear" w:color="auto" w:fill="auto"/>
            <w:noWrap/>
            <w:vAlign w:val="bottom"/>
          </w:tcPr>
          <w:p w14:paraId="2BAD8F04"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3C544972" w14:textId="77777777" w:rsidR="00DF251A" w:rsidRPr="00521670" w:rsidRDefault="00DF251A" w:rsidP="005B451C">
            <w:pPr>
              <w:pStyle w:val="Tabletext"/>
              <w:keepNext/>
              <w:keepLines/>
              <w:jc w:val="right"/>
              <w:rPr>
                <w:rFonts w:ascii="Times New Roman" w:hAnsi="Times New Roman"/>
                <w:lang w:val="ru-RU" w:eastAsia="en-GB"/>
              </w:rPr>
            </w:pPr>
          </w:p>
        </w:tc>
        <w:tc>
          <w:tcPr>
            <w:tcW w:w="561" w:type="pct"/>
            <w:tcBorders>
              <w:top w:val="nil"/>
              <w:left w:val="nil"/>
              <w:bottom w:val="nil"/>
              <w:right w:val="nil"/>
            </w:tcBorders>
            <w:shd w:val="clear" w:color="auto" w:fill="auto"/>
            <w:noWrap/>
            <w:vAlign w:val="bottom"/>
          </w:tcPr>
          <w:p w14:paraId="08926EB6" w14:textId="77777777" w:rsidR="00DF251A" w:rsidRPr="00521670" w:rsidRDefault="00DF251A" w:rsidP="005B451C">
            <w:pPr>
              <w:pStyle w:val="Tabletext"/>
              <w:keepNext/>
              <w:keepLines/>
              <w:jc w:val="right"/>
              <w:rPr>
                <w:lang w:val="ru-RU" w:eastAsia="en-GB"/>
              </w:rPr>
            </w:pPr>
            <w:r w:rsidRPr="00521670">
              <w:rPr>
                <w:lang w:val="ru-RU"/>
              </w:rPr>
              <w:t>1 391</w:t>
            </w:r>
          </w:p>
        </w:tc>
        <w:tc>
          <w:tcPr>
            <w:tcW w:w="560" w:type="pct"/>
            <w:tcBorders>
              <w:top w:val="nil"/>
              <w:left w:val="nil"/>
              <w:bottom w:val="nil"/>
              <w:right w:val="nil"/>
            </w:tcBorders>
            <w:shd w:val="clear" w:color="auto" w:fill="auto"/>
            <w:noWrap/>
            <w:vAlign w:val="bottom"/>
          </w:tcPr>
          <w:p w14:paraId="74ADFCDA" w14:textId="77777777" w:rsidR="00DF251A" w:rsidRPr="00521670" w:rsidRDefault="00DF251A" w:rsidP="005B451C">
            <w:pPr>
              <w:pStyle w:val="Tabletext"/>
              <w:keepNext/>
              <w:keepLines/>
              <w:jc w:val="right"/>
              <w:rPr>
                <w:lang w:val="ru-RU" w:eastAsia="en-GB"/>
              </w:rPr>
            </w:pPr>
            <w:r w:rsidRPr="00521670">
              <w:rPr>
                <w:lang w:val="ru-RU"/>
              </w:rPr>
              <w:t>1 391</w:t>
            </w:r>
          </w:p>
        </w:tc>
      </w:tr>
      <w:tr w:rsidR="00DF251A" w:rsidRPr="00521670" w14:paraId="6B618F2B" w14:textId="77777777" w:rsidTr="00602C19">
        <w:trPr>
          <w:jc w:val="center"/>
        </w:trPr>
        <w:tc>
          <w:tcPr>
            <w:tcW w:w="2579" w:type="pct"/>
            <w:tcBorders>
              <w:top w:val="nil"/>
              <w:left w:val="nil"/>
              <w:bottom w:val="nil"/>
              <w:right w:val="nil"/>
            </w:tcBorders>
            <w:shd w:val="clear" w:color="auto" w:fill="auto"/>
          </w:tcPr>
          <w:p w14:paraId="556019F0" w14:textId="77777777" w:rsidR="00DF251A" w:rsidRPr="00521670" w:rsidRDefault="00DF251A" w:rsidP="005B451C">
            <w:pPr>
              <w:pStyle w:val="Tabletext"/>
              <w:keepNext/>
              <w:keepLines/>
              <w:rPr>
                <w:lang w:val="ru-RU" w:eastAsia="en-GB"/>
              </w:rPr>
            </w:pPr>
            <w:r w:rsidRPr="00521670">
              <w:rPr>
                <w:lang w:val="ru-RU" w:eastAsia="en-GB"/>
              </w:rPr>
              <w:t>Обесценение</w:t>
            </w:r>
          </w:p>
        </w:tc>
        <w:tc>
          <w:tcPr>
            <w:tcW w:w="739" w:type="pct"/>
            <w:tcBorders>
              <w:top w:val="nil"/>
              <w:left w:val="nil"/>
              <w:bottom w:val="nil"/>
              <w:right w:val="nil"/>
            </w:tcBorders>
            <w:shd w:val="clear" w:color="auto" w:fill="auto"/>
            <w:noWrap/>
            <w:vAlign w:val="bottom"/>
          </w:tcPr>
          <w:p w14:paraId="62CFFD54" w14:textId="77777777" w:rsidR="00DF251A" w:rsidRPr="00521670" w:rsidRDefault="00DF251A" w:rsidP="005B451C">
            <w:pPr>
              <w:pStyle w:val="Tabletext"/>
              <w:keepNext/>
              <w:keepLines/>
              <w:jc w:val="right"/>
              <w:rPr>
                <w:lang w:val="ru-RU" w:eastAsia="en-GB"/>
              </w:rPr>
            </w:pPr>
            <w:r w:rsidRPr="00521670">
              <w:rPr>
                <w:lang w:val="ru-RU"/>
              </w:rPr>
              <w:t>(21 009)</w:t>
            </w:r>
          </w:p>
        </w:tc>
        <w:tc>
          <w:tcPr>
            <w:tcW w:w="561" w:type="pct"/>
            <w:tcBorders>
              <w:top w:val="nil"/>
              <w:left w:val="nil"/>
              <w:bottom w:val="nil"/>
              <w:right w:val="nil"/>
            </w:tcBorders>
            <w:shd w:val="clear" w:color="auto" w:fill="auto"/>
            <w:noWrap/>
            <w:vAlign w:val="bottom"/>
          </w:tcPr>
          <w:p w14:paraId="603663FE" w14:textId="77777777" w:rsidR="00DF251A" w:rsidRPr="00521670" w:rsidRDefault="00DF251A" w:rsidP="005B451C">
            <w:pPr>
              <w:pStyle w:val="Tabletext"/>
              <w:keepNext/>
              <w:keepLines/>
              <w:jc w:val="right"/>
              <w:rPr>
                <w:rFonts w:ascii="Times New Roman" w:hAnsi="Times New Roman"/>
                <w:lang w:val="ru-RU" w:eastAsia="en-GB"/>
              </w:rPr>
            </w:pPr>
          </w:p>
        </w:tc>
        <w:tc>
          <w:tcPr>
            <w:tcW w:w="561" w:type="pct"/>
            <w:tcBorders>
              <w:top w:val="nil"/>
              <w:left w:val="nil"/>
              <w:bottom w:val="nil"/>
              <w:right w:val="nil"/>
            </w:tcBorders>
            <w:shd w:val="clear" w:color="auto" w:fill="auto"/>
            <w:noWrap/>
            <w:vAlign w:val="bottom"/>
          </w:tcPr>
          <w:p w14:paraId="21A6F75E" w14:textId="77777777" w:rsidR="00DF251A" w:rsidRPr="00521670" w:rsidRDefault="00DF251A" w:rsidP="005B451C">
            <w:pPr>
              <w:pStyle w:val="Tabletext"/>
              <w:keepNext/>
              <w:keepLines/>
              <w:jc w:val="right"/>
              <w:rPr>
                <w:lang w:val="ru-RU" w:eastAsia="en-GB"/>
              </w:rPr>
            </w:pPr>
          </w:p>
        </w:tc>
        <w:tc>
          <w:tcPr>
            <w:tcW w:w="560" w:type="pct"/>
            <w:tcBorders>
              <w:top w:val="nil"/>
              <w:left w:val="nil"/>
              <w:bottom w:val="nil"/>
              <w:right w:val="nil"/>
            </w:tcBorders>
            <w:shd w:val="clear" w:color="auto" w:fill="auto"/>
            <w:noWrap/>
            <w:vAlign w:val="bottom"/>
          </w:tcPr>
          <w:p w14:paraId="1D6CA0CD" w14:textId="77777777" w:rsidR="00DF251A" w:rsidRPr="00521670" w:rsidRDefault="00DF251A" w:rsidP="005B451C">
            <w:pPr>
              <w:pStyle w:val="Tabletext"/>
              <w:keepNext/>
              <w:keepLines/>
              <w:jc w:val="right"/>
              <w:rPr>
                <w:lang w:val="ru-RU" w:eastAsia="en-GB"/>
              </w:rPr>
            </w:pPr>
            <w:r w:rsidRPr="00521670">
              <w:rPr>
                <w:lang w:val="ru-RU"/>
              </w:rPr>
              <w:t>(21 009)</w:t>
            </w:r>
          </w:p>
        </w:tc>
      </w:tr>
      <w:tr w:rsidR="00DF251A" w:rsidRPr="00521670" w14:paraId="766E20DB" w14:textId="77777777" w:rsidTr="00602C19">
        <w:trPr>
          <w:jc w:val="center"/>
        </w:trPr>
        <w:tc>
          <w:tcPr>
            <w:tcW w:w="2579" w:type="pct"/>
            <w:tcBorders>
              <w:top w:val="nil"/>
              <w:left w:val="nil"/>
              <w:bottom w:val="nil"/>
              <w:right w:val="nil"/>
            </w:tcBorders>
            <w:shd w:val="clear" w:color="auto" w:fill="auto"/>
          </w:tcPr>
          <w:p w14:paraId="18BE5564" w14:textId="77777777" w:rsidR="00DF251A" w:rsidRPr="00521670" w:rsidRDefault="00DF251A" w:rsidP="000E3FE2">
            <w:pPr>
              <w:pStyle w:val="Tabletext"/>
              <w:keepNext/>
              <w:keepLines/>
              <w:rPr>
                <w:lang w:val="ru-RU" w:eastAsia="en-GB"/>
              </w:rPr>
            </w:pPr>
            <w:r w:rsidRPr="00521670">
              <w:rPr>
                <w:lang w:val="ru-RU"/>
              </w:rPr>
              <w:t>Резерв для возврата суммы спонсорской поддержки на строительство нового здания</w:t>
            </w:r>
          </w:p>
        </w:tc>
        <w:tc>
          <w:tcPr>
            <w:tcW w:w="739" w:type="pct"/>
            <w:tcBorders>
              <w:top w:val="nil"/>
              <w:left w:val="nil"/>
              <w:bottom w:val="nil"/>
              <w:right w:val="nil"/>
            </w:tcBorders>
            <w:shd w:val="clear" w:color="auto" w:fill="auto"/>
            <w:noWrap/>
            <w:vAlign w:val="bottom"/>
          </w:tcPr>
          <w:p w14:paraId="58DE9F0A" w14:textId="77777777" w:rsidR="00DF251A" w:rsidRPr="00521670" w:rsidRDefault="00DF251A" w:rsidP="005B451C">
            <w:pPr>
              <w:pStyle w:val="Tabletext"/>
              <w:keepNext/>
              <w:keepLines/>
              <w:jc w:val="right"/>
              <w:rPr>
                <w:lang w:val="ru-RU" w:eastAsia="en-GB"/>
              </w:rPr>
            </w:pPr>
            <w:r w:rsidRPr="00521670">
              <w:rPr>
                <w:lang w:val="ru-RU"/>
              </w:rPr>
              <w:t>(5 000)</w:t>
            </w:r>
          </w:p>
        </w:tc>
        <w:tc>
          <w:tcPr>
            <w:tcW w:w="561" w:type="pct"/>
            <w:tcBorders>
              <w:top w:val="nil"/>
              <w:left w:val="nil"/>
              <w:bottom w:val="nil"/>
              <w:right w:val="nil"/>
            </w:tcBorders>
            <w:shd w:val="clear" w:color="auto" w:fill="auto"/>
            <w:noWrap/>
            <w:vAlign w:val="bottom"/>
          </w:tcPr>
          <w:p w14:paraId="6F8827EF" w14:textId="77777777" w:rsidR="00DF251A" w:rsidRPr="00521670" w:rsidRDefault="00DF251A" w:rsidP="005B451C">
            <w:pPr>
              <w:pStyle w:val="Tabletext"/>
              <w:keepNext/>
              <w:keepLines/>
              <w:jc w:val="right"/>
              <w:rPr>
                <w:rFonts w:ascii="Times New Roman" w:hAnsi="Times New Roman"/>
                <w:lang w:val="ru-RU" w:eastAsia="en-GB"/>
              </w:rPr>
            </w:pPr>
          </w:p>
        </w:tc>
        <w:tc>
          <w:tcPr>
            <w:tcW w:w="561" w:type="pct"/>
            <w:tcBorders>
              <w:top w:val="nil"/>
              <w:left w:val="nil"/>
              <w:bottom w:val="nil"/>
              <w:right w:val="nil"/>
            </w:tcBorders>
            <w:shd w:val="clear" w:color="auto" w:fill="auto"/>
            <w:noWrap/>
            <w:vAlign w:val="bottom"/>
          </w:tcPr>
          <w:p w14:paraId="5570EBD7" w14:textId="77777777" w:rsidR="00DF251A" w:rsidRPr="00521670" w:rsidRDefault="00DF251A" w:rsidP="005B451C">
            <w:pPr>
              <w:pStyle w:val="Tabletext"/>
              <w:keepNext/>
              <w:keepLines/>
              <w:jc w:val="right"/>
              <w:rPr>
                <w:lang w:val="ru-RU" w:eastAsia="en-GB"/>
              </w:rPr>
            </w:pPr>
          </w:p>
        </w:tc>
        <w:tc>
          <w:tcPr>
            <w:tcW w:w="560" w:type="pct"/>
            <w:tcBorders>
              <w:top w:val="nil"/>
              <w:left w:val="nil"/>
              <w:bottom w:val="nil"/>
              <w:right w:val="nil"/>
            </w:tcBorders>
            <w:shd w:val="clear" w:color="auto" w:fill="auto"/>
            <w:noWrap/>
            <w:vAlign w:val="bottom"/>
          </w:tcPr>
          <w:p w14:paraId="68148639" w14:textId="77777777" w:rsidR="00DF251A" w:rsidRPr="00521670" w:rsidRDefault="00DF251A" w:rsidP="005B451C">
            <w:pPr>
              <w:pStyle w:val="Tabletext"/>
              <w:keepNext/>
              <w:keepLines/>
              <w:jc w:val="right"/>
              <w:rPr>
                <w:lang w:val="ru-RU" w:eastAsia="en-GB"/>
              </w:rPr>
            </w:pPr>
            <w:r w:rsidRPr="00521670">
              <w:rPr>
                <w:lang w:val="ru-RU"/>
              </w:rPr>
              <w:t>(5 000)</w:t>
            </w:r>
          </w:p>
        </w:tc>
      </w:tr>
      <w:tr w:rsidR="00DF251A" w:rsidRPr="00521670" w14:paraId="2B1266C1" w14:textId="77777777" w:rsidTr="00602C19">
        <w:trPr>
          <w:jc w:val="center"/>
        </w:trPr>
        <w:tc>
          <w:tcPr>
            <w:tcW w:w="2579" w:type="pct"/>
            <w:tcBorders>
              <w:top w:val="nil"/>
              <w:left w:val="nil"/>
              <w:bottom w:val="nil"/>
              <w:right w:val="nil"/>
            </w:tcBorders>
            <w:shd w:val="clear" w:color="auto" w:fill="auto"/>
            <w:hideMark/>
          </w:tcPr>
          <w:p w14:paraId="79EF5DD4" w14:textId="77777777" w:rsidR="00DF251A" w:rsidRPr="00521670" w:rsidRDefault="00DF251A" w:rsidP="005B451C">
            <w:pPr>
              <w:pStyle w:val="Tabletext"/>
              <w:keepNext/>
              <w:keepLines/>
              <w:rPr>
                <w:lang w:val="ru-RU" w:eastAsia="en-GB"/>
              </w:rPr>
            </w:pPr>
            <w:r w:rsidRPr="00521670">
              <w:rPr>
                <w:lang w:val="ru-RU"/>
              </w:rPr>
              <w:t>Прочие расходы</w:t>
            </w:r>
          </w:p>
        </w:tc>
        <w:tc>
          <w:tcPr>
            <w:tcW w:w="739" w:type="pct"/>
            <w:tcBorders>
              <w:top w:val="nil"/>
              <w:left w:val="nil"/>
              <w:bottom w:val="nil"/>
              <w:right w:val="nil"/>
            </w:tcBorders>
            <w:shd w:val="clear" w:color="auto" w:fill="auto"/>
            <w:noWrap/>
            <w:vAlign w:val="bottom"/>
          </w:tcPr>
          <w:p w14:paraId="6EEF79FC" w14:textId="77777777" w:rsidR="00DF251A" w:rsidRPr="00521670" w:rsidRDefault="00DF251A" w:rsidP="005B451C">
            <w:pPr>
              <w:pStyle w:val="Tabletext"/>
              <w:keepNext/>
              <w:keepLines/>
              <w:jc w:val="right"/>
              <w:rPr>
                <w:lang w:val="ru-RU" w:eastAsia="en-GB"/>
              </w:rPr>
            </w:pPr>
            <w:r w:rsidRPr="00521670">
              <w:rPr>
                <w:lang w:val="ru-RU"/>
              </w:rPr>
              <w:t>(654)</w:t>
            </w:r>
          </w:p>
        </w:tc>
        <w:tc>
          <w:tcPr>
            <w:tcW w:w="561" w:type="pct"/>
            <w:tcBorders>
              <w:top w:val="nil"/>
              <w:left w:val="nil"/>
              <w:bottom w:val="nil"/>
              <w:right w:val="nil"/>
            </w:tcBorders>
            <w:shd w:val="clear" w:color="auto" w:fill="auto"/>
            <w:noWrap/>
            <w:vAlign w:val="bottom"/>
          </w:tcPr>
          <w:p w14:paraId="7427AF01"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3171C04F" w14:textId="77777777" w:rsidR="00DF251A" w:rsidRPr="00521670" w:rsidRDefault="00DF251A" w:rsidP="005B451C">
            <w:pPr>
              <w:pStyle w:val="Tabletext"/>
              <w:keepNext/>
              <w:keepLines/>
              <w:jc w:val="right"/>
              <w:rPr>
                <w:rFonts w:ascii="Times New Roman" w:hAnsi="Times New Roman"/>
                <w:lang w:val="ru-RU" w:eastAsia="en-GB"/>
              </w:rPr>
            </w:pPr>
          </w:p>
        </w:tc>
        <w:tc>
          <w:tcPr>
            <w:tcW w:w="560" w:type="pct"/>
            <w:tcBorders>
              <w:top w:val="nil"/>
              <w:left w:val="nil"/>
              <w:bottom w:val="nil"/>
              <w:right w:val="nil"/>
            </w:tcBorders>
            <w:shd w:val="clear" w:color="auto" w:fill="auto"/>
            <w:noWrap/>
            <w:vAlign w:val="bottom"/>
          </w:tcPr>
          <w:p w14:paraId="73EB75C8" w14:textId="77777777" w:rsidR="00DF251A" w:rsidRPr="00521670" w:rsidRDefault="00DF251A" w:rsidP="005B451C">
            <w:pPr>
              <w:pStyle w:val="Tabletext"/>
              <w:keepNext/>
              <w:keepLines/>
              <w:jc w:val="right"/>
              <w:rPr>
                <w:lang w:val="ru-RU" w:eastAsia="en-GB"/>
              </w:rPr>
            </w:pPr>
            <w:r w:rsidRPr="00521670">
              <w:rPr>
                <w:lang w:val="ru-RU"/>
              </w:rPr>
              <w:t>(654)</w:t>
            </w:r>
          </w:p>
        </w:tc>
      </w:tr>
      <w:tr w:rsidR="00DF251A" w:rsidRPr="00521670" w14:paraId="6FDCE7BF" w14:textId="77777777" w:rsidTr="00602C19">
        <w:trPr>
          <w:jc w:val="center"/>
        </w:trPr>
        <w:tc>
          <w:tcPr>
            <w:tcW w:w="2579" w:type="pct"/>
            <w:tcBorders>
              <w:top w:val="nil"/>
              <w:left w:val="nil"/>
              <w:bottom w:val="nil"/>
              <w:right w:val="nil"/>
            </w:tcBorders>
            <w:shd w:val="clear" w:color="auto" w:fill="auto"/>
            <w:hideMark/>
          </w:tcPr>
          <w:p w14:paraId="7BFCBF92" w14:textId="77777777" w:rsidR="00DF251A" w:rsidRPr="00521670" w:rsidRDefault="00DF251A" w:rsidP="005B451C">
            <w:pPr>
              <w:pStyle w:val="Tabletext"/>
              <w:keepNext/>
              <w:keepLines/>
              <w:rPr>
                <w:lang w:val="ru-RU" w:eastAsia="en-GB"/>
              </w:rPr>
            </w:pPr>
            <w:r w:rsidRPr="00521670">
              <w:rPr>
                <w:lang w:val="ru-RU"/>
              </w:rPr>
              <w:t>Продажа активов</w:t>
            </w:r>
          </w:p>
        </w:tc>
        <w:tc>
          <w:tcPr>
            <w:tcW w:w="739" w:type="pct"/>
            <w:tcBorders>
              <w:top w:val="nil"/>
              <w:left w:val="nil"/>
              <w:bottom w:val="nil"/>
              <w:right w:val="nil"/>
            </w:tcBorders>
            <w:shd w:val="clear" w:color="auto" w:fill="auto"/>
            <w:noWrap/>
            <w:vAlign w:val="bottom"/>
          </w:tcPr>
          <w:p w14:paraId="2A4E2C7E" w14:textId="77777777" w:rsidR="00DF251A" w:rsidRPr="00521670" w:rsidRDefault="00DF251A" w:rsidP="005B451C">
            <w:pPr>
              <w:pStyle w:val="Tabletext"/>
              <w:keepNext/>
              <w:keepLines/>
              <w:jc w:val="right"/>
              <w:rPr>
                <w:lang w:val="ru-RU" w:eastAsia="en-GB"/>
              </w:rPr>
            </w:pPr>
            <w:r w:rsidRPr="00521670">
              <w:rPr>
                <w:lang w:val="ru-RU"/>
              </w:rPr>
              <w:t>10</w:t>
            </w:r>
          </w:p>
        </w:tc>
        <w:tc>
          <w:tcPr>
            <w:tcW w:w="561" w:type="pct"/>
            <w:tcBorders>
              <w:top w:val="nil"/>
              <w:left w:val="nil"/>
              <w:bottom w:val="nil"/>
              <w:right w:val="nil"/>
            </w:tcBorders>
            <w:shd w:val="clear" w:color="auto" w:fill="auto"/>
            <w:noWrap/>
            <w:vAlign w:val="bottom"/>
          </w:tcPr>
          <w:p w14:paraId="140D9958" w14:textId="77777777" w:rsidR="00DF251A" w:rsidRPr="00521670" w:rsidRDefault="00DF251A" w:rsidP="005B451C">
            <w:pPr>
              <w:pStyle w:val="Tabletext"/>
              <w:keepNext/>
              <w:keepLines/>
              <w:jc w:val="right"/>
              <w:rPr>
                <w:lang w:val="ru-RU" w:eastAsia="en-GB"/>
              </w:rPr>
            </w:pPr>
          </w:p>
        </w:tc>
        <w:tc>
          <w:tcPr>
            <w:tcW w:w="561" w:type="pct"/>
            <w:tcBorders>
              <w:top w:val="nil"/>
              <w:left w:val="nil"/>
              <w:bottom w:val="nil"/>
              <w:right w:val="nil"/>
            </w:tcBorders>
            <w:shd w:val="clear" w:color="auto" w:fill="auto"/>
            <w:noWrap/>
            <w:vAlign w:val="bottom"/>
          </w:tcPr>
          <w:p w14:paraId="68C087F4" w14:textId="77777777" w:rsidR="00DF251A" w:rsidRPr="00521670" w:rsidRDefault="00DF251A" w:rsidP="005B451C">
            <w:pPr>
              <w:pStyle w:val="Tabletext"/>
              <w:keepNext/>
              <w:keepLines/>
              <w:jc w:val="right"/>
              <w:rPr>
                <w:rFonts w:ascii="Times New Roman" w:hAnsi="Times New Roman"/>
                <w:lang w:val="ru-RU" w:eastAsia="en-GB"/>
              </w:rPr>
            </w:pPr>
          </w:p>
        </w:tc>
        <w:tc>
          <w:tcPr>
            <w:tcW w:w="560" w:type="pct"/>
            <w:tcBorders>
              <w:top w:val="nil"/>
              <w:left w:val="nil"/>
              <w:bottom w:val="nil"/>
              <w:right w:val="nil"/>
            </w:tcBorders>
            <w:shd w:val="clear" w:color="auto" w:fill="auto"/>
            <w:noWrap/>
            <w:vAlign w:val="bottom"/>
          </w:tcPr>
          <w:p w14:paraId="3D2C8451" w14:textId="77777777" w:rsidR="00DF251A" w:rsidRPr="00521670" w:rsidRDefault="00DF251A" w:rsidP="005B451C">
            <w:pPr>
              <w:pStyle w:val="Tabletext"/>
              <w:keepNext/>
              <w:keepLines/>
              <w:jc w:val="right"/>
              <w:rPr>
                <w:lang w:val="ru-RU" w:eastAsia="en-GB"/>
              </w:rPr>
            </w:pPr>
            <w:r w:rsidRPr="00521670">
              <w:rPr>
                <w:lang w:val="ru-RU"/>
              </w:rPr>
              <w:t>10</w:t>
            </w:r>
          </w:p>
        </w:tc>
      </w:tr>
      <w:tr w:rsidR="00DF251A" w:rsidRPr="00521670" w14:paraId="1C175BA4" w14:textId="77777777" w:rsidTr="00602C19">
        <w:trPr>
          <w:jc w:val="center"/>
        </w:trPr>
        <w:tc>
          <w:tcPr>
            <w:tcW w:w="2579" w:type="pct"/>
            <w:tcBorders>
              <w:top w:val="nil"/>
              <w:left w:val="nil"/>
              <w:bottom w:val="nil"/>
              <w:right w:val="nil"/>
            </w:tcBorders>
            <w:shd w:val="clear" w:color="auto" w:fill="auto"/>
            <w:hideMark/>
          </w:tcPr>
          <w:p w14:paraId="08B37FCE" w14:textId="77777777" w:rsidR="00DF251A" w:rsidRPr="00521670" w:rsidRDefault="00DF251A" w:rsidP="005B451C">
            <w:pPr>
              <w:pStyle w:val="Tabletext"/>
              <w:keepNext/>
              <w:keepLines/>
              <w:rPr>
                <w:b/>
                <w:bCs/>
                <w:lang w:val="ru-RU" w:eastAsia="en-GB"/>
              </w:rPr>
            </w:pPr>
            <w:r w:rsidRPr="00521670">
              <w:rPr>
                <w:b/>
                <w:bCs/>
                <w:lang w:val="ru-RU" w:eastAsia="en-GB"/>
              </w:rPr>
              <w:t>Итого базисная разница</w:t>
            </w:r>
          </w:p>
        </w:tc>
        <w:tc>
          <w:tcPr>
            <w:tcW w:w="739" w:type="pct"/>
            <w:tcBorders>
              <w:top w:val="nil"/>
              <w:left w:val="nil"/>
              <w:bottom w:val="nil"/>
              <w:right w:val="nil"/>
            </w:tcBorders>
            <w:shd w:val="clear" w:color="auto" w:fill="auto"/>
            <w:noWrap/>
            <w:vAlign w:val="bottom"/>
          </w:tcPr>
          <w:p w14:paraId="693AA739" w14:textId="77777777" w:rsidR="00DF251A" w:rsidRPr="00521670" w:rsidRDefault="00DF251A" w:rsidP="005B451C">
            <w:pPr>
              <w:pStyle w:val="Tabletext"/>
              <w:keepNext/>
              <w:keepLines/>
              <w:jc w:val="right"/>
              <w:rPr>
                <w:b/>
                <w:bCs/>
                <w:lang w:val="ru-RU" w:eastAsia="en-GB"/>
              </w:rPr>
            </w:pPr>
            <w:r w:rsidRPr="00521670">
              <w:rPr>
                <w:b/>
                <w:bCs/>
                <w:lang w:val="ru-RU"/>
              </w:rPr>
              <w:t>(40 247)</w:t>
            </w:r>
          </w:p>
        </w:tc>
        <w:tc>
          <w:tcPr>
            <w:tcW w:w="561" w:type="pct"/>
            <w:tcBorders>
              <w:top w:val="nil"/>
              <w:left w:val="nil"/>
              <w:bottom w:val="nil"/>
              <w:right w:val="nil"/>
            </w:tcBorders>
            <w:shd w:val="clear" w:color="auto" w:fill="auto"/>
            <w:noWrap/>
            <w:vAlign w:val="bottom"/>
          </w:tcPr>
          <w:p w14:paraId="0A2E280D" w14:textId="77777777" w:rsidR="00DF251A" w:rsidRPr="00521670" w:rsidRDefault="00DF251A" w:rsidP="005B451C">
            <w:pPr>
              <w:pStyle w:val="Tabletext"/>
              <w:keepNext/>
              <w:keepLines/>
              <w:jc w:val="right"/>
              <w:rPr>
                <w:b/>
                <w:bCs/>
                <w:lang w:val="ru-RU" w:eastAsia="en-GB"/>
              </w:rPr>
            </w:pPr>
            <w:r w:rsidRPr="00521670">
              <w:rPr>
                <w:b/>
                <w:bCs/>
                <w:lang w:val="ru-RU"/>
              </w:rPr>
              <w:t>6 091</w:t>
            </w:r>
          </w:p>
        </w:tc>
        <w:tc>
          <w:tcPr>
            <w:tcW w:w="561" w:type="pct"/>
            <w:tcBorders>
              <w:top w:val="nil"/>
              <w:left w:val="nil"/>
              <w:bottom w:val="nil"/>
              <w:right w:val="nil"/>
            </w:tcBorders>
            <w:shd w:val="clear" w:color="auto" w:fill="auto"/>
            <w:noWrap/>
            <w:vAlign w:val="bottom"/>
          </w:tcPr>
          <w:p w14:paraId="27C3353E" w14:textId="77777777" w:rsidR="00DF251A" w:rsidRPr="00521670" w:rsidRDefault="00DF251A" w:rsidP="005B451C">
            <w:pPr>
              <w:pStyle w:val="Tabletext"/>
              <w:keepNext/>
              <w:keepLines/>
              <w:jc w:val="right"/>
              <w:rPr>
                <w:b/>
                <w:bCs/>
                <w:lang w:val="ru-RU" w:eastAsia="en-GB"/>
              </w:rPr>
            </w:pPr>
            <w:r w:rsidRPr="00521670">
              <w:rPr>
                <w:b/>
                <w:bCs/>
                <w:lang w:val="ru-RU"/>
              </w:rPr>
              <w:t>1 391</w:t>
            </w:r>
          </w:p>
        </w:tc>
        <w:tc>
          <w:tcPr>
            <w:tcW w:w="560" w:type="pct"/>
            <w:tcBorders>
              <w:top w:val="nil"/>
              <w:left w:val="nil"/>
              <w:bottom w:val="nil"/>
              <w:right w:val="nil"/>
            </w:tcBorders>
            <w:shd w:val="clear" w:color="auto" w:fill="auto"/>
            <w:noWrap/>
            <w:vAlign w:val="bottom"/>
          </w:tcPr>
          <w:p w14:paraId="06DE600C" w14:textId="77777777" w:rsidR="00DF251A" w:rsidRPr="00521670" w:rsidRDefault="00DF251A" w:rsidP="005B451C">
            <w:pPr>
              <w:pStyle w:val="Tabletext"/>
              <w:keepNext/>
              <w:keepLines/>
              <w:jc w:val="right"/>
              <w:rPr>
                <w:b/>
                <w:bCs/>
                <w:lang w:val="ru-RU" w:eastAsia="en-GB"/>
              </w:rPr>
            </w:pPr>
            <w:r w:rsidRPr="00521670">
              <w:rPr>
                <w:b/>
                <w:bCs/>
                <w:lang w:val="ru-RU"/>
              </w:rPr>
              <w:t>(32 765)</w:t>
            </w:r>
          </w:p>
        </w:tc>
      </w:tr>
      <w:tr w:rsidR="00DF251A" w:rsidRPr="00521670" w14:paraId="4DA01B71" w14:textId="77777777" w:rsidTr="00602C19">
        <w:trPr>
          <w:jc w:val="center"/>
        </w:trPr>
        <w:tc>
          <w:tcPr>
            <w:tcW w:w="2579" w:type="pct"/>
            <w:tcBorders>
              <w:top w:val="nil"/>
              <w:left w:val="nil"/>
              <w:bottom w:val="nil"/>
              <w:right w:val="nil"/>
            </w:tcBorders>
            <w:shd w:val="clear" w:color="auto" w:fill="auto"/>
            <w:hideMark/>
          </w:tcPr>
          <w:p w14:paraId="47236DA8" w14:textId="77777777" w:rsidR="00DF251A" w:rsidRPr="00521670" w:rsidRDefault="00DF251A" w:rsidP="00835292">
            <w:pPr>
              <w:pStyle w:val="Tabletext"/>
              <w:keepNext/>
              <w:keepLines/>
              <w:spacing w:before="0" w:after="0"/>
              <w:rPr>
                <w:b/>
                <w:bCs/>
                <w:lang w:val="ru-RU" w:eastAsia="en-GB"/>
              </w:rPr>
            </w:pPr>
          </w:p>
        </w:tc>
        <w:tc>
          <w:tcPr>
            <w:tcW w:w="739" w:type="pct"/>
            <w:tcBorders>
              <w:top w:val="nil"/>
              <w:left w:val="nil"/>
              <w:bottom w:val="nil"/>
              <w:right w:val="nil"/>
            </w:tcBorders>
            <w:shd w:val="clear" w:color="auto" w:fill="auto"/>
            <w:noWrap/>
            <w:vAlign w:val="bottom"/>
          </w:tcPr>
          <w:p w14:paraId="3532A005" w14:textId="77777777" w:rsidR="00DF251A" w:rsidRPr="00521670" w:rsidRDefault="00DF251A" w:rsidP="005B451C">
            <w:pPr>
              <w:pStyle w:val="Tabletext"/>
              <w:keepNext/>
              <w:keepLines/>
              <w:spacing w:before="0" w:after="0"/>
              <w:jc w:val="right"/>
              <w:rPr>
                <w:rFonts w:ascii="Times New Roman" w:hAnsi="Times New Roman"/>
                <w:lang w:val="ru-RU" w:eastAsia="en-GB"/>
              </w:rPr>
            </w:pPr>
          </w:p>
        </w:tc>
        <w:tc>
          <w:tcPr>
            <w:tcW w:w="561" w:type="pct"/>
            <w:tcBorders>
              <w:top w:val="nil"/>
              <w:left w:val="nil"/>
              <w:bottom w:val="nil"/>
              <w:right w:val="nil"/>
            </w:tcBorders>
            <w:shd w:val="clear" w:color="auto" w:fill="auto"/>
            <w:noWrap/>
            <w:vAlign w:val="bottom"/>
          </w:tcPr>
          <w:p w14:paraId="7231BF6C" w14:textId="77777777" w:rsidR="00DF251A" w:rsidRPr="00521670" w:rsidRDefault="00DF251A" w:rsidP="005B451C">
            <w:pPr>
              <w:pStyle w:val="Tabletext"/>
              <w:keepNext/>
              <w:keepLines/>
              <w:spacing w:before="0" w:after="0"/>
              <w:jc w:val="right"/>
              <w:rPr>
                <w:rFonts w:ascii="Times New Roman" w:hAnsi="Times New Roman"/>
                <w:lang w:val="ru-RU" w:eastAsia="en-GB"/>
              </w:rPr>
            </w:pPr>
          </w:p>
        </w:tc>
        <w:tc>
          <w:tcPr>
            <w:tcW w:w="561" w:type="pct"/>
            <w:tcBorders>
              <w:top w:val="nil"/>
              <w:left w:val="nil"/>
              <w:bottom w:val="nil"/>
              <w:right w:val="nil"/>
            </w:tcBorders>
            <w:shd w:val="clear" w:color="auto" w:fill="auto"/>
            <w:noWrap/>
            <w:vAlign w:val="bottom"/>
          </w:tcPr>
          <w:p w14:paraId="798989BE" w14:textId="77777777" w:rsidR="00DF251A" w:rsidRPr="00521670" w:rsidRDefault="00DF251A" w:rsidP="005B451C">
            <w:pPr>
              <w:pStyle w:val="Tabletext"/>
              <w:keepNext/>
              <w:keepLines/>
              <w:spacing w:before="0" w:after="0"/>
              <w:jc w:val="right"/>
              <w:rPr>
                <w:rFonts w:ascii="Times New Roman" w:hAnsi="Times New Roman"/>
                <w:lang w:val="ru-RU" w:eastAsia="en-GB"/>
              </w:rPr>
            </w:pPr>
          </w:p>
        </w:tc>
        <w:tc>
          <w:tcPr>
            <w:tcW w:w="560" w:type="pct"/>
            <w:tcBorders>
              <w:top w:val="nil"/>
              <w:left w:val="nil"/>
              <w:bottom w:val="nil"/>
              <w:right w:val="nil"/>
            </w:tcBorders>
            <w:shd w:val="clear" w:color="auto" w:fill="auto"/>
            <w:noWrap/>
            <w:vAlign w:val="bottom"/>
          </w:tcPr>
          <w:p w14:paraId="2C763370" w14:textId="77777777" w:rsidR="00DF251A" w:rsidRPr="00521670" w:rsidRDefault="00DF251A" w:rsidP="005B451C">
            <w:pPr>
              <w:pStyle w:val="Tabletext"/>
              <w:keepNext/>
              <w:keepLines/>
              <w:spacing w:before="0" w:after="0"/>
              <w:jc w:val="right"/>
              <w:rPr>
                <w:rFonts w:ascii="Times New Roman" w:hAnsi="Times New Roman"/>
                <w:lang w:val="ru-RU" w:eastAsia="en-GB"/>
              </w:rPr>
            </w:pPr>
          </w:p>
        </w:tc>
      </w:tr>
      <w:tr w:rsidR="00DF251A" w:rsidRPr="00521670" w14:paraId="261AA965" w14:textId="77777777" w:rsidTr="00602C19">
        <w:trPr>
          <w:jc w:val="center"/>
        </w:trPr>
        <w:tc>
          <w:tcPr>
            <w:tcW w:w="2579" w:type="pct"/>
            <w:tcBorders>
              <w:top w:val="nil"/>
              <w:left w:val="nil"/>
              <w:bottom w:val="nil"/>
              <w:right w:val="nil"/>
            </w:tcBorders>
            <w:shd w:val="clear" w:color="auto" w:fill="auto"/>
            <w:hideMark/>
          </w:tcPr>
          <w:p w14:paraId="12498A08" w14:textId="77777777" w:rsidR="00DF251A" w:rsidRPr="00521670" w:rsidRDefault="00DF251A" w:rsidP="005B451C">
            <w:pPr>
              <w:pStyle w:val="Tabletext"/>
              <w:keepNext/>
              <w:keepLines/>
              <w:rPr>
                <w:b/>
                <w:bCs/>
                <w:lang w:val="ru-RU" w:eastAsia="en-GB"/>
              </w:rPr>
            </w:pPr>
            <w:r w:rsidRPr="00521670">
              <w:rPr>
                <w:b/>
                <w:bCs/>
                <w:lang w:val="ru-RU" w:eastAsia="en-GB"/>
              </w:rPr>
              <w:t>Структурная разница</w:t>
            </w:r>
          </w:p>
        </w:tc>
        <w:tc>
          <w:tcPr>
            <w:tcW w:w="739" w:type="pct"/>
            <w:tcBorders>
              <w:top w:val="nil"/>
              <w:left w:val="nil"/>
              <w:bottom w:val="nil"/>
              <w:right w:val="nil"/>
            </w:tcBorders>
            <w:shd w:val="clear" w:color="auto" w:fill="auto"/>
            <w:noWrap/>
            <w:vAlign w:val="bottom"/>
          </w:tcPr>
          <w:p w14:paraId="2A410F6D" w14:textId="77777777" w:rsidR="00DF251A" w:rsidRPr="00521670" w:rsidRDefault="00DF251A" w:rsidP="005B451C">
            <w:pPr>
              <w:pStyle w:val="Tabletext"/>
              <w:keepNext/>
              <w:keepLines/>
              <w:jc w:val="right"/>
              <w:rPr>
                <w:b/>
                <w:bCs/>
                <w:lang w:val="ru-RU" w:eastAsia="en-GB"/>
              </w:rPr>
            </w:pPr>
            <w:r w:rsidRPr="00521670">
              <w:rPr>
                <w:b/>
                <w:bCs/>
                <w:lang w:val="ru-RU"/>
              </w:rPr>
              <w:t>(751)</w:t>
            </w:r>
          </w:p>
        </w:tc>
        <w:tc>
          <w:tcPr>
            <w:tcW w:w="561" w:type="pct"/>
            <w:tcBorders>
              <w:top w:val="nil"/>
              <w:left w:val="nil"/>
              <w:bottom w:val="nil"/>
              <w:right w:val="nil"/>
            </w:tcBorders>
            <w:shd w:val="clear" w:color="auto" w:fill="auto"/>
            <w:noWrap/>
            <w:vAlign w:val="bottom"/>
          </w:tcPr>
          <w:p w14:paraId="1CF99D1F" w14:textId="77777777" w:rsidR="00DF251A" w:rsidRPr="00521670" w:rsidRDefault="00DF251A" w:rsidP="005B451C">
            <w:pPr>
              <w:pStyle w:val="Tabletext"/>
              <w:keepNext/>
              <w:keepLines/>
              <w:jc w:val="right"/>
              <w:rPr>
                <w:b/>
                <w:bCs/>
                <w:lang w:val="ru-RU" w:eastAsia="en-GB"/>
              </w:rPr>
            </w:pPr>
          </w:p>
        </w:tc>
        <w:tc>
          <w:tcPr>
            <w:tcW w:w="561" w:type="pct"/>
            <w:tcBorders>
              <w:top w:val="nil"/>
              <w:left w:val="nil"/>
              <w:bottom w:val="nil"/>
              <w:right w:val="nil"/>
            </w:tcBorders>
            <w:shd w:val="clear" w:color="auto" w:fill="auto"/>
            <w:noWrap/>
            <w:vAlign w:val="bottom"/>
          </w:tcPr>
          <w:p w14:paraId="2F0D5D8B" w14:textId="77777777" w:rsidR="00DF251A" w:rsidRPr="00521670" w:rsidRDefault="00DF251A" w:rsidP="005B451C">
            <w:pPr>
              <w:pStyle w:val="Tabletext"/>
              <w:keepNext/>
              <w:keepLines/>
              <w:jc w:val="right"/>
              <w:rPr>
                <w:rFonts w:ascii="Times New Roman" w:hAnsi="Times New Roman"/>
                <w:b/>
                <w:bCs/>
                <w:lang w:val="ru-RU" w:eastAsia="en-GB"/>
              </w:rPr>
            </w:pPr>
          </w:p>
        </w:tc>
        <w:tc>
          <w:tcPr>
            <w:tcW w:w="560" w:type="pct"/>
            <w:tcBorders>
              <w:top w:val="nil"/>
              <w:left w:val="nil"/>
              <w:bottom w:val="nil"/>
              <w:right w:val="nil"/>
            </w:tcBorders>
            <w:shd w:val="clear" w:color="auto" w:fill="auto"/>
            <w:noWrap/>
            <w:vAlign w:val="bottom"/>
          </w:tcPr>
          <w:p w14:paraId="2ECA6893" w14:textId="77777777" w:rsidR="00DF251A" w:rsidRPr="00521670" w:rsidRDefault="00DF251A" w:rsidP="005B451C">
            <w:pPr>
              <w:pStyle w:val="Tabletext"/>
              <w:keepNext/>
              <w:keepLines/>
              <w:jc w:val="right"/>
              <w:rPr>
                <w:b/>
                <w:bCs/>
                <w:lang w:val="ru-RU" w:eastAsia="en-GB"/>
              </w:rPr>
            </w:pPr>
            <w:r w:rsidRPr="00521670">
              <w:rPr>
                <w:b/>
                <w:bCs/>
                <w:lang w:val="ru-RU"/>
              </w:rPr>
              <w:t>(751)</w:t>
            </w:r>
          </w:p>
        </w:tc>
      </w:tr>
      <w:tr w:rsidR="00DF251A" w:rsidRPr="00521670" w14:paraId="594F6F9C" w14:textId="77777777" w:rsidTr="00602C19">
        <w:trPr>
          <w:jc w:val="center"/>
        </w:trPr>
        <w:tc>
          <w:tcPr>
            <w:tcW w:w="2579" w:type="pct"/>
            <w:tcBorders>
              <w:top w:val="nil"/>
              <w:left w:val="nil"/>
              <w:bottom w:val="nil"/>
              <w:right w:val="nil"/>
            </w:tcBorders>
            <w:shd w:val="clear" w:color="000000" w:fill="0070C0"/>
            <w:vAlign w:val="center"/>
            <w:hideMark/>
          </w:tcPr>
          <w:p w14:paraId="67E140EF" w14:textId="77777777" w:rsidR="00DF251A" w:rsidRPr="00521670" w:rsidRDefault="00DF251A" w:rsidP="005B451C">
            <w:pPr>
              <w:pStyle w:val="Tabletext"/>
              <w:rPr>
                <w:b/>
                <w:bCs/>
                <w:lang w:val="ru-RU" w:eastAsia="en-GB"/>
              </w:rPr>
            </w:pPr>
            <w:r w:rsidRPr="00521670">
              <w:rPr>
                <w:b/>
                <w:bCs/>
                <w:lang w:val="ru-RU" w:eastAsia="en-GB"/>
              </w:rPr>
              <w:t>Активное сальдо/(дефицит), показанное в отчете о результатах финансовой деятельности</w:t>
            </w:r>
          </w:p>
        </w:tc>
        <w:tc>
          <w:tcPr>
            <w:tcW w:w="739" w:type="pct"/>
            <w:tcBorders>
              <w:top w:val="nil"/>
              <w:left w:val="nil"/>
              <w:bottom w:val="nil"/>
              <w:right w:val="nil"/>
            </w:tcBorders>
            <w:shd w:val="clear" w:color="000000" w:fill="0070C0"/>
            <w:noWrap/>
            <w:vAlign w:val="bottom"/>
          </w:tcPr>
          <w:p w14:paraId="47850856" w14:textId="77777777" w:rsidR="00DF251A" w:rsidRPr="00521670" w:rsidRDefault="00DF251A" w:rsidP="005B451C">
            <w:pPr>
              <w:pStyle w:val="Tabletext"/>
              <w:jc w:val="right"/>
              <w:rPr>
                <w:b/>
                <w:bCs/>
                <w:lang w:val="ru-RU" w:eastAsia="en-GB"/>
              </w:rPr>
            </w:pPr>
            <w:r w:rsidRPr="00521670">
              <w:rPr>
                <w:b/>
                <w:bCs/>
                <w:lang w:val="ru-RU"/>
              </w:rPr>
              <w:t>(35 348)</w:t>
            </w:r>
          </w:p>
        </w:tc>
        <w:tc>
          <w:tcPr>
            <w:tcW w:w="561" w:type="pct"/>
            <w:tcBorders>
              <w:top w:val="nil"/>
              <w:left w:val="nil"/>
              <w:bottom w:val="nil"/>
              <w:right w:val="nil"/>
            </w:tcBorders>
            <w:shd w:val="clear" w:color="000000" w:fill="0070C0"/>
            <w:noWrap/>
            <w:vAlign w:val="bottom"/>
          </w:tcPr>
          <w:p w14:paraId="559D9A37" w14:textId="77777777" w:rsidR="00DF251A" w:rsidRPr="00521670" w:rsidRDefault="00DF251A" w:rsidP="005B451C">
            <w:pPr>
              <w:pStyle w:val="Tabletext"/>
              <w:jc w:val="right"/>
              <w:rPr>
                <w:b/>
                <w:bCs/>
                <w:lang w:val="ru-RU" w:eastAsia="en-GB"/>
              </w:rPr>
            </w:pPr>
            <w:r w:rsidRPr="00521670">
              <w:rPr>
                <w:b/>
                <w:bCs/>
                <w:lang w:val="ru-RU"/>
              </w:rPr>
              <w:t>6 091</w:t>
            </w:r>
          </w:p>
        </w:tc>
        <w:tc>
          <w:tcPr>
            <w:tcW w:w="561" w:type="pct"/>
            <w:tcBorders>
              <w:top w:val="nil"/>
              <w:left w:val="nil"/>
              <w:bottom w:val="nil"/>
              <w:right w:val="nil"/>
            </w:tcBorders>
            <w:shd w:val="clear" w:color="000000" w:fill="0070C0"/>
            <w:noWrap/>
            <w:vAlign w:val="bottom"/>
          </w:tcPr>
          <w:p w14:paraId="1A321B0E" w14:textId="77777777" w:rsidR="00DF251A" w:rsidRPr="00521670" w:rsidRDefault="00DF251A" w:rsidP="005B451C">
            <w:pPr>
              <w:pStyle w:val="Tabletext"/>
              <w:jc w:val="right"/>
              <w:rPr>
                <w:b/>
                <w:bCs/>
                <w:lang w:val="ru-RU" w:eastAsia="en-GB"/>
              </w:rPr>
            </w:pPr>
            <w:r w:rsidRPr="00521670">
              <w:rPr>
                <w:b/>
                <w:bCs/>
                <w:lang w:val="ru-RU"/>
              </w:rPr>
              <w:t>1 391</w:t>
            </w:r>
          </w:p>
        </w:tc>
        <w:tc>
          <w:tcPr>
            <w:tcW w:w="560" w:type="pct"/>
            <w:tcBorders>
              <w:top w:val="nil"/>
              <w:left w:val="nil"/>
              <w:bottom w:val="nil"/>
              <w:right w:val="nil"/>
            </w:tcBorders>
            <w:shd w:val="clear" w:color="000000" w:fill="0070C0"/>
            <w:noWrap/>
            <w:vAlign w:val="bottom"/>
          </w:tcPr>
          <w:p w14:paraId="0F44B138" w14:textId="77777777" w:rsidR="00DF251A" w:rsidRPr="00521670" w:rsidRDefault="00DF251A" w:rsidP="005B451C">
            <w:pPr>
              <w:pStyle w:val="Tabletext"/>
              <w:jc w:val="right"/>
              <w:rPr>
                <w:b/>
                <w:bCs/>
                <w:lang w:val="ru-RU" w:eastAsia="en-GB"/>
              </w:rPr>
            </w:pPr>
            <w:r w:rsidRPr="00521670">
              <w:rPr>
                <w:b/>
                <w:bCs/>
                <w:lang w:val="ru-RU"/>
              </w:rPr>
              <w:t>(27 865)</w:t>
            </w:r>
          </w:p>
        </w:tc>
      </w:tr>
    </w:tbl>
    <w:p w14:paraId="57798B56" w14:textId="77777777" w:rsidR="00DF251A" w:rsidRPr="00521670" w:rsidRDefault="00DF251A" w:rsidP="006B587F">
      <w:pPr>
        <w:pStyle w:val="Headingb"/>
        <w:rPr>
          <w:lang w:val="ru-RU" w:bidi="ru-RU"/>
        </w:rPr>
      </w:pPr>
      <w:r w:rsidRPr="00521670">
        <w:rPr>
          <w:lang w:val="ru-RU" w:bidi="ru-RU"/>
        </w:rPr>
        <w:lastRenderedPageBreak/>
        <w:t>Краткий обзор разницы бюджета и фактических сумм</w:t>
      </w:r>
    </w:p>
    <w:p w14:paraId="6CE35002" w14:textId="77777777" w:rsidR="00DF251A" w:rsidRPr="00521670" w:rsidRDefault="00DF251A" w:rsidP="006B587F">
      <w:pPr>
        <w:rPr>
          <w:lang w:val="ru-RU"/>
        </w:rPr>
      </w:pPr>
      <w:r w:rsidRPr="00521670">
        <w:rPr>
          <w:lang w:val="ru-RU"/>
        </w:rPr>
        <w:t>Бюджет на 2024 год был утвержден Советом на его сессии 2023 года в Резолюции 1417. Первоначально он составлял 164,9 млн. швейцарских франков. Бюджет был сокращен до 164,7 млн. швейцарских франков в связи с переносом сроков проведения трех региональных подготовительных собраний к ВКРЭ-25 с 2024 на 2025 год.</w:t>
      </w:r>
    </w:p>
    <w:p w14:paraId="678160E6" w14:textId="77777777" w:rsidR="00DF251A" w:rsidRPr="00521670" w:rsidRDefault="00DF251A" w:rsidP="006B587F">
      <w:pPr>
        <w:rPr>
          <w:lang w:val="ru-RU"/>
        </w:rPr>
      </w:pPr>
      <w:r w:rsidRPr="00521670">
        <w:rPr>
          <w:lang w:val="ru-RU"/>
        </w:rPr>
        <w:t>Доход за 2024 год составляет 161,5 млн. швейцарских франков. Это на 3,4 млн. швейцарских франков ниже предусмотренного в бюджете уровня, что вызвано в основном снижением доходов по линии возмещения затрат на обработку заявок на регистрацию спутниковых сетей (SNF) и частично компенсируется увеличением доходов в виде процентов на 2,6 млн. швейцарских франков сверх предусмотренного в бюджете уровня.</w:t>
      </w:r>
    </w:p>
    <w:p w14:paraId="696F4147" w14:textId="77777777" w:rsidR="00DF251A" w:rsidRPr="00521670" w:rsidRDefault="00DF251A" w:rsidP="006B587F">
      <w:pPr>
        <w:rPr>
          <w:lang w:val="ru-RU"/>
        </w:rPr>
      </w:pPr>
      <w:r w:rsidRPr="00521670">
        <w:rPr>
          <w:lang w:val="ru-RU"/>
        </w:rPr>
        <w:t>Для того чтобы МСЭ не выходил за рамки сниженных доходов, Секретариат осуществлял строгое управление расходами, в том числе проводя ежемесячные и даже еженедельные проверки, с тем чтобы уровень расходов оставался ниже уровня доходов за 2024 год.</w:t>
      </w:r>
    </w:p>
    <w:p w14:paraId="6C2825F2" w14:textId="77777777" w:rsidR="00DF251A" w:rsidRPr="00521670" w:rsidRDefault="00DF251A" w:rsidP="006B587F">
      <w:pPr>
        <w:rPr>
          <w:rFonts w:eastAsia="Calibri"/>
          <w:lang w:val="ru-RU"/>
        </w:rPr>
      </w:pPr>
      <w:r w:rsidRPr="00521670">
        <w:rPr>
          <w:lang w:val="ru-RU"/>
        </w:rPr>
        <w:t>Ниже приводится дополнительная информация об изменениях в исполнении бюджета на 2024 год в разбивке по Секторам:</w:t>
      </w:r>
    </w:p>
    <w:p w14:paraId="5B4496FE" w14:textId="77777777" w:rsidR="00DF251A" w:rsidRPr="00521670" w:rsidRDefault="00DF251A" w:rsidP="006B587F">
      <w:pPr>
        <w:pStyle w:val="Headingi"/>
        <w:rPr>
          <w:rFonts w:eastAsia="Calibri"/>
          <w:lang w:val="ru-RU"/>
        </w:rPr>
      </w:pPr>
      <w:bookmarkStart w:id="417" w:name="_Toc200469200"/>
      <w:r w:rsidRPr="00521670">
        <w:rPr>
          <w:rFonts w:eastAsia="Calibri"/>
          <w:lang w:val="ru-RU"/>
        </w:rPr>
        <w:t>Генеральный секретариат</w:t>
      </w:r>
      <w:bookmarkEnd w:id="417"/>
    </w:p>
    <w:p w14:paraId="716185A2" w14:textId="5FDA0245" w:rsidR="00DF251A" w:rsidRPr="00521670" w:rsidRDefault="00DF251A" w:rsidP="006B587F">
      <w:pPr>
        <w:pStyle w:val="enumlev1"/>
        <w:rPr>
          <w:rFonts w:eastAsia="Calibri"/>
          <w:lang w:val="ru-RU"/>
        </w:rPr>
      </w:pPr>
      <w:r w:rsidRPr="00521670">
        <w:rPr>
          <w:rFonts w:eastAsia="Calibri" w:cs="Calibri"/>
          <w:lang w:val="ru-RU"/>
        </w:rPr>
        <w:t>•</w:t>
      </w:r>
      <w:r w:rsidRPr="00521670">
        <w:rPr>
          <w:rFonts w:eastAsia="Calibri"/>
          <w:lang w:val="ru-RU"/>
        </w:rPr>
        <w:tab/>
      </w:r>
      <w:r w:rsidRPr="00521670">
        <w:rPr>
          <w:lang w:val="ru-RU"/>
        </w:rPr>
        <w:t>Общие расходы Генерального секретариата в 2024 году составили 85,6 млн. швейцарских франков, или 94,3% от бюджета в 90,8 млн. швейцарских франков.</w:t>
      </w:r>
    </w:p>
    <w:p w14:paraId="45507F41" w14:textId="4995FB8A" w:rsidR="00DF251A" w:rsidRPr="00521670" w:rsidRDefault="00DF251A" w:rsidP="006B587F">
      <w:pPr>
        <w:pStyle w:val="enumlev1"/>
        <w:rPr>
          <w:rFonts w:eastAsia="Calibri"/>
          <w:lang w:val="ru-RU"/>
        </w:rPr>
      </w:pPr>
      <w:r w:rsidRPr="00521670">
        <w:rPr>
          <w:rFonts w:eastAsia="Calibri" w:cs="Calibri"/>
          <w:lang w:val="ru-RU"/>
        </w:rPr>
        <w:t>•</w:t>
      </w:r>
      <w:r w:rsidRPr="00521670">
        <w:rPr>
          <w:rFonts w:eastAsia="Calibri"/>
          <w:lang w:val="ru-RU"/>
        </w:rPr>
        <w:tab/>
      </w:r>
      <w:r w:rsidRPr="00521670">
        <w:rPr>
          <w:lang w:val="ru-RU"/>
        </w:rPr>
        <w:t>Основная экономия была обусловлена сокращением расходов на документацию.</w:t>
      </w:r>
    </w:p>
    <w:p w14:paraId="3C2EAD91" w14:textId="19DFBB3F" w:rsidR="00DF251A" w:rsidRPr="00521670" w:rsidRDefault="00DF251A" w:rsidP="006B587F">
      <w:pPr>
        <w:pStyle w:val="enumlev1"/>
        <w:rPr>
          <w:rFonts w:eastAsia="Calibri"/>
          <w:lang w:val="ru-RU"/>
        </w:rPr>
      </w:pPr>
      <w:r w:rsidRPr="00521670">
        <w:rPr>
          <w:rFonts w:eastAsia="Calibri" w:cs="Calibri"/>
          <w:lang w:val="ru-RU"/>
        </w:rPr>
        <w:t>•</w:t>
      </w:r>
      <w:r w:rsidRPr="00521670">
        <w:rPr>
          <w:rFonts w:eastAsia="Calibri"/>
          <w:lang w:val="ru-RU"/>
        </w:rPr>
        <w:tab/>
      </w:r>
      <w:r w:rsidRPr="00521670">
        <w:rPr>
          <w:lang w:val="ru-RU"/>
        </w:rPr>
        <w:t>Также удалось добиться экономии по другим статьям за счет снижения общих расходов и более медленного заполнения вакантных должностей в связи с реализацией программы добровольного прекращения службы.</w:t>
      </w:r>
    </w:p>
    <w:p w14:paraId="65C55C0E" w14:textId="77777777" w:rsidR="00DF251A" w:rsidRPr="00521670" w:rsidRDefault="00DF251A" w:rsidP="006B587F">
      <w:pPr>
        <w:pStyle w:val="Headingi"/>
        <w:rPr>
          <w:rFonts w:eastAsia="Calibri"/>
          <w:lang w:val="ru-RU"/>
        </w:rPr>
      </w:pPr>
      <w:bookmarkStart w:id="418" w:name="_Toc200469201"/>
      <w:r w:rsidRPr="00521670">
        <w:rPr>
          <w:rFonts w:eastAsia="Calibri"/>
          <w:lang w:val="ru-RU"/>
        </w:rPr>
        <w:t>Сектор радиосвязи (МСЭ-R)</w:t>
      </w:r>
      <w:bookmarkEnd w:id="418"/>
    </w:p>
    <w:p w14:paraId="5F6970C2" w14:textId="371F18C2" w:rsidR="00DF251A" w:rsidRPr="00521670" w:rsidRDefault="00DF251A" w:rsidP="006B587F">
      <w:pPr>
        <w:pStyle w:val="enumlev1"/>
        <w:rPr>
          <w:rFonts w:eastAsia="Calibri"/>
          <w:lang w:val="ru-RU"/>
        </w:rPr>
      </w:pPr>
      <w:r w:rsidRPr="00521670">
        <w:rPr>
          <w:rFonts w:eastAsia="Calibri" w:cs="Calibri"/>
          <w:lang w:val="ru-RU"/>
        </w:rPr>
        <w:t>•</w:t>
      </w:r>
      <w:r w:rsidRPr="00521670">
        <w:rPr>
          <w:rFonts w:eastAsia="Calibri"/>
          <w:lang w:val="ru-RU"/>
        </w:rPr>
        <w:tab/>
      </w:r>
      <w:r w:rsidRPr="00521670">
        <w:rPr>
          <w:lang w:val="ru-RU"/>
        </w:rPr>
        <w:t>Общие расходы МСЭ-R в 2024 году составили 28,7 млн. швейцарских франков, или 94,8% от бюджета в 30,2 млн. швейцарских франков.</w:t>
      </w:r>
    </w:p>
    <w:p w14:paraId="6B179CFD" w14:textId="3F059F25" w:rsidR="00DF251A" w:rsidRPr="00521670" w:rsidRDefault="00DF251A" w:rsidP="006B587F">
      <w:pPr>
        <w:pStyle w:val="enumlev1"/>
        <w:rPr>
          <w:rFonts w:eastAsia="Calibri"/>
          <w:lang w:val="ru-RU"/>
        </w:rPr>
      </w:pPr>
      <w:r w:rsidRPr="00521670">
        <w:rPr>
          <w:rFonts w:eastAsia="Calibri" w:cs="Calibri"/>
          <w:lang w:val="ru-RU"/>
        </w:rPr>
        <w:t>•</w:t>
      </w:r>
      <w:r w:rsidRPr="00521670">
        <w:rPr>
          <w:rFonts w:eastAsia="Calibri"/>
          <w:lang w:val="ru-RU"/>
        </w:rPr>
        <w:tab/>
      </w:r>
      <w:r w:rsidRPr="00521670">
        <w:rPr>
          <w:lang w:val="ru-RU"/>
        </w:rPr>
        <w:t>Основная экономия была достигнута по линии командировок, письменного перевода, других оперативных расходов и затрат на персонал в связи с осуществлением программы добровольного прекращения службы.</w:t>
      </w:r>
    </w:p>
    <w:p w14:paraId="03EE7FF0" w14:textId="77777777" w:rsidR="00DF251A" w:rsidRPr="00521670" w:rsidRDefault="00DF251A" w:rsidP="006B587F">
      <w:pPr>
        <w:pStyle w:val="Headingi"/>
        <w:rPr>
          <w:rFonts w:eastAsia="Calibri"/>
          <w:lang w:val="ru-RU"/>
        </w:rPr>
      </w:pPr>
      <w:bookmarkStart w:id="419" w:name="_Toc200469202"/>
      <w:r w:rsidRPr="00521670">
        <w:rPr>
          <w:rFonts w:eastAsia="Calibri"/>
          <w:lang w:val="ru-RU"/>
        </w:rPr>
        <w:t>Сектор стандартизации электросвязи (МСЭ-Т)</w:t>
      </w:r>
      <w:bookmarkEnd w:id="419"/>
    </w:p>
    <w:p w14:paraId="6FAECE8F" w14:textId="77777777" w:rsidR="00DF251A" w:rsidRPr="00521670" w:rsidRDefault="00DF251A" w:rsidP="006B587F">
      <w:pPr>
        <w:pStyle w:val="enumlev1"/>
        <w:rPr>
          <w:lang w:val="ru-RU"/>
        </w:rPr>
      </w:pPr>
      <w:r w:rsidRPr="00521670">
        <w:rPr>
          <w:rFonts w:eastAsia="Calibri" w:cs="Calibri"/>
          <w:lang w:val="ru-RU"/>
        </w:rPr>
        <w:t>•</w:t>
      </w:r>
      <w:r w:rsidRPr="00521670">
        <w:rPr>
          <w:rFonts w:eastAsia="Calibri"/>
          <w:lang w:val="ru-RU"/>
        </w:rPr>
        <w:tab/>
      </w:r>
      <w:r w:rsidRPr="00521670">
        <w:rPr>
          <w:lang w:val="ru-RU"/>
        </w:rPr>
        <w:t>Общие расходы МСЭ-T в 2024 году составили 14,6 млн. швейцарских франков, или 99,4% от бюджета в 14,7 млн. швейцарских франков.</w:t>
      </w:r>
    </w:p>
    <w:p w14:paraId="203742E1" w14:textId="77777777" w:rsidR="00DF251A" w:rsidRPr="00521670" w:rsidRDefault="00DF251A" w:rsidP="006B587F">
      <w:pPr>
        <w:pStyle w:val="enumlev1"/>
        <w:rPr>
          <w:lang w:val="ru-RU"/>
        </w:rPr>
      </w:pPr>
      <w:r w:rsidRPr="00521670">
        <w:rPr>
          <w:rFonts w:eastAsia="Calibri" w:cs="Calibri"/>
          <w:lang w:val="ru-RU"/>
        </w:rPr>
        <w:t>•</w:t>
      </w:r>
      <w:r w:rsidRPr="00521670">
        <w:rPr>
          <w:rFonts w:eastAsia="Calibri"/>
          <w:lang w:val="ru-RU"/>
        </w:rPr>
        <w:tab/>
      </w:r>
      <w:r w:rsidRPr="00521670">
        <w:rPr>
          <w:lang w:val="ru-RU"/>
        </w:rPr>
        <w:t>Незначительная экономия была достигнута в основном за счет снижения затрат на устный перевод для ВАСЭ.</w:t>
      </w:r>
    </w:p>
    <w:p w14:paraId="030D8031" w14:textId="77777777" w:rsidR="00DF251A" w:rsidRPr="00521670" w:rsidRDefault="00DF251A" w:rsidP="006B587F">
      <w:pPr>
        <w:pStyle w:val="Headingi"/>
        <w:rPr>
          <w:rFonts w:eastAsia="Calibri"/>
          <w:lang w:val="ru-RU"/>
        </w:rPr>
      </w:pPr>
      <w:bookmarkStart w:id="420" w:name="_Toc200469203"/>
      <w:r w:rsidRPr="00521670">
        <w:rPr>
          <w:rFonts w:eastAsia="Calibri"/>
          <w:lang w:val="ru-RU"/>
        </w:rPr>
        <w:t>Сектор развития электросвязи (МСЭ-D)</w:t>
      </w:r>
      <w:bookmarkEnd w:id="420"/>
    </w:p>
    <w:p w14:paraId="37FB9219" w14:textId="77777777" w:rsidR="00DF251A" w:rsidRPr="00521670" w:rsidRDefault="00DF251A" w:rsidP="006B587F">
      <w:pPr>
        <w:pStyle w:val="enumlev1"/>
        <w:rPr>
          <w:lang w:val="ru-RU"/>
        </w:rPr>
      </w:pPr>
      <w:r w:rsidRPr="00521670">
        <w:rPr>
          <w:rFonts w:eastAsia="Calibri" w:cs="Calibri"/>
          <w:lang w:val="ru-RU"/>
        </w:rPr>
        <w:t>•</w:t>
      </w:r>
      <w:r w:rsidRPr="00521670">
        <w:rPr>
          <w:rFonts w:eastAsia="Calibri"/>
          <w:lang w:val="ru-RU"/>
        </w:rPr>
        <w:tab/>
      </w:r>
      <w:r w:rsidRPr="00521670">
        <w:rPr>
          <w:lang w:val="ru-RU"/>
        </w:rPr>
        <w:t>Общие расходы МСЭ-D в 2024 году составили 26,9 млн. швейцарских франков, или 93% от утвержденного бюджета в 29 млн. швейцарских франков.</w:t>
      </w:r>
    </w:p>
    <w:p w14:paraId="492088B3" w14:textId="55B73205" w:rsidR="00DF251A" w:rsidRPr="00521670" w:rsidRDefault="00DF251A" w:rsidP="00CF01DA">
      <w:pPr>
        <w:pStyle w:val="enumlev1"/>
        <w:ind w:left="851" w:hanging="851"/>
        <w:rPr>
          <w:rFonts w:eastAsia="Calibri"/>
          <w:lang w:val="ru-RU"/>
        </w:rPr>
      </w:pPr>
      <w:r w:rsidRPr="00521670">
        <w:rPr>
          <w:rFonts w:eastAsia="Calibri" w:cs="Calibri"/>
          <w:lang w:val="ru-RU"/>
        </w:rPr>
        <w:t>•</w:t>
      </w:r>
      <w:r w:rsidRPr="00521670">
        <w:rPr>
          <w:rFonts w:eastAsia="Calibri"/>
          <w:lang w:val="ru-RU"/>
        </w:rPr>
        <w:tab/>
      </w:r>
      <w:r w:rsidRPr="00521670">
        <w:rPr>
          <w:lang w:val="ru-RU"/>
        </w:rPr>
        <w:t>Основная экономия была достигнута за счет снижения затрат на командировки и затрат на персонал в связи с осуществлением программы добровольного прекращения службы.</w:t>
      </w:r>
    </w:p>
    <w:p w14:paraId="00290DAD" w14:textId="77777777" w:rsidR="00DF251A" w:rsidRPr="00521670" w:rsidRDefault="00DF251A" w:rsidP="006B587F">
      <w:pPr>
        <w:rPr>
          <w:lang w:val="ru-RU"/>
        </w:rPr>
      </w:pPr>
      <w:r w:rsidRPr="00521670">
        <w:rPr>
          <w:lang w:val="ru-RU"/>
        </w:rPr>
        <w:t>Общая сумма реализации программ составила 155,8 млн. швейцарских франков, что на 5,7 млн. швейцарских франков меньше общего дохода, полученного в 2024 году.</w:t>
      </w:r>
    </w:p>
    <w:p w14:paraId="41FE66BC" w14:textId="77777777" w:rsidR="00DF251A" w:rsidRPr="00521670" w:rsidRDefault="00DF251A" w:rsidP="006B587F">
      <w:pPr>
        <w:rPr>
          <w:lang w:val="ru-RU"/>
        </w:rPr>
      </w:pPr>
      <w:r w:rsidRPr="00521670">
        <w:rPr>
          <w:lang w:val="ru-RU"/>
        </w:rPr>
        <w:t>МСЭ придерживался консервативного подхода к выделению средств ввиду неопределенности в отношении возмещения затрат и поступлений доходов в течение года. Это позволило обеспечить непрерывность деятельности и финансовую дисциплину.</w:t>
      </w:r>
    </w:p>
    <w:p w14:paraId="57B81FAD" w14:textId="77777777" w:rsidR="00DF251A" w:rsidRPr="00521670" w:rsidRDefault="00DF251A" w:rsidP="006B587F">
      <w:pPr>
        <w:rPr>
          <w:lang w:val="ru-RU"/>
        </w:rPr>
      </w:pPr>
      <w:r w:rsidRPr="00521670">
        <w:rPr>
          <w:lang w:val="ru-RU"/>
        </w:rPr>
        <w:lastRenderedPageBreak/>
        <w:t>Кроме того, более высокий, чем ожидалось, уровень процентных поступлений и благоприятная динамика обменного курса также сыграли свою роль в более высоком, чем ожидалось, активном сальдо в 2024 году.</w:t>
      </w:r>
    </w:p>
    <w:p w14:paraId="4DA40EDB" w14:textId="77777777" w:rsidR="00DF251A" w:rsidRPr="00521670" w:rsidRDefault="00DF251A" w:rsidP="006B587F">
      <w:pPr>
        <w:pStyle w:val="Heading5"/>
        <w:rPr>
          <w:b/>
          <w:bCs/>
          <w:color w:val="4F81BD" w:themeColor="accent1"/>
          <w:lang w:val="ru-RU"/>
        </w:rPr>
      </w:pPr>
      <w:bookmarkStart w:id="421" w:name="_Toc305764119"/>
      <w:bookmarkStart w:id="422" w:name="_Toc329011661"/>
      <w:bookmarkStart w:id="423" w:name="_Toc433667371"/>
      <w:bookmarkStart w:id="424" w:name="_Toc164845574"/>
      <w:bookmarkStart w:id="425" w:name="_Toc168578488"/>
      <w:bookmarkStart w:id="426" w:name="_Toc180681833"/>
      <w:bookmarkStart w:id="427" w:name="_Toc200469546"/>
      <w:r w:rsidRPr="00521670">
        <w:rPr>
          <w:b/>
          <w:bCs/>
          <w:color w:val="4F81BD" w:themeColor="accent1"/>
          <w:lang w:val="ru-RU"/>
        </w:rPr>
        <w:t>Примечание 22</w:t>
      </w:r>
      <w:r w:rsidRPr="00521670">
        <w:rPr>
          <w:b/>
          <w:bCs/>
          <w:color w:val="4F81BD" w:themeColor="accent1"/>
          <w:lang w:val="ru-RU"/>
        </w:rPr>
        <w:tab/>
      </w:r>
      <w:bookmarkEnd w:id="421"/>
      <w:bookmarkEnd w:id="422"/>
      <w:bookmarkEnd w:id="423"/>
      <w:bookmarkEnd w:id="424"/>
      <w:r w:rsidRPr="00521670">
        <w:rPr>
          <w:b/>
          <w:bCs/>
          <w:color w:val="4F81BD" w:themeColor="accent1"/>
          <w:lang w:val="ru-RU"/>
        </w:rPr>
        <w:t>Информация, касающаяся связанных сторон</w:t>
      </w:r>
      <w:bookmarkEnd w:id="425"/>
      <w:bookmarkEnd w:id="426"/>
      <w:bookmarkEnd w:id="427"/>
    </w:p>
    <w:p w14:paraId="29DACDB0" w14:textId="77777777" w:rsidR="00DF251A" w:rsidRPr="00521670" w:rsidRDefault="00DF251A" w:rsidP="006B587F">
      <w:pPr>
        <w:rPr>
          <w:lang w:val="ru-RU" w:bidi="ru-RU"/>
        </w:rPr>
      </w:pPr>
      <w:r w:rsidRPr="00521670">
        <w:rPr>
          <w:lang w:val="ru-RU"/>
        </w:rPr>
        <w:t>Связанными сторонами МСЭ являются следующие стороны:</w:t>
      </w:r>
    </w:p>
    <w:p w14:paraId="4A11A284" w14:textId="77777777" w:rsidR="00DF251A" w:rsidRPr="00521670" w:rsidRDefault="00DF251A" w:rsidP="006B587F">
      <w:pPr>
        <w:pStyle w:val="enumlev1"/>
        <w:rPr>
          <w:lang w:val="ru-RU" w:bidi="ru-RU"/>
        </w:rPr>
      </w:pPr>
      <w:r w:rsidRPr="00521670">
        <w:rPr>
          <w:lang w:val="ru-RU" w:bidi="ru-RU"/>
        </w:rPr>
        <w:t>–</w:t>
      </w:r>
      <w:r w:rsidRPr="00521670">
        <w:rPr>
          <w:lang w:val="ru-RU" w:bidi="ru-RU"/>
        </w:rPr>
        <w:tab/>
        <w:t>Совет МСЭ состоит из 48 Государств-Членов без назначения конкретных лиц.</w:t>
      </w:r>
    </w:p>
    <w:p w14:paraId="21948A08" w14:textId="77777777" w:rsidR="00DF251A" w:rsidRPr="00521670" w:rsidRDefault="00DF251A" w:rsidP="006B587F">
      <w:pPr>
        <w:pStyle w:val="enumlev1"/>
        <w:rPr>
          <w:lang w:val="ru-RU" w:bidi="ru-RU"/>
        </w:rPr>
      </w:pPr>
      <w:r w:rsidRPr="00521670">
        <w:rPr>
          <w:lang w:val="ru-RU" w:bidi="ru-RU"/>
        </w:rPr>
        <w:t>–</w:t>
      </w:r>
      <w:r w:rsidRPr="00521670">
        <w:rPr>
          <w:lang w:val="ru-RU" w:bidi="ru-RU"/>
        </w:rPr>
        <w:tab/>
      </w:r>
      <w:r w:rsidRPr="00521670">
        <w:rPr>
          <w:lang w:val="ru-RU"/>
        </w:rPr>
        <w:t>Управление Союзом осуществляет Генеральный секретарь как исполнительный руководитель, которому в этом помогают заместитель Генерального секретаря и Директора трех бюро Союза (должностные лица высокого уровня, входящие в Координационный комитет): Сектора радиосвязи (МСЭ-R), Сектора стандартизации электросвязи (МСЭ-Т) и Сектора развития электросвязи (МСЭ-D).</w:t>
      </w:r>
    </w:p>
    <w:p w14:paraId="5A8013D8" w14:textId="77777777" w:rsidR="00DF251A" w:rsidRPr="00521670" w:rsidRDefault="00DF251A" w:rsidP="006B587F">
      <w:pPr>
        <w:spacing w:after="120"/>
        <w:rPr>
          <w:lang w:val="ru-RU"/>
        </w:rPr>
      </w:pPr>
      <w:r w:rsidRPr="00521670">
        <w:rPr>
          <w:lang w:val="ru-RU"/>
        </w:rPr>
        <w:t>Общее вознаграждение, выплачиваемое основному руководящему персоналу, состоит из чистого оклада, корректировки оклада по месту службы, таких надбавок, как представительские расходы, подъемное пособие, субсидия на репатриацию, оплата накопленных дней отпуска, субсидия на аренду жилья и вывоз личного имущества, в дополнение к таким же пособиям, предоставляемым сотрудникам категории специалистов, как отпуск на родину, субсидия на образование, субсидия на аренду жилья и пособия после прекращения службы. В приведенной ниже таблице указаны суммы, относящиеся к 2024 году.</w:t>
      </w:r>
    </w:p>
    <w:tbl>
      <w:tblPr>
        <w:tblW w:w="5000" w:type="pct"/>
        <w:jc w:val="center"/>
        <w:tblLook w:val="04A0" w:firstRow="1" w:lastRow="0" w:firstColumn="1" w:lastColumn="0" w:noHBand="0" w:noVBand="1"/>
      </w:tblPr>
      <w:tblGrid>
        <w:gridCol w:w="3120"/>
        <w:gridCol w:w="1417"/>
        <w:gridCol w:w="1558"/>
        <w:gridCol w:w="1419"/>
        <w:gridCol w:w="1557"/>
      </w:tblGrid>
      <w:tr w:rsidR="00DF251A" w:rsidRPr="00521670" w14:paraId="69A10BFA" w14:textId="77777777" w:rsidTr="008F55BE">
        <w:trPr>
          <w:jc w:val="center"/>
        </w:trPr>
        <w:tc>
          <w:tcPr>
            <w:tcW w:w="1720" w:type="pct"/>
            <w:tcBorders>
              <w:top w:val="nil"/>
              <w:left w:val="nil"/>
              <w:bottom w:val="nil"/>
              <w:right w:val="nil"/>
            </w:tcBorders>
            <w:shd w:val="clear" w:color="000000" w:fill="0070C0"/>
            <w:vAlign w:val="center"/>
            <w:hideMark/>
          </w:tcPr>
          <w:p w14:paraId="7E86357C" w14:textId="77777777" w:rsidR="00DF251A" w:rsidRPr="00521670" w:rsidRDefault="00DF251A" w:rsidP="00835292">
            <w:pPr>
              <w:pStyle w:val="Tablehead"/>
              <w:rPr>
                <w:lang w:val="ru-RU"/>
              </w:rPr>
            </w:pPr>
          </w:p>
        </w:tc>
        <w:tc>
          <w:tcPr>
            <w:tcW w:w="1640" w:type="pct"/>
            <w:gridSpan w:val="2"/>
            <w:tcBorders>
              <w:top w:val="nil"/>
              <w:left w:val="nil"/>
              <w:bottom w:val="nil"/>
              <w:right w:val="nil"/>
            </w:tcBorders>
            <w:shd w:val="clear" w:color="000000" w:fill="0070C0"/>
            <w:vAlign w:val="center"/>
            <w:hideMark/>
          </w:tcPr>
          <w:p w14:paraId="7DBEC516" w14:textId="77777777" w:rsidR="00DF251A" w:rsidRPr="00521670" w:rsidRDefault="00DF251A" w:rsidP="00835292">
            <w:pPr>
              <w:pStyle w:val="Tablehead"/>
              <w:rPr>
                <w:lang w:val="ru-RU"/>
              </w:rPr>
            </w:pPr>
            <w:r w:rsidRPr="00521670">
              <w:rPr>
                <w:lang w:val="ru-RU"/>
              </w:rPr>
              <w:t>2024 г.</w:t>
            </w:r>
          </w:p>
        </w:tc>
        <w:tc>
          <w:tcPr>
            <w:tcW w:w="1640" w:type="pct"/>
            <w:gridSpan w:val="2"/>
            <w:tcBorders>
              <w:top w:val="nil"/>
              <w:left w:val="nil"/>
              <w:bottom w:val="nil"/>
              <w:right w:val="nil"/>
            </w:tcBorders>
            <w:shd w:val="clear" w:color="000000" w:fill="0070C0"/>
            <w:vAlign w:val="center"/>
            <w:hideMark/>
          </w:tcPr>
          <w:p w14:paraId="1A9BE4B1" w14:textId="77777777" w:rsidR="00DF251A" w:rsidRPr="00521670" w:rsidRDefault="00DF251A" w:rsidP="00835292">
            <w:pPr>
              <w:pStyle w:val="Tablehead"/>
              <w:rPr>
                <w:lang w:val="ru-RU"/>
              </w:rPr>
            </w:pPr>
            <w:r w:rsidRPr="00521670">
              <w:rPr>
                <w:lang w:val="ru-RU"/>
              </w:rPr>
              <w:t>2023 г.</w:t>
            </w:r>
          </w:p>
        </w:tc>
      </w:tr>
      <w:tr w:rsidR="00DF251A" w:rsidRPr="00521670" w14:paraId="0C573C32" w14:textId="77777777" w:rsidTr="008F55BE">
        <w:trPr>
          <w:jc w:val="center"/>
        </w:trPr>
        <w:tc>
          <w:tcPr>
            <w:tcW w:w="1720" w:type="pct"/>
            <w:tcBorders>
              <w:top w:val="nil"/>
              <w:left w:val="nil"/>
              <w:bottom w:val="nil"/>
              <w:right w:val="nil"/>
            </w:tcBorders>
            <w:shd w:val="clear" w:color="000000" w:fill="0070C0"/>
            <w:vAlign w:val="center"/>
            <w:hideMark/>
          </w:tcPr>
          <w:p w14:paraId="62556011" w14:textId="77777777" w:rsidR="00DF251A" w:rsidRPr="00521670" w:rsidRDefault="00DF251A" w:rsidP="00835292">
            <w:pPr>
              <w:pStyle w:val="Tablehead"/>
              <w:rPr>
                <w:lang w:val="ru-RU"/>
              </w:rPr>
            </w:pPr>
            <w:r w:rsidRPr="00521670">
              <w:rPr>
                <w:lang w:val="ru-RU"/>
              </w:rPr>
              <w:t>В тыс. шв. фр.</w:t>
            </w:r>
          </w:p>
        </w:tc>
        <w:tc>
          <w:tcPr>
            <w:tcW w:w="781" w:type="pct"/>
            <w:tcBorders>
              <w:top w:val="nil"/>
              <w:left w:val="nil"/>
              <w:bottom w:val="nil"/>
              <w:right w:val="nil"/>
            </w:tcBorders>
            <w:shd w:val="clear" w:color="000000" w:fill="0070C0"/>
            <w:vAlign w:val="center"/>
            <w:hideMark/>
          </w:tcPr>
          <w:p w14:paraId="00535BC0" w14:textId="77777777" w:rsidR="00DF251A" w:rsidRPr="00521670" w:rsidRDefault="00DF251A" w:rsidP="00835292">
            <w:pPr>
              <w:pStyle w:val="Tablehead"/>
              <w:rPr>
                <w:lang w:val="ru-RU"/>
              </w:rPr>
            </w:pPr>
            <w:r w:rsidRPr="00521670">
              <w:rPr>
                <w:lang w:val="ru-RU"/>
              </w:rPr>
              <w:t>Число</w:t>
            </w:r>
            <w:r w:rsidRPr="00521670">
              <w:rPr>
                <w:lang w:val="ru-RU"/>
              </w:rPr>
              <w:br/>
              <w:t>сотрудников</w:t>
            </w:r>
          </w:p>
        </w:tc>
        <w:tc>
          <w:tcPr>
            <w:tcW w:w="859" w:type="pct"/>
            <w:tcBorders>
              <w:top w:val="nil"/>
              <w:left w:val="nil"/>
              <w:bottom w:val="nil"/>
              <w:right w:val="nil"/>
            </w:tcBorders>
            <w:shd w:val="clear" w:color="000000" w:fill="0070C0"/>
            <w:vAlign w:val="center"/>
            <w:hideMark/>
          </w:tcPr>
          <w:p w14:paraId="18F373A0" w14:textId="77777777" w:rsidR="00DF251A" w:rsidRPr="00521670" w:rsidRDefault="00DF251A" w:rsidP="00835292">
            <w:pPr>
              <w:pStyle w:val="Tablehead"/>
              <w:rPr>
                <w:lang w:val="ru-RU"/>
              </w:rPr>
            </w:pPr>
            <w:r w:rsidRPr="00521670">
              <w:rPr>
                <w:lang w:val="ru-RU"/>
              </w:rPr>
              <w:t>Общее вознаграждение</w:t>
            </w:r>
          </w:p>
        </w:tc>
        <w:tc>
          <w:tcPr>
            <w:tcW w:w="782" w:type="pct"/>
            <w:tcBorders>
              <w:top w:val="nil"/>
              <w:left w:val="nil"/>
              <w:right w:val="nil"/>
            </w:tcBorders>
            <w:shd w:val="clear" w:color="000000" w:fill="0070C0"/>
            <w:vAlign w:val="center"/>
            <w:hideMark/>
          </w:tcPr>
          <w:p w14:paraId="4EA76E4F" w14:textId="77777777" w:rsidR="00DF251A" w:rsidRPr="00521670" w:rsidRDefault="00DF251A" w:rsidP="00835292">
            <w:pPr>
              <w:pStyle w:val="Tablehead"/>
              <w:rPr>
                <w:lang w:val="ru-RU"/>
              </w:rPr>
            </w:pPr>
            <w:r w:rsidRPr="00521670">
              <w:rPr>
                <w:lang w:val="ru-RU"/>
              </w:rPr>
              <w:t>Число</w:t>
            </w:r>
            <w:r w:rsidRPr="00521670">
              <w:rPr>
                <w:lang w:val="ru-RU"/>
              </w:rPr>
              <w:br/>
              <w:t>сотрудников</w:t>
            </w:r>
          </w:p>
        </w:tc>
        <w:tc>
          <w:tcPr>
            <w:tcW w:w="858" w:type="pct"/>
            <w:tcBorders>
              <w:top w:val="nil"/>
              <w:left w:val="nil"/>
              <w:bottom w:val="nil"/>
              <w:right w:val="nil"/>
            </w:tcBorders>
            <w:shd w:val="clear" w:color="000000" w:fill="0070C0"/>
            <w:vAlign w:val="center"/>
            <w:hideMark/>
          </w:tcPr>
          <w:p w14:paraId="083FA2DA" w14:textId="77777777" w:rsidR="00DF251A" w:rsidRPr="00521670" w:rsidRDefault="00DF251A" w:rsidP="00835292">
            <w:pPr>
              <w:pStyle w:val="Tablehead"/>
              <w:rPr>
                <w:lang w:val="ru-RU"/>
              </w:rPr>
            </w:pPr>
            <w:r w:rsidRPr="00521670">
              <w:rPr>
                <w:lang w:val="ru-RU"/>
              </w:rPr>
              <w:t>Общее вознаграждение</w:t>
            </w:r>
          </w:p>
        </w:tc>
      </w:tr>
      <w:tr w:rsidR="00DF251A" w:rsidRPr="00521670" w14:paraId="588E984D" w14:textId="77777777" w:rsidTr="008F55BE">
        <w:trPr>
          <w:jc w:val="center"/>
        </w:trPr>
        <w:tc>
          <w:tcPr>
            <w:tcW w:w="1720" w:type="pct"/>
            <w:tcBorders>
              <w:top w:val="nil"/>
              <w:left w:val="nil"/>
              <w:bottom w:val="nil"/>
              <w:right w:val="nil"/>
            </w:tcBorders>
            <w:shd w:val="clear" w:color="auto" w:fill="auto"/>
            <w:vAlign w:val="center"/>
            <w:hideMark/>
          </w:tcPr>
          <w:p w14:paraId="09AD0A15" w14:textId="77777777" w:rsidR="00DF251A" w:rsidRPr="00521670" w:rsidRDefault="00DF251A" w:rsidP="006B587F">
            <w:pPr>
              <w:pStyle w:val="Tabletext"/>
              <w:rPr>
                <w:lang w:val="ru-RU" w:eastAsia="en-GB"/>
              </w:rPr>
            </w:pPr>
            <w:r w:rsidRPr="00521670">
              <w:rPr>
                <w:lang w:val="ru-RU" w:eastAsia="en-GB"/>
              </w:rPr>
              <w:t>Избираемые должностные лица</w:t>
            </w:r>
          </w:p>
        </w:tc>
        <w:tc>
          <w:tcPr>
            <w:tcW w:w="781" w:type="pct"/>
            <w:tcBorders>
              <w:top w:val="nil"/>
              <w:left w:val="nil"/>
              <w:bottom w:val="nil"/>
              <w:right w:val="nil"/>
            </w:tcBorders>
            <w:shd w:val="clear" w:color="auto" w:fill="auto"/>
          </w:tcPr>
          <w:p w14:paraId="4E6878C8" w14:textId="77777777" w:rsidR="00DF251A" w:rsidRPr="00521670" w:rsidRDefault="00DF251A" w:rsidP="006B587F">
            <w:pPr>
              <w:pStyle w:val="Tabletext"/>
              <w:jc w:val="right"/>
              <w:rPr>
                <w:lang w:val="ru-RU" w:eastAsia="en-GB"/>
              </w:rPr>
            </w:pPr>
            <w:r w:rsidRPr="00521670">
              <w:rPr>
                <w:lang w:val="ru-RU"/>
              </w:rPr>
              <w:t>5</w:t>
            </w:r>
          </w:p>
        </w:tc>
        <w:tc>
          <w:tcPr>
            <w:tcW w:w="859" w:type="pct"/>
            <w:tcBorders>
              <w:top w:val="nil"/>
              <w:left w:val="nil"/>
              <w:bottom w:val="nil"/>
              <w:right w:val="nil"/>
            </w:tcBorders>
            <w:shd w:val="clear" w:color="auto" w:fill="auto"/>
          </w:tcPr>
          <w:p w14:paraId="18EE707E" w14:textId="77777777" w:rsidR="00DF251A" w:rsidRPr="00521670" w:rsidRDefault="00DF251A" w:rsidP="006B587F">
            <w:pPr>
              <w:pStyle w:val="Tabletext"/>
              <w:jc w:val="right"/>
              <w:rPr>
                <w:lang w:val="ru-RU" w:eastAsia="en-GB"/>
              </w:rPr>
            </w:pPr>
            <w:r w:rsidRPr="00521670">
              <w:rPr>
                <w:lang w:val="ru-RU"/>
              </w:rPr>
              <w:t>2 197</w:t>
            </w:r>
          </w:p>
        </w:tc>
        <w:tc>
          <w:tcPr>
            <w:tcW w:w="782" w:type="pct"/>
            <w:tcBorders>
              <w:top w:val="nil"/>
              <w:left w:val="nil"/>
              <w:bottom w:val="nil"/>
              <w:right w:val="nil"/>
            </w:tcBorders>
            <w:shd w:val="clear" w:color="auto" w:fill="auto"/>
          </w:tcPr>
          <w:p w14:paraId="0E5E5177" w14:textId="77777777" w:rsidR="00DF251A" w:rsidRPr="00521670" w:rsidRDefault="00DF251A" w:rsidP="006B587F">
            <w:pPr>
              <w:pStyle w:val="Tabletext"/>
              <w:jc w:val="right"/>
              <w:rPr>
                <w:lang w:val="ru-RU" w:eastAsia="en-GB"/>
              </w:rPr>
            </w:pPr>
            <w:r w:rsidRPr="00521670">
              <w:rPr>
                <w:lang w:val="ru-RU"/>
              </w:rPr>
              <w:t>5</w:t>
            </w:r>
          </w:p>
        </w:tc>
        <w:tc>
          <w:tcPr>
            <w:tcW w:w="858" w:type="pct"/>
            <w:tcBorders>
              <w:top w:val="nil"/>
              <w:left w:val="nil"/>
              <w:bottom w:val="nil"/>
              <w:right w:val="nil"/>
            </w:tcBorders>
            <w:shd w:val="clear" w:color="auto" w:fill="auto"/>
          </w:tcPr>
          <w:p w14:paraId="536804D7" w14:textId="77777777" w:rsidR="00DF251A" w:rsidRPr="00521670" w:rsidRDefault="00DF251A" w:rsidP="006B587F">
            <w:pPr>
              <w:pStyle w:val="Tabletext"/>
              <w:jc w:val="right"/>
              <w:rPr>
                <w:lang w:val="ru-RU" w:eastAsia="en-GB"/>
              </w:rPr>
            </w:pPr>
            <w:r w:rsidRPr="00521670">
              <w:rPr>
                <w:lang w:val="ru-RU"/>
              </w:rPr>
              <w:t>2 274</w:t>
            </w:r>
          </w:p>
        </w:tc>
      </w:tr>
    </w:tbl>
    <w:p w14:paraId="7175A6E6" w14:textId="77777777" w:rsidR="00DF251A" w:rsidRPr="00521670" w:rsidRDefault="00DF251A" w:rsidP="00853507">
      <w:pPr>
        <w:pStyle w:val="Heading5"/>
        <w:rPr>
          <w:b/>
          <w:bCs/>
          <w:color w:val="4F81BD" w:themeColor="accent1"/>
          <w:lang w:val="ru-RU"/>
        </w:rPr>
      </w:pPr>
      <w:bookmarkStart w:id="428" w:name="_Toc305764120"/>
      <w:bookmarkStart w:id="429" w:name="_Toc329011662"/>
      <w:bookmarkStart w:id="430" w:name="_Toc1800894350"/>
      <w:bookmarkStart w:id="431" w:name="_Toc164845575"/>
      <w:bookmarkStart w:id="432" w:name="_Toc168578489"/>
      <w:bookmarkStart w:id="433" w:name="_Toc180681834"/>
      <w:bookmarkStart w:id="434" w:name="_Toc200469547"/>
      <w:r w:rsidRPr="00521670">
        <w:rPr>
          <w:b/>
          <w:bCs/>
          <w:color w:val="4F81BD" w:themeColor="accent1"/>
          <w:lang w:val="ru-RU"/>
        </w:rPr>
        <w:t>Примечание 2</w:t>
      </w:r>
      <w:bookmarkEnd w:id="428"/>
      <w:r w:rsidRPr="00521670">
        <w:rPr>
          <w:b/>
          <w:bCs/>
          <w:color w:val="4F81BD" w:themeColor="accent1"/>
          <w:lang w:val="ru-RU"/>
        </w:rPr>
        <w:t>3</w:t>
      </w:r>
      <w:r w:rsidRPr="00521670">
        <w:rPr>
          <w:b/>
          <w:bCs/>
          <w:color w:val="4F81BD" w:themeColor="accent1"/>
          <w:lang w:val="ru-RU"/>
        </w:rPr>
        <w:tab/>
      </w:r>
      <w:bookmarkEnd w:id="429"/>
      <w:bookmarkEnd w:id="430"/>
      <w:bookmarkEnd w:id="431"/>
      <w:r w:rsidRPr="00521670">
        <w:rPr>
          <w:b/>
          <w:bCs/>
          <w:color w:val="4F81BD" w:themeColor="accent1"/>
          <w:lang w:val="ru-RU"/>
        </w:rPr>
        <w:t>Будущие обязательства</w:t>
      </w:r>
      <w:bookmarkEnd w:id="432"/>
      <w:bookmarkEnd w:id="433"/>
      <w:bookmarkEnd w:id="434"/>
    </w:p>
    <w:p w14:paraId="4990B918" w14:textId="77777777" w:rsidR="00DF251A" w:rsidRPr="00521670" w:rsidRDefault="00DF251A" w:rsidP="00853507">
      <w:pPr>
        <w:keepNext/>
        <w:keepLines/>
        <w:rPr>
          <w:lang w:val="ru-RU" w:bidi="ru-RU"/>
        </w:rPr>
      </w:pPr>
      <w:r w:rsidRPr="00521670">
        <w:rPr>
          <w:lang w:val="ru-RU"/>
        </w:rPr>
        <w:t xml:space="preserve">1 января 2020 года МСЭ подписал контракт c ЮНСМИС, в связи с чем до 2032 года необходимо выплачивать дополнительные ежегодные взносы. По состоянию на 31 декабря </w:t>
      </w:r>
      <w:r w:rsidRPr="00521670">
        <w:rPr>
          <w:lang w:val="ru-RU" w:bidi="ru-RU"/>
        </w:rPr>
        <w:t>2024 года общая сумма оставшихся дополнительных взносов составила 12,8 </w:t>
      </w:r>
      <w:r w:rsidRPr="00521670">
        <w:rPr>
          <w:lang w:val="ru-RU" w:eastAsia="en-GB"/>
        </w:rPr>
        <w:t>млн. швейцарских франков</w:t>
      </w:r>
      <w:r w:rsidRPr="00521670">
        <w:rPr>
          <w:lang w:val="ru-RU" w:bidi="ru-RU"/>
        </w:rPr>
        <w:t xml:space="preserve"> (14,2 </w:t>
      </w:r>
      <w:r w:rsidRPr="00521670">
        <w:rPr>
          <w:lang w:val="ru-RU" w:eastAsia="en-GB"/>
        </w:rPr>
        <w:t>млн. долл. США</w:t>
      </w:r>
      <w:r w:rsidRPr="00521670">
        <w:rPr>
          <w:lang w:val="ru-RU" w:bidi="ru-RU"/>
        </w:rPr>
        <w:t>) (31 декабря 2023 г. − 13,3 </w:t>
      </w:r>
      <w:r w:rsidRPr="00521670">
        <w:rPr>
          <w:lang w:val="ru-RU" w:eastAsia="en-GB"/>
        </w:rPr>
        <w:t>млн. шв. фр.</w:t>
      </w:r>
      <w:r w:rsidRPr="00521670">
        <w:rPr>
          <w:lang w:val="ru-RU" w:bidi="ru-RU"/>
        </w:rPr>
        <w:t xml:space="preserve"> (15,9 </w:t>
      </w:r>
      <w:r w:rsidRPr="00521670">
        <w:rPr>
          <w:lang w:val="ru-RU" w:eastAsia="en-GB"/>
        </w:rPr>
        <w:t>млн. долл. США</w:t>
      </w:r>
      <w:r w:rsidRPr="00521670">
        <w:rPr>
          <w:lang w:val="ru-RU" w:bidi="ru-RU"/>
        </w:rPr>
        <w:t>)).</w:t>
      </w:r>
    </w:p>
    <w:p w14:paraId="5019AB27" w14:textId="77777777" w:rsidR="00DF251A" w:rsidRPr="00521670" w:rsidRDefault="00DF251A" w:rsidP="00853507">
      <w:pPr>
        <w:pStyle w:val="Heading5"/>
        <w:rPr>
          <w:b/>
          <w:bCs/>
          <w:color w:val="4F81BD" w:themeColor="accent1"/>
          <w:lang w:val="ru-RU"/>
        </w:rPr>
      </w:pPr>
      <w:bookmarkStart w:id="435" w:name="_Toc164324555"/>
      <w:bookmarkStart w:id="436" w:name="_Toc709754809"/>
      <w:bookmarkStart w:id="437" w:name="_Toc164845576"/>
      <w:bookmarkStart w:id="438" w:name="_Toc168578490"/>
      <w:bookmarkStart w:id="439" w:name="_Toc180681835"/>
      <w:bookmarkStart w:id="440" w:name="_Toc200469548"/>
      <w:r w:rsidRPr="00521670">
        <w:rPr>
          <w:b/>
          <w:bCs/>
          <w:color w:val="4F81BD" w:themeColor="accent1"/>
          <w:lang w:val="ru-RU"/>
        </w:rPr>
        <w:t>Примечание 24</w:t>
      </w:r>
      <w:r w:rsidRPr="00521670">
        <w:rPr>
          <w:b/>
          <w:bCs/>
          <w:color w:val="4F81BD" w:themeColor="accent1"/>
          <w:lang w:val="ru-RU"/>
        </w:rPr>
        <w:tab/>
      </w:r>
      <w:bookmarkStart w:id="441" w:name="_Toc168578491"/>
      <w:bookmarkStart w:id="442" w:name="_Hlk39154510"/>
      <w:bookmarkEnd w:id="435"/>
      <w:bookmarkEnd w:id="436"/>
      <w:bookmarkEnd w:id="437"/>
      <w:bookmarkEnd w:id="438"/>
      <w:r w:rsidRPr="00521670">
        <w:rPr>
          <w:b/>
          <w:bCs/>
          <w:color w:val="4F81BD" w:themeColor="accent1"/>
          <w:lang w:val="ru-RU"/>
        </w:rPr>
        <w:t>Мероприятия, следующие за датой представления отчетности</w:t>
      </w:r>
      <w:bookmarkEnd w:id="439"/>
      <w:bookmarkEnd w:id="441"/>
      <w:bookmarkEnd w:id="440"/>
    </w:p>
    <w:bookmarkEnd w:id="442"/>
    <w:p w14:paraId="03C7E46B" w14:textId="77777777" w:rsidR="00DF251A" w:rsidRPr="00521670" w:rsidRDefault="00DF251A" w:rsidP="00853507">
      <w:pPr>
        <w:rPr>
          <w:lang w:val="ru-RU" w:bidi="ru-RU"/>
        </w:rPr>
      </w:pPr>
      <w:r w:rsidRPr="00521670">
        <w:rPr>
          <w:lang w:val="ru-RU"/>
        </w:rPr>
        <w:t xml:space="preserve">Отчетной датой МСЭ является 31 декабря </w:t>
      </w:r>
      <w:r w:rsidRPr="00521670">
        <w:rPr>
          <w:lang w:val="ru-RU" w:bidi="ru-RU"/>
        </w:rPr>
        <w:t>2024 года</w:t>
      </w:r>
      <w:r w:rsidRPr="00521670">
        <w:rPr>
          <w:lang w:val="ru-RU"/>
        </w:rPr>
        <w:t>, и настоящий отчет о финансовой деятельности был утвержден к выпуску на ту же дату, что и заключение Внешнего аудитора</w:t>
      </w:r>
      <w:r w:rsidRPr="00521670">
        <w:rPr>
          <w:lang w:val="ru-RU" w:bidi="ru-RU"/>
        </w:rPr>
        <w:t>.</w:t>
      </w:r>
    </w:p>
    <w:p w14:paraId="269289E8" w14:textId="40D2CE54" w:rsidR="00DF251A" w:rsidRPr="00521670" w:rsidRDefault="00DF251A" w:rsidP="00705638">
      <w:pPr>
        <w:rPr>
          <w:lang w:val="ru-RU"/>
        </w:rPr>
      </w:pPr>
      <w:r w:rsidRPr="00521670">
        <w:rPr>
          <w:lang w:val="ru-RU"/>
        </w:rPr>
        <w:t>Роль МСЭ как межправительственной организации, которая работает с правительствами, объединениями частного сектора и академическими учреждениями в целях координации деятельности в области глобальных стандартов электросвязи, управления использованием спектра и развития инфраструктуры, сегодня как никогда важна. Руководство прекрасно осознает наличие возможной неопределенности, связанной с текущей геополитической ситуацией, а также с переориентацией приоритетов доноров.</w:t>
      </w:r>
    </w:p>
    <w:p w14:paraId="5EC14320" w14:textId="77777777" w:rsidR="00DF251A" w:rsidRPr="00521670" w:rsidRDefault="00DF251A" w:rsidP="00447AF2">
      <w:pPr>
        <w:rPr>
          <w:lang w:val="ru-RU"/>
        </w:rPr>
      </w:pPr>
      <w:r w:rsidRPr="00521670">
        <w:rPr>
          <w:lang w:val="ru-RU"/>
        </w:rPr>
        <w:t>Хотя взносы доноров составляют лишь незначительную долю доходов Организации, достоверно оценить возможное будущее снижение уровня доходов на дату составления настоящей финансовой отчетности не представляется возможным.</w:t>
      </w:r>
    </w:p>
    <w:p w14:paraId="37390528" w14:textId="77777777" w:rsidR="00DF251A" w:rsidRPr="00521670" w:rsidRDefault="00DF251A" w:rsidP="00705638">
      <w:pPr>
        <w:rPr>
          <w:lang w:val="ru-RU"/>
        </w:rPr>
      </w:pPr>
      <w:r w:rsidRPr="00521670">
        <w:rPr>
          <w:lang w:val="ru-RU"/>
        </w:rPr>
        <w:t>В 2024 году начисленные взносы, полученные от донора, который объявил о текущем пересмотре своих приоритетов в области международного финансирования, составили 11% от общего объема доходов МСЭ по линии начисленных взносов за год.</w:t>
      </w:r>
    </w:p>
    <w:p w14:paraId="2187A3E7" w14:textId="77777777" w:rsidR="00DF251A" w:rsidRPr="00521670" w:rsidRDefault="00DF251A" w:rsidP="00705638">
      <w:pPr>
        <w:rPr>
          <w:lang w:val="ru-RU"/>
        </w:rPr>
      </w:pPr>
      <w:r w:rsidRPr="00521670">
        <w:rPr>
          <w:lang w:val="ru-RU"/>
        </w:rPr>
        <w:t xml:space="preserve">В настоящее время МСЭ осуществляет оценку и упреждающе управление своей запланированной деятельностью и финансовыми обязательствами наиболее эффективным </w:t>
      </w:r>
      <w:r w:rsidRPr="00521670">
        <w:rPr>
          <w:lang w:val="ru-RU"/>
        </w:rPr>
        <w:lastRenderedPageBreak/>
        <w:t>образом с целью минимизации рисков. На дату выпуска настоящей финансовой отчетности не было принято решений, которые привели бы к заключению обременительных контрактов, и не было выявлено каких-либо надежно измеримых условных обязательств, возникших в результате уже принятых мер по смягчению последствий. В соответствии со стандартом IPSAS 23 и практикой МСЭ внебюджетные соглашения, на которые влияла какая-либо неопределенность, считались обусловленными, и поэтому соответствующие доходы, относящиеся к еще незавершенной деятельности, на которую еще не были выделены средства, учитывались как доходы будущих периодов (0,9 млн. швейцарских франков) по состоянию на 31 декабря 2024 года. Кроме того, МСЭ продолжает применять свою обычную практику, начиная процесс реализации проектов только после получения средств от донора, что позволяет снизить риски неполучения средств. Вся основная деятельность, связанная с продолжением осуществления таких проектов, не будет проводиться до дальнейшего уведомления. МСЭ занимается поиском дополнительных источников финансирования для продолжения реализации этих проектов.</w:t>
      </w:r>
    </w:p>
    <w:p w14:paraId="6BA79C9F" w14:textId="75E20816" w:rsidR="00DF251A" w:rsidRPr="00521670" w:rsidRDefault="00DF251A" w:rsidP="00705638">
      <w:pPr>
        <w:rPr>
          <w:lang w:val="ru-RU"/>
        </w:rPr>
      </w:pPr>
      <w:r w:rsidRPr="00521670">
        <w:rPr>
          <w:lang w:val="ru-RU"/>
        </w:rPr>
        <w:t>Эти меры позволили МСЭ к концу 2024 года достичь баланса и обеспечить, чтобы потенциальное воздействие неопределенности касалось только еще не принятых обязательств</w:t>
      </w:r>
      <w:r w:rsidR="00AE37FA" w:rsidRPr="00521670">
        <w:rPr>
          <w:lang w:val="ru-RU"/>
        </w:rPr>
        <w:t> </w:t>
      </w:r>
      <w:r w:rsidRPr="00521670">
        <w:rPr>
          <w:lang w:val="ru-RU"/>
        </w:rPr>
        <w:t>и операций.</w:t>
      </w:r>
    </w:p>
    <w:p w14:paraId="18307973" w14:textId="77777777" w:rsidR="00DF251A" w:rsidRPr="00521670" w:rsidRDefault="00DF251A" w:rsidP="00705638">
      <w:pPr>
        <w:rPr>
          <w:lang w:val="ru-RU"/>
        </w:rPr>
      </w:pPr>
      <w:r w:rsidRPr="00521670">
        <w:rPr>
          <w:lang w:val="ru-RU"/>
        </w:rPr>
        <w:br w:type="page"/>
      </w:r>
    </w:p>
    <w:p w14:paraId="16AFE3A8" w14:textId="77777777" w:rsidR="00DF251A" w:rsidRPr="00521670" w:rsidRDefault="00DF251A" w:rsidP="0083348B">
      <w:pPr>
        <w:pStyle w:val="AnnexNo"/>
        <w:spacing w:before="120"/>
        <w:rPr>
          <w:lang w:val="ru-RU"/>
        </w:rPr>
      </w:pPr>
      <w:bookmarkStart w:id="443" w:name="_Toc167956900"/>
      <w:bookmarkStart w:id="444" w:name="_Toc167957205"/>
      <w:bookmarkStart w:id="445" w:name="_Toc180681836"/>
      <w:bookmarkStart w:id="446" w:name="_Toc200469549"/>
      <w:bookmarkStart w:id="447" w:name="AnnexA"/>
      <w:bookmarkStart w:id="448" w:name="Annex3"/>
      <w:r w:rsidRPr="00521670">
        <w:rPr>
          <w:lang w:val="ru-RU"/>
        </w:rPr>
        <w:lastRenderedPageBreak/>
        <w:t xml:space="preserve">ПРИЛОЖЕНИЕ </w:t>
      </w:r>
      <w:bookmarkEnd w:id="443"/>
      <w:bookmarkEnd w:id="444"/>
      <w:bookmarkEnd w:id="445"/>
      <w:r w:rsidRPr="00521670">
        <w:rPr>
          <w:lang w:val="ru-RU"/>
        </w:rPr>
        <w:t>А</w:t>
      </w:r>
      <w:bookmarkEnd w:id="446"/>
      <w:bookmarkEnd w:id="447"/>
    </w:p>
    <w:p w14:paraId="74BD6451" w14:textId="77777777" w:rsidR="00DF251A" w:rsidRPr="00521670" w:rsidRDefault="00DF251A" w:rsidP="0083348B">
      <w:pPr>
        <w:pStyle w:val="ResNo"/>
        <w:rPr>
          <w:lang w:val="ru-RU"/>
        </w:rPr>
      </w:pPr>
      <w:bookmarkStart w:id="449" w:name="_Toc167956901"/>
      <w:bookmarkStart w:id="450" w:name="_Toc167957206"/>
      <w:bookmarkEnd w:id="448"/>
      <w:r w:rsidRPr="00521670">
        <w:rPr>
          <w:lang w:val="ru-RU"/>
        </w:rPr>
        <w:t>ПРОЕКТ РЕЗОЛЮЦИИ</w:t>
      </w:r>
      <w:bookmarkEnd w:id="449"/>
      <w:bookmarkEnd w:id="450"/>
      <w:r w:rsidRPr="00521670">
        <w:rPr>
          <w:lang w:val="ru-RU"/>
        </w:rPr>
        <w:t xml:space="preserve"> […]</w:t>
      </w:r>
    </w:p>
    <w:p w14:paraId="20BE71C9" w14:textId="7B5D2ECC" w:rsidR="00DF251A" w:rsidRPr="00521670" w:rsidRDefault="00DF251A" w:rsidP="0083348B">
      <w:pPr>
        <w:pStyle w:val="Restitle"/>
        <w:rPr>
          <w:lang w:val="ru-RU"/>
        </w:rPr>
      </w:pPr>
      <w:bookmarkStart w:id="451" w:name="_Toc200469550"/>
      <w:bookmarkStart w:id="452" w:name="_Toc364329559"/>
      <w:bookmarkStart w:id="453" w:name="_Toc423970464"/>
      <w:bookmarkStart w:id="454" w:name="_Toc460246731"/>
      <w:bookmarkStart w:id="455" w:name="_Toc489964671"/>
      <w:bookmarkStart w:id="456" w:name="_Toc180681837"/>
      <w:r w:rsidRPr="00521670">
        <w:rPr>
          <w:lang w:val="ru-RU"/>
        </w:rPr>
        <w:t>Отчет о финансовой деятельности и проверенная финансовая отчетность за 2024 финансовый год</w:t>
      </w:r>
      <w:bookmarkEnd w:id="451"/>
    </w:p>
    <w:bookmarkEnd w:id="452"/>
    <w:bookmarkEnd w:id="453"/>
    <w:bookmarkEnd w:id="454"/>
    <w:bookmarkEnd w:id="455"/>
    <w:bookmarkEnd w:id="456"/>
    <w:p w14:paraId="451FF753" w14:textId="77777777" w:rsidR="00DF251A" w:rsidRPr="00521670" w:rsidRDefault="00DF251A" w:rsidP="0083348B">
      <w:pPr>
        <w:pStyle w:val="Normalaftertitle"/>
        <w:rPr>
          <w:lang w:val="ru-RU"/>
        </w:rPr>
      </w:pPr>
      <w:r w:rsidRPr="00521670">
        <w:rPr>
          <w:lang w:val="ru-RU"/>
        </w:rPr>
        <w:t>Совет МСЭ</w:t>
      </w:r>
    </w:p>
    <w:p w14:paraId="765FF3AE" w14:textId="77777777" w:rsidR="00DF251A" w:rsidRPr="00521670" w:rsidRDefault="00DF251A" w:rsidP="0083348B">
      <w:pPr>
        <w:pStyle w:val="Call"/>
        <w:rPr>
          <w:lang w:val="ru-RU"/>
        </w:rPr>
      </w:pPr>
      <w:r w:rsidRPr="00521670">
        <w:rPr>
          <w:lang w:val="ru-RU"/>
        </w:rPr>
        <w:t>ввиду</w:t>
      </w:r>
    </w:p>
    <w:p w14:paraId="5A1453D1" w14:textId="77777777" w:rsidR="00DF251A" w:rsidRPr="00521670" w:rsidRDefault="00DF251A" w:rsidP="0083348B">
      <w:pPr>
        <w:rPr>
          <w:lang w:val="ru-RU"/>
        </w:rPr>
      </w:pPr>
      <w:hyperlink r:id="rId39" w:history="1">
        <w:r w:rsidRPr="00521670">
          <w:rPr>
            <w:rStyle w:val="Hyperlink"/>
            <w:lang w:val="ru-RU"/>
          </w:rPr>
          <w:t>пункта 101</w:t>
        </w:r>
      </w:hyperlink>
      <w:r w:rsidRPr="00521670">
        <w:rPr>
          <w:lang w:val="ru-RU"/>
        </w:rPr>
        <w:t xml:space="preserve"> Конвенции Международного союза электросвязи, а также </w:t>
      </w:r>
      <w:hyperlink r:id="rId40" w:history="1">
        <w:r w:rsidRPr="00521670">
          <w:rPr>
            <w:rStyle w:val="Hyperlink"/>
            <w:lang w:val="ru-RU"/>
          </w:rPr>
          <w:t>Статьи 30</w:t>
        </w:r>
      </w:hyperlink>
      <w:r w:rsidRPr="00521670">
        <w:rPr>
          <w:lang w:val="ru-RU"/>
        </w:rPr>
        <w:t xml:space="preserve"> Финансового регламента Союза,</w:t>
      </w:r>
    </w:p>
    <w:p w14:paraId="58E071A2" w14:textId="77777777" w:rsidR="00DF251A" w:rsidRPr="00521670" w:rsidRDefault="00DF251A" w:rsidP="0083348B">
      <w:pPr>
        <w:pStyle w:val="Call"/>
        <w:rPr>
          <w:lang w:val="ru-RU"/>
        </w:rPr>
      </w:pPr>
      <w:r w:rsidRPr="00521670">
        <w:rPr>
          <w:lang w:val="ru-RU"/>
        </w:rPr>
        <w:t>рассмотрев</w:t>
      </w:r>
    </w:p>
    <w:p w14:paraId="35744598" w14:textId="40D93D39" w:rsidR="00DF251A" w:rsidRPr="00521670" w:rsidRDefault="00DF251A" w:rsidP="0083348B">
      <w:pPr>
        <w:rPr>
          <w:lang w:val="ru-RU"/>
        </w:rPr>
      </w:pPr>
      <w:r w:rsidRPr="00521670">
        <w:rPr>
          <w:lang w:val="ru-RU"/>
        </w:rPr>
        <w:t>проверенный отчет о финансовой деятельности за 2024 финансовый год, включающий счета бюджета Союза за 2024 финансовый год, и проверенные счета за 2024 год,</w:t>
      </w:r>
    </w:p>
    <w:p w14:paraId="489EA7B8" w14:textId="77777777" w:rsidR="00DF251A" w:rsidRPr="00521670" w:rsidRDefault="00DF251A" w:rsidP="0083348B">
      <w:pPr>
        <w:pStyle w:val="Call"/>
        <w:rPr>
          <w:lang w:val="ru-RU"/>
        </w:rPr>
      </w:pPr>
      <w:r w:rsidRPr="00521670">
        <w:rPr>
          <w:lang w:val="ru-RU"/>
        </w:rPr>
        <w:t>отметив</w:t>
      </w:r>
      <w:r w:rsidRPr="00521670">
        <w:rPr>
          <w:i w:val="0"/>
          <w:lang w:val="ru-RU"/>
        </w:rPr>
        <w:t>,</w:t>
      </w:r>
    </w:p>
    <w:p w14:paraId="09950CF9" w14:textId="77777777" w:rsidR="00DF251A" w:rsidRPr="00521670" w:rsidRDefault="00DF251A" w:rsidP="0083348B">
      <w:pPr>
        <w:rPr>
          <w:lang w:val="ru-RU"/>
        </w:rPr>
      </w:pPr>
      <w:r w:rsidRPr="00521670">
        <w:rPr>
          <w:lang w:val="ru-RU"/>
        </w:rPr>
        <w:t xml:space="preserve">что отчет Внешнего аудитора представлен в Документе </w:t>
      </w:r>
      <w:hyperlink r:id="rId41" w:history="1">
        <w:r w:rsidRPr="00521670">
          <w:rPr>
            <w:rStyle w:val="Hyperlink"/>
            <w:lang w:val="ru-RU"/>
          </w:rPr>
          <w:t>C25/41</w:t>
        </w:r>
      </w:hyperlink>
      <w:r w:rsidRPr="00521670">
        <w:rPr>
          <w:lang w:val="ru-RU"/>
        </w:rPr>
        <w:t>,</w:t>
      </w:r>
    </w:p>
    <w:p w14:paraId="361F58BE" w14:textId="77777777" w:rsidR="00DF251A" w:rsidRPr="00521670" w:rsidRDefault="00DF251A" w:rsidP="0083348B">
      <w:pPr>
        <w:pStyle w:val="Call"/>
        <w:rPr>
          <w:lang w:val="ru-RU"/>
        </w:rPr>
      </w:pPr>
      <w:r w:rsidRPr="00521670">
        <w:rPr>
          <w:lang w:val="ru-RU"/>
        </w:rPr>
        <w:t>решает</w:t>
      </w:r>
    </w:p>
    <w:p w14:paraId="6B9C31E9" w14:textId="77777777" w:rsidR="00DF251A" w:rsidRPr="00521670" w:rsidRDefault="00DF251A" w:rsidP="0083348B">
      <w:pPr>
        <w:rPr>
          <w:lang w:val="ru-RU"/>
        </w:rPr>
      </w:pPr>
      <w:r w:rsidRPr="00521670">
        <w:rPr>
          <w:lang w:val="ru-RU"/>
        </w:rPr>
        <w:t>утвердить отчет о финансовой деятельности за 2024 финансовый год (Документ </w:t>
      </w:r>
      <w:hyperlink r:id="rId42" w:history="1">
        <w:r w:rsidRPr="00521670">
          <w:rPr>
            <w:rStyle w:val="Hyperlink"/>
            <w:lang w:val="ru-RU"/>
          </w:rPr>
          <w:t>C25/40</w:t>
        </w:r>
      </w:hyperlink>
      <w:r w:rsidRPr="00521670">
        <w:rPr>
          <w:lang w:val="ru-RU"/>
        </w:rPr>
        <w:t>), включающий счета Союза за 2024 год.</w:t>
      </w:r>
    </w:p>
    <w:p w14:paraId="62339D05" w14:textId="77777777" w:rsidR="00DF251A" w:rsidRPr="00521670" w:rsidRDefault="00DF251A" w:rsidP="0083348B">
      <w:pPr>
        <w:spacing w:before="720"/>
        <w:jc w:val="center"/>
        <w:rPr>
          <w:lang w:val="ru-RU"/>
        </w:rPr>
      </w:pPr>
      <w:r w:rsidRPr="00521670">
        <w:rPr>
          <w:lang w:val="ru-RU"/>
        </w:rPr>
        <w:t>______________</w:t>
      </w:r>
    </w:p>
    <w:bookmarkEnd w:id="244"/>
    <w:bookmarkEnd w:id="245"/>
    <w:sectPr w:rsidR="00DF251A" w:rsidRPr="00521670" w:rsidSect="00461C1B">
      <w:headerReference w:type="default" r:id="rId43"/>
      <w:footerReference w:type="default" r:id="rId44"/>
      <w:headerReference w:type="first" r:id="rId45"/>
      <w:footerReference w:type="first" r:id="rId46"/>
      <w:pgSz w:w="11907" w:h="16834"/>
      <w:pgMar w:top="1418" w:right="1418" w:bottom="1418" w:left="1418" w:header="720" w:footer="720" w:gutter="0"/>
      <w:paperSrc w:first="286" w:other="28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0A16" w14:textId="77777777" w:rsidR="009C4635" w:rsidRDefault="009C4635">
      <w:r>
        <w:separator/>
      </w:r>
    </w:p>
  </w:endnote>
  <w:endnote w:type="continuationSeparator" w:id="0">
    <w:p w14:paraId="4F063CDF" w14:textId="77777777" w:rsidR="009C4635" w:rsidRDefault="009C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YInterstate Light">
    <w:altName w:val="Calibri"/>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3" w:usb1="08070000" w:usb2="00000010" w:usb3="00000000" w:csb0="0002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F251A" w:rsidRPr="00784011" w14:paraId="185DCBC4" w14:textId="77777777" w:rsidTr="00835292">
      <w:trPr>
        <w:jc w:val="center"/>
      </w:trPr>
      <w:tc>
        <w:tcPr>
          <w:tcW w:w="1803" w:type="dxa"/>
          <w:vAlign w:val="center"/>
        </w:tcPr>
        <w:p w14:paraId="2E3A9C24" w14:textId="77777777" w:rsidR="00DF251A" w:rsidRDefault="00DF251A" w:rsidP="00672F8A">
          <w:pPr>
            <w:pStyle w:val="Header"/>
            <w:jc w:val="left"/>
            <w:rPr>
              <w:noProof/>
            </w:rPr>
          </w:pPr>
        </w:p>
      </w:tc>
      <w:tc>
        <w:tcPr>
          <w:tcW w:w="8261" w:type="dxa"/>
        </w:tcPr>
        <w:p w14:paraId="1984D7F7" w14:textId="77777777" w:rsidR="00DF251A" w:rsidRPr="00E06FD5" w:rsidRDefault="00DF251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40</w:t>
          </w:r>
          <w:r w:rsidRPr="00623AE3">
            <w:rPr>
              <w:bCs/>
            </w:rPr>
            <w:t>-</w:t>
          </w:r>
          <w:r>
            <w:rPr>
              <w:bCs/>
            </w:rPr>
            <w:t>R</w:t>
          </w:r>
          <w:r>
            <w:rPr>
              <w:bCs/>
            </w:rPr>
            <w:tab/>
          </w:r>
          <w:r>
            <w:fldChar w:fldCharType="begin"/>
          </w:r>
          <w:r>
            <w:instrText>PAGE</w:instrText>
          </w:r>
          <w:r>
            <w:fldChar w:fldCharType="separate"/>
          </w:r>
          <w:r>
            <w:rPr>
              <w:noProof/>
            </w:rPr>
            <w:t>27</w:t>
          </w:r>
          <w:r>
            <w:rPr>
              <w:noProof/>
            </w:rPr>
            <w:fldChar w:fldCharType="end"/>
          </w:r>
        </w:p>
      </w:tc>
    </w:tr>
  </w:tbl>
  <w:p w14:paraId="615ED80C" w14:textId="77777777" w:rsidR="00DF251A" w:rsidRPr="00672F8A" w:rsidRDefault="00DF251A"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F251A" w:rsidRPr="00784011" w14:paraId="70DEEB0B" w14:textId="77777777" w:rsidTr="00835292">
      <w:trPr>
        <w:jc w:val="center"/>
      </w:trPr>
      <w:tc>
        <w:tcPr>
          <w:tcW w:w="1803" w:type="dxa"/>
          <w:vAlign w:val="center"/>
        </w:tcPr>
        <w:p w14:paraId="3AA07D25" w14:textId="77777777" w:rsidR="00DF251A" w:rsidRDefault="00DF251A" w:rsidP="00672F8A">
          <w:pPr>
            <w:pStyle w:val="Header"/>
            <w:jc w:val="left"/>
            <w:rPr>
              <w:noProof/>
            </w:rPr>
          </w:pPr>
          <w:r w:rsidRPr="00D631AA">
            <w:rPr>
              <w:color w:val="0563C1"/>
              <w:szCs w:val="14"/>
            </w:rPr>
            <w:t>council.itu.int/2025</w:t>
          </w:r>
        </w:p>
      </w:tc>
      <w:tc>
        <w:tcPr>
          <w:tcW w:w="8261" w:type="dxa"/>
        </w:tcPr>
        <w:p w14:paraId="39EDBFAC" w14:textId="77777777" w:rsidR="00DF251A" w:rsidRPr="00E06FD5" w:rsidRDefault="00DF251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40</w:t>
          </w:r>
          <w:r w:rsidRPr="00623AE3">
            <w:rPr>
              <w:bCs/>
            </w:rPr>
            <w:t>-</w:t>
          </w:r>
          <w:r>
            <w:rPr>
              <w:bCs/>
            </w:rPr>
            <w:t>R</w:t>
          </w:r>
          <w:r>
            <w:rPr>
              <w:bCs/>
            </w:rPr>
            <w:tab/>
          </w:r>
          <w:r>
            <w:fldChar w:fldCharType="begin"/>
          </w:r>
          <w:r>
            <w:instrText>PAGE</w:instrText>
          </w:r>
          <w:r>
            <w:fldChar w:fldCharType="separate"/>
          </w:r>
          <w:r>
            <w:rPr>
              <w:noProof/>
            </w:rPr>
            <w:t>1</w:t>
          </w:r>
          <w:r>
            <w:rPr>
              <w:noProof/>
            </w:rPr>
            <w:fldChar w:fldCharType="end"/>
          </w:r>
        </w:p>
      </w:tc>
    </w:tr>
  </w:tbl>
  <w:p w14:paraId="32EC02BA" w14:textId="77777777" w:rsidR="00DF251A" w:rsidRPr="00672F8A" w:rsidRDefault="00DF251A" w:rsidP="0067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2854"/>
    </w:tblGrid>
    <w:tr w:rsidR="00DF251A" w:rsidRPr="00784011" w14:paraId="73B7BAF0" w14:textId="77777777" w:rsidTr="003202AF">
      <w:trPr>
        <w:jc w:val="center"/>
      </w:trPr>
      <w:tc>
        <w:tcPr>
          <w:tcW w:w="1710" w:type="dxa"/>
          <w:vAlign w:val="center"/>
        </w:tcPr>
        <w:p w14:paraId="5CD8EF90" w14:textId="77777777" w:rsidR="00DF251A" w:rsidRDefault="00DF251A" w:rsidP="00672F8A">
          <w:pPr>
            <w:pStyle w:val="Header"/>
            <w:jc w:val="left"/>
            <w:rPr>
              <w:noProof/>
            </w:rPr>
          </w:pPr>
        </w:p>
      </w:tc>
      <w:tc>
        <w:tcPr>
          <w:tcW w:w="12854" w:type="dxa"/>
        </w:tcPr>
        <w:p w14:paraId="096B480C" w14:textId="77777777" w:rsidR="00DF251A" w:rsidRPr="00E06FD5" w:rsidRDefault="00DF251A" w:rsidP="003202AF">
          <w:pPr>
            <w:pStyle w:val="Header"/>
            <w:tabs>
              <w:tab w:val="right" w:pos="11229"/>
              <w:tab w:val="right" w:pos="12399"/>
            </w:tabs>
            <w:jc w:val="left"/>
            <w:rPr>
              <w:rFonts w:ascii="Arial" w:hAnsi="Arial" w:cs="Arial"/>
              <w:b/>
              <w:bCs/>
              <w:szCs w:val="18"/>
            </w:rPr>
          </w:pPr>
          <w:r>
            <w:rPr>
              <w:bCs/>
            </w:rPr>
            <w:tab/>
          </w:r>
          <w:r w:rsidRPr="00623AE3">
            <w:rPr>
              <w:bCs/>
            </w:rPr>
            <w:t>C</w:t>
          </w:r>
          <w:r>
            <w:rPr>
              <w:bCs/>
            </w:rPr>
            <w:t>25</w:t>
          </w:r>
          <w:r w:rsidRPr="00623AE3">
            <w:rPr>
              <w:bCs/>
            </w:rPr>
            <w:t>/</w:t>
          </w:r>
          <w:r>
            <w:rPr>
              <w:bCs/>
            </w:rPr>
            <w:t>40</w:t>
          </w:r>
          <w:r w:rsidRPr="00623AE3">
            <w:rPr>
              <w:bCs/>
            </w:rPr>
            <w:t>-</w:t>
          </w:r>
          <w:r>
            <w:rPr>
              <w:bCs/>
            </w:rPr>
            <w:t>R</w:t>
          </w:r>
          <w:r>
            <w:rPr>
              <w:bCs/>
            </w:rPr>
            <w:tab/>
          </w:r>
          <w:r>
            <w:fldChar w:fldCharType="begin"/>
          </w:r>
          <w:r>
            <w:instrText>PAGE</w:instrText>
          </w:r>
          <w:r>
            <w:fldChar w:fldCharType="separate"/>
          </w:r>
          <w:r>
            <w:rPr>
              <w:noProof/>
            </w:rPr>
            <w:t>30</w:t>
          </w:r>
          <w:r>
            <w:rPr>
              <w:noProof/>
            </w:rPr>
            <w:fldChar w:fldCharType="end"/>
          </w:r>
        </w:p>
      </w:tc>
    </w:tr>
  </w:tbl>
  <w:p w14:paraId="6A8B8D6F" w14:textId="77777777" w:rsidR="00DF251A" w:rsidRPr="00672F8A" w:rsidRDefault="00DF251A" w:rsidP="0067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F251A" w:rsidRPr="00784011" w14:paraId="0C25A97A" w14:textId="77777777" w:rsidTr="00835292">
      <w:trPr>
        <w:jc w:val="center"/>
      </w:trPr>
      <w:tc>
        <w:tcPr>
          <w:tcW w:w="1803" w:type="dxa"/>
          <w:vAlign w:val="center"/>
        </w:tcPr>
        <w:p w14:paraId="00BD52BB" w14:textId="77777777" w:rsidR="00DF251A" w:rsidRDefault="00DF251A" w:rsidP="00672F8A">
          <w:pPr>
            <w:pStyle w:val="Header"/>
            <w:jc w:val="left"/>
            <w:rPr>
              <w:noProof/>
            </w:rPr>
          </w:pPr>
          <w:r w:rsidRPr="00D631AA">
            <w:rPr>
              <w:color w:val="0563C1"/>
              <w:szCs w:val="14"/>
            </w:rPr>
            <w:t>council.itu.int/2025</w:t>
          </w:r>
        </w:p>
      </w:tc>
      <w:tc>
        <w:tcPr>
          <w:tcW w:w="8261" w:type="dxa"/>
        </w:tcPr>
        <w:p w14:paraId="7A1B80B5" w14:textId="77777777" w:rsidR="00DF251A" w:rsidRPr="00E06FD5" w:rsidRDefault="00DF251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40</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1BE366CB" w14:textId="77777777" w:rsidR="00DF251A" w:rsidRPr="00672F8A" w:rsidRDefault="00DF251A" w:rsidP="00672F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02AF" w:rsidRPr="00784011" w14:paraId="466EBE8D" w14:textId="77777777" w:rsidTr="00E31DCE">
      <w:trPr>
        <w:jc w:val="center"/>
      </w:trPr>
      <w:tc>
        <w:tcPr>
          <w:tcW w:w="1803" w:type="dxa"/>
          <w:vAlign w:val="center"/>
        </w:tcPr>
        <w:p w14:paraId="1CE953E2" w14:textId="77777777" w:rsidR="003202AF" w:rsidRDefault="003202AF" w:rsidP="00672F8A">
          <w:pPr>
            <w:pStyle w:val="Header"/>
            <w:jc w:val="left"/>
            <w:rPr>
              <w:noProof/>
            </w:rPr>
          </w:pPr>
        </w:p>
      </w:tc>
      <w:tc>
        <w:tcPr>
          <w:tcW w:w="8261" w:type="dxa"/>
        </w:tcPr>
        <w:p w14:paraId="3E43B475" w14:textId="77777777" w:rsidR="003202AF" w:rsidRPr="00E06FD5" w:rsidRDefault="003202AF"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40</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2190FD18" w14:textId="77777777" w:rsidR="003202AF" w:rsidRPr="00672F8A" w:rsidRDefault="003202AF" w:rsidP="00672F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02AF" w:rsidRPr="00784011" w14:paraId="38FD7D13" w14:textId="77777777" w:rsidTr="00E31DCE">
      <w:trPr>
        <w:jc w:val="center"/>
      </w:trPr>
      <w:tc>
        <w:tcPr>
          <w:tcW w:w="1803" w:type="dxa"/>
          <w:vAlign w:val="center"/>
        </w:tcPr>
        <w:p w14:paraId="26765C34" w14:textId="77777777" w:rsidR="003202AF" w:rsidRDefault="003202AF" w:rsidP="00672F8A">
          <w:pPr>
            <w:pStyle w:val="Header"/>
            <w:jc w:val="left"/>
            <w:rPr>
              <w:noProof/>
            </w:rPr>
          </w:pPr>
          <w:r w:rsidRPr="00D631AA">
            <w:rPr>
              <w:color w:val="0563C1"/>
              <w:szCs w:val="14"/>
            </w:rPr>
            <w:t>council.itu.int/2025</w:t>
          </w:r>
        </w:p>
      </w:tc>
      <w:tc>
        <w:tcPr>
          <w:tcW w:w="8261" w:type="dxa"/>
        </w:tcPr>
        <w:p w14:paraId="25BC044B" w14:textId="77777777" w:rsidR="003202AF" w:rsidRPr="00E06FD5" w:rsidRDefault="003202AF"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40</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FB414D8" w14:textId="77777777" w:rsidR="003202AF" w:rsidRPr="00672F8A" w:rsidRDefault="003202AF"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58C1" w14:textId="77777777" w:rsidR="009C4635" w:rsidRDefault="009C4635">
      <w:r>
        <w:t>____________________</w:t>
      </w:r>
    </w:p>
  </w:footnote>
  <w:footnote w:type="continuationSeparator" w:id="0">
    <w:p w14:paraId="1095A5C1" w14:textId="77777777" w:rsidR="009C4635" w:rsidRDefault="009C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BFE0" w14:textId="77777777" w:rsidR="00DF251A" w:rsidRPr="00D7472B" w:rsidRDefault="00DF251A" w:rsidP="00D7472B">
    <w:pPr>
      <w:pStyle w:val="Title3"/>
      <w:spacing w:before="0"/>
      <w:rPr>
        <w:caps/>
        <w:sz w:val="20"/>
        <w:lang w:val="ru-RU"/>
      </w:rPr>
    </w:pPr>
    <w:r w:rsidRPr="00FE0DEB">
      <w:rPr>
        <w:caps/>
        <w:sz w:val="20"/>
        <w:lang w:val="ru-RU"/>
      </w:rPr>
      <w:t xml:space="preserve">Годовой отчет </w:t>
    </w:r>
    <w:r>
      <w:rPr>
        <w:caps/>
        <w:sz w:val="20"/>
        <w:lang w:val="ru-RU"/>
      </w:rPr>
      <w:t xml:space="preserve">МСЭ </w:t>
    </w:r>
    <w:r w:rsidRPr="00FE0DEB">
      <w:rPr>
        <w:caps/>
        <w:sz w:val="20"/>
        <w:lang w:val="ru-RU"/>
      </w:rPr>
      <w:t>о финансовой деятельности и финансовая отчетность за 202</w:t>
    </w:r>
    <w:r>
      <w:rPr>
        <w:caps/>
        <w:sz w:val="20"/>
        <w:lang w:val="ru-RU"/>
      </w:rPr>
      <w:t>4</w:t>
    </w:r>
    <w:r w:rsidRPr="00FE0DEB">
      <w:rPr>
        <w:caps/>
        <w:sz w:val="20"/>
        <w:lang w:val="ru-RU"/>
      </w:rPr>
      <w:t xml:space="preserve"> год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DA347E" w:rsidRPr="00784011" w14:paraId="722119EA" w14:textId="77777777" w:rsidTr="001E3273">
      <w:trPr>
        <w:trHeight w:val="1104"/>
        <w:jc w:val="center"/>
      </w:trPr>
      <w:tc>
        <w:tcPr>
          <w:tcW w:w="6359" w:type="dxa"/>
          <w:vAlign w:val="center"/>
        </w:tcPr>
        <w:p w14:paraId="41A7886B" w14:textId="77777777" w:rsidR="00DA347E" w:rsidRDefault="00DA347E" w:rsidP="00DA347E">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AEC29E1" wp14:editId="510F90F4">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53294AA2" w14:textId="77777777" w:rsidR="00DA347E" w:rsidRDefault="00DA347E" w:rsidP="00DA347E">
          <w:pPr>
            <w:pStyle w:val="Header"/>
            <w:jc w:val="right"/>
            <w:rPr>
              <w:rFonts w:ascii="Arial" w:hAnsi="Arial" w:cs="Arial"/>
              <w:b/>
              <w:bCs/>
              <w:color w:val="009CD6"/>
              <w:szCs w:val="18"/>
            </w:rPr>
          </w:pPr>
        </w:p>
      </w:tc>
    </w:tr>
  </w:tbl>
  <w:p w14:paraId="60581223" w14:textId="77777777" w:rsidR="00DF251A" w:rsidRDefault="00DF251A" w:rsidP="0014229E">
    <w:pPr>
      <w:pStyle w:val="Header"/>
      <w:spacing w:after="240"/>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63360" behindDoc="0" locked="0" layoutInCell="1" allowOverlap="1" wp14:anchorId="4407404D" wp14:editId="653A8FE1">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D555" id="Rectangle 5" o:spid="_x0000_s1026" style="position:absolute;margin-left:1.7pt;margin-top:49.6pt;width:7.25pt;height:2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6244" w14:textId="77777777" w:rsidR="00DF251A" w:rsidRPr="00D7472B" w:rsidRDefault="00DF251A" w:rsidP="00D7472B">
    <w:pPr>
      <w:pStyle w:val="Title3"/>
      <w:spacing w:before="0"/>
      <w:rPr>
        <w:caps/>
        <w:sz w:val="20"/>
        <w:lang w:val="ru-RU"/>
      </w:rPr>
    </w:pPr>
    <w:r w:rsidRPr="00FE0DEB">
      <w:rPr>
        <w:caps/>
        <w:sz w:val="20"/>
        <w:lang w:val="ru-RU"/>
      </w:rPr>
      <w:t xml:space="preserve">Годовой отчет </w:t>
    </w:r>
    <w:r>
      <w:rPr>
        <w:caps/>
        <w:sz w:val="20"/>
        <w:lang w:val="ru-RU"/>
      </w:rPr>
      <w:t xml:space="preserve">МСЭ </w:t>
    </w:r>
    <w:r w:rsidRPr="00FE0DEB">
      <w:rPr>
        <w:caps/>
        <w:sz w:val="20"/>
        <w:lang w:val="ru-RU"/>
      </w:rPr>
      <w:t>о финансовой деятельности и финансовая отчетность за 202</w:t>
    </w:r>
    <w:r>
      <w:rPr>
        <w:caps/>
        <w:sz w:val="20"/>
        <w:lang w:val="ru-RU"/>
      </w:rPr>
      <w:t>4</w:t>
    </w:r>
    <w:r w:rsidRPr="00FE0DEB">
      <w:rPr>
        <w:caps/>
        <w:sz w:val="20"/>
        <w:lang w:val="ru-RU"/>
      </w:rPr>
      <w:t xml:space="preserve"> год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DF251A" w:rsidRPr="00784011" w14:paraId="68407377" w14:textId="77777777" w:rsidTr="00156890">
      <w:trPr>
        <w:trHeight w:val="1104"/>
        <w:jc w:val="center"/>
      </w:trPr>
      <w:tc>
        <w:tcPr>
          <w:tcW w:w="6359" w:type="dxa"/>
          <w:vAlign w:val="center"/>
        </w:tcPr>
        <w:p w14:paraId="3A4B765B" w14:textId="77777777" w:rsidR="00DF251A" w:rsidRDefault="00DF251A" w:rsidP="00796BD3">
          <w:pPr>
            <w:pStyle w:val="Header"/>
            <w:jc w:val="left"/>
            <w:rPr>
              <w:rFonts w:ascii="Arial" w:hAnsi="Arial" w:cs="Arial"/>
              <w:b/>
              <w:bCs/>
              <w:noProof/>
              <w:color w:val="009CD6"/>
              <w:sz w:val="36"/>
              <w:szCs w:val="36"/>
            </w:rPr>
          </w:pPr>
          <w:r>
            <w:rPr>
              <w:rFonts w:ascii="Arial" w:hAnsi="Arial" w:cs="Arial"/>
              <w:b/>
              <w:bCs/>
              <w:noProof/>
              <w:color w:val="009CD6"/>
              <w:sz w:val="36"/>
              <w:szCs w:val="36"/>
              <w:lang w:val="ru-RU" w:eastAsia="ru-RU"/>
            </w:rPr>
            <w:drawing>
              <wp:inline distT="0" distB="0" distL="0" distR="0" wp14:anchorId="12AE96A3" wp14:editId="4ED5B445">
                <wp:extent cx="3901233" cy="612000"/>
                <wp:effectExtent l="0" t="0" r="0" b="0"/>
                <wp:docPr id="1781482315"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7C085F64" w14:textId="77777777" w:rsidR="00DF251A" w:rsidRDefault="00DF251A" w:rsidP="00796BD3">
          <w:pPr>
            <w:pStyle w:val="Header"/>
            <w:jc w:val="right"/>
            <w:rPr>
              <w:rFonts w:ascii="Arial" w:hAnsi="Arial" w:cs="Arial"/>
              <w:b/>
              <w:bCs/>
              <w:color w:val="009CD6"/>
              <w:szCs w:val="18"/>
            </w:rPr>
          </w:pPr>
        </w:p>
      </w:tc>
    </w:tr>
  </w:tbl>
  <w:p w14:paraId="0B9A8B0E" w14:textId="77777777" w:rsidR="00DF251A" w:rsidRDefault="00DF251A" w:rsidP="0014229E">
    <w:pPr>
      <w:pStyle w:val="Header"/>
      <w:spacing w:after="240"/>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64384" behindDoc="0" locked="0" layoutInCell="1" allowOverlap="1" wp14:anchorId="777198B9" wp14:editId="5BFCF35B">
              <wp:simplePos x="0" y="0"/>
              <wp:positionH relativeFrom="page">
                <wp:posOffset>21285</wp:posOffset>
              </wp:positionH>
              <wp:positionV relativeFrom="topMargin">
                <wp:posOffset>629920</wp:posOffset>
              </wp:positionV>
              <wp:extent cx="92075" cy="360680"/>
              <wp:effectExtent l="0" t="0" r="3175" b="1270"/>
              <wp:wrapNone/>
              <wp:docPr id="1790141021" name="Rectangle 1790141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F8979" id="Rectangle 1790141021" o:spid="_x0000_s1026" style="position:absolute;margin-left:1.7pt;margin-top:49.6pt;width:7.25pt;height:28.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p w14:paraId="42D53E00" w14:textId="77777777" w:rsidR="00DF251A" w:rsidRDefault="00DF25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3DA8" w14:textId="77777777" w:rsidR="003202AF" w:rsidRPr="00D7472B" w:rsidRDefault="003202AF" w:rsidP="00D7472B">
    <w:pPr>
      <w:pStyle w:val="Title3"/>
      <w:spacing w:before="0"/>
      <w:rPr>
        <w:caps/>
        <w:sz w:val="20"/>
        <w:lang w:val="ru-RU"/>
      </w:rPr>
    </w:pPr>
    <w:r w:rsidRPr="00FE0DEB">
      <w:rPr>
        <w:caps/>
        <w:sz w:val="20"/>
        <w:lang w:val="ru-RU"/>
      </w:rPr>
      <w:t xml:space="preserve">Годовой отчет </w:t>
    </w:r>
    <w:r>
      <w:rPr>
        <w:caps/>
        <w:sz w:val="20"/>
        <w:lang w:val="ru-RU"/>
      </w:rPr>
      <w:t xml:space="preserve">МСЭ </w:t>
    </w:r>
    <w:r w:rsidRPr="00FE0DEB">
      <w:rPr>
        <w:caps/>
        <w:sz w:val="20"/>
        <w:lang w:val="ru-RU"/>
      </w:rPr>
      <w:t>о финансовой деятельности и финансовая отчетность за 202</w:t>
    </w:r>
    <w:r>
      <w:rPr>
        <w:caps/>
        <w:sz w:val="20"/>
        <w:lang w:val="ru-RU"/>
      </w:rPr>
      <w:t>4</w:t>
    </w:r>
    <w:r w:rsidRPr="00FE0DEB">
      <w:rPr>
        <w:caps/>
        <w:sz w:val="20"/>
        <w:lang w:val="ru-RU"/>
      </w:rPr>
      <w:t xml:space="preserve"> год</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3202AF" w:rsidRPr="00784011" w14:paraId="29D70635" w14:textId="77777777" w:rsidTr="00156890">
      <w:trPr>
        <w:trHeight w:val="1104"/>
        <w:jc w:val="center"/>
      </w:trPr>
      <w:tc>
        <w:tcPr>
          <w:tcW w:w="6359" w:type="dxa"/>
          <w:vAlign w:val="center"/>
        </w:tcPr>
        <w:p w14:paraId="04D3463C" w14:textId="77777777" w:rsidR="003202AF" w:rsidRDefault="003202AF"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A2D8D43" wp14:editId="50912366">
                <wp:extent cx="3901233" cy="612000"/>
                <wp:effectExtent l="0" t="0" r="0" b="0"/>
                <wp:docPr id="484247893"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383A262B" w14:textId="77777777" w:rsidR="003202AF" w:rsidRDefault="003202AF" w:rsidP="00796BD3">
          <w:pPr>
            <w:pStyle w:val="Header"/>
            <w:jc w:val="right"/>
            <w:rPr>
              <w:rFonts w:ascii="Arial" w:hAnsi="Arial" w:cs="Arial"/>
              <w:b/>
              <w:bCs/>
              <w:color w:val="009CD6"/>
              <w:szCs w:val="18"/>
            </w:rPr>
          </w:pPr>
        </w:p>
      </w:tc>
    </w:tr>
  </w:tbl>
  <w:p w14:paraId="3915D6C7" w14:textId="77777777" w:rsidR="003202AF" w:rsidRDefault="003202AF"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6B07D4A5" wp14:editId="2675C0EB">
              <wp:simplePos x="0" y="0"/>
              <wp:positionH relativeFrom="page">
                <wp:posOffset>21285</wp:posOffset>
              </wp:positionH>
              <wp:positionV relativeFrom="topMargin">
                <wp:posOffset>629920</wp:posOffset>
              </wp:positionV>
              <wp:extent cx="92075" cy="360680"/>
              <wp:effectExtent l="0" t="0" r="3175" b="1270"/>
              <wp:wrapNone/>
              <wp:docPr id="2071322575" name="Rectangle 2071322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7E707" id="Rectangle 2071322575" o:spid="_x0000_s1026" style="position:absolute;margin-left:1.7pt;margin-top:49.6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97E38"/>
    <w:multiLevelType w:val="multilevel"/>
    <w:tmpl w:val="F5C4E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95F6E"/>
    <w:multiLevelType w:val="multilevel"/>
    <w:tmpl w:val="70CA6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179DA"/>
    <w:multiLevelType w:val="hybridMultilevel"/>
    <w:tmpl w:val="102007B4"/>
    <w:lvl w:ilvl="0" w:tplc="8F3C589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A76"/>
    <w:multiLevelType w:val="hybridMultilevel"/>
    <w:tmpl w:val="3950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22CC2"/>
    <w:multiLevelType w:val="hybridMultilevel"/>
    <w:tmpl w:val="A1C82706"/>
    <w:lvl w:ilvl="0" w:tplc="4216960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11683"/>
    <w:multiLevelType w:val="hybridMultilevel"/>
    <w:tmpl w:val="05284682"/>
    <w:lvl w:ilvl="0" w:tplc="FFFFFFFF">
      <w:numFmt w:val="bullet"/>
      <w:lvlText w:val="-"/>
      <w:lvlJc w:val="left"/>
      <w:pPr>
        <w:ind w:left="1080" w:hanging="360"/>
      </w:pPr>
      <w:rPr>
        <w:rFonts w:ascii="Calibri" w:hAnsi="Calibri" w:hint="default"/>
      </w:rPr>
    </w:lvl>
    <w:lvl w:ilvl="1" w:tplc="FFFFFFFF">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A77021"/>
    <w:multiLevelType w:val="hybridMultilevel"/>
    <w:tmpl w:val="BF0EEC74"/>
    <w:lvl w:ilvl="0" w:tplc="7D12AD52">
      <w:start w:val="2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B7C1A"/>
    <w:multiLevelType w:val="hybridMultilevel"/>
    <w:tmpl w:val="C3121E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41F92"/>
    <w:multiLevelType w:val="hybridMultilevel"/>
    <w:tmpl w:val="CEB2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713"/>
    <w:multiLevelType w:val="hybridMultilevel"/>
    <w:tmpl w:val="63F66008"/>
    <w:lvl w:ilvl="0" w:tplc="96A243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67120"/>
    <w:multiLevelType w:val="hybridMultilevel"/>
    <w:tmpl w:val="80A00A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05726C"/>
    <w:multiLevelType w:val="hybridMultilevel"/>
    <w:tmpl w:val="74380868"/>
    <w:lvl w:ilvl="0" w:tplc="0809001B">
      <w:start w:val="1"/>
      <w:numFmt w:val="lowerRoman"/>
      <w:lvlText w:val="%1."/>
      <w:lvlJc w:val="righ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3" w15:restartNumberingAfterBreak="0">
    <w:nsid w:val="403C0D42"/>
    <w:multiLevelType w:val="hybridMultilevel"/>
    <w:tmpl w:val="1DE09D58"/>
    <w:lvl w:ilvl="0" w:tplc="2CE24680">
      <w:start w:val="1"/>
      <w:numFmt w:val="lowerRoman"/>
      <w:lvlText w:val="%1)"/>
      <w:lvlJc w:val="left"/>
      <w:pPr>
        <w:ind w:left="1514" w:hanging="72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4" w15:restartNumberingAfterBreak="0">
    <w:nsid w:val="4B745988"/>
    <w:multiLevelType w:val="hybridMultilevel"/>
    <w:tmpl w:val="A4BC2D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87297C"/>
    <w:multiLevelType w:val="hybridMultilevel"/>
    <w:tmpl w:val="81A8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C2920"/>
    <w:multiLevelType w:val="hybridMultilevel"/>
    <w:tmpl w:val="D55C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94611"/>
    <w:multiLevelType w:val="hybridMultilevel"/>
    <w:tmpl w:val="5E74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879A2"/>
    <w:multiLevelType w:val="hybridMultilevel"/>
    <w:tmpl w:val="C15A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815AC"/>
    <w:multiLevelType w:val="hybridMultilevel"/>
    <w:tmpl w:val="4180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D26F9"/>
    <w:multiLevelType w:val="hybridMultilevel"/>
    <w:tmpl w:val="ACCC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935"/>
    <w:multiLevelType w:val="hybridMultilevel"/>
    <w:tmpl w:val="C6D8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A2C8B"/>
    <w:multiLevelType w:val="hybridMultilevel"/>
    <w:tmpl w:val="35DA5496"/>
    <w:lvl w:ilvl="0" w:tplc="11E26A5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C0079"/>
    <w:multiLevelType w:val="hybridMultilevel"/>
    <w:tmpl w:val="8948104C"/>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7CAC2785"/>
    <w:multiLevelType w:val="hybridMultilevel"/>
    <w:tmpl w:val="59F476B6"/>
    <w:lvl w:ilvl="0" w:tplc="BED8F94A">
      <w:start w:val="1"/>
      <w:numFmt w:val="decimal"/>
      <w:lvlText w:val="%1"/>
      <w:lvlJc w:val="left"/>
      <w:pPr>
        <w:ind w:left="570" w:hanging="570"/>
      </w:pPr>
      <w:rPr>
        <w:rFonts w:asciiTheme="minorHAnsi" w:hAnsiTheme="minorHAnsi" w:cstheme="minorHAnsi" w:hint="default"/>
        <w:b w:val="0"/>
        <w:bCs w:val="0"/>
        <w:strike w:val="0"/>
        <w:color w:val="auto"/>
        <w:sz w:val="24"/>
        <w:szCs w:val="24"/>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693786">
    <w:abstractNumId w:val="0"/>
  </w:num>
  <w:num w:numId="2" w16cid:durableId="427235301">
    <w:abstractNumId w:val="24"/>
  </w:num>
  <w:num w:numId="3" w16cid:durableId="330069132">
    <w:abstractNumId w:val="23"/>
  </w:num>
  <w:num w:numId="4" w16cid:durableId="1465850544">
    <w:abstractNumId w:val="4"/>
  </w:num>
  <w:num w:numId="5" w16cid:durableId="1442609862">
    <w:abstractNumId w:val="7"/>
  </w:num>
  <w:num w:numId="6" w16cid:durableId="55472107">
    <w:abstractNumId w:val="22"/>
  </w:num>
  <w:num w:numId="7" w16cid:durableId="1292983597">
    <w:abstractNumId w:val="12"/>
  </w:num>
  <w:num w:numId="8" w16cid:durableId="1731810104">
    <w:abstractNumId w:val="18"/>
  </w:num>
  <w:num w:numId="9" w16cid:durableId="630866035">
    <w:abstractNumId w:val="11"/>
  </w:num>
  <w:num w:numId="10" w16cid:durableId="1724865529">
    <w:abstractNumId w:val="2"/>
  </w:num>
  <w:num w:numId="11" w16cid:durableId="745106717">
    <w:abstractNumId w:val="1"/>
  </w:num>
  <w:num w:numId="12" w16cid:durableId="604268274">
    <w:abstractNumId w:val="5"/>
  </w:num>
  <w:num w:numId="13" w16cid:durableId="1715541224">
    <w:abstractNumId w:val="3"/>
  </w:num>
  <w:num w:numId="14" w16cid:durableId="457720452">
    <w:abstractNumId w:val="13"/>
  </w:num>
  <w:num w:numId="15" w16cid:durableId="1345747394">
    <w:abstractNumId w:val="10"/>
  </w:num>
  <w:num w:numId="16" w16cid:durableId="1345748182">
    <w:abstractNumId w:val="8"/>
  </w:num>
  <w:num w:numId="17" w16cid:durableId="136262881">
    <w:abstractNumId w:val="14"/>
  </w:num>
  <w:num w:numId="18" w16cid:durableId="226652077">
    <w:abstractNumId w:val="6"/>
  </w:num>
  <w:num w:numId="19" w16cid:durableId="1492406499">
    <w:abstractNumId w:val="17"/>
  </w:num>
  <w:num w:numId="20" w16cid:durableId="944077480">
    <w:abstractNumId w:val="15"/>
  </w:num>
  <w:num w:numId="21" w16cid:durableId="633485693">
    <w:abstractNumId w:val="9"/>
  </w:num>
  <w:num w:numId="22" w16cid:durableId="921179833">
    <w:abstractNumId w:val="20"/>
  </w:num>
  <w:num w:numId="23" w16cid:durableId="1057241925">
    <w:abstractNumId w:val="21"/>
  </w:num>
  <w:num w:numId="24" w16cid:durableId="1691299218">
    <w:abstractNumId w:val="19"/>
  </w:num>
  <w:num w:numId="25" w16cid:durableId="467094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D2"/>
    <w:rsid w:val="00002ADF"/>
    <w:rsid w:val="00005BE0"/>
    <w:rsid w:val="00006B9C"/>
    <w:rsid w:val="000154A0"/>
    <w:rsid w:val="00015883"/>
    <w:rsid w:val="00016534"/>
    <w:rsid w:val="00016765"/>
    <w:rsid w:val="00016CCB"/>
    <w:rsid w:val="000172E9"/>
    <w:rsid w:val="0002183E"/>
    <w:rsid w:val="000267BA"/>
    <w:rsid w:val="000268E3"/>
    <w:rsid w:val="000413F4"/>
    <w:rsid w:val="00043441"/>
    <w:rsid w:val="00044531"/>
    <w:rsid w:val="00047F77"/>
    <w:rsid w:val="000569B4"/>
    <w:rsid w:val="0006007D"/>
    <w:rsid w:val="00062490"/>
    <w:rsid w:val="00080E82"/>
    <w:rsid w:val="00082049"/>
    <w:rsid w:val="000867F6"/>
    <w:rsid w:val="00091432"/>
    <w:rsid w:val="00091CA1"/>
    <w:rsid w:val="00097506"/>
    <w:rsid w:val="000A03DB"/>
    <w:rsid w:val="000A054F"/>
    <w:rsid w:val="000B1C5C"/>
    <w:rsid w:val="000B2DE7"/>
    <w:rsid w:val="000C14D5"/>
    <w:rsid w:val="000C43B8"/>
    <w:rsid w:val="000E0EB3"/>
    <w:rsid w:val="000E459D"/>
    <w:rsid w:val="000E568E"/>
    <w:rsid w:val="000E7D8F"/>
    <w:rsid w:val="000F16BC"/>
    <w:rsid w:val="000F24DC"/>
    <w:rsid w:val="000F3970"/>
    <w:rsid w:val="000F73F4"/>
    <w:rsid w:val="00105581"/>
    <w:rsid w:val="00105CEF"/>
    <w:rsid w:val="001101B3"/>
    <w:rsid w:val="001156F9"/>
    <w:rsid w:val="00115E06"/>
    <w:rsid w:val="001250B3"/>
    <w:rsid w:val="00130AF1"/>
    <w:rsid w:val="00132844"/>
    <w:rsid w:val="0013436F"/>
    <w:rsid w:val="00140729"/>
    <w:rsid w:val="0014229E"/>
    <w:rsid w:val="0014734F"/>
    <w:rsid w:val="0014763C"/>
    <w:rsid w:val="00151D7B"/>
    <w:rsid w:val="0015313A"/>
    <w:rsid w:val="00156890"/>
    <w:rsid w:val="0015710D"/>
    <w:rsid w:val="0016018B"/>
    <w:rsid w:val="00162CC2"/>
    <w:rsid w:val="00163A32"/>
    <w:rsid w:val="001640CB"/>
    <w:rsid w:val="0016446E"/>
    <w:rsid w:val="00165D06"/>
    <w:rsid w:val="00171731"/>
    <w:rsid w:val="00180DB4"/>
    <w:rsid w:val="00181318"/>
    <w:rsid w:val="00181457"/>
    <w:rsid w:val="00181B45"/>
    <w:rsid w:val="00186CF3"/>
    <w:rsid w:val="00187632"/>
    <w:rsid w:val="00190C2B"/>
    <w:rsid w:val="00191514"/>
    <w:rsid w:val="00192B41"/>
    <w:rsid w:val="001950F8"/>
    <w:rsid w:val="00195ACA"/>
    <w:rsid w:val="00196BA9"/>
    <w:rsid w:val="001974BC"/>
    <w:rsid w:val="001A4C52"/>
    <w:rsid w:val="001B384B"/>
    <w:rsid w:val="001B756A"/>
    <w:rsid w:val="001B7B09"/>
    <w:rsid w:val="001C3681"/>
    <w:rsid w:val="001C53EA"/>
    <w:rsid w:val="001D1347"/>
    <w:rsid w:val="001E094F"/>
    <w:rsid w:val="001E28E4"/>
    <w:rsid w:val="001E6719"/>
    <w:rsid w:val="001E7F50"/>
    <w:rsid w:val="001F1983"/>
    <w:rsid w:val="00202A07"/>
    <w:rsid w:val="00210E97"/>
    <w:rsid w:val="002223D5"/>
    <w:rsid w:val="00225368"/>
    <w:rsid w:val="00227FF0"/>
    <w:rsid w:val="0023083A"/>
    <w:rsid w:val="0023103A"/>
    <w:rsid w:val="00233578"/>
    <w:rsid w:val="00237A9F"/>
    <w:rsid w:val="00244635"/>
    <w:rsid w:val="002466AA"/>
    <w:rsid w:val="00254EDA"/>
    <w:rsid w:val="00254FDB"/>
    <w:rsid w:val="0025646F"/>
    <w:rsid w:val="002613E4"/>
    <w:rsid w:val="002737B7"/>
    <w:rsid w:val="0027544A"/>
    <w:rsid w:val="00276E0F"/>
    <w:rsid w:val="002827F7"/>
    <w:rsid w:val="00283BFC"/>
    <w:rsid w:val="00284768"/>
    <w:rsid w:val="002908F0"/>
    <w:rsid w:val="00291EB6"/>
    <w:rsid w:val="002A2A92"/>
    <w:rsid w:val="002B2179"/>
    <w:rsid w:val="002C3F32"/>
    <w:rsid w:val="002C40E3"/>
    <w:rsid w:val="002D2F57"/>
    <w:rsid w:val="002D48C5"/>
    <w:rsid w:val="002E47E6"/>
    <w:rsid w:val="002E735F"/>
    <w:rsid w:val="002E7FB0"/>
    <w:rsid w:val="002F0EAA"/>
    <w:rsid w:val="002F3071"/>
    <w:rsid w:val="002F5F1A"/>
    <w:rsid w:val="00311CA3"/>
    <w:rsid w:val="003202AF"/>
    <w:rsid w:val="00320716"/>
    <w:rsid w:val="00320C4F"/>
    <w:rsid w:val="003215C5"/>
    <w:rsid w:val="00322A1A"/>
    <w:rsid w:val="00325D3D"/>
    <w:rsid w:val="0033025A"/>
    <w:rsid w:val="00331F14"/>
    <w:rsid w:val="00333F56"/>
    <w:rsid w:val="003366BC"/>
    <w:rsid w:val="00345D2A"/>
    <w:rsid w:val="00351E98"/>
    <w:rsid w:val="003521AA"/>
    <w:rsid w:val="00353EE3"/>
    <w:rsid w:val="00361F25"/>
    <w:rsid w:val="00365074"/>
    <w:rsid w:val="003664B0"/>
    <w:rsid w:val="003804A8"/>
    <w:rsid w:val="003861F2"/>
    <w:rsid w:val="00390F8C"/>
    <w:rsid w:val="003958F1"/>
    <w:rsid w:val="003A1464"/>
    <w:rsid w:val="003B01B3"/>
    <w:rsid w:val="003B0CD4"/>
    <w:rsid w:val="003B4A24"/>
    <w:rsid w:val="003C1118"/>
    <w:rsid w:val="003C1760"/>
    <w:rsid w:val="003C18C0"/>
    <w:rsid w:val="003C62CE"/>
    <w:rsid w:val="003D0104"/>
    <w:rsid w:val="003D2A97"/>
    <w:rsid w:val="003D5F38"/>
    <w:rsid w:val="003E1CE0"/>
    <w:rsid w:val="003E3C31"/>
    <w:rsid w:val="003E43B4"/>
    <w:rsid w:val="003F099E"/>
    <w:rsid w:val="003F235E"/>
    <w:rsid w:val="00401FD7"/>
    <w:rsid w:val="004023E0"/>
    <w:rsid w:val="00403DD8"/>
    <w:rsid w:val="00410A36"/>
    <w:rsid w:val="004111CD"/>
    <w:rsid w:val="00422857"/>
    <w:rsid w:val="00427A92"/>
    <w:rsid w:val="004303C2"/>
    <w:rsid w:val="0043200D"/>
    <w:rsid w:val="004358A6"/>
    <w:rsid w:val="00442515"/>
    <w:rsid w:val="00442780"/>
    <w:rsid w:val="00453A4A"/>
    <w:rsid w:val="0045686C"/>
    <w:rsid w:val="004616C3"/>
    <w:rsid w:val="0046192B"/>
    <w:rsid w:val="00461C1B"/>
    <w:rsid w:val="004625BD"/>
    <w:rsid w:val="00467C57"/>
    <w:rsid w:val="004745BE"/>
    <w:rsid w:val="004800E1"/>
    <w:rsid w:val="00487615"/>
    <w:rsid w:val="004918C4"/>
    <w:rsid w:val="00497703"/>
    <w:rsid w:val="004A0374"/>
    <w:rsid w:val="004A1FEB"/>
    <w:rsid w:val="004A45B5"/>
    <w:rsid w:val="004B54B3"/>
    <w:rsid w:val="004C465F"/>
    <w:rsid w:val="004D0129"/>
    <w:rsid w:val="004D3100"/>
    <w:rsid w:val="004D749A"/>
    <w:rsid w:val="004E19F3"/>
    <w:rsid w:val="004E1A82"/>
    <w:rsid w:val="004F6E64"/>
    <w:rsid w:val="00504DCD"/>
    <w:rsid w:val="00515795"/>
    <w:rsid w:val="00521670"/>
    <w:rsid w:val="005343E6"/>
    <w:rsid w:val="005523E3"/>
    <w:rsid w:val="00555502"/>
    <w:rsid w:val="005556B3"/>
    <w:rsid w:val="0059091F"/>
    <w:rsid w:val="005A05B6"/>
    <w:rsid w:val="005A64D5"/>
    <w:rsid w:val="005B08F8"/>
    <w:rsid w:val="005B3DEC"/>
    <w:rsid w:val="005B451C"/>
    <w:rsid w:val="005B54F5"/>
    <w:rsid w:val="005B6908"/>
    <w:rsid w:val="005B705E"/>
    <w:rsid w:val="005C20BD"/>
    <w:rsid w:val="005C528B"/>
    <w:rsid w:val="005D14DB"/>
    <w:rsid w:val="005D401E"/>
    <w:rsid w:val="005D42E7"/>
    <w:rsid w:val="005E2CD7"/>
    <w:rsid w:val="005E7CE1"/>
    <w:rsid w:val="005F04FC"/>
    <w:rsid w:val="005F7FFE"/>
    <w:rsid w:val="006007EC"/>
    <w:rsid w:val="00601994"/>
    <w:rsid w:val="00602C19"/>
    <w:rsid w:val="00604D84"/>
    <w:rsid w:val="00607939"/>
    <w:rsid w:val="0062136F"/>
    <w:rsid w:val="0062525E"/>
    <w:rsid w:val="00626B82"/>
    <w:rsid w:val="00632A43"/>
    <w:rsid w:val="0063365C"/>
    <w:rsid w:val="006379EC"/>
    <w:rsid w:val="0064333F"/>
    <w:rsid w:val="006532B3"/>
    <w:rsid w:val="00653D2D"/>
    <w:rsid w:val="00655E13"/>
    <w:rsid w:val="00656D10"/>
    <w:rsid w:val="00660449"/>
    <w:rsid w:val="00661EC9"/>
    <w:rsid w:val="0067079E"/>
    <w:rsid w:val="00672F8A"/>
    <w:rsid w:val="00675697"/>
    <w:rsid w:val="00675BAA"/>
    <w:rsid w:val="00686796"/>
    <w:rsid w:val="00695AA3"/>
    <w:rsid w:val="006A1673"/>
    <w:rsid w:val="006A6B9A"/>
    <w:rsid w:val="006A6E1A"/>
    <w:rsid w:val="006B15DB"/>
    <w:rsid w:val="006B587F"/>
    <w:rsid w:val="006C6604"/>
    <w:rsid w:val="006C66E0"/>
    <w:rsid w:val="006C67DF"/>
    <w:rsid w:val="006E0EBC"/>
    <w:rsid w:val="006E246A"/>
    <w:rsid w:val="006E2D42"/>
    <w:rsid w:val="006E7AB9"/>
    <w:rsid w:val="006F3D9A"/>
    <w:rsid w:val="00703676"/>
    <w:rsid w:val="00705638"/>
    <w:rsid w:val="00705927"/>
    <w:rsid w:val="00707304"/>
    <w:rsid w:val="00725C32"/>
    <w:rsid w:val="00732269"/>
    <w:rsid w:val="00737268"/>
    <w:rsid w:val="00750408"/>
    <w:rsid w:val="00762555"/>
    <w:rsid w:val="00764527"/>
    <w:rsid w:val="0077110E"/>
    <w:rsid w:val="00772C76"/>
    <w:rsid w:val="007839FB"/>
    <w:rsid w:val="00785ABD"/>
    <w:rsid w:val="007932F3"/>
    <w:rsid w:val="00796BD3"/>
    <w:rsid w:val="007A0782"/>
    <w:rsid w:val="007A2DD4"/>
    <w:rsid w:val="007D0A82"/>
    <w:rsid w:val="007D1279"/>
    <w:rsid w:val="007D20B2"/>
    <w:rsid w:val="007D38B5"/>
    <w:rsid w:val="007D4675"/>
    <w:rsid w:val="007E022F"/>
    <w:rsid w:val="007E7EA0"/>
    <w:rsid w:val="007F6676"/>
    <w:rsid w:val="00800C71"/>
    <w:rsid w:val="00804C08"/>
    <w:rsid w:val="00806177"/>
    <w:rsid w:val="00807255"/>
    <w:rsid w:val="00807A29"/>
    <w:rsid w:val="00807D25"/>
    <w:rsid w:val="0081023E"/>
    <w:rsid w:val="00810FF1"/>
    <w:rsid w:val="008121C7"/>
    <w:rsid w:val="008173AA"/>
    <w:rsid w:val="00817A33"/>
    <w:rsid w:val="00820C9C"/>
    <w:rsid w:val="00822BE8"/>
    <w:rsid w:val="0083348B"/>
    <w:rsid w:val="00834722"/>
    <w:rsid w:val="00840A14"/>
    <w:rsid w:val="00843C67"/>
    <w:rsid w:val="008460FD"/>
    <w:rsid w:val="008505E4"/>
    <w:rsid w:val="00851412"/>
    <w:rsid w:val="00853507"/>
    <w:rsid w:val="008657C4"/>
    <w:rsid w:val="00865942"/>
    <w:rsid w:val="00867C2B"/>
    <w:rsid w:val="00874578"/>
    <w:rsid w:val="008754EA"/>
    <w:rsid w:val="00892891"/>
    <w:rsid w:val="008B37B3"/>
    <w:rsid w:val="008B62B4"/>
    <w:rsid w:val="008C3F0C"/>
    <w:rsid w:val="008C5ED2"/>
    <w:rsid w:val="008D2D7B"/>
    <w:rsid w:val="008D5509"/>
    <w:rsid w:val="008E0737"/>
    <w:rsid w:val="008E1B3B"/>
    <w:rsid w:val="008F49BC"/>
    <w:rsid w:val="008F55BE"/>
    <w:rsid w:val="008F5A84"/>
    <w:rsid w:val="008F7C2C"/>
    <w:rsid w:val="00914824"/>
    <w:rsid w:val="009204C6"/>
    <w:rsid w:val="00920D5F"/>
    <w:rsid w:val="00921A7B"/>
    <w:rsid w:val="00931AA7"/>
    <w:rsid w:val="00940E96"/>
    <w:rsid w:val="00950A82"/>
    <w:rsid w:val="00956601"/>
    <w:rsid w:val="00960B32"/>
    <w:rsid w:val="009750FF"/>
    <w:rsid w:val="00975995"/>
    <w:rsid w:val="00976441"/>
    <w:rsid w:val="009809FF"/>
    <w:rsid w:val="00992198"/>
    <w:rsid w:val="00992914"/>
    <w:rsid w:val="00993675"/>
    <w:rsid w:val="009977AB"/>
    <w:rsid w:val="009A390F"/>
    <w:rsid w:val="009A4A9F"/>
    <w:rsid w:val="009B0BAE"/>
    <w:rsid w:val="009B1AC3"/>
    <w:rsid w:val="009B7770"/>
    <w:rsid w:val="009C1C89"/>
    <w:rsid w:val="009C3005"/>
    <w:rsid w:val="009C4635"/>
    <w:rsid w:val="009C7021"/>
    <w:rsid w:val="009D111D"/>
    <w:rsid w:val="009D75AF"/>
    <w:rsid w:val="009E772D"/>
    <w:rsid w:val="009F13FE"/>
    <w:rsid w:val="009F274D"/>
    <w:rsid w:val="009F3448"/>
    <w:rsid w:val="009F39AA"/>
    <w:rsid w:val="009F4657"/>
    <w:rsid w:val="00A01CF9"/>
    <w:rsid w:val="00A04621"/>
    <w:rsid w:val="00A109A1"/>
    <w:rsid w:val="00A11981"/>
    <w:rsid w:val="00A1563F"/>
    <w:rsid w:val="00A15DC8"/>
    <w:rsid w:val="00A20B63"/>
    <w:rsid w:val="00A217F6"/>
    <w:rsid w:val="00A331F2"/>
    <w:rsid w:val="00A35F3E"/>
    <w:rsid w:val="00A377DC"/>
    <w:rsid w:val="00A52EF8"/>
    <w:rsid w:val="00A531A3"/>
    <w:rsid w:val="00A54701"/>
    <w:rsid w:val="00A55437"/>
    <w:rsid w:val="00A56E91"/>
    <w:rsid w:val="00A63BC4"/>
    <w:rsid w:val="00A668CA"/>
    <w:rsid w:val="00A67ABC"/>
    <w:rsid w:val="00A71773"/>
    <w:rsid w:val="00A800AD"/>
    <w:rsid w:val="00A81193"/>
    <w:rsid w:val="00A818E7"/>
    <w:rsid w:val="00A82E87"/>
    <w:rsid w:val="00A82F6C"/>
    <w:rsid w:val="00AA0B61"/>
    <w:rsid w:val="00AA1077"/>
    <w:rsid w:val="00AA495F"/>
    <w:rsid w:val="00AA54A5"/>
    <w:rsid w:val="00AB7557"/>
    <w:rsid w:val="00AC0D0A"/>
    <w:rsid w:val="00AC4990"/>
    <w:rsid w:val="00AC6BEB"/>
    <w:rsid w:val="00AC71FF"/>
    <w:rsid w:val="00AD2086"/>
    <w:rsid w:val="00AD5E53"/>
    <w:rsid w:val="00AE2C85"/>
    <w:rsid w:val="00AE37FA"/>
    <w:rsid w:val="00AF00FE"/>
    <w:rsid w:val="00AF0B8D"/>
    <w:rsid w:val="00AF2326"/>
    <w:rsid w:val="00B0107F"/>
    <w:rsid w:val="00B03F0E"/>
    <w:rsid w:val="00B06555"/>
    <w:rsid w:val="00B12A37"/>
    <w:rsid w:val="00B17E01"/>
    <w:rsid w:val="00B21B2F"/>
    <w:rsid w:val="00B25061"/>
    <w:rsid w:val="00B33206"/>
    <w:rsid w:val="00B36B8D"/>
    <w:rsid w:val="00B41837"/>
    <w:rsid w:val="00B42862"/>
    <w:rsid w:val="00B43699"/>
    <w:rsid w:val="00B57542"/>
    <w:rsid w:val="00B63EF2"/>
    <w:rsid w:val="00B65AAD"/>
    <w:rsid w:val="00B7464F"/>
    <w:rsid w:val="00B75765"/>
    <w:rsid w:val="00B75E6F"/>
    <w:rsid w:val="00B84295"/>
    <w:rsid w:val="00B908DA"/>
    <w:rsid w:val="00B96046"/>
    <w:rsid w:val="00BA023A"/>
    <w:rsid w:val="00BA5A57"/>
    <w:rsid w:val="00BA7D89"/>
    <w:rsid w:val="00BB00B5"/>
    <w:rsid w:val="00BB1CB1"/>
    <w:rsid w:val="00BB2A0D"/>
    <w:rsid w:val="00BC0D39"/>
    <w:rsid w:val="00BC4DEE"/>
    <w:rsid w:val="00BC6066"/>
    <w:rsid w:val="00BC7BC0"/>
    <w:rsid w:val="00BD57B7"/>
    <w:rsid w:val="00BE189F"/>
    <w:rsid w:val="00BE366D"/>
    <w:rsid w:val="00BE45A7"/>
    <w:rsid w:val="00BE63E2"/>
    <w:rsid w:val="00BF380C"/>
    <w:rsid w:val="00BF51C7"/>
    <w:rsid w:val="00C01C96"/>
    <w:rsid w:val="00C02F08"/>
    <w:rsid w:val="00C0370B"/>
    <w:rsid w:val="00C10BD2"/>
    <w:rsid w:val="00C12342"/>
    <w:rsid w:val="00C32225"/>
    <w:rsid w:val="00C33692"/>
    <w:rsid w:val="00C37966"/>
    <w:rsid w:val="00C462C5"/>
    <w:rsid w:val="00C52518"/>
    <w:rsid w:val="00C54083"/>
    <w:rsid w:val="00C60415"/>
    <w:rsid w:val="00C63D5B"/>
    <w:rsid w:val="00C66162"/>
    <w:rsid w:val="00C72BA6"/>
    <w:rsid w:val="00C75A39"/>
    <w:rsid w:val="00C8554E"/>
    <w:rsid w:val="00C91791"/>
    <w:rsid w:val="00C9457A"/>
    <w:rsid w:val="00CA2533"/>
    <w:rsid w:val="00CB5D8B"/>
    <w:rsid w:val="00CC1F3B"/>
    <w:rsid w:val="00CD140E"/>
    <w:rsid w:val="00CD2009"/>
    <w:rsid w:val="00CD3FBD"/>
    <w:rsid w:val="00CD622C"/>
    <w:rsid w:val="00CE30AD"/>
    <w:rsid w:val="00CE3A0A"/>
    <w:rsid w:val="00CF0044"/>
    <w:rsid w:val="00CF1923"/>
    <w:rsid w:val="00CF55AA"/>
    <w:rsid w:val="00CF629C"/>
    <w:rsid w:val="00D01A4E"/>
    <w:rsid w:val="00D02EAA"/>
    <w:rsid w:val="00D119ED"/>
    <w:rsid w:val="00D14097"/>
    <w:rsid w:val="00D14B0A"/>
    <w:rsid w:val="00D17DD4"/>
    <w:rsid w:val="00D30C5C"/>
    <w:rsid w:val="00D35BC1"/>
    <w:rsid w:val="00D41BB8"/>
    <w:rsid w:val="00D42EC6"/>
    <w:rsid w:val="00D631AA"/>
    <w:rsid w:val="00D7472B"/>
    <w:rsid w:val="00D85935"/>
    <w:rsid w:val="00D8685E"/>
    <w:rsid w:val="00D86FCF"/>
    <w:rsid w:val="00D90F43"/>
    <w:rsid w:val="00D92EEA"/>
    <w:rsid w:val="00D9731A"/>
    <w:rsid w:val="00DA347E"/>
    <w:rsid w:val="00DA3607"/>
    <w:rsid w:val="00DA5D4E"/>
    <w:rsid w:val="00DA6EF0"/>
    <w:rsid w:val="00DA70BF"/>
    <w:rsid w:val="00DA770A"/>
    <w:rsid w:val="00DB42DE"/>
    <w:rsid w:val="00DB52F6"/>
    <w:rsid w:val="00DB6A01"/>
    <w:rsid w:val="00DC1802"/>
    <w:rsid w:val="00DC5DC7"/>
    <w:rsid w:val="00DE4C56"/>
    <w:rsid w:val="00DE6D95"/>
    <w:rsid w:val="00DF251A"/>
    <w:rsid w:val="00DF5FEE"/>
    <w:rsid w:val="00E00DA7"/>
    <w:rsid w:val="00E052D6"/>
    <w:rsid w:val="00E05752"/>
    <w:rsid w:val="00E13261"/>
    <w:rsid w:val="00E176BA"/>
    <w:rsid w:val="00E2111E"/>
    <w:rsid w:val="00E21FE2"/>
    <w:rsid w:val="00E31485"/>
    <w:rsid w:val="00E33449"/>
    <w:rsid w:val="00E3615E"/>
    <w:rsid w:val="00E37C93"/>
    <w:rsid w:val="00E423EC"/>
    <w:rsid w:val="00E4766C"/>
    <w:rsid w:val="00E55121"/>
    <w:rsid w:val="00E76DA3"/>
    <w:rsid w:val="00E76EC8"/>
    <w:rsid w:val="00E93266"/>
    <w:rsid w:val="00E9799B"/>
    <w:rsid w:val="00EB4FCB"/>
    <w:rsid w:val="00EB6267"/>
    <w:rsid w:val="00EC11BC"/>
    <w:rsid w:val="00EC6BC5"/>
    <w:rsid w:val="00EC6BD5"/>
    <w:rsid w:val="00ED7829"/>
    <w:rsid w:val="00EE4744"/>
    <w:rsid w:val="00EE61FF"/>
    <w:rsid w:val="00EF5901"/>
    <w:rsid w:val="00F02697"/>
    <w:rsid w:val="00F035B4"/>
    <w:rsid w:val="00F11FD8"/>
    <w:rsid w:val="00F14E41"/>
    <w:rsid w:val="00F23063"/>
    <w:rsid w:val="00F24559"/>
    <w:rsid w:val="00F348D0"/>
    <w:rsid w:val="00F35898"/>
    <w:rsid w:val="00F379B4"/>
    <w:rsid w:val="00F41FAC"/>
    <w:rsid w:val="00F42DAA"/>
    <w:rsid w:val="00F46C3C"/>
    <w:rsid w:val="00F5225B"/>
    <w:rsid w:val="00F60EF3"/>
    <w:rsid w:val="00F65E6F"/>
    <w:rsid w:val="00F71720"/>
    <w:rsid w:val="00F72F0D"/>
    <w:rsid w:val="00F74F2A"/>
    <w:rsid w:val="00F87BB9"/>
    <w:rsid w:val="00F950F6"/>
    <w:rsid w:val="00FA3FC2"/>
    <w:rsid w:val="00FA74DE"/>
    <w:rsid w:val="00FB1E56"/>
    <w:rsid w:val="00FB6A8D"/>
    <w:rsid w:val="00FB73C5"/>
    <w:rsid w:val="00FC4191"/>
    <w:rsid w:val="00FC48C7"/>
    <w:rsid w:val="00FC7EDF"/>
    <w:rsid w:val="00FD1938"/>
    <w:rsid w:val="00FD70BF"/>
    <w:rsid w:val="00FE1F76"/>
    <w:rsid w:val="00FE5701"/>
    <w:rsid w:val="00FE6B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717C8"/>
  <w15:docId w15:val="{9AF7D90A-1E2D-4CF2-8D14-716B9206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5E"/>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uiPriority w:val="39"/>
    <w:rsid w:val="00227FF0"/>
  </w:style>
  <w:style w:type="paragraph" w:styleId="TOC2">
    <w:name w:val="toc 2"/>
    <w:basedOn w:val="TOC1"/>
    <w:rsid w:val="00227FF0"/>
    <w:pPr>
      <w:spacing w:before="160"/>
    </w:pPr>
  </w:style>
  <w:style w:type="paragraph" w:styleId="TOC1">
    <w:name w:val="toc 1"/>
    <w:basedOn w:val="Normal"/>
    <w:uiPriority w:val="39"/>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link w:val="NormalaftertitleChar"/>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超?级链,하이퍼링크2,하이퍼링크21,CEO_Hyperlink"/>
    <w:basedOn w:val="DefaultParagraphFont"/>
    <w:uiPriority w:val="99"/>
    <w:qForma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link w:val="AnnextitleChar"/>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link w:val="CallChar"/>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link w:val="TabletitleChar"/>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C379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18"/>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link w:val="ResNoChar"/>
    <w:rsid w:val="00227FF0"/>
  </w:style>
  <w:style w:type="paragraph" w:customStyle="1" w:styleId="Restitle">
    <w:name w:val="Res_title"/>
    <w:basedOn w:val="Rectitle"/>
    <w:next w:val="Resref"/>
    <w:link w:val="RestitleChar"/>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C37966"/>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6007EC"/>
    <w:rPr>
      <w:color w:val="605E5C"/>
      <w:shd w:val="clear" w:color="auto" w:fill="E1DFDD"/>
    </w:rPr>
  </w:style>
  <w:style w:type="character" w:customStyle="1" w:styleId="Heading1Char">
    <w:name w:val="Heading 1 Char"/>
    <w:link w:val="Heading1"/>
    <w:rsid w:val="006007EC"/>
    <w:rPr>
      <w:rFonts w:ascii="Calibri" w:hAnsi="Calibri"/>
      <w:b/>
      <w:sz w:val="26"/>
      <w:lang w:val="en-GB" w:eastAsia="en-US"/>
    </w:rPr>
  </w:style>
  <w:style w:type="paragraph" w:styleId="ListParagraph">
    <w:name w:val="List Paragraph"/>
    <w:aliases w:val="List Paragraph1,Recommendation,List Paragraph11,Bullet List,FooterText,numbered,Paragraphe de liste1,Bulletr List Paragraph,Bullet 1,Numbered Para 1,Dot pt,No Spacing1,List Paragraph Char Char Char,Indicator Text,Bullet Points,titre"/>
    <w:basedOn w:val="Normal"/>
    <w:link w:val="ListParagraphChar"/>
    <w:uiPriority w:val="34"/>
    <w:qFormat/>
    <w:rsid w:val="006007EC"/>
    <w:pPr>
      <w:widowControl w:val="0"/>
      <w:tabs>
        <w:tab w:val="clear" w:pos="794"/>
        <w:tab w:val="clear" w:pos="1191"/>
        <w:tab w:val="clear" w:pos="1588"/>
        <w:tab w:val="clear" w:pos="1985"/>
      </w:tabs>
      <w:kinsoku w:val="0"/>
      <w:overflowPunct/>
      <w:autoSpaceDE/>
      <w:autoSpaceDN/>
      <w:adjustRightInd/>
      <w:spacing w:before="0"/>
      <w:ind w:left="720"/>
      <w:contextualSpacing/>
      <w:textAlignment w:val="auto"/>
    </w:pPr>
    <w:rPr>
      <w:rFonts w:ascii="Times New Roman" w:eastAsia="SimSun" w:hAnsi="Times New Roman"/>
      <w:sz w:val="24"/>
      <w:szCs w:val="24"/>
      <w:lang w:val="en-US" w:eastAsia="zh-CN"/>
    </w:rPr>
  </w:style>
  <w:style w:type="character" w:customStyle="1" w:styleId="ListParagraphChar">
    <w:name w:val="List Paragraph Char"/>
    <w:aliases w:val="List Paragraph1 Char,Recommendation Char,List Paragraph11 Char,Bullet List Char,FooterText Char,numbered Char,Paragraphe de liste1 Char,Bulletr List Paragraph Char,Bullet 1 Char,Numbered Para 1 Char,Dot pt Char,No Spacing1 Char"/>
    <w:basedOn w:val="DefaultParagraphFont"/>
    <w:link w:val="ListParagraph"/>
    <w:uiPriority w:val="1"/>
    <w:rsid w:val="006007EC"/>
    <w:rPr>
      <w:rFonts w:ascii="Times New Roman" w:eastAsia="SimSun" w:hAnsi="Times New Roman"/>
      <w:sz w:val="24"/>
      <w:szCs w:val="24"/>
    </w:rPr>
  </w:style>
  <w:style w:type="character" w:styleId="Strong">
    <w:name w:val="Strong"/>
    <w:uiPriority w:val="22"/>
    <w:qFormat/>
    <w:rsid w:val="004111CD"/>
    <w:rPr>
      <w:b/>
      <w:bCs/>
    </w:rPr>
  </w:style>
  <w:style w:type="character" w:customStyle="1" w:styleId="enumlev1Char">
    <w:name w:val="enumlev1 Char"/>
    <w:basedOn w:val="DefaultParagraphFont"/>
    <w:link w:val="enumlev1"/>
    <w:locked/>
    <w:rsid w:val="0023083A"/>
    <w:rPr>
      <w:rFonts w:ascii="Calibri" w:hAnsi="Calibri"/>
      <w:sz w:val="22"/>
      <w:lang w:val="en-GB" w:eastAsia="en-US"/>
    </w:rPr>
  </w:style>
  <w:style w:type="paragraph" w:customStyle="1" w:styleId="paragraph">
    <w:name w:val="paragraph"/>
    <w:basedOn w:val="Normal"/>
    <w:rsid w:val="0023083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HAnsi" w:cs="Calibri"/>
      <w:szCs w:val="22"/>
      <w:lang w:eastAsia="en-GB"/>
    </w:rPr>
  </w:style>
  <w:style w:type="character" w:customStyle="1" w:styleId="normaltextrun">
    <w:name w:val="normaltextrun"/>
    <w:basedOn w:val="DefaultParagraphFont"/>
    <w:rsid w:val="0023083A"/>
  </w:style>
  <w:style w:type="character" w:customStyle="1" w:styleId="eop">
    <w:name w:val="eop"/>
    <w:basedOn w:val="DefaultParagraphFont"/>
    <w:rsid w:val="0023083A"/>
  </w:style>
  <w:style w:type="character" w:customStyle="1" w:styleId="TabletitleChar">
    <w:name w:val="Table_title Char"/>
    <w:basedOn w:val="DefaultParagraphFont"/>
    <w:link w:val="Tabletitle"/>
    <w:rsid w:val="00E31485"/>
    <w:rPr>
      <w:rFonts w:ascii="Calibri" w:hAnsi="Calibri"/>
      <w:b/>
      <w:sz w:val="22"/>
      <w:lang w:val="en-GB" w:eastAsia="en-US"/>
    </w:rPr>
  </w:style>
  <w:style w:type="character" w:customStyle="1" w:styleId="AnnextitleChar">
    <w:name w:val="Annex_title Char"/>
    <w:basedOn w:val="DefaultParagraphFont"/>
    <w:link w:val="Annextitle"/>
    <w:locked/>
    <w:rsid w:val="00FC48C7"/>
    <w:rPr>
      <w:rFonts w:ascii="Calibri" w:hAnsi="Calibri"/>
      <w:b/>
      <w:sz w:val="26"/>
      <w:lang w:val="en-GB" w:eastAsia="en-US"/>
    </w:rPr>
  </w:style>
  <w:style w:type="paragraph" w:customStyle="1" w:styleId="Default">
    <w:name w:val="Default"/>
    <w:rsid w:val="00C63D5B"/>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BF380C"/>
  </w:style>
  <w:style w:type="paragraph" w:customStyle="1" w:styleId="Body">
    <w:name w:val="Body"/>
    <w:basedOn w:val="Normal"/>
    <w:qFormat/>
    <w:rsid w:val="00BF380C"/>
    <w:pPr>
      <w:tabs>
        <w:tab w:val="clear" w:pos="794"/>
        <w:tab w:val="clear" w:pos="1191"/>
        <w:tab w:val="clear" w:pos="1588"/>
        <w:tab w:val="clear" w:pos="1985"/>
      </w:tabs>
      <w:overflowPunct/>
      <w:spacing w:before="0" w:after="100" w:line="221" w:lineRule="atLeast"/>
      <w:textAlignment w:val="auto"/>
    </w:pPr>
    <w:rPr>
      <w:rFonts w:ascii="EYInterstate Light" w:hAnsi="EYInterstate Light"/>
      <w:sz w:val="18"/>
      <w:szCs w:val="18"/>
      <w:lang w:eastAsia="en-GB"/>
    </w:rPr>
  </w:style>
  <w:style w:type="paragraph" w:styleId="NormalWeb">
    <w:name w:val="Normal (Web)"/>
    <w:basedOn w:val="Normal"/>
    <w:uiPriority w:val="99"/>
    <w:unhideWhenUsed/>
    <w:rsid w:val="002466A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 w:val="24"/>
      <w:szCs w:val="24"/>
      <w:lang w:val="en-US" w:eastAsia="zh-CN"/>
    </w:rPr>
  </w:style>
  <w:style w:type="character" w:customStyle="1" w:styleId="NormalaftertitleChar">
    <w:name w:val="Normal after title Char"/>
    <w:link w:val="Normalaftertitle"/>
    <w:rsid w:val="00AC6BEB"/>
    <w:rPr>
      <w:rFonts w:ascii="Calibri" w:hAnsi="Calibri"/>
      <w:sz w:val="22"/>
      <w:lang w:val="en-GB" w:eastAsia="en-US"/>
    </w:rPr>
  </w:style>
  <w:style w:type="paragraph" w:styleId="BodyText">
    <w:name w:val="Body Text"/>
    <w:basedOn w:val="Normal"/>
    <w:link w:val="BodyTextChar"/>
    <w:unhideWhenUsed/>
    <w:qFormat/>
    <w:rsid w:val="000A03DB"/>
    <w:pPr>
      <w:tabs>
        <w:tab w:val="clear" w:pos="794"/>
        <w:tab w:val="clear" w:pos="1191"/>
        <w:tab w:val="clear" w:pos="1588"/>
        <w:tab w:val="clear" w:pos="1985"/>
        <w:tab w:val="left" w:pos="567"/>
        <w:tab w:val="left" w:pos="1134"/>
        <w:tab w:val="left" w:pos="1701"/>
        <w:tab w:val="left" w:pos="2268"/>
        <w:tab w:val="left" w:pos="2835"/>
      </w:tabs>
      <w:spacing w:after="120"/>
    </w:pPr>
    <w:rPr>
      <w:sz w:val="24"/>
    </w:rPr>
  </w:style>
  <w:style w:type="character" w:customStyle="1" w:styleId="BodyTextChar">
    <w:name w:val="Body Text Char"/>
    <w:basedOn w:val="DefaultParagraphFont"/>
    <w:link w:val="BodyText"/>
    <w:rsid w:val="000A03DB"/>
    <w:rPr>
      <w:rFonts w:ascii="Calibri" w:hAnsi="Calibri"/>
      <w:sz w:val="24"/>
      <w:lang w:val="en-GB" w:eastAsia="en-US"/>
    </w:rPr>
  </w:style>
  <w:style w:type="character" w:customStyle="1" w:styleId="CallChar">
    <w:name w:val="Call Char"/>
    <w:link w:val="Call"/>
    <w:rsid w:val="0083348B"/>
    <w:rPr>
      <w:rFonts w:ascii="Calibri" w:hAnsi="Calibri"/>
      <w:i/>
      <w:sz w:val="22"/>
      <w:lang w:val="en-GB" w:eastAsia="en-US"/>
    </w:rPr>
  </w:style>
  <w:style w:type="character" w:customStyle="1" w:styleId="RestitleChar">
    <w:name w:val="Res_title Char"/>
    <w:basedOn w:val="DefaultParagraphFont"/>
    <w:link w:val="Restitle"/>
    <w:locked/>
    <w:rsid w:val="0083348B"/>
    <w:rPr>
      <w:rFonts w:ascii="Calibri" w:hAnsi="Calibri"/>
      <w:b/>
      <w:sz w:val="26"/>
      <w:lang w:val="en-GB" w:eastAsia="en-US"/>
    </w:rPr>
  </w:style>
  <w:style w:type="character" w:customStyle="1" w:styleId="ResNoChar">
    <w:name w:val="Res_No Char"/>
    <w:basedOn w:val="DefaultParagraphFont"/>
    <w:link w:val="ResNo"/>
    <w:locked/>
    <w:rsid w:val="0083348B"/>
    <w:rPr>
      <w:rFonts w:ascii="Calibri" w:hAnsi="Calibri"/>
      <w:caps/>
      <w:sz w:val="26"/>
      <w:lang w:val="en-GB" w:eastAsia="en-US"/>
    </w:rPr>
  </w:style>
  <w:style w:type="character" w:styleId="CommentReference">
    <w:name w:val="annotation reference"/>
    <w:basedOn w:val="DefaultParagraphFont"/>
    <w:semiHidden/>
    <w:unhideWhenUsed/>
    <w:rsid w:val="00A67ABC"/>
    <w:rPr>
      <w:sz w:val="16"/>
      <w:szCs w:val="16"/>
    </w:rPr>
  </w:style>
  <w:style w:type="paragraph" w:styleId="CommentText">
    <w:name w:val="annotation text"/>
    <w:basedOn w:val="Normal"/>
    <w:link w:val="CommentTextChar"/>
    <w:semiHidden/>
    <w:unhideWhenUsed/>
    <w:rsid w:val="00A67ABC"/>
    <w:rPr>
      <w:sz w:val="20"/>
    </w:rPr>
  </w:style>
  <w:style w:type="character" w:customStyle="1" w:styleId="CommentTextChar">
    <w:name w:val="Comment Text Char"/>
    <w:basedOn w:val="DefaultParagraphFont"/>
    <w:link w:val="CommentText"/>
    <w:semiHidden/>
    <w:rsid w:val="00A67ABC"/>
    <w:rPr>
      <w:rFonts w:ascii="Calibri" w:hAnsi="Calibri"/>
      <w:lang w:val="en-GB" w:eastAsia="en-US"/>
    </w:rPr>
  </w:style>
  <w:style w:type="paragraph" w:styleId="CommentSubject">
    <w:name w:val="annotation subject"/>
    <w:basedOn w:val="CommentText"/>
    <w:next w:val="CommentText"/>
    <w:link w:val="CommentSubjectChar"/>
    <w:semiHidden/>
    <w:unhideWhenUsed/>
    <w:rsid w:val="00A67ABC"/>
    <w:rPr>
      <w:b/>
      <w:bCs/>
    </w:rPr>
  </w:style>
  <w:style w:type="character" w:customStyle="1" w:styleId="CommentSubjectChar">
    <w:name w:val="Comment Subject Char"/>
    <w:basedOn w:val="CommentTextChar"/>
    <w:link w:val="CommentSubject"/>
    <w:semiHidden/>
    <w:rsid w:val="00A67ABC"/>
    <w:rPr>
      <w:rFonts w:ascii="Calibri" w:hAnsi="Calibri"/>
      <w:b/>
      <w:bCs/>
      <w:lang w:val="en-GB" w:eastAsia="en-US"/>
    </w:rPr>
  </w:style>
  <w:style w:type="character" w:customStyle="1" w:styleId="UnresolvedMention1">
    <w:name w:val="Unresolved Mention1"/>
    <w:basedOn w:val="DefaultParagraphFont"/>
    <w:uiPriority w:val="99"/>
    <w:semiHidden/>
    <w:unhideWhenUsed/>
    <w:rsid w:val="00DF251A"/>
    <w:rPr>
      <w:color w:val="605E5C"/>
      <w:shd w:val="clear" w:color="auto" w:fill="E1DFDD"/>
    </w:rPr>
  </w:style>
  <w:style w:type="paragraph" w:styleId="BalloonText">
    <w:name w:val="Balloon Text"/>
    <w:basedOn w:val="Normal"/>
    <w:link w:val="BalloonTextChar"/>
    <w:semiHidden/>
    <w:unhideWhenUsed/>
    <w:rsid w:val="00DF251A"/>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F251A"/>
    <w:rPr>
      <w:rFonts w:ascii="Tahoma" w:hAnsi="Tahoma" w:cs="Tahoma"/>
      <w:sz w:val="16"/>
      <w:szCs w:val="16"/>
      <w:lang w:val="en-GB" w:eastAsia="en-US"/>
    </w:rPr>
  </w:style>
  <w:style w:type="character" w:customStyle="1" w:styleId="bri">
    <w:name w:val="bri"/>
    <w:basedOn w:val="DefaultParagraphFont"/>
    <w:rsid w:val="00DF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9865">
      <w:bodyDiv w:val="1"/>
      <w:marLeft w:val="0"/>
      <w:marRight w:val="0"/>
      <w:marTop w:val="0"/>
      <w:marBottom w:val="0"/>
      <w:divBdr>
        <w:top w:val="none" w:sz="0" w:space="0" w:color="auto"/>
        <w:left w:val="none" w:sz="0" w:space="0" w:color="auto"/>
        <w:bottom w:val="none" w:sz="0" w:space="0" w:color="auto"/>
        <w:right w:val="none" w:sz="0" w:space="0" w:color="auto"/>
      </w:divBdr>
    </w:div>
    <w:div w:id="41297287">
      <w:bodyDiv w:val="1"/>
      <w:marLeft w:val="0"/>
      <w:marRight w:val="0"/>
      <w:marTop w:val="0"/>
      <w:marBottom w:val="0"/>
      <w:divBdr>
        <w:top w:val="none" w:sz="0" w:space="0" w:color="auto"/>
        <w:left w:val="none" w:sz="0" w:space="0" w:color="auto"/>
        <w:bottom w:val="none" w:sz="0" w:space="0" w:color="auto"/>
        <w:right w:val="none" w:sz="0" w:space="0" w:color="auto"/>
      </w:divBdr>
    </w:div>
    <w:div w:id="42559292">
      <w:bodyDiv w:val="1"/>
      <w:marLeft w:val="0"/>
      <w:marRight w:val="0"/>
      <w:marTop w:val="0"/>
      <w:marBottom w:val="0"/>
      <w:divBdr>
        <w:top w:val="none" w:sz="0" w:space="0" w:color="auto"/>
        <w:left w:val="none" w:sz="0" w:space="0" w:color="auto"/>
        <w:bottom w:val="none" w:sz="0" w:space="0" w:color="auto"/>
        <w:right w:val="none" w:sz="0" w:space="0" w:color="auto"/>
      </w:divBdr>
    </w:div>
    <w:div w:id="134105505">
      <w:bodyDiv w:val="1"/>
      <w:marLeft w:val="0"/>
      <w:marRight w:val="0"/>
      <w:marTop w:val="0"/>
      <w:marBottom w:val="0"/>
      <w:divBdr>
        <w:top w:val="none" w:sz="0" w:space="0" w:color="auto"/>
        <w:left w:val="none" w:sz="0" w:space="0" w:color="auto"/>
        <w:bottom w:val="none" w:sz="0" w:space="0" w:color="auto"/>
        <w:right w:val="none" w:sz="0" w:space="0" w:color="auto"/>
      </w:divBdr>
    </w:div>
    <w:div w:id="160195831">
      <w:bodyDiv w:val="1"/>
      <w:marLeft w:val="0"/>
      <w:marRight w:val="0"/>
      <w:marTop w:val="0"/>
      <w:marBottom w:val="0"/>
      <w:divBdr>
        <w:top w:val="none" w:sz="0" w:space="0" w:color="auto"/>
        <w:left w:val="none" w:sz="0" w:space="0" w:color="auto"/>
        <w:bottom w:val="none" w:sz="0" w:space="0" w:color="auto"/>
        <w:right w:val="none" w:sz="0" w:space="0" w:color="auto"/>
      </w:divBdr>
    </w:div>
    <w:div w:id="171192555">
      <w:bodyDiv w:val="1"/>
      <w:marLeft w:val="0"/>
      <w:marRight w:val="0"/>
      <w:marTop w:val="0"/>
      <w:marBottom w:val="0"/>
      <w:divBdr>
        <w:top w:val="none" w:sz="0" w:space="0" w:color="auto"/>
        <w:left w:val="none" w:sz="0" w:space="0" w:color="auto"/>
        <w:bottom w:val="none" w:sz="0" w:space="0" w:color="auto"/>
        <w:right w:val="none" w:sz="0" w:space="0" w:color="auto"/>
      </w:divBdr>
    </w:div>
    <w:div w:id="232395168">
      <w:bodyDiv w:val="1"/>
      <w:marLeft w:val="0"/>
      <w:marRight w:val="0"/>
      <w:marTop w:val="0"/>
      <w:marBottom w:val="0"/>
      <w:divBdr>
        <w:top w:val="none" w:sz="0" w:space="0" w:color="auto"/>
        <w:left w:val="none" w:sz="0" w:space="0" w:color="auto"/>
        <w:bottom w:val="none" w:sz="0" w:space="0" w:color="auto"/>
        <w:right w:val="none" w:sz="0" w:space="0" w:color="auto"/>
      </w:divBdr>
    </w:div>
    <w:div w:id="270555287">
      <w:bodyDiv w:val="1"/>
      <w:marLeft w:val="0"/>
      <w:marRight w:val="0"/>
      <w:marTop w:val="0"/>
      <w:marBottom w:val="0"/>
      <w:divBdr>
        <w:top w:val="none" w:sz="0" w:space="0" w:color="auto"/>
        <w:left w:val="none" w:sz="0" w:space="0" w:color="auto"/>
        <w:bottom w:val="none" w:sz="0" w:space="0" w:color="auto"/>
        <w:right w:val="none" w:sz="0" w:space="0" w:color="auto"/>
      </w:divBdr>
    </w:div>
    <w:div w:id="318730461">
      <w:bodyDiv w:val="1"/>
      <w:marLeft w:val="0"/>
      <w:marRight w:val="0"/>
      <w:marTop w:val="0"/>
      <w:marBottom w:val="0"/>
      <w:divBdr>
        <w:top w:val="none" w:sz="0" w:space="0" w:color="auto"/>
        <w:left w:val="none" w:sz="0" w:space="0" w:color="auto"/>
        <w:bottom w:val="none" w:sz="0" w:space="0" w:color="auto"/>
        <w:right w:val="none" w:sz="0" w:space="0" w:color="auto"/>
      </w:divBdr>
    </w:div>
    <w:div w:id="325402951">
      <w:bodyDiv w:val="1"/>
      <w:marLeft w:val="0"/>
      <w:marRight w:val="0"/>
      <w:marTop w:val="0"/>
      <w:marBottom w:val="0"/>
      <w:divBdr>
        <w:top w:val="none" w:sz="0" w:space="0" w:color="auto"/>
        <w:left w:val="none" w:sz="0" w:space="0" w:color="auto"/>
        <w:bottom w:val="none" w:sz="0" w:space="0" w:color="auto"/>
        <w:right w:val="none" w:sz="0" w:space="0" w:color="auto"/>
      </w:divBdr>
    </w:div>
    <w:div w:id="349569931">
      <w:bodyDiv w:val="1"/>
      <w:marLeft w:val="0"/>
      <w:marRight w:val="0"/>
      <w:marTop w:val="0"/>
      <w:marBottom w:val="0"/>
      <w:divBdr>
        <w:top w:val="none" w:sz="0" w:space="0" w:color="auto"/>
        <w:left w:val="none" w:sz="0" w:space="0" w:color="auto"/>
        <w:bottom w:val="none" w:sz="0" w:space="0" w:color="auto"/>
        <w:right w:val="none" w:sz="0" w:space="0" w:color="auto"/>
      </w:divBdr>
    </w:div>
    <w:div w:id="579102066">
      <w:bodyDiv w:val="1"/>
      <w:marLeft w:val="0"/>
      <w:marRight w:val="0"/>
      <w:marTop w:val="0"/>
      <w:marBottom w:val="0"/>
      <w:divBdr>
        <w:top w:val="none" w:sz="0" w:space="0" w:color="auto"/>
        <w:left w:val="none" w:sz="0" w:space="0" w:color="auto"/>
        <w:bottom w:val="none" w:sz="0" w:space="0" w:color="auto"/>
        <w:right w:val="none" w:sz="0" w:space="0" w:color="auto"/>
      </w:divBdr>
    </w:div>
    <w:div w:id="612054951">
      <w:bodyDiv w:val="1"/>
      <w:marLeft w:val="0"/>
      <w:marRight w:val="0"/>
      <w:marTop w:val="0"/>
      <w:marBottom w:val="0"/>
      <w:divBdr>
        <w:top w:val="none" w:sz="0" w:space="0" w:color="auto"/>
        <w:left w:val="none" w:sz="0" w:space="0" w:color="auto"/>
        <w:bottom w:val="none" w:sz="0" w:space="0" w:color="auto"/>
        <w:right w:val="none" w:sz="0" w:space="0" w:color="auto"/>
      </w:divBdr>
    </w:div>
    <w:div w:id="632910441">
      <w:bodyDiv w:val="1"/>
      <w:marLeft w:val="0"/>
      <w:marRight w:val="0"/>
      <w:marTop w:val="0"/>
      <w:marBottom w:val="0"/>
      <w:divBdr>
        <w:top w:val="none" w:sz="0" w:space="0" w:color="auto"/>
        <w:left w:val="none" w:sz="0" w:space="0" w:color="auto"/>
        <w:bottom w:val="none" w:sz="0" w:space="0" w:color="auto"/>
        <w:right w:val="none" w:sz="0" w:space="0" w:color="auto"/>
      </w:divBdr>
    </w:div>
    <w:div w:id="691803206">
      <w:bodyDiv w:val="1"/>
      <w:marLeft w:val="0"/>
      <w:marRight w:val="0"/>
      <w:marTop w:val="0"/>
      <w:marBottom w:val="0"/>
      <w:divBdr>
        <w:top w:val="none" w:sz="0" w:space="0" w:color="auto"/>
        <w:left w:val="none" w:sz="0" w:space="0" w:color="auto"/>
        <w:bottom w:val="none" w:sz="0" w:space="0" w:color="auto"/>
        <w:right w:val="none" w:sz="0" w:space="0" w:color="auto"/>
      </w:divBdr>
    </w:div>
    <w:div w:id="698361481">
      <w:bodyDiv w:val="1"/>
      <w:marLeft w:val="0"/>
      <w:marRight w:val="0"/>
      <w:marTop w:val="0"/>
      <w:marBottom w:val="0"/>
      <w:divBdr>
        <w:top w:val="none" w:sz="0" w:space="0" w:color="auto"/>
        <w:left w:val="none" w:sz="0" w:space="0" w:color="auto"/>
        <w:bottom w:val="none" w:sz="0" w:space="0" w:color="auto"/>
        <w:right w:val="none" w:sz="0" w:space="0" w:color="auto"/>
      </w:divBdr>
    </w:div>
    <w:div w:id="746458027">
      <w:bodyDiv w:val="1"/>
      <w:marLeft w:val="0"/>
      <w:marRight w:val="0"/>
      <w:marTop w:val="0"/>
      <w:marBottom w:val="0"/>
      <w:divBdr>
        <w:top w:val="none" w:sz="0" w:space="0" w:color="auto"/>
        <w:left w:val="none" w:sz="0" w:space="0" w:color="auto"/>
        <w:bottom w:val="none" w:sz="0" w:space="0" w:color="auto"/>
        <w:right w:val="none" w:sz="0" w:space="0" w:color="auto"/>
      </w:divBdr>
    </w:div>
    <w:div w:id="860167305">
      <w:bodyDiv w:val="1"/>
      <w:marLeft w:val="0"/>
      <w:marRight w:val="0"/>
      <w:marTop w:val="0"/>
      <w:marBottom w:val="0"/>
      <w:divBdr>
        <w:top w:val="none" w:sz="0" w:space="0" w:color="auto"/>
        <w:left w:val="none" w:sz="0" w:space="0" w:color="auto"/>
        <w:bottom w:val="none" w:sz="0" w:space="0" w:color="auto"/>
        <w:right w:val="none" w:sz="0" w:space="0" w:color="auto"/>
      </w:divBdr>
    </w:div>
    <w:div w:id="900822373">
      <w:bodyDiv w:val="1"/>
      <w:marLeft w:val="0"/>
      <w:marRight w:val="0"/>
      <w:marTop w:val="0"/>
      <w:marBottom w:val="0"/>
      <w:divBdr>
        <w:top w:val="none" w:sz="0" w:space="0" w:color="auto"/>
        <w:left w:val="none" w:sz="0" w:space="0" w:color="auto"/>
        <w:bottom w:val="none" w:sz="0" w:space="0" w:color="auto"/>
        <w:right w:val="none" w:sz="0" w:space="0" w:color="auto"/>
      </w:divBdr>
    </w:div>
    <w:div w:id="914165768">
      <w:bodyDiv w:val="1"/>
      <w:marLeft w:val="0"/>
      <w:marRight w:val="0"/>
      <w:marTop w:val="0"/>
      <w:marBottom w:val="0"/>
      <w:divBdr>
        <w:top w:val="none" w:sz="0" w:space="0" w:color="auto"/>
        <w:left w:val="none" w:sz="0" w:space="0" w:color="auto"/>
        <w:bottom w:val="none" w:sz="0" w:space="0" w:color="auto"/>
        <w:right w:val="none" w:sz="0" w:space="0" w:color="auto"/>
      </w:divBdr>
    </w:div>
    <w:div w:id="983194447">
      <w:bodyDiv w:val="1"/>
      <w:marLeft w:val="0"/>
      <w:marRight w:val="0"/>
      <w:marTop w:val="0"/>
      <w:marBottom w:val="0"/>
      <w:divBdr>
        <w:top w:val="none" w:sz="0" w:space="0" w:color="auto"/>
        <w:left w:val="none" w:sz="0" w:space="0" w:color="auto"/>
        <w:bottom w:val="none" w:sz="0" w:space="0" w:color="auto"/>
        <w:right w:val="none" w:sz="0" w:space="0" w:color="auto"/>
      </w:divBdr>
    </w:div>
    <w:div w:id="989477734">
      <w:bodyDiv w:val="1"/>
      <w:marLeft w:val="0"/>
      <w:marRight w:val="0"/>
      <w:marTop w:val="0"/>
      <w:marBottom w:val="0"/>
      <w:divBdr>
        <w:top w:val="none" w:sz="0" w:space="0" w:color="auto"/>
        <w:left w:val="none" w:sz="0" w:space="0" w:color="auto"/>
        <w:bottom w:val="none" w:sz="0" w:space="0" w:color="auto"/>
        <w:right w:val="none" w:sz="0" w:space="0" w:color="auto"/>
      </w:divBdr>
    </w:div>
    <w:div w:id="998650659">
      <w:bodyDiv w:val="1"/>
      <w:marLeft w:val="0"/>
      <w:marRight w:val="0"/>
      <w:marTop w:val="0"/>
      <w:marBottom w:val="0"/>
      <w:divBdr>
        <w:top w:val="none" w:sz="0" w:space="0" w:color="auto"/>
        <w:left w:val="none" w:sz="0" w:space="0" w:color="auto"/>
        <w:bottom w:val="none" w:sz="0" w:space="0" w:color="auto"/>
        <w:right w:val="none" w:sz="0" w:space="0" w:color="auto"/>
      </w:divBdr>
    </w:div>
    <w:div w:id="1173255214">
      <w:bodyDiv w:val="1"/>
      <w:marLeft w:val="0"/>
      <w:marRight w:val="0"/>
      <w:marTop w:val="0"/>
      <w:marBottom w:val="0"/>
      <w:divBdr>
        <w:top w:val="none" w:sz="0" w:space="0" w:color="auto"/>
        <w:left w:val="none" w:sz="0" w:space="0" w:color="auto"/>
        <w:bottom w:val="none" w:sz="0" w:space="0" w:color="auto"/>
        <w:right w:val="none" w:sz="0" w:space="0" w:color="auto"/>
      </w:divBdr>
    </w:div>
    <w:div w:id="1271473244">
      <w:bodyDiv w:val="1"/>
      <w:marLeft w:val="0"/>
      <w:marRight w:val="0"/>
      <w:marTop w:val="0"/>
      <w:marBottom w:val="0"/>
      <w:divBdr>
        <w:top w:val="none" w:sz="0" w:space="0" w:color="auto"/>
        <w:left w:val="none" w:sz="0" w:space="0" w:color="auto"/>
        <w:bottom w:val="none" w:sz="0" w:space="0" w:color="auto"/>
        <w:right w:val="none" w:sz="0" w:space="0" w:color="auto"/>
      </w:divBdr>
    </w:div>
    <w:div w:id="1405568635">
      <w:bodyDiv w:val="1"/>
      <w:marLeft w:val="0"/>
      <w:marRight w:val="0"/>
      <w:marTop w:val="0"/>
      <w:marBottom w:val="0"/>
      <w:divBdr>
        <w:top w:val="none" w:sz="0" w:space="0" w:color="auto"/>
        <w:left w:val="none" w:sz="0" w:space="0" w:color="auto"/>
        <w:bottom w:val="none" w:sz="0" w:space="0" w:color="auto"/>
        <w:right w:val="none" w:sz="0" w:space="0" w:color="auto"/>
      </w:divBdr>
    </w:div>
    <w:div w:id="1448430292">
      <w:bodyDiv w:val="1"/>
      <w:marLeft w:val="0"/>
      <w:marRight w:val="0"/>
      <w:marTop w:val="0"/>
      <w:marBottom w:val="0"/>
      <w:divBdr>
        <w:top w:val="none" w:sz="0" w:space="0" w:color="auto"/>
        <w:left w:val="none" w:sz="0" w:space="0" w:color="auto"/>
        <w:bottom w:val="none" w:sz="0" w:space="0" w:color="auto"/>
        <w:right w:val="none" w:sz="0" w:space="0" w:color="auto"/>
      </w:divBdr>
    </w:div>
    <w:div w:id="1472213039">
      <w:bodyDiv w:val="1"/>
      <w:marLeft w:val="0"/>
      <w:marRight w:val="0"/>
      <w:marTop w:val="0"/>
      <w:marBottom w:val="0"/>
      <w:divBdr>
        <w:top w:val="none" w:sz="0" w:space="0" w:color="auto"/>
        <w:left w:val="none" w:sz="0" w:space="0" w:color="auto"/>
        <w:bottom w:val="none" w:sz="0" w:space="0" w:color="auto"/>
        <w:right w:val="none" w:sz="0" w:space="0" w:color="auto"/>
      </w:divBdr>
    </w:div>
    <w:div w:id="1481194027">
      <w:bodyDiv w:val="1"/>
      <w:marLeft w:val="0"/>
      <w:marRight w:val="0"/>
      <w:marTop w:val="0"/>
      <w:marBottom w:val="0"/>
      <w:divBdr>
        <w:top w:val="none" w:sz="0" w:space="0" w:color="auto"/>
        <w:left w:val="none" w:sz="0" w:space="0" w:color="auto"/>
        <w:bottom w:val="none" w:sz="0" w:space="0" w:color="auto"/>
        <w:right w:val="none" w:sz="0" w:space="0" w:color="auto"/>
      </w:divBdr>
    </w:div>
    <w:div w:id="1583176206">
      <w:bodyDiv w:val="1"/>
      <w:marLeft w:val="0"/>
      <w:marRight w:val="0"/>
      <w:marTop w:val="0"/>
      <w:marBottom w:val="0"/>
      <w:divBdr>
        <w:top w:val="none" w:sz="0" w:space="0" w:color="auto"/>
        <w:left w:val="none" w:sz="0" w:space="0" w:color="auto"/>
        <w:bottom w:val="none" w:sz="0" w:space="0" w:color="auto"/>
        <w:right w:val="none" w:sz="0" w:space="0" w:color="auto"/>
      </w:divBdr>
    </w:div>
    <w:div w:id="1753966611">
      <w:bodyDiv w:val="1"/>
      <w:marLeft w:val="0"/>
      <w:marRight w:val="0"/>
      <w:marTop w:val="0"/>
      <w:marBottom w:val="0"/>
      <w:divBdr>
        <w:top w:val="none" w:sz="0" w:space="0" w:color="auto"/>
        <w:left w:val="none" w:sz="0" w:space="0" w:color="auto"/>
        <w:bottom w:val="none" w:sz="0" w:space="0" w:color="auto"/>
        <w:right w:val="none" w:sz="0" w:space="0" w:color="auto"/>
      </w:divBdr>
    </w:div>
    <w:div w:id="1762142653">
      <w:bodyDiv w:val="1"/>
      <w:marLeft w:val="0"/>
      <w:marRight w:val="0"/>
      <w:marTop w:val="0"/>
      <w:marBottom w:val="0"/>
      <w:divBdr>
        <w:top w:val="none" w:sz="0" w:space="0" w:color="auto"/>
        <w:left w:val="none" w:sz="0" w:space="0" w:color="auto"/>
        <w:bottom w:val="none" w:sz="0" w:space="0" w:color="auto"/>
        <w:right w:val="none" w:sz="0" w:space="0" w:color="auto"/>
      </w:divBdr>
    </w:div>
    <w:div w:id="1806193131">
      <w:bodyDiv w:val="1"/>
      <w:marLeft w:val="0"/>
      <w:marRight w:val="0"/>
      <w:marTop w:val="0"/>
      <w:marBottom w:val="0"/>
      <w:divBdr>
        <w:top w:val="none" w:sz="0" w:space="0" w:color="auto"/>
        <w:left w:val="none" w:sz="0" w:space="0" w:color="auto"/>
        <w:bottom w:val="none" w:sz="0" w:space="0" w:color="auto"/>
        <w:right w:val="none" w:sz="0" w:space="0" w:color="auto"/>
      </w:divBdr>
    </w:div>
    <w:div w:id="1870028395">
      <w:bodyDiv w:val="1"/>
      <w:marLeft w:val="0"/>
      <w:marRight w:val="0"/>
      <w:marTop w:val="0"/>
      <w:marBottom w:val="0"/>
      <w:divBdr>
        <w:top w:val="none" w:sz="0" w:space="0" w:color="auto"/>
        <w:left w:val="none" w:sz="0" w:space="0" w:color="auto"/>
        <w:bottom w:val="none" w:sz="0" w:space="0" w:color="auto"/>
        <w:right w:val="none" w:sz="0" w:space="0" w:color="auto"/>
      </w:divBdr>
    </w:div>
    <w:div w:id="189458450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40017461">
      <w:bodyDiv w:val="1"/>
      <w:marLeft w:val="0"/>
      <w:marRight w:val="0"/>
      <w:marTop w:val="0"/>
      <w:marBottom w:val="0"/>
      <w:divBdr>
        <w:top w:val="none" w:sz="0" w:space="0" w:color="auto"/>
        <w:left w:val="none" w:sz="0" w:space="0" w:color="auto"/>
        <w:bottom w:val="none" w:sz="0" w:space="0" w:color="auto"/>
        <w:right w:val="none" w:sz="0" w:space="0" w:color="auto"/>
      </w:divBdr>
    </w:div>
    <w:div w:id="1993828652">
      <w:bodyDiv w:val="1"/>
      <w:marLeft w:val="0"/>
      <w:marRight w:val="0"/>
      <w:marTop w:val="0"/>
      <w:marBottom w:val="0"/>
      <w:divBdr>
        <w:top w:val="none" w:sz="0" w:space="0" w:color="auto"/>
        <w:left w:val="none" w:sz="0" w:space="0" w:color="auto"/>
        <w:bottom w:val="none" w:sz="0" w:space="0" w:color="auto"/>
        <w:right w:val="none" w:sz="0" w:space="0" w:color="auto"/>
      </w:divBdr>
    </w:div>
    <w:div w:id="1997495836">
      <w:bodyDiv w:val="1"/>
      <w:marLeft w:val="0"/>
      <w:marRight w:val="0"/>
      <w:marTop w:val="0"/>
      <w:marBottom w:val="0"/>
      <w:divBdr>
        <w:top w:val="none" w:sz="0" w:space="0" w:color="auto"/>
        <w:left w:val="none" w:sz="0" w:space="0" w:color="auto"/>
        <w:bottom w:val="none" w:sz="0" w:space="0" w:color="auto"/>
        <w:right w:val="none" w:sz="0" w:space="0" w:color="auto"/>
      </w:divBdr>
    </w:div>
    <w:div w:id="205901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itu.int/en/ITU-T/Pages/default.aspx" TargetMode="External"/><Relationship Id="rId26" Type="http://schemas.openxmlformats.org/officeDocument/2006/relationships/hyperlink" Target="https://www.itu.int/md/S24-CL-C-0132/en" TargetMode="External"/><Relationship Id="rId39" Type="http://schemas.openxmlformats.org/officeDocument/2006/relationships/hyperlink" Target="https://www.itu.int/en/council/Documents/basic-texts/Convention-R.pdf" TargetMode="External"/><Relationship Id="rId21" Type="http://schemas.openxmlformats.org/officeDocument/2006/relationships/hyperlink" Target="https://www.itu.int/ru/ITU-R/conferences/RRB/Pages/default.aspx" TargetMode="External"/><Relationship Id="rId34" Type="http://schemas.openxmlformats.org/officeDocument/2006/relationships/footer" Target="footer2.xml"/><Relationship Id="rId42" Type="http://schemas.openxmlformats.org/officeDocument/2006/relationships/hyperlink" Target="https://www.itu.int/md/S25-CL-C-0040/e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system.org/en" TargetMode="External"/><Relationship Id="rId29" Type="http://schemas.openxmlformats.org/officeDocument/2006/relationships/hyperlink" Target="https://www.itu.int/md/S25-CL-C-004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itu.int/md/S24-CL-C-0134/en" TargetMode="External"/><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hyperlink" Target="https://www.itu.int/en/council/Pages/Financial-Regulations.aspx"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itu.int/md/S23-CL-C-0115/en" TargetMode="External"/><Relationship Id="rId28" Type="http://schemas.openxmlformats.org/officeDocument/2006/relationships/hyperlink" Target="https://medical-insurance.unog.ch/en" TargetMode="External"/><Relationship Id="rId36" Type="http://schemas.openxmlformats.org/officeDocument/2006/relationships/footer" Target="footer3.xml"/><Relationship Id="rId10" Type="http://schemas.openxmlformats.org/officeDocument/2006/relationships/hyperlink" Target="https://www.itu.int/md/S25-CL-C-0035/en" TargetMode="External"/><Relationship Id="rId19" Type="http://schemas.openxmlformats.org/officeDocument/2006/relationships/hyperlink" Target="https://www.itu.int/ru/ITU-D/Pages/default.aspx" TargetMode="External"/><Relationship Id="rId31" Type="http://schemas.openxmlformats.org/officeDocument/2006/relationships/header" Target="header1.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en/council/Pages/Financial-Regulations.aspx" TargetMode="External"/><Relationship Id="rId14" Type="http://schemas.openxmlformats.org/officeDocument/2006/relationships/image" Target="media/image4.png"/><Relationship Id="rId22" Type="http://schemas.openxmlformats.org/officeDocument/2006/relationships/hyperlink" Target="https://www.itu.int/md/S24-CL-C-0132/en" TargetMode="External"/><Relationship Id="rId27" Type="http://schemas.openxmlformats.org/officeDocument/2006/relationships/hyperlink" Target="https://context.reverso.net/translation/russian-english/%D0%9A%D1%80%D0%B5%D0%B4%D0%B8%D1%82%D0%BE%D1%80%D1%81%D0%BA%D0%B0%D1%8F+%D0%B7%D0%B0%D0%B4%D0%BE%D0%BB%D0%B6%D0%B5%D0%BD%D0%BD%D0%BE%D1%81%D1%82%D1%8C" TargetMode="External"/><Relationship Id="rId30" Type="http://schemas.openxmlformats.org/officeDocument/2006/relationships/hyperlink" Target="http://www.unjspf.org" TargetMode="External"/><Relationship Id="rId35" Type="http://schemas.openxmlformats.org/officeDocument/2006/relationships/header" Target="header3.xm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hyperlink" Target="https://www.itu.int/en/council/Documents/basic-texts/Convention-R.pdf"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itu.int/ru/ITU-R/Pages/default.aspx" TargetMode="External"/><Relationship Id="rId25" Type="http://schemas.openxmlformats.org/officeDocument/2006/relationships/hyperlink" Target="https://context.reverso.net/translation/russian-english/%D0%B1%D0%B5%D0%B7%D0%B2%D0%BE%D0%B7%D0%BC%D0%B5%D0%B7%D0%B4%D0%BD%D1%8B%D0%BC+%D0%BE%D0%BF%D0%B5%D1%80%D0%B0%D1%86%D0%B8%D1%8F%D0%BC" TargetMode="External"/><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footer" Target="footer6.xml"/><Relationship Id="rId20" Type="http://schemas.openxmlformats.org/officeDocument/2006/relationships/hyperlink" Target="http://www.itu.int/itu-wsis/implementation/" TargetMode="External"/><Relationship Id="rId41" Type="http://schemas.openxmlformats.org/officeDocument/2006/relationships/hyperlink" Target="https://www.itu.int/md/S25-CL-C-0041/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ometo\AppData\Roaming\Microsoft\Templates\POOL%20R%20-%20ITU\GS\PR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97B15-4B40-474A-9070-A26D8398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PR_Council25.dotx</Template>
  <TotalTime>1</TotalTime>
  <Pages>75</Pages>
  <Words>29285</Words>
  <Characters>166927</Characters>
  <Application>Microsoft Office Word</Application>
  <DocSecurity>0</DocSecurity>
  <Lines>1391</Lines>
  <Paragraphs>391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195821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Operating Report and Audited Financial Statements for the financial year 2024</dc:title>
  <dc:subject>ITU Council 2025</dc:subject>
  <dc:creator>Rudometova, Alisa</dc:creator>
  <cp:keywords>C2025, C25, Council-25</cp:keywords>
  <dc:description/>
  <cp:lastModifiedBy>GBS</cp:lastModifiedBy>
  <cp:revision>2</cp:revision>
  <cp:lastPrinted>2025-06-11T07:57:00Z</cp:lastPrinted>
  <dcterms:created xsi:type="dcterms:W3CDTF">2025-06-12T12:46:00Z</dcterms:created>
  <dcterms:modified xsi:type="dcterms:W3CDTF">2025-06-12T12:46:00Z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