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D72F49" w:rsidRPr="00AC6ACB" w14:paraId="230528B4" w14:textId="77777777" w:rsidTr="00D72F49">
        <w:trPr>
          <w:cantSplit/>
          <w:trHeight w:val="23"/>
        </w:trPr>
        <w:tc>
          <w:tcPr>
            <w:tcW w:w="3969" w:type="dxa"/>
            <w:vMerge w:val="restart"/>
            <w:tcMar>
              <w:left w:w="0" w:type="dxa"/>
            </w:tcMar>
          </w:tcPr>
          <w:p w14:paraId="217E9EB9" w14:textId="0D9AF915" w:rsidR="00D72F49" w:rsidRPr="00AC6ACB" w:rsidRDefault="00D72F49" w:rsidP="00D72F49">
            <w:pPr>
              <w:tabs>
                <w:tab w:val="left" w:pos="851"/>
              </w:tabs>
              <w:spacing w:before="0" w:line="240" w:lineRule="atLeast"/>
              <w:rPr>
                <w:b/>
              </w:rPr>
            </w:pPr>
            <w:r w:rsidRPr="00AC6ACB">
              <w:rPr>
                <w:b/>
              </w:rPr>
              <w:t>Point de l'ordre du jour:</w:t>
            </w:r>
            <w:r w:rsidR="00AA6A50" w:rsidRPr="00AC6ACB">
              <w:rPr>
                <w:b/>
              </w:rPr>
              <w:t xml:space="preserve"> ADM 2</w:t>
            </w:r>
          </w:p>
        </w:tc>
        <w:tc>
          <w:tcPr>
            <w:tcW w:w="5245" w:type="dxa"/>
          </w:tcPr>
          <w:p w14:paraId="119BD9F4" w14:textId="713F8D2C" w:rsidR="00D72F49" w:rsidRPr="00AC6ACB" w:rsidRDefault="00D72F49" w:rsidP="00D72F49">
            <w:pPr>
              <w:tabs>
                <w:tab w:val="left" w:pos="851"/>
              </w:tabs>
              <w:spacing w:before="0" w:line="240" w:lineRule="atLeast"/>
              <w:jc w:val="right"/>
              <w:rPr>
                <w:b/>
              </w:rPr>
            </w:pPr>
            <w:r w:rsidRPr="00AC6ACB">
              <w:rPr>
                <w:b/>
              </w:rPr>
              <w:t>Document C2</w:t>
            </w:r>
            <w:r w:rsidR="00FC6D7D" w:rsidRPr="00AC6ACB">
              <w:rPr>
                <w:b/>
              </w:rPr>
              <w:t>5</w:t>
            </w:r>
            <w:r w:rsidRPr="00AC6ACB">
              <w:rPr>
                <w:b/>
              </w:rPr>
              <w:t>/</w:t>
            </w:r>
            <w:r w:rsidR="00AA6A50" w:rsidRPr="00AC6ACB">
              <w:rPr>
                <w:b/>
              </w:rPr>
              <w:t>40</w:t>
            </w:r>
            <w:r w:rsidRPr="00AC6ACB">
              <w:rPr>
                <w:b/>
              </w:rPr>
              <w:t>-F</w:t>
            </w:r>
          </w:p>
        </w:tc>
      </w:tr>
      <w:tr w:rsidR="00D72F49" w:rsidRPr="00AC6ACB" w14:paraId="4AA1535C" w14:textId="77777777" w:rsidTr="00D72F49">
        <w:trPr>
          <w:cantSplit/>
        </w:trPr>
        <w:tc>
          <w:tcPr>
            <w:tcW w:w="3969" w:type="dxa"/>
            <w:vMerge/>
          </w:tcPr>
          <w:p w14:paraId="17F74AAC" w14:textId="77777777" w:rsidR="00D72F49" w:rsidRPr="00AC6ACB" w:rsidRDefault="00D72F49" w:rsidP="00D72F49">
            <w:pPr>
              <w:tabs>
                <w:tab w:val="left" w:pos="851"/>
              </w:tabs>
              <w:spacing w:line="240" w:lineRule="atLeast"/>
              <w:rPr>
                <w:b/>
              </w:rPr>
            </w:pPr>
          </w:p>
        </w:tc>
        <w:tc>
          <w:tcPr>
            <w:tcW w:w="5245" w:type="dxa"/>
          </w:tcPr>
          <w:p w14:paraId="04F874B1" w14:textId="092758EC" w:rsidR="00D72F49" w:rsidRPr="00AC6ACB" w:rsidRDefault="00AA6A50" w:rsidP="00D72F49">
            <w:pPr>
              <w:tabs>
                <w:tab w:val="left" w:pos="851"/>
              </w:tabs>
              <w:spacing w:before="0"/>
              <w:jc w:val="right"/>
              <w:rPr>
                <w:b/>
              </w:rPr>
            </w:pPr>
            <w:r w:rsidRPr="00AC6ACB">
              <w:rPr>
                <w:b/>
              </w:rPr>
              <w:t>2</w:t>
            </w:r>
            <w:r w:rsidR="005020C1" w:rsidRPr="00AC6ACB">
              <w:rPr>
                <w:b/>
              </w:rPr>
              <w:t>9</w:t>
            </w:r>
            <w:r w:rsidRPr="00AC6ACB">
              <w:rPr>
                <w:b/>
              </w:rPr>
              <w:t xml:space="preserve"> mai 2025</w:t>
            </w:r>
          </w:p>
        </w:tc>
      </w:tr>
      <w:tr w:rsidR="00D72F49" w:rsidRPr="00AC6ACB" w14:paraId="312CFC4E" w14:textId="77777777" w:rsidTr="00D72F49">
        <w:trPr>
          <w:cantSplit/>
          <w:trHeight w:val="23"/>
        </w:trPr>
        <w:tc>
          <w:tcPr>
            <w:tcW w:w="3969" w:type="dxa"/>
            <w:vMerge/>
          </w:tcPr>
          <w:p w14:paraId="2A07DEF1" w14:textId="77777777" w:rsidR="00D72F49" w:rsidRPr="00AC6ACB" w:rsidRDefault="00D72F49" w:rsidP="00D72F49">
            <w:pPr>
              <w:tabs>
                <w:tab w:val="left" w:pos="851"/>
              </w:tabs>
              <w:spacing w:line="240" w:lineRule="atLeast"/>
              <w:rPr>
                <w:b/>
              </w:rPr>
            </w:pPr>
          </w:p>
        </w:tc>
        <w:tc>
          <w:tcPr>
            <w:tcW w:w="5245" w:type="dxa"/>
          </w:tcPr>
          <w:p w14:paraId="0B009A52" w14:textId="77777777" w:rsidR="00D72F49" w:rsidRPr="00AC6ACB" w:rsidRDefault="00D72F49" w:rsidP="00D72F49">
            <w:pPr>
              <w:tabs>
                <w:tab w:val="left" w:pos="851"/>
              </w:tabs>
              <w:spacing w:before="0" w:line="240" w:lineRule="atLeast"/>
              <w:jc w:val="right"/>
              <w:rPr>
                <w:b/>
              </w:rPr>
            </w:pPr>
            <w:r w:rsidRPr="00AC6ACB">
              <w:rPr>
                <w:b/>
              </w:rPr>
              <w:t>Original: anglais</w:t>
            </w:r>
          </w:p>
        </w:tc>
      </w:tr>
      <w:tr w:rsidR="00D72F49" w:rsidRPr="00AC6ACB" w14:paraId="09E58B37" w14:textId="77777777" w:rsidTr="00D72F49">
        <w:trPr>
          <w:cantSplit/>
          <w:trHeight w:val="23"/>
        </w:trPr>
        <w:tc>
          <w:tcPr>
            <w:tcW w:w="3969" w:type="dxa"/>
          </w:tcPr>
          <w:p w14:paraId="25D7FEE0" w14:textId="77777777" w:rsidR="00D72F49" w:rsidRPr="00AC6ACB" w:rsidRDefault="00D72F49" w:rsidP="00D72F49">
            <w:pPr>
              <w:tabs>
                <w:tab w:val="left" w:pos="851"/>
              </w:tabs>
              <w:spacing w:line="240" w:lineRule="atLeast"/>
              <w:rPr>
                <w:b/>
              </w:rPr>
            </w:pPr>
          </w:p>
        </w:tc>
        <w:tc>
          <w:tcPr>
            <w:tcW w:w="5245" w:type="dxa"/>
          </w:tcPr>
          <w:p w14:paraId="6A59963D" w14:textId="77777777" w:rsidR="00D72F49" w:rsidRPr="00AC6ACB" w:rsidRDefault="00D72F49" w:rsidP="00D72F49">
            <w:pPr>
              <w:tabs>
                <w:tab w:val="left" w:pos="851"/>
              </w:tabs>
              <w:spacing w:before="0" w:line="240" w:lineRule="atLeast"/>
              <w:jc w:val="right"/>
              <w:rPr>
                <w:b/>
              </w:rPr>
            </w:pPr>
          </w:p>
        </w:tc>
      </w:tr>
      <w:tr w:rsidR="00D72F49" w:rsidRPr="00AC6ACB" w14:paraId="7D64E0AD" w14:textId="77777777" w:rsidTr="00D72F49">
        <w:trPr>
          <w:cantSplit/>
        </w:trPr>
        <w:tc>
          <w:tcPr>
            <w:tcW w:w="9214" w:type="dxa"/>
            <w:gridSpan w:val="2"/>
            <w:tcMar>
              <w:left w:w="0" w:type="dxa"/>
            </w:tcMar>
          </w:tcPr>
          <w:p w14:paraId="461A636B" w14:textId="77777777" w:rsidR="00D72F49" w:rsidRPr="00AC6ACB" w:rsidRDefault="00D72F49" w:rsidP="00D72F49">
            <w:pPr>
              <w:pStyle w:val="Source"/>
              <w:jc w:val="left"/>
              <w:rPr>
                <w:sz w:val="34"/>
                <w:szCs w:val="34"/>
              </w:rPr>
            </w:pPr>
            <w:r w:rsidRPr="00AC6ACB">
              <w:rPr>
                <w:rFonts w:cstheme="minorHAnsi"/>
                <w:color w:val="000000"/>
                <w:sz w:val="34"/>
                <w:szCs w:val="34"/>
              </w:rPr>
              <w:t xml:space="preserve">Rapport </w:t>
            </w:r>
            <w:r w:rsidR="00E95647" w:rsidRPr="00AC6ACB">
              <w:rPr>
                <w:rFonts w:cstheme="minorHAnsi"/>
                <w:color w:val="000000"/>
                <w:sz w:val="34"/>
                <w:szCs w:val="34"/>
              </w:rPr>
              <w:t xml:space="preserve">de la </w:t>
            </w:r>
            <w:r w:rsidRPr="00AC6ACB">
              <w:rPr>
                <w:rFonts w:cstheme="minorHAnsi"/>
                <w:color w:val="000000"/>
                <w:sz w:val="34"/>
                <w:szCs w:val="34"/>
              </w:rPr>
              <w:t>Secrétaire général</w:t>
            </w:r>
            <w:r w:rsidR="00E95647" w:rsidRPr="00AC6ACB">
              <w:rPr>
                <w:rFonts w:cstheme="minorHAnsi"/>
                <w:color w:val="000000"/>
                <w:sz w:val="34"/>
                <w:szCs w:val="34"/>
              </w:rPr>
              <w:t>e</w:t>
            </w:r>
          </w:p>
        </w:tc>
      </w:tr>
      <w:tr w:rsidR="00D72F49" w:rsidRPr="00AC6ACB" w14:paraId="4B1D52AE" w14:textId="77777777" w:rsidTr="00D72F49">
        <w:trPr>
          <w:cantSplit/>
        </w:trPr>
        <w:tc>
          <w:tcPr>
            <w:tcW w:w="9214" w:type="dxa"/>
            <w:gridSpan w:val="2"/>
            <w:tcMar>
              <w:left w:w="0" w:type="dxa"/>
            </w:tcMar>
          </w:tcPr>
          <w:p w14:paraId="220C40C4" w14:textId="244643DE" w:rsidR="00D72F49" w:rsidRPr="00AC6ACB" w:rsidRDefault="00AA6A50" w:rsidP="00D72F49">
            <w:pPr>
              <w:pStyle w:val="Subtitle"/>
              <w:framePr w:hSpace="0" w:wrap="auto" w:hAnchor="text" w:xAlign="left" w:yAlign="inline"/>
              <w:rPr>
                <w:sz w:val="32"/>
                <w:szCs w:val="32"/>
                <w:lang w:val="fr-FR"/>
              </w:rPr>
            </w:pPr>
            <w:r w:rsidRPr="00AC6ACB">
              <w:rPr>
                <w:rFonts w:cstheme="minorHAnsi"/>
                <w:sz w:val="32"/>
                <w:szCs w:val="32"/>
                <w:lang w:val="fr-FR"/>
              </w:rPr>
              <w:t>RAPPORT DE GESTION FINANCIÈRE ET ÉTATS FINANCIERS VÉRIFIÉS POUR L'EXERCICE 2024</w:t>
            </w:r>
          </w:p>
        </w:tc>
      </w:tr>
      <w:tr w:rsidR="00D72F49" w:rsidRPr="00AC6ACB" w14:paraId="716A8FA5" w14:textId="77777777" w:rsidTr="00D72F49">
        <w:trPr>
          <w:cantSplit/>
        </w:trPr>
        <w:tc>
          <w:tcPr>
            <w:tcW w:w="9214" w:type="dxa"/>
            <w:gridSpan w:val="2"/>
            <w:tcBorders>
              <w:top w:val="single" w:sz="4" w:space="0" w:color="auto"/>
              <w:bottom w:val="single" w:sz="4" w:space="0" w:color="auto"/>
            </w:tcBorders>
            <w:tcMar>
              <w:left w:w="0" w:type="dxa"/>
            </w:tcMar>
          </w:tcPr>
          <w:p w14:paraId="3EF9AEE2" w14:textId="77777777" w:rsidR="00D72F49" w:rsidRPr="00AC6ACB" w:rsidRDefault="00F37FE5" w:rsidP="00D72F49">
            <w:pPr>
              <w:spacing w:before="160"/>
              <w:rPr>
                <w:b/>
                <w:bCs/>
                <w:sz w:val="26"/>
                <w:szCs w:val="26"/>
              </w:rPr>
            </w:pPr>
            <w:r w:rsidRPr="00AC6ACB">
              <w:rPr>
                <w:b/>
                <w:bCs/>
                <w:sz w:val="26"/>
                <w:szCs w:val="26"/>
              </w:rPr>
              <w:t>Objet</w:t>
            </w:r>
          </w:p>
          <w:p w14:paraId="6575A21D" w14:textId="281C274A" w:rsidR="00AA6A50" w:rsidRPr="00AC6ACB" w:rsidRDefault="00AA6A50" w:rsidP="00AA6A50">
            <w:r w:rsidRPr="00AC6ACB">
              <w:t>Aux termes du numéro 101 de la Convention de l'Union internationale des télécommunications et de l'Article 30 du Règlement financier de l'Union, le Secrétaire</w:t>
            </w:r>
            <w:r w:rsidR="001D5475" w:rsidRPr="00AC6ACB">
              <w:t> </w:t>
            </w:r>
            <w:r w:rsidRPr="00AC6ACB">
              <w:t>général est prié de soumettre chaque année au Conseil un rapport de gestion financière.</w:t>
            </w:r>
          </w:p>
          <w:p w14:paraId="0BB6ED7F" w14:textId="71084CAA" w:rsidR="00D72F49" w:rsidRPr="00AC6ACB" w:rsidRDefault="00AA6A50" w:rsidP="00AA6A50">
            <w:r w:rsidRPr="00AC6ACB">
              <w:t xml:space="preserve">Le </w:t>
            </w:r>
            <w:r w:rsidR="00AF11CD" w:rsidRPr="00AC6ACB">
              <w:t>R</w:t>
            </w:r>
            <w:r w:rsidRPr="00AC6ACB">
              <w:t>apport de gestion financière pour l'exercice financier 2024 présente:</w:t>
            </w:r>
          </w:p>
          <w:p w14:paraId="415D4BC9" w14:textId="4DBA20EE" w:rsidR="00AA6A50" w:rsidRPr="00AC6ACB" w:rsidRDefault="00AA6A50" w:rsidP="00AA6A50">
            <w:pPr>
              <w:pStyle w:val="enumlev1"/>
            </w:pPr>
            <w:r w:rsidRPr="00AC6ACB">
              <w:t>–</w:t>
            </w:r>
            <w:r w:rsidRPr="00AC6ACB">
              <w:tab/>
            </w:r>
            <w:r w:rsidR="00152023" w:rsidRPr="00AC6ACB">
              <w:t>l</w:t>
            </w:r>
            <w:r w:rsidRPr="00AC6ACB">
              <w:t>es comptes vérifiés pour l'exercice 2024 concernant le budget de l'Union et les fonds extrabudgétaires.</w:t>
            </w:r>
          </w:p>
          <w:p w14:paraId="03C1C901" w14:textId="77777777" w:rsidR="00D72F49" w:rsidRPr="00AC6ACB" w:rsidRDefault="00D72F49" w:rsidP="00D72F49">
            <w:pPr>
              <w:spacing w:before="160"/>
              <w:rPr>
                <w:b/>
                <w:bCs/>
                <w:sz w:val="26"/>
                <w:szCs w:val="26"/>
              </w:rPr>
            </w:pPr>
            <w:r w:rsidRPr="00AC6ACB">
              <w:rPr>
                <w:b/>
                <w:bCs/>
                <w:sz w:val="26"/>
                <w:szCs w:val="26"/>
              </w:rPr>
              <w:t>Suite à donner par le Conseil</w:t>
            </w:r>
          </w:p>
          <w:p w14:paraId="49EFE832" w14:textId="430A7BDD" w:rsidR="00AA6A50" w:rsidRPr="00AC6ACB" w:rsidRDefault="00AA6A50" w:rsidP="00AA6A50">
            <w:r w:rsidRPr="00AC6ACB">
              <w:t xml:space="preserve">Le </w:t>
            </w:r>
            <w:r w:rsidR="005A4789" w:rsidRPr="00AC6ACB">
              <w:t>R</w:t>
            </w:r>
            <w:r w:rsidRPr="00AC6ACB">
              <w:t>apport de gestion financière sur les comptes vérifiés ainsi que le projet de Résolution figurant dans l'</w:t>
            </w:r>
            <w:hyperlink w:anchor="AnnexeA" w:history="1">
              <w:r w:rsidRPr="00AC6ACB">
                <w:rPr>
                  <w:rStyle w:val="Hyperlink"/>
                  <w:rFonts w:eastAsia="Times New Roman" w:cs="Times New Roman"/>
                  <w:szCs w:val="20"/>
                </w:rPr>
                <w:t>Annexe A</w:t>
              </w:r>
            </w:hyperlink>
            <w:r w:rsidRPr="00AC6ACB">
              <w:t xml:space="preserve"> sont soumis au Conseil pour </w:t>
            </w:r>
            <w:r w:rsidRPr="00AC6ACB">
              <w:rPr>
                <w:b/>
                <w:bCs/>
              </w:rPr>
              <w:t>examen</w:t>
            </w:r>
            <w:r w:rsidRPr="00AC6ACB">
              <w:t xml:space="preserve"> et </w:t>
            </w:r>
            <w:r w:rsidRPr="00AC6ACB">
              <w:rPr>
                <w:b/>
                <w:bCs/>
              </w:rPr>
              <w:t>approbation</w:t>
            </w:r>
            <w:r w:rsidRPr="00AC6ACB">
              <w:t>.</w:t>
            </w:r>
          </w:p>
          <w:p w14:paraId="3C48D0C1" w14:textId="01AE7D28" w:rsidR="00D72F49" w:rsidRPr="00AC6ACB" w:rsidRDefault="00AA6A50" w:rsidP="00AA6A50">
            <w:r w:rsidRPr="00AC6ACB">
              <w:t>Une fois examiné et approuvé par le Conseil, le rapport sera communiqué aux</w:t>
            </w:r>
            <w:r w:rsidR="00152023" w:rsidRPr="00AC6ACB">
              <w:t xml:space="preserve"> </w:t>
            </w:r>
            <w:r w:rsidRPr="00AC6ACB">
              <w:t>États Membres et aux Membres de Secteur.</w:t>
            </w:r>
          </w:p>
          <w:p w14:paraId="128103A4" w14:textId="77777777" w:rsidR="00D72F49" w:rsidRPr="00AC6ACB" w:rsidRDefault="00D72F49" w:rsidP="00D72F49">
            <w:pPr>
              <w:spacing w:before="160"/>
              <w:rPr>
                <w:caps/>
                <w:sz w:val="22"/>
              </w:rPr>
            </w:pPr>
            <w:r w:rsidRPr="00AC6ACB">
              <w:rPr>
                <w:sz w:val="22"/>
              </w:rPr>
              <w:t>__________________</w:t>
            </w:r>
          </w:p>
          <w:p w14:paraId="7A755E33" w14:textId="77777777" w:rsidR="00D72F49" w:rsidRPr="00AC6ACB" w:rsidRDefault="00D72F49" w:rsidP="00D72F49">
            <w:pPr>
              <w:spacing w:before="160"/>
              <w:rPr>
                <w:b/>
                <w:bCs/>
                <w:sz w:val="26"/>
                <w:szCs w:val="26"/>
              </w:rPr>
            </w:pPr>
            <w:r w:rsidRPr="00AC6ACB">
              <w:rPr>
                <w:b/>
                <w:bCs/>
                <w:sz w:val="26"/>
                <w:szCs w:val="26"/>
              </w:rPr>
              <w:t>Références</w:t>
            </w:r>
          </w:p>
          <w:p w14:paraId="03ABD081" w14:textId="25FC002B" w:rsidR="00D72F49" w:rsidRPr="00AC6ACB" w:rsidRDefault="00AA2389" w:rsidP="00AA6A50">
            <w:pPr>
              <w:spacing w:after="160"/>
              <w:rPr>
                <w:i/>
                <w:iCs/>
                <w:szCs w:val="24"/>
              </w:rPr>
            </w:pPr>
            <w:hyperlink r:id="rId7" w:history="1">
              <w:r w:rsidRPr="00AC6ACB">
                <w:rPr>
                  <w:rStyle w:val="Hyperlink"/>
                  <w:rFonts w:eastAsia="Times New Roman" w:cs="Times New Roman"/>
                  <w:i/>
                  <w:iCs/>
                  <w:szCs w:val="24"/>
                </w:rPr>
                <w:t>numéro 101</w:t>
              </w:r>
            </w:hyperlink>
            <w:r w:rsidR="00AA6A50" w:rsidRPr="00AC6ACB">
              <w:rPr>
                <w:i/>
                <w:iCs/>
                <w:szCs w:val="24"/>
              </w:rPr>
              <w:t xml:space="preserve"> de la Convention; </w:t>
            </w:r>
            <w:hyperlink r:id="rId8" w:history="1">
              <w:r w:rsidR="00AA6A50" w:rsidRPr="00AC6ACB">
                <w:rPr>
                  <w:rStyle w:val="Hyperlink"/>
                  <w:rFonts w:eastAsia="Times New Roman" w:cs="Times New Roman"/>
                  <w:i/>
                  <w:iCs/>
                  <w:szCs w:val="24"/>
                </w:rPr>
                <w:t>Article 30</w:t>
              </w:r>
            </w:hyperlink>
            <w:r w:rsidR="00AA6A50" w:rsidRPr="00AC6ACB">
              <w:rPr>
                <w:i/>
                <w:iCs/>
                <w:szCs w:val="24"/>
              </w:rPr>
              <w:t xml:space="preserve"> du Règlement financier de l'Union.</w:t>
            </w:r>
          </w:p>
        </w:tc>
      </w:tr>
    </w:tbl>
    <w:p w14:paraId="78FF6903" w14:textId="77777777" w:rsidR="00A51849" w:rsidRPr="00AC6ACB" w:rsidRDefault="00A51849">
      <w:pPr>
        <w:tabs>
          <w:tab w:val="clear" w:pos="567"/>
          <w:tab w:val="clear" w:pos="1134"/>
          <w:tab w:val="clear" w:pos="1701"/>
          <w:tab w:val="clear" w:pos="2268"/>
          <w:tab w:val="clear" w:pos="2835"/>
        </w:tabs>
        <w:overflowPunct/>
        <w:autoSpaceDE/>
        <w:autoSpaceDN/>
        <w:adjustRightInd/>
        <w:spacing w:before="0"/>
        <w:textAlignment w:val="auto"/>
      </w:pPr>
      <w:r w:rsidRPr="00AC6ACB">
        <w:br w:type="page"/>
      </w:r>
    </w:p>
    <w:p w14:paraId="55B0EBDA" w14:textId="4EC78D20" w:rsidR="006A11AE" w:rsidRPr="00AC6ACB" w:rsidRDefault="00AA6A50" w:rsidP="00AA6A50">
      <w:pPr>
        <w:pStyle w:val="Title4"/>
      </w:pPr>
      <w:r w:rsidRPr="00AC6ACB">
        <w:rPr>
          <w:sz w:val="36"/>
          <w:szCs w:val="24"/>
        </w:rPr>
        <w:lastRenderedPageBreak/>
        <w:t>Rapport de gestion financière</w:t>
      </w:r>
    </w:p>
    <w:p w14:paraId="39C3CE15" w14:textId="05556C65" w:rsidR="00AA6A50" w:rsidRPr="00AC6ACB" w:rsidRDefault="00AA6A50" w:rsidP="00AA6A50">
      <w:pPr>
        <w:spacing w:before="360"/>
        <w:jc w:val="center"/>
      </w:pPr>
      <w:r w:rsidRPr="00AC6ACB">
        <w:rPr>
          <w:sz w:val="28"/>
          <w:szCs w:val="22"/>
        </w:rPr>
        <w:t>TABLE DES MATIÈRES</w:t>
      </w:r>
    </w:p>
    <w:p w14:paraId="67E4CE45" w14:textId="580BB08A" w:rsidR="00AA6A50" w:rsidRPr="00AC6ACB" w:rsidRDefault="00AA6A50" w:rsidP="00AA6A50">
      <w:pPr>
        <w:jc w:val="right"/>
        <w:rPr>
          <w:b/>
          <w:bCs/>
        </w:rPr>
      </w:pPr>
      <w:r w:rsidRPr="00AC6ACB">
        <w:rPr>
          <w:b/>
          <w:bCs/>
        </w:rPr>
        <w:t>Page</w:t>
      </w:r>
    </w:p>
    <w:p w14:paraId="592F31C4" w14:textId="02931F7D" w:rsidR="001E4CAC" w:rsidRPr="00AC6ACB" w:rsidRDefault="00124A89" w:rsidP="001E4CAC">
      <w:pPr>
        <w:pStyle w:val="TOC1"/>
        <w:spacing w:before="90"/>
        <w:rPr>
          <w:rFonts w:asciiTheme="minorHAnsi" w:eastAsiaTheme="minorEastAsia" w:hAnsiTheme="minorHAnsi" w:cstheme="minorBidi"/>
          <w:sz w:val="22"/>
          <w:szCs w:val="22"/>
        </w:rPr>
      </w:pPr>
      <w:r w:rsidRPr="00AC6ACB">
        <w:fldChar w:fldCharType="begin"/>
      </w:r>
      <w:r w:rsidRPr="00AC6ACB">
        <w:instrText xml:space="preserve"> TOC \o "1-1" \h \z \t "Annex_No;1;Annex_title;1" </w:instrText>
      </w:r>
      <w:r w:rsidRPr="00AC6ACB">
        <w:fldChar w:fldCharType="separate"/>
      </w:r>
      <w:hyperlink w:anchor="_Toc200361390" w:history="1">
        <w:r w:rsidR="001E4CAC" w:rsidRPr="00AC6ACB">
          <w:rPr>
            <w:rStyle w:val="Hyperlink"/>
          </w:rPr>
          <w:t>Préface aux États financiers pour 2024</w:t>
        </w:r>
        <w:r w:rsidR="001E4CAC" w:rsidRPr="00AC6ACB">
          <w:rPr>
            <w:webHidden/>
          </w:rPr>
          <w:tab/>
        </w:r>
        <w:r w:rsidR="001E4CAC" w:rsidRPr="00AC6ACB">
          <w:rPr>
            <w:webHidden/>
          </w:rPr>
          <w:tab/>
        </w:r>
        <w:r w:rsidR="001E4CAC" w:rsidRPr="00AC6ACB">
          <w:rPr>
            <w:webHidden/>
          </w:rPr>
          <w:fldChar w:fldCharType="begin"/>
        </w:r>
        <w:r w:rsidR="001E4CAC" w:rsidRPr="00AC6ACB">
          <w:rPr>
            <w:webHidden/>
          </w:rPr>
          <w:instrText xml:space="preserve"> PAGEREF _Toc200361390 \h </w:instrText>
        </w:r>
        <w:r w:rsidR="001E4CAC" w:rsidRPr="00AC6ACB">
          <w:rPr>
            <w:webHidden/>
          </w:rPr>
        </w:r>
        <w:r w:rsidR="001E4CAC" w:rsidRPr="00AC6ACB">
          <w:rPr>
            <w:webHidden/>
          </w:rPr>
          <w:fldChar w:fldCharType="separate"/>
        </w:r>
        <w:r w:rsidR="001E4CAC" w:rsidRPr="00AC6ACB">
          <w:rPr>
            <w:webHidden/>
          </w:rPr>
          <w:t>7</w:t>
        </w:r>
        <w:r w:rsidR="001E4CAC" w:rsidRPr="00AC6ACB">
          <w:rPr>
            <w:webHidden/>
          </w:rPr>
          <w:fldChar w:fldCharType="end"/>
        </w:r>
      </w:hyperlink>
    </w:p>
    <w:p w14:paraId="59060B0D" w14:textId="612BAA04" w:rsidR="001E4CAC" w:rsidRPr="00AC6ACB" w:rsidRDefault="001E4CAC" w:rsidP="001E4CAC">
      <w:pPr>
        <w:pStyle w:val="TOC1"/>
        <w:spacing w:before="90"/>
        <w:rPr>
          <w:rFonts w:asciiTheme="minorHAnsi" w:eastAsiaTheme="minorEastAsia" w:hAnsiTheme="minorHAnsi" w:cstheme="minorBidi"/>
          <w:sz w:val="22"/>
          <w:szCs w:val="22"/>
        </w:rPr>
      </w:pPr>
      <w:hyperlink w:anchor="_Toc200361398" w:history="1">
        <w:r w:rsidRPr="00AC6ACB">
          <w:rPr>
            <w:rStyle w:val="Hyperlink"/>
          </w:rPr>
          <w:t>Introduction</w:t>
        </w:r>
        <w:r w:rsidRPr="00AC6ACB">
          <w:rPr>
            <w:rStyle w:val="Hyperlink"/>
          </w:rPr>
          <w:tab/>
        </w:r>
        <w:r w:rsidRPr="00AC6ACB">
          <w:rPr>
            <w:webHidden/>
          </w:rPr>
          <w:tab/>
        </w:r>
        <w:r w:rsidRPr="00AC6ACB">
          <w:rPr>
            <w:webHidden/>
          </w:rPr>
          <w:fldChar w:fldCharType="begin"/>
        </w:r>
        <w:r w:rsidRPr="00AC6ACB">
          <w:rPr>
            <w:webHidden/>
          </w:rPr>
          <w:instrText xml:space="preserve"> PAGEREF _Toc200361398 \h </w:instrText>
        </w:r>
        <w:r w:rsidRPr="00AC6ACB">
          <w:rPr>
            <w:webHidden/>
          </w:rPr>
        </w:r>
        <w:r w:rsidRPr="00AC6ACB">
          <w:rPr>
            <w:webHidden/>
          </w:rPr>
          <w:fldChar w:fldCharType="separate"/>
        </w:r>
        <w:r w:rsidRPr="00AC6ACB">
          <w:rPr>
            <w:webHidden/>
          </w:rPr>
          <w:t>10</w:t>
        </w:r>
        <w:r w:rsidRPr="00AC6ACB">
          <w:rPr>
            <w:webHidden/>
          </w:rPr>
          <w:fldChar w:fldCharType="end"/>
        </w:r>
      </w:hyperlink>
    </w:p>
    <w:p w14:paraId="57E2DFB7" w14:textId="632650B7" w:rsidR="001E4CAC" w:rsidRPr="00AC6ACB" w:rsidRDefault="001E4CAC" w:rsidP="001E4CAC">
      <w:pPr>
        <w:pStyle w:val="TOC1"/>
        <w:spacing w:before="90"/>
        <w:rPr>
          <w:rFonts w:asciiTheme="minorHAnsi" w:eastAsiaTheme="minorEastAsia" w:hAnsiTheme="minorHAnsi" w:cstheme="minorBidi"/>
          <w:sz w:val="22"/>
          <w:szCs w:val="22"/>
        </w:rPr>
      </w:pPr>
      <w:hyperlink w:anchor="_Toc200361399" w:history="1">
        <w:r w:rsidRPr="00AC6ACB">
          <w:rPr>
            <w:rStyle w:val="Hyperlink"/>
          </w:rPr>
          <w:t>Éléments essentiels du Rapport de gestion financière pour 2024</w:t>
        </w:r>
        <w:r w:rsidRPr="00AC6ACB">
          <w:rPr>
            <w:webHidden/>
          </w:rPr>
          <w:tab/>
        </w:r>
        <w:r w:rsidRPr="00AC6ACB">
          <w:rPr>
            <w:webHidden/>
          </w:rPr>
          <w:tab/>
        </w:r>
        <w:r w:rsidRPr="00AC6ACB">
          <w:rPr>
            <w:webHidden/>
          </w:rPr>
          <w:fldChar w:fldCharType="begin"/>
        </w:r>
        <w:r w:rsidRPr="00AC6ACB">
          <w:rPr>
            <w:webHidden/>
          </w:rPr>
          <w:instrText xml:space="preserve"> PAGEREF _Toc200361399 \h </w:instrText>
        </w:r>
        <w:r w:rsidRPr="00AC6ACB">
          <w:rPr>
            <w:webHidden/>
          </w:rPr>
        </w:r>
        <w:r w:rsidRPr="00AC6ACB">
          <w:rPr>
            <w:webHidden/>
          </w:rPr>
          <w:fldChar w:fldCharType="separate"/>
        </w:r>
        <w:r w:rsidRPr="00AC6ACB">
          <w:rPr>
            <w:webHidden/>
          </w:rPr>
          <w:t>10</w:t>
        </w:r>
        <w:r w:rsidRPr="00AC6ACB">
          <w:rPr>
            <w:webHidden/>
          </w:rPr>
          <w:fldChar w:fldCharType="end"/>
        </w:r>
      </w:hyperlink>
    </w:p>
    <w:p w14:paraId="65813B3D" w14:textId="4FF37796" w:rsidR="001E4CAC" w:rsidRPr="00AC6ACB" w:rsidRDefault="001E4CAC" w:rsidP="001E4CAC">
      <w:pPr>
        <w:pStyle w:val="TOC1"/>
        <w:spacing w:before="90"/>
        <w:rPr>
          <w:rFonts w:asciiTheme="minorHAnsi" w:eastAsiaTheme="minorEastAsia" w:hAnsiTheme="minorHAnsi" w:cstheme="minorBidi"/>
          <w:sz w:val="22"/>
          <w:szCs w:val="22"/>
        </w:rPr>
      </w:pPr>
      <w:hyperlink w:anchor="_Toc200361413" w:history="1">
        <w:r w:rsidRPr="00AC6ACB">
          <w:rPr>
            <w:rStyle w:val="Hyperlink"/>
            <w:bCs/>
          </w:rPr>
          <w:t>Déclaration sur le contrôle interne pour 2024</w:t>
        </w:r>
        <w:r w:rsidRPr="00AC6ACB">
          <w:rPr>
            <w:webHidden/>
          </w:rPr>
          <w:tab/>
        </w:r>
        <w:r w:rsidRPr="00AC6ACB">
          <w:rPr>
            <w:webHidden/>
          </w:rPr>
          <w:tab/>
        </w:r>
        <w:r w:rsidRPr="00AC6ACB">
          <w:rPr>
            <w:webHidden/>
          </w:rPr>
          <w:fldChar w:fldCharType="begin"/>
        </w:r>
        <w:r w:rsidRPr="00AC6ACB">
          <w:rPr>
            <w:webHidden/>
          </w:rPr>
          <w:instrText xml:space="preserve"> PAGEREF _Toc200361413 \h </w:instrText>
        </w:r>
        <w:r w:rsidRPr="00AC6ACB">
          <w:rPr>
            <w:webHidden/>
          </w:rPr>
        </w:r>
        <w:r w:rsidRPr="00AC6ACB">
          <w:rPr>
            <w:webHidden/>
          </w:rPr>
          <w:fldChar w:fldCharType="separate"/>
        </w:r>
        <w:r w:rsidRPr="00AC6ACB">
          <w:rPr>
            <w:webHidden/>
          </w:rPr>
          <w:t>18</w:t>
        </w:r>
        <w:r w:rsidRPr="00AC6ACB">
          <w:rPr>
            <w:webHidden/>
          </w:rPr>
          <w:fldChar w:fldCharType="end"/>
        </w:r>
      </w:hyperlink>
    </w:p>
    <w:p w14:paraId="4062F730" w14:textId="4A3FA00A" w:rsidR="001E4CAC" w:rsidRPr="00AC6ACB" w:rsidRDefault="001E4CAC" w:rsidP="001E4CAC">
      <w:pPr>
        <w:pStyle w:val="TOC1"/>
        <w:spacing w:before="90"/>
        <w:rPr>
          <w:rFonts w:asciiTheme="minorHAnsi" w:eastAsiaTheme="minorEastAsia" w:hAnsiTheme="minorHAnsi" w:cstheme="minorBidi"/>
          <w:sz w:val="22"/>
          <w:szCs w:val="22"/>
        </w:rPr>
      </w:pPr>
      <w:hyperlink w:anchor="_Toc200361418" w:history="1">
        <w:r w:rsidRPr="00AC6ACB">
          <w:rPr>
            <w:rStyle w:val="Hyperlink"/>
          </w:rPr>
          <w:t>Opinion du Vérificateur extérieur</w:t>
        </w:r>
        <w:r w:rsidRPr="00AC6ACB">
          <w:rPr>
            <w:webHidden/>
          </w:rPr>
          <w:tab/>
        </w:r>
        <w:r w:rsidRPr="00AC6ACB">
          <w:rPr>
            <w:webHidden/>
          </w:rPr>
          <w:tab/>
        </w:r>
        <w:r w:rsidRPr="00AC6ACB">
          <w:rPr>
            <w:webHidden/>
          </w:rPr>
          <w:fldChar w:fldCharType="begin"/>
        </w:r>
        <w:r w:rsidRPr="00AC6ACB">
          <w:rPr>
            <w:webHidden/>
          </w:rPr>
          <w:instrText xml:space="preserve"> PAGEREF _Toc200361418 \h </w:instrText>
        </w:r>
        <w:r w:rsidRPr="00AC6ACB">
          <w:rPr>
            <w:webHidden/>
          </w:rPr>
        </w:r>
        <w:r w:rsidRPr="00AC6ACB">
          <w:rPr>
            <w:webHidden/>
          </w:rPr>
          <w:fldChar w:fldCharType="separate"/>
        </w:r>
        <w:r w:rsidRPr="00AC6ACB">
          <w:rPr>
            <w:webHidden/>
          </w:rPr>
          <w:t>28</w:t>
        </w:r>
        <w:r w:rsidRPr="00AC6ACB">
          <w:rPr>
            <w:webHidden/>
          </w:rPr>
          <w:fldChar w:fldCharType="end"/>
        </w:r>
      </w:hyperlink>
    </w:p>
    <w:p w14:paraId="785EFD4D" w14:textId="05EB84B7" w:rsidR="001E4CAC" w:rsidRPr="00AC6ACB" w:rsidRDefault="001E4CAC" w:rsidP="001E4CAC">
      <w:pPr>
        <w:pStyle w:val="TOC1"/>
        <w:spacing w:before="90"/>
        <w:rPr>
          <w:rFonts w:asciiTheme="minorHAnsi" w:eastAsiaTheme="minorEastAsia" w:hAnsiTheme="minorHAnsi" w:cstheme="minorBidi"/>
          <w:sz w:val="22"/>
          <w:szCs w:val="22"/>
        </w:rPr>
      </w:pPr>
      <w:hyperlink w:anchor="_Toc200361426" w:history="1">
        <w:r w:rsidRPr="00AC6ACB">
          <w:rPr>
            <w:rStyle w:val="Hyperlink"/>
          </w:rPr>
          <w:t>États financiers</w:t>
        </w:r>
        <w:r w:rsidRPr="00AC6ACB">
          <w:rPr>
            <w:webHidden/>
          </w:rPr>
          <w:tab/>
        </w:r>
        <w:r w:rsidRPr="00AC6ACB">
          <w:rPr>
            <w:webHidden/>
          </w:rPr>
          <w:tab/>
        </w:r>
        <w:r w:rsidRPr="00AC6ACB">
          <w:rPr>
            <w:webHidden/>
          </w:rPr>
          <w:fldChar w:fldCharType="begin"/>
        </w:r>
        <w:r w:rsidRPr="00AC6ACB">
          <w:rPr>
            <w:webHidden/>
          </w:rPr>
          <w:instrText xml:space="preserve"> PAGEREF _Toc200361426 \h </w:instrText>
        </w:r>
        <w:r w:rsidRPr="00AC6ACB">
          <w:rPr>
            <w:webHidden/>
          </w:rPr>
        </w:r>
        <w:r w:rsidRPr="00AC6ACB">
          <w:rPr>
            <w:webHidden/>
          </w:rPr>
          <w:fldChar w:fldCharType="separate"/>
        </w:r>
        <w:r w:rsidRPr="00AC6ACB">
          <w:rPr>
            <w:webHidden/>
          </w:rPr>
          <w:t>32</w:t>
        </w:r>
        <w:r w:rsidRPr="00AC6ACB">
          <w:rPr>
            <w:webHidden/>
          </w:rPr>
          <w:fldChar w:fldCharType="end"/>
        </w:r>
      </w:hyperlink>
    </w:p>
    <w:p w14:paraId="3388E492" w14:textId="374F153B" w:rsidR="001E4CAC" w:rsidRPr="00AC6ACB" w:rsidRDefault="001E4CAC" w:rsidP="001E4CAC">
      <w:pPr>
        <w:pStyle w:val="TOC1"/>
        <w:spacing w:before="90"/>
        <w:rPr>
          <w:rFonts w:asciiTheme="minorHAnsi" w:eastAsiaTheme="minorEastAsia" w:hAnsiTheme="minorHAnsi" w:cstheme="minorBidi"/>
          <w:sz w:val="22"/>
          <w:szCs w:val="22"/>
        </w:rPr>
      </w:pPr>
      <w:hyperlink w:anchor="_Toc200361432" w:history="1">
        <w:r w:rsidRPr="00AC6ACB">
          <w:rPr>
            <w:rStyle w:val="Hyperlink"/>
          </w:rPr>
          <w:t>Notes relatives aux États financiers</w:t>
        </w:r>
        <w:r w:rsidRPr="00AC6ACB">
          <w:rPr>
            <w:webHidden/>
          </w:rPr>
          <w:tab/>
        </w:r>
        <w:r w:rsidRPr="00AC6ACB">
          <w:rPr>
            <w:webHidden/>
          </w:rPr>
          <w:tab/>
        </w:r>
        <w:r w:rsidRPr="00AC6ACB">
          <w:rPr>
            <w:webHidden/>
          </w:rPr>
          <w:fldChar w:fldCharType="begin"/>
        </w:r>
        <w:r w:rsidRPr="00AC6ACB">
          <w:rPr>
            <w:webHidden/>
          </w:rPr>
          <w:instrText xml:space="preserve"> PAGEREF _Toc200361432 \h </w:instrText>
        </w:r>
        <w:r w:rsidRPr="00AC6ACB">
          <w:rPr>
            <w:webHidden/>
          </w:rPr>
        </w:r>
        <w:r w:rsidRPr="00AC6ACB">
          <w:rPr>
            <w:webHidden/>
          </w:rPr>
          <w:fldChar w:fldCharType="separate"/>
        </w:r>
        <w:r w:rsidRPr="00AC6ACB">
          <w:rPr>
            <w:webHidden/>
          </w:rPr>
          <w:t>37</w:t>
        </w:r>
        <w:r w:rsidRPr="00AC6ACB">
          <w:rPr>
            <w:webHidden/>
          </w:rPr>
          <w:fldChar w:fldCharType="end"/>
        </w:r>
      </w:hyperlink>
    </w:p>
    <w:p w14:paraId="25B582E4" w14:textId="6FEE4D79" w:rsidR="001E4CAC" w:rsidRPr="00AC6ACB" w:rsidRDefault="001E4CAC" w:rsidP="001E4CAC">
      <w:pPr>
        <w:pStyle w:val="TOC1"/>
        <w:spacing w:before="90"/>
        <w:rPr>
          <w:rFonts w:asciiTheme="minorHAnsi" w:eastAsiaTheme="minorEastAsia" w:hAnsiTheme="minorHAnsi" w:cstheme="minorBidi"/>
          <w:sz w:val="22"/>
          <w:szCs w:val="22"/>
        </w:rPr>
      </w:pPr>
      <w:hyperlink w:anchor="_Toc200361433" w:history="1">
        <w:r w:rsidRPr="00AC6ACB">
          <w:rPr>
            <w:rStyle w:val="Hyperlink"/>
          </w:rPr>
          <w:t>Note 1</w:t>
        </w:r>
        <w:r w:rsidRPr="00AC6ACB">
          <w:rPr>
            <w:rFonts w:asciiTheme="minorHAnsi" w:eastAsiaTheme="minorEastAsia" w:hAnsiTheme="minorHAnsi" w:cstheme="minorBidi"/>
            <w:sz w:val="22"/>
            <w:szCs w:val="22"/>
          </w:rPr>
          <w:tab/>
        </w:r>
        <w:r w:rsidRPr="00AC6ACB">
          <w:rPr>
            <w:rStyle w:val="Hyperlink"/>
          </w:rPr>
          <w:t>Objectifs de l'Union</w:t>
        </w:r>
        <w:r w:rsidRPr="00AC6ACB">
          <w:rPr>
            <w:webHidden/>
          </w:rPr>
          <w:tab/>
        </w:r>
        <w:r w:rsidRPr="00AC6ACB">
          <w:rPr>
            <w:webHidden/>
          </w:rPr>
          <w:tab/>
        </w:r>
        <w:r w:rsidRPr="00AC6ACB">
          <w:rPr>
            <w:webHidden/>
          </w:rPr>
          <w:fldChar w:fldCharType="begin"/>
        </w:r>
        <w:r w:rsidRPr="00AC6ACB">
          <w:rPr>
            <w:webHidden/>
          </w:rPr>
          <w:instrText xml:space="preserve"> PAGEREF _Toc200361433 \h </w:instrText>
        </w:r>
        <w:r w:rsidRPr="00AC6ACB">
          <w:rPr>
            <w:webHidden/>
          </w:rPr>
        </w:r>
        <w:r w:rsidRPr="00AC6ACB">
          <w:rPr>
            <w:webHidden/>
          </w:rPr>
          <w:fldChar w:fldCharType="separate"/>
        </w:r>
        <w:r w:rsidRPr="00AC6ACB">
          <w:rPr>
            <w:webHidden/>
          </w:rPr>
          <w:t>37</w:t>
        </w:r>
        <w:r w:rsidRPr="00AC6ACB">
          <w:rPr>
            <w:webHidden/>
          </w:rPr>
          <w:fldChar w:fldCharType="end"/>
        </w:r>
      </w:hyperlink>
    </w:p>
    <w:p w14:paraId="3F6B341A" w14:textId="241F2161" w:rsidR="001E4CAC" w:rsidRPr="00AC6ACB" w:rsidRDefault="001E4CAC" w:rsidP="001E4CAC">
      <w:pPr>
        <w:pStyle w:val="TOC1"/>
        <w:spacing w:before="90"/>
        <w:rPr>
          <w:rFonts w:asciiTheme="minorHAnsi" w:eastAsiaTheme="minorEastAsia" w:hAnsiTheme="minorHAnsi" w:cstheme="minorBidi"/>
          <w:sz w:val="22"/>
          <w:szCs w:val="22"/>
        </w:rPr>
      </w:pPr>
      <w:hyperlink w:anchor="_Toc200361434" w:history="1">
        <w:r w:rsidRPr="00AC6ACB">
          <w:rPr>
            <w:rStyle w:val="Hyperlink"/>
          </w:rPr>
          <w:t>Note 2</w:t>
        </w:r>
        <w:r w:rsidRPr="00AC6ACB">
          <w:rPr>
            <w:rFonts w:asciiTheme="minorHAnsi" w:eastAsiaTheme="minorEastAsia" w:hAnsiTheme="minorHAnsi" w:cstheme="minorBidi"/>
            <w:sz w:val="22"/>
            <w:szCs w:val="22"/>
          </w:rPr>
          <w:tab/>
        </w:r>
        <w:r w:rsidRPr="00AC6ACB">
          <w:rPr>
            <w:rStyle w:val="Hyperlink"/>
          </w:rPr>
          <w:t>Fondements de la préparation et de la présentation</w:t>
        </w:r>
        <w:r w:rsidRPr="00AC6ACB">
          <w:rPr>
            <w:webHidden/>
          </w:rPr>
          <w:tab/>
        </w:r>
        <w:r w:rsidRPr="00AC6ACB">
          <w:rPr>
            <w:webHidden/>
          </w:rPr>
          <w:tab/>
        </w:r>
        <w:r w:rsidRPr="00AC6ACB">
          <w:rPr>
            <w:webHidden/>
          </w:rPr>
          <w:fldChar w:fldCharType="begin"/>
        </w:r>
        <w:r w:rsidRPr="00AC6ACB">
          <w:rPr>
            <w:webHidden/>
          </w:rPr>
          <w:instrText xml:space="preserve"> PAGEREF _Toc200361434 \h </w:instrText>
        </w:r>
        <w:r w:rsidRPr="00AC6ACB">
          <w:rPr>
            <w:webHidden/>
          </w:rPr>
        </w:r>
        <w:r w:rsidRPr="00AC6ACB">
          <w:rPr>
            <w:webHidden/>
          </w:rPr>
          <w:fldChar w:fldCharType="separate"/>
        </w:r>
        <w:r w:rsidRPr="00AC6ACB">
          <w:rPr>
            <w:webHidden/>
          </w:rPr>
          <w:t>38</w:t>
        </w:r>
        <w:r w:rsidRPr="00AC6ACB">
          <w:rPr>
            <w:webHidden/>
          </w:rPr>
          <w:fldChar w:fldCharType="end"/>
        </w:r>
      </w:hyperlink>
    </w:p>
    <w:p w14:paraId="2A19AD8E" w14:textId="59505AFB" w:rsidR="001E4CAC" w:rsidRPr="00AC6ACB" w:rsidRDefault="001E4CAC" w:rsidP="001E4CAC">
      <w:pPr>
        <w:pStyle w:val="TOC1"/>
        <w:spacing w:before="90"/>
        <w:rPr>
          <w:rFonts w:asciiTheme="minorHAnsi" w:eastAsiaTheme="minorEastAsia" w:hAnsiTheme="minorHAnsi" w:cstheme="minorBidi"/>
          <w:sz w:val="22"/>
          <w:szCs w:val="22"/>
        </w:rPr>
      </w:pPr>
      <w:hyperlink w:anchor="_Toc200361436" w:history="1">
        <w:r w:rsidRPr="00AC6ACB">
          <w:rPr>
            <w:rStyle w:val="Hyperlink"/>
          </w:rPr>
          <w:t>Note 3</w:t>
        </w:r>
        <w:r w:rsidRPr="00AC6ACB">
          <w:rPr>
            <w:rFonts w:asciiTheme="minorHAnsi" w:eastAsiaTheme="minorEastAsia" w:hAnsiTheme="minorHAnsi" w:cstheme="minorBidi"/>
            <w:sz w:val="22"/>
            <w:szCs w:val="22"/>
          </w:rPr>
          <w:tab/>
        </w:r>
        <w:r w:rsidRPr="00AC6ACB">
          <w:rPr>
            <w:rStyle w:val="Hyperlink"/>
          </w:rPr>
          <w:t>Principales méthodes comptables</w:t>
        </w:r>
        <w:r w:rsidRPr="00AC6ACB">
          <w:rPr>
            <w:webHidden/>
          </w:rPr>
          <w:tab/>
        </w:r>
        <w:r w:rsidRPr="00AC6ACB">
          <w:rPr>
            <w:webHidden/>
          </w:rPr>
          <w:tab/>
        </w:r>
        <w:r w:rsidRPr="00AC6ACB">
          <w:rPr>
            <w:webHidden/>
          </w:rPr>
          <w:fldChar w:fldCharType="begin"/>
        </w:r>
        <w:r w:rsidRPr="00AC6ACB">
          <w:rPr>
            <w:webHidden/>
          </w:rPr>
          <w:instrText xml:space="preserve"> PAGEREF _Toc200361436 \h </w:instrText>
        </w:r>
        <w:r w:rsidRPr="00AC6ACB">
          <w:rPr>
            <w:webHidden/>
          </w:rPr>
        </w:r>
        <w:r w:rsidRPr="00AC6ACB">
          <w:rPr>
            <w:webHidden/>
          </w:rPr>
          <w:fldChar w:fldCharType="separate"/>
        </w:r>
        <w:r w:rsidRPr="00AC6ACB">
          <w:rPr>
            <w:webHidden/>
          </w:rPr>
          <w:t>40</w:t>
        </w:r>
        <w:r w:rsidRPr="00AC6ACB">
          <w:rPr>
            <w:webHidden/>
          </w:rPr>
          <w:fldChar w:fldCharType="end"/>
        </w:r>
      </w:hyperlink>
    </w:p>
    <w:p w14:paraId="311208C8" w14:textId="7ABF39BA" w:rsidR="001E4CAC" w:rsidRPr="00AC6ACB" w:rsidRDefault="001E4CAC" w:rsidP="001E4CAC">
      <w:pPr>
        <w:pStyle w:val="TOC1"/>
        <w:spacing w:before="90"/>
        <w:rPr>
          <w:rFonts w:asciiTheme="minorHAnsi" w:eastAsiaTheme="minorEastAsia" w:hAnsiTheme="minorHAnsi" w:cstheme="minorBidi"/>
          <w:sz w:val="22"/>
          <w:szCs w:val="22"/>
        </w:rPr>
      </w:pPr>
      <w:hyperlink w:anchor="_Toc200361457" w:history="1">
        <w:r w:rsidRPr="00AC6ACB">
          <w:rPr>
            <w:rStyle w:val="Hyperlink"/>
            <w:bCs/>
          </w:rPr>
          <w:t>Note 4</w:t>
        </w:r>
        <w:r w:rsidRPr="00AC6ACB">
          <w:rPr>
            <w:rFonts w:asciiTheme="minorHAnsi" w:eastAsiaTheme="minorEastAsia" w:hAnsiTheme="minorHAnsi" w:cstheme="minorBidi"/>
            <w:sz w:val="22"/>
            <w:szCs w:val="22"/>
          </w:rPr>
          <w:tab/>
        </w:r>
        <w:r w:rsidRPr="00AC6ACB">
          <w:rPr>
            <w:rStyle w:val="Hyperlink"/>
            <w:bCs/>
          </w:rPr>
          <w:t>Gestion de l'actif net</w:t>
        </w:r>
        <w:r w:rsidRPr="00AC6ACB">
          <w:rPr>
            <w:webHidden/>
          </w:rPr>
          <w:tab/>
        </w:r>
        <w:r w:rsidRPr="00AC6ACB">
          <w:rPr>
            <w:webHidden/>
          </w:rPr>
          <w:tab/>
        </w:r>
        <w:r w:rsidRPr="00AC6ACB">
          <w:rPr>
            <w:webHidden/>
          </w:rPr>
          <w:fldChar w:fldCharType="begin"/>
        </w:r>
        <w:r w:rsidRPr="00AC6ACB">
          <w:rPr>
            <w:webHidden/>
          </w:rPr>
          <w:instrText xml:space="preserve"> PAGEREF _Toc200361457 \h </w:instrText>
        </w:r>
        <w:r w:rsidRPr="00AC6ACB">
          <w:rPr>
            <w:webHidden/>
          </w:rPr>
        </w:r>
        <w:r w:rsidRPr="00AC6ACB">
          <w:rPr>
            <w:webHidden/>
          </w:rPr>
          <w:fldChar w:fldCharType="separate"/>
        </w:r>
        <w:r w:rsidRPr="00AC6ACB">
          <w:rPr>
            <w:webHidden/>
          </w:rPr>
          <w:t>48</w:t>
        </w:r>
        <w:r w:rsidRPr="00AC6ACB">
          <w:rPr>
            <w:webHidden/>
          </w:rPr>
          <w:fldChar w:fldCharType="end"/>
        </w:r>
      </w:hyperlink>
    </w:p>
    <w:p w14:paraId="0A5AFD6E" w14:textId="1516A004" w:rsidR="001E4CAC" w:rsidRPr="00AC6ACB" w:rsidRDefault="001E4CAC" w:rsidP="001E4CAC">
      <w:pPr>
        <w:pStyle w:val="TOC1"/>
        <w:spacing w:before="90"/>
        <w:rPr>
          <w:rFonts w:asciiTheme="minorHAnsi" w:eastAsiaTheme="minorEastAsia" w:hAnsiTheme="minorHAnsi" w:cstheme="minorBidi"/>
          <w:sz w:val="22"/>
          <w:szCs w:val="22"/>
        </w:rPr>
      </w:pPr>
      <w:hyperlink w:anchor="_Toc200361463" w:history="1">
        <w:r w:rsidRPr="00AC6ACB">
          <w:rPr>
            <w:rStyle w:val="Hyperlink"/>
            <w:bCs/>
          </w:rPr>
          <w:t>Note 5</w:t>
        </w:r>
        <w:r w:rsidRPr="00AC6ACB">
          <w:rPr>
            <w:rFonts w:asciiTheme="minorHAnsi" w:eastAsiaTheme="minorEastAsia" w:hAnsiTheme="minorHAnsi" w:cstheme="minorBidi"/>
            <w:sz w:val="22"/>
            <w:szCs w:val="22"/>
          </w:rPr>
          <w:tab/>
        </w:r>
        <w:r w:rsidRPr="00AC6ACB">
          <w:rPr>
            <w:rStyle w:val="Hyperlink"/>
            <w:bCs/>
          </w:rPr>
          <w:t>Risques financiers</w:t>
        </w:r>
        <w:r w:rsidRPr="00AC6ACB">
          <w:rPr>
            <w:webHidden/>
          </w:rPr>
          <w:tab/>
        </w:r>
        <w:r w:rsidRPr="00AC6ACB">
          <w:rPr>
            <w:webHidden/>
          </w:rPr>
          <w:tab/>
        </w:r>
        <w:r w:rsidRPr="00AC6ACB">
          <w:rPr>
            <w:webHidden/>
          </w:rPr>
          <w:fldChar w:fldCharType="begin"/>
        </w:r>
        <w:r w:rsidRPr="00AC6ACB">
          <w:rPr>
            <w:webHidden/>
          </w:rPr>
          <w:instrText xml:space="preserve"> PAGEREF _Toc200361463 \h </w:instrText>
        </w:r>
        <w:r w:rsidRPr="00AC6ACB">
          <w:rPr>
            <w:webHidden/>
          </w:rPr>
        </w:r>
        <w:r w:rsidRPr="00AC6ACB">
          <w:rPr>
            <w:webHidden/>
          </w:rPr>
          <w:fldChar w:fldCharType="separate"/>
        </w:r>
        <w:r w:rsidRPr="00AC6ACB">
          <w:rPr>
            <w:webHidden/>
          </w:rPr>
          <w:t>51</w:t>
        </w:r>
        <w:r w:rsidRPr="00AC6ACB">
          <w:rPr>
            <w:webHidden/>
          </w:rPr>
          <w:fldChar w:fldCharType="end"/>
        </w:r>
      </w:hyperlink>
    </w:p>
    <w:p w14:paraId="5FB91F2E" w14:textId="20056E48" w:rsidR="001E4CAC" w:rsidRPr="00AC6ACB" w:rsidRDefault="001E4CAC" w:rsidP="001E4CAC">
      <w:pPr>
        <w:pStyle w:val="TOC1"/>
        <w:spacing w:before="90"/>
        <w:rPr>
          <w:rFonts w:asciiTheme="minorHAnsi" w:eastAsiaTheme="minorEastAsia" w:hAnsiTheme="minorHAnsi" w:cstheme="minorBidi"/>
          <w:sz w:val="22"/>
          <w:szCs w:val="22"/>
        </w:rPr>
      </w:pPr>
      <w:hyperlink w:anchor="_Toc200361464" w:history="1">
        <w:r w:rsidRPr="00AC6ACB">
          <w:rPr>
            <w:rStyle w:val="Hyperlink"/>
            <w:bCs/>
          </w:rPr>
          <w:t>Note 6</w:t>
        </w:r>
        <w:r w:rsidRPr="00AC6ACB">
          <w:rPr>
            <w:rFonts w:asciiTheme="minorHAnsi" w:eastAsiaTheme="minorEastAsia" w:hAnsiTheme="minorHAnsi" w:cstheme="minorBidi"/>
            <w:sz w:val="22"/>
            <w:szCs w:val="22"/>
          </w:rPr>
          <w:tab/>
        </w:r>
        <w:r w:rsidRPr="00AC6ACB">
          <w:rPr>
            <w:rStyle w:val="Hyperlink"/>
            <w:bCs/>
          </w:rPr>
          <w:t>Trésorerie et équivalents de trésorerie</w:t>
        </w:r>
        <w:r w:rsidRPr="00AC6ACB">
          <w:rPr>
            <w:webHidden/>
          </w:rPr>
          <w:tab/>
        </w:r>
        <w:r w:rsidRPr="00AC6ACB">
          <w:rPr>
            <w:webHidden/>
          </w:rPr>
          <w:tab/>
        </w:r>
        <w:r w:rsidRPr="00AC6ACB">
          <w:rPr>
            <w:webHidden/>
          </w:rPr>
          <w:fldChar w:fldCharType="begin"/>
        </w:r>
        <w:r w:rsidRPr="00AC6ACB">
          <w:rPr>
            <w:webHidden/>
          </w:rPr>
          <w:instrText xml:space="preserve"> PAGEREF _Toc200361464 \h </w:instrText>
        </w:r>
        <w:r w:rsidRPr="00AC6ACB">
          <w:rPr>
            <w:webHidden/>
          </w:rPr>
        </w:r>
        <w:r w:rsidRPr="00AC6ACB">
          <w:rPr>
            <w:webHidden/>
          </w:rPr>
          <w:fldChar w:fldCharType="separate"/>
        </w:r>
        <w:r w:rsidRPr="00AC6ACB">
          <w:rPr>
            <w:webHidden/>
          </w:rPr>
          <w:t>54</w:t>
        </w:r>
        <w:r w:rsidRPr="00AC6ACB">
          <w:rPr>
            <w:webHidden/>
          </w:rPr>
          <w:fldChar w:fldCharType="end"/>
        </w:r>
      </w:hyperlink>
    </w:p>
    <w:p w14:paraId="5BEE06B8" w14:textId="0B6475CF" w:rsidR="001E4CAC" w:rsidRPr="00AC6ACB" w:rsidRDefault="001E4CAC" w:rsidP="001E4CAC">
      <w:pPr>
        <w:pStyle w:val="TOC1"/>
        <w:spacing w:before="90"/>
        <w:rPr>
          <w:rFonts w:asciiTheme="minorHAnsi" w:eastAsiaTheme="minorEastAsia" w:hAnsiTheme="minorHAnsi" w:cstheme="minorBidi"/>
          <w:sz w:val="22"/>
          <w:szCs w:val="22"/>
        </w:rPr>
      </w:pPr>
      <w:hyperlink w:anchor="_Toc200361465" w:history="1">
        <w:r w:rsidRPr="00AC6ACB">
          <w:rPr>
            <w:rStyle w:val="Hyperlink"/>
            <w:bCs/>
          </w:rPr>
          <w:t>Note 7</w:t>
        </w:r>
        <w:r w:rsidRPr="00AC6ACB">
          <w:rPr>
            <w:rFonts w:asciiTheme="minorHAnsi" w:eastAsiaTheme="minorEastAsia" w:hAnsiTheme="minorHAnsi" w:cstheme="minorBidi"/>
            <w:sz w:val="22"/>
            <w:szCs w:val="22"/>
          </w:rPr>
          <w:tab/>
        </w:r>
        <w:r w:rsidRPr="00AC6ACB">
          <w:rPr>
            <w:rStyle w:val="Hyperlink"/>
            <w:bCs/>
          </w:rPr>
          <w:t>Placements</w:t>
        </w:r>
        <w:r w:rsidRPr="00AC6ACB">
          <w:rPr>
            <w:webHidden/>
          </w:rPr>
          <w:tab/>
        </w:r>
        <w:r w:rsidRPr="00AC6ACB">
          <w:rPr>
            <w:webHidden/>
          </w:rPr>
          <w:tab/>
        </w:r>
        <w:r w:rsidRPr="00AC6ACB">
          <w:rPr>
            <w:webHidden/>
          </w:rPr>
          <w:fldChar w:fldCharType="begin"/>
        </w:r>
        <w:r w:rsidRPr="00AC6ACB">
          <w:rPr>
            <w:webHidden/>
          </w:rPr>
          <w:instrText xml:space="preserve"> PAGEREF _Toc200361465 \h </w:instrText>
        </w:r>
        <w:r w:rsidRPr="00AC6ACB">
          <w:rPr>
            <w:webHidden/>
          </w:rPr>
        </w:r>
        <w:r w:rsidRPr="00AC6ACB">
          <w:rPr>
            <w:webHidden/>
          </w:rPr>
          <w:fldChar w:fldCharType="separate"/>
        </w:r>
        <w:r w:rsidRPr="00AC6ACB">
          <w:rPr>
            <w:webHidden/>
          </w:rPr>
          <w:t>55</w:t>
        </w:r>
        <w:r w:rsidRPr="00AC6ACB">
          <w:rPr>
            <w:webHidden/>
          </w:rPr>
          <w:fldChar w:fldCharType="end"/>
        </w:r>
      </w:hyperlink>
    </w:p>
    <w:p w14:paraId="5584A6F8" w14:textId="28083BC6" w:rsidR="001E4CAC" w:rsidRPr="00AC6ACB" w:rsidRDefault="001E4CAC" w:rsidP="001E4CAC">
      <w:pPr>
        <w:pStyle w:val="TOC1"/>
        <w:spacing w:before="90"/>
        <w:rPr>
          <w:rFonts w:asciiTheme="minorHAnsi" w:eastAsiaTheme="minorEastAsia" w:hAnsiTheme="minorHAnsi" w:cstheme="minorBidi"/>
          <w:sz w:val="22"/>
          <w:szCs w:val="22"/>
        </w:rPr>
      </w:pPr>
      <w:hyperlink w:anchor="_Toc200361466" w:history="1">
        <w:r w:rsidRPr="00AC6ACB">
          <w:rPr>
            <w:rStyle w:val="Hyperlink"/>
            <w:bCs/>
          </w:rPr>
          <w:t>Note 8</w:t>
        </w:r>
        <w:r w:rsidRPr="00AC6ACB">
          <w:rPr>
            <w:rFonts w:asciiTheme="minorHAnsi" w:eastAsiaTheme="minorEastAsia" w:hAnsiTheme="minorHAnsi" w:cstheme="minorBidi"/>
            <w:sz w:val="22"/>
            <w:szCs w:val="22"/>
          </w:rPr>
          <w:tab/>
        </w:r>
        <w:r w:rsidRPr="00AC6ACB">
          <w:rPr>
            <w:rStyle w:val="Hyperlink"/>
            <w:bCs/>
          </w:rPr>
          <w:t>Créances</w:t>
        </w:r>
        <w:r w:rsidRPr="00AC6ACB">
          <w:rPr>
            <w:webHidden/>
          </w:rPr>
          <w:tab/>
        </w:r>
        <w:r w:rsidRPr="00AC6ACB">
          <w:rPr>
            <w:webHidden/>
          </w:rPr>
          <w:tab/>
        </w:r>
        <w:r w:rsidRPr="00AC6ACB">
          <w:rPr>
            <w:webHidden/>
          </w:rPr>
          <w:fldChar w:fldCharType="begin"/>
        </w:r>
        <w:r w:rsidRPr="00AC6ACB">
          <w:rPr>
            <w:webHidden/>
          </w:rPr>
          <w:instrText xml:space="preserve"> PAGEREF _Toc200361466 \h </w:instrText>
        </w:r>
        <w:r w:rsidRPr="00AC6ACB">
          <w:rPr>
            <w:webHidden/>
          </w:rPr>
        </w:r>
        <w:r w:rsidRPr="00AC6ACB">
          <w:rPr>
            <w:webHidden/>
          </w:rPr>
          <w:fldChar w:fldCharType="separate"/>
        </w:r>
        <w:r w:rsidRPr="00AC6ACB">
          <w:rPr>
            <w:webHidden/>
          </w:rPr>
          <w:t>55</w:t>
        </w:r>
        <w:r w:rsidRPr="00AC6ACB">
          <w:rPr>
            <w:webHidden/>
          </w:rPr>
          <w:fldChar w:fldCharType="end"/>
        </w:r>
      </w:hyperlink>
    </w:p>
    <w:p w14:paraId="5D066809" w14:textId="5EE9EFE6" w:rsidR="001E4CAC" w:rsidRPr="00AC6ACB" w:rsidRDefault="001E4CAC" w:rsidP="001E4CAC">
      <w:pPr>
        <w:pStyle w:val="TOC1"/>
        <w:spacing w:before="90"/>
        <w:rPr>
          <w:rFonts w:asciiTheme="minorHAnsi" w:eastAsiaTheme="minorEastAsia" w:hAnsiTheme="minorHAnsi" w:cstheme="minorBidi"/>
          <w:sz w:val="22"/>
          <w:szCs w:val="22"/>
        </w:rPr>
      </w:pPr>
      <w:hyperlink w:anchor="_Toc200361467" w:history="1">
        <w:r w:rsidRPr="00AC6ACB">
          <w:rPr>
            <w:rStyle w:val="Hyperlink"/>
            <w:bCs/>
          </w:rPr>
          <w:t>Note 9</w:t>
        </w:r>
        <w:r w:rsidRPr="00AC6ACB">
          <w:rPr>
            <w:rFonts w:asciiTheme="minorHAnsi" w:eastAsiaTheme="minorEastAsia" w:hAnsiTheme="minorHAnsi" w:cstheme="minorBidi"/>
            <w:sz w:val="22"/>
            <w:szCs w:val="22"/>
          </w:rPr>
          <w:tab/>
        </w:r>
        <w:r w:rsidRPr="00AC6ACB">
          <w:rPr>
            <w:rStyle w:val="Hyperlink"/>
            <w:bCs/>
          </w:rPr>
          <w:t>Autres créances</w:t>
        </w:r>
        <w:r w:rsidRPr="00AC6ACB">
          <w:rPr>
            <w:webHidden/>
          </w:rPr>
          <w:tab/>
        </w:r>
        <w:r w:rsidRPr="00AC6ACB">
          <w:rPr>
            <w:webHidden/>
          </w:rPr>
          <w:tab/>
        </w:r>
        <w:r w:rsidRPr="00AC6ACB">
          <w:rPr>
            <w:webHidden/>
          </w:rPr>
          <w:fldChar w:fldCharType="begin"/>
        </w:r>
        <w:r w:rsidRPr="00AC6ACB">
          <w:rPr>
            <w:webHidden/>
          </w:rPr>
          <w:instrText xml:space="preserve"> PAGEREF _Toc200361467 \h </w:instrText>
        </w:r>
        <w:r w:rsidRPr="00AC6ACB">
          <w:rPr>
            <w:webHidden/>
          </w:rPr>
        </w:r>
        <w:r w:rsidRPr="00AC6ACB">
          <w:rPr>
            <w:webHidden/>
          </w:rPr>
          <w:fldChar w:fldCharType="separate"/>
        </w:r>
        <w:r w:rsidRPr="00AC6ACB">
          <w:rPr>
            <w:webHidden/>
          </w:rPr>
          <w:t>56</w:t>
        </w:r>
        <w:r w:rsidRPr="00AC6ACB">
          <w:rPr>
            <w:webHidden/>
          </w:rPr>
          <w:fldChar w:fldCharType="end"/>
        </w:r>
      </w:hyperlink>
    </w:p>
    <w:p w14:paraId="59D20958" w14:textId="4FA523A5" w:rsidR="001E4CAC" w:rsidRPr="00AC6ACB" w:rsidRDefault="001E4CAC" w:rsidP="001E4CAC">
      <w:pPr>
        <w:pStyle w:val="TOC1"/>
        <w:spacing w:before="90"/>
        <w:rPr>
          <w:rFonts w:asciiTheme="minorHAnsi" w:eastAsiaTheme="minorEastAsia" w:hAnsiTheme="minorHAnsi" w:cstheme="minorBidi"/>
          <w:sz w:val="22"/>
          <w:szCs w:val="22"/>
        </w:rPr>
      </w:pPr>
      <w:hyperlink w:anchor="_Toc200361468" w:history="1">
        <w:r w:rsidRPr="00AC6ACB">
          <w:rPr>
            <w:rStyle w:val="Hyperlink"/>
          </w:rPr>
          <w:t>Note 10</w:t>
        </w:r>
        <w:r w:rsidRPr="00AC6ACB">
          <w:rPr>
            <w:rFonts w:asciiTheme="minorHAnsi" w:eastAsiaTheme="minorEastAsia" w:hAnsiTheme="minorHAnsi" w:cstheme="minorBidi"/>
            <w:sz w:val="22"/>
            <w:szCs w:val="22"/>
          </w:rPr>
          <w:tab/>
        </w:r>
        <w:r w:rsidRPr="00AC6ACB">
          <w:rPr>
            <w:rStyle w:val="Hyperlink"/>
          </w:rPr>
          <w:t>Immobilisations corporelles</w:t>
        </w:r>
        <w:r w:rsidRPr="00AC6ACB">
          <w:rPr>
            <w:webHidden/>
          </w:rPr>
          <w:tab/>
        </w:r>
        <w:r w:rsidRPr="00AC6ACB">
          <w:rPr>
            <w:webHidden/>
          </w:rPr>
          <w:tab/>
        </w:r>
        <w:r w:rsidRPr="00AC6ACB">
          <w:rPr>
            <w:webHidden/>
          </w:rPr>
          <w:fldChar w:fldCharType="begin"/>
        </w:r>
        <w:r w:rsidRPr="00AC6ACB">
          <w:rPr>
            <w:webHidden/>
          </w:rPr>
          <w:instrText xml:space="preserve"> PAGEREF _Toc200361468 \h </w:instrText>
        </w:r>
        <w:r w:rsidRPr="00AC6ACB">
          <w:rPr>
            <w:webHidden/>
          </w:rPr>
        </w:r>
        <w:r w:rsidRPr="00AC6ACB">
          <w:rPr>
            <w:webHidden/>
          </w:rPr>
          <w:fldChar w:fldCharType="separate"/>
        </w:r>
        <w:r w:rsidRPr="00AC6ACB">
          <w:rPr>
            <w:webHidden/>
          </w:rPr>
          <w:t>56</w:t>
        </w:r>
        <w:r w:rsidRPr="00AC6ACB">
          <w:rPr>
            <w:webHidden/>
          </w:rPr>
          <w:fldChar w:fldCharType="end"/>
        </w:r>
      </w:hyperlink>
    </w:p>
    <w:p w14:paraId="69BD5A45" w14:textId="0D5549A9" w:rsidR="001E4CAC" w:rsidRPr="00AC6ACB" w:rsidRDefault="001E4CAC" w:rsidP="001E4CAC">
      <w:pPr>
        <w:pStyle w:val="TOC1"/>
        <w:spacing w:before="90"/>
        <w:rPr>
          <w:rFonts w:asciiTheme="minorHAnsi" w:eastAsiaTheme="minorEastAsia" w:hAnsiTheme="minorHAnsi" w:cstheme="minorBidi"/>
          <w:sz w:val="22"/>
          <w:szCs w:val="22"/>
        </w:rPr>
      </w:pPr>
      <w:hyperlink w:anchor="_Toc200361469" w:history="1">
        <w:r w:rsidRPr="00AC6ACB">
          <w:rPr>
            <w:rStyle w:val="Hyperlink"/>
            <w:bCs/>
          </w:rPr>
          <w:t>Note 11</w:t>
        </w:r>
        <w:r w:rsidRPr="00AC6ACB">
          <w:rPr>
            <w:rFonts w:asciiTheme="minorHAnsi" w:eastAsiaTheme="minorEastAsia" w:hAnsiTheme="minorHAnsi" w:cstheme="minorBidi"/>
            <w:sz w:val="22"/>
            <w:szCs w:val="22"/>
          </w:rPr>
          <w:tab/>
        </w:r>
        <w:r w:rsidRPr="00AC6ACB">
          <w:rPr>
            <w:rStyle w:val="Hyperlink"/>
            <w:bCs/>
          </w:rPr>
          <w:t>Immobilisations incorporelles</w:t>
        </w:r>
        <w:r w:rsidRPr="00AC6ACB">
          <w:rPr>
            <w:webHidden/>
          </w:rPr>
          <w:tab/>
        </w:r>
        <w:r w:rsidRPr="00AC6ACB">
          <w:rPr>
            <w:webHidden/>
          </w:rPr>
          <w:tab/>
        </w:r>
        <w:r w:rsidRPr="00AC6ACB">
          <w:rPr>
            <w:webHidden/>
          </w:rPr>
          <w:fldChar w:fldCharType="begin"/>
        </w:r>
        <w:r w:rsidRPr="00AC6ACB">
          <w:rPr>
            <w:webHidden/>
          </w:rPr>
          <w:instrText xml:space="preserve"> PAGEREF _Toc200361469 \h </w:instrText>
        </w:r>
        <w:r w:rsidRPr="00AC6ACB">
          <w:rPr>
            <w:webHidden/>
          </w:rPr>
        </w:r>
        <w:r w:rsidRPr="00AC6ACB">
          <w:rPr>
            <w:webHidden/>
          </w:rPr>
          <w:fldChar w:fldCharType="separate"/>
        </w:r>
        <w:r w:rsidRPr="00AC6ACB">
          <w:rPr>
            <w:webHidden/>
          </w:rPr>
          <w:t>59</w:t>
        </w:r>
        <w:r w:rsidRPr="00AC6ACB">
          <w:rPr>
            <w:webHidden/>
          </w:rPr>
          <w:fldChar w:fldCharType="end"/>
        </w:r>
      </w:hyperlink>
    </w:p>
    <w:p w14:paraId="203CF916" w14:textId="1BF78E45" w:rsidR="001E4CAC" w:rsidRPr="00AC6ACB" w:rsidRDefault="001E4CAC" w:rsidP="001E4CAC">
      <w:pPr>
        <w:pStyle w:val="TOC1"/>
        <w:spacing w:before="90"/>
        <w:rPr>
          <w:rFonts w:asciiTheme="minorHAnsi" w:eastAsiaTheme="minorEastAsia" w:hAnsiTheme="minorHAnsi" w:cstheme="minorBidi"/>
          <w:sz w:val="22"/>
          <w:szCs w:val="22"/>
        </w:rPr>
      </w:pPr>
      <w:hyperlink w:anchor="_Toc200361470" w:history="1">
        <w:r w:rsidRPr="00AC6ACB">
          <w:rPr>
            <w:rStyle w:val="Hyperlink"/>
            <w:bCs/>
          </w:rPr>
          <w:t>Note 12</w:t>
        </w:r>
        <w:r w:rsidRPr="00AC6ACB">
          <w:rPr>
            <w:rFonts w:asciiTheme="minorHAnsi" w:eastAsiaTheme="minorEastAsia" w:hAnsiTheme="minorHAnsi" w:cstheme="minorBidi"/>
            <w:sz w:val="22"/>
            <w:szCs w:val="22"/>
          </w:rPr>
          <w:tab/>
        </w:r>
        <w:r w:rsidRPr="00AC6ACB">
          <w:rPr>
            <w:rStyle w:val="Hyperlink"/>
            <w:bCs/>
          </w:rPr>
          <w:t>Biens en construction</w:t>
        </w:r>
        <w:r w:rsidRPr="00AC6ACB">
          <w:rPr>
            <w:webHidden/>
          </w:rPr>
          <w:tab/>
        </w:r>
        <w:r w:rsidRPr="00AC6ACB">
          <w:rPr>
            <w:webHidden/>
          </w:rPr>
          <w:tab/>
        </w:r>
        <w:r w:rsidRPr="00AC6ACB">
          <w:rPr>
            <w:webHidden/>
          </w:rPr>
          <w:fldChar w:fldCharType="begin"/>
        </w:r>
        <w:r w:rsidRPr="00AC6ACB">
          <w:rPr>
            <w:webHidden/>
          </w:rPr>
          <w:instrText xml:space="preserve"> PAGEREF _Toc200361470 \h </w:instrText>
        </w:r>
        <w:r w:rsidRPr="00AC6ACB">
          <w:rPr>
            <w:webHidden/>
          </w:rPr>
        </w:r>
        <w:r w:rsidRPr="00AC6ACB">
          <w:rPr>
            <w:webHidden/>
          </w:rPr>
          <w:fldChar w:fldCharType="separate"/>
        </w:r>
        <w:r w:rsidRPr="00AC6ACB">
          <w:rPr>
            <w:webHidden/>
          </w:rPr>
          <w:t>59</w:t>
        </w:r>
        <w:r w:rsidRPr="00AC6ACB">
          <w:rPr>
            <w:webHidden/>
          </w:rPr>
          <w:fldChar w:fldCharType="end"/>
        </w:r>
      </w:hyperlink>
    </w:p>
    <w:p w14:paraId="5E2C89AC" w14:textId="0CA33E78" w:rsidR="001E4CAC" w:rsidRPr="00AC6ACB" w:rsidRDefault="001E4CAC" w:rsidP="001E4CAC">
      <w:pPr>
        <w:pStyle w:val="TOC1"/>
        <w:spacing w:before="90"/>
        <w:rPr>
          <w:rFonts w:asciiTheme="minorHAnsi" w:eastAsiaTheme="minorEastAsia" w:hAnsiTheme="minorHAnsi" w:cstheme="minorBidi"/>
          <w:sz w:val="22"/>
          <w:szCs w:val="22"/>
        </w:rPr>
      </w:pPr>
      <w:hyperlink w:anchor="_Toc200361471" w:history="1">
        <w:r w:rsidRPr="00AC6ACB">
          <w:rPr>
            <w:rStyle w:val="Hyperlink"/>
            <w:bCs/>
          </w:rPr>
          <w:t>Note 13</w:t>
        </w:r>
        <w:r w:rsidRPr="00AC6ACB">
          <w:rPr>
            <w:rFonts w:asciiTheme="minorHAnsi" w:eastAsiaTheme="minorEastAsia" w:hAnsiTheme="minorHAnsi" w:cstheme="minorBidi"/>
            <w:sz w:val="22"/>
            <w:szCs w:val="22"/>
          </w:rPr>
          <w:tab/>
        </w:r>
        <w:r w:rsidRPr="00AC6ACB">
          <w:rPr>
            <w:rStyle w:val="Hyperlink"/>
            <w:bCs/>
          </w:rPr>
          <w:t>Dettes</w:t>
        </w:r>
        <w:r w:rsidRPr="00AC6ACB">
          <w:rPr>
            <w:webHidden/>
          </w:rPr>
          <w:tab/>
        </w:r>
        <w:r w:rsidRPr="00AC6ACB">
          <w:rPr>
            <w:webHidden/>
          </w:rPr>
          <w:tab/>
        </w:r>
        <w:r w:rsidRPr="00AC6ACB">
          <w:rPr>
            <w:webHidden/>
          </w:rPr>
          <w:fldChar w:fldCharType="begin"/>
        </w:r>
        <w:r w:rsidRPr="00AC6ACB">
          <w:rPr>
            <w:webHidden/>
          </w:rPr>
          <w:instrText xml:space="preserve"> PAGEREF _Toc200361471 \h </w:instrText>
        </w:r>
        <w:r w:rsidRPr="00AC6ACB">
          <w:rPr>
            <w:webHidden/>
          </w:rPr>
        </w:r>
        <w:r w:rsidRPr="00AC6ACB">
          <w:rPr>
            <w:webHidden/>
          </w:rPr>
          <w:fldChar w:fldCharType="separate"/>
        </w:r>
        <w:r w:rsidRPr="00AC6ACB">
          <w:rPr>
            <w:webHidden/>
          </w:rPr>
          <w:t>60</w:t>
        </w:r>
        <w:r w:rsidRPr="00AC6ACB">
          <w:rPr>
            <w:webHidden/>
          </w:rPr>
          <w:fldChar w:fldCharType="end"/>
        </w:r>
      </w:hyperlink>
    </w:p>
    <w:p w14:paraId="6DAA6CAA" w14:textId="0319B78D" w:rsidR="001E4CAC" w:rsidRPr="00AC6ACB" w:rsidRDefault="001E4CAC" w:rsidP="001E4CAC">
      <w:pPr>
        <w:pStyle w:val="TOC1"/>
        <w:spacing w:before="90"/>
        <w:rPr>
          <w:rFonts w:asciiTheme="minorHAnsi" w:eastAsiaTheme="minorEastAsia" w:hAnsiTheme="minorHAnsi" w:cstheme="minorBidi"/>
          <w:sz w:val="22"/>
          <w:szCs w:val="22"/>
        </w:rPr>
      </w:pPr>
      <w:hyperlink w:anchor="_Toc200361472" w:history="1">
        <w:r w:rsidRPr="00AC6ACB">
          <w:rPr>
            <w:rStyle w:val="Hyperlink"/>
            <w:bCs/>
          </w:rPr>
          <w:t>Note 14</w:t>
        </w:r>
        <w:r w:rsidRPr="00AC6ACB">
          <w:rPr>
            <w:rFonts w:asciiTheme="minorHAnsi" w:eastAsiaTheme="minorEastAsia" w:hAnsiTheme="minorHAnsi" w:cstheme="minorBidi"/>
            <w:sz w:val="22"/>
            <w:szCs w:val="22"/>
          </w:rPr>
          <w:tab/>
        </w:r>
        <w:r w:rsidRPr="00AC6ACB">
          <w:rPr>
            <w:rStyle w:val="Hyperlink"/>
            <w:bCs/>
          </w:rPr>
          <w:t>Produits différés</w:t>
        </w:r>
        <w:r w:rsidRPr="00AC6ACB">
          <w:rPr>
            <w:webHidden/>
          </w:rPr>
          <w:tab/>
        </w:r>
        <w:r w:rsidRPr="00AC6ACB">
          <w:rPr>
            <w:webHidden/>
          </w:rPr>
          <w:tab/>
        </w:r>
        <w:r w:rsidRPr="00AC6ACB">
          <w:rPr>
            <w:webHidden/>
          </w:rPr>
          <w:fldChar w:fldCharType="begin"/>
        </w:r>
        <w:r w:rsidRPr="00AC6ACB">
          <w:rPr>
            <w:webHidden/>
          </w:rPr>
          <w:instrText xml:space="preserve"> PAGEREF _Toc200361472 \h </w:instrText>
        </w:r>
        <w:r w:rsidRPr="00AC6ACB">
          <w:rPr>
            <w:webHidden/>
          </w:rPr>
        </w:r>
        <w:r w:rsidRPr="00AC6ACB">
          <w:rPr>
            <w:webHidden/>
          </w:rPr>
          <w:fldChar w:fldCharType="separate"/>
        </w:r>
        <w:r w:rsidRPr="00AC6ACB">
          <w:rPr>
            <w:webHidden/>
          </w:rPr>
          <w:t>60</w:t>
        </w:r>
        <w:r w:rsidRPr="00AC6ACB">
          <w:rPr>
            <w:webHidden/>
          </w:rPr>
          <w:fldChar w:fldCharType="end"/>
        </w:r>
      </w:hyperlink>
    </w:p>
    <w:p w14:paraId="3E17A627" w14:textId="6DA03572" w:rsidR="001E4CAC" w:rsidRPr="00AC6ACB" w:rsidRDefault="001E4CAC" w:rsidP="001E4CAC">
      <w:pPr>
        <w:pStyle w:val="TOC1"/>
        <w:spacing w:before="90"/>
        <w:rPr>
          <w:rFonts w:asciiTheme="minorHAnsi" w:eastAsiaTheme="minorEastAsia" w:hAnsiTheme="minorHAnsi" w:cstheme="minorBidi"/>
          <w:sz w:val="22"/>
          <w:szCs w:val="22"/>
        </w:rPr>
      </w:pPr>
      <w:hyperlink w:anchor="_Toc200361473" w:history="1">
        <w:r w:rsidRPr="00AC6ACB">
          <w:rPr>
            <w:rStyle w:val="Hyperlink"/>
            <w:bCs/>
          </w:rPr>
          <w:t>Note 15</w:t>
        </w:r>
        <w:r w:rsidRPr="00AC6ACB">
          <w:rPr>
            <w:rFonts w:asciiTheme="minorHAnsi" w:eastAsiaTheme="minorEastAsia" w:hAnsiTheme="minorHAnsi" w:cstheme="minorBidi"/>
            <w:sz w:val="22"/>
            <w:szCs w:val="22"/>
          </w:rPr>
          <w:tab/>
        </w:r>
        <w:r w:rsidRPr="00AC6ACB">
          <w:rPr>
            <w:rStyle w:val="Hyperlink"/>
            <w:bCs/>
          </w:rPr>
          <w:t>Emprunts et autres dettes financières</w:t>
        </w:r>
        <w:r w:rsidRPr="00AC6ACB">
          <w:rPr>
            <w:webHidden/>
          </w:rPr>
          <w:tab/>
        </w:r>
        <w:r w:rsidRPr="00AC6ACB">
          <w:rPr>
            <w:webHidden/>
          </w:rPr>
          <w:tab/>
        </w:r>
        <w:r w:rsidRPr="00AC6ACB">
          <w:rPr>
            <w:webHidden/>
          </w:rPr>
          <w:fldChar w:fldCharType="begin"/>
        </w:r>
        <w:r w:rsidRPr="00AC6ACB">
          <w:rPr>
            <w:webHidden/>
          </w:rPr>
          <w:instrText xml:space="preserve"> PAGEREF _Toc200361473 \h </w:instrText>
        </w:r>
        <w:r w:rsidRPr="00AC6ACB">
          <w:rPr>
            <w:webHidden/>
          </w:rPr>
        </w:r>
        <w:r w:rsidRPr="00AC6ACB">
          <w:rPr>
            <w:webHidden/>
          </w:rPr>
          <w:fldChar w:fldCharType="separate"/>
        </w:r>
        <w:r w:rsidRPr="00AC6ACB">
          <w:rPr>
            <w:webHidden/>
          </w:rPr>
          <w:t>61</w:t>
        </w:r>
        <w:r w:rsidRPr="00AC6ACB">
          <w:rPr>
            <w:webHidden/>
          </w:rPr>
          <w:fldChar w:fldCharType="end"/>
        </w:r>
      </w:hyperlink>
    </w:p>
    <w:p w14:paraId="2C4DEB54" w14:textId="362F3B8F" w:rsidR="001E4CAC" w:rsidRPr="00AC6ACB" w:rsidRDefault="001E4CAC" w:rsidP="001E4CAC">
      <w:pPr>
        <w:pStyle w:val="TOC1"/>
        <w:spacing w:before="90"/>
        <w:rPr>
          <w:rFonts w:asciiTheme="minorHAnsi" w:eastAsiaTheme="minorEastAsia" w:hAnsiTheme="minorHAnsi" w:cstheme="minorBidi"/>
          <w:sz w:val="22"/>
          <w:szCs w:val="22"/>
        </w:rPr>
      </w:pPr>
      <w:hyperlink w:anchor="_Toc200361474" w:history="1">
        <w:r w:rsidRPr="00AC6ACB">
          <w:rPr>
            <w:rStyle w:val="Hyperlink"/>
            <w:bCs/>
          </w:rPr>
          <w:t>Note 16</w:t>
        </w:r>
        <w:r w:rsidRPr="00AC6ACB">
          <w:rPr>
            <w:rFonts w:asciiTheme="minorHAnsi" w:eastAsiaTheme="minorEastAsia" w:hAnsiTheme="minorHAnsi" w:cstheme="minorBidi"/>
            <w:sz w:val="22"/>
            <w:szCs w:val="22"/>
          </w:rPr>
          <w:tab/>
        </w:r>
        <w:r w:rsidRPr="00AC6ACB">
          <w:rPr>
            <w:rStyle w:val="Hyperlink"/>
            <w:bCs/>
          </w:rPr>
          <w:t>Avantages du personnel</w:t>
        </w:r>
        <w:r w:rsidRPr="00AC6ACB">
          <w:rPr>
            <w:webHidden/>
          </w:rPr>
          <w:tab/>
        </w:r>
        <w:r w:rsidRPr="00AC6ACB">
          <w:rPr>
            <w:webHidden/>
          </w:rPr>
          <w:tab/>
        </w:r>
        <w:r w:rsidRPr="00AC6ACB">
          <w:rPr>
            <w:webHidden/>
          </w:rPr>
          <w:fldChar w:fldCharType="begin"/>
        </w:r>
        <w:r w:rsidRPr="00AC6ACB">
          <w:rPr>
            <w:webHidden/>
          </w:rPr>
          <w:instrText xml:space="preserve"> PAGEREF _Toc200361474 \h </w:instrText>
        </w:r>
        <w:r w:rsidRPr="00AC6ACB">
          <w:rPr>
            <w:webHidden/>
          </w:rPr>
        </w:r>
        <w:r w:rsidRPr="00AC6ACB">
          <w:rPr>
            <w:webHidden/>
          </w:rPr>
          <w:fldChar w:fldCharType="separate"/>
        </w:r>
        <w:r w:rsidRPr="00AC6ACB">
          <w:rPr>
            <w:webHidden/>
          </w:rPr>
          <w:t>62</w:t>
        </w:r>
        <w:r w:rsidRPr="00AC6ACB">
          <w:rPr>
            <w:webHidden/>
          </w:rPr>
          <w:fldChar w:fldCharType="end"/>
        </w:r>
      </w:hyperlink>
    </w:p>
    <w:p w14:paraId="4449C218" w14:textId="4D0CAFE5" w:rsidR="001E4CAC" w:rsidRPr="00AC6ACB" w:rsidRDefault="001E4CAC" w:rsidP="001E4CAC">
      <w:pPr>
        <w:pStyle w:val="TOC1"/>
        <w:spacing w:before="90"/>
        <w:rPr>
          <w:rFonts w:asciiTheme="minorHAnsi" w:eastAsiaTheme="minorEastAsia" w:hAnsiTheme="minorHAnsi" w:cstheme="minorBidi"/>
          <w:sz w:val="22"/>
          <w:szCs w:val="22"/>
        </w:rPr>
      </w:pPr>
      <w:hyperlink w:anchor="_Toc200361475" w:history="1">
        <w:r w:rsidRPr="00AC6ACB">
          <w:rPr>
            <w:rStyle w:val="Hyperlink"/>
            <w:bCs/>
          </w:rPr>
          <w:t>Note 17</w:t>
        </w:r>
        <w:r w:rsidRPr="00AC6ACB">
          <w:rPr>
            <w:rFonts w:asciiTheme="minorHAnsi" w:eastAsiaTheme="minorEastAsia" w:hAnsiTheme="minorHAnsi" w:cstheme="minorBidi"/>
            <w:sz w:val="22"/>
            <w:szCs w:val="22"/>
          </w:rPr>
          <w:tab/>
        </w:r>
        <w:r w:rsidRPr="00AC6ACB">
          <w:rPr>
            <w:rStyle w:val="Hyperlink"/>
            <w:bCs/>
          </w:rPr>
          <w:t>Autres passifs</w:t>
        </w:r>
        <w:r w:rsidRPr="00AC6ACB">
          <w:rPr>
            <w:webHidden/>
          </w:rPr>
          <w:tab/>
        </w:r>
        <w:r w:rsidRPr="00AC6ACB">
          <w:rPr>
            <w:webHidden/>
          </w:rPr>
          <w:tab/>
        </w:r>
        <w:r w:rsidRPr="00AC6ACB">
          <w:rPr>
            <w:webHidden/>
          </w:rPr>
          <w:fldChar w:fldCharType="begin"/>
        </w:r>
        <w:r w:rsidRPr="00AC6ACB">
          <w:rPr>
            <w:webHidden/>
          </w:rPr>
          <w:instrText xml:space="preserve"> PAGEREF _Toc200361475 \h </w:instrText>
        </w:r>
        <w:r w:rsidRPr="00AC6ACB">
          <w:rPr>
            <w:webHidden/>
          </w:rPr>
        </w:r>
        <w:r w:rsidRPr="00AC6ACB">
          <w:rPr>
            <w:webHidden/>
          </w:rPr>
          <w:fldChar w:fldCharType="separate"/>
        </w:r>
        <w:r w:rsidRPr="00AC6ACB">
          <w:rPr>
            <w:webHidden/>
          </w:rPr>
          <w:t>70</w:t>
        </w:r>
        <w:r w:rsidRPr="00AC6ACB">
          <w:rPr>
            <w:webHidden/>
          </w:rPr>
          <w:fldChar w:fldCharType="end"/>
        </w:r>
      </w:hyperlink>
    </w:p>
    <w:p w14:paraId="5CA7DE9F" w14:textId="7AC4C0F3" w:rsidR="001E4CAC" w:rsidRPr="00AC6ACB" w:rsidRDefault="001E4CAC" w:rsidP="001E4CAC">
      <w:pPr>
        <w:pStyle w:val="TOC1"/>
        <w:spacing w:before="90"/>
        <w:rPr>
          <w:rFonts w:asciiTheme="minorHAnsi" w:eastAsiaTheme="minorEastAsia" w:hAnsiTheme="minorHAnsi" w:cstheme="minorBidi"/>
          <w:sz w:val="22"/>
          <w:szCs w:val="22"/>
        </w:rPr>
      </w:pPr>
      <w:hyperlink w:anchor="_Toc200361476" w:history="1">
        <w:r w:rsidRPr="00AC6ACB">
          <w:rPr>
            <w:rStyle w:val="Hyperlink"/>
            <w:bCs/>
          </w:rPr>
          <w:t>Note 18</w:t>
        </w:r>
        <w:r w:rsidRPr="00AC6ACB">
          <w:rPr>
            <w:rFonts w:asciiTheme="minorHAnsi" w:eastAsiaTheme="minorEastAsia" w:hAnsiTheme="minorHAnsi" w:cstheme="minorBidi"/>
            <w:sz w:val="22"/>
            <w:szCs w:val="22"/>
          </w:rPr>
          <w:tab/>
        </w:r>
        <w:r w:rsidRPr="00AC6ACB">
          <w:rPr>
            <w:rStyle w:val="Hyperlink"/>
            <w:bCs/>
          </w:rPr>
          <w:t>Produits</w:t>
        </w:r>
        <w:r w:rsidRPr="00AC6ACB">
          <w:rPr>
            <w:webHidden/>
          </w:rPr>
          <w:tab/>
        </w:r>
        <w:r w:rsidRPr="00AC6ACB">
          <w:rPr>
            <w:webHidden/>
          </w:rPr>
          <w:tab/>
        </w:r>
        <w:r w:rsidRPr="00AC6ACB">
          <w:rPr>
            <w:webHidden/>
          </w:rPr>
          <w:fldChar w:fldCharType="begin"/>
        </w:r>
        <w:r w:rsidRPr="00AC6ACB">
          <w:rPr>
            <w:webHidden/>
          </w:rPr>
          <w:instrText xml:space="preserve"> PAGEREF _Toc200361476 \h </w:instrText>
        </w:r>
        <w:r w:rsidRPr="00AC6ACB">
          <w:rPr>
            <w:webHidden/>
          </w:rPr>
        </w:r>
        <w:r w:rsidRPr="00AC6ACB">
          <w:rPr>
            <w:webHidden/>
          </w:rPr>
          <w:fldChar w:fldCharType="separate"/>
        </w:r>
        <w:r w:rsidRPr="00AC6ACB">
          <w:rPr>
            <w:webHidden/>
          </w:rPr>
          <w:t>71</w:t>
        </w:r>
        <w:r w:rsidRPr="00AC6ACB">
          <w:rPr>
            <w:webHidden/>
          </w:rPr>
          <w:fldChar w:fldCharType="end"/>
        </w:r>
      </w:hyperlink>
    </w:p>
    <w:p w14:paraId="74705CCA" w14:textId="692B2588" w:rsidR="001E4CAC" w:rsidRPr="00AC6ACB" w:rsidRDefault="001E4CAC" w:rsidP="001E4CAC">
      <w:pPr>
        <w:pStyle w:val="TOC1"/>
        <w:spacing w:before="90"/>
        <w:rPr>
          <w:rFonts w:asciiTheme="minorHAnsi" w:eastAsiaTheme="minorEastAsia" w:hAnsiTheme="minorHAnsi" w:cstheme="minorBidi"/>
          <w:sz w:val="22"/>
          <w:szCs w:val="22"/>
        </w:rPr>
      </w:pPr>
      <w:hyperlink w:anchor="_Toc200361481" w:history="1">
        <w:r w:rsidRPr="00AC6ACB">
          <w:rPr>
            <w:rStyle w:val="Hyperlink"/>
            <w:bCs/>
          </w:rPr>
          <w:t>Note 19</w:t>
        </w:r>
        <w:r w:rsidRPr="00AC6ACB">
          <w:rPr>
            <w:rFonts w:asciiTheme="minorHAnsi" w:eastAsiaTheme="minorEastAsia" w:hAnsiTheme="minorHAnsi" w:cstheme="minorBidi"/>
            <w:sz w:val="22"/>
            <w:szCs w:val="22"/>
          </w:rPr>
          <w:tab/>
        </w:r>
        <w:r w:rsidRPr="00AC6ACB">
          <w:rPr>
            <w:rStyle w:val="Hyperlink"/>
            <w:bCs/>
          </w:rPr>
          <w:t>Charges</w:t>
        </w:r>
        <w:r w:rsidRPr="00AC6ACB">
          <w:rPr>
            <w:webHidden/>
          </w:rPr>
          <w:tab/>
        </w:r>
        <w:r w:rsidRPr="00AC6ACB">
          <w:rPr>
            <w:webHidden/>
          </w:rPr>
          <w:tab/>
        </w:r>
        <w:r w:rsidRPr="00AC6ACB">
          <w:rPr>
            <w:webHidden/>
          </w:rPr>
          <w:fldChar w:fldCharType="begin"/>
        </w:r>
        <w:r w:rsidRPr="00AC6ACB">
          <w:rPr>
            <w:webHidden/>
          </w:rPr>
          <w:instrText xml:space="preserve"> PAGEREF _Toc200361481 \h </w:instrText>
        </w:r>
        <w:r w:rsidRPr="00AC6ACB">
          <w:rPr>
            <w:webHidden/>
          </w:rPr>
        </w:r>
        <w:r w:rsidRPr="00AC6ACB">
          <w:rPr>
            <w:webHidden/>
          </w:rPr>
          <w:fldChar w:fldCharType="separate"/>
        </w:r>
        <w:r w:rsidRPr="00AC6ACB">
          <w:rPr>
            <w:webHidden/>
          </w:rPr>
          <w:t>74</w:t>
        </w:r>
        <w:r w:rsidRPr="00AC6ACB">
          <w:rPr>
            <w:webHidden/>
          </w:rPr>
          <w:fldChar w:fldCharType="end"/>
        </w:r>
      </w:hyperlink>
    </w:p>
    <w:p w14:paraId="2B34EE48" w14:textId="374BCAF7" w:rsidR="001E4CAC" w:rsidRPr="00AC6ACB" w:rsidRDefault="001E4CAC" w:rsidP="001E4CAC">
      <w:pPr>
        <w:pStyle w:val="TOC1"/>
        <w:spacing w:before="90"/>
        <w:rPr>
          <w:rFonts w:asciiTheme="minorHAnsi" w:eastAsiaTheme="minorEastAsia" w:hAnsiTheme="minorHAnsi" w:cstheme="minorBidi"/>
          <w:sz w:val="22"/>
          <w:szCs w:val="22"/>
        </w:rPr>
      </w:pPr>
      <w:hyperlink w:anchor="_Toc200361490" w:history="1">
        <w:r w:rsidRPr="00AC6ACB">
          <w:rPr>
            <w:rStyle w:val="Hyperlink"/>
            <w:bCs/>
          </w:rPr>
          <w:t>Note 20</w:t>
        </w:r>
        <w:r w:rsidRPr="00AC6ACB">
          <w:rPr>
            <w:rFonts w:asciiTheme="minorHAnsi" w:eastAsiaTheme="minorEastAsia" w:hAnsiTheme="minorHAnsi" w:cstheme="minorBidi"/>
            <w:sz w:val="22"/>
            <w:szCs w:val="22"/>
          </w:rPr>
          <w:tab/>
        </w:r>
        <w:r w:rsidRPr="00AC6ACB">
          <w:rPr>
            <w:rStyle w:val="Hyperlink"/>
            <w:bCs/>
          </w:rPr>
          <w:t>Informations sectorielles – État de la performance financière 2024</w:t>
        </w:r>
        <w:r w:rsidRPr="00AC6ACB">
          <w:rPr>
            <w:webHidden/>
          </w:rPr>
          <w:tab/>
        </w:r>
        <w:r w:rsidRPr="00AC6ACB">
          <w:rPr>
            <w:webHidden/>
          </w:rPr>
          <w:tab/>
        </w:r>
        <w:r w:rsidRPr="00AC6ACB">
          <w:rPr>
            <w:webHidden/>
          </w:rPr>
          <w:fldChar w:fldCharType="begin"/>
        </w:r>
        <w:r w:rsidRPr="00AC6ACB">
          <w:rPr>
            <w:webHidden/>
          </w:rPr>
          <w:instrText xml:space="preserve"> PAGEREF _Toc200361490 \h </w:instrText>
        </w:r>
        <w:r w:rsidRPr="00AC6ACB">
          <w:rPr>
            <w:webHidden/>
          </w:rPr>
        </w:r>
        <w:r w:rsidRPr="00AC6ACB">
          <w:rPr>
            <w:webHidden/>
          </w:rPr>
          <w:fldChar w:fldCharType="separate"/>
        </w:r>
        <w:r w:rsidRPr="00AC6ACB">
          <w:rPr>
            <w:webHidden/>
          </w:rPr>
          <w:t>76</w:t>
        </w:r>
        <w:r w:rsidRPr="00AC6ACB">
          <w:rPr>
            <w:webHidden/>
          </w:rPr>
          <w:fldChar w:fldCharType="end"/>
        </w:r>
      </w:hyperlink>
    </w:p>
    <w:p w14:paraId="04A81B30" w14:textId="71B64988" w:rsidR="001E4CAC" w:rsidRPr="00AC6ACB" w:rsidRDefault="001E4CAC" w:rsidP="001E4CAC">
      <w:pPr>
        <w:pStyle w:val="TOC1"/>
        <w:spacing w:before="90"/>
        <w:rPr>
          <w:rFonts w:asciiTheme="minorHAnsi" w:eastAsiaTheme="minorEastAsia" w:hAnsiTheme="minorHAnsi" w:cstheme="minorBidi"/>
          <w:sz w:val="22"/>
          <w:szCs w:val="22"/>
        </w:rPr>
      </w:pPr>
      <w:hyperlink w:anchor="_Toc200361492" w:history="1">
        <w:r w:rsidRPr="00AC6ACB">
          <w:rPr>
            <w:rStyle w:val="Hyperlink"/>
            <w:bCs/>
          </w:rPr>
          <w:t>Note 21</w:t>
        </w:r>
        <w:r w:rsidRPr="00AC6ACB">
          <w:rPr>
            <w:rFonts w:asciiTheme="minorHAnsi" w:eastAsiaTheme="minorEastAsia" w:hAnsiTheme="minorHAnsi" w:cstheme="minorBidi"/>
            <w:sz w:val="22"/>
            <w:szCs w:val="22"/>
          </w:rPr>
          <w:tab/>
        </w:r>
        <w:r w:rsidRPr="00AC6ACB">
          <w:rPr>
            <w:rStyle w:val="Hyperlink"/>
            <w:bCs/>
          </w:rPr>
          <w:t>Rapprochement entre les montants budgétés et les montants effectifs</w:t>
        </w:r>
        <w:r w:rsidRPr="00AC6ACB">
          <w:rPr>
            <w:webHidden/>
          </w:rPr>
          <w:tab/>
        </w:r>
        <w:r w:rsidRPr="00AC6ACB">
          <w:rPr>
            <w:webHidden/>
          </w:rPr>
          <w:tab/>
        </w:r>
        <w:r w:rsidRPr="00AC6ACB">
          <w:rPr>
            <w:webHidden/>
          </w:rPr>
          <w:fldChar w:fldCharType="begin"/>
        </w:r>
        <w:r w:rsidRPr="00AC6ACB">
          <w:rPr>
            <w:webHidden/>
          </w:rPr>
          <w:instrText xml:space="preserve"> PAGEREF _Toc200361492 \h </w:instrText>
        </w:r>
        <w:r w:rsidRPr="00AC6ACB">
          <w:rPr>
            <w:webHidden/>
          </w:rPr>
        </w:r>
        <w:r w:rsidRPr="00AC6ACB">
          <w:rPr>
            <w:webHidden/>
          </w:rPr>
          <w:fldChar w:fldCharType="separate"/>
        </w:r>
        <w:r w:rsidRPr="00AC6ACB">
          <w:rPr>
            <w:webHidden/>
          </w:rPr>
          <w:t>78</w:t>
        </w:r>
        <w:r w:rsidRPr="00AC6ACB">
          <w:rPr>
            <w:webHidden/>
          </w:rPr>
          <w:fldChar w:fldCharType="end"/>
        </w:r>
      </w:hyperlink>
    </w:p>
    <w:p w14:paraId="1343EA80" w14:textId="792FE482" w:rsidR="001E4CAC" w:rsidRPr="00AC6ACB" w:rsidRDefault="001E4CAC" w:rsidP="001E4CAC">
      <w:pPr>
        <w:pStyle w:val="TOC1"/>
        <w:spacing w:before="90"/>
        <w:rPr>
          <w:rFonts w:asciiTheme="minorHAnsi" w:eastAsiaTheme="minorEastAsia" w:hAnsiTheme="minorHAnsi" w:cstheme="minorBidi"/>
          <w:sz w:val="22"/>
          <w:szCs w:val="22"/>
        </w:rPr>
      </w:pPr>
      <w:hyperlink w:anchor="_Toc200361499" w:history="1">
        <w:r w:rsidRPr="00AC6ACB">
          <w:rPr>
            <w:rStyle w:val="Hyperlink"/>
            <w:bCs/>
          </w:rPr>
          <w:t>Note 22</w:t>
        </w:r>
        <w:r w:rsidRPr="00AC6ACB">
          <w:rPr>
            <w:rFonts w:asciiTheme="minorHAnsi" w:eastAsiaTheme="minorEastAsia" w:hAnsiTheme="minorHAnsi" w:cstheme="minorBidi"/>
            <w:sz w:val="22"/>
            <w:szCs w:val="22"/>
          </w:rPr>
          <w:tab/>
        </w:r>
        <w:r w:rsidRPr="00AC6ACB">
          <w:rPr>
            <w:rStyle w:val="Hyperlink"/>
            <w:bCs/>
          </w:rPr>
          <w:t>Informations relatives aux parties liées</w:t>
        </w:r>
        <w:r w:rsidRPr="00AC6ACB">
          <w:rPr>
            <w:webHidden/>
          </w:rPr>
          <w:tab/>
        </w:r>
        <w:r w:rsidRPr="00AC6ACB">
          <w:rPr>
            <w:webHidden/>
          </w:rPr>
          <w:tab/>
        </w:r>
        <w:r w:rsidRPr="00AC6ACB">
          <w:rPr>
            <w:webHidden/>
          </w:rPr>
          <w:fldChar w:fldCharType="begin"/>
        </w:r>
        <w:r w:rsidRPr="00AC6ACB">
          <w:rPr>
            <w:webHidden/>
          </w:rPr>
          <w:instrText xml:space="preserve"> PAGEREF _Toc200361499 \h </w:instrText>
        </w:r>
        <w:r w:rsidRPr="00AC6ACB">
          <w:rPr>
            <w:webHidden/>
          </w:rPr>
        </w:r>
        <w:r w:rsidRPr="00AC6ACB">
          <w:rPr>
            <w:webHidden/>
          </w:rPr>
          <w:fldChar w:fldCharType="separate"/>
        </w:r>
        <w:r w:rsidRPr="00AC6ACB">
          <w:rPr>
            <w:webHidden/>
          </w:rPr>
          <w:t>80</w:t>
        </w:r>
        <w:r w:rsidRPr="00AC6ACB">
          <w:rPr>
            <w:webHidden/>
          </w:rPr>
          <w:fldChar w:fldCharType="end"/>
        </w:r>
      </w:hyperlink>
    </w:p>
    <w:p w14:paraId="2F87EC5E" w14:textId="3D5E440A" w:rsidR="001E4CAC" w:rsidRPr="00AC6ACB" w:rsidRDefault="001E4CAC" w:rsidP="001E4CAC">
      <w:pPr>
        <w:pStyle w:val="TOC1"/>
        <w:spacing w:before="90"/>
        <w:rPr>
          <w:rFonts w:asciiTheme="minorHAnsi" w:eastAsiaTheme="minorEastAsia" w:hAnsiTheme="minorHAnsi" w:cstheme="minorBidi"/>
          <w:sz w:val="22"/>
          <w:szCs w:val="22"/>
        </w:rPr>
      </w:pPr>
      <w:hyperlink w:anchor="_Toc200361500" w:history="1">
        <w:r w:rsidRPr="00AC6ACB">
          <w:rPr>
            <w:rStyle w:val="Hyperlink"/>
            <w:bCs/>
          </w:rPr>
          <w:t>Note 23</w:t>
        </w:r>
        <w:r w:rsidRPr="00AC6ACB">
          <w:rPr>
            <w:rFonts w:asciiTheme="minorHAnsi" w:eastAsiaTheme="minorEastAsia" w:hAnsiTheme="minorHAnsi" w:cstheme="minorBidi"/>
            <w:sz w:val="22"/>
            <w:szCs w:val="22"/>
          </w:rPr>
          <w:tab/>
        </w:r>
        <w:r w:rsidRPr="00AC6ACB">
          <w:rPr>
            <w:rStyle w:val="Hyperlink"/>
            <w:bCs/>
          </w:rPr>
          <w:t>Engagements futurs</w:t>
        </w:r>
        <w:r w:rsidRPr="00AC6ACB">
          <w:rPr>
            <w:webHidden/>
          </w:rPr>
          <w:tab/>
        </w:r>
        <w:r w:rsidRPr="00AC6ACB">
          <w:rPr>
            <w:webHidden/>
          </w:rPr>
          <w:tab/>
        </w:r>
        <w:r w:rsidRPr="00AC6ACB">
          <w:rPr>
            <w:webHidden/>
          </w:rPr>
          <w:fldChar w:fldCharType="begin"/>
        </w:r>
        <w:r w:rsidRPr="00AC6ACB">
          <w:rPr>
            <w:webHidden/>
          </w:rPr>
          <w:instrText xml:space="preserve"> PAGEREF _Toc200361500 \h </w:instrText>
        </w:r>
        <w:r w:rsidRPr="00AC6ACB">
          <w:rPr>
            <w:webHidden/>
          </w:rPr>
        </w:r>
        <w:r w:rsidRPr="00AC6ACB">
          <w:rPr>
            <w:webHidden/>
          </w:rPr>
          <w:fldChar w:fldCharType="separate"/>
        </w:r>
        <w:r w:rsidRPr="00AC6ACB">
          <w:rPr>
            <w:webHidden/>
          </w:rPr>
          <w:t>80</w:t>
        </w:r>
        <w:r w:rsidRPr="00AC6ACB">
          <w:rPr>
            <w:webHidden/>
          </w:rPr>
          <w:fldChar w:fldCharType="end"/>
        </w:r>
      </w:hyperlink>
    </w:p>
    <w:p w14:paraId="0C83B103" w14:textId="14CB20BC" w:rsidR="001E4CAC" w:rsidRPr="00AC6ACB" w:rsidRDefault="001E4CAC" w:rsidP="001E4CAC">
      <w:pPr>
        <w:pStyle w:val="TOC1"/>
        <w:spacing w:before="90"/>
        <w:rPr>
          <w:rFonts w:asciiTheme="minorHAnsi" w:eastAsiaTheme="minorEastAsia" w:hAnsiTheme="minorHAnsi" w:cstheme="minorBidi"/>
          <w:sz w:val="22"/>
          <w:szCs w:val="22"/>
        </w:rPr>
      </w:pPr>
      <w:hyperlink w:anchor="_Toc200361501" w:history="1">
        <w:r w:rsidRPr="00AC6ACB">
          <w:rPr>
            <w:rStyle w:val="Hyperlink"/>
            <w:bCs/>
          </w:rPr>
          <w:t>Note 24</w:t>
        </w:r>
        <w:r w:rsidRPr="00AC6ACB">
          <w:rPr>
            <w:rFonts w:asciiTheme="minorHAnsi" w:eastAsiaTheme="minorEastAsia" w:hAnsiTheme="minorHAnsi" w:cstheme="minorBidi"/>
            <w:sz w:val="22"/>
            <w:szCs w:val="22"/>
          </w:rPr>
          <w:tab/>
        </w:r>
        <w:r w:rsidRPr="00AC6ACB">
          <w:rPr>
            <w:rStyle w:val="Hyperlink"/>
            <w:bCs/>
          </w:rPr>
          <w:t>Événements postérieurs à la date du bilan</w:t>
        </w:r>
        <w:r w:rsidRPr="00AC6ACB">
          <w:rPr>
            <w:webHidden/>
          </w:rPr>
          <w:tab/>
        </w:r>
        <w:r w:rsidRPr="00AC6ACB">
          <w:rPr>
            <w:webHidden/>
          </w:rPr>
          <w:tab/>
        </w:r>
        <w:r w:rsidRPr="00AC6ACB">
          <w:rPr>
            <w:webHidden/>
          </w:rPr>
          <w:fldChar w:fldCharType="begin"/>
        </w:r>
        <w:r w:rsidRPr="00AC6ACB">
          <w:rPr>
            <w:webHidden/>
          </w:rPr>
          <w:instrText xml:space="preserve"> PAGEREF _Toc200361501 \h </w:instrText>
        </w:r>
        <w:r w:rsidRPr="00AC6ACB">
          <w:rPr>
            <w:webHidden/>
          </w:rPr>
        </w:r>
        <w:r w:rsidRPr="00AC6ACB">
          <w:rPr>
            <w:webHidden/>
          </w:rPr>
          <w:fldChar w:fldCharType="separate"/>
        </w:r>
        <w:r w:rsidRPr="00AC6ACB">
          <w:rPr>
            <w:webHidden/>
          </w:rPr>
          <w:t>80</w:t>
        </w:r>
        <w:r w:rsidRPr="00AC6ACB">
          <w:rPr>
            <w:webHidden/>
          </w:rPr>
          <w:fldChar w:fldCharType="end"/>
        </w:r>
      </w:hyperlink>
    </w:p>
    <w:p w14:paraId="5F7B18E1" w14:textId="6465145D" w:rsidR="00AA6A50" w:rsidRPr="00AC6ACB" w:rsidRDefault="001E4CAC" w:rsidP="001E4CAC">
      <w:pPr>
        <w:pStyle w:val="TOC1"/>
        <w:spacing w:before="90"/>
      </w:pPr>
      <w:hyperlink w:anchor="_Toc200361502" w:history="1">
        <w:r w:rsidRPr="00AC6ACB">
          <w:rPr>
            <w:rStyle w:val="Hyperlink"/>
          </w:rPr>
          <w:t>ANNEXE A – Rapport de gestion financière et États financiers vérifiés pour l'exercice 2024</w:t>
        </w:r>
        <w:r w:rsidRPr="00AC6ACB">
          <w:rPr>
            <w:webHidden/>
          </w:rPr>
          <w:tab/>
        </w:r>
        <w:r w:rsidRPr="00AC6ACB">
          <w:rPr>
            <w:webHidden/>
          </w:rPr>
          <w:tab/>
        </w:r>
        <w:r w:rsidRPr="00AC6ACB">
          <w:rPr>
            <w:webHidden/>
          </w:rPr>
          <w:fldChar w:fldCharType="begin"/>
        </w:r>
        <w:r w:rsidRPr="00AC6ACB">
          <w:rPr>
            <w:webHidden/>
          </w:rPr>
          <w:instrText xml:space="preserve"> PAGEREF _Toc200361502 \h </w:instrText>
        </w:r>
        <w:r w:rsidRPr="00AC6ACB">
          <w:rPr>
            <w:webHidden/>
          </w:rPr>
        </w:r>
        <w:r w:rsidRPr="00AC6ACB">
          <w:rPr>
            <w:webHidden/>
          </w:rPr>
          <w:fldChar w:fldCharType="separate"/>
        </w:r>
        <w:r w:rsidRPr="00AC6ACB">
          <w:rPr>
            <w:webHidden/>
          </w:rPr>
          <w:t>82</w:t>
        </w:r>
        <w:r w:rsidRPr="00AC6ACB">
          <w:rPr>
            <w:webHidden/>
          </w:rPr>
          <w:fldChar w:fldCharType="end"/>
        </w:r>
      </w:hyperlink>
      <w:r w:rsidR="00124A89" w:rsidRPr="00AC6ACB">
        <w:fldChar w:fldCharType="end"/>
      </w:r>
      <w:r w:rsidR="00AA6A50" w:rsidRPr="00AC6ACB">
        <w:br w:type="page"/>
      </w:r>
    </w:p>
    <w:p w14:paraId="3EA9DDEA" w14:textId="09C0A606" w:rsidR="00AA6A50" w:rsidRPr="00AC6ACB" w:rsidRDefault="00AA6A50" w:rsidP="00AA6A50">
      <w:pPr>
        <w:pStyle w:val="Heading1"/>
      </w:pPr>
      <w:bookmarkStart w:id="0" w:name="_Toc200361390"/>
      <w:r w:rsidRPr="00AC6ACB">
        <w:lastRenderedPageBreak/>
        <w:t xml:space="preserve">Préface aux </w:t>
      </w:r>
      <w:r w:rsidR="00CB30C6" w:rsidRPr="00AC6ACB">
        <w:t>É</w:t>
      </w:r>
      <w:r w:rsidRPr="00AC6ACB">
        <w:t>tats financiers pour 2024</w:t>
      </w:r>
      <w:bookmarkEnd w:id="0"/>
    </w:p>
    <w:p w14:paraId="15B340E3" w14:textId="16AFE938" w:rsidR="00AA6A50" w:rsidRPr="00AC6ACB" w:rsidRDefault="00AA6A50" w:rsidP="00AA6A50">
      <w:r w:rsidRPr="00AC6ACB">
        <w:t>L'Union internationale des télécommunications (UIT) a pour mission de connecter toutes les personnes, partout dans le monde, de manière efficace.</w:t>
      </w:r>
    </w:p>
    <w:p w14:paraId="18CD0701" w14:textId="77777777" w:rsidR="00AA6A50" w:rsidRPr="00AC6ACB" w:rsidRDefault="00AA6A50" w:rsidP="00AA6A50">
      <w:r w:rsidRPr="00AC6ACB">
        <w:t>En tant qu'institution des Nations Unies chargée des technologies numériques, nous facilitons la coopération technique et mobilisons les partenariats nécessaires pour que les technologies numériques bénéficient à l'humanité tout entière.</w:t>
      </w:r>
    </w:p>
    <w:p w14:paraId="0C92703B" w14:textId="5BE84D59" w:rsidR="00AA6A50" w:rsidRPr="00AC6ACB" w:rsidRDefault="00AA6A50" w:rsidP="00AA6A50">
      <w:r w:rsidRPr="00AC6ACB">
        <w:t xml:space="preserve">Notre </w:t>
      </w:r>
      <w:r w:rsidR="001D5475" w:rsidRPr="00AC6ACB">
        <w:t>P</w:t>
      </w:r>
      <w:r w:rsidRPr="00AC6ACB">
        <w:t>lan stratégique 2024-2027 est centré principalement sur deux objectifs: la connectivité universelle et la transformation numérique durable. L'action de l'UIT profite à quiconque est connecté aux réseaux numériques, rapproche l'accès au monde numérique pour les 2,6 milliards de personnes qui ne sont toujours pas connectées, et aide les très nombreuses personnes qui, outre ce nombre, se heurtent à un accès insuffisant ou à des services inabordables.</w:t>
      </w:r>
    </w:p>
    <w:p w14:paraId="68E84A1E" w14:textId="2C3C2DD2" w:rsidR="00AA6A50" w:rsidRPr="00AC6ACB" w:rsidRDefault="00AA6A50" w:rsidP="00AA6A50">
      <w:r w:rsidRPr="00AC6ACB">
        <w:t>En 2024, l'UIT a apporté des contributions et des compétences essentielles pour l'élaboration du Pacte numérique mondial, adopté avec le Pacte pour l'avenir lors de l'Assemblée générale des Nations Unies de 2024. Elle codirige désormais, avec le Bureau des Nations</w:t>
      </w:r>
      <w:r w:rsidR="001D5475" w:rsidRPr="00AC6ACB">
        <w:t> </w:t>
      </w:r>
      <w:r w:rsidRPr="00AC6ACB">
        <w:t>Unies pour les technologies numériques et émergentes, le Groupe de travail des Nations</w:t>
      </w:r>
      <w:r w:rsidR="001D5475" w:rsidRPr="00AC6ACB">
        <w:t> </w:t>
      </w:r>
      <w:r w:rsidRPr="00AC6ACB">
        <w:t>Unies sur les technologies numériques, et joue donc un rôle d'exécution essentiel dans l'application du Pacte numérique mondial au sein du système des Nations Unies et</w:t>
      </w:r>
      <w:r w:rsidR="001D5475" w:rsidRPr="00AC6ACB">
        <w:t xml:space="preserve"> </w:t>
      </w:r>
      <w:r w:rsidRPr="00AC6ACB">
        <w:t>au</w:t>
      </w:r>
      <w:r w:rsidR="001D5475" w:rsidRPr="00AC6ACB">
        <w:noBreakHyphen/>
      </w:r>
      <w:r w:rsidRPr="00AC6ACB">
        <w:t>delà.</w:t>
      </w:r>
    </w:p>
    <w:p w14:paraId="32705410" w14:textId="77777777" w:rsidR="00AA6A50" w:rsidRPr="00AC6ACB" w:rsidRDefault="00AA6A50" w:rsidP="00AA6A50">
      <w:pPr>
        <w:pStyle w:val="Headingb"/>
      </w:pPr>
      <w:bookmarkStart w:id="1" w:name="_Toc200093186"/>
      <w:bookmarkStart w:id="2" w:name="_Toc200361391"/>
      <w:r w:rsidRPr="00AC6ACB">
        <w:t>Fixer des normes pour un avenir meilleur</w:t>
      </w:r>
      <w:bookmarkEnd w:id="1"/>
      <w:bookmarkEnd w:id="2"/>
    </w:p>
    <w:p w14:paraId="1A55CA9F" w14:textId="77777777" w:rsidR="00AA6A50" w:rsidRPr="00AC6ACB" w:rsidRDefault="00AA6A50" w:rsidP="00AA6A50">
      <w:r w:rsidRPr="00AC6ACB">
        <w:t>Tout au long de l'année 2024, nous avons continué d'élaborer les principales normes techniques indispensables pour bâtir un avenir numérique meilleur, avons abordé les sujets de préoccupation liés à l'intelligence artificielle (IA) et les perspectives offertes par cette technologie, et avons conseillé les pays au sujet de services numériques réactifs et centrés sur le citoyen. Les normes de l'UIT indiquent comment rendre les technologies efficaces, abordables, sûres et accessibles, et comment en atténuer les conséquences pour l'environnement.</w:t>
      </w:r>
    </w:p>
    <w:p w14:paraId="684B034F" w14:textId="481BDE61" w:rsidR="00AA6A50" w:rsidRPr="00AC6ACB" w:rsidRDefault="00AA6A50" w:rsidP="00AA6A50">
      <w:r w:rsidRPr="00AC6ACB">
        <w:t xml:space="preserve">L'Assemblée mondiale de normalisation des télécommunications (AMNT-24), qui s'est tenue à New Delhi (Inde), a adopté de nouvelles </w:t>
      </w:r>
      <w:r w:rsidR="001D5475" w:rsidRPr="00AC6ACB">
        <w:t>R</w:t>
      </w:r>
      <w:r w:rsidRPr="00AC6ACB">
        <w:t>ésolutions sur l'IA responsable, les applications fiables et interopérables du métavers, les communications d'urgence, les transports intelligents, l'infrastructure publique numérique, la durabilité et d'autres sujets.</w:t>
      </w:r>
    </w:p>
    <w:p w14:paraId="20CAEDD4" w14:textId="77777777" w:rsidR="00AA6A50" w:rsidRPr="00AC6ACB" w:rsidRDefault="00AA6A50" w:rsidP="00AA6A50">
      <w:pPr>
        <w:pStyle w:val="Headingb"/>
      </w:pPr>
      <w:bookmarkStart w:id="3" w:name="_Toc200093187"/>
      <w:bookmarkStart w:id="4" w:name="_Toc200361392"/>
      <w:r w:rsidRPr="00AC6ACB">
        <w:t>Remédier aux inégalités numériques</w:t>
      </w:r>
      <w:bookmarkEnd w:id="3"/>
      <w:bookmarkEnd w:id="4"/>
    </w:p>
    <w:p w14:paraId="2412A8B9" w14:textId="77777777" w:rsidR="00AA6A50" w:rsidRPr="00AC6ACB" w:rsidRDefault="00AA6A50" w:rsidP="00AA6A50">
      <w:r w:rsidRPr="00AC6ACB">
        <w:t>Alors que le fossé se creuse entre les nantis et les laissés-pour-compte du numérique en raison de l'adoption de nouvelles technologies comme la 5G, l'UIT œuvre aux partenariats nécessaires pour remédier à la fracture numérique dans le monde.</w:t>
      </w:r>
    </w:p>
    <w:p w14:paraId="7ADF785A" w14:textId="354B0782" w:rsidR="00AA6A50" w:rsidRPr="00AC6ACB" w:rsidRDefault="00AA6A50" w:rsidP="00AA6A50">
      <w:r w:rsidRPr="00AC6ACB">
        <w:t xml:space="preserve">Notre </w:t>
      </w:r>
      <w:r w:rsidR="00DC2039" w:rsidRPr="00AC6ACB">
        <w:t>i</w:t>
      </w:r>
      <w:r w:rsidRPr="00AC6ACB">
        <w:t>nitiative pour les investissements dans l'infrastructure numérique, lancée en 2024 avec l'appui de la présidence brésilienne du G20, rassemble six grandes institutions de financement du développement en vue de mobiliser les fonds et les politiques nécessaires pour connecter toutes les personnes efficacement d'ici à 2030.</w:t>
      </w:r>
    </w:p>
    <w:p w14:paraId="6A1908E8" w14:textId="66A94862" w:rsidR="00AA6A50" w:rsidRPr="00AC6ACB" w:rsidRDefault="00AA6A50" w:rsidP="001D5475">
      <w:pPr>
        <w:keepLines/>
      </w:pPr>
      <w:r w:rsidRPr="00AC6ACB">
        <w:lastRenderedPageBreak/>
        <w:t>Nous continuons aussi de mener des activités novatrices au titre de Giga, notre initiative</w:t>
      </w:r>
      <w:r w:rsidR="00485F49" w:rsidRPr="00AC6ACB">
        <w:t> </w:t>
      </w:r>
      <w:r w:rsidRPr="00AC6ACB">
        <w:t>conjointe avec l'UNICEF visant à connecter toutes les écoles du monde, et de</w:t>
      </w:r>
      <w:r w:rsidR="00D67E64" w:rsidRPr="00AC6ACB">
        <w:t> </w:t>
      </w:r>
      <w:r w:rsidRPr="00AC6ACB">
        <w:t>Partner2Connect, notre campagne mondiale d'engagements pour des projets susceptibles de changer la donne.</w:t>
      </w:r>
    </w:p>
    <w:p w14:paraId="5D77A1FE" w14:textId="42748326" w:rsidR="00AA6A50" w:rsidRPr="00AC6ACB" w:rsidRDefault="00AA6A50" w:rsidP="00AA6A50">
      <w:r w:rsidRPr="00AC6ACB">
        <w:t xml:space="preserve">Parallèlement, notre nouvel </w:t>
      </w:r>
      <w:r w:rsidR="00D67E64" w:rsidRPr="00AC6ACB">
        <w:t>o</w:t>
      </w:r>
      <w:r w:rsidRPr="00AC6ACB">
        <w:t>rgane consultatif international sur la résilience des câbles sous</w:t>
      </w:r>
      <w:r w:rsidR="001D5475" w:rsidRPr="00AC6ACB">
        <w:noBreakHyphen/>
      </w:r>
      <w:r w:rsidRPr="00AC6ACB">
        <w:t>marins œuvre au renforcement de la dorsale numérique mondiale en intensifiant la coopération relative à l'infrastructure de câbles sous-marins de télécommunication.</w:t>
      </w:r>
    </w:p>
    <w:p w14:paraId="518E74D3" w14:textId="77777777" w:rsidR="00AA6A50" w:rsidRPr="00AC6ACB" w:rsidRDefault="00AA6A50" w:rsidP="00AA6A50">
      <w:pPr>
        <w:pStyle w:val="Headingb"/>
      </w:pPr>
      <w:bookmarkStart w:id="5" w:name="_Toc200093188"/>
      <w:bookmarkStart w:id="6" w:name="_Toc200361393"/>
      <w:r w:rsidRPr="00AC6ACB">
        <w:t>Optimiser l'utilisation du spectre et des orbites</w:t>
      </w:r>
      <w:bookmarkEnd w:id="5"/>
      <w:bookmarkEnd w:id="6"/>
    </w:p>
    <w:p w14:paraId="61249D8A" w14:textId="77777777" w:rsidR="00AA6A50" w:rsidRPr="00AC6ACB" w:rsidRDefault="00AA6A50" w:rsidP="00AA6A50">
      <w:r w:rsidRPr="00AC6ACB">
        <w:t>L'UIT coordonne l'utilisation des fréquences radioélectriques et des orbites de satellite entre les pays et les régions du monde entier, ce qui permet de réaliser des investissements se montant à plusieurs millions de dollars afin d'offrir des services avec le moins possible de brouillages préjudiciables.</w:t>
      </w:r>
    </w:p>
    <w:p w14:paraId="54BC9DA2" w14:textId="4A5AD678" w:rsidR="00AA6A50" w:rsidRPr="00AC6ACB" w:rsidRDefault="00AA6A50" w:rsidP="00AA6A50">
      <w:r w:rsidRPr="00AC6ACB">
        <w:t>L'édition 2024 du Règlement des radiocommunications de l'UIT protège un grand nombre d'utilisations existantes du spectre tout en permettant une accélération rapide de l'innovation. Fin 2024, l'UIT a réuni des gouvernements, des agences spatiales, des acteurs du secteur privé, des groupes de la société civile et d'autres organismes des Nations</w:t>
      </w:r>
      <w:r w:rsidR="001D5475" w:rsidRPr="00AC6ACB">
        <w:t> </w:t>
      </w:r>
      <w:r w:rsidRPr="00AC6ACB">
        <w:t>Unies pour la première édition de son Forum sur la viabilité de l'utilisation de l'espace, qui vise à garantir une utilisation responsable de l'espace extra-atmosphérique et à préserver la viabilité de son utilisation pour les générations futures.</w:t>
      </w:r>
    </w:p>
    <w:p w14:paraId="62F83C45" w14:textId="77777777" w:rsidR="00AA6A50" w:rsidRPr="00AC6ACB" w:rsidRDefault="00AA6A50" w:rsidP="00AA6A50">
      <w:pPr>
        <w:pStyle w:val="Headingb"/>
      </w:pPr>
      <w:bookmarkStart w:id="7" w:name="_Toc200093189"/>
      <w:bookmarkStart w:id="8" w:name="_Toc200361394"/>
      <w:r w:rsidRPr="00AC6ACB">
        <w:t>Mettre les technologies émergentes au service de l'humanité</w:t>
      </w:r>
      <w:bookmarkEnd w:id="7"/>
      <w:bookmarkEnd w:id="8"/>
    </w:p>
    <w:p w14:paraId="682D1CE6" w14:textId="77777777" w:rsidR="00AA6A50" w:rsidRPr="00AC6ACB" w:rsidRDefault="00AA6A50" w:rsidP="00AA6A50">
      <w:r w:rsidRPr="00AC6ACB">
        <w:t>Les technologies nouvelles et émergentes peuvent être un facteur de progrès dans pratiquement tous les domaines du développement socioéconomique, de l'agriculture à l'industrie en passant par l'éducation et la santé. Le travail de normalisation ambitieux mené par l'UIT sur l'IA, en collaboration avec d'autres entités des Nations Unies ainsi que d'autres organismes de normalisation et des partenaires du secteur, en témoigne.</w:t>
      </w:r>
    </w:p>
    <w:p w14:paraId="25BA8ABC" w14:textId="5510E029" w:rsidR="00AA6A50" w:rsidRPr="00AC6ACB" w:rsidRDefault="00AA6A50" w:rsidP="00AA6A50">
      <w:r w:rsidRPr="00AC6ACB">
        <w:t>Le programme sur l'IA pour le bien social, en place depuis huit ans, et géré par l'UIT avec plus de</w:t>
      </w:r>
      <w:r w:rsidR="001D5475" w:rsidRPr="00AC6ACB">
        <w:t> </w:t>
      </w:r>
      <w:r w:rsidRPr="00AC6ACB">
        <w:t>40 partenaires du système des Nations Unies, est devenu la vitrine mondiale de solutions d'IA contribuant à la réalisation des Objectifs de développement durable des Nations Unies. Il est aussi devenu une importante tribune sur l'adoption responsable de l'IA, en particulier depuis la première édition de notre Journée de la gouvernance de l'IA, en mai 2024. Par</w:t>
      </w:r>
      <w:r w:rsidR="001D5475" w:rsidRPr="00AC6ACB">
        <w:t> </w:t>
      </w:r>
      <w:r w:rsidRPr="00AC6ACB">
        <w:t>ailleurs, l'UIT a lancé en 2024 la Coalition pour les compétences en matière d'IA afin de permettre à tous les pays et tous les groupes sociaux d'accéder aux moyens nécessaires d'acquisition des compétences.</w:t>
      </w:r>
    </w:p>
    <w:p w14:paraId="00690659" w14:textId="77777777" w:rsidR="00AA6A50" w:rsidRPr="00AC6ACB" w:rsidRDefault="00AA6A50" w:rsidP="00AA6A50">
      <w:r w:rsidRPr="00AC6ACB">
        <w:t>En outre, nous avons favorisé le développement des partenariats sur les technologies de l'information quantique et continué de stimuler la collaboration relative aux normes de réseau et de sécurité. Anticipant le fait qu'à l'avenir, la puissance de calcul sera beaucoup plus importante, nous nous y préparons, pour faire en sorte que l'informatique quantique soit au service du bien social.</w:t>
      </w:r>
    </w:p>
    <w:p w14:paraId="582532B6" w14:textId="77777777" w:rsidR="00AA6A50" w:rsidRPr="00AC6ACB" w:rsidRDefault="00AA6A50" w:rsidP="003762F3">
      <w:pPr>
        <w:pStyle w:val="Headingb"/>
      </w:pPr>
      <w:bookmarkStart w:id="9" w:name="_Toc200093190"/>
      <w:bookmarkStart w:id="10" w:name="_Toc200361395"/>
      <w:r w:rsidRPr="00AC6ACB">
        <w:lastRenderedPageBreak/>
        <w:t>Rendre les technologies numériques plus écologiques</w:t>
      </w:r>
      <w:bookmarkEnd w:id="9"/>
      <w:bookmarkEnd w:id="10"/>
    </w:p>
    <w:p w14:paraId="26175AAB" w14:textId="7AA4B8AF" w:rsidR="00AA6A50" w:rsidRPr="00AC6ACB" w:rsidRDefault="00AA6A50" w:rsidP="003762F3">
      <w:pPr>
        <w:keepNext/>
        <w:keepLines/>
      </w:pPr>
      <w:r w:rsidRPr="00AC6ACB">
        <w:t>À sa vingt-neuvième session, la Conférence des Parties à Convention-cadre des Nations</w:t>
      </w:r>
      <w:r w:rsidR="001D5475" w:rsidRPr="00AC6ACB">
        <w:t> </w:t>
      </w:r>
      <w:r w:rsidRPr="00AC6ACB">
        <w:t xml:space="preserve">Unies sur les changements climatiques </w:t>
      </w:r>
      <w:r w:rsidR="004553D3" w:rsidRPr="00AC6ACB">
        <w:t xml:space="preserve">(COP29) </w:t>
      </w:r>
      <w:r w:rsidRPr="00AC6ACB">
        <w:t>a produit sur une déclaration qui a recueilli une large adhésion, l'Action du secteur du numérique pour l'environnement, inspirée de l'initiative éponyme menée par l'UIT avec des partenaires du monde entier. Au</w:t>
      </w:r>
      <w:r w:rsidR="004553D3" w:rsidRPr="00AC6ACB">
        <w:t> </w:t>
      </w:r>
      <w:r w:rsidRPr="00AC6ACB">
        <w:t>cours de l'année écoulée, notre appel invitant à tenir compte des conséquences des technologies numériques pour l'environnement, à promouvoir des normes de durabilité et à placer le secteur technologique mondial du bon côté de l'histoire, a pris de l'ampleur.</w:t>
      </w:r>
    </w:p>
    <w:p w14:paraId="68FE1F38" w14:textId="351F9269" w:rsidR="00AA6A50" w:rsidRPr="00AC6ACB" w:rsidRDefault="00AA6A50" w:rsidP="00AA6A50">
      <w:r w:rsidRPr="00AC6ACB">
        <w:t>À un moment où la réalité des changements climatiques se confirme, l'UIT est l'institution chef de file du troisième pilier de l'</w:t>
      </w:r>
      <w:r w:rsidR="00485F49" w:rsidRPr="00AC6ACB">
        <w:t>I</w:t>
      </w:r>
      <w:r w:rsidRPr="00AC6ACB">
        <w:t>nitiative "Alertes précoces pour tous", lancée par le Secrétaire général de l'ONU, qui vise à protéger tous les habitants de la planète en leur permettant d'être alertés en temps utile en cas de catastrophe. Une nouvelle initiative conjointe avec d'autres institutions des Nations Unies mobilise des solutions d'intelligence artificielle pour améliorer la résilience face aux risques.</w:t>
      </w:r>
    </w:p>
    <w:p w14:paraId="7800A405" w14:textId="77777777" w:rsidR="00AA6A50" w:rsidRPr="00AC6ACB" w:rsidRDefault="00AA6A50" w:rsidP="00AA6A50">
      <w:pPr>
        <w:pStyle w:val="Headingb"/>
      </w:pPr>
      <w:bookmarkStart w:id="11" w:name="_Toc200093191"/>
      <w:bookmarkStart w:id="12" w:name="_Toc200361396"/>
      <w:r w:rsidRPr="00AC6ACB">
        <w:t>Favoriser la coopération numérique mondiale</w:t>
      </w:r>
      <w:bookmarkEnd w:id="11"/>
      <w:bookmarkEnd w:id="12"/>
    </w:p>
    <w:p w14:paraId="4BA15D9C" w14:textId="3481191C" w:rsidR="00AA6A50" w:rsidRPr="00AC6ACB" w:rsidRDefault="00AA6A50" w:rsidP="00AA6A50">
      <w:r w:rsidRPr="00AC6ACB">
        <w:t>Depuis plus de 20 ans, l'UIT aide à guider la coopération et le développement numériques sur la base des grandes orientations définies au Sommet mondial sur la société de l'information (SMSI) de 2003-2005. L'actuel processus de consultation multipartite du SMSI doit permettre de vérifier les progrès accomplis et de repérer les lacunes qui subsistent. Ce mécanisme sera également utile pour donner effet au Pacte numérique mondial en recourant à des solutions axées sur le développement pour tous. Le processus d'examen</w:t>
      </w:r>
      <w:r w:rsidR="00DB6ECC" w:rsidRPr="00AC6ACB">
        <w:t xml:space="preserve"> du </w:t>
      </w:r>
      <w:r w:rsidRPr="00AC6ACB">
        <w:t>SMSI+20 déterminera les orientations souhaitables après 2025 dans un contexte où la technologie et les politiques évoluent rapidement.</w:t>
      </w:r>
    </w:p>
    <w:p w14:paraId="08910503" w14:textId="77777777" w:rsidR="00AA6A50" w:rsidRPr="00AC6ACB" w:rsidRDefault="00AA6A50" w:rsidP="00AA6A50">
      <w:pPr>
        <w:pStyle w:val="Headingb"/>
      </w:pPr>
      <w:bookmarkStart w:id="13" w:name="_Toc200093192"/>
      <w:bookmarkStart w:id="14" w:name="_Toc200361397"/>
      <w:r w:rsidRPr="00AC6ACB">
        <w:t>Un engagement sans faille</w:t>
      </w:r>
      <w:bookmarkEnd w:id="13"/>
      <w:bookmarkEnd w:id="14"/>
    </w:p>
    <w:p w14:paraId="3E7A07AD" w14:textId="77777777" w:rsidR="00AA6A50" w:rsidRPr="00AC6ACB" w:rsidRDefault="00AA6A50" w:rsidP="00AA6A50">
      <w:r w:rsidRPr="00AC6ACB">
        <w:t>La souplesse institutionnelle, la confiance fiduciaire et une assise budgétaire solide sont autant de conditions nécessaires à l'UIT pour pouvoir assurer une coordination technique spécialisée et jouer un rôle actif sur les questions numériques. Dans les pages qui suivent, notre Rapport de gestion financière 2024 décrit les allocations budgétaires et les dépenses qui ont permis à l'UIT de mener son action tout au long de l'année.</w:t>
      </w:r>
    </w:p>
    <w:p w14:paraId="56165602" w14:textId="35718B61" w:rsidR="00AA6A50" w:rsidRPr="00AC6ACB" w:rsidRDefault="00AA6A50" w:rsidP="00AA6A50">
      <w:r w:rsidRPr="00AC6ACB">
        <w:t>Le prochain Rapport annuel de l'UIT (</w:t>
      </w:r>
      <w:hyperlink r:id="rId9" w:history="1">
        <w:r w:rsidRPr="00AC6ACB">
          <w:rPr>
            <w:rStyle w:val="Hyperlink"/>
            <w:rFonts w:eastAsia="Times New Roman" w:cs="Times New Roman"/>
            <w:szCs w:val="20"/>
          </w:rPr>
          <w:t>Document C2</w:t>
        </w:r>
        <w:r w:rsidR="008870B9" w:rsidRPr="00AC6ACB">
          <w:rPr>
            <w:rStyle w:val="Hyperlink"/>
            <w:rFonts w:eastAsia="Times New Roman" w:cs="Times New Roman"/>
            <w:szCs w:val="20"/>
          </w:rPr>
          <w:t>5</w:t>
        </w:r>
        <w:r w:rsidRPr="00AC6ACB">
          <w:rPr>
            <w:rStyle w:val="Hyperlink"/>
            <w:rFonts w:eastAsia="Times New Roman" w:cs="Times New Roman"/>
            <w:szCs w:val="20"/>
          </w:rPr>
          <w:t>/35</w:t>
        </w:r>
      </w:hyperlink>
      <w:r w:rsidRPr="00AC6ACB">
        <w:t>) fournira d'autres informations opérationnelles, témoignant de l'engagement indéfectible de l'Organisation en faveur de rapports fondés sur des données et de stratégies axées sur les résultats.</w:t>
      </w:r>
    </w:p>
    <w:p w14:paraId="2091C14F" w14:textId="2A615EA9" w:rsidR="00AA6A50" w:rsidRPr="00AC6ACB" w:rsidRDefault="00AA6A50" w:rsidP="00AA6A50">
      <w:r w:rsidRPr="00AC6ACB">
        <w:br w:type="page"/>
      </w:r>
    </w:p>
    <w:p w14:paraId="03CDF969" w14:textId="2CF41959" w:rsidR="00AA6A50" w:rsidRPr="00AC6ACB" w:rsidRDefault="00AA6A50" w:rsidP="00AA6A50">
      <w:pPr>
        <w:pStyle w:val="Heading1"/>
      </w:pPr>
      <w:bookmarkStart w:id="15" w:name="_Toc200361398"/>
      <w:r w:rsidRPr="00AC6ACB">
        <w:lastRenderedPageBreak/>
        <w:t>Introduction</w:t>
      </w:r>
      <w:bookmarkEnd w:id="15"/>
    </w:p>
    <w:p w14:paraId="0FE5E200" w14:textId="0863D584" w:rsidR="00AA6A50" w:rsidRPr="00AC6ACB" w:rsidRDefault="00AA6A50" w:rsidP="00AA6A50">
      <w:r w:rsidRPr="00AC6ACB">
        <w:t>1</w:t>
      </w:r>
      <w:r w:rsidRPr="00AC6ACB">
        <w:tab/>
        <w:t xml:space="preserve">Les </w:t>
      </w:r>
      <w:r w:rsidR="001D5475" w:rsidRPr="00AC6ACB">
        <w:t>É</w:t>
      </w:r>
      <w:r w:rsidRPr="00AC6ACB">
        <w:t xml:space="preserve">tats financiers et le </w:t>
      </w:r>
      <w:r w:rsidR="001D5475" w:rsidRPr="00AC6ACB">
        <w:t>R</w:t>
      </w:r>
      <w:r w:rsidRPr="00AC6ACB">
        <w:t>apport de gestion financière pour l'exercice clos le 31 décembre 2024 sont soumis conformément à l'Article 30 du Règlement financier de l'Union (édition 2024).</w:t>
      </w:r>
    </w:p>
    <w:p w14:paraId="011BDDF7" w14:textId="7C9307DB" w:rsidR="00AA6A50" w:rsidRPr="00AC6ACB" w:rsidRDefault="00AA6A50" w:rsidP="00AA6A50">
      <w:r w:rsidRPr="00AC6ACB">
        <w:t>2</w:t>
      </w:r>
      <w:r w:rsidRPr="00AC6ACB">
        <w:tab/>
        <w:t xml:space="preserve">Les </w:t>
      </w:r>
      <w:r w:rsidR="001D5475" w:rsidRPr="00AC6ACB">
        <w:t>É</w:t>
      </w:r>
      <w:r w:rsidRPr="00AC6ACB">
        <w:t>tats financiers sont établis conformément aux normes comptables internationales pour le secteur public (IPSAS) et portent sur toutes les activités de l'Organisation, y compris celles financées par le budget ordinaire, les ressources extrabudgétaires, les produits d'exploitation et les produits financiers.</w:t>
      </w:r>
    </w:p>
    <w:p w14:paraId="251EF68B" w14:textId="009285E6" w:rsidR="00AA6A50" w:rsidRPr="00AC6ACB" w:rsidRDefault="00AA6A50" w:rsidP="00AA6A50">
      <w:pPr>
        <w:pStyle w:val="enumlev1"/>
      </w:pPr>
      <w:r w:rsidRPr="00AC6ACB">
        <w:t>a)</w:t>
      </w:r>
      <w:r w:rsidRPr="00AC6ACB">
        <w:tab/>
        <w:t xml:space="preserve">Le Règlement financier définit un exercice biennal. Toutefois, conformément aux normes IPSAS, des </w:t>
      </w:r>
      <w:r w:rsidR="00CB30C6" w:rsidRPr="00AC6ACB">
        <w:t>É</w:t>
      </w:r>
      <w:r w:rsidRPr="00AC6ACB">
        <w:t>tats financiers doivent être présentés chaque année. Le budget biennal de l'UIT est établi selon un modèle de budget axé sur les résultats et couvre notamment:</w:t>
      </w:r>
    </w:p>
    <w:p w14:paraId="2FE4F39C" w14:textId="080F7CD5" w:rsidR="00AA6A50" w:rsidRPr="00AC6ACB" w:rsidRDefault="00AA6A50" w:rsidP="00AA6A50">
      <w:pPr>
        <w:pStyle w:val="enumlev2"/>
      </w:pPr>
      <w:r w:rsidRPr="00AC6ACB">
        <w:t>i)</w:t>
      </w:r>
      <w:r w:rsidRPr="00AC6ACB">
        <w:tab/>
        <w:t>les contributions des États Membres ainsi que celles des Membres de Secteur, des Associés et des établissements universitaires;</w:t>
      </w:r>
    </w:p>
    <w:p w14:paraId="7D628717" w14:textId="625190CC" w:rsidR="00AA6A50" w:rsidRPr="00AC6ACB" w:rsidRDefault="00AA6A50" w:rsidP="00AA6A50">
      <w:pPr>
        <w:pStyle w:val="enumlev2"/>
      </w:pPr>
      <w:r w:rsidRPr="00AC6ACB">
        <w:t>ii)</w:t>
      </w:r>
      <w:r w:rsidRPr="00AC6ACB">
        <w:tab/>
        <w:t>les autres produits d'exploitation, qui comprennent les produits tirés du recouvrement des coûts (publications, traitement des fiches de notification des réseaux à satellite et fonds extrabudgétaires), les intérêts créditeurs et les autres activités génératrices de produits;</w:t>
      </w:r>
    </w:p>
    <w:p w14:paraId="47E576A0" w14:textId="4936D4F1" w:rsidR="00AA6A50" w:rsidRPr="00AC6ACB" w:rsidRDefault="00AA6A50" w:rsidP="00AA6A50">
      <w:pPr>
        <w:pStyle w:val="enumlev2"/>
      </w:pPr>
      <w:r w:rsidRPr="00AC6ACB">
        <w:t>iii)</w:t>
      </w:r>
      <w:r w:rsidRPr="00AC6ACB">
        <w:tab/>
        <w:t>si nécessaire, les prélèvements sur le Fonds de réserve.</w:t>
      </w:r>
    </w:p>
    <w:p w14:paraId="4904C4B2" w14:textId="63EC13D1" w:rsidR="00AA6A50" w:rsidRPr="00AC6ACB" w:rsidRDefault="00AA6A50" w:rsidP="00AA6A50">
      <w:pPr>
        <w:pStyle w:val="enumlev1"/>
      </w:pPr>
      <w:r w:rsidRPr="00AC6ACB">
        <w:t>b)</w:t>
      </w:r>
      <w:r w:rsidRPr="00AC6ACB">
        <w:tab/>
        <w:t>Les autres produits, y compris les fonds extrabudgétaires, ne sont pas comptabilisés dans le budget de l'Union.</w:t>
      </w:r>
    </w:p>
    <w:p w14:paraId="56FAC212" w14:textId="718E3B87" w:rsidR="00AA6A50" w:rsidRPr="00AC6ACB" w:rsidRDefault="00AA6A50" w:rsidP="00AA6A50">
      <w:r w:rsidRPr="00AC6ACB">
        <w:t>3</w:t>
      </w:r>
      <w:r w:rsidRPr="00AC6ACB">
        <w:tab/>
        <w:t xml:space="preserve">La présentation des </w:t>
      </w:r>
      <w:r w:rsidR="007A38DB" w:rsidRPr="00AC6ACB">
        <w:t>É</w:t>
      </w:r>
      <w:r w:rsidRPr="00AC6ACB">
        <w:t xml:space="preserve">tats financiers selon les normes IPSAS n'a pas d'incidence sur l'élaboration ou la présentation du budget axé sur les résultats de l'UIT, qui continue d'être présenté sur la base d'une comptabilité de caisse modifiée. Les fondements sur lesquels reposent le budget et les </w:t>
      </w:r>
      <w:r w:rsidR="007A38DB" w:rsidRPr="00AC6ACB">
        <w:t>É</w:t>
      </w:r>
      <w:r w:rsidRPr="00AC6ACB">
        <w:t xml:space="preserve">tats financiers étant différents, un rapprochement entre le budget et l'état de la performance financière conformément aux normes IPSAS est présenté dans la Partie V (État de la comparaison des montants budgétés et des montants effectifs), dans la Note 21 relative aux </w:t>
      </w:r>
      <w:r w:rsidR="007A38DB" w:rsidRPr="00AC6ACB">
        <w:t>É</w:t>
      </w:r>
      <w:r w:rsidRPr="00AC6ACB">
        <w:t>tats financiers.</w:t>
      </w:r>
    </w:p>
    <w:p w14:paraId="6CF40B79" w14:textId="6D949AC4" w:rsidR="00AA6A50" w:rsidRPr="00AC6ACB" w:rsidRDefault="00AA6A50" w:rsidP="00AA6A50">
      <w:pPr>
        <w:pStyle w:val="Heading1"/>
      </w:pPr>
      <w:bookmarkStart w:id="16" w:name="_Toc200361399"/>
      <w:r w:rsidRPr="00AC6ACB">
        <w:t xml:space="preserve">Éléments essentiels du </w:t>
      </w:r>
      <w:r w:rsidR="007A38DB" w:rsidRPr="00AC6ACB">
        <w:t>R</w:t>
      </w:r>
      <w:r w:rsidRPr="00AC6ACB">
        <w:t>apport de gestion financière pour 2024</w:t>
      </w:r>
      <w:bookmarkEnd w:id="16"/>
    </w:p>
    <w:p w14:paraId="6969001D" w14:textId="5E7574BF" w:rsidR="00AA6A50" w:rsidRPr="00AC6ACB" w:rsidRDefault="00AA6A50" w:rsidP="00AA6A50">
      <w:r w:rsidRPr="00AC6ACB">
        <w:t>4</w:t>
      </w:r>
      <w:r w:rsidRPr="00AC6ACB">
        <w:tab/>
        <w:t xml:space="preserve">La comptabilité de l'Union est tenue en francs suisses. Les </w:t>
      </w:r>
      <w:r w:rsidR="007A38DB" w:rsidRPr="00AC6ACB">
        <w:t>É</w:t>
      </w:r>
      <w:r w:rsidRPr="00AC6ACB">
        <w:t>tats financiers présentés tiennent compte de toutes les sources de financement de l'Union, y compris le budget ordinaire et les fonds extrabudgétaires.</w:t>
      </w:r>
    </w:p>
    <w:p w14:paraId="74793F4D" w14:textId="7C364CBF" w:rsidR="00AA6A50" w:rsidRPr="00AC6ACB" w:rsidRDefault="00AA6A50" w:rsidP="00AA6A50">
      <w:r w:rsidRPr="00AC6ACB">
        <w:t>5</w:t>
      </w:r>
      <w:r w:rsidRPr="00AC6ACB">
        <w:tab/>
        <w:t>La Figure 1 ci-après récapitule la situation financière de l'UIT en 2024, par rapport à l'année précédente.</w:t>
      </w:r>
    </w:p>
    <w:p w14:paraId="28A6EB56" w14:textId="2B7EF178" w:rsidR="00231C2D" w:rsidRPr="00AC6ACB" w:rsidRDefault="00231C2D" w:rsidP="00231C2D">
      <w:pPr>
        <w:pStyle w:val="Figuretitle"/>
        <w:spacing w:after="0"/>
      </w:pPr>
      <w:r w:rsidRPr="00AC6ACB">
        <w:lastRenderedPageBreak/>
        <w:t>Figure 1</w:t>
      </w:r>
      <w:r w:rsidR="00035363" w:rsidRPr="00AC6ACB">
        <w:t xml:space="preserve"> –</w:t>
      </w:r>
      <w:r w:rsidRPr="00AC6ACB">
        <w:t xml:space="preserve"> Situation financière pour les exercices 2024 et 2023</w:t>
      </w:r>
    </w:p>
    <w:p w14:paraId="2C963831" w14:textId="269EFB7D" w:rsidR="00AA6A50" w:rsidRPr="00AC6ACB" w:rsidRDefault="00231C2D" w:rsidP="00231C2D">
      <w:pPr>
        <w:keepNext/>
        <w:jc w:val="center"/>
        <w:rPr>
          <w:i/>
          <w:iCs/>
        </w:rPr>
      </w:pPr>
      <w:r w:rsidRPr="00AC6ACB">
        <w:rPr>
          <w:i/>
          <w:iCs/>
        </w:rPr>
        <w:t>(en millions CHF)</w:t>
      </w:r>
    </w:p>
    <w:p w14:paraId="669770E3" w14:textId="62AB98B6" w:rsidR="00231C2D" w:rsidRPr="00AC6ACB" w:rsidRDefault="008870B9" w:rsidP="00231C2D">
      <w:pPr>
        <w:pStyle w:val="Figure"/>
      </w:pPr>
      <w:r w:rsidRPr="00AC6ACB">
        <w:rPr>
          <w:noProof/>
        </w:rPr>
        <w:drawing>
          <wp:inline distT="0" distB="0" distL="0" distR="0" wp14:anchorId="62E52462" wp14:editId="24BB131A">
            <wp:extent cx="4194000" cy="2596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4000" cy="2596728"/>
                    </a:xfrm>
                    <a:prstGeom prst="rect">
                      <a:avLst/>
                    </a:prstGeom>
                    <a:noFill/>
                  </pic:spPr>
                </pic:pic>
              </a:graphicData>
            </a:graphic>
          </wp:inline>
        </w:drawing>
      </w:r>
    </w:p>
    <w:p w14:paraId="62737985" w14:textId="5030372A" w:rsidR="00204BFC" w:rsidRPr="00AC6ACB" w:rsidRDefault="00204BFC" w:rsidP="00204BFC">
      <w:pPr>
        <w:pStyle w:val="Normalaftertitle"/>
      </w:pPr>
      <w:r w:rsidRPr="00AC6ACB">
        <w:t>6</w:t>
      </w:r>
      <w:r w:rsidRPr="00AC6ACB">
        <w:tab/>
        <w:t>Comme indiqué dans la Figure 1 ci-dessus, on constate une augmentation de 4,0 millions CHF du niveau global total des produits en 2024 par rapport à 2023. La principale raison en est l'augmentation des contributions mises en recouvrement (3,3 millions CHF). Ladite augmentation découle du fait que l'UIT a débuté un nouveau cycle budgétaire à la suite du Plan financier 2024-2027 approuvé lors de la dernière Conférence de plénipotentiaires et que certains États Membres ont augmenté le niveau de leurs contributions. Les produits provenant des publications ont augmenté de 2,5 millions CHF et celles provenant des fonds extrabudgétaires de 2,3 millions CHF, ce qui est compensé par une diminution de 4,1 millions CHF des autres sources de produits (y compris les fiches de notification des réseaux à satellite (SNF)). Dans l'ensemble, les charges pour 2024 ont augmenté de 24,8 millions CHF, passant de 197,2 millions CHF à 222,0 millions CHF, ce qui est principalement dû à la dépréciation du projet de nouveau bâtiment à hauteur de 21,0 millions CHF et à la comptabilisation d'une provision de 6,4 millions CHF dans les contributions mises en recouvrement et d'une provision de 5,0 millions CHF pour la résiliation d'un accord de parrainage à la suite de la révision du projet de nouveau bâtiment. Cela est largement compensé par une diminution de 8,2 millions CHF des charges de personnel.</w:t>
      </w:r>
    </w:p>
    <w:p w14:paraId="6D19F374" w14:textId="6674E29D" w:rsidR="00D8285C" w:rsidRPr="00AC6ACB" w:rsidRDefault="00204BFC" w:rsidP="00D8285C">
      <w:r w:rsidRPr="00AC6ACB">
        <w:t>7</w:t>
      </w:r>
      <w:r w:rsidRPr="00AC6ACB">
        <w:tab/>
        <w:t>Les produits financiers/coûts sont passés de pertes de 8,3 millions CHF en 2023 à des produits de 9,5 millions CHF en 2024. La variation de 17,8 millions CHF s'explique principalement par l'amélioration sensible des gains de change, à hauteur de 14,3 millions CHF, par suite d'une évolution plus favorable des taux de change, en</w:t>
      </w:r>
      <w:r w:rsidR="00B71B38" w:rsidRPr="00AC6ACB">
        <w:t> </w:t>
      </w:r>
      <w:r w:rsidRPr="00AC6ACB">
        <w:t xml:space="preserve">particulier du dollar des États-Unis par rapport au franc suisse. Par ailleurs, la valeur actualisée nette des prêts de la FIPOI a diminué de 3,4 millions CHF en raison d'une baisse des taux d'intérêt. En ce qui concerne les investissements, les taux d'intérêt sont restés stables en </w:t>
      </w:r>
      <w:r w:rsidR="0099175D" w:rsidRPr="00AC6ACB">
        <w:t xml:space="preserve">dollars </w:t>
      </w:r>
      <w:r w:rsidR="009B3671" w:rsidRPr="00AC6ACB">
        <w:t>des États-Unis</w:t>
      </w:r>
      <w:r w:rsidRPr="00AC6ACB">
        <w:t xml:space="preserve">, principale monnaie de placement de l'UIT, ce qui a permis de dégager des produits de 4,6 millions CHF, de la même façon que l'année précédente. Cependant, l'UIT a entrepris de renforcer ses pratiques de gestion des devises pour mieux </w:t>
      </w:r>
      <w:r w:rsidR="00D8285C" w:rsidRPr="00AC6ACB">
        <w:br w:type="page"/>
      </w:r>
    </w:p>
    <w:p w14:paraId="0309DAAE" w14:textId="2F8A70E6" w:rsidR="00204BFC" w:rsidRPr="00AC6ACB" w:rsidRDefault="00204BFC" w:rsidP="00D8285C">
      <w:r w:rsidRPr="00AC6ACB">
        <w:lastRenderedPageBreak/>
        <w:t>aligner ses placements en devises sur sa monnaie fonctionnelle (le CHF), de façon à diminuer l'exposition à l'instabilité des taux de change et à garantir une prévisibilité et une stabilité accrues des résultats financiers.</w:t>
      </w:r>
    </w:p>
    <w:p w14:paraId="2C170640" w14:textId="7DED24DB" w:rsidR="00204BFC" w:rsidRPr="00AC6ACB" w:rsidRDefault="00204BFC" w:rsidP="00204BFC">
      <w:r w:rsidRPr="00AC6ACB">
        <w:t>8</w:t>
      </w:r>
      <w:r w:rsidRPr="00AC6ACB">
        <w:tab/>
        <w:t>Les actifs de l'Organisation ont augmenté de 14,7 millions CHF, essentiellement en raison de la diminution de la trésorerie et des équivalents de trésorerie et des créances, compensée par une augmentation des placements et des biens en construction. Le passif a augmenté de 74,8 millions CHF, principalement en raison de l'augmentation du passif du Fonds de l'</w:t>
      </w:r>
      <w:r w:rsidR="00751CB3" w:rsidRPr="00AC6ACB">
        <w:t>a</w:t>
      </w:r>
      <w:r w:rsidRPr="00AC6ACB">
        <w:t>ssurance maladie après la cessation de service (ASHI) et de produits différés liés à des accords extrabudgétaires.</w:t>
      </w:r>
    </w:p>
    <w:p w14:paraId="0A579235" w14:textId="5532D790" w:rsidR="00204BFC" w:rsidRPr="00AC6ACB" w:rsidRDefault="00204BFC" w:rsidP="00204BFC">
      <w:r w:rsidRPr="00AC6ACB">
        <w:t>9</w:t>
      </w:r>
      <w:r w:rsidRPr="00AC6ACB">
        <w:tab/>
        <w:t>Le déficit de 27,8 millions CHF en 2024 (État II) (contre un déficit de 24,8 millions CHF en</w:t>
      </w:r>
      <w:r w:rsidR="00B71B38" w:rsidRPr="00AC6ACB">
        <w:t> </w:t>
      </w:r>
      <w:r w:rsidRPr="00AC6ACB">
        <w:t>2023) est dû au fait que le montant total des charges dépasse le montant des produits pour l'Organisation sur l'année. Il est à noter cependant que le budget du programme de</w:t>
      </w:r>
      <w:r w:rsidR="00B71B38" w:rsidRPr="00AC6ACB">
        <w:t> </w:t>
      </w:r>
      <w:r w:rsidRPr="00AC6ACB">
        <w:t>l'UIT enregistre un excédent de 5,7 millions CHF (État V). Les principales différences entre l'État</w:t>
      </w:r>
      <w:r w:rsidR="00B71B38" w:rsidRPr="00AC6ACB">
        <w:t> </w:t>
      </w:r>
      <w:r w:rsidRPr="00AC6ACB">
        <w:t xml:space="preserve">V et l'État II sont dues avant tout à la dépréciation du nouveau bâtiment (21,0 millions CHF), aux charges liées à l'ASHI (7,8 millions CHF), et aux provisions pour créances douteuses (6,4 millions CHF) et pour la cessation du parrainage lié au projet de nouveau bâtiment (5,0 millions CHF), partiellement compensées par la capitalisation des stocks, les gains de change sur les placements et les opérations et l'ajustement du prêt de la FIPOI. Le détail de ces éléments figure dans l'État V et on en trouvera une description dans la Note 21 des </w:t>
      </w:r>
      <w:r w:rsidR="00CB30C6" w:rsidRPr="00AC6ACB">
        <w:t>É</w:t>
      </w:r>
      <w:r w:rsidRPr="00AC6ACB">
        <w:t>tats financiers. La Secrétaire générale présentera un document dans lequel des propositions seront communiquées au Conseil afin qu'il les approuve pour financer les activités prioritaires pour 2025.</w:t>
      </w:r>
    </w:p>
    <w:p w14:paraId="5C90B446" w14:textId="77777777" w:rsidR="00204BFC" w:rsidRPr="00AC6ACB" w:rsidRDefault="00204BFC" w:rsidP="00204BFC">
      <w:pPr>
        <w:pStyle w:val="Headingb"/>
        <w:rPr>
          <w:sz w:val="28"/>
          <w:szCs w:val="22"/>
        </w:rPr>
      </w:pPr>
      <w:bookmarkStart w:id="17" w:name="_Toc200093195"/>
      <w:bookmarkStart w:id="18" w:name="_Toc200361400"/>
      <w:r w:rsidRPr="00AC6ACB">
        <w:rPr>
          <w:sz w:val="28"/>
          <w:szCs w:val="22"/>
        </w:rPr>
        <w:t>Performance financière</w:t>
      </w:r>
      <w:bookmarkEnd w:id="17"/>
      <w:bookmarkEnd w:id="18"/>
    </w:p>
    <w:p w14:paraId="3660C409" w14:textId="77777777" w:rsidR="00204BFC" w:rsidRPr="00AC6ACB" w:rsidRDefault="00204BFC" w:rsidP="00204BFC">
      <w:pPr>
        <w:pStyle w:val="Headingb"/>
      </w:pPr>
      <w:bookmarkStart w:id="19" w:name="_Toc200093196"/>
      <w:bookmarkStart w:id="20" w:name="_Toc200361401"/>
      <w:r w:rsidRPr="00AC6ACB">
        <w:t>Produits</w:t>
      </w:r>
      <w:bookmarkEnd w:id="19"/>
      <w:bookmarkEnd w:id="20"/>
    </w:p>
    <w:p w14:paraId="394D689C" w14:textId="299CD212" w:rsidR="00204BFC" w:rsidRPr="00AC6ACB" w:rsidRDefault="00204BFC" w:rsidP="00204BFC">
      <w:pPr>
        <w:pStyle w:val="Normalaftertitle"/>
      </w:pPr>
      <w:r w:rsidRPr="00AC6ACB">
        <w:t>10</w:t>
      </w:r>
      <w:r w:rsidRPr="00AC6ACB">
        <w:tab/>
        <w:t>En 2024, les produits de l'UIT s'élevaient à 184,6 millions CHF, contre</w:t>
      </w:r>
      <w:r w:rsidR="00D8285C" w:rsidRPr="00AC6ACB">
        <w:t xml:space="preserve"> </w:t>
      </w:r>
      <w:r w:rsidRPr="00AC6ACB">
        <w:t>180,7 millions CHF en 2023. Le Tableau 1 ci-dessous indique les principales sources de produits pour 2024 et 2023. Les produits tirés des contributions mises en recouvrement et des contributions extrabudgétaires ont augmenté de 5,6 million CHF. Les produits tirés des publications et du traitement des fiches de notification de réseaux à satellite ont diminué de 0,5 million CHF. Les autres produits ont diminué de 1,1 million CHF.</w:t>
      </w:r>
    </w:p>
    <w:p w14:paraId="69B2EC41" w14:textId="27897278" w:rsidR="00204BFC" w:rsidRPr="00AC6ACB" w:rsidRDefault="00204BFC" w:rsidP="00204BFC">
      <w:pPr>
        <w:pStyle w:val="Normalaftertitle"/>
      </w:pPr>
      <w:r w:rsidRPr="00AC6ACB">
        <w:t>11</w:t>
      </w:r>
      <w:r w:rsidRPr="00AC6ACB">
        <w:tab/>
        <w:t xml:space="preserve">Dans l'ensemble, les produits financiers de l'Organisation enregistrent une nette amélioration par rapport à l'année précédente, passant de coûts financiers d'un montant de 8,3 millions CHF en 2023 à des produits financiers d'un montant de 9,5 millions CHF en 2024. Cela résulte directement de l'évolution plus favorable des taux de change du dollar </w:t>
      </w:r>
      <w:r w:rsidR="00DC2039" w:rsidRPr="00AC6ACB">
        <w:t>américain</w:t>
      </w:r>
      <w:r w:rsidRPr="00AC6ACB">
        <w:t xml:space="preserve"> et de l'euro par rapport au franc suisse. De plus, la baisse du taux d'intérêt utilisé pour l'estimation de la valeur actualisée nette des prêts de la FIPOI a été favorable par rapport à 2023 (mouvement positif de 3,4 millions CHF). Les taux d'intérêt sur les placements effectués durant l'année ont été plutôt stables et ont permis des produits d'un montant de 4,6 millions de francs suisses, de la même façon que l'année précédente.</w:t>
      </w:r>
    </w:p>
    <w:p w14:paraId="0A3C0B55" w14:textId="20518A4B" w:rsidR="00231C2D" w:rsidRPr="00AC6ACB" w:rsidRDefault="00204BFC" w:rsidP="00204BFC">
      <w:pPr>
        <w:pStyle w:val="Tabletitle"/>
        <w:spacing w:before="240"/>
      </w:pPr>
      <w:r w:rsidRPr="00AC6ACB">
        <w:lastRenderedPageBreak/>
        <w:t>Tableau 1</w:t>
      </w:r>
      <w:r w:rsidR="00035363" w:rsidRPr="00AC6ACB">
        <w:t xml:space="preserve"> –</w:t>
      </w:r>
      <w:r w:rsidRPr="00AC6ACB">
        <w:t xml:space="preserve"> Sources de produits pour 2024 et 2023</w:t>
      </w:r>
    </w:p>
    <w:p w14:paraId="402A94C8" w14:textId="69D04430" w:rsidR="00204BFC" w:rsidRPr="00AC6ACB" w:rsidRDefault="00035363" w:rsidP="00035363">
      <w:pPr>
        <w:pStyle w:val="Figure"/>
      </w:pPr>
      <w:r w:rsidRPr="00AC6ACB">
        <w:rPr>
          <w:noProof/>
        </w:rPr>
        <w:drawing>
          <wp:inline distT="0" distB="0" distL="0" distR="0" wp14:anchorId="150302F2" wp14:editId="163AD37E">
            <wp:extent cx="4286885" cy="2385060"/>
            <wp:effectExtent l="0" t="0" r="0" b="0"/>
            <wp:docPr id="18430576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885" cy="2385060"/>
                    </a:xfrm>
                    <a:prstGeom prst="rect">
                      <a:avLst/>
                    </a:prstGeom>
                    <a:noFill/>
                    <a:ln>
                      <a:noFill/>
                    </a:ln>
                  </pic:spPr>
                </pic:pic>
              </a:graphicData>
            </a:graphic>
          </wp:inline>
        </w:drawing>
      </w:r>
    </w:p>
    <w:p w14:paraId="03B6F38A" w14:textId="52A27F8F" w:rsidR="00035363" w:rsidRPr="00AC6ACB" w:rsidRDefault="00035363" w:rsidP="00035363">
      <w:pPr>
        <w:pStyle w:val="Figuretitle"/>
        <w:spacing w:before="480"/>
      </w:pPr>
      <w:r w:rsidRPr="00AC6ACB">
        <w:t>Figure 2 – Analyse de la ventilation des produits pour 2024</w:t>
      </w:r>
    </w:p>
    <w:p w14:paraId="2AD192E8" w14:textId="3593886B" w:rsidR="00035363" w:rsidRPr="00AC6ACB" w:rsidRDefault="00035363" w:rsidP="00035363">
      <w:pPr>
        <w:pStyle w:val="Figure"/>
      </w:pPr>
      <w:r w:rsidRPr="00AC6ACB">
        <w:rPr>
          <w:noProof/>
        </w:rPr>
        <w:drawing>
          <wp:inline distT="0" distB="0" distL="0" distR="0" wp14:anchorId="38AACBF1" wp14:editId="6D7068BD">
            <wp:extent cx="5759564" cy="2861681"/>
            <wp:effectExtent l="0" t="0" r="0" b="0"/>
            <wp:docPr id="1269334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429" b="6642"/>
                    <a:stretch/>
                  </pic:blipFill>
                  <pic:spPr bwMode="auto">
                    <a:xfrm>
                      <a:off x="0" y="0"/>
                      <a:ext cx="5760085" cy="2861940"/>
                    </a:xfrm>
                    <a:prstGeom prst="rect">
                      <a:avLst/>
                    </a:prstGeom>
                    <a:noFill/>
                    <a:ln>
                      <a:noFill/>
                    </a:ln>
                    <a:extLst>
                      <a:ext uri="{53640926-AAD7-44D8-BBD7-CCE9431645EC}">
                        <a14:shadowObscured xmlns:a14="http://schemas.microsoft.com/office/drawing/2010/main"/>
                      </a:ext>
                    </a:extLst>
                  </pic:spPr>
                </pic:pic>
              </a:graphicData>
            </a:graphic>
          </wp:inline>
        </w:drawing>
      </w:r>
    </w:p>
    <w:p w14:paraId="2939FB6D" w14:textId="77777777" w:rsidR="00A97F80" w:rsidRPr="00AC6ACB" w:rsidRDefault="00A97F80" w:rsidP="00A97F80">
      <w:pPr>
        <w:pStyle w:val="Normalaftertitle"/>
      </w:pPr>
      <w:r w:rsidRPr="00AC6ACB">
        <w:t>12</w:t>
      </w:r>
      <w:r w:rsidRPr="00AC6ACB">
        <w:tab/>
        <w:t>Comme le montre la Figure 2 ci-dessus, les produits proviennent essentiellement des contributions mises en recouvrement (67%), puis des autres produits d'exploitation (16%), qui comprennent les ventes de publications, le traitement des fiches de notification des réseaux à satellite et les autres produits.</w:t>
      </w:r>
    </w:p>
    <w:p w14:paraId="306F4689" w14:textId="50AF021F" w:rsidR="00A97F80" w:rsidRPr="00AC6ACB" w:rsidRDefault="00A97F80" w:rsidP="00A97F80">
      <w:r w:rsidRPr="00AC6ACB">
        <w:t>13</w:t>
      </w:r>
      <w:r w:rsidRPr="00AC6ACB">
        <w:tab/>
        <w:t>Les contributions extrabudgétaires comptabilisées pour 2024 représentent 11% de tous les produits (21,3 millions CHF) (contre 19,0 millions CHF en 2023). Cette augmentation s'explique des taux d'exécution plus élevés et la conclusion de nouveaux accords en 2024 par rapport à 2023.</w:t>
      </w:r>
    </w:p>
    <w:p w14:paraId="37F1C99D" w14:textId="77777777" w:rsidR="00A97F80" w:rsidRPr="00AC6ACB" w:rsidRDefault="00A97F80" w:rsidP="00A97F80">
      <w:r w:rsidRPr="00AC6ACB">
        <w:t>14</w:t>
      </w:r>
      <w:r w:rsidRPr="00AC6ACB">
        <w:tab/>
        <w:t>La mise en œuvre des contributions extrabudgétaires a généré des produits d'un montant de 1,2 million CHF en 2024 (1 million CHF en 2023) à titre de coût d'appui.</w:t>
      </w:r>
    </w:p>
    <w:p w14:paraId="51D06FB0" w14:textId="64F14F5A" w:rsidR="00A97F80" w:rsidRPr="00AC6ACB" w:rsidRDefault="00A97F80" w:rsidP="00A97F80">
      <w:pPr>
        <w:pStyle w:val="Headingb"/>
        <w:rPr>
          <w:sz w:val="28"/>
          <w:szCs w:val="22"/>
        </w:rPr>
      </w:pPr>
      <w:bookmarkStart w:id="21" w:name="_Toc200093197"/>
      <w:bookmarkStart w:id="22" w:name="_Toc200361402"/>
      <w:r w:rsidRPr="00AC6ACB">
        <w:rPr>
          <w:sz w:val="28"/>
          <w:szCs w:val="22"/>
        </w:rPr>
        <w:lastRenderedPageBreak/>
        <w:t>Recouvrement des coûts</w:t>
      </w:r>
      <w:bookmarkEnd w:id="21"/>
      <w:bookmarkEnd w:id="22"/>
    </w:p>
    <w:p w14:paraId="4459A31B" w14:textId="34C9A753" w:rsidR="00A97F80" w:rsidRPr="00AC6ACB" w:rsidRDefault="00A97F80" w:rsidP="00A97F80">
      <w:r w:rsidRPr="00AC6ACB">
        <w:t>15</w:t>
      </w:r>
      <w:r w:rsidRPr="00AC6ACB">
        <w:tab/>
        <w:t>L'UIT a fait tout son possible pour recouvrer les coûts d'appui des activités de service au moyen d'un prélèvement sur les charges liées aux contributions extrabudgétaires. En 2024, elle a recouvré au titre des coûts d'appui des produits d'un montant de 1,2 million CHF pour les charges de projet, soit un taux moyen de 7% pour les coûts d'appui aux programmes (1,0 million CHF, soit 7% en 2023). Cette légère augmentation s'explique par un volume plus important de charges de projet et par une modification de la répartition des ressources liées aux accords de contribution. À l'heure actuelle, des exonérations de coûts d'appui continuent d'être accordées pour les contributions volontaires et les demandes de partenaires de financement.</w:t>
      </w:r>
    </w:p>
    <w:p w14:paraId="3DD3196D" w14:textId="77777777" w:rsidR="00A97F80" w:rsidRPr="00AC6ACB" w:rsidRDefault="00A97F80" w:rsidP="00A97F80">
      <w:pPr>
        <w:pStyle w:val="Headingb"/>
        <w:rPr>
          <w:sz w:val="28"/>
          <w:szCs w:val="22"/>
        </w:rPr>
      </w:pPr>
      <w:bookmarkStart w:id="23" w:name="_Toc200093198"/>
      <w:bookmarkStart w:id="24" w:name="_Toc200361403"/>
      <w:r w:rsidRPr="00AC6ACB">
        <w:rPr>
          <w:sz w:val="28"/>
          <w:szCs w:val="22"/>
        </w:rPr>
        <w:t>Charges</w:t>
      </w:r>
      <w:bookmarkEnd w:id="23"/>
      <w:bookmarkEnd w:id="24"/>
    </w:p>
    <w:p w14:paraId="76C91386" w14:textId="2540EF80" w:rsidR="00A97F80" w:rsidRPr="00AC6ACB" w:rsidRDefault="00A97F80" w:rsidP="00A97F80">
      <w:r w:rsidRPr="00AC6ACB">
        <w:t>16</w:t>
      </w:r>
      <w:r w:rsidRPr="00AC6ACB">
        <w:tab/>
        <w:t>En 2024, les charges de l'UIT se sont élevées à 222,0 millions CHF (197,2 millions CHF en 2023), soit une augmentation de 12,6% par rapport à 2023. Le Tableau 2 présente la comparaison des charges entre 2024 et 2023. Il est à noter que le poste le plus important, à savoir les charges de personnel en 2024, est inférieur de 8,2 millions CHF à son montant pour 2023. La principale augmentation pour 2024 est liée à la dépréciation du nouveau bâtiment pour un montant de 21,0 millions CHF par suite de la décision du Conseil de mettre à exécution le projet de bâtiment réévalué. En outre, l'UIT a dû augmenter la provision constituée pour les contributions mises en recouvrement en 2024 à 6,4 millions CHF en</w:t>
      </w:r>
      <w:r w:rsidR="00D67E64" w:rsidRPr="00AC6ACB">
        <w:t> </w:t>
      </w:r>
      <w:r w:rsidRPr="00AC6ACB">
        <w:t>raison de cas de non-paiement par les États Membres ainsi que la provision d'un montant de 5,0 millions CHF constituée à la suite de la résiliation d'un accord de parrainage en raison de la révision du projet de nouveau bâtiment.</w:t>
      </w:r>
    </w:p>
    <w:p w14:paraId="6E1D8250" w14:textId="72A32937" w:rsidR="00A97F80" w:rsidRPr="00AC6ACB" w:rsidRDefault="007A75F9" w:rsidP="007A75F9">
      <w:pPr>
        <w:pStyle w:val="Tabletitle"/>
        <w:spacing w:before="240"/>
      </w:pPr>
      <w:r w:rsidRPr="00AC6ACB">
        <w:t>Tableau 2 – Comparaison des charges entre 2024 et 2023</w:t>
      </w:r>
    </w:p>
    <w:p w14:paraId="26DB59C6" w14:textId="387B3B9A" w:rsidR="007A75F9" w:rsidRPr="00AC6ACB" w:rsidRDefault="007A75F9" w:rsidP="007A75F9">
      <w:pPr>
        <w:pStyle w:val="Figure"/>
      </w:pPr>
      <w:r w:rsidRPr="00AC6ACB">
        <w:rPr>
          <w:noProof/>
        </w:rPr>
        <w:drawing>
          <wp:inline distT="0" distB="0" distL="0" distR="0" wp14:anchorId="783F1514" wp14:editId="0C231221">
            <wp:extent cx="4908550" cy="2143125"/>
            <wp:effectExtent l="0" t="0" r="6350" b="9525"/>
            <wp:docPr id="1213613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8550" cy="2143125"/>
                    </a:xfrm>
                    <a:prstGeom prst="rect">
                      <a:avLst/>
                    </a:prstGeom>
                    <a:noFill/>
                    <a:ln>
                      <a:noFill/>
                    </a:ln>
                  </pic:spPr>
                </pic:pic>
              </a:graphicData>
            </a:graphic>
          </wp:inline>
        </w:drawing>
      </w:r>
    </w:p>
    <w:p w14:paraId="329C6B45" w14:textId="594062F9" w:rsidR="007A75F9" w:rsidRPr="00AC6ACB" w:rsidRDefault="007A75F9" w:rsidP="007A75F9">
      <w:pPr>
        <w:pStyle w:val="Normalaftertitle"/>
      </w:pPr>
      <w:r w:rsidRPr="00AC6ACB">
        <w:t>17</w:t>
      </w:r>
      <w:r w:rsidRPr="00AC6ACB">
        <w:tab/>
        <w:t>La Figure 3 (Composition des charges en 2024) montre la ventilation des différentes charges par nature, laquelle met en évidence le niveau élevé des charges de personnel à l'UIT, qui représentent 64,2% du total des coûts. Toutefois, ce montant a diminué de 6% par</w:t>
      </w:r>
      <w:r w:rsidR="00A62051" w:rsidRPr="00AC6ACB">
        <w:t xml:space="preserve"> </w:t>
      </w:r>
      <w:r w:rsidRPr="00AC6ACB">
        <w:t xml:space="preserve">rapport à 2023 en raison d'une diminution de 3,8 millions CHF des charges nettes liées aux services pour l'ASHI, et des effets du programme de départs volontaires (3 millions CHF en 2023), qui ont permis une réduction du nombre d'équivalents temps plein en 2024 par rapport à 2023. Après les charges de personnel, les services contractuels constituent la catégorie de charges la plus importante, à hauteur de 9,3%, ce qui est comparable à 2023. </w:t>
      </w:r>
      <w:r w:rsidRPr="00AC6ACB">
        <w:br w:type="page"/>
      </w:r>
    </w:p>
    <w:p w14:paraId="4AE8D3F7" w14:textId="662EF5E6" w:rsidR="007A75F9" w:rsidRPr="00AC6ACB" w:rsidRDefault="007A75F9" w:rsidP="007A75F9">
      <w:pPr>
        <w:pStyle w:val="Normalaftertitle"/>
      </w:pPr>
      <w:r w:rsidRPr="00AC6ACB">
        <w:lastRenderedPageBreak/>
        <w:t>Les autres charges ont augmenté en 2024 en raison de l'augmentation de la provision pour créances douteuses et de la provision consécutive à la résiliation d'un accord de parrainage lié au nouveau bâtiment.</w:t>
      </w:r>
    </w:p>
    <w:p w14:paraId="25EFAE99" w14:textId="35CC136E" w:rsidR="007A75F9" w:rsidRPr="00AC6ACB" w:rsidRDefault="007A75F9" w:rsidP="007A75F9">
      <w:pPr>
        <w:pStyle w:val="Figuretitle"/>
      </w:pPr>
      <w:r w:rsidRPr="00AC6ACB">
        <w:t>Figure 3 – Composition des charges en 2024 (222,0 millions CHF)</w:t>
      </w:r>
    </w:p>
    <w:p w14:paraId="5FD0C2E4" w14:textId="0D2E6E86" w:rsidR="007A75F9" w:rsidRPr="00AC6ACB" w:rsidRDefault="007A75F9" w:rsidP="007A75F9">
      <w:pPr>
        <w:pStyle w:val="Figure"/>
      </w:pPr>
      <w:r w:rsidRPr="00AC6ACB">
        <w:rPr>
          <w:noProof/>
        </w:rPr>
        <w:drawing>
          <wp:inline distT="0" distB="0" distL="0" distR="0" wp14:anchorId="444F6387" wp14:editId="0E63C64C">
            <wp:extent cx="5504578" cy="2848432"/>
            <wp:effectExtent l="0" t="0" r="0" b="0"/>
            <wp:docPr id="236811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8322" cy="2860719"/>
                    </a:xfrm>
                    <a:prstGeom prst="rect">
                      <a:avLst/>
                    </a:prstGeom>
                    <a:noFill/>
                  </pic:spPr>
                </pic:pic>
              </a:graphicData>
            </a:graphic>
          </wp:inline>
        </w:drawing>
      </w:r>
    </w:p>
    <w:p w14:paraId="7EBB852B" w14:textId="77777777" w:rsidR="007A75F9" w:rsidRPr="00AC6ACB" w:rsidRDefault="007A75F9" w:rsidP="007A75F9">
      <w:pPr>
        <w:pStyle w:val="Headingb"/>
        <w:rPr>
          <w:sz w:val="28"/>
          <w:szCs w:val="22"/>
        </w:rPr>
      </w:pPr>
      <w:bookmarkStart w:id="25" w:name="_Toc200093199"/>
      <w:bookmarkStart w:id="26" w:name="_Toc200361404"/>
      <w:r w:rsidRPr="00AC6ACB">
        <w:rPr>
          <w:sz w:val="28"/>
          <w:szCs w:val="22"/>
        </w:rPr>
        <w:t>Situation financière</w:t>
      </w:r>
      <w:bookmarkEnd w:id="25"/>
      <w:bookmarkEnd w:id="26"/>
    </w:p>
    <w:p w14:paraId="7AF0C8F7" w14:textId="1185ABD4" w:rsidR="007A75F9" w:rsidRPr="00AC6ACB" w:rsidRDefault="007A75F9" w:rsidP="007A75F9">
      <w:pPr>
        <w:pStyle w:val="Normalaftertitle"/>
      </w:pPr>
      <w:r w:rsidRPr="00AC6ACB">
        <w:t>18</w:t>
      </w:r>
      <w:r w:rsidRPr="00AC6ACB">
        <w:tab/>
        <w:t>Au 31 décembre 2024, l'actif net négatif de l'Organisation s'élevait à 318,0 millions CHF, avec un actif total de 322,7 millions CHF et un passif total de</w:t>
      </w:r>
      <w:r w:rsidR="00316395" w:rsidRPr="00AC6ACB">
        <w:t> </w:t>
      </w:r>
      <w:r w:rsidRPr="00AC6ACB">
        <w:t>640,7</w:t>
      </w:r>
      <w:r w:rsidR="00316395" w:rsidRPr="00AC6ACB">
        <w:t> </w:t>
      </w:r>
      <w:r w:rsidRPr="00AC6ACB">
        <w:t>millions CHF, comme indiqué dans le Tableau 3 ci-dessous. L'actif net négatif a augmenté de 60,6 millions CHF par rapport à 2023. Ce mouvement négatif s'explique principalement par les variations du taux d'actualisation et les modifications apportées aux hypothèses retenues pour l'évaluation de l'ASHI avec un taux d'actualisation de 1,40% en</w:t>
      </w:r>
      <w:r w:rsidR="00316395" w:rsidRPr="00AC6ACB">
        <w:t> </w:t>
      </w:r>
      <w:r w:rsidRPr="00AC6ACB">
        <w:t>2024 (contre 1,90% en 2023). Ces modifications ont entraîné une augmentation de</w:t>
      </w:r>
      <w:r w:rsidR="00316395" w:rsidRPr="00AC6ACB">
        <w:t> </w:t>
      </w:r>
      <w:r w:rsidRPr="00AC6ACB">
        <w:t>40,5</w:t>
      </w:r>
      <w:r w:rsidR="00316395" w:rsidRPr="00AC6ACB">
        <w:t> </w:t>
      </w:r>
      <w:r w:rsidRPr="00AC6ACB">
        <w:t>millions CHF du passif de l'ASHI, qui est passé de 375,3 millions CHF à</w:t>
      </w:r>
      <w:r w:rsidR="00316395" w:rsidRPr="00AC6ACB">
        <w:t> </w:t>
      </w:r>
      <w:r w:rsidRPr="00AC6ACB">
        <w:t>415,8</w:t>
      </w:r>
      <w:r w:rsidR="00316395" w:rsidRPr="00AC6ACB">
        <w:t> </w:t>
      </w:r>
      <w:r w:rsidRPr="00AC6ACB">
        <w:t>millions</w:t>
      </w:r>
      <w:r w:rsidR="00316395" w:rsidRPr="00AC6ACB">
        <w:t> </w:t>
      </w:r>
      <w:r w:rsidRPr="00AC6ACB">
        <w:t>CHF.</w:t>
      </w:r>
    </w:p>
    <w:p w14:paraId="03DE2527" w14:textId="025A9FCC" w:rsidR="007A75F9" w:rsidRPr="00AC6ACB" w:rsidRDefault="007A75F9" w:rsidP="00316395">
      <w:pPr>
        <w:pStyle w:val="Tabletitle"/>
        <w:spacing w:before="240"/>
      </w:pPr>
      <w:r w:rsidRPr="00AC6ACB">
        <w:t>Tableau 3 – Résumé de l'actif, du passif et de l'actif net</w:t>
      </w:r>
    </w:p>
    <w:p w14:paraId="2D33D691" w14:textId="4A412676" w:rsidR="00316395" w:rsidRPr="00AC6ACB" w:rsidRDefault="00316395" w:rsidP="00316395">
      <w:pPr>
        <w:pStyle w:val="Figure"/>
        <w:keepNext w:val="0"/>
        <w:keepLines w:val="0"/>
      </w:pPr>
      <w:r w:rsidRPr="00AC6ACB">
        <w:rPr>
          <w:noProof/>
        </w:rPr>
        <w:drawing>
          <wp:inline distT="0" distB="0" distL="0" distR="0" wp14:anchorId="440C42BE" wp14:editId="0C022B3B">
            <wp:extent cx="5274310" cy="1250950"/>
            <wp:effectExtent l="0" t="0" r="2540" b="6350"/>
            <wp:docPr id="1926945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250950"/>
                    </a:xfrm>
                    <a:prstGeom prst="rect">
                      <a:avLst/>
                    </a:prstGeom>
                    <a:noFill/>
                    <a:ln>
                      <a:noFill/>
                    </a:ln>
                  </pic:spPr>
                </pic:pic>
              </a:graphicData>
            </a:graphic>
          </wp:inline>
        </w:drawing>
      </w:r>
    </w:p>
    <w:p w14:paraId="62142285" w14:textId="77777777" w:rsidR="00316395" w:rsidRPr="00AC6ACB" w:rsidRDefault="00316395" w:rsidP="00316395">
      <w:pPr>
        <w:pStyle w:val="Headingb"/>
        <w:rPr>
          <w:sz w:val="28"/>
          <w:szCs w:val="22"/>
        </w:rPr>
      </w:pPr>
      <w:bookmarkStart w:id="27" w:name="_Toc200093200"/>
      <w:bookmarkStart w:id="28" w:name="_Toc200361405"/>
      <w:r w:rsidRPr="00AC6ACB">
        <w:rPr>
          <w:sz w:val="28"/>
          <w:szCs w:val="22"/>
        </w:rPr>
        <w:lastRenderedPageBreak/>
        <w:t>Actifs</w:t>
      </w:r>
      <w:bookmarkEnd w:id="27"/>
      <w:bookmarkEnd w:id="28"/>
    </w:p>
    <w:p w14:paraId="397D3D5B" w14:textId="64918083" w:rsidR="00316395" w:rsidRPr="00AC6ACB" w:rsidRDefault="00316395" w:rsidP="00316395">
      <w:pPr>
        <w:keepLines/>
      </w:pPr>
      <w:r w:rsidRPr="00AC6ACB">
        <w:t>19</w:t>
      </w:r>
      <w:r w:rsidRPr="00AC6ACB">
        <w:tab/>
        <w:t>Les actifs courants diminués des passifs courants se sont élevés à 130,3 millions CHF (contre 118,5 millions CHF en 2023), ce qui est principalement imputable aux contributions extrabudgétaires reçues en 2024, d'un montant de 33,0 millions CHF (contre 25,0 millions CHF en 2023).</w:t>
      </w:r>
    </w:p>
    <w:p w14:paraId="14A79B43" w14:textId="77777777" w:rsidR="00316395" w:rsidRPr="00AC6ACB" w:rsidRDefault="00316395" w:rsidP="00316395">
      <w:pPr>
        <w:pStyle w:val="Headingb"/>
      </w:pPr>
      <w:bookmarkStart w:id="29" w:name="_Toc200093201"/>
      <w:bookmarkStart w:id="30" w:name="_Toc200361406"/>
      <w:r w:rsidRPr="00AC6ACB">
        <w:t>Créances liées aux contributions mises en recouvrement</w:t>
      </w:r>
      <w:bookmarkEnd w:id="29"/>
      <w:bookmarkEnd w:id="30"/>
    </w:p>
    <w:p w14:paraId="7CFC0C96" w14:textId="4F543CE3" w:rsidR="00316395" w:rsidRPr="00AC6ACB" w:rsidRDefault="00316395" w:rsidP="00316395">
      <w:r w:rsidRPr="00AC6ACB">
        <w:t>20</w:t>
      </w:r>
      <w:r w:rsidRPr="00AC6ACB">
        <w:tab/>
        <w:t>La récupération des contributions mises en recouvrement a des incidences directes sur la situation sur le plan des liquidités et, à ce titre, est extrêmement importante pour la bonne exécution du budget ordinaire affecté de l'UIT. Bien que la Conférence de plénipotentiaires ait approuvé le fonctionnement du Fonds de réserve à un niveau minimum de 6% (10 millions CHF), cela ne représente que trois semaines de charges, ce qui est essentiel pour assurer le fonctionnement de l'Organisation. Le Fonds de réserve s'élève actuellement à 30,7 millions CHF, ce qui représente 10 semaines d'exécution du budget sur la base du budget de 2024. Le taux de recouvrement pour l'exercice clos le</w:t>
      </w:r>
      <w:r w:rsidR="00A61377" w:rsidRPr="00AC6ACB">
        <w:t> </w:t>
      </w:r>
      <w:r w:rsidRPr="00AC6ACB">
        <w:t>31</w:t>
      </w:r>
      <w:r w:rsidR="00A61377" w:rsidRPr="00AC6ACB">
        <w:t> </w:t>
      </w:r>
      <w:r w:rsidRPr="00AC6ACB">
        <w:t>décembre</w:t>
      </w:r>
      <w:r w:rsidR="00A61377" w:rsidRPr="00AC6ACB">
        <w:t> </w:t>
      </w:r>
      <w:r w:rsidRPr="00AC6ACB">
        <w:t>2024 était d'environ 93%, contre 92% en décembre 2023.</w:t>
      </w:r>
    </w:p>
    <w:p w14:paraId="6C7BDFFC" w14:textId="2CA9BCF3" w:rsidR="00316395" w:rsidRPr="00AC6ACB" w:rsidRDefault="00316395" w:rsidP="00316395">
      <w:r w:rsidRPr="00AC6ACB">
        <w:t>21</w:t>
      </w:r>
      <w:r w:rsidRPr="00AC6ACB">
        <w:tab/>
        <w:t>Le montant brut des contributions mises en recouvrement est dû et payable à l'UIT conformément à la Constitution et au Règlement financier. Comme l'exigent les normes IPSAS, une provision est prévue lorsque le paiement des contributions n'est pas attendu conformément au Règlement financier et aux Règles financières.</w:t>
      </w:r>
    </w:p>
    <w:p w14:paraId="674CAC5F" w14:textId="77777777" w:rsidR="00316395" w:rsidRPr="00AC6ACB" w:rsidRDefault="00316395" w:rsidP="00316395">
      <w:pPr>
        <w:pStyle w:val="Headingb"/>
      </w:pPr>
      <w:bookmarkStart w:id="31" w:name="_Toc200093202"/>
      <w:bookmarkStart w:id="32" w:name="_Toc200361407"/>
      <w:r w:rsidRPr="00AC6ACB">
        <w:t>Passifs</w:t>
      </w:r>
      <w:bookmarkEnd w:id="31"/>
      <w:bookmarkEnd w:id="32"/>
    </w:p>
    <w:p w14:paraId="037DB306" w14:textId="5739DEC9" w:rsidR="00316395" w:rsidRPr="00AC6ACB" w:rsidRDefault="00316395" w:rsidP="00316395">
      <w:r w:rsidRPr="00AC6ACB">
        <w:t>22</w:t>
      </w:r>
      <w:r w:rsidRPr="00AC6ACB">
        <w:tab/>
        <w:t>Le total des passifs au 31 décembre 2024 s'élevait à 640,7 millions CHF (contre 565,9 millions CHF au 31 décembre 2023</w:t>
      </w:r>
      <w:r w:rsidR="00A61377" w:rsidRPr="00AC6ACB">
        <w:t>)</w:t>
      </w:r>
      <w:r w:rsidRPr="00AC6ACB">
        <w:t>. Le passif comprend une provision de</w:t>
      </w:r>
      <w:r w:rsidR="00A61377" w:rsidRPr="00AC6ACB">
        <w:t> </w:t>
      </w:r>
      <w:r w:rsidRPr="00AC6ACB">
        <w:t>0,8</w:t>
      </w:r>
      <w:r w:rsidR="00A61377" w:rsidRPr="00AC6ACB">
        <w:t> </w:t>
      </w:r>
      <w:r w:rsidRPr="00AC6ACB">
        <w:t xml:space="preserve">million CHF liée à </w:t>
      </w:r>
      <w:r w:rsidR="00A61377" w:rsidRPr="00AC6ACB">
        <w:t>sept</w:t>
      </w:r>
      <w:r w:rsidRPr="00AC6ACB">
        <w:t xml:space="preserve"> affaires en instance devant le Tribunal administratif de l'OIT et aux frais de justice connexes. En 2024, le Tribunal administratif de l'OIT s'est prononcé sur </w:t>
      </w:r>
      <w:r w:rsidR="00A61377" w:rsidRPr="00AC6ACB">
        <w:t>quatre</w:t>
      </w:r>
      <w:r w:rsidRPr="00AC6ACB">
        <w:t xml:space="preserve"> affaires et l'UIT a versé 0,2 million CHF et diminué la provision de 0,1 million CHF. Au</w:t>
      </w:r>
      <w:r w:rsidR="00A61377" w:rsidRPr="00AC6ACB">
        <w:t> </w:t>
      </w:r>
      <w:r w:rsidRPr="00AC6ACB">
        <w:t>cours de l'année, l'UIT a augmenté la provision de 20 000 CHF par suite de la révision de l'estimation précédente et pour couvrir une affaire supplémentaire qui a été introduite.</w:t>
      </w:r>
    </w:p>
    <w:p w14:paraId="08499FFC" w14:textId="77777777" w:rsidR="00316395" w:rsidRPr="00AC6ACB" w:rsidRDefault="00316395" w:rsidP="00316395">
      <w:pPr>
        <w:pStyle w:val="Headingb"/>
      </w:pPr>
      <w:bookmarkStart w:id="33" w:name="_Toc200093203"/>
      <w:bookmarkStart w:id="34" w:name="_Toc200361408"/>
      <w:r w:rsidRPr="00AC6ACB">
        <w:t>Avantages du personnel</w:t>
      </w:r>
      <w:bookmarkEnd w:id="33"/>
      <w:bookmarkEnd w:id="34"/>
    </w:p>
    <w:p w14:paraId="0B8B3FDF" w14:textId="5F2F74AE" w:rsidR="00316395" w:rsidRPr="00AC6ACB" w:rsidRDefault="00316395" w:rsidP="00316395">
      <w:r w:rsidRPr="00AC6ACB">
        <w:t>23</w:t>
      </w:r>
      <w:r w:rsidRPr="00AC6ACB">
        <w:tab/>
        <w:t xml:space="preserve">Le passif le plus important est constitué par les futurs avantages du personnel acquis par les fonctionnaires en service et les retraités. Les passifs de l'ASHI représentent à eux seuls </w:t>
      </w:r>
      <w:r w:rsidR="00A62051" w:rsidRPr="00AC6ACB">
        <w:t>65</w:t>
      </w:r>
      <w:r w:rsidRPr="00AC6ACB">
        <w:t>% du passif total de l'UIT au 31 décembre 2024. Les passifs de l'ASHI ont augmenté de</w:t>
      </w:r>
      <w:r w:rsidR="0099175D" w:rsidRPr="00AC6ACB">
        <w:t> </w:t>
      </w:r>
      <w:r w:rsidRPr="00AC6ACB">
        <w:t>40,5 millions CHF en 2024 par rapport à 2023. Cela s'explique principalement par la modification des hypothèses démographiques et le résultat des études d'expérience.</w:t>
      </w:r>
    </w:p>
    <w:p w14:paraId="781DFFC3" w14:textId="157415C7" w:rsidR="00316395" w:rsidRPr="00AC6ACB" w:rsidRDefault="00316395" w:rsidP="00316395">
      <w:r w:rsidRPr="00AC6ACB">
        <w:t>24</w:t>
      </w:r>
      <w:r w:rsidRPr="00AC6ACB">
        <w:tab/>
        <w:t>L'UIT finance les sommes dues au titre des passifs de l'ASHI selon la méthode par répartition. La Résolution 1417, qui contient le budget pour 2024-2025, prévoit un prélèvement biennal de 1,0 million CHF sur le Fonds de réserve pour financer les engagements à long terme. Conformément à la norme IPSAS</w:t>
      </w:r>
      <w:r w:rsidR="00A62051" w:rsidRPr="00AC6ACB">
        <w:t>-</w:t>
      </w:r>
      <w:r w:rsidRPr="00AC6ACB">
        <w:t>39, aucun actif du régime n'a été déduit de ce passif, mais un montant de 15 millions CHF a été accumulé dans le compte spécial de l'ASHI au 31 décembre 2024 pour couvrir les passifs futurs.</w:t>
      </w:r>
    </w:p>
    <w:p w14:paraId="31E9CD0F" w14:textId="77777777" w:rsidR="00316395" w:rsidRPr="00AC6ACB" w:rsidRDefault="00316395" w:rsidP="00316395">
      <w:pPr>
        <w:pStyle w:val="Headingb"/>
      </w:pPr>
      <w:bookmarkStart w:id="35" w:name="_Toc200093204"/>
      <w:bookmarkStart w:id="36" w:name="_Toc200361409"/>
      <w:r w:rsidRPr="00AC6ACB">
        <w:lastRenderedPageBreak/>
        <w:t>Emprunts à long terme</w:t>
      </w:r>
      <w:bookmarkEnd w:id="35"/>
      <w:bookmarkEnd w:id="36"/>
    </w:p>
    <w:p w14:paraId="716C7D9B" w14:textId="36365E52" w:rsidR="00316395" w:rsidRPr="00AC6ACB" w:rsidRDefault="00316395" w:rsidP="00316395">
      <w:pPr>
        <w:keepLines/>
      </w:pPr>
      <w:r w:rsidRPr="00AC6ACB">
        <w:t>25</w:t>
      </w:r>
      <w:r w:rsidRPr="00AC6ACB">
        <w:tab/>
        <w:t xml:space="preserve">L'UIT dispose actuellement de quatre prêts sans intérêt auprès de la Fondation des immeubles pour les organisations Internationale (FIPOI). Au 31 décembre 2024, trois de ces prêts sont reflétés à la juste valeur dans les </w:t>
      </w:r>
      <w:r w:rsidR="00A61377" w:rsidRPr="00AC6ACB">
        <w:t>É</w:t>
      </w:r>
      <w:r w:rsidRPr="00AC6ACB">
        <w:t>tats financiers. Le quatrième prêt ne fait pas actuellement l'objet d'un plan d'amortissement et est donc évalué aux coûts amortis jusqu'au début des remboursements dans le cadre de ce prêt. On trouvera de plus amples informations à cet égard dans la Note 15.</w:t>
      </w:r>
    </w:p>
    <w:p w14:paraId="6A1B963F" w14:textId="381C36EC" w:rsidR="00316395" w:rsidRPr="00AC6ACB" w:rsidRDefault="00316395" w:rsidP="00316395">
      <w:pPr>
        <w:pStyle w:val="Headingb"/>
      </w:pPr>
      <w:bookmarkStart w:id="37" w:name="_Toc200093205"/>
      <w:bookmarkStart w:id="38" w:name="_Toc200361410"/>
      <w:r w:rsidRPr="00AC6ACB">
        <w:t>Résultat budgétaire et résultat conforme aux normes IPSAS</w:t>
      </w:r>
      <w:bookmarkEnd w:id="37"/>
      <w:bookmarkEnd w:id="38"/>
    </w:p>
    <w:p w14:paraId="3F5FE14D" w14:textId="211FAE99" w:rsidR="00316395" w:rsidRPr="00AC6ACB" w:rsidRDefault="00316395" w:rsidP="00316395">
      <w:r w:rsidRPr="00AC6ACB">
        <w:t>26</w:t>
      </w:r>
      <w:r w:rsidRPr="00AC6ACB">
        <w:tab/>
        <w:t xml:space="preserve">L'État V des </w:t>
      </w:r>
      <w:r w:rsidR="00FB69FF" w:rsidRPr="00AC6ACB">
        <w:t>É</w:t>
      </w:r>
      <w:r w:rsidRPr="00AC6ACB">
        <w:t>tats financiers est établi sur la base du budget ordinaire du cadre budgétaire de l'UIT et donne un aperçu de l'utilisation du budget ordinaire approuvé sur la base de la comptabilité de caisse modifiée. Sur cette base, l'Organisation a enregistré un excédent de 5,7 millions CHF par rapport au budget ordinaire approuvé.</w:t>
      </w:r>
    </w:p>
    <w:p w14:paraId="5C532ED2" w14:textId="13B6F78E" w:rsidR="00316395" w:rsidRPr="00AC6ACB" w:rsidRDefault="00316395" w:rsidP="00316395">
      <w:r w:rsidRPr="00AC6ACB">
        <w:t>27</w:t>
      </w:r>
      <w:r w:rsidRPr="00AC6ACB">
        <w:tab/>
        <w:t>Un rapprochement entre les résultats budgétés et les résultats conformes aux normes</w:t>
      </w:r>
      <w:r w:rsidR="00FB69FF" w:rsidRPr="00AC6ACB">
        <w:t> </w:t>
      </w:r>
      <w:r w:rsidRPr="00AC6ACB">
        <w:t xml:space="preserve">IPSAS figure dans les </w:t>
      </w:r>
      <w:r w:rsidR="00FB69FF" w:rsidRPr="00AC6ACB">
        <w:t>É</w:t>
      </w:r>
      <w:r w:rsidRPr="00AC6ACB">
        <w:t xml:space="preserve">tats financiers (État V). Il convient de noter que l'état relatif à la performance financière (État II) comprend d'autres domaines tels que les contributions extrabudgétaires, l'amortissement et d'autres différences relatives aux entités dont il n'est pas tenu compte dans le budget. L'État V fait ressortir les principales différences entre le budget de l'Organisation et les produits et les charges globaux. On trouvera des précisions supplémentaires dans la Note 21 </w:t>
      </w:r>
      <w:r w:rsidR="00FB69FF" w:rsidRPr="00AC6ACB">
        <w:t>"</w:t>
      </w:r>
      <w:r w:rsidRPr="00AC6ACB">
        <w:t>Rapprochement entre les montants budgétés et les montants effectifs</w:t>
      </w:r>
      <w:r w:rsidR="00FB69FF" w:rsidRPr="00AC6ACB">
        <w:t>"</w:t>
      </w:r>
      <w:r w:rsidRPr="00AC6ACB">
        <w:t>.</w:t>
      </w:r>
    </w:p>
    <w:p w14:paraId="7E38250C" w14:textId="77777777" w:rsidR="00316395" w:rsidRPr="00AC6ACB" w:rsidRDefault="00316395" w:rsidP="00316395">
      <w:pPr>
        <w:pStyle w:val="Headingb"/>
      </w:pPr>
      <w:bookmarkStart w:id="39" w:name="_Toc200093206"/>
      <w:bookmarkStart w:id="40" w:name="_Toc200361411"/>
      <w:r w:rsidRPr="00AC6ACB">
        <w:t>Responsabilité</w:t>
      </w:r>
      <w:bookmarkEnd w:id="39"/>
      <w:bookmarkEnd w:id="40"/>
    </w:p>
    <w:p w14:paraId="4AF239BD" w14:textId="5242D788" w:rsidR="00316395" w:rsidRPr="00AC6ACB" w:rsidRDefault="00316395" w:rsidP="00316395">
      <w:r w:rsidRPr="00AC6ACB">
        <w:t>28</w:t>
      </w:r>
      <w:r w:rsidRPr="00AC6ACB">
        <w:tab/>
        <w:t xml:space="preserve">Comme prévu par l'Article 30 du Règlement financier de l'Union, les </w:t>
      </w:r>
      <w:r w:rsidR="00CB30C6" w:rsidRPr="00AC6ACB">
        <w:t>É</w:t>
      </w:r>
      <w:r w:rsidRPr="00AC6ACB">
        <w:t>tats financiers ci</w:t>
      </w:r>
      <w:r w:rsidRPr="00AC6ACB">
        <w:noBreakHyphen/>
        <w:t xml:space="preserve">après ont été élaborés conformément aux normes IPSAS. Les </w:t>
      </w:r>
      <w:r w:rsidR="00CB30C6" w:rsidRPr="00AC6ACB">
        <w:t>É</w:t>
      </w:r>
      <w:r w:rsidRPr="00AC6ACB">
        <w:t>tats financiers et les notes y afférentes, qui font partie intégrante du présent document, donnent une image fidèle de la situation financière de l'Union au 31 décembre 2024.</w:t>
      </w:r>
    </w:p>
    <w:p w14:paraId="499DF594" w14:textId="189FDC6F" w:rsidR="00316395" w:rsidRPr="00AC6ACB" w:rsidRDefault="00316395" w:rsidP="00316395">
      <w:r w:rsidRPr="00AC6ACB">
        <w:t>I</w:t>
      </w:r>
      <w:r w:rsidRPr="00AC6ACB">
        <w:tab/>
        <w:t>État de la situation financière – Bilan au 31 décembre 2024</w:t>
      </w:r>
      <w:r w:rsidR="00CC2713" w:rsidRPr="00AC6ACB">
        <w:t>.</w:t>
      </w:r>
    </w:p>
    <w:p w14:paraId="4BE31A83" w14:textId="05003C33" w:rsidR="00316395" w:rsidRPr="00AC6ACB" w:rsidRDefault="00316395" w:rsidP="00316395">
      <w:r w:rsidRPr="00AC6ACB">
        <w:t>II</w:t>
      </w:r>
      <w:r w:rsidRPr="00AC6ACB">
        <w:tab/>
        <w:t>État de la performance financière pour l'exercice clos le 31 décembre 2024</w:t>
      </w:r>
    </w:p>
    <w:p w14:paraId="627CF512" w14:textId="7512335C" w:rsidR="00316395" w:rsidRPr="00AC6ACB" w:rsidRDefault="00316395" w:rsidP="00316395">
      <w:r w:rsidRPr="00AC6ACB">
        <w:t>III</w:t>
      </w:r>
      <w:r w:rsidRPr="00AC6ACB">
        <w:tab/>
        <w:t>État des variations de l'actif net pour l'exercice clos le 31 décembre 2024</w:t>
      </w:r>
    </w:p>
    <w:p w14:paraId="6ED29970" w14:textId="56495186" w:rsidR="00316395" w:rsidRPr="00AC6ACB" w:rsidRDefault="00316395" w:rsidP="00316395">
      <w:r w:rsidRPr="00AC6ACB">
        <w:t>IV</w:t>
      </w:r>
      <w:r w:rsidRPr="00AC6ACB">
        <w:tab/>
        <w:t>État des flux de trésorerie pour l'exercice clos le 31 décembre 2024</w:t>
      </w:r>
    </w:p>
    <w:p w14:paraId="20555F17" w14:textId="55C95A52" w:rsidR="00316395" w:rsidRPr="00AC6ACB" w:rsidRDefault="00316395" w:rsidP="00316395">
      <w:pPr>
        <w:ind w:left="567" w:hanging="567"/>
      </w:pPr>
      <w:r w:rsidRPr="00AC6ACB">
        <w:t>V</w:t>
      </w:r>
      <w:r w:rsidRPr="00AC6ACB">
        <w:tab/>
        <w:t>État de la comparaison des montants budgétés et des montants effectifs pour l'exercice clos le 31 décembre 2024</w:t>
      </w:r>
    </w:p>
    <w:p w14:paraId="062DC382" w14:textId="77777777" w:rsidR="00316395" w:rsidRPr="00AC6ACB" w:rsidRDefault="00316395" w:rsidP="00316395">
      <w:pPr>
        <w:pStyle w:val="Headingb"/>
      </w:pPr>
      <w:bookmarkStart w:id="41" w:name="_Toc200093207"/>
      <w:bookmarkStart w:id="42" w:name="_Toc200361412"/>
      <w:r w:rsidRPr="00AC6ACB">
        <w:t>Vérification extérieure des comptes de l'Union</w:t>
      </w:r>
      <w:bookmarkEnd w:id="41"/>
      <w:bookmarkEnd w:id="42"/>
    </w:p>
    <w:p w14:paraId="401F72D8" w14:textId="2AA2D995" w:rsidR="00316395" w:rsidRPr="00AC6ACB" w:rsidRDefault="00316395" w:rsidP="00316395">
      <w:pPr>
        <w:pStyle w:val="Normalaftertitle"/>
      </w:pPr>
      <w:r w:rsidRPr="00AC6ACB">
        <w:t>29</w:t>
      </w:r>
      <w:r w:rsidRPr="00AC6ACB">
        <w:tab/>
        <w:t xml:space="preserve">Conformément à l'Article 28 du Règlement financier et des Règles financières et à la Décision 621 adoptée par le Conseil à sa session de 2020, le Bureau national de contrôle des finances publiques du Royaume-Uni de Grande-Bretagne et d'Irlande du Nord a été nommé Vérificateur extérieur des comptes de l'Union, selon les modalités décidées par la </w:t>
      </w:r>
      <w:r w:rsidR="00FB69FF" w:rsidRPr="00AC6ACB">
        <w:t>C</w:t>
      </w:r>
      <w:r w:rsidRPr="00AC6ACB">
        <w:t>onférence de plénipotentiaires de l'UIT et pour un mandat de quatre ans.</w:t>
      </w:r>
    </w:p>
    <w:p w14:paraId="7C5FFB03" w14:textId="383357EC" w:rsidR="00316395" w:rsidRPr="00AC6ACB" w:rsidRDefault="00316395" w:rsidP="00316395">
      <w:r w:rsidRPr="00AC6ACB">
        <w:br w:type="page"/>
      </w:r>
    </w:p>
    <w:p w14:paraId="4B174B33" w14:textId="77777777" w:rsidR="00316395" w:rsidRPr="00AC6ACB" w:rsidRDefault="00316395" w:rsidP="00316395">
      <w:pPr>
        <w:pStyle w:val="Title"/>
        <w:snapToGrid w:val="0"/>
        <w:spacing w:before="120" w:after="120"/>
        <w:rPr>
          <w:rFonts w:asciiTheme="minorHAnsi" w:hAnsiTheme="minorHAnsi" w:cs="Arial"/>
          <w:sz w:val="28"/>
          <w:szCs w:val="28"/>
          <w:lang w:val="fr-FR"/>
        </w:rPr>
      </w:pPr>
    </w:p>
    <w:p w14:paraId="4C93072B" w14:textId="403AF7FF" w:rsidR="00316395" w:rsidRPr="00AC6ACB" w:rsidRDefault="00316395" w:rsidP="00316395">
      <w:pPr>
        <w:tabs>
          <w:tab w:val="left" w:pos="284"/>
          <w:tab w:val="right" w:pos="5670"/>
          <w:tab w:val="right" w:pos="7655"/>
          <w:tab w:val="left" w:pos="8789"/>
        </w:tabs>
        <w:spacing w:after="120"/>
        <w:jc w:val="center"/>
        <w:rPr>
          <w:b/>
        </w:rPr>
      </w:pPr>
      <w:r w:rsidRPr="00AC6ACB">
        <w:rPr>
          <w:noProof/>
          <w:lang w:eastAsia="zh-CN"/>
        </w:rPr>
        <w:drawing>
          <wp:inline distT="0" distB="0" distL="0" distR="0" wp14:anchorId="2977C8D0" wp14:editId="735FA54E">
            <wp:extent cx="682402" cy="720000"/>
            <wp:effectExtent l="0" t="0" r="3810" b="4445"/>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p w14:paraId="65DF35E5" w14:textId="081DFB69" w:rsidR="00316395" w:rsidRPr="00AC6ACB" w:rsidRDefault="00316395" w:rsidP="00243137">
      <w:pPr>
        <w:pStyle w:val="Heading1"/>
        <w:spacing w:before="3120" w:after="120"/>
        <w:jc w:val="center"/>
        <w:rPr>
          <w:bCs/>
        </w:rPr>
      </w:pPr>
      <w:bookmarkStart w:id="43" w:name="_Hlk199510693"/>
      <w:bookmarkStart w:id="44" w:name="_Toc168593313"/>
      <w:bookmarkStart w:id="45" w:name="_Toc200361413"/>
      <w:r w:rsidRPr="00AC6ACB">
        <w:rPr>
          <w:bCs/>
        </w:rPr>
        <w:t>Déclaration sur le contrôle interne pour</w:t>
      </w:r>
      <w:bookmarkEnd w:id="43"/>
      <w:r w:rsidRPr="00AC6ACB">
        <w:rPr>
          <w:bCs/>
        </w:rPr>
        <w:t xml:space="preserve"> 202</w:t>
      </w:r>
      <w:bookmarkEnd w:id="44"/>
      <w:r w:rsidRPr="00AC6ACB">
        <w:rPr>
          <w:bCs/>
        </w:rPr>
        <w:t>4</w:t>
      </w:r>
      <w:bookmarkEnd w:id="45"/>
    </w:p>
    <w:p w14:paraId="3F237A91" w14:textId="09E1023D" w:rsidR="00316395" w:rsidRPr="00AC6ACB" w:rsidRDefault="00316395" w:rsidP="00243137">
      <w:pPr>
        <w:tabs>
          <w:tab w:val="left" w:pos="284"/>
          <w:tab w:val="right" w:pos="5670"/>
          <w:tab w:val="right" w:pos="7655"/>
          <w:tab w:val="left" w:pos="8789"/>
        </w:tabs>
        <w:spacing w:before="720" w:after="120"/>
        <w:jc w:val="center"/>
        <w:rPr>
          <w:rFonts w:asciiTheme="minorHAnsi" w:hAnsiTheme="minorHAnsi"/>
          <w:b/>
          <w:smallCaps/>
          <w:sz w:val="28"/>
          <w:szCs w:val="28"/>
        </w:rPr>
      </w:pPr>
      <w:r w:rsidRPr="00AC6ACB">
        <w:rPr>
          <w:rFonts w:asciiTheme="minorHAnsi" w:hAnsiTheme="minorHAnsi"/>
          <w:b/>
          <w:smallCaps/>
          <w:sz w:val="28"/>
          <w:szCs w:val="28"/>
        </w:rPr>
        <w:t xml:space="preserve">Union </w:t>
      </w:r>
      <w:r w:rsidR="00CC2713" w:rsidRPr="00AC6ACB">
        <w:rPr>
          <w:rFonts w:asciiTheme="minorHAnsi" w:hAnsiTheme="minorHAnsi"/>
          <w:b/>
          <w:smallCaps/>
          <w:sz w:val="28"/>
          <w:szCs w:val="28"/>
        </w:rPr>
        <w:t>I</w:t>
      </w:r>
      <w:r w:rsidRPr="00AC6ACB">
        <w:rPr>
          <w:rFonts w:asciiTheme="minorHAnsi" w:hAnsiTheme="minorHAnsi"/>
          <w:b/>
          <w:smallCaps/>
          <w:sz w:val="28"/>
          <w:szCs w:val="28"/>
        </w:rPr>
        <w:t xml:space="preserve">nternationale des </w:t>
      </w:r>
      <w:r w:rsidR="00CC2713" w:rsidRPr="00AC6ACB">
        <w:rPr>
          <w:rFonts w:asciiTheme="minorHAnsi" w:hAnsiTheme="minorHAnsi"/>
          <w:b/>
          <w:smallCaps/>
          <w:sz w:val="28"/>
          <w:szCs w:val="28"/>
        </w:rPr>
        <w:t>Télécommunications</w:t>
      </w:r>
      <w:r w:rsidRPr="00AC6ACB">
        <w:rPr>
          <w:rFonts w:asciiTheme="minorHAnsi" w:hAnsiTheme="minorHAnsi"/>
          <w:b/>
          <w:smallCaps/>
          <w:sz w:val="28"/>
          <w:szCs w:val="28"/>
        </w:rPr>
        <w:t>, Genève</w:t>
      </w:r>
    </w:p>
    <w:p w14:paraId="24C0D233" w14:textId="6C1D11B3" w:rsidR="00316395" w:rsidRPr="00AC6ACB" w:rsidRDefault="00316395" w:rsidP="00316395">
      <w:pPr>
        <w:rPr>
          <w:szCs w:val="24"/>
        </w:rPr>
      </w:pPr>
      <w:r w:rsidRPr="00AC6ACB">
        <w:rPr>
          <w:szCs w:val="24"/>
        </w:rPr>
        <w:br w:type="page"/>
      </w:r>
    </w:p>
    <w:p w14:paraId="3B578006" w14:textId="77777777" w:rsidR="00316395" w:rsidRPr="00AC6ACB" w:rsidRDefault="00316395" w:rsidP="00316395">
      <w:pPr>
        <w:pStyle w:val="Heading1"/>
        <w:jc w:val="center"/>
      </w:pPr>
      <w:bookmarkStart w:id="46" w:name="_Toc200093209"/>
      <w:bookmarkStart w:id="47" w:name="_Toc200361414"/>
      <w:r w:rsidRPr="00AC6ACB">
        <w:lastRenderedPageBreak/>
        <w:t>Déclaration sur le contrôle interne pour 2024</w:t>
      </w:r>
      <w:bookmarkEnd w:id="46"/>
      <w:bookmarkEnd w:id="47"/>
    </w:p>
    <w:p w14:paraId="26D747E3" w14:textId="77777777" w:rsidR="00316395" w:rsidRPr="00AC6ACB" w:rsidRDefault="00316395" w:rsidP="00316395">
      <w:pPr>
        <w:pStyle w:val="Headingb"/>
      </w:pPr>
      <w:bookmarkStart w:id="48" w:name="_Toc200093210"/>
      <w:bookmarkStart w:id="49" w:name="_Toc200361415"/>
      <w:r w:rsidRPr="00AC6ACB">
        <w:t>Introduction</w:t>
      </w:r>
      <w:bookmarkEnd w:id="48"/>
      <w:bookmarkEnd w:id="49"/>
    </w:p>
    <w:p w14:paraId="2BEDA3E9" w14:textId="181F9529" w:rsidR="00316395" w:rsidRPr="00AC6ACB" w:rsidRDefault="00316395" w:rsidP="00316395">
      <w:r w:rsidRPr="00AC6ACB">
        <w:t>En tant que Secrétaire générale, je suis responsable de l'administration de l'UIT, afin de garantir l'exécution du mandat, des programmes et des autres activités de l'Union. Conformément aux numéros 73</w:t>
      </w:r>
      <w:r w:rsidRPr="00AC6ACB">
        <w:rPr>
          <w:i/>
          <w:iCs/>
        </w:rPr>
        <w:t>bis</w:t>
      </w:r>
      <w:r w:rsidRPr="00AC6ACB">
        <w:t xml:space="preserve"> et 75 de la Constitution (article 11), et en vertu du Règlement financier et des Règles financières, il m'incombe de maintenir un système de contrôle interne destiné à fournir une assurance raisonnable de la réalisation des objectifs de l'UIT, ce qui consiste notamment à garantir la présentation fiable de l'information financière et non financière; l'efficacité du fonctionnement de l'organisation; le respect des règlements, règles, ordres de service et politiques; et la prévention et la détection des activités frauduleuses.</w:t>
      </w:r>
    </w:p>
    <w:p w14:paraId="56B5F051" w14:textId="48854F1D" w:rsidR="00316395" w:rsidRPr="00AC6ACB" w:rsidRDefault="00316395" w:rsidP="00316395">
      <w:r w:rsidRPr="00AC6ACB">
        <w:t>Lorsque j'ai pris mes fonctions de Secrétaire générale en janvier 2023, j'ai lancé une action visant à transformer l'UIT pour répondre à l'évolution rapide des enjeux opérationnels afin de préserver et d'améliorer le niveau de service. Celle-ci consiste notamment à encourager une culture de la responsabilité et de la transparence sur le lieu de travail; à améliorer les systèmes d'information; à intégrer la gestion des risques dans les processus opérationnels; à</w:t>
      </w:r>
      <w:r w:rsidR="00FB69FF" w:rsidRPr="00AC6ACB">
        <w:t> </w:t>
      </w:r>
      <w:r w:rsidRPr="00AC6ACB">
        <w:t>renforcer les contrôles internes; et à améliorer la réactivité aux recommandations des prestataires d'assurance indépendants.</w:t>
      </w:r>
    </w:p>
    <w:p w14:paraId="1CD148FE" w14:textId="61157F8D" w:rsidR="00316395" w:rsidRPr="00AC6ACB" w:rsidRDefault="00316395" w:rsidP="00316395">
      <w:r w:rsidRPr="00AC6ACB">
        <w:t xml:space="preserve">La Feuille de route pour la transformation a été approuvée par le Conseil en 2024. Cette transformation vise à préparer l'organisation aux exigences futures dans un contexte d'évolution technologique rapide. Les acteurs du changement, à tous les niveaux de l'Organisation, ont soutenu ce processus. En septembre 2024, le </w:t>
      </w:r>
      <w:r w:rsidR="00421717" w:rsidRPr="00AC6ACB">
        <w:t>C</w:t>
      </w:r>
      <w:r w:rsidRPr="00AC6ACB">
        <w:t>hef de l'Équipe de transformation a été désigné pour aider à coordonner les initiatives de transformation. À</w:t>
      </w:r>
      <w:r w:rsidR="00FB69FF" w:rsidRPr="00AC6ACB">
        <w:t> </w:t>
      </w:r>
      <w:r w:rsidRPr="00AC6ACB">
        <w:t>cet</w:t>
      </w:r>
      <w:r w:rsidR="00FB69FF" w:rsidRPr="00AC6ACB">
        <w:t> </w:t>
      </w:r>
      <w:r w:rsidRPr="00AC6ACB">
        <w:t>égard, un tableau de bord de la transformation a été adopté pour tenir les États</w:t>
      </w:r>
      <w:r w:rsidR="00FB69FF" w:rsidRPr="00AC6ACB">
        <w:t> M</w:t>
      </w:r>
      <w:r w:rsidRPr="00AC6ACB">
        <w:t>embres et les autres parties prenantes informés des progrès accomplis. La transformation est axée sur les processus administratifs, les systèmes d'appui et les contrôles internes, mais elle passe par un effort à l'échelle de l'Organisation qui concerne l'ensemble du personnel.</w:t>
      </w:r>
    </w:p>
    <w:p w14:paraId="23E9EB87" w14:textId="77777777" w:rsidR="00316395" w:rsidRPr="00AC6ACB" w:rsidRDefault="00316395" w:rsidP="00316395">
      <w:pPr>
        <w:pStyle w:val="Headingb"/>
      </w:pPr>
      <w:bookmarkStart w:id="50" w:name="_Toc200093211"/>
      <w:bookmarkStart w:id="51" w:name="_Toc200361416"/>
      <w:r w:rsidRPr="00AC6ACB">
        <w:t>Efficacité du système de contrôle interne et amélioration continue</w:t>
      </w:r>
      <w:bookmarkEnd w:id="50"/>
      <w:bookmarkEnd w:id="51"/>
    </w:p>
    <w:p w14:paraId="5FFD56CF" w14:textId="77777777" w:rsidR="00316395" w:rsidRPr="00AC6ACB" w:rsidRDefault="00316395" w:rsidP="00316395">
      <w:r w:rsidRPr="00AC6ACB">
        <w:t>Pour évaluer et améliorer son système de contrôle interne, l'UIT s'appuie de plus en plus sur le cadre intégré de contrôle interne de 2013 du Comité des sponsors de la Commission Treadway (COSO), qui a servi de base au Modèle et cadre de responsabilité de l'UIT approuvé par le Conseil en 2022. Le cadre du COSO souligne cinq composantes interdépendantes: 1) l'environnement de contrôle; 2) l'évaluation des risques; 3) les activités de contrôle; 4) l'information et la communication; 5) et les activités de suivi du contrôle.</w:t>
      </w:r>
    </w:p>
    <w:p w14:paraId="0E8843CA" w14:textId="77777777" w:rsidR="00AB31F0" w:rsidRPr="00AC6ACB" w:rsidRDefault="00316395" w:rsidP="00316395">
      <w:r w:rsidRPr="00AC6ACB">
        <w:t xml:space="preserve">Comme les années précédentes, des lettres de représentation internes ont été demandées aux fonctionnaires élus et aux hauts responsables auxquels j'ai délégué des pouvoirs et des responsabilités en vertu du Règlement financier et des Règles financières, ainsi que des Statut et Règlement du personnel, concernant la gestion efficace des contrôles internes dans leurs domaines de responsabilité. Jusqu'à présent, le processus des lettres de représentation internes était axé sur la gestion des fonds et les questions financières connexes. Pour l'exercice 2024, conformément aux cinq composantes du cadre du COSO, les informations demandées au titre de ce processus ont été élargies pour solliciter la confirmation des </w:t>
      </w:r>
      <w:r w:rsidR="00AB31F0" w:rsidRPr="00AC6ACB">
        <w:br w:type="page"/>
      </w:r>
    </w:p>
    <w:p w14:paraId="14F828F4" w14:textId="763FF433" w:rsidR="00316395" w:rsidRPr="00AC6ACB" w:rsidRDefault="00316395" w:rsidP="00316395">
      <w:r w:rsidRPr="00AC6ACB">
        <w:lastRenderedPageBreak/>
        <w:t>intéressés en ce qui concerne l'application du système de contrôle interne plus généralement. Ces avis plus généraux ont été demandé non seulement pour mieux étayer la présente déclaration, mais aussi pour mieux étayer les activités d'amélioration des contrôles internes.</w:t>
      </w:r>
    </w:p>
    <w:p w14:paraId="0F47E5BF" w14:textId="77777777" w:rsidR="00316395" w:rsidRPr="00AC6ACB" w:rsidRDefault="00316395" w:rsidP="00316395">
      <w:r w:rsidRPr="00AC6ACB">
        <w:t>Si les résultats de cette nouvelle composante d'autoévaluation du processus des lettres de représentation confirment que les contrôles internes sont adéquats dans la plupart des domaines, les questions relatives à la délégation de pouvoir n'ont pas été abordées lors du processus. Au moment où l'UIT poursuit son action pour renforcer les contrôles internes, elle doit aussi continuer de communiquer avec les responsables sur la raison d'être du processus des lettres de représentation, étant donné que leur point de vue est indispensable pour repérer les lacunes et les améliorations possibles à l'échelle de l'Organisation.</w:t>
      </w:r>
    </w:p>
    <w:p w14:paraId="54458057" w14:textId="58E849C9" w:rsidR="00316395" w:rsidRPr="00AC6ACB" w:rsidRDefault="00316395" w:rsidP="00316395">
      <w:r w:rsidRPr="00AC6ACB">
        <w:t xml:space="preserve">L'UIT a progressé dans plusieurs domaines, et on mentionnera, à cet égard, le recrutement du </w:t>
      </w:r>
      <w:r w:rsidR="00AB31F0" w:rsidRPr="00AC6ACB">
        <w:t>c</w:t>
      </w:r>
      <w:r w:rsidRPr="00AC6ACB">
        <w:t>hef de la nouvelle Unité du contrôle interne; l'amélioration des rapports financiers; une gestion renforcée des contrats d'engagement spécial (SSA); un effort soutenu pour traiter les recommandations de contrôle interne en suspens; l'adoption d'une politique de formation obligatoire; et une amélioration de la gouvernance relative aux technologies de l'information et de la communication. Il est nécessaire toutefois de poursuivre cet effort pour garantir une intégration plus systématique de la gestion des risques dans les processus opérationnels, le suivi du contrôle interne et la responsabilité financière.</w:t>
      </w:r>
    </w:p>
    <w:p w14:paraId="09596D0A" w14:textId="6CAC5009" w:rsidR="00316395" w:rsidRPr="00AC6ACB" w:rsidRDefault="00316395" w:rsidP="00316395">
      <w:pPr>
        <w:pStyle w:val="Heading2"/>
      </w:pPr>
      <w:r w:rsidRPr="00AC6ACB">
        <w:t>1</w:t>
      </w:r>
      <w:r w:rsidRPr="00AC6ACB">
        <w:tab/>
        <w:t>Environnement de contrôle</w:t>
      </w:r>
    </w:p>
    <w:p w14:paraId="46B8CD88" w14:textId="5C8399FE" w:rsidR="00316395" w:rsidRPr="00AC6ACB" w:rsidRDefault="00316395" w:rsidP="00316395">
      <w:r w:rsidRPr="00AC6ACB">
        <w:rPr>
          <w:b/>
          <w:bCs/>
          <w:i/>
          <w:iCs/>
        </w:rPr>
        <w:t>Intégrité et conflits d'intérêts</w:t>
      </w:r>
      <w:r w:rsidR="002726A7" w:rsidRPr="00AC6ACB">
        <w:t>:</w:t>
      </w:r>
      <w:r w:rsidRPr="00AC6ACB">
        <w:t xml:space="preserve"> </w:t>
      </w:r>
      <w:r w:rsidR="002726A7" w:rsidRPr="00AC6ACB">
        <w:t>l</w:t>
      </w:r>
      <w:r w:rsidRPr="00AC6ACB">
        <w:t>'équipe de direction "montre l'exemple" au plus haut niveau, en s'engageant pour l'intégrité et en œuvrant pour une culture robuste de l'éthique, selon les prescriptions du cadre réglementaire de l'UIT. La haute direction reste cependant vigilante. Dans cette optique, la politique de l'UIT relative aux déclarations d'intérêts impose à tous les fonctionnaires de l'UIT de présenter chaque année une déclaration d'intérêts et une déclaration de conformité, que le Bureau de l'éthique examine. Cette politique s'applique également aux personnes travaillant pour l'UIT au titre d'un contrat d'engagement spécial (SSA), selon les lignes directrices pertinentes en matière de conflits d'intérêts. En outre, de nouvelles procédures sont désormais en place pour renforcer la gestion des contrats SSA, y compris la certification des prestations par les responsables avant le paiement.</w:t>
      </w:r>
    </w:p>
    <w:p w14:paraId="3AB1BD63" w14:textId="5FC972B5" w:rsidR="00316395" w:rsidRPr="00AC6ACB" w:rsidRDefault="00316395" w:rsidP="00316395">
      <w:r w:rsidRPr="00AC6ACB">
        <w:rPr>
          <w:b/>
          <w:bCs/>
          <w:i/>
          <w:iCs/>
        </w:rPr>
        <w:t>Traitement des cas d'inconduite</w:t>
      </w:r>
      <w:r w:rsidR="002726A7" w:rsidRPr="00AC6ACB">
        <w:t>:</w:t>
      </w:r>
      <w:r w:rsidRPr="00AC6ACB">
        <w:t xml:space="preserve"> </w:t>
      </w:r>
      <w:r w:rsidR="002726A7" w:rsidRPr="00AC6ACB">
        <w:t>l</w:t>
      </w:r>
      <w:r w:rsidRPr="00AC6ACB">
        <w:t>es moyens de signalement et de traitement des cas présumés de manquement, y compris la présomption de fraude et les pratiques proscrites connexes, ont été jugés suffisants par les hauts responsables consultés lors du processus des lettres de représentation. À cet égard, l'Unité du contrôle interne, créée en 2023 sur approbation du Conseil, a achevé deux enquêtes en 2024; l'une s'est avérée fondée et l'autre a été classée, et aucune n'était liée à la fraude. Quatre affaires, fin 2024, faisaient toujours l'objet d'une enquête. L'une d'entre elles concernait un cas de fraude à l'assurance médicale. Cette affaire a depuis été classée comme étant sans fondement. Aucune des affaires restantes ne porte sur la fraude, et aucune n'a d'incidences financières.</w:t>
      </w:r>
    </w:p>
    <w:p w14:paraId="4CDDE5BA" w14:textId="169C89B2" w:rsidR="002726A7" w:rsidRPr="00AC6ACB" w:rsidRDefault="00316395" w:rsidP="00316395">
      <w:r w:rsidRPr="00AC6ACB">
        <w:rPr>
          <w:b/>
          <w:bCs/>
          <w:i/>
          <w:iCs/>
        </w:rPr>
        <w:t>Organes directeurs et équipe dirigeante</w:t>
      </w:r>
      <w:r w:rsidR="002726A7" w:rsidRPr="00AC6ACB">
        <w:t>:</w:t>
      </w:r>
      <w:r w:rsidRPr="00AC6ACB">
        <w:t xml:space="preserve"> </w:t>
      </w:r>
      <w:r w:rsidR="00DC2039" w:rsidRPr="00AC6ACB">
        <w:t>c</w:t>
      </w:r>
      <w:r w:rsidRPr="00AC6ACB">
        <w:t>onformément à la Constitution et à la Convention de l'UIT, le Conseil, soutenu par ses groupes de travail, dirige et supervise les activités de</w:t>
      </w:r>
      <w:r w:rsidR="002726A7" w:rsidRPr="00AC6ACB">
        <w:t> </w:t>
      </w:r>
      <w:r w:rsidRPr="00AC6ACB">
        <w:t>l'UIT conformément aux décisions et résolutions des Conférences de plénipotentiaires de</w:t>
      </w:r>
      <w:r w:rsidR="002726A7" w:rsidRPr="00AC6ACB">
        <w:t> </w:t>
      </w:r>
      <w:r w:rsidRPr="00AC6ACB">
        <w:t xml:space="preserve">l'UIT. Depuis 2023, la gestion des risques et les contrôles internes sont systématiquement </w:t>
      </w:r>
      <w:r w:rsidR="002726A7" w:rsidRPr="00AC6ACB">
        <w:br w:type="page"/>
      </w:r>
    </w:p>
    <w:p w14:paraId="4FBB56C8" w14:textId="475617DA" w:rsidR="00316395" w:rsidRPr="00AC6ACB" w:rsidRDefault="00316395" w:rsidP="00316395">
      <w:r w:rsidRPr="00AC6ACB">
        <w:lastRenderedPageBreak/>
        <w:t>inscrits à l'ordre du jour des sessions du Conseil. Depuis 2024, la supervision de la gestion des risques et des contrôles internes par l'équipe de direction est coordonnée par le Groupe de coordination de la gestion.</w:t>
      </w:r>
    </w:p>
    <w:p w14:paraId="60FD0BFF" w14:textId="5C7AEFE7" w:rsidR="00316395" w:rsidRPr="00AC6ACB" w:rsidRDefault="00316395" w:rsidP="00316395">
      <w:r w:rsidRPr="00AC6ACB">
        <w:rPr>
          <w:b/>
          <w:bCs/>
          <w:i/>
          <w:iCs/>
        </w:rPr>
        <w:t>Conseils et assurances indépendants</w:t>
      </w:r>
      <w:r w:rsidR="002726A7" w:rsidRPr="00AC6ACB">
        <w:t>:</w:t>
      </w:r>
      <w:r w:rsidRPr="00AC6ACB">
        <w:t xml:space="preserve"> </w:t>
      </w:r>
      <w:r w:rsidR="002726A7" w:rsidRPr="00AC6ACB">
        <w:t>l</w:t>
      </w:r>
      <w:r w:rsidRPr="00AC6ACB">
        <w:t xml:space="preserve">e Comité consultatif indépendant pour les questions de gestion (CCIG), qui rend compte au Conseil, continue également d'aider le Conseil et le </w:t>
      </w:r>
      <w:r w:rsidR="00DC2039" w:rsidRPr="00AC6ACB">
        <w:t>S</w:t>
      </w:r>
      <w:r w:rsidRPr="00AC6ACB">
        <w:t xml:space="preserve">ecrétariat à s'acquitter de leurs responsabilités en matière de gouvernance, notamment en veillant à l'efficacité du système de contrôle interne, de la gestion des risques et des processus de gouvernance à l'UIT. À sa session de juin 2024, le Conseil a approuvé une nouvelle Charte du contrôle interne de l'UIT. L'UIT achève actuellement d'harmoniser les politiques et les ordres de service y relatifs avec la nouvelle Charte, notamment en ce qui concerne le signalement des cas présumés de manquement; il est prévu que le </w:t>
      </w:r>
      <w:r w:rsidR="003E39F5" w:rsidRPr="00AC6ACB">
        <w:t>c</w:t>
      </w:r>
      <w:r w:rsidRPr="00AC6ACB">
        <w:t xml:space="preserve">hef de l'Unité du contrôle interne, organe indépendant, rende compte, fonctionnellement, au Conseil et au CCIG, et administrativement, à la Secrétaire générale. L'Unité du contrôle interne a transmis son rapport annuel au CCIG, au Vérificateur extérieur des comptes, à la Secrétaire générale et au Conseil. Le 23 septembre 2024, le nouveau </w:t>
      </w:r>
      <w:r w:rsidR="00421717" w:rsidRPr="00AC6ACB">
        <w:t>C</w:t>
      </w:r>
      <w:r w:rsidRPr="00AC6ACB">
        <w:t>hef a pris ses fonctions à l'UIT pour diriger l'Unité du contrôle interne, qui fournit une assurance indépendante quant à l'efficacité du système de contrôle interne. Une fonction d'évaluation a également été ajoutée à l'Unité, et le recrutement correspondant a été lancé.</w:t>
      </w:r>
    </w:p>
    <w:p w14:paraId="66C23191" w14:textId="16A3C997" w:rsidR="00316395" w:rsidRPr="00AC6ACB" w:rsidRDefault="00316395" w:rsidP="00316395">
      <w:r w:rsidRPr="00AC6ACB">
        <w:rPr>
          <w:b/>
          <w:bCs/>
          <w:i/>
          <w:iCs/>
        </w:rPr>
        <w:t>Recommandations de contrôle interne en suspens</w:t>
      </w:r>
      <w:r w:rsidR="002726A7" w:rsidRPr="00AC6ACB">
        <w:t>:</w:t>
      </w:r>
      <w:r w:rsidRPr="00AC6ACB">
        <w:t xml:space="preserve"> </w:t>
      </w:r>
      <w:r w:rsidR="002726A7" w:rsidRPr="00AC6ACB">
        <w:t>o</w:t>
      </w:r>
      <w:r w:rsidRPr="00AC6ACB">
        <w:t xml:space="preserve">utre le CCIG et la fonction d'audit interne, l'assurance d'un contrôle indépendant est également fournie par le Corps commun d'inspection et le Vérificateur extérieur des comptes. En mai 2024, l'UIT a lancé un examen de l'ensemble des recommandations de contrôle interne en suspens, dont certaines datent de plusieurs années. Pour cette activité, les fonctionnaires et l'équipe de direction ont mené un travail important, qui se poursuit, pour remédier aux diverses lacunes constatées dans les contrôles par ces recommandations, et contribuer ainsi à diminuer les risques correspondants. S'agissant des recommandations en suspens émanant du précédent Vérificateur extérieur des comptes, la </w:t>
      </w:r>
      <w:r w:rsidRPr="00AC6ACB">
        <w:rPr>
          <w:i/>
          <w:iCs/>
        </w:rPr>
        <w:t xml:space="preserve">Corte dei </w:t>
      </w:r>
      <w:proofErr w:type="spellStart"/>
      <w:r w:rsidRPr="00AC6ACB">
        <w:rPr>
          <w:i/>
          <w:iCs/>
        </w:rPr>
        <w:t>conti</w:t>
      </w:r>
      <w:proofErr w:type="spellEnd"/>
      <w:r w:rsidRPr="00AC6ACB">
        <w:t>, il a été donné effet à bon nombre d'entre elles dans le cadre de cette activité. Les recommandations relatives à la clôture de ces recommandations seront regroupées dans un rapport destiné au CCIG, qui sera examiné avec l'actuel Vérificateur extérieur des comptes, le Bureau national de contrôle des finances publiques du Royaume-Uni.</w:t>
      </w:r>
    </w:p>
    <w:p w14:paraId="0AF67A5B" w14:textId="43663F3C" w:rsidR="002726A7" w:rsidRPr="00AC6ACB" w:rsidRDefault="00316395" w:rsidP="00316395">
      <w:r w:rsidRPr="00AC6ACB">
        <w:rPr>
          <w:b/>
          <w:bCs/>
          <w:i/>
          <w:iCs/>
        </w:rPr>
        <w:t>Développement des connaissances et des compétences</w:t>
      </w:r>
      <w:r w:rsidR="002726A7" w:rsidRPr="00AC6ACB">
        <w:t>:</w:t>
      </w:r>
      <w:r w:rsidRPr="00AC6ACB">
        <w:t xml:space="preserve"> </w:t>
      </w:r>
      <w:r w:rsidR="002726A7" w:rsidRPr="00AC6ACB">
        <w:t>l</w:t>
      </w:r>
      <w:r w:rsidRPr="00AC6ACB">
        <w:t xml:space="preserve">a haute direction est aussi résolue à promouvoir une culture professionnelle reposant sur la compétence, le respect et l'intégrité. En août 2024, une nouvelle Politique de formation obligatoire de l'UIT a été mise en place en vue de créer une base commune de connaissances, de promouvoir une culture partagée de l'Organisation et de faire mieux connaître les normes de l'Organisation et les comportements attendus. Les formations obligatoires abordent les thèmes essentiels suivants: conduite éthique; sécurité en matière d'information; égalité hommes-femmes; prévention du harcèlement sexuel et de l'exploitation et des atteintes sexuelles; inclusivité des technologies de l'information et de la communication; et sécurité en voyage et en mission. Le Département de la gestion des ressources humaines (HRMD) a lancé un programme intitulé "Game </w:t>
      </w:r>
      <w:proofErr w:type="spellStart"/>
      <w:r w:rsidRPr="00AC6ACB">
        <w:t>Shifter</w:t>
      </w:r>
      <w:proofErr w:type="spellEnd"/>
      <w:r w:rsidRPr="00AC6ACB">
        <w:t xml:space="preserve">" en 2024 pour aider les fonctionnaires des services généraux à acquérir des compétences fondamentales pour l'avancement de leur carrière. Des formations techniques spécialement adaptées aux besoins particuliers des Bureaux ont </w:t>
      </w:r>
      <w:r w:rsidR="002726A7" w:rsidRPr="00AC6ACB">
        <w:br w:type="page"/>
      </w:r>
    </w:p>
    <w:p w14:paraId="42F47226" w14:textId="4C704AE8" w:rsidR="00316395" w:rsidRPr="00AC6ACB" w:rsidRDefault="00316395" w:rsidP="00316395">
      <w:r w:rsidRPr="00AC6ACB">
        <w:lastRenderedPageBreak/>
        <w:t>été assurées tout au long de l'année sur des sujets essentiels, notamment dans le cadre d'une série de laboratoires d'apprentissage ouverts à l'ensemble du personnel et portant sur des sujets technologiques d'avant-garde.</w:t>
      </w:r>
    </w:p>
    <w:p w14:paraId="36CBF9EA" w14:textId="7DED867F" w:rsidR="00316395" w:rsidRPr="00AC6ACB" w:rsidRDefault="00316395" w:rsidP="00316395">
      <w:r w:rsidRPr="00AC6ACB">
        <w:rPr>
          <w:b/>
          <w:bCs/>
          <w:i/>
          <w:iCs/>
        </w:rPr>
        <w:t>Gestion de la performance</w:t>
      </w:r>
      <w:r w:rsidR="002726A7" w:rsidRPr="00AC6ACB">
        <w:t>:</w:t>
      </w:r>
      <w:r w:rsidRPr="00AC6ACB">
        <w:t xml:space="preserve"> </w:t>
      </w:r>
      <w:r w:rsidR="002726A7" w:rsidRPr="00AC6ACB">
        <w:t>l</w:t>
      </w:r>
      <w:r w:rsidRPr="00AC6ACB">
        <w:t>'UIT a amélioré la gestion de la performance en rationalisant le processus, grâce notamment à l'adoption d'un outil ePMDS simplifié, ce qui a permis d'améliorer l'efficacité du dialogue et du retour d'information sur la performance. Une page</w:t>
      </w:r>
      <w:r w:rsidR="003E39F5" w:rsidRPr="00AC6ACB">
        <w:t> </w:t>
      </w:r>
      <w:r w:rsidRPr="00AC6ACB">
        <w:t>web moderne et conviviale sur la gestion de la performance, où sont présentées les principales informations relatives au processus et des instructions permettant d'en parcourir les différentes étapes, a été lancée. Le personnel et les superviseurs ont bénéficié d'une formation ciblée sur la gestion de la performance, permettant d'acquérir les connaissances et les compétences nécessaires à l'établissement et à l'évaluation efficaces du plan de travail.</w:t>
      </w:r>
    </w:p>
    <w:p w14:paraId="4A3F653E" w14:textId="614D620E" w:rsidR="00316395" w:rsidRPr="00AC6ACB" w:rsidRDefault="00316395" w:rsidP="00316395">
      <w:r w:rsidRPr="00AC6ACB">
        <w:rPr>
          <w:b/>
          <w:bCs/>
          <w:i/>
          <w:iCs/>
        </w:rPr>
        <w:t>Programme de départ volontaire</w:t>
      </w:r>
      <w:r w:rsidR="002726A7" w:rsidRPr="00AC6ACB">
        <w:t>:</w:t>
      </w:r>
      <w:r w:rsidRPr="00AC6ACB">
        <w:t xml:space="preserve"> </w:t>
      </w:r>
      <w:r w:rsidR="002726A7" w:rsidRPr="00AC6ACB">
        <w:t>u</w:t>
      </w:r>
      <w:r w:rsidRPr="00AC6ACB">
        <w:t>ne deuxième phase du Programme de départ volontaire a été lancée en novembre 2024, conformément à la Décision 5 (Rév. Bucarest, 2022) de la Conférence de plénipotentiaires. Les principaux objectifs du programme sont de ménager à</w:t>
      </w:r>
      <w:r w:rsidR="002726A7" w:rsidRPr="00AC6ACB">
        <w:t> </w:t>
      </w:r>
      <w:r w:rsidRPr="00AC6ACB">
        <w:t>l'UIT la souplesse nécessaire pour recruter des talents et des compétences supplémentaires, réaligner ses structures et optimiser l'utilisation des ressources dont il dispose pour remplir sa mission.</w:t>
      </w:r>
    </w:p>
    <w:p w14:paraId="7D1BD030" w14:textId="32C7D293" w:rsidR="00316395" w:rsidRPr="00AC6ACB" w:rsidRDefault="00316395" w:rsidP="00316395">
      <w:r w:rsidRPr="00AC6ACB">
        <w:rPr>
          <w:b/>
          <w:bCs/>
          <w:i/>
          <w:iCs/>
        </w:rPr>
        <w:t>Bien-être du personnel</w:t>
      </w:r>
      <w:r w:rsidR="002726A7" w:rsidRPr="00AC6ACB">
        <w:t>:</w:t>
      </w:r>
      <w:r w:rsidRPr="00AC6ACB">
        <w:t xml:space="preserve"> </w:t>
      </w:r>
      <w:r w:rsidR="002726A7" w:rsidRPr="00AC6ACB">
        <w:t>l</w:t>
      </w:r>
      <w:r w:rsidRPr="00AC6ACB">
        <w:t>'équipe de direction a pris des dispositions significatives pour traiter les questions soulevées dans l'enquête de santé menée à l'échelle du système des Nations</w:t>
      </w:r>
      <w:r w:rsidR="003E39F5" w:rsidRPr="00AC6ACB">
        <w:t> </w:t>
      </w:r>
      <w:r w:rsidRPr="00AC6ACB">
        <w:t>Unies en 2023. La haute direction a arrêté un certain nombre de mesures lors de ses retraites de mars et de novembre 2024, parmi lesquelles un exercice de définition de priorités, des travaux concernant la gestion de la performance, les gratifications et la reconnaissance, des initiatives axées sur la transformation et un examen du système de justice interne. À partir des résultats de l'enquête, l'UIT a défini son premier plan d'action pour la santé mentale et le bien-être, centré sur les personnes et leur environnement de travail. Des sessions d'information sur le bien-être ont été organisées au siège et hors siège, ainsi que 390 séances individuelles de conseil. Des séances d'information sur les microagressions, la prévention du harcèlement et les préjugés inconscients ont été organisées fin 2024. La première série de cours du programme sur l'encadrement inclusif a été achevée en 2024, et d'autres doivent avoir lieu début 2025 pour traiter le sujet de l'encadrement adaptatif à tous les niveaux de l'Organisation. L'objectif du programme est de renforcer l'inclusivité, la collaboration, le respect et le bien-être à l'échelle de l'UIT.</w:t>
      </w:r>
    </w:p>
    <w:p w14:paraId="2F0ECB62" w14:textId="36E62FF6" w:rsidR="00316395" w:rsidRPr="00AC6ACB" w:rsidRDefault="00316395" w:rsidP="00316395">
      <w:r w:rsidRPr="00AC6ACB">
        <w:t>En janvier 2025, une enquête sur la motivation du personnel de l'UIT a été lancée en vue de comprendre le niveau de motivation et d'implication des fonctionnaires vis-à-vis de leur travail et de l'Organisation. L'enquête vise à promouvoir l'efficience et l'efficacité à l'UIT et à mettre en évidence les améliorations qui seraient souhaitables dans la culture professionnelle, les pratiques de gestion et l'efficience opérationnelle. Le taux de réponse du personnel a atteint 72%, et des résultats globalement positifs ont été constatés pour ce qui est du degré de motivation des fonctionnaires dans leur travail, parallèlement à certaines améliorations possibles concernant, entre autres aspects, la communication en interne, les gratifications et la reconnaissance, et la gestion de la charge de travail. Une série de mesures complémentaires est en cours afin de garantir un changement significatif et mesurable, avec l'appui d'"ambassadeurs" spécialement désignés, et des séances de planification en commun auront lieu avec les bureaux et les départements en 2025 pour définir des activités.</w:t>
      </w:r>
    </w:p>
    <w:p w14:paraId="659D3183" w14:textId="6DAFA370" w:rsidR="00316395" w:rsidRPr="00AC6ACB" w:rsidRDefault="00316395" w:rsidP="002726A7">
      <w:pPr>
        <w:pStyle w:val="Heading2"/>
      </w:pPr>
      <w:r w:rsidRPr="00AC6ACB">
        <w:lastRenderedPageBreak/>
        <w:t>2</w:t>
      </w:r>
      <w:r w:rsidRPr="00AC6ACB">
        <w:tab/>
        <w:t>Gestion des risques</w:t>
      </w:r>
    </w:p>
    <w:p w14:paraId="5A81504C" w14:textId="73B46A71" w:rsidR="00316395" w:rsidRPr="00AC6ACB" w:rsidRDefault="00316395" w:rsidP="00316395">
      <w:r w:rsidRPr="00AC6ACB">
        <w:rPr>
          <w:b/>
          <w:bCs/>
          <w:i/>
          <w:iCs/>
        </w:rPr>
        <w:t>Processus de gestion des risques</w:t>
      </w:r>
      <w:r w:rsidR="002726A7" w:rsidRPr="00AC6ACB">
        <w:t>:</w:t>
      </w:r>
      <w:r w:rsidRPr="00AC6ACB">
        <w:t xml:space="preserve"> </w:t>
      </w:r>
      <w:r w:rsidR="002726A7" w:rsidRPr="00AC6ACB">
        <w:t>l</w:t>
      </w:r>
      <w:r w:rsidRPr="00AC6ACB">
        <w:t>es processus de gestion des risques de l'UIT, qui portent sur l'identification et l'évaluation des risques ainsi que les mesures à prendre pour y faire face, sont inscrits dans le registre des risques de l'Organisation, conformément à l'engagement pris par le Responsable de la gestion des risques de l'Organisation auprès des pilotes de risque. Les risques significatifs font toutefois l'objet d'un suivi permanent, et des points de situation sont communiqués au Groupe de coordination de la gestion et affichés sur la page web du Conseil. Lors du dernier point de situation pour 2024, on a constaté une diminution de la gravité du risque le plus significatif, qui concerne les méthodes de travail lors des grandes manifestations, à la suite de l'adoption, en septembre 2024, d'un module plus résilient de service à la clientèle dans le système ERP. Un risque financier supplémentaire a aussi été ajouté aux risques significatifs, concernant les difficultés budgétaires liées aux produits tirés du recouvrement des coûts. Davantage doit être fait pour intégrer les activités de gestion des risques dans la gestion axée sur les résultats (GAR), ce qui nous permettrait de mettre en application le cadre de gestion du risque institutionnel prescrit par la Politique de 2020 de l'UIT en matière de gestion des risques.</w:t>
      </w:r>
    </w:p>
    <w:p w14:paraId="2DF2480E" w14:textId="31316036" w:rsidR="00316395" w:rsidRPr="00AC6ACB" w:rsidRDefault="00316395" w:rsidP="00316395">
      <w:r w:rsidRPr="00AC6ACB">
        <w:rPr>
          <w:b/>
          <w:bCs/>
          <w:i/>
          <w:iCs/>
        </w:rPr>
        <w:t>Violation de données</w:t>
      </w:r>
      <w:r w:rsidR="002726A7" w:rsidRPr="00AC6ACB">
        <w:t>:</w:t>
      </w:r>
      <w:r w:rsidRPr="00AC6ACB">
        <w:t xml:space="preserve"> </w:t>
      </w:r>
      <w:r w:rsidR="002726A7" w:rsidRPr="00AC6ACB">
        <w:t>e</w:t>
      </w:r>
      <w:r w:rsidRPr="00AC6ACB">
        <w:t>n 2025, une violation de données s'est produite au sein du Bureau de la normalisation des télécommunications, concernant un accès non autorisé à un ensemble limité d'informations. La violation a été rapidement maîtrisée et des mesures correctives ont été prises pour améliorer la sécurité du système, renforcer les contrôles d'accès et prévenir d'autres incidents.</w:t>
      </w:r>
    </w:p>
    <w:p w14:paraId="42C30FC3" w14:textId="32260A42" w:rsidR="00316395" w:rsidRPr="00AC6ACB" w:rsidRDefault="00316395" w:rsidP="00316395">
      <w:r w:rsidRPr="00AC6ACB">
        <w:rPr>
          <w:b/>
          <w:bCs/>
          <w:i/>
          <w:iCs/>
        </w:rPr>
        <w:t>Faiblesses constatées dans la gestion axée sur les résultats</w:t>
      </w:r>
      <w:r w:rsidR="002726A7" w:rsidRPr="00AC6ACB">
        <w:t>:</w:t>
      </w:r>
      <w:r w:rsidRPr="00AC6ACB">
        <w:t xml:space="preserve"> </w:t>
      </w:r>
      <w:r w:rsidR="002726A7" w:rsidRPr="00AC6ACB">
        <w:t>i</w:t>
      </w:r>
      <w:r w:rsidRPr="00AC6ACB">
        <w:t>l convient de clarifier davantage les objectifs qui doivent être répercutés au niveau de chaque département, division ou unité selon la méthode de gestion axée sur les résultats. Conformément au Plan de transformation financière 2023 et au plan 2024 de la haute direction pour les contrôles internes, des travaux ont été engagés pour renforcer notre GAR afin d'améliorer l'efficacité des programmes de l'Organisation. Il est nécessaire de redoubler d'efforts pour ce secteur de la Feuille de route pour la transformation.</w:t>
      </w:r>
    </w:p>
    <w:p w14:paraId="50407B0A" w14:textId="7B0F55A9" w:rsidR="00316395" w:rsidRPr="00AC6ACB" w:rsidRDefault="00316395" w:rsidP="00316395">
      <w:r w:rsidRPr="00AC6ACB">
        <w:rPr>
          <w:b/>
          <w:bCs/>
          <w:i/>
          <w:iCs/>
        </w:rPr>
        <w:t>Gestion spécialisée des risques</w:t>
      </w:r>
      <w:r w:rsidR="002726A7" w:rsidRPr="00AC6ACB">
        <w:t>:</w:t>
      </w:r>
      <w:r w:rsidRPr="00AC6ACB">
        <w:t xml:space="preserve"> </w:t>
      </w:r>
      <w:r w:rsidR="002726A7" w:rsidRPr="00AC6ACB">
        <w:t>c</w:t>
      </w:r>
      <w:r w:rsidRPr="00AC6ACB">
        <w:t xml:space="preserve">ertaines fonctions spécialisées tiennent également un registre de risques, parmi lesquelles la fonction de sécurité de l'information, qui a conçu un cadre global de gestion des risques, d'après le cadre COBIT de gouvernance des technologies de l'information, accepté au niveau mondial, qui définit des objectifs de contrôle pour ces technologies et les technologies connexes, sur la base d'un registre détaillé des risques informatiques permettant de surveiller et de traiter les menaces rapidement évolutives qui pèsent sur les systèmes d'information de l'UIT. Il existe également un registre des risques consacré au projet de construction du nouveau siège, sous la responsabilité de la Division de la gestion des installations et du projet de bâtiment. Le contrôle est assuré par le Groupe consultatif d'États </w:t>
      </w:r>
      <w:r w:rsidR="003E39F5" w:rsidRPr="00AC6ACB">
        <w:t>M</w:t>
      </w:r>
      <w:r w:rsidRPr="00AC6ACB">
        <w:t>embres (MSAG), et des rapports financiers sont régulièrement communiqués au pays hôte. Outre le Groupe MSAG, la gouvernance du projet est assurée également par la Comité de direction du projet de bâtiment et la Commission de direction pour le nouveau bâtiment.</w:t>
      </w:r>
    </w:p>
    <w:p w14:paraId="54BD083F" w14:textId="66F89B95" w:rsidR="00316395" w:rsidRPr="00AC6ACB" w:rsidRDefault="00316395" w:rsidP="002726A7">
      <w:pPr>
        <w:pStyle w:val="Heading2"/>
      </w:pPr>
      <w:r w:rsidRPr="00AC6ACB">
        <w:lastRenderedPageBreak/>
        <w:t>3</w:t>
      </w:r>
      <w:r w:rsidRPr="00AC6ACB">
        <w:tab/>
        <w:t>Activités de contrôle</w:t>
      </w:r>
    </w:p>
    <w:p w14:paraId="72F23C04" w14:textId="157A88E7" w:rsidR="00316395" w:rsidRPr="00AC6ACB" w:rsidRDefault="00316395" w:rsidP="002726A7">
      <w:pPr>
        <w:keepLines/>
      </w:pPr>
      <w:r w:rsidRPr="00AC6ACB">
        <w:rPr>
          <w:b/>
          <w:bCs/>
          <w:i/>
          <w:iCs/>
        </w:rPr>
        <w:t>Rapports financiers</w:t>
      </w:r>
      <w:r w:rsidR="002726A7" w:rsidRPr="00AC6ACB">
        <w:t>:</w:t>
      </w:r>
      <w:r w:rsidRPr="00AC6ACB">
        <w:t xml:space="preserve"> </w:t>
      </w:r>
      <w:r w:rsidR="002726A7" w:rsidRPr="00AC6ACB">
        <w:t>l</w:t>
      </w:r>
      <w:r w:rsidRPr="00AC6ACB">
        <w:t xml:space="preserve">'UIT reste en bonne voie concernant la publication des </w:t>
      </w:r>
      <w:r w:rsidR="003E39F5" w:rsidRPr="00AC6ACB">
        <w:t>É</w:t>
      </w:r>
      <w:r w:rsidRPr="00AC6ACB">
        <w:t>tats financiers pour 2024, qui ont été transmis au Bureau national de contrôle des finances publiques du</w:t>
      </w:r>
      <w:r w:rsidR="00230081" w:rsidRPr="00AC6ACB">
        <w:t> </w:t>
      </w:r>
      <w:r w:rsidRPr="00AC6ACB">
        <w:t>Royaume-Uni le 10 mars 2025, en vue de leur présentation au Conseil dans les délais convenus. Cela a été possible grâce aux améliorations constantes dont les rapports financiers ont fait l'objet. Il a été procédé à un examen approfondi des processus comptables internes pour renforcer les contrôles financiers et améliorer la gestion de la comptabilité des fonds extrabudgétaires, ce qui a renforcé l'exactitude et la conformité à cet égard. L'UIT a actualisé ses politiques comptables, amélioré ses processus de rapprochement et introduit un examen de clôture de fin d'exercice plus rigoureux, afin de remédier aux problèmes antérieurs et de rationaliser les flux de travail. Toutefois, l'UIT est consciente de la nécessité de renforcer encore les contrôles internes, les mécanismes d'information financière et la définition précise des rôles et responsabilités, s'agissant en particulier de la gestion des fonds extrabudgétaires. Des mesures sont en cours d'élaboration pour renforcer la surveillance, garantir la conformité et améliorer les contrôles financiers pour ces fonds, notamment en élaborant des instructions permanentes clairement définies sur les processus de bout en bout pour tous les fonds extrabudgétaires de l'ensemble de l'Organisation, et pour définir clairement les rôles et responsabilités associés aux principales fonctions de gestion.</w:t>
      </w:r>
    </w:p>
    <w:p w14:paraId="51F54B34" w14:textId="1DD37BAB" w:rsidR="00316395" w:rsidRPr="00AC6ACB" w:rsidRDefault="00316395" w:rsidP="00316395">
      <w:r w:rsidRPr="00AC6ACB">
        <w:rPr>
          <w:b/>
          <w:bCs/>
          <w:i/>
          <w:iCs/>
        </w:rPr>
        <w:t>Gestion financière</w:t>
      </w:r>
      <w:r w:rsidR="002726A7" w:rsidRPr="00AC6ACB">
        <w:t>:</w:t>
      </w:r>
      <w:r w:rsidRPr="00AC6ACB">
        <w:t xml:space="preserve"> </w:t>
      </w:r>
      <w:r w:rsidR="002726A7" w:rsidRPr="00AC6ACB">
        <w:t>e</w:t>
      </w:r>
      <w:r w:rsidRPr="00AC6ACB">
        <w:t>n juin 2024, le Conseil de l'UIT a approuvé le Règlement financier révisé et la Secrétaire générale a actualisé les Règles financières, ce qui a renforcé le cadre de gouvernance en matière de gestion financière. En outre, l'UIT a adopté des politiques comptables plus rigoureuses concernant le rôle du Comité de la trésorerie et la gestion de ses placements, à l'aide de la Politique en matière de placements, ce qui a garanti une approche plus structurée et plus transparente des opérations de trésorerie. Les améliorations qui continuent ainsi d'être apportées témoignent de la volonté résolue de</w:t>
      </w:r>
      <w:r w:rsidR="002726A7" w:rsidRPr="00AC6ACB">
        <w:t> </w:t>
      </w:r>
      <w:r w:rsidRPr="00AC6ACB">
        <w:t>l'UIT de renforcer les contrôles financiers et de garantir la fiabilité et l'intégrité des rapports financiers.</w:t>
      </w:r>
    </w:p>
    <w:p w14:paraId="4A52FD81" w14:textId="77777777" w:rsidR="00316395" w:rsidRPr="00AC6ACB" w:rsidRDefault="00316395" w:rsidP="00316395">
      <w:r w:rsidRPr="00AC6ACB">
        <w:t>L'écart entre les recettes budgétisées et les produits effectivement tirés du recouvrement des coûts continue de poser un problème. En l'absence de véritables indicateurs prospectifs pour éclairer la prévision du recouvrement des coûts, l'UIT procède à une révision mensuelle en ce qui concerne les données sur longue période, le volume planifié et l'analyse de sensibilité de la demande.</w:t>
      </w:r>
    </w:p>
    <w:p w14:paraId="6CD4221D" w14:textId="12C11E74" w:rsidR="00316395" w:rsidRPr="00AC6ACB" w:rsidRDefault="00316395" w:rsidP="00316395">
      <w:r w:rsidRPr="00AC6ACB">
        <w:rPr>
          <w:b/>
          <w:bCs/>
          <w:i/>
          <w:iCs/>
        </w:rPr>
        <w:t>Rôles, responsabilités et délégation de pouvoir</w:t>
      </w:r>
      <w:r w:rsidR="002726A7" w:rsidRPr="00AC6ACB">
        <w:t>:</w:t>
      </w:r>
      <w:r w:rsidRPr="00AC6ACB">
        <w:t xml:space="preserve"> </w:t>
      </w:r>
      <w:r w:rsidR="002726A7" w:rsidRPr="00AC6ACB">
        <w:t>s</w:t>
      </w:r>
      <w:r w:rsidRPr="00AC6ACB">
        <w:t>i les hauts responsables consultés lors du processus des lettres de représentation jugent appropriée la structure hiérarchique, pour ce qui est des mécanismes de délégation de pouvoir, de responsabilité et de transparence, un examen récent du Département HRMD a montré qu'une compréhension plus claire serait nécessaire aux différents niveaux et à l'échelle de l'Organisation, s'agissant, en particulier, dans bien des cas, de l'attribution et de l'exercice des pouvoirs délégués, et de la responsabilité de certains aspects des contrôles internes. Le Département HRMD a déjà déployé des ressources pour traiter ce problème significatif, en vue d'élaborer un cadre complet pour la délégation de pouvoir. Les responsables de l'ensemble de l'Organisation seront ensuite consultés pour vérifier que le cadre est correctement appliqué dans leurs domaines de responsabilité.</w:t>
      </w:r>
    </w:p>
    <w:p w14:paraId="212DB417" w14:textId="20F46119" w:rsidR="00316395" w:rsidRPr="00AC6ACB" w:rsidRDefault="00316395" w:rsidP="00316395">
      <w:r w:rsidRPr="00AC6ACB">
        <w:rPr>
          <w:b/>
          <w:bCs/>
          <w:i/>
          <w:iCs/>
        </w:rPr>
        <w:lastRenderedPageBreak/>
        <w:t>Séparation des tâches</w:t>
      </w:r>
      <w:r w:rsidR="002726A7" w:rsidRPr="00AC6ACB">
        <w:t>:</w:t>
      </w:r>
      <w:r w:rsidRPr="00AC6ACB">
        <w:t xml:space="preserve"> </w:t>
      </w:r>
      <w:r w:rsidR="002726A7" w:rsidRPr="00AC6ACB">
        <w:t>l</w:t>
      </w:r>
      <w:r w:rsidRPr="00AC6ACB">
        <w:t>e Manuel de l'UIT sur la passation des marchés, adopté en septembre 2022, définit le principe de la séparation des tâches pour le processus de passation des marchés, ce qui a permis de répondre à plusieurs recommandations de contrôle interne en suspens. Le nouveau Chef de la division de la passation des marchés, entré en fonction fin de 2024, établira une matrice de la séparation des tâches, à partir du Manuel, pour l'information des fonctionnaires non spécialisés dans la passation des marchés intervenant aux différents étapes du processus de passation des marchés.</w:t>
      </w:r>
    </w:p>
    <w:p w14:paraId="71628C14" w14:textId="0EAA05D0" w:rsidR="00316395" w:rsidRPr="00AC6ACB" w:rsidRDefault="00316395" w:rsidP="00316395">
      <w:r w:rsidRPr="00AC6ACB">
        <w:rPr>
          <w:b/>
          <w:bCs/>
          <w:i/>
          <w:iCs/>
        </w:rPr>
        <w:t>Modernisation des politiques</w:t>
      </w:r>
      <w:r w:rsidR="002726A7" w:rsidRPr="00AC6ACB">
        <w:t>:</w:t>
      </w:r>
      <w:r w:rsidRPr="00AC6ACB">
        <w:t xml:space="preserve"> </w:t>
      </w:r>
      <w:r w:rsidR="002726A7" w:rsidRPr="00AC6ACB">
        <w:t>e</w:t>
      </w:r>
      <w:r w:rsidRPr="00AC6ACB">
        <w:t>n 2024, le Département HRMD a engagé une initiative visant à moderniser les politiques de l'UIT pour répondre aux besoins du personnel actuel et futur. L'objectif est de mener une analyse comparative avec d'autres organismes du système des Nations</w:t>
      </w:r>
      <w:r w:rsidR="002726A7" w:rsidRPr="00AC6ACB">
        <w:t> </w:t>
      </w:r>
      <w:r w:rsidRPr="00AC6ACB">
        <w:t>Unies pour actualiser les politiques en vigueur ou en adopter de nouvelles afin de répondre à l'évolution des besoins de l'UIT en personnel. On mentionnera notamment à cet égard des procédures et des lignes directrices concernant les titulaires de contrats SSA, et un ordre de service portant création de la fonction de Médiateur à l'UIT, qui sera publié sous</w:t>
      </w:r>
      <w:r w:rsidR="002726A7" w:rsidRPr="00AC6ACB">
        <w:t> </w:t>
      </w:r>
      <w:r w:rsidRPr="00AC6ACB">
        <w:t>peu. Dans les mois à venir, l'UIT publiera des renseignements actualisés concernant le recours au personnel au bénéfice de contrats de courte durée et la gestion de ce personnel, l'allocation de logement, l'indemnité pour frais d'études et les indemnités pour personne à charge.</w:t>
      </w:r>
    </w:p>
    <w:p w14:paraId="6CA4BE2B" w14:textId="413169BE" w:rsidR="00316395" w:rsidRPr="00AC6ACB" w:rsidRDefault="00316395" w:rsidP="00316395">
      <w:r w:rsidRPr="00AC6ACB">
        <w:rPr>
          <w:b/>
          <w:bCs/>
          <w:i/>
          <w:iCs/>
        </w:rPr>
        <w:t>Contrôle de la technologie</w:t>
      </w:r>
      <w:r w:rsidR="002726A7" w:rsidRPr="00AC6ACB">
        <w:t>:</w:t>
      </w:r>
      <w:r w:rsidRPr="00AC6ACB">
        <w:t xml:space="preserve"> </w:t>
      </w:r>
      <w:r w:rsidR="002726A7" w:rsidRPr="00AC6ACB">
        <w:t>l</w:t>
      </w:r>
      <w:r w:rsidRPr="00AC6ACB">
        <w:t>e Comité de gouvernance des technologies de l'information et de la communication (ICTGC) a été créé pour superviser à l'UIT tous les aspects de la gouvernance des technologies de l'information, de la cybersécurité et de la gouvernance de l'information et des données, et en assurer une gestion stratégique, notamment en optimisant l'affectation des ressources de TIC et en veillant à ce que soient menées des activités appropriées de gestion des risques liés aux</w:t>
      </w:r>
      <w:r w:rsidR="00B41A75" w:rsidRPr="00B41A75">
        <w:t xml:space="preserve"> technologies de l'information</w:t>
      </w:r>
      <w:r w:rsidR="00B41A75">
        <w:t>.</w:t>
      </w:r>
      <w:r w:rsidRPr="00AC6ACB">
        <w:t xml:space="preserve"> La création du Comité ICTGC, qui s'est réuni de façon régulière, a répondu à plusieurs des recommandations de contrôle interne en</w:t>
      </w:r>
      <w:r w:rsidR="002726A7" w:rsidRPr="00AC6ACB">
        <w:t> </w:t>
      </w:r>
      <w:r w:rsidRPr="00AC6ACB">
        <w:t>suspens.</w:t>
      </w:r>
    </w:p>
    <w:p w14:paraId="07206ED6" w14:textId="50FB6ABE" w:rsidR="00316395" w:rsidRPr="00AC6ACB" w:rsidRDefault="00316395" w:rsidP="00316395">
      <w:r w:rsidRPr="00AC6ACB">
        <w:rPr>
          <w:b/>
          <w:bCs/>
          <w:i/>
          <w:iCs/>
        </w:rPr>
        <w:t>Sûreté et sécurité</w:t>
      </w:r>
      <w:r w:rsidR="002726A7" w:rsidRPr="00AC6ACB">
        <w:t>:</w:t>
      </w:r>
      <w:r w:rsidRPr="00AC6ACB">
        <w:t xml:space="preserve"> </w:t>
      </w:r>
      <w:r w:rsidR="002726A7" w:rsidRPr="00AC6ACB">
        <w:t>e</w:t>
      </w:r>
      <w:r w:rsidRPr="00AC6ACB">
        <w:t xml:space="preserve">n 2024, l'UIT a entrepris une importante mise à niveau des systèmes de sûreté et de sécurité en déployant des ressources normalisées de technologie de l'information et de sécurité auprès des bureaux régionaux, des bureaux de zone et des bureaux de liaison, conformément aux conditions impératives prévues par le </w:t>
      </w:r>
      <w:r w:rsidR="00230081" w:rsidRPr="00AC6ACB">
        <w:t>s</w:t>
      </w:r>
      <w:r w:rsidRPr="00AC6ACB">
        <w:t>ystème de gestion de la sécurité des Nations Unies. L'objectif de la mise à niveau est de faire en sorte que le niveau de sûreté et de sécurité soit cohérent dans tous les locaux de l'UIT, grâce à des équipements normalisés bénéficiant d'un appui opérationnel du siège. La mise à niveau a été achevée à Bangkok, à Jakarta, à New Delhi, au Caire, à Moscou et à Addis-Abeba. Le</w:t>
      </w:r>
      <w:r w:rsidR="002726A7" w:rsidRPr="00AC6ACB">
        <w:t> </w:t>
      </w:r>
      <w:r w:rsidRPr="00AC6ACB">
        <w:t>réaménagement des bureaux restants sera achevé en 2025.</w:t>
      </w:r>
    </w:p>
    <w:p w14:paraId="0248BAEC" w14:textId="766E7761" w:rsidR="00316395" w:rsidRPr="00AC6ACB" w:rsidRDefault="00316395" w:rsidP="002726A7">
      <w:pPr>
        <w:pStyle w:val="Heading2"/>
      </w:pPr>
      <w:r w:rsidRPr="00AC6ACB">
        <w:t>4</w:t>
      </w:r>
      <w:r w:rsidRPr="00AC6ACB">
        <w:tab/>
        <w:t>Information et communication</w:t>
      </w:r>
    </w:p>
    <w:p w14:paraId="2F24A2B1" w14:textId="77777777" w:rsidR="00230081" w:rsidRPr="00AC6ACB" w:rsidRDefault="00316395" w:rsidP="00316395">
      <w:r w:rsidRPr="00AC6ACB">
        <w:rPr>
          <w:b/>
          <w:bCs/>
          <w:i/>
          <w:iCs/>
        </w:rPr>
        <w:t xml:space="preserve">Courriels sur le portail, site intranet et réunions </w:t>
      </w:r>
      <w:r w:rsidR="00AF11CD" w:rsidRPr="00AC6ACB">
        <w:rPr>
          <w:b/>
          <w:bCs/>
          <w:i/>
          <w:iCs/>
        </w:rPr>
        <w:t>de l'ensemble du personnel</w:t>
      </w:r>
      <w:r w:rsidR="002726A7" w:rsidRPr="00AC6ACB">
        <w:t>:</w:t>
      </w:r>
      <w:r w:rsidRPr="00AC6ACB">
        <w:t xml:space="preserve"> </w:t>
      </w:r>
      <w:r w:rsidR="002726A7" w:rsidRPr="00AC6ACB">
        <w:t>l</w:t>
      </w:r>
      <w:r w:rsidRPr="00AC6ACB">
        <w:t xml:space="preserve">es courriels sur le portail et le site intranet communiquent aux fonctionnaires de l'UIT l'information nécessaire concernant le fonctionnement et l'amélioration des contrôles internes, notamment sur l'adoption de nouvelles politiques, de nouvelles versions d'ordres de service et de diverses notes de service, portant notamment sur des sujets récurrents et le rappel de diverses obligations incombant au personnel. Le Département HRMD a élaboré et mis en ligne en 2024 des documents complets de "questions fréquentes", concernant notamment les modalités de télétravail, le lancement de la deuxième phase du programme de départ </w:t>
      </w:r>
      <w:r w:rsidR="00230081" w:rsidRPr="00AC6ACB">
        <w:br w:type="page"/>
      </w:r>
    </w:p>
    <w:p w14:paraId="3B37A589" w14:textId="4BEBC656" w:rsidR="00316395" w:rsidRPr="00AC6ACB" w:rsidRDefault="00316395" w:rsidP="00316395">
      <w:r w:rsidRPr="00AC6ACB">
        <w:lastRenderedPageBreak/>
        <w:t>volontaire et la politique de formation obligatoire. En outre, des informations relatives au contrôle interne sont présentées lors de réunions régulières</w:t>
      </w:r>
      <w:r w:rsidR="00AF11CD" w:rsidRPr="00AC6ACB">
        <w:t xml:space="preserve"> rassemblant l'ensemble du personnel</w:t>
      </w:r>
      <w:r w:rsidRPr="00AC6ACB">
        <w:t xml:space="preserve">, ce qui permet de sensibiliser </w:t>
      </w:r>
      <w:r w:rsidR="00AF11CD" w:rsidRPr="00AC6ACB">
        <w:t>tous les fonctionnaires</w:t>
      </w:r>
      <w:r w:rsidRPr="00AC6ACB">
        <w:t>.</w:t>
      </w:r>
    </w:p>
    <w:p w14:paraId="60D63C48" w14:textId="361E1344" w:rsidR="00316395" w:rsidRPr="00AC6ACB" w:rsidRDefault="00316395" w:rsidP="00316395">
      <w:r w:rsidRPr="00AC6ACB">
        <w:rPr>
          <w:b/>
          <w:bCs/>
          <w:i/>
          <w:iCs/>
        </w:rPr>
        <w:t>Projet relatif au site web de l'UIT</w:t>
      </w:r>
      <w:r w:rsidR="002726A7" w:rsidRPr="00AC6ACB">
        <w:t>:</w:t>
      </w:r>
      <w:r w:rsidRPr="00AC6ACB">
        <w:t xml:space="preserve"> </w:t>
      </w:r>
      <w:r w:rsidR="002726A7" w:rsidRPr="00AC6ACB">
        <w:t>l</w:t>
      </w:r>
      <w:r w:rsidRPr="00AC6ACB">
        <w:t>e projet relatif au site web de l'UIT a été lancé, sur la base d'un financement partiel alloué par le Conseil à sa session de 2024. Ce projet vise notamment à remédier aux lacunes des fonctionnalités de navigation et de recherche du site</w:t>
      </w:r>
      <w:r w:rsidR="002726A7" w:rsidRPr="00AC6ACB">
        <w:t> </w:t>
      </w:r>
      <w:r w:rsidRPr="00AC6ACB">
        <w:t>web.</w:t>
      </w:r>
    </w:p>
    <w:p w14:paraId="15D379E4" w14:textId="4AB3C002" w:rsidR="00316395" w:rsidRPr="00AC6ACB" w:rsidRDefault="00316395" w:rsidP="00316395">
      <w:r w:rsidRPr="00AC6ACB">
        <w:rPr>
          <w:b/>
          <w:bCs/>
          <w:i/>
          <w:iCs/>
        </w:rPr>
        <w:t>Tableaux de bord</w:t>
      </w:r>
      <w:r w:rsidR="002726A7" w:rsidRPr="00AC6ACB">
        <w:t>:</w:t>
      </w:r>
      <w:r w:rsidRPr="00AC6ACB">
        <w:t xml:space="preserve"> </w:t>
      </w:r>
      <w:r w:rsidR="002726A7" w:rsidRPr="00AC6ACB">
        <w:t>p</w:t>
      </w:r>
      <w:r w:rsidRPr="00AC6ACB">
        <w:t>our aider le personnel et la direction à s'acquitter de leurs responsabilités en matière de contrôle interne, on a de plus en plus recours à une information en temps réel. C'est ainsi que le tableau de bord d'analyse financière et opérationnelle permet une analyse dynamique des tendances et la présentation d'informations sur des éléments comme les frais de voyage, le grand livre général, l'exécution générale du budget et les prévisions. En 2024, les données relatives au budget non opérationnel des TIC et aux fonds de capitalisation des bâtiments ont été incluses, ainsi</w:t>
      </w:r>
      <w:r w:rsidR="002726A7" w:rsidRPr="00AC6ACB">
        <w:t> </w:t>
      </w:r>
      <w:r w:rsidRPr="00AC6ACB">
        <w:t>qu'une fonction d'archivage automatique qui permet de disposer une piste d'audit concernant l'évolution de l'exécution du budget. Les fonds extrabudgétaires seront inclus dans les tableaux de bord en 2025. En outre, des ateliers visant à familiariser les responsables avec cet outil et la méthode d'interprétation des chiffres seront organisés en</w:t>
      </w:r>
      <w:r w:rsidR="002726A7" w:rsidRPr="00AC6ACB">
        <w:t> </w:t>
      </w:r>
      <w:r w:rsidRPr="00AC6ACB">
        <w:t>2025. En complément du portail d'analyse des effectifs du Département HRMD, d'autres tableaux de bord ont été conçus pour contrôler le télétravail et les taux d'achèvement des formations obligatoires.</w:t>
      </w:r>
    </w:p>
    <w:p w14:paraId="6CF7CA3C" w14:textId="6CD9E464" w:rsidR="00316395" w:rsidRPr="00AC6ACB" w:rsidRDefault="00316395" w:rsidP="002726A7">
      <w:pPr>
        <w:pStyle w:val="Heading2"/>
      </w:pPr>
      <w:r w:rsidRPr="00AC6ACB">
        <w:t>5</w:t>
      </w:r>
      <w:r w:rsidRPr="00AC6ACB">
        <w:tab/>
        <w:t>Activités de contrôle</w:t>
      </w:r>
    </w:p>
    <w:p w14:paraId="791658A7" w14:textId="166399D6" w:rsidR="00316395" w:rsidRPr="00AC6ACB" w:rsidRDefault="00316395" w:rsidP="00316395">
      <w:r w:rsidRPr="00AC6ACB">
        <w:rPr>
          <w:b/>
          <w:bCs/>
          <w:i/>
          <w:iCs/>
        </w:rPr>
        <w:t>Missions d'audit interne</w:t>
      </w:r>
      <w:r w:rsidR="004E71FA" w:rsidRPr="00AC6ACB">
        <w:t>:</w:t>
      </w:r>
      <w:r w:rsidRPr="00AC6ACB">
        <w:t xml:space="preserve"> </w:t>
      </w:r>
      <w:r w:rsidR="004E71FA" w:rsidRPr="00AC6ACB">
        <w:t>e</w:t>
      </w:r>
      <w:r w:rsidRPr="00AC6ACB">
        <w:t>n 2024, la fonction d'audit interne, qui fournit une assurance indépendante concernant la gouvernance, la gestion des risques et l'efficacité des processus de contrôle interne de l'UIT, a publié quatre rapports d'audit. Ces rapports ont également été communiqués au CCIG et au Vérificateur externe des comptes. Des missions d'audit interne ont été planifiées et réalisées, et il en été rendu compte, conformément à la Charte du contrôle interne.</w:t>
      </w:r>
    </w:p>
    <w:p w14:paraId="6953FE6B" w14:textId="70FFD4A5" w:rsidR="00316395" w:rsidRPr="00AC6ACB" w:rsidRDefault="00316395" w:rsidP="00316395">
      <w:r w:rsidRPr="00AC6ACB">
        <w:rPr>
          <w:b/>
          <w:bCs/>
          <w:i/>
          <w:iCs/>
        </w:rPr>
        <w:t>Examens de suivi des contrôles de la deuxième ligne de défense</w:t>
      </w:r>
      <w:r w:rsidR="004E71FA" w:rsidRPr="00AC6ACB">
        <w:t>:</w:t>
      </w:r>
      <w:r w:rsidRPr="00AC6ACB">
        <w:t xml:space="preserve"> </w:t>
      </w:r>
      <w:r w:rsidR="004E71FA" w:rsidRPr="00AC6ACB">
        <w:t>e</w:t>
      </w:r>
      <w:r w:rsidRPr="00AC6ACB">
        <w:t>n 2024, le Responsable de la gestion des risques liés aux activités de l'Organisation a mené ou coordonné des examens de suivi des contrôles de la deuxième ligne de défense pour vérifier si les différents contrôles internes sont en place et sont suffisants et respectés, et en évaluer le bon fonctionnement et la robustesse selon qu'il convient. Trois examens ont été réalisés:</w:t>
      </w:r>
    </w:p>
    <w:p w14:paraId="56544389" w14:textId="5590A584" w:rsidR="00316395" w:rsidRPr="00AC6ACB" w:rsidRDefault="00316395" w:rsidP="004E71FA">
      <w:pPr>
        <w:pStyle w:val="enumlev1"/>
      </w:pPr>
      <w:r w:rsidRPr="00AC6ACB">
        <w:t>1)</w:t>
      </w:r>
      <w:r w:rsidRPr="00AC6ACB">
        <w:tab/>
        <w:t>Examen de la conformité aux exigences du système TRIP des Nations Unies et de la formation BSAFE</w:t>
      </w:r>
      <w:r w:rsidR="004E71FA" w:rsidRPr="00AC6ACB">
        <w:t>.</w:t>
      </w:r>
    </w:p>
    <w:p w14:paraId="79AFB17D" w14:textId="035269FD" w:rsidR="00316395" w:rsidRPr="00AC6ACB" w:rsidRDefault="00316395" w:rsidP="004E71FA">
      <w:pPr>
        <w:pStyle w:val="enumlev1"/>
      </w:pPr>
      <w:r w:rsidRPr="00AC6ACB">
        <w:t>2)</w:t>
      </w:r>
      <w:r w:rsidRPr="00AC6ACB">
        <w:tab/>
        <w:t>Gestion des clés cryptographiques des services en nuage</w:t>
      </w:r>
      <w:r w:rsidR="004E71FA" w:rsidRPr="00AC6ACB">
        <w:t>.</w:t>
      </w:r>
    </w:p>
    <w:p w14:paraId="6438F6A1" w14:textId="0BB8C8FC" w:rsidR="00316395" w:rsidRPr="00AC6ACB" w:rsidRDefault="00316395" w:rsidP="004E71FA">
      <w:pPr>
        <w:pStyle w:val="enumlev1"/>
      </w:pPr>
      <w:r w:rsidRPr="00AC6ACB">
        <w:t>3)</w:t>
      </w:r>
      <w:r w:rsidRPr="00AC6ACB">
        <w:tab/>
        <w:t>Activités de passation des marchés et séparation des tâches.</w:t>
      </w:r>
    </w:p>
    <w:p w14:paraId="785A5FD1" w14:textId="77777777" w:rsidR="00316395" w:rsidRPr="00AC6ACB" w:rsidRDefault="00316395" w:rsidP="00316395">
      <w:r w:rsidRPr="00AC6ACB">
        <w:t>Les résultats de ces examens ont été communiqués aux responsables concernés, afin notamment qu'ils prennent des mesures correctives, notamment en signalant à leur hiérarchie les lacunes significatives constatées, le cas échéant. Si le temps et les ressources disponibles le permettent, l'UIT prévoit de réaliser d'autres examens de ce type en 2025.</w:t>
      </w:r>
    </w:p>
    <w:p w14:paraId="3E1AD341" w14:textId="77777777" w:rsidR="00316395" w:rsidRPr="00AC6ACB" w:rsidRDefault="00316395" w:rsidP="004E71FA">
      <w:pPr>
        <w:pStyle w:val="Headingb"/>
      </w:pPr>
      <w:bookmarkStart w:id="52" w:name="_Toc200093212"/>
      <w:bookmarkStart w:id="53" w:name="_Toc200361417"/>
      <w:r w:rsidRPr="00AC6ACB">
        <w:lastRenderedPageBreak/>
        <w:t>Conclusion et engagements</w:t>
      </w:r>
      <w:bookmarkEnd w:id="52"/>
      <w:bookmarkEnd w:id="53"/>
    </w:p>
    <w:p w14:paraId="2627480C" w14:textId="3550626E" w:rsidR="00316395" w:rsidRPr="00AC6ACB" w:rsidRDefault="00316395" w:rsidP="00316395">
      <w:r w:rsidRPr="00AC6ACB">
        <w:t>La présente Déclaration sur le contrôle interne pour l'exercice clos le 31 décembre 2024 témoigne de notre détermination à améliorer le système de contrôle interne. Tout au long de l'année, des progrès ont été faits à travers les diverses initiatives engagées depuis 2023, parmi lesquelles le renforcement de l'information et de la gestion financières et des mesures visant à donner effet aux recommandations des prestataires d'assurance indépendants. Si le système de contrôle interne est globalement adéquat, certains points doivent encore être améliorés, notamment en ce qui concerne les rôles et responsabilités et l'obligation connexe de rendre compte de la gestion des contrôles internes. De mon point de vue, le règlement de ces points fondamentaux constitue un gage de confiance quant à l'efficacité avec laquelle le système de contrôle interne garantit le niveau d'assurance auquel nous aspirons pour l'avenir.</w:t>
      </w:r>
    </w:p>
    <w:p w14:paraId="67DCE502" w14:textId="60B0C05D" w:rsidR="005020C1" w:rsidRPr="00AC6ACB" w:rsidRDefault="005020C1" w:rsidP="005020C1">
      <w:pPr>
        <w:spacing w:before="480" w:after="480"/>
      </w:pPr>
      <w:r w:rsidRPr="00AC6ACB">
        <w:t>(</w:t>
      </w:r>
      <w:r w:rsidRPr="00AC6ACB">
        <w:rPr>
          <w:i/>
          <w:iCs/>
        </w:rPr>
        <w:t>original signé</w:t>
      </w:r>
      <w:r w:rsidRPr="00AC6ACB">
        <w:t>)</w:t>
      </w:r>
    </w:p>
    <w:p w14:paraId="4C03A942" w14:textId="77777777" w:rsidR="00316395" w:rsidRPr="00AC6ACB" w:rsidRDefault="00316395" w:rsidP="005020C1">
      <w:pPr>
        <w:spacing w:before="480"/>
      </w:pPr>
      <w:r w:rsidRPr="00AC6ACB">
        <w:t>Doreen Bogdan-Martin</w:t>
      </w:r>
    </w:p>
    <w:p w14:paraId="43812BF5" w14:textId="0570CEAC" w:rsidR="00316395" w:rsidRPr="00AC6ACB" w:rsidRDefault="00316395" w:rsidP="004E71FA">
      <w:pPr>
        <w:spacing w:before="0" w:after="840"/>
      </w:pPr>
      <w:r w:rsidRPr="00AC6ACB">
        <w:t>Secrétaire générale</w:t>
      </w:r>
    </w:p>
    <w:p w14:paraId="323D0075" w14:textId="117981FB" w:rsidR="004E71FA" w:rsidRPr="00AC6ACB" w:rsidRDefault="00316395" w:rsidP="004E71FA">
      <w:r w:rsidRPr="00AC6ACB">
        <w:t xml:space="preserve">Genève, </w:t>
      </w:r>
      <w:r w:rsidR="00243137" w:rsidRPr="00AC6ACB">
        <w:t xml:space="preserve">le </w:t>
      </w:r>
      <w:r w:rsidRPr="00AC6ACB">
        <w:t>2</w:t>
      </w:r>
      <w:r w:rsidR="005020C1" w:rsidRPr="00AC6ACB">
        <w:t>9</w:t>
      </w:r>
      <w:r w:rsidRPr="00AC6ACB">
        <w:t xml:space="preserve"> mai 2025</w:t>
      </w:r>
      <w:r w:rsidR="004E71FA" w:rsidRPr="00AC6ACB">
        <w:br w:type="page"/>
      </w:r>
    </w:p>
    <w:p w14:paraId="521AAABB" w14:textId="788B080A" w:rsidR="00E40DAE" w:rsidRPr="00AC6ACB" w:rsidRDefault="00E40DAE" w:rsidP="00FB3AD7">
      <w:pPr>
        <w:pStyle w:val="Heading1"/>
        <w:spacing w:after="480"/>
        <w:jc w:val="center"/>
      </w:pPr>
      <w:bookmarkStart w:id="54" w:name="_Toc200361418"/>
      <w:r w:rsidRPr="00AC6ACB">
        <w:lastRenderedPageBreak/>
        <w:t>Opinion du Vérificateur extérieur</w:t>
      </w:r>
      <w:bookmarkEnd w:id="54"/>
    </w:p>
    <w:p w14:paraId="78D7EB9B" w14:textId="0FAF45EF" w:rsidR="001C3162" w:rsidRPr="00AC6ACB" w:rsidRDefault="001C3162" w:rsidP="00201415">
      <w:pPr>
        <w:pStyle w:val="Headingb"/>
      </w:pPr>
      <w:bookmarkStart w:id="55" w:name="_Toc200361419"/>
      <w:r w:rsidRPr="00AC6ACB">
        <w:t>Opinion sur les états financiers</w:t>
      </w:r>
      <w:bookmarkEnd w:id="55"/>
    </w:p>
    <w:p w14:paraId="0E7693AB" w14:textId="29A9E88B" w:rsidR="001C3162" w:rsidRPr="00AC6ACB" w:rsidRDefault="001C3162" w:rsidP="00201415">
      <w:r w:rsidRPr="00AC6ACB">
        <w:t>J</w:t>
      </w:r>
      <w:r w:rsidR="00201415" w:rsidRPr="00AC6ACB">
        <w:t>'</w:t>
      </w:r>
      <w:r w:rsidRPr="00AC6ACB">
        <w:t>ai vérifié les états financiers de l</w:t>
      </w:r>
      <w:r w:rsidR="00201415" w:rsidRPr="00AC6ACB">
        <w:t>'</w:t>
      </w:r>
      <w:r w:rsidRPr="00AC6ACB">
        <w:t>Union internationale des télécommunications pour l</w:t>
      </w:r>
      <w:r w:rsidR="00201415" w:rsidRPr="00AC6ACB">
        <w:t>'</w:t>
      </w:r>
      <w:r w:rsidRPr="00AC6ACB">
        <w:t>exercice clos au 31 décembre 2024, qui comprennent:</w:t>
      </w:r>
    </w:p>
    <w:p w14:paraId="760BD26C" w14:textId="08DC92AE" w:rsidR="001C3162" w:rsidRPr="00AC6ACB" w:rsidRDefault="001C3162" w:rsidP="00201415">
      <w:pPr>
        <w:pStyle w:val="enumlev1"/>
      </w:pPr>
      <w:r w:rsidRPr="00AC6ACB">
        <w:t>–</w:t>
      </w:r>
      <w:r w:rsidRPr="00AC6ACB">
        <w:tab/>
        <w:t>l'état de la situation financière au 31 décembre 2024</w:t>
      </w:r>
      <w:r w:rsidR="00201415" w:rsidRPr="00AC6ACB">
        <w:t>;</w:t>
      </w:r>
    </w:p>
    <w:p w14:paraId="3E946821" w14:textId="1F12398B" w:rsidR="001C3162" w:rsidRPr="00AC6ACB" w:rsidRDefault="001C3162" w:rsidP="00201415">
      <w:pPr>
        <w:pStyle w:val="enumlev1"/>
      </w:pPr>
      <w:r w:rsidRPr="00AC6ACB">
        <w:t>–</w:t>
      </w:r>
      <w:r w:rsidRPr="00AC6ACB">
        <w:tab/>
        <w:t>l'état de la performance financière, l'état des variations de l</w:t>
      </w:r>
      <w:r w:rsidR="00201415" w:rsidRPr="00AC6ACB">
        <w:t>'</w:t>
      </w:r>
      <w:r w:rsidRPr="00AC6ACB">
        <w:t>actif net, l'état des flux de trésorerie et l'état comparatif – Budget et montants effectifs pour l</w:t>
      </w:r>
      <w:r w:rsidR="00201415" w:rsidRPr="00AC6ACB">
        <w:t>'</w:t>
      </w:r>
      <w:r w:rsidRPr="00AC6ACB">
        <w:t>exercice clos; et</w:t>
      </w:r>
    </w:p>
    <w:p w14:paraId="5E6B8D3B" w14:textId="11596DB1" w:rsidR="001C3162" w:rsidRPr="00AC6ACB" w:rsidRDefault="001C3162" w:rsidP="00201415">
      <w:pPr>
        <w:pStyle w:val="enumlev1"/>
      </w:pPr>
      <w:r w:rsidRPr="00AC6ACB">
        <w:t>–</w:t>
      </w:r>
      <w:r w:rsidRPr="00AC6ACB">
        <w:tab/>
        <w:t>les notes y afférentes, y compris les principales méthodes comptables.</w:t>
      </w:r>
    </w:p>
    <w:p w14:paraId="5F160911" w14:textId="4154551C" w:rsidR="001C3162" w:rsidRPr="00AC6ACB" w:rsidRDefault="001C3162" w:rsidP="001C3162">
      <w:r w:rsidRPr="00AC6ACB">
        <w:t>Mon opinion est que les états financiers ci-joints donnent une image fidèle, pour tous les points essentiels, de la situation financière de l'Union internationale des télécommunications au 31 décembre 2024 ainsi que, pour l'exercice clos à cette date, de sa performance financière et de ses flux de trésorerie conformément aux normes comptables internationales du secteur public.</w:t>
      </w:r>
    </w:p>
    <w:p w14:paraId="6B66BBF2" w14:textId="5B51F973" w:rsidR="001C3162" w:rsidRPr="00AC6ACB" w:rsidRDefault="001C3162" w:rsidP="00201415">
      <w:pPr>
        <w:pStyle w:val="Headingb"/>
      </w:pPr>
      <w:bookmarkStart w:id="56" w:name="_Toc200361420"/>
      <w:r w:rsidRPr="00AC6ACB">
        <w:t>Opinion sur la régularité</w:t>
      </w:r>
      <w:bookmarkEnd w:id="56"/>
    </w:p>
    <w:p w14:paraId="5F452CE5" w14:textId="7690710F" w:rsidR="001C3162" w:rsidRPr="00AC6ACB" w:rsidRDefault="001C3162" w:rsidP="001C3162">
      <w:r w:rsidRPr="00AC6ACB">
        <w:t>Mon opinion est que, pour tous les points essentiels, les produits et les charges ont été exécutés aux fins prévues par le Conseil de l'Union internationale des télécommunications et les opérations financières sont conformes au Règlement financier de l'Union internationale des télécommunications.</w:t>
      </w:r>
    </w:p>
    <w:p w14:paraId="7BD8424D" w14:textId="77777777" w:rsidR="001C3162" w:rsidRPr="00AC6ACB" w:rsidRDefault="001C3162" w:rsidP="00201415">
      <w:pPr>
        <w:pStyle w:val="Headingb"/>
      </w:pPr>
      <w:bookmarkStart w:id="57" w:name="_Toc200361421"/>
      <w:r w:rsidRPr="00AC6ACB">
        <w:t>Fondements de l'opinion</w:t>
      </w:r>
      <w:bookmarkEnd w:id="57"/>
    </w:p>
    <w:p w14:paraId="32748081" w14:textId="2ED1DFAA" w:rsidR="001C3162" w:rsidRPr="00AC6ACB" w:rsidRDefault="001C3162" w:rsidP="001C3162">
      <w:r w:rsidRPr="00AC6ACB">
        <w:t xml:space="preserve">J'ai effectué ma vérification conformément aux normes de vérification internationales (ISA), au Règlement financier de l'Union internationale des télécommunications. Ma vérification de la régularité a été effectuée selon les principes énoncés dans les normes ISA. Les responsabilités qui m'incombent en vertu de ces normes sont décrites plus en détail dans la section </w:t>
      </w:r>
      <w:r w:rsidRPr="00AC6ACB">
        <w:rPr>
          <w:i/>
          <w:iCs/>
        </w:rPr>
        <w:t>Responsabilité du Vérificateur concernant la vérification des états financiers</w:t>
      </w:r>
      <w:r w:rsidRPr="00AC6ACB">
        <w:t xml:space="preserve"> de mon rapport.</w:t>
      </w:r>
    </w:p>
    <w:p w14:paraId="3A72AA82" w14:textId="77A1788D" w:rsidR="001C3162" w:rsidRPr="00AC6ACB" w:rsidRDefault="001C3162" w:rsidP="001C3162">
      <w:r w:rsidRPr="00AC6ACB">
        <w:t>Je suis indépendant de l'Union internationale des télécommunications conformément au Code international de déontologie des professionnels comptables élaboré par l'International Ethics Standards Board for Accountants (Code de l'IESBA) et j'ai assumé mes autres responsabilités éthiques conformément à ces exigences et au Code de l'IESBA.</w:t>
      </w:r>
    </w:p>
    <w:p w14:paraId="5C04084E" w14:textId="77777777" w:rsidR="001C3162" w:rsidRPr="00AC6ACB" w:rsidRDefault="001C3162" w:rsidP="001C3162">
      <w:r w:rsidRPr="00AC6ACB">
        <w:t>J'estime que les justificatifs que j'ai recueillis constituent une base suffisante et appropriée sur laquelle fonder mon opinion.</w:t>
      </w:r>
    </w:p>
    <w:p w14:paraId="21BF7254" w14:textId="77777777" w:rsidR="001C3162" w:rsidRPr="00AC6ACB" w:rsidRDefault="001C3162" w:rsidP="00201415">
      <w:pPr>
        <w:pStyle w:val="Headingb"/>
      </w:pPr>
      <w:bookmarkStart w:id="58" w:name="_Toc200361422"/>
      <w:r w:rsidRPr="00AC6ACB">
        <w:t>Autres renseignements</w:t>
      </w:r>
      <w:bookmarkEnd w:id="58"/>
    </w:p>
    <w:p w14:paraId="4891B9C3" w14:textId="089AA08D" w:rsidR="001C3162" w:rsidRPr="00AC6ACB" w:rsidRDefault="001C3162" w:rsidP="001C3162">
      <w:r w:rsidRPr="00AC6ACB">
        <w:t>La direction est responsable des autres informations. Ces autres informations sont celles contenues dans le rapport de gestion financière, mais ne comprennent pas les états financiers ni le rapport du Vérificateur sur ces états établi par mes soins.</w:t>
      </w:r>
    </w:p>
    <w:p w14:paraId="19903EFD" w14:textId="77777777" w:rsidR="001C3162" w:rsidRPr="00AC6ACB" w:rsidRDefault="001C3162" w:rsidP="00FB3AD7">
      <w:pPr>
        <w:keepNext/>
        <w:keepLines/>
      </w:pPr>
      <w:r w:rsidRPr="00AC6ACB">
        <w:lastRenderedPageBreak/>
        <w:t>Mon opinion sur les états financiers ne couvre pas les autres informations et, sauf indication contraire explicite dans mon rapport, je ne formule aucune conclusion que ce soit en matière d'assurance en ce qui concerne ces informations.</w:t>
      </w:r>
    </w:p>
    <w:p w14:paraId="4DCD3EE2" w14:textId="77777777" w:rsidR="001C3162" w:rsidRPr="00AC6ACB" w:rsidRDefault="001C3162" w:rsidP="00201415">
      <w:pPr>
        <w:keepNext/>
        <w:keepLines/>
      </w:pPr>
      <w:r w:rsidRPr="00AC6ACB">
        <w:t>Ma responsabilité consiste à lire les autres informations et, ce faisant, à examiner si elles présentent des incohérences importantes avec les états financiers ou avec les connaissances acquises lors de la vérification ou si elles semblent contenir des inexactitudes significatives.</w:t>
      </w:r>
    </w:p>
    <w:p w14:paraId="55F24F2C" w14:textId="447E57B9" w:rsidR="001C3162" w:rsidRPr="00AC6ACB" w:rsidRDefault="00B51C1D" w:rsidP="001C3162">
      <w:r w:rsidRPr="00AC6ACB">
        <w:t>Si je constate de telles incohérences significatives ou de telles inexactitudes significatives apparentes, je suis dans l'obligation de déterminer si cela donne lieu à une inexactitude significative dans les états financiers eux-mêmes. S'il ressort de mon travail que ces autres informations comportent des inexactitudes significatives, je suis tenu de le signaler.</w:t>
      </w:r>
    </w:p>
    <w:p w14:paraId="4BD43A7A" w14:textId="77777777" w:rsidR="001C3162" w:rsidRPr="00AC6ACB" w:rsidRDefault="001C3162" w:rsidP="001C3162">
      <w:r w:rsidRPr="00AC6ACB">
        <w:t>Je n'ai rien à signaler à cet égard.</w:t>
      </w:r>
    </w:p>
    <w:p w14:paraId="27D43EF3" w14:textId="3DF81B50" w:rsidR="001C3162" w:rsidRPr="00AC6ACB" w:rsidRDefault="001C3162" w:rsidP="00201415">
      <w:pPr>
        <w:pStyle w:val="Headingb"/>
      </w:pPr>
      <w:bookmarkStart w:id="59" w:name="_Toc200361423"/>
      <w:r w:rsidRPr="00AC6ACB">
        <w:t xml:space="preserve">Responsabilités </w:t>
      </w:r>
      <w:r w:rsidR="00B51C1D" w:rsidRPr="00AC6ACB">
        <w:t>de la direction</w:t>
      </w:r>
      <w:r w:rsidRPr="00AC6ACB">
        <w:t xml:space="preserve"> concernant les états financiers</w:t>
      </w:r>
      <w:bookmarkEnd w:id="59"/>
    </w:p>
    <w:p w14:paraId="147FC7F2" w14:textId="1DE027A2" w:rsidR="001C3162" w:rsidRPr="00AC6ACB" w:rsidRDefault="00B51C1D" w:rsidP="001C3162">
      <w:r w:rsidRPr="00AC6ACB">
        <w:t>La direction</w:t>
      </w:r>
      <w:r w:rsidR="001C3162" w:rsidRPr="00AC6ACB">
        <w:t xml:space="preserve"> est chargé</w:t>
      </w:r>
      <w:r w:rsidRPr="00AC6ACB">
        <w:t>e</w:t>
      </w:r>
      <w:r w:rsidR="001C3162" w:rsidRPr="00AC6ACB">
        <w:t xml:space="preserve"> d'établir et de présenter correctement les états financiers conformément aux normes IPSAS et d'appliquer le contrôle interne qu'</w:t>
      </w:r>
      <w:r w:rsidRPr="00AC6ACB">
        <w:t>elle</w:t>
      </w:r>
      <w:r w:rsidR="001C3162" w:rsidRPr="00AC6ACB">
        <w:t xml:space="preserve"> estime nécessaire afin d'établir des états financiers ne contenant pas d'inexactitudes significatives, que celles</w:t>
      </w:r>
      <w:r w:rsidR="00201415" w:rsidRPr="00AC6ACB">
        <w:noBreakHyphen/>
      </w:r>
      <w:r w:rsidR="001C3162" w:rsidRPr="00AC6ACB">
        <w:t>ci résultent de fraudes ou d'erreurs.</w:t>
      </w:r>
    </w:p>
    <w:p w14:paraId="05265653" w14:textId="1BE22F64" w:rsidR="001C3162" w:rsidRPr="00AC6ACB" w:rsidRDefault="001C3162" w:rsidP="001C3162">
      <w:r w:rsidRPr="00AC6ACB">
        <w:t xml:space="preserve">Lors de l'établissement des états financiers, </w:t>
      </w:r>
      <w:r w:rsidR="00B51C1D" w:rsidRPr="00AC6ACB">
        <w:t>la direction</w:t>
      </w:r>
      <w:r w:rsidRPr="00AC6ACB">
        <w:t xml:space="preserve"> est chargé</w:t>
      </w:r>
      <w:r w:rsidR="00B51C1D" w:rsidRPr="00AC6ACB">
        <w:t>e</w:t>
      </w:r>
      <w:r w:rsidRPr="00AC6ACB">
        <w:t xml:space="preserve"> d'évaluer la capacité de l'U</w:t>
      </w:r>
      <w:r w:rsidR="00B51C1D" w:rsidRPr="00AC6ACB">
        <w:t>nion internationale des télécommunications</w:t>
      </w:r>
      <w:r w:rsidRPr="00AC6ACB">
        <w:t xml:space="preserve"> à poursuivre ses activités, de communiquer, le cas échéant, des éléments liés à la continuité des activités et d'adopter le principe de continuité des activités pour la comptabilité, à moins qu'</w:t>
      </w:r>
      <w:r w:rsidR="00B51C1D" w:rsidRPr="00AC6ACB">
        <w:t>elle</w:t>
      </w:r>
      <w:r w:rsidRPr="00AC6ACB">
        <w:t xml:space="preserve"> n'ait l'intention de liquider l'Union ou de cesser ses activités, ou qu'il ne puisse guère faire autrement.</w:t>
      </w:r>
    </w:p>
    <w:p w14:paraId="2ACA659A" w14:textId="29FD264C" w:rsidR="001C3162" w:rsidRPr="00AC6ACB" w:rsidRDefault="001C3162" w:rsidP="001C3162">
      <w:r w:rsidRPr="00AC6ACB">
        <w:t xml:space="preserve">Il appartient </w:t>
      </w:r>
      <w:r w:rsidR="00B51C1D" w:rsidRPr="00AC6ACB">
        <w:t xml:space="preserve">à la direction et aux </w:t>
      </w:r>
      <w:r w:rsidR="00E571B7" w:rsidRPr="00AC6ACB">
        <w:t>personnes</w:t>
      </w:r>
      <w:r w:rsidR="00B51C1D" w:rsidRPr="00AC6ACB">
        <w:t xml:space="preserve"> chargé</w:t>
      </w:r>
      <w:r w:rsidR="00E571B7" w:rsidRPr="00AC6ACB">
        <w:t>e</w:t>
      </w:r>
      <w:r w:rsidR="00B51C1D" w:rsidRPr="00AC6ACB">
        <w:t>s de la gouvernance</w:t>
      </w:r>
      <w:r w:rsidRPr="00AC6ACB">
        <w:t xml:space="preserve"> de superviser le processus d'établissement des rapports financiers de l'UIT.</w:t>
      </w:r>
    </w:p>
    <w:p w14:paraId="31A8884F" w14:textId="77777777" w:rsidR="001C3162" w:rsidRPr="00AC6ACB" w:rsidRDefault="001C3162" w:rsidP="00201415">
      <w:pPr>
        <w:pStyle w:val="Headingb"/>
      </w:pPr>
      <w:bookmarkStart w:id="60" w:name="_Toc200361424"/>
      <w:r w:rsidRPr="00AC6ACB">
        <w:t>Responsabilité du Vérificateur concernant la vérification des états financiers</w:t>
      </w:r>
      <w:bookmarkEnd w:id="60"/>
    </w:p>
    <w:p w14:paraId="2981FD7E" w14:textId="6C6CCACA" w:rsidR="001C3162" w:rsidRPr="00AC6ACB" w:rsidRDefault="00B51C1D" w:rsidP="001C3162">
      <w:r w:rsidRPr="00AC6ACB">
        <w:t>Mes</w:t>
      </w:r>
      <w:r w:rsidR="001C3162" w:rsidRPr="00AC6ACB">
        <w:t xml:space="preserve"> objectifs sont d'obtenir une assurance raisonnable que les états financiers dans leur ensemble ne comportent pas d'inexactitudes significatives, que celles-ci résultent de fraudes ou d'erreurs, et d'établir un rapport de vérification dans lequel </w:t>
      </w:r>
      <w:r w:rsidRPr="00AC6ACB">
        <w:t>je fais</w:t>
      </w:r>
      <w:r w:rsidR="001C3162" w:rsidRPr="00AC6ACB">
        <w:t xml:space="preserve"> part de </w:t>
      </w:r>
      <w:r w:rsidRPr="00AC6ACB">
        <w:t>mon</w:t>
      </w:r>
      <w:r w:rsidR="001C3162" w:rsidRPr="00AC6ACB">
        <w:t xml:space="preserve"> opinion. </w:t>
      </w:r>
      <w:r w:rsidRPr="00AC6ACB">
        <w:t>L'assurance raisonnable est un niveau d'assurance élevé, mais elle ne garantit pas qu'une vérification effectuée conformément aux normes ISA permette toujours de détecter une inexactitude significative lorsqu'une telle inexactitude existe</w:t>
      </w:r>
      <w:r w:rsidR="001C3162" w:rsidRPr="00AC6ACB">
        <w:t>. L</w:t>
      </w:r>
      <w:r w:rsidR="00201415" w:rsidRPr="00AC6ACB">
        <w:t>'</w:t>
      </w:r>
      <w:r w:rsidR="001C3162" w:rsidRPr="00AC6ACB">
        <w:t>assurance raisonnable est un niveau d</w:t>
      </w:r>
      <w:r w:rsidR="00AC6ACB" w:rsidRPr="00AC6ACB">
        <w:t>'</w:t>
      </w:r>
      <w:r w:rsidR="001C3162" w:rsidRPr="00AC6ACB">
        <w:t>assurance élevé, mais ne garantit pas qu</w:t>
      </w:r>
      <w:r w:rsidR="00201415" w:rsidRPr="00AC6ACB">
        <w:t>'</w:t>
      </w:r>
      <w:r w:rsidR="001C3162" w:rsidRPr="00AC6ACB">
        <w:t>un audit effectué conformément aux normes ISA permettra toujours de détecter une inexactitude significative lorsqu</w:t>
      </w:r>
      <w:r w:rsidR="00201415" w:rsidRPr="00AC6ACB">
        <w:t>'</w:t>
      </w:r>
      <w:r w:rsidR="001C3162" w:rsidRPr="00AC6ACB">
        <w:t>elle existe. Les inexactitudes peuvent résulter d'une fraude ou d'une erreur, et elles sont considérées comme significatives si, individuellement ou collectivement, elles sont raisonnablement susceptibles d'influer sur les décisions économiques des utilisateurs prises sur la base de ces états financiers.</w:t>
      </w:r>
    </w:p>
    <w:p w14:paraId="7AE6867D" w14:textId="0AAB2EA5" w:rsidR="001C3162" w:rsidRPr="00AC6ACB" w:rsidRDefault="001C3162" w:rsidP="00FB3AD7">
      <w:pPr>
        <w:keepNext/>
        <w:keepLines/>
      </w:pPr>
      <w:r w:rsidRPr="00AC6ACB">
        <w:lastRenderedPageBreak/>
        <w:t xml:space="preserve">Dans le cadre </w:t>
      </w:r>
      <w:r w:rsidR="00B51C1D" w:rsidRPr="00AC6ACB">
        <w:t xml:space="preserve">d'une vérification </w:t>
      </w:r>
      <w:r w:rsidRPr="00AC6ACB">
        <w:t>conformément aux normes ISA:</w:t>
      </w:r>
    </w:p>
    <w:p w14:paraId="78C260B1" w14:textId="1B379AEA" w:rsidR="001C3162" w:rsidRPr="00AC6ACB" w:rsidRDefault="001C3162" w:rsidP="00FB3AD7">
      <w:pPr>
        <w:pStyle w:val="enumlev1"/>
        <w:keepNext/>
        <w:keepLines/>
      </w:pPr>
      <w:r w:rsidRPr="00AC6ACB">
        <w:t>•</w:t>
      </w:r>
      <w:r w:rsidRPr="00AC6ACB">
        <w:tab/>
        <w:t>j'exerce un jugement professionnel et fais preuve d'esprit critique tout au long de la vérification</w:t>
      </w:r>
      <w:r w:rsidR="00201415" w:rsidRPr="00AC6ACB">
        <w:t>;</w:t>
      </w:r>
    </w:p>
    <w:p w14:paraId="54046D19" w14:textId="2E64C8BA" w:rsidR="001C3162" w:rsidRPr="00AC6ACB" w:rsidRDefault="001C3162" w:rsidP="00F75AF8">
      <w:pPr>
        <w:pStyle w:val="enumlev1"/>
        <w:keepLines/>
      </w:pPr>
      <w:r w:rsidRPr="00AC6ACB">
        <w:t>•</w:t>
      </w:r>
      <w:r w:rsidRPr="00AC6ACB">
        <w:tab/>
      </w:r>
      <w:r w:rsidR="00201415" w:rsidRPr="00AC6ACB">
        <w:t>j</w:t>
      </w:r>
      <w:r w:rsidR="00B51C1D" w:rsidRPr="00AC6ACB">
        <w:t>'identifie et évalue les risques d'inexactitudes significatives dans les états financiers, que ce soit en raison d'une fraude ou d'une erreur, conçois et applique des procédures de vérification permettant de répondre à ces risques, et recueille des justificatifs constituant une base suffisante et appropriée sur laquelle fonder mon opinion</w:t>
      </w:r>
      <w:r w:rsidRPr="00AC6ACB">
        <w:t xml:space="preserve">. </w:t>
      </w:r>
      <w:r w:rsidR="00B51C1D" w:rsidRPr="00AC6ACB">
        <w:t>Le risque de ne pas détecter une inexactitude significative résultant d'une fraude est supérieur au risque de ne pas détecter une inexactitude significative résultant d'une erreur, car la fraude peut impliquer une collusion, une falsification, des omissions intentionnelles, des fausses déclarations ou le fait de passer outre au contrôle interne</w:t>
      </w:r>
      <w:r w:rsidR="00201415" w:rsidRPr="00AC6ACB">
        <w:t>;</w:t>
      </w:r>
    </w:p>
    <w:p w14:paraId="48DA293B" w14:textId="76632BB8" w:rsidR="001C3162" w:rsidRPr="00AC6ACB" w:rsidRDefault="001C3162" w:rsidP="00201415">
      <w:pPr>
        <w:pStyle w:val="enumlev1"/>
        <w:keepLines/>
      </w:pPr>
      <w:r w:rsidRPr="00AC6ACB">
        <w:t>•</w:t>
      </w:r>
      <w:r w:rsidRPr="00AC6ACB">
        <w:tab/>
      </w:r>
      <w:r w:rsidR="00201415" w:rsidRPr="00AC6ACB">
        <w:t>j</w:t>
      </w:r>
      <w:r w:rsidRPr="00AC6ACB">
        <w:t>'acquiers une compréhension des aspects du contrôle interne pertinents pour la vérification afin de concevoir des procédures de vérification adaptées à la situation et</w:t>
      </w:r>
      <w:r w:rsidR="00201415" w:rsidRPr="00AC6ACB">
        <w:t> </w:t>
      </w:r>
      <w:r w:rsidRPr="00AC6ACB">
        <w:t>non pour exprimer une opinion sur l'efficacité du contrôle interne de l'Union</w:t>
      </w:r>
      <w:r w:rsidR="00201415" w:rsidRPr="00AC6ACB">
        <w:t> </w:t>
      </w:r>
      <w:r w:rsidRPr="00AC6ACB">
        <w:t>internationale des télécommunications</w:t>
      </w:r>
      <w:r w:rsidR="00201415" w:rsidRPr="00AC6ACB">
        <w:t>;</w:t>
      </w:r>
    </w:p>
    <w:p w14:paraId="746C8B68" w14:textId="12FD87F3" w:rsidR="001C3162" w:rsidRPr="00AC6ACB" w:rsidRDefault="001C3162" w:rsidP="00201415">
      <w:pPr>
        <w:pStyle w:val="enumlev1"/>
      </w:pPr>
      <w:r w:rsidRPr="00AC6ACB">
        <w:t>•</w:t>
      </w:r>
      <w:r w:rsidRPr="00AC6ACB">
        <w:tab/>
      </w:r>
      <w:r w:rsidR="00201415" w:rsidRPr="00AC6ACB">
        <w:t>j</w:t>
      </w:r>
      <w:r w:rsidRPr="00AC6ACB">
        <w:t>e détermine si les politiques comptables utilisées sont adaptées et si les estimations comptables et les données associées fournies par la direction sont raisonnables</w:t>
      </w:r>
      <w:r w:rsidR="00201415" w:rsidRPr="00AC6ACB">
        <w:t>;</w:t>
      </w:r>
    </w:p>
    <w:p w14:paraId="032CFFDC" w14:textId="3AEDF7C8" w:rsidR="001C3162" w:rsidRPr="00AC6ACB" w:rsidRDefault="001C3162" w:rsidP="00201415">
      <w:pPr>
        <w:pStyle w:val="enumlev1"/>
      </w:pPr>
      <w:r w:rsidRPr="00AC6ACB">
        <w:t>•</w:t>
      </w:r>
      <w:r w:rsidRPr="00AC6ACB">
        <w:tab/>
      </w:r>
      <w:r w:rsidR="00201415" w:rsidRPr="00AC6ACB">
        <w:t>j</w:t>
      </w:r>
      <w:r w:rsidRPr="00AC6ACB">
        <w:t>e formule une conclusion quant à la question de savoir si l'adoption par la direction du principe de continuité des activités pour la comptabilité est appropriée et, sur la base des justificatifs recueillis, décide s'il existe une incertitude importante en ce qui concerne des événements ou conditions susceptibles de jeter un doute important sur la capacité de l'Union internationale des télécommunications à poursuivre ses activités. Si je parviens à la conclusion qu'il existe une incertitude importante, je suis tenu d'attirer l'attention, dans mon rapport du Vérificateur, sur les données correspondantes figurant dans les états financiers ou, si ces données sont insuffisantes, de modifier mon opinion. Mes conclusions sont fondées sur les justificatifs recueillis jusqu'à la date de mon rapport du Vérificateur. Cependant, des conditions ou événements futurs peuvent amener l'Union internationale des télécommunications à cesser ses activités</w:t>
      </w:r>
      <w:r w:rsidR="00201415" w:rsidRPr="00AC6ACB">
        <w:t>;</w:t>
      </w:r>
    </w:p>
    <w:p w14:paraId="70603DC3" w14:textId="3012790B" w:rsidR="001C3162" w:rsidRPr="00AC6ACB" w:rsidRDefault="001C3162" w:rsidP="00201415">
      <w:pPr>
        <w:pStyle w:val="enumlev1"/>
      </w:pPr>
      <w:r w:rsidRPr="00AC6ACB">
        <w:t>•</w:t>
      </w:r>
      <w:r w:rsidRPr="00AC6ACB">
        <w:tab/>
      </w:r>
      <w:r w:rsidR="00201415" w:rsidRPr="00AC6ACB">
        <w:t>j</w:t>
      </w:r>
      <w:r w:rsidRPr="00AC6ACB">
        <w:t>'évalue la présentation générale, la structure et le contenu des états financiers, y compris les données fournies, et détermine si la manière dont les états financiers représentent les opérations et les événements sous-jacents reflète une présentation correcte.</w:t>
      </w:r>
    </w:p>
    <w:p w14:paraId="372E4D71" w14:textId="5591169F" w:rsidR="001C3162" w:rsidRPr="00AC6ACB" w:rsidRDefault="001C3162" w:rsidP="001C3162">
      <w:r w:rsidRPr="00AC6ACB">
        <w:t xml:space="preserve">En outre, je suis tenu de recueillir des justificatifs suffisants pour donner une assurance raisonnable que les produits et les charges indiqués dans les états financiers ont été utilisés aux fins visées par le Conseil </w:t>
      </w:r>
      <w:r w:rsidR="00E571B7" w:rsidRPr="00AC6ACB">
        <w:t xml:space="preserve">de l'Union internationale des télécommunications </w:t>
      </w:r>
      <w:r w:rsidRPr="00AC6ACB">
        <w:t>et que les opérations financières sont conformes au Règlement</w:t>
      </w:r>
      <w:r w:rsidR="00E571B7" w:rsidRPr="00AC6ACB">
        <w:t xml:space="preserve"> </w:t>
      </w:r>
      <w:r w:rsidRPr="00AC6ACB">
        <w:t>qui les régit.</w:t>
      </w:r>
    </w:p>
    <w:p w14:paraId="065DAC50" w14:textId="21133030" w:rsidR="001C3162" w:rsidRPr="00AC6ACB" w:rsidRDefault="00E571B7" w:rsidP="001C3162">
      <w:r w:rsidRPr="00AC6ACB">
        <w:t>Je communique avec les personnes chargées de la gouvernance en ce qui concerne, entre autres, la portée et le calendrier prévus de la vérification ainsi que les résultats importants, y</w:t>
      </w:r>
      <w:r w:rsidR="00201415" w:rsidRPr="00AC6ACB">
        <w:t> </w:t>
      </w:r>
      <w:r w:rsidRPr="00AC6ACB">
        <w:t>compris tout dysfonctionnement important dans le contrôle interne que j'identifie lors de ma vérification.</w:t>
      </w:r>
    </w:p>
    <w:p w14:paraId="52A83EBF" w14:textId="782C5582" w:rsidR="001C3162" w:rsidRPr="00AC6ACB" w:rsidRDefault="00E571B7" w:rsidP="00FB3AD7">
      <w:pPr>
        <w:keepLines/>
      </w:pPr>
      <w:r w:rsidRPr="00AC6ACB">
        <w:lastRenderedPageBreak/>
        <w:t>Je transmets également aux personnes chargées de la gouvernance une déclaration où j'indique avoir respecté les règles d'éthique en matière d'indépendance et leur fait part de toutes les relations et autres éléments auxquels on peut raisonnablement prêter une influence sur mon indépendance et, s'il y a lieu, les garanties correspondantes</w:t>
      </w:r>
      <w:r w:rsidR="001C3162" w:rsidRPr="00AC6ACB">
        <w:t>.</w:t>
      </w:r>
    </w:p>
    <w:p w14:paraId="1B7BFC62" w14:textId="57D965A5" w:rsidR="001C3162" w:rsidRPr="00AC6ACB" w:rsidRDefault="001C3162" w:rsidP="00F75AF8">
      <w:pPr>
        <w:pStyle w:val="Headingb"/>
      </w:pPr>
      <w:bookmarkStart w:id="61" w:name="_Toc200361425"/>
      <w:r w:rsidRPr="00AC6ACB">
        <w:t>Rapport</w:t>
      </w:r>
      <w:bookmarkEnd w:id="61"/>
    </w:p>
    <w:p w14:paraId="7E8DEAA7" w14:textId="60A7F588" w:rsidR="001C3162" w:rsidRPr="00AC6ACB" w:rsidRDefault="001C3162" w:rsidP="00F75AF8">
      <w:pPr>
        <w:keepNext/>
        <w:keepLines/>
      </w:pPr>
      <w:r w:rsidRPr="00AC6ACB">
        <w:t>J</w:t>
      </w:r>
      <w:r w:rsidR="00201415" w:rsidRPr="00AC6ACB">
        <w:t>'</w:t>
      </w:r>
      <w:r w:rsidRPr="00AC6ACB">
        <w:t xml:space="preserve">ai également publié </w:t>
      </w:r>
      <w:r w:rsidR="00E571B7" w:rsidRPr="00AC6ACB">
        <w:t>la</w:t>
      </w:r>
      <w:r w:rsidRPr="00AC6ACB">
        <w:t xml:space="preserve"> version longue du rapport de vérification sur les résultats de ma vérification.</w:t>
      </w:r>
    </w:p>
    <w:p w14:paraId="25700B92" w14:textId="1799214C" w:rsidR="001C3162" w:rsidRPr="00AC6ACB" w:rsidRDefault="001C3162" w:rsidP="00F75AF8">
      <w:pPr>
        <w:keepNext/>
        <w:keepLines/>
        <w:spacing w:before="480" w:after="480"/>
      </w:pPr>
      <w:r w:rsidRPr="00AC6ACB">
        <w:t>(</w:t>
      </w:r>
      <w:r w:rsidR="00E571B7" w:rsidRPr="00AC6ACB">
        <w:rPr>
          <w:i/>
          <w:iCs/>
        </w:rPr>
        <w:t>conforme à</w:t>
      </w:r>
      <w:r w:rsidRPr="00AC6ACB">
        <w:rPr>
          <w:i/>
          <w:iCs/>
        </w:rPr>
        <w:t xml:space="preserve"> l</w:t>
      </w:r>
      <w:r w:rsidR="00201415" w:rsidRPr="00AC6ACB">
        <w:rPr>
          <w:i/>
          <w:iCs/>
        </w:rPr>
        <w:t>'</w:t>
      </w:r>
      <w:r w:rsidRPr="00AC6ACB">
        <w:rPr>
          <w:i/>
          <w:iCs/>
        </w:rPr>
        <w:t>original signé</w:t>
      </w:r>
      <w:r w:rsidRPr="00AC6ACB">
        <w:t>)</w:t>
      </w:r>
    </w:p>
    <w:p w14:paraId="31F31A4A" w14:textId="28077A9F" w:rsidR="001C3162" w:rsidRPr="00AC6ACB" w:rsidRDefault="001C3162" w:rsidP="00F75AF8">
      <w:pPr>
        <w:keepNext/>
        <w:keepLines/>
      </w:pPr>
      <w:r w:rsidRPr="00AC6ACB">
        <w:t>Gareth Davies</w:t>
      </w:r>
      <w:r w:rsidR="00201415" w:rsidRPr="00AC6ACB">
        <w:br/>
      </w:r>
      <w:r w:rsidRPr="00AC6ACB">
        <w:rPr>
          <w:b/>
          <w:bCs/>
        </w:rPr>
        <w:t>Contrôleur et Vérificateur général du Royaume-Uni</w:t>
      </w:r>
      <w:r w:rsidR="00201415" w:rsidRPr="00AC6ACB">
        <w:rPr>
          <w:b/>
          <w:bCs/>
        </w:rPr>
        <w:br/>
      </w:r>
      <w:r w:rsidR="00E571B7" w:rsidRPr="00AC6ACB">
        <w:t>Bureau national de contrôle des finances publiques</w:t>
      </w:r>
      <w:r w:rsidR="00201415" w:rsidRPr="00AC6ACB">
        <w:br/>
      </w:r>
      <w:r w:rsidRPr="00AC6ACB">
        <w:t>151</w:t>
      </w:r>
      <w:r w:rsidR="00CE658C" w:rsidRPr="00AC6ACB">
        <w:t>-197</w:t>
      </w:r>
      <w:r w:rsidRPr="00AC6ACB">
        <w:t xml:space="preserve"> Buckingham Palace Road</w:t>
      </w:r>
      <w:r w:rsidR="00201415" w:rsidRPr="00AC6ACB">
        <w:br/>
      </w:r>
      <w:r w:rsidRPr="00AC6ACB">
        <w:t>V</w:t>
      </w:r>
      <w:r w:rsidR="00CE658C" w:rsidRPr="00AC6ACB">
        <w:t>ictoria</w:t>
      </w:r>
      <w:r w:rsidR="00201415" w:rsidRPr="00AC6ACB">
        <w:br/>
      </w:r>
      <w:r w:rsidRPr="00AC6ACB">
        <w:t>Lond</w:t>
      </w:r>
      <w:r w:rsidR="00E571B7" w:rsidRPr="00AC6ACB">
        <w:t>res</w:t>
      </w:r>
      <w:r w:rsidRPr="00AC6ACB">
        <w:t>. SW1W 9SP</w:t>
      </w:r>
      <w:r w:rsidR="00201415" w:rsidRPr="00AC6ACB">
        <w:br/>
      </w:r>
      <w:r w:rsidR="00E571B7" w:rsidRPr="00AC6ACB">
        <w:t>Royaume-Uni</w:t>
      </w:r>
    </w:p>
    <w:p w14:paraId="564455AF" w14:textId="77777777" w:rsidR="001C3162" w:rsidRPr="00AC6ACB" w:rsidRDefault="001C3162" w:rsidP="00A6563A">
      <w:pPr>
        <w:spacing w:before="360"/>
        <w:rPr>
          <w:b/>
          <w:bCs/>
        </w:rPr>
      </w:pPr>
      <w:r w:rsidRPr="00AC6ACB">
        <w:rPr>
          <w:b/>
          <w:bCs/>
        </w:rPr>
        <w:t>Date: 30 mai 2025</w:t>
      </w:r>
    </w:p>
    <w:p w14:paraId="3CB779A3" w14:textId="3FC0C373" w:rsidR="00661FE3" w:rsidRPr="00AC6ACB" w:rsidRDefault="00661FE3" w:rsidP="00661FE3">
      <w:r w:rsidRPr="00AC6ACB">
        <w:br w:type="page"/>
      </w:r>
    </w:p>
    <w:p w14:paraId="555E82AF" w14:textId="5F819D26" w:rsidR="00367F83" w:rsidRPr="00AC6ACB" w:rsidRDefault="00367F83" w:rsidP="00367F83">
      <w:pPr>
        <w:pStyle w:val="Heading1"/>
        <w:jc w:val="center"/>
      </w:pPr>
      <w:bookmarkStart w:id="62" w:name="_Toc162331495"/>
      <w:bookmarkStart w:id="63" w:name="_Toc162331705"/>
      <w:bookmarkStart w:id="64" w:name="_Toc200361426"/>
      <w:r w:rsidRPr="00AC6ACB">
        <w:lastRenderedPageBreak/>
        <w:t>États financiers</w:t>
      </w:r>
      <w:bookmarkEnd w:id="62"/>
      <w:bookmarkEnd w:id="63"/>
      <w:bookmarkEnd w:id="64"/>
    </w:p>
    <w:p w14:paraId="25C8500A" w14:textId="77777777" w:rsidR="00367F83" w:rsidRPr="00AC6ACB" w:rsidRDefault="00367F83" w:rsidP="00367F83">
      <w:pPr>
        <w:pStyle w:val="Headingb"/>
        <w:spacing w:before="240"/>
        <w:rPr>
          <w:sz w:val="28"/>
          <w:szCs w:val="22"/>
        </w:rPr>
      </w:pPr>
      <w:bookmarkStart w:id="65" w:name="_Toc162331496"/>
      <w:bookmarkStart w:id="66" w:name="_Toc162331706"/>
      <w:bookmarkStart w:id="67" w:name="_Toc200093215"/>
      <w:bookmarkStart w:id="68" w:name="_Toc200361427"/>
      <w:r w:rsidRPr="00AC6ACB">
        <w:rPr>
          <w:sz w:val="28"/>
          <w:szCs w:val="22"/>
        </w:rPr>
        <w:t>État I: État de la situation financière</w:t>
      </w:r>
      <w:bookmarkEnd w:id="65"/>
      <w:bookmarkEnd w:id="66"/>
      <w:bookmarkEnd w:id="67"/>
      <w:bookmarkEnd w:id="68"/>
    </w:p>
    <w:p w14:paraId="10B348A8" w14:textId="77777777" w:rsidR="00367F83" w:rsidRPr="00AC6ACB" w:rsidRDefault="00367F83" w:rsidP="00367F83">
      <w:pPr>
        <w:rPr>
          <w:i/>
          <w:iCs/>
        </w:rPr>
      </w:pPr>
      <w:r w:rsidRPr="00AC6ACB">
        <w:rPr>
          <w:i/>
          <w:iCs/>
        </w:rPr>
        <w:t>Au 31 décembre 2024</w:t>
      </w:r>
    </w:p>
    <w:p w14:paraId="48F71146" w14:textId="77777777" w:rsidR="00367F83" w:rsidRPr="00AC6ACB" w:rsidRDefault="00367F83" w:rsidP="00367F83">
      <w:pPr>
        <w:spacing w:before="0"/>
        <w:rPr>
          <w:i/>
          <w:iCs/>
        </w:rPr>
      </w:pPr>
      <w:r w:rsidRPr="00AC6ACB">
        <w:rPr>
          <w:i/>
          <w:iCs/>
        </w:rPr>
        <w:t>(en milliers CHF)</w:t>
      </w:r>
    </w:p>
    <w:p w14:paraId="495E85C4" w14:textId="77777777" w:rsidR="00367F83" w:rsidRPr="00AC6ACB" w:rsidRDefault="00367F83" w:rsidP="00367F83">
      <w:pPr>
        <w:spacing w:before="240"/>
        <w:jc w:val="center"/>
      </w:pPr>
      <w:r w:rsidRPr="00AC6ACB">
        <w:rPr>
          <w:noProof/>
        </w:rPr>
        <w:drawing>
          <wp:inline distT="0" distB="0" distL="0" distR="0" wp14:anchorId="72576874" wp14:editId="1E4F13A4">
            <wp:extent cx="5588635" cy="7088505"/>
            <wp:effectExtent l="0" t="0" r="0" b="0"/>
            <wp:docPr id="14958484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635" cy="7088505"/>
                    </a:xfrm>
                    <a:prstGeom prst="rect">
                      <a:avLst/>
                    </a:prstGeom>
                    <a:noFill/>
                    <a:ln>
                      <a:noFill/>
                    </a:ln>
                  </pic:spPr>
                </pic:pic>
              </a:graphicData>
            </a:graphic>
          </wp:inline>
        </w:drawing>
      </w:r>
    </w:p>
    <w:p w14:paraId="4A3E9A27" w14:textId="77777777" w:rsidR="00367F83" w:rsidRPr="00AC6ACB" w:rsidRDefault="00367F83" w:rsidP="00367F83">
      <w:r w:rsidRPr="00AC6ACB">
        <w:br w:type="page"/>
      </w:r>
    </w:p>
    <w:p w14:paraId="5EAC9DDC" w14:textId="77777777" w:rsidR="00367F83" w:rsidRPr="00AC6ACB" w:rsidRDefault="00367F83" w:rsidP="00367F83">
      <w:pPr>
        <w:pStyle w:val="Headingb"/>
        <w:rPr>
          <w:sz w:val="28"/>
          <w:szCs w:val="22"/>
        </w:rPr>
      </w:pPr>
      <w:bookmarkStart w:id="69" w:name="_Toc162331497"/>
      <w:bookmarkStart w:id="70" w:name="_Toc162331707"/>
      <w:bookmarkStart w:id="71" w:name="_Toc200093216"/>
      <w:bookmarkStart w:id="72" w:name="_Toc200361428"/>
      <w:r w:rsidRPr="00AC6ACB">
        <w:rPr>
          <w:sz w:val="28"/>
          <w:szCs w:val="22"/>
        </w:rPr>
        <w:lastRenderedPageBreak/>
        <w:t>État II: État de la performance financière</w:t>
      </w:r>
      <w:bookmarkEnd w:id="69"/>
      <w:bookmarkEnd w:id="70"/>
      <w:bookmarkEnd w:id="71"/>
      <w:bookmarkEnd w:id="72"/>
    </w:p>
    <w:p w14:paraId="1F30FD01" w14:textId="77777777" w:rsidR="00367F83" w:rsidRPr="00AC6ACB" w:rsidRDefault="00367F83" w:rsidP="00367F83">
      <w:pPr>
        <w:rPr>
          <w:i/>
          <w:iCs/>
        </w:rPr>
      </w:pPr>
      <w:r w:rsidRPr="00AC6ACB">
        <w:rPr>
          <w:i/>
          <w:iCs/>
        </w:rPr>
        <w:t>Au 31 décembre 2024</w:t>
      </w:r>
    </w:p>
    <w:p w14:paraId="3566E169" w14:textId="77777777" w:rsidR="00367F83" w:rsidRPr="00AC6ACB" w:rsidRDefault="00367F83" w:rsidP="00367F83">
      <w:pPr>
        <w:spacing w:before="0"/>
        <w:rPr>
          <w:i/>
          <w:iCs/>
        </w:rPr>
      </w:pPr>
      <w:r w:rsidRPr="00AC6ACB">
        <w:rPr>
          <w:i/>
          <w:iCs/>
        </w:rPr>
        <w:t>(en milliers CHF)</w:t>
      </w:r>
    </w:p>
    <w:p w14:paraId="46E24F03" w14:textId="77777777" w:rsidR="00367F83" w:rsidRPr="00AC6ACB" w:rsidRDefault="00367F83" w:rsidP="00367F83">
      <w:pPr>
        <w:pStyle w:val="Figure"/>
        <w:spacing w:before="240"/>
      </w:pPr>
      <w:r w:rsidRPr="00AC6ACB">
        <w:rPr>
          <w:noProof/>
        </w:rPr>
        <w:drawing>
          <wp:inline distT="0" distB="0" distL="0" distR="0" wp14:anchorId="5AB14AD3" wp14:editId="5E906F18">
            <wp:extent cx="5760085" cy="4257675"/>
            <wp:effectExtent l="0" t="0" r="0" b="9525"/>
            <wp:docPr id="1043928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4257675"/>
                    </a:xfrm>
                    <a:prstGeom prst="rect">
                      <a:avLst/>
                    </a:prstGeom>
                    <a:noFill/>
                    <a:ln>
                      <a:noFill/>
                    </a:ln>
                  </pic:spPr>
                </pic:pic>
              </a:graphicData>
            </a:graphic>
          </wp:inline>
        </w:drawing>
      </w:r>
    </w:p>
    <w:p w14:paraId="72FE0612" w14:textId="77777777" w:rsidR="00367F83" w:rsidRPr="00AC6ACB" w:rsidRDefault="00367F83" w:rsidP="00367F83">
      <w:r w:rsidRPr="00AC6ACB">
        <w:br w:type="page"/>
      </w:r>
    </w:p>
    <w:p w14:paraId="163BD488" w14:textId="77777777" w:rsidR="00367F83" w:rsidRPr="00AC6ACB" w:rsidRDefault="00367F83" w:rsidP="00367F83">
      <w:pPr>
        <w:pStyle w:val="Headingb"/>
        <w:rPr>
          <w:bCs/>
          <w:sz w:val="28"/>
        </w:rPr>
      </w:pPr>
      <w:bookmarkStart w:id="73" w:name="_Toc200093217"/>
      <w:bookmarkStart w:id="74" w:name="_Toc200361429"/>
      <w:r w:rsidRPr="00AC6ACB">
        <w:rPr>
          <w:bCs/>
          <w:sz w:val="28"/>
        </w:rPr>
        <w:lastRenderedPageBreak/>
        <w:t>État III: État des variations de l'actif net</w:t>
      </w:r>
      <w:bookmarkEnd w:id="73"/>
      <w:bookmarkEnd w:id="74"/>
    </w:p>
    <w:p w14:paraId="10551FC7" w14:textId="77777777" w:rsidR="00367F83" w:rsidRPr="00AC6ACB" w:rsidRDefault="00367F83" w:rsidP="00367F83">
      <w:pPr>
        <w:rPr>
          <w:i/>
          <w:iCs/>
        </w:rPr>
      </w:pPr>
      <w:r w:rsidRPr="00AC6ACB">
        <w:rPr>
          <w:i/>
          <w:iCs/>
        </w:rPr>
        <w:t>Au 31 décembre 2024</w:t>
      </w:r>
    </w:p>
    <w:p w14:paraId="2CB0DBE0" w14:textId="77777777" w:rsidR="00367F83" w:rsidRPr="00AC6ACB" w:rsidRDefault="00367F83" w:rsidP="00367F83">
      <w:pPr>
        <w:spacing w:before="0"/>
        <w:rPr>
          <w:i/>
          <w:iCs/>
        </w:rPr>
      </w:pPr>
      <w:r w:rsidRPr="00AC6ACB">
        <w:rPr>
          <w:i/>
          <w:iCs/>
        </w:rPr>
        <w:t>(en milliers CHF)</w:t>
      </w:r>
    </w:p>
    <w:p w14:paraId="17EFFE43" w14:textId="77777777" w:rsidR="00367F83" w:rsidRPr="00AC6ACB" w:rsidRDefault="00367F83" w:rsidP="00367F83">
      <w:r w:rsidRPr="00AC6ACB">
        <w:rPr>
          <w:noProof/>
        </w:rPr>
        <w:drawing>
          <wp:inline distT="0" distB="0" distL="0" distR="0" wp14:anchorId="6602E1E1" wp14:editId="17A05FBD">
            <wp:extent cx="5760085" cy="187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1870075"/>
                    </a:xfrm>
                    <a:prstGeom prst="rect">
                      <a:avLst/>
                    </a:prstGeom>
                    <a:noFill/>
                    <a:ln>
                      <a:noFill/>
                    </a:ln>
                  </pic:spPr>
                </pic:pic>
              </a:graphicData>
            </a:graphic>
          </wp:inline>
        </w:drawing>
      </w:r>
    </w:p>
    <w:p w14:paraId="6CFA1AAB" w14:textId="77777777" w:rsidR="00367F83" w:rsidRPr="00AC6ACB" w:rsidRDefault="00367F83" w:rsidP="00367F83">
      <w:pPr>
        <w:rPr>
          <w:i/>
          <w:iCs/>
        </w:rPr>
      </w:pPr>
      <w:r w:rsidRPr="00AC6ACB">
        <w:rPr>
          <w:i/>
          <w:iCs/>
        </w:rPr>
        <w:t>Pour plus d'informations, voir la Note 4.</w:t>
      </w:r>
      <w:r w:rsidRPr="00AC6ACB">
        <w:rPr>
          <w:i/>
          <w:iCs/>
        </w:rPr>
        <w:br w:type="page"/>
      </w:r>
    </w:p>
    <w:p w14:paraId="51DDF327" w14:textId="77777777" w:rsidR="00367F83" w:rsidRPr="00AC6ACB" w:rsidRDefault="00367F83" w:rsidP="00367F83">
      <w:pPr>
        <w:pStyle w:val="Headingb"/>
        <w:rPr>
          <w:bCs/>
          <w:sz w:val="28"/>
        </w:rPr>
      </w:pPr>
      <w:bookmarkStart w:id="75" w:name="_Toc200093218"/>
      <w:bookmarkStart w:id="76" w:name="_Toc200361430"/>
      <w:r w:rsidRPr="00AC6ACB">
        <w:rPr>
          <w:bCs/>
          <w:sz w:val="28"/>
        </w:rPr>
        <w:lastRenderedPageBreak/>
        <w:t>État IV: État des flux de trésorerie</w:t>
      </w:r>
      <w:bookmarkEnd w:id="75"/>
      <w:bookmarkEnd w:id="76"/>
    </w:p>
    <w:p w14:paraId="4AC601B3" w14:textId="77777777" w:rsidR="00367F83" w:rsidRPr="00AC6ACB" w:rsidRDefault="00367F83" w:rsidP="00367F83">
      <w:pPr>
        <w:rPr>
          <w:i/>
          <w:iCs/>
        </w:rPr>
      </w:pPr>
      <w:r w:rsidRPr="00AC6ACB">
        <w:rPr>
          <w:i/>
          <w:iCs/>
        </w:rPr>
        <w:t>Pour l'exercice clos le 31 décembre 2024</w:t>
      </w:r>
    </w:p>
    <w:p w14:paraId="293C0466" w14:textId="77777777" w:rsidR="00367F83" w:rsidRPr="00AC6ACB" w:rsidRDefault="00367F83" w:rsidP="00367F83">
      <w:pPr>
        <w:spacing w:before="0"/>
        <w:rPr>
          <w:i/>
          <w:iCs/>
        </w:rPr>
      </w:pPr>
      <w:r w:rsidRPr="00AC6ACB">
        <w:rPr>
          <w:i/>
          <w:iCs/>
        </w:rPr>
        <w:t>(en milliers CHF)</w:t>
      </w:r>
    </w:p>
    <w:p w14:paraId="7E8184C2" w14:textId="77777777" w:rsidR="00367F83" w:rsidRPr="00AC6ACB" w:rsidRDefault="00367F83" w:rsidP="00367F83">
      <w:pPr>
        <w:pStyle w:val="Figure"/>
        <w:keepNext w:val="0"/>
        <w:keepLines w:val="0"/>
        <w:spacing w:before="240"/>
      </w:pPr>
      <w:r w:rsidRPr="00AC6ACB">
        <w:rPr>
          <w:noProof/>
        </w:rPr>
        <w:drawing>
          <wp:inline distT="0" distB="0" distL="0" distR="0" wp14:anchorId="7E8597D1" wp14:editId="661E3C09">
            <wp:extent cx="5760085" cy="6977380"/>
            <wp:effectExtent l="0" t="0" r="0" b="0"/>
            <wp:docPr id="590087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6977380"/>
                    </a:xfrm>
                    <a:prstGeom prst="rect">
                      <a:avLst/>
                    </a:prstGeom>
                    <a:noFill/>
                    <a:ln>
                      <a:noFill/>
                    </a:ln>
                  </pic:spPr>
                </pic:pic>
              </a:graphicData>
            </a:graphic>
          </wp:inline>
        </w:drawing>
      </w:r>
      <w:r w:rsidRPr="00AC6ACB">
        <w:br w:type="page"/>
      </w:r>
    </w:p>
    <w:p w14:paraId="49CF0029" w14:textId="77777777" w:rsidR="00367F83" w:rsidRPr="00AC6ACB" w:rsidRDefault="00367F83" w:rsidP="00367F83">
      <w:pPr>
        <w:pStyle w:val="Headingb"/>
        <w:tabs>
          <w:tab w:val="clear" w:pos="567"/>
        </w:tabs>
        <w:ind w:left="0" w:firstLine="0"/>
        <w:rPr>
          <w:bCs/>
          <w:sz w:val="28"/>
        </w:rPr>
      </w:pPr>
      <w:bookmarkStart w:id="77" w:name="_Toc200093219"/>
      <w:bookmarkStart w:id="78" w:name="_Toc200361431"/>
      <w:r w:rsidRPr="00AC6ACB">
        <w:rPr>
          <w:bCs/>
          <w:sz w:val="28"/>
        </w:rPr>
        <w:lastRenderedPageBreak/>
        <w:t>État V: État de la comparaison des montants budgétés et des montants effectifs</w:t>
      </w:r>
      <w:bookmarkEnd w:id="77"/>
      <w:bookmarkEnd w:id="78"/>
    </w:p>
    <w:p w14:paraId="2545FE23" w14:textId="77777777" w:rsidR="00367F83" w:rsidRPr="00AC6ACB" w:rsidRDefault="00367F83" w:rsidP="00367F83">
      <w:pPr>
        <w:rPr>
          <w:i/>
          <w:iCs/>
        </w:rPr>
      </w:pPr>
      <w:r w:rsidRPr="00AC6ACB">
        <w:rPr>
          <w:i/>
          <w:iCs/>
        </w:rPr>
        <w:t>Pour l'exercice clos le 31 décembre 2024</w:t>
      </w:r>
    </w:p>
    <w:p w14:paraId="09334502" w14:textId="77777777" w:rsidR="00367F83" w:rsidRPr="00AC6ACB" w:rsidRDefault="00367F83" w:rsidP="00367F83">
      <w:pPr>
        <w:spacing w:before="0"/>
        <w:rPr>
          <w:i/>
          <w:iCs/>
        </w:rPr>
      </w:pPr>
      <w:r w:rsidRPr="00AC6ACB">
        <w:rPr>
          <w:i/>
          <w:iCs/>
        </w:rPr>
        <w:t>(en milliers CHF)</w:t>
      </w:r>
    </w:p>
    <w:p w14:paraId="0EEB0B5C" w14:textId="77777777" w:rsidR="00367F83" w:rsidRPr="00AC6ACB" w:rsidRDefault="00367F83" w:rsidP="00367F83">
      <w:pPr>
        <w:pStyle w:val="Figure"/>
        <w:spacing w:before="240"/>
      </w:pPr>
      <w:r w:rsidRPr="00AC6ACB">
        <w:rPr>
          <w:noProof/>
        </w:rPr>
        <w:drawing>
          <wp:inline distT="0" distB="0" distL="0" distR="0" wp14:anchorId="30F22313" wp14:editId="543868C4">
            <wp:extent cx="5760085" cy="4150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4150360"/>
                    </a:xfrm>
                    <a:prstGeom prst="rect">
                      <a:avLst/>
                    </a:prstGeom>
                    <a:noFill/>
                    <a:ln>
                      <a:noFill/>
                    </a:ln>
                  </pic:spPr>
                </pic:pic>
              </a:graphicData>
            </a:graphic>
          </wp:inline>
        </w:drawing>
      </w:r>
    </w:p>
    <w:p w14:paraId="6A1F93A6" w14:textId="77777777" w:rsidR="00367F83" w:rsidRPr="00AC6ACB" w:rsidRDefault="00367F83" w:rsidP="00367F83">
      <w:pPr>
        <w:rPr>
          <w:i/>
          <w:iCs/>
        </w:rPr>
      </w:pPr>
      <w:r w:rsidRPr="00AC6ACB">
        <w:rPr>
          <w:i/>
          <w:iCs/>
        </w:rPr>
        <w:t>La Note 21 contient des informations complémentaires sur les différences de base et les différences relatives aux entités.</w:t>
      </w:r>
    </w:p>
    <w:p w14:paraId="58702F3B" w14:textId="77777777" w:rsidR="00367F83" w:rsidRPr="00AC6ACB" w:rsidRDefault="00367F83" w:rsidP="00367F83">
      <w:r w:rsidRPr="00AC6ACB">
        <w:br w:type="page"/>
      </w:r>
    </w:p>
    <w:p w14:paraId="62D0C1CC" w14:textId="030823F4" w:rsidR="00367F83" w:rsidRPr="00AC6ACB" w:rsidRDefault="00367F83" w:rsidP="004D6435">
      <w:pPr>
        <w:pStyle w:val="Heading1"/>
      </w:pPr>
      <w:bookmarkStart w:id="79" w:name="_Toc162331501"/>
      <w:bookmarkStart w:id="80" w:name="_Toc162331711"/>
      <w:bookmarkStart w:id="81" w:name="_Toc200361432"/>
      <w:r w:rsidRPr="00AC6ACB">
        <w:lastRenderedPageBreak/>
        <w:t>Notes relatives aux États financiers</w:t>
      </w:r>
      <w:bookmarkEnd w:id="79"/>
      <w:bookmarkEnd w:id="80"/>
      <w:bookmarkEnd w:id="81"/>
    </w:p>
    <w:p w14:paraId="7DA7A75E" w14:textId="36C15607" w:rsidR="00367F83" w:rsidRPr="00AC6ACB" w:rsidRDefault="00367F83" w:rsidP="004D6435">
      <w:pPr>
        <w:pStyle w:val="Heading1"/>
        <w:spacing w:before="200"/>
        <w:rPr>
          <w:sz w:val="24"/>
          <w:szCs w:val="18"/>
        </w:rPr>
      </w:pPr>
      <w:bookmarkStart w:id="82" w:name="_Toc162331502"/>
      <w:bookmarkStart w:id="83" w:name="_Toc162331712"/>
      <w:bookmarkStart w:id="84" w:name="_Toc200361433"/>
      <w:r w:rsidRPr="00AC6ACB">
        <w:rPr>
          <w:sz w:val="24"/>
          <w:szCs w:val="18"/>
        </w:rPr>
        <w:t>Note 1</w:t>
      </w:r>
      <w:r w:rsidRPr="00AC6ACB">
        <w:rPr>
          <w:sz w:val="24"/>
          <w:szCs w:val="18"/>
        </w:rPr>
        <w:tab/>
        <w:t>Objectifs de l'Union</w:t>
      </w:r>
      <w:bookmarkEnd w:id="82"/>
      <w:bookmarkEnd w:id="83"/>
      <w:bookmarkEnd w:id="84"/>
    </w:p>
    <w:p w14:paraId="23CCAF72" w14:textId="77777777" w:rsidR="00367F83" w:rsidRPr="00AC6ACB" w:rsidRDefault="00367F83" w:rsidP="004D6435">
      <w:pPr>
        <w:spacing w:before="100"/>
        <w:rPr>
          <w:b/>
        </w:rPr>
      </w:pPr>
      <w:r w:rsidRPr="00AC6ACB">
        <w:t>L'Union internationale des télécommunications (UIT) est l'institution spécialisée des</w:t>
      </w:r>
      <w:hyperlink r:id="rId22" w:tgtFrame="_blank" w:history="1">
        <w:r w:rsidRPr="00AC6ACB">
          <w:rPr>
            <w:rFonts w:eastAsiaTheme="minorHAnsi"/>
          </w:rPr>
          <w:t xml:space="preserve"> </w:t>
        </w:r>
        <w:r w:rsidRPr="00AC6ACB">
          <w:rPr>
            <w:rStyle w:val="Hyperlink"/>
            <w:rFonts w:cs="Calibri"/>
          </w:rPr>
          <w:t>Nations Unies</w:t>
        </w:r>
      </w:hyperlink>
      <w:r w:rsidRPr="00AC6ACB">
        <w:t xml:space="preserve"> pour les technologies de l'information et de la communication (TIC). Pôle de convergence mondial où se retrouvent pouvoirs publics et secteur privé, l'UIT aide le monde à communiquer, et ce dans trois Secteurs: le Secteur des </w:t>
      </w:r>
      <w:hyperlink r:id="rId23" w:history="1">
        <w:r w:rsidRPr="00AC6ACB">
          <w:rPr>
            <w:rStyle w:val="Hyperlink"/>
            <w:rFonts w:cs="Calibri"/>
          </w:rPr>
          <w:t>radiocommunications</w:t>
        </w:r>
      </w:hyperlink>
      <w:r w:rsidRPr="00AC6ACB">
        <w:t xml:space="preserve">, le Secteur de la </w:t>
      </w:r>
      <w:hyperlink r:id="rId24" w:history="1">
        <w:r w:rsidRPr="00AC6ACB">
          <w:rPr>
            <w:rStyle w:val="Hyperlink"/>
            <w:rFonts w:cs="Calibri"/>
          </w:rPr>
          <w:t>normalisation</w:t>
        </w:r>
      </w:hyperlink>
      <w:r w:rsidRPr="00AC6ACB">
        <w:t xml:space="preserve"> des télécommunications et le Secteur du </w:t>
      </w:r>
      <w:hyperlink r:id="rId25" w:history="1">
        <w:r w:rsidRPr="00AC6ACB">
          <w:rPr>
            <w:rStyle w:val="Hyperlink"/>
            <w:rFonts w:cs="Calibri"/>
          </w:rPr>
          <w:t>développement</w:t>
        </w:r>
      </w:hyperlink>
      <w:r w:rsidRPr="00AC6ACB">
        <w:t xml:space="preserve"> des télécommunications. L'UIT reconnaît pleinement à chaque État le droit souverain de réglementer ses télécommunications.</w:t>
      </w:r>
    </w:p>
    <w:p w14:paraId="7E736A46" w14:textId="77777777" w:rsidR="00367F83" w:rsidRPr="00AC6ACB" w:rsidRDefault="00367F83" w:rsidP="004D6435">
      <w:pPr>
        <w:spacing w:before="100"/>
        <w:rPr>
          <w:lang w:eastAsia="fr-FR"/>
        </w:rPr>
      </w:pPr>
      <w:r w:rsidRPr="00AC6ACB">
        <w:rPr>
          <w:lang w:eastAsia="fr-FR"/>
        </w:rPr>
        <w:t xml:space="preserve">L'UIT a été responsable au premier chef de l'organisation du </w:t>
      </w:r>
      <w:hyperlink r:id="rId26" w:history="1">
        <w:r w:rsidRPr="00AC6ACB">
          <w:rPr>
            <w:rStyle w:val="Hyperlink"/>
            <w:rFonts w:asciiTheme="minorHAnsi" w:hAnsiTheme="minorHAnsi" w:cs="Arial"/>
            <w:szCs w:val="24"/>
            <w:lang w:eastAsia="fr-FR"/>
          </w:rPr>
          <w:t>Sommet mondial sur la société de l'information</w:t>
        </w:r>
      </w:hyperlink>
      <w:r w:rsidRPr="00AC6ACB">
        <w:rPr>
          <w:lang w:eastAsia="fr-FR"/>
        </w:rPr>
        <w:t>, qui s'est tenu en 2003 et 2005.</w:t>
      </w:r>
    </w:p>
    <w:p w14:paraId="2CC0F2AC" w14:textId="77777777" w:rsidR="00367F83" w:rsidRPr="00AC6ACB" w:rsidRDefault="00367F83" w:rsidP="004D6435">
      <w:pPr>
        <w:spacing w:before="100"/>
      </w:pPr>
      <w:r w:rsidRPr="00AC6ACB">
        <w:t>L'UIT est composée de 194 États Membres et de plus de 1 000 entreprises, universités et organisations internationales et régionales. Son siège est situé à Genève (Suisse) et elle compte des bureaux régionaux sur tous les continents, un bureau de liaison auprès de l'Organisation des Nations Unies à New York et une unité de coordination au siège pour l'Europe. L'UIT, créée en 1865, est l'institution la plus ancienne du système des Nations Unies et connecte le monde depuis l'époque du télégraphe. Elle a son siège Place des Nations, 1211 Genève 20, Suisse.</w:t>
      </w:r>
    </w:p>
    <w:p w14:paraId="012A720D" w14:textId="77777777" w:rsidR="00367F83" w:rsidRPr="00AC6ACB" w:rsidRDefault="00367F83" w:rsidP="00367F83">
      <w:r w:rsidRPr="00AC6ACB">
        <w:t>L'objet de l'Union est le suivant:</w:t>
      </w:r>
    </w:p>
    <w:p w14:paraId="54660DBA" w14:textId="77777777" w:rsidR="00367F83" w:rsidRPr="00AC6ACB" w:rsidRDefault="00367F83" w:rsidP="004D6435">
      <w:pPr>
        <w:pStyle w:val="enumlev1"/>
        <w:spacing w:before="70"/>
      </w:pPr>
      <w:r w:rsidRPr="00AC6ACB">
        <w:rPr>
          <w:lang w:eastAsia="fr-FR"/>
        </w:rPr>
        <w:t>–</w:t>
      </w:r>
      <w:r w:rsidRPr="00AC6ACB">
        <w:rPr>
          <w:lang w:eastAsia="fr-FR"/>
        </w:rPr>
        <w:tab/>
      </w:r>
      <w:r w:rsidRPr="00AC6ACB">
        <w:t>Maintenir et étendre la coopération internationale entre tous ses États Membres pour l'amélioration et l'emploi rationnel des télécommunications de toutes sortes.</w:t>
      </w:r>
    </w:p>
    <w:p w14:paraId="6A296A77" w14:textId="77777777" w:rsidR="00367F83" w:rsidRPr="00AC6ACB" w:rsidRDefault="00367F83" w:rsidP="004D6435">
      <w:pPr>
        <w:pStyle w:val="enumlev1"/>
        <w:spacing w:before="70"/>
      </w:pPr>
      <w:r w:rsidRPr="00AC6ACB">
        <w:t>–</w:t>
      </w:r>
      <w:r w:rsidRPr="00AC6ACB">
        <w:tab/>
        <w:t>Favoriser le développement de moyens techniques et leur exploitation la plus efficace, en vue d'augmenter le rendement des services de télécommunication, d'accroître leur utilité et de généraliser le plus possible leur utilisation par le public.</w:t>
      </w:r>
    </w:p>
    <w:p w14:paraId="51E650FD" w14:textId="77777777" w:rsidR="00367F83" w:rsidRPr="00AC6ACB" w:rsidRDefault="00367F83" w:rsidP="004D6435">
      <w:pPr>
        <w:pStyle w:val="enumlev1"/>
        <w:spacing w:before="70"/>
      </w:pPr>
      <w:r w:rsidRPr="00AC6ACB">
        <w:t>–</w:t>
      </w:r>
      <w:r w:rsidRPr="00AC6ACB">
        <w:tab/>
        <w:t>S'efforcer d'étendre les avantages des nouvelles technologies de télécommunication à tous les habitants de la planète.</w:t>
      </w:r>
    </w:p>
    <w:p w14:paraId="0BBDDA1F" w14:textId="77777777" w:rsidR="00367F83" w:rsidRPr="00AC6ACB" w:rsidRDefault="00367F83" w:rsidP="004D6435">
      <w:pPr>
        <w:pStyle w:val="enumlev1"/>
        <w:spacing w:before="70"/>
      </w:pPr>
      <w:r w:rsidRPr="00AC6ACB">
        <w:t>–</w:t>
      </w:r>
      <w:r w:rsidRPr="00AC6ACB">
        <w:tab/>
        <w:t>Promouvoir l'utilisation des services de télécommunication en vue de faciliter les relations pacifiques.</w:t>
      </w:r>
    </w:p>
    <w:p w14:paraId="0D65936F" w14:textId="77777777" w:rsidR="00367F83" w:rsidRPr="00AC6ACB" w:rsidRDefault="00367F83" w:rsidP="004D6435">
      <w:pPr>
        <w:pStyle w:val="enumlev1"/>
        <w:spacing w:before="70"/>
      </w:pPr>
      <w:r w:rsidRPr="00AC6ACB">
        <w:t>–</w:t>
      </w:r>
      <w:r w:rsidRPr="00AC6ACB">
        <w:tab/>
        <w:t>Harmoniser les efforts des États Membres et favoriser une coopération et un partenariat fructueux et constructifs entre les États Membres et les Membres des Secteurs à ces fins.</w:t>
      </w:r>
    </w:p>
    <w:p w14:paraId="0CD5B755" w14:textId="77777777" w:rsidR="00367F83" w:rsidRPr="00AC6ACB" w:rsidRDefault="00367F83" w:rsidP="004D6435">
      <w:pPr>
        <w:pStyle w:val="enumlev1"/>
        <w:spacing w:before="70"/>
        <w:rPr>
          <w:b/>
        </w:rPr>
      </w:pPr>
      <w:r w:rsidRPr="00AC6ACB">
        <w:t>–</w:t>
      </w:r>
      <w:r w:rsidRPr="00AC6ACB">
        <w:tab/>
        <w:t>Promouvoir au niveau international, l'adoption d'une approche plus générale des questions de télécommunication, en raison de la mondialisation de l'économie et de la société de l'information, en collaborant avec d'autres organisations intergouvernementales régionales et internationales ainsi qu'avec les organisations non gouvernementales qui s'occupent de télécommunications.</w:t>
      </w:r>
    </w:p>
    <w:p w14:paraId="7DE6FF95" w14:textId="77777777" w:rsidR="00367F83" w:rsidRPr="00AC6ACB" w:rsidRDefault="00367F83" w:rsidP="00367F83">
      <w:r w:rsidRPr="00AC6ACB">
        <w:t>La Conférence de plénipotentiaires est l'</w:t>
      </w:r>
      <w:r w:rsidRPr="00AC6ACB">
        <w:rPr>
          <w:bCs/>
        </w:rPr>
        <w:t>organe suprême</w:t>
      </w:r>
      <w:r w:rsidRPr="00AC6ACB">
        <w:t xml:space="preserve"> de l'UIT. Elle est c</w:t>
      </w:r>
      <w:r w:rsidRPr="00AC6ACB">
        <w:rPr>
          <w:bCs/>
        </w:rPr>
        <w:t>onvoquée tous les quatre ans. Dans l'intervalle entre deux conférences de plénipotentiaires, le Conseil, composé de 48 États Membres, agit en tant qu'organe directeur de l'Union, au nom de la Conférence de plénipotentiaires et dans les limites des pouvoirs délégués par celle-ci. L</w:t>
      </w:r>
      <w:r w:rsidRPr="00AC6ACB">
        <w:t>a Conférence:</w:t>
      </w:r>
    </w:p>
    <w:p w14:paraId="21E7F0D1" w14:textId="77777777" w:rsidR="00367F83" w:rsidRPr="00AC6ACB" w:rsidRDefault="00367F83" w:rsidP="00367F83">
      <w:pPr>
        <w:pStyle w:val="enumlev1"/>
      </w:pPr>
      <w:r w:rsidRPr="00AC6ACB">
        <w:rPr>
          <w:lang w:eastAsia="fr-FR"/>
        </w:rPr>
        <w:t>–</w:t>
      </w:r>
      <w:r w:rsidRPr="00AC6ACB">
        <w:rPr>
          <w:lang w:eastAsia="fr-FR"/>
        </w:rPr>
        <w:tab/>
      </w:r>
      <w:r w:rsidRPr="00AC6ACB">
        <w:t>détermine les principes généraux de l'Union;</w:t>
      </w:r>
    </w:p>
    <w:p w14:paraId="5A0E34CD" w14:textId="77777777" w:rsidR="00367F83" w:rsidRPr="00AC6ACB" w:rsidRDefault="00367F83" w:rsidP="00117505">
      <w:pPr>
        <w:pStyle w:val="enumlev1"/>
        <w:widowControl w:val="0"/>
      </w:pPr>
      <w:r w:rsidRPr="00AC6ACB">
        <w:t>–</w:t>
      </w:r>
      <w:r w:rsidRPr="00AC6ACB">
        <w:tab/>
        <w:t>adopte un plan stratégique et un plan financier pour une période de quatre ans;</w:t>
      </w:r>
    </w:p>
    <w:p w14:paraId="6E0C831F" w14:textId="77777777" w:rsidR="00367F83" w:rsidRPr="00AC6ACB" w:rsidRDefault="00367F83" w:rsidP="00367F83">
      <w:pPr>
        <w:pStyle w:val="enumlev1"/>
      </w:pPr>
      <w:r w:rsidRPr="00AC6ACB">
        <w:lastRenderedPageBreak/>
        <w:t>–</w:t>
      </w:r>
      <w:r w:rsidRPr="00AC6ACB">
        <w:tab/>
        <w:t>examine les comptes de l'Union et les approuve définitivement, s'il y a lieu;</w:t>
      </w:r>
    </w:p>
    <w:p w14:paraId="710F369E" w14:textId="77777777" w:rsidR="00367F83" w:rsidRPr="00AC6ACB" w:rsidRDefault="00367F83" w:rsidP="00367F83">
      <w:pPr>
        <w:pStyle w:val="enumlev1"/>
      </w:pPr>
      <w:r w:rsidRPr="00AC6ACB">
        <w:t>–</w:t>
      </w:r>
      <w:r w:rsidRPr="00AC6ACB">
        <w:tab/>
        <w:t>élit les États Membres qui siègent au Conseil;</w:t>
      </w:r>
    </w:p>
    <w:p w14:paraId="6FAF3D10" w14:textId="77777777" w:rsidR="00367F83" w:rsidRPr="00AC6ACB" w:rsidRDefault="00367F83" w:rsidP="00367F83">
      <w:pPr>
        <w:pStyle w:val="enumlev1"/>
      </w:pPr>
      <w:r w:rsidRPr="00AC6ACB">
        <w:t>–</w:t>
      </w:r>
      <w:r w:rsidRPr="00AC6ACB">
        <w:tab/>
        <w:t>élit les fonctionnaires élus de l'Union, à savoir le Secrétaire général, le Vice</w:t>
      </w:r>
      <w:r w:rsidRPr="00AC6ACB">
        <w:noBreakHyphen/>
        <w:t>Secrétaire général et les Directeurs des Bureaux; et</w:t>
      </w:r>
    </w:p>
    <w:p w14:paraId="30C67DC8" w14:textId="77777777" w:rsidR="00367F83" w:rsidRPr="00AC6ACB" w:rsidRDefault="00367F83" w:rsidP="00367F83">
      <w:pPr>
        <w:pStyle w:val="enumlev1"/>
        <w:rPr>
          <w:lang w:eastAsia="fr-FR"/>
        </w:rPr>
      </w:pPr>
      <w:r w:rsidRPr="00AC6ACB">
        <w:t>–</w:t>
      </w:r>
      <w:r w:rsidRPr="00AC6ACB">
        <w:tab/>
        <w:t>élit les M</w:t>
      </w:r>
      <w:r w:rsidRPr="00AC6ACB">
        <w:rPr>
          <w:lang w:eastAsia="fr-FR"/>
        </w:rPr>
        <w:t xml:space="preserve">embres du </w:t>
      </w:r>
      <w:hyperlink r:id="rId27" w:anchor="gsc.tab=0" w:history="1">
        <w:r w:rsidRPr="00AC6ACB">
          <w:rPr>
            <w:rStyle w:val="Hyperlink"/>
          </w:rPr>
          <w:t>Comité du Règlement des radiocommunications</w:t>
        </w:r>
      </w:hyperlink>
      <w:r w:rsidRPr="00AC6ACB">
        <w:rPr>
          <w:lang w:eastAsia="fr-FR"/>
        </w:rPr>
        <w:t>.</w:t>
      </w:r>
    </w:p>
    <w:p w14:paraId="49D43BF2" w14:textId="28776526" w:rsidR="00367F83" w:rsidRPr="00AC6ACB" w:rsidRDefault="00367F83" w:rsidP="00367F83">
      <w:pPr>
        <w:pStyle w:val="Heading1"/>
        <w:spacing w:before="240"/>
        <w:rPr>
          <w:sz w:val="24"/>
          <w:szCs w:val="18"/>
        </w:rPr>
      </w:pPr>
      <w:bookmarkStart w:id="85" w:name="_Toc162331503"/>
      <w:bookmarkStart w:id="86" w:name="_Toc162331713"/>
      <w:bookmarkStart w:id="87" w:name="_Toc168593337"/>
      <w:bookmarkStart w:id="88" w:name="_Toc200361434"/>
      <w:r w:rsidRPr="00AC6ACB">
        <w:rPr>
          <w:sz w:val="24"/>
          <w:szCs w:val="18"/>
        </w:rPr>
        <w:t>Note 2</w:t>
      </w:r>
      <w:r w:rsidRPr="00AC6ACB">
        <w:rPr>
          <w:sz w:val="24"/>
          <w:szCs w:val="18"/>
        </w:rPr>
        <w:tab/>
        <w:t>Fondements de la préparation et de la présentation</w:t>
      </w:r>
      <w:bookmarkEnd w:id="85"/>
      <w:bookmarkEnd w:id="86"/>
      <w:bookmarkEnd w:id="87"/>
      <w:bookmarkEnd w:id="88"/>
    </w:p>
    <w:p w14:paraId="6E0C8808" w14:textId="77777777" w:rsidR="00367F83" w:rsidRPr="00AC6ACB" w:rsidRDefault="00367F83" w:rsidP="00367F83">
      <w:r w:rsidRPr="00AC6ACB">
        <w:t>Les États financiers pour 2024 ont été préparés conformément aux normes comptables internationales du secteur public (IPSAS). Les États financiers sont présentés en franc suisse, qui constitue la monnaie fonctionnelle de l'UIT et celle utilisée pour la présentation de l'information financière, et les valeurs sont arrondies au millier le plus proche. Les politiques comptables ont été appliquées de manière constante pour toutes les années présentées. L'exercice financier s'étend de janvier à décembre.</w:t>
      </w:r>
    </w:p>
    <w:p w14:paraId="71CB81EE" w14:textId="77777777" w:rsidR="00367F83" w:rsidRPr="00AC6ACB" w:rsidRDefault="00367F83" w:rsidP="00367F83">
      <w:r w:rsidRPr="00AC6ACB">
        <w:t>Sauf indication contraire, les États financiers ont été préparés sur la base du coût historique. L'État des flux de trésorerie est élaboré au moyen de la méthode indirecte. Les États financiers sont élaborés sur la base de la méthode de comptabilité d'engagement et du principe de continuité des activités.</w:t>
      </w:r>
    </w:p>
    <w:p w14:paraId="27447E60" w14:textId="77777777" w:rsidR="00367F83" w:rsidRPr="00AC6ACB" w:rsidRDefault="00367F83" w:rsidP="00367F83">
      <w:r w:rsidRPr="00AC6ACB">
        <w:t>Le Règlement financier et les Règles financières de l'UIT prévoient un exercice budgétaire biennal; toutefois, pour établir une comparaison pertinente avec les États financiers pour 2024, le budget pour l'année 2024 est présenté dans L'État V (État de la comparaison des montants budgétés et des montants effectifs).</w:t>
      </w:r>
    </w:p>
    <w:p w14:paraId="09B0E68B" w14:textId="77777777" w:rsidR="00367F83" w:rsidRPr="00AC6ACB" w:rsidRDefault="00367F83" w:rsidP="00367F83">
      <w:r w:rsidRPr="00AC6ACB">
        <w:t>L'UIT a appliqué et respecté les exigences des normes IPSAS en vigueur au 1er janvier 2024. On trouvera de plus amples informations dans la Note 3 relative aux principales méthodes comptables.</w:t>
      </w:r>
    </w:p>
    <w:p w14:paraId="628928C7" w14:textId="77777777" w:rsidR="00367F83" w:rsidRPr="00AC6ACB" w:rsidRDefault="00367F83" w:rsidP="00367F83">
      <w:pPr>
        <w:pStyle w:val="Headingb"/>
        <w:rPr>
          <w:i/>
          <w:iCs/>
        </w:rPr>
      </w:pPr>
      <w:bookmarkStart w:id="89" w:name="_Toc168587313"/>
      <w:bookmarkStart w:id="90" w:name="_Toc168593340"/>
      <w:bookmarkStart w:id="91" w:name="_Toc200093223"/>
      <w:bookmarkStart w:id="92" w:name="_Toc200361435"/>
      <w:r w:rsidRPr="00AC6ACB">
        <w:rPr>
          <w:i/>
          <w:iCs/>
        </w:rPr>
        <w:t>Changements comptables futurs</w:t>
      </w:r>
      <w:bookmarkEnd w:id="89"/>
      <w:bookmarkEnd w:id="90"/>
      <w:bookmarkEnd w:id="91"/>
      <w:bookmarkEnd w:id="92"/>
    </w:p>
    <w:p w14:paraId="42EE42AB" w14:textId="77777777" w:rsidR="00367F83" w:rsidRPr="00AC6ACB" w:rsidRDefault="00367F83" w:rsidP="00367F83">
      <w:pPr>
        <w:spacing w:after="120"/>
      </w:pPr>
      <w:r w:rsidRPr="00AC6ACB">
        <w:t>Au 31 décembre 2024, date de l'État de la situation financière, les normes IPSAS suivantes avaient été publiées, mais n'étaient pas entrées en vigueur:</w:t>
      </w:r>
    </w:p>
    <w:tbl>
      <w:tblPr>
        <w:tblStyle w:val="TableGrid"/>
        <w:tblW w:w="5000" w:type="pct"/>
        <w:jc w:val="center"/>
        <w:tblLook w:val="06A0" w:firstRow="1" w:lastRow="0" w:firstColumn="1" w:lastColumn="0" w:noHBand="1" w:noVBand="1"/>
      </w:tblPr>
      <w:tblGrid>
        <w:gridCol w:w="988"/>
        <w:gridCol w:w="1560"/>
        <w:gridCol w:w="1558"/>
        <w:gridCol w:w="4955"/>
      </w:tblGrid>
      <w:tr w:rsidR="00367F83" w:rsidRPr="00AC6ACB" w14:paraId="30C5E455" w14:textId="77777777" w:rsidTr="00D219BA">
        <w:trPr>
          <w:trHeight w:val="300"/>
          <w:tblHeader/>
          <w:jc w:val="center"/>
        </w:trPr>
        <w:tc>
          <w:tcPr>
            <w:tcW w:w="545" w:type="pct"/>
            <w:shd w:val="clear" w:color="auto" w:fill="0070C0"/>
            <w:vAlign w:val="center"/>
          </w:tcPr>
          <w:p w14:paraId="498074EF" w14:textId="77777777" w:rsidR="00367F83" w:rsidRPr="00AC6ACB" w:rsidRDefault="00367F83" w:rsidP="00D219BA">
            <w:pPr>
              <w:pStyle w:val="Tablehead"/>
              <w:keepNext/>
              <w:keepLines/>
              <w:rPr>
                <w:sz w:val="20"/>
                <w:szCs w:val="20"/>
                <w:lang w:eastAsia="zh-CN"/>
              </w:rPr>
            </w:pPr>
            <w:r w:rsidRPr="00AC6ACB">
              <w:rPr>
                <w:sz w:val="20"/>
                <w:szCs w:val="20"/>
                <w:lang w:eastAsia="zh-CN"/>
              </w:rPr>
              <w:t>Norme</w:t>
            </w:r>
          </w:p>
        </w:tc>
        <w:tc>
          <w:tcPr>
            <w:tcW w:w="861" w:type="pct"/>
            <w:shd w:val="clear" w:color="auto" w:fill="0070C0"/>
            <w:vAlign w:val="center"/>
          </w:tcPr>
          <w:p w14:paraId="6012D45B" w14:textId="77777777" w:rsidR="00367F83" w:rsidRPr="00AC6ACB" w:rsidRDefault="00367F83" w:rsidP="00D219BA">
            <w:pPr>
              <w:pStyle w:val="Tablehead"/>
              <w:keepNext/>
              <w:keepLines/>
              <w:rPr>
                <w:sz w:val="20"/>
                <w:szCs w:val="20"/>
                <w:lang w:eastAsia="zh-CN"/>
              </w:rPr>
            </w:pPr>
            <w:r w:rsidRPr="00AC6ACB">
              <w:rPr>
                <w:sz w:val="20"/>
                <w:szCs w:val="20"/>
                <w:lang w:eastAsia="zh-CN"/>
              </w:rPr>
              <w:t>Titre</w:t>
            </w:r>
          </w:p>
        </w:tc>
        <w:tc>
          <w:tcPr>
            <w:tcW w:w="860" w:type="pct"/>
            <w:shd w:val="clear" w:color="auto" w:fill="0070C0"/>
            <w:vAlign w:val="center"/>
          </w:tcPr>
          <w:p w14:paraId="4D69979A" w14:textId="77777777" w:rsidR="00367F83" w:rsidRPr="00AC6ACB" w:rsidRDefault="00367F83" w:rsidP="00D219BA">
            <w:pPr>
              <w:pStyle w:val="Tablehead"/>
              <w:keepNext/>
              <w:keepLines/>
              <w:rPr>
                <w:sz w:val="20"/>
                <w:szCs w:val="20"/>
                <w:lang w:eastAsia="zh-CN"/>
              </w:rPr>
            </w:pPr>
            <w:r w:rsidRPr="00AC6ACB">
              <w:rPr>
                <w:sz w:val="20"/>
                <w:szCs w:val="20"/>
                <w:lang w:eastAsia="zh-CN"/>
              </w:rPr>
              <w:t>Date d'entrée en vigueur</w:t>
            </w:r>
          </w:p>
        </w:tc>
        <w:tc>
          <w:tcPr>
            <w:tcW w:w="2734" w:type="pct"/>
            <w:shd w:val="clear" w:color="auto" w:fill="0070C0"/>
            <w:vAlign w:val="center"/>
          </w:tcPr>
          <w:p w14:paraId="66E9C20A" w14:textId="77777777" w:rsidR="00367F83" w:rsidRPr="00AC6ACB" w:rsidRDefault="00367F83" w:rsidP="00D219BA">
            <w:pPr>
              <w:pStyle w:val="Tablehead"/>
              <w:keepNext/>
              <w:keepLines/>
              <w:rPr>
                <w:sz w:val="20"/>
                <w:szCs w:val="20"/>
                <w:lang w:eastAsia="zh-CN"/>
              </w:rPr>
            </w:pPr>
            <w:bookmarkStart w:id="93" w:name="lt_pId401"/>
            <w:r w:rsidRPr="00AC6ACB">
              <w:rPr>
                <w:sz w:val="20"/>
                <w:szCs w:val="20"/>
                <w:lang w:eastAsia="zh-CN"/>
              </w:rPr>
              <w:t>Incidence potentielle pendant l'année d'adoption</w:t>
            </w:r>
            <w:bookmarkEnd w:id="93"/>
          </w:p>
        </w:tc>
      </w:tr>
      <w:tr w:rsidR="00367F83" w:rsidRPr="00AC6ACB" w14:paraId="62EC65F9" w14:textId="77777777" w:rsidTr="00D219BA">
        <w:trPr>
          <w:trHeight w:val="300"/>
          <w:jc w:val="center"/>
        </w:trPr>
        <w:tc>
          <w:tcPr>
            <w:tcW w:w="545" w:type="pct"/>
          </w:tcPr>
          <w:p w14:paraId="32D55D88" w14:textId="77777777" w:rsidR="00367F83" w:rsidRPr="00AC6ACB" w:rsidRDefault="00367F83" w:rsidP="00D219BA">
            <w:pPr>
              <w:pStyle w:val="Tabletext"/>
              <w:rPr>
                <w:sz w:val="20"/>
                <w:szCs w:val="20"/>
                <w:lang w:eastAsia="zh-CN"/>
              </w:rPr>
            </w:pPr>
            <w:bookmarkStart w:id="94" w:name="lt_pId415"/>
            <w:r w:rsidRPr="00AC6ACB">
              <w:rPr>
                <w:sz w:val="20"/>
                <w:szCs w:val="20"/>
                <w:lang w:eastAsia="zh-CN"/>
              </w:rPr>
              <w:t>IPSAS 43</w:t>
            </w:r>
            <w:bookmarkEnd w:id="94"/>
          </w:p>
        </w:tc>
        <w:tc>
          <w:tcPr>
            <w:tcW w:w="861" w:type="pct"/>
          </w:tcPr>
          <w:p w14:paraId="3E71FD47" w14:textId="77777777" w:rsidR="00367F83" w:rsidRPr="00AC6ACB" w:rsidRDefault="00367F83" w:rsidP="00D219BA">
            <w:pPr>
              <w:pStyle w:val="Tabletext"/>
              <w:rPr>
                <w:sz w:val="20"/>
                <w:szCs w:val="20"/>
                <w:lang w:eastAsia="zh-CN"/>
              </w:rPr>
            </w:pPr>
            <w:r w:rsidRPr="00AC6ACB">
              <w:rPr>
                <w:sz w:val="20"/>
                <w:szCs w:val="20"/>
                <w:lang w:eastAsia="zh-CN"/>
              </w:rPr>
              <w:t>Contrats de location</w:t>
            </w:r>
          </w:p>
        </w:tc>
        <w:tc>
          <w:tcPr>
            <w:tcW w:w="860" w:type="pct"/>
          </w:tcPr>
          <w:p w14:paraId="360E6296" w14:textId="77777777" w:rsidR="00367F83" w:rsidRPr="00AC6ACB" w:rsidRDefault="00367F83" w:rsidP="00D219BA">
            <w:pPr>
              <w:pStyle w:val="Tabletext"/>
              <w:rPr>
                <w:sz w:val="20"/>
                <w:szCs w:val="20"/>
                <w:lang w:eastAsia="zh-CN"/>
              </w:rPr>
            </w:pPr>
            <w:r w:rsidRPr="00AC6ACB">
              <w:rPr>
                <w:sz w:val="20"/>
                <w:szCs w:val="20"/>
                <w:lang w:eastAsia="zh-CN"/>
              </w:rPr>
              <w:t xml:space="preserve">1er janvier </w:t>
            </w:r>
            <w:bookmarkStart w:id="95" w:name="lt_pId418"/>
            <w:r w:rsidRPr="00AC6ACB">
              <w:rPr>
                <w:sz w:val="20"/>
                <w:szCs w:val="20"/>
                <w:lang w:eastAsia="zh-CN"/>
              </w:rPr>
              <w:t>2025</w:t>
            </w:r>
            <w:bookmarkEnd w:id="95"/>
          </w:p>
        </w:tc>
        <w:tc>
          <w:tcPr>
            <w:tcW w:w="2734" w:type="pct"/>
          </w:tcPr>
          <w:p w14:paraId="60E8ED81" w14:textId="77777777" w:rsidR="00367F83" w:rsidRPr="00AC6ACB" w:rsidRDefault="00367F83" w:rsidP="00D219BA">
            <w:pPr>
              <w:pStyle w:val="Tabletext"/>
              <w:rPr>
                <w:rFonts w:eastAsia="Times New Roman" w:cs="Times New Roman"/>
                <w:sz w:val="20"/>
                <w:szCs w:val="20"/>
              </w:rPr>
            </w:pPr>
            <w:r w:rsidRPr="00AC6ACB">
              <w:rPr>
                <w:rFonts w:eastAsia="Times New Roman" w:cs="Times New Roman"/>
                <w:sz w:val="20"/>
                <w:szCs w:val="20"/>
              </w:rPr>
              <w:t>Énonce les principes de comptabilisation, d'évaluation, de présentation et d'information des contrats de location. L'UIT a examiné son portefeuille de contrats afin de recenser les contrats de location; cette nouvelle norme ne devrait pas avoir d'incidence significative sur les États financiers de l'UIT.</w:t>
            </w:r>
          </w:p>
        </w:tc>
      </w:tr>
      <w:tr w:rsidR="00367F83" w:rsidRPr="00AC6ACB" w14:paraId="287C1CD9" w14:textId="77777777" w:rsidTr="00D219BA">
        <w:trPr>
          <w:trHeight w:val="300"/>
          <w:jc w:val="center"/>
        </w:trPr>
        <w:tc>
          <w:tcPr>
            <w:tcW w:w="545" w:type="pct"/>
          </w:tcPr>
          <w:p w14:paraId="2210E1D1" w14:textId="77777777" w:rsidR="00367F83" w:rsidRPr="00AC6ACB" w:rsidRDefault="00367F83" w:rsidP="00D219BA">
            <w:pPr>
              <w:pStyle w:val="Tabletext"/>
              <w:rPr>
                <w:sz w:val="20"/>
                <w:szCs w:val="20"/>
                <w:lang w:eastAsia="zh-CN"/>
              </w:rPr>
            </w:pPr>
            <w:bookmarkStart w:id="96" w:name="lt_pId422"/>
            <w:r w:rsidRPr="00AC6ACB">
              <w:rPr>
                <w:sz w:val="20"/>
                <w:szCs w:val="20"/>
                <w:lang w:eastAsia="zh-CN"/>
              </w:rPr>
              <w:t>IPSAS 44</w:t>
            </w:r>
            <w:bookmarkEnd w:id="96"/>
          </w:p>
        </w:tc>
        <w:tc>
          <w:tcPr>
            <w:tcW w:w="861" w:type="pct"/>
          </w:tcPr>
          <w:p w14:paraId="7CB3D907" w14:textId="77777777" w:rsidR="00367F83" w:rsidRPr="00AC6ACB" w:rsidRDefault="00367F83" w:rsidP="00D219BA">
            <w:pPr>
              <w:pStyle w:val="Tabletext"/>
              <w:rPr>
                <w:sz w:val="20"/>
                <w:szCs w:val="20"/>
              </w:rPr>
            </w:pPr>
            <w:bookmarkStart w:id="97" w:name="lt_pId423"/>
            <w:r w:rsidRPr="00AC6ACB">
              <w:rPr>
                <w:sz w:val="20"/>
                <w:szCs w:val="20"/>
              </w:rPr>
              <w:t>Actifs non courants détenus en vue de la vente et activités abandonnées</w:t>
            </w:r>
            <w:bookmarkEnd w:id="97"/>
          </w:p>
        </w:tc>
        <w:tc>
          <w:tcPr>
            <w:tcW w:w="860" w:type="pct"/>
          </w:tcPr>
          <w:p w14:paraId="1A99D409" w14:textId="77777777" w:rsidR="00367F83" w:rsidRPr="00AC6ACB" w:rsidRDefault="00367F83" w:rsidP="00D219BA">
            <w:pPr>
              <w:pStyle w:val="Tabletext"/>
              <w:rPr>
                <w:sz w:val="20"/>
                <w:szCs w:val="20"/>
                <w:lang w:eastAsia="zh-CN"/>
              </w:rPr>
            </w:pPr>
            <w:r w:rsidRPr="00AC6ACB">
              <w:rPr>
                <w:sz w:val="20"/>
                <w:szCs w:val="20"/>
                <w:lang w:eastAsia="zh-CN"/>
              </w:rPr>
              <w:t xml:space="preserve">1er janvier </w:t>
            </w:r>
            <w:bookmarkStart w:id="98" w:name="lt_pId425"/>
            <w:r w:rsidRPr="00AC6ACB">
              <w:rPr>
                <w:sz w:val="20"/>
                <w:szCs w:val="20"/>
                <w:lang w:eastAsia="zh-CN"/>
              </w:rPr>
              <w:t>2025</w:t>
            </w:r>
            <w:bookmarkEnd w:id="98"/>
          </w:p>
        </w:tc>
        <w:tc>
          <w:tcPr>
            <w:tcW w:w="2734" w:type="pct"/>
          </w:tcPr>
          <w:p w14:paraId="1A6825BA" w14:textId="77777777" w:rsidR="00367F83" w:rsidRPr="00AC6ACB" w:rsidRDefault="00367F83" w:rsidP="00D219BA">
            <w:pPr>
              <w:pStyle w:val="Tabletext"/>
              <w:rPr>
                <w:rFonts w:eastAsia="Times New Roman" w:cs="Times New Roman"/>
                <w:sz w:val="20"/>
                <w:szCs w:val="20"/>
              </w:rPr>
            </w:pPr>
            <w:r w:rsidRPr="00AC6ACB">
              <w:rPr>
                <w:rFonts w:eastAsia="Times New Roman" w:cs="Times New Roman"/>
                <w:sz w:val="20"/>
                <w:szCs w:val="20"/>
              </w:rPr>
              <w:t>Cette norme spécifie la comptabilisation des actifs non courants détenus en vue de la vente ainsi que la présentation et la divulgation des activités abandonnées. L'analyse réalisée a permis de conclure qu'il n'y avait actuellement aucune incidence sur les États financiers de l'UIT.</w:t>
            </w:r>
          </w:p>
        </w:tc>
      </w:tr>
      <w:tr w:rsidR="00367F83" w:rsidRPr="00AC6ACB" w14:paraId="53850625" w14:textId="77777777" w:rsidTr="00D219BA">
        <w:trPr>
          <w:trHeight w:val="300"/>
          <w:jc w:val="center"/>
        </w:trPr>
        <w:tc>
          <w:tcPr>
            <w:tcW w:w="545" w:type="pct"/>
          </w:tcPr>
          <w:p w14:paraId="3C6B873A" w14:textId="77777777" w:rsidR="00367F83" w:rsidRPr="00AC6ACB" w:rsidRDefault="00367F83" w:rsidP="00D219BA">
            <w:pPr>
              <w:pStyle w:val="Tabletext"/>
              <w:rPr>
                <w:sz w:val="20"/>
                <w:szCs w:val="20"/>
                <w:lang w:eastAsia="zh-CN"/>
              </w:rPr>
            </w:pPr>
            <w:bookmarkStart w:id="99" w:name="lt_pId428"/>
            <w:r w:rsidRPr="00AC6ACB">
              <w:rPr>
                <w:sz w:val="20"/>
                <w:szCs w:val="20"/>
                <w:lang w:eastAsia="zh-CN"/>
              </w:rPr>
              <w:lastRenderedPageBreak/>
              <w:t>IPAS 45</w:t>
            </w:r>
            <w:bookmarkEnd w:id="99"/>
          </w:p>
        </w:tc>
        <w:tc>
          <w:tcPr>
            <w:tcW w:w="861" w:type="pct"/>
          </w:tcPr>
          <w:p w14:paraId="042F801C" w14:textId="77777777" w:rsidR="00367F83" w:rsidRPr="00AC6ACB" w:rsidRDefault="00367F83" w:rsidP="00D219BA">
            <w:pPr>
              <w:pStyle w:val="Tabletext"/>
              <w:rPr>
                <w:sz w:val="20"/>
                <w:szCs w:val="20"/>
              </w:rPr>
            </w:pPr>
            <w:r w:rsidRPr="00AC6ACB">
              <w:rPr>
                <w:sz w:val="20"/>
                <w:szCs w:val="20"/>
              </w:rPr>
              <w:t>Immobilisations corporelles</w:t>
            </w:r>
          </w:p>
        </w:tc>
        <w:tc>
          <w:tcPr>
            <w:tcW w:w="860" w:type="pct"/>
          </w:tcPr>
          <w:p w14:paraId="2D5262F4" w14:textId="77777777" w:rsidR="00367F83" w:rsidRPr="00AC6ACB" w:rsidRDefault="00367F83" w:rsidP="00D219BA">
            <w:pPr>
              <w:pStyle w:val="Tabletext"/>
              <w:rPr>
                <w:sz w:val="20"/>
                <w:szCs w:val="20"/>
                <w:lang w:eastAsia="zh-CN"/>
              </w:rPr>
            </w:pPr>
            <w:r w:rsidRPr="00AC6ACB">
              <w:rPr>
                <w:sz w:val="20"/>
                <w:szCs w:val="20"/>
                <w:lang w:eastAsia="zh-CN"/>
              </w:rPr>
              <w:t xml:space="preserve">1er janvier </w:t>
            </w:r>
            <w:bookmarkStart w:id="100" w:name="lt_pId431"/>
            <w:r w:rsidRPr="00AC6ACB">
              <w:rPr>
                <w:sz w:val="20"/>
                <w:szCs w:val="20"/>
                <w:lang w:eastAsia="zh-CN"/>
              </w:rPr>
              <w:t>2025</w:t>
            </w:r>
            <w:bookmarkEnd w:id="100"/>
          </w:p>
        </w:tc>
        <w:tc>
          <w:tcPr>
            <w:tcW w:w="2734" w:type="pct"/>
          </w:tcPr>
          <w:p w14:paraId="4CAAE7A2" w14:textId="77777777" w:rsidR="00367F83" w:rsidRPr="00AC6ACB" w:rsidRDefault="00367F83" w:rsidP="00D219BA">
            <w:pPr>
              <w:pStyle w:val="Tabletext"/>
              <w:keepLines/>
              <w:rPr>
                <w:color w:val="000000" w:themeColor="text1"/>
                <w:sz w:val="20"/>
                <w:szCs w:val="20"/>
              </w:rPr>
            </w:pPr>
            <w:r w:rsidRPr="00AC6ACB">
              <w:rPr>
                <w:color w:val="000000" w:themeColor="text1"/>
                <w:sz w:val="20"/>
                <w:szCs w:val="20"/>
              </w:rPr>
              <w:t>Remplace la norme IPSAS 17, Immobilisations corporelles, ajoute la valeur opérationnelle actuelle comme base de mesure dans le modèle actualisé de la valeur actuelle des actifs relevant de son champ d'application et recense les caractéristiques des biens patrimoniaux et des infrastructures. L'UIT a examiné cette norme ainsi que son portefeuille d'actifs et a déterminé que la norme IPSAS 45 ne devrait pas avoir d'incidences majeures sur ses États financiers.</w:t>
            </w:r>
          </w:p>
        </w:tc>
      </w:tr>
      <w:tr w:rsidR="00367F83" w:rsidRPr="00AC6ACB" w14:paraId="59E22C88" w14:textId="77777777" w:rsidTr="00D219BA">
        <w:trPr>
          <w:trHeight w:val="300"/>
          <w:jc w:val="center"/>
        </w:trPr>
        <w:tc>
          <w:tcPr>
            <w:tcW w:w="545" w:type="pct"/>
          </w:tcPr>
          <w:p w14:paraId="3149A08B" w14:textId="77777777" w:rsidR="00367F83" w:rsidRPr="00AC6ACB" w:rsidRDefault="00367F83" w:rsidP="00D219BA">
            <w:pPr>
              <w:pStyle w:val="Tabletext"/>
              <w:rPr>
                <w:sz w:val="20"/>
                <w:szCs w:val="20"/>
                <w:lang w:eastAsia="zh-CN"/>
              </w:rPr>
            </w:pPr>
            <w:bookmarkStart w:id="101" w:name="lt_pId434"/>
            <w:r w:rsidRPr="00AC6ACB">
              <w:rPr>
                <w:sz w:val="20"/>
                <w:szCs w:val="20"/>
                <w:lang w:eastAsia="zh-CN"/>
              </w:rPr>
              <w:t>IPSAS 46</w:t>
            </w:r>
            <w:bookmarkEnd w:id="101"/>
          </w:p>
        </w:tc>
        <w:tc>
          <w:tcPr>
            <w:tcW w:w="861" w:type="pct"/>
          </w:tcPr>
          <w:p w14:paraId="70A0CBEF" w14:textId="77777777" w:rsidR="00367F83" w:rsidRPr="00AC6ACB" w:rsidRDefault="00367F83" w:rsidP="00D219BA">
            <w:pPr>
              <w:pStyle w:val="Tabletext"/>
              <w:keepLines/>
              <w:rPr>
                <w:sz w:val="20"/>
                <w:szCs w:val="20"/>
              </w:rPr>
            </w:pPr>
            <w:r w:rsidRPr="00AC6ACB">
              <w:rPr>
                <w:sz w:val="20"/>
                <w:szCs w:val="20"/>
              </w:rPr>
              <w:t>Mesure</w:t>
            </w:r>
          </w:p>
        </w:tc>
        <w:tc>
          <w:tcPr>
            <w:tcW w:w="860" w:type="pct"/>
          </w:tcPr>
          <w:p w14:paraId="63BC8F0D" w14:textId="77777777" w:rsidR="00367F83" w:rsidRPr="00AC6ACB" w:rsidRDefault="00367F83" w:rsidP="00D219BA">
            <w:pPr>
              <w:pStyle w:val="Tabletext"/>
              <w:keepLines/>
              <w:rPr>
                <w:sz w:val="20"/>
                <w:szCs w:val="20"/>
                <w:lang w:eastAsia="zh-CN"/>
              </w:rPr>
            </w:pPr>
            <w:r w:rsidRPr="00AC6ACB">
              <w:rPr>
                <w:sz w:val="20"/>
                <w:szCs w:val="20"/>
                <w:lang w:eastAsia="zh-CN"/>
              </w:rPr>
              <w:t xml:space="preserve">1er janvier </w:t>
            </w:r>
            <w:bookmarkStart w:id="102" w:name="lt_pId437"/>
            <w:r w:rsidRPr="00AC6ACB">
              <w:rPr>
                <w:sz w:val="20"/>
                <w:szCs w:val="20"/>
                <w:lang w:eastAsia="zh-CN"/>
              </w:rPr>
              <w:t>2025</w:t>
            </w:r>
            <w:bookmarkEnd w:id="102"/>
          </w:p>
        </w:tc>
        <w:tc>
          <w:tcPr>
            <w:tcW w:w="2734" w:type="pct"/>
          </w:tcPr>
          <w:p w14:paraId="53C8D00C" w14:textId="77777777" w:rsidR="00367F83" w:rsidRPr="00AC6ACB" w:rsidRDefault="00367F83" w:rsidP="00D219BA">
            <w:pPr>
              <w:pStyle w:val="Tabletext"/>
              <w:keepLines/>
              <w:rPr>
                <w:color w:val="000000" w:themeColor="text1"/>
                <w:sz w:val="20"/>
                <w:szCs w:val="20"/>
              </w:rPr>
            </w:pPr>
            <w:r w:rsidRPr="00AC6ACB">
              <w:rPr>
                <w:color w:val="000000" w:themeColor="text1"/>
                <w:sz w:val="20"/>
                <w:szCs w:val="20"/>
              </w:rPr>
              <w:t>La norme IPSAS 46 donne de nouvelles directives dans une norme unique portant sur la manière d'appliquer les bases de mesure couramment utilisées. Elle introduit pour la première fois des directives sur la juste valeur et introduit la valeur opérationnelle actuelle, qui est une base d'évaluation de la valeur actuelle propre au secteur public élaborée en réponse aux parties prenantes qui considèrent qu'une base d'évaluation de la valeur actuelle autre que la juste valeur est nécessaire pour certains actifs du secteur public. Cette norme ne devrait pas avoir d'incidences significatives sur les États financiers de l'UIT.</w:t>
            </w:r>
          </w:p>
        </w:tc>
      </w:tr>
      <w:tr w:rsidR="00367F83" w:rsidRPr="00AC6ACB" w14:paraId="01B7DF4B" w14:textId="77777777" w:rsidTr="00D219BA">
        <w:trPr>
          <w:trHeight w:val="300"/>
          <w:jc w:val="center"/>
        </w:trPr>
        <w:tc>
          <w:tcPr>
            <w:tcW w:w="545" w:type="pct"/>
          </w:tcPr>
          <w:p w14:paraId="54D344E2" w14:textId="77777777" w:rsidR="00367F83" w:rsidRPr="00AC6ACB" w:rsidRDefault="00367F83" w:rsidP="00D219BA">
            <w:pPr>
              <w:pStyle w:val="Tabletext"/>
              <w:rPr>
                <w:sz w:val="20"/>
                <w:szCs w:val="20"/>
                <w:lang w:eastAsia="zh-CN"/>
              </w:rPr>
            </w:pPr>
            <w:bookmarkStart w:id="103" w:name="lt_pId441"/>
            <w:r w:rsidRPr="00AC6ACB">
              <w:rPr>
                <w:sz w:val="20"/>
                <w:szCs w:val="20"/>
                <w:lang w:eastAsia="zh-CN"/>
              </w:rPr>
              <w:t>IPSAS 47</w:t>
            </w:r>
            <w:bookmarkEnd w:id="103"/>
          </w:p>
        </w:tc>
        <w:tc>
          <w:tcPr>
            <w:tcW w:w="861" w:type="pct"/>
          </w:tcPr>
          <w:p w14:paraId="48066605" w14:textId="77777777" w:rsidR="00367F83" w:rsidRPr="00AC6ACB" w:rsidRDefault="00367F83" w:rsidP="00D219BA">
            <w:pPr>
              <w:pStyle w:val="Tabletext"/>
              <w:rPr>
                <w:sz w:val="20"/>
                <w:szCs w:val="20"/>
              </w:rPr>
            </w:pPr>
            <w:r w:rsidRPr="00AC6ACB">
              <w:rPr>
                <w:sz w:val="20"/>
                <w:szCs w:val="20"/>
              </w:rPr>
              <w:t>Produits</w:t>
            </w:r>
          </w:p>
        </w:tc>
        <w:tc>
          <w:tcPr>
            <w:tcW w:w="860" w:type="pct"/>
          </w:tcPr>
          <w:p w14:paraId="3884B871" w14:textId="77777777" w:rsidR="00367F83" w:rsidRPr="00AC6ACB" w:rsidRDefault="00367F83" w:rsidP="00D219BA">
            <w:pPr>
              <w:pStyle w:val="Tabletext"/>
              <w:rPr>
                <w:sz w:val="20"/>
                <w:szCs w:val="20"/>
                <w:lang w:eastAsia="zh-CN"/>
              </w:rPr>
            </w:pPr>
            <w:r w:rsidRPr="00AC6ACB">
              <w:rPr>
                <w:sz w:val="20"/>
                <w:szCs w:val="20"/>
                <w:lang w:eastAsia="zh-CN"/>
              </w:rPr>
              <w:t xml:space="preserve">1er janvier </w:t>
            </w:r>
            <w:bookmarkStart w:id="104" w:name="lt_pId444"/>
            <w:r w:rsidRPr="00AC6ACB">
              <w:rPr>
                <w:sz w:val="20"/>
                <w:szCs w:val="20"/>
                <w:lang w:eastAsia="zh-CN"/>
              </w:rPr>
              <w:t>2026</w:t>
            </w:r>
            <w:bookmarkEnd w:id="104"/>
          </w:p>
        </w:tc>
        <w:tc>
          <w:tcPr>
            <w:tcW w:w="2734" w:type="pct"/>
          </w:tcPr>
          <w:p w14:paraId="56A48CBC" w14:textId="77777777" w:rsidR="00367F83" w:rsidRPr="00AC6ACB" w:rsidRDefault="00367F83" w:rsidP="00D219BA">
            <w:pPr>
              <w:pStyle w:val="Tabletext"/>
              <w:rPr>
                <w:color w:val="000000" w:themeColor="text1"/>
                <w:sz w:val="20"/>
                <w:szCs w:val="20"/>
              </w:rPr>
            </w:pPr>
            <w:r w:rsidRPr="00AC6ACB">
              <w:rPr>
                <w:color w:val="000000" w:themeColor="text1"/>
                <w:sz w:val="20"/>
                <w:szCs w:val="20"/>
              </w:rPr>
              <w:t>La norme IPSAS 47, intitulée "Produits", rassemble toutes les lignes directrices relatives à la comptabilité des produits dans le secteur public, et présente deux modèles comptables fondés sur l'existence d'un régime contraignant. Cette nouvelle norme fournit des lignes directrices ciblées pour aider les entités à appliquer les principes de comptabilisation des opérations génératrices de produits du secteur public. L'UIT travaille actuellement à la quantification des incidences de cette norme sur ses comptes financiers. Cette norme aura des incidences importantes sur les États financiers de l'UIT.</w:t>
            </w:r>
          </w:p>
        </w:tc>
      </w:tr>
      <w:tr w:rsidR="00367F83" w:rsidRPr="00AC6ACB" w14:paraId="06F01015" w14:textId="77777777" w:rsidTr="00D219BA">
        <w:trPr>
          <w:trHeight w:val="300"/>
          <w:jc w:val="center"/>
        </w:trPr>
        <w:tc>
          <w:tcPr>
            <w:tcW w:w="545" w:type="pct"/>
          </w:tcPr>
          <w:p w14:paraId="05FDEF4E" w14:textId="77777777" w:rsidR="00367F83" w:rsidRPr="00AC6ACB" w:rsidRDefault="00367F83" w:rsidP="00D219BA">
            <w:pPr>
              <w:pStyle w:val="Tabletext"/>
              <w:rPr>
                <w:sz w:val="20"/>
                <w:szCs w:val="20"/>
                <w:lang w:eastAsia="zh-CN"/>
              </w:rPr>
            </w:pPr>
            <w:bookmarkStart w:id="105" w:name="lt_pId448"/>
            <w:r w:rsidRPr="00AC6ACB">
              <w:rPr>
                <w:sz w:val="20"/>
                <w:szCs w:val="20"/>
                <w:lang w:eastAsia="zh-CN"/>
              </w:rPr>
              <w:t>IPSAS 48</w:t>
            </w:r>
            <w:bookmarkEnd w:id="105"/>
          </w:p>
        </w:tc>
        <w:tc>
          <w:tcPr>
            <w:tcW w:w="861" w:type="pct"/>
          </w:tcPr>
          <w:p w14:paraId="79D23982" w14:textId="77777777" w:rsidR="00367F83" w:rsidRPr="00AC6ACB" w:rsidRDefault="00367F83" w:rsidP="00D219BA">
            <w:pPr>
              <w:pStyle w:val="Tabletext"/>
              <w:rPr>
                <w:sz w:val="20"/>
                <w:szCs w:val="20"/>
              </w:rPr>
            </w:pPr>
            <w:r w:rsidRPr="00AC6ACB">
              <w:rPr>
                <w:sz w:val="20"/>
                <w:szCs w:val="20"/>
              </w:rPr>
              <w:t>Charges de transfert</w:t>
            </w:r>
          </w:p>
        </w:tc>
        <w:tc>
          <w:tcPr>
            <w:tcW w:w="860" w:type="pct"/>
          </w:tcPr>
          <w:p w14:paraId="10F52D93" w14:textId="77777777" w:rsidR="00367F83" w:rsidRPr="00AC6ACB" w:rsidRDefault="00367F83" w:rsidP="00D219BA">
            <w:pPr>
              <w:pStyle w:val="Tabletext"/>
              <w:rPr>
                <w:sz w:val="20"/>
                <w:szCs w:val="20"/>
                <w:lang w:eastAsia="zh-CN"/>
              </w:rPr>
            </w:pPr>
            <w:r w:rsidRPr="00AC6ACB">
              <w:rPr>
                <w:sz w:val="20"/>
                <w:szCs w:val="20"/>
                <w:lang w:eastAsia="zh-CN"/>
              </w:rPr>
              <w:t xml:space="preserve">1er janvier </w:t>
            </w:r>
            <w:bookmarkStart w:id="106" w:name="lt_pId451"/>
            <w:r w:rsidRPr="00AC6ACB">
              <w:rPr>
                <w:sz w:val="20"/>
                <w:szCs w:val="20"/>
                <w:lang w:eastAsia="zh-CN"/>
              </w:rPr>
              <w:t>2026</w:t>
            </w:r>
            <w:bookmarkEnd w:id="106"/>
          </w:p>
        </w:tc>
        <w:tc>
          <w:tcPr>
            <w:tcW w:w="2734" w:type="pct"/>
          </w:tcPr>
          <w:p w14:paraId="28E2269D" w14:textId="77777777" w:rsidR="00367F83" w:rsidRPr="00AC6ACB" w:rsidRDefault="00367F83" w:rsidP="00D219BA">
            <w:pPr>
              <w:pStyle w:val="Tabletext"/>
              <w:rPr>
                <w:color w:val="000000" w:themeColor="text1"/>
                <w:sz w:val="20"/>
                <w:szCs w:val="20"/>
              </w:rPr>
            </w:pPr>
            <w:r w:rsidRPr="00AC6ACB">
              <w:rPr>
                <w:color w:val="000000" w:themeColor="text1"/>
                <w:sz w:val="20"/>
                <w:szCs w:val="20"/>
              </w:rPr>
              <w:t>La norme IPSAS 48 intitulée "Charges de transfert" donne des indications comptables concernant les charges de transfert, qui représentent une part importante des charges de nombreuses entités du secteur public. Cette nouvelle norme comble une lacune importante dans la littérature de l'IPSASB et fournit des lignes directrices destinées à aider les entités à comptabiliser les opérations génératrices de charges de transfert du secteur public. L'UIT travaille actuellement à la quantification des incidences de cette norme sur ses comptes financiers.</w:t>
            </w:r>
          </w:p>
        </w:tc>
      </w:tr>
    </w:tbl>
    <w:p w14:paraId="42A5AE33" w14:textId="77777777" w:rsidR="00367F83" w:rsidRPr="00AC6ACB" w:rsidRDefault="00367F83" w:rsidP="00367F83">
      <w:r w:rsidRPr="00AC6ACB">
        <w:t>L'UIT continue d'évaluer les incidences de ces normes sur les États financiers futurs avant leur entrée en vigueur.</w:t>
      </w:r>
    </w:p>
    <w:p w14:paraId="6918B9AF" w14:textId="77777777" w:rsidR="00367F83" w:rsidRPr="00AC6ACB" w:rsidRDefault="00367F83" w:rsidP="00367F83">
      <w:pPr>
        <w:keepLines/>
      </w:pPr>
      <w:r w:rsidRPr="00AC6ACB">
        <w:t>En outre, l'UIT continue de suivre la publication des exposés-sondages et participe activement aux travaux du Conseil de l'IPSAS par l'intermédiaire du Groupe d'étude des Nations Unies sur les normes comptables, notant que leur application peut avoir une incidence sur les États financiers futurs de l'UIT.</w:t>
      </w:r>
    </w:p>
    <w:p w14:paraId="749862A3" w14:textId="52973323" w:rsidR="00367F83" w:rsidRPr="00AC6ACB" w:rsidRDefault="00367F83" w:rsidP="00367F83">
      <w:pPr>
        <w:pStyle w:val="Heading1"/>
        <w:spacing w:before="240"/>
        <w:rPr>
          <w:sz w:val="24"/>
          <w:szCs w:val="18"/>
        </w:rPr>
      </w:pPr>
      <w:bookmarkStart w:id="107" w:name="_Toc200361436"/>
      <w:r w:rsidRPr="00AC6ACB">
        <w:rPr>
          <w:sz w:val="24"/>
          <w:szCs w:val="18"/>
        </w:rPr>
        <w:lastRenderedPageBreak/>
        <w:t>Note 3</w:t>
      </w:r>
      <w:r w:rsidRPr="00AC6ACB">
        <w:rPr>
          <w:sz w:val="24"/>
          <w:szCs w:val="18"/>
        </w:rPr>
        <w:tab/>
        <w:t>Principales méthodes comptables</w:t>
      </w:r>
      <w:bookmarkEnd w:id="107"/>
    </w:p>
    <w:p w14:paraId="150CEEEB" w14:textId="77777777" w:rsidR="00367F83" w:rsidRPr="00AC6ACB" w:rsidRDefault="00367F83" w:rsidP="00367F83">
      <w:pPr>
        <w:pStyle w:val="Headingb"/>
        <w:rPr>
          <w:bCs/>
          <w:i/>
          <w:iCs/>
        </w:rPr>
      </w:pPr>
      <w:bookmarkStart w:id="108" w:name="_Toc200093225"/>
      <w:bookmarkStart w:id="109" w:name="_Toc200361437"/>
      <w:r w:rsidRPr="00AC6ACB">
        <w:rPr>
          <w:bCs/>
          <w:i/>
          <w:iCs/>
        </w:rPr>
        <w:t>Transactions en monnaie étrangère</w:t>
      </w:r>
      <w:bookmarkEnd w:id="108"/>
      <w:bookmarkEnd w:id="109"/>
    </w:p>
    <w:p w14:paraId="2C366FD6" w14:textId="77777777" w:rsidR="00367F83" w:rsidRPr="00AC6ACB" w:rsidRDefault="00367F83" w:rsidP="00367F83">
      <w:r w:rsidRPr="00AC6ACB">
        <w:t xml:space="preserve">Le franc suisse (CHF) est la monnaie fonctionnelle de l'UIT. Toutes les opérations en monnaies autres que le franc suisse sont converties en cette monnaie au taux de change opérationnel des Nations Unies (United Nations </w:t>
      </w:r>
      <w:proofErr w:type="spellStart"/>
      <w:r w:rsidRPr="00AC6ACB">
        <w:t>Operational</w:t>
      </w:r>
      <w:proofErr w:type="spellEnd"/>
      <w:r w:rsidRPr="00AC6ACB">
        <w:t xml:space="preserve"> Rates of Exchange, UNORE) pratiqué à la date de la transaction. Les pertes et les gains de change, réalisés ou non, résultant du règlement de ces opérations et de la conversion, à la date du bilan, des avoirs et passifs libellés en devises autres que la monnaie fonctionnelle de l'UIT sont comptabilisés dans l'État de la performance financière (État II).</w:t>
      </w:r>
    </w:p>
    <w:p w14:paraId="3F6D1CA4" w14:textId="77777777" w:rsidR="00367F83" w:rsidRPr="00AC6ACB" w:rsidRDefault="00367F83" w:rsidP="00367F83">
      <w:pPr>
        <w:pStyle w:val="Headingb"/>
        <w:rPr>
          <w:bCs/>
          <w:i/>
          <w:iCs/>
        </w:rPr>
      </w:pPr>
      <w:bookmarkStart w:id="110" w:name="_Toc200093226"/>
      <w:bookmarkStart w:id="111" w:name="_Toc200361438"/>
      <w:r w:rsidRPr="00AC6ACB">
        <w:rPr>
          <w:bCs/>
          <w:i/>
          <w:iCs/>
        </w:rPr>
        <w:t>Instruments financiers</w:t>
      </w:r>
      <w:bookmarkEnd w:id="110"/>
      <w:bookmarkEnd w:id="111"/>
    </w:p>
    <w:p w14:paraId="57F08662" w14:textId="77777777" w:rsidR="00367F83" w:rsidRPr="00AC6ACB" w:rsidRDefault="00367F83" w:rsidP="00367F83">
      <w:r w:rsidRPr="00AC6ACB">
        <w:t>Les instruments financiers de l'UIT se composent des caisses et des dépôts à court terme, des placements, des créances issues d'opérations avec contrepartie directe et sans contrepartie directe, des comptes fournisseurs, des prêts et des emprunts.</w:t>
      </w:r>
    </w:p>
    <w:p w14:paraId="41605064" w14:textId="77777777" w:rsidR="00367F83" w:rsidRPr="00AC6ACB" w:rsidRDefault="00367F83" w:rsidP="00367F83">
      <w:pPr>
        <w:pStyle w:val="Headingi"/>
      </w:pPr>
      <w:bookmarkStart w:id="112" w:name="_Toc200093227"/>
      <w:bookmarkStart w:id="113" w:name="_Toc200361439"/>
      <w:r w:rsidRPr="00AC6ACB">
        <w:t>Trésorerie et équivalents de trésorerie</w:t>
      </w:r>
      <w:bookmarkEnd w:id="112"/>
      <w:bookmarkEnd w:id="113"/>
    </w:p>
    <w:p w14:paraId="26F8F0A9" w14:textId="77777777" w:rsidR="00367F83" w:rsidRPr="00AC6ACB" w:rsidRDefault="00367F83" w:rsidP="00367F83">
      <w:r w:rsidRPr="00AC6ACB">
        <w:t>La trésorerie et les équivalents de trésorerie comprennent les fonds en caisse, les avoirs en banque et les dépôts à court terme ayant une échéance inférieure ou égale à 90 jours.</w:t>
      </w:r>
    </w:p>
    <w:p w14:paraId="37353F30" w14:textId="77777777" w:rsidR="00367F83" w:rsidRPr="00AC6ACB" w:rsidRDefault="00367F83" w:rsidP="00367F83">
      <w:pPr>
        <w:pStyle w:val="Headingi"/>
      </w:pPr>
      <w:bookmarkStart w:id="114" w:name="_Toc200093228"/>
      <w:bookmarkStart w:id="115" w:name="_Toc200361440"/>
      <w:r w:rsidRPr="00AC6ACB">
        <w:t>Placements</w:t>
      </w:r>
      <w:bookmarkEnd w:id="114"/>
      <w:bookmarkEnd w:id="115"/>
    </w:p>
    <w:p w14:paraId="10C5EC55" w14:textId="77777777" w:rsidR="00367F83" w:rsidRPr="00AC6ACB" w:rsidRDefault="00367F83" w:rsidP="00367F83">
      <w:r w:rsidRPr="00AC6ACB">
        <w:t>Les placements à terme ayant une échéance de trois à neuf mois, très liquides, qui sont convertibles en un montant connu de trésorerie et qui sont soumis à un risque négligeable de changement de valeur sont comptabilisés au coût amorti, conformément à la norme IPSAS 41. Les placements sont présentés dans l'État de la situation financière en actifs courants.</w:t>
      </w:r>
    </w:p>
    <w:p w14:paraId="14082ED5" w14:textId="77777777" w:rsidR="00367F83" w:rsidRPr="00AC6ACB" w:rsidRDefault="00367F83" w:rsidP="00367F83">
      <w:pPr>
        <w:pStyle w:val="Headingi"/>
      </w:pPr>
      <w:bookmarkStart w:id="116" w:name="_Toc200093229"/>
      <w:bookmarkStart w:id="117" w:name="_Toc200361441"/>
      <w:r w:rsidRPr="00AC6ACB">
        <w:t>Dettes financières et emprunt auprès de la FIPOI</w:t>
      </w:r>
      <w:bookmarkEnd w:id="116"/>
      <w:bookmarkEnd w:id="117"/>
    </w:p>
    <w:p w14:paraId="18F94C77" w14:textId="77777777" w:rsidR="00367F83" w:rsidRPr="00AC6ACB" w:rsidRDefault="00367F83" w:rsidP="00367F83">
      <w:r w:rsidRPr="00AC6ACB">
        <w:t>Les dettes financières comprennent les emprunts, les autres financements, les fournisseurs et créanciers d'exploitation. Elles sont présentées dans l'État de la situation financière en passifs courants ou non courants selon que leur échéance est respectivement inférieure ou supérieure à un an.</w:t>
      </w:r>
    </w:p>
    <w:p w14:paraId="2EF735B7" w14:textId="77777777" w:rsidR="00367F83" w:rsidRPr="00AC6ACB" w:rsidRDefault="00367F83" w:rsidP="00367F83">
      <w:r w:rsidRPr="00AC6ACB">
        <w:t>Les emprunts sont constitués de quatre prêts sans intérêt contractés auprès de la Fondation des immeubles pour les organisations internationales (FIPOI) pour financer la construction des bâtiments de l'UIT. Le remboursement du prêt accordé pour la construction des nouveaux locaux de l'UIT débutera après réception du nouveau bâtiment seulement, laquelle, selon les estimations, devrait désormais intervenir en 2031, conformément à la Décision 640 révisée (</w:t>
      </w:r>
      <w:hyperlink r:id="rId28" w:history="1">
        <w:r w:rsidRPr="00AC6ACB">
          <w:rPr>
            <w:rStyle w:val="Hyperlink"/>
            <w:rFonts w:eastAsia="Times New Roman" w:cs="Times New Roman"/>
            <w:szCs w:val="20"/>
          </w:rPr>
          <w:t>Document C24/132</w:t>
        </w:r>
      </w:hyperlink>
      <w:r w:rsidRPr="00AC6ACB">
        <w:t>) concernant le projet de bâtiment. Trois prêts assortis de plans d'amortissement et courant jusqu'en 2051 sont classés au niveau 2 de la hiérarchie de juste valeur et sont comptabilisés à leur juste valeur par le biais d'un excédent ou d'un déficit, tandis que le quatrième ne fait pas encore l'objet d'un plan d'amortissement et est donc comptabilisé aux coûts amortis.</w:t>
      </w:r>
    </w:p>
    <w:p w14:paraId="5CD48811" w14:textId="77777777" w:rsidR="00367F83" w:rsidRPr="00AC6ACB" w:rsidRDefault="00367F83" w:rsidP="00367F83">
      <w:pPr>
        <w:keepLines/>
      </w:pPr>
      <w:r w:rsidRPr="00AC6ACB">
        <w:lastRenderedPageBreak/>
        <w:t>Ces trois prêts assortis de plans d'amortissements sont comptabilisés initialement aux coûts amortis puis à leur juste valeur par le biais d'un excédent ou d'un déficit, actualisée sur la base du taux des obligations à 30 ans de la Confédération suisse de 0,37% en décembre 2024 (0,50% pour 2023). Le quatrième prêt ne fait pas encore l'objet d'un plan d'amortissement et est donc comptabilisé aux coûts amortis. On trouvera de plus amples informations dans la Note 15.</w:t>
      </w:r>
    </w:p>
    <w:p w14:paraId="6074E52A" w14:textId="77777777" w:rsidR="00367F83" w:rsidRPr="00AC6ACB" w:rsidRDefault="00367F83" w:rsidP="00367F83">
      <w:r w:rsidRPr="00AC6ACB">
        <w:t>Les bâtiments du siège de l'UIT sont situés sur un terrain appartenant au Canton de Genève, sur lequel l'UIT détient des droits de superficie, octroyés gratuitement. En vertu de l'accord sur les droits de superficie (les "droits de superficie"), l'UIT a le droit d'utiliser ce terrain jusqu'au 31 décembre 2079. Aucune valeur foncière n'a été comptabilisée, car l'UIT ne peut céder ces droits dans le cadre d'une transaction commerciale. La durée de vie utile des bâtiments du siège de l'UIT est la durée de vie utile des éléments pertinents des bâtiments ou la durée des droits de superficie, la durée la plus courte étant retenue.</w:t>
      </w:r>
    </w:p>
    <w:p w14:paraId="7F887929" w14:textId="77777777" w:rsidR="00367F83" w:rsidRPr="00AC6ACB" w:rsidRDefault="00367F83" w:rsidP="00367F83">
      <w:pPr>
        <w:pStyle w:val="Headingi"/>
      </w:pPr>
      <w:bookmarkStart w:id="118" w:name="_Toc200093230"/>
      <w:bookmarkStart w:id="119" w:name="_Toc200361442"/>
      <w:r w:rsidRPr="00AC6ACB">
        <w:t>Créances</w:t>
      </w:r>
      <w:bookmarkEnd w:id="118"/>
      <w:bookmarkEnd w:id="119"/>
    </w:p>
    <w:p w14:paraId="319D123B" w14:textId="77777777" w:rsidR="00367F83" w:rsidRPr="00AC6ACB" w:rsidRDefault="00367F83" w:rsidP="00367F83">
      <w:r w:rsidRPr="00AC6ACB">
        <w:t>Les créances et prêts de l'UIT sont des actifs financiers non dérivés avec des échéances fixes ou déterminables qui ne sont pas cotés sur un marché actif. Elles prennent naissance lorsque l'UIT est engagée contractuellement avec un tiers et demeurent jusqu'à ce que les transferts de trésorerie liés à ces actifs financiers aient été exécutés et que les risques et avantages liés à ces actifs aient également été transférés à l'UIT. Ces actifs sont classés en actifs courants, hormis ceux dont l'échéance est supérieure à 12 mois après la date de clôture, qui sont classés en actifs non courants.</w:t>
      </w:r>
    </w:p>
    <w:p w14:paraId="71D1307B" w14:textId="77777777" w:rsidR="00367F83" w:rsidRPr="00AC6ACB" w:rsidRDefault="00367F83" w:rsidP="00367F83">
      <w:r w:rsidRPr="00AC6ACB">
        <w:t>Les créances avec contrepartie directe sont issues de la vente de publications ou du traitement de fiches de notification de réseau à satellite, et les créances sans contrepartie directe sont issues des contributions mises en recouvrement et des contributions extrabudgétaires.</w:t>
      </w:r>
    </w:p>
    <w:p w14:paraId="013DD0BB" w14:textId="77777777" w:rsidR="00367F83" w:rsidRPr="00AC6ACB" w:rsidRDefault="00367F83" w:rsidP="00367F83">
      <w:r w:rsidRPr="00AC6ACB">
        <w:t>Les créances correspondant aux fiches de notification de réseau à satellite sont établies à la réception de la fiche de notification par le Bureau des radiocommunications.</w:t>
      </w:r>
    </w:p>
    <w:p w14:paraId="3B7D34BB" w14:textId="77777777" w:rsidR="00367F83" w:rsidRPr="00AC6ACB" w:rsidRDefault="00367F83" w:rsidP="00367F83">
      <w:r w:rsidRPr="00AC6ACB">
        <w:t>Les créances sont comptabilisées à la juste valeur de la contrepartie à recevoir.</w:t>
      </w:r>
    </w:p>
    <w:p w14:paraId="4D5CB683" w14:textId="77777777" w:rsidR="00367F83" w:rsidRPr="00AC6ACB" w:rsidRDefault="00367F83" w:rsidP="00367F83">
      <w:r w:rsidRPr="00AC6ACB">
        <w:t>À la date du bilan, l'UIT évalue la juste valeur des créances, et une provision est comptabilisée selon qu'il convient.</w:t>
      </w:r>
    </w:p>
    <w:p w14:paraId="78D296F4" w14:textId="77777777" w:rsidR="00367F83" w:rsidRPr="00AC6ACB" w:rsidRDefault="00367F83" w:rsidP="00367F83">
      <w:pPr>
        <w:pStyle w:val="Headingb"/>
        <w:rPr>
          <w:bCs/>
          <w:i/>
          <w:iCs/>
        </w:rPr>
      </w:pPr>
      <w:bookmarkStart w:id="120" w:name="_Toc200093231"/>
      <w:bookmarkStart w:id="121" w:name="_Toc200361443"/>
      <w:r w:rsidRPr="00AC6ACB">
        <w:rPr>
          <w:bCs/>
          <w:i/>
          <w:iCs/>
        </w:rPr>
        <w:t>Immobilisations corporelles</w:t>
      </w:r>
      <w:bookmarkEnd w:id="120"/>
      <w:bookmarkEnd w:id="121"/>
    </w:p>
    <w:p w14:paraId="41F606E7" w14:textId="77777777" w:rsidR="00367F83" w:rsidRPr="00AC6ACB" w:rsidRDefault="00367F83" w:rsidP="00367F83">
      <w:r w:rsidRPr="00AC6ACB">
        <w:t>Les immobilisations corporelles sont évaluées à leur coût, déduction faite des amortissements et des pertes de valeurs. Les équipements sont comptabilisés comme des actifs si leur coût est supérieur ou égal à 5 000 CHF par unité, et ils sont amortis linéairement par la suite. Les gains et pertes de cession sont déterminés en comparant le produit à la valeur comptable de l'actif et sont inclus dans l'</w:t>
      </w:r>
      <w:r w:rsidRPr="00AC6ACB">
        <w:rPr>
          <w:rFonts w:ascii="Segoe UI Symbol" w:hAnsi="Segoe UI Symbol"/>
        </w:rPr>
        <w:t>É</w:t>
      </w:r>
      <w:r w:rsidRPr="00AC6ACB">
        <w:t>tat de la performance financière. Les biens patrimoniaux, y compris les dons d'œuvres d'art, ne sont pas évalués dans les États financiers.</w:t>
      </w:r>
    </w:p>
    <w:p w14:paraId="167393ED" w14:textId="77777777" w:rsidR="00367F83" w:rsidRPr="00AC6ACB" w:rsidRDefault="00367F83" w:rsidP="00367F83">
      <w:r w:rsidRPr="00AC6ACB">
        <w:t>Les biens d'une valeur inférieure à 5 000 CHF sont capitalisés au moment de la réception du bien puis amortis intégralement au cours de l'année d'acquisition.</w:t>
      </w:r>
    </w:p>
    <w:p w14:paraId="6AFEB3ED" w14:textId="77777777" w:rsidR="00367F83" w:rsidRPr="00AC6ACB" w:rsidRDefault="00367F83" w:rsidP="00367F83">
      <w:pPr>
        <w:keepLines/>
      </w:pPr>
      <w:r w:rsidRPr="00AC6ACB">
        <w:lastRenderedPageBreak/>
        <w:t>Les immobilisations corporelles acquises lors de projets menés dans le cadre d'activités extrabudgétaires sont entièrement comptabilisées en tant que charges dans l'État de la performance financière à la clôture mensuelle suivant l'acquisition, car ils ne sont pas contrôlés par l'UIT.</w:t>
      </w:r>
    </w:p>
    <w:p w14:paraId="48497A37" w14:textId="77777777" w:rsidR="00367F83" w:rsidRPr="00AC6ACB" w:rsidRDefault="00367F83" w:rsidP="00367F83">
      <w:r w:rsidRPr="00AC6ACB">
        <w:t>Le tableau ci-dessous illustre la durée d'utilité estimée des actifs.</w:t>
      </w:r>
    </w:p>
    <w:p w14:paraId="45E27835" w14:textId="77777777" w:rsidR="00367F83" w:rsidRPr="00AC6ACB" w:rsidRDefault="00367F83" w:rsidP="00367F83">
      <w:pPr>
        <w:pStyle w:val="Figure"/>
      </w:pPr>
      <w:r w:rsidRPr="00AC6ACB">
        <w:rPr>
          <w:noProof/>
        </w:rPr>
        <w:drawing>
          <wp:inline distT="0" distB="0" distL="0" distR="0" wp14:anchorId="13181161" wp14:editId="1D5F787A">
            <wp:extent cx="4869320" cy="4650105"/>
            <wp:effectExtent l="0" t="0" r="0" b="0"/>
            <wp:docPr id="18053999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a:extLst>
                        <a:ext uri="{28A0092B-C50C-407E-A947-70E740481C1C}">
                          <a14:useLocalDpi xmlns:a14="http://schemas.microsoft.com/office/drawing/2010/main" val="0"/>
                        </a:ext>
                      </a:extLst>
                    </a:blip>
                    <a:srcRect r="6870"/>
                    <a:stretch/>
                  </pic:blipFill>
                  <pic:spPr bwMode="auto">
                    <a:xfrm>
                      <a:off x="0" y="0"/>
                      <a:ext cx="4869320" cy="4650105"/>
                    </a:xfrm>
                    <a:prstGeom prst="rect">
                      <a:avLst/>
                    </a:prstGeom>
                    <a:noFill/>
                    <a:ln>
                      <a:noFill/>
                    </a:ln>
                    <a:extLst>
                      <a:ext uri="{53640926-AAD7-44D8-BBD7-CCE9431645EC}">
                        <a14:shadowObscured xmlns:a14="http://schemas.microsoft.com/office/drawing/2010/main"/>
                      </a:ext>
                    </a:extLst>
                  </pic:spPr>
                </pic:pic>
              </a:graphicData>
            </a:graphic>
          </wp:inline>
        </w:drawing>
      </w:r>
    </w:p>
    <w:p w14:paraId="1C2A5622" w14:textId="77777777" w:rsidR="00367F83" w:rsidRPr="00AC6ACB" w:rsidRDefault="00367F83" w:rsidP="00367F83">
      <w:pPr>
        <w:pStyle w:val="Normalaftertitle"/>
      </w:pPr>
      <w:r w:rsidRPr="00AC6ACB">
        <w:t>L'UIT examine à chaque date de clôture annuelle s'il existe un indice révélant qu'un actif a pu perdre de sa valeur. Si un tel indice existe, la valeur recouvrable de l'actif est estimée et une perte de valeur est inscrite dans l'État de la performance financière lorsque la valeur comptable est supérieure à la valeur recouvrable. En 2024, l'UIT a mené à bien un examen approfondi concernant les biens en construction et une dépréciation de 21 millions CHF a été comptabilisée dans l'État de la performance financière (on trouvera de plus amples informations dans la Note 12).</w:t>
      </w:r>
    </w:p>
    <w:p w14:paraId="1F3717C4" w14:textId="77777777" w:rsidR="00367F83" w:rsidRPr="00AC6ACB" w:rsidRDefault="00367F83" w:rsidP="00367F83">
      <w:pPr>
        <w:pStyle w:val="Headingb"/>
        <w:rPr>
          <w:bCs/>
          <w:i/>
          <w:iCs/>
        </w:rPr>
      </w:pPr>
      <w:bookmarkStart w:id="122" w:name="_Toc200093232"/>
      <w:bookmarkStart w:id="123" w:name="_Toc200361444"/>
      <w:r w:rsidRPr="00AC6ACB">
        <w:rPr>
          <w:bCs/>
          <w:i/>
          <w:iCs/>
        </w:rPr>
        <w:t>Immobilisations incorporelles</w:t>
      </w:r>
      <w:bookmarkEnd w:id="122"/>
      <w:bookmarkEnd w:id="123"/>
    </w:p>
    <w:p w14:paraId="1F9783A3" w14:textId="77777777" w:rsidR="00367F83" w:rsidRPr="00AC6ACB" w:rsidRDefault="00367F83" w:rsidP="00367F83">
      <w:r w:rsidRPr="00AC6ACB">
        <w:t>Les immobilisations incorporelles (licences informatiques et logiciels) détenues par l'UIT comprennent des actifs développés en interne et des actifs acquis auprès de fournisseurs extérieurs. Ces actifs sont évalués à leur coût historique déduction faite du cumul des amortissements et des pertes de valeur. Les coûts directement associés au développement interne de logiciels destinés à être utilisés par l'UIT ne sont capitalisés comme des immobilisations incorporelles que si les critères de comptabilisation au titre de la norme IPSAS 31 sont remplis.</w:t>
      </w:r>
    </w:p>
    <w:p w14:paraId="12A1B7FE" w14:textId="77777777" w:rsidR="00367F83" w:rsidRPr="00AC6ACB" w:rsidRDefault="00367F83" w:rsidP="00367F83">
      <w:r w:rsidRPr="00AC6ACB">
        <w:rPr>
          <w:i/>
          <w:iCs/>
        </w:rPr>
        <w:lastRenderedPageBreak/>
        <w:t>Seuils de capitalisation</w:t>
      </w:r>
    </w:p>
    <w:p w14:paraId="611C5274" w14:textId="77777777" w:rsidR="00367F83" w:rsidRPr="00AC6ACB" w:rsidRDefault="00367F83" w:rsidP="00367F83">
      <w:pPr>
        <w:pStyle w:val="enumlev1"/>
      </w:pPr>
      <w:r w:rsidRPr="00AC6ACB">
        <w:t>–</w:t>
      </w:r>
      <w:r w:rsidRPr="00AC6ACB">
        <w:tab/>
        <w:t>Les immobilisations incorporelles (licences informatiques et logiciels) d'une valeur inférieure à 5 000 CHF qui ont été acquises auprès de fournisseurs extérieurs sont capitalisées et amorties intégralement au cours du même exercice, afin de faciliter le suivi des stocks.</w:t>
      </w:r>
    </w:p>
    <w:p w14:paraId="16941B69" w14:textId="77777777" w:rsidR="00367F83" w:rsidRPr="00AC6ACB" w:rsidRDefault="00367F83" w:rsidP="00367F83">
      <w:pPr>
        <w:pStyle w:val="enumlev1"/>
      </w:pPr>
      <w:r w:rsidRPr="00AC6ACB">
        <w:t>–</w:t>
      </w:r>
      <w:r w:rsidRPr="00AC6ACB">
        <w:tab/>
        <w:t>Les immobilisations incorporelles (licences informatiques et logiciels) d'une valeur égale ou supérieure à 5 000 CHF qui ont été acquises auprès de fournisseurs extérieurs sont capitalisées et amorties sur une période de trois ans ou pendant la durée énoncée dans le contrat sous-jacent.</w:t>
      </w:r>
    </w:p>
    <w:p w14:paraId="4AEC5ADE" w14:textId="77777777" w:rsidR="00367F83" w:rsidRPr="00AC6ACB" w:rsidRDefault="00367F83" w:rsidP="00367F83">
      <w:pPr>
        <w:pStyle w:val="enumlev1"/>
      </w:pPr>
      <w:r w:rsidRPr="00AC6ACB">
        <w:t>–</w:t>
      </w:r>
      <w:r w:rsidRPr="00AC6ACB">
        <w:tab/>
        <w:t>Les immobilisations corporelles (logiciels) d'une valeur supérieure à 50 000 CHF qui ont été développées en interne sont capitalisées et leur durée de vie économique utile minimale est fixée à trois ans ou plus, en fonction des futurs avantages économiques attendus. Seuls les coûts de développement directement imputables sont capitalisés, y compris les dépenses de personnel et les charges indirectes correspondantes. Les coûts liés aux phases de recherche sont portés en charges.</w:t>
      </w:r>
    </w:p>
    <w:p w14:paraId="6866DAAD" w14:textId="77777777" w:rsidR="00367F83" w:rsidRPr="00AC6ACB" w:rsidRDefault="00367F83" w:rsidP="00367F83">
      <w:pPr>
        <w:pStyle w:val="Headingi"/>
      </w:pPr>
      <w:bookmarkStart w:id="124" w:name="_Toc200093233"/>
      <w:bookmarkStart w:id="125" w:name="_Toc200361445"/>
      <w:r w:rsidRPr="00AC6ACB">
        <w:t>Amortissement et entretien</w:t>
      </w:r>
      <w:bookmarkEnd w:id="124"/>
      <w:bookmarkEnd w:id="125"/>
    </w:p>
    <w:p w14:paraId="4CE00B7E" w14:textId="77777777" w:rsidR="00367F83" w:rsidRPr="00AC6ACB" w:rsidRDefault="00367F83" w:rsidP="00367F83">
      <w:r w:rsidRPr="00AC6ACB">
        <w:t>L'amortissement des actifs capitalisés est calculé à l'aide de la méthode linéaire pendant leur durée de vie utile estimée, qui peut être prolongée en fonction des besoins opérationnels et de la durée des futurs avantages économiques attendus.</w:t>
      </w:r>
    </w:p>
    <w:p w14:paraId="4A25C926" w14:textId="77777777" w:rsidR="00367F83" w:rsidRPr="00AC6ACB" w:rsidRDefault="00367F83" w:rsidP="00367F83">
      <w:r w:rsidRPr="00AC6ACB">
        <w:t>Les coûts associés à l'entretien des immobilisations incorporelles sont portés en charges.</w:t>
      </w:r>
    </w:p>
    <w:p w14:paraId="26A2919F" w14:textId="77777777" w:rsidR="00367F83" w:rsidRPr="00AC6ACB" w:rsidRDefault="00367F83" w:rsidP="00367F83">
      <w:r w:rsidRPr="00AC6ACB">
        <w:t>L'UIT examine à chaque date de clôture annuelle s'il existe un indice révélant qu'une immobilisation incorporelle a pu perdre de sa valeur. Qu'un indice de perte de valeur existe ou non, l'UIT mène chaque année des tests concernant les immobilisations incorporelles non encore utilisables. Le test de perte de valeur est effectué par une comparaison entre la valeur recouvrable et la valeur comptable, et une perte de valeur est inscrite dans l'État de la performance financière lorsque la valeur comptable est supérieure à la valeur recouvrable.</w:t>
      </w:r>
    </w:p>
    <w:p w14:paraId="45B939EF" w14:textId="77777777" w:rsidR="00367F83" w:rsidRPr="00AC6ACB" w:rsidRDefault="00367F83" w:rsidP="00367F83">
      <w:pPr>
        <w:pStyle w:val="Headingb"/>
        <w:rPr>
          <w:bCs/>
          <w:i/>
          <w:iCs/>
        </w:rPr>
      </w:pPr>
      <w:bookmarkStart w:id="126" w:name="_Toc200093234"/>
      <w:bookmarkStart w:id="127" w:name="_Toc200361446"/>
      <w:r w:rsidRPr="00AC6ACB">
        <w:rPr>
          <w:bCs/>
          <w:i/>
          <w:iCs/>
        </w:rPr>
        <w:t>Provisions</w:t>
      </w:r>
      <w:bookmarkEnd w:id="126"/>
      <w:bookmarkEnd w:id="127"/>
    </w:p>
    <w:p w14:paraId="6DF05000" w14:textId="77777777" w:rsidR="00367F83" w:rsidRPr="00AC6ACB" w:rsidRDefault="00367F83" w:rsidP="00367F83">
      <w:r w:rsidRPr="00AC6ACB">
        <w:t>Les provisions comprennent les engagements dont l'issue, l'échéance ou le montant à payer est incertain. Elles sont comptabilisées lorsque l'UIT a une obligation juridique ou implicite résultant d'un événement passé, lorsqu'il est probable qu'une sortie de ressources sera nécessaire pour éteindre l'obligation et lorsque le montant de l'obligation peut être estimé de manière fiable.</w:t>
      </w:r>
    </w:p>
    <w:p w14:paraId="373A0976" w14:textId="77777777" w:rsidR="00367F83" w:rsidRPr="00AC6ACB" w:rsidRDefault="00367F83" w:rsidP="00367F83">
      <w:pPr>
        <w:pStyle w:val="Headingb"/>
        <w:rPr>
          <w:bCs/>
          <w:i/>
          <w:iCs/>
        </w:rPr>
      </w:pPr>
      <w:bookmarkStart w:id="128" w:name="_Toc200093235"/>
      <w:bookmarkStart w:id="129" w:name="_Toc200361447"/>
      <w:r w:rsidRPr="00AC6ACB">
        <w:rPr>
          <w:bCs/>
          <w:i/>
          <w:iCs/>
        </w:rPr>
        <w:t>Actifs et passifs éventuels</w:t>
      </w:r>
      <w:bookmarkEnd w:id="128"/>
      <w:bookmarkEnd w:id="129"/>
    </w:p>
    <w:p w14:paraId="4889B847" w14:textId="77777777" w:rsidR="00367F83" w:rsidRPr="00AC6ACB" w:rsidRDefault="00367F83" w:rsidP="00367F83">
      <w:r w:rsidRPr="00AC6ACB">
        <w:t>Les actifs et passifs éventuels sont des droits ou des engagements possibles qui résultent d'événements passés et dont l'existence sera confirmée uniquement par la survenance ou la non</w:t>
      </w:r>
      <w:r w:rsidRPr="00AC6ACB">
        <w:noBreakHyphen/>
        <w:t>occurrence d'un ou de plusieurs événements futurs incertains sur lesquels l'UIT n'exerce pas un contrôle total.</w:t>
      </w:r>
    </w:p>
    <w:p w14:paraId="666F4F69" w14:textId="77777777" w:rsidR="00367F83" w:rsidRPr="00AC6ACB" w:rsidRDefault="00367F83" w:rsidP="00367F83">
      <w:pPr>
        <w:keepLines/>
      </w:pPr>
      <w:r w:rsidRPr="00AC6ACB">
        <w:t>Les passifs éventuels sont indiqués lorsqu'un éventuel engagement est incertain, mais peut être mesuré, ou lorsque l'UIT a un engagement actuel, mais ne peut pas mesurer de manière fiable les sorties possibles de ressources. À l'heure actuelle, l'UIT ne dispose d'aucun actif éventuel et d'aucun passif éventuel significatif.</w:t>
      </w:r>
    </w:p>
    <w:p w14:paraId="57466442" w14:textId="77777777" w:rsidR="00367F83" w:rsidRPr="00AC6ACB" w:rsidRDefault="00367F83" w:rsidP="00367F83">
      <w:pPr>
        <w:pStyle w:val="Headingb"/>
        <w:rPr>
          <w:bCs/>
          <w:i/>
          <w:iCs/>
        </w:rPr>
      </w:pPr>
      <w:bookmarkStart w:id="130" w:name="_Toc200093236"/>
      <w:bookmarkStart w:id="131" w:name="_Toc200361448"/>
      <w:r w:rsidRPr="00AC6ACB">
        <w:rPr>
          <w:bCs/>
          <w:i/>
          <w:iCs/>
        </w:rPr>
        <w:lastRenderedPageBreak/>
        <w:t>Avantages du personnel</w:t>
      </w:r>
      <w:bookmarkEnd w:id="130"/>
      <w:bookmarkEnd w:id="131"/>
    </w:p>
    <w:p w14:paraId="42810E25" w14:textId="77777777" w:rsidR="00367F83" w:rsidRPr="00AC6ACB" w:rsidRDefault="00367F83" w:rsidP="00367F83">
      <w:r w:rsidRPr="00AC6ACB">
        <w:t>Les avantages du personnel suivants sont comptabilisés:</w:t>
      </w:r>
    </w:p>
    <w:p w14:paraId="6C0876EF" w14:textId="77777777" w:rsidR="00367F83" w:rsidRPr="00AC6ACB" w:rsidRDefault="00367F83" w:rsidP="00367F83">
      <w:pPr>
        <w:pStyle w:val="enumlev1"/>
      </w:pPr>
      <w:r w:rsidRPr="00AC6ACB">
        <w:t>–</w:t>
      </w:r>
      <w:r w:rsidRPr="00AC6ACB">
        <w:tab/>
        <w:t>Les prestations à court terme qui doivent être réglées dans les 12 mois suivant la date de clôture et sont évaluées à leur valeur nominale sur la base des droits accumulés aux taux de rémunération actuels. Les prestations à court terme comprennent les prestations versées pour la première fois (primes d'affectation), les prestations mensuelles ordinaires (salaires, traitements, indemnités) et autres prestations (indemnité pour frais d'études, congé dans les foyers, etc.). Une charge est comptabilisée lorsque des fonctionnaires rendent des services à l'UIT et un passif est comptabilisé pour des droits qui n'ont pas été réglés à la date de clôture.</w:t>
      </w:r>
    </w:p>
    <w:p w14:paraId="1BC79255" w14:textId="77777777" w:rsidR="00367F83" w:rsidRPr="00AC6ACB" w:rsidRDefault="00367F83" w:rsidP="00367F83">
      <w:pPr>
        <w:pStyle w:val="enumlev1"/>
      </w:pPr>
      <w:r w:rsidRPr="00AC6ACB">
        <w:t>–</w:t>
      </w:r>
      <w:r w:rsidRPr="00AC6ACB">
        <w:tab/>
        <w:t>Les autres prestations à long terme dues au personnel sont des prestations qui devraient être réglées plus de 12 mois après la fin de la période considérée; elles concernent les primes de rapatriement et les congés accumulés. Le passif comptabilisé pour les primes de rapatriement correspond à la valeur actuelle des engagements au titre des prestations définies à la date de clôture. Ce passif est calculé par un actuaire indépendant selon la méthode des unités de crédit projetées. Les frais d'intérêts, les frais de services rendus au cours des services courants et les gains ou pertes actuariels résultant de changements d'hypothèses actuarielles ou d'ajustements dus à l'expérience sont comptabilisés dans l'État de la performance financière.</w:t>
      </w:r>
    </w:p>
    <w:p w14:paraId="524582BF" w14:textId="77777777" w:rsidR="00367F83" w:rsidRPr="00AC6ACB" w:rsidRDefault="00367F83" w:rsidP="00367F83">
      <w:pPr>
        <w:pStyle w:val="enumlev1"/>
      </w:pPr>
      <w:r w:rsidRPr="00AC6ACB">
        <w:t>–</w:t>
      </w:r>
      <w:r w:rsidRPr="00AC6ACB">
        <w:tab/>
        <w:t>Les engagements concernant l'assurance maladie après la cessation de service (ASHI).</w:t>
      </w:r>
    </w:p>
    <w:p w14:paraId="4FB5B83F" w14:textId="77777777" w:rsidR="00367F83" w:rsidRPr="00AC6ACB" w:rsidRDefault="00367F83" w:rsidP="00367F83">
      <w:pPr>
        <w:pStyle w:val="enumlev1"/>
      </w:pPr>
      <w:r w:rsidRPr="00AC6ACB">
        <w:t>–</w:t>
      </w:r>
      <w:r w:rsidRPr="00AC6ACB">
        <w:tab/>
        <w:t>Les engagements pour l'ancien plan de pension afin de définir les engagements de l'UIT à la date de clôture de l'exercice.</w:t>
      </w:r>
    </w:p>
    <w:p w14:paraId="096A2115" w14:textId="77777777" w:rsidR="00367F83" w:rsidRPr="00AC6ACB" w:rsidRDefault="00367F83" w:rsidP="00367F83">
      <w:r w:rsidRPr="00AC6ACB">
        <w:t>L'UIT est une organisation membre de la Caisse commune des pensions du personnel des Nations Unies (CCPPNU), créée par l'Assemblée générale des Nations Unies pour assurer aux employés des prestations de retraite, de décès, d'invalidité et des prestations connexes. La Caisse est un régime multi-employeurs capitalisé à prestations définies. Comme indiqué dans l'Article 3b) des Statuts de la Caisse, peuvent s'affilier à la Caisse les institutions spécialisées, ainsi que toute autre organisation intergouvernementale internationale qui applique le régime commun de traitements, indemnités et autres conditions d'emploi de l'Organisation des Nations Unies et des institutions spécialisées.</w:t>
      </w:r>
    </w:p>
    <w:p w14:paraId="4783CE16" w14:textId="77777777" w:rsidR="00367F83" w:rsidRPr="00AC6ACB" w:rsidRDefault="00367F83" w:rsidP="00367F83">
      <w:r w:rsidRPr="00AC6ACB">
        <w:t>Le plan expose les organisations affiliées aux risques actuariels liés aux employés en activité et aux anciens employés d'autres organisations participant à la Caisse, de sorte qu'il n'existe aucune base cohérente et fiable permettant de répartir les engagements, les actifs du régime et les coûts entre les différentes organisations participant au régime. L'UIT et la CCPPNU, tout comme les autres organisations affiliées à la Caisse, ne sont pas en mesure de déterminer la quote-part de l'UIT dans les engagements au titre des prestations définies, les actifs du régime et les coûts associés au régime de façon suffisamment fiable aux fins de comptabilisation. En conséquence, l'UIT assimile ce régime à un régime à cotisations définies, conformément aux dispositions de la norme IPSAS 39 sur les avantages du personnel. Les cotisations de l'UIT au plan pendant l'exercice sont comptabilisées en charges dans l'État de la performance financière.</w:t>
      </w:r>
    </w:p>
    <w:p w14:paraId="26860952" w14:textId="77777777" w:rsidR="00367F83" w:rsidRPr="00AC6ACB" w:rsidRDefault="00367F83" w:rsidP="00367F83">
      <w:pPr>
        <w:keepLines/>
      </w:pPr>
      <w:r w:rsidRPr="00AC6ACB">
        <w:lastRenderedPageBreak/>
        <w:t>Depuis le 1er janvier 2020, l'UIT a intégré l'Assurance mutuelle contre la maladie et les accidents du personnel des Nations Unies (UNSMIS). Les engagements concernant l'ASHI font l'objet d'une étude actuarielle selon la norme IPSAS 39 afin de définir et de comptabiliser le montant des engagements futurs de l'UIT relatif à ces prestations.</w:t>
      </w:r>
    </w:p>
    <w:p w14:paraId="7F2054C5" w14:textId="77777777" w:rsidR="00367F83" w:rsidRPr="00AC6ACB" w:rsidRDefault="00367F83" w:rsidP="00367F83">
      <w:r w:rsidRPr="00AC6ACB">
        <w:t>Les engagements concernant l'ASHI de l'UIT donnent le droit de bénéficier de la couverture ASHI acquise et accumulée par les retraités de l'Organisation pendant leur service actif. Le passif comptabilisé pour ce régime est la valeur actualisée des engagements au titre des prestations définies à la date de clôture. Ce passif est calculé par un actuaire indépendant selon la méthode des unités de crédit projetées. Les intérêts et les frais de service courant sont comptabilisés dans l'État de la performance financière en tant que composantes des charges de personnel. Les gains ou pertes actuariels résultant de changements d'hypothèses actuarielles ou d'ajustements liés à l'expérience sont directement comptabilisés dans l'actif net.</w:t>
      </w:r>
    </w:p>
    <w:p w14:paraId="1660FC6F" w14:textId="77777777" w:rsidR="00367F83" w:rsidRPr="00AC6ACB" w:rsidRDefault="00367F83" w:rsidP="00367F83">
      <w:r w:rsidRPr="00AC6ACB">
        <w:t>Les hypothèses concernant l'UIT sont décrites dans la Note 16 relative aux avantages du personnel.</w:t>
      </w:r>
    </w:p>
    <w:p w14:paraId="21C0F356" w14:textId="77777777" w:rsidR="00367F83" w:rsidRPr="00AC6ACB" w:rsidRDefault="00367F83" w:rsidP="00367F83">
      <w:pPr>
        <w:pStyle w:val="Headingb"/>
        <w:rPr>
          <w:bCs/>
          <w:i/>
          <w:iCs/>
        </w:rPr>
      </w:pPr>
      <w:bookmarkStart w:id="132" w:name="_Toc200093237"/>
      <w:bookmarkStart w:id="133" w:name="_Toc200361449"/>
      <w:r w:rsidRPr="00AC6ACB">
        <w:rPr>
          <w:bCs/>
          <w:i/>
          <w:iCs/>
        </w:rPr>
        <w:t>Comptabilisation des produits</w:t>
      </w:r>
      <w:bookmarkEnd w:id="132"/>
      <w:bookmarkEnd w:id="133"/>
    </w:p>
    <w:p w14:paraId="0243E8E3" w14:textId="77777777" w:rsidR="00367F83" w:rsidRPr="00AC6ACB" w:rsidRDefault="00367F83" w:rsidP="00367F83">
      <w:r w:rsidRPr="00AC6ACB">
        <w:t>Les produits sans contrepartie directe tirés des contributions mises en recouvrement et des contributions extrabudgétaires (contributions volontaires et parrainages) reçues ou confirmées dans le cadre d'un accord contraignant sont comptabilisés en tant qu'opérations sans contrepartie directe conformément à la norme IPSAS 23.</w:t>
      </w:r>
    </w:p>
    <w:p w14:paraId="0249FA40" w14:textId="77777777" w:rsidR="00367F83" w:rsidRPr="00AC6ACB" w:rsidRDefault="00367F83" w:rsidP="00367F83">
      <w:pPr>
        <w:pStyle w:val="Headingi"/>
      </w:pPr>
      <w:bookmarkStart w:id="134" w:name="_Toc200093238"/>
      <w:bookmarkStart w:id="135" w:name="_Toc200361450"/>
      <w:r w:rsidRPr="00AC6ACB">
        <w:t>Contributions mises en recouvrement</w:t>
      </w:r>
      <w:bookmarkEnd w:id="134"/>
      <w:bookmarkEnd w:id="135"/>
    </w:p>
    <w:p w14:paraId="6B121C0D" w14:textId="77777777" w:rsidR="00367F83" w:rsidRPr="00AC6ACB" w:rsidRDefault="00367F83" w:rsidP="00367F83">
      <w:r w:rsidRPr="00AC6ACB">
        <w:t>Les contributions mises en recouvrement sont les contributions provenant des États Membres, des Membres de Secteur ainsi que des Associés. La Conférence de plénipotentiaires fixe la limite supérieure de l'unité contributive qui servira de base dans le calcul des produits de l'Union pour les budgets biennaux des quatre années à venir. La limite actuelle est approuvée jusqu'au 31 décembre 2027. Les États Membres et les Membres de Secteur choisissent librement la classe de contribution selon laquelle ils entendent participer aux charges de l'Union conformément aux dispositions pertinentes de la Constitution de l'UIT et acquittent, au titre de l'année de leur adhésion ou admission, une contribution calculée, pour les Membres, à partir du premier jour du mois de l'adhésion ou de l'admission. Ces produits servent à mettre en application les activités de l'Union définies par cette même Conférence de plénipotentiaires.</w:t>
      </w:r>
    </w:p>
    <w:p w14:paraId="30CB1568" w14:textId="77777777" w:rsidR="00367F83" w:rsidRPr="00AC6ACB" w:rsidRDefault="00367F83" w:rsidP="00367F83">
      <w:r w:rsidRPr="00AC6ACB">
        <w:t>Les contributions mises en recouvrement sont comptabilisées en tant que produits sur une base annuelle, le premier jour de l'année à laquelle elles se rapportent.</w:t>
      </w:r>
    </w:p>
    <w:p w14:paraId="7A00FE56" w14:textId="77777777" w:rsidR="00367F83" w:rsidRPr="00AC6ACB" w:rsidRDefault="00367F83" w:rsidP="00367F83">
      <w:pPr>
        <w:pStyle w:val="Headingi"/>
      </w:pPr>
      <w:bookmarkStart w:id="136" w:name="_Toc200093239"/>
      <w:bookmarkStart w:id="137" w:name="_Toc200361451"/>
      <w:r w:rsidRPr="00AC6ACB">
        <w:t>Contributions extrabudgétaires</w:t>
      </w:r>
      <w:bookmarkEnd w:id="136"/>
      <w:bookmarkEnd w:id="137"/>
    </w:p>
    <w:p w14:paraId="132A14FE" w14:textId="77777777" w:rsidR="00367F83" w:rsidRPr="00AC6ACB" w:rsidRDefault="00367F83" w:rsidP="00367F83">
      <w:r w:rsidRPr="00AC6ACB">
        <w:t>Les contributions extrabudgétaires comprennent les contributions volontaires et les parrainages, qui sont comptabilisés initialement en tant que produits au moment où l'accord entre l'UIT et le bailleur de fonds devient contraignant et lorsque le contrôle de l'actif sous</w:t>
      </w:r>
      <w:r w:rsidRPr="00AC6ACB">
        <w:noBreakHyphen/>
        <w:t>jacent est obtenu, sauf si l'accord comporte des conditions conformément à la norme IPSAS 23. Dans les autres cas, les produits sont entièrement comptabilisés, conformément à la norme IPSAS 23.</w:t>
      </w:r>
    </w:p>
    <w:p w14:paraId="50740F8B" w14:textId="77777777" w:rsidR="00367F83" w:rsidRPr="00AC6ACB" w:rsidRDefault="00367F83" w:rsidP="00367F83">
      <w:pPr>
        <w:keepNext/>
        <w:keepLines/>
      </w:pPr>
      <w:r w:rsidRPr="00AC6ACB">
        <w:lastRenderedPageBreak/>
        <w:t>Les accords contenant de telles conditions exigent la comptabilisation initiale d'un passif et le report de la comptabilisation des produits jusqu'à ce que le passif soit acquitté par l'exécution des conditions spécifiques incluses dans l'accord et d'une obligation exécutoire de restitution des montants s'ils ne sont pas utilisés de la manière spécifiée. Le montant comptabilisé comme passif est la meilleure estimation du montant nécessaire pour régler l'obligation à la date de clôture.</w:t>
      </w:r>
    </w:p>
    <w:p w14:paraId="0F8514FA" w14:textId="77777777" w:rsidR="00367F83" w:rsidRPr="00AC6ACB" w:rsidRDefault="00367F83" w:rsidP="00367F83">
      <w:r w:rsidRPr="00AC6ACB">
        <w:t>Lorsque des accords sont signés, qu'aucune contribution n'est reçue et que l'accord porte sur des exercices financiers futurs, le passif est alors comptabilisé en produits différés.</w:t>
      </w:r>
    </w:p>
    <w:p w14:paraId="7F826740" w14:textId="77777777" w:rsidR="00367F83" w:rsidRPr="00AC6ACB" w:rsidRDefault="00367F83" w:rsidP="00367F83">
      <w:pPr>
        <w:pStyle w:val="Headingi"/>
      </w:pPr>
      <w:bookmarkStart w:id="138" w:name="_Toc200093240"/>
      <w:bookmarkStart w:id="139" w:name="_Toc200361452"/>
      <w:r w:rsidRPr="00AC6ACB">
        <w:t>Produits différés – Fonds de tiers affectés (État de la situation financière)</w:t>
      </w:r>
      <w:bookmarkEnd w:id="138"/>
      <w:bookmarkEnd w:id="139"/>
    </w:p>
    <w:p w14:paraId="48BFF770" w14:textId="77777777" w:rsidR="00367F83" w:rsidRPr="00AC6ACB" w:rsidRDefault="00367F83" w:rsidP="00367F83">
      <w:r w:rsidRPr="00AC6ACB">
        <w:t>Ces financements provenant de tiers visent à appuyer l'Union dans la mise en œuvre de projets en faveur des pays en développement, notamment des pays les moins avancés, des petits États insulaires en développement, des pays en développement sans littoral et des pays dont l'économie est en transition. Ces contributions sont assorties de conditions contractuelles. Ces financements ne sont comptabilisés en tant que produits que lorsque les donateurs se sont engagés par écrit et au fur et à mesure des charges encourues. Les projets financés ne débutent que lorsque les fonds ont été versés à l'UIT. À la clôture de l'exercice budgétaire, le solde non utilisé de ces financements est comptabilisé dans la balance des fonds de tiers affectés au titre des produits différés dans l'État de la situation financière. Dans certains cas particuliers et exceptionnels, les fonds sont versés à l'UIT en remboursement des charges déjà engagées.</w:t>
      </w:r>
    </w:p>
    <w:p w14:paraId="078460D4" w14:textId="77777777" w:rsidR="00367F83" w:rsidRPr="00AC6ACB" w:rsidRDefault="00367F83" w:rsidP="00367F83">
      <w:pPr>
        <w:pStyle w:val="Headingi"/>
        <w:tabs>
          <w:tab w:val="clear" w:pos="567"/>
        </w:tabs>
        <w:ind w:left="0" w:firstLine="0"/>
      </w:pPr>
      <w:bookmarkStart w:id="140" w:name="_Toc200093241"/>
      <w:bookmarkStart w:id="141" w:name="_Toc200361453"/>
      <w:r w:rsidRPr="00AC6ACB">
        <w:t>Produits différés – On trouvera ci-dessous des informations détaillées sur les fonds de tiers affectés (État de la situation financière)</w:t>
      </w:r>
      <w:bookmarkEnd w:id="140"/>
      <w:bookmarkEnd w:id="141"/>
    </w:p>
    <w:p w14:paraId="7C835005" w14:textId="77777777" w:rsidR="00367F83" w:rsidRPr="00AC6ACB" w:rsidRDefault="00367F83" w:rsidP="00367F83">
      <w:pPr>
        <w:pStyle w:val="enumlev1"/>
        <w:rPr>
          <w:i/>
          <w:iCs/>
        </w:rPr>
      </w:pPr>
      <w:r w:rsidRPr="00AC6ACB">
        <w:rPr>
          <w:i/>
          <w:iCs/>
        </w:rPr>
        <w:t>i)</w:t>
      </w:r>
      <w:r w:rsidRPr="00AC6ACB">
        <w:rPr>
          <w:i/>
          <w:iCs/>
        </w:rPr>
        <w:tab/>
        <w:t>Fonds d'affectation spéciale:</w:t>
      </w:r>
    </w:p>
    <w:p w14:paraId="54A1DA0F" w14:textId="77777777" w:rsidR="00367F83" w:rsidRPr="00AC6ACB" w:rsidRDefault="00367F83" w:rsidP="00367F83">
      <w:pPr>
        <w:pStyle w:val="enumlev1"/>
      </w:pPr>
      <w:r w:rsidRPr="00AC6ACB">
        <w:tab/>
        <w:t>Les fonds d'affection spéciale sont constitués de contributions volontaires dont l'utilisation est spécifique et restreinte. Ces contributions engendrent des charges d'appui pendant l'exécution et la mise en œuvre des projets. En 2024, la mise en œuvre des projets a entraîné des dépenses d'appui pour un montant de 1,2 million CHF, qui ont été imputées aux projets et versées au budget de l'UIT.</w:t>
      </w:r>
    </w:p>
    <w:p w14:paraId="6037503B" w14:textId="77777777" w:rsidR="00367F83" w:rsidRPr="00AC6ACB" w:rsidRDefault="00367F83" w:rsidP="00367F83">
      <w:pPr>
        <w:pStyle w:val="enumlev1"/>
        <w:rPr>
          <w:i/>
          <w:iCs/>
        </w:rPr>
      </w:pPr>
      <w:r w:rsidRPr="00AC6ACB">
        <w:rPr>
          <w:i/>
          <w:iCs/>
        </w:rPr>
        <w:t>ii)</w:t>
      </w:r>
      <w:r w:rsidRPr="00AC6ACB">
        <w:rPr>
          <w:i/>
          <w:iCs/>
        </w:rPr>
        <w:tab/>
        <w:t>Contributions volontaires:</w:t>
      </w:r>
    </w:p>
    <w:p w14:paraId="450DDF05" w14:textId="77777777" w:rsidR="00367F83" w:rsidRPr="00AC6ACB" w:rsidRDefault="00367F83" w:rsidP="00367F83">
      <w:pPr>
        <w:pStyle w:val="enumlev1"/>
      </w:pPr>
      <w:r w:rsidRPr="00AC6ACB">
        <w:tab/>
        <w:t>Les contributions volontaires proviennent de donateurs et viennent compléter le financement des activités spécifiques inscrites au budget ordinaire, telles que les séminaires, les groupes de travail, les commissions d'études, les formations et les bourses. Elles peuvent servir à financer des activités à long terme et n'engendrent pas de dépenses d'appui.</w:t>
      </w:r>
    </w:p>
    <w:p w14:paraId="403198C2" w14:textId="77777777" w:rsidR="00367F83" w:rsidRPr="00AC6ACB" w:rsidRDefault="00367F83" w:rsidP="00367F83">
      <w:pPr>
        <w:pStyle w:val="enumlev1"/>
      </w:pPr>
      <w:r w:rsidRPr="00AC6ACB">
        <w:tab/>
        <w:t>L'Union tient une comptabilité des contributions volontaires dans la devise dans laquelle celles-ci sont versées, et gère les projets fondés sur le budget alloué dans cette même devise, sauf indication contraire.</w:t>
      </w:r>
    </w:p>
    <w:p w14:paraId="49BE316E" w14:textId="77777777" w:rsidR="00367F83" w:rsidRPr="00AC6ACB" w:rsidRDefault="00367F83" w:rsidP="00367F83">
      <w:r w:rsidRPr="00AC6ACB">
        <w:t>Les produits des opérations avec contrepartie directe sont comptabilisés à la juste valeur de la contrepartie reçue ou à recevoir à la livraison des biens et services, conformément à la norme IPSAS 9.</w:t>
      </w:r>
    </w:p>
    <w:p w14:paraId="207B1278" w14:textId="77777777" w:rsidR="00367F83" w:rsidRPr="00AC6ACB" w:rsidRDefault="00367F83" w:rsidP="00367F83">
      <w:pPr>
        <w:keepNext/>
        <w:keepLines/>
      </w:pPr>
      <w:r w:rsidRPr="00AC6ACB">
        <w:lastRenderedPageBreak/>
        <w:t>Les produits avec contrepartie directe comprennent les produits et services pour lesquels l'UIT applique le principe du recouvrement des coûts, à savoir:</w:t>
      </w:r>
    </w:p>
    <w:p w14:paraId="2C804057" w14:textId="77777777" w:rsidR="00367F83" w:rsidRPr="00AC6ACB" w:rsidRDefault="00367F83" w:rsidP="00367F83">
      <w:pPr>
        <w:pStyle w:val="enumlev1"/>
      </w:pPr>
      <w:r w:rsidRPr="00AC6ACB">
        <w:t>–</w:t>
      </w:r>
      <w:r w:rsidRPr="00AC6ACB">
        <w:tab/>
        <w:t>La vente de publications: les produits sont comptabilisés au moment de l'expédition des publications ou lorsque les données sur support électronique deviennent accessibles.</w:t>
      </w:r>
    </w:p>
    <w:p w14:paraId="4F310CAA" w14:textId="77777777" w:rsidR="00367F83" w:rsidRPr="00AC6ACB" w:rsidRDefault="00367F83" w:rsidP="00367F83">
      <w:pPr>
        <w:pStyle w:val="enumlev1"/>
      </w:pPr>
      <w:r w:rsidRPr="00AC6ACB">
        <w:t>–</w:t>
      </w:r>
      <w:r w:rsidRPr="00AC6ACB">
        <w:tab/>
        <w:t>Le traitement des fiches de notification de réseaux à satellite: les produits sont comptabilisés au moment de la publication finale des fiches de notification dans la Circulaire internationale d'information sur les fréquences du BR (BR IFIC); dans l'intervalle, toutes les factures antérieures sont comptabilisées en produits différés.</w:t>
      </w:r>
    </w:p>
    <w:p w14:paraId="27BFC567" w14:textId="77777777" w:rsidR="00367F83" w:rsidRPr="00AC6ACB" w:rsidRDefault="00367F83" w:rsidP="00367F83">
      <w:pPr>
        <w:pStyle w:val="enumlev1"/>
      </w:pPr>
      <w:r w:rsidRPr="00AC6ACB">
        <w:t>–</w:t>
      </w:r>
      <w:r w:rsidRPr="00AC6ACB">
        <w:tab/>
        <w:t>L'enregistrement des numéros universels de libre appel international (UIFN): l'UIT perçoit par avance des contributions pour fournir des prestations pour l'enregistrement des numéros universels de libre appel international (UIFN), ainsi que pour l'enregistrement des numéros de kiosque internationaux universels (UIPRN) et des numéros internationaux universels à coût partagé (UISCN).</w:t>
      </w:r>
    </w:p>
    <w:p w14:paraId="0304CCA0" w14:textId="77777777" w:rsidR="00367F83" w:rsidRPr="00AC6ACB" w:rsidRDefault="00367F83" w:rsidP="00367F83">
      <w:pPr>
        <w:pStyle w:val="Headingb"/>
        <w:rPr>
          <w:bCs/>
          <w:i/>
          <w:iCs/>
        </w:rPr>
      </w:pPr>
      <w:bookmarkStart w:id="142" w:name="_Toc200093242"/>
      <w:bookmarkStart w:id="143" w:name="_Toc200361454"/>
      <w:r w:rsidRPr="00AC6ACB">
        <w:rPr>
          <w:bCs/>
          <w:i/>
          <w:iCs/>
        </w:rPr>
        <w:t>Présentation de l'information sectorielle</w:t>
      </w:r>
      <w:bookmarkEnd w:id="142"/>
      <w:bookmarkEnd w:id="143"/>
    </w:p>
    <w:p w14:paraId="6A2ABF2F" w14:textId="79452E8A" w:rsidR="00367F83" w:rsidRPr="00AC6ACB" w:rsidRDefault="00367F83" w:rsidP="00367F83">
      <w:r w:rsidRPr="00AC6ACB">
        <w:t>La présentation de l'information sectorielle est basée sur les principales activités</w:t>
      </w:r>
      <w:r w:rsidR="009139BA" w:rsidRPr="00AC6ACB">
        <w:t xml:space="preserve"> </w:t>
      </w:r>
      <w:r w:rsidRPr="00AC6ACB">
        <w:t>et les Secteurs de l'UIT, ainsi que sur les sources de financement et les autres fonds mis en place pour gérer les ressources financières de l'Union. L'information sectorielle reflète le programme de travail de l'UIT pour la période 2024-2027.</w:t>
      </w:r>
    </w:p>
    <w:p w14:paraId="04F55C9A" w14:textId="77777777" w:rsidR="00367F83" w:rsidRPr="00AC6ACB" w:rsidRDefault="00367F83" w:rsidP="00367F83">
      <w:r w:rsidRPr="00AC6ACB">
        <w:t>Les transferts intersectoriels recouvrent les produits et les charges découlant des transferts entre les secteurs. Ces transferts sont comptabilisés au coût pour chaque secteur et sont supprimés au moment de la consolidation.</w:t>
      </w:r>
    </w:p>
    <w:p w14:paraId="53EE20FD" w14:textId="77777777" w:rsidR="00367F83" w:rsidRPr="00AC6ACB" w:rsidRDefault="00367F83" w:rsidP="00367F83">
      <w:r w:rsidRPr="00AC6ACB">
        <w:t>L'ajustement annuel de l'ASHI a été attribué en fonction de l'effectif de chaque Secteur.</w:t>
      </w:r>
    </w:p>
    <w:p w14:paraId="717467B8" w14:textId="77777777" w:rsidR="00367F83" w:rsidRPr="00AC6ACB" w:rsidRDefault="00367F83" w:rsidP="00367F83">
      <w:r w:rsidRPr="00AC6ACB">
        <w:t>En effet, les actifs et passifs de l'Union autres que ceux représentant l'actif net sont la propriété ou relèvent de la responsabilité de l'Organisation dans son ensemble et ne représentent pas des actifs et passifs relatifs à des segments. Les actifs et les passifs de l'UIT ne sont pas affectés à des segments individuels, dans la mesure où la propriété est détenue par l'Organisation dans son ensemble.</w:t>
      </w:r>
    </w:p>
    <w:p w14:paraId="19BBE792" w14:textId="77777777" w:rsidR="00367F83" w:rsidRPr="00AC6ACB" w:rsidRDefault="00367F83" w:rsidP="00367F83">
      <w:pPr>
        <w:pStyle w:val="Headingb"/>
        <w:rPr>
          <w:bCs/>
          <w:i/>
          <w:iCs/>
        </w:rPr>
      </w:pPr>
      <w:bookmarkStart w:id="144" w:name="_Toc200093243"/>
      <w:bookmarkStart w:id="145" w:name="_Toc200361455"/>
      <w:r w:rsidRPr="00AC6ACB">
        <w:rPr>
          <w:bCs/>
          <w:i/>
          <w:iCs/>
        </w:rPr>
        <w:t>État de la comparaison des montants budgétés et des montants effectifs</w:t>
      </w:r>
      <w:bookmarkEnd w:id="144"/>
      <w:bookmarkEnd w:id="145"/>
    </w:p>
    <w:p w14:paraId="58AF8AE7" w14:textId="77777777" w:rsidR="00367F83" w:rsidRPr="00AC6ACB" w:rsidRDefault="00367F83" w:rsidP="00367F83">
      <w:r w:rsidRPr="00AC6ACB">
        <w:t>Le budget de l'Union pour la période 2024 est fondé sur la Décision 5 (Rév. Bucarest, 2022), "Produits et charges de l'Union pour la période 2024-2027", et sur le Plan stratégique de l'Union pour la période 2024-2027 figurant dans la Résolution 71 (Rév. Bucarest, 2022) de la Conférence de plénipotentiaires.</w:t>
      </w:r>
    </w:p>
    <w:p w14:paraId="6170A8F7" w14:textId="77777777" w:rsidR="00367F83" w:rsidRPr="00AC6ACB" w:rsidRDefault="00367F83" w:rsidP="00367F83">
      <w:r w:rsidRPr="00AC6ACB">
        <w:t>En outre, le budget du programme est coordonné avec les plans opérationnels des Secteurs et du Secrétariat général.</w:t>
      </w:r>
    </w:p>
    <w:p w14:paraId="3A0EFEE5" w14:textId="77777777" w:rsidR="00367F83" w:rsidRPr="00AC6ACB" w:rsidRDefault="00367F83" w:rsidP="00367F83">
      <w:r w:rsidRPr="00AC6ACB">
        <w:t>En vertu de la norme IPSAS 24, une comparaison des montants budgétés avec les montants réels doit être intégrée dans les États financiers annuels (État V). Le projet de budget de l'Union pour 2024-2025 se compose de deux budgets annuels. Une estimation du budget a été faite pour chacun des exercices.</w:t>
      </w:r>
    </w:p>
    <w:p w14:paraId="6C5577FF" w14:textId="77777777" w:rsidR="00367F83" w:rsidRPr="00AC6ACB" w:rsidRDefault="00367F83" w:rsidP="00367F83">
      <w:r w:rsidRPr="00AC6ACB">
        <w:t>Le budget définitif pour l'exercice 2024 a été approuvé par le Conseil à sa session de 2023 par l'adoption de la Résolution 1417 (</w:t>
      </w:r>
      <w:hyperlink r:id="rId30" w:history="1">
        <w:r w:rsidRPr="00AC6ACB">
          <w:rPr>
            <w:rStyle w:val="Hyperlink"/>
            <w:rFonts w:eastAsia="Times New Roman" w:cs="Times New Roman"/>
            <w:szCs w:val="20"/>
          </w:rPr>
          <w:t>Document C23/115</w:t>
        </w:r>
      </w:hyperlink>
      <w:r w:rsidRPr="00AC6ACB">
        <w:t xml:space="preserve">). L'État V contient une comparaison du budget définitif et des montants effectifs. Le budget et les États financiers </w:t>
      </w:r>
      <w:r w:rsidRPr="00AC6ACB">
        <w:lastRenderedPageBreak/>
        <w:t>n'étant pas préparés sur la même base, l'État V contient un rapprochement des montants figurant dans le budget et des montants figurant dans l'État II (État de la performance financière). La différence relative aux entités représente l'intégration dans les États financiers de l'Union des fonds extrabudgétaires, tandis que les différences de base comprennent les produits et les charges qui ne sont pas inscrits dans le budget de l'UIT ou qui sont traités différemment conformément aux exigences des normes IPSAS. On trouvera des informations détaillées dans la Note 21.</w:t>
      </w:r>
    </w:p>
    <w:p w14:paraId="25E9658D" w14:textId="77777777" w:rsidR="00367F83" w:rsidRPr="00AC6ACB" w:rsidRDefault="00367F83" w:rsidP="00367F83">
      <w:pPr>
        <w:pStyle w:val="Headingb"/>
        <w:rPr>
          <w:bCs/>
          <w:i/>
          <w:iCs/>
        </w:rPr>
      </w:pPr>
      <w:bookmarkStart w:id="146" w:name="_Toc200093244"/>
      <w:bookmarkStart w:id="147" w:name="_Toc200361456"/>
      <w:r w:rsidRPr="00AC6ACB">
        <w:rPr>
          <w:bCs/>
          <w:i/>
          <w:iCs/>
        </w:rPr>
        <w:t>Utilisation d'estimations</w:t>
      </w:r>
      <w:bookmarkEnd w:id="146"/>
      <w:bookmarkEnd w:id="147"/>
    </w:p>
    <w:p w14:paraId="05E9AC11" w14:textId="77777777" w:rsidR="00367F83" w:rsidRPr="00AC6ACB" w:rsidRDefault="00367F83" w:rsidP="00367F83">
      <w:r w:rsidRPr="00AC6ACB">
        <w:t>Les États financiers comprennent des montants fondés sur les estimations et les hypothèses de la direction. La vraisemblance des fondements sur lesquels s'appuient les estimations et les hypothèses est examinée dans le cadre du processus d'élaboration des États financiers. Les estimations concernent notamment, mais non exclusivement l'ASHI, les primes de rapatriement et les frais de voyage (dont la valeur est calculée par un actuaire indépendant), les autres prestations dues au personnel, la provision pour litiges, le risque financier sur les créances à recouvrer, les charges à payer et le niveau d'amortissement des immobilisations corporelles et incorporelles. Les résultats effectifs peuvent différer de ces estimations. Les changements dans les estimations sont pris en considération dans la période au cours de laquelle ils sont connus.</w:t>
      </w:r>
    </w:p>
    <w:p w14:paraId="707AB37B" w14:textId="77777777" w:rsidR="00367F83" w:rsidRPr="00AC6ACB" w:rsidRDefault="00367F83" w:rsidP="00367F83">
      <w:r w:rsidRPr="00AC6ACB">
        <w:t>Tous les soldes étant présentés en milliers de francs suisses, des différences mineures peuvent survenir en raison de l'arrondissement des montants.</w:t>
      </w:r>
    </w:p>
    <w:p w14:paraId="2E447570" w14:textId="1D4B9B2A" w:rsidR="00367F83" w:rsidRPr="00AC6ACB" w:rsidRDefault="00367F83" w:rsidP="00367F83">
      <w:pPr>
        <w:pStyle w:val="Heading1"/>
        <w:spacing w:before="240"/>
        <w:rPr>
          <w:bCs/>
          <w:sz w:val="24"/>
        </w:rPr>
      </w:pPr>
      <w:bookmarkStart w:id="148" w:name="_Toc200361457"/>
      <w:r w:rsidRPr="00AC6ACB">
        <w:rPr>
          <w:bCs/>
          <w:sz w:val="24"/>
        </w:rPr>
        <w:t>Note 4</w:t>
      </w:r>
      <w:r w:rsidRPr="00AC6ACB">
        <w:rPr>
          <w:bCs/>
          <w:sz w:val="24"/>
        </w:rPr>
        <w:tab/>
        <w:t>Gestion de l'actif net</w:t>
      </w:r>
      <w:bookmarkEnd w:id="148"/>
    </w:p>
    <w:p w14:paraId="135A17FE" w14:textId="77777777" w:rsidR="00367F83" w:rsidRPr="00AC6ACB" w:rsidRDefault="00367F83" w:rsidP="00367F83">
      <w:r w:rsidRPr="00AC6ACB">
        <w:t>Au 31 décembre 2024, l'actif net de l'Union est constitué des éléments suivants:</w:t>
      </w:r>
    </w:p>
    <w:p w14:paraId="025717A3" w14:textId="77777777" w:rsidR="00367F83" w:rsidRPr="00AC6ACB" w:rsidRDefault="00367F83" w:rsidP="00367F83">
      <w:pPr>
        <w:pStyle w:val="enumlev1"/>
      </w:pPr>
      <w:r w:rsidRPr="00AC6ACB">
        <w:t>1)</w:t>
      </w:r>
      <w:r w:rsidRPr="00AC6ACB">
        <w:tab/>
        <w:t>Le Fonds de réserve de l'UIT.</w:t>
      </w:r>
    </w:p>
    <w:p w14:paraId="623269B5" w14:textId="77777777" w:rsidR="00367F83" w:rsidRPr="00AC6ACB" w:rsidRDefault="00367F83" w:rsidP="00367F83">
      <w:pPr>
        <w:pStyle w:val="enumlev1"/>
      </w:pPr>
      <w:r w:rsidRPr="00AC6ACB">
        <w:t>2)</w:t>
      </w:r>
      <w:r w:rsidRPr="00AC6ACB">
        <w:tab/>
        <w:t>Les autres réserves et fonds.</w:t>
      </w:r>
    </w:p>
    <w:p w14:paraId="430E2603" w14:textId="77777777" w:rsidR="00367F83" w:rsidRPr="00AC6ACB" w:rsidRDefault="00367F83" w:rsidP="00367F83">
      <w:pPr>
        <w:pStyle w:val="enumlev1"/>
      </w:pPr>
      <w:r w:rsidRPr="00AC6ACB">
        <w:t>3)</w:t>
      </w:r>
      <w:r w:rsidRPr="00AC6ACB">
        <w:tab/>
        <w:t>Les réserves extrabudgétaires.</w:t>
      </w:r>
    </w:p>
    <w:p w14:paraId="10D52918" w14:textId="77777777" w:rsidR="00367F83" w:rsidRPr="00AC6ACB" w:rsidRDefault="00367F83" w:rsidP="00367F83">
      <w:pPr>
        <w:pStyle w:val="enumlev1"/>
      </w:pPr>
      <w:r w:rsidRPr="00AC6ACB">
        <w:t>4)</w:t>
      </w:r>
      <w:r w:rsidRPr="00AC6ACB">
        <w:tab/>
        <w:t>Les gains/(pertes) actuariel(le)s ASHI par actif net.</w:t>
      </w:r>
    </w:p>
    <w:p w14:paraId="5C9635B0" w14:textId="77777777" w:rsidR="00367F83" w:rsidRPr="00AC6ACB" w:rsidRDefault="00367F83" w:rsidP="00367F83">
      <w:pPr>
        <w:pStyle w:val="enumlev1"/>
      </w:pPr>
      <w:r w:rsidRPr="00AC6ACB">
        <w:t>5)</w:t>
      </w:r>
      <w:r w:rsidRPr="00AC6ACB">
        <w:tab/>
        <w:t>L'excédent/(le déficit) accumulé.</w:t>
      </w:r>
    </w:p>
    <w:p w14:paraId="09969514" w14:textId="77777777" w:rsidR="00367F83" w:rsidRPr="00AC6ACB" w:rsidRDefault="00367F83" w:rsidP="00367F83">
      <w:pPr>
        <w:pStyle w:val="Headingb"/>
        <w:rPr>
          <w:bCs/>
          <w:i/>
          <w:iCs/>
        </w:rPr>
      </w:pPr>
      <w:bookmarkStart w:id="149" w:name="_Toc200093246"/>
      <w:bookmarkStart w:id="150" w:name="_Toc200361458"/>
      <w:r w:rsidRPr="00AC6ACB">
        <w:rPr>
          <w:bCs/>
          <w:i/>
          <w:iCs/>
        </w:rPr>
        <w:t>Fonds de réserve de l'UIT</w:t>
      </w:r>
      <w:bookmarkEnd w:id="149"/>
      <w:bookmarkEnd w:id="150"/>
    </w:p>
    <w:p w14:paraId="70E1E892" w14:textId="77777777" w:rsidR="00367F83" w:rsidRPr="00AC6ACB" w:rsidRDefault="00367F83" w:rsidP="00367F83">
      <w:r w:rsidRPr="00AC6ACB">
        <w:t>Le Fonds de réserve de l'UIT est établi conformément au numéro 485 de la Convention de l'UIT et à l'Article 27 du Règlement financier. Il est financé par:</w:t>
      </w:r>
    </w:p>
    <w:p w14:paraId="25A40DBF" w14:textId="77777777" w:rsidR="00367F83" w:rsidRPr="00AC6ACB" w:rsidRDefault="00367F83" w:rsidP="00367F83">
      <w:pPr>
        <w:pStyle w:val="enumlev1"/>
      </w:pPr>
      <w:r w:rsidRPr="00AC6ACB">
        <w:t>–</w:t>
      </w:r>
      <w:r w:rsidRPr="00AC6ACB">
        <w:tab/>
        <w:t>le solde net positif ou négatif de la mise en œuvre du budget ordinaire de chaque exercice;</w:t>
      </w:r>
    </w:p>
    <w:p w14:paraId="21B010A9" w14:textId="77777777" w:rsidR="00367F83" w:rsidRPr="00AC6ACB" w:rsidRDefault="00367F83" w:rsidP="00367F83">
      <w:pPr>
        <w:pStyle w:val="enumlev1"/>
      </w:pPr>
      <w:r w:rsidRPr="00AC6ACB">
        <w:t>–</w:t>
      </w:r>
      <w:r w:rsidRPr="00AC6ACB">
        <w:tab/>
        <w:t>les transferts provenant d'autres fonds ou réserves, sur décision du Conseil;</w:t>
      </w:r>
    </w:p>
    <w:p w14:paraId="7A7BE6AD" w14:textId="77777777" w:rsidR="00367F83" w:rsidRPr="00AC6ACB" w:rsidRDefault="00367F83" w:rsidP="00367F83">
      <w:pPr>
        <w:pStyle w:val="enumlev1"/>
      </w:pPr>
      <w:r w:rsidRPr="00AC6ACB">
        <w:t>–</w:t>
      </w:r>
      <w:r w:rsidRPr="00AC6ACB">
        <w:tab/>
        <w:t>les autres crédits prévus dans les normes comptables applicables.</w:t>
      </w:r>
    </w:p>
    <w:p w14:paraId="7E4D7F64" w14:textId="77777777" w:rsidR="00367F83" w:rsidRPr="00AC6ACB" w:rsidRDefault="00367F83" w:rsidP="00367F83">
      <w:r w:rsidRPr="00AC6ACB">
        <w:t>Les prélèvements sur le Fonds de réserve peuvent uniquement être effectués par le Conseil, sur décision spéciale de celui-ci, et son utilisation est limitée aux fins suivantes:</w:t>
      </w:r>
    </w:p>
    <w:p w14:paraId="7E1D2BF7" w14:textId="77777777" w:rsidR="00367F83" w:rsidRPr="00AC6ACB" w:rsidRDefault="00367F83" w:rsidP="00367F83">
      <w:pPr>
        <w:pStyle w:val="enumlev1"/>
      </w:pPr>
      <w:r w:rsidRPr="00AC6ACB">
        <w:t>–</w:t>
      </w:r>
      <w:r w:rsidRPr="00AC6ACB">
        <w:tab/>
        <w:t>Réduire le montant de l'unité contributive.</w:t>
      </w:r>
    </w:p>
    <w:p w14:paraId="402CA0AF" w14:textId="77777777" w:rsidR="00367F83" w:rsidRPr="00AC6ACB" w:rsidRDefault="00367F83" w:rsidP="00367F83">
      <w:pPr>
        <w:pStyle w:val="enumlev1"/>
      </w:pPr>
      <w:r w:rsidRPr="00AC6ACB">
        <w:t>–</w:t>
      </w:r>
      <w:r w:rsidRPr="00AC6ACB">
        <w:tab/>
        <w:t>Équilibrer le budget de l'Union.</w:t>
      </w:r>
    </w:p>
    <w:p w14:paraId="0B1D4074" w14:textId="77777777" w:rsidR="00367F83" w:rsidRPr="00AC6ACB" w:rsidRDefault="00367F83" w:rsidP="00367F83">
      <w:pPr>
        <w:pStyle w:val="enumlev1"/>
      </w:pPr>
      <w:r w:rsidRPr="00AC6ACB">
        <w:t>–</w:t>
      </w:r>
      <w:r w:rsidRPr="00AC6ACB">
        <w:tab/>
        <w:t>Effectuer des transferts sur d'autres fonds ou réserves.</w:t>
      </w:r>
    </w:p>
    <w:p w14:paraId="7C3E64AC" w14:textId="77777777" w:rsidR="00367F83" w:rsidRPr="00AC6ACB" w:rsidRDefault="00367F83" w:rsidP="00367F83">
      <w:pPr>
        <w:pStyle w:val="enumlev1"/>
      </w:pPr>
      <w:r w:rsidRPr="00AC6ACB">
        <w:t>–</w:t>
      </w:r>
      <w:r w:rsidRPr="00AC6ACB">
        <w:tab/>
        <w:t>Faire des ajustements conformément aux normes comptables applicables.</w:t>
      </w:r>
    </w:p>
    <w:p w14:paraId="00A92614" w14:textId="77777777" w:rsidR="00367F83" w:rsidRPr="00AC6ACB" w:rsidRDefault="00367F83" w:rsidP="00367F83">
      <w:r w:rsidRPr="00AC6ACB">
        <w:lastRenderedPageBreak/>
        <w:t>Les mouvements du Fonds de réserve de l'UIT sont indiqués dans le tableau ci-dessous.</w:t>
      </w:r>
    </w:p>
    <w:p w14:paraId="74269006" w14:textId="77777777" w:rsidR="00367F83" w:rsidRPr="00AC6ACB" w:rsidRDefault="00367F83" w:rsidP="00367F83">
      <w:pPr>
        <w:pStyle w:val="Figure"/>
      </w:pPr>
      <w:r w:rsidRPr="00AC6ACB">
        <w:rPr>
          <w:noProof/>
        </w:rPr>
        <w:drawing>
          <wp:inline distT="0" distB="0" distL="0" distR="0" wp14:anchorId="729DA9AC" wp14:editId="25832505">
            <wp:extent cx="5040000" cy="2108724"/>
            <wp:effectExtent l="0" t="0" r="8255" b="6350"/>
            <wp:docPr id="544601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2108724"/>
                    </a:xfrm>
                    <a:prstGeom prst="rect">
                      <a:avLst/>
                    </a:prstGeom>
                    <a:noFill/>
                    <a:ln>
                      <a:noFill/>
                    </a:ln>
                  </pic:spPr>
                </pic:pic>
              </a:graphicData>
            </a:graphic>
          </wp:inline>
        </w:drawing>
      </w:r>
    </w:p>
    <w:p w14:paraId="06703051" w14:textId="77777777" w:rsidR="00367F83" w:rsidRPr="00AC6ACB" w:rsidRDefault="00367F83" w:rsidP="00367F83">
      <w:pPr>
        <w:pStyle w:val="Normalaftertitle"/>
      </w:pPr>
      <w:r w:rsidRPr="00AC6ACB">
        <w:t>Au 31 décembre 2024, l'avoir du Fonds de réserve s'élevait à 30,7 millions CHF (contre 26,3 millions CHF en 2023). L'avoir du Fonds de réserve représente 18,6% du budget 2024, pourcentage très largement supérieur au seuil de 6% fixé par la Conférence de plénipotentiaires dans sa Décision 5 (Rév. Dubaï, 2022).</w:t>
      </w:r>
    </w:p>
    <w:p w14:paraId="18FA554A" w14:textId="77777777" w:rsidR="00367F83" w:rsidRPr="00AC6ACB" w:rsidRDefault="00367F83" w:rsidP="00367F83">
      <w:pPr>
        <w:pStyle w:val="Headingb"/>
        <w:rPr>
          <w:bCs/>
          <w:i/>
          <w:iCs/>
        </w:rPr>
      </w:pPr>
      <w:bookmarkStart w:id="151" w:name="_Toc200093247"/>
      <w:bookmarkStart w:id="152" w:name="_Toc200361459"/>
      <w:r w:rsidRPr="00AC6ACB">
        <w:rPr>
          <w:bCs/>
          <w:i/>
          <w:iCs/>
        </w:rPr>
        <w:t>Autres réserves et fonds</w:t>
      </w:r>
      <w:bookmarkEnd w:id="151"/>
      <w:bookmarkEnd w:id="152"/>
    </w:p>
    <w:p w14:paraId="56A6C4C2" w14:textId="77777777" w:rsidR="00367F83" w:rsidRPr="00AC6ACB" w:rsidRDefault="00367F83" w:rsidP="00367F83">
      <w:r w:rsidRPr="00AC6ACB">
        <w:t>Les autres réserves et fonds sont établis pour appuyer les projets à long terme, les besoins opérationnels et les passifs imprévus de l'UIT. Ils incluent:</w:t>
      </w:r>
    </w:p>
    <w:p w14:paraId="56D72E40" w14:textId="77777777" w:rsidR="00367F83" w:rsidRPr="00AC6ACB" w:rsidRDefault="00367F83" w:rsidP="00367F83">
      <w:pPr>
        <w:pStyle w:val="enumlev1"/>
      </w:pPr>
      <w:r w:rsidRPr="00AC6ACB">
        <w:t>1)</w:t>
      </w:r>
      <w:r w:rsidRPr="00AC6ACB">
        <w:tab/>
        <w:t>les économies réalisées au cours de l'année précédente, c'est-à-dire les économies conservées issues des cycles budgétaires précédents;</w:t>
      </w:r>
    </w:p>
    <w:p w14:paraId="18163D0C" w14:textId="77777777" w:rsidR="00367F83" w:rsidRPr="00AC6ACB" w:rsidRDefault="00367F83" w:rsidP="00367F83">
      <w:pPr>
        <w:pStyle w:val="enumlev1"/>
      </w:pPr>
      <w:r w:rsidRPr="00AC6ACB">
        <w:t>2)</w:t>
      </w:r>
      <w:r w:rsidRPr="00AC6ACB">
        <w:tab/>
        <w:t>les fonds de placement, qui comprennent le Fonds d'entretien des bâtiments et le Fonds de roulement pour les TIC;</w:t>
      </w:r>
    </w:p>
    <w:p w14:paraId="2830A923" w14:textId="77777777" w:rsidR="00367F83" w:rsidRPr="00AC6ACB" w:rsidRDefault="00367F83" w:rsidP="00367F83">
      <w:pPr>
        <w:pStyle w:val="enumlev1"/>
      </w:pPr>
      <w:r w:rsidRPr="00AC6ACB">
        <w:t>3)</w:t>
      </w:r>
      <w:r w:rsidRPr="00AC6ACB">
        <w:tab/>
        <w:t>le Fonds de réserve pour le nouveau bâtiment, qui a été créé pour compléter le budget financé au moyen du prêt consenti par la FIPOI. Ce budget supplémentaire représente 20,14 millions CHF provenant des parrainages, des dons et des économies provenant de l'excédent enregistré de 2018;</w:t>
      </w:r>
    </w:p>
    <w:p w14:paraId="6DD56AE5" w14:textId="77777777" w:rsidR="00367F83" w:rsidRPr="00AC6ACB" w:rsidRDefault="00367F83" w:rsidP="00367F83">
      <w:pPr>
        <w:pStyle w:val="enumlev1"/>
      </w:pPr>
      <w:r w:rsidRPr="00AC6ACB">
        <w:t>4)</w:t>
      </w:r>
      <w:r w:rsidRPr="00AC6ACB">
        <w:tab/>
        <w:t>le Fonds pour le registre des risques, créé pour couvrir les coûts supplémentaires non prévus pour le projet de nouveau bâtiment;</w:t>
      </w:r>
    </w:p>
    <w:p w14:paraId="2F72C276" w14:textId="261575C0" w:rsidR="00367F83" w:rsidRPr="00AC6ACB" w:rsidRDefault="00367F83" w:rsidP="00367F83">
      <w:pPr>
        <w:pStyle w:val="enumlev1"/>
      </w:pPr>
      <w:r w:rsidRPr="00AC6ACB">
        <w:t>5)</w:t>
      </w:r>
      <w:r w:rsidRPr="00AC6ACB">
        <w:tab/>
        <w:t>le Fonds de bien-être du personnel</w:t>
      </w:r>
      <w:r w:rsidR="009139BA" w:rsidRPr="00AC6ACB">
        <w:t xml:space="preserve">: ce Fonds est </w:t>
      </w:r>
      <w:r w:rsidRPr="00AC6ACB">
        <w:t>géré par le Secrétaire général et utilisé pour financer les activités destinées au personnel, en collaboration avec le Conseil du personnel de l'UIT. La principale source de produits est la commission versée par le service de restauration de l'UIT et les principales charges sont liées aux subventions aux clubs de l'UIT et à l'organisation de la fête du personnel;</w:t>
      </w:r>
    </w:p>
    <w:p w14:paraId="609AF8AA" w14:textId="2F2D3D01" w:rsidR="00367F83" w:rsidRPr="00AC6ACB" w:rsidRDefault="00367F83" w:rsidP="00367F83">
      <w:pPr>
        <w:pStyle w:val="enumlev1"/>
      </w:pPr>
      <w:r w:rsidRPr="00AC6ACB">
        <w:t>6)</w:t>
      </w:r>
      <w:r w:rsidRPr="00AC6ACB">
        <w:tab/>
        <w:t>le Fonds du centenaire</w:t>
      </w:r>
      <w:r w:rsidR="009139BA" w:rsidRPr="00AC6ACB">
        <w:t>,</w:t>
      </w:r>
      <w:r w:rsidRPr="00AC6ACB">
        <w:t xml:space="preserve"> qui a été créé à l'occasion du 100ème anniversaire de l'UIT. Toutefois, le Conseil a décidé d'affecter les fonds restants à la modernisation de la bibliothèque;</w:t>
      </w:r>
    </w:p>
    <w:p w14:paraId="34427CC2" w14:textId="77777777" w:rsidR="00367F83" w:rsidRPr="00AC6ACB" w:rsidRDefault="00367F83" w:rsidP="00367F83">
      <w:pPr>
        <w:pStyle w:val="enumlev1"/>
        <w:keepLines/>
      </w:pPr>
      <w:r w:rsidRPr="00AC6ACB">
        <w:t>7)</w:t>
      </w:r>
      <w:r w:rsidRPr="00AC6ACB">
        <w:tab/>
        <w:t>la Caisse d'assurance du personnel de l'UIT recouvrant deux fonds, à savoir le Fonds des pensions et le Fonds d'intervention, qui sont liés aux pensions des membres du personnel qui étaient en service avant le 1er janvier 1960, date à laquelle l'UIT a été affiliée à la Caisse commune des pensions du personnel des Nations Unies (CCPPNU). Aux termes de l'Article 86 de ses Statuts, la Caisse d'assurance du personnel de l'UIT est administrée par l'Union et les fonds sont placés en valeurs pupillaires;</w:t>
      </w:r>
    </w:p>
    <w:p w14:paraId="75B8E0A3" w14:textId="77777777" w:rsidR="00367F83" w:rsidRPr="00AC6ACB" w:rsidRDefault="00367F83" w:rsidP="00367F83">
      <w:pPr>
        <w:pStyle w:val="enumlev1"/>
      </w:pPr>
      <w:r w:rsidRPr="00AC6ACB">
        <w:lastRenderedPageBreak/>
        <w:t>8)</w:t>
      </w:r>
      <w:r w:rsidRPr="00AC6ACB">
        <w:tab/>
        <w:t>le Fonds ASHI, créé afin de financer le passif à long terme de l'Assurance maladie après la cessation de service);</w:t>
      </w:r>
    </w:p>
    <w:p w14:paraId="508EB5F7" w14:textId="77777777" w:rsidR="00367F83" w:rsidRPr="00AC6ACB" w:rsidRDefault="00367F83" w:rsidP="00367F83">
      <w:pPr>
        <w:pStyle w:val="enumlev1"/>
      </w:pPr>
      <w:r w:rsidRPr="00AC6ACB">
        <w:t>9)</w:t>
      </w:r>
      <w:r w:rsidRPr="00AC6ACB">
        <w:tab/>
        <w:t>la Caisse d'assurance maladie, liée au fonds de garantie de la Convention Collective d'assurance Maladie (CCAM), qui constitue le fonds de garantie établi pour le régime d'assurance maladie de l'UIT en 2014, date à laquelle l'Organisation était affiliée à un autre assureur, avant le passage à l'UNSMIS.</w:t>
      </w:r>
    </w:p>
    <w:p w14:paraId="0DE79C2D" w14:textId="77777777" w:rsidR="00367F83" w:rsidRPr="00AC6ACB" w:rsidRDefault="00367F83" w:rsidP="00367F83">
      <w:r w:rsidRPr="00AC6ACB">
        <w:t>Les mouvements des autres réserves et fonds de l'UIT sont indiqués dans le tableau ci</w:t>
      </w:r>
      <w:r w:rsidRPr="00AC6ACB">
        <w:noBreakHyphen/>
        <w:t>dessous.</w:t>
      </w:r>
    </w:p>
    <w:p w14:paraId="095F1CDA" w14:textId="77777777" w:rsidR="00367F83" w:rsidRPr="00AC6ACB" w:rsidRDefault="00367F83" w:rsidP="00367F83">
      <w:pPr>
        <w:pStyle w:val="Figure"/>
      </w:pPr>
      <w:r w:rsidRPr="00AC6ACB">
        <w:rPr>
          <w:noProof/>
        </w:rPr>
        <w:drawing>
          <wp:inline distT="0" distB="0" distL="0" distR="0" wp14:anchorId="332FFC45" wp14:editId="52EDB988">
            <wp:extent cx="5760085" cy="2909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909570"/>
                    </a:xfrm>
                    <a:prstGeom prst="rect">
                      <a:avLst/>
                    </a:prstGeom>
                    <a:noFill/>
                    <a:ln>
                      <a:noFill/>
                    </a:ln>
                  </pic:spPr>
                </pic:pic>
              </a:graphicData>
            </a:graphic>
          </wp:inline>
        </w:drawing>
      </w:r>
    </w:p>
    <w:p w14:paraId="20E29B02" w14:textId="699B11A8" w:rsidR="00367F83" w:rsidRPr="00AC6ACB" w:rsidRDefault="00367F83" w:rsidP="00367F83">
      <w:pPr>
        <w:pStyle w:val="Headingb"/>
        <w:rPr>
          <w:bCs/>
          <w:i/>
          <w:iCs/>
        </w:rPr>
      </w:pPr>
      <w:bookmarkStart w:id="153" w:name="_Toc200093248"/>
      <w:bookmarkStart w:id="154" w:name="_Toc200361460"/>
      <w:r w:rsidRPr="00AC6ACB">
        <w:rPr>
          <w:bCs/>
          <w:i/>
          <w:iCs/>
        </w:rPr>
        <w:t>Réserves extrabudgétaires</w:t>
      </w:r>
      <w:bookmarkEnd w:id="153"/>
      <w:bookmarkEnd w:id="154"/>
    </w:p>
    <w:p w14:paraId="30615DF7" w14:textId="77777777" w:rsidR="00367F83" w:rsidRPr="00AC6ACB" w:rsidRDefault="00367F83" w:rsidP="00367F83">
      <w:r w:rsidRPr="00AC6ACB">
        <w:t>Il s'agit des réserves visant à appuyer les projets et les initiatives de l'UIT en dehors du cadre du budget ordinaire. Elles sont constituées des éléments suivants:</w:t>
      </w:r>
    </w:p>
    <w:p w14:paraId="225E9616" w14:textId="77777777" w:rsidR="00367F83" w:rsidRPr="00AC6ACB" w:rsidRDefault="00367F83" w:rsidP="00367F83">
      <w:pPr>
        <w:pStyle w:val="enumlev1"/>
        <w:rPr>
          <w:i/>
          <w:iCs/>
        </w:rPr>
      </w:pPr>
      <w:r w:rsidRPr="00AC6ACB">
        <w:t>–</w:t>
      </w:r>
      <w:r w:rsidRPr="00AC6ACB">
        <w:tab/>
      </w:r>
      <w:r w:rsidRPr="00AC6ACB">
        <w:rPr>
          <w:i/>
          <w:iCs/>
        </w:rPr>
        <w:t>Réserves affectées</w:t>
      </w:r>
    </w:p>
    <w:p w14:paraId="21B09D2A" w14:textId="77777777" w:rsidR="00367F83" w:rsidRPr="00AC6ACB" w:rsidRDefault="00367F83" w:rsidP="00367F83">
      <w:pPr>
        <w:pStyle w:val="enumlev1"/>
      </w:pPr>
      <w:r w:rsidRPr="00AC6ACB">
        <w:tab/>
        <w:t>Elles sont constituées afin de financer les projets internes en cours. Les mouvements représentent les charges liées à la mise en œuvre des projets ainsi qu'à l'affectation des fonds internes provenant du budget ordinaire ou du Fonds pour le développement des technologies de l'information et de la communication (FDTIC).</w:t>
      </w:r>
    </w:p>
    <w:p w14:paraId="0F8A1F90" w14:textId="77777777" w:rsidR="00367F83" w:rsidRPr="00AC6ACB" w:rsidRDefault="00367F83" w:rsidP="00367F83">
      <w:pPr>
        <w:pStyle w:val="enumlev1"/>
      </w:pPr>
      <w:r w:rsidRPr="00AC6ACB">
        <w:t>–</w:t>
      </w:r>
      <w:r w:rsidRPr="00AC6ACB">
        <w:tab/>
      </w:r>
      <w:r w:rsidRPr="00AC6ACB">
        <w:rPr>
          <w:i/>
          <w:iCs/>
        </w:rPr>
        <w:t>Fonds de roulement des expositions de l'UIT</w:t>
      </w:r>
    </w:p>
    <w:p w14:paraId="40E99FD8" w14:textId="77777777" w:rsidR="00367F83" w:rsidRPr="00AC6ACB" w:rsidRDefault="00367F83" w:rsidP="00367F83">
      <w:pPr>
        <w:pStyle w:val="enumlev1"/>
      </w:pPr>
      <w:r w:rsidRPr="00AC6ACB">
        <w:tab/>
        <w:t>À la suite de l'abrogation de la Résolution 11 (Bucarest, 2022), en 2024, conformément à la Résolution 1427 (</w:t>
      </w:r>
      <w:hyperlink r:id="rId33" w:history="1">
        <w:r w:rsidRPr="00AC6ACB">
          <w:rPr>
            <w:rStyle w:val="Hyperlink"/>
            <w:rFonts w:eastAsia="Times New Roman" w:cs="Times New Roman"/>
            <w:szCs w:val="20"/>
          </w:rPr>
          <w:t>Document C24/134</w:t>
        </w:r>
      </w:hyperlink>
      <w:r w:rsidRPr="00AC6ACB">
        <w:t>), un montant de 0,465 million CHF a été prélevé sur ce Fonds et versé sur le FDTIC. Le solde restant sur le fonds de roulement des expositions est utilisé pour s'acquitter de toutes les obligations envers le personnel de Telecom.</w:t>
      </w:r>
    </w:p>
    <w:p w14:paraId="5DA5F4B6" w14:textId="77777777" w:rsidR="00367F83" w:rsidRPr="00AC6ACB" w:rsidRDefault="00367F83" w:rsidP="00367F83">
      <w:pPr>
        <w:pStyle w:val="enumlev1"/>
        <w:rPr>
          <w:i/>
          <w:iCs/>
        </w:rPr>
      </w:pPr>
      <w:r w:rsidRPr="00AC6ACB">
        <w:t>–</w:t>
      </w:r>
      <w:r w:rsidRPr="00AC6ACB">
        <w:tab/>
      </w:r>
      <w:r w:rsidRPr="00AC6ACB">
        <w:rPr>
          <w:i/>
          <w:iCs/>
        </w:rPr>
        <w:t>Fonds pour le développement des technologies de l'information et de la communication</w:t>
      </w:r>
    </w:p>
    <w:p w14:paraId="42A9E2C0" w14:textId="77777777" w:rsidR="00367F83" w:rsidRPr="00AC6ACB" w:rsidRDefault="00367F83" w:rsidP="00367F83">
      <w:pPr>
        <w:pStyle w:val="enumlev1"/>
      </w:pPr>
      <w:r w:rsidRPr="00AC6ACB">
        <w:tab/>
        <w:t>Il est utilisé à l'appui des projets nationaux et régionaux liés au développement des TIC et alimenté par les excédents de produits tirés de manifestations ITU TELECOM et les contributions de membres ou de tiers. Le Fonds FDTIC contient également des contributions versées par des membres ou des tiers pour financer divers projets de développement des TIC.</w:t>
      </w:r>
    </w:p>
    <w:p w14:paraId="0A6CCA87" w14:textId="77777777" w:rsidR="00367F83" w:rsidRPr="00AC6ACB" w:rsidRDefault="00367F83" w:rsidP="00367F83">
      <w:pPr>
        <w:pStyle w:val="enumlev1"/>
        <w:rPr>
          <w:i/>
          <w:iCs/>
        </w:rPr>
      </w:pPr>
      <w:r w:rsidRPr="00AC6ACB">
        <w:lastRenderedPageBreak/>
        <w:t>–</w:t>
      </w:r>
      <w:r w:rsidRPr="00AC6ACB">
        <w:tab/>
      </w:r>
      <w:r w:rsidRPr="00AC6ACB">
        <w:rPr>
          <w:i/>
          <w:iCs/>
        </w:rPr>
        <w:t>Autres réserves non affectées</w:t>
      </w:r>
    </w:p>
    <w:p w14:paraId="0AA24A4E" w14:textId="77777777" w:rsidR="00367F83" w:rsidRPr="00AC6ACB" w:rsidRDefault="00367F83" w:rsidP="00367F83">
      <w:pPr>
        <w:pStyle w:val="enumlev1"/>
      </w:pPr>
      <w:r w:rsidRPr="00AC6ACB">
        <w:tab/>
        <w:t>Elles sont constituées des reliquats de projets clôturés, utilisables pour financer de nouveaux projets ou de nouvelles initiatives au niveau régional.</w:t>
      </w:r>
    </w:p>
    <w:p w14:paraId="0F093ABA" w14:textId="77777777" w:rsidR="00367F83" w:rsidRPr="00AC6ACB" w:rsidRDefault="00367F83" w:rsidP="00367F83">
      <w:r w:rsidRPr="00AC6ACB">
        <w:t>Les mouvements des réserves extrabudgétaires de l'UIT sont indiqués dans le tableau ci</w:t>
      </w:r>
      <w:r w:rsidRPr="00AC6ACB">
        <w:noBreakHyphen/>
        <w:t>dessous.</w:t>
      </w:r>
    </w:p>
    <w:p w14:paraId="701EA15F" w14:textId="77777777" w:rsidR="00367F83" w:rsidRPr="00AC6ACB" w:rsidRDefault="00367F83" w:rsidP="00367F83">
      <w:pPr>
        <w:pStyle w:val="Figure"/>
      </w:pPr>
      <w:r w:rsidRPr="00AC6ACB">
        <w:rPr>
          <w:noProof/>
        </w:rPr>
        <w:drawing>
          <wp:inline distT="0" distB="0" distL="0" distR="0" wp14:anchorId="04F387C7" wp14:editId="0DAC89F4">
            <wp:extent cx="5760085" cy="1909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1909445"/>
                    </a:xfrm>
                    <a:prstGeom prst="rect">
                      <a:avLst/>
                    </a:prstGeom>
                    <a:noFill/>
                    <a:ln>
                      <a:noFill/>
                    </a:ln>
                  </pic:spPr>
                </pic:pic>
              </a:graphicData>
            </a:graphic>
          </wp:inline>
        </w:drawing>
      </w:r>
    </w:p>
    <w:p w14:paraId="6221B55E" w14:textId="77777777" w:rsidR="00367F83" w:rsidRPr="00AC6ACB" w:rsidRDefault="00367F83" w:rsidP="00367F83">
      <w:pPr>
        <w:pStyle w:val="Headingb"/>
        <w:rPr>
          <w:bCs/>
          <w:i/>
          <w:iCs/>
        </w:rPr>
      </w:pPr>
      <w:bookmarkStart w:id="155" w:name="_Toc200093249"/>
      <w:bookmarkStart w:id="156" w:name="_Toc200361461"/>
      <w:r w:rsidRPr="00AC6ACB">
        <w:rPr>
          <w:bCs/>
          <w:i/>
          <w:iCs/>
        </w:rPr>
        <w:t>Gains/(pertes) actuariel(le)s correspondant à l'ASHI comptabilisés à l'actif net</w:t>
      </w:r>
      <w:bookmarkEnd w:id="155"/>
      <w:bookmarkEnd w:id="156"/>
    </w:p>
    <w:p w14:paraId="4237BABA" w14:textId="77777777" w:rsidR="00367F83" w:rsidRPr="00AC6ACB" w:rsidRDefault="00367F83" w:rsidP="00367F83">
      <w:r w:rsidRPr="00AC6ACB">
        <w:t>Les gains et pertes actuariels de l'évaluation périodique des obligations liées à l'ASHI sont directement comptabilités à l'actif net, conformément aux normes IPSAS. Ces montants reflètent les modifications apportées aux hypothèses actuarielles ou les différences entre les résultats attendus et les résultats effectifs.</w:t>
      </w:r>
    </w:p>
    <w:p w14:paraId="6F035AC4" w14:textId="77777777" w:rsidR="00367F83" w:rsidRPr="00AC6ACB" w:rsidRDefault="00367F83" w:rsidP="00367F83">
      <w:pPr>
        <w:pStyle w:val="Headingb"/>
        <w:rPr>
          <w:bCs/>
          <w:i/>
          <w:iCs/>
        </w:rPr>
      </w:pPr>
      <w:bookmarkStart w:id="157" w:name="_Toc200093250"/>
      <w:bookmarkStart w:id="158" w:name="_Toc200361462"/>
      <w:r w:rsidRPr="00AC6ACB">
        <w:rPr>
          <w:bCs/>
          <w:i/>
          <w:iCs/>
        </w:rPr>
        <w:t>Excédent/(déficit) accumulé</w:t>
      </w:r>
      <w:bookmarkEnd w:id="157"/>
      <w:bookmarkEnd w:id="158"/>
    </w:p>
    <w:p w14:paraId="6EBE124D" w14:textId="77777777" w:rsidR="00367F83" w:rsidRPr="00AC6ACB" w:rsidRDefault="00367F83" w:rsidP="00367F83">
      <w:r w:rsidRPr="00AC6ACB">
        <w:t>L'excédent/(le déficit) accumulé représente le résultat cumulatif des opérations de l'UIT dans le temps, avec ajustement pour les transferts depuis et vers les fonds de réserve. Les mouvements au niveau de l'excédent/(du déficit) accumulé sont indiqués dans l'État des variations de l'actif net.</w:t>
      </w:r>
    </w:p>
    <w:p w14:paraId="0CD112FB" w14:textId="3C025062" w:rsidR="00367F83" w:rsidRPr="00AC6ACB" w:rsidRDefault="00367F83" w:rsidP="00367F83">
      <w:pPr>
        <w:pStyle w:val="Heading1"/>
        <w:spacing w:before="240"/>
        <w:rPr>
          <w:bCs/>
          <w:sz w:val="24"/>
        </w:rPr>
      </w:pPr>
      <w:bookmarkStart w:id="159" w:name="_Toc200361463"/>
      <w:r w:rsidRPr="00AC6ACB">
        <w:rPr>
          <w:bCs/>
          <w:sz w:val="24"/>
        </w:rPr>
        <w:t>Note 5</w:t>
      </w:r>
      <w:r w:rsidRPr="00AC6ACB">
        <w:rPr>
          <w:bCs/>
          <w:sz w:val="24"/>
        </w:rPr>
        <w:tab/>
        <w:t>Risques financiers</w:t>
      </w:r>
      <w:bookmarkEnd w:id="159"/>
    </w:p>
    <w:p w14:paraId="4BD1D62A" w14:textId="77777777" w:rsidR="00367F83" w:rsidRPr="00AC6ACB" w:rsidRDefault="00367F83" w:rsidP="00367F83">
      <w:r w:rsidRPr="00AC6ACB">
        <w:t>Dans le cadre de ses activités, l'UIT est exposée à un certain nombre de risques financiers, à savoir le risque de crédit, le risque de marché (risque de change), le risque de taux d'intérêt et le risque de liquidité. Cette note présente des informations concernant l'exposition de l'UIT à chacun des risques précédents, et expose les principes adoptés par l'UIT pour gérer ces risques et pour maintenir son capital. La gestion des risques financiers est centralisée sous la responsabilité du Secrétaire général.</w:t>
      </w:r>
    </w:p>
    <w:p w14:paraId="4C11DED3" w14:textId="77777777" w:rsidR="00367F83" w:rsidRPr="00AC6ACB" w:rsidRDefault="00367F83" w:rsidP="00367F83">
      <w:pPr>
        <w:keepLines/>
      </w:pPr>
      <w:r w:rsidRPr="00AC6ACB">
        <w:t>Conformément à la norme IPSAS 41, la trésorerie et les équivalents de trésorerie de l'UIT sont comptabilisés au coût amorti. Cette mesure rend compte du montant des fonds en caisse et de la valeur des actifs qui peuvent être rapidement convertis en un montant connu de trésorerie, auquel on retire les éventuelles réductions applicables en valeur ou dépréciations, à la date de clôture.</w:t>
      </w:r>
    </w:p>
    <w:p w14:paraId="649E2F20" w14:textId="77777777" w:rsidR="00367F83" w:rsidRPr="00AC6ACB" w:rsidRDefault="00367F83" w:rsidP="00367F83">
      <w:r w:rsidRPr="00AC6ACB">
        <w:t>La juste valeur des dettes fournisseurs, ainsi que d'autres passifs courants et des contributions volontaires se rapproche de leur valeur comptable enregistrée en raison de leur caractère à court terme.</w:t>
      </w:r>
    </w:p>
    <w:p w14:paraId="2382BCBD" w14:textId="77777777" w:rsidR="00367F83" w:rsidRPr="00AC6ACB" w:rsidRDefault="00367F83" w:rsidP="00367F83">
      <w:r w:rsidRPr="00AC6ACB">
        <w:lastRenderedPageBreak/>
        <w:t>Les emprunts (prêts) sont comptabilisés à la juste valeur s'ils sont assortis d'un plan d'amortissement ou aux coûts amortis s'il n'existe aucun plan d'amortissement (voir la Note 15).</w:t>
      </w:r>
    </w:p>
    <w:p w14:paraId="698F5787" w14:textId="77777777" w:rsidR="00367F83" w:rsidRPr="00AC6ACB" w:rsidRDefault="00367F83" w:rsidP="00367F83">
      <w:pPr>
        <w:pStyle w:val="enumlev1"/>
        <w:rPr>
          <w:i/>
          <w:iCs/>
        </w:rPr>
      </w:pPr>
      <w:r w:rsidRPr="00AC6ACB">
        <w:rPr>
          <w:i/>
          <w:iCs/>
        </w:rPr>
        <w:t>a)</w:t>
      </w:r>
      <w:r w:rsidRPr="00AC6ACB">
        <w:rPr>
          <w:i/>
          <w:iCs/>
        </w:rPr>
        <w:tab/>
        <w:t>Risque de crédit</w:t>
      </w:r>
    </w:p>
    <w:p w14:paraId="3B1DD113" w14:textId="77777777" w:rsidR="00367F83" w:rsidRPr="00AC6ACB" w:rsidRDefault="00367F83" w:rsidP="00367F83">
      <w:r w:rsidRPr="00AC6ACB">
        <w:t>Le risque de crédit est le risque de perte financière encouru par l'UIT dans le cas où des clients ou des contreparties à des instruments financiers ne remplissent pas leurs obligations contractuelles. Ce risque provient principalement des placements, des créances, et de la trésorerie et des équivalents de trésorerie. La valeur comptable des actifs financiers représente l'exposition maximale au risque de crédit. L'UIT diminue les risques de crédit sur la trésorerie et les équivalents de trésorerie et les placements en les répartissant entre plusieurs institutions bancaires ayant une cote de solvabilité élevée, supérieure ou égale à A3.</w:t>
      </w:r>
    </w:p>
    <w:p w14:paraId="01EAA97C" w14:textId="77777777" w:rsidR="00367F83" w:rsidRPr="00AC6ACB" w:rsidRDefault="00367F83" w:rsidP="00367F83">
      <w:r w:rsidRPr="00AC6ACB">
        <w:t>Au 31 décembre, la situation en ce qui concerne l'exposition maximale au risque de crédit était la suivante:</w:t>
      </w:r>
    </w:p>
    <w:p w14:paraId="2274BCE3" w14:textId="77777777" w:rsidR="00367F83" w:rsidRPr="00AC6ACB" w:rsidRDefault="00367F83" w:rsidP="00367F83">
      <w:pPr>
        <w:pStyle w:val="Figure"/>
      </w:pPr>
      <w:r w:rsidRPr="00AC6ACB">
        <w:rPr>
          <w:noProof/>
        </w:rPr>
        <w:drawing>
          <wp:inline distT="0" distB="0" distL="0" distR="0" wp14:anchorId="2F351302" wp14:editId="22270480">
            <wp:extent cx="4647600" cy="1582628"/>
            <wp:effectExtent l="0" t="0" r="635" b="0"/>
            <wp:docPr id="1615584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7600" cy="1582628"/>
                    </a:xfrm>
                    <a:prstGeom prst="rect">
                      <a:avLst/>
                    </a:prstGeom>
                    <a:noFill/>
                    <a:ln>
                      <a:noFill/>
                    </a:ln>
                  </pic:spPr>
                </pic:pic>
              </a:graphicData>
            </a:graphic>
          </wp:inline>
        </w:drawing>
      </w:r>
    </w:p>
    <w:p w14:paraId="737F04D7" w14:textId="77777777" w:rsidR="00367F83" w:rsidRPr="00AC6ACB" w:rsidRDefault="00367F83" w:rsidP="00367F83">
      <w:pPr>
        <w:pStyle w:val="enumlev1"/>
        <w:rPr>
          <w:i/>
          <w:iCs/>
        </w:rPr>
      </w:pPr>
      <w:r w:rsidRPr="00AC6ACB">
        <w:rPr>
          <w:i/>
          <w:iCs/>
        </w:rPr>
        <w:t>b)</w:t>
      </w:r>
      <w:r w:rsidRPr="00AC6ACB">
        <w:rPr>
          <w:i/>
          <w:iCs/>
        </w:rPr>
        <w:tab/>
        <w:t>Qualité de crédit</w:t>
      </w:r>
    </w:p>
    <w:p w14:paraId="6AE99BAC" w14:textId="77777777" w:rsidR="00367F83" w:rsidRPr="00AC6ACB" w:rsidRDefault="00367F83" w:rsidP="00367F83">
      <w:r w:rsidRPr="00AC6ACB">
        <w:t>La qualité de crédit est l'évaluation du risque de défaut de paiement des contreparties auxquelles l'UIT accorde des crédits, ainsi qu'aux parties avec lesquelles elle investit. L'UIT a examiné les niveaux de ses comptes débiteurs provenant des contributions mises en recouvrement et d'autres sources. Le vieillissement des créances des États Membres, des Membres de Secteur et des Associés est source de préoccupation. Dans sa Résolution 41 (Rév. Dubaï, 2018) intitulée "Arriérés et comptes spéciaux d'arriérés", la Conférence de plénipotentiaires a noté le niveau élevé des arriérés, mis en place un mécanisme d'amortissement et encouragé les membres ayant des arriérés à procéder aux paiements sans attendre afin de garantir un financement suffisant pour l'UIT. Ce niveau des arriérés nuira à la stabilité financière de l'Union si les montants correspondants ne sont pas encaissés. En 2024, un montant de 0,2 million CHF a été passé par pertes et profits concernant les principaux comptes débiteurs, auxquels se sont ajoutés des intérêts moratoires pour un montant de 0,2 million CHF. Il faut donc poursuivre les travaux pour faire en sorte que l'UIT recouvre ses créances en temps voulu à l'avenir.</w:t>
      </w:r>
    </w:p>
    <w:p w14:paraId="1F060129" w14:textId="77777777" w:rsidR="00367F83" w:rsidRPr="00AC6ACB" w:rsidRDefault="00367F83" w:rsidP="00367F83">
      <w:r w:rsidRPr="00AC6ACB">
        <w:t>En outre, l'UIT envoie un relevé de compte d'arriéré trimestriel et suspend la participation aux travaux de l'UIT afin d'encourager les États Membres, les Membres des Secteurs et les Associés à régler leurs arriérés. Par ailleurs, la perte du droit de vote a été instaurée à titre de mesure supplémentaire pour inciter les États Membres à procéder à des paiements sans attendre et à régler leurs arriérés dans les délais.</w:t>
      </w:r>
    </w:p>
    <w:p w14:paraId="4467361F" w14:textId="77777777" w:rsidR="00367F83" w:rsidRPr="00AC6ACB" w:rsidRDefault="00367F83" w:rsidP="00367F83">
      <w:pPr>
        <w:pStyle w:val="enumlev1"/>
        <w:keepNext/>
        <w:keepLines/>
        <w:rPr>
          <w:i/>
          <w:iCs/>
        </w:rPr>
      </w:pPr>
      <w:r w:rsidRPr="00AC6ACB">
        <w:rPr>
          <w:i/>
          <w:iCs/>
        </w:rPr>
        <w:lastRenderedPageBreak/>
        <w:t>c)</w:t>
      </w:r>
      <w:r w:rsidRPr="00AC6ACB">
        <w:rPr>
          <w:i/>
          <w:iCs/>
        </w:rPr>
        <w:tab/>
        <w:t>Risque de taux d'intérêt</w:t>
      </w:r>
    </w:p>
    <w:p w14:paraId="46940DE4" w14:textId="77777777" w:rsidR="00367F83" w:rsidRPr="00AC6ACB" w:rsidRDefault="00367F83" w:rsidP="00367F83">
      <w:r w:rsidRPr="00AC6ACB">
        <w:t>L'UIT est exposée aux risques de taux d'intérêt du fait de ses placements à court terme en dollars des États-Unis et en euros. L'UIT a généré 4,6 millions CHF d'intérêts (contre 4,6 millions CHF en 2023).</w:t>
      </w:r>
    </w:p>
    <w:p w14:paraId="38E5BA5F" w14:textId="77777777" w:rsidR="00367F83" w:rsidRPr="00AC6ACB" w:rsidRDefault="00367F83" w:rsidP="00367F83">
      <w:pPr>
        <w:pStyle w:val="enumlev1"/>
        <w:rPr>
          <w:i/>
          <w:iCs/>
        </w:rPr>
      </w:pPr>
      <w:r w:rsidRPr="00AC6ACB">
        <w:rPr>
          <w:i/>
          <w:iCs/>
        </w:rPr>
        <w:t>d)</w:t>
      </w:r>
      <w:r w:rsidRPr="00AC6ACB">
        <w:rPr>
          <w:i/>
          <w:iCs/>
        </w:rPr>
        <w:tab/>
        <w:t>Risque de liquidité</w:t>
      </w:r>
    </w:p>
    <w:p w14:paraId="602BA07B" w14:textId="77777777" w:rsidR="00367F83" w:rsidRPr="00AC6ACB" w:rsidRDefault="00367F83" w:rsidP="00367F83">
      <w:r w:rsidRPr="00AC6ACB">
        <w:t>Le risque de liquidité est le risque que l'UIT ne soit pas en mesure de remplir ses engagements lorsqu'ils arrivent à échéance. L'approche adoptée par l'UIT pour gérer le risque de liquidité consiste à faire en sorte de disposer de liquidités suffisantes pour remplir ses engagements à leur échéance. Pour veiller à disposer de fonds en caisse suffisants pour faire face aux charges opérationnelles prévues, l'UIT utilise des prévisions de flux de trésorerie.</w:t>
      </w:r>
    </w:p>
    <w:p w14:paraId="04B883F3" w14:textId="77777777" w:rsidR="00367F83" w:rsidRPr="00AC6ACB" w:rsidRDefault="00367F83" w:rsidP="00367F83">
      <w:r w:rsidRPr="00AC6ACB">
        <w:t>Le principal objectif de la gestion du capital de l'UIT est de faire en sorte que les liquidités disponibles soient suffisantes pour répondre aux besoins de financement de l'Organisation, y compris les dépenses d'investissement, afin de garantir la solidité financière de l'Union.</w:t>
      </w:r>
    </w:p>
    <w:p w14:paraId="35AABF05" w14:textId="77777777" w:rsidR="00367F83" w:rsidRPr="00AC6ACB" w:rsidRDefault="00367F83" w:rsidP="00367F83">
      <w:pPr>
        <w:pStyle w:val="enumlev1"/>
        <w:rPr>
          <w:i/>
          <w:iCs/>
        </w:rPr>
      </w:pPr>
      <w:r w:rsidRPr="00AC6ACB">
        <w:rPr>
          <w:i/>
          <w:iCs/>
        </w:rPr>
        <w:t>e)</w:t>
      </w:r>
      <w:r w:rsidRPr="00AC6ACB">
        <w:rPr>
          <w:i/>
          <w:iCs/>
        </w:rPr>
        <w:tab/>
        <w:t>Risque de change</w:t>
      </w:r>
    </w:p>
    <w:p w14:paraId="726EF011" w14:textId="77777777" w:rsidR="00367F83" w:rsidRPr="00AC6ACB" w:rsidRDefault="00367F83" w:rsidP="00367F83">
      <w:r w:rsidRPr="00AC6ACB">
        <w:t>L'UIT perçoit les contributions des États Membres et les contributions au titre du budget ordinaire en francs suisses et les contributions extrabudgétaires en francs suisses ainsi que dans d'autres devises, essentiellement en dollars des États-Unis et en euros. L'UIT n'a pas recours à des contrats de change à terme, des opérations à terme, des swaps ou des options de change pour couvrir les gains ou pertes de change réalisés ou non réalisés. Lorsque cela est possible, l'UIT pratique la couverture naturelle, en allouant directement les devises étrangères sur les comptes bancaires appropriés libellés dans la devise correspondante.</w:t>
      </w:r>
    </w:p>
    <w:p w14:paraId="24FCA06F" w14:textId="77777777" w:rsidR="00367F83" w:rsidRPr="00AC6ACB" w:rsidRDefault="00367F83" w:rsidP="00367F83">
      <w:r w:rsidRPr="00AC6ACB">
        <w:t>Il y a lieu de noter que les paiements mensuels au titre du régime d'assurance maladie sont libellés en francs suisses, ce qui réduit considérablement l'exposition aux variations des taux de change. L'Union est toujours exposée à des gains ou à des pertes de change résultant du versement des cotisations en dollars des États-Unis à la CCPPNU et la contribution extraordinaire en suspens liées à l'affiliation à l'UNSMIS. Toutefois, étant donné que les cotisations des fonctionnaires de la catégorie professionnelle sont libellées en dollars des États-Unis alors que celles des fonctionnaires de la catégorie des services généraux sont libellées en francs suisses, et que le nombre de fonctionnaires dans ces deux catégories est équitablement réparti, les fluctuations du taux de change ont tendance à s'équilibrer.</w:t>
      </w:r>
    </w:p>
    <w:p w14:paraId="0AA3774D" w14:textId="77777777" w:rsidR="00367F83" w:rsidRPr="00AC6ACB" w:rsidRDefault="00367F83" w:rsidP="00367F83">
      <w:r w:rsidRPr="00AC6ACB">
        <w:t>Les contributions extrabudgétaires sont gérées dans la devise de la contribution reçue et converties en francs suisses à des fins de présentation. Le tableau ci-dessous présente les principaux montants détenus en devises étrangères, dans les banques de l'UIT, en euros et en dollars des États-Unis. Il s'agit de la trésorerie et des équivalents de trésorerie et de placements.</w:t>
      </w:r>
    </w:p>
    <w:p w14:paraId="3C24888F" w14:textId="77777777" w:rsidR="00367F83" w:rsidRPr="00AC6ACB" w:rsidRDefault="00367F83" w:rsidP="00367F83">
      <w:pPr>
        <w:keepLines/>
      </w:pPr>
      <w:r w:rsidRPr="00AC6ACB">
        <w:t>L'UIT œuvre actuellement à renforcer ses pratiques de gestion des devises, afin de trouver un meilleur alignement de ses investissements en devises avec sa monnaie fonctionnelle (le franc suisse), de manière à réduire l'exposition à la volatilité des taux de change et à assurer une meilleure prévisibilité et une meilleure stabilité des résultats financiers.</w:t>
      </w:r>
    </w:p>
    <w:p w14:paraId="6097A9A4" w14:textId="77777777" w:rsidR="00367F83" w:rsidRPr="00AC6ACB" w:rsidRDefault="00367F83" w:rsidP="00367F83">
      <w:pPr>
        <w:pStyle w:val="Figure"/>
      </w:pPr>
      <w:r w:rsidRPr="00AC6ACB">
        <w:rPr>
          <w:noProof/>
        </w:rPr>
        <w:lastRenderedPageBreak/>
        <w:drawing>
          <wp:inline distT="0" distB="0" distL="0" distR="0" wp14:anchorId="4DE474FF" wp14:editId="506933F3">
            <wp:extent cx="4564800" cy="1493317"/>
            <wp:effectExtent l="0" t="0" r="7620" b="0"/>
            <wp:docPr id="1064097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4800" cy="1493317"/>
                    </a:xfrm>
                    <a:prstGeom prst="rect">
                      <a:avLst/>
                    </a:prstGeom>
                    <a:noFill/>
                    <a:ln>
                      <a:noFill/>
                    </a:ln>
                  </pic:spPr>
                </pic:pic>
              </a:graphicData>
            </a:graphic>
          </wp:inline>
        </w:drawing>
      </w:r>
    </w:p>
    <w:p w14:paraId="3553F4A9" w14:textId="77777777" w:rsidR="00367F83" w:rsidRPr="00AC6ACB" w:rsidRDefault="00367F83" w:rsidP="00367F83">
      <w:pPr>
        <w:pStyle w:val="enumlev1"/>
        <w:rPr>
          <w:i/>
          <w:iCs/>
        </w:rPr>
      </w:pPr>
      <w:r w:rsidRPr="00AC6ACB">
        <w:rPr>
          <w:i/>
          <w:iCs/>
        </w:rPr>
        <w:t>f)</w:t>
      </w:r>
      <w:r w:rsidRPr="00AC6ACB">
        <w:rPr>
          <w:i/>
          <w:iCs/>
        </w:rPr>
        <w:tab/>
        <w:t>Risque de marché</w:t>
      </w:r>
    </w:p>
    <w:p w14:paraId="70DDC970" w14:textId="77777777" w:rsidR="00367F83" w:rsidRPr="00AC6ACB" w:rsidRDefault="00367F83" w:rsidP="00367F83">
      <w:r w:rsidRPr="00AC6ACB">
        <w:t>Le risque de marché est le risque afférent aux variations des prix de marché, notamment en ce qui concerne les taux de change et les taux d'intérêt, variations qui peuvent avoir des répercussions sur les recettes de l'UIT ou sur la valeur de ses instruments financiers. La gestion du risque de marché a pour objet de gérer l'exposition au risque de marché et de la maintenir dans des limites acceptables, tout en optimisant la rentabilité du risque.</w:t>
      </w:r>
    </w:p>
    <w:p w14:paraId="0785C9EC" w14:textId="77777777" w:rsidR="00367F83" w:rsidRPr="00AC6ACB" w:rsidRDefault="00367F83" w:rsidP="00367F83">
      <w:r w:rsidRPr="00AC6ACB">
        <w:t>La structure des échéances des instruments financiers au 31 décembre 2024 est la suivante:</w:t>
      </w:r>
    </w:p>
    <w:p w14:paraId="32A01C81" w14:textId="77777777" w:rsidR="00367F83" w:rsidRPr="00AC6ACB" w:rsidRDefault="00367F83" w:rsidP="00367F83">
      <w:pPr>
        <w:pStyle w:val="Figure"/>
      </w:pPr>
      <w:r w:rsidRPr="00AC6ACB">
        <w:rPr>
          <w:noProof/>
        </w:rPr>
        <w:drawing>
          <wp:inline distT="0" distB="0" distL="0" distR="0" wp14:anchorId="6EFADEE5" wp14:editId="2945ED6E">
            <wp:extent cx="4608000" cy="2743882"/>
            <wp:effectExtent l="0" t="0" r="2540" b="0"/>
            <wp:docPr id="21168733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8000" cy="2743882"/>
                    </a:xfrm>
                    <a:prstGeom prst="rect">
                      <a:avLst/>
                    </a:prstGeom>
                    <a:noFill/>
                    <a:ln>
                      <a:noFill/>
                    </a:ln>
                  </pic:spPr>
                </pic:pic>
              </a:graphicData>
            </a:graphic>
          </wp:inline>
        </w:drawing>
      </w:r>
    </w:p>
    <w:p w14:paraId="43725C6D" w14:textId="6A923B81" w:rsidR="00367F83" w:rsidRPr="00AC6ACB" w:rsidRDefault="00367F83" w:rsidP="00367F83">
      <w:pPr>
        <w:pStyle w:val="Heading1"/>
        <w:spacing w:before="240"/>
        <w:rPr>
          <w:bCs/>
          <w:sz w:val="24"/>
        </w:rPr>
      </w:pPr>
      <w:bookmarkStart w:id="160" w:name="_Toc200361464"/>
      <w:r w:rsidRPr="00AC6ACB">
        <w:rPr>
          <w:bCs/>
          <w:sz w:val="24"/>
        </w:rPr>
        <w:t>Note 6</w:t>
      </w:r>
      <w:r w:rsidRPr="00AC6ACB">
        <w:rPr>
          <w:bCs/>
          <w:sz w:val="24"/>
        </w:rPr>
        <w:tab/>
        <w:t>Trésorerie et équivalents de trésorerie</w:t>
      </w:r>
      <w:bookmarkEnd w:id="160"/>
    </w:p>
    <w:p w14:paraId="15509A17" w14:textId="77777777" w:rsidR="00367F83" w:rsidRPr="00AC6ACB" w:rsidRDefault="00367F83" w:rsidP="00367F83">
      <w:r w:rsidRPr="00AC6ACB">
        <w:t>Le tableau ci-dessous indique le détail de la trésorerie et des équivalents de trésorerie au 31 décembre 2024 et au 31 décembre 2023.</w:t>
      </w:r>
    </w:p>
    <w:p w14:paraId="50342BB0" w14:textId="77777777" w:rsidR="00367F83" w:rsidRPr="00AC6ACB" w:rsidRDefault="00367F83" w:rsidP="00367F83">
      <w:pPr>
        <w:pStyle w:val="Figure"/>
        <w:keepNext w:val="0"/>
        <w:keepLines w:val="0"/>
      </w:pPr>
      <w:r w:rsidRPr="00AC6ACB">
        <w:rPr>
          <w:noProof/>
        </w:rPr>
        <w:drawing>
          <wp:inline distT="0" distB="0" distL="0" distR="0" wp14:anchorId="7AB260B6" wp14:editId="28351876">
            <wp:extent cx="4647600" cy="1572310"/>
            <wp:effectExtent l="0" t="0" r="635" b="8890"/>
            <wp:docPr id="12128263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7600" cy="1572310"/>
                    </a:xfrm>
                    <a:prstGeom prst="rect">
                      <a:avLst/>
                    </a:prstGeom>
                    <a:noFill/>
                    <a:ln>
                      <a:noFill/>
                    </a:ln>
                  </pic:spPr>
                </pic:pic>
              </a:graphicData>
            </a:graphic>
          </wp:inline>
        </w:drawing>
      </w:r>
    </w:p>
    <w:p w14:paraId="7C7CD5C7" w14:textId="77777777" w:rsidR="00367F83" w:rsidRPr="00AC6ACB" w:rsidRDefault="00367F83" w:rsidP="00367F83">
      <w:pPr>
        <w:pStyle w:val="Normalaftertitle"/>
        <w:keepLines/>
      </w:pPr>
      <w:r w:rsidRPr="00AC6ACB">
        <w:lastRenderedPageBreak/>
        <w:t>Le montant des caisses soumises à restrictions et des équivalents de trésorerie pour 2024 et 2023 s'élève à 28,9 millions CHF et 27,5 millions CHF, respectivement. Les restrictions concernant la trésorerie et les équivalents de trésorerie sont essentiellement liées au prêt obtenu auprès de la FIPOI et aux dons reçus pour le nouveau bâtiment, ainsi qu'aux placements liés à l'ancienne Caisse des pensions de l'UIT.</w:t>
      </w:r>
    </w:p>
    <w:p w14:paraId="5C222123" w14:textId="77777777" w:rsidR="00367F83" w:rsidRPr="00AC6ACB" w:rsidRDefault="00367F83" w:rsidP="00367F83">
      <w:pPr>
        <w:pStyle w:val="Figure"/>
      </w:pPr>
      <w:r w:rsidRPr="00AC6ACB">
        <w:rPr>
          <w:noProof/>
        </w:rPr>
        <w:drawing>
          <wp:inline distT="0" distB="0" distL="0" distR="0" wp14:anchorId="17F8218A" wp14:editId="252B673A">
            <wp:extent cx="4647600" cy="2213782"/>
            <wp:effectExtent l="0" t="0" r="635" b="0"/>
            <wp:docPr id="15319115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7600" cy="2213782"/>
                    </a:xfrm>
                    <a:prstGeom prst="rect">
                      <a:avLst/>
                    </a:prstGeom>
                    <a:noFill/>
                    <a:ln>
                      <a:noFill/>
                    </a:ln>
                  </pic:spPr>
                </pic:pic>
              </a:graphicData>
            </a:graphic>
          </wp:inline>
        </w:drawing>
      </w:r>
    </w:p>
    <w:p w14:paraId="245E20A5" w14:textId="56DC5171" w:rsidR="00367F83" w:rsidRPr="00AC6ACB" w:rsidRDefault="00367F83" w:rsidP="00367F83">
      <w:pPr>
        <w:pStyle w:val="Heading1"/>
        <w:spacing w:before="240"/>
        <w:rPr>
          <w:bCs/>
          <w:sz w:val="24"/>
        </w:rPr>
      </w:pPr>
      <w:bookmarkStart w:id="161" w:name="_Toc200361465"/>
      <w:r w:rsidRPr="00AC6ACB">
        <w:rPr>
          <w:bCs/>
          <w:sz w:val="24"/>
        </w:rPr>
        <w:t>Note 7</w:t>
      </w:r>
      <w:r w:rsidRPr="00AC6ACB">
        <w:rPr>
          <w:bCs/>
          <w:sz w:val="24"/>
        </w:rPr>
        <w:tab/>
        <w:t>Placements</w:t>
      </w:r>
      <w:bookmarkEnd w:id="161"/>
    </w:p>
    <w:p w14:paraId="4A17271E" w14:textId="77777777" w:rsidR="00367F83" w:rsidRPr="00AC6ACB" w:rsidRDefault="00367F83" w:rsidP="00367F83">
      <w:r w:rsidRPr="00AC6ACB">
        <w:t>L'UIT examine actuellement sa stratégie d'investissement à moyen et à long terme. En raison d'incertitudes existantes en ce qui concerne les taux de change et les taux d'intérêt, l'Organisation a décidé de ne pas effectuer de placements à moyen et à long terme. En conséquence, à la fin de 2024, l'UIT ne détenait aucun placement.</w:t>
      </w:r>
    </w:p>
    <w:p w14:paraId="7544872E" w14:textId="77777777" w:rsidR="00367F83" w:rsidRPr="00AC6ACB" w:rsidRDefault="00367F83" w:rsidP="00367F83">
      <w:pPr>
        <w:keepNext/>
      </w:pPr>
      <w:r w:rsidRPr="00AC6ACB">
        <w:t>Le détail des placements à terme par échéance (échéance restante), ainsi que par devise, est donné ci-après:</w:t>
      </w:r>
    </w:p>
    <w:p w14:paraId="6102F562" w14:textId="77777777" w:rsidR="00367F83" w:rsidRPr="00AC6ACB" w:rsidRDefault="00367F83" w:rsidP="00367F83">
      <w:pPr>
        <w:pStyle w:val="Figure"/>
        <w:keepNext w:val="0"/>
        <w:keepLines w:val="0"/>
      </w:pPr>
      <w:r w:rsidRPr="00AC6ACB">
        <w:rPr>
          <w:noProof/>
        </w:rPr>
        <w:drawing>
          <wp:inline distT="0" distB="0" distL="0" distR="0" wp14:anchorId="0D23E97A" wp14:editId="35C092C9">
            <wp:extent cx="4521600" cy="1445643"/>
            <wp:effectExtent l="0" t="0" r="0" b="2540"/>
            <wp:docPr id="18069002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1600" cy="1445643"/>
                    </a:xfrm>
                    <a:prstGeom prst="rect">
                      <a:avLst/>
                    </a:prstGeom>
                    <a:noFill/>
                    <a:ln>
                      <a:noFill/>
                    </a:ln>
                  </pic:spPr>
                </pic:pic>
              </a:graphicData>
            </a:graphic>
          </wp:inline>
        </w:drawing>
      </w:r>
    </w:p>
    <w:p w14:paraId="498C8C3D" w14:textId="5820E443" w:rsidR="00367F83" w:rsidRPr="00AC6ACB" w:rsidRDefault="00367F83" w:rsidP="00367F83">
      <w:pPr>
        <w:pStyle w:val="Heading1"/>
        <w:spacing w:before="240"/>
        <w:rPr>
          <w:bCs/>
          <w:sz w:val="24"/>
        </w:rPr>
      </w:pPr>
      <w:bookmarkStart w:id="162" w:name="_Toc200361466"/>
      <w:r w:rsidRPr="00AC6ACB">
        <w:rPr>
          <w:bCs/>
          <w:sz w:val="24"/>
        </w:rPr>
        <w:t>Note 8</w:t>
      </w:r>
      <w:r w:rsidRPr="00AC6ACB">
        <w:rPr>
          <w:bCs/>
          <w:sz w:val="24"/>
        </w:rPr>
        <w:tab/>
        <w:t>Créances</w:t>
      </w:r>
      <w:bookmarkEnd w:id="162"/>
    </w:p>
    <w:p w14:paraId="2FECDF9F" w14:textId="77777777" w:rsidR="00367F83" w:rsidRPr="00AC6ACB" w:rsidRDefault="00367F83" w:rsidP="00367F83">
      <w:r w:rsidRPr="00AC6ACB">
        <w:t>Les créances représentent les produits non encaissés provenant des contributions mises en recouvrement et des contributions volontaires, des publications et du traitement des fiches de notification de réseau à satellite.</w:t>
      </w:r>
    </w:p>
    <w:p w14:paraId="2D4B99F9" w14:textId="77777777" w:rsidR="00367F83" w:rsidRPr="00AC6ACB" w:rsidRDefault="00367F83" w:rsidP="00367F83">
      <w:r w:rsidRPr="00AC6ACB">
        <w:t>Les créances non courantes sans contrepartie directe représentent les créances dues par les membres qui se sont engagés à rembourser leurs arriérés dans le cadre d'un plan d'amortissement couvrant plusieurs exercices, ainsi que les créances extrabudgétaires liées à des projets en cours à long terme dont le recouvrement est attendu au cours des périodes suivantes. L'augmentation considérable par rapport à l'année précédente est due à des projets additionnels qui ont été signés en 2024 et dont la mise en œuvre est prévue au cours de périodes futures. On trouvera de plus amples informations dans la Note 14.</w:t>
      </w:r>
    </w:p>
    <w:p w14:paraId="485EBCAC" w14:textId="77777777" w:rsidR="00367F83" w:rsidRPr="00AC6ACB" w:rsidRDefault="00367F83" w:rsidP="00367F83">
      <w:pPr>
        <w:pStyle w:val="Figure"/>
      </w:pPr>
      <w:r w:rsidRPr="00AC6ACB">
        <w:rPr>
          <w:noProof/>
        </w:rPr>
        <w:lastRenderedPageBreak/>
        <w:drawing>
          <wp:inline distT="0" distB="0" distL="0" distR="0" wp14:anchorId="37CBFBF7" wp14:editId="278E0F7E">
            <wp:extent cx="5760085" cy="2388235"/>
            <wp:effectExtent l="0" t="0" r="0" b="0"/>
            <wp:docPr id="923813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2388235"/>
                    </a:xfrm>
                    <a:prstGeom prst="rect">
                      <a:avLst/>
                    </a:prstGeom>
                    <a:noFill/>
                    <a:ln>
                      <a:noFill/>
                    </a:ln>
                  </pic:spPr>
                </pic:pic>
              </a:graphicData>
            </a:graphic>
          </wp:inline>
        </w:drawing>
      </w:r>
    </w:p>
    <w:p w14:paraId="7578FCCE" w14:textId="06283E46" w:rsidR="00367F83" w:rsidRPr="00AC6ACB" w:rsidRDefault="00367F83" w:rsidP="00367F83">
      <w:pPr>
        <w:pStyle w:val="Heading1"/>
        <w:spacing w:before="240"/>
        <w:rPr>
          <w:bCs/>
          <w:sz w:val="24"/>
        </w:rPr>
      </w:pPr>
      <w:bookmarkStart w:id="163" w:name="_Toc200361467"/>
      <w:r w:rsidRPr="00AC6ACB">
        <w:rPr>
          <w:bCs/>
          <w:sz w:val="24"/>
        </w:rPr>
        <w:t>Note 9</w:t>
      </w:r>
      <w:r w:rsidRPr="00AC6ACB">
        <w:rPr>
          <w:bCs/>
          <w:sz w:val="24"/>
        </w:rPr>
        <w:tab/>
        <w:t>Autres créances</w:t>
      </w:r>
      <w:bookmarkEnd w:id="163"/>
    </w:p>
    <w:p w14:paraId="3D87615F" w14:textId="77777777" w:rsidR="00367F83" w:rsidRPr="00AC6ACB" w:rsidRDefault="00367F83" w:rsidP="00367F83">
      <w:r w:rsidRPr="00AC6ACB">
        <w:t>La plus grande partie des autres créances correspond à des charges payées d'avance, lesquelles ont augmenté d'environ 1 million CHF par rapport à décembre 2023, principalement en raison de divers paiements effectués d'avance liés aux transactions du PNUD, aux accords d'engagements spéciaux et à d'autres éléments. Les avances de personnel ont été versées aux fonctionnaires conformément au Statut du personnel de l'UIT.</w:t>
      </w:r>
    </w:p>
    <w:p w14:paraId="0DAF6124" w14:textId="77777777" w:rsidR="00367F83" w:rsidRPr="00AC6ACB" w:rsidRDefault="00367F83" w:rsidP="00367F83">
      <w:r w:rsidRPr="00AC6ACB">
        <w:t>La retenue à la source comprend les impôts remboursables par l'Administration fédérale des contributions de la Confédération suisse ainsi que les impôts sur revenus à récupérer auprès du gouvernement des États-Unis d'Amérique.</w:t>
      </w:r>
    </w:p>
    <w:p w14:paraId="1C2E5D93" w14:textId="77777777" w:rsidR="00367F83" w:rsidRPr="00AC6ACB" w:rsidRDefault="00367F83" w:rsidP="00367F83">
      <w:pPr>
        <w:pStyle w:val="Figure"/>
      </w:pPr>
      <w:r w:rsidRPr="00AC6ACB">
        <w:rPr>
          <w:noProof/>
        </w:rPr>
        <w:drawing>
          <wp:inline distT="0" distB="0" distL="0" distR="0" wp14:anchorId="0FF529AC" wp14:editId="4B4C573E">
            <wp:extent cx="4132800" cy="1598808"/>
            <wp:effectExtent l="0" t="0" r="1270" b="1905"/>
            <wp:docPr id="8849744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2800" cy="1598808"/>
                    </a:xfrm>
                    <a:prstGeom prst="rect">
                      <a:avLst/>
                    </a:prstGeom>
                    <a:noFill/>
                    <a:ln>
                      <a:noFill/>
                    </a:ln>
                  </pic:spPr>
                </pic:pic>
              </a:graphicData>
            </a:graphic>
          </wp:inline>
        </w:drawing>
      </w:r>
    </w:p>
    <w:p w14:paraId="116A1685" w14:textId="3F497024" w:rsidR="00ED2334" w:rsidRPr="00AC6ACB" w:rsidRDefault="00ED2334" w:rsidP="00ED2334">
      <w:pPr>
        <w:pStyle w:val="Heading1"/>
        <w:spacing w:before="240"/>
        <w:rPr>
          <w:sz w:val="24"/>
          <w:szCs w:val="18"/>
        </w:rPr>
      </w:pPr>
      <w:bookmarkStart w:id="164" w:name="_Toc200361468"/>
      <w:r w:rsidRPr="00AC6ACB">
        <w:rPr>
          <w:sz w:val="24"/>
          <w:szCs w:val="18"/>
        </w:rPr>
        <w:t>Note 10</w:t>
      </w:r>
      <w:r w:rsidRPr="00AC6ACB">
        <w:rPr>
          <w:sz w:val="24"/>
          <w:szCs w:val="18"/>
        </w:rPr>
        <w:tab/>
        <w:t>Immobilisations corporelles</w:t>
      </w:r>
      <w:bookmarkEnd w:id="164"/>
    </w:p>
    <w:p w14:paraId="2DEEA0B1" w14:textId="77777777" w:rsidR="00ED2334" w:rsidRPr="00AC6ACB" w:rsidRDefault="00ED2334" w:rsidP="00ED2334">
      <w:r w:rsidRPr="00AC6ACB">
        <w:t>Les bâtiments de l'UIT se composent:</w:t>
      </w:r>
    </w:p>
    <w:p w14:paraId="36977EDE" w14:textId="77777777" w:rsidR="00ED2334" w:rsidRPr="00AC6ACB" w:rsidRDefault="00ED2334" w:rsidP="00ED2334">
      <w:pPr>
        <w:pStyle w:val="enumlev1"/>
      </w:pPr>
      <w:r w:rsidRPr="00AC6ACB">
        <w:t>–</w:t>
      </w:r>
      <w:r w:rsidRPr="00AC6ACB">
        <w:tab/>
        <w:t>de la Tour, rue de Varembé à Genève;</w:t>
      </w:r>
    </w:p>
    <w:p w14:paraId="6CEAD8F2" w14:textId="77777777" w:rsidR="00ED2334" w:rsidRPr="00AC6ACB" w:rsidRDefault="00ED2334" w:rsidP="00ED2334">
      <w:pPr>
        <w:pStyle w:val="enumlev1"/>
      </w:pPr>
      <w:r w:rsidRPr="00AC6ACB">
        <w:t>–</w:t>
      </w:r>
      <w:r w:rsidRPr="00AC6ACB">
        <w:tab/>
        <w:t>du Bâtiment Varembé, rue de Varembé à Genève. Ce bâtiment a été entièrement amorti au 31 décembre 2022 en prévision du début des travaux de construction du nouveau bâtiment (actuellement, ce bâtiment est toujours utilisé);</w:t>
      </w:r>
    </w:p>
    <w:p w14:paraId="0891B500" w14:textId="77777777" w:rsidR="00ED2334" w:rsidRPr="00AC6ACB" w:rsidRDefault="00ED2334" w:rsidP="00ED2334">
      <w:pPr>
        <w:pStyle w:val="enumlev1"/>
      </w:pPr>
      <w:r w:rsidRPr="00AC6ACB">
        <w:t>–</w:t>
      </w:r>
      <w:r w:rsidRPr="00AC6ACB">
        <w:tab/>
        <w:t>de l'Extension C et de la cafétéria, rue de Varembé à Genève;</w:t>
      </w:r>
    </w:p>
    <w:p w14:paraId="58D988DB" w14:textId="77777777" w:rsidR="00ED2334" w:rsidRPr="00AC6ACB" w:rsidRDefault="00ED2334" w:rsidP="00ED2334">
      <w:pPr>
        <w:pStyle w:val="enumlev1"/>
      </w:pPr>
      <w:r w:rsidRPr="00AC6ACB">
        <w:t>–</w:t>
      </w:r>
      <w:r w:rsidRPr="00AC6ACB">
        <w:tab/>
        <w:t>du Bâtiment Montbrillant, rue de Varembé à Genève.</w:t>
      </w:r>
    </w:p>
    <w:p w14:paraId="176594ED" w14:textId="37A4048A" w:rsidR="00ED2334" w:rsidRPr="00AC6ACB" w:rsidRDefault="00ED2334" w:rsidP="00A012B2">
      <w:r w:rsidRPr="00AC6ACB">
        <w:t xml:space="preserve">L'UIT n'est pas propriétaire du terrain sur lequel ses bâtiments sont situés. Les droits de superficie lui ont été octroyés gratuitement par le gouvernement, qui reste propriétaire du terrain. L'UIT n'ayant pas la capacité de disposer de ces droits dans le cadre d'un transaction commerciale, il n'est pas possible comptabiliser ou d'évaluer de manière fiable la juste </w:t>
      </w:r>
      <w:r w:rsidRPr="00AC6ACB">
        <w:lastRenderedPageBreak/>
        <w:t>valeur du terrain selon les normes IPSAS. En conséquence, ces restrictions sont présentées pour garantir la transparence conformément aux exigences définies dans les normes IPSAS concernant l'évaluation des immobilisations corporelles.</w:t>
      </w:r>
      <w:r w:rsidR="00A012B2" w:rsidRPr="00AC6ACB">
        <w:t xml:space="preserve"> </w:t>
      </w:r>
      <w:r w:rsidRPr="00AC6ACB">
        <w:t>Au 31 décembre 2024, aucune immobilisation corporelle n'a été donnée en garantie de dette. L'UIT tient à jour un tableau complet des immobilisations corporelles. Celui-ci comprend les actifs qui ont été entièrement amortis, mais qui sont toujours utilisés au sein de l'Organisation.</w:t>
      </w:r>
    </w:p>
    <w:p w14:paraId="2F0F0923" w14:textId="77777777" w:rsidR="00ED2334" w:rsidRPr="00AC6ACB" w:rsidRDefault="00ED2334" w:rsidP="00ED2334">
      <w:r w:rsidRPr="00AC6ACB">
        <w:t>Le tableau ci-dessous présente la valeur brut des immobilisations corporelles entièrement amorties encore utilisées au 31 décembre 2024.</w:t>
      </w:r>
    </w:p>
    <w:p w14:paraId="6EDE50AA" w14:textId="238E7784" w:rsidR="00ED2334" w:rsidRPr="00AC6ACB" w:rsidRDefault="00ED2334" w:rsidP="00ED2334">
      <w:pPr>
        <w:pStyle w:val="Figure"/>
      </w:pPr>
      <w:r w:rsidRPr="00AC6ACB">
        <w:rPr>
          <w:noProof/>
        </w:rPr>
        <w:drawing>
          <wp:inline distT="0" distB="0" distL="0" distR="0" wp14:anchorId="1B43B392" wp14:editId="519A3274">
            <wp:extent cx="3467100" cy="19177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100" cy="1917700"/>
                    </a:xfrm>
                    <a:prstGeom prst="rect">
                      <a:avLst/>
                    </a:prstGeom>
                    <a:noFill/>
                    <a:ln>
                      <a:noFill/>
                    </a:ln>
                  </pic:spPr>
                </pic:pic>
              </a:graphicData>
            </a:graphic>
          </wp:inline>
        </w:drawing>
      </w:r>
    </w:p>
    <w:p w14:paraId="61C97880" w14:textId="77777777" w:rsidR="00ED2334" w:rsidRPr="00AC6ACB" w:rsidRDefault="00ED2334" w:rsidP="00ED2334">
      <w:r w:rsidRPr="00AC6ACB">
        <w:t>L'UIT détient des actifs patrimoniaux, appelés œuvres d'art, correspondant à des dons ou des prêts faits à l'Organisation par des représentants ou des responsables d'États Membres, d'autres entités publiques ou privées ou des personnes physiques. Les œuvres d'art détenues par l'UIT sont des tapis, des tableaux, des sculptures, des meubles et d'autres articles. Au 31 décembre 2024, la valeur total de ces articles était inférieure à 0,5 million CHF et l'UIT a choisi de ne pas comptabiliser les œuvres d'art en tant qu'actifs dans l'État de la situation financière, conformément à la norme IPSAS 17.</w:t>
      </w:r>
    </w:p>
    <w:p w14:paraId="0920B253" w14:textId="77777777" w:rsidR="00ED2334" w:rsidRPr="00AC6ACB" w:rsidRDefault="00ED2334" w:rsidP="00ED2334">
      <w:pPr>
        <w:keepLines/>
      </w:pPr>
      <w:r w:rsidRPr="00AC6ACB">
        <w:t>Dans le cadre de sa politique relative aux immobilisations corporelles, l'UIT a mis en place des processus et des procédures applicables à la gestion des œuvres d'art. Ces œuvres sont conservées dans un lieu d'accès contrôlé jusqu'à ce qu'une décision soit prise concernant la place qui leur est affectée. Les œuvres d'art sont prises en compte dans l'inventaire physique annuel effectué par l'Organisation et une confirmation formelle indiquant qu'une œuvre est détenue par l'UIT est communiquée au donateur sur demande.</w:t>
      </w:r>
    </w:p>
    <w:p w14:paraId="4665DC3D" w14:textId="77777777" w:rsidR="00ED2334" w:rsidRPr="00AC6ACB" w:rsidRDefault="00ED2334" w:rsidP="00ED2334">
      <w:r w:rsidRPr="00AC6ACB">
        <w:t>Le tableau ci-dessous montre une ventilation des mouvements concernant les immobilisations corporelles pour les années 2024 et 2023. Les reclassements comprennent les biens précédemment en construction, achevés et mis en service au cours de la période.</w:t>
      </w:r>
    </w:p>
    <w:p w14:paraId="4CBEF1F1" w14:textId="77777777" w:rsidR="00ED2334" w:rsidRPr="00AC6ACB" w:rsidRDefault="00ED2334" w:rsidP="00ED2334">
      <w:pPr>
        <w:pStyle w:val="TableNo"/>
        <w:spacing w:before="240"/>
        <w:rPr>
          <w:b/>
          <w:bCs/>
        </w:rPr>
      </w:pPr>
      <w:r w:rsidRPr="00AC6ACB">
        <w:rPr>
          <w:b/>
          <w:bCs/>
        </w:rPr>
        <w:lastRenderedPageBreak/>
        <w:t>2024</w:t>
      </w:r>
    </w:p>
    <w:p w14:paraId="545485F6" w14:textId="7E5D6D4A" w:rsidR="00ED2334" w:rsidRPr="00AC6ACB" w:rsidRDefault="00ED2334" w:rsidP="00ED2334">
      <w:pPr>
        <w:pStyle w:val="Figure"/>
      </w:pPr>
      <w:r w:rsidRPr="00AC6ACB">
        <w:rPr>
          <w:noProof/>
        </w:rPr>
        <w:drawing>
          <wp:inline distT="0" distB="0" distL="0" distR="0" wp14:anchorId="0F4CA017" wp14:editId="5C6F6FCA">
            <wp:extent cx="5846400" cy="2815911"/>
            <wp:effectExtent l="0" t="0" r="254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6400" cy="2815911"/>
                    </a:xfrm>
                    <a:prstGeom prst="rect">
                      <a:avLst/>
                    </a:prstGeom>
                    <a:noFill/>
                    <a:ln>
                      <a:noFill/>
                    </a:ln>
                  </pic:spPr>
                </pic:pic>
              </a:graphicData>
            </a:graphic>
          </wp:inline>
        </w:drawing>
      </w:r>
    </w:p>
    <w:p w14:paraId="49A41F49" w14:textId="77777777" w:rsidR="00ED2334" w:rsidRPr="00AC6ACB" w:rsidRDefault="00ED2334" w:rsidP="00ED2334">
      <w:pPr>
        <w:pStyle w:val="TableNo"/>
        <w:spacing w:before="360"/>
        <w:rPr>
          <w:b/>
          <w:bCs/>
        </w:rPr>
      </w:pPr>
      <w:r w:rsidRPr="00AC6ACB">
        <w:rPr>
          <w:b/>
          <w:bCs/>
        </w:rPr>
        <w:t>2023</w:t>
      </w:r>
    </w:p>
    <w:p w14:paraId="38510318" w14:textId="576956E6" w:rsidR="00ED2334" w:rsidRPr="00AC6ACB" w:rsidRDefault="00ED2334" w:rsidP="00ED2334">
      <w:pPr>
        <w:pStyle w:val="Figure"/>
      </w:pPr>
      <w:r w:rsidRPr="00AC6ACB">
        <w:rPr>
          <w:noProof/>
        </w:rPr>
        <w:drawing>
          <wp:inline distT="0" distB="0" distL="0" distR="0" wp14:anchorId="09A640BD" wp14:editId="78AEA72B">
            <wp:extent cx="5846400" cy="2887432"/>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6400" cy="2887432"/>
                    </a:xfrm>
                    <a:prstGeom prst="rect">
                      <a:avLst/>
                    </a:prstGeom>
                    <a:noFill/>
                    <a:ln>
                      <a:noFill/>
                    </a:ln>
                  </pic:spPr>
                </pic:pic>
              </a:graphicData>
            </a:graphic>
          </wp:inline>
        </w:drawing>
      </w:r>
    </w:p>
    <w:p w14:paraId="74F32EE0" w14:textId="2799AF4D" w:rsidR="00B2321A" w:rsidRPr="00AC6ACB" w:rsidRDefault="00B2321A">
      <w:pPr>
        <w:tabs>
          <w:tab w:val="clear" w:pos="567"/>
          <w:tab w:val="clear" w:pos="1134"/>
          <w:tab w:val="clear" w:pos="1701"/>
          <w:tab w:val="clear" w:pos="2268"/>
          <w:tab w:val="clear" w:pos="2835"/>
        </w:tabs>
        <w:overflowPunct/>
        <w:autoSpaceDE/>
        <w:autoSpaceDN/>
        <w:adjustRightInd/>
        <w:spacing w:before="0"/>
        <w:textAlignment w:val="auto"/>
        <w:rPr>
          <w:b/>
          <w:bCs/>
        </w:rPr>
      </w:pPr>
      <w:r w:rsidRPr="00AC6ACB">
        <w:rPr>
          <w:bCs/>
        </w:rPr>
        <w:br w:type="page"/>
      </w:r>
    </w:p>
    <w:p w14:paraId="244A4B17" w14:textId="7D570A9C" w:rsidR="00ED2334" w:rsidRPr="00AC6ACB" w:rsidRDefault="00ED2334" w:rsidP="00ED2334">
      <w:pPr>
        <w:pStyle w:val="Heading1"/>
        <w:spacing w:before="240"/>
        <w:rPr>
          <w:bCs/>
          <w:sz w:val="24"/>
        </w:rPr>
      </w:pPr>
      <w:bookmarkStart w:id="165" w:name="_Toc200361469"/>
      <w:r w:rsidRPr="00AC6ACB">
        <w:rPr>
          <w:bCs/>
          <w:sz w:val="24"/>
        </w:rPr>
        <w:lastRenderedPageBreak/>
        <w:t>Note 11</w:t>
      </w:r>
      <w:r w:rsidRPr="00AC6ACB">
        <w:rPr>
          <w:bCs/>
          <w:sz w:val="24"/>
        </w:rPr>
        <w:tab/>
        <w:t>Immobilisations incorporelles</w:t>
      </w:r>
      <w:bookmarkEnd w:id="165"/>
    </w:p>
    <w:p w14:paraId="512F729E" w14:textId="77777777" w:rsidR="00ED2334" w:rsidRPr="00AC6ACB" w:rsidRDefault="00ED2334" w:rsidP="00ED2334">
      <w:r w:rsidRPr="00AC6ACB">
        <w:t>Les immobilisations incorporelles de l'UIT comprennent les licences et logiciels informatiques développés en interne et ceux acquis auprès de fournisseurs extérieurs.</w:t>
      </w:r>
    </w:p>
    <w:p w14:paraId="244CF942" w14:textId="1A466C4C" w:rsidR="00ED2334" w:rsidRPr="00AC6ACB" w:rsidRDefault="00ED2334" w:rsidP="00ED2334">
      <w:pPr>
        <w:pStyle w:val="Figure"/>
      </w:pPr>
      <w:r w:rsidRPr="00AC6ACB">
        <w:rPr>
          <w:noProof/>
        </w:rPr>
        <w:drawing>
          <wp:inline distT="0" distB="0" distL="0" distR="0" wp14:anchorId="4A0E56D8" wp14:editId="43C93D6E">
            <wp:extent cx="5467350" cy="284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7350" cy="2844800"/>
                    </a:xfrm>
                    <a:prstGeom prst="rect">
                      <a:avLst/>
                    </a:prstGeom>
                    <a:noFill/>
                    <a:ln>
                      <a:noFill/>
                    </a:ln>
                  </pic:spPr>
                </pic:pic>
              </a:graphicData>
            </a:graphic>
          </wp:inline>
        </w:drawing>
      </w:r>
    </w:p>
    <w:p w14:paraId="380314FF" w14:textId="77777777" w:rsidR="00ED2334" w:rsidRPr="00AC6ACB" w:rsidRDefault="00ED2334" w:rsidP="00ED2334">
      <w:pPr>
        <w:pStyle w:val="Normalaftertitle"/>
      </w:pPr>
      <w:r w:rsidRPr="00AC6ACB">
        <w:t>Conformément à la norme IPSAS 31 (paragraphe 121</w:t>
      </w:r>
      <w:r w:rsidRPr="00AC6ACB">
        <w:rPr>
          <w:i/>
          <w:iCs/>
        </w:rPr>
        <w:t>c)</w:t>
      </w:r>
      <w:r w:rsidRPr="00AC6ACB">
        <w:t>), toute immobilisation incorporelle prise individuellement, significative pour les États financiers de l'entité, est publiée. Au 31 décembre 2024, notre évaluation a abouti à l'identification de 12 projets dans la catégorie des immobilisations incorporelles dont la durée de vie économique utile moyenne est de près de cinq ans et qui sont évalués à 6,5 millions CHF. Ces projets comprennent l'élaboration de modules d'administration de l'espace, du système SAP et de modules de recrutement.</w:t>
      </w:r>
    </w:p>
    <w:p w14:paraId="69494111" w14:textId="2C067910" w:rsidR="00ED2334" w:rsidRPr="00AC6ACB" w:rsidRDefault="00ED2334" w:rsidP="00ED2334">
      <w:r w:rsidRPr="00AC6ACB">
        <w:t>Les reclassements comprennent les biens précédemment en construction, achevés et mis en service au cours de la période</w:t>
      </w:r>
      <w:r w:rsidR="007C365F" w:rsidRPr="00AC6ACB">
        <w:t>.</w:t>
      </w:r>
    </w:p>
    <w:p w14:paraId="3A521F7D" w14:textId="3AAB7CF0" w:rsidR="00ED2334" w:rsidRPr="00AC6ACB" w:rsidRDefault="00ED2334" w:rsidP="00ED2334">
      <w:pPr>
        <w:pStyle w:val="Heading1"/>
        <w:spacing w:before="240"/>
        <w:rPr>
          <w:bCs/>
          <w:sz w:val="24"/>
        </w:rPr>
      </w:pPr>
      <w:bookmarkStart w:id="166" w:name="_Toc200361470"/>
      <w:r w:rsidRPr="00AC6ACB">
        <w:rPr>
          <w:bCs/>
          <w:sz w:val="24"/>
        </w:rPr>
        <w:t>Note 12</w:t>
      </w:r>
      <w:r w:rsidRPr="00AC6ACB">
        <w:rPr>
          <w:bCs/>
          <w:sz w:val="24"/>
        </w:rPr>
        <w:tab/>
        <w:t>Biens en construction</w:t>
      </w:r>
      <w:bookmarkEnd w:id="166"/>
    </w:p>
    <w:p w14:paraId="7B8ED0FA" w14:textId="77777777" w:rsidR="00ED2334" w:rsidRPr="00AC6ACB" w:rsidRDefault="00ED2334" w:rsidP="00ED2334">
      <w:r w:rsidRPr="00AC6ACB">
        <w:t>À la session du Conseil de l'UIT de juin 2024, le Secrétariat a fait le point sur la situation concernant le projet de nouveau bâtiment. Le Conseil a approuvé le nouveau projet réévalué et a demandé à l'UIT de réviser le projet et de le revoir à la baisse pour rester dans la limite du budget approuvé d'établissant à 172,7 millions CHF et du financement disponible conformément à la Décision 640 (</w:t>
      </w:r>
      <w:hyperlink r:id="rId47" w:history="1">
        <w:r w:rsidRPr="00AC6ACB">
          <w:rPr>
            <w:rStyle w:val="Hyperlink"/>
          </w:rPr>
          <w:t>Document C24/132</w:t>
        </w:r>
      </w:hyperlink>
      <w:r w:rsidRPr="00AC6ACB">
        <w:t>).</w:t>
      </w:r>
    </w:p>
    <w:p w14:paraId="30F40D78" w14:textId="77777777" w:rsidR="00ED2334" w:rsidRPr="00AC6ACB" w:rsidRDefault="00ED2334" w:rsidP="00ED2334">
      <w:r w:rsidRPr="00AC6ACB">
        <w:t>L'examen a montré que la quasi-totalité des coûts existants encourus ne sont plus pertinents dans le cadre de la portée révisée du projet et une dépréciation de 21 millions CHF a été comptabilisée dans l'État de la performance financière cette année.</w:t>
      </w:r>
    </w:p>
    <w:p w14:paraId="1DB577CF" w14:textId="77777777" w:rsidR="00ED2334" w:rsidRPr="00AC6ACB" w:rsidRDefault="00ED2334" w:rsidP="00ED2334">
      <w:r w:rsidRPr="00AC6ACB">
        <w:t>En outre, l'UIT a réexaminé les parrainages comptabilisés pour le financement de certains éléments du projet de construction précédent (salles de réunion, hall, cour, cafétéria, etc.), à hauteur d'un montant de 16,9 millions CHF.</w:t>
      </w:r>
    </w:p>
    <w:p w14:paraId="55C1F10D" w14:textId="6E893009" w:rsidR="00ED2334" w:rsidRPr="00AC6ACB" w:rsidRDefault="00ED2334" w:rsidP="00B2321A">
      <w:r w:rsidRPr="00AC6ACB">
        <w:t>Un accord de parrainage d'un montant de 5,0 millions CHF a été résilié à la demande du sponsor en raison de la révision du projet de nouveau bâtiment</w:t>
      </w:r>
      <w:r w:rsidR="000D1F03" w:rsidRPr="00AC6ACB">
        <w:t xml:space="preserve"> et une provision pour remboursement correspondante a été faite.</w:t>
      </w:r>
      <w:r w:rsidRPr="00AC6ACB">
        <w:t xml:space="preserve"> Des échanges avec ce sponsor sont en cours afin de trouver un accord au sujet d'un nouveau parrainage possible </w:t>
      </w:r>
      <w:r w:rsidR="000D1F03" w:rsidRPr="00AC6ACB">
        <w:t>pour le</w:t>
      </w:r>
      <w:r w:rsidRPr="00AC6ACB">
        <w:t xml:space="preserve"> projet révisé de </w:t>
      </w:r>
      <w:r w:rsidRPr="00AC6ACB">
        <w:lastRenderedPageBreak/>
        <w:t>nouveau bâtiment. En réponse, le</w:t>
      </w:r>
      <w:r w:rsidR="00876F65" w:rsidRPr="00AC6ACB">
        <w:t xml:space="preserve"> </w:t>
      </w:r>
      <w:r w:rsidRPr="00AC6ACB">
        <w:t>Secrétariat s'est engagé à intégrer les éléments demandés par le sponsor dans la phase de conception du nouveau projet. Le Secrétariat travaille actuellement activement avec toutes les parties pour parvenir à un résultat satisfaisant pour tous.</w:t>
      </w:r>
    </w:p>
    <w:p w14:paraId="0C496A0D" w14:textId="0B0E5514" w:rsidR="00ED2334" w:rsidRPr="00AC6ACB" w:rsidRDefault="00ED2334" w:rsidP="00ED2334">
      <w:pPr>
        <w:pStyle w:val="Figure"/>
      </w:pPr>
      <w:r w:rsidRPr="00AC6ACB">
        <w:rPr>
          <w:noProof/>
        </w:rPr>
        <w:drawing>
          <wp:inline distT="0" distB="0" distL="0" distR="0" wp14:anchorId="2326818D" wp14:editId="703DB9D0">
            <wp:extent cx="5753100" cy="1657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1657350"/>
                    </a:xfrm>
                    <a:prstGeom prst="rect">
                      <a:avLst/>
                    </a:prstGeom>
                    <a:noFill/>
                    <a:ln>
                      <a:noFill/>
                    </a:ln>
                  </pic:spPr>
                </pic:pic>
              </a:graphicData>
            </a:graphic>
          </wp:inline>
        </w:drawing>
      </w:r>
    </w:p>
    <w:p w14:paraId="77761E88" w14:textId="4B06B14A" w:rsidR="00ED2334" w:rsidRPr="00AC6ACB" w:rsidRDefault="00ED2334" w:rsidP="00ED2334">
      <w:pPr>
        <w:pStyle w:val="Heading1"/>
        <w:spacing w:before="240"/>
        <w:rPr>
          <w:bCs/>
          <w:sz w:val="24"/>
        </w:rPr>
      </w:pPr>
      <w:bookmarkStart w:id="167" w:name="_Toc200361471"/>
      <w:r w:rsidRPr="00AC6ACB">
        <w:rPr>
          <w:bCs/>
          <w:sz w:val="24"/>
        </w:rPr>
        <w:t>Note 13</w:t>
      </w:r>
      <w:r w:rsidRPr="00AC6ACB">
        <w:rPr>
          <w:bCs/>
          <w:sz w:val="24"/>
        </w:rPr>
        <w:tab/>
        <w:t>Dettes</w:t>
      </w:r>
      <w:bookmarkEnd w:id="167"/>
    </w:p>
    <w:p w14:paraId="097E2EE3" w14:textId="77777777" w:rsidR="00ED2334" w:rsidRPr="00AC6ACB" w:rsidRDefault="00ED2334" w:rsidP="00ED2334">
      <w:r w:rsidRPr="00AC6ACB">
        <w:t xml:space="preserve">La rubrique "Fournisseurs" comprend les factures non payées, le personnel et les avances provenant de transactions sous forme de bordereau </w:t>
      </w:r>
      <w:proofErr w:type="spellStart"/>
      <w:r w:rsidRPr="00AC6ACB">
        <w:t>inter-services</w:t>
      </w:r>
      <w:proofErr w:type="spellEnd"/>
      <w:r w:rsidRPr="00AC6ACB">
        <w:t xml:space="preserve"> (IOV) du PNUD en attente de régularisation.</w:t>
      </w:r>
    </w:p>
    <w:p w14:paraId="48D96819" w14:textId="77777777" w:rsidR="00ED2334" w:rsidRPr="00AC6ACB" w:rsidRDefault="00ED2334" w:rsidP="00ED2334">
      <w:r w:rsidRPr="00AC6ACB">
        <w:t>Des avances de paiement de clients ont été reçus pour le traitement des fiches de notification de réseaux à satellite ainsi que pour de futurs achats ou factures relatives à des publications. Ces montants pourront être remboursés aux bénéficiaires ou utilisés pour le paiement des futures factures relatives à des fiches de notification de réseaux à satellite et à des publications.</w:t>
      </w:r>
    </w:p>
    <w:p w14:paraId="577B524F" w14:textId="77777777" w:rsidR="00ED2334" w:rsidRPr="00AC6ACB" w:rsidRDefault="00ED2334" w:rsidP="00ED2334">
      <w:r w:rsidRPr="00AC6ACB">
        <w:t>Les avances pour conférences correspondent aux paiements que les pays hôtes ont versés à l'Union pour l'organisation de manifestations telles que les conférences mondiales. Après la clôture des comptes de la manifestation, le solde est habituellement remboursé aux pays hôtes conformément aux accords signés.</w:t>
      </w:r>
    </w:p>
    <w:p w14:paraId="311188A0" w14:textId="507AAED7" w:rsidR="00ED2334" w:rsidRPr="00AC6ACB" w:rsidRDefault="00ED2334" w:rsidP="00ED2334">
      <w:pPr>
        <w:pStyle w:val="Figure"/>
        <w:keepNext w:val="0"/>
        <w:keepLines w:val="0"/>
      </w:pPr>
      <w:r w:rsidRPr="00AC6ACB">
        <w:rPr>
          <w:noProof/>
        </w:rPr>
        <w:drawing>
          <wp:inline distT="0" distB="0" distL="0" distR="0" wp14:anchorId="1744B2FA" wp14:editId="06178CA1">
            <wp:extent cx="4635500" cy="13652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5500" cy="1365250"/>
                    </a:xfrm>
                    <a:prstGeom prst="rect">
                      <a:avLst/>
                    </a:prstGeom>
                    <a:noFill/>
                    <a:ln>
                      <a:noFill/>
                    </a:ln>
                  </pic:spPr>
                </pic:pic>
              </a:graphicData>
            </a:graphic>
          </wp:inline>
        </w:drawing>
      </w:r>
    </w:p>
    <w:p w14:paraId="08B3397F" w14:textId="7E60FC49" w:rsidR="00ED2334" w:rsidRPr="00AC6ACB" w:rsidRDefault="00ED2334" w:rsidP="00ED2334">
      <w:pPr>
        <w:pStyle w:val="Heading1"/>
        <w:keepNext w:val="0"/>
        <w:keepLines w:val="0"/>
        <w:widowControl w:val="0"/>
        <w:spacing w:before="240"/>
        <w:rPr>
          <w:bCs/>
          <w:sz w:val="24"/>
        </w:rPr>
      </w:pPr>
      <w:bookmarkStart w:id="168" w:name="_Toc200361472"/>
      <w:r w:rsidRPr="00AC6ACB">
        <w:rPr>
          <w:bCs/>
          <w:sz w:val="24"/>
        </w:rPr>
        <w:t>Note 14</w:t>
      </w:r>
      <w:r w:rsidRPr="00AC6ACB">
        <w:rPr>
          <w:bCs/>
          <w:sz w:val="24"/>
        </w:rPr>
        <w:tab/>
        <w:t>Produits différés</w:t>
      </w:r>
      <w:bookmarkEnd w:id="168"/>
    </w:p>
    <w:p w14:paraId="5EB168AB" w14:textId="77777777" w:rsidR="00ED2334" w:rsidRPr="00AC6ACB" w:rsidRDefault="00ED2334" w:rsidP="00ED2334">
      <w:pPr>
        <w:widowControl w:val="0"/>
      </w:pPr>
      <w:r w:rsidRPr="00AC6ACB">
        <w:t>Les produits différés comprennent:</w:t>
      </w:r>
    </w:p>
    <w:p w14:paraId="5709566A" w14:textId="77777777" w:rsidR="00ED2334" w:rsidRPr="00AC6ACB" w:rsidRDefault="00ED2334" w:rsidP="00ED2334">
      <w:pPr>
        <w:pStyle w:val="enumlev1"/>
        <w:widowControl w:val="0"/>
      </w:pPr>
      <w:r w:rsidRPr="00AC6ACB">
        <w:t>–</w:t>
      </w:r>
      <w:r w:rsidRPr="00AC6ACB">
        <w:tab/>
        <w:t>les contributions mises en recouvrement versées par les États Membres, les Membres de Secteur, les Associés et les établissements universitaires se rapportant à l'année suivante;</w:t>
      </w:r>
    </w:p>
    <w:p w14:paraId="1C4508BC" w14:textId="77777777" w:rsidR="00ED2334" w:rsidRPr="00AC6ACB" w:rsidRDefault="00ED2334" w:rsidP="00ED2334">
      <w:pPr>
        <w:pStyle w:val="enumlev1"/>
        <w:keepLines/>
      </w:pPr>
      <w:r w:rsidRPr="00AC6ACB">
        <w:t>–</w:t>
      </w:r>
      <w:r w:rsidRPr="00AC6ACB">
        <w:tab/>
        <w:t>les fiches de notification de réseaux à satellite pour lesquelles la publication dans la Circulaire internationale d'information sur les fréquences du BR (BR IFIC) n'a pas été effectuée à la fin de l'année;</w:t>
      </w:r>
    </w:p>
    <w:p w14:paraId="1F6CE12D" w14:textId="77777777" w:rsidR="00ED2334" w:rsidRPr="00AC6ACB" w:rsidRDefault="00ED2334" w:rsidP="00B2321A">
      <w:pPr>
        <w:pStyle w:val="enumlev1"/>
        <w:keepLines/>
      </w:pPr>
      <w:r w:rsidRPr="00AC6ACB">
        <w:lastRenderedPageBreak/>
        <w:t>–</w:t>
      </w:r>
      <w:r w:rsidRPr="00AC6ACB">
        <w:tab/>
        <w:t>les contributions extrabudgétaires, courantes ou non courantes, relatives à des projets en cours avec des conditions qui seront remplies au cours de l'année ou des années suivantes. En particulier, les fonds de tiers en cours d'affectation sont des fonds qui sont sur le point d'être affectés à des projets déterminés et les fonds de tiers à recevoir sont liés à des accords signés au cours de l'exercice financier en cours et facturés, mais qui n'ont pas encore été reçus. Les fonds de tiers affectés sont liés à des projets en cours pour lesquels les fonds ont été reçus ou seront reçus l'année suivante ou ultérieurement. L'augmentation importante des produits différés extrabudgétaires est due au nombre de projets d'envergure et complexes menés à plus long terme avec des bailleurs de fonds actifs, notamment l'Union européenne, visant à faciliter les investissements dans l'infrastructure publique numérique et l'innovation dans les services publics.</w:t>
      </w:r>
    </w:p>
    <w:p w14:paraId="2F073CC3" w14:textId="7513F151" w:rsidR="00ED2334" w:rsidRPr="00AC6ACB" w:rsidRDefault="00ED2334" w:rsidP="00ED2334">
      <w:pPr>
        <w:pStyle w:val="Figure"/>
      </w:pPr>
      <w:r w:rsidRPr="00AC6ACB">
        <w:rPr>
          <w:noProof/>
        </w:rPr>
        <w:drawing>
          <wp:inline distT="0" distB="0" distL="0" distR="0" wp14:anchorId="4192CF80" wp14:editId="40C5888A">
            <wp:extent cx="5149850" cy="30988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9850" cy="3098800"/>
                    </a:xfrm>
                    <a:prstGeom prst="rect">
                      <a:avLst/>
                    </a:prstGeom>
                    <a:noFill/>
                    <a:ln>
                      <a:noFill/>
                    </a:ln>
                  </pic:spPr>
                </pic:pic>
              </a:graphicData>
            </a:graphic>
          </wp:inline>
        </w:drawing>
      </w:r>
    </w:p>
    <w:p w14:paraId="43B2CE45" w14:textId="34DA07C0" w:rsidR="00ED2334" w:rsidRPr="00AC6ACB" w:rsidRDefault="00ED2334" w:rsidP="00ED2334">
      <w:pPr>
        <w:pStyle w:val="Heading1"/>
        <w:spacing w:before="240"/>
        <w:rPr>
          <w:bCs/>
          <w:sz w:val="24"/>
        </w:rPr>
      </w:pPr>
      <w:bookmarkStart w:id="169" w:name="_Toc200361473"/>
      <w:r w:rsidRPr="00AC6ACB">
        <w:rPr>
          <w:bCs/>
          <w:sz w:val="24"/>
        </w:rPr>
        <w:t>Note 15</w:t>
      </w:r>
      <w:r w:rsidRPr="00AC6ACB">
        <w:rPr>
          <w:bCs/>
          <w:sz w:val="24"/>
        </w:rPr>
        <w:tab/>
        <w:t>Emprunts et autres dettes financières</w:t>
      </w:r>
      <w:bookmarkEnd w:id="169"/>
    </w:p>
    <w:p w14:paraId="3DA00735" w14:textId="77777777" w:rsidR="00ED2334" w:rsidRPr="00AC6ACB" w:rsidRDefault="00ED2334" w:rsidP="00ED2334">
      <w:r w:rsidRPr="00AC6ACB">
        <w:t>L'UIT dispose actuellement de quatre prêts sans intérêt auprès de la Fondation des immeubles pour les organisations Internationale (FIPOI). Au 31 décembre 2024, trois de ces prêts sont reflétés à la juste valeur dans les États financiers.</w:t>
      </w:r>
    </w:p>
    <w:p w14:paraId="3F414370" w14:textId="77777777" w:rsidR="00ED2334" w:rsidRPr="00AC6ACB" w:rsidRDefault="00ED2334" w:rsidP="00ED2334">
      <w:r w:rsidRPr="00AC6ACB">
        <w:t>Au 31 décembre 2024, le total de l'encours s'élevait à 54,8 millions CHF, tandis que la valeur actuelle nette est de 53,3 millions CHF.</w:t>
      </w:r>
    </w:p>
    <w:p w14:paraId="45C4E898" w14:textId="77777777" w:rsidR="00ED2334" w:rsidRPr="00AC6ACB" w:rsidRDefault="00ED2334" w:rsidP="00ED2334">
      <w:r w:rsidRPr="00AC6ACB">
        <w:t>Le montant dû des trois premiers prêts concernant les bâtiments existant s'élève à 32,3 millions CHF tandis que la valeur actuelle nette est de 30,8 millions CHF.</w:t>
      </w:r>
    </w:p>
    <w:p w14:paraId="2E1BDEF2" w14:textId="77777777" w:rsidR="00ED2334" w:rsidRPr="00AC6ACB" w:rsidRDefault="00ED2334" w:rsidP="00ED2334">
      <w:r w:rsidRPr="00AC6ACB">
        <w:t>En 2017, un nouveau prêt sans intérêt d'un montant de 150 millions CHF a été accordé pour le projet de nouveau bâtiment de l'UIT. Au 31 décembre 2024, l'UIT avait utilisé 22,5 millions CHF pris sur ce quatrième prêt.</w:t>
      </w:r>
    </w:p>
    <w:p w14:paraId="45CAC1A4" w14:textId="70DCB699" w:rsidR="00B2321A" w:rsidRPr="00AC6ACB" w:rsidRDefault="00ED2334" w:rsidP="00B2321A">
      <w:r w:rsidRPr="00AC6ACB">
        <w:t xml:space="preserve">L'UIT a reçu la confirmation que le prêt peut être réaffecté au projet révisé de bâtiment. Le Gouvernement de la Suisse a formellement accepté le nouveau programme. L'UIT continue de communiquer de manière ouverte et régulière avec les parties au financement et les </w:t>
      </w:r>
      <w:r w:rsidR="00B2321A" w:rsidRPr="00AC6ACB">
        <w:br w:type="page"/>
      </w:r>
    </w:p>
    <w:p w14:paraId="7E44A794" w14:textId="397E8540" w:rsidR="00ED2334" w:rsidRPr="00AC6ACB" w:rsidRDefault="00ED2334" w:rsidP="00ED2334">
      <w:r w:rsidRPr="00AC6ACB">
        <w:lastRenderedPageBreak/>
        <w:t>autorités compétentes afin de fournir des informations mises à jour sur l'état d'avancement du projet révisé de bâtiment, conformément à la Résolution approuvée par le Conseil en 2024.</w:t>
      </w:r>
    </w:p>
    <w:p w14:paraId="2ADDC56A" w14:textId="77777777" w:rsidR="00ED2334" w:rsidRPr="00AC6ACB" w:rsidRDefault="00ED2334" w:rsidP="00ED2334">
      <w:r w:rsidRPr="00AC6ACB">
        <w:t>Le remboursement du prêt accordé pour la construction des nouveaux locaux de l'UIT ne débutera qu'après réception du nouveau bâtiment seulement.</w:t>
      </w:r>
    </w:p>
    <w:p w14:paraId="18EB35AC" w14:textId="2AE46830" w:rsidR="00ED2334" w:rsidRPr="00AC6ACB" w:rsidRDefault="00ED2334" w:rsidP="00ED2334">
      <w:pPr>
        <w:pStyle w:val="Figure"/>
      </w:pPr>
      <w:r w:rsidRPr="00AC6ACB">
        <w:rPr>
          <w:noProof/>
        </w:rPr>
        <w:drawing>
          <wp:inline distT="0" distB="0" distL="0" distR="0" wp14:anchorId="382F418F" wp14:editId="5224041B">
            <wp:extent cx="5134082" cy="19241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1">
                      <a:extLst>
                        <a:ext uri="{28A0092B-C50C-407E-A947-70E740481C1C}">
                          <a14:useLocalDpi xmlns:a14="http://schemas.microsoft.com/office/drawing/2010/main" val="0"/>
                        </a:ext>
                      </a:extLst>
                    </a:blip>
                    <a:srcRect t="2479" b="3048"/>
                    <a:stretch/>
                  </pic:blipFill>
                  <pic:spPr bwMode="auto">
                    <a:xfrm>
                      <a:off x="0" y="0"/>
                      <a:ext cx="5141531" cy="1926959"/>
                    </a:xfrm>
                    <a:prstGeom prst="rect">
                      <a:avLst/>
                    </a:prstGeom>
                    <a:noFill/>
                    <a:ln>
                      <a:noFill/>
                    </a:ln>
                    <a:extLst>
                      <a:ext uri="{53640926-AAD7-44D8-BBD7-CCE9431645EC}">
                        <a14:shadowObscured xmlns:a14="http://schemas.microsoft.com/office/drawing/2010/main"/>
                      </a:ext>
                    </a:extLst>
                  </pic:spPr>
                </pic:pic>
              </a:graphicData>
            </a:graphic>
          </wp:inline>
        </w:drawing>
      </w:r>
    </w:p>
    <w:p w14:paraId="1276C9E0" w14:textId="04339CD0" w:rsidR="00ED2334" w:rsidRPr="00AC6ACB" w:rsidRDefault="00ED2334" w:rsidP="00ED2334">
      <w:pPr>
        <w:pStyle w:val="Heading1"/>
        <w:spacing w:before="240"/>
        <w:rPr>
          <w:bCs/>
          <w:sz w:val="24"/>
        </w:rPr>
      </w:pPr>
      <w:bookmarkStart w:id="170" w:name="_Toc200361474"/>
      <w:r w:rsidRPr="00AC6ACB">
        <w:rPr>
          <w:bCs/>
          <w:sz w:val="24"/>
        </w:rPr>
        <w:t>Note 16</w:t>
      </w:r>
      <w:r w:rsidRPr="00AC6ACB">
        <w:rPr>
          <w:bCs/>
          <w:sz w:val="24"/>
        </w:rPr>
        <w:tab/>
        <w:t>Avantages du personnel</w:t>
      </w:r>
      <w:bookmarkEnd w:id="170"/>
    </w:p>
    <w:p w14:paraId="722B474D" w14:textId="77777777" w:rsidR="00ED2334" w:rsidRPr="00AC6ACB" w:rsidRDefault="00ED2334" w:rsidP="00ED2334">
      <w:r w:rsidRPr="00AC6ACB">
        <w:t>Les avantages du personnel désignent toutes formes de contreparties données par l'UIT au titre des services rendus par ses employés. Ces avantages sont comptabilisés à mesure qu'ils sont acquis par les membres du personnel.</w:t>
      </w:r>
    </w:p>
    <w:p w14:paraId="015B4645" w14:textId="77DB1AFF" w:rsidR="00ED2334" w:rsidRPr="00AC6ACB" w:rsidRDefault="00ED2334" w:rsidP="00ED2334">
      <w:pPr>
        <w:pStyle w:val="Figure"/>
        <w:keepNext w:val="0"/>
        <w:keepLines w:val="0"/>
      </w:pPr>
      <w:r w:rsidRPr="00AC6ACB">
        <w:rPr>
          <w:noProof/>
        </w:rPr>
        <w:drawing>
          <wp:inline distT="0" distB="0" distL="0" distR="0" wp14:anchorId="07F2DF8C" wp14:editId="72A9D19B">
            <wp:extent cx="5054600" cy="230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4600" cy="2305050"/>
                    </a:xfrm>
                    <a:prstGeom prst="rect">
                      <a:avLst/>
                    </a:prstGeom>
                    <a:noFill/>
                    <a:ln>
                      <a:noFill/>
                    </a:ln>
                  </pic:spPr>
                </pic:pic>
              </a:graphicData>
            </a:graphic>
          </wp:inline>
        </w:drawing>
      </w:r>
    </w:p>
    <w:p w14:paraId="25A36AC2" w14:textId="77777777" w:rsidR="00ED2334" w:rsidRPr="00AC6ACB" w:rsidRDefault="00ED2334" w:rsidP="00ED2334">
      <w:pPr>
        <w:pStyle w:val="Heading2"/>
        <w:tabs>
          <w:tab w:val="clear" w:pos="567"/>
          <w:tab w:val="clear" w:pos="1134"/>
        </w:tabs>
        <w:ind w:left="851" w:hanging="851"/>
        <w:rPr>
          <w:i/>
          <w:iCs/>
        </w:rPr>
      </w:pPr>
      <w:r w:rsidRPr="00AC6ACB">
        <w:rPr>
          <w:i/>
          <w:iCs/>
        </w:rPr>
        <w:t>16.1</w:t>
      </w:r>
      <w:r w:rsidRPr="00AC6ACB">
        <w:rPr>
          <w:i/>
          <w:iCs/>
        </w:rPr>
        <w:tab/>
        <w:t>Assurance maladie après la cessation de service</w:t>
      </w:r>
    </w:p>
    <w:p w14:paraId="094355F8" w14:textId="77777777" w:rsidR="00ED2334" w:rsidRPr="00AC6ACB" w:rsidRDefault="00ED2334" w:rsidP="00ED2334">
      <w:pPr>
        <w:pStyle w:val="Heading3"/>
        <w:tabs>
          <w:tab w:val="clear" w:pos="567"/>
          <w:tab w:val="clear" w:pos="1134"/>
        </w:tabs>
        <w:ind w:left="851" w:hanging="851"/>
        <w:rPr>
          <w:i/>
          <w:iCs/>
        </w:rPr>
      </w:pPr>
      <w:r w:rsidRPr="00AC6ACB">
        <w:rPr>
          <w:i/>
          <w:iCs/>
        </w:rPr>
        <w:t>16.1.1</w:t>
      </w:r>
      <w:r w:rsidRPr="00AC6ACB">
        <w:rPr>
          <w:i/>
          <w:iCs/>
        </w:rPr>
        <w:tab/>
        <w:t>Évaluation actuarielle des prestations dues après la cessation de service au titre du plan ASHI</w:t>
      </w:r>
    </w:p>
    <w:p w14:paraId="7745C0A1" w14:textId="77777777" w:rsidR="00ED2334" w:rsidRPr="00AC6ACB" w:rsidRDefault="00ED2334" w:rsidP="00B2321A">
      <w:pPr>
        <w:widowControl w:val="0"/>
      </w:pPr>
      <w:r w:rsidRPr="00AC6ACB">
        <w:t>Le montant des engagements liés à l'assurance maladie après la cessation de service (ASHI) est déterminé sur la base d'une étude actuarielle annuelle conduite par un cabinet indépendant. La dernière évaluation a été effectuée en janvier 2025 et a établi à 415,8 millions CHF les engagements de l'UIT au titre des prestations en cas de maladie après la cessation de service dues aux fonctionnaires remplissant les conditions requises au 31 décembre 2024 (contre 375,3 millions CHF fin 2023). L'étude actuarielle a été conduite sur la base des données (remboursement des frais médicaux/cotisations payées/population éligible) fournies par l'UIT.</w:t>
      </w:r>
    </w:p>
    <w:p w14:paraId="49FBC527" w14:textId="77777777" w:rsidR="00ED2334" w:rsidRPr="00AC6ACB" w:rsidRDefault="00ED2334" w:rsidP="00ED2334">
      <w:pPr>
        <w:pStyle w:val="Heading3"/>
        <w:tabs>
          <w:tab w:val="clear" w:pos="567"/>
          <w:tab w:val="clear" w:pos="1134"/>
        </w:tabs>
        <w:ind w:left="851" w:hanging="851"/>
        <w:rPr>
          <w:i/>
          <w:iCs/>
        </w:rPr>
      </w:pPr>
      <w:r w:rsidRPr="00AC6ACB">
        <w:rPr>
          <w:i/>
          <w:iCs/>
        </w:rPr>
        <w:lastRenderedPageBreak/>
        <w:t>16.1.2</w:t>
      </w:r>
      <w:r w:rsidRPr="00AC6ACB">
        <w:rPr>
          <w:i/>
          <w:iCs/>
        </w:rPr>
        <w:tab/>
        <w:t>Hypothèses et méthodes d'évaluation actuarielle</w:t>
      </w:r>
    </w:p>
    <w:p w14:paraId="5AC75789" w14:textId="77777777" w:rsidR="00ED2334" w:rsidRPr="00AC6ACB" w:rsidRDefault="00ED2334" w:rsidP="00ED2334">
      <w:pPr>
        <w:keepNext/>
        <w:keepLines/>
        <w:spacing w:after="120"/>
      </w:pPr>
      <w:r w:rsidRPr="00AC6ACB">
        <w:t>Dans le cadre de l'évaluation des engagements liés au plan ASHI au 31 décembre 2023 et de la contribution de l'exercice 2024, l'UIT valide les hypothèses et méthodes qui sont utilisées par les actuaires. Les hypothèses et méthodes utilisées pour l'évaluation couvrant l'exercice 2024 sont décrites ci-dessous.</w:t>
      </w:r>
    </w:p>
    <w:tbl>
      <w:tblPr>
        <w:tblStyle w:val="TableGrid"/>
        <w:tblW w:w="9634" w:type="dxa"/>
        <w:tblLayout w:type="fixed"/>
        <w:tblLook w:val="04A0" w:firstRow="1" w:lastRow="0" w:firstColumn="1" w:lastColumn="0" w:noHBand="0" w:noVBand="1"/>
      </w:tblPr>
      <w:tblGrid>
        <w:gridCol w:w="2972"/>
        <w:gridCol w:w="6662"/>
      </w:tblGrid>
      <w:tr w:rsidR="00ED2334" w:rsidRPr="00AC6ACB" w14:paraId="125E5470" w14:textId="77777777" w:rsidTr="008A7563">
        <w:trPr>
          <w:trHeight w:val="255"/>
        </w:trPr>
        <w:tc>
          <w:tcPr>
            <w:tcW w:w="2972" w:type="dxa"/>
            <w:hideMark/>
          </w:tcPr>
          <w:p w14:paraId="2C7611F7" w14:textId="77777777" w:rsidR="00ED2334" w:rsidRPr="00AC6ACB" w:rsidRDefault="00ED2334" w:rsidP="008A7563">
            <w:pPr>
              <w:pStyle w:val="Tabletext"/>
              <w:spacing w:before="120" w:after="120"/>
              <w:rPr>
                <w:sz w:val="20"/>
              </w:rPr>
            </w:pPr>
            <w:r w:rsidRPr="00AC6ACB">
              <w:rPr>
                <w:sz w:val="20"/>
              </w:rPr>
              <w:t>Taux d'actualisation</w:t>
            </w:r>
          </w:p>
        </w:tc>
        <w:tc>
          <w:tcPr>
            <w:tcW w:w="6662" w:type="dxa"/>
            <w:hideMark/>
          </w:tcPr>
          <w:p w14:paraId="489BF97C" w14:textId="77777777" w:rsidR="00ED2334" w:rsidRPr="00AC6ACB" w:rsidRDefault="00ED2334" w:rsidP="008A7563">
            <w:pPr>
              <w:pStyle w:val="Tabletext"/>
              <w:spacing w:before="120" w:after="120"/>
              <w:rPr>
                <w:sz w:val="20"/>
              </w:rPr>
            </w:pPr>
            <w:r w:rsidRPr="00AC6ACB">
              <w:rPr>
                <w:sz w:val="20"/>
              </w:rPr>
              <w:t>1,40% pour 2024 et 1,90% pour 2023.</w:t>
            </w:r>
          </w:p>
          <w:p w14:paraId="22BEF233" w14:textId="77777777" w:rsidR="00ED2334" w:rsidRPr="00AC6ACB" w:rsidRDefault="00ED2334" w:rsidP="008A7563">
            <w:pPr>
              <w:pStyle w:val="Tabletext"/>
              <w:spacing w:before="120" w:after="120"/>
              <w:rPr>
                <w:sz w:val="20"/>
              </w:rPr>
            </w:pPr>
            <w:r w:rsidRPr="00AC6ACB">
              <w:rPr>
                <w:sz w:val="20"/>
              </w:rPr>
              <w:t>Les taux d'actualisation utilisés pour cette évaluation ont d'abord été déterminés séparément pour chacune des principales devises (CHF, USD, EUR) au moyen de la courbe de rendement des obligations de sociétés AA au 31 décembre 2024 fournies par Aon. Le taux d'actualisation définitif a ensuite été déterminé en faisant la moyenne des taux d'actualisation libellés dans les différentes devises, pondérés par les prestations versées au personnel actuellement inactif dans chaque devise.</w:t>
            </w:r>
          </w:p>
        </w:tc>
      </w:tr>
      <w:tr w:rsidR="00ED2334" w:rsidRPr="00AC6ACB" w14:paraId="73BD5F7F" w14:textId="77777777" w:rsidTr="008A7563">
        <w:trPr>
          <w:trHeight w:val="255"/>
        </w:trPr>
        <w:tc>
          <w:tcPr>
            <w:tcW w:w="2972" w:type="dxa"/>
            <w:hideMark/>
          </w:tcPr>
          <w:p w14:paraId="47DA1239" w14:textId="77777777" w:rsidR="00ED2334" w:rsidRPr="00AC6ACB" w:rsidRDefault="00ED2334" w:rsidP="008A7563">
            <w:pPr>
              <w:pStyle w:val="Tabletext"/>
              <w:spacing w:before="120" w:after="120"/>
              <w:rPr>
                <w:sz w:val="20"/>
              </w:rPr>
            </w:pPr>
            <w:r w:rsidRPr="00AC6ACB">
              <w:rPr>
                <w:sz w:val="20"/>
              </w:rPr>
              <w:t>Hausse des coûts médicaux</w:t>
            </w:r>
          </w:p>
        </w:tc>
        <w:tc>
          <w:tcPr>
            <w:tcW w:w="6662" w:type="dxa"/>
            <w:hideMark/>
          </w:tcPr>
          <w:p w14:paraId="13F9DDC4" w14:textId="77777777" w:rsidR="00ED2334" w:rsidRPr="00AC6ACB" w:rsidRDefault="00ED2334" w:rsidP="008A7563">
            <w:pPr>
              <w:pStyle w:val="Tabletext"/>
              <w:spacing w:before="120" w:after="120"/>
              <w:rPr>
                <w:sz w:val="20"/>
              </w:rPr>
            </w:pPr>
            <w:r w:rsidRPr="00AC6ACB">
              <w:rPr>
                <w:sz w:val="20"/>
              </w:rPr>
              <w:t>2,40% pour 2024 et 2,60% pour 2023.</w:t>
            </w:r>
          </w:p>
        </w:tc>
      </w:tr>
      <w:tr w:rsidR="00ED2334" w:rsidRPr="00AC6ACB" w14:paraId="6920D035" w14:textId="77777777" w:rsidTr="008A7563">
        <w:trPr>
          <w:trHeight w:val="59"/>
        </w:trPr>
        <w:tc>
          <w:tcPr>
            <w:tcW w:w="2972" w:type="dxa"/>
            <w:hideMark/>
          </w:tcPr>
          <w:p w14:paraId="43058D4A" w14:textId="77777777" w:rsidR="00ED2334" w:rsidRPr="00AC6ACB" w:rsidRDefault="00ED2334" w:rsidP="008A7563">
            <w:pPr>
              <w:pStyle w:val="Tabletext"/>
              <w:spacing w:before="120" w:after="120"/>
              <w:rPr>
                <w:sz w:val="20"/>
              </w:rPr>
            </w:pPr>
            <w:r w:rsidRPr="00AC6ACB">
              <w:rPr>
                <w:sz w:val="20"/>
              </w:rPr>
              <w:t>Augmentation des traitements</w:t>
            </w:r>
          </w:p>
        </w:tc>
        <w:tc>
          <w:tcPr>
            <w:tcW w:w="6662" w:type="dxa"/>
            <w:hideMark/>
          </w:tcPr>
          <w:p w14:paraId="470A16FD" w14:textId="77777777" w:rsidR="00ED2334" w:rsidRPr="00AC6ACB" w:rsidRDefault="00ED2334" w:rsidP="008A7563">
            <w:pPr>
              <w:pStyle w:val="Tabletext"/>
              <w:spacing w:before="120" w:after="120"/>
              <w:rPr>
                <w:sz w:val="20"/>
              </w:rPr>
            </w:pPr>
            <w:r w:rsidRPr="00AC6ACB">
              <w:rPr>
                <w:sz w:val="20"/>
              </w:rPr>
              <w:t>3,10% pour 2024 et 2023 par rapport au barème des traitements statique de la CCPPNU.</w:t>
            </w:r>
          </w:p>
        </w:tc>
      </w:tr>
      <w:tr w:rsidR="00ED2334" w:rsidRPr="00AC6ACB" w14:paraId="28F77B7C" w14:textId="77777777" w:rsidTr="008A7563">
        <w:trPr>
          <w:trHeight w:val="255"/>
        </w:trPr>
        <w:tc>
          <w:tcPr>
            <w:tcW w:w="2972" w:type="dxa"/>
            <w:hideMark/>
          </w:tcPr>
          <w:p w14:paraId="2AE07B77" w14:textId="77777777" w:rsidR="00ED2334" w:rsidRPr="00AC6ACB" w:rsidRDefault="00ED2334" w:rsidP="008A7563">
            <w:pPr>
              <w:pStyle w:val="Tabletext"/>
              <w:spacing w:before="120" w:after="120"/>
              <w:rPr>
                <w:sz w:val="20"/>
              </w:rPr>
            </w:pPr>
            <w:r w:rsidRPr="00AC6ACB">
              <w:rPr>
                <w:sz w:val="20"/>
              </w:rPr>
              <w:t>Augmentation des retraites</w:t>
            </w:r>
          </w:p>
        </w:tc>
        <w:tc>
          <w:tcPr>
            <w:tcW w:w="6662" w:type="dxa"/>
            <w:hideMark/>
          </w:tcPr>
          <w:p w14:paraId="00ED4187" w14:textId="77777777" w:rsidR="00ED2334" w:rsidRPr="00AC6ACB" w:rsidRDefault="00ED2334" w:rsidP="008A7563">
            <w:pPr>
              <w:pStyle w:val="Tabletext"/>
              <w:spacing w:before="120" w:after="120"/>
              <w:rPr>
                <w:sz w:val="20"/>
              </w:rPr>
            </w:pPr>
            <w:r w:rsidRPr="00AC6ACB">
              <w:rPr>
                <w:sz w:val="20"/>
              </w:rPr>
              <w:t>2,60% pour 2024 et 2023.</w:t>
            </w:r>
          </w:p>
        </w:tc>
      </w:tr>
      <w:tr w:rsidR="00ED2334" w:rsidRPr="00AC6ACB" w14:paraId="782BC5CC" w14:textId="77777777" w:rsidTr="008A7563">
        <w:trPr>
          <w:trHeight w:val="826"/>
        </w:trPr>
        <w:tc>
          <w:tcPr>
            <w:tcW w:w="2972" w:type="dxa"/>
            <w:hideMark/>
          </w:tcPr>
          <w:p w14:paraId="39491AAA" w14:textId="77777777" w:rsidR="00ED2334" w:rsidRPr="00AC6ACB" w:rsidRDefault="00ED2334" w:rsidP="008A7563">
            <w:pPr>
              <w:pStyle w:val="Tabletext"/>
              <w:spacing w:before="120" w:after="120"/>
              <w:rPr>
                <w:sz w:val="20"/>
              </w:rPr>
            </w:pPr>
            <w:r w:rsidRPr="00AC6ACB">
              <w:rPr>
                <w:sz w:val="20"/>
              </w:rPr>
              <w:t>Coût annuel moyen estimé des demandes de remboursement des frais médicaux en 2024 et variation des frais médicaux en fonction de l'âge</w:t>
            </w:r>
          </w:p>
        </w:tc>
        <w:tc>
          <w:tcPr>
            <w:tcW w:w="6662" w:type="dxa"/>
            <w:hideMark/>
          </w:tcPr>
          <w:p w14:paraId="4490D033" w14:textId="77777777" w:rsidR="00ED2334" w:rsidRPr="00AC6ACB" w:rsidRDefault="00ED2334" w:rsidP="008A7563">
            <w:pPr>
              <w:pStyle w:val="Tabletext"/>
              <w:keepNext/>
              <w:spacing w:before="120" w:after="120"/>
              <w:rPr>
                <w:sz w:val="20"/>
              </w:rPr>
            </w:pPr>
            <w:r w:rsidRPr="00AC6ACB">
              <w:rPr>
                <w:sz w:val="20"/>
              </w:rPr>
              <w:t>Le rapport actuariel pour 2024 se fonde sur un coût moyen des demandes de remboursement estimé en CHF, à la fin de l'année, par tranche d'âge, comme suit:</w:t>
            </w:r>
          </w:p>
          <w:tbl>
            <w:tblPr>
              <w:tblStyle w:val="TableGrid"/>
              <w:tblW w:w="0" w:type="auto"/>
              <w:jc w:val="center"/>
              <w:tblLayout w:type="fixed"/>
              <w:tblLook w:val="06A0" w:firstRow="1" w:lastRow="0" w:firstColumn="1" w:lastColumn="0" w:noHBand="1" w:noVBand="1"/>
            </w:tblPr>
            <w:tblGrid>
              <w:gridCol w:w="1132"/>
              <w:gridCol w:w="1990"/>
              <w:gridCol w:w="1979"/>
            </w:tblGrid>
            <w:tr w:rsidR="00ED2334" w:rsidRPr="00AC6ACB" w14:paraId="6BE261D1" w14:textId="77777777" w:rsidTr="008A7563">
              <w:trPr>
                <w:trHeight w:val="300"/>
                <w:jc w:val="center"/>
              </w:trPr>
              <w:tc>
                <w:tcPr>
                  <w:tcW w:w="1132" w:type="dxa"/>
                  <w:tcBorders>
                    <w:top w:val="single" w:sz="4" w:space="0" w:color="auto"/>
                    <w:left w:val="single" w:sz="4" w:space="0" w:color="auto"/>
                    <w:bottom w:val="single" w:sz="4" w:space="0" w:color="auto"/>
                    <w:right w:val="single" w:sz="4" w:space="0" w:color="auto"/>
                  </w:tcBorders>
                </w:tcPr>
                <w:p w14:paraId="02900DFF" w14:textId="77777777" w:rsidR="00ED2334" w:rsidRPr="00AC6ACB" w:rsidRDefault="00ED2334" w:rsidP="008A7563">
                  <w:pPr>
                    <w:pStyle w:val="Tabletext"/>
                    <w:spacing w:before="120" w:after="120"/>
                    <w:jc w:val="center"/>
                    <w:rPr>
                      <w:b/>
                      <w:bCs/>
                      <w:sz w:val="20"/>
                    </w:rPr>
                  </w:pPr>
                  <w:r w:rsidRPr="00AC6ACB">
                    <w:rPr>
                      <w:b/>
                      <w:bCs/>
                      <w:sz w:val="20"/>
                    </w:rPr>
                    <w:t>Tranche d'âge</w:t>
                  </w:r>
                </w:p>
              </w:tc>
              <w:tc>
                <w:tcPr>
                  <w:tcW w:w="1990" w:type="dxa"/>
                  <w:tcBorders>
                    <w:top w:val="single" w:sz="4" w:space="0" w:color="auto"/>
                    <w:left w:val="single" w:sz="4" w:space="0" w:color="auto"/>
                    <w:bottom w:val="single" w:sz="4" w:space="0" w:color="auto"/>
                    <w:right w:val="single" w:sz="4" w:space="0" w:color="auto"/>
                  </w:tcBorders>
                </w:tcPr>
                <w:p w14:paraId="6B759E77" w14:textId="77777777" w:rsidR="00ED2334" w:rsidRPr="00AC6ACB" w:rsidRDefault="00ED2334" w:rsidP="008A7563">
                  <w:pPr>
                    <w:pStyle w:val="Tabletext"/>
                    <w:spacing w:before="120" w:after="120"/>
                    <w:jc w:val="center"/>
                    <w:rPr>
                      <w:b/>
                      <w:bCs/>
                      <w:sz w:val="20"/>
                    </w:rPr>
                  </w:pPr>
                  <w:r w:rsidRPr="00AC6ACB">
                    <w:rPr>
                      <w:b/>
                      <w:bCs/>
                      <w:sz w:val="20"/>
                    </w:rPr>
                    <w:t>Coût des demandes de remboursement (CHF)</w:t>
                  </w:r>
                </w:p>
                <w:p w14:paraId="1A4D293B" w14:textId="77777777" w:rsidR="00ED2334" w:rsidRPr="00AC6ACB" w:rsidRDefault="00ED2334" w:rsidP="008A7563">
                  <w:pPr>
                    <w:pStyle w:val="Tabletext"/>
                    <w:spacing w:before="120" w:after="120"/>
                    <w:jc w:val="center"/>
                    <w:rPr>
                      <w:b/>
                      <w:bCs/>
                      <w:sz w:val="20"/>
                    </w:rPr>
                  </w:pPr>
                  <w:r w:rsidRPr="00AC6ACB">
                    <w:rPr>
                      <w:b/>
                      <w:bCs/>
                      <w:sz w:val="20"/>
                    </w:rPr>
                    <w:t>2024</w:t>
                  </w:r>
                </w:p>
              </w:tc>
              <w:tc>
                <w:tcPr>
                  <w:tcW w:w="1979" w:type="dxa"/>
                  <w:tcBorders>
                    <w:top w:val="single" w:sz="4" w:space="0" w:color="auto"/>
                    <w:left w:val="single" w:sz="4" w:space="0" w:color="auto"/>
                    <w:bottom w:val="single" w:sz="4" w:space="0" w:color="auto"/>
                    <w:right w:val="single" w:sz="4" w:space="0" w:color="auto"/>
                  </w:tcBorders>
                </w:tcPr>
                <w:p w14:paraId="1D337981" w14:textId="77777777" w:rsidR="00ED2334" w:rsidRPr="00AC6ACB" w:rsidRDefault="00ED2334" w:rsidP="008A7563">
                  <w:pPr>
                    <w:pStyle w:val="Tabletext"/>
                    <w:spacing w:before="120" w:after="120"/>
                    <w:jc w:val="center"/>
                    <w:rPr>
                      <w:b/>
                      <w:bCs/>
                      <w:sz w:val="20"/>
                    </w:rPr>
                  </w:pPr>
                  <w:r w:rsidRPr="00AC6ACB">
                    <w:rPr>
                      <w:b/>
                      <w:bCs/>
                      <w:sz w:val="20"/>
                    </w:rPr>
                    <w:t>Coût des demandes de remboursement (CHF)</w:t>
                  </w:r>
                </w:p>
                <w:p w14:paraId="5AC8FEC3" w14:textId="77777777" w:rsidR="00ED2334" w:rsidRPr="00AC6ACB" w:rsidRDefault="00ED2334" w:rsidP="008A7563">
                  <w:pPr>
                    <w:pStyle w:val="Tabletext"/>
                    <w:spacing w:before="120" w:after="120"/>
                    <w:jc w:val="center"/>
                    <w:rPr>
                      <w:b/>
                      <w:bCs/>
                      <w:sz w:val="20"/>
                    </w:rPr>
                  </w:pPr>
                  <w:r w:rsidRPr="00AC6ACB">
                    <w:rPr>
                      <w:b/>
                      <w:bCs/>
                      <w:sz w:val="20"/>
                    </w:rPr>
                    <w:t>2023</w:t>
                  </w:r>
                </w:p>
              </w:tc>
            </w:tr>
            <w:tr w:rsidR="00ED2334" w:rsidRPr="00AC6ACB" w14:paraId="2B3359C6" w14:textId="77777777" w:rsidTr="008A7563">
              <w:trPr>
                <w:trHeight w:val="300"/>
                <w:jc w:val="center"/>
              </w:trPr>
              <w:tc>
                <w:tcPr>
                  <w:tcW w:w="1132" w:type="dxa"/>
                  <w:tcBorders>
                    <w:top w:val="single" w:sz="4" w:space="0" w:color="auto"/>
                    <w:left w:val="single" w:sz="4" w:space="0" w:color="auto"/>
                    <w:bottom w:val="single" w:sz="4" w:space="0" w:color="auto"/>
                    <w:right w:val="single" w:sz="4" w:space="0" w:color="auto"/>
                  </w:tcBorders>
                </w:tcPr>
                <w:p w14:paraId="66CF8D1A" w14:textId="77777777" w:rsidR="00ED2334" w:rsidRPr="00AC6ACB" w:rsidRDefault="00ED2334" w:rsidP="008A7563">
                  <w:pPr>
                    <w:pStyle w:val="Tabletext"/>
                    <w:spacing w:before="40" w:after="40"/>
                    <w:jc w:val="center"/>
                    <w:rPr>
                      <w:sz w:val="20"/>
                    </w:rPr>
                  </w:pPr>
                  <w:r w:rsidRPr="00AC6ACB">
                    <w:rPr>
                      <w:sz w:val="20"/>
                    </w:rPr>
                    <w:t>50</w:t>
                  </w:r>
                </w:p>
              </w:tc>
              <w:tc>
                <w:tcPr>
                  <w:tcW w:w="1990" w:type="dxa"/>
                  <w:tcBorders>
                    <w:top w:val="single" w:sz="4" w:space="0" w:color="auto"/>
                    <w:left w:val="single" w:sz="4" w:space="0" w:color="auto"/>
                    <w:bottom w:val="single" w:sz="4" w:space="0" w:color="auto"/>
                    <w:right w:val="single" w:sz="4" w:space="0" w:color="auto"/>
                  </w:tcBorders>
                </w:tcPr>
                <w:p w14:paraId="43651A27" w14:textId="77777777" w:rsidR="00ED2334" w:rsidRPr="00AC6ACB" w:rsidRDefault="00ED2334" w:rsidP="008A7563">
                  <w:pPr>
                    <w:pStyle w:val="Tabletext"/>
                    <w:spacing w:before="40" w:after="40"/>
                    <w:jc w:val="right"/>
                    <w:rPr>
                      <w:sz w:val="20"/>
                    </w:rPr>
                  </w:pPr>
                  <w:r w:rsidRPr="00AC6ACB">
                    <w:rPr>
                      <w:sz w:val="20"/>
                    </w:rPr>
                    <w:t>4 408</w:t>
                  </w:r>
                </w:p>
              </w:tc>
              <w:tc>
                <w:tcPr>
                  <w:tcW w:w="1979" w:type="dxa"/>
                  <w:tcBorders>
                    <w:top w:val="single" w:sz="4" w:space="0" w:color="auto"/>
                    <w:left w:val="single" w:sz="4" w:space="0" w:color="auto"/>
                    <w:bottom w:val="single" w:sz="4" w:space="0" w:color="auto"/>
                    <w:right w:val="single" w:sz="4" w:space="0" w:color="auto"/>
                  </w:tcBorders>
                </w:tcPr>
                <w:p w14:paraId="18A91FBD" w14:textId="77777777" w:rsidR="00ED2334" w:rsidRPr="00AC6ACB" w:rsidRDefault="00ED2334" w:rsidP="008A7563">
                  <w:pPr>
                    <w:pStyle w:val="Tabletext"/>
                    <w:spacing w:before="40" w:after="40"/>
                    <w:jc w:val="right"/>
                    <w:rPr>
                      <w:sz w:val="20"/>
                    </w:rPr>
                  </w:pPr>
                  <w:r w:rsidRPr="00AC6ACB">
                    <w:rPr>
                      <w:sz w:val="20"/>
                    </w:rPr>
                    <w:t>3 226</w:t>
                  </w:r>
                </w:p>
              </w:tc>
            </w:tr>
            <w:tr w:rsidR="00ED2334" w:rsidRPr="00AC6ACB" w14:paraId="44FDBD22" w14:textId="77777777" w:rsidTr="008A7563">
              <w:trPr>
                <w:trHeight w:val="300"/>
                <w:jc w:val="center"/>
              </w:trPr>
              <w:tc>
                <w:tcPr>
                  <w:tcW w:w="1132" w:type="dxa"/>
                  <w:tcBorders>
                    <w:top w:val="single" w:sz="4" w:space="0" w:color="auto"/>
                    <w:left w:val="single" w:sz="4" w:space="0" w:color="auto"/>
                    <w:bottom w:val="single" w:sz="4" w:space="0" w:color="auto"/>
                    <w:right w:val="single" w:sz="4" w:space="0" w:color="auto"/>
                  </w:tcBorders>
                </w:tcPr>
                <w:p w14:paraId="6C07B8AD" w14:textId="77777777" w:rsidR="00ED2334" w:rsidRPr="00AC6ACB" w:rsidRDefault="00ED2334" w:rsidP="008A7563">
                  <w:pPr>
                    <w:pStyle w:val="Tabletext"/>
                    <w:spacing w:before="40" w:after="40"/>
                    <w:jc w:val="center"/>
                    <w:rPr>
                      <w:sz w:val="20"/>
                    </w:rPr>
                  </w:pPr>
                  <w:r w:rsidRPr="00AC6ACB">
                    <w:rPr>
                      <w:sz w:val="20"/>
                    </w:rPr>
                    <w:t>55</w:t>
                  </w:r>
                </w:p>
              </w:tc>
              <w:tc>
                <w:tcPr>
                  <w:tcW w:w="1990" w:type="dxa"/>
                  <w:tcBorders>
                    <w:top w:val="single" w:sz="4" w:space="0" w:color="auto"/>
                    <w:left w:val="single" w:sz="4" w:space="0" w:color="auto"/>
                    <w:bottom w:val="single" w:sz="4" w:space="0" w:color="auto"/>
                    <w:right w:val="single" w:sz="4" w:space="0" w:color="auto"/>
                  </w:tcBorders>
                </w:tcPr>
                <w:p w14:paraId="7F44A414" w14:textId="77777777" w:rsidR="00ED2334" w:rsidRPr="00AC6ACB" w:rsidRDefault="00ED2334" w:rsidP="008A7563">
                  <w:pPr>
                    <w:pStyle w:val="Tabletext"/>
                    <w:spacing w:before="40" w:after="40"/>
                    <w:jc w:val="right"/>
                    <w:rPr>
                      <w:sz w:val="20"/>
                    </w:rPr>
                  </w:pPr>
                  <w:r w:rsidRPr="00AC6ACB">
                    <w:rPr>
                      <w:sz w:val="20"/>
                    </w:rPr>
                    <w:t>5 441</w:t>
                  </w:r>
                </w:p>
              </w:tc>
              <w:tc>
                <w:tcPr>
                  <w:tcW w:w="1979" w:type="dxa"/>
                  <w:tcBorders>
                    <w:top w:val="single" w:sz="4" w:space="0" w:color="auto"/>
                    <w:left w:val="single" w:sz="4" w:space="0" w:color="auto"/>
                    <w:bottom w:val="single" w:sz="4" w:space="0" w:color="auto"/>
                    <w:right w:val="single" w:sz="4" w:space="0" w:color="auto"/>
                  </w:tcBorders>
                </w:tcPr>
                <w:p w14:paraId="07578E60" w14:textId="77777777" w:rsidR="00ED2334" w:rsidRPr="00AC6ACB" w:rsidRDefault="00ED2334" w:rsidP="008A7563">
                  <w:pPr>
                    <w:pStyle w:val="Tabletext"/>
                    <w:spacing w:before="40" w:after="40"/>
                    <w:jc w:val="right"/>
                    <w:rPr>
                      <w:sz w:val="20"/>
                    </w:rPr>
                  </w:pPr>
                  <w:r w:rsidRPr="00AC6ACB">
                    <w:rPr>
                      <w:sz w:val="20"/>
                    </w:rPr>
                    <w:t>4 038</w:t>
                  </w:r>
                </w:p>
              </w:tc>
            </w:tr>
            <w:tr w:rsidR="00ED2334" w:rsidRPr="00AC6ACB" w14:paraId="78C2ACD4" w14:textId="77777777" w:rsidTr="008A7563">
              <w:trPr>
                <w:trHeight w:val="300"/>
                <w:jc w:val="center"/>
              </w:trPr>
              <w:tc>
                <w:tcPr>
                  <w:tcW w:w="1132" w:type="dxa"/>
                  <w:tcBorders>
                    <w:top w:val="single" w:sz="4" w:space="0" w:color="auto"/>
                    <w:left w:val="single" w:sz="4" w:space="0" w:color="auto"/>
                    <w:bottom w:val="single" w:sz="4" w:space="0" w:color="auto"/>
                    <w:right w:val="single" w:sz="4" w:space="0" w:color="auto"/>
                  </w:tcBorders>
                </w:tcPr>
                <w:p w14:paraId="554DAD66" w14:textId="77777777" w:rsidR="00ED2334" w:rsidRPr="00AC6ACB" w:rsidRDefault="00ED2334" w:rsidP="008A7563">
                  <w:pPr>
                    <w:pStyle w:val="Tabletext"/>
                    <w:spacing w:before="40" w:after="40"/>
                    <w:jc w:val="center"/>
                    <w:rPr>
                      <w:sz w:val="20"/>
                    </w:rPr>
                  </w:pPr>
                  <w:r w:rsidRPr="00AC6ACB">
                    <w:rPr>
                      <w:sz w:val="20"/>
                    </w:rPr>
                    <w:t>60</w:t>
                  </w:r>
                </w:p>
              </w:tc>
              <w:tc>
                <w:tcPr>
                  <w:tcW w:w="1990" w:type="dxa"/>
                  <w:tcBorders>
                    <w:top w:val="single" w:sz="4" w:space="0" w:color="auto"/>
                    <w:left w:val="single" w:sz="4" w:space="0" w:color="auto"/>
                    <w:bottom w:val="single" w:sz="4" w:space="0" w:color="auto"/>
                    <w:right w:val="single" w:sz="4" w:space="0" w:color="auto"/>
                  </w:tcBorders>
                </w:tcPr>
                <w:p w14:paraId="2001F90C" w14:textId="77777777" w:rsidR="00ED2334" w:rsidRPr="00AC6ACB" w:rsidRDefault="00ED2334" w:rsidP="008A7563">
                  <w:pPr>
                    <w:pStyle w:val="Tabletext"/>
                    <w:spacing w:before="40" w:after="40"/>
                    <w:jc w:val="right"/>
                    <w:rPr>
                      <w:sz w:val="20"/>
                    </w:rPr>
                  </w:pPr>
                  <w:r w:rsidRPr="00AC6ACB">
                    <w:rPr>
                      <w:sz w:val="20"/>
                    </w:rPr>
                    <w:t>6 620</w:t>
                  </w:r>
                </w:p>
              </w:tc>
              <w:tc>
                <w:tcPr>
                  <w:tcW w:w="1979" w:type="dxa"/>
                  <w:tcBorders>
                    <w:top w:val="single" w:sz="4" w:space="0" w:color="auto"/>
                    <w:left w:val="single" w:sz="4" w:space="0" w:color="auto"/>
                    <w:bottom w:val="single" w:sz="4" w:space="0" w:color="auto"/>
                    <w:right w:val="single" w:sz="4" w:space="0" w:color="auto"/>
                  </w:tcBorders>
                </w:tcPr>
                <w:p w14:paraId="06BC16C8" w14:textId="77777777" w:rsidR="00ED2334" w:rsidRPr="00AC6ACB" w:rsidRDefault="00ED2334" w:rsidP="008A7563">
                  <w:pPr>
                    <w:pStyle w:val="Tabletext"/>
                    <w:spacing w:before="40" w:after="40"/>
                    <w:jc w:val="right"/>
                    <w:rPr>
                      <w:sz w:val="20"/>
                    </w:rPr>
                  </w:pPr>
                  <w:r w:rsidRPr="00AC6ACB">
                    <w:rPr>
                      <w:sz w:val="20"/>
                    </w:rPr>
                    <w:t>5 063</w:t>
                  </w:r>
                </w:p>
              </w:tc>
            </w:tr>
            <w:tr w:rsidR="00ED2334" w:rsidRPr="00AC6ACB" w14:paraId="5A1FFFAB" w14:textId="77777777" w:rsidTr="008A7563">
              <w:trPr>
                <w:trHeight w:val="300"/>
                <w:jc w:val="center"/>
              </w:trPr>
              <w:tc>
                <w:tcPr>
                  <w:tcW w:w="1132" w:type="dxa"/>
                  <w:tcBorders>
                    <w:top w:val="single" w:sz="4" w:space="0" w:color="auto"/>
                    <w:left w:val="single" w:sz="4" w:space="0" w:color="auto"/>
                    <w:bottom w:val="single" w:sz="4" w:space="0" w:color="auto"/>
                    <w:right w:val="single" w:sz="4" w:space="0" w:color="auto"/>
                  </w:tcBorders>
                </w:tcPr>
                <w:p w14:paraId="5F6D275E" w14:textId="77777777" w:rsidR="00ED2334" w:rsidRPr="00AC6ACB" w:rsidRDefault="00ED2334" w:rsidP="008A7563">
                  <w:pPr>
                    <w:pStyle w:val="Tabletext"/>
                    <w:spacing w:before="40" w:after="40"/>
                    <w:jc w:val="center"/>
                    <w:rPr>
                      <w:sz w:val="20"/>
                    </w:rPr>
                  </w:pPr>
                  <w:r w:rsidRPr="00AC6ACB">
                    <w:rPr>
                      <w:sz w:val="20"/>
                    </w:rPr>
                    <w:t>65</w:t>
                  </w:r>
                </w:p>
              </w:tc>
              <w:tc>
                <w:tcPr>
                  <w:tcW w:w="1990" w:type="dxa"/>
                  <w:tcBorders>
                    <w:top w:val="single" w:sz="4" w:space="0" w:color="auto"/>
                    <w:left w:val="single" w:sz="4" w:space="0" w:color="auto"/>
                    <w:bottom w:val="single" w:sz="4" w:space="0" w:color="auto"/>
                    <w:right w:val="single" w:sz="4" w:space="0" w:color="auto"/>
                  </w:tcBorders>
                </w:tcPr>
                <w:p w14:paraId="798C1FC8" w14:textId="77777777" w:rsidR="00ED2334" w:rsidRPr="00AC6ACB" w:rsidRDefault="00ED2334" w:rsidP="008A7563">
                  <w:pPr>
                    <w:pStyle w:val="Tabletext"/>
                    <w:spacing w:before="40" w:after="40"/>
                    <w:jc w:val="right"/>
                    <w:rPr>
                      <w:sz w:val="20"/>
                    </w:rPr>
                  </w:pPr>
                  <w:r w:rsidRPr="00AC6ACB">
                    <w:rPr>
                      <w:sz w:val="20"/>
                    </w:rPr>
                    <w:t>7 938</w:t>
                  </w:r>
                </w:p>
              </w:tc>
              <w:tc>
                <w:tcPr>
                  <w:tcW w:w="1979" w:type="dxa"/>
                  <w:tcBorders>
                    <w:top w:val="single" w:sz="4" w:space="0" w:color="auto"/>
                    <w:left w:val="single" w:sz="4" w:space="0" w:color="auto"/>
                    <w:bottom w:val="single" w:sz="4" w:space="0" w:color="auto"/>
                    <w:right w:val="single" w:sz="4" w:space="0" w:color="auto"/>
                  </w:tcBorders>
                </w:tcPr>
                <w:p w14:paraId="0FAC254F" w14:textId="77777777" w:rsidR="00ED2334" w:rsidRPr="00AC6ACB" w:rsidRDefault="00ED2334" w:rsidP="008A7563">
                  <w:pPr>
                    <w:pStyle w:val="Tabletext"/>
                    <w:spacing w:before="40" w:after="40"/>
                    <w:jc w:val="right"/>
                    <w:rPr>
                      <w:sz w:val="20"/>
                    </w:rPr>
                  </w:pPr>
                  <w:r w:rsidRPr="00AC6ACB">
                    <w:rPr>
                      <w:sz w:val="20"/>
                    </w:rPr>
                    <w:t>6 357</w:t>
                  </w:r>
                </w:p>
              </w:tc>
            </w:tr>
            <w:tr w:rsidR="00ED2334" w:rsidRPr="00AC6ACB" w14:paraId="5451F393" w14:textId="77777777" w:rsidTr="008A7563">
              <w:trPr>
                <w:trHeight w:val="300"/>
                <w:jc w:val="center"/>
              </w:trPr>
              <w:tc>
                <w:tcPr>
                  <w:tcW w:w="1132" w:type="dxa"/>
                  <w:tcBorders>
                    <w:top w:val="single" w:sz="4" w:space="0" w:color="auto"/>
                    <w:left w:val="single" w:sz="4" w:space="0" w:color="auto"/>
                    <w:bottom w:val="single" w:sz="4" w:space="0" w:color="auto"/>
                    <w:right w:val="single" w:sz="4" w:space="0" w:color="auto"/>
                  </w:tcBorders>
                </w:tcPr>
                <w:p w14:paraId="18A03743" w14:textId="77777777" w:rsidR="00ED2334" w:rsidRPr="00AC6ACB" w:rsidRDefault="00ED2334" w:rsidP="008A7563">
                  <w:pPr>
                    <w:pStyle w:val="Tabletext"/>
                    <w:spacing w:before="40" w:after="40"/>
                    <w:jc w:val="center"/>
                    <w:rPr>
                      <w:sz w:val="20"/>
                    </w:rPr>
                  </w:pPr>
                  <w:r w:rsidRPr="00AC6ACB">
                    <w:rPr>
                      <w:sz w:val="20"/>
                    </w:rPr>
                    <w:t>70</w:t>
                  </w:r>
                </w:p>
              </w:tc>
              <w:tc>
                <w:tcPr>
                  <w:tcW w:w="1990" w:type="dxa"/>
                  <w:tcBorders>
                    <w:top w:val="single" w:sz="4" w:space="0" w:color="auto"/>
                    <w:left w:val="single" w:sz="4" w:space="0" w:color="auto"/>
                    <w:bottom w:val="single" w:sz="4" w:space="0" w:color="auto"/>
                    <w:right w:val="single" w:sz="4" w:space="0" w:color="auto"/>
                  </w:tcBorders>
                </w:tcPr>
                <w:p w14:paraId="5574CDA5" w14:textId="77777777" w:rsidR="00ED2334" w:rsidRPr="00AC6ACB" w:rsidRDefault="00ED2334" w:rsidP="008A7563">
                  <w:pPr>
                    <w:pStyle w:val="Tabletext"/>
                    <w:spacing w:before="40" w:after="40"/>
                    <w:jc w:val="right"/>
                    <w:rPr>
                      <w:sz w:val="20"/>
                    </w:rPr>
                  </w:pPr>
                  <w:r w:rsidRPr="00AC6ACB">
                    <w:rPr>
                      <w:sz w:val="20"/>
                    </w:rPr>
                    <w:t>9 566</w:t>
                  </w:r>
                </w:p>
              </w:tc>
              <w:tc>
                <w:tcPr>
                  <w:tcW w:w="1979" w:type="dxa"/>
                  <w:tcBorders>
                    <w:top w:val="single" w:sz="4" w:space="0" w:color="auto"/>
                    <w:left w:val="single" w:sz="4" w:space="0" w:color="auto"/>
                    <w:bottom w:val="single" w:sz="4" w:space="0" w:color="auto"/>
                    <w:right w:val="single" w:sz="4" w:space="0" w:color="auto"/>
                  </w:tcBorders>
                </w:tcPr>
                <w:p w14:paraId="7D0217A4" w14:textId="77777777" w:rsidR="00ED2334" w:rsidRPr="00AC6ACB" w:rsidRDefault="00ED2334" w:rsidP="008A7563">
                  <w:pPr>
                    <w:pStyle w:val="Tabletext"/>
                    <w:spacing w:before="40" w:after="40"/>
                    <w:jc w:val="right"/>
                    <w:rPr>
                      <w:sz w:val="20"/>
                    </w:rPr>
                  </w:pPr>
                  <w:r w:rsidRPr="00AC6ACB">
                    <w:rPr>
                      <w:sz w:val="20"/>
                    </w:rPr>
                    <w:t>7 995</w:t>
                  </w:r>
                </w:p>
              </w:tc>
            </w:tr>
            <w:tr w:rsidR="00ED2334" w:rsidRPr="00AC6ACB" w14:paraId="16CCDFCD" w14:textId="77777777" w:rsidTr="008A7563">
              <w:trPr>
                <w:trHeight w:val="300"/>
                <w:jc w:val="center"/>
              </w:trPr>
              <w:tc>
                <w:tcPr>
                  <w:tcW w:w="1132" w:type="dxa"/>
                  <w:tcBorders>
                    <w:top w:val="single" w:sz="4" w:space="0" w:color="auto"/>
                    <w:left w:val="single" w:sz="4" w:space="0" w:color="auto"/>
                    <w:bottom w:val="single" w:sz="4" w:space="0" w:color="auto"/>
                    <w:right w:val="single" w:sz="4" w:space="0" w:color="auto"/>
                  </w:tcBorders>
                </w:tcPr>
                <w:p w14:paraId="66FA3820" w14:textId="77777777" w:rsidR="00ED2334" w:rsidRPr="00AC6ACB" w:rsidRDefault="00ED2334" w:rsidP="008A7563">
                  <w:pPr>
                    <w:pStyle w:val="Tabletext"/>
                    <w:spacing w:before="40" w:after="40"/>
                    <w:jc w:val="center"/>
                    <w:rPr>
                      <w:sz w:val="20"/>
                    </w:rPr>
                  </w:pPr>
                  <w:r w:rsidRPr="00AC6ACB">
                    <w:rPr>
                      <w:sz w:val="20"/>
                    </w:rPr>
                    <w:t>75</w:t>
                  </w:r>
                </w:p>
              </w:tc>
              <w:tc>
                <w:tcPr>
                  <w:tcW w:w="1990" w:type="dxa"/>
                  <w:tcBorders>
                    <w:top w:val="single" w:sz="4" w:space="0" w:color="auto"/>
                    <w:left w:val="single" w:sz="4" w:space="0" w:color="auto"/>
                    <w:bottom w:val="single" w:sz="4" w:space="0" w:color="auto"/>
                    <w:right w:val="single" w:sz="4" w:space="0" w:color="auto"/>
                  </w:tcBorders>
                </w:tcPr>
                <w:p w14:paraId="284808C8" w14:textId="77777777" w:rsidR="00ED2334" w:rsidRPr="00AC6ACB" w:rsidRDefault="00ED2334" w:rsidP="008A7563">
                  <w:pPr>
                    <w:pStyle w:val="Tabletext"/>
                    <w:spacing w:before="40" w:after="40"/>
                    <w:jc w:val="right"/>
                    <w:rPr>
                      <w:sz w:val="20"/>
                    </w:rPr>
                  </w:pPr>
                  <w:r w:rsidRPr="00AC6ACB">
                    <w:rPr>
                      <w:sz w:val="20"/>
                    </w:rPr>
                    <w:t>10 926</w:t>
                  </w:r>
                </w:p>
              </w:tc>
              <w:tc>
                <w:tcPr>
                  <w:tcW w:w="1979" w:type="dxa"/>
                  <w:tcBorders>
                    <w:top w:val="single" w:sz="4" w:space="0" w:color="auto"/>
                    <w:left w:val="single" w:sz="4" w:space="0" w:color="auto"/>
                    <w:bottom w:val="single" w:sz="4" w:space="0" w:color="auto"/>
                    <w:right w:val="single" w:sz="4" w:space="0" w:color="auto"/>
                  </w:tcBorders>
                </w:tcPr>
                <w:p w14:paraId="6E859C5F" w14:textId="77777777" w:rsidR="00ED2334" w:rsidRPr="00AC6ACB" w:rsidRDefault="00ED2334" w:rsidP="008A7563">
                  <w:pPr>
                    <w:pStyle w:val="Tabletext"/>
                    <w:spacing w:before="40" w:after="40"/>
                    <w:jc w:val="right"/>
                    <w:rPr>
                      <w:sz w:val="20"/>
                    </w:rPr>
                  </w:pPr>
                  <w:r w:rsidRPr="00AC6ACB">
                    <w:rPr>
                      <w:sz w:val="20"/>
                    </w:rPr>
                    <w:t>10 074</w:t>
                  </w:r>
                </w:p>
              </w:tc>
            </w:tr>
            <w:tr w:rsidR="00ED2334" w:rsidRPr="00AC6ACB" w14:paraId="34DBD044" w14:textId="77777777" w:rsidTr="008A7563">
              <w:trPr>
                <w:trHeight w:val="300"/>
                <w:jc w:val="center"/>
              </w:trPr>
              <w:tc>
                <w:tcPr>
                  <w:tcW w:w="1132" w:type="dxa"/>
                  <w:tcBorders>
                    <w:top w:val="single" w:sz="4" w:space="0" w:color="auto"/>
                    <w:left w:val="single" w:sz="4" w:space="0" w:color="auto"/>
                    <w:bottom w:val="single" w:sz="4" w:space="0" w:color="auto"/>
                    <w:right w:val="single" w:sz="4" w:space="0" w:color="auto"/>
                  </w:tcBorders>
                </w:tcPr>
                <w:p w14:paraId="4CB2758B" w14:textId="77777777" w:rsidR="00ED2334" w:rsidRPr="00AC6ACB" w:rsidRDefault="00ED2334" w:rsidP="008A7563">
                  <w:pPr>
                    <w:pStyle w:val="Tabletext"/>
                    <w:spacing w:before="40" w:after="40"/>
                    <w:jc w:val="center"/>
                    <w:rPr>
                      <w:sz w:val="20"/>
                    </w:rPr>
                  </w:pPr>
                  <w:r w:rsidRPr="00AC6ACB">
                    <w:rPr>
                      <w:sz w:val="20"/>
                    </w:rPr>
                    <w:t>80</w:t>
                  </w:r>
                </w:p>
              </w:tc>
              <w:tc>
                <w:tcPr>
                  <w:tcW w:w="1990" w:type="dxa"/>
                  <w:tcBorders>
                    <w:top w:val="single" w:sz="4" w:space="0" w:color="auto"/>
                    <w:left w:val="single" w:sz="4" w:space="0" w:color="auto"/>
                    <w:bottom w:val="single" w:sz="4" w:space="0" w:color="auto"/>
                    <w:right w:val="single" w:sz="4" w:space="0" w:color="auto"/>
                  </w:tcBorders>
                </w:tcPr>
                <w:p w14:paraId="75542691" w14:textId="77777777" w:rsidR="00ED2334" w:rsidRPr="00AC6ACB" w:rsidRDefault="00ED2334" w:rsidP="008A7563">
                  <w:pPr>
                    <w:pStyle w:val="Tabletext"/>
                    <w:spacing w:before="40" w:after="40"/>
                    <w:jc w:val="right"/>
                    <w:rPr>
                      <w:sz w:val="20"/>
                    </w:rPr>
                  </w:pPr>
                  <w:r w:rsidRPr="00AC6ACB">
                    <w:rPr>
                      <w:sz w:val="20"/>
                    </w:rPr>
                    <w:t>12 060</w:t>
                  </w:r>
                </w:p>
              </w:tc>
              <w:tc>
                <w:tcPr>
                  <w:tcW w:w="1979" w:type="dxa"/>
                  <w:tcBorders>
                    <w:top w:val="single" w:sz="4" w:space="0" w:color="auto"/>
                    <w:left w:val="single" w:sz="4" w:space="0" w:color="auto"/>
                    <w:bottom w:val="single" w:sz="4" w:space="0" w:color="auto"/>
                    <w:right w:val="single" w:sz="4" w:space="0" w:color="auto"/>
                  </w:tcBorders>
                </w:tcPr>
                <w:p w14:paraId="3858770C" w14:textId="77777777" w:rsidR="00ED2334" w:rsidRPr="00AC6ACB" w:rsidRDefault="00ED2334" w:rsidP="008A7563">
                  <w:pPr>
                    <w:pStyle w:val="Tabletext"/>
                    <w:spacing w:before="40" w:after="40"/>
                    <w:jc w:val="right"/>
                    <w:rPr>
                      <w:sz w:val="20"/>
                    </w:rPr>
                  </w:pPr>
                  <w:r w:rsidRPr="00AC6ACB">
                    <w:rPr>
                      <w:sz w:val="20"/>
                    </w:rPr>
                    <w:t>12 715</w:t>
                  </w:r>
                </w:p>
              </w:tc>
            </w:tr>
            <w:tr w:rsidR="00ED2334" w:rsidRPr="00AC6ACB" w14:paraId="6D576CCF" w14:textId="77777777" w:rsidTr="008A7563">
              <w:trPr>
                <w:trHeight w:val="300"/>
                <w:jc w:val="center"/>
              </w:trPr>
              <w:tc>
                <w:tcPr>
                  <w:tcW w:w="1132" w:type="dxa"/>
                  <w:tcBorders>
                    <w:top w:val="single" w:sz="4" w:space="0" w:color="auto"/>
                    <w:left w:val="single" w:sz="4" w:space="0" w:color="auto"/>
                    <w:bottom w:val="single" w:sz="4" w:space="0" w:color="auto"/>
                    <w:right w:val="single" w:sz="4" w:space="0" w:color="auto"/>
                  </w:tcBorders>
                </w:tcPr>
                <w:p w14:paraId="6FD1906D" w14:textId="77777777" w:rsidR="00ED2334" w:rsidRPr="00AC6ACB" w:rsidRDefault="00ED2334" w:rsidP="008A7563">
                  <w:pPr>
                    <w:pStyle w:val="Tabletext"/>
                    <w:spacing w:before="40" w:after="40"/>
                    <w:jc w:val="center"/>
                    <w:rPr>
                      <w:sz w:val="20"/>
                    </w:rPr>
                  </w:pPr>
                  <w:r w:rsidRPr="00AC6ACB">
                    <w:rPr>
                      <w:sz w:val="20"/>
                    </w:rPr>
                    <w:t>85</w:t>
                  </w:r>
                </w:p>
              </w:tc>
              <w:tc>
                <w:tcPr>
                  <w:tcW w:w="1990" w:type="dxa"/>
                  <w:tcBorders>
                    <w:top w:val="single" w:sz="4" w:space="0" w:color="auto"/>
                    <w:left w:val="single" w:sz="4" w:space="0" w:color="auto"/>
                    <w:bottom w:val="single" w:sz="4" w:space="0" w:color="auto"/>
                    <w:right w:val="single" w:sz="4" w:space="0" w:color="auto"/>
                  </w:tcBorders>
                </w:tcPr>
                <w:p w14:paraId="559E89A0" w14:textId="77777777" w:rsidR="00ED2334" w:rsidRPr="00AC6ACB" w:rsidRDefault="00ED2334" w:rsidP="008A7563">
                  <w:pPr>
                    <w:pStyle w:val="Tabletext"/>
                    <w:spacing w:before="40" w:after="40"/>
                    <w:jc w:val="right"/>
                    <w:rPr>
                      <w:sz w:val="20"/>
                    </w:rPr>
                  </w:pPr>
                  <w:r w:rsidRPr="00AC6ACB">
                    <w:rPr>
                      <w:sz w:val="20"/>
                    </w:rPr>
                    <w:t>14 672</w:t>
                  </w:r>
                </w:p>
              </w:tc>
              <w:tc>
                <w:tcPr>
                  <w:tcW w:w="1979" w:type="dxa"/>
                  <w:tcBorders>
                    <w:top w:val="single" w:sz="4" w:space="0" w:color="auto"/>
                    <w:left w:val="single" w:sz="4" w:space="0" w:color="auto"/>
                    <w:bottom w:val="single" w:sz="4" w:space="0" w:color="auto"/>
                    <w:right w:val="single" w:sz="4" w:space="0" w:color="auto"/>
                  </w:tcBorders>
                </w:tcPr>
                <w:p w14:paraId="3E12ABD9" w14:textId="77777777" w:rsidR="00ED2334" w:rsidRPr="00AC6ACB" w:rsidRDefault="00ED2334" w:rsidP="008A7563">
                  <w:pPr>
                    <w:pStyle w:val="Tabletext"/>
                    <w:spacing w:before="40" w:after="40"/>
                    <w:jc w:val="right"/>
                    <w:rPr>
                      <w:sz w:val="20"/>
                    </w:rPr>
                  </w:pPr>
                  <w:r w:rsidRPr="00AC6ACB">
                    <w:rPr>
                      <w:sz w:val="20"/>
                    </w:rPr>
                    <w:t>14 736</w:t>
                  </w:r>
                </w:p>
              </w:tc>
            </w:tr>
            <w:tr w:rsidR="00ED2334" w:rsidRPr="00AC6ACB" w14:paraId="5EBB3BFC" w14:textId="77777777" w:rsidTr="008A7563">
              <w:trPr>
                <w:trHeight w:val="300"/>
                <w:jc w:val="center"/>
              </w:trPr>
              <w:tc>
                <w:tcPr>
                  <w:tcW w:w="1132" w:type="dxa"/>
                  <w:tcBorders>
                    <w:top w:val="single" w:sz="4" w:space="0" w:color="auto"/>
                    <w:left w:val="single" w:sz="4" w:space="0" w:color="auto"/>
                    <w:bottom w:val="single" w:sz="4" w:space="0" w:color="auto"/>
                    <w:right w:val="single" w:sz="4" w:space="0" w:color="auto"/>
                  </w:tcBorders>
                </w:tcPr>
                <w:p w14:paraId="4DF63E41" w14:textId="77777777" w:rsidR="00ED2334" w:rsidRPr="00AC6ACB" w:rsidRDefault="00ED2334" w:rsidP="008A7563">
                  <w:pPr>
                    <w:pStyle w:val="Tabletext"/>
                    <w:spacing w:before="40" w:after="40"/>
                    <w:jc w:val="center"/>
                    <w:rPr>
                      <w:sz w:val="20"/>
                    </w:rPr>
                  </w:pPr>
                  <w:r w:rsidRPr="00AC6ACB">
                    <w:rPr>
                      <w:sz w:val="20"/>
                    </w:rPr>
                    <w:t>90</w:t>
                  </w:r>
                </w:p>
              </w:tc>
              <w:tc>
                <w:tcPr>
                  <w:tcW w:w="1990" w:type="dxa"/>
                  <w:tcBorders>
                    <w:top w:val="single" w:sz="4" w:space="0" w:color="auto"/>
                    <w:left w:val="single" w:sz="4" w:space="0" w:color="auto"/>
                    <w:bottom w:val="single" w:sz="4" w:space="0" w:color="auto"/>
                    <w:right w:val="single" w:sz="4" w:space="0" w:color="auto"/>
                  </w:tcBorders>
                </w:tcPr>
                <w:p w14:paraId="7ABF2398" w14:textId="77777777" w:rsidR="00ED2334" w:rsidRPr="00AC6ACB" w:rsidRDefault="00ED2334" w:rsidP="008A7563">
                  <w:pPr>
                    <w:pStyle w:val="Tabletext"/>
                    <w:spacing w:before="40" w:after="40"/>
                    <w:jc w:val="right"/>
                    <w:rPr>
                      <w:sz w:val="20"/>
                    </w:rPr>
                  </w:pPr>
                  <w:r w:rsidRPr="00AC6ACB">
                    <w:rPr>
                      <w:sz w:val="20"/>
                    </w:rPr>
                    <w:t>16 919</w:t>
                  </w:r>
                </w:p>
              </w:tc>
              <w:tc>
                <w:tcPr>
                  <w:tcW w:w="1979" w:type="dxa"/>
                  <w:tcBorders>
                    <w:top w:val="single" w:sz="4" w:space="0" w:color="auto"/>
                    <w:left w:val="single" w:sz="4" w:space="0" w:color="auto"/>
                    <w:bottom w:val="single" w:sz="4" w:space="0" w:color="auto"/>
                    <w:right w:val="single" w:sz="4" w:space="0" w:color="auto"/>
                  </w:tcBorders>
                </w:tcPr>
                <w:p w14:paraId="11C57236" w14:textId="77777777" w:rsidR="00ED2334" w:rsidRPr="00AC6ACB" w:rsidRDefault="00ED2334" w:rsidP="008A7563">
                  <w:pPr>
                    <w:pStyle w:val="Tabletext"/>
                    <w:spacing w:before="40" w:after="40"/>
                    <w:jc w:val="right"/>
                    <w:rPr>
                      <w:sz w:val="20"/>
                    </w:rPr>
                  </w:pPr>
                  <w:r w:rsidRPr="00AC6ACB">
                    <w:rPr>
                      <w:sz w:val="20"/>
                    </w:rPr>
                    <w:t>16 953</w:t>
                  </w:r>
                </w:p>
              </w:tc>
            </w:tr>
            <w:tr w:rsidR="00ED2334" w:rsidRPr="00AC6ACB" w14:paraId="1A54B53E" w14:textId="77777777" w:rsidTr="007C365F">
              <w:trPr>
                <w:trHeight w:val="300"/>
                <w:jc w:val="center"/>
              </w:trPr>
              <w:tc>
                <w:tcPr>
                  <w:tcW w:w="1132" w:type="dxa"/>
                  <w:tcBorders>
                    <w:top w:val="single" w:sz="4" w:space="0" w:color="auto"/>
                    <w:left w:val="nil"/>
                    <w:bottom w:val="nil"/>
                    <w:right w:val="nil"/>
                  </w:tcBorders>
                </w:tcPr>
                <w:p w14:paraId="4FF91F7E" w14:textId="77777777" w:rsidR="00ED2334" w:rsidRPr="00AC6ACB" w:rsidRDefault="00ED2334" w:rsidP="008A7563">
                  <w:pPr>
                    <w:pStyle w:val="Tabletext"/>
                    <w:spacing w:before="40" w:after="40"/>
                    <w:jc w:val="center"/>
                    <w:rPr>
                      <w:sz w:val="20"/>
                    </w:rPr>
                  </w:pPr>
                </w:p>
              </w:tc>
              <w:tc>
                <w:tcPr>
                  <w:tcW w:w="1990" w:type="dxa"/>
                  <w:tcBorders>
                    <w:top w:val="single" w:sz="4" w:space="0" w:color="auto"/>
                    <w:left w:val="nil"/>
                    <w:bottom w:val="nil"/>
                    <w:right w:val="nil"/>
                  </w:tcBorders>
                </w:tcPr>
                <w:p w14:paraId="233A02A9" w14:textId="77777777" w:rsidR="00ED2334" w:rsidRPr="00AC6ACB" w:rsidRDefault="00ED2334" w:rsidP="008A7563">
                  <w:pPr>
                    <w:pStyle w:val="Tabletext"/>
                    <w:spacing w:before="40" w:after="40"/>
                    <w:jc w:val="right"/>
                    <w:rPr>
                      <w:sz w:val="20"/>
                    </w:rPr>
                  </w:pPr>
                </w:p>
              </w:tc>
              <w:tc>
                <w:tcPr>
                  <w:tcW w:w="1979" w:type="dxa"/>
                  <w:tcBorders>
                    <w:top w:val="single" w:sz="4" w:space="0" w:color="auto"/>
                    <w:left w:val="nil"/>
                    <w:bottom w:val="nil"/>
                    <w:right w:val="nil"/>
                  </w:tcBorders>
                </w:tcPr>
                <w:p w14:paraId="0384D7BA" w14:textId="77777777" w:rsidR="00ED2334" w:rsidRPr="00AC6ACB" w:rsidRDefault="00ED2334" w:rsidP="008A7563">
                  <w:pPr>
                    <w:pStyle w:val="Tabletext"/>
                    <w:spacing w:before="40" w:after="40"/>
                    <w:jc w:val="right"/>
                    <w:rPr>
                      <w:sz w:val="20"/>
                    </w:rPr>
                  </w:pPr>
                </w:p>
              </w:tc>
            </w:tr>
          </w:tbl>
          <w:p w14:paraId="3EB9C79E" w14:textId="77777777" w:rsidR="00ED2334" w:rsidRPr="00AC6ACB" w:rsidRDefault="00ED2334" w:rsidP="008A7563">
            <w:pPr>
              <w:pStyle w:val="Tabletext"/>
              <w:spacing w:before="20" w:after="20"/>
              <w:rPr>
                <w:sz w:val="16"/>
                <w:szCs w:val="18"/>
              </w:rPr>
            </w:pPr>
          </w:p>
        </w:tc>
      </w:tr>
      <w:tr w:rsidR="00ED2334" w:rsidRPr="00AC6ACB" w14:paraId="6C12FD21" w14:textId="77777777" w:rsidTr="008A7563">
        <w:trPr>
          <w:trHeight w:val="255"/>
        </w:trPr>
        <w:tc>
          <w:tcPr>
            <w:tcW w:w="2972" w:type="dxa"/>
            <w:hideMark/>
          </w:tcPr>
          <w:p w14:paraId="4250154D" w14:textId="77777777" w:rsidR="00ED2334" w:rsidRPr="00AC6ACB" w:rsidRDefault="00ED2334" w:rsidP="008A7563">
            <w:pPr>
              <w:pStyle w:val="Tabletext"/>
              <w:widowControl w:val="0"/>
              <w:spacing w:before="120" w:after="120"/>
              <w:rPr>
                <w:sz w:val="20"/>
              </w:rPr>
            </w:pPr>
            <w:r w:rsidRPr="00AC6ACB">
              <w:rPr>
                <w:sz w:val="20"/>
              </w:rPr>
              <w:t>Dépenses d'administration</w:t>
            </w:r>
          </w:p>
        </w:tc>
        <w:tc>
          <w:tcPr>
            <w:tcW w:w="6662" w:type="dxa"/>
            <w:hideMark/>
          </w:tcPr>
          <w:p w14:paraId="154DFDEC" w14:textId="77777777" w:rsidR="00ED2334" w:rsidRPr="00AC6ACB" w:rsidRDefault="00ED2334" w:rsidP="008A7563">
            <w:pPr>
              <w:pStyle w:val="Tabletext"/>
              <w:widowControl w:val="0"/>
              <w:spacing w:before="120" w:after="120"/>
              <w:rPr>
                <w:sz w:val="20"/>
              </w:rPr>
            </w:pPr>
            <w:r w:rsidRPr="00AC6ACB">
              <w:rPr>
                <w:sz w:val="20"/>
              </w:rPr>
              <w:t>Le coût administratif annuel a été estimé en moyenne à 166 CHF par personne, contre 164 CHF par personne en 2023.</w:t>
            </w:r>
          </w:p>
        </w:tc>
      </w:tr>
      <w:tr w:rsidR="00ED2334" w:rsidRPr="00AC6ACB" w14:paraId="092B6670" w14:textId="77777777" w:rsidTr="00ED2334">
        <w:trPr>
          <w:trHeight w:val="50"/>
        </w:trPr>
        <w:tc>
          <w:tcPr>
            <w:tcW w:w="2972" w:type="dxa"/>
            <w:hideMark/>
          </w:tcPr>
          <w:p w14:paraId="2F85D63F" w14:textId="77777777" w:rsidR="00ED2334" w:rsidRPr="00AC6ACB" w:rsidRDefault="00ED2334" w:rsidP="00ED2334">
            <w:pPr>
              <w:pStyle w:val="Tabletext"/>
              <w:keepNext/>
              <w:spacing w:before="100" w:after="100"/>
              <w:rPr>
                <w:sz w:val="20"/>
              </w:rPr>
            </w:pPr>
            <w:r w:rsidRPr="00AC6ACB">
              <w:rPr>
                <w:sz w:val="20"/>
              </w:rPr>
              <w:lastRenderedPageBreak/>
              <w:t>Mortalité</w:t>
            </w:r>
          </w:p>
        </w:tc>
        <w:tc>
          <w:tcPr>
            <w:tcW w:w="6662" w:type="dxa"/>
            <w:hideMark/>
          </w:tcPr>
          <w:p w14:paraId="3C790115" w14:textId="77777777" w:rsidR="00ED2334" w:rsidRPr="00AC6ACB" w:rsidRDefault="00ED2334" w:rsidP="00ED2334">
            <w:pPr>
              <w:pStyle w:val="Tabletext"/>
              <w:keepNext/>
              <w:spacing w:before="100" w:after="100"/>
              <w:rPr>
                <w:sz w:val="20"/>
              </w:rPr>
            </w:pPr>
            <w:r w:rsidRPr="00AC6ACB">
              <w:rPr>
                <w:sz w:val="20"/>
              </w:rPr>
              <w:t>Le taux de mortalité est basé sur les dernières tables de mortalité des Nations Unies ventilées par sexe (janvier 2024) sans amélioration liée à l'augmentation de l'espérance de vie pour les fonctionnaires en service et les bénéficiaires d'une pension d'invalidité, et avec une amélioration liée à l'augmentation de l'espérance de vie jusqu'en 2044 pour les bénéficiaires d'une pension de retraite, pour les veuves et les veufs. L'année de référence est 2017 et il est tenu compte d'une amélioration liée à l'espérance de vie.</w:t>
            </w:r>
          </w:p>
        </w:tc>
      </w:tr>
      <w:tr w:rsidR="00ED2334" w:rsidRPr="00AC6ACB" w14:paraId="71D174E9" w14:textId="77777777" w:rsidTr="008A7563">
        <w:trPr>
          <w:trHeight w:val="99"/>
        </w:trPr>
        <w:tc>
          <w:tcPr>
            <w:tcW w:w="2972" w:type="dxa"/>
            <w:hideMark/>
          </w:tcPr>
          <w:p w14:paraId="61058810" w14:textId="77777777" w:rsidR="00ED2334" w:rsidRPr="00AC6ACB" w:rsidRDefault="00ED2334" w:rsidP="008A7563">
            <w:pPr>
              <w:pStyle w:val="Tabletext"/>
              <w:spacing w:before="100" w:after="100"/>
              <w:rPr>
                <w:sz w:val="20"/>
              </w:rPr>
            </w:pPr>
            <w:r w:rsidRPr="00AC6ACB">
              <w:rPr>
                <w:sz w:val="20"/>
              </w:rPr>
              <w:t>Valorisation des actifs</w:t>
            </w:r>
          </w:p>
        </w:tc>
        <w:tc>
          <w:tcPr>
            <w:tcW w:w="6662" w:type="dxa"/>
            <w:hideMark/>
          </w:tcPr>
          <w:p w14:paraId="2C41C28D" w14:textId="77777777" w:rsidR="00ED2334" w:rsidRPr="00AC6ACB" w:rsidRDefault="00ED2334" w:rsidP="008A7563">
            <w:pPr>
              <w:pStyle w:val="Tabletext"/>
              <w:spacing w:before="100" w:after="100"/>
              <w:rPr>
                <w:sz w:val="20"/>
              </w:rPr>
            </w:pPr>
            <w:r w:rsidRPr="00AC6ACB">
              <w:rPr>
                <w:sz w:val="20"/>
              </w:rPr>
              <w:t>L'UIT n'avait aucun actif du régime pour le Fonds ASHI (aucun en 2023).</w:t>
            </w:r>
          </w:p>
        </w:tc>
      </w:tr>
      <w:tr w:rsidR="00ED2334" w:rsidRPr="00AC6ACB" w14:paraId="68506481" w14:textId="77777777" w:rsidTr="008A7563">
        <w:trPr>
          <w:trHeight w:val="510"/>
        </w:trPr>
        <w:tc>
          <w:tcPr>
            <w:tcW w:w="2972" w:type="dxa"/>
            <w:hideMark/>
          </w:tcPr>
          <w:p w14:paraId="0B7EF8BF" w14:textId="77777777" w:rsidR="00ED2334" w:rsidRPr="00AC6ACB" w:rsidRDefault="00ED2334" w:rsidP="008A7563">
            <w:pPr>
              <w:pStyle w:val="Tabletext"/>
              <w:spacing w:before="100" w:after="100"/>
              <w:rPr>
                <w:sz w:val="20"/>
              </w:rPr>
            </w:pPr>
            <w:r w:rsidRPr="00AC6ACB">
              <w:rPr>
                <w:sz w:val="20"/>
              </w:rPr>
              <w:t>Taux d'invalidité</w:t>
            </w:r>
          </w:p>
        </w:tc>
        <w:tc>
          <w:tcPr>
            <w:tcW w:w="6662" w:type="dxa"/>
            <w:hideMark/>
          </w:tcPr>
          <w:p w14:paraId="211972A8" w14:textId="62C4EC03" w:rsidR="00ED2334" w:rsidRPr="00AC6ACB" w:rsidRDefault="00ED2334" w:rsidP="008A7563">
            <w:pPr>
              <w:pStyle w:val="Tabletext"/>
              <w:spacing w:before="100" w:after="100"/>
              <w:rPr>
                <w:sz w:val="20"/>
              </w:rPr>
            </w:pPr>
            <w:r w:rsidRPr="00AC6ACB">
              <w:rPr>
                <w:sz w:val="20"/>
              </w:rPr>
              <w:t>Il varie selon l'âge et le sexe et pour le personnel de la catégorie professionnelle ainsi que le personnel de la catégorie des services généraux, et il augmente avec l'âge de 19 à 70 ans. Le taux est basé sur les tables d'invalidité des Nations Unies communiquées en janvier 2025 et va de 0,00006 à 0,00550.</w:t>
            </w:r>
          </w:p>
        </w:tc>
      </w:tr>
      <w:tr w:rsidR="00ED2334" w:rsidRPr="00AC6ACB" w14:paraId="138AF681" w14:textId="77777777" w:rsidTr="008A7563">
        <w:trPr>
          <w:trHeight w:val="510"/>
        </w:trPr>
        <w:tc>
          <w:tcPr>
            <w:tcW w:w="2972" w:type="dxa"/>
            <w:hideMark/>
          </w:tcPr>
          <w:p w14:paraId="6F2CA205" w14:textId="77777777" w:rsidR="00ED2334" w:rsidRPr="00AC6ACB" w:rsidRDefault="00ED2334" w:rsidP="008A7563">
            <w:pPr>
              <w:pStyle w:val="Tabletext"/>
              <w:spacing w:before="100" w:after="100"/>
              <w:rPr>
                <w:sz w:val="20"/>
              </w:rPr>
            </w:pPr>
            <w:r w:rsidRPr="00AC6ACB">
              <w:rPr>
                <w:sz w:val="20"/>
              </w:rPr>
              <w:t>Rotation du personnel</w:t>
            </w:r>
          </w:p>
        </w:tc>
        <w:tc>
          <w:tcPr>
            <w:tcW w:w="6662" w:type="dxa"/>
            <w:hideMark/>
          </w:tcPr>
          <w:p w14:paraId="1E508F02" w14:textId="32EF28C6" w:rsidR="00ED2334" w:rsidRPr="00AC6ACB" w:rsidRDefault="00ED2334" w:rsidP="008A7563">
            <w:pPr>
              <w:pStyle w:val="Tabletext"/>
              <w:spacing w:before="100" w:after="100"/>
              <w:rPr>
                <w:sz w:val="20"/>
              </w:rPr>
            </w:pPr>
            <w:r w:rsidRPr="00AC6ACB">
              <w:rPr>
                <w:sz w:val="20"/>
              </w:rPr>
              <w:t xml:space="preserve">L'hypothèse pour la rotation du personnel considéré dans l'évaluation a été affinée </w:t>
            </w:r>
            <w:r w:rsidR="000D1F03" w:rsidRPr="00AC6ACB">
              <w:rPr>
                <w:sz w:val="20"/>
              </w:rPr>
              <w:t xml:space="preserve">à l'aide des données d'expérience les plus récentes </w:t>
            </w:r>
            <w:r w:rsidRPr="00AC6ACB">
              <w:rPr>
                <w:sz w:val="20"/>
              </w:rPr>
              <w:t>afin d'obtenir une estimation plus significative et prend en compte les employés qui ne sont pas au bénéfice d'un contrat de courte durée; le taux est ventilé en deux groupes d'âge, à savoir moins de 45 ans et plus de 45 ans et varie de 4% à 2,5%, respectivement.</w:t>
            </w:r>
          </w:p>
        </w:tc>
      </w:tr>
      <w:tr w:rsidR="00ED2334" w:rsidRPr="00AC6ACB" w14:paraId="3ADE648A" w14:textId="77777777" w:rsidTr="008A7563">
        <w:trPr>
          <w:trHeight w:val="543"/>
        </w:trPr>
        <w:tc>
          <w:tcPr>
            <w:tcW w:w="2972" w:type="dxa"/>
            <w:hideMark/>
          </w:tcPr>
          <w:p w14:paraId="551F5DDF" w14:textId="77777777" w:rsidR="00ED2334" w:rsidRPr="00AC6ACB" w:rsidRDefault="00ED2334" w:rsidP="008A7563">
            <w:pPr>
              <w:pStyle w:val="Tabletext"/>
              <w:spacing w:before="100" w:after="100"/>
              <w:rPr>
                <w:sz w:val="20"/>
              </w:rPr>
            </w:pPr>
            <w:r w:rsidRPr="00AC6ACB">
              <w:rPr>
                <w:sz w:val="20"/>
              </w:rPr>
              <w:t>Taux de retraite</w:t>
            </w:r>
          </w:p>
        </w:tc>
        <w:tc>
          <w:tcPr>
            <w:tcW w:w="6662" w:type="dxa"/>
            <w:hideMark/>
          </w:tcPr>
          <w:p w14:paraId="2F6117E4" w14:textId="77777777" w:rsidR="00ED2334" w:rsidRPr="00AC6ACB" w:rsidRDefault="00ED2334" w:rsidP="008A7563">
            <w:pPr>
              <w:pStyle w:val="Tabletext"/>
              <w:spacing w:before="100" w:after="100"/>
              <w:rPr>
                <w:sz w:val="20"/>
              </w:rPr>
            </w:pPr>
            <w:r w:rsidRPr="00AC6ACB">
              <w:rPr>
                <w:sz w:val="20"/>
              </w:rPr>
              <w:t>Pour tous les fonctionnaires, les taux de retraite sont équivalents aux taux définis dans le message du Groupe spécial des Nations Unies de janvier 2025. Les taux varient selon l'âge, le sexe, le nombre d'années d'affiliation et la catégorie de poste.</w:t>
            </w:r>
          </w:p>
        </w:tc>
      </w:tr>
      <w:tr w:rsidR="00ED2334" w:rsidRPr="00AC6ACB" w14:paraId="6B940F1E" w14:textId="77777777" w:rsidTr="008A7563">
        <w:trPr>
          <w:trHeight w:val="319"/>
        </w:trPr>
        <w:tc>
          <w:tcPr>
            <w:tcW w:w="2972" w:type="dxa"/>
            <w:hideMark/>
          </w:tcPr>
          <w:p w14:paraId="00C3CC64" w14:textId="77777777" w:rsidR="00ED2334" w:rsidRPr="00AC6ACB" w:rsidRDefault="00ED2334" w:rsidP="008A7563">
            <w:pPr>
              <w:pStyle w:val="Tabletext"/>
              <w:spacing w:before="100" w:after="100"/>
              <w:rPr>
                <w:sz w:val="20"/>
              </w:rPr>
            </w:pPr>
            <w:r w:rsidRPr="00AC6ACB">
              <w:rPr>
                <w:sz w:val="20"/>
              </w:rPr>
              <w:t>Participation</w:t>
            </w:r>
          </w:p>
        </w:tc>
        <w:tc>
          <w:tcPr>
            <w:tcW w:w="6662" w:type="dxa"/>
            <w:hideMark/>
          </w:tcPr>
          <w:p w14:paraId="3F8B5E8A" w14:textId="71B22449" w:rsidR="00B2321A" w:rsidRPr="00AC6ACB" w:rsidRDefault="00ED2334" w:rsidP="002302A0">
            <w:pPr>
              <w:pStyle w:val="Tabletext"/>
              <w:spacing w:before="100" w:after="100"/>
              <w:rPr>
                <w:sz w:val="20"/>
              </w:rPr>
            </w:pPr>
            <w:r w:rsidRPr="00AC6ACB">
              <w:rPr>
                <w:sz w:val="20"/>
              </w:rPr>
              <w:t>97,5% des futurs retraités choisiront d'être couvert par l'ASHI</w:t>
            </w:r>
            <w:r w:rsidR="002302A0" w:rsidRPr="00AC6ACB">
              <w:rPr>
                <w:sz w:val="20"/>
              </w:rPr>
              <w:t>. Les fonctionnaires de l'UIT prenant leur retraite peuvent conserver leur couverture par l'UNSMIS dès lors qu'elles cotisent à un régime d'assurance maladie des Nations Unies depuis au moins dix ans, qu'elles perçoivent une pension de la</w:t>
            </w:r>
            <w:r w:rsidR="00876F65" w:rsidRPr="00AC6ACB">
              <w:rPr>
                <w:sz w:val="20"/>
              </w:rPr>
              <w:t> </w:t>
            </w:r>
            <w:r w:rsidR="002302A0" w:rsidRPr="00AC6ACB">
              <w:rPr>
                <w:sz w:val="20"/>
              </w:rPr>
              <w:t>CCPPNU et qu'elles bénéficiaient d'une couverture au moment de leur départ à la retraite. Les années travaillées dans des organisations avec un régime d'assurance maladie reconnu peuvent être comptées les 10 années de cotisation nécessaires, à condition qu'il n'y ait pas eu d'interruption dans la couverture.</w:t>
            </w:r>
          </w:p>
          <w:p w14:paraId="7284CC07" w14:textId="292AF909" w:rsidR="002302A0" w:rsidRPr="00AC6ACB" w:rsidRDefault="002302A0" w:rsidP="00876F65">
            <w:pPr>
              <w:pStyle w:val="Tabletext"/>
              <w:spacing w:before="100" w:after="100"/>
              <w:rPr>
                <w:sz w:val="20"/>
              </w:rPr>
            </w:pPr>
            <w:r w:rsidRPr="00AC6ACB">
              <w:rPr>
                <w:sz w:val="20"/>
              </w:rPr>
              <w:t>Pour en savoir plus sur toutes les règles à respecter pour pouvoir être couverts, les conditions de remboursement et les cotisation, veuillez consulter le site officiel de</w:t>
            </w:r>
            <w:r w:rsidR="00575802" w:rsidRPr="00AC6ACB">
              <w:rPr>
                <w:sz w:val="20"/>
              </w:rPr>
              <w:t xml:space="preserve"> </w:t>
            </w:r>
            <w:r w:rsidRPr="00AC6ACB">
              <w:rPr>
                <w:sz w:val="20"/>
              </w:rPr>
              <w:t>l'UNSMIS</w:t>
            </w:r>
            <w:r w:rsidR="00575802" w:rsidRPr="00AC6ACB">
              <w:rPr>
                <w:sz w:val="20"/>
              </w:rPr>
              <w:t xml:space="preserve"> à l'adresse </w:t>
            </w:r>
            <w:hyperlink r:id="rId53" w:history="1">
              <w:r w:rsidR="00575802" w:rsidRPr="00AC6ACB">
                <w:rPr>
                  <w:rStyle w:val="Hyperlink"/>
                  <w:rFonts w:eastAsia="Times New Roman" w:cs="Times New Roman"/>
                  <w:sz w:val="20"/>
                  <w:szCs w:val="20"/>
                </w:rPr>
                <w:t>https://medical-insurance.unog.ch/en</w:t>
              </w:r>
            </w:hyperlink>
            <w:r w:rsidR="00575802" w:rsidRPr="00AC6ACB">
              <w:rPr>
                <w:sz w:val="20"/>
              </w:rPr>
              <w:t xml:space="preserve"> </w:t>
            </w:r>
          </w:p>
        </w:tc>
      </w:tr>
      <w:tr w:rsidR="00ED2334" w:rsidRPr="00AC6ACB" w14:paraId="160616E9" w14:textId="77777777" w:rsidTr="008A7563">
        <w:trPr>
          <w:trHeight w:val="667"/>
        </w:trPr>
        <w:tc>
          <w:tcPr>
            <w:tcW w:w="2972" w:type="dxa"/>
            <w:hideMark/>
          </w:tcPr>
          <w:p w14:paraId="2A14F0E7" w14:textId="77777777" w:rsidR="00ED2334" w:rsidRPr="00AC6ACB" w:rsidRDefault="00ED2334" w:rsidP="008A7563">
            <w:pPr>
              <w:pStyle w:val="Tabletext"/>
              <w:spacing w:before="100" w:after="100"/>
              <w:rPr>
                <w:sz w:val="20"/>
              </w:rPr>
            </w:pPr>
            <w:r w:rsidRPr="00AC6ACB">
              <w:rPr>
                <w:sz w:val="20"/>
              </w:rPr>
              <w:t>Couverture des conjoints</w:t>
            </w:r>
          </w:p>
        </w:tc>
        <w:tc>
          <w:tcPr>
            <w:tcW w:w="6662" w:type="dxa"/>
            <w:hideMark/>
          </w:tcPr>
          <w:p w14:paraId="006AA344" w14:textId="77777777" w:rsidR="00ED2334" w:rsidRPr="00AC6ACB" w:rsidRDefault="00ED2334" w:rsidP="008A7563">
            <w:pPr>
              <w:pStyle w:val="Tabletext"/>
              <w:spacing w:before="100" w:after="100"/>
              <w:rPr>
                <w:sz w:val="20"/>
              </w:rPr>
            </w:pPr>
            <w:r w:rsidRPr="00AC6ACB">
              <w:rPr>
                <w:sz w:val="20"/>
              </w:rPr>
              <w:t>75% et 25% des retraités de sexe masculin et féminin ont un conjoint qui choisira d'être couvert par l'ASHI. Les hommes sont supposés avoir cinq ans de plus que leur conjoint.</w:t>
            </w:r>
          </w:p>
        </w:tc>
      </w:tr>
      <w:tr w:rsidR="00ED2334" w:rsidRPr="00AC6ACB" w14:paraId="5E2D1417" w14:textId="77777777" w:rsidTr="008A7563">
        <w:trPr>
          <w:trHeight w:val="397"/>
        </w:trPr>
        <w:tc>
          <w:tcPr>
            <w:tcW w:w="2972" w:type="dxa"/>
            <w:hideMark/>
          </w:tcPr>
          <w:p w14:paraId="02A9ACC2" w14:textId="77777777" w:rsidR="00ED2334" w:rsidRPr="00AC6ACB" w:rsidRDefault="00ED2334" w:rsidP="008A7563">
            <w:pPr>
              <w:pStyle w:val="Tabletext"/>
              <w:spacing w:before="100" w:after="100"/>
              <w:rPr>
                <w:sz w:val="20"/>
              </w:rPr>
            </w:pPr>
            <w:r w:rsidRPr="00AC6ACB">
              <w:rPr>
                <w:sz w:val="20"/>
              </w:rPr>
              <w:t>Méthode actuarielle</w:t>
            </w:r>
          </w:p>
        </w:tc>
        <w:tc>
          <w:tcPr>
            <w:tcW w:w="6662" w:type="dxa"/>
            <w:hideMark/>
          </w:tcPr>
          <w:p w14:paraId="425551BA" w14:textId="77777777" w:rsidR="00ED2334" w:rsidRPr="00AC6ACB" w:rsidRDefault="00ED2334" w:rsidP="008A7563">
            <w:pPr>
              <w:pStyle w:val="Tabletext"/>
              <w:spacing w:before="100" w:after="100"/>
              <w:rPr>
                <w:sz w:val="20"/>
              </w:rPr>
            </w:pPr>
            <w:r w:rsidRPr="00AC6ACB">
              <w:rPr>
                <w:sz w:val="20"/>
              </w:rPr>
              <w:t>Méthode des unités de crédit projetées avec prorata en fonction du nombre d'années de service. La période d'attribution commence à 45 ans d'âge afin de refléter le fait que les employés doivent avoir un minimum de 55 ans et 10 ans de service afin d'être éligibles.</w:t>
            </w:r>
          </w:p>
        </w:tc>
      </w:tr>
      <w:tr w:rsidR="00ED2334" w:rsidRPr="00AC6ACB" w14:paraId="28873191" w14:textId="77777777" w:rsidTr="008A7563">
        <w:trPr>
          <w:trHeight w:val="442"/>
        </w:trPr>
        <w:tc>
          <w:tcPr>
            <w:tcW w:w="2972" w:type="dxa"/>
            <w:hideMark/>
          </w:tcPr>
          <w:p w14:paraId="0268A268" w14:textId="77777777" w:rsidR="00ED2334" w:rsidRPr="00AC6ACB" w:rsidRDefault="00ED2334" w:rsidP="008A7563">
            <w:pPr>
              <w:pStyle w:val="Tabletext"/>
              <w:spacing w:before="100" w:after="100"/>
              <w:rPr>
                <w:sz w:val="20"/>
              </w:rPr>
            </w:pPr>
            <w:r w:rsidRPr="00AC6ACB">
              <w:rPr>
                <w:sz w:val="20"/>
              </w:rPr>
              <w:t>Approche de l'actif net</w:t>
            </w:r>
          </w:p>
        </w:tc>
        <w:tc>
          <w:tcPr>
            <w:tcW w:w="6662" w:type="dxa"/>
            <w:hideMark/>
          </w:tcPr>
          <w:p w14:paraId="032B206A" w14:textId="77777777" w:rsidR="00ED2334" w:rsidRPr="00AC6ACB" w:rsidRDefault="00ED2334" w:rsidP="008A7563">
            <w:pPr>
              <w:pStyle w:val="Tabletext"/>
              <w:spacing w:before="100" w:after="100"/>
              <w:rPr>
                <w:sz w:val="20"/>
              </w:rPr>
            </w:pPr>
            <w:r w:rsidRPr="00AC6ACB">
              <w:rPr>
                <w:sz w:val="20"/>
              </w:rPr>
              <w:t>Tous les gains et toutes les pertes sont comptabilisés intégralement pendant l'année même au cours de laquelle ils surviennent, mais en dehors de l'excédent ou du déficit, dans le cadre de l'État des variations de l'actif net.</w:t>
            </w:r>
          </w:p>
        </w:tc>
      </w:tr>
    </w:tbl>
    <w:p w14:paraId="658554D8" w14:textId="77777777" w:rsidR="00ED2334" w:rsidRPr="00AC6ACB" w:rsidRDefault="00ED2334" w:rsidP="005C6E20">
      <w:pPr>
        <w:keepNext/>
        <w:keepLines/>
      </w:pPr>
      <w:r w:rsidRPr="00AC6ACB">
        <w:lastRenderedPageBreak/>
        <w:t>Les fonctionnaires (et leurs conjoints, enfants à charge et survivants) quittant le service à l'âge de 55 ans ou plus ont droit à l'assurance maladie après la cessation de service s'ils ont travaillé au moins dix ans à l'ONU ou dans une institution spécialisée et s'ils ont été assurés au régime d'assurance maladie de l'UNSMIS pendant les cinq années précédant immédiatement la fin de leur service. Les mêmes prestations s'appliquent aux fonctionnaires bénéficiant d'une pension d'invalidité de la Caisse commune des pensions du personnel des Nations Unies. Ce régime est financé conjointement au moyen des cotisations – l'UIT contribuant à hauteur des 2/3, et les assurés versant le tiers restant.</w:t>
      </w:r>
    </w:p>
    <w:p w14:paraId="4714DE7A" w14:textId="77777777" w:rsidR="00ED2334" w:rsidRPr="00AC6ACB" w:rsidRDefault="00ED2334" w:rsidP="005C6E20">
      <w:pPr>
        <w:keepNext/>
        <w:keepLines/>
      </w:pPr>
      <w:r w:rsidRPr="00AC6ACB">
        <w:t>Le tableau ci-dessous fournit des informations et analyses supplémentaires concernant les engagements au titre de l'assurance maladie après la cessation de service découlant des indemnités dues aux employés sur la base de l'étude actuarielle qui a été conduite pour obtenir les montants au 31 décembre 2024.</w:t>
      </w:r>
    </w:p>
    <w:p w14:paraId="06A7B967" w14:textId="638DE573" w:rsidR="00ED2334" w:rsidRPr="00AC6ACB" w:rsidRDefault="00ED2334" w:rsidP="00ED2334">
      <w:pPr>
        <w:pStyle w:val="Figure"/>
        <w:keepNext w:val="0"/>
        <w:keepLines w:val="0"/>
      </w:pPr>
      <w:r w:rsidRPr="00AC6ACB">
        <w:rPr>
          <w:noProof/>
        </w:rPr>
        <w:drawing>
          <wp:inline distT="0" distB="0" distL="0" distR="0" wp14:anchorId="0B76B41C" wp14:editId="654001B2">
            <wp:extent cx="4521200" cy="2565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1200" cy="2565400"/>
                    </a:xfrm>
                    <a:prstGeom prst="rect">
                      <a:avLst/>
                    </a:prstGeom>
                    <a:noFill/>
                    <a:ln>
                      <a:noFill/>
                    </a:ln>
                  </pic:spPr>
                </pic:pic>
              </a:graphicData>
            </a:graphic>
          </wp:inline>
        </w:drawing>
      </w:r>
    </w:p>
    <w:p w14:paraId="6B80580B" w14:textId="77777777" w:rsidR="00ED2334" w:rsidRPr="00AC6ACB" w:rsidRDefault="00ED2334" w:rsidP="00ED2334">
      <w:pPr>
        <w:pStyle w:val="Normalaftertitle"/>
        <w:keepLines/>
      </w:pPr>
      <w:r w:rsidRPr="00AC6ACB">
        <w:t>Le principal élément ayant une incidence sur l'évaluation de l'ASHI est le taux d'actualisation, qui est utilisé pour calculer la valeur actuelle des futures demandes de remboursement. En 2024, ce taux est passé de 1,9% (en 2023) à 1,4% (2024), confirmant la tendance observée en 2023, où il avait diminué de 2,5% (en 2022) à 1,9% (2023). Ces évolutions ont entraîné une perte actuarielle s'élevant à 20,6 millions CHF, contre 24,7 millions CHF en 2023.</w:t>
      </w:r>
    </w:p>
    <w:p w14:paraId="35BE7D9B" w14:textId="77777777" w:rsidR="00ED2334" w:rsidRPr="00AC6ACB" w:rsidRDefault="00ED2334" w:rsidP="00ED2334">
      <w:r w:rsidRPr="00AC6ACB">
        <w:t>D'autres éléments ont eu une incidence sur les passifs de l'ASHI:</w:t>
      </w:r>
    </w:p>
    <w:p w14:paraId="67E57474" w14:textId="77777777" w:rsidR="00ED2334" w:rsidRPr="00AC6ACB" w:rsidRDefault="00ED2334" w:rsidP="00ED2334">
      <w:pPr>
        <w:pStyle w:val="enumlev1"/>
      </w:pPr>
      <w:r w:rsidRPr="00AC6ACB">
        <w:t>–</w:t>
      </w:r>
      <w:r w:rsidRPr="00AC6ACB">
        <w:tab/>
        <w:t>l'ajustement des hypothèses démographiques entraînant une perte de 10,6 millions CHF en 2024 (gain de 0,6 million CHF en 2023), du fait des nouvelles études démographiques réalisées qui ont abouti à une perte de 6,5 millions CHF en lien avec le taux de rotation du personnel, une perte de 3,7 millions CHF imputable aux coûts des demandes de remboursement des frais médicaux et une perte de 0,4 million CHF du fait des mises à jour apportées au taux de mortalité;</w:t>
      </w:r>
    </w:p>
    <w:p w14:paraId="68B17B7A" w14:textId="77777777" w:rsidR="00ED2334" w:rsidRPr="00AC6ACB" w:rsidRDefault="00ED2334" w:rsidP="00ED2334">
      <w:pPr>
        <w:pStyle w:val="enumlev1"/>
      </w:pPr>
      <w:r w:rsidRPr="00AC6ACB">
        <w:t>–</w:t>
      </w:r>
      <w:r w:rsidRPr="00AC6ACB">
        <w:tab/>
        <w:t>la perte de 1,5 millions CHF pour l'expérience acquise (gain de 4,6 millions CHF en 2023) due à la différence constatée entre les coûts effectifs des demandes de remboursement des frais médicaux et l'hypothèse utilisée pour ces coûts pour l'année;</w:t>
      </w:r>
    </w:p>
    <w:p w14:paraId="7BDAE264" w14:textId="77777777" w:rsidR="00ED2334" w:rsidRPr="00AC6ACB" w:rsidRDefault="00ED2334" w:rsidP="00ED2334">
      <w:pPr>
        <w:pStyle w:val="enumlev1"/>
      </w:pPr>
      <w:r w:rsidRPr="00AC6ACB">
        <w:t>–</w:t>
      </w:r>
      <w:r w:rsidRPr="00AC6ACB">
        <w:tab/>
        <w:t>la hausse de 0,9 million CHF du coût net des services (de 10,2 millions CHF en 2023 à 11,1 millions CHF en 2024), indiquant une augmentation du coût des prestations versées aux fonctionnaires en activité.</w:t>
      </w:r>
    </w:p>
    <w:p w14:paraId="172C05D3" w14:textId="77777777" w:rsidR="00ED2334" w:rsidRPr="00AC6ACB" w:rsidRDefault="00ED2334" w:rsidP="00ED2334">
      <w:r w:rsidRPr="00AC6ACB">
        <w:lastRenderedPageBreak/>
        <w:t>Dans le cadre de l'évaluation effectuée par l'UIT conformément à la norme IPSAS 39, l'étude portant sur les demandes de remboursement des frais médicaux a été mise à jour afin d'évaluer les hypothèses utilisées précédemment pour les prestations médicales après la cessation de service. Cette étude a consisté à analyser les données effectives relatives aux demandes de remboursement des frais médicaux pour la période allant de 2020 à 2023, avec un ajustement compte tenu de l'inflation des frais médicaux et une indexation des demandes de remboursement afin d'obtenir une projection des coûts plus précise. Les conclusions montrent une tendance à la hausse du montant des remboursements des frais médicaux par personne, d'où la nécessité de revoir les hypothèses utilisées par l'UIT pour les coûts médicaux. Ces hypothèses mises à jour ont été appliquées pour l'évaluation de fin d'année 2024 selon la norme IPSAS afin de garantir une estimation plus précise des obligations liées aux prestations après la cessation de service de l'UIT.</w:t>
      </w:r>
    </w:p>
    <w:p w14:paraId="0EE82DEC" w14:textId="77777777" w:rsidR="00ED2334" w:rsidRPr="00AC6ACB" w:rsidRDefault="00ED2334" w:rsidP="00ED2334">
      <w:r w:rsidRPr="00AC6ACB">
        <w:t>Les cotisations versées par l'Organisation au titre de l'ASHI se sont élevées à 10,3 millions CHF en 2024 (contre 7,0 millions CHF en 2023). Les cotisations de l'employeur prévues pour 2025 sont estimées à 9,8 millions CHF.</w:t>
      </w:r>
    </w:p>
    <w:p w14:paraId="7C366809" w14:textId="77777777" w:rsidR="00ED2334" w:rsidRPr="00AC6ACB" w:rsidRDefault="00ED2334" w:rsidP="00ED2334">
      <w:r w:rsidRPr="00AC6ACB">
        <w:t>Depuis janvier 2020, l'UIT fait partie de l'Assurance mutuelle contre la maladie et les accidents du personnel des Nations Unies (UNSMIS), qui est un fonds d'assurance maladie pour les fonctionnaires des Nations Unies. Créée en 1947 et basée à Genève, l'UNSMIS a été conçue pour rembourser les dépenses de santé des membres affiliés, résultant d'une maladie, d'un accident ou d'une grossesse. La société est au service des fonctionnaires des Nations Unies, qu'ils soient actifs ou retraités, ainsi que des membres de leur famille.</w:t>
      </w:r>
    </w:p>
    <w:p w14:paraId="4E420F0A" w14:textId="77777777" w:rsidR="00ED2334" w:rsidRPr="00AC6ACB" w:rsidRDefault="00ED2334" w:rsidP="00ED2334">
      <w:r w:rsidRPr="00AC6ACB">
        <w:t>L'UNSMIS est financée par les cotisations des organisations affiliées et des fonctionnaires, afin de garantir que ses membres reçoivent des remboursements de soins médicaux conformément aux règles et règlements de la société. Outre la gestion des demandes de remboursement, l'UNSMIS est responsable du maintien des accords avec les fournisseurs de soins de santé et de la garantie de la stabilité financière du régime d'assurance.</w:t>
      </w:r>
    </w:p>
    <w:p w14:paraId="5747D084" w14:textId="4F0216DC" w:rsidR="00ED2334" w:rsidRPr="00AC6ACB" w:rsidRDefault="00ED2334" w:rsidP="00ED2334">
      <w:r w:rsidRPr="00AC6ACB">
        <w:t xml:space="preserve">La réserve actuarielle pour risques à long terme au sein de l'UNSMIS a été constituée en 1995 pour faire face à l'augmentation continue des coûts des soins de santé et à l'augmentation progressive de l'âge moyen des affiliés. Les revenus des placements de cette réserve pour risques à long terme devraient permettre de limiter l'augmentation des primes et d'absorber les éventuels coûts imprévus. Dans son étude, le Cabinet EY a proposé que le montant total de cette réserve soit maintenu à </w:t>
      </w:r>
      <w:r w:rsidR="004A07FB" w:rsidRPr="00AC6ACB">
        <w:t>5</w:t>
      </w:r>
      <w:r w:rsidRPr="00AC6ACB">
        <w:t>8,8 millions USD. Au 31 décembre 2022, cette réserve est entièrement financée.</w:t>
      </w:r>
    </w:p>
    <w:p w14:paraId="791748A4" w14:textId="77777777" w:rsidR="00ED2334" w:rsidRPr="00AC6ACB" w:rsidRDefault="00ED2334" w:rsidP="00ED2334">
      <w:r w:rsidRPr="00AC6ACB">
        <w:t>Le passage à ce régime d'assurance maladie des Nations Unies présente des avantages non seulement pour le personnel, dans la mesure où le taux de cotisation a été réduit et la franchise supprimée, mais aussi pour l'UIT à long terme, en raison de l'envergure de ce régime. Le régime de l'UNSMIS regroupe plusieurs organisations et institutions spécialisées des Nations Unies basées à Genève. Il comprend en outre le personnel de l'Office des Nations Unies, du HCR et de l'OMM.</w:t>
      </w:r>
    </w:p>
    <w:p w14:paraId="0D4AC2FA" w14:textId="77777777" w:rsidR="00ED2334" w:rsidRPr="00AC6ACB" w:rsidRDefault="00ED2334" w:rsidP="00ED2334">
      <w:r w:rsidRPr="00AC6ACB">
        <w:t xml:space="preserve">Pour pouvoir rejoindre le régime d'assurance maladie UNSMIS en janvier 2020, l'UIT a dû verser une contribution au fonds de réserve de ce régime à des fins d'égalisation. Cette contribution, dont le montant approuvé s'établit à 19,5 millions USD, a été versée à partir du fonds de garantie de la Convention Collective d'assurance Maladie (CCAM) début 2020. En outre, il a été décidé qu'une contribution extraordinaire serait versée au fonds de réserve chaque année pendant 13 ans, à compter de 2020. Cette contribution supplémentaire vise à </w:t>
      </w:r>
      <w:r w:rsidRPr="00AC6ACB">
        <w:lastRenderedPageBreak/>
        <w:t>régulariser l'incidence de l'adhésion de l'UIT au régime d'assurance maladie en fonction de l'âge du personnel et des retraités, des considérations d'ordre démographique et d'autres facteurs convenus. Elle représente un montant total de 22,5 millions USD répartis sur 13 ans. En 2023 et 2024, des contributions additionnelles pour un montant de 1,7 million USD (1,5 millions CHF) ont été versées à l'UNSMIS.</w:t>
      </w:r>
    </w:p>
    <w:p w14:paraId="0826ACFE" w14:textId="77777777" w:rsidR="00ED2334" w:rsidRPr="00AC6ACB" w:rsidRDefault="00ED2334" w:rsidP="00ED2334">
      <w:r w:rsidRPr="00AC6ACB">
        <w:t xml:space="preserve">Le suivi de la maîtrise des coûts relève à présent de la responsabilité du Comité de l'UNSMIS, au sein duquel l'UIT dispose d'un siège en tant que nouveau membre. On trouvera de plus amples renseignements dans le </w:t>
      </w:r>
      <w:hyperlink r:id="rId55" w:history="1">
        <w:r w:rsidRPr="00AC6ACB">
          <w:rPr>
            <w:rStyle w:val="Hyperlink"/>
          </w:rPr>
          <w:t>Document C25/46</w:t>
        </w:r>
      </w:hyperlink>
      <w:r w:rsidRPr="00AC6ACB">
        <w:t>, qui contient le rapport annuel sur l'ASHI.</w:t>
      </w:r>
    </w:p>
    <w:p w14:paraId="4EC73A47" w14:textId="77777777" w:rsidR="00ED2334" w:rsidRPr="00AC6ACB" w:rsidRDefault="00ED2334" w:rsidP="00ED2334">
      <w:pPr>
        <w:pStyle w:val="Heading3"/>
        <w:tabs>
          <w:tab w:val="clear" w:pos="567"/>
          <w:tab w:val="clear" w:pos="1134"/>
        </w:tabs>
        <w:ind w:left="851" w:hanging="851"/>
        <w:rPr>
          <w:bCs/>
          <w:i/>
          <w:iCs/>
        </w:rPr>
      </w:pPr>
      <w:r w:rsidRPr="00AC6ACB">
        <w:rPr>
          <w:bCs/>
          <w:i/>
          <w:iCs/>
        </w:rPr>
        <w:t>16.1.3</w:t>
      </w:r>
      <w:r w:rsidRPr="00AC6ACB">
        <w:rPr>
          <w:bCs/>
          <w:i/>
          <w:iCs/>
        </w:rPr>
        <w:tab/>
      </w:r>
      <w:r w:rsidRPr="00AC6ACB">
        <w:rPr>
          <w:i/>
          <w:iCs/>
        </w:rPr>
        <w:t>Analyse</w:t>
      </w:r>
      <w:r w:rsidRPr="00AC6ACB">
        <w:rPr>
          <w:bCs/>
          <w:i/>
          <w:iCs/>
        </w:rPr>
        <w:t xml:space="preserve"> de sensibilité du régime d'assurance maladie</w:t>
      </w:r>
    </w:p>
    <w:p w14:paraId="4C13A3DD" w14:textId="77777777" w:rsidR="00ED2334" w:rsidRPr="00AC6ACB" w:rsidRDefault="00ED2334" w:rsidP="00ED2334">
      <w:r w:rsidRPr="00AC6ACB">
        <w:t>On trouvera ci-après l'analyse de sensibilité sur le coût des services et le coût des intérêts, ainsi que sur les engagements au titre des prestations définies reposant sur une augmentation/baisse de 1% du taux d'évolution des soins de santé.</w:t>
      </w:r>
    </w:p>
    <w:p w14:paraId="2882289B" w14:textId="77777777" w:rsidR="00ED2334" w:rsidRPr="00AC6ACB" w:rsidRDefault="00ED2334" w:rsidP="00ED2334">
      <w:r w:rsidRPr="00AC6ACB">
        <w:t>Les taux d'actualisation utilisés pour cette évaluation ont été déterminés en utilisant les courbes de rendement des obligations de sociétés AA au 31 décembre 2024 fournies par Aon. Une analyse de sensibilité est présentée sur les engagements au titre des prestations définies reposant sur une augmentation/baisse de 1% du taux d'actualisation.</w:t>
      </w:r>
    </w:p>
    <w:p w14:paraId="245C9B8D" w14:textId="3244424F" w:rsidR="00ED2334" w:rsidRPr="00AC6ACB" w:rsidRDefault="00ED2334" w:rsidP="00ED2334">
      <w:pPr>
        <w:pStyle w:val="Figure"/>
        <w:keepNext w:val="0"/>
        <w:keepLines w:val="0"/>
      </w:pPr>
      <w:r w:rsidRPr="00AC6ACB">
        <w:rPr>
          <w:noProof/>
        </w:rPr>
        <w:drawing>
          <wp:inline distT="0" distB="0" distL="0" distR="0" wp14:anchorId="63E85D21" wp14:editId="1722EF55">
            <wp:extent cx="5607050" cy="1631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b="4547"/>
                    <a:stretch>
                      <a:fillRect/>
                    </a:stretch>
                  </pic:blipFill>
                  <pic:spPr bwMode="auto">
                    <a:xfrm>
                      <a:off x="0" y="0"/>
                      <a:ext cx="5607050" cy="1631950"/>
                    </a:xfrm>
                    <a:prstGeom prst="rect">
                      <a:avLst/>
                    </a:prstGeom>
                    <a:noFill/>
                    <a:ln>
                      <a:noFill/>
                    </a:ln>
                  </pic:spPr>
                </pic:pic>
              </a:graphicData>
            </a:graphic>
          </wp:inline>
        </w:drawing>
      </w:r>
    </w:p>
    <w:p w14:paraId="0FC83084" w14:textId="77777777" w:rsidR="00ED2334" w:rsidRPr="00AC6ACB" w:rsidRDefault="00ED2334" w:rsidP="00ED2334">
      <w:pPr>
        <w:pStyle w:val="Heading2"/>
        <w:tabs>
          <w:tab w:val="clear" w:pos="567"/>
          <w:tab w:val="clear" w:pos="1134"/>
        </w:tabs>
        <w:ind w:left="851" w:hanging="851"/>
        <w:rPr>
          <w:bCs/>
          <w:i/>
          <w:iCs/>
        </w:rPr>
      </w:pPr>
      <w:r w:rsidRPr="00AC6ACB">
        <w:rPr>
          <w:bCs/>
          <w:i/>
          <w:iCs/>
        </w:rPr>
        <w:t>16.2</w:t>
      </w:r>
      <w:r w:rsidRPr="00AC6ACB">
        <w:rPr>
          <w:bCs/>
          <w:i/>
          <w:iCs/>
        </w:rPr>
        <w:tab/>
        <w:t>Prime de rapatriement</w:t>
      </w:r>
    </w:p>
    <w:p w14:paraId="0DF9E596" w14:textId="77777777" w:rsidR="00ED2334" w:rsidRPr="00AC6ACB" w:rsidRDefault="00ED2334" w:rsidP="00ED2334">
      <w:pPr>
        <w:pStyle w:val="Heading3"/>
        <w:tabs>
          <w:tab w:val="clear" w:pos="567"/>
          <w:tab w:val="clear" w:pos="1134"/>
        </w:tabs>
        <w:ind w:left="851" w:hanging="851"/>
        <w:rPr>
          <w:bCs/>
          <w:i/>
          <w:iCs/>
        </w:rPr>
      </w:pPr>
      <w:r w:rsidRPr="00AC6ACB">
        <w:rPr>
          <w:bCs/>
          <w:i/>
          <w:iCs/>
        </w:rPr>
        <w:t>16.2.1</w:t>
      </w:r>
      <w:r w:rsidRPr="00AC6ACB">
        <w:rPr>
          <w:bCs/>
          <w:i/>
          <w:iCs/>
        </w:rPr>
        <w:tab/>
        <w:t>Définition</w:t>
      </w:r>
    </w:p>
    <w:p w14:paraId="46E976B8" w14:textId="77777777" w:rsidR="00ED2334" w:rsidRPr="00AC6ACB" w:rsidRDefault="00ED2334" w:rsidP="00ED2334">
      <w:r w:rsidRPr="00AC6ACB">
        <w:t>Ont droit, en principe, à une prime de rapatriement les fonctionnaires qui ont au moins cinq années de service continu et que l'Union est tenue de rapatrier. Les coûts incluent le voyage de rapatriement et le déménagement dans le cadre du rapatriement. Les conditions et définitions concernant le droit à cette prime et les pièces requises pour attester le changement de résidence sont déterminées de façon détaillée par le Secrétaire général.</w:t>
      </w:r>
    </w:p>
    <w:p w14:paraId="057C58C6" w14:textId="77777777" w:rsidR="00ED2334" w:rsidRPr="00AC6ACB" w:rsidRDefault="00ED2334" w:rsidP="00ED2334">
      <w:r w:rsidRPr="00AC6ACB">
        <w:t>La durée du service accomplie et le traitement brut, déduction faite de la contribution du personnel (y compris les éventuelles indemnités linguistiques et l'indemnité de non-résident, le cas échéant, pour le personnel de la catégorie des services généraux) ont été pris en compte dans le calcul du montant global de l'obligation au 31 décembre 2024. Les hypothèses économiques retenues sont un taux d'actualisation de 1,4% (contre 1,9% en 2023) et un taux d'augmentation des traitements de 3,1%. Pour l'évaluation de 2024, les hypothèses retenues pour l'évaluation actuarielle concernant la prime de rapatriement ont été alignées sur les hypothèses concernant l'ASHI.</w:t>
      </w:r>
    </w:p>
    <w:p w14:paraId="0E6654F0" w14:textId="77777777" w:rsidR="00ED2334" w:rsidRPr="00AC6ACB" w:rsidRDefault="00ED2334" w:rsidP="00ED2334">
      <w:pPr>
        <w:pStyle w:val="Heading3"/>
        <w:tabs>
          <w:tab w:val="clear" w:pos="567"/>
          <w:tab w:val="clear" w:pos="1134"/>
        </w:tabs>
        <w:ind w:left="851" w:hanging="851"/>
        <w:rPr>
          <w:bCs/>
          <w:i/>
          <w:iCs/>
        </w:rPr>
      </w:pPr>
      <w:r w:rsidRPr="00AC6ACB">
        <w:rPr>
          <w:bCs/>
          <w:i/>
          <w:iCs/>
        </w:rPr>
        <w:lastRenderedPageBreak/>
        <w:t>16.2.2</w:t>
      </w:r>
      <w:r w:rsidRPr="00AC6ACB">
        <w:rPr>
          <w:bCs/>
          <w:i/>
          <w:iCs/>
        </w:rPr>
        <w:tab/>
        <w:t>Paiement de la prime de rapatriement</w:t>
      </w:r>
    </w:p>
    <w:p w14:paraId="06D526BA" w14:textId="77777777" w:rsidR="00ED2334" w:rsidRPr="00AC6ACB" w:rsidRDefault="00ED2334" w:rsidP="00ED2334">
      <w:r w:rsidRPr="00AC6ACB">
        <w:t>Le versement de la prime de rapatriement est régi par les conditions et définitions mentionnées dans les Statut et Règlement du personnel. Au 31 décembre 2024, le passif des avantages du personnel pour le rapatriement se chiffrait à 13,5 millions CHF contre 12 millions CHF en 2023. Cette provision est alimentée par un prélèvement de 1% sur la rémunération des fonctionnaires autres que ceux recrutés pour des conférences et autres périodes de courte durée.</w:t>
      </w:r>
    </w:p>
    <w:p w14:paraId="3A3B4F24" w14:textId="77777777" w:rsidR="00ED2334" w:rsidRPr="00AC6ACB" w:rsidRDefault="00ED2334" w:rsidP="00ED2334">
      <w:r w:rsidRPr="00AC6ACB">
        <w:t>Le passif comptabilisé pour ces autres avantages à long terme est la valeur actualisée des obligations au titre des prestations définies à la date de clôture. Le passif est calculé par un actuaire indépendant selon la méthode des unités de crédit projetées. Les coûts et intérêts et les gains ou pertes actuariels résultant de l'évolution des hypothèses actuarielles ou d'ajustements liés à l'expérience acquise sont comptabilisés dans l'État de la performance financière.</w:t>
      </w:r>
    </w:p>
    <w:p w14:paraId="1057D9F1" w14:textId="77777777" w:rsidR="00ED2334" w:rsidRPr="00AC6ACB" w:rsidRDefault="00ED2334" w:rsidP="00ED2334">
      <w:r w:rsidRPr="00AC6ACB">
        <w:t>Une évaluation actuarielle conforme aux normes IPSAS est effectuée chaque année par un bureau de consultants indépendants.</w:t>
      </w:r>
    </w:p>
    <w:p w14:paraId="1550BF6E" w14:textId="77777777" w:rsidR="00ED2334" w:rsidRPr="00AC6ACB" w:rsidRDefault="00ED2334" w:rsidP="00ED2334">
      <w:pPr>
        <w:pStyle w:val="Heading2"/>
        <w:tabs>
          <w:tab w:val="clear" w:pos="567"/>
          <w:tab w:val="clear" w:pos="1134"/>
        </w:tabs>
        <w:ind w:left="851" w:hanging="851"/>
        <w:rPr>
          <w:bCs/>
          <w:i/>
          <w:iCs/>
        </w:rPr>
      </w:pPr>
      <w:r w:rsidRPr="00AC6ACB">
        <w:rPr>
          <w:bCs/>
          <w:i/>
          <w:iCs/>
        </w:rPr>
        <w:t>16.3</w:t>
      </w:r>
      <w:r w:rsidRPr="00AC6ACB">
        <w:rPr>
          <w:bCs/>
          <w:i/>
          <w:iCs/>
        </w:rPr>
        <w:tab/>
        <w:t>Avantages au personnel concernant le plan de pension du personnel des Nations Unies</w:t>
      </w:r>
    </w:p>
    <w:p w14:paraId="55CCA05F" w14:textId="77777777" w:rsidR="00ED2334" w:rsidRPr="00AC6ACB" w:rsidRDefault="00ED2334" w:rsidP="00ED2334">
      <w:r w:rsidRPr="00AC6ACB">
        <w:t>L'UIT est une organisation membre de la Caisse commune des pensions du personnel des Nations Unies (la "Caisse"), créée par l'Assemblée générale des Nations Unies pour assurer aux employés des prestations de retraite, de décès, d'invalidité et des prestations connexes. La Caisse est un régime multi-employeurs capitalisé à prestations définies. Comme indiqué dans l'Article 3</w:t>
      </w:r>
      <w:r w:rsidRPr="00AC6ACB">
        <w:rPr>
          <w:i/>
          <w:iCs/>
        </w:rPr>
        <w:t>b)</w:t>
      </w:r>
      <w:r w:rsidRPr="00AC6ACB">
        <w:t xml:space="preserve"> des Statuts de la Caisse, peuvent s'affilier à la Caisse les institutions spécialisées, ainsi que toute autre organisation intergouvernementale internationale qui applique le régime commun de traitements, indemnités et autres conditions d'emploi de l'Organisation des Nations Unies et des institutions spécialisées.</w:t>
      </w:r>
    </w:p>
    <w:p w14:paraId="26314C4E" w14:textId="77777777" w:rsidR="00ED2334" w:rsidRPr="00AC6ACB" w:rsidRDefault="00ED2334" w:rsidP="00ED2334">
      <w:pPr>
        <w:keepLines/>
      </w:pPr>
      <w:r w:rsidRPr="00AC6ACB">
        <w:t>La Caisse expose les organisations affiliées aux risques actuariels liés aux employés en activité et aux anciens employés d'autres organisations participant à la Caisse, de sorte qu'il n'existe aucune base cohérente et fiable permettant de répartir les engagements, les actifs du régime et les coûts entre les différentes organisations participant à la Caisse. L'UIT et la Caisse, tout comme les autres organisations affiliées à cette dernière, ne sont pas en mesure de déterminer la quote-part de l'Union dans les engagements au titre des prestations définies, les actifs du régime et les coûts associés au régime de façon suffisamment fiable aux fins de comptabilisation. En conséquence, l'UIT assimile ce régime à un régime à cotisations définies, conformément aux dispositions de la norme IPSAS 39 sur les avantages du personnel. Les cotisations de l'UIT à la Caisse pendant l'exercice sont comptabilisées en charges dans l'État de la performance financière.</w:t>
      </w:r>
    </w:p>
    <w:p w14:paraId="4C492679" w14:textId="77777777" w:rsidR="00ED2334" w:rsidRPr="00AC6ACB" w:rsidRDefault="00ED2334" w:rsidP="00ED2334">
      <w:r w:rsidRPr="00AC6ACB">
        <w:t xml:space="preserve">Les Statuts de la Caisse disposent que le Comité mixte fait procéder par l'actuaire-conseil de la Caisse à une évaluation actuarielle de la Caisse au moins une fois tous les trois ans. En pratique, le Comité mixte fait réaliser une évaluation actuarielle tous les deux ans. Ces évaluations ont essentiellement pour objectif de déterminer si les actifs actuels et le montant estimatif des actifs futurs de la Caisse seront suffisants pour lui permettre de faire face à ses obligations de manière pérenne. La politique de financement publiée par la Caisse (disponible sur le site web de la Caisse) définit des méthodes, des processus et des cibles qui sont utilisés pour suivre la situation en matière de financement et les risques associées. Elle </w:t>
      </w:r>
      <w:r w:rsidRPr="00AC6ACB">
        <w:lastRenderedPageBreak/>
        <w:t>prévoit en outre la pratique consistant à utiliser une valeur actuarielle des actifs, ce qui lisse les gains et les pertes sur les placements à long terme afin de rendre compte de la solvabilité à long terme.</w:t>
      </w:r>
    </w:p>
    <w:p w14:paraId="2D55DD81" w14:textId="77777777" w:rsidR="00ED2334" w:rsidRPr="00AC6ACB" w:rsidRDefault="00ED2334" w:rsidP="00ED2334">
      <w:r w:rsidRPr="00AC6ACB">
        <w:t>L'obligation financière de l'UIT à l'égard de la Caisse consiste à verser la cotisation statutaire au taux établi par l'Assemblée générale des Nations Unies (ce taux est actuellement de 7,9% de la rémunération considérée aux fins de la pension) pour les participants et de 15,8% pour les organisations affiliées), ainsi qu'une part des paiements qui seraient à faire pour couvrir tout déficit constaté à la suite de l'évaluation actuarielle conformément à l'Article 26 des Statuts de la Caisse des pensions. Ces paiements n'interviennent que si et dans le cas où l'Assemblée générale des Nations Unies invoque les dispositions de l'Article 26, après avoir déterminé que les avoirs de la Caisse ne sont pas suffisants pour couvrir ses engagements à la date de l'évaluation. Pour couvrir ce déficit, chaque organisation affiliée doit apporter un montant proportionnel au total des contributions qu'elle a versées au cours des trois années précédant la date de l'évaluation. Il n'a jamais été nécessaire d'invoquer l'Article 26 et aucune couverture des déficits n'a jamais été demandée.</w:t>
      </w:r>
    </w:p>
    <w:p w14:paraId="521F66C5" w14:textId="77777777" w:rsidR="00ED2334" w:rsidRPr="00AC6ACB" w:rsidRDefault="00ED2334" w:rsidP="00ED2334">
      <w:r w:rsidRPr="00AC6ACB">
        <w:t>L'évaluation actuarielle de la Caisse la plus récente a été arrêtée au 31 décembre 2023 et la Caisse utilisera les données relatives à la participation au 31 décembre 2023 plutôt que celles au 31 décembre 2024 pour présenter une valeur actuelle actuarielle des prestations cumulées au titre du régime dans ses États financiers de 2024.</w:t>
      </w:r>
    </w:p>
    <w:p w14:paraId="19B6634B" w14:textId="77777777" w:rsidR="00ED2334" w:rsidRPr="00AC6ACB" w:rsidRDefault="00ED2334" w:rsidP="00ED2334">
      <w:r w:rsidRPr="00AC6ACB">
        <w:t>L'évaluation actuarielle arrêtée au 31 décembre 2023 a fait état d'un taux de couverture des passifs par les actifs de 111% (117,0% dans l'évaluation de 2021) lorsque les futurs ajustements des pensions attendus (indexation des prestations sur le coût de la vie) ont été pris en compte. Le taux de couverture indiqué était de 152,0% (158,2% dans l'évaluation) en ne tenant pas compte du système actuel d'ajustement des pensions et représenterait la mesure au regard de laquelle l'équilibre actuariel est établi selon l'Article 26.</w:t>
      </w:r>
    </w:p>
    <w:p w14:paraId="050BF1EA" w14:textId="77777777" w:rsidR="00ED2334" w:rsidRPr="00AC6ACB" w:rsidRDefault="00ED2334" w:rsidP="00ED2334">
      <w:r w:rsidRPr="00AC6ACB">
        <w:t>Après avoir évalué l'équilibre actuariel de la Caisse des pensions au regard de ses obligations, l'actuaire-conseil a conclu qu'au 31 décembre 2023 une couverture des déficits au titre de l'Article 26 des Statuts de la Caisse n'était pas nécessaire étant donné que la valeur actuarielle de l'actif excédait la valeur actuarielle de toutes les charges à payer dans le cadre du plan. Au moment de l'établissement du présent rapport, l'Assemblée générale des Nations Unies n'avait pas invoqué les dispositions de l'Article 26.</w:t>
      </w:r>
    </w:p>
    <w:p w14:paraId="364C644B" w14:textId="77777777" w:rsidR="00ED2334" w:rsidRPr="00AC6ACB" w:rsidRDefault="00ED2334" w:rsidP="00ED2334">
      <w:r w:rsidRPr="00AC6ACB">
        <w:t>Si l'Article 26 devait être invoqué en raison d'un déficit constaté à la suite de l'évaluation actuarielle, soit au cours de l'opération en cours soit en raison de la fin de la Caisse, les paiements exigés de chaque organisation membre pour couvrir le déficit seraient définis en fonction de la part des cotisations de ces organisations par rapport aux cotisations totales versées à la CCPPNU au cours des trois années précédant la date de l'évaluation. Le montant total des cotisations versées à la Caisse au cours des trois dernières années (2021, 2022 et 2023) s'élève à 9 499,41 millions USD, auquel l'UIT a contribué à hauteur de 0,92%.</w:t>
      </w:r>
    </w:p>
    <w:p w14:paraId="2BB05342" w14:textId="77777777" w:rsidR="00ED2334" w:rsidRPr="00AC6ACB" w:rsidRDefault="00ED2334" w:rsidP="00ED2334">
      <w:r w:rsidRPr="00AC6ACB">
        <w:t>Au cours de l'année 2024, les contributions versées par l'UIT à la Caisse se sont élevées à 27,3 millions CHF (31,1 millions USD) (contre 27,2 millions CHF ou 30,3 millions USD en 2023). Le montant des cotisations dues en 2025 devrait être d'environ 28,5 millions CHF (31,6 millions USD).</w:t>
      </w:r>
    </w:p>
    <w:p w14:paraId="2676E5CB" w14:textId="77777777" w:rsidR="00ED2334" w:rsidRPr="00AC6ACB" w:rsidRDefault="00ED2334" w:rsidP="006004FD">
      <w:pPr>
        <w:keepLines/>
      </w:pPr>
      <w:r w:rsidRPr="00AC6ACB">
        <w:lastRenderedPageBreak/>
        <w:t>L'affiliation à la Caisse peut être résiliée sur décision de l'Assemblée générale des Nations Unies, sur recommandation affirmative du Comité mixte. Une part proportionnelle du total des actifs de la Caisse à la date de résiliation de l'affiliation devra être versée à l'ancienne organisation membre, au bénéfice exclusif des membres de son personnel qui étaient affiliés à la Caisse à cette date, conformément à un accord conclu entre l'Organisation et la Caisse. Le montant est défini par le Comité mixte de la CCPPNU à partir d'une évaluation actuarielle des actifs et des passifs de la Caisse à la date de résiliation de l'affiliation; l'établissement de ce montant ne tient pas compte des actifs en excès par rapport au passif.</w:t>
      </w:r>
    </w:p>
    <w:p w14:paraId="3A5A55EB" w14:textId="77777777" w:rsidR="00ED2334" w:rsidRPr="00AC6ACB" w:rsidRDefault="00ED2334" w:rsidP="00ED2334">
      <w:pPr>
        <w:keepLines/>
      </w:pPr>
      <w:r w:rsidRPr="00AC6ACB">
        <w:t xml:space="preserve">Le Comité des commissaires aux comptes de l'ONU procède à un audit annuel de la Caisse et rend compte chaque année de ses travaux au Comité mixte de la Caisse commune des pensions et à l'Assemblée générale des Nations Unies. La Caisse publie des rapports trimestriels sur ses placements, qui peuvent être consultés à l'adresse </w:t>
      </w:r>
      <w:hyperlink r:id="rId57" w:history="1">
        <w:r w:rsidRPr="00AC6ACB">
          <w:rPr>
            <w:rStyle w:val="Hyperlink"/>
          </w:rPr>
          <w:t>www.unjspf.org</w:t>
        </w:r>
      </w:hyperlink>
      <w:r w:rsidRPr="00AC6ACB">
        <w:t>.</w:t>
      </w:r>
    </w:p>
    <w:p w14:paraId="369EE28D" w14:textId="77777777" w:rsidR="00ED2334" w:rsidRPr="00AC6ACB" w:rsidRDefault="00ED2334" w:rsidP="00ED2334">
      <w:pPr>
        <w:pStyle w:val="Figuretitle"/>
        <w:spacing w:after="240"/>
      </w:pPr>
      <w:r w:rsidRPr="00AC6ACB">
        <w:t>Résumé des contributions versées à la Caisse pour la période</w:t>
      </w:r>
      <w:r w:rsidRPr="00AC6ACB">
        <w:br/>
        <w:t>comprise entre le 1er janvier et le 31 décembre 2024</w:t>
      </w:r>
    </w:p>
    <w:p w14:paraId="08660E52" w14:textId="6A523082" w:rsidR="00ED2334" w:rsidRPr="00AC6ACB" w:rsidRDefault="00ED2334" w:rsidP="00ED2334">
      <w:pPr>
        <w:pStyle w:val="Figure"/>
        <w:keepNext w:val="0"/>
        <w:keepLines w:val="0"/>
      </w:pPr>
      <w:r w:rsidRPr="00AC6ACB">
        <w:rPr>
          <w:noProof/>
        </w:rPr>
        <w:drawing>
          <wp:inline distT="0" distB="0" distL="0" distR="0" wp14:anchorId="6449955A" wp14:editId="7266BC49">
            <wp:extent cx="4635500" cy="139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35500" cy="1397000"/>
                    </a:xfrm>
                    <a:prstGeom prst="rect">
                      <a:avLst/>
                    </a:prstGeom>
                    <a:noFill/>
                    <a:ln>
                      <a:noFill/>
                    </a:ln>
                  </pic:spPr>
                </pic:pic>
              </a:graphicData>
            </a:graphic>
          </wp:inline>
        </w:drawing>
      </w:r>
    </w:p>
    <w:p w14:paraId="4E402420" w14:textId="77777777" w:rsidR="00ED2334" w:rsidRPr="00AC6ACB" w:rsidRDefault="00ED2334" w:rsidP="00ED2334">
      <w:pPr>
        <w:pStyle w:val="Normalaftertitle"/>
        <w:keepNext/>
        <w:keepLines/>
        <w:rPr>
          <w:u w:val="single"/>
        </w:rPr>
      </w:pPr>
      <w:r w:rsidRPr="00AC6ACB">
        <w:rPr>
          <w:u w:val="single"/>
        </w:rPr>
        <w:t>Engagements concernant les autres avantages du personnel</w:t>
      </w:r>
    </w:p>
    <w:p w14:paraId="0DB6AC48" w14:textId="77777777" w:rsidR="00ED2334" w:rsidRPr="00AC6ACB" w:rsidRDefault="00ED2334" w:rsidP="00ED2334">
      <w:pPr>
        <w:keepNext/>
        <w:keepLines/>
      </w:pPr>
      <w:r w:rsidRPr="00AC6ACB">
        <w:t>Avant la constitution de la Caisse commune des pensions du personnel des Nations Unies et son affiliation à cette caisse, l'UIT avait créé des fonds pour fournir les prestations de retraite, de décès, d'invalidité ou d'assurance maladie aux membres de son personnel. Ces fonds fonctionnent en caisse fermée depuis l'affiliation de l'UIT à la Caisse susmentionnée. Les engagements sont indiqués dans les passifs à long terme. Des conventions ont été établies entre l'UIT et les fonds de l'UIT afin d'assurer le financement de ces derniers.</w:t>
      </w:r>
    </w:p>
    <w:p w14:paraId="33FBF2AA" w14:textId="77777777" w:rsidR="00ED2334" w:rsidRPr="00AC6ACB" w:rsidRDefault="00ED2334" w:rsidP="00ED2334">
      <w:r w:rsidRPr="00AC6ACB">
        <w:t>En 2024, l'Union n'a pas jugé utile de demander une nouvelle étude actuarielle pour la Caisse d'assurance du personnel de l'UIT. Au 31 décembre 2024, la provision pour les engagements résultant des rentes en cours des anciens fonctionnaires affiliés à la Caisse d'assurance du personnel, comptabilisée en 2010 pour un montant de 54 000 CHF, reste inchangée.</w:t>
      </w:r>
    </w:p>
    <w:p w14:paraId="6399398D" w14:textId="3169742E" w:rsidR="00ED2334" w:rsidRPr="00AC6ACB" w:rsidRDefault="00ED2334" w:rsidP="00ED2334">
      <w:pPr>
        <w:pStyle w:val="Heading1"/>
        <w:spacing w:before="240"/>
        <w:rPr>
          <w:bCs/>
          <w:sz w:val="24"/>
        </w:rPr>
      </w:pPr>
      <w:bookmarkStart w:id="171" w:name="_Toc200361475"/>
      <w:r w:rsidRPr="00AC6ACB">
        <w:rPr>
          <w:bCs/>
          <w:sz w:val="24"/>
        </w:rPr>
        <w:t>Note 17</w:t>
      </w:r>
      <w:r w:rsidRPr="00AC6ACB">
        <w:rPr>
          <w:bCs/>
          <w:sz w:val="24"/>
        </w:rPr>
        <w:tab/>
        <w:t>Autres passifs</w:t>
      </w:r>
      <w:bookmarkEnd w:id="171"/>
    </w:p>
    <w:p w14:paraId="0841AF3E" w14:textId="77777777" w:rsidR="00ED2334" w:rsidRPr="00AC6ACB" w:rsidRDefault="00ED2334" w:rsidP="00ED2334">
      <w:r w:rsidRPr="00AC6ACB">
        <w:t>La hausse des passifs transitoires est due à un renforcement de l'activité en fin d'année et à l'augmentation du passif en suspens pour des accords interinstitutions.</w:t>
      </w:r>
    </w:p>
    <w:p w14:paraId="5AEC88E8" w14:textId="77777777" w:rsidR="00ED2334" w:rsidRPr="00AC6ACB" w:rsidRDefault="00ED2334" w:rsidP="00ED2334">
      <w:r w:rsidRPr="00AC6ACB">
        <w:t>La baisse des passifs divers liés au personnel est due à la diminution de l'encours des engagements liés aux contrats d'engagement spéciaux et aux déductions concernant les indemnités de fin de service du personnel.</w:t>
      </w:r>
    </w:p>
    <w:p w14:paraId="3F4D0CA4" w14:textId="3D03E564" w:rsidR="00ED2334" w:rsidRPr="00AC6ACB" w:rsidRDefault="00ED2334" w:rsidP="00ED2334">
      <w:pPr>
        <w:pStyle w:val="Figure"/>
        <w:keepNext w:val="0"/>
        <w:keepLines w:val="0"/>
        <w:widowControl w:val="0"/>
      </w:pPr>
      <w:r w:rsidRPr="00AC6ACB">
        <w:rPr>
          <w:noProof/>
        </w:rPr>
        <w:lastRenderedPageBreak/>
        <w:drawing>
          <wp:inline distT="0" distB="0" distL="0" distR="0" wp14:anchorId="75F379C7" wp14:editId="0F2C995B">
            <wp:extent cx="5092700" cy="177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2700" cy="1778000"/>
                    </a:xfrm>
                    <a:prstGeom prst="rect">
                      <a:avLst/>
                    </a:prstGeom>
                    <a:noFill/>
                    <a:ln>
                      <a:noFill/>
                    </a:ln>
                  </pic:spPr>
                </pic:pic>
              </a:graphicData>
            </a:graphic>
          </wp:inline>
        </w:drawing>
      </w:r>
    </w:p>
    <w:p w14:paraId="09EAB9B0" w14:textId="77777777" w:rsidR="00ED2334" w:rsidRPr="00AC6ACB" w:rsidRDefault="00ED2334" w:rsidP="00ED2334">
      <w:pPr>
        <w:pStyle w:val="Normalaftertitle"/>
      </w:pPr>
      <w:r w:rsidRPr="00AC6ACB">
        <w:t>La provision représente la meilleure estimation par la direction, à la date de clôture, des obligations futures liées à des événements passés pour lesquels il existe une incertitude en ce qui concerne la valeur finale et le calendrier des sorties de ressources de l'UIT.</w:t>
      </w:r>
    </w:p>
    <w:p w14:paraId="0CE23AB4" w14:textId="77777777" w:rsidR="00ED2334" w:rsidRPr="00AC6ACB" w:rsidRDefault="00ED2334" w:rsidP="00ED2334">
      <w:r w:rsidRPr="00AC6ACB">
        <w:t>Plus précisément, elle se compose i) de la provision pour risques et charges administratives associés à des litiges en cours se rapportant à des cas qui sont communiqués régulièrement par le tribunal; ii) de la provision correspondant au montant que les Administrations peuvent demander chaque année pour leurs fiches de notification de réseaux à satellite au titre de la gratuité non réclamée de leurs publications; et iii) de la provision pour la résiliation de l'accord de parrainage de 0,5 million CHF reçue concernant le projet de nouveau bâtiment.</w:t>
      </w:r>
    </w:p>
    <w:p w14:paraId="5DF2D3D8" w14:textId="77777777" w:rsidR="00ED2334" w:rsidRPr="00AC6ACB" w:rsidRDefault="00ED2334" w:rsidP="00ED2334">
      <w:r w:rsidRPr="00AC6ACB">
        <w:t>La provision pour les fiches de notification sera entièrement utilisée ou débloquée au cours de l'exercice 2025.</w:t>
      </w:r>
    </w:p>
    <w:p w14:paraId="47B5F81C" w14:textId="76F6DC77" w:rsidR="00ED2334" w:rsidRPr="00AC6ACB" w:rsidRDefault="00ED2334" w:rsidP="00ED2334">
      <w:pPr>
        <w:pStyle w:val="Figure"/>
      </w:pPr>
      <w:r w:rsidRPr="00AC6ACB">
        <w:rPr>
          <w:noProof/>
        </w:rPr>
        <w:drawing>
          <wp:inline distT="0" distB="0" distL="0" distR="0" wp14:anchorId="1893D090" wp14:editId="077D8F80">
            <wp:extent cx="5619750" cy="1079500"/>
            <wp:effectExtent l="0" t="0" r="0" b="6350"/>
            <wp:docPr id="17" name="Picture 17" descr="A blue and white car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card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9750" cy="1079500"/>
                    </a:xfrm>
                    <a:prstGeom prst="rect">
                      <a:avLst/>
                    </a:prstGeom>
                    <a:noFill/>
                    <a:ln>
                      <a:noFill/>
                    </a:ln>
                  </pic:spPr>
                </pic:pic>
              </a:graphicData>
            </a:graphic>
          </wp:inline>
        </w:drawing>
      </w:r>
    </w:p>
    <w:p w14:paraId="2AFC2091" w14:textId="6333ABD6" w:rsidR="00ED2334" w:rsidRPr="00AC6ACB" w:rsidRDefault="00ED2334" w:rsidP="00ED2334">
      <w:pPr>
        <w:pStyle w:val="Heading1"/>
        <w:spacing w:before="240"/>
        <w:rPr>
          <w:bCs/>
          <w:sz w:val="24"/>
        </w:rPr>
      </w:pPr>
      <w:bookmarkStart w:id="172" w:name="_Toc200361476"/>
      <w:r w:rsidRPr="00AC6ACB">
        <w:rPr>
          <w:bCs/>
          <w:sz w:val="24"/>
        </w:rPr>
        <w:t>Note 18</w:t>
      </w:r>
      <w:r w:rsidRPr="00AC6ACB">
        <w:rPr>
          <w:bCs/>
          <w:sz w:val="24"/>
        </w:rPr>
        <w:tab/>
        <w:t>Produits</w:t>
      </w:r>
      <w:bookmarkEnd w:id="172"/>
    </w:p>
    <w:p w14:paraId="257A1EB6" w14:textId="77777777" w:rsidR="00ED2334" w:rsidRPr="00AC6ACB" w:rsidRDefault="00ED2334" w:rsidP="00ED2334">
      <w:pPr>
        <w:pStyle w:val="Headingb"/>
        <w:spacing w:before="240"/>
        <w:rPr>
          <w:bCs/>
          <w:i/>
          <w:iCs/>
        </w:rPr>
      </w:pPr>
      <w:bookmarkStart w:id="173" w:name="_Toc200093265"/>
      <w:bookmarkStart w:id="174" w:name="_Toc200361477"/>
      <w:r w:rsidRPr="00AC6ACB">
        <w:rPr>
          <w:bCs/>
          <w:i/>
          <w:iCs/>
        </w:rPr>
        <w:t>Contributions mises en recouvrement</w:t>
      </w:r>
      <w:bookmarkEnd w:id="173"/>
      <w:bookmarkEnd w:id="174"/>
    </w:p>
    <w:p w14:paraId="58F90342" w14:textId="77777777" w:rsidR="00ED2334" w:rsidRPr="00AC6ACB" w:rsidRDefault="00ED2334" w:rsidP="00ED2334">
      <w:r w:rsidRPr="00AC6ACB">
        <w:t>Par la Résolution 1417 qu'il a adoptée à sa session de 2023, le Conseil a approuvé le budget de l'Union pour la période 2024-2025.</w:t>
      </w:r>
    </w:p>
    <w:p w14:paraId="63FEDE54" w14:textId="77777777" w:rsidR="00ED2334" w:rsidRPr="00AC6ACB" w:rsidRDefault="00ED2334" w:rsidP="00ED2334">
      <w:r w:rsidRPr="00AC6ACB">
        <w:t>Les produits de 2024 provenant des États Membres sont conformes au plan financier présenté à la PP-22. Les contributions mises en recouvrement auprès des États Membres sont établies sur la base de 356 unités.</w:t>
      </w:r>
    </w:p>
    <w:p w14:paraId="43A4372C" w14:textId="77777777" w:rsidR="00ED2334" w:rsidRPr="00AC6ACB" w:rsidRDefault="00ED2334" w:rsidP="00ED2334">
      <w:r w:rsidRPr="00AC6ACB">
        <w:t>Des contributions aux conférences ont été comptabilisées pour:</w:t>
      </w:r>
    </w:p>
    <w:p w14:paraId="0DE57A17" w14:textId="77777777" w:rsidR="00ED2334" w:rsidRPr="00AC6ACB" w:rsidRDefault="00ED2334" w:rsidP="00ED2334">
      <w:pPr>
        <w:pStyle w:val="enumlev1"/>
      </w:pPr>
      <w:r w:rsidRPr="00AC6ACB">
        <w:t>–</w:t>
      </w:r>
      <w:r w:rsidRPr="00AC6ACB">
        <w:tab/>
        <w:t>l'Assemblée mondiale de normalisation des télécommunications (AMNT-24) tenue à New Delhi (Inde). Le Gouvernement de l'Inde unis a pris en charge les frais de transport et d'hébergement de tous les membres du personnel de l'UIT qui se sont rendus sur place. Ce dernier a également assuré sans intermédiaire la logistique et la sécurité de tous les participants;</w:t>
      </w:r>
    </w:p>
    <w:p w14:paraId="3789756F" w14:textId="77777777" w:rsidR="00ED2334" w:rsidRPr="00AC6ACB" w:rsidRDefault="00ED2334" w:rsidP="006004FD">
      <w:pPr>
        <w:pStyle w:val="enumlev1"/>
        <w:keepLines/>
      </w:pPr>
      <w:r w:rsidRPr="00AC6ACB">
        <w:lastRenderedPageBreak/>
        <w:t>–</w:t>
      </w:r>
      <w:r w:rsidRPr="00AC6ACB">
        <w:tab/>
        <w:t>le Colloque mondial des régulateurs (GSR-24) organisé à Kampala (Ouganda). Conformément à l'accord de pays hôte, le Gouvernement de l'Ouganda a financé les frais de transport et d'hébergement de tous les fonctionnaires de l'UIT qui se sont rendus sur place, et a également assuré sans intermédiaire toute la logistique et la sécurité de tous les participants.</w:t>
      </w:r>
    </w:p>
    <w:p w14:paraId="2F6AFC31" w14:textId="77777777" w:rsidR="00ED2334" w:rsidRPr="00AC6ACB" w:rsidRDefault="00ED2334" w:rsidP="00ED2334">
      <w:r w:rsidRPr="00AC6ACB">
        <w:t>Le tableau suivant présente les contributions mises en recouvrement comptabilisées en 2024 et en 2023.</w:t>
      </w:r>
    </w:p>
    <w:p w14:paraId="3659A79D" w14:textId="2148DC3D" w:rsidR="00ED2334" w:rsidRPr="00AC6ACB" w:rsidRDefault="00ED2334" w:rsidP="00ED2334">
      <w:pPr>
        <w:pStyle w:val="Figure"/>
      </w:pPr>
      <w:r w:rsidRPr="00AC6ACB">
        <w:rPr>
          <w:noProof/>
        </w:rPr>
        <w:drawing>
          <wp:inline distT="0" distB="0" distL="0" distR="0" wp14:anchorId="79B4F528" wp14:editId="4906B48A">
            <wp:extent cx="4800600" cy="185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0600" cy="1854200"/>
                    </a:xfrm>
                    <a:prstGeom prst="rect">
                      <a:avLst/>
                    </a:prstGeom>
                    <a:noFill/>
                    <a:ln>
                      <a:noFill/>
                    </a:ln>
                  </pic:spPr>
                </pic:pic>
              </a:graphicData>
            </a:graphic>
          </wp:inline>
        </w:drawing>
      </w:r>
    </w:p>
    <w:p w14:paraId="287FF446" w14:textId="77777777" w:rsidR="00ED2334" w:rsidRPr="00AC6ACB" w:rsidRDefault="00ED2334" w:rsidP="00ED2334">
      <w:pPr>
        <w:pStyle w:val="Headingb"/>
        <w:spacing w:before="240"/>
        <w:rPr>
          <w:i/>
          <w:iCs/>
        </w:rPr>
      </w:pPr>
      <w:bookmarkStart w:id="175" w:name="_Toc200093266"/>
      <w:bookmarkStart w:id="176" w:name="_Toc200361478"/>
      <w:r w:rsidRPr="00AC6ACB">
        <w:rPr>
          <w:i/>
          <w:iCs/>
        </w:rPr>
        <w:t>Contributions extrabudgétaires</w:t>
      </w:r>
      <w:bookmarkEnd w:id="175"/>
      <w:bookmarkEnd w:id="176"/>
    </w:p>
    <w:p w14:paraId="4FCAEAC9" w14:textId="77777777" w:rsidR="00ED2334" w:rsidRPr="00AC6ACB" w:rsidRDefault="00ED2334" w:rsidP="00ED2334">
      <w:r w:rsidRPr="00AC6ACB">
        <w:t>Les contributions volontaires et les contributions des fonds d'affectation spéciale sont les sources de financement provenant de tiers pour appuyer l'UIT dans la mise en œuvre de projets de développement en faveur des pays en développement, y compris des pays les moins avancés, des petits États insulaires en développement, des pays en développement sans littoral et des pays dont l'économie est en transition, et complètent le budget de l'UIT pour les activités ordinaires.</w:t>
      </w:r>
    </w:p>
    <w:p w14:paraId="369DF431" w14:textId="0073C291" w:rsidR="00ED2334" w:rsidRPr="00AC6ACB" w:rsidRDefault="00ED2334" w:rsidP="00ED2334">
      <w:pPr>
        <w:pStyle w:val="Figure"/>
      </w:pPr>
      <w:r w:rsidRPr="00AC6ACB">
        <w:rPr>
          <w:noProof/>
        </w:rPr>
        <w:drawing>
          <wp:inline distT="0" distB="0" distL="0" distR="0" wp14:anchorId="2E2DFF5C" wp14:editId="36E814D3">
            <wp:extent cx="4851400" cy="15113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1400" cy="1511300"/>
                    </a:xfrm>
                    <a:prstGeom prst="rect">
                      <a:avLst/>
                    </a:prstGeom>
                    <a:noFill/>
                    <a:ln>
                      <a:noFill/>
                    </a:ln>
                  </pic:spPr>
                </pic:pic>
              </a:graphicData>
            </a:graphic>
          </wp:inline>
        </w:drawing>
      </w:r>
    </w:p>
    <w:p w14:paraId="64ADC71A" w14:textId="77777777" w:rsidR="00ED2334" w:rsidRPr="00AC6ACB" w:rsidRDefault="00ED2334" w:rsidP="00ED2334">
      <w:pPr>
        <w:pStyle w:val="Headingb"/>
        <w:spacing w:before="240"/>
        <w:rPr>
          <w:bCs/>
          <w:i/>
          <w:iCs/>
        </w:rPr>
      </w:pPr>
      <w:bookmarkStart w:id="177" w:name="_Toc200093267"/>
      <w:bookmarkStart w:id="178" w:name="_Toc200361479"/>
      <w:r w:rsidRPr="00AC6ACB">
        <w:rPr>
          <w:bCs/>
          <w:i/>
          <w:iCs/>
        </w:rPr>
        <w:t>Autres produits d'exploitation</w:t>
      </w:r>
      <w:bookmarkEnd w:id="177"/>
      <w:bookmarkEnd w:id="178"/>
    </w:p>
    <w:p w14:paraId="79BC1F56" w14:textId="77777777" w:rsidR="00ED2334" w:rsidRPr="00AC6ACB" w:rsidRDefault="00ED2334" w:rsidP="00ED2334">
      <w:r w:rsidRPr="00AC6ACB">
        <w:t>Les produits tirés de la vente des publications en 2024 ont atteint 19,2 millions CHF, soit 2,5 millions CHF de plus que les produits des ventes de l'année précédente. Cette hausse s'explique principalement par le calendrier des publications périodiques, en particulier, la publication du Manuel maritime et du Règlement des radiocommunications au quatrième trimestre de l'année.</w:t>
      </w:r>
    </w:p>
    <w:p w14:paraId="410B1FDA" w14:textId="77777777" w:rsidR="00ED2334" w:rsidRPr="00AC6ACB" w:rsidRDefault="00ED2334" w:rsidP="006004FD">
      <w:pPr>
        <w:keepLines/>
      </w:pPr>
      <w:r w:rsidRPr="00AC6ACB">
        <w:lastRenderedPageBreak/>
        <w:t>La baisse des produits pour les fiches de notification de réseaux à satellite est due principalement aux retards pris dans les publications finales (le produit est comptabilisé au moment où la publication finale de la fiche de notification dans la Circulaire internationale d'information sur les fréquences du BR (BR IFIC) a lieu). Cette situation découle des décisions prises par la CMR-23, qui a demandé que des ajustements soient apportés aux logiciels associés, ainsi que de l'augmentation du nombre de soumissions en 2024.</w:t>
      </w:r>
    </w:p>
    <w:p w14:paraId="62D1C08A" w14:textId="77777777" w:rsidR="00ED2334" w:rsidRPr="00AC6ACB" w:rsidRDefault="00ED2334" w:rsidP="00ED2334">
      <w:r w:rsidRPr="00AC6ACB">
        <w:t>La baisse enregistrée sous "Autres produits d'exploitation" est due principalement aux produits provenant de contributions reçues pour le projet de nouveau bâtiment en 2023 qui n'ont pas été reçues pour l'année considérée.</w:t>
      </w:r>
    </w:p>
    <w:p w14:paraId="23D45FE0" w14:textId="45F1A46C" w:rsidR="00ED2334" w:rsidRPr="00AC6ACB" w:rsidRDefault="00ED2334" w:rsidP="00ED2334">
      <w:pPr>
        <w:pStyle w:val="Figure"/>
      </w:pPr>
      <w:r w:rsidRPr="00AC6ACB">
        <w:rPr>
          <w:noProof/>
        </w:rPr>
        <w:drawing>
          <wp:inline distT="0" distB="0" distL="0" distR="0" wp14:anchorId="35AA41C4" wp14:editId="678DCCAB">
            <wp:extent cx="4800600" cy="2120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00600" cy="2120900"/>
                    </a:xfrm>
                    <a:prstGeom prst="rect">
                      <a:avLst/>
                    </a:prstGeom>
                    <a:noFill/>
                    <a:ln>
                      <a:noFill/>
                    </a:ln>
                  </pic:spPr>
                </pic:pic>
              </a:graphicData>
            </a:graphic>
          </wp:inline>
        </w:drawing>
      </w:r>
    </w:p>
    <w:p w14:paraId="256EE3E0" w14:textId="77777777" w:rsidR="00ED2334" w:rsidRPr="00AC6ACB" w:rsidRDefault="00ED2334" w:rsidP="00ED2334">
      <w:pPr>
        <w:pStyle w:val="Headingb"/>
        <w:spacing w:before="240"/>
        <w:rPr>
          <w:bCs/>
          <w:i/>
          <w:iCs/>
        </w:rPr>
      </w:pPr>
      <w:bookmarkStart w:id="179" w:name="_Toc200093268"/>
      <w:bookmarkStart w:id="180" w:name="_Toc200361480"/>
      <w:r w:rsidRPr="00AC6ACB">
        <w:rPr>
          <w:bCs/>
          <w:i/>
          <w:iCs/>
        </w:rPr>
        <w:t>Produits financiers/(charges financières)</w:t>
      </w:r>
      <w:bookmarkEnd w:id="179"/>
      <w:bookmarkEnd w:id="180"/>
    </w:p>
    <w:p w14:paraId="2A28D780" w14:textId="77777777" w:rsidR="00ED2334" w:rsidRPr="00AC6ACB" w:rsidRDefault="00ED2334" w:rsidP="00ED2334">
      <w:r w:rsidRPr="00AC6ACB">
        <w:t>Le taux d'intérêt sur les dépôts à court terme en dollars des États-Unis et en euros est resté relativement stable tout au long de l'année et proche de celui de l'année précédente, d'où des produits tirés des placements analogues s'établissant à environ 4,6 millions CHF.</w:t>
      </w:r>
    </w:p>
    <w:p w14:paraId="7BE01C24" w14:textId="77777777" w:rsidR="00ED2334" w:rsidRPr="00AC6ACB" w:rsidRDefault="00ED2334" w:rsidP="00ED2334">
      <w:r w:rsidRPr="00AC6ACB">
        <w:t>Les placements étant détenus pour la plupart en dollars des États-Unis et en euros, en 2024, l'UIT a réalisé des gains de change pour des placements d'un montant total de 3,9 millions CHF, contre une perte de 6,2 millions CHF en 2023 due principalement à l'appréciation du franc suisse par rapport au dollar des États-Unis.</w:t>
      </w:r>
    </w:p>
    <w:p w14:paraId="5FA49EB1" w14:textId="77777777" w:rsidR="00ED2334" w:rsidRPr="00AC6ACB" w:rsidRDefault="00ED2334" w:rsidP="00ED2334">
      <w:r w:rsidRPr="00AC6ACB">
        <w:t>Les gains de change sur les opérations comptabilisés en 2024 s'expliquent par la tendance sur le marché des changes telle que décrite pour les placements et par l'affaiblissement du franc suisse par rapport au dollar des États-Unis.</w:t>
      </w:r>
    </w:p>
    <w:p w14:paraId="4968D1D4" w14:textId="77777777" w:rsidR="00ED2334" w:rsidRPr="00AC6ACB" w:rsidRDefault="00ED2334" w:rsidP="00ED2334">
      <w:r w:rsidRPr="00AC6ACB">
        <w:t>Le taux des obligations à 30 ans de la Confédération suisse était de 0,37% fin 2024, contre 0,50% fin 2023. Cette baisse a entraîné une hausse de 0,7 million CHF du passif pour le prêt.</w:t>
      </w:r>
    </w:p>
    <w:p w14:paraId="55469093" w14:textId="60215A3C" w:rsidR="00ED2334" w:rsidRPr="00AC6ACB" w:rsidRDefault="00ED2334" w:rsidP="00ED2334">
      <w:pPr>
        <w:pStyle w:val="Figure"/>
      </w:pPr>
      <w:r w:rsidRPr="00AC6ACB">
        <w:rPr>
          <w:noProof/>
        </w:rPr>
        <w:lastRenderedPageBreak/>
        <w:drawing>
          <wp:inline distT="0" distB="0" distL="0" distR="0" wp14:anchorId="5FA9D1C5" wp14:editId="01882C8A">
            <wp:extent cx="4813300" cy="17589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13300" cy="1758950"/>
                    </a:xfrm>
                    <a:prstGeom prst="rect">
                      <a:avLst/>
                    </a:prstGeom>
                    <a:noFill/>
                    <a:ln>
                      <a:noFill/>
                    </a:ln>
                  </pic:spPr>
                </pic:pic>
              </a:graphicData>
            </a:graphic>
          </wp:inline>
        </w:drawing>
      </w:r>
    </w:p>
    <w:p w14:paraId="0F253A16" w14:textId="0A4390D6" w:rsidR="00ED2334" w:rsidRPr="00AC6ACB" w:rsidRDefault="00ED2334" w:rsidP="00ED2334">
      <w:pPr>
        <w:pStyle w:val="Heading1"/>
        <w:spacing w:before="240"/>
        <w:rPr>
          <w:bCs/>
          <w:sz w:val="24"/>
        </w:rPr>
      </w:pPr>
      <w:bookmarkStart w:id="181" w:name="_Toc200361481"/>
      <w:r w:rsidRPr="00AC6ACB">
        <w:rPr>
          <w:bCs/>
          <w:sz w:val="24"/>
        </w:rPr>
        <w:t>Note 19</w:t>
      </w:r>
      <w:r w:rsidRPr="00AC6ACB">
        <w:rPr>
          <w:bCs/>
          <w:sz w:val="24"/>
        </w:rPr>
        <w:tab/>
        <w:t>Charges</w:t>
      </w:r>
      <w:bookmarkEnd w:id="181"/>
    </w:p>
    <w:p w14:paraId="223219F0" w14:textId="77777777" w:rsidR="00ED2334" w:rsidRPr="00AC6ACB" w:rsidRDefault="00ED2334" w:rsidP="00ED2334">
      <w:pPr>
        <w:pStyle w:val="Headingb"/>
        <w:spacing w:before="240"/>
        <w:rPr>
          <w:bCs/>
          <w:i/>
          <w:iCs/>
        </w:rPr>
      </w:pPr>
      <w:bookmarkStart w:id="182" w:name="_Toc200093270"/>
      <w:bookmarkStart w:id="183" w:name="_Toc200361482"/>
      <w:r w:rsidRPr="00AC6ACB">
        <w:rPr>
          <w:bCs/>
          <w:i/>
          <w:iCs/>
        </w:rPr>
        <w:t>Charges de personnel</w:t>
      </w:r>
      <w:bookmarkEnd w:id="182"/>
      <w:bookmarkEnd w:id="183"/>
    </w:p>
    <w:p w14:paraId="7719CBA6" w14:textId="77777777" w:rsidR="00ED2334" w:rsidRPr="00AC6ACB" w:rsidRDefault="00ED2334" w:rsidP="00ED2334">
      <w:r w:rsidRPr="00AC6ACB">
        <w:t>Les charges de personnel couvrent toutes les rémunérations versées aux titulaires de postes permanents et à tout le personnel de conférences ou bénéficiant de contrats de courte durée, telles que traitements de base, indemnités de poste, primes pour connaissances linguistiques, indemnités de non-résident, allocations familiales et heures supplémentaires ainsi que les autres charges de personnel.</w:t>
      </w:r>
    </w:p>
    <w:p w14:paraId="33A699BD" w14:textId="77777777" w:rsidR="00ED2334" w:rsidRPr="00AC6ACB" w:rsidRDefault="00ED2334" w:rsidP="00ED2334">
      <w:r w:rsidRPr="00AC6ACB">
        <w:t>Globalement, les charges de personnel ont baissé en 2024. Cette baisse découle principalement des éléments suivants:</w:t>
      </w:r>
    </w:p>
    <w:p w14:paraId="1964BA02" w14:textId="77777777" w:rsidR="00ED2334" w:rsidRPr="00AC6ACB" w:rsidRDefault="00ED2334" w:rsidP="00ED2334">
      <w:pPr>
        <w:pStyle w:val="enumlev1"/>
      </w:pPr>
      <w:r w:rsidRPr="00AC6ACB">
        <w:t>–</w:t>
      </w:r>
      <w:r w:rsidRPr="00AC6ACB">
        <w:tab/>
        <w:t>Baisse de l'ajustement de l'ASHI (3,8 millions CHF) – cet ajustement de l'ASHI est lié aux coûts nets des services et aux coûts des intérêts, diminués des versements pour la période. Cette réduction par rapport à 2023 est due principalement à l'augmentation de ces versements de 7,0 millions CHF en 2023 à 10,3 millions en 2024.</w:t>
      </w:r>
    </w:p>
    <w:p w14:paraId="4840AA1B" w14:textId="77777777" w:rsidR="00ED2334" w:rsidRPr="00AC6ACB" w:rsidRDefault="00ED2334" w:rsidP="00ED2334">
      <w:pPr>
        <w:pStyle w:val="enumlev1"/>
      </w:pPr>
      <w:r w:rsidRPr="00AC6ACB">
        <w:t>–</w:t>
      </w:r>
      <w:r w:rsidRPr="00AC6ACB">
        <w:tab/>
        <w:t>Hausse des autres charges (3,4 millions CHF), liée principalement aux coûts supportés en 2023 pour le plan de départ volontaire.</w:t>
      </w:r>
    </w:p>
    <w:p w14:paraId="73CA9D4E" w14:textId="77777777" w:rsidR="00ED2334" w:rsidRPr="00AC6ACB" w:rsidRDefault="00ED2334" w:rsidP="00ED2334">
      <w:pPr>
        <w:pStyle w:val="enumlev1"/>
      </w:pPr>
      <w:r w:rsidRPr="00AC6ACB">
        <w:t>–</w:t>
      </w:r>
      <w:r w:rsidRPr="00AC6ACB">
        <w:tab/>
        <w:t>Baisse des traitements et indemnités (1,4 million CHF).</w:t>
      </w:r>
    </w:p>
    <w:p w14:paraId="3F01AED3" w14:textId="49E71429" w:rsidR="00ED2334" w:rsidRPr="00AC6ACB" w:rsidRDefault="00ED2334" w:rsidP="00ED2334">
      <w:pPr>
        <w:pStyle w:val="Figure"/>
        <w:keepNext w:val="0"/>
        <w:keepLines w:val="0"/>
      </w:pPr>
      <w:r w:rsidRPr="00AC6ACB">
        <w:rPr>
          <w:noProof/>
        </w:rPr>
        <w:drawing>
          <wp:inline distT="0" distB="0" distL="0" distR="0" wp14:anchorId="10E15D0B" wp14:editId="18B098EA">
            <wp:extent cx="4895850" cy="2889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95850" cy="2889250"/>
                    </a:xfrm>
                    <a:prstGeom prst="rect">
                      <a:avLst/>
                    </a:prstGeom>
                    <a:noFill/>
                    <a:ln>
                      <a:noFill/>
                    </a:ln>
                  </pic:spPr>
                </pic:pic>
              </a:graphicData>
            </a:graphic>
          </wp:inline>
        </w:drawing>
      </w:r>
    </w:p>
    <w:p w14:paraId="3E9CA74C" w14:textId="77777777" w:rsidR="00ED2334" w:rsidRPr="00AC6ACB" w:rsidRDefault="00ED2334" w:rsidP="00ED2334">
      <w:pPr>
        <w:pStyle w:val="Headingb"/>
        <w:spacing w:before="240"/>
        <w:rPr>
          <w:bCs/>
          <w:i/>
          <w:iCs/>
        </w:rPr>
      </w:pPr>
      <w:bookmarkStart w:id="184" w:name="_Toc200093271"/>
      <w:bookmarkStart w:id="185" w:name="_Toc200361483"/>
      <w:r w:rsidRPr="00AC6ACB">
        <w:rPr>
          <w:bCs/>
          <w:i/>
          <w:iCs/>
        </w:rPr>
        <w:lastRenderedPageBreak/>
        <w:t>Charges autres que les charges de personnel</w:t>
      </w:r>
      <w:bookmarkEnd w:id="184"/>
      <w:bookmarkEnd w:id="185"/>
    </w:p>
    <w:p w14:paraId="1ACAF5DD" w14:textId="77777777" w:rsidR="00ED2334" w:rsidRPr="00AC6ACB" w:rsidRDefault="00ED2334" w:rsidP="00ED2334">
      <w:pPr>
        <w:pStyle w:val="Headingi"/>
      </w:pPr>
      <w:bookmarkStart w:id="186" w:name="_Toc200093272"/>
      <w:bookmarkStart w:id="187" w:name="_Toc200361484"/>
      <w:r w:rsidRPr="00AC6ACB">
        <w:t>Frais de mission</w:t>
      </w:r>
      <w:bookmarkEnd w:id="186"/>
      <w:bookmarkEnd w:id="187"/>
    </w:p>
    <w:p w14:paraId="7746DE4C" w14:textId="77777777" w:rsidR="00ED2334" w:rsidRPr="00AC6ACB" w:rsidRDefault="00ED2334" w:rsidP="00ED2334">
      <w:r w:rsidRPr="00AC6ACB">
        <w:t>Les frais de mission se sont établis à 8,2 millions en 2024, soit une augmentation de 0,4 millions CHF par rapport aux frais pour 2023.</w:t>
      </w:r>
    </w:p>
    <w:p w14:paraId="74CB0098" w14:textId="77777777" w:rsidR="00ED2334" w:rsidRPr="00AC6ACB" w:rsidRDefault="00ED2334" w:rsidP="00ED2334">
      <w:pPr>
        <w:pStyle w:val="Headingi"/>
      </w:pPr>
      <w:bookmarkStart w:id="188" w:name="_Toc200093273"/>
      <w:bookmarkStart w:id="189" w:name="_Toc200361485"/>
      <w:r w:rsidRPr="00AC6ACB">
        <w:t>Services contractuels</w:t>
      </w:r>
      <w:bookmarkEnd w:id="188"/>
      <w:bookmarkEnd w:id="189"/>
    </w:p>
    <w:p w14:paraId="2AE2B225" w14:textId="77777777" w:rsidR="00ED2334" w:rsidRPr="00AC6ACB" w:rsidRDefault="00ED2334" w:rsidP="00ED2334">
      <w:r w:rsidRPr="00AC6ACB">
        <w:t>Entrent dans cette catégorie tous les émoluments, honoraires et frais payés à des sociétés fournissant des consultants dans le cadre d'accords et de dispositions contractuels. Entrent également dans cette catégorie les contrats d'engagement spéciaux, les dépenses afférentes aux cours de langues dans le cadre de la formation professionnelle, tout comme les coûts des services sous-traités.</w:t>
      </w:r>
    </w:p>
    <w:p w14:paraId="55D8F0B5" w14:textId="77777777" w:rsidR="00ED2334" w:rsidRPr="00AC6ACB" w:rsidRDefault="00ED2334" w:rsidP="00ED2334">
      <w:pPr>
        <w:pStyle w:val="Headingi"/>
      </w:pPr>
      <w:bookmarkStart w:id="190" w:name="_Toc200093274"/>
      <w:bookmarkStart w:id="191" w:name="_Toc200361486"/>
      <w:r w:rsidRPr="00AC6ACB">
        <w:t>Location et entretien des locaux et équipements</w:t>
      </w:r>
      <w:bookmarkEnd w:id="190"/>
      <w:bookmarkEnd w:id="191"/>
    </w:p>
    <w:p w14:paraId="7E974397" w14:textId="77777777" w:rsidR="00ED2334" w:rsidRPr="00AC6ACB" w:rsidRDefault="00ED2334" w:rsidP="00ED2334">
      <w:r w:rsidRPr="00AC6ACB">
        <w:t>Le montant des charges de location et entretien des locaux et équipements s'élevait à 4,0 millions en 2024 (contre 3,5 millions CHF en 2023). Cette légère hausse est due à la tenue de conférences au CICG, pour lesquelles le lieu et les équipements audiovisuels ont été loués.</w:t>
      </w:r>
    </w:p>
    <w:p w14:paraId="0C08F105" w14:textId="77777777" w:rsidR="00ED2334" w:rsidRPr="00AC6ACB" w:rsidRDefault="00ED2334" w:rsidP="00ED2334">
      <w:pPr>
        <w:pStyle w:val="Headingi"/>
      </w:pPr>
      <w:bookmarkStart w:id="192" w:name="_Toc200093275"/>
      <w:bookmarkStart w:id="193" w:name="_Toc200361487"/>
      <w:r w:rsidRPr="00AC6ACB">
        <w:t>Amortissements et pertes de valeurs</w:t>
      </w:r>
      <w:bookmarkEnd w:id="192"/>
      <w:bookmarkEnd w:id="193"/>
    </w:p>
    <w:p w14:paraId="4E12F55A" w14:textId="77777777" w:rsidR="00ED2334" w:rsidRPr="00AC6ACB" w:rsidRDefault="00ED2334" w:rsidP="00ED2334">
      <w:r w:rsidRPr="00AC6ACB">
        <w:t>Les amortissements et pertes de valeurs ont considérablement augmenté en raison de la dépréciation de 21 millions CHF comptabilisée sous la rubrique "Biens en construction" en lien avec le projet de nouveau bâtiment après le révision approuvée par le Conseil en 2024. Voir également la Note 12 ci-dessus.</w:t>
      </w:r>
    </w:p>
    <w:p w14:paraId="485B61CD" w14:textId="77777777" w:rsidR="00ED2334" w:rsidRPr="00AC6ACB" w:rsidRDefault="00ED2334" w:rsidP="00ED2334">
      <w:pPr>
        <w:pStyle w:val="Headingi"/>
      </w:pPr>
      <w:bookmarkStart w:id="194" w:name="_Toc200093276"/>
      <w:bookmarkStart w:id="195" w:name="_Toc200361488"/>
      <w:r w:rsidRPr="00AC6ACB">
        <w:t>Mouvements liés aux dépréciations/provisions</w:t>
      </w:r>
      <w:bookmarkEnd w:id="194"/>
      <w:bookmarkEnd w:id="195"/>
    </w:p>
    <w:p w14:paraId="74C3C2B9" w14:textId="77777777" w:rsidR="00ED2334" w:rsidRPr="00AC6ACB" w:rsidRDefault="00ED2334" w:rsidP="00ED2334">
      <w:r w:rsidRPr="00AC6ACB">
        <w:t>L'augmentation est due en grande partie à la hausse de la provision pour créances douteuses destinée à couvrir les risques liés au recouvrement des contributions non acquittées d'un État Membre qui fait actuellement l'objet de restrictions en matière de paiements internationaux, et à la provision comptabilisée pour la résiliation d'un accord de parrainage portant sur le nouveau bâtiment qui fait actuellement l'objet d'une évaluation alors que le conception du projet révisé est en cours.</w:t>
      </w:r>
    </w:p>
    <w:p w14:paraId="15121777" w14:textId="77777777" w:rsidR="00ED2334" w:rsidRPr="00AC6ACB" w:rsidRDefault="00ED2334" w:rsidP="00ED2334">
      <w:pPr>
        <w:pStyle w:val="Headingi"/>
      </w:pPr>
      <w:bookmarkStart w:id="196" w:name="_Toc200093277"/>
      <w:bookmarkStart w:id="197" w:name="_Toc200361489"/>
      <w:r w:rsidRPr="00AC6ACB">
        <w:t>Autres charges</w:t>
      </w:r>
      <w:bookmarkEnd w:id="196"/>
      <w:bookmarkEnd w:id="197"/>
    </w:p>
    <w:p w14:paraId="721AE534" w14:textId="77777777" w:rsidR="00ED2334" w:rsidRPr="00AC6ACB" w:rsidRDefault="00ED2334" w:rsidP="00ED2334">
      <w:r w:rsidRPr="00AC6ACB">
        <w:t>L'augmentation est principalement due à la hausse des prêts de personnel avec le PNUD et entre institutions.</w:t>
      </w:r>
    </w:p>
    <w:p w14:paraId="51993CF3" w14:textId="42A3A166" w:rsidR="00ED2334" w:rsidRPr="00AC6ACB" w:rsidRDefault="00ED2334" w:rsidP="006004FD">
      <w:pPr>
        <w:pStyle w:val="Figure"/>
        <w:keepNext w:val="0"/>
        <w:keepLines w:val="0"/>
        <w:widowControl w:val="0"/>
      </w:pPr>
      <w:r w:rsidRPr="00AC6ACB">
        <w:rPr>
          <w:noProof/>
        </w:rPr>
        <w:drawing>
          <wp:inline distT="0" distB="0" distL="0" distR="0" wp14:anchorId="30BB26BE" wp14:editId="01B43E0A">
            <wp:extent cx="4136255" cy="2155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a:extLst>
                        <a:ext uri="{28A0092B-C50C-407E-A947-70E740481C1C}">
                          <a14:useLocalDpi xmlns:a14="http://schemas.microsoft.com/office/drawing/2010/main" val="0"/>
                        </a:ext>
                      </a:extLst>
                    </a:blip>
                    <a:srcRect t="3344" b="1900"/>
                    <a:stretch/>
                  </pic:blipFill>
                  <pic:spPr bwMode="auto">
                    <a:xfrm>
                      <a:off x="0" y="0"/>
                      <a:ext cx="4183244" cy="2179857"/>
                    </a:xfrm>
                    <a:prstGeom prst="rect">
                      <a:avLst/>
                    </a:prstGeom>
                    <a:noFill/>
                    <a:ln>
                      <a:noFill/>
                    </a:ln>
                    <a:extLst>
                      <a:ext uri="{53640926-AAD7-44D8-BBD7-CCE9431645EC}">
                        <a14:shadowObscured xmlns:a14="http://schemas.microsoft.com/office/drawing/2010/main"/>
                      </a:ext>
                    </a:extLst>
                  </pic:spPr>
                </pic:pic>
              </a:graphicData>
            </a:graphic>
          </wp:inline>
        </w:drawing>
      </w:r>
    </w:p>
    <w:p w14:paraId="7EC419EE" w14:textId="77777777" w:rsidR="00ED2334" w:rsidRPr="00AC6ACB" w:rsidRDefault="00ED2334" w:rsidP="00ED2334">
      <w:pPr>
        <w:sectPr w:rsidR="00ED2334" w:rsidRPr="00AC6ACB" w:rsidSect="00AA2389">
          <w:headerReference w:type="even" r:id="rId67"/>
          <w:headerReference w:type="default" r:id="rId68"/>
          <w:footerReference w:type="even" r:id="rId69"/>
          <w:footerReference w:type="default" r:id="rId70"/>
          <w:headerReference w:type="first" r:id="rId71"/>
          <w:footerReference w:type="first" r:id="rId72"/>
          <w:pgSz w:w="11907" w:h="16840" w:code="9"/>
          <w:pgMar w:top="1418" w:right="1418" w:bottom="1418" w:left="1418" w:header="720" w:footer="720" w:gutter="0"/>
          <w:paperSrc w:first="286" w:other="286"/>
          <w:cols w:space="720"/>
          <w:titlePg/>
          <w:docGrid w:linePitch="326"/>
        </w:sectPr>
      </w:pPr>
    </w:p>
    <w:p w14:paraId="4423AFA1" w14:textId="4F886A81" w:rsidR="00ED2334" w:rsidRPr="00AC6ACB" w:rsidRDefault="00ED2334" w:rsidP="00ED2334">
      <w:pPr>
        <w:pStyle w:val="Heading1"/>
        <w:spacing w:before="240"/>
        <w:rPr>
          <w:bCs/>
          <w:sz w:val="24"/>
        </w:rPr>
      </w:pPr>
      <w:bookmarkStart w:id="198" w:name="_Toc200361490"/>
      <w:r w:rsidRPr="00AC6ACB">
        <w:rPr>
          <w:bCs/>
          <w:sz w:val="24"/>
        </w:rPr>
        <w:lastRenderedPageBreak/>
        <w:t>Note 20</w:t>
      </w:r>
      <w:r w:rsidRPr="00AC6ACB">
        <w:rPr>
          <w:bCs/>
          <w:sz w:val="24"/>
        </w:rPr>
        <w:tab/>
        <w:t>Informations sectorielles – État de la performance financière 2024</w:t>
      </w:r>
      <w:bookmarkEnd w:id="198"/>
    </w:p>
    <w:p w14:paraId="28158A2F" w14:textId="3B1FD38C" w:rsidR="00ED2334" w:rsidRPr="00AC6ACB" w:rsidRDefault="006004FD" w:rsidP="00ED2334">
      <w:pPr>
        <w:pStyle w:val="Figure"/>
      </w:pPr>
      <w:r w:rsidRPr="00AC6ACB">
        <w:rPr>
          <w:noProof/>
        </w:rPr>
        <w:drawing>
          <wp:inline distT="0" distB="0" distL="0" distR="0" wp14:anchorId="7D4E5E79" wp14:editId="29982034">
            <wp:extent cx="8892540" cy="447738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92540" cy="4477385"/>
                    </a:xfrm>
                    <a:prstGeom prst="rect">
                      <a:avLst/>
                    </a:prstGeom>
                    <a:noFill/>
                    <a:ln>
                      <a:noFill/>
                    </a:ln>
                  </pic:spPr>
                </pic:pic>
              </a:graphicData>
            </a:graphic>
          </wp:inline>
        </w:drawing>
      </w:r>
    </w:p>
    <w:p w14:paraId="5D62E69E" w14:textId="5E325EE0" w:rsidR="00ED2334" w:rsidRPr="00AC6ACB" w:rsidRDefault="00ED2334" w:rsidP="00ED2334">
      <w:pPr>
        <w:rPr>
          <w:i/>
          <w:iCs/>
        </w:rPr>
      </w:pPr>
      <w:r w:rsidRPr="00AC6ACB">
        <w:rPr>
          <w:i/>
          <w:iCs/>
        </w:rPr>
        <w:t>L'élimination intersectorielle comprend les dépenses d'appui facturées aux projets et transférées sur le budget ordinaire de l'UIT.</w:t>
      </w:r>
      <w:r w:rsidR="005C6E20" w:rsidRPr="00AC6ACB">
        <w:rPr>
          <w:i/>
          <w:iCs/>
        </w:rPr>
        <w:br/>
      </w:r>
      <w:r w:rsidR="004A07FB" w:rsidRPr="00AC6ACB">
        <w:rPr>
          <w:i/>
          <w:iCs/>
        </w:rPr>
        <w:t>En 2024, les montants correspondants au Fonds pour le nouveau bâtiment ont été comptabilisés dans la colonne Secrétariat général.</w:t>
      </w:r>
    </w:p>
    <w:p w14:paraId="703C8C1C" w14:textId="77777777" w:rsidR="005C6E20" w:rsidRPr="00AC6ACB" w:rsidRDefault="005C6E20" w:rsidP="005C6E20">
      <w:pPr>
        <w:pStyle w:val="Heading1"/>
        <w:spacing w:before="240"/>
      </w:pPr>
      <w:bookmarkStart w:id="199" w:name="_Toc200361491"/>
      <w:r w:rsidRPr="00AC6ACB">
        <w:lastRenderedPageBreak/>
        <w:t xml:space="preserve">Informations </w:t>
      </w:r>
      <w:r w:rsidRPr="00AC6ACB">
        <w:rPr>
          <w:bCs/>
          <w:sz w:val="24"/>
        </w:rPr>
        <w:t>sectorielles</w:t>
      </w:r>
      <w:r w:rsidRPr="00AC6ACB">
        <w:t xml:space="preserve"> – État de la performance financière 2023</w:t>
      </w:r>
      <w:bookmarkEnd w:id="199"/>
    </w:p>
    <w:p w14:paraId="6EAA47A7" w14:textId="2248C88C" w:rsidR="007F2BBE" w:rsidRPr="00AC6ACB" w:rsidRDefault="006004FD" w:rsidP="006004FD">
      <w:pPr>
        <w:pStyle w:val="Figure"/>
      </w:pPr>
      <w:r w:rsidRPr="00AC6ACB">
        <w:rPr>
          <w:noProof/>
        </w:rPr>
        <w:drawing>
          <wp:inline distT="0" distB="0" distL="0" distR="0" wp14:anchorId="3CD017BF" wp14:editId="3F303464">
            <wp:extent cx="8892540" cy="40093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92540" cy="4009390"/>
                    </a:xfrm>
                    <a:prstGeom prst="rect">
                      <a:avLst/>
                    </a:prstGeom>
                    <a:noFill/>
                    <a:ln>
                      <a:noFill/>
                    </a:ln>
                  </pic:spPr>
                </pic:pic>
              </a:graphicData>
            </a:graphic>
          </wp:inline>
        </w:drawing>
      </w:r>
    </w:p>
    <w:p w14:paraId="5D4274C1" w14:textId="77777777" w:rsidR="006004FD" w:rsidRPr="00AC6ACB" w:rsidRDefault="006004FD" w:rsidP="006004FD"/>
    <w:p w14:paraId="3636286C" w14:textId="74DEBA65" w:rsidR="005C6E20" w:rsidRPr="00AC6ACB" w:rsidRDefault="005C6E20" w:rsidP="00A156D1">
      <w:pPr>
        <w:sectPr w:rsidR="005C6E20" w:rsidRPr="00AC6ACB" w:rsidSect="0002019D">
          <w:footerReference w:type="default" r:id="rId75"/>
          <w:pgSz w:w="16840" w:h="11907" w:orient="landscape" w:code="9"/>
          <w:pgMar w:top="1418" w:right="1418" w:bottom="1418" w:left="1418" w:header="720" w:footer="720" w:gutter="0"/>
          <w:paperSrc w:first="286" w:other="286"/>
          <w:cols w:space="720"/>
          <w:docGrid w:linePitch="326"/>
        </w:sectPr>
      </w:pPr>
    </w:p>
    <w:p w14:paraId="56B975B9" w14:textId="490143F6" w:rsidR="00ED2334" w:rsidRPr="00AC6ACB" w:rsidRDefault="00ED2334" w:rsidP="00ED2334">
      <w:pPr>
        <w:pStyle w:val="Heading1"/>
        <w:spacing w:before="240"/>
        <w:rPr>
          <w:bCs/>
          <w:sz w:val="24"/>
        </w:rPr>
      </w:pPr>
      <w:bookmarkStart w:id="200" w:name="_Toc200361492"/>
      <w:r w:rsidRPr="00AC6ACB">
        <w:rPr>
          <w:bCs/>
          <w:sz w:val="24"/>
        </w:rPr>
        <w:lastRenderedPageBreak/>
        <w:t>Note 21</w:t>
      </w:r>
      <w:r w:rsidRPr="00AC6ACB">
        <w:rPr>
          <w:bCs/>
          <w:sz w:val="24"/>
        </w:rPr>
        <w:tab/>
        <w:t>Rapprochement entre les montants budgétés et les montants effectifs</w:t>
      </w:r>
      <w:bookmarkEnd w:id="200"/>
    </w:p>
    <w:p w14:paraId="23E626C8" w14:textId="77777777" w:rsidR="00ED2334" w:rsidRPr="00AC6ACB" w:rsidRDefault="00ED2334" w:rsidP="00ED2334">
      <w:r w:rsidRPr="00AC6ACB">
        <w:t>Les États financiers incluent:</w:t>
      </w:r>
    </w:p>
    <w:p w14:paraId="4F6A81B3" w14:textId="77777777" w:rsidR="00ED2334" w:rsidRPr="00AC6ACB" w:rsidRDefault="00ED2334" w:rsidP="00ED2334">
      <w:pPr>
        <w:pStyle w:val="enumlev1"/>
      </w:pPr>
      <w:r w:rsidRPr="00AC6ACB">
        <w:t>–</w:t>
      </w:r>
      <w:r w:rsidRPr="00AC6ACB">
        <w:tab/>
        <w:t>le budget ordinaire de l'UIT;</w:t>
      </w:r>
    </w:p>
    <w:p w14:paraId="43FE8EF6" w14:textId="77777777" w:rsidR="00ED2334" w:rsidRPr="00AC6ACB" w:rsidRDefault="00ED2334" w:rsidP="00ED2334">
      <w:pPr>
        <w:pStyle w:val="enumlev1"/>
      </w:pPr>
      <w:r w:rsidRPr="00AC6ACB">
        <w:t>–</w:t>
      </w:r>
      <w:r w:rsidRPr="00AC6ACB">
        <w:tab/>
        <w:t>les autres fonds;</w:t>
      </w:r>
    </w:p>
    <w:p w14:paraId="17BF5287" w14:textId="77777777" w:rsidR="00ED2334" w:rsidRPr="00AC6ACB" w:rsidRDefault="00ED2334" w:rsidP="00ED2334">
      <w:pPr>
        <w:pStyle w:val="enumlev1"/>
      </w:pPr>
      <w:r w:rsidRPr="00AC6ACB">
        <w:t>–</w:t>
      </w:r>
      <w:r w:rsidRPr="00AC6ACB">
        <w:tab/>
        <w:t>les fonds extrabudgétaires.</w:t>
      </w:r>
    </w:p>
    <w:p w14:paraId="21CDD2BF" w14:textId="77777777" w:rsidR="00ED2334" w:rsidRPr="00AC6ACB" w:rsidRDefault="00ED2334" w:rsidP="00ED2334">
      <w:pPr>
        <w:pStyle w:val="Headingb"/>
        <w:spacing w:before="240"/>
        <w:rPr>
          <w:bCs/>
          <w:i/>
          <w:iCs/>
        </w:rPr>
      </w:pPr>
      <w:bookmarkStart w:id="201" w:name="_Toc200093280"/>
      <w:bookmarkStart w:id="202" w:name="_Toc200361493"/>
      <w:r w:rsidRPr="00AC6ACB">
        <w:rPr>
          <w:bCs/>
          <w:i/>
          <w:iCs/>
        </w:rPr>
        <w:t>Rapprochement</w:t>
      </w:r>
      <w:bookmarkEnd w:id="201"/>
      <w:bookmarkEnd w:id="202"/>
    </w:p>
    <w:p w14:paraId="701AAAB9" w14:textId="77777777" w:rsidR="00ED2334" w:rsidRPr="00AC6ACB" w:rsidRDefault="00ED2334" w:rsidP="00ED2334">
      <w:r w:rsidRPr="00AC6ACB">
        <w:t>Le budget et les États financiers de l'Union sont établis sur des bases différentes. Le budget 2024</w:t>
      </w:r>
      <w:r w:rsidRPr="00AC6ACB">
        <w:noBreakHyphen/>
        <w:t>2025 est établi sur la base d'une comptabilité de caisse modifiée avec plusieurs éléments spécifiques qui ne sont pas traités selon une comptabilité d'engagement. De plus, le budget de l'Union traite uniquement de l'activité de l'Union excluant les activités financées par des fonds extrabudgétaires.</w:t>
      </w:r>
    </w:p>
    <w:p w14:paraId="4A146408" w14:textId="77777777" w:rsidR="00ED2334" w:rsidRPr="00AC6ACB" w:rsidRDefault="00ED2334" w:rsidP="00ED2334">
      <w:r w:rsidRPr="00AC6ACB">
        <w:t>Les États financiers de l'Union sont établis selon la méthode de la comptabilité d'exercice en utilisant une classification fondée sur la nature des charges figurant dans l'État de la performance financière (voir État II).</w:t>
      </w:r>
    </w:p>
    <w:p w14:paraId="0B4E653F" w14:textId="77777777" w:rsidR="00ED2334" w:rsidRPr="00AC6ACB" w:rsidRDefault="00ED2334" w:rsidP="00ED2334">
      <w:r w:rsidRPr="00AC6ACB">
        <w:t>Afin d'effectuer le rapprochement entre les États II et V, les transactions sont réparties en deux catégories de différences: différences de bases et différences relatives aux entités.</w:t>
      </w:r>
    </w:p>
    <w:p w14:paraId="598EC94C" w14:textId="77777777" w:rsidR="00ED2334" w:rsidRPr="00AC6ACB" w:rsidRDefault="00ED2334" w:rsidP="00ED2334">
      <w:r w:rsidRPr="00AC6ACB">
        <w:rPr>
          <w:b/>
          <w:bCs/>
        </w:rPr>
        <w:t>Différences de base</w:t>
      </w:r>
      <w:r w:rsidRPr="00AC6ACB">
        <w:t>: comprennent les charges qui ne sont pas inscrites dans le budget de l'UIT ou qui sont traitées différemment conformément aux exigences des normes IPSAS. Ces charges sont généralement la variation de la provision pour créances douteuses, la comptabilisation des stocks, la capitalisation des stocks, les amortissements, les gains et pertes de change, l'ASHI, le remboursement du prêt de la FIPOI et les excédents et/ou déficits concernant les placements.</w:t>
      </w:r>
    </w:p>
    <w:p w14:paraId="55CD5747" w14:textId="77777777" w:rsidR="00ED2334" w:rsidRPr="00AC6ACB" w:rsidRDefault="00ED2334" w:rsidP="00ED2334">
      <w:r w:rsidRPr="00AC6ACB">
        <w:rPr>
          <w:b/>
          <w:bCs/>
        </w:rPr>
        <w:t>Différences relatives aux entités</w:t>
      </w:r>
      <w:r w:rsidRPr="00AC6ACB">
        <w:t>: désignent normalement les produits et charges qui ne figurent pas au budget-programme de l'UIT approuvé, c'est-à-dire les fonds extrabudgétaires et les autres fonds ne figurant pas au budget de l'Union.</w:t>
      </w:r>
    </w:p>
    <w:p w14:paraId="419A237F" w14:textId="64785530" w:rsidR="00ED2334" w:rsidRPr="00AC6ACB" w:rsidRDefault="00ED2334" w:rsidP="00ED2334">
      <w:pPr>
        <w:pStyle w:val="Figure"/>
        <w:keepNext w:val="0"/>
        <w:keepLines w:val="0"/>
      </w:pPr>
      <w:r w:rsidRPr="00AC6ACB">
        <w:rPr>
          <w:noProof/>
        </w:rPr>
        <w:drawing>
          <wp:inline distT="0" distB="0" distL="0" distR="0" wp14:anchorId="642A86A5" wp14:editId="3985FE44">
            <wp:extent cx="4781550" cy="3175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1550" cy="3175000"/>
                    </a:xfrm>
                    <a:prstGeom prst="rect">
                      <a:avLst/>
                    </a:prstGeom>
                    <a:noFill/>
                    <a:ln>
                      <a:noFill/>
                    </a:ln>
                  </pic:spPr>
                </pic:pic>
              </a:graphicData>
            </a:graphic>
          </wp:inline>
        </w:drawing>
      </w:r>
    </w:p>
    <w:p w14:paraId="51509DC5" w14:textId="77777777" w:rsidR="00ED2334" w:rsidRPr="00AC6ACB" w:rsidRDefault="00ED2334" w:rsidP="00ED2334">
      <w:pPr>
        <w:pStyle w:val="Headingb"/>
      </w:pPr>
      <w:bookmarkStart w:id="203" w:name="_Toc200093281"/>
      <w:bookmarkStart w:id="204" w:name="_Toc200361494"/>
      <w:r w:rsidRPr="00AC6ACB">
        <w:lastRenderedPageBreak/>
        <w:t>Résumé de la comparaison des montants budgétés et des montants effectifs</w:t>
      </w:r>
      <w:bookmarkEnd w:id="203"/>
      <w:bookmarkEnd w:id="204"/>
    </w:p>
    <w:p w14:paraId="1CC17838" w14:textId="77777777" w:rsidR="00ED2334" w:rsidRPr="00AC6ACB" w:rsidRDefault="00ED2334" w:rsidP="00ED2334">
      <w:r w:rsidRPr="00AC6ACB">
        <w:t>Le budget pour 2024 a été approuvé par le Conseil à sa session de 2023 (Résolution 1417). S'établissant initialement à 164,9 millions CHF, il a été ramené à 164,7 millions CHF en raison du report de trois réunions préparatoires régionales en vue de la CMDT-25 de 2024 à 2025.</w:t>
      </w:r>
    </w:p>
    <w:p w14:paraId="452DB42A" w14:textId="77777777" w:rsidR="00ED2334" w:rsidRPr="00AC6ACB" w:rsidRDefault="00ED2334" w:rsidP="00ED2334">
      <w:r w:rsidRPr="00AC6ACB">
        <w:t>Les produits pour 2024 s'élèvent à 161,5 millions CHF, soit 3,4 millions CHF de moins que le niveau budgété, en raison principalement de la baisse des produits provenant du recouvrement des coûts pour le traitement des fiches de notification de réseaux à satellite, ce montant étant en partie compensée par des intérêts créditeurs plus élevés (2,6 millions CHF) que ceux budgétés.</w:t>
      </w:r>
    </w:p>
    <w:p w14:paraId="05659577" w14:textId="77777777" w:rsidR="00ED2334" w:rsidRPr="00AC6ACB" w:rsidRDefault="00ED2334" w:rsidP="00ED2334">
      <w:r w:rsidRPr="00AC6ACB">
        <w:t>Afin de veiller à ce que l'UIT reste dans les limites malgré cette diminution des produits, le Secrétariat a appliqué une gestion rigoureuse des dépenses, avec des examens mensuels, voire hebdomadaires, afin de garantir que le niveaux des charges reste inférieur à celui des produits en 2024.</w:t>
      </w:r>
    </w:p>
    <w:p w14:paraId="2523A06B" w14:textId="77777777" w:rsidR="00ED2334" w:rsidRPr="00AC6ACB" w:rsidRDefault="00ED2334" w:rsidP="00ED2334">
      <w:r w:rsidRPr="00AC6ACB">
        <w:t>Des informations plus détaillées sont données concernant les variations pour l'exécution du budget 2024 par Secteur:</w:t>
      </w:r>
    </w:p>
    <w:p w14:paraId="62CDE676" w14:textId="77777777" w:rsidR="00ED2334" w:rsidRPr="00AC6ACB" w:rsidRDefault="00ED2334" w:rsidP="00ED2334">
      <w:pPr>
        <w:pStyle w:val="Headingi"/>
      </w:pPr>
      <w:bookmarkStart w:id="205" w:name="_Toc200093282"/>
      <w:bookmarkStart w:id="206" w:name="_Toc200361495"/>
      <w:r w:rsidRPr="00AC6ACB">
        <w:t>Secrétariat général</w:t>
      </w:r>
      <w:bookmarkEnd w:id="205"/>
      <w:bookmarkEnd w:id="206"/>
    </w:p>
    <w:p w14:paraId="100F228C" w14:textId="77777777" w:rsidR="00ED2334" w:rsidRPr="00AC6ACB" w:rsidRDefault="00ED2334" w:rsidP="00ED2334">
      <w:pPr>
        <w:pStyle w:val="enumlev1"/>
      </w:pPr>
      <w:r w:rsidRPr="00AC6ACB">
        <w:t>–</w:t>
      </w:r>
      <w:r w:rsidRPr="00AC6ACB">
        <w:tab/>
        <w:t>Les charges totales du Secrétariat général pour 2024 s'élèvent à 85,6 millions CHF, soit 94,3% du budget de 90,8 millions CHF.</w:t>
      </w:r>
    </w:p>
    <w:p w14:paraId="2FAD1AFE" w14:textId="77777777" w:rsidR="00ED2334" w:rsidRPr="00AC6ACB" w:rsidRDefault="00ED2334" w:rsidP="00ED2334">
      <w:pPr>
        <w:pStyle w:val="enumlev1"/>
      </w:pPr>
      <w:r w:rsidRPr="00AC6ACB">
        <w:t>–</w:t>
      </w:r>
      <w:r w:rsidRPr="00AC6ACB">
        <w:tab/>
        <w:t>Les principales économies concernent la documentation.</w:t>
      </w:r>
    </w:p>
    <w:p w14:paraId="1EF15CB7" w14:textId="77777777" w:rsidR="00ED2334" w:rsidRPr="00AC6ACB" w:rsidRDefault="00ED2334" w:rsidP="00ED2334">
      <w:pPr>
        <w:pStyle w:val="enumlev1"/>
      </w:pPr>
      <w:r w:rsidRPr="00AC6ACB">
        <w:t>–</w:t>
      </w:r>
      <w:r w:rsidRPr="00AC6ACB">
        <w:tab/>
        <w:t>D'autres économies ont également été réalisées en ce qui concerne les charges communes et des emplois vacants pourvus moins rapidement en lien avec la mise en œuvre du programme de départ volontaire.</w:t>
      </w:r>
    </w:p>
    <w:p w14:paraId="2C7E952D" w14:textId="77777777" w:rsidR="00ED2334" w:rsidRPr="00AC6ACB" w:rsidRDefault="00ED2334" w:rsidP="00ED2334">
      <w:pPr>
        <w:pStyle w:val="Headingi"/>
      </w:pPr>
      <w:bookmarkStart w:id="207" w:name="_Toc200093283"/>
      <w:bookmarkStart w:id="208" w:name="_Toc200361496"/>
      <w:r w:rsidRPr="00AC6ACB">
        <w:t>Secteur des Radiocommunications (UIT-R)</w:t>
      </w:r>
      <w:bookmarkEnd w:id="207"/>
      <w:bookmarkEnd w:id="208"/>
    </w:p>
    <w:p w14:paraId="0F2D97C6" w14:textId="77777777" w:rsidR="00ED2334" w:rsidRPr="00AC6ACB" w:rsidRDefault="00ED2334" w:rsidP="00ED2334">
      <w:pPr>
        <w:pStyle w:val="enumlev1"/>
      </w:pPr>
      <w:r w:rsidRPr="00AC6ACB">
        <w:t>–</w:t>
      </w:r>
      <w:r w:rsidRPr="00AC6ACB">
        <w:tab/>
        <w:t xml:space="preserve">Les charges totales de l'UIT-R s'élèvent à 28,7 millions CHF pour 2024, soit 94,8% du budget de 30,2 millions CHF. </w:t>
      </w:r>
    </w:p>
    <w:p w14:paraId="632431C9" w14:textId="77777777" w:rsidR="00ED2334" w:rsidRPr="00AC6ACB" w:rsidRDefault="00ED2334" w:rsidP="00ED2334">
      <w:pPr>
        <w:pStyle w:val="enumlev1"/>
      </w:pPr>
      <w:r w:rsidRPr="00AC6ACB">
        <w:t>–</w:t>
      </w:r>
      <w:r w:rsidRPr="00AC6ACB">
        <w:tab/>
        <w:t>Les principales économies concernent les voyages, la traduction, les autres charges opérationnels et les charges de personnel en lien avec la mise en œuvre du programme de départ volontaire.</w:t>
      </w:r>
    </w:p>
    <w:p w14:paraId="7E96E852" w14:textId="77777777" w:rsidR="00ED2334" w:rsidRPr="00AC6ACB" w:rsidRDefault="00ED2334" w:rsidP="00ED2334">
      <w:pPr>
        <w:pStyle w:val="Headingi"/>
      </w:pPr>
      <w:bookmarkStart w:id="209" w:name="_Toc200093284"/>
      <w:bookmarkStart w:id="210" w:name="_Toc200361497"/>
      <w:r w:rsidRPr="00AC6ACB">
        <w:t>Secteur de la normalisation des télécommunications (UIT-T)</w:t>
      </w:r>
      <w:bookmarkEnd w:id="209"/>
      <w:bookmarkEnd w:id="210"/>
    </w:p>
    <w:p w14:paraId="7E5B9F1A" w14:textId="77777777" w:rsidR="00ED2334" w:rsidRPr="00AC6ACB" w:rsidRDefault="00ED2334" w:rsidP="00ED2334">
      <w:pPr>
        <w:pStyle w:val="enumlev1"/>
      </w:pPr>
      <w:r w:rsidRPr="00AC6ACB">
        <w:t>–</w:t>
      </w:r>
      <w:r w:rsidRPr="00AC6ACB">
        <w:tab/>
        <w:t>Les charges totales de l'UIT-T s'élèvent à 14,6 millions CHF en 2024, soit 99,4% du budget de 14,7 millions CHF.</w:t>
      </w:r>
    </w:p>
    <w:p w14:paraId="1BF39877" w14:textId="77777777" w:rsidR="00ED2334" w:rsidRPr="00AC6ACB" w:rsidRDefault="00ED2334" w:rsidP="00ED2334">
      <w:pPr>
        <w:pStyle w:val="enumlev1"/>
      </w:pPr>
      <w:r w:rsidRPr="00AC6ACB">
        <w:t>–</w:t>
      </w:r>
      <w:r w:rsidRPr="00AC6ACB">
        <w:tab/>
        <w:t>La plupart des économies réalisées concernent les charges d'interprétation pour l'AMNT.</w:t>
      </w:r>
    </w:p>
    <w:p w14:paraId="6B2CD5FC" w14:textId="77777777" w:rsidR="00ED2334" w:rsidRPr="00AC6ACB" w:rsidRDefault="00ED2334" w:rsidP="00ED2334">
      <w:pPr>
        <w:pStyle w:val="Headingi"/>
      </w:pPr>
      <w:bookmarkStart w:id="211" w:name="_Toc200093285"/>
      <w:bookmarkStart w:id="212" w:name="_Toc200361498"/>
      <w:r w:rsidRPr="00AC6ACB">
        <w:t>Secteur du développement des télécommunications (UIT-D)</w:t>
      </w:r>
      <w:bookmarkEnd w:id="211"/>
      <w:bookmarkEnd w:id="212"/>
    </w:p>
    <w:p w14:paraId="321A0CB3" w14:textId="77777777" w:rsidR="00ED2334" w:rsidRPr="00AC6ACB" w:rsidRDefault="00ED2334" w:rsidP="00ED2334">
      <w:pPr>
        <w:pStyle w:val="enumlev1"/>
      </w:pPr>
      <w:r w:rsidRPr="00AC6ACB">
        <w:t>–</w:t>
      </w:r>
      <w:r w:rsidRPr="00AC6ACB">
        <w:tab/>
        <w:t>Les charges totales de l'UIT-D s'élèvent à 26,9 millions CHF en 2024, soit 93% du budget approuvé de 29 millions CHF.</w:t>
      </w:r>
    </w:p>
    <w:p w14:paraId="2C65F516" w14:textId="77777777" w:rsidR="00ED2334" w:rsidRPr="00AC6ACB" w:rsidRDefault="00ED2334" w:rsidP="00ED2334">
      <w:pPr>
        <w:pStyle w:val="enumlev1"/>
      </w:pPr>
      <w:r w:rsidRPr="00AC6ACB">
        <w:t>–</w:t>
      </w:r>
      <w:r w:rsidRPr="00AC6ACB">
        <w:tab/>
        <w:t>Les principales économies concernent les voyages et les charges de personnel en lien avec la mise en œuvre du programme de départ volontaire.</w:t>
      </w:r>
    </w:p>
    <w:p w14:paraId="5E782076" w14:textId="77777777" w:rsidR="00ED2334" w:rsidRPr="00AC6ACB" w:rsidRDefault="00ED2334" w:rsidP="00ED2334">
      <w:r w:rsidRPr="00AC6ACB">
        <w:t>Un montant global de 155,8 millions CHF a été dépensé au titre de l'exécution du budget, soit 5,7 millions CHF de moins que le montant global des produits générés en 2024.</w:t>
      </w:r>
    </w:p>
    <w:p w14:paraId="4182360B" w14:textId="77777777" w:rsidR="00ED2334" w:rsidRPr="00AC6ACB" w:rsidRDefault="00ED2334" w:rsidP="00ED2334">
      <w:r w:rsidRPr="00AC6ACB">
        <w:lastRenderedPageBreak/>
        <w:t>L'UIT a dû faire preuve d'une grande prudence pour débloquer les fonds en raison de l'incertitude concernant les produits provenant du recouvrement des coûts qui seraient perçus pendant l'année. Cette manière de procéder a permis de garantir la continuité des activités tout en assurant une discipline financière.</w:t>
      </w:r>
    </w:p>
    <w:p w14:paraId="3B602268" w14:textId="77777777" w:rsidR="00ED2334" w:rsidRPr="00AC6ACB" w:rsidRDefault="00ED2334" w:rsidP="00ED2334">
      <w:r w:rsidRPr="00AC6ACB">
        <w:t>De plus, le niveau plus élevé que prévu des intérêts créditeurs et une fluctuation favorable des taux de change ont également joué un rôle dans l'excédent dégagé en 2024, lui aussi plus élevé que prévu.</w:t>
      </w:r>
    </w:p>
    <w:p w14:paraId="7214C486" w14:textId="351E5C5D" w:rsidR="00ED2334" w:rsidRPr="00AC6ACB" w:rsidRDefault="00ED2334" w:rsidP="00ED2334">
      <w:pPr>
        <w:pStyle w:val="Heading1"/>
        <w:spacing w:before="240"/>
        <w:rPr>
          <w:bCs/>
          <w:sz w:val="24"/>
        </w:rPr>
      </w:pPr>
      <w:bookmarkStart w:id="213" w:name="_Toc200361499"/>
      <w:r w:rsidRPr="00AC6ACB">
        <w:rPr>
          <w:bCs/>
          <w:sz w:val="24"/>
        </w:rPr>
        <w:t>Note 22</w:t>
      </w:r>
      <w:r w:rsidRPr="00AC6ACB">
        <w:rPr>
          <w:bCs/>
          <w:sz w:val="24"/>
        </w:rPr>
        <w:tab/>
        <w:t>Informations relatives aux parties liées</w:t>
      </w:r>
      <w:bookmarkEnd w:id="213"/>
    </w:p>
    <w:p w14:paraId="21C4333B" w14:textId="77777777" w:rsidR="00ED2334" w:rsidRPr="00AC6ACB" w:rsidRDefault="00ED2334" w:rsidP="00ED2334">
      <w:r w:rsidRPr="00AC6ACB">
        <w:t>Les parties liées à l'UIT sont les suivantes:</w:t>
      </w:r>
    </w:p>
    <w:p w14:paraId="7EEE1D4B" w14:textId="77777777" w:rsidR="00ED2334" w:rsidRPr="00AC6ACB" w:rsidRDefault="00ED2334" w:rsidP="00ED2334">
      <w:pPr>
        <w:pStyle w:val="enumlev1"/>
      </w:pPr>
      <w:r w:rsidRPr="00AC6ACB">
        <w:t>–</w:t>
      </w:r>
      <w:r w:rsidRPr="00AC6ACB">
        <w:tab/>
        <w:t>Le Conseil de l'UIT se compose de 48 États Membres, sans désignation de personnes spécifiques.</w:t>
      </w:r>
    </w:p>
    <w:p w14:paraId="0FE6D5AA" w14:textId="77777777" w:rsidR="00ED2334" w:rsidRPr="00AC6ACB" w:rsidRDefault="00ED2334" w:rsidP="00ED2334">
      <w:pPr>
        <w:pStyle w:val="enumlev1"/>
      </w:pPr>
      <w:r w:rsidRPr="00AC6ACB">
        <w:t>–</w:t>
      </w:r>
      <w:r w:rsidRPr="00AC6ACB">
        <w:tab/>
        <w:t>L'Union est gérée par le Secrétaire général, qui en assure la direction, aidé en cela par le Vice-Secrétaire général et par trois Directeurs des Secteurs suivants (cadres de haut niveau siégeant au Conseil exécutif): le Secteur des radiocommunications (UIT-R), le Secteur de la normalisation des télécommunications (UIT-T) et le Secteur du développement des télécommunications (UIT-D).</w:t>
      </w:r>
    </w:p>
    <w:p w14:paraId="259F8159" w14:textId="77777777" w:rsidR="00ED2334" w:rsidRPr="00AC6ACB" w:rsidRDefault="00ED2334" w:rsidP="00ED2334">
      <w:r w:rsidRPr="00AC6ACB">
        <w:t>La rémunération globale payée au personnel clé de direction comprend le traitement net, l'indemnité de poste, des indemnités comme l'indemnité pour frais de représentation, l'indemnité d'affectation, l'indemnité de rapatriement, les congés accumulés, l'allocation</w:t>
      </w:r>
      <w:r w:rsidRPr="00AC6ACB">
        <w:noBreakHyphen/>
        <w:t>logement, et l'expédition des effets personnels, qui s'ajoutent aux mêmes prestations que celles dont bénéficient les fonctionnaires de la catégorie professionnelle, telle que le congé dans les foyer, l'indemnité pour frais d'études, l'allocation-logement et les prestations après la cessation de service. Le tableau ci-après comprend les montants pour 2024.</w:t>
      </w:r>
    </w:p>
    <w:p w14:paraId="7331FBB6" w14:textId="6E3F13C3" w:rsidR="00ED2334" w:rsidRPr="00AC6ACB" w:rsidRDefault="00ED2334" w:rsidP="00ED2334">
      <w:pPr>
        <w:pStyle w:val="Figure"/>
      </w:pPr>
      <w:r w:rsidRPr="00AC6ACB">
        <w:rPr>
          <w:noProof/>
        </w:rPr>
        <w:drawing>
          <wp:inline distT="0" distB="0" distL="0" distR="0" wp14:anchorId="4E7C4B85" wp14:editId="1709CE61">
            <wp:extent cx="4311650" cy="1085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1650" cy="1085850"/>
                    </a:xfrm>
                    <a:prstGeom prst="rect">
                      <a:avLst/>
                    </a:prstGeom>
                    <a:noFill/>
                    <a:ln>
                      <a:noFill/>
                    </a:ln>
                  </pic:spPr>
                </pic:pic>
              </a:graphicData>
            </a:graphic>
          </wp:inline>
        </w:drawing>
      </w:r>
    </w:p>
    <w:p w14:paraId="5F9260CA" w14:textId="225B4000" w:rsidR="00ED2334" w:rsidRPr="00AC6ACB" w:rsidRDefault="00ED2334" w:rsidP="00ED2334">
      <w:pPr>
        <w:pStyle w:val="Heading1"/>
        <w:spacing w:before="240"/>
        <w:rPr>
          <w:bCs/>
          <w:sz w:val="24"/>
        </w:rPr>
      </w:pPr>
      <w:bookmarkStart w:id="214" w:name="_Toc200361500"/>
      <w:r w:rsidRPr="00AC6ACB">
        <w:rPr>
          <w:bCs/>
          <w:sz w:val="24"/>
        </w:rPr>
        <w:t>Note 23</w:t>
      </w:r>
      <w:r w:rsidRPr="00AC6ACB">
        <w:rPr>
          <w:bCs/>
          <w:sz w:val="24"/>
        </w:rPr>
        <w:tab/>
        <w:t>Engagements futurs</w:t>
      </w:r>
      <w:bookmarkEnd w:id="214"/>
    </w:p>
    <w:p w14:paraId="0D97FFF9" w14:textId="77777777" w:rsidR="00ED2334" w:rsidRPr="00AC6ACB" w:rsidRDefault="00ED2334" w:rsidP="00ED2334">
      <w:r w:rsidRPr="00AC6ACB">
        <w:t>L'UIT a signé avec l'UNSMIS un contrat entré en vigueur le 1er janvier 2020, en vertu duquel elle est tenue de verser une contribution annuelle additionnelle jusqu'en 2032. Au 31 décembre 2024, le montant total restant à verser pour cette contribution additionnelle s'élevait à 12,8 millions CHF (14,2 millions CHF) (contre 13,3 millions CHF (15,9 millions USD) au 31 décembre 2023).</w:t>
      </w:r>
    </w:p>
    <w:p w14:paraId="1B43BE17" w14:textId="68BD79A9" w:rsidR="00ED2334" w:rsidRPr="00AC6ACB" w:rsidRDefault="00ED2334" w:rsidP="00ED2334">
      <w:pPr>
        <w:pStyle w:val="Heading1"/>
        <w:spacing w:before="240"/>
        <w:rPr>
          <w:bCs/>
          <w:sz w:val="24"/>
        </w:rPr>
      </w:pPr>
      <w:bookmarkStart w:id="215" w:name="_Toc200361501"/>
      <w:r w:rsidRPr="00AC6ACB">
        <w:rPr>
          <w:bCs/>
          <w:sz w:val="24"/>
        </w:rPr>
        <w:t>Note 24</w:t>
      </w:r>
      <w:r w:rsidRPr="00AC6ACB">
        <w:rPr>
          <w:bCs/>
          <w:sz w:val="24"/>
        </w:rPr>
        <w:tab/>
        <w:t>Événements postérieurs à la date du bilan</w:t>
      </w:r>
      <w:bookmarkEnd w:id="215"/>
    </w:p>
    <w:p w14:paraId="10E0288A" w14:textId="77777777" w:rsidR="00ED2334" w:rsidRPr="00AC6ACB" w:rsidRDefault="00ED2334" w:rsidP="00ED2334">
      <w:r w:rsidRPr="00AC6ACB">
        <w:t>Pour l'UIT, la date de clôture est le 31 décembre 2024 et la publication des présents États financiers a été autorisée à la même date que l'opinion du Vérificateur extérieur.</w:t>
      </w:r>
    </w:p>
    <w:p w14:paraId="027FE1BF" w14:textId="77777777" w:rsidR="00ED2334" w:rsidRPr="00AC6ACB" w:rsidRDefault="00ED2334" w:rsidP="00ED2334">
      <w:pPr>
        <w:keepLines/>
      </w:pPr>
      <w:r w:rsidRPr="00AC6ACB">
        <w:lastRenderedPageBreak/>
        <w:t>En tant qu'organisation intergouvernementale qui travaille avec des gouvernements, des entités du secteur privé et des établissements universitaires afin de coordonner la normalisation des télécommunications, la gestion du spectre et le développement de l'infrastructure à l'échelle internationale, l'UIT n'a jamais eu un rôle aussi important. La direction a parfaitement conscience des incertitudes qui pourraient se faire jour en raison de la situation géopolitique actuelle ainsi que des changements de priorités des donateurs.</w:t>
      </w:r>
    </w:p>
    <w:p w14:paraId="7F0404EB" w14:textId="77777777" w:rsidR="00ED2334" w:rsidRPr="00AC6ACB" w:rsidRDefault="00ED2334" w:rsidP="00ED2334">
      <w:r w:rsidRPr="00AC6ACB">
        <w:t>Si les contributions des donateurs ne représentent qu'une part limitée des produits de l'Organisation, les possibles réductions futures ne peuvent être évaluées de manière fiable au moment où les présents États financiers sont établis.</w:t>
      </w:r>
    </w:p>
    <w:p w14:paraId="583DB5D7" w14:textId="77777777" w:rsidR="00ED2334" w:rsidRPr="00AC6ACB" w:rsidRDefault="00ED2334" w:rsidP="00ED2334">
      <w:r w:rsidRPr="00AC6ACB">
        <w:t>Pour l'année 2024, les contributions mises en recouvrement reçues provenant d'un bailleur qui a annoncé revoir actuellement ses priorités de financement international s'élevaient à 11% du total des produits de l'UIT provenant des contributions mises en recouvrement pour l'année.</w:t>
      </w:r>
    </w:p>
    <w:p w14:paraId="5275DD6F" w14:textId="77777777" w:rsidR="00ED2334" w:rsidRPr="00AC6ACB" w:rsidRDefault="00ED2334" w:rsidP="00ED2334">
      <w:r w:rsidRPr="00AC6ACB">
        <w:t>Actuellement, l'UIT évalue et gère de manière proactive ses activités et engagements financiers prévu afin d'assurer la plus grande efficacité et de minimiser les risques. À la date de publication des présents États financiers, aucune décision susceptible de créer des contrats onéreux n'a été prise et aucun passif éventuel pouvant être mesuré de manière fiable résultants de mesures d'atténuation déjà prises n'a été identifié. Conformément à la norme IPSAS 23 et aux pratiques appliquées à l'UIT, il a été considéré que les accords extrabudgétaires concernés par une quelconque incertitude étaient soumis à des conditions et, par conséquent, les produits correspondants, liés à des activités qui n'ont pas encore été mises en œuvre et pour lesquelles les fonds n'avaient pas encore été reçues, ont déjà été reportées (0,9 million CHF) au 31 décembre 2024. En outre, l'UIT continue, comme elle le fait habituellement, de ne commencer la mise en œuvre qu'une fois les fonds du bailleur reçus, ce qui réduit les risques de non-collecte. Toutes les activités sous-jacentes liées à la poursuite de tels projets ne seraient pas entreprises jusqu'à nouvel ordre. L'UIT s'emploie à trouver des sources de financement supplémentaires pour poursuivre la mise en œuvre des projets.</w:t>
      </w:r>
    </w:p>
    <w:p w14:paraId="0EBCCD7C" w14:textId="77777777" w:rsidR="00ED2334" w:rsidRPr="00AC6ACB" w:rsidRDefault="00ED2334" w:rsidP="00ED2334">
      <w:r w:rsidRPr="00AC6ACB">
        <w:t>Ces mesures ont permis à l'UIT d'être à l'équilibre fin 2024, ce qui limite les incidences potentielles de l'incertitude à des engagements et opérations qui n'ont pas encore débuté.</w:t>
      </w:r>
    </w:p>
    <w:p w14:paraId="7C23BF92" w14:textId="77777777" w:rsidR="00ED2334" w:rsidRPr="00AC6ACB" w:rsidRDefault="00ED2334" w:rsidP="00ED2334">
      <w:r w:rsidRPr="00AC6ACB">
        <w:br w:type="page"/>
      </w:r>
    </w:p>
    <w:p w14:paraId="027946B8" w14:textId="77777777" w:rsidR="00ED2334" w:rsidRPr="00AC6ACB" w:rsidRDefault="00ED2334" w:rsidP="00ED2334">
      <w:pPr>
        <w:pStyle w:val="AnnexNo"/>
      </w:pPr>
      <w:bookmarkStart w:id="216" w:name="AnnexeA"/>
      <w:bookmarkStart w:id="217" w:name="_Toc200361502"/>
      <w:r w:rsidRPr="00AC6ACB">
        <w:lastRenderedPageBreak/>
        <w:t>ANNEXE A</w:t>
      </w:r>
      <w:bookmarkEnd w:id="216"/>
      <w:bookmarkEnd w:id="217"/>
    </w:p>
    <w:p w14:paraId="019AABEF" w14:textId="77777777" w:rsidR="00ED2334" w:rsidRPr="00AC6ACB" w:rsidRDefault="00ED2334" w:rsidP="00ED2334">
      <w:pPr>
        <w:pStyle w:val="ResNo"/>
      </w:pPr>
      <w:r w:rsidRPr="00AC6ACB">
        <w:t>PROJET DE RÉSOLUTION […]</w:t>
      </w:r>
    </w:p>
    <w:p w14:paraId="25C28DF3" w14:textId="77777777" w:rsidR="00ED2334" w:rsidRPr="00AC6ACB" w:rsidRDefault="00ED2334" w:rsidP="00ED2334">
      <w:pPr>
        <w:pStyle w:val="Restitle"/>
      </w:pPr>
      <w:r w:rsidRPr="00AC6ACB">
        <w:t>Rapport de gestion financière et États financiers</w:t>
      </w:r>
      <w:r w:rsidRPr="00AC6ACB">
        <w:br/>
        <w:t>vérifiés pour l'exercice 2024</w:t>
      </w:r>
    </w:p>
    <w:p w14:paraId="33CC6E80" w14:textId="77777777" w:rsidR="00ED2334" w:rsidRPr="00AC6ACB" w:rsidRDefault="00ED2334" w:rsidP="00ED2334">
      <w:pPr>
        <w:pStyle w:val="Normalaftertitle"/>
      </w:pPr>
      <w:r w:rsidRPr="00AC6ACB">
        <w:t>Le Conseil de l'UIT,</w:t>
      </w:r>
    </w:p>
    <w:p w14:paraId="44B7F948" w14:textId="77777777" w:rsidR="00ED2334" w:rsidRPr="00AC6ACB" w:rsidRDefault="00ED2334" w:rsidP="00ED2334">
      <w:pPr>
        <w:pStyle w:val="Call"/>
      </w:pPr>
      <w:r w:rsidRPr="00AC6ACB">
        <w:t>vu</w:t>
      </w:r>
    </w:p>
    <w:p w14:paraId="60E31A01" w14:textId="77777777" w:rsidR="00ED2334" w:rsidRPr="00AC6ACB" w:rsidRDefault="00ED2334" w:rsidP="00ED2334">
      <w:r w:rsidRPr="00AC6ACB">
        <w:t xml:space="preserve">le </w:t>
      </w:r>
      <w:hyperlink r:id="rId78" w:history="1">
        <w:r w:rsidRPr="00AC6ACB">
          <w:rPr>
            <w:rStyle w:val="Hyperlink"/>
          </w:rPr>
          <w:t>numéro 101</w:t>
        </w:r>
      </w:hyperlink>
      <w:r w:rsidRPr="00AC6ACB">
        <w:t xml:space="preserve"> de la Convention de l'Union internationale des télécommunications et l'</w:t>
      </w:r>
      <w:hyperlink r:id="rId79" w:history="1">
        <w:r w:rsidRPr="00AC6ACB">
          <w:rPr>
            <w:rStyle w:val="Hyperlink"/>
          </w:rPr>
          <w:t>Article 30</w:t>
        </w:r>
      </w:hyperlink>
      <w:r w:rsidRPr="00AC6ACB">
        <w:t xml:space="preserve"> du Règlement financier de l'Union,</w:t>
      </w:r>
    </w:p>
    <w:p w14:paraId="03698E9B" w14:textId="77777777" w:rsidR="00ED2334" w:rsidRPr="00AC6ACB" w:rsidRDefault="00ED2334" w:rsidP="00ED2334">
      <w:pPr>
        <w:pStyle w:val="Call"/>
      </w:pPr>
      <w:r w:rsidRPr="00AC6ACB">
        <w:t>ayant examiné</w:t>
      </w:r>
    </w:p>
    <w:p w14:paraId="0390758D" w14:textId="77777777" w:rsidR="00ED2334" w:rsidRPr="00AC6ACB" w:rsidRDefault="00ED2334" w:rsidP="00ED2334">
      <w:r w:rsidRPr="00AC6ACB">
        <w:t>le Rapport de gestion financière vérifié pour l'exercice financier 2024 portant sur les comptes de l'exercice financier 2024 du budget de l'Union et les comptes vérifiés 2024,</w:t>
      </w:r>
    </w:p>
    <w:p w14:paraId="57FA6043" w14:textId="77777777" w:rsidR="00ED2334" w:rsidRPr="00AC6ACB" w:rsidRDefault="00ED2334" w:rsidP="00ED2334">
      <w:pPr>
        <w:pStyle w:val="Call"/>
      </w:pPr>
      <w:r w:rsidRPr="00AC6ACB">
        <w:t>et ayant noté</w:t>
      </w:r>
    </w:p>
    <w:p w14:paraId="3B4BD377" w14:textId="77777777" w:rsidR="00ED2334" w:rsidRPr="00AC6ACB" w:rsidRDefault="00ED2334" w:rsidP="00ED2334">
      <w:r w:rsidRPr="00AC6ACB">
        <w:t xml:space="preserve">que le Rapport du Vérificateur extérieur des comptes de l'Union est présenté dans le </w:t>
      </w:r>
      <w:hyperlink r:id="rId80" w:history="1">
        <w:r w:rsidRPr="00AC6ACB">
          <w:rPr>
            <w:rStyle w:val="Hyperlink"/>
          </w:rPr>
          <w:t>Document C25/41</w:t>
        </w:r>
      </w:hyperlink>
      <w:r w:rsidRPr="00AC6ACB">
        <w:t>,</w:t>
      </w:r>
    </w:p>
    <w:p w14:paraId="66FC5000" w14:textId="77777777" w:rsidR="00ED2334" w:rsidRPr="00AC6ACB" w:rsidRDefault="00ED2334" w:rsidP="00ED2334">
      <w:pPr>
        <w:pStyle w:val="Call"/>
      </w:pPr>
      <w:r w:rsidRPr="00AC6ACB">
        <w:t>décide</w:t>
      </w:r>
    </w:p>
    <w:p w14:paraId="7895ECAF" w14:textId="77777777" w:rsidR="00ED2334" w:rsidRPr="00AC6ACB" w:rsidRDefault="00ED2334" w:rsidP="00ED2334">
      <w:r w:rsidRPr="00AC6ACB">
        <w:t>d'approuver le Rapport de gestion financière pour l'exercice financier 2024 (</w:t>
      </w:r>
      <w:hyperlink r:id="rId81" w:history="1">
        <w:r w:rsidRPr="00AC6ACB">
          <w:rPr>
            <w:rStyle w:val="Hyperlink"/>
          </w:rPr>
          <w:t>Document C25/40</w:t>
        </w:r>
      </w:hyperlink>
      <w:r w:rsidRPr="00AC6ACB">
        <w:t>) portant sur les comptes 2024 de l'Union.</w:t>
      </w:r>
    </w:p>
    <w:p w14:paraId="7F54F09E" w14:textId="2F5E9A22" w:rsidR="00897553" w:rsidRPr="00AC6ACB" w:rsidRDefault="00ED2334" w:rsidP="00EE456C">
      <w:pPr>
        <w:jc w:val="center"/>
      </w:pPr>
      <w:r w:rsidRPr="00AC6ACB">
        <w:t>______________</w:t>
      </w:r>
    </w:p>
    <w:sectPr w:rsidR="00897553" w:rsidRPr="00AC6ACB" w:rsidSect="00D72F49">
      <w:headerReference w:type="even" r:id="rId82"/>
      <w:headerReference w:type="default" r:id="rId83"/>
      <w:footerReference w:type="even" r:id="rId84"/>
      <w:footerReference w:type="default" r:id="rId85"/>
      <w:headerReference w:type="first" r:id="rId86"/>
      <w:footerReference w:type="first" r:id="rId87"/>
      <w:pgSz w:w="11907" w:h="16840" w:code="9"/>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C8168" w14:textId="77777777" w:rsidR="00FF4C09" w:rsidRDefault="00FF4C09">
      <w:r>
        <w:separator/>
      </w:r>
    </w:p>
  </w:endnote>
  <w:endnote w:type="continuationSeparator" w:id="0">
    <w:p w14:paraId="2F8C4EF1" w14:textId="77777777" w:rsidR="00FF4C09" w:rsidRDefault="00FF4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F437E" w14:textId="5F20FC78" w:rsidR="00ED2334" w:rsidRDefault="00B41A75">
    <w:pPr>
      <w:pStyle w:val="Footer"/>
    </w:pPr>
    <w:fldSimple w:instr=" FILENAME \p \* MERGEFORMAT ">
      <w:r w:rsidR="00ED2334">
        <w:t>P:\FRA\gDoc\SG\C25\2501294F3.docx</w:t>
      </w:r>
    </w:fldSimple>
    <w:r w:rsidR="00ED2334">
      <w:tab/>
    </w:r>
    <w:r w:rsidR="00ED2334">
      <w:fldChar w:fldCharType="begin"/>
    </w:r>
    <w:r w:rsidR="00ED2334">
      <w:instrText xml:space="preserve"> savedate \@ dd.MM.yy </w:instrText>
    </w:r>
    <w:r w:rsidR="00ED2334">
      <w:fldChar w:fldCharType="separate"/>
    </w:r>
    <w:r w:rsidR="00A156D1">
      <w:t>09.06.25</w:t>
    </w:r>
    <w:r w:rsidR="00ED2334">
      <w:fldChar w:fldCharType="end"/>
    </w:r>
    <w:r w:rsidR="00ED2334">
      <w:tab/>
    </w:r>
    <w:r w:rsidR="00ED2334">
      <w:fldChar w:fldCharType="begin"/>
    </w:r>
    <w:r w:rsidR="00ED2334">
      <w:instrText xml:space="preserve"> printdate \@ dd.MM.yy </w:instrText>
    </w:r>
    <w:r w:rsidR="00ED2334">
      <w:fldChar w:fldCharType="separate"/>
    </w:r>
    <w:r w:rsidR="00ED2334">
      <w:t>18.07.00</w:t>
    </w:r>
    <w:r w:rsidR="00ED233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D2334" w:rsidRPr="00784011" w14:paraId="314684B9" w14:textId="77777777" w:rsidTr="00E31DCE">
      <w:trPr>
        <w:jc w:val="center"/>
      </w:trPr>
      <w:tc>
        <w:tcPr>
          <w:tcW w:w="1803" w:type="dxa"/>
          <w:vAlign w:val="center"/>
        </w:tcPr>
        <w:p w14:paraId="00396020" w14:textId="6897FCC3" w:rsidR="00ED2334" w:rsidRDefault="00A238CE" w:rsidP="00A51849">
          <w:pPr>
            <w:pStyle w:val="Header"/>
            <w:jc w:val="left"/>
            <w:rPr>
              <w:noProof/>
            </w:rPr>
          </w:pPr>
          <w:r>
            <w:rPr>
              <w:noProof/>
            </w:rPr>
            <w:t>2501294</w:t>
          </w:r>
        </w:p>
      </w:tc>
      <w:tc>
        <w:tcPr>
          <w:tcW w:w="8261" w:type="dxa"/>
        </w:tcPr>
        <w:p w14:paraId="342958F5" w14:textId="77777777" w:rsidR="00ED2334" w:rsidRPr="00E06FD5" w:rsidRDefault="00ED2334" w:rsidP="00C049D7">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Pr>
              <w:bCs/>
            </w:rPr>
            <w:t>40</w:t>
          </w:r>
          <w:r w:rsidRPr="00623AE3">
            <w:rPr>
              <w:bCs/>
            </w:rPr>
            <w:t>-</w:t>
          </w:r>
          <w:r>
            <w:rPr>
              <w:bCs/>
            </w:rPr>
            <w:t>F</w:t>
          </w:r>
          <w:r>
            <w:rPr>
              <w:bCs/>
            </w:rPr>
            <w:tab/>
          </w:r>
          <w:r>
            <w:fldChar w:fldCharType="begin"/>
          </w:r>
          <w:r>
            <w:instrText>PAGE</w:instrText>
          </w:r>
          <w:r>
            <w:fldChar w:fldCharType="separate"/>
          </w:r>
          <w:r>
            <w:t>1</w:t>
          </w:r>
          <w:r>
            <w:fldChar w:fldCharType="end"/>
          </w:r>
        </w:p>
      </w:tc>
    </w:tr>
  </w:tbl>
  <w:p w14:paraId="795E8DA3" w14:textId="77777777" w:rsidR="00ED2334" w:rsidRPr="00A51849" w:rsidRDefault="00ED2334" w:rsidP="00FC6D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D2334" w:rsidRPr="00784011" w14:paraId="6A2D3FBF" w14:textId="77777777" w:rsidTr="00E31DCE">
      <w:trPr>
        <w:jc w:val="center"/>
      </w:trPr>
      <w:tc>
        <w:tcPr>
          <w:tcW w:w="1803" w:type="dxa"/>
          <w:vAlign w:val="center"/>
        </w:tcPr>
        <w:p w14:paraId="50E8D7D3" w14:textId="77777777" w:rsidR="00ED2334" w:rsidRPr="00FC6D7D" w:rsidRDefault="00ED2334" w:rsidP="00A51849">
          <w:pPr>
            <w:pStyle w:val="Header"/>
            <w:jc w:val="left"/>
            <w:rPr>
              <w:noProof/>
              <w:color w:val="0563C1"/>
            </w:rPr>
          </w:pPr>
          <w:hyperlink r:id="rId1" w:history="1">
            <w:r w:rsidRPr="00FC6D7D">
              <w:rPr>
                <w:rStyle w:val="Hyperlink"/>
              </w:rPr>
              <w:t>council.itu.int/2025</w:t>
            </w:r>
          </w:hyperlink>
        </w:p>
      </w:tc>
      <w:tc>
        <w:tcPr>
          <w:tcW w:w="8261" w:type="dxa"/>
        </w:tcPr>
        <w:p w14:paraId="0FAC906C" w14:textId="031EE65E" w:rsidR="00ED2334" w:rsidRPr="00E06FD5" w:rsidRDefault="00ED2334" w:rsidP="00C049D7">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sidR="00124A89">
            <w:rPr>
              <w:bCs/>
            </w:rPr>
            <w:t>40</w:t>
          </w:r>
          <w:r w:rsidRPr="00623AE3">
            <w:rPr>
              <w:bCs/>
            </w:rPr>
            <w:t>-</w:t>
          </w:r>
          <w:r>
            <w:rPr>
              <w:bCs/>
            </w:rPr>
            <w:t>F</w:t>
          </w:r>
          <w:r>
            <w:rPr>
              <w:bCs/>
            </w:rPr>
            <w:tab/>
          </w:r>
          <w:r>
            <w:fldChar w:fldCharType="begin"/>
          </w:r>
          <w:r>
            <w:instrText>PAGE</w:instrText>
          </w:r>
          <w:r>
            <w:fldChar w:fldCharType="separate"/>
          </w:r>
          <w:r>
            <w:t>1</w:t>
          </w:r>
          <w:r>
            <w:fldChar w:fldCharType="end"/>
          </w:r>
        </w:p>
      </w:tc>
    </w:tr>
  </w:tbl>
  <w:p w14:paraId="64F36B49" w14:textId="77777777" w:rsidR="00ED2334" w:rsidRPr="00A51849" w:rsidRDefault="00ED2334" w:rsidP="00FC6D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3892"/>
    </w:tblGrid>
    <w:tr w:rsidR="00ED2334" w:rsidRPr="00784011" w14:paraId="3DA70938" w14:textId="77777777" w:rsidTr="0002019D">
      <w:trPr>
        <w:jc w:val="center"/>
      </w:trPr>
      <w:tc>
        <w:tcPr>
          <w:tcW w:w="1701" w:type="dxa"/>
          <w:vAlign w:val="center"/>
        </w:tcPr>
        <w:p w14:paraId="4A8DEC70" w14:textId="77777777" w:rsidR="00ED2334" w:rsidRDefault="00ED2334" w:rsidP="00A51849">
          <w:pPr>
            <w:pStyle w:val="Header"/>
            <w:jc w:val="left"/>
            <w:rPr>
              <w:noProof/>
            </w:rPr>
          </w:pPr>
          <w:r>
            <w:rPr>
              <w:noProof/>
            </w:rPr>
            <w:t>2501294</w:t>
          </w:r>
        </w:p>
      </w:tc>
      <w:tc>
        <w:tcPr>
          <w:tcW w:w="13892" w:type="dxa"/>
        </w:tcPr>
        <w:p w14:paraId="41B4517D" w14:textId="77777777" w:rsidR="00ED2334" w:rsidRPr="00E06FD5" w:rsidRDefault="00ED2334" w:rsidP="0002019D">
          <w:pPr>
            <w:pStyle w:val="Header"/>
            <w:tabs>
              <w:tab w:val="left" w:pos="11378"/>
              <w:tab w:val="right" w:pos="12937"/>
            </w:tabs>
            <w:jc w:val="left"/>
            <w:rPr>
              <w:rFonts w:ascii="Arial" w:hAnsi="Arial" w:cs="Arial"/>
              <w:b/>
              <w:bCs/>
              <w:szCs w:val="18"/>
            </w:rPr>
          </w:pPr>
          <w:r>
            <w:rPr>
              <w:bCs/>
            </w:rPr>
            <w:tab/>
          </w:r>
          <w:r w:rsidRPr="00623AE3">
            <w:rPr>
              <w:bCs/>
            </w:rPr>
            <w:t>C</w:t>
          </w:r>
          <w:r>
            <w:rPr>
              <w:bCs/>
            </w:rPr>
            <w:t>25</w:t>
          </w:r>
          <w:r w:rsidRPr="00623AE3">
            <w:rPr>
              <w:bCs/>
            </w:rPr>
            <w:t>/</w:t>
          </w:r>
          <w:r>
            <w:rPr>
              <w:bCs/>
            </w:rPr>
            <w:t>40</w:t>
          </w:r>
          <w:r w:rsidRPr="00623AE3">
            <w:rPr>
              <w:bCs/>
            </w:rPr>
            <w:t>-</w:t>
          </w:r>
          <w:r>
            <w:rPr>
              <w:bCs/>
            </w:rPr>
            <w:t>F</w:t>
          </w:r>
          <w:r>
            <w:rPr>
              <w:bCs/>
            </w:rPr>
            <w:tab/>
          </w:r>
          <w:r>
            <w:fldChar w:fldCharType="begin"/>
          </w:r>
          <w:r>
            <w:instrText>PAGE</w:instrText>
          </w:r>
          <w:r>
            <w:fldChar w:fldCharType="separate"/>
          </w:r>
          <w:r>
            <w:t>1</w:t>
          </w:r>
          <w:r>
            <w:fldChar w:fldCharType="end"/>
          </w:r>
        </w:p>
      </w:tc>
    </w:tr>
  </w:tbl>
  <w:p w14:paraId="4C1976E5" w14:textId="77777777" w:rsidR="00ED2334" w:rsidRPr="00A51849" w:rsidRDefault="00ED2334" w:rsidP="00FC6D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09F0" w14:textId="70380F77" w:rsidR="00732045" w:rsidRPr="00A156D1" w:rsidRDefault="00243137">
    <w:pPr>
      <w:pStyle w:val="Footer"/>
      <w:rPr>
        <w:lang w:val="en-GB"/>
      </w:rPr>
    </w:pPr>
    <w:r>
      <w:fldChar w:fldCharType="begin"/>
    </w:r>
    <w:r w:rsidRPr="00A156D1">
      <w:rPr>
        <w:lang w:val="en-GB"/>
      </w:rPr>
      <w:instrText xml:space="preserve"> FILENAME \p \* MERGEFORMAT </w:instrText>
    </w:r>
    <w:r>
      <w:fldChar w:fldCharType="separate"/>
    </w:r>
    <w:r w:rsidRPr="00A156D1">
      <w:rPr>
        <w:lang w:val="en-GB"/>
      </w:rPr>
      <w:t>P:\FRA\gDoc\SG\C25\2501294F.docx</w:t>
    </w:r>
    <w:r>
      <w:fldChar w:fldCharType="end"/>
    </w:r>
    <w:r w:rsidR="00732045" w:rsidRPr="00A156D1">
      <w:rPr>
        <w:lang w:val="en-GB"/>
      </w:rPr>
      <w:tab/>
    </w:r>
    <w:r w:rsidR="002F1B76">
      <w:fldChar w:fldCharType="begin"/>
    </w:r>
    <w:r w:rsidR="00732045">
      <w:instrText xml:space="preserve"> savedate \@ dd.MM.yy </w:instrText>
    </w:r>
    <w:r w:rsidR="002F1B76">
      <w:fldChar w:fldCharType="separate"/>
    </w:r>
    <w:r w:rsidR="00A156D1">
      <w:t>09.06.25</w:t>
    </w:r>
    <w:r w:rsidR="002F1B76">
      <w:fldChar w:fldCharType="end"/>
    </w:r>
    <w:r w:rsidR="00732045" w:rsidRPr="00A156D1">
      <w:rPr>
        <w:lang w:val="en-GB"/>
      </w:rPr>
      <w:tab/>
    </w:r>
    <w:r w:rsidR="002F1B76">
      <w:fldChar w:fldCharType="begin"/>
    </w:r>
    <w:r w:rsidR="00732045">
      <w:instrText xml:space="preserve"> printdate \@ dd.MM.yy </w:instrText>
    </w:r>
    <w:r w:rsidR="002F1B76">
      <w:fldChar w:fldCharType="separate"/>
    </w:r>
    <w:r>
      <w:t>18.07.00</w:t>
    </w:r>
    <w:r w:rsidR="002F1B7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2F7A344D" w14:textId="77777777" w:rsidTr="00E31DCE">
      <w:trPr>
        <w:jc w:val="center"/>
      </w:trPr>
      <w:tc>
        <w:tcPr>
          <w:tcW w:w="1803" w:type="dxa"/>
          <w:vAlign w:val="center"/>
        </w:tcPr>
        <w:p w14:paraId="1FEFE367" w14:textId="61997A03" w:rsidR="00A51849" w:rsidRDefault="00AA6A50" w:rsidP="00A51849">
          <w:pPr>
            <w:pStyle w:val="Header"/>
            <w:jc w:val="left"/>
            <w:rPr>
              <w:noProof/>
            </w:rPr>
          </w:pPr>
          <w:r>
            <w:rPr>
              <w:noProof/>
            </w:rPr>
            <w:t>2501294</w:t>
          </w:r>
        </w:p>
      </w:tc>
      <w:tc>
        <w:tcPr>
          <w:tcW w:w="8261" w:type="dxa"/>
        </w:tcPr>
        <w:p w14:paraId="50F3AE80" w14:textId="4A3E9E87" w:rsidR="00A51849" w:rsidRPr="00E06FD5" w:rsidRDefault="00A51849" w:rsidP="00C049D7">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FC6D7D">
            <w:rPr>
              <w:bCs/>
            </w:rPr>
            <w:t>5</w:t>
          </w:r>
          <w:r w:rsidRPr="00623AE3">
            <w:rPr>
              <w:bCs/>
            </w:rPr>
            <w:t>/</w:t>
          </w:r>
          <w:r w:rsidR="00AA6A50">
            <w:rPr>
              <w:bCs/>
            </w:rPr>
            <w:t>40</w:t>
          </w:r>
          <w:r w:rsidRPr="00623AE3">
            <w:rPr>
              <w:bCs/>
            </w:rPr>
            <w:t>-</w:t>
          </w:r>
          <w:r w:rsidR="00973F53">
            <w:rPr>
              <w:bCs/>
            </w:rPr>
            <w:t>F</w:t>
          </w:r>
          <w:r>
            <w:rPr>
              <w:bCs/>
            </w:rPr>
            <w:tab/>
          </w:r>
          <w:r>
            <w:fldChar w:fldCharType="begin"/>
          </w:r>
          <w:r>
            <w:instrText>PAGE</w:instrText>
          </w:r>
          <w:r>
            <w:fldChar w:fldCharType="separate"/>
          </w:r>
          <w:r>
            <w:t>1</w:t>
          </w:r>
          <w:r>
            <w:rPr>
              <w:noProof/>
            </w:rPr>
            <w:fldChar w:fldCharType="end"/>
          </w:r>
        </w:p>
      </w:tc>
    </w:tr>
  </w:tbl>
  <w:p w14:paraId="7E35329A" w14:textId="77777777" w:rsidR="00732045" w:rsidRPr="00A51849" w:rsidRDefault="00732045" w:rsidP="00FC6D7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7E6A0EAA" w14:textId="77777777" w:rsidTr="00E31DCE">
      <w:trPr>
        <w:jc w:val="center"/>
      </w:trPr>
      <w:tc>
        <w:tcPr>
          <w:tcW w:w="1803" w:type="dxa"/>
          <w:vAlign w:val="center"/>
        </w:tcPr>
        <w:p w14:paraId="1199A351" w14:textId="72D31448" w:rsidR="009F7010" w:rsidRPr="00FC6D7D" w:rsidRDefault="009F7010" w:rsidP="009F7010">
          <w:pPr>
            <w:pStyle w:val="Header"/>
            <w:jc w:val="left"/>
            <w:rPr>
              <w:noProof/>
              <w:color w:val="0563C1"/>
            </w:rPr>
          </w:pPr>
          <w:r>
            <w:rPr>
              <w:noProof/>
            </w:rPr>
            <w:t>2501294</w:t>
          </w:r>
        </w:p>
      </w:tc>
      <w:tc>
        <w:tcPr>
          <w:tcW w:w="8261" w:type="dxa"/>
        </w:tcPr>
        <w:p w14:paraId="4E1B0A61" w14:textId="2867E485" w:rsidR="00A51849" w:rsidRPr="00E06FD5" w:rsidRDefault="00A51849" w:rsidP="00C049D7">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FC6D7D">
            <w:rPr>
              <w:bCs/>
            </w:rPr>
            <w:t>5</w:t>
          </w:r>
          <w:r w:rsidRPr="00623AE3">
            <w:rPr>
              <w:bCs/>
            </w:rPr>
            <w:t>/</w:t>
          </w:r>
          <w:r w:rsidR="00AA6A50">
            <w:rPr>
              <w:bCs/>
            </w:rPr>
            <w:t>40</w:t>
          </w:r>
          <w:r w:rsidRPr="00623AE3">
            <w:rPr>
              <w:bCs/>
            </w:rPr>
            <w:t>-</w:t>
          </w:r>
          <w:r w:rsidR="00D72F49">
            <w:rPr>
              <w:bCs/>
            </w:rPr>
            <w:t>F</w:t>
          </w:r>
          <w:r>
            <w:rPr>
              <w:bCs/>
            </w:rPr>
            <w:tab/>
          </w:r>
          <w:r>
            <w:fldChar w:fldCharType="begin"/>
          </w:r>
          <w:r>
            <w:instrText>PAGE</w:instrText>
          </w:r>
          <w:r>
            <w:fldChar w:fldCharType="separate"/>
          </w:r>
          <w:r>
            <w:t>1</w:t>
          </w:r>
          <w:r>
            <w:rPr>
              <w:noProof/>
            </w:rPr>
            <w:fldChar w:fldCharType="end"/>
          </w:r>
        </w:p>
      </w:tc>
    </w:tr>
  </w:tbl>
  <w:p w14:paraId="45C19162" w14:textId="77777777" w:rsidR="00732045" w:rsidRPr="00A51849" w:rsidRDefault="00732045" w:rsidP="00FC6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219A9" w14:textId="77777777" w:rsidR="00FF4C09" w:rsidRDefault="00FF4C09">
      <w:r>
        <w:t>____________________</w:t>
      </w:r>
    </w:p>
  </w:footnote>
  <w:footnote w:type="continuationSeparator" w:id="0">
    <w:p w14:paraId="55829FEA" w14:textId="77777777" w:rsidR="00FF4C09" w:rsidRDefault="00FF4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99987" w14:textId="77777777" w:rsidR="00ED2334" w:rsidRDefault="00ED2334">
    <w:pPr>
      <w:pStyle w:val="Header"/>
    </w:pPr>
    <w:r>
      <w:t xml:space="preserve">- </w:t>
    </w:r>
    <w:r>
      <w:fldChar w:fldCharType="begin"/>
    </w:r>
    <w:r>
      <w:instrText>PAGE</w:instrText>
    </w:r>
    <w:r>
      <w:fldChar w:fldCharType="separate"/>
    </w:r>
    <w:r>
      <w:rPr>
        <w:noProof/>
      </w:rPr>
      <w:t>2</w:t>
    </w:r>
    <w:r>
      <w:fldChar w:fldCharType="end"/>
    </w:r>
    <w:r>
      <w:t xml:space="preserve"> -</w:t>
    </w:r>
  </w:p>
  <w:p w14:paraId="1D53AC82" w14:textId="77777777" w:rsidR="00ED2334" w:rsidRDefault="00ED2334">
    <w:pPr>
      <w:pStyle w:val="Header"/>
    </w:pPr>
    <w:r>
      <w:t>C2001/#-F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5CC67" w14:textId="592F3EF8" w:rsidR="00A238CE" w:rsidRDefault="00A238CE">
    <w:pPr>
      <w:pStyle w:val="Header"/>
    </w:pPr>
    <w:r w:rsidRPr="009A7E39">
      <w:rPr>
        <w:sz w:val="22"/>
        <w:szCs w:val="24"/>
      </w:rPr>
      <w:t>RAPPORT ANNUEL DE GESTION FINANCIÈRE ET ÉTATS FINANCIERS DE L'UIT POUR L'EXERCICE 202</w:t>
    </w:r>
    <w:r>
      <w:rPr>
        <w:sz w:val="22"/>
        <w:szCs w:val="24"/>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7"/>
      <w:gridCol w:w="4703"/>
    </w:tblGrid>
    <w:tr w:rsidR="00AA2389" w:rsidRPr="00784011" w14:paraId="1A4BB637" w14:textId="77777777" w:rsidTr="00F86F2F">
      <w:trPr>
        <w:trHeight w:val="1104"/>
        <w:jc w:val="center"/>
      </w:trPr>
      <w:tc>
        <w:tcPr>
          <w:tcW w:w="5317" w:type="dxa"/>
          <w:vAlign w:val="center"/>
        </w:tcPr>
        <w:p w14:paraId="409A45A3" w14:textId="381FC608" w:rsidR="00AA2389" w:rsidRDefault="00AA2389" w:rsidP="00AA2389">
          <w:pPr>
            <w:pStyle w:val="Header"/>
            <w:jc w:val="left"/>
            <w:rPr>
              <w:rFonts w:ascii="Arial" w:hAnsi="Arial" w:cs="Arial"/>
              <w:b/>
              <w:bCs/>
              <w:noProof/>
              <w:color w:val="009CD6"/>
              <w:sz w:val="36"/>
              <w:szCs w:val="36"/>
            </w:rPr>
          </w:pPr>
          <w:r>
            <w:rPr>
              <w:rFonts w:ascii="Arial" w:hAnsi="Arial" w:cs="Arial"/>
              <w:b/>
              <w:bCs/>
              <w:noProof/>
              <w:color w:val="009CD6"/>
              <w:sz w:val="36"/>
              <w:szCs w:val="36"/>
            </w:rPr>
            <w:drawing>
              <wp:inline distT="0" distB="0" distL="0" distR="0" wp14:anchorId="659A2555" wp14:editId="44DBC6AE">
                <wp:extent cx="3239444" cy="612000"/>
                <wp:effectExtent l="0" t="0" r="0" b="0"/>
                <wp:docPr id="31"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83481" name="Picture 1" descr="A black background with blue text&#10;&#10;AI-generated content may be incorrect."/>
                        <pic:cNvPicPr/>
                      </pic:nvPicPr>
                      <pic:blipFill rotWithShape="1">
                        <a:blip r:embed="rId1">
                          <a:extLst>
                            <a:ext uri="{28A0092B-C50C-407E-A947-70E740481C1C}">
                              <a14:useLocalDpi xmlns:a14="http://schemas.microsoft.com/office/drawing/2010/main" val="0"/>
                            </a:ext>
                          </a:extLst>
                        </a:blip>
                        <a:srcRect r="11653"/>
                        <a:stretch/>
                      </pic:blipFill>
                      <pic:spPr bwMode="auto">
                        <a:xfrm>
                          <a:off x="0" y="0"/>
                          <a:ext cx="3239444" cy="612000"/>
                        </a:xfrm>
                        <a:prstGeom prst="rect">
                          <a:avLst/>
                        </a:prstGeom>
                        <a:ln>
                          <a:noFill/>
                        </a:ln>
                        <a:extLst>
                          <a:ext uri="{53640926-AAD7-44D8-BBD7-CCE9431645EC}">
                            <a14:shadowObscured xmlns:a14="http://schemas.microsoft.com/office/drawing/2010/main"/>
                          </a:ext>
                        </a:extLst>
                      </pic:spPr>
                    </pic:pic>
                  </a:graphicData>
                </a:graphic>
              </wp:inline>
            </w:drawing>
          </w:r>
        </w:p>
      </w:tc>
      <w:tc>
        <w:tcPr>
          <w:tcW w:w="4703" w:type="dxa"/>
        </w:tcPr>
        <w:p w14:paraId="796E5F52" w14:textId="77777777" w:rsidR="00AA2389" w:rsidRDefault="00AA2389" w:rsidP="00AA2389">
          <w:pPr>
            <w:pStyle w:val="Header"/>
            <w:jc w:val="right"/>
            <w:rPr>
              <w:rFonts w:ascii="Arial" w:hAnsi="Arial" w:cs="Arial"/>
              <w:b/>
              <w:bCs/>
              <w:color w:val="009CD6"/>
              <w:szCs w:val="18"/>
            </w:rPr>
          </w:pPr>
        </w:p>
      </w:tc>
    </w:tr>
  </w:tbl>
  <w:p w14:paraId="7AD13C39" w14:textId="35FCF8A6" w:rsidR="00AA2389" w:rsidRDefault="00AA2389">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61312" behindDoc="0" locked="0" layoutInCell="1" allowOverlap="1" wp14:anchorId="6BE1C7C5" wp14:editId="50E72ED7">
              <wp:simplePos x="0" y="0"/>
              <wp:positionH relativeFrom="page">
                <wp:posOffset>25786</wp:posOffset>
              </wp:positionH>
              <wp:positionV relativeFrom="topMargin">
                <wp:posOffset>656673</wp:posOffset>
              </wp:positionV>
              <wp:extent cx="92075" cy="360680"/>
              <wp:effectExtent l="0" t="0" r="3175" b="12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5B399" id="Rectangle 32" o:spid="_x0000_s1026" style="position:absolute;margin-left:2.05pt;margin-top:51.7pt;width:7.25pt;height:2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" fillcolor="#009cd5" stroked="f">
              <w10:wrap anchorx="page"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9BFB3" w14:textId="77777777" w:rsidR="00732045" w:rsidRDefault="00732045">
    <w:pPr>
      <w:pStyle w:val="Header"/>
    </w:pPr>
    <w:r>
      <w:t xml:space="preserve">- </w:t>
    </w:r>
    <w:r w:rsidR="00C27A7C">
      <w:fldChar w:fldCharType="begin"/>
    </w:r>
    <w:r w:rsidR="00C27A7C">
      <w:instrText>PAGE</w:instrText>
    </w:r>
    <w:r w:rsidR="00C27A7C">
      <w:fldChar w:fldCharType="separate"/>
    </w:r>
    <w:r>
      <w:rPr>
        <w:noProof/>
      </w:rPr>
      <w:t>2</w:t>
    </w:r>
    <w:r w:rsidR="00C27A7C">
      <w:rPr>
        <w:noProof/>
      </w:rPr>
      <w:fldChar w:fldCharType="end"/>
    </w:r>
    <w:r>
      <w:t xml:space="preserve"> -</w:t>
    </w:r>
  </w:p>
  <w:p w14:paraId="6BAC2345" w14:textId="77777777" w:rsidR="00732045" w:rsidRDefault="00732045">
    <w:pPr>
      <w:pStyle w:val="Header"/>
    </w:pPr>
    <w:r>
      <w:t>C2001/#-F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1B74F" w14:textId="77777777" w:rsidR="00AA6A50" w:rsidRDefault="00AA6A50" w:rsidP="00AA6A50">
    <w:pPr>
      <w:pStyle w:val="Header"/>
    </w:pPr>
    <w:r w:rsidRPr="009A7E39">
      <w:rPr>
        <w:sz w:val="22"/>
        <w:szCs w:val="24"/>
      </w:rPr>
      <w:t>RAPPORT ANNUEL DE GESTION FINANCIÈRE ET ÉTATS FINANCIERS DE L'UIT POUR L'EXERCICE 202</w:t>
    </w:r>
    <w:r>
      <w:rPr>
        <w:sz w:val="22"/>
        <w:szCs w:val="24"/>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97E2" w14:textId="300C8A41" w:rsidR="00A51849" w:rsidRDefault="00EE456C">
    <w:pPr>
      <w:pStyle w:val="Header"/>
    </w:pPr>
    <w:r w:rsidRPr="009A7E39">
      <w:rPr>
        <w:sz w:val="22"/>
        <w:szCs w:val="24"/>
      </w:rPr>
      <w:t>RAPPORT ANNUEL DE GESTION FINANCIÈRE ET ÉTATS FINANCIERS DE L'UIT POUR L'EXERCICE 202</w:t>
    </w:r>
    <w:r>
      <w:rPr>
        <w:sz w:val="22"/>
        <w:szCs w:val="24"/>
      </w:rPr>
      <w:t>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C09"/>
    <w:rsid w:val="00032DB7"/>
    <w:rsid w:val="00035363"/>
    <w:rsid w:val="00037C35"/>
    <w:rsid w:val="00076A2C"/>
    <w:rsid w:val="000A37EA"/>
    <w:rsid w:val="000B733D"/>
    <w:rsid w:val="000D0D0A"/>
    <w:rsid w:val="000D1F03"/>
    <w:rsid w:val="00103163"/>
    <w:rsid w:val="00106B19"/>
    <w:rsid w:val="001133EF"/>
    <w:rsid w:val="00115D93"/>
    <w:rsid w:val="00117505"/>
    <w:rsid w:val="001247A8"/>
    <w:rsid w:val="00124A89"/>
    <w:rsid w:val="001370B2"/>
    <w:rsid w:val="001378C0"/>
    <w:rsid w:val="00143DF5"/>
    <w:rsid w:val="00145F21"/>
    <w:rsid w:val="00152023"/>
    <w:rsid w:val="0018694A"/>
    <w:rsid w:val="001A3287"/>
    <w:rsid w:val="001A6508"/>
    <w:rsid w:val="001B2D68"/>
    <w:rsid w:val="001C3162"/>
    <w:rsid w:val="001D4C31"/>
    <w:rsid w:val="001D5475"/>
    <w:rsid w:val="001E4CAC"/>
    <w:rsid w:val="001E4D21"/>
    <w:rsid w:val="00201415"/>
    <w:rsid w:val="00204BFC"/>
    <w:rsid w:val="00207CD1"/>
    <w:rsid w:val="00226657"/>
    <w:rsid w:val="00230081"/>
    <w:rsid w:val="002302A0"/>
    <w:rsid w:val="00231C2D"/>
    <w:rsid w:val="00243137"/>
    <w:rsid w:val="002477A2"/>
    <w:rsid w:val="00256087"/>
    <w:rsid w:val="00263A51"/>
    <w:rsid w:val="00267E02"/>
    <w:rsid w:val="002726A7"/>
    <w:rsid w:val="002A5D44"/>
    <w:rsid w:val="002C3F32"/>
    <w:rsid w:val="002C4E3D"/>
    <w:rsid w:val="002E0BC4"/>
    <w:rsid w:val="002F1B76"/>
    <w:rsid w:val="00316395"/>
    <w:rsid w:val="0033568E"/>
    <w:rsid w:val="00355FF5"/>
    <w:rsid w:val="00361350"/>
    <w:rsid w:val="00365074"/>
    <w:rsid w:val="00367F83"/>
    <w:rsid w:val="003762F3"/>
    <w:rsid w:val="00396B04"/>
    <w:rsid w:val="003C3FAE"/>
    <w:rsid w:val="003E39F5"/>
    <w:rsid w:val="003E5A5E"/>
    <w:rsid w:val="004038CB"/>
    <w:rsid w:val="0040546F"/>
    <w:rsid w:val="004177BD"/>
    <w:rsid w:val="00421717"/>
    <w:rsid w:val="0042404A"/>
    <w:rsid w:val="0043690A"/>
    <w:rsid w:val="0044618F"/>
    <w:rsid w:val="004553D3"/>
    <w:rsid w:val="0046769A"/>
    <w:rsid w:val="00475FB3"/>
    <w:rsid w:val="00485F49"/>
    <w:rsid w:val="004A07FB"/>
    <w:rsid w:val="004C37A9"/>
    <w:rsid w:val="004D1D50"/>
    <w:rsid w:val="004D6435"/>
    <w:rsid w:val="004E2D69"/>
    <w:rsid w:val="004E71FA"/>
    <w:rsid w:val="004F259E"/>
    <w:rsid w:val="005020C1"/>
    <w:rsid w:val="005079B7"/>
    <w:rsid w:val="00511F1D"/>
    <w:rsid w:val="00512161"/>
    <w:rsid w:val="00520F36"/>
    <w:rsid w:val="00524E8D"/>
    <w:rsid w:val="00534E13"/>
    <w:rsid w:val="00540615"/>
    <w:rsid w:val="00540A6D"/>
    <w:rsid w:val="005511EB"/>
    <w:rsid w:val="00566679"/>
    <w:rsid w:val="00570AF1"/>
    <w:rsid w:val="00571EEA"/>
    <w:rsid w:val="00575417"/>
    <w:rsid w:val="00575802"/>
    <w:rsid w:val="005768E1"/>
    <w:rsid w:val="005A4789"/>
    <w:rsid w:val="005B1938"/>
    <w:rsid w:val="005C3890"/>
    <w:rsid w:val="005C6E20"/>
    <w:rsid w:val="005F7BFE"/>
    <w:rsid w:val="00600017"/>
    <w:rsid w:val="006004FD"/>
    <w:rsid w:val="006235CA"/>
    <w:rsid w:val="0062366E"/>
    <w:rsid w:val="00661FE3"/>
    <w:rsid w:val="006643AB"/>
    <w:rsid w:val="006A11AE"/>
    <w:rsid w:val="006F0A53"/>
    <w:rsid w:val="006F5009"/>
    <w:rsid w:val="00713EA2"/>
    <w:rsid w:val="007210CD"/>
    <w:rsid w:val="00732045"/>
    <w:rsid w:val="0073275D"/>
    <w:rsid w:val="007369DB"/>
    <w:rsid w:val="00751CB3"/>
    <w:rsid w:val="0077110E"/>
    <w:rsid w:val="007956C2"/>
    <w:rsid w:val="007973FF"/>
    <w:rsid w:val="007A187E"/>
    <w:rsid w:val="007A38DB"/>
    <w:rsid w:val="007A75F9"/>
    <w:rsid w:val="007B7ED1"/>
    <w:rsid w:val="007C365F"/>
    <w:rsid w:val="007C72C2"/>
    <w:rsid w:val="007D4436"/>
    <w:rsid w:val="007E318C"/>
    <w:rsid w:val="007E62D4"/>
    <w:rsid w:val="007F257A"/>
    <w:rsid w:val="007F2BBE"/>
    <w:rsid w:val="007F3665"/>
    <w:rsid w:val="007F4566"/>
    <w:rsid w:val="00800037"/>
    <w:rsid w:val="0082299A"/>
    <w:rsid w:val="0083391C"/>
    <w:rsid w:val="00861D73"/>
    <w:rsid w:val="008662FD"/>
    <w:rsid w:val="00876F65"/>
    <w:rsid w:val="00882919"/>
    <w:rsid w:val="008870B9"/>
    <w:rsid w:val="00897553"/>
    <w:rsid w:val="008A4E87"/>
    <w:rsid w:val="008B349C"/>
    <w:rsid w:val="008D76E6"/>
    <w:rsid w:val="009139BA"/>
    <w:rsid w:val="0092392D"/>
    <w:rsid w:val="0093234A"/>
    <w:rsid w:val="00956A78"/>
    <w:rsid w:val="00965509"/>
    <w:rsid w:val="0097363B"/>
    <w:rsid w:val="00973F53"/>
    <w:rsid w:val="009916FC"/>
    <w:rsid w:val="0099175D"/>
    <w:rsid w:val="009A6BAA"/>
    <w:rsid w:val="009B3671"/>
    <w:rsid w:val="009B61F7"/>
    <w:rsid w:val="009C307F"/>
    <w:rsid w:val="009C353C"/>
    <w:rsid w:val="009F0FB8"/>
    <w:rsid w:val="009F7010"/>
    <w:rsid w:val="00A012B2"/>
    <w:rsid w:val="00A0715B"/>
    <w:rsid w:val="00A156D1"/>
    <w:rsid w:val="00A2113E"/>
    <w:rsid w:val="00A238CE"/>
    <w:rsid w:val="00A23A51"/>
    <w:rsid w:val="00A24607"/>
    <w:rsid w:val="00A25CD3"/>
    <w:rsid w:val="00A51849"/>
    <w:rsid w:val="00A61377"/>
    <w:rsid w:val="00A62051"/>
    <w:rsid w:val="00A6563A"/>
    <w:rsid w:val="00A709FE"/>
    <w:rsid w:val="00A73BB1"/>
    <w:rsid w:val="00A73C60"/>
    <w:rsid w:val="00A82767"/>
    <w:rsid w:val="00A97F80"/>
    <w:rsid w:val="00AA2389"/>
    <w:rsid w:val="00AA332F"/>
    <w:rsid w:val="00AA6A50"/>
    <w:rsid w:val="00AA7BBB"/>
    <w:rsid w:val="00AB31F0"/>
    <w:rsid w:val="00AB64A8"/>
    <w:rsid w:val="00AC0266"/>
    <w:rsid w:val="00AC6ACB"/>
    <w:rsid w:val="00AD24EC"/>
    <w:rsid w:val="00AF11CD"/>
    <w:rsid w:val="00B05E2C"/>
    <w:rsid w:val="00B2321A"/>
    <w:rsid w:val="00B26EC0"/>
    <w:rsid w:val="00B27B00"/>
    <w:rsid w:val="00B309F9"/>
    <w:rsid w:val="00B32B60"/>
    <w:rsid w:val="00B41A75"/>
    <w:rsid w:val="00B51005"/>
    <w:rsid w:val="00B51C1D"/>
    <w:rsid w:val="00B61619"/>
    <w:rsid w:val="00B71B38"/>
    <w:rsid w:val="00BB4545"/>
    <w:rsid w:val="00BD5873"/>
    <w:rsid w:val="00BF4B60"/>
    <w:rsid w:val="00C049D7"/>
    <w:rsid w:val="00C04BE3"/>
    <w:rsid w:val="00C25D29"/>
    <w:rsid w:val="00C27A7C"/>
    <w:rsid w:val="00C42437"/>
    <w:rsid w:val="00C90654"/>
    <w:rsid w:val="00CA08ED"/>
    <w:rsid w:val="00CB30C6"/>
    <w:rsid w:val="00CB3A0E"/>
    <w:rsid w:val="00CC2713"/>
    <w:rsid w:val="00CC6EAA"/>
    <w:rsid w:val="00CE658C"/>
    <w:rsid w:val="00CF183B"/>
    <w:rsid w:val="00D061E9"/>
    <w:rsid w:val="00D375CD"/>
    <w:rsid w:val="00D37B53"/>
    <w:rsid w:val="00D50D05"/>
    <w:rsid w:val="00D553A2"/>
    <w:rsid w:val="00D67E64"/>
    <w:rsid w:val="00D72F49"/>
    <w:rsid w:val="00D774D3"/>
    <w:rsid w:val="00D811A8"/>
    <w:rsid w:val="00D8285C"/>
    <w:rsid w:val="00D904E8"/>
    <w:rsid w:val="00DA08C3"/>
    <w:rsid w:val="00DB5A3E"/>
    <w:rsid w:val="00DB6ECC"/>
    <w:rsid w:val="00DC2039"/>
    <w:rsid w:val="00DC22AA"/>
    <w:rsid w:val="00DD1A99"/>
    <w:rsid w:val="00DE2962"/>
    <w:rsid w:val="00DF74DD"/>
    <w:rsid w:val="00E25AD0"/>
    <w:rsid w:val="00E40DAE"/>
    <w:rsid w:val="00E4428F"/>
    <w:rsid w:val="00E47427"/>
    <w:rsid w:val="00E571B7"/>
    <w:rsid w:val="00E93668"/>
    <w:rsid w:val="00E95647"/>
    <w:rsid w:val="00EB6350"/>
    <w:rsid w:val="00EC4E7F"/>
    <w:rsid w:val="00ED2334"/>
    <w:rsid w:val="00EE456C"/>
    <w:rsid w:val="00EF05C8"/>
    <w:rsid w:val="00F15B57"/>
    <w:rsid w:val="00F35EF4"/>
    <w:rsid w:val="00F37FE5"/>
    <w:rsid w:val="00F427DB"/>
    <w:rsid w:val="00F47A02"/>
    <w:rsid w:val="00F5763B"/>
    <w:rsid w:val="00F75AF8"/>
    <w:rsid w:val="00FA5EB1"/>
    <w:rsid w:val="00FA7439"/>
    <w:rsid w:val="00FB3AD7"/>
    <w:rsid w:val="00FB69FF"/>
    <w:rsid w:val="00FC47F5"/>
    <w:rsid w:val="00FC4EC0"/>
    <w:rsid w:val="00FC6D7D"/>
    <w:rsid w:val="00FF0181"/>
    <w:rsid w:val="00FF4C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A8A4DB"/>
  <w15:docId w15:val="{B6660D9A-D14B-46BE-B427-8F96D7090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366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732045"/>
    <w:pPr>
      <w:keepNext/>
      <w:keepLines/>
      <w:spacing w:before="480"/>
      <w:ind w:left="567" w:hanging="567"/>
      <w:outlineLvl w:val="0"/>
    </w:pPr>
    <w:rPr>
      <w:b/>
      <w:sz w:val="28"/>
    </w:rPr>
  </w:style>
  <w:style w:type="paragraph" w:styleId="Heading2">
    <w:name w:val="heading 2"/>
    <w:basedOn w:val="Heading1"/>
    <w:next w:val="Normal"/>
    <w:qFormat/>
    <w:rsid w:val="00732045"/>
    <w:pPr>
      <w:spacing w:before="320"/>
      <w:outlineLvl w:val="1"/>
    </w:pPr>
    <w:rPr>
      <w:sz w:val="24"/>
    </w:rPr>
  </w:style>
  <w:style w:type="paragraph" w:styleId="Heading3">
    <w:name w:val="heading 3"/>
    <w:basedOn w:val="Heading1"/>
    <w:next w:val="Normal"/>
    <w:qFormat/>
    <w:rsid w:val="00732045"/>
    <w:pPr>
      <w:spacing w:before="200"/>
      <w:outlineLvl w:val="2"/>
    </w:pPr>
    <w:rPr>
      <w:sz w:val="24"/>
    </w:rPr>
  </w:style>
  <w:style w:type="paragraph" w:styleId="Heading4">
    <w:name w:val="heading 4"/>
    <w:basedOn w:val="Heading3"/>
    <w:next w:val="Normal"/>
    <w:qFormat/>
    <w:rsid w:val="00732045"/>
    <w:pPr>
      <w:ind w:left="1134" w:hanging="1134"/>
      <w:outlineLvl w:val="3"/>
    </w:pPr>
  </w:style>
  <w:style w:type="paragraph" w:styleId="Heading5">
    <w:name w:val="heading 5"/>
    <w:basedOn w:val="Heading4"/>
    <w:next w:val="Normal"/>
    <w:qFormat/>
    <w:rsid w:val="00732045"/>
    <w:pPr>
      <w:outlineLvl w:val="4"/>
    </w:pPr>
  </w:style>
  <w:style w:type="paragraph" w:styleId="Heading6">
    <w:name w:val="heading 6"/>
    <w:basedOn w:val="Heading4"/>
    <w:next w:val="Normal"/>
    <w:qFormat/>
    <w:rsid w:val="00732045"/>
    <w:pPr>
      <w:outlineLvl w:val="5"/>
    </w:pPr>
  </w:style>
  <w:style w:type="paragraph" w:styleId="Heading7">
    <w:name w:val="heading 7"/>
    <w:basedOn w:val="Heading4"/>
    <w:next w:val="Normal"/>
    <w:qFormat/>
    <w:rsid w:val="00732045"/>
    <w:pPr>
      <w:ind w:left="1701" w:hanging="1701"/>
      <w:outlineLvl w:val="6"/>
    </w:pPr>
  </w:style>
  <w:style w:type="paragraph" w:styleId="Heading8">
    <w:name w:val="heading 8"/>
    <w:basedOn w:val="Heading4"/>
    <w:next w:val="Normal"/>
    <w:qFormat/>
    <w:rsid w:val="00732045"/>
    <w:pPr>
      <w:ind w:left="1701" w:hanging="1701"/>
      <w:outlineLvl w:val="7"/>
    </w:pPr>
  </w:style>
  <w:style w:type="paragraph" w:styleId="Heading9">
    <w:name w:val="heading 9"/>
    <w:basedOn w:val="Heading4"/>
    <w:next w:val="Normal"/>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link w:val="FooterChar"/>
    <w:uiPriority w:val="99"/>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732045"/>
    <w:rPr>
      <w:rFonts w:ascii="Calibri" w:hAnsi="Calibri"/>
      <w:position w:val="6"/>
      <w:sz w:val="16"/>
    </w:rPr>
  </w:style>
  <w:style w:type="paragraph" w:styleId="FootnoteText">
    <w:name w:val="footnote text"/>
    <w:basedOn w:val="Normal"/>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link w:val="enumlev1Char"/>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rsid w:val="00732045"/>
    <w:pPr>
      <w:spacing w:before="240"/>
    </w:pPr>
  </w:style>
  <w:style w:type="paragraph" w:customStyle="1" w:styleId="Call">
    <w:name w:val="Call"/>
    <w:basedOn w:val="Normal"/>
    <w:next w:val="Normal"/>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CEO_Hyperlink,超级链接,Style 58,超????,超?级链,하이퍼링크2,하이퍼링크21"/>
    <w:basedOn w:val="DefaultParagraphFont"/>
    <w:uiPriority w:val="99"/>
    <w:qFormat/>
    <w:rsid w:val="00FC6D7D"/>
    <w:rPr>
      <w:rFonts w:eastAsiaTheme="minorHAnsi" w:cstheme="minorBidi"/>
      <w:color w:val="4F81BD" w:themeColor="accent1"/>
      <w:szCs w:val="22"/>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A709FE"/>
    <w:pPr>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link w:val="TabletextChar"/>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Subtitle">
    <w:name w:val="Sub_title"/>
    <w:basedOn w:val="Normal"/>
    <w:qFormat/>
    <w:rsid w:val="00A51849"/>
    <w:pPr>
      <w:framePr w:hSpace="180" w:wrap="around" w:hAnchor="page" w:x="1821" w:y="2317"/>
      <w:spacing w:after="160"/>
    </w:pPr>
    <w:rPr>
      <w:sz w:val="34"/>
      <w:lang w:val="en-GB"/>
    </w:rPr>
  </w:style>
  <w:style w:type="character" w:customStyle="1" w:styleId="HeaderChar">
    <w:name w:val="Header Char"/>
    <w:basedOn w:val="DefaultParagraphFont"/>
    <w:link w:val="Header"/>
    <w:uiPriority w:val="99"/>
    <w:rsid w:val="00A51849"/>
    <w:rPr>
      <w:rFonts w:ascii="Calibri" w:hAnsi="Calibri"/>
      <w:sz w:val="18"/>
      <w:lang w:val="fr-FR" w:eastAsia="en-US"/>
    </w:rPr>
  </w:style>
  <w:style w:type="table" w:styleId="TableGrid">
    <w:name w:val="Table Grid"/>
    <w:basedOn w:val="TableNormal"/>
    <w:uiPriority w:val="39"/>
    <w:rsid w:val="00A5184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5647"/>
    <w:rPr>
      <w:rFonts w:ascii="Calibri" w:hAnsi="Calibri"/>
      <w:sz w:val="24"/>
      <w:lang w:val="fr-FR" w:eastAsia="en-US"/>
    </w:rPr>
  </w:style>
  <w:style w:type="character" w:styleId="PlaceholderText">
    <w:name w:val="Placeholder Text"/>
    <w:basedOn w:val="DefaultParagraphFont"/>
    <w:uiPriority w:val="99"/>
    <w:semiHidden/>
    <w:rsid w:val="00FC6D7D"/>
    <w:rPr>
      <w:color w:val="666666"/>
    </w:rPr>
  </w:style>
  <w:style w:type="character" w:styleId="UnresolvedMention">
    <w:name w:val="Unresolved Mention"/>
    <w:basedOn w:val="DefaultParagraphFont"/>
    <w:uiPriority w:val="99"/>
    <w:semiHidden/>
    <w:unhideWhenUsed/>
    <w:rsid w:val="00FC6D7D"/>
    <w:rPr>
      <w:color w:val="605E5C"/>
      <w:shd w:val="clear" w:color="auto" w:fill="E1DFDD"/>
    </w:rPr>
  </w:style>
  <w:style w:type="character" w:customStyle="1" w:styleId="Heading1Char">
    <w:name w:val="Heading 1 Char"/>
    <w:link w:val="Heading1"/>
    <w:rsid w:val="00316395"/>
    <w:rPr>
      <w:rFonts w:ascii="Calibri" w:hAnsi="Calibri"/>
      <w:b/>
      <w:sz w:val="28"/>
      <w:lang w:val="fr-FR" w:eastAsia="en-US"/>
    </w:rPr>
  </w:style>
  <w:style w:type="paragraph" w:styleId="Title">
    <w:name w:val="Title"/>
    <w:basedOn w:val="Normal"/>
    <w:link w:val="TitleChar"/>
    <w:uiPriority w:val="10"/>
    <w:qFormat/>
    <w:rsid w:val="00316395"/>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eastAsia="SimSun" w:hAnsi="Arial"/>
      <w:b/>
      <w:bCs/>
      <w:sz w:val="22"/>
      <w:szCs w:val="24"/>
      <w:lang w:val="en-GB" w:eastAsia="zh-CN"/>
    </w:rPr>
  </w:style>
  <w:style w:type="character" w:customStyle="1" w:styleId="TitleChar">
    <w:name w:val="Title Char"/>
    <w:basedOn w:val="DefaultParagraphFont"/>
    <w:link w:val="Title"/>
    <w:uiPriority w:val="10"/>
    <w:rsid w:val="00316395"/>
    <w:rPr>
      <w:rFonts w:ascii="Arial" w:eastAsia="SimSun" w:hAnsi="Arial"/>
      <w:b/>
      <w:bCs/>
      <w:sz w:val="22"/>
      <w:szCs w:val="24"/>
      <w:lang w:val="en-GB"/>
    </w:rPr>
  </w:style>
  <w:style w:type="character" w:customStyle="1" w:styleId="enumlev1Char">
    <w:name w:val="enumlev1 Char"/>
    <w:basedOn w:val="DefaultParagraphFont"/>
    <w:link w:val="enumlev1"/>
    <w:rsid w:val="00367F83"/>
    <w:rPr>
      <w:rFonts w:ascii="Calibri" w:hAnsi="Calibri"/>
      <w:sz w:val="24"/>
      <w:lang w:val="fr-FR" w:eastAsia="en-US"/>
    </w:rPr>
  </w:style>
  <w:style w:type="character" w:customStyle="1" w:styleId="TabletextChar">
    <w:name w:val="Table_text Char"/>
    <w:link w:val="Tabletext"/>
    <w:locked/>
    <w:rsid w:val="00367F83"/>
    <w:rPr>
      <w:rFonts w:ascii="Calibri" w:hAnsi="Calibri"/>
      <w:sz w:val="22"/>
      <w:lang w:val="fr-FR" w:eastAsia="en-US"/>
    </w:rPr>
  </w:style>
  <w:style w:type="character" w:customStyle="1" w:styleId="FooterChar">
    <w:name w:val="Footer Char"/>
    <w:basedOn w:val="DefaultParagraphFont"/>
    <w:link w:val="Footer"/>
    <w:uiPriority w:val="99"/>
    <w:locked/>
    <w:rsid w:val="00ED2334"/>
    <w:rPr>
      <w:rFonts w:ascii="Calibri" w:hAnsi="Calibri"/>
      <w:caps/>
      <w:noProof/>
      <w:sz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en/itu-wsis/Pages/default.aspx" TargetMode="External"/><Relationship Id="rId21" Type="http://schemas.openxmlformats.org/officeDocument/2006/relationships/image" Target="media/image12.emf"/><Relationship Id="rId42" Type="http://schemas.openxmlformats.org/officeDocument/2006/relationships/image" Target="media/image24.emf"/><Relationship Id="rId47" Type="http://schemas.openxmlformats.org/officeDocument/2006/relationships/hyperlink" Target="https://www.itu.int/md/S24-CL-C-0132/fr" TargetMode="External"/><Relationship Id="rId63" Type="http://schemas.openxmlformats.org/officeDocument/2006/relationships/image" Target="media/image41.emf"/><Relationship Id="rId68" Type="http://schemas.openxmlformats.org/officeDocument/2006/relationships/header" Target="header2.xml"/><Relationship Id="rId84" Type="http://schemas.openxmlformats.org/officeDocument/2006/relationships/footer" Target="footer5.xml"/><Relationship Id="rId89"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image" Target="media/image2.emf"/><Relationship Id="rId32" Type="http://schemas.openxmlformats.org/officeDocument/2006/relationships/image" Target="media/image15.emf"/><Relationship Id="rId37" Type="http://schemas.openxmlformats.org/officeDocument/2006/relationships/image" Target="media/image19.emf"/><Relationship Id="rId53" Type="http://schemas.openxmlformats.org/officeDocument/2006/relationships/hyperlink" Target="https://medical-insurance.unog.ch/fr/bienvenue?language=fr" TargetMode="External"/><Relationship Id="rId58" Type="http://schemas.openxmlformats.org/officeDocument/2006/relationships/image" Target="media/image36.emf"/><Relationship Id="rId74" Type="http://schemas.openxmlformats.org/officeDocument/2006/relationships/image" Target="media/image47.emf"/><Relationship Id="rId79" Type="http://schemas.openxmlformats.org/officeDocument/2006/relationships/hyperlink" Target="https://www.itu.int/en/council/Pages/Financial-Regulations.aspx" TargetMode="External"/><Relationship Id="rId5"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unsceb.org/" TargetMode="External"/><Relationship Id="rId27" Type="http://schemas.openxmlformats.org/officeDocument/2006/relationships/hyperlink" Target="https://www.itu.int/fr/ITU-R/conferences/RRB/Pages/default.aspx" TargetMode="External"/><Relationship Id="rId30" Type="http://schemas.openxmlformats.org/officeDocument/2006/relationships/hyperlink" Target="https://www.itu.int/md/S23-CL-C-0115/fr" TargetMode="External"/><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5.emf"/><Relationship Id="rId64" Type="http://schemas.openxmlformats.org/officeDocument/2006/relationships/image" Target="media/image42.emf"/><Relationship Id="rId69" Type="http://schemas.openxmlformats.org/officeDocument/2006/relationships/footer" Target="footer1.xml"/><Relationship Id="rId77" Type="http://schemas.openxmlformats.org/officeDocument/2006/relationships/image" Target="media/image49.emf"/><Relationship Id="rId8" Type="http://schemas.openxmlformats.org/officeDocument/2006/relationships/hyperlink" Target="https://www.itu.int/en/council/Pages/Financial-Regulations.aspx" TargetMode="External"/><Relationship Id="rId51" Type="http://schemas.openxmlformats.org/officeDocument/2006/relationships/image" Target="media/image32.emf"/><Relationship Id="rId72" Type="http://schemas.openxmlformats.org/officeDocument/2006/relationships/footer" Target="footer3.xml"/><Relationship Id="rId80" Type="http://schemas.openxmlformats.org/officeDocument/2006/relationships/hyperlink" Target="https://www.itu.int/md/S25-CL-C-0041/en" TargetMode="External"/><Relationship Id="rId85"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s://www.itu.int/fr/ITU-D/Pages/default.aspx" TargetMode="External"/><Relationship Id="rId33" Type="http://schemas.openxmlformats.org/officeDocument/2006/relationships/hyperlink" Target="https://www.itu.int/md/S24-CL-C-0134/fr" TargetMode="External"/><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37.emf"/><Relationship Id="rId67" Type="http://schemas.openxmlformats.org/officeDocument/2006/relationships/header" Target="header1.xml"/><Relationship Id="rId20" Type="http://schemas.openxmlformats.org/officeDocument/2006/relationships/image" Target="media/image11.emf"/><Relationship Id="rId41" Type="http://schemas.openxmlformats.org/officeDocument/2006/relationships/image" Target="media/image23.emf"/><Relationship Id="rId54" Type="http://schemas.openxmlformats.org/officeDocument/2006/relationships/image" Target="media/image34.emf"/><Relationship Id="rId62" Type="http://schemas.openxmlformats.org/officeDocument/2006/relationships/image" Target="media/image40.emf"/><Relationship Id="rId70" Type="http://schemas.openxmlformats.org/officeDocument/2006/relationships/footer" Target="footer2.xml"/><Relationship Id="rId75" Type="http://schemas.openxmlformats.org/officeDocument/2006/relationships/footer" Target="footer4.xml"/><Relationship Id="rId83" Type="http://schemas.openxmlformats.org/officeDocument/2006/relationships/header" Target="header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hyperlink" Target="http://www.itu.int/ITU-R/index.asp?category=information&amp;link=rhome&amp;lang=fr" TargetMode="External"/><Relationship Id="rId28" Type="http://schemas.openxmlformats.org/officeDocument/2006/relationships/hyperlink" Target="https://www.itu.int/md/S24-CL-C-0132/fr" TargetMode="External"/><Relationship Id="rId36" Type="http://schemas.openxmlformats.org/officeDocument/2006/relationships/image" Target="media/image18.emf"/><Relationship Id="rId49" Type="http://schemas.openxmlformats.org/officeDocument/2006/relationships/image" Target="media/image30.emf"/><Relationship Id="rId57" Type="http://schemas.openxmlformats.org/officeDocument/2006/relationships/hyperlink" Target="https://www.unjspf.org/fr/" TargetMode="External"/><Relationship Id="rId10" Type="http://schemas.openxmlformats.org/officeDocument/2006/relationships/image" Target="media/image1.png"/><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3.emf"/><Relationship Id="rId60" Type="http://schemas.openxmlformats.org/officeDocument/2006/relationships/image" Target="media/image38.png"/><Relationship Id="rId65" Type="http://schemas.openxmlformats.org/officeDocument/2006/relationships/image" Target="media/image43.emf"/><Relationship Id="rId73" Type="http://schemas.openxmlformats.org/officeDocument/2006/relationships/image" Target="media/image46.emf"/><Relationship Id="rId78" Type="http://schemas.openxmlformats.org/officeDocument/2006/relationships/hyperlink" Target="https://www.itu.int/en/council/Documents/basic-texts/Convention-F.pdf" TargetMode="External"/><Relationship Id="rId81" Type="http://schemas.openxmlformats.org/officeDocument/2006/relationships/hyperlink" Target="https://www.itu.int/md/S25-CL-C-0040/fr" TargetMode="External"/><Relationship Id="rId86"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itu.int/md/S25-CL-C-0035/fr" TargetMode="Externa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1.emf"/><Relationship Id="rId34" Type="http://schemas.openxmlformats.org/officeDocument/2006/relationships/image" Target="media/image16.emf"/><Relationship Id="rId50" Type="http://schemas.openxmlformats.org/officeDocument/2006/relationships/image" Target="media/image31.emf"/><Relationship Id="rId55" Type="http://schemas.openxmlformats.org/officeDocument/2006/relationships/hyperlink" Target="https://www.itu.int/md/S25-CL-C-0046/fr" TargetMode="External"/><Relationship Id="rId76" Type="http://schemas.openxmlformats.org/officeDocument/2006/relationships/image" Target="media/image48.emf"/><Relationship Id="rId7" Type="http://schemas.openxmlformats.org/officeDocument/2006/relationships/hyperlink" Target="https://www.itu.int/en/council/Documents/basic-texts/Convention-F.pdf" TargetMode="External"/><Relationship Id="rId71"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hyperlink" Target="https://www.itu.int/fr/ITU-T/Pages/default.aspx" TargetMode="External"/><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4.emf"/><Relationship Id="rId87" Type="http://schemas.openxmlformats.org/officeDocument/2006/relationships/footer" Target="footer7.xml"/><Relationship Id="rId61" Type="http://schemas.openxmlformats.org/officeDocument/2006/relationships/image" Target="media/image39.emf"/><Relationship Id="rId82" Type="http://schemas.openxmlformats.org/officeDocument/2006/relationships/header" Target="header4.xml"/><Relationship Id="rId19" Type="http://schemas.openxmlformats.org/officeDocument/2006/relationships/image" Target="media/image10.emf"/></Relationships>
</file>

<file path=word/_rels/footer3.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F%20-%20ITU\SG\PF_Council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F90BD-9C85-46AB-920B-E1796A55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PF_Council25.dotx</Template>
  <TotalTime>0</TotalTime>
  <Pages>78</Pages>
  <Words>26066</Words>
  <Characters>148059</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173778</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gestion financière et états financiers vérifiés pour l'exercice 2024</dc:title>
  <dc:subject>ITU Council 2025</dc:subject>
  <dc:creator>French</dc:creator>
  <cp:keywords>C2025, C25, Council-25</cp:keywords>
  <dc:description/>
  <cp:lastModifiedBy>GBS</cp:lastModifiedBy>
  <cp:revision>2</cp:revision>
  <cp:lastPrinted>2000-07-18T08:55:00Z</cp:lastPrinted>
  <dcterms:created xsi:type="dcterms:W3CDTF">2025-06-12T12:55:00Z</dcterms:created>
  <dcterms:modified xsi:type="dcterms:W3CDTF">2025-06-12T12:55:00Z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GrammarlyDocumentId">
    <vt:lpwstr>3b117b70c20e9b2783321a6b7cab6c2f080bb257cb74c6787543e88ec12dc3bd</vt:lpwstr>
  </property>
</Properties>
</file>