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2"/>
        <w:gridCol w:w="3117"/>
      </w:tblGrid>
      <w:tr w:rsidR="007B0AA0" w14:paraId="63E5741C" w14:textId="77777777" w:rsidTr="00F363FE">
        <w:tc>
          <w:tcPr>
            <w:tcW w:w="6512" w:type="dxa"/>
          </w:tcPr>
          <w:p w14:paraId="4DE96B8F" w14:textId="0343AB45" w:rsidR="007B0AA0" w:rsidRPr="007B0AA0" w:rsidRDefault="007B0AA0" w:rsidP="00F363FE">
            <w:pPr>
              <w:spacing w:before="60" w:after="60" w:line="260" w:lineRule="exact"/>
              <w:rPr>
                <w:b/>
                <w:bCs/>
                <w:rtl/>
                <w:lang w:bidi="ar-EG"/>
              </w:rPr>
            </w:pPr>
            <w:r w:rsidRPr="007B0AA0">
              <w:rPr>
                <w:rFonts w:hint="cs"/>
                <w:b/>
                <w:bCs/>
                <w:rtl/>
                <w:lang w:bidi="ar-EG"/>
              </w:rPr>
              <w:t>بند جدول الأعمال:</w:t>
            </w:r>
            <w:r w:rsidR="003A5074">
              <w:rPr>
                <w:rFonts w:hint="cs"/>
                <w:b/>
                <w:bCs/>
                <w:rtl/>
                <w:lang w:bidi="ar-EG"/>
              </w:rPr>
              <w:t xml:space="preserve"> </w:t>
            </w:r>
            <w:r w:rsidR="003A5074" w:rsidRPr="001A4FF7">
              <w:rPr>
                <w:b/>
              </w:rPr>
              <w:t>ADM 2</w:t>
            </w:r>
          </w:p>
        </w:tc>
        <w:tc>
          <w:tcPr>
            <w:tcW w:w="3117" w:type="dxa"/>
          </w:tcPr>
          <w:p w14:paraId="0ED0309B" w14:textId="336E9E5C" w:rsidR="007B0AA0" w:rsidRPr="007B0AA0" w:rsidRDefault="007B0AA0" w:rsidP="00F363FE">
            <w:pPr>
              <w:spacing w:before="60" w:after="60" w:line="260" w:lineRule="exact"/>
              <w:rPr>
                <w:b/>
                <w:bCs/>
                <w:lang w:bidi="ar-EG"/>
              </w:rPr>
            </w:pPr>
            <w:r w:rsidRPr="007B0AA0">
              <w:rPr>
                <w:rFonts w:hint="cs"/>
                <w:b/>
                <w:bCs/>
                <w:rtl/>
                <w:lang w:bidi="ar-EG"/>
              </w:rPr>
              <w:t xml:space="preserve">الوثيقة </w:t>
            </w:r>
            <w:r w:rsidRPr="007B0AA0">
              <w:rPr>
                <w:b/>
                <w:bCs/>
                <w:lang w:bidi="ar-EG"/>
              </w:rPr>
              <w:t>C2</w:t>
            </w:r>
            <w:r w:rsidR="006F363C">
              <w:rPr>
                <w:b/>
                <w:bCs/>
                <w:lang w:bidi="ar-EG"/>
              </w:rPr>
              <w:t>5</w:t>
            </w:r>
            <w:r w:rsidRPr="007B0AA0">
              <w:rPr>
                <w:b/>
                <w:bCs/>
                <w:lang w:bidi="ar-EG"/>
              </w:rPr>
              <w:t>/</w:t>
            </w:r>
            <w:r w:rsidR="003A5074">
              <w:rPr>
                <w:b/>
                <w:bCs/>
                <w:lang w:bidi="ar-EG"/>
              </w:rPr>
              <w:t>40</w:t>
            </w:r>
            <w:r w:rsidRPr="007B0AA0">
              <w:rPr>
                <w:b/>
                <w:bCs/>
                <w:lang w:bidi="ar-EG"/>
              </w:rPr>
              <w:t>-A</w:t>
            </w:r>
          </w:p>
        </w:tc>
      </w:tr>
      <w:tr w:rsidR="007B0AA0" w14:paraId="0A6D7507" w14:textId="77777777" w:rsidTr="00F363FE">
        <w:tc>
          <w:tcPr>
            <w:tcW w:w="6512" w:type="dxa"/>
          </w:tcPr>
          <w:p w14:paraId="74A45326" w14:textId="77777777" w:rsidR="007B0AA0" w:rsidRPr="007B0AA0" w:rsidRDefault="007B0AA0" w:rsidP="00F363FE">
            <w:pPr>
              <w:spacing w:before="60" w:after="60" w:line="260" w:lineRule="exact"/>
              <w:rPr>
                <w:b/>
                <w:bCs/>
                <w:rtl/>
                <w:lang w:bidi="ar-EG"/>
              </w:rPr>
            </w:pPr>
          </w:p>
        </w:tc>
        <w:tc>
          <w:tcPr>
            <w:tcW w:w="3117" w:type="dxa"/>
          </w:tcPr>
          <w:p w14:paraId="5F16D81B" w14:textId="5BA6EA4B" w:rsidR="007B0AA0" w:rsidRPr="007B0AA0" w:rsidRDefault="003A5074" w:rsidP="00F363FE">
            <w:pPr>
              <w:spacing w:before="60" w:after="60" w:line="260" w:lineRule="exact"/>
              <w:rPr>
                <w:b/>
                <w:bCs/>
                <w:rtl/>
                <w:lang w:bidi="ar-EG"/>
              </w:rPr>
            </w:pPr>
            <w:r>
              <w:rPr>
                <w:rFonts w:hint="cs"/>
                <w:b/>
                <w:bCs/>
                <w:rtl/>
              </w:rPr>
              <w:t>‏</w:t>
            </w:r>
            <w:r w:rsidR="003D14F1">
              <w:rPr>
                <w:b/>
                <w:bCs/>
              </w:rPr>
              <w:t>29</w:t>
            </w:r>
            <w:r>
              <w:rPr>
                <w:rFonts w:hint="cs"/>
                <w:b/>
                <w:bCs/>
                <w:rtl/>
              </w:rPr>
              <w:t>‏ مايو‏ 2025</w:t>
            </w:r>
          </w:p>
        </w:tc>
      </w:tr>
      <w:tr w:rsidR="007B0AA0" w14:paraId="784D7F1A" w14:textId="77777777" w:rsidTr="00F363FE">
        <w:tc>
          <w:tcPr>
            <w:tcW w:w="6512" w:type="dxa"/>
          </w:tcPr>
          <w:p w14:paraId="242F52A1" w14:textId="77777777" w:rsidR="007B0AA0" w:rsidRPr="007B0AA0" w:rsidRDefault="007B0AA0" w:rsidP="00F363FE">
            <w:pPr>
              <w:spacing w:before="60" w:after="60" w:line="260" w:lineRule="exact"/>
              <w:rPr>
                <w:b/>
                <w:bCs/>
                <w:rtl/>
                <w:lang w:bidi="ar-EG"/>
              </w:rPr>
            </w:pPr>
          </w:p>
        </w:tc>
        <w:tc>
          <w:tcPr>
            <w:tcW w:w="3117" w:type="dxa"/>
          </w:tcPr>
          <w:p w14:paraId="4681B019" w14:textId="77777777" w:rsidR="007B0AA0" w:rsidRPr="007B0AA0" w:rsidRDefault="001D64C7" w:rsidP="00F363FE">
            <w:pPr>
              <w:spacing w:before="60" w:after="60" w:line="260" w:lineRule="exact"/>
              <w:rPr>
                <w:b/>
                <w:bCs/>
                <w:rtl/>
                <w:lang w:bidi="ar-EG"/>
              </w:rPr>
            </w:pPr>
            <w:r w:rsidRPr="007B0AA0">
              <w:rPr>
                <w:rFonts w:hint="cs"/>
                <w:b/>
                <w:bCs/>
                <w:rtl/>
                <w:lang w:bidi="ar-EG"/>
              </w:rPr>
              <w:t>الأصل: بالإنكليزية</w:t>
            </w:r>
          </w:p>
        </w:tc>
      </w:tr>
      <w:tr w:rsidR="007B0AA0" w14:paraId="7D231D84" w14:textId="77777777" w:rsidTr="00F363FE">
        <w:tc>
          <w:tcPr>
            <w:tcW w:w="6512" w:type="dxa"/>
          </w:tcPr>
          <w:p w14:paraId="50120859" w14:textId="77777777" w:rsidR="007B0AA0" w:rsidRDefault="007B0AA0" w:rsidP="00F363FE">
            <w:pPr>
              <w:spacing w:before="60" w:after="60" w:line="260" w:lineRule="exact"/>
              <w:rPr>
                <w:lang w:bidi="ar-EG"/>
              </w:rPr>
            </w:pPr>
          </w:p>
        </w:tc>
        <w:tc>
          <w:tcPr>
            <w:tcW w:w="3117" w:type="dxa"/>
          </w:tcPr>
          <w:p w14:paraId="5ED71A91" w14:textId="77777777" w:rsidR="007B0AA0" w:rsidRDefault="007B0AA0" w:rsidP="00F363FE">
            <w:pPr>
              <w:spacing w:before="60" w:after="60" w:line="260" w:lineRule="exact"/>
              <w:rPr>
                <w:rtl/>
                <w:lang w:bidi="ar-EG"/>
              </w:rPr>
            </w:pPr>
          </w:p>
        </w:tc>
      </w:tr>
      <w:tr w:rsidR="007B0AA0" w14:paraId="21111B06" w14:textId="77777777" w:rsidTr="00EE7446">
        <w:tc>
          <w:tcPr>
            <w:tcW w:w="9629" w:type="dxa"/>
            <w:gridSpan w:val="2"/>
          </w:tcPr>
          <w:p w14:paraId="47303FEC" w14:textId="77777777" w:rsidR="007B0AA0" w:rsidRDefault="001D64C7" w:rsidP="007B0AA0">
            <w:pPr>
              <w:pStyle w:val="Source"/>
              <w:jc w:val="left"/>
              <w:rPr>
                <w:lang w:bidi="ar-EG"/>
              </w:rPr>
            </w:pPr>
            <w:r>
              <w:rPr>
                <w:rFonts w:hint="cs"/>
                <w:rtl/>
                <w:lang w:bidi="ar-EG"/>
              </w:rPr>
              <w:t>تقرير من الأمينة العامة</w:t>
            </w:r>
          </w:p>
        </w:tc>
      </w:tr>
      <w:tr w:rsidR="007B0AA0" w14:paraId="35346CA3" w14:textId="77777777" w:rsidTr="007B0AA0">
        <w:tc>
          <w:tcPr>
            <w:tcW w:w="9629" w:type="dxa"/>
            <w:gridSpan w:val="2"/>
            <w:tcBorders>
              <w:bottom w:val="single" w:sz="4" w:space="0" w:color="auto"/>
            </w:tcBorders>
          </w:tcPr>
          <w:p w14:paraId="28468A4D" w14:textId="3E78C16C" w:rsidR="007B0AA0" w:rsidRPr="005546CF" w:rsidRDefault="008D6EC8" w:rsidP="007B0AA0">
            <w:pPr>
              <w:pStyle w:val="Subtitle0"/>
              <w:rPr>
                <w:sz w:val="32"/>
                <w:szCs w:val="32"/>
              </w:rPr>
            </w:pPr>
            <w:r w:rsidRPr="008D6EC8">
              <w:rPr>
                <w:sz w:val="32"/>
                <w:szCs w:val="32"/>
                <w:rtl/>
              </w:rPr>
              <w:t>‏تقرير الإدارة المالية والبيانات المالية المراجَعة للسنة المالية</w:t>
            </w:r>
            <w:r>
              <w:rPr>
                <w:rFonts w:hint="cs"/>
                <w:sz w:val="32"/>
                <w:szCs w:val="32"/>
                <w:rtl/>
              </w:rPr>
              <w:t xml:space="preserve"> </w:t>
            </w:r>
            <w:r w:rsidRPr="008D6EC8">
              <w:rPr>
                <w:sz w:val="32"/>
                <w:szCs w:val="32"/>
                <w:rtl/>
              </w:rPr>
              <w:t>2024</w:t>
            </w:r>
          </w:p>
        </w:tc>
      </w:tr>
      <w:tr w:rsidR="007B0AA0" w14:paraId="3667A683" w14:textId="77777777" w:rsidTr="007B0AA0">
        <w:tc>
          <w:tcPr>
            <w:tcW w:w="9629" w:type="dxa"/>
            <w:gridSpan w:val="2"/>
            <w:tcBorders>
              <w:top w:val="single" w:sz="4" w:space="0" w:color="auto"/>
              <w:bottom w:val="single" w:sz="4" w:space="0" w:color="auto"/>
            </w:tcBorders>
          </w:tcPr>
          <w:p w14:paraId="373879B0" w14:textId="77777777" w:rsidR="007B0AA0" w:rsidRPr="007B0AA0" w:rsidRDefault="007B0AA0" w:rsidP="007B0AA0">
            <w:pPr>
              <w:rPr>
                <w:b/>
                <w:bCs/>
                <w:rtl/>
              </w:rPr>
            </w:pPr>
            <w:r w:rsidRPr="00494119">
              <w:rPr>
                <w:rFonts w:hint="cs"/>
                <w:b/>
                <w:bCs/>
                <w:rtl/>
              </w:rPr>
              <w:t>الغرض</w:t>
            </w:r>
          </w:p>
          <w:p w14:paraId="59D480BB" w14:textId="77777777" w:rsidR="008D6EC8" w:rsidRDefault="008D6EC8" w:rsidP="008D6EC8">
            <w:pPr>
              <w:rPr>
                <w:rtl/>
              </w:rPr>
            </w:pPr>
            <w:r>
              <w:rPr>
                <w:rtl/>
              </w:rPr>
              <w:t xml:space="preserve">يُطلب </w:t>
            </w:r>
            <w:r w:rsidRPr="00A635B0">
              <w:rPr>
                <w:rtl/>
              </w:rPr>
              <w:t>من الأمين العام، بموجب الرقم 101 من اتفاقية الاتحاد الدولي للاتصالات والمادة 30 من اللوائح المالية للاتحاد، أن يقدم تقريراً عن الإدارة المالية إلى المجلس</w:t>
            </w:r>
            <w:r>
              <w:rPr>
                <w:rtl/>
              </w:rPr>
              <w:t xml:space="preserve"> كل عام.</w:t>
            </w:r>
          </w:p>
          <w:p w14:paraId="72263D7C" w14:textId="485B6A90" w:rsidR="00546E91" w:rsidRPr="00A203F9" w:rsidRDefault="008D6EC8" w:rsidP="008D6EC8">
            <w:pPr>
              <w:rPr>
                <w:rtl/>
              </w:rPr>
            </w:pPr>
            <w:r w:rsidRPr="00A203F9">
              <w:rPr>
                <w:rtl/>
              </w:rPr>
              <w:t>ويغطي تقرير الإدارة المالية عن السنة المالية 2024:</w:t>
            </w:r>
          </w:p>
          <w:p w14:paraId="0CA131ED" w14:textId="13A5604F" w:rsidR="007B0AA0" w:rsidRDefault="00546E91" w:rsidP="00546E91">
            <w:pPr>
              <w:pStyle w:val="enumlev1"/>
              <w:rPr>
                <w:rtl/>
              </w:rPr>
            </w:pPr>
            <w:r w:rsidRPr="008D6EC8">
              <w:sym w:font="Wingdings 2" w:char="F097"/>
            </w:r>
            <w:r w:rsidRPr="008D6EC8">
              <w:rPr>
                <w:rtl/>
              </w:rPr>
              <w:tab/>
            </w:r>
            <w:r w:rsidR="008D6EC8" w:rsidRPr="008D6EC8">
              <w:rPr>
                <w:rtl/>
              </w:rPr>
              <w:t>الحسابات المراجَعة للسنة المالية 2024 لميزانية الاتحاد والأموال الخارجة عن الميزانية.</w:t>
            </w:r>
          </w:p>
          <w:p w14:paraId="1F051489" w14:textId="77777777" w:rsidR="007B0AA0" w:rsidRPr="007B0AA0" w:rsidRDefault="007B0AA0" w:rsidP="007B0AA0">
            <w:pPr>
              <w:rPr>
                <w:b/>
                <w:bCs/>
                <w:rtl/>
              </w:rPr>
            </w:pPr>
            <w:r w:rsidRPr="007B0AA0">
              <w:rPr>
                <w:rFonts w:hint="cs"/>
                <w:b/>
                <w:bCs/>
                <w:rtl/>
              </w:rPr>
              <w:t>الإجراء المطلوب من المجلس</w:t>
            </w:r>
          </w:p>
          <w:p w14:paraId="336010CE" w14:textId="2900FB0D" w:rsidR="00546E91" w:rsidRPr="008D6EC8" w:rsidRDefault="00546E91" w:rsidP="00546E91">
            <w:pPr>
              <w:rPr>
                <w:rtl/>
              </w:rPr>
            </w:pPr>
            <w:r w:rsidRPr="008D6EC8">
              <w:rPr>
                <w:rtl/>
              </w:rPr>
              <w:t xml:space="preserve">يُقدم تقرير الإدارة المالية بشأن الحسابات المراجَعة ومشروع القرار الوارد في </w:t>
            </w:r>
            <w:hyperlink w:anchor="الملحق_A" w:history="1">
              <w:r w:rsidRPr="008D6EC8">
                <w:rPr>
                  <w:rStyle w:val="Hyperlink"/>
                  <w:noProof w:val="0"/>
                  <w:rtl/>
                  <w:lang w:val="en-US" w:eastAsia="zh-CN"/>
                </w:rPr>
                <w:t xml:space="preserve">الملحق </w:t>
              </w:r>
              <w:r w:rsidR="009F4F01">
                <w:rPr>
                  <w:rStyle w:val="Hyperlink"/>
                  <w:noProof w:val="0"/>
                  <w:lang w:val="en-US" w:eastAsia="zh-CN"/>
                </w:rPr>
                <w:t>A</w:t>
              </w:r>
            </w:hyperlink>
            <w:r w:rsidRPr="008D6EC8">
              <w:rPr>
                <w:rtl/>
              </w:rPr>
              <w:t xml:space="preserve"> إلى المجلس </w:t>
            </w:r>
            <w:r w:rsidRPr="008D6EC8">
              <w:rPr>
                <w:b/>
                <w:bCs/>
                <w:rtl/>
              </w:rPr>
              <w:t>للنظر فيهما</w:t>
            </w:r>
            <w:r w:rsidRPr="008D6EC8">
              <w:rPr>
                <w:rtl/>
              </w:rPr>
              <w:t xml:space="preserve"> </w:t>
            </w:r>
            <w:r w:rsidRPr="008D6EC8">
              <w:rPr>
                <w:b/>
                <w:bCs/>
                <w:rtl/>
              </w:rPr>
              <w:t>والموافقة عليهما</w:t>
            </w:r>
            <w:r w:rsidRPr="008D6EC8">
              <w:rPr>
                <w:rtl/>
              </w:rPr>
              <w:t>.</w:t>
            </w:r>
          </w:p>
          <w:p w14:paraId="4480E5A9" w14:textId="6D7F759A" w:rsidR="007B0AA0" w:rsidRDefault="008D6EC8" w:rsidP="00546E91">
            <w:pPr>
              <w:rPr>
                <w:rtl/>
              </w:rPr>
            </w:pPr>
            <w:r w:rsidRPr="008D6EC8">
              <w:rPr>
                <w:rtl/>
              </w:rPr>
              <w:t>وسيُرسل التقرير بعد أن ينظر المجلس فيه ويوافق عليه، إلى الدول الأعضاء وأعضاء القطاعات.</w:t>
            </w:r>
          </w:p>
          <w:p w14:paraId="21F13565" w14:textId="77777777" w:rsidR="007B0AA0" w:rsidRPr="007B0AA0" w:rsidRDefault="007B0AA0" w:rsidP="007B0AA0">
            <w:pPr>
              <w:rPr>
                <w:rFonts w:ascii="Traditional Arabic" w:hAnsi="Traditional Arabic" w:cs="Traditional Arabic"/>
                <w:sz w:val="30"/>
                <w:szCs w:val="30"/>
                <w:rtl/>
              </w:rPr>
            </w:pPr>
            <w:r w:rsidRPr="007B0AA0">
              <w:rPr>
                <w:rFonts w:ascii="Traditional Arabic" w:hAnsi="Traditional Arabic" w:cs="Traditional Arabic"/>
                <w:sz w:val="30"/>
                <w:szCs w:val="30"/>
                <w:rtl/>
              </w:rPr>
              <w:t>___________</w:t>
            </w:r>
          </w:p>
          <w:p w14:paraId="3D9A1B5D" w14:textId="77777777" w:rsidR="007B0AA0" w:rsidRPr="007B0AA0" w:rsidRDefault="007B0AA0" w:rsidP="007B0AA0">
            <w:pPr>
              <w:rPr>
                <w:b/>
                <w:bCs/>
                <w:rtl/>
              </w:rPr>
            </w:pPr>
            <w:r w:rsidRPr="007B0AA0">
              <w:rPr>
                <w:rFonts w:hint="cs"/>
                <w:b/>
                <w:bCs/>
                <w:rtl/>
              </w:rPr>
              <w:t>المراجع</w:t>
            </w:r>
          </w:p>
          <w:p w14:paraId="7E2E3A51" w14:textId="2AEE860A" w:rsidR="00546E91" w:rsidRPr="00546E91" w:rsidRDefault="00546E91" w:rsidP="00546E91">
            <w:pPr>
              <w:rPr>
                <w:i/>
                <w:iCs/>
                <w:rtl/>
              </w:rPr>
            </w:pPr>
            <w:r w:rsidRPr="00546E91">
              <w:rPr>
                <w:i/>
                <w:iCs/>
                <w:rtl/>
              </w:rPr>
              <w:t xml:space="preserve">الاتفاقية: </w:t>
            </w:r>
            <w:hyperlink r:id="rId8" w:history="1">
              <w:r w:rsidRPr="00546E91">
                <w:rPr>
                  <w:rStyle w:val="Hyperlink"/>
                  <w:i/>
                  <w:iCs/>
                  <w:noProof w:val="0"/>
                  <w:rtl/>
                  <w:lang w:val="en-US" w:eastAsia="zh-CN"/>
                </w:rPr>
                <w:t>الرقم 101</w:t>
              </w:r>
            </w:hyperlink>
          </w:p>
          <w:p w14:paraId="5C18970D" w14:textId="61E1A53D" w:rsidR="007B0AA0" w:rsidRPr="005546CF" w:rsidRDefault="00546E91" w:rsidP="00546E91">
            <w:pPr>
              <w:rPr>
                <w:i/>
                <w:iCs/>
                <w:rtl/>
              </w:rPr>
            </w:pPr>
            <w:r w:rsidRPr="00546E91">
              <w:rPr>
                <w:i/>
                <w:iCs/>
                <w:rtl/>
              </w:rPr>
              <w:t xml:space="preserve">اللوائح المالية للاتحاد: </w:t>
            </w:r>
            <w:hyperlink r:id="rId9" w:history="1">
              <w:r w:rsidRPr="00546E91">
                <w:rPr>
                  <w:rStyle w:val="Hyperlink"/>
                  <w:i/>
                  <w:iCs/>
                  <w:noProof w:val="0"/>
                  <w:rtl/>
                  <w:lang w:val="en-US" w:eastAsia="zh-CN"/>
                </w:rPr>
                <w:t>المادة 30</w:t>
              </w:r>
            </w:hyperlink>
          </w:p>
        </w:tc>
      </w:tr>
    </w:tbl>
    <w:p w14:paraId="6082A277" w14:textId="77777777" w:rsidR="00F50E3F" w:rsidRDefault="00F50E3F" w:rsidP="0043260A">
      <w:pPr>
        <w:rPr>
          <w:rtl/>
          <w:lang w:bidi="ar-EG"/>
        </w:rPr>
      </w:pPr>
      <w:r>
        <w:rPr>
          <w:rtl/>
          <w:lang w:bidi="ar-EG"/>
        </w:rPr>
        <w:br w:type="page"/>
      </w:r>
    </w:p>
    <w:p w14:paraId="6AE5F1C6" w14:textId="77777777" w:rsidR="00525490" w:rsidRPr="005269E6" w:rsidRDefault="00525490" w:rsidP="00525490">
      <w:pPr>
        <w:pStyle w:val="Annextitle0"/>
      </w:pPr>
      <w:r w:rsidRPr="005269E6">
        <w:rPr>
          <w:rtl/>
        </w:rPr>
        <w:lastRenderedPageBreak/>
        <w:t>تقرير الإدارة المالية</w:t>
      </w:r>
    </w:p>
    <w:p w14:paraId="12793730" w14:textId="77777777" w:rsidR="00525490" w:rsidRDefault="00525490" w:rsidP="00520599">
      <w:pPr>
        <w:spacing w:after="360"/>
        <w:jc w:val="center"/>
        <w:rPr>
          <w:b/>
          <w:bCs/>
          <w:sz w:val="24"/>
          <w:szCs w:val="24"/>
          <w:rtl/>
          <w:lang w:bidi="ar-EG"/>
        </w:rPr>
      </w:pPr>
      <w:r w:rsidRPr="005269E6">
        <w:rPr>
          <w:b/>
          <w:bCs/>
          <w:sz w:val="24"/>
          <w:szCs w:val="24"/>
          <w:rtl/>
          <w:lang w:bidi="ar-EG"/>
        </w:rPr>
        <w:t>جدول المحتويات</w:t>
      </w:r>
    </w:p>
    <w:p w14:paraId="6D8A4731" w14:textId="637E2F7D" w:rsidR="00520599" w:rsidRPr="005269E6" w:rsidRDefault="00520599" w:rsidP="00520599">
      <w:pPr>
        <w:jc w:val="right"/>
        <w:rPr>
          <w:b/>
          <w:bCs/>
          <w:sz w:val="24"/>
          <w:szCs w:val="24"/>
          <w:rtl/>
          <w:lang w:bidi="ar-EG"/>
        </w:rPr>
      </w:pPr>
      <w:r>
        <w:rPr>
          <w:rFonts w:hint="cs"/>
          <w:b/>
          <w:bCs/>
          <w:sz w:val="24"/>
          <w:szCs w:val="24"/>
          <w:rtl/>
          <w:lang w:bidi="ar-EG"/>
        </w:rPr>
        <w:t>الصفحة</w:t>
      </w:r>
    </w:p>
    <w:bookmarkStart w:id="0" w:name="_Toc199403729"/>
    <w:p w14:paraId="7B884619" w14:textId="66C131AC"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r>
        <w:rPr>
          <w:b/>
          <w:bCs/>
          <w:rtl/>
        </w:rPr>
        <w:fldChar w:fldCharType="begin"/>
      </w:r>
      <w:r>
        <w:rPr>
          <w:b/>
          <w:bCs/>
          <w:rtl/>
        </w:rPr>
        <w:instrText xml:space="preserve"> </w:instrText>
      </w:r>
      <w:r>
        <w:rPr>
          <w:b/>
          <w:bCs/>
        </w:rPr>
        <w:instrText>TOC</w:instrText>
      </w:r>
      <w:r>
        <w:rPr>
          <w:b/>
          <w:bCs/>
          <w:rtl/>
        </w:rPr>
        <w:instrText xml:space="preserve"> \</w:instrText>
      </w:r>
      <w:r>
        <w:rPr>
          <w:b/>
          <w:bCs/>
        </w:rPr>
        <w:instrText>h \z \t "Heading 1,1,Annex No,1</w:instrText>
      </w:r>
      <w:r>
        <w:rPr>
          <w:b/>
          <w:bCs/>
          <w:rtl/>
        </w:rPr>
        <w:instrText xml:space="preserve">" </w:instrText>
      </w:r>
      <w:r>
        <w:rPr>
          <w:b/>
          <w:bCs/>
          <w:rtl/>
        </w:rPr>
        <w:fldChar w:fldCharType="separate"/>
      </w:r>
      <w:hyperlink w:anchor="_Toc201043133" w:history="1">
        <w:r w:rsidRPr="00635D77">
          <w:rPr>
            <w:rStyle w:val="Hyperlink"/>
            <w:rFonts w:hint="eastAsia"/>
            <w:rtl/>
            <w:lang w:bidi="ar-EG"/>
          </w:rPr>
          <w:t>مقدمة</w:t>
        </w:r>
        <w:r w:rsidRPr="00635D77">
          <w:rPr>
            <w:rStyle w:val="Hyperlink"/>
            <w:rtl/>
            <w:lang w:bidi="ar-EG"/>
          </w:rPr>
          <w:t xml:space="preserve"> </w:t>
        </w:r>
        <w:r w:rsidRPr="00635D77">
          <w:rPr>
            <w:rStyle w:val="Hyperlink"/>
            <w:rFonts w:hint="eastAsia"/>
            <w:rtl/>
            <w:lang w:bidi="ar-EG"/>
          </w:rPr>
          <w:t>للبيانات</w:t>
        </w:r>
        <w:r w:rsidRPr="00635D77">
          <w:rPr>
            <w:rStyle w:val="Hyperlink"/>
            <w:rtl/>
            <w:lang w:bidi="ar-EG"/>
          </w:rPr>
          <w:t xml:space="preserve"> </w:t>
        </w:r>
        <w:r w:rsidRPr="00635D77">
          <w:rPr>
            <w:rStyle w:val="Hyperlink"/>
            <w:rFonts w:hint="eastAsia"/>
            <w:rtl/>
            <w:lang w:bidi="ar-EG"/>
          </w:rPr>
          <w:t>المالية</w:t>
        </w:r>
        <w:r w:rsidRPr="00635D77">
          <w:rPr>
            <w:rStyle w:val="Hyperlink"/>
            <w:rtl/>
            <w:lang w:bidi="ar-EG"/>
          </w:rPr>
          <w:t xml:space="preserve"> </w:t>
        </w:r>
        <w:r w:rsidRPr="00635D77">
          <w:rPr>
            <w:rStyle w:val="Hyperlink"/>
            <w:rFonts w:hint="eastAsia"/>
            <w:rtl/>
            <w:lang w:bidi="ar-EG"/>
          </w:rPr>
          <w:t>لعام</w:t>
        </w:r>
        <w:r w:rsidRPr="00635D77">
          <w:rPr>
            <w:rStyle w:val="Hyperlink"/>
            <w:rtl/>
            <w:lang w:bidi="ar-EG"/>
          </w:rPr>
          <w:t xml:space="preserve"> 2024</w:t>
        </w:r>
        <w:r>
          <w:rPr>
            <w:noProof/>
            <w:webHidden/>
          </w:rPr>
          <w:tab/>
        </w:r>
        <w:r>
          <w:rPr>
            <w:noProof/>
            <w:webHidden/>
            <w:rtl/>
          </w:rPr>
          <w:tab/>
        </w:r>
        <w:r>
          <w:rPr>
            <w:noProof/>
            <w:webHidden/>
          </w:rPr>
          <w:fldChar w:fldCharType="begin"/>
        </w:r>
        <w:r>
          <w:rPr>
            <w:noProof/>
            <w:webHidden/>
          </w:rPr>
          <w:instrText xml:space="preserve"> PAGEREF _Toc201043133 \h </w:instrText>
        </w:r>
        <w:r>
          <w:rPr>
            <w:noProof/>
            <w:webHidden/>
          </w:rPr>
        </w:r>
        <w:r>
          <w:rPr>
            <w:noProof/>
            <w:webHidden/>
          </w:rPr>
          <w:fldChar w:fldCharType="separate"/>
        </w:r>
        <w:r w:rsidR="008B3DD5">
          <w:rPr>
            <w:noProof/>
            <w:webHidden/>
            <w:rtl/>
          </w:rPr>
          <w:t>3</w:t>
        </w:r>
        <w:r>
          <w:rPr>
            <w:noProof/>
            <w:webHidden/>
          </w:rPr>
          <w:fldChar w:fldCharType="end"/>
        </w:r>
      </w:hyperlink>
    </w:p>
    <w:p w14:paraId="35F6172E" w14:textId="65A6DEC6"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4" w:history="1">
        <w:r w:rsidRPr="00635D77">
          <w:rPr>
            <w:rStyle w:val="Hyperlink"/>
            <w:rFonts w:hint="eastAsia"/>
            <w:rtl/>
          </w:rPr>
          <w:t>مقدمة</w:t>
        </w:r>
        <w:r>
          <w:rPr>
            <w:noProof/>
            <w:webHidden/>
            <w:rtl/>
          </w:rPr>
          <w:tab/>
        </w:r>
        <w:r>
          <w:rPr>
            <w:noProof/>
            <w:webHidden/>
            <w:rtl/>
          </w:rPr>
          <w:tab/>
        </w:r>
        <w:r w:rsidR="00B8375F">
          <w:rPr>
            <w:noProof/>
            <w:webHidden/>
            <w:rtl/>
          </w:rPr>
          <w:tab/>
        </w:r>
        <w:r>
          <w:rPr>
            <w:noProof/>
            <w:webHidden/>
          </w:rPr>
          <w:fldChar w:fldCharType="begin"/>
        </w:r>
        <w:r>
          <w:rPr>
            <w:noProof/>
            <w:webHidden/>
          </w:rPr>
          <w:instrText xml:space="preserve"> PAGEREF _Toc201043134 \h </w:instrText>
        </w:r>
        <w:r>
          <w:rPr>
            <w:noProof/>
            <w:webHidden/>
          </w:rPr>
        </w:r>
        <w:r>
          <w:rPr>
            <w:noProof/>
            <w:webHidden/>
          </w:rPr>
          <w:fldChar w:fldCharType="separate"/>
        </w:r>
        <w:r w:rsidR="008B3DD5">
          <w:rPr>
            <w:noProof/>
            <w:webHidden/>
            <w:rtl/>
          </w:rPr>
          <w:t>5</w:t>
        </w:r>
        <w:r>
          <w:rPr>
            <w:noProof/>
            <w:webHidden/>
          </w:rPr>
          <w:fldChar w:fldCharType="end"/>
        </w:r>
      </w:hyperlink>
    </w:p>
    <w:p w14:paraId="3CE42158" w14:textId="422BDAE9"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5" w:history="1">
        <w:r w:rsidRPr="00635D77">
          <w:rPr>
            <w:rStyle w:val="Hyperlink"/>
            <w:rFonts w:hint="eastAsia"/>
            <w:rtl/>
          </w:rPr>
          <w:t>أبرز</w:t>
        </w:r>
        <w:r w:rsidRPr="00635D77">
          <w:rPr>
            <w:rStyle w:val="Hyperlink"/>
            <w:rtl/>
          </w:rPr>
          <w:t xml:space="preserve"> </w:t>
        </w:r>
        <w:r w:rsidRPr="00635D77">
          <w:rPr>
            <w:rStyle w:val="Hyperlink"/>
            <w:rFonts w:hint="eastAsia"/>
            <w:rtl/>
          </w:rPr>
          <w:t>نقاط</w:t>
        </w:r>
        <w:r w:rsidRPr="00635D77">
          <w:rPr>
            <w:rStyle w:val="Hyperlink"/>
            <w:rtl/>
          </w:rPr>
          <w:t xml:space="preserve"> </w:t>
        </w:r>
        <w:r w:rsidRPr="00635D77">
          <w:rPr>
            <w:rStyle w:val="Hyperlink"/>
            <w:rFonts w:hint="eastAsia"/>
            <w:rtl/>
          </w:rPr>
          <w:t>تقرير</w:t>
        </w:r>
        <w:r w:rsidRPr="00635D77">
          <w:rPr>
            <w:rStyle w:val="Hyperlink"/>
            <w:rtl/>
          </w:rPr>
          <w:t xml:space="preserve"> </w:t>
        </w:r>
        <w:r w:rsidRPr="00635D77">
          <w:rPr>
            <w:rStyle w:val="Hyperlink"/>
            <w:rFonts w:hint="eastAsia"/>
            <w:rtl/>
          </w:rPr>
          <w:t>الإدارة</w:t>
        </w:r>
        <w:r w:rsidRPr="00635D77">
          <w:rPr>
            <w:rStyle w:val="Hyperlink"/>
            <w:rtl/>
          </w:rPr>
          <w:t xml:space="preserve"> </w:t>
        </w:r>
        <w:r w:rsidRPr="00635D77">
          <w:rPr>
            <w:rStyle w:val="Hyperlink"/>
            <w:rFonts w:hint="eastAsia"/>
            <w:rtl/>
          </w:rPr>
          <w:t>المالية</w:t>
        </w:r>
        <w:r w:rsidRPr="00635D77">
          <w:rPr>
            <w:rStyle w:val="Hyperlink"/>
            <w:rtl/>
          </w:rPr>
          <w:t xml:space="preserve"> </w:t>
        </w:r>
        <w:r w:rsidRPr="00635D77">
          <w:rPr>
            <w:rStyle w:val="Hyperlink"/>
          </w:rPr>
          <w:t>2024</w:t>
        </w:r>
        <w:r>
          <w:rPr>
            <w:noProof/>
            <w:webHidden/>
          </w:rPr>
          <w:tab/>
        </w:r>
        <w:r>
          <w:rPr>
            <w:noProof/>
            <w:webHidden/>
            <w:rtl/>
          </w:rPr>
          <w:tab/>
        </w:r>
        <w:r>
          <w:rPr>
            <w:noProof/>
            <w:webHidden/>
          </w:rPr>
          <w:fldChar w:fldCharType="begin"/>
        </w:r>
        <w:r>
          <w:rPr>
            <w:noProof/>
            <w:webHidden/>
          </w:rPr>
          <w:instrText xml:space="preserve"> PAGEREF _Toc201043135 \h </w:instrText>
        </w:r>
        <w:r>
          <w:rPr>
            <w:noProof/>
            <w:webHidden/>
          </w:rPr>
        </w:r>
        <w:r>
          <w:rPr>
            <w:noProof/>
            <w:webHidden/>
          </w:rPr>
          <w:fldChar w:fldCharType="separate"/>
        </w:r>
        <w:r w:rsidR="008B3DD5">
          <w:rPr>
            <w:noProof/>
            <w:webHidden/>
            <w:rtl/>
          </w:rPr>
          <w:t>5</w:t>
        </w:r>
        <w:r>
          <w:rPr>
            <w:noProof/>
            <w:webHidden/>
          </w:rPr>
          <w:fldChar w:fldCharType="end"/>
        </w:r>
      </w:hyperlink>
    </w:p>
    <w:p w14:paraId="16DFFA73" w14:textId="1DA9F82C"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6" w:history="1">
        <w:r w:rsidRPr="00635D77">
          <w:rPr>
            <w:rStyle w:val="Hyperlink"/>
            <w:rFonts w:hint="eastAsia"/>
            <w:rtl/>
          </w:rPr>
          <w:t>بيان</w:t>
        </w:r>
        <w:r w:rsidRPr="00635D77">
          <w:rPr>
            <w:rStyle w:val="Hyperlink"/>
            <w:rtl/>
          </w:rPr>
          <w:t xml:space="preserve"> </w:t>
        </w:r>
        <w:r w:rsidRPr="00635D77">
          <w:rPr>
            <w:rStyle w:val="Hyperlink"/>
            <w:rFonts w:hint="eastAsia"/>
            <w:rtl/>
          </w:rPr>
          <w:t>عن</w:t>
        </w:r>
        <w:r w:rsidRPr="00635D77">
          <w:rPr>
            <w:rStyle w:val="Hyperlink"/>
            <w:rtl/>
          </w:rPr>
          <w:t xml:space="preserve"> </w:t>
        </w:r>
        <w:r w:rsidRPr="00635D77">
          <w:rPr>
            <w:rStyle w:val="Hyperlink"/>
            <w:rFonts w:hint="eastAsia"/>
            <w:rtl/>
          </w:rPr>
          <w:t>الرقابة</w:t>
        </w:r>
        <w:r w:rsidRPr="00635D77">
          <w:rPr>
            <w:rStyle w:val="Hyperlink"/>
            <w:rtl/>
          </w:rPr>
          <w:t xml:space="preserve"> </w:t>
        </w:r>
        <w:r w:rsidRPr="00635D77">
          <w:rPr>
            <w:rStyle w:val="Hyperlink"/>
            <w:rFonts w:hint="eastAsia"/>
            <w:rtl/>
          </w:rPr>
          <w:t>الداخلية</w:t>
        </w:r>
        <w:r w:rsidRPr="00635D77">
          <w:rPr>
            <w:rStyle w:val="Hyperlink"/>
            <w:rtl/>
          </w:rPr>
          <w:t xml:space="preserve"> </w:t>
        </w:r>
        <w:r w:rsidRPr="00635D77">
          <w:rPr>
            <w:rStyle w:val="Hyperlink"/>
            <w:rFonts w:hint="eastAsia"/>
            <w:rtl/>
          </w:rPr>
          <w:t>لعام</w:t>
        </w:r>
        <w:r w:rsidRPr="00635D77">
          <w:rPr>
            <w:rStyle w:val="Hyperlink"/>
            <w:rtl/>
          </w:rPr>
          <w:t xml:space="preserve"> </w:t>
        </w:r>
        <w:r w:rsidRPr="00635D77">
          <w:rPr>
            <w:rStyle w:val="Hyperlink"/>
          </w:rPr>
          <w:t>2024</w:t>
        </w:r>
        <w:r>
          <w:rPr>
            <w:noProof/>
            <w:webHidden/>
          </w:rPr>
          <w:tab/>
        </w:r>
        <w:r>
          <w:rPr>
            <w:noProof/>
            <w:webHidden/>
            <w:rtl/>
          </w:rPr>
          <w:tab/>
        </w:r>
        <w:r>
          <w:rPr>
            <w:noProof/>
            <w:webHidden/>
          </w:rPr>
          <w:fldChar w:fldCharType="begin"/>
        </w:r>
        <w:r>
          <w:rPr>
            <w:noProof/>
            <w:webHidden/>
          </w:rPr>
          <w:instrText xml:space="preserve"> PAGEREF _Toc201043136 \h </w:instrText>
        </w:r>
        <w:r>
          <w:rPr>
            <w:noProof/>
            <w:webHidden/>
          </w:rPr>
        </w:r>
        <w:r>
          <w:rPr>
            <w:noProof/>
            <w:webHidden/>
          </w:rPr>
          <w:fldChar w:fldCharType="separate"/>
        </w:r>
        <w:r w:rsidR="008B3DD5">
          <w:rPr>
            <w:noProof/>
            <w:webHidden/>
            <w:rtl/>
          </w:rPr>
          <w:t>12</w:t>
        </w:r>
        <w:r>
          <w:rPr>
            <w:noProof/>
            <w:webHidden/>
          </w:rPr>
          <w:fldChar w:fldCharType="end"/>
        </w:r>
      </w:hyperlink>
    </w:p>
    <w:p w14:paraId="2997BA36" w14:textId="0048D07A"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7" w:history="1">
        <w:r w:rsidRPr="00635D77">
          <w:rPr>
            <w:rStyle w:val="Hyperlink"/>
            <w:rFonts w:hint="eastAsia"/>
            <w:rtl/>
            <w:lang w:bidi="ar-EG"/>
          </w:rPr>
          <w:t>رأي</w:t>
        </w:r>
        <w:r w:rsidRPr="00635D77">
          <w:rPr>
            <w:rStyle w:val="Hyperlink"/>
            <w:rtl/>
            <w:lang w:bidi="ar-EG"/>
          </w:rPr>
          <w:t xml:space="preserve"> </w:t>
        </w:r>
        <w:r w:rsidRPr="00635D77">
          <w:rPr>
            <w:rStyle w:val="Hyperlink"/>
            <w:rFonts w:hint="eastAsia"/>
            <w:rtl/>
            <w:lang w:bidi="ar-EG"/>
          </w:rPr>
          <w:t>مراجع</w:t>
        </w:r>
        <w:r w:rsidRPr="00635D77">
          <w:rPr>
            <w:rStyle w:val="Hyperlink"/>
            <w:rtl/>
            <w:lang w:bidi="ar-EG"/>
          </w:rPr>
          <w:t xml:space="preserve"> </w:t>
        </w:r>
        <w:r w:rsidRPr="00635D77">
          <w:rPr>
            <w:rStyle w:val="Hyperlink"/>
            <w:rFonts w:hint="eastAsia"/>
            <w:rtl/>
            <w:lang w:bidi="ar-EG"/>
          </w:rPr>
          <w:t>الحسابات</w:t>
        </w:r>
        <w:r w:rsidRPr="00635D77">
          <w:rPr>
            <w:rStyle w:val="Hyperlink"/>
            <w:rtl/>
            <w:lang w:bidi="ar-EG"/>
          </w:rPr>
          <w:t xml:space="preserve"> </w:t>
        </w:r>
        <w:r w:rsidRPr="00635D77">
          <w:rPr>
            <w:rStyle w:val="Hyperlink"/>
            <w:rFonts w:hint="eastAsia"/>
            <w:rtl/>
            <w:lang w:bidi="ar-EG"/>
          </w:rPr>
          <w:t>الخارجي</w:t>
        </w:r>
        <w:r>
          <w:rPr>
            <w:noProof/>
            <w:webHidden/>
          </w:rPr>
          <w:tab/>
        </w:r>
        <w:r>
          <w:rPr>
            <w:noProof/>
            <w:webHidden/>
            <w:rtl/>
          </w:rPr>
          <w:tab/>
        </w:r>
        <w:r>
          <w:rPr>
            <w:noProof/>
            <w:webHidden/>
          </w:rPr>
          <w:fldChar w:fldCharType="begin"/>
        </w:r>
        <w:r>
          <w:rPr>
            <w:noProof/>
            <w:webHidden/>
          </w:rPr>
          <w:instrText xml:space="preserve"> PAGEREF _Toc201043137 \h </w:instrText>
        </w:r>
        <w:r>
          <w:rPr>
            <w:noProof/>
            <w:webHidden/>
          </w:rPr>
        </w:r>
        <w:r>
          <w:rPr>
            <w:noProof/>
            <w:webHidden/>
          </w:rPr>
          <w:fldChar w:fldCharType="separate"/>
        </w:r>
        <w:r w:rsidR="008B3DD5">
          <w:rPr>
            <w:noProof/>
            <w:webHidden/>
            <w:rtl/>
          </w:rPr>
          <w:t>18</w:t>
        </w:r>
        <w:r>
          <w:rPr>
            <w:noProof/>
            <w:webHidden/>
          </w:rPr>
          <w:fldChar w:fldCharType="end"/>
        </w:r>
      </w:hyperlink>
    </w:p>
    <w:p w14:paraId="3CCF7871" w14:textId="23CEEAE4"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8" w:history="1">
        <w:r w:rsidRPr="00635D77">
          <w:rPr>
            <w:rStyle w:val="Hyperlink"/>
            <w:rFonts w:hint="eastAsia"/>
            <w:rtl/>
            <w:lang w:bidi="ar-EG"/>
          </w:rPr>
          <w:t>البيانات</w:t>
        </w:r>
        <w:r w:rsidRPr="00635D77">
          <w:rPr>
            <w:rStyle w:val="Hyperlink"/>
            <w:rtl/>
            <w:lang w:bidi="ar-EG"/>
          </w:rPr>
          <w:t xml:space="preserve"> </w:t>
        </w:r>
        <w:r w:rsidRPr="00635D77">
          <w:rPr>
            <w:rStyle w:val="Hyperlink"/>
            <w:rFonts w:hint="eastAsia"/>
            <w:rtl/>
            <w:lang w:bidi="ar-EG"/>
          </w:rPr>
          <w:t>المالية</w:t>
        </w:r>
        <w:r>
          <w:rPr>
            <w:noProof/>
            <w:webHidden/>
          </w:rPr>
          <w:tab/>
        </w:r>
        <w:r>
          <w:rPr>
            <w:noProof/>
            <w:webHidden/>
            <w:rtl/>
          </w:rPr>
          <w:tab/>
        </w:r>
        <w:r>
          <w:rPr>
            <w:noProof/>
            <w:webHidden/>
          </w:rPr>
          <w:fldChar w:fldCharType="begin"/>
        </w:r>
        <w:r>
          <w:rPr>
            <w:noProof/>
            <w:webHidden/>
          </w:rPr>
          <w:instrText xml:space="preserve"> PAGEREF _Toc201043138 \h </w:instrText>
        </w:r>
        <w:r>
          <w:rPr>
            <w:noProof/>
            <w:webHidden/>
          </w:rPr>
        </w:r>
        <w:r>
          <w:rPr>
            <w:noProof/>
            <w:webHidden/>
          </w:rPr>
          <w:fldChar w:fldCharType="separate"/>
        </w:r>
        <w:r w:rsidR="008B3DD5">
          <w:rPr>
            <w:noProof/>
            <w:webHidden/>
            <w:rtl/>
          </w:rPr>
          <w:t>21</w:t>
        </w:r>
        <w:r>
          <w:rPr>
            <w:noProof/>
            <w:webHidden/>
          </w:rPr>
          <w:fldChar w:fldCharType="end"/>
        </w:r>
      </w:hyperlink>
    </w:p>
    <w:p w14:paraId="7E4C642F" w14:textId="5DCD403D"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39" w:history="1">
        <w:r w:rsidRPr="00635D77">
          <w:rPr>
            <w:rStyle w:val="Hyperlink"/>
            <w:rFonts w:hint="eastAsia"/>
            <w:rtl/>
          </w:rPr>
          <w:t>ملاحظات</w:t>
        </w:r>
        <w:r w:rsidRPr="00635D77">
          <w:rPr>
            <w:rStyle w:val="Hyperlink"/>
            <w:rtl/>
          </w:rPr>
          <w:t xml:space="preserve"> </w:t>
        </w:r>
        <w:r w:rsidRPr="00635D77">
          <w:rPr>
            <w:rStyle w:val="Hyperlink"/>
            <w:rFonts w:hint="eastAsia"/>
            <w:rtl/>
          </w:rPr>
          <w:t>بشأن</w:t>
        </w:r>
        <w:r w:rsidRPr="00635D77">
          <w:rPr>
            <w:rStyle w:val="Hyperlink"/>
            <w:rtl/>
          </w:rPr>
          <w:t xml:space="preserve"> </w:t>
        </w:r>
        <w:r w:rsidRPr="00635D77">
          <w:rPr>
            <w:rStyle w:val="Hyperlink"/>
            <w:rFonts w:hint="eastAsia"/>
            <w:rtl/>
            <w:lang w:bidi="ar-EG"/>
          </w:rPr>
          <w:t>البيانات</w:t>
        </w:r>
        <w:r w:rsidRPr="00635D77">
          <w:rPr>
            <w:rStyle w:val="Hyperlink"/>
            <w:rtl/>
          </w:rPr>
          <w:t xml:space="preserve"> </w:t>
        </w:r>
        <w:r w:rsidRPr="00635D77">
          <w:rPr>
            <w:rStyle w:val="Hyperlink"/>
            <w:rFonts w:hint="eastAsia"/>
            <w:rtl/>
          </w:rPr>
          <w:t>المالية</w:t>
        </w:r>
        <w:r>
          <w:rPr>
            <w:noProof/>
            <w:webHidden/>
          </w:rPr>
          <w:tab/>
        </w:r>
        <w:r>
          <w:rPr>
            <w:noProof/>
            <w:webHidden/>
            <w:rtl/>
          </w:rPr>
          <w:tab/>
        </w:r>
        <w:r>
          <w:rPr>
            <w:noProof/>
            <w:webHidden/>
          </w:rPr>
          <w:fldChar w:fldCharType="begin"/>
        </w:r>
        <w:r>
          <w:rPr>
            <w:noProof/>
            <w:webHidden/>
          </w:rPr>
          <w:instrText xml:space="preserve"> PAGEREF _Toc201043139 \h </w:instrText>
        </w:r>
        <w:r>
          <w:rPr>
            <w:noProof/>
            <w:webHidden/>
          </w:rPr>
        </w:r>
        <w:r>
          <w:rPr>
            <w:noProof/>
            <w:webHidden/>
          </w:rPr>
          <w:fldChar w:fldCharType="separate"/>
        </w:r>
        <w:r w:rsidR="008B3DD5">
          <w:rPr>
            <w:noProof/>
            <w:webHidden/>
            <w:rtl/>
          </w:rPr>
          <w:t>26</w:t>
        </w:r>
        <w:r>
          <w:rPr>
            <w:noProof/>
            <w:webHidden/>
          </w:rPr>
          <w:fldChar w:fldCharType="end"/>
        </w:r>
      </w:hyperlink>
    </w:p>
    <w:p w14:paraId="53AC56CF" w14:textId="35848B8E"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0" w:history="1">
        <w:r w:rsidRPr="00635D77">
          <w:rPr>
            <w:rStyle w:val="Hyperlink"/>
            <w:rFonts w:hint="eastAsia"/>
            <w:rtl/>
          </w:rPr>
          <w:t>الملاحظة</w:t>
        </w:r>
        <w:r w:rsidRPr="00635D77">
          <w:rPr>
            <w:rStyle w:val="Hyperlink"/>
            <w:rtl/>
          </w:rPr>
          <w:t xml:space="preserve"> 1</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أهداف</w:t>
        </w:r>
        <w:r w:rsidRPr="00635D77">
          <w:rPr>
            <w:rStyle w:val="Hyperlink"/>
            <w:rtl/>
          </w:rPr>
          <w:t xml:space="preserve"> </w:t>
        </w:r>
        <w:r w:rsidRPr="00635D77">
          <w:rPr>
            <w:rStyle w:val="Hyperlink"/>
            <w:rFonts w:hint="eastAsia"/>
            <w:rtl/>
          </w:rPr>
          <w:t>الاتحاد</w:t>
        </w:r>
        <w:r w:rsidRPr="00635D77">
          <w:rPr>
            <w:rStyle w:val="Hyperlink"/>
            <w:rtl/>
          </w:rPr>
          <w:t xml:space="preserve"> </w:t>
        </w:r>
        <w:r w:rsidRPr="00635D77">
          <w:rPr>
            <w:rStyle w:val="Hyperlink"/>
            <w:rFonts w:hint="eastAsia"/>
            <w:rtl/>
          </w:rPr>
          <w:t>الدولي</w:t>
        </w:r>
        <w:r w:rsidRPr="00635D77">
          <w:rPr>
            <w:rStyle w:val="Hyperlink"/>
            <w:rtl/>
          </w:rPr>
          <w:t xml:space="preserve"> </w:t>
        </w:r>
        <w:r w:rsidRPr="00635D77">
          <w:rPr>
            <w:rStyle w:val="Hyperlink"/>
            <w:rFonts w:hint="eastAsia"/>
            <w:rtl/>
          </w:rPr>
          <w:t>للاتصالات</w:t>
        </w:r>
        <w:r>
          <w:rPr>
            <w:noProof/>
            <w:webHidden/>
          </w:rPr>
          <w:tab/>
        </w:r>
        <w:r>
          <w:rPr>
            <w:noProof/>
            <w:webHidden/>
            <w:rtl/>
          </w:rPr>
          <w:tab/>
        </w:r>
        <w:r>
          <w:rPr>
            <w:noProof/>
            <w:webHidden/>
          </w:rPr>
          <w:fldChar w:fldCharType="begin"/>
        </w:r>
        <w:r>
          <w:rPr>
            <w:noProof/>
            <w:webHidden/>
          </w:rPr>
          <w:instrText xml:space="preserve"> PAGEREF _Toc201043140 \h </w:instrText>
        </w:r>
        <w:r>
          <w:rPr>
            <w:noProof/>
            <w:webHidden/>
          </w:rPr>
        </w:r>
        <w:r>
          <w:rPr>
            <w:noProof/>
            <w:webHidden/>
          </w:rPr>
          <w:fldChar w:fldCharType="separate"/>
        </w:r>
        <w:r w:rsidR="008B3DD5">
          <w:rPr>
            <w:noProof/>
            <w:webHidden/>
            <w:rtl/>
          </w:rPr>
          <w:t>26</w:t>
        </w:r>
        <w:r>
          <w:rPr>
            <w:noProof/>
            <w:webHidden/>
          </w:rPr>
          <w:fldChar w:fldCharType="end"/>
        </w:r>
      </w:hyperlink>
    </w:p>
    <w:p w14:paraId="158B273B" w14:textId="500BB990"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1" w:history="1">
        <w:r w:rsidRPr="00635D77">
          <w:rPr>
            <w:rStyle w:val="Hyperlink"/>
            <w:rFonts w:hint="eastAsia"/>
            <w:rtl/>
          </w:rPr>
          <w:t>الملاحظة</w:t>
        </w:r>
        <w:r w:rsidRPr="00635D77">
          <w:rPr>
            <w:rStyle w:val="Hyperlink"/>
            <w:rtl/>
          </w:rPr>
          <w:t xml:space="preserve"> 2</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أساس</w:t>
        </w:r>
        <w:r w:rsidRPr="00635D77">
          <w:rPr>
            <w:rStyle w:val="Hyperlink"/>
            <w:rtl/>
          </w:rPr>
          <w:t xml:space="preserve"> </w:t>
        </w:r>
        <w:r w:rsidRPr="00635D77">
          <w:rPr>
            <w:rStyle w:val="Hyperlink"/>
            <w:rFonts w:hint="eastAsia"/>
            <w:rtl/>
          </w:rPr>
          <w:t>عملتي</w:t>
        </w:r>
        <w:r w:rsidRPr="00635D77">
          <w:rPr>
            <w:rStyle w:val="Hyperlink"/>
            <w:rtl/>
          </w:rPr>
          <w:t xml:space="preserve"> </w:t>
        </w:r>
        <w:r w:rsidRPr="00635D77">
          <w:rPr>
            <w:rStyle w:val="Hyperlink"/>
            <w:rFonts w:hint="eastAsia"/>
            <w:rtl/>
          </w:rPr>
          <w:t>الإعداد</w:t>
        </w:r>
        <w:r w:rsidRPr="00635D77">
          <w:rPr>
            <w:rStyle w:val="Hyperlink"/>
            <w:rtl/>
          </w:rPr>
          <w:t xml:space="preserve"> </w:t>
        </w:r>
        <w:r w:rsidRPr="00635D77">
          <w:rPr>
            <w:rStyle w:val="Hyperlink"/>
            <w:rFonts w:hint="eastAsia"/>
            <w:rtl/>
          </w:rPr>
          <w:t>والعرض</w:t>
        </w:r>
        <w:r>
          <w:rPr>
            <w:noProof/>
            <w:webHidden/>
          </w:rPr>
          <w:tab/>
        </w:r>
        <w:r>
          <w:rPr>
            <w:noProof/>
            <w:webHidden/>
            <w:rtl/>
          </w:rPr>
          <w:tab/>
        </w:r>
        <w:r>
          <w:rPr>
            <w:noProof/>
            <w:webHidden/>
          </w:rPr>
          <w:fldChar w:fldCharType="begin"/>
        </w:r>
        <w:r>
          <w:rPr>
            <w:noProof/>
            <w:webHidden/>
          </w:rPr>
          <w:instrText xml:space="preserve"> PAGEREF _Toc201043141 \h </w:instrText>
        </w:r>
        <w:r>
          <w:rPr>
            <w:noProof/>
            <w:webHidden/>
          </w:rPr>
        </w:r>
        <w:r>
          <w:rPr>
            <w:noProof/>
            <w:webHidden/>
          </w:rPr>
          <w:fldChar w:fldCharType="separate"/>
        </w:r>
        <w:r w:rsidR="008B3DD5">
          <w:rPr>
            <w:noProof/>
            <w:webHidden/>
            <w:rtl/>
          </w:rPr>
          <w:t>26</w:t>
        </w:r>
        <w:r>
          <w:rPr>
            <w:noProof/>
            <w:webHidden/>
          </w:rPr>
          <w:fldChar w:fldCharType="end"/>
        </w:r>
      </w:hyperlink>
    </w:p>
    <w:p w14:paraId="166CC8B8" w14:textId="008A31B5"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2" w:history="1">
        <w:r w:rsidRPr="00635D77">
          <w:rPr>
            <w:rStyle w:val="Hyperlink"/>
            <w:rFonts w:hint="eastAsia"/>
            <w:rtl/>
          </w:rPr>
          <w:t>الملاحظة</w:t>
        </w:r>
        <w:r w:rsidRPr="00635D77">
          <w:rPr>
            <w:rStyle w:val="Hyperlink"/>
            <w:rtl/>
          </w:rPr>
          <w:t xml:space="preserve"> 3</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السياسات</w:t>
        </w:r>
        <w:r w:rsidRPr="00635D77">
          <w:rPr>
            <w:rStyle w:val="Hyperlink"/>
            <w:rtl/>
          </w:rPr>
          <w:t xml:space="preserve"> </w:t>
        </w:r>
        <w:r w:rsidRPr="00635D77">
          <w:rPr>
            <w:rStyle w:val="Hyperlink"/>
            <w:rFonts w:hint="eastAsia"/>
            <w:rtl/>
          </w:rPr>
          <w:t>المحاسبية</w:t>
        </w:r>
        <w:r w:rsidRPr="00635D77">
          <w:rPr>
            <w:rStyle w:val="Hyperlink"/>
            <w:rtl/>
          </w:rPr>
          <w:t xml:space="preserve"> </w:t>
        </w:r>
        <w:r w:rsidRPr="00635D77">
          <w:rPr>
            <w:rStyle w:val="Hyperlink"/>
            <w:rFonts w:hint="eastAsia"/>
            <w:rtl/>
          </w:rPr>
          <w:t>المهمة</w:t>
        </w:r>
        <w:r>
          <w:rPr>
            <w:noProof/>
            <w:webHidden/>
          </w:rPr>
          <w:tab/>
        </w:r>
        <w:r>
          <w:rPr>
            <w:noProof/>
            <w:webHidden/>
            <w:rtl/>
          </w:rPr>
          <w:tab/>
        </w:r>
        <w:r>
          <w:rPr>
            <w:noProof/>
            <w:webHidden/>
          </w:rPr>
          <w:fldChar w:fldCharType="begin"/>
        </w:r>
        <w:r>
          <w:rPr>
            <w:noProof/>
            <w:webHidden/>
          </w:rPr>
          <w:instrText xml:space="preserve"> PAGEREF _Toc201043142 \h </w:instrText>
        </w:r>
        <w:r>
          <w:rPr>
            <w:noProof/>
            <w:webHidden/>
          </w:rPr>
        </w:r>
        <w:r>
          <w:rPr>
            <w:noProof/>
            <w:webHidden/>
          </w:rPr>
          <w:fldChar w:fldCharType="separate"/>
        </w:r>
        <w:r w:rsidR="008B3DD5">
          <w:rPr>
            <w:noProof/>
            <w:webHidden/>
            <w:rtl/>
          </w:rPr>
          <w:t>28</w:t>
        </w:r>
        <w:r>
          <w:rPr>
            <w:noProof/>
            <w:webHidden/>
          </w:rPr>
          <w:fldChar w:fldCharType="end"/>
        </w:r>
      </w:hyperlink>
    </w:p>
    <w:p w14:paraId="665CFCDB" w14:textId="41A58D18"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3" w:history="1">
        <w:r w:rsidRPr="00635D77">
          <w:rPr>
            <w:rStyle w:val="Hyperlink"/>
            <w:rFonts w:hint="eastAsia"/>
            <w:rtl/>
          </w:rPr>
          <w:t>الملاحظة</w:t>
        </w:r>
        <w:r w:rsidRPr="00635D77">
          <w:rPr>
            <w:rStyle w:val="Hyperlink"/>
            <w:rtl/>
          </w:rPr>
          <w:t xml:space="preserve"> 4</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إدارة</w:t>
        </w:r>
        <w:r w:rsidRPr="00635D77">
          <w:rPr>
            <w:rStyle w:val="Hyperlink"/>
            <w:rtl/>
          </w:rPr>
          <w:t xml:space="preserve"> </w:t>
        </w:r>
        <w:r w:rsidRPr="00635D77">
          <w:rPr>
            <w:rStyle w:val="Hyperlink"/>
            <w:rFonts w:hint="eastAsia"/>
            <w:rtl/>
          </w:rPr>
          <w:t>صافي</w:t>
        </w:r>
        <w:r w:rsidRPr="00635D77">
          <w:rPr>
            <w:rStyle w:val="Hyperlink"/>
            <w:rtl/>
          </w:rPr>
          <w:t xml:space="preserve"> </w:t>
        </w:r>
        <w:r w:rsidRPr="00635D77">
          <w:rPr>
            <w:rStyle w:val="Hyperlink"/>
            <w:rFonts w:hint="eastAsia"/>
            <w:rtl/>
          </w:rPr>
          <w:t>الأصول</w:t>
        </w:r>
        <w:r>
          <w:rPr>
            <w:noProof/>
            <w:webHidden/>
          </w:rPr>
          <w:tab/>
        </w:r>
        <w:r>
          <w:rPr>
            <w:noProof/>
            <w:webHidden/>
            <w:rtl/>
          </w:rPr>
          <w:tab/>
        </w:r>
        <w:r>
          <w:rPr>
            <w:noProof/>
            <w:webHidden/>
          </w:rPr>
          <w:fldChar w:fldCharType="begin"/>
        </w:r>
        <w:r>
          <w:rPr>
            <w:noProof/>
            <w:webHidden/>
          </w:rPr>
          <w:instrText xml:space="preserve"> PAGEREF _Toc201043143 \h </w:instrText>
        </w:r>
        <w:r>
          <w:rPr>
            <w:noProof/>
            <w:webHidden/>
          </w:rPr>
        </w:r>
        <w:r>
          <w:rPr>
            <w:noProof/>
            <w:webHidden/>
          </w:rPr>
          <w:fldChar w:fldCharType="separate"/>
        </w:r>
        <w:r w:rsidR="008B3DD5">
          <w:rPr>
            <w:noProof/>
            <w:webHidden/>
            <w:rtl/>
          </w:rPr>
          <w:t>34</w:t>
        </w:r>
        <w:r>
          <w:rPr>
            <w:noProof/>
            <w:webHidden/>
          </w:rPr>
          <w:fldChar w:fldCharType="end"/>
        </w:r>
      </w:hyperlink>
    </w:p>
    <w:p w14:paraId="185D3860" w14:textId="748EA1AB"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4" w:history="1">
        <w:r w:rsidRPr="00635D77">
          <w:rPr>
            <w:rStyle w:val="Hyperlink"/>
            <w:rFonts w:hint="eastAsia"/>
            <w:rtl/>
          </w:rPr>
          <w:t>الملاحظة</w:t>
        </w:r>
        <w:r w:rsidRPr="00635D77">
          <w:rPr>
            <w:rStyle w:val="Hyperlink"/>
            <w:rtl/>
          </w:rPr>
          <w:t xml:space="preserve"> 5</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المخاطر</w:t>
        </w:r>
        <w:r w:rsidRPr="00635D77">
          <w:rPr>
            <w:rStyle w:val="Hyperlink"/>
            <w:rtl/>
          </w:rPr>
          <w:t xml:space="preserve"> </w:t>
        </w:r>
        <w:r w:rsidRPr="00635D77">
          <w:rPr>
            <w:rStyle w:val="Hyperlink"/>
            <w:rFonts w:hint="eastAsia"/>
            <w:rtl/>
          </w:rPr>
          <w:t>المالية</w:t>
        </w:r>
        <w:r>
          <w:rPr>
            <w:noProof/>
            <w:webHidden/>
          </w:rPr>
          <w:tab/>
        </w:r>
        <w:r>
          <w:rPr>
            <w:noProof/>
            <w:webHidden/>
            <w:rtl/>
          </w:rPr>
          <w:tab/>
        </w:r>
        <w:r>
          <w:rPr>
            <w:noProof/>
            <w:webHidden/>
          </w:rPr>
          <w:fldChar w:fldCharType="begin"/>
        </w:r>
        <w:r>
          <w:rPr>
            <w:noProof/>
            <w:webHidden/>
          </w:rPr>
          <w:instrText xml:space="preserve"> PAGEREF _Toc201043144 \h </w:instrText>
        </w:r>
        <w:r>
          <w:rPr>
            <w:noProof/>
            <w:webHidden/>
          </w:rPr>
        </w:r>
        <w:r>
          <w:rPr>
            <w:noProof/>
            <w:webHidden/>
          </w:rPr>
          <w:fldChar w:fldCharType="separate"/>
        </w:r>
        <w:r w:rsidR="008B3DD5">
          <w:rPr>
            <w:noProof/>
            <w:webHidden/>
            <w:rtl/>
          </w:rPr>
          <w:t>37</w:t>
        </w:r>
        <w:r>
          <w:rPr>
            <w:noProof/>
            <w:webHidden/>
          </w:rPr>
          <w:fldChar w:fldCharType="end"/>
        </w:r>
      </w:hyperlink>
    </w:p>
    <w:p w14:paraId="4B48740C" w14:textId="119F5757"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5" w:history="1">
        <w:r w:rsidRPr="00635D77">
          <w:rPr>
            <w:rStyle w:val="Hyperlink"/>
            <w:rFonts w:hint="eastAsia"/>
            <w:rtl/>
          </w:rPr>
          <w:t>الملاحظة</w:t>
        </w:r>
        <w:r w:rsidRPr="00635D77">
          <w:rPr>
            <w:rStyle w:val="Hyperlink"/>
            <w:rtl/>
          </w:rPr>
          <w:t xml:space="preserve"> 6</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النقد</w:t>
        </w:r>
        <w:r w:rsidRPr="00635D77">
          <w:rPr>
            <w:rStyle w:val="Hyperlink"/>
            <w:rtl/>
          </w:rPr>
          <w:t xml:space="preserve"> </w:t>
        </w:r>
        <w:r w:rsidRPr="00635D77">
          <w:rPr>
            <w:rStyle w:val="Hyperlink"/>
            <w:rFonts w:hint="eastAsia"/>
            <w:rtl/>
          </w:rPr>
          <w:t>وما</w:t>
        </w:r>
        <w:r w:rsidRPr="00635D77">
          <w:rPr>
            <w:rStyle w:val="Hyperlink"/>
            <w:rtl/>
          </w:rPr>
          <w:t xml:space="preserve"> </w:t>
        </w:r>
        <w:r w:rsidRPr="00635D77">
          <w:rPr>
            <w:rStyle w:val="Hyperlink"/>
            <w:rFonts w:hint="eastAsia"/>
            <w:rtl/>
          </w:rPr>
          <w:t>يعادله</w:t>
        </w:r>
        <w:r>
          <w:rPr>
            <w:noProof/>
            <w:webHidden/>
          </w:rPr>
          <w:tab/>
        </w:r>
        <w:r>
          <w:rPr>
            <w:noProof/>
            <w:webHidden/>
            <w:rtl/>
          </w:rPr>
          <w:tab/>
        </w:r>
        <w:r>
          <w:rPr>
            <w:noProof/>
            <w:webHidden/>
          </w:rPr>
          <w:fldChar w:fldCharType="begin"/>
        </w:r>
        <w:r>
          <w:rPr>
            <w:noProof/>
            <w:webHidden/>
          </w:rPr>
          <w:instrText xml:space="preserve"> PAGEREF _Toc201043145 \h </w:instrText>
        </w:r>
        <w:r>
          <w:rPr>
            <w:noProof/>
            <w:webHidden/>
          </w:rPr>
        </w:r>
        <w:r>
          <w:rPr>
            <w:noProof/>
            <w:webHidden/>
          </w:rPr>
          <w:fldChar w:fldCharType="separate"/>
        </w:r>
        <w:r w:rsidR="008B3DD5">
          <w:rPr>
            <w:noProof/>
            <w:webHidden/>
            <w:rtl/>
          </w:rPr>
          <w:t>40</w:t>
        </w:r>
        <w:r>
          <w:rPr>
            <w:noProof/>
            <w:webHidden/>
          </w:rPr>
          <w:fldChar w:fldCharType="end"/>
        </w:r>
      </w:hyperlink>
    </w:p>
    <w:p w14:paraId="3598BA8A" w14:textId="748FCFE6"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6" w:history="1">
        <w:r w:rsidRPr="00635D77">
          <w:rPr>
            <w:rStyle w:val="Hyperlink"/>
            <w:rFonts w:hint="eastAsia"/>
            <w:rtl/>
          </w:rPr>
          <w:t>الملاحظة</w:t>
        </w:r>
        <w:r w:rsidRPr="00635D77">
          <w:rPr>
            <w:rStyle w:val="Hyperlink"/>
            <w:rtl/>
          </w:rPr>
          <w:t xml:space="preserve"> 7</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الاستثمارات</w:t>
        </w:r>
        <w:r>
          <w:rPr>
            <w:noProof/>
            <w:webHidden/>
          </w:rPr>
          <w:tab/>
        </w:r>
        <w:r>
          <w:rPr>
            <w:noProof/>
            <w:webHidden/>
            <w:rtl/>
          </w:rPr>
          <w:tab/>
        </w:r>
        <w:r>
          <w:rPr>
            <w:noProof/>
            <w:webHidden/>
          </w:rPr>
          <w:fldChar w:fldCharType="begin"/>
        </w:r>
        <w:r>
          <w:rPr>
            <w:noProof/>
            <w:webHidden/>
          </w:rPr>
          <w:instrText xml:space="preserve"> PAGEREF _Toc201043146 \h </w:instrText>
        </w:r>
        <w:r>
          <w:rPr>
            <w:noProof/>
            <w:webHidden/>
          </w:rPr>
        </w:r>
        <w:r>
          <w:rPr>
            <w:noProof/>
            <w:webHidden/>
          </w:rPr>
          <w:fldChar w:fldCharType="separate"/>
        </w:r>
        <w:r w:rsidR="008B3DD5">
          <w:rPr>
            <w:noProof/>
            <w:webHidden/>
            <w:rtl/>
          </w:rPr>
          <w:t>40</w:t>
        </w:r>
        <w:r>
          <w:rPr>
            <w:noProof/>
            <w:webHidden/>
          </w:rPr>
          <w:fldChar w:fldCharType="end"/>
        </w:r>
      </w:hyperlink>
    </w:p>
    <w:p w14:paraId="3F39133B" w14:textId="175A7185"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7" w:history="1">
        <w:r w:rsidRPr="00635D77">
          <w:rPr>
            <w:rStyle w:val="Hyperlink"/>
            <w:rFonts w:hint="eastAsia"/>
            <w:rtl/>
          </w:rPr>
          <w:t>الملاحظة</w:t>
        </w:r>
        <w:r w:rsidRPr="00635D77">
          <w:rPr>
            <w:rStyle w:val="Hyperlink"/>
            <w:rtl/>
          </w:rPr>
          <w:t xml:space="preserve"> 8</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الذمم</w:t>
        </w:r>
        <w:r w:rsidRPr="00635D77">
          <w:rPr>
            <w:rStyle w:val="Hyperlink"/>
            <w:rtl/>
          </w:rPr>
          <w:t xml:space="preserve"> </w:t>
        </w:r>
        <w:r w:rsidRPr="00635D77">
          <w:rPr>
            <w:rStyle w:val="Hyperlink"/>
            <w:rFonts w:hint="eastAsia"/>
            <w:rtl/>
          </w:rPr>
          <w:t>المدينة</w:t>
        </w:r>
        <w:r>
          <w:rPr>
            <w:noProof/>
            <w:webHidden/>
          </w:rPr>
          <w:tab/>
        </w:r>
        <w:r>
          <w:rPr>
            <w:noProof/>
            <w:webHidden/>
            <w:rtl/>
          </w:rPr>
          <w:tab/>
        </w:r>
        <w:r>
          <w:rPr>
            <w:noProof/>
            <w:webHidden/>
          </w:rPr>
          <w:fldChar w:fldCharType="begin"/>
        </w:r>
        <w:r>
          <w:rPr>
            <w:noProof/>
            <w:webHidden/>
          </w:rPr>
          <w:instrText xml:space="preserve"> PAGEREF _Toc201043147 \h </w:instrText>
        </w:r>
        <w:r>
          <w:rPr>
            <w:noProof/>
            <w:webHidden/>
          </w:rPr>
        </w:r>
        <w:r>
          <w:rPr>
            <w:noProof/>
            <w:webHidden/>
          </w:rPr>
          <w:fldChar w:fldCharType="separate"/>
        </w:r>
        <w:r w:rsidR="008B3DD5">
          <w:rPr>
            <w:noProof/>
            <w:webHidden/>
            <w:rtl/>
          </w:rPr>
          <w:t>41</w:t>
        </w:r>
        <w:r>
          <w:rPr>
            <w:noProof/>
            <w:webHidden/>
          </w:rPr>
          <w:fldChar w:fldCharType="end"/>
        </w:r>
      </w:hyperlink>
    </w:p>
    <w:p w14:paraId="0BA382C6" w14:textId="6D99468A"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8" w:history="1">
        <w:r w:rsidRPr="00635D77">
          <w:rPr>
            <w:rStyle w:val="Hyperlink"/>
            <w:rFonts w:hint="eastAsia"/>
            <w:rtl/>
          </w:rPr>
          <w:t>الملاحظة</w:t>
        </w:r>
        <w:r w:rsidRPr="00635D77">
          <w:rPr>
            <w:rStyle w:val="Hyperlink"/>
            <w:rtl/>
          </w:rPr>
          <w:t xml:space="preserve"> 9</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الذمم</w:t>
        </w:r>
        <w:r w:rsidRPr="00635D77">
          <w:rPr>
            <w:rStyle w:val="Hyperlink"/>
            <w:rtl/>
          </w:rPr>
          <w:t xml:space="preserve"> </w:t>
        </w:r>
        <w:r w:rsidRPr="00635D77">
          <w:rPr>
            <w:rStyle w:val="Hyperlink"/>
            <w:rFonts w:hint="eastAsia"/>
            <w:rtl/>
          </w:rPr>
          <w:t>المدينة</w:t>
        </w:r>
        <w:r w:rsidRPr="00635D77">
          <w:rPr>
            <w:rStyle w:val="Hyperlink"/>
            <w:rtl/>
          </w:rPr>
          <w:t xml:space="preserve"> </w:t>
        </w:r>
        <w:r w:rsidRPr="00635D77">
          <w:rPr>
            <w:rStyle w:val="Hyperlink"/>
            <w:rFonts w:hint="eastAsia"/>
            <w:rtl/>
          </w:rPr>
          <w:t>الأخرى</w:t>
        </w:r>
        <w:r>
          <w:rPr>
            <w:noProof/>
            <w:webHidden/>
          </w:rPr>
          <w:tab/>
        </w:r>
        <w:r>
          <w:rPr>
            <w:noProof/>
            <w:webHidden/>
            <w:rtl/>
          </w:rPr>
          <w:tab/>
        </w:r>
        <w:r>
          <w:rPr>
            <w:noProof/>
            <w:webHidden/>
          </w:rPr>
          <w:fldChar w:fldCharType="begin"/>
        </w:r>
        <w:r>
          <w:rPr>
            <w:noProof/>
            <w:webHidden/>
          </w:rPr>
          <w:instrText xml:space="preserve"> PAGEREF _Toc201043148 \h </w:instrText>
        </w:r>
        <w:r>
          <w:rPr>
            <w:noProof/>
            <w:webHidden/>
          </w:rPr>
        </w:r>
        <w:r>
          <w:rPr>
            <w:noProof/>
            <w:webHidden/>
          </w:rPr>
          <w:fldChar w:fldCharType="separate"/>
        </w:r>
        <w:r w:rsidR="008B3DD5">
          <w:rPr>
            <w:noProof/>
            <w:webHidden/>
            <w:rtl/>
          </w:rPr>
          <w:t>41</w:t>
        </w:r>
        <w:r>
          <w:rPr>
            <w:noProof/>
            <w:webHidden/>
          </w:rPr>
          <w:fldChar w:fldCharType="end"/>
        </w:r>
      </w:hyperlink>
    </w:p>
    <w:p w14:paraId="1ADC8C38" w14:textId="3A78F873"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49" w:history="1">
        <w:r w:rsidRPr="00635D77">
          <w:rPr>
            <w:rStyle w:val="Hyperlink"/>
            <w:rFonts w:hint="eastAsia"/>
            <w:rtl/>
          </w:rPr>
          <w:t>الملاحظة</w:t>
        </w:r>
        <w:r w:rsidRPr="00635D77">
          <w:rPr>
            <w:rStyle w:val="Hyperlink"/>
            <w:rtl/>
          </w:rPr>
          <w:t xml:space="preserve"> 10</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الممتلكات</w:t>
        </w:r>
        <w:r w:rsidRPr="00635D77">
          <w:rPr>
            <w:rStyle w:val="Hyperlink"/>
            <w:rtl/>
          </w:rPr>
          <w:t xml:space="preserve"> </w:t>
        </w:r>
        <w:r w:rsidRPr="00635D77">
          <w:rPr>
            <w:rStyle w:val="Hyperlink"/>
            <w:rFonts w:hint="eastAsia"/>
            <w:rtl/>
          </w:rPr>
          <w:t>والمنشآت</w:t>
        </w:r>
        <w:r w:rsidRPr="00635D77">
          <w:rPr>
            <w:rStyle w:val="Hyperlink"/>
            <w:rtl/>
          </w:rPr>
          <w:t xml:space="preserve"> </w:t>
        </w:r>
        <w:r w:rsidRPr="00635D77">
          <w:rPr>
            <w:rStyle w:val="Hyperlink"/>
            <w:rFonts w:hint="eastAsia"/>
            <w:rtl/>
          </w:rPr>
          <w:t>والمعدات</w:t>
        </w:r>
        <w:r>
          <w:rPr>
            <w:noProof/>
            <w:webHidden/>
          </w:rPr>
          <w:tab/>
        </w:r>
        <w:r>
          <w:rPr>
            <w:noProof/>
            <w:webHidden/>
            <w:rtl/>
          </w:rPr>
          <w:tab/>
        </w:r>
        <w:r>
          <w:rPr>
            <w:noProof/>
            <w:webHidden/>
          </w:rPr>
          <w:fldChar w:fldCharType="begin"/>
        </w:r>
        <w:r>
          <w:rPr>
            <w:noProof/>
            <w:webHidden/>
          </w:rPr>
          <w:instrText xml:space="preserve"> PAGEREF _Toc201043149 \h </w:instrText>
        </w:r>
        <w:r>
          <w:rPr>
            <w:noProof/>
            <w:webHidden/>
          </w:rPr>
        </w:r>
        <w:r>
          <w:rPr>
            <w:noProof/>
            <w:webHidden/>
          </w:rPr>
          <w:fldChar w:fldCharType="separate"/>
        </w:r>
        <w:r w:rsidR="008B3DD5">
          <w:rPr>
            <w:noProof/>
            <w:webHidden/>
            <w:rtl/>
          </w:rPr>
          <w:t>42</w:t>
        </w:r>
        <w:r>
          <w:rPr>
            <w:noProof/>
            <w:webHidden/>
          </w:rPr>
          <w:fldChar w:fldCharType="end"/>
        </w:r>
      </w:hyperlink>
    </w:p>
    <w:p w14:paraId="19FC1338" w14:textId="29DFF9D8"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0" w:history="1">
        <w:r w:rsidRPr="00635D77">
          <w:rPr>
            <w:rStyle w:val="Hyperlink"/>
            <w:rFonts w:hint="eastAsia"/>
            <w:rtl/>
          </w:rPr>
          <w:t>الملاحظة</w:t>
        </w:r>
        <w:r w:rsidRPr="00635D77">
          <w:rPr>
            <w:rStyle w:val="Hyperlink"/>
            <w:rtl/>
          </w:rPr>
          <w:t xml:space="preserve"> 11</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الأصول</w:t>
        </w:r>
        <w:r w:rsidRPr="00635D77">
          <w:rPr>
            <w:rStyle w:val="Hyperlink"/>
            <w:rtl/>
          </w:rPr>
          <w:t xml:space="preserve"> </w:t>
        </w:r>
        <w:r w:rsidRPr="00635D77">
          <w:rPr>
            <w:rStyle w:val="Hyperlink"/>
            <w:rFonts w:hint="eastAsia"/>
            <w:rtl/>
          </w:rPr>
          <w:t>غير</w:t>
        </w:r>
        <w:r w:rsidRPr="00635D77">
          <w:rPr>
            <w:rStyle w:val="Hyperlink"/>
            <w:rtl/>
          </w:rPr>
          <w:t xml:space="preserve"> </w:t>
        </w:r>
        <w:r w:rsidRPr="00635D77">
          <w:rPr>
            <w:rStyle w:val="Hyperlink"/>
            <w:rFonts w:hint="eastAsia"/>
            <w:rtl/>
          </w:rPr>
          <w:t>المادية</w:t>
        </w:r>
        <w:r>
          <w:rPr>
            <w:noProof/>
            <w:webHidden/>
          </w:rPr>
          <w:tab/>
        </w:r>
        <w:r>
          <w:rPr>
            <w:noProof/>
            <w:webHidden/>
            <w:rtl/>
          </w:rPr>
          <w:tab/>
        </w:r>
        <w:r>
          <w:rPr>
            <w:noProof/>
            <w:webHidden/>
          </w:rPr>
          <w:fldChar w:fldCharType="begin"/>
        </w:r>
        <w:r>
          <w:rPr>
            <w:noProof/>
            <w:webHidden/>
          </w:rPr>
          <w:instrText xml:space="preserve"> PAGEREF _Toc201043150 \h </w:instrText>
        </w:r>
        <w:r>
          <w:rPr>
            <w:noProof/>
            <w:webHidden/>
          </w:rPr>
        </w:r>
        <w:r>
          <w:rPr>
            <w:noProof/>
            <w:webHidden/>
          </w:rPr>
          <w:fldChar w:fldCharType="separate"/>
        </w:r>
        <w:r w:rsidR="008B3DD5">
          <w:rPr>
            <w:noProof/>
            <w:webHidden/>
            <w:rtl/>
          </w:rPr>
          <w:t>44</w:t>
        </w:r>
        <w:r>
          <w:rPr>
            <w:noProof/>
            <w:webHidden/>
          </w:rPr>
          <w:fldChar w:fldCharType="end"/>
        </w:r>
      </w:hyperlink>
    </w:p>
    <w:p w14:paraId="7679FAC5" w14:textId="5B4DD072"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1" w:history="1">
        <w:r w:rsidRPr="00635D77">
          <w:rPr>
            <w:rStyle w:val="Hyperlink"/>
            <w:rFonts w:hint="eastAsia"/>
            <w:rtl/>
          </w:rPr>
          <w:t>الملاحظة</w:t>
        </w:r>
        <w:r w:rsidRPr="00635D77">
          <w:rPr>
            <w:rStyle w:val="Hyperlink"/>
            <w:rtl/>
          </w:rPr>
          <w:t xml:space="preserve"> 12</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الأصول</w:t>
        </w:r>
        <w:r w:rsidRPr="00635D77">
          <w:rPr>
            <w:rStyle w:val="Hyperlink"/>
            <w:rtl/>
          </w:rPr>
          <w:t xml:space="preserve"> </w:t>
        </w:r>
        <w:r w:rsidRPr="00635D77">
          <w:rPr>
            <w:rStyle w:val="Hyperlink"/>
            <w:rFonts w:hint="eastAsia"/>
            <w:rtl/>
          </w:rPr>
          <w:t>قيد</w:t>
        </w:r>
        <w:r w:rsidRPr="00635D77">
          <w:rPr>
            <w:rStyle w:val="Hyperlink"/>
            <w:rtl/>
          </w:rPr>
          <w:t xml:space="preserve"> </w:t>
        </w:r>
        <w:r w:rsidRPr="00635D77">
          <w:rPr>
            <w:rStyle w:val="Hyperlink"/>
            <w:rFonts w:hint="eastAsia"/>
            <w:rtl/>
          </w:rPr>
          <w:t>الإنشاء</w:t>
        </w:r>
        <w:r>
          <w:rPr>
            <w:noProof/>
            <w:webHidden/>
          </w:rPr>
          <w:tab/>
        </w:r>
        <w:r>
          <w:rPr>
            <w:noProof/>
            <w:webHidden/>
            <w:rtl/>
          </w:rPr>
          <w:tab/>
        </w:r>
        <w:r>
          <w:rPr>
            <w:noProof/>
            <w:webHidden/>
          </w:rPr>
          <w:fldChar w:fldCharType="begin"/>
        </w:r>
        <w:r>
          <w:rPr>
            <w:noProof/>
            <w:webHidden/>
          </w:rPr>
          <w:instrText xml:space="preserve"> PAGEREF _Toc201043151 \h </w:instrText>
        </w:r>
        <w:r>
          <w:rPr>
            <w:noProof/>
            <w:webHidden/>
          </w:rPr>
        </w:r>
        <w:r>
          <w:rPr>
            <w:noProof/>
            <w:webHidden/>
          </w:rPr>
          <w:fldChar w:fldCharType="separate"/>
        </w:r>
        <w:r w:rsidR="008B3DD5">
          <w:rPr>
            <w:noProof/>
            <w:webHidden/>
            <w:rtl/>
          </w:rPr>
          <w:t>44</w:t>
        </w:r>
        <w:r>
          <w:rPr>
            <w:noProof/>
            <w:webHidden/>
          </w:rPr>
          <w:fldChar w:fldCharType="end"/>
        </w:r>
      </w:hyperlink>
    </w:p>
    <w:p w14:paraId="409656F2" w14:textId="58EC7F1D"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2" w:history="1">
        <w:r w:rsidRPr="00635D77">
          <w:rPr>
            <w:rStyle w:val="Hyperlink"/>
            <w:rFonts w:hint="eastAsia"/>
            <w:rtl/>
          </w:rPr>
          <w:t>الملاحظة</w:t>
        </w:r>
        <w:r w:rsidRPr="00635D77">
          <w:rPr>
            <w:rStyle w:val="Hyperlink"/>
            <w:rtl/>
          </w:rPr>
          <w:t xml:space="preserve"> 13</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الذمم</w:t>
        </w:r>
        <w:r w:rsidRPr="00635D77">
          <w:rPr>
            <w:rStyle w:val="Hyperlink"/>
            <w:rtl/>
          </w:rPr>
          <w:t xml:space="preserve"> </w:t>
        </w:r>
        <w:r w:rsidRPr="00635D77">
          <w:rPr>
            <w:rStyle w:val="Hyperlink"/>
            <w:rFonts w:hint="eastAsia"/>
            <w:rtl/>
          </w:rPr>
          <w:t>الدائنة</w:t>
        </w:r>
        <w:r>
          <w:rPr>
            <w:noProof/>
            <w:webHidden/>
          </w:rPr>
          <w:tab/>
        </w:r>
        <w:r>
          <w:rPr>
            <w:noProof/>
            <w:webHidden/>
            <w:rtl/>
          </w:rPr>
          <w:tab/>
        </w:r>
        <w:r>
          <w:rPr>
            <w:noProof/>
            <w:webHidden/>
          </w:rPr>
          <w:fldChar w:fldCharType="begin"/>
        </w:r>
        <w:r>
          <w:rPr>
            <w:noProof/>
            <w:webHidden/>
          </w:rPr>
          <w:instrText xml:space="preserve"> PAGEREF _Toc201043152 \h </w:instrText>
        </w:r>
        <w:r>
          <w:rPr>
            <w:noProof/>
            <w:webHidden/>
          </w:rPr>
        </w:r>
        <w:r>
          <w:rPr>
            <w:noProof/>
            <w:webHidden/>
          </w:rPr>
          <w:fldChar w:fldCharType="separate"/>
        </w:r>
        <w:r w:rsidR="008B3DD5">
          <w:rPr>
            <w:noProof/>
            <w:webHidden/>
            <w:rtl/>
          </w:rPr>
          <w:t>45</w:t>
        </w:r>
        <w:r>
          <w:rPr>
            <w:noProof/>
            <w:webHidden/>
          </w:rPr>
          <w:fldChar w:fldCharType="end"/>
        </w:r>
      </w:hyperlink>
    </w:p>
    <w:p w14:paraId="629253A9" w14:textId="0E6E0FD3"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3" w:history="1">
        <w:r w:rsidRPr="00635D77">
          <w:rPr>
            <w:rStyle w:val="Hyperlink"/>
            <w:rFonts w:hint="eastAsia"/>
            <w:rtl/>
          </w:rPr>
          <w:t>الملاحظة</w:t>
        </w:r>
        <w:r w:rsidRPr="00635D77">
          <w:rPr>
            <w:rStyle w:val="Hyperlink"/>
            <w:rtl/>
          </w:rPr>
          <w:t xml:space="preserve"> 14</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الإيرادات</w:t>
        </w:r>
        <w:r w:rsidRPr="00635D77">
          <w:rPr>
            <w:rStyle w:val="Hyperlink"/>
            <w:rtl/>
          </w:rPr>
          <w:t xml:space="preserve"> </w:t>
        </w:r>
        <w:r w:rsidRPr="00635D77">
          <w:rPr>
            <w:rStyle w:val="Hyperlink"/>
            <w:rFonts w:hint="eastAsia"/>
            <w:rtl/>
          </w:rPr>
          <w:t>المؤجلة</w:t>
        </w:r>
        <w:r>
          <w:rPr>
            <w:noProof/>
            <w:webHidden/>
          </w:rPr>
          <w:tab/>
        </w:r>
        <w:r>
          <w:rPr>
            <w:noProof/>
            <w:webHidden/>
            <w:rtl/>
          </w:rPr>
          <w:tab/>
        </w:r>
        <w:r>
          <w:rPr>
            <w:noProof/>
            <w:webHidden/>
          </w:rPr>
          <w:fldChar w:fldCharType="begin"/>
        </w:r>
        <w:r>
          <w:rPr>
            <w:noProof/>
            <w:webHidden/>
          </w:rPr>
          <w:instrText xml:space="preserve"> PAGEREF _Toc201043153 \h </w:instrText>
        </w:r>
        <w:r>
          <w:rPr>
            <w:noProof/>
            <w:webHidden/>
          </w:rPr>
        </w:r>
        <w:r>
          <w:rPr>
            <w:noProof/>
            <w:webHidden/>
          </w:rPr>
          <w:fldChar w:fldCharType="separate"/>
        </w:r>
        <w:r w:rsidR="008B3DD5">
          <w:rPr>
            <w:noProof/>
            <w:webHidden/>
            <w:rtl/>
          </w:rPr>
          <w:t>45</w:t>
        </w:r>
        <w:r>
          <w:rPr>
            <w:noProof/>
            <w:webHidden/>
          </w:rPr>
          <w:fldChar w:fldCharType="end"/>
        </w:r>
      </w:hyperlink>
    </w:p>
    <w:p w14:paraId="22A05AC1" w14:textId="36703DAB"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4" w:history="1">
        <w:r w:rsidRPr="00635D77">
          <w:rPr>
            <w:rStyle w:val="Hyperlink"/>
            <w:rFonts w:hint="eastAsia"/>
            <w:rtl/>
          </w:rPr>
          <w:t>الملاحظة</w:t>
        </w:r>
        <w:r w:rsidRPr="00635D77">
          <w:rPr>
            <w:rStyle w:val="Hyperlink"/>
            <w:rtl/>
          </w:rPr>
          <w:t xml:space="preserve"> 15</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القروض</w:t>
        </w:r>
        <w:r w:rsidRPr="00635D77">
          <w:rPr>
            <w:rStyle w:val="Hyperlink"/>
            <w:rtl/>
          </w:rPr>
          <w:t xml:space="preserve"> </w:t>
        </w:r>
        <w:r w:rsidRPr="00635D77">
          <w:rPr>
            <w:rStyle w:val="Hyperlink"/>
            <w:rFonts w:hint="eastAsia"/>
            <w:rtl/>
          </w:rPr>
          <w:t>والديون</w:t>
        </w:r>
        <w:r w:rsidRPr="00635D77">
          <w:rPr>
            <w:rStyle w:val="Hyperlink"/>
            <w:rtl/>
          </w:rPr>
          <w:t xml:space="preserve"> </w:t>
        </w:r>
        <w:r w:rsidRPr="00635D77">
          <w:rPr>
            <w:rStyle w:val="Hyperlink"/>
            <w:rFonts w:hint="eastAsia"/>
            <w:rtl/>
          </w:rPr>
          <w:t>المالية</w:t>
        </w:r>
        <w:r w:rsidRPr="00635D77">
          <w:rPr>
            <w:rStyle w:val="Hyperlink"/>
            <w:rtl/>
          </w:rPr>
          <w:t xml:space="preserve"> </w:t>
        </w:r>
        <w:r w:rsidRPr="00635D77">
          <w:rPr>
            <w:rStyle w:val="Hyperlink"/>
            <w:rFonts w:hint="eastAsia"/>
            <w:rtl/>
          </w:rPr>
          <w:t>الأخرى</w:t>
        </w:r>
        <w:r>
          <w:rPr>
            <w:noProof/>
            <w:webHidden/>
          </w:rPr>
          <w:tab/>
        </w:r>
        <w:r>
          <w:rPr>
            <w:noProof/>
            <w:webHidden/>
            <w:rtl/>
          </w:rPr>
          <w:tab/>
        </w:r>
        <w:r>
          <w:rPr>
            <w:noProof/>
            <w:webHidden/>
          </w:rPr>
          <w:fldChar w:fldCharType="begin"/>
        </w:r>
        <w:r>
          <w:rPr>
            <w:noProof/>
            <w:webHidden/>
          </w:rPr>
          <w:instrText xml:space="preserve"> PAGEREF _Toc201043154 \h </w:instrText>
        </w:r>
        <w:r>
          <w:rPr>
            <w:noProof/>
            <w:webHidden/>
          </w:rPr>
        </w:r>
        <w:r>
          <w:rPr>
            <w:noProof/>
            <w:webHidden/>
          </w:rPr>
          <w:fldChar w:fldCharType="separate"/>
        </w:r>
        <w:r w:rsidR="008B3DD5">
          <w:rPr>
            <w:noProof/>
            <w:webHidden/>
            <w:rtl/>
          </w:rPr>
          <w:t>46</w:t>
        </w:r>
        <w:r>
          <w:rPr>
            <w:noProof/>
            <w:webHidden/>
          </w:rPr>
          <w:fldChar w:fldCharType="end"/>
        </w:r>
      </w:hyperlink>
    </w:p>
    <w:p w14:paraId="7CC66837" w14:textId="02403EE3"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5" w:history="1">
        <w:r w:rsidRPr="00635D77">
          <w:rPr>
            <w:rStyle w:val="Hyperlink"/>
            <w:rFonts w:hint="eastAsia"/>
            <w:rtl/>
          </w:rPr>
          <w:t>الملاحظة</w:t>
        </w:r>
        <w:r w:rsidRPr="00635D77">
          <w:rPr>
            <w:rStyle w:val="Hyperlink"/>
            <w:rtl/>
          </w:rPr>
          <w:t xml:space="preserve"> 16</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استحقاقات</w:t>
        </w:r>
        <w:r w:rsidRPr="00635D77">
          <w:rPr>
            <w:rStyle w:val="Hyperlink"/>
            <w:rtl/>
          </w:rPr>
          <w:t xml:space="preserve"> </w:t>
        </w:r>
        <w:r w:rsidRPr="00635D77">
          <w:rPr>
            <w:rStyle w:val="Hyperlink"/>
            <w:rFonts w:hint="eastAsia"/>
            <w:rtl/>
          </w:rPr>
          <w:t>الموظفين</w:t>
        </w:r>
        <w:r>
          <w:rPr>
            <w:noProof/>
            <w:webHidden/>
          </w:rPr>
          <w:tab/>
        </w:r>
        <w:r>
          <w:rPr>
            <w:noProof/>
            <w:webHidden/>
            <w:rtl/>
          </w:rPr>
          <w:tab/>
        </w:r>
        <w:r>
          <w:rPr>
            <w:noProof/>
            <w:webHidden/>
          </w:rPr>
          <w:fldChar w:fldCharType="begin"/>
        </w:r>
        <w:r>
          <w:rPr>
            <w:noProof/>
            <w:webHidden/>
          </w:rPr>
          <w:instrText xml:space="preserve"> PAGEREF _Toc201043155 \h </w:instrText>
        </w:r>
        <w:r>
          <w:rPr>
            <w:noProof/>
            <w:webHidden/>
          </w:rPr>
        </w:r>
        <w:r>
          <w:rPr>
            <w:noProof/>
            <w:webHidden/>
          </w:rPr>
          <w:fldChar w:fldCharType="separate"/>
        </w:r>
        <w:r w:rsidR="008B3DD5">
          <w:rPr>
            <w:noProof/>
            <w:webHidden/>
            <w:rtl/>
          </w:rPr>
          <w:t>47</w:t>
        </w:r>
        <w:r>
          <w:rPr>
            <w:noProof/>
            <w:webHidden/>
          </w:rPr>
          <w:fldChar w:fldCharType="end"/>
        </w:r>
      </w:hyperlink>
    </w:p>
    <w:p w14:paraId="6298F878" w14:textId="1A6B271E"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6" w:history="1">
        <w:r w:rsidRPr="00635D77">
          <w:rPr>
            <w:rStyle w:val="Hyperlink"/>
            <w:rFonts w:hint="eastAsia"/>
            <w:rtl/>
          </w:rPr>
          <w:t>الملاحظة</w:t>
        </w:r>
        <w:r w:rsidRPr="00635D77">
          <w:rPr>
            <w:rStyle w:val="Hyperlink"/>
            <w:rtl/>
          </w:rPr>
          <w:t xml:space="preserve"> 17</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خصوم</w:t>
        </w:r>
        <w:r w:rsidRPr="00635D77">
          <w:rPr>
            <w:rStyle w:val="Hyperlink"/>
            <w:rtl/>
          </w:rPr>
          <w:t xml:space="preserve"> </w:t>
        </w:r>
        <w:r w:rsidRPr="00635D77">
          <w:rPr>
            <w:rStyle w:val="Hyperlink"/>
            <w:rFonts w:hint="eastAsia"/>
            <w:rtl/>
          </w:rPr>
          <w:t>أخرى</w:t>
        </w:r>
        <w:r>
          <w:rPr>
            <w:noProof/>
            <w:webHidden/>
          </w:rPr>
          <w:tab/>
        </w:r>
        <w:r>
          <w:rPr>
            <w:noProof/>
            <w:webHidden/>
            <w:rtl/>
          </w:rPr>
          <w:tab/>
        </w:r>
        <w:r>
          <w:rPr>
            <w:noProof/>
            <w:webHidden/>
          </w:rPr>
          <w:fldChar w:fldCharType="begin"/>
        </w:r>
        <w:r>
          <w:rPr>
            <w:noProof/>
            <w:webHidden/>
          </w:rPr>
          <w:instrText xml:space="preserve"> PAGEREF _Toc201043156 \h </w:instrText>
        </w:r>
        <w:r>
          <w:rPr>
            <w:noProof/>
            <w:webHidden/>
          </w:rPr>
        </w:r>
        <w:r>
          <w:rPr>
            <w:noProof/>
            <w:webHidden/>
          </w:rPr>
          <w:fldChar w:fldCharType="separate"/>
        </w:r>
        <w:r w:rsidR="008B3DD5">
          <w:rPr>
            <w:noProof/>
            <w:webHidden/>
            <w:rtl/>
          </w:rPr>
          <w:t>54</w:t>
        </w:r>
        <w:r>
          <w:rPr>
            <w:noProof/>
            <w:webHidden/>
          </w:rPr>
          <w:fldChar w:fldCharType="end"/>
        </w:r>
      </w:hyperlink>
    </w:p>
    <w:p w14:paraId="2181026A" w14:textId="4EB5D44D"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7" w:history="1">
        <w:r w:rsidRPr="00635D77">
          <w:rPr>
            <w:rStyle w:val="Hyperlink"/>
            <w:rFonts w:hint="eastAsia"/>
            <w:rtl/>
          </w:rPr>
          <w:t>الملاحظة</w:t>
        </w:r>
        <w:r w:rsidRPr="00635D77">
          <w:rPr>
            <w:rStyle w:val="Hyperlink"/>
            <w:rtl/>
          </w:rPr>
          <w:t xml:space="preserve"> 18</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الإيرادات</w:t>
        </w:r>
        <w:r>
          <w:rPr>
            <w:noProof/>
            <w:webHidden/>
          </w:rPr>
          <w:tab/>
        </w:r>
        <w:r>
          <w:rPr>
            <w:noProof/>
            <w:webHidden/>
            <w:rtl/>
          </w:rPr>
          <w:tab/>
        </w:r>
        <w:r>
          <w:rPr>
            <w:noProof/>
            <w:webHidden/>
          </w:rPr>
          <w:fldChar w:fldCharType="begin"/>
        </w:r>
        <w:r>
          <w:rPr>
            <w:noProof/>
            <w:webHidden/>
          </w:rPr>
          <w:instrText xml:space="preserve"> PAGEREF _Toc201043157 \h </w:instrText>
        </w:r>
        <w:r>
          <w:rPr>
            <w:noProof/>
            <w:webHidden/>
          </w:rPr>
        </w:r>
        <w:r>
          <w:rPr>
            <w:noProof/>
            <w:webHidden/>
          </w:rPr>
          <w:fldChar w:fldCharType="separate"/>
        </w:r>
        <w:r w:rsidR="008B3DD5">
          <w:rPr>
            <w:noProof/>
            <w:webHidden/>
            <w:rtl/>
          </w:rPr>
          <w:t>54</w:t>
        </w:r>
        <w:r>
          <w:rPr>
            <w:noProof/>
            <w:webHidden/>
          </w:rPr>
          <w:fldChar w:fldCharType="end"/>
        </w:r>
      </w:hyperlink>
    </w:p>
    <w:p w14:paraId="6D4668C8" w14:textId="69E1AB32"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8" w:history="1">
        <w:r w:rsidRPr="00635D77">
          <w:rPr>
            <w:rStyle w:val="Hyperlink"/>
            <w:rFonts w:hint="eastAsia"/>
            <w:rtl/>
          </w:rPr>
          <w:t>الملاحظة</w:t>
        </w:r>
        <w:r w:rsidRPr="00635D77">
          <w:rPr>
            <w:rStyle w:val="Hyperlink"/>
            <w:rtl/>
          </w:rPr>
          <w:t xml:space="preserve"> 19</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النفقات</w:t>
        </w:r>
        <w:r>
          <w:rPr>
            <w:noProof/>
            <w:webHidden/>
          </w:rPr>
          <w:tab/>
        </w:r>
        <w:r>
          <w:rPr>
            <w:noProof/>
            <w:webHidden/>
            <w:rtl/>
          </w:rPr>
          <w:tab/>
        </w:r>
        <w:r>
          <w:rPr>
            <w:noProof/>
            <w:webHidden/>
          </w:rPr>
          <w:fldChar w:fldCharType="begin"/>
        </w:r>
        <w:r>
          <w:rPr>
            <w:noProof/>
            <w:webHidden/>
          </w:rPr>
          <w:instrText xml:space="preserve"> PAGEREF _Toc201043158 \h </w:instrText>
        </w:r>
        <w:r>
          <w:rPr>
            <w:noProof/>
            <w:webHidden/>
          </w:rPr>
        </w:r>
        <w:r>
          <w:rPr>
            <w:noProof/>
            <w:webHidden/>
          </w:rPr>
          <w:fldChar w:fldCharType="separate"/>
        </w:r>
        <w:r w:rsidR="008B3DD5">
          <w:rPr>
            <w:noProof/>
            <w:webHidden/>
            <w:rtl/>
          </w:rPr>
          <w:t>56</w:t>
        </w:r>
        <w:r>
          <w:rPr>
            <w:noProof/>
            <w:webHidden/>
          </w:rPr>
          <w:fldChar w:fldCharType="end"/>
        </w:r>
      </w:hyperlink>
    </w:p>
    <w:p w14:paraId="412EBD6A" w14:textId="6B609D29"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59" w:history="1">
        <w:r w:rsidRPr="00635D77">
          <w:rPr>
            <w:rStyle w:val="Hyperlink"/>
            <w:rFonts w:hint="eastAsia"/>
            <w:rtl/>
          </w:rPr>
          <w:t>الملاحظة</w:t>
        </w:r>
        <w:r w:rsidRPr="00635D77">
          <w:rPr>
            <w:rStyle w:val="Hyperlink"/>
            <w:rtl/>
          </w:rPr>
          <w:t xml:space="preserve"> 20</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الإبلاغ</w:t>
        </w:r>
        <w:r w:rsidRPr="00635D77">
          <w:rPr>
            <w:rStyle w:val="Hyperlink"/>
            <w:rtl/>
          </w:rPr>
          <w:t xml:space="preserve"> </w:t>
        </w:r>
        <w:r w:rsidRPr="00635D77">
          <w:rPr>
            <w:rStyle w:val="Hyperlink"/>
            <w:rFonts w:hint="eastAsia"/>
            <w:rtl/>
          </w:rPr>
          <w:t>بحسب</w:t>
        </w:r>
        <w:r w:rsidRPr="00635D77">
          <w:rPr>
            <w:rStyle w:val="Hyperlink"/>
            <w:rtl/>
          </w:rPr>
          <w:t xml:space="preserve"> </w:t>
        </w:r>
        <w:r w:rsidRPr="00635D77">
          <w:rPr>
            <w:rStyle w:val="Hyperlink"/>
            <w:rFonts w:hint="eastAsia"/>
            <w:rtl/>
          </w:rPr>
          <w:t>الأبواب</w:t>
        </w:r>
        <w:r w:rsidRPr="00635D77">
          <w:rPr>
            <w:rStyle w:val="Hyperlink"/>
            <w:rtl/>
          </w:rPr>
          <w:t xml:space="preserve"> - </w:t>
        </w:r>
        <w:r w:rsidRPr="00635D77">
          <w:rPr>
            <w:rStyle w:val="Hyperlink"/>
            <w:rFonts w:hint="eastAsia"/>
            <w:rtl/>
          </w:rPr>
          <w:t>بيان</w:t>
        </w:r>
        <w:r w:rsidRPr="00635D77">
          <w:rPr>
            <w:rStyle w:val="Hyperlink"/>
            <w:rtl/>
          </w:rPr>
          <w:t xml:space="preserve"> </w:t>
        </w:r>
        <w:r w:rsidRPr="00635D77">
          <w:rPr>
            <w:rStyle w:val="Hyperlink"/>
            <w:rFonts w:hint="eastAsia"/>
            <w:rtl/>
          </w:rPr>
          <w:t>الأداء</w:t>
        </w:r>
        <w:r w:rsidRPr="00635D77">
          <w:rPr>
            <w:rStyle w:val="Hyperlink"/>
            <w:rtl/>
          </w:rPr>
          <w:t xml:space="preserve"> </w:t>
        </w:r>
        <w:r w:rsidRPr="00635D77">
          <w:rPr>
            <w:rStyle w:val="Hyperlink"/>
            <w:rFonts w:hint="eastAsia"/>
            <w:rtl/>
          </w:rPr>
          <w:t>المالي</w:t>
        </w:r>
        <w:r w:rsidRPr="00635D77">
          <w:rPr>
            <w:rStyle w:val="Hyperlink"/>
            <w:rtl/>
          </w:rPr>
          <w:t xml:space="preserve"> 2024</w:t>
        </w:r>
        <w:r>
          <w:rPr>
            <w:noProof/>
            <w:webHidden/>
          </w:rPr>
          <w:tab/>
        </w:r>
        <w:r>
          <w:rPr>
            <w:noProof/>
            <w:webHidden/>
            <w:rtl/>
          </w:rPr>
          <w:tab/>
        </w:r>
        <w:r>
          <w:rPr>
            <w:noProof/>
            <w:webHidden/>
          </w:rPr>
          <w:fldChar w:fldCharType="begin"/>
        </w:r>
        <w:r>
          <w:rPr>
            <w:noProof/>
            <w:webHidden/>
          </w:rPr>
          <w:instrText xml:space="preserve"> PAGEREF _Toc201043159 \h </w:instrText>
        </w:r>
        <w:r>
          <w:rPr>
            <w:noProof/>
            <w:webHidden/>
          </w:rPr>
        </w:r>
        <w:r>
          <w:rPr>
            <w:noProof/>
            <w:webHidden/>
          </w:rPr>
          <w:fldChar w:fldCharType="separate"/>
        </w:r>
        <w:r w:rsidR="008B3DD5">
          <w:rPr>
            <w:noProof/>
            <w:webHidden/>
            <w:rtl/>
          </w:rPr>
          <w:t>59</w:t>
        </w:r>
        <w:r>
          <w:rPr>
            <w:noProof/>
            <w:webHidden/>
          </w:rPr>
          <w:fldChar w:fldCharType="end"/>
        </w:r>
      </w:hyperlink>
    </w:p>
    <w:p w14:paraId="39254F9E" w14:textId="46868DC4"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60" w:history="1">
        <w:r w:rsidRPr="00635D77">
          <w:rPr>
            <w:rStyle w:val="Hyperlink"/>
            <w:rFonts w:hint="eastAsia"/>
            <w:rtl/>
          </w:rPr>
          <w:t>الملاحظة</w:t>
        </w:r>
        <w:r w:rsidRPr="00635D77">
          <w:rPr>
            <w:rStyle w:val="Hyperlink"/>
            <w:rtl/>
          </w:rPr>
          <w:t xml:space="preserve"> 21</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التوفيق</w:t>
        </w:r>
        <w:r w:rsidRPr="00635D77">
          <w:rPr>
            <w:rStyle w:val="Hyperlink"/>
            <w:rtl/>
          </w:rPr>
          <w:t xml:space="preserve"> </w:t>
        </w:r>
        <w:r w:rsidRPr="00635D77">
          <w:rPr>
            <w:rStyle w:val="Hyperlink"/>
            <w:rFonts w:hint="eastAsia"/>
            <w:rtl/>
          </w:rPr>
          <w:t>بين</w:t>
        </w:r>
        <w:r w:rsidRPr="00635D77">
          <w:rPr>
            <w:rStyle w:val="Hyperlink"/>
            <w:rtl/>
          </w:rPr>
          <w:t xml:space="preserve"> </w:t>
        </w:r>
        <w:r w:rsidRPr="00635D77">
          <w:rPr>
            <w:rStyle w:val="Hyperlink"/>
            <w:rFonts w:hint="eastAsia"/>
            <w:rtl/>
          </w:rPr>
          <w:t>المبالغ</w:t>
        </w:r>
        <w:r w:rsidRPr="00635D77">
          <w:rPr>
            <w:rStyle w:val="Hyperlink"/>
            <w:rtl/>
          </w:rPr>
          <w:t xml:space="preserve"> </w:t>
        </w:r>
        <w:r w:rsidRPr="00635D77">
          <w:rPr>
            <w:rStyle w:val="Hyperlink"/>
            <w:rFonts w:hint="eastAsia"/>
            <w:rtl/>
          </w:rPr>
          <w:t>المدرجة</w:t>
        </w:r>
        <w:r w:rsidRPr="00635D77">
          <w:rPr>
            <w:rStyle w:val="Hyperlink"/>
            <w:rtl/>
          </w:rPr>
          <w:t xml:space="preserve"> </w:t>
        </w:r>
        <w:r w:rsidRPr="00635D77">
          <w:rPr>
            <w:rStyle w:val="Hyperlink"/>
            <w:rFonts w:hint="eastAsia"/>
            <w:rtl/>
          </w:rPr>
          <w:t>في</w:t>
        </w:r>
        <w:r w:rsidRPr="00635D77">
          <w:rPr>
            <w:rStyle w:val="Hyperlink"/>
            <w:rtl/>
          </w:rPr>
          <w:t xml:space="preserve"> </w:t>
        </w:r>
        <w:r w:rsidRPr="00635D77">
          <w:rPr>
            <w:rStyle w:val="Hyperlink"/>
            <w:rFonts w:hint="eastAsia"/>
            <w:rtl/>
          </w:rPr>
          <w:t>الميزانية</w:t>
        </w:r>
        <w:r w:rsidRPr="00635D77">
          <w:rPr>
            <w:rStyle w:val="Hyperlink"/>
            <w:rtl/>
          </w:rPr>
          <w:t xml:space="preserve"> </w:t>
        </w:r>
        <w:r w:rsidRPr="00635D77">
          <w:rPr>
            <w:rStyle w:val="Hyperlink"/>
            <w:rFonts w:hint="eastAsia"/>
            <w:rtl/>
          </w:rPr>
          <w:t>والمبالغ</w:t>
        </w:r>
        <w:r w:rsidRPr="00635D77">
          <w:rPr>
            <w:rStyle w:val="Hyperlink"/>
            <w:rtl/>
          </w:rPr>
          <w:t xml:space="preserve"> </w:t>
        </w:r>
        <w:r w:rsidRPr="00635D77">
          <w:rPr>
            <w:rStyle w:val="Hyperlink"/>
            <w:rFonts w:hint="eastAsia"/>
            <w:rtl/>
          </w:rPr>
          <w:t>الفعلية</w:t>
        </w:r>
        <w:r>
          <w:rPr>
            <w:noProof/>
            <w:webHidden/>
          </w:rPr>
          <w:tab/>
        </w:r>
        <w:r>
          <w:rPr>
            <w:noProof/>
            <w:webHidden/>
            <w:rtl/>
          </w:rPr>
          <w:tab/>
        </w:r>
        <w:r>
          <w:rPr>
            <w:noProof/>
            <w:webHidden/>
          </w:rPr>
          <w:fldChar w:fldCharType="begin"/>
        </w:r>
        <w:r>
          <w:rPr>
            <w:noProof/>
            <w:webHidden/>
          </w:rPr>
          <w:instrText xml:space="preserve"> PAGEREF _Toc201043160 \h </w:instrText>
        </w:r>
        <w:r>
          <w:rPr>
            <w:noProof/>
            <w:webHidden/>
          </w:rPr>
        </w:r>
        <w:r>
          <w:rPr>
            <w:noProof/>
            <w:webHidden/>
          </w:rPr>
          <w:fldChar w:fldCharType="separate"/>
        </w:r>
        <w:r w:rsidR="008B3DD5">
          <w:rPr>
            <w:noProof/>
            <w:webHidden/>
            <w:rtl/>
          </w:rPr>
          <w:t>61</w:t>
        </w:r>
        <w:r>
          <w:rPr>
            <w:noProof/>
            <w:webHidden/>
          </w:rPr>
          <w:fldChar w:fldCharType="end"/>
        </w:r>
      </w:hyperlink>
    </w:p>
    <w:p w14:paraId="676C3E82" w14:textId="21546BD4"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61" w:history="1">
        <w:r w:rsidRPr="00635D77">
          <w:rPr>
            <w:rStyle w:val="Hyperlink"/>
            <w:rFonts w:hint="eastAsia"/>
            <w:rtl/>
          </w:rPr>
          <w:t>الملاحظة</w:t>
        </w:r>
        <w:r w:rsidRPr="00635D77">
          <w:rPr>
            <w:rStyle w:val="Hyperlink"/>
            <w:rtl/>
          </w:rPr>
          <w:t xml:space="preserve"> 22</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الكشوف</w:t>
        </w:r>
        <w:r w:rsidRPr="00635D77">
          <w:rPr>
            <w:rStyle w:val="Hyperlink"/>
            <w:rtl/>
          </w:rPr>
          <w:t xml:space="preserve"> </w:t>
        </w:r>
        <w:r w:rsidRPr="00635D77">
          <w:rPr>
            <w:rStyle w:val="Hyperlink"/>
            <w:rFonts w:hint="eastAsia"/>
            <w:rtl/>
          </w:rPr>
          <w:t>المتعلقة</w:t>
        </w:r>
        <w:r w:rsidRPr="00635D77">
          <w:rPr>
            <w:rStyle w:val="Hyperlink"/>
            <w:rtl/>
          </w:rPr>
          <w:t xml:space="preserve"> </w:t>
        </w:r>
        <w:r w:rsidRPr="00635D77">
          <w:rPr>
            <w:rStyle w:val="Hyperlink"/>
            <w:rFonts w:hint="eastAsia"/>
            <w:rtl/>
          </w:rPr>
          <w:t>بالأطراف</w:t>
        </w:r>
        <w:r w:rsidRPr="00635D77">
          <w:rPr>
            <w:rStyle w:val="Hyperlink"/>
            <w:rtl/>
          </w:rPr>
          <w:t xml:space="preserve"> </w:t>
        </w:r>
        <w:r w:rsidRPr="00635D77">
          <w:rPr>
            <w:rStyle w:val="Hyperlink"/>
            <w:rFonts w:hint="eastAsia"/>
            <w:rtl/>
          </w:rPr>
          <w:t>المتكافلة</w:t>
        </w:r>
        <w:r>
          <w:rPr>
            <w:noProof/>
            <w:webHidden/>
          </w:rPr>
          <w:tab/>
        </w:r>
        <w:r>
          <w:rPr>
            <w:noProof/>
            <w:webHidden/>
            <w:rtl/>
          </w:rPr>
          <w:tab/>
        </w:r>
        <w:r>
          <w:rPr>
            <w:noProof/>
            <w:webHidden/>
          </w:rPr>
          <w:fldChar w:fldCharType="begin"/>
        </w:r>
        <w:r>
          <w:rPr>
            <w:noProof/>
            <w:webHidden/>
          </w:rPr>
          <w:instrText xml:space="preserve"> PAGEREF _Toc201043161 \h </w:instrText>
        </w:r>
        <w:r>
          <w:rPr>
            <w:noProof/>
            <w:webHidden/>
          </w:rPr>
        </w:r>
        <w:r>
          <w:rPr>
            <w:noProof/>
            <w:webHidden/>
          </w:rPr>
          <w:fldChar w:fldCharType="separate"/>
        </w:r>
        <w:r w:rsidR="008B3DD5">
          <w:rPr>
            <w:noProof/>
            <w:webHidden/>
            <w:rtl/>
          </w:rPr>
          <w:t>63</w:t>
        </w:r>
        <w:r>
          <w:rPr>
            <w:noProof/>
            <w:webHidden/>
          </w:rPr>
          <w:fldChar w:fldCharType="end"/>
        </w:r>
      </w:hyperlink>
    </w:p>
    <w:p w14:paraId="3EA6E076" w14:textId="3027E5EE"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62" w:history="1">
        <w:r w:rsidRPr="00635D77">
          <w:rPr>
            <w:rStyle w:val="Hyperlink"/>
            <w:rFonts w:hint="eastAsia"/>
            <w:rtl/>
          </w:rPr>
          <w:t>الملاحظة</w:t>
        </w:r>
        <w:r w:rsidRPr="00635D77">
          <w:rPr>
            <w:rStyle w:val="Hyperlink"/>
            <w:rtl/>
          </w:rPr>
          <w:t xml:space="preserve"> 23</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الالتزامات</w:t>
        </w:r>
        <w:r w:rsidRPr="00635D77">
          <w:rPr>
            <w:rStyle w:val="Hyperlink"/>
            <w:rtl/>
          </w:rPr>
          <w:t xml:space="preserve"> </w:t>
        </w:r>
        <w:r w:rsidRPr="00635D77">
          <w:rPr>
            <w:rStyle w:val="Hyperlink"/>
            <w:rFonts w:hint="eastAsia"/>
            <w:rtl/>
          </w:rPr>
          <w:t>المستقبلية</w:t>
        </w:r>
        <w:r>
          <w:rPr>
            <w:noProof/>
            <w:webHidden/>
          </w:rPr>
          <w:tab/>
        </w:r>
        <w:r>
          <w:rPr>
            <w:noProof/>
            <w:webHidden/>
            <w:rtl/>
          </w:rPr>
          <w:tab/>
        </w:r>
        <w:r>
          <w:rPr>
            <w:noProof/>
            <w:webHidden/>
          </w:rPr>
          <w:fldChar w:fldCharType="begin"/>
        </w:r>
        <w:r>
          <w:rPr>
            <w:noProof/>
            <w:webHidden/>
          </w:rPr>
          <w:instrText xml:space="preserve"> PAGEREF _Toc201043162 \h </w:instrText>
        </w:r>
        <w:r>
          <w:rPr>
            <w:noProof/>
            <w:webHidden/>
          </w:rPr>
        </w:r>
        <w:r>
          <w:rPr>
            <w:noProof/>
            <w:webHidden/>
          </w:rPr>
          <w:fldChar w:fldCharType="separate"/>
        </w:r>
        <w:r w:rsidR="008B3DD5">
          <w:rPr>
            <w:noProof/>
            <w:webHidden/>
            <w:rtl/>
          </w:rPr>
          <w:t>63</w:t>
        </w:r>
        <w:r>
          <w:rPr>
            <w:noProof/>
            <w:webHidden/>
          </w:rPr>
          <w:fldChar w:fldCharType="end"/>
        </w:r>
      </w:hyperlink>
    </w:p>
    <w:p w14:paraId="22FDE38A" w14:textId="279C72E6" w:rsid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63" w:history="1">
        <w:r w:rsidRPr="00635D77">
          <w:rPr>
            <w:rStyle w:val="Hyperlink"/>
            <w:rFonts w:hint="eastAsia"/>
            <w:rtl/>
          </w:rPr>
          <w:t>الملاحظة</w:t>
        </w:r>
        <w:r w:rsidRPr="00635D77">
          <w:rPr>
            <w:rStyle w:val="Hyperlink"/>
            <w:rtl/>
          </w:rPr>
          <w:t xml:space="preserve"> 24</w:t>
        </w:r>
        <w:r>
          <w:rPr>
            <w:rFonts w:asciiTheme="minorHAnsi" w:hAnsiTheme="minorHAnsi" w:cstheme="minorBidi"/>
            <w:noProof/>
            <w:kern w:val="2"/>
            <w:sz w:val="24"/>
            <w:szCs w:val="24"/>
            <w:lang w:val="en-GB" w:eastAsia="en-GB"/>
            <w14:ligatures w14:val="standardContextual"/>
          </w:rPr>
          <w:tab/>
        </w:r>
        <w:r w:rsidRPr="00635D77">
          <w:rPr>
            <w:rStyle w:val="Hyperlink"/>
            <w:rFonts w:hint="eastAsia"/>
            <w:rtl/>
          </w:rPr>
          <w:t>الأحداث</w:t>
        </w:r>
        <w:r w:rsidRPr="00635D77">
          <w:rPr>
            <w:rStyle w:val="Hyperlink"/>
            <w:rtl/>
          </w:rPr>
          <w:t xml:space="preserve"> </w:t>
        </w:r>
        <w:r w:rsidRPr="00635D77">
          <w:rPr>
            <w:rStyle w:val="Hyperlink"/>
            <w:rFonts w:hint="eastAsia"/>
            <w:rtl/>
          </w:rPr>
          <w:t>بعد</w:t>
        </w:r>
        <w:r w:rsidRPr="00635D77">
          <w:rPr>
            <w:rStyle w:val="Hyperlink"/>
            <w:rtl/>
          </w:rPr>
          <w:t xml:space="preserve"> </w:t>
        </w:r>
        <w:r w:rsidRPr="00635D77">
          <w:rPr>
            <w:rStyle w:val="Hyperlink"/>
            <w:rFonts w:hint="eastAsia"/>
            <w:rtl/>
          </w:rPr>
          <w:t>تاريخ</w:t>
        </w:r>
        <w:r w:rsidRPr="00635D77">
          <w:rPr>
            <w:rStyle w:val="Hyperlink"/>
            <w:rtl/>
          </w:rPr>
          <w:t xml:space="preserve"> </w:t>
        </w:r>
        <w:r w:rsidRPr="00635D77">
          <w:rPr>
            <w:rStyle w:val="Hyperlink"/>
            <w:rFonts w:hint="eastAsia"/>
            <w:rtl/>
          </w:rPr>
          <w:t>الإبلاغ</w:t>
        </w:r>
        <w:r>
          <w:rPr>
            <w:noProof/>
            <w:webHidden/>
          </w:rPr>
          <w:tab/>
        </w:r>
        <w:r>
          <w:rPr>
            <w:noProof/>
            <w:webHidden/>
            <w:rtl/>
          </w:rPr>
          <w:tab/>
        </w:r>
        <w:r>
          <w:rPr>
            <w:noProof/>
            <w:webHidden/>
          </w:rPr>
          <w:fldChar w:fldCharType="begin"/>
        </w:r>
        <w:r>
          <w:rPr>
            <w:noProof/>
            <w:webHidden/>
          </w:rPr>
          <w:instrText xml:space="preserve"> PAGEREF _Toc201043163 \h </w:instrText>
        </w:r>
        <w:r>
          <w:rPr>
            <w:noProof/>
            <w:webHidden/>
          </w:rPr>
        </w:r>
        <w:r>
          <w:rPr>
            <w:noProof/>
            <w:webHidden/>
          </w:rPr>
          <w:fldChar w:fldCharType="separate"/>
        </w:r>
        <w:r w:rsidR="008B3DD5">
          <w:rPr>
            <w:noProof/>
            <w:webHidden/>
            <w:rtl/>
          </w:rPr>
          <w:t>63</w:t>
        </w:r>
        <w:r>
          <w:rPr>
            <w:noProof/>
            <w:webHidden/>
          </w:rPr>
          <w:fldChar w:fldCharType="end"/>
        </w:r>
      </w:hyperlink>
    </w:p>
    <w:p w14:paraId="010EE25A" w14:textId="7AAC922C" w:rsidR="009F0D08" w:rsidRPr="009F0D08" w:rsidRDefault="009F0D08" w:rsidP="00013B21">
      <w:pPr>
        <w:pStyle w:val="TOC1"/>
        <w:spacing w:before="60"/>
        <w:rPr>
          <w:rFonts w:asciiTheme="minorHAnsi" w:hAnsiTheme="minorHAnsi" w:cstheme="minorBidi"/>
          <w:noProof/>
          <w:kern w:val="2"/>
          <w:sz w:val="24"/>
          <w:szCs w:val="24"/>
          <w:lang w:val="en-GB" w:eastAsia="en-GB"/>
          <w14:ligatures w14:val="standardContextual"/>
        </w:rPr>
      </w:pPr>
      <w:hyperlink w:anchor="_Toc201043164" w:history="1">
        <w:r w:rsidRPr="009F0D08">
          <w:rPr>
            <w:rStyle w:val="Hyperlink"/>
            <w:rFonts w:hint="eastAsia"/>
            <w:rtl/>
          </w:rPr>
          <w:t>الملحق</w:t>
        </w:r>
        <w:r w:rsidRPr="009F0D08">
          <w:rPr>
            <w:rStyle w:val="Hyperlink"/>
            <w:rtl/>
          </w:rPr>
          <w:t xml:space="preserve"> </w:t>
        </w:r>
        <w:r w:rsidRPr="009F0D08">
          <w:rPr>
            <w:rStyle w:val="Hyperlink"/>
            <w:lang w:bidi="ar-EG"/>
          </w:rPr>
          <w:t>A</w:t>
        </w:r>
        <w:r w:rsidRPr="009F0D08">
          <w:rPr>
            <w:rStyle w:val="Hyperlink"/>
            <w:rFonts w:hint="cs"/>
            <w:rtl/>
            <w:lang w:bidi="ar-EG"/>
          </w:rPr>
          <w:t xml:space="preserve"> - </w:t>
        </w:r>
        <w:r w:rsidRPr="009F0D08">
          <w:rPr>
            <w:rStyle w:val="Hyperlink"/>
            <w:rtl/>
            <w:lang w:bidi="ar-EG"/>
          </w:rPr>
          <w:t>تقرير الإدارة المالية والبيانات المالية المراجعة للسنة المالية 2024</w:t>
        </w:r>
        <w:r w:rsidRPr="009F0D08">
          <w:rPr>
            <w:noProof/>
            <w:webHidden/>
          </w:rPr>
          <w:tab/>
        </w:r>
        <w:r w:rsidRPr="009F0D08">
          <w:rPr>
            <w:noProof/>
            <w:webHidden/>
            <w:rtl/>
          </w:rPr>
          <w:tab/>
        </w:r>
        <w:r w:rsidRPr="009F0D08">
          <w:rPr>
            <w:noProof/>
            <w:webHidden/>
          </w:rPr>
          <w:fldChar w:fldCharType="begin"/>
        </w:r>
        <w:r w:rsidRPr="009F0D08">
          <w:rPr>
            <w:noProof/>
            <w:webHidden/>
          </w:rPr>
          <w:instrText xml:space="preserve"> PAGEREF _Toc201043164 \h </w:instrText>
        </w:r>
        <w:r w:rsidRPr="009F0D08">
          <w:rPr>
            <w:noProof/>
            <w:webHidden/>
          </w:rPr>
        </w:r>
        <w:r w:rsidRPr="009F0D08">
          <w:rPr>
            <w:noProof/>
            <w:webHidden/>
          </w:rPr>
          <w:fldChar w:fldCharType="separate"/>
        </w:r>
        <w:r w:rsidR="008B3DD5">
          <w:rPr>
            <w:noProof/>
            <w:webHidden/>
            <w:rtl/>
          </w:rPr>
          <w:t>64</w:t>
        </w:r>
        <w:r w:rsidRPr="009F0D08">
          <w:rPr>
            <w:noProof/>
            <w:webHidden/>
          </w:rPr>
          <w:fldChar w:fldCharType="end"/>
        </w:r>
      </w:hyperlink>
    </w:p>
    <w:p w14:paraId="590DEFDD" w14:textId="2D389DE0" w:rsidR="00520599" w:rsidRDefault="009F0D08" w:rsidP="00013B21">
      <w:pPr>
        <w:tabs>
          <w:tab w:val="clear" w:pos="794"/>
          <w:tab w:val="left" w:leader="dot" w:pos="9072"/>
          <w:tab w:val="right" w:pos="9639"/>
        </w:tabs>
        <w:spacing w:before="60" w:after="0"/>
        <w:jc w:val="left"/>
        <w:rPr>
          <w:rtl/>
          <w:lang w:bidi="ar-EG"/>
        </w:rPr>
      </w:pPr>
      <w:r>
        <w:rPr>
          <w:b/>
          <w:bCs/>
          <w:rtl/>
          <w:lang w:bidi="ar-EG"/>
        </w:rPr>
        <w:fldChar w:fldCharType="end"/>
      </w:r>
      <w:r w:rsidR="00520599">
        <w:rPr>
          <w:b/>
          <w:bCs/>
          <w:rtl/>
          <w:lang w:bidi="ar-EG"/>
        </w:rPr>
        <w:br w:type="page"/>
      </w:r>
    </w:p>
    <w:p w14:paraId="485A8A01" w14:textId="7AA64E12" w:rsidR="00083F2A" w:rsidRPr="009F4F01" w:rsidRDefault="00083F2A" w:rsidP="00083F2A">
      <w:pPr>
        <w:pStyle w:val="Heading1"/>
        <w:rPr>
          <w:color w:val="auto"/>
          <w:rtl/>
        </w:rPr>
      </w:pPr>
      <w:bookmarkStart w:id="1" w:name="_Toc201043133"/>
      <w:r w:rsidRPr="009F4F01">
        <w:rPr>
          <w:color w:val="auto"/>
          <w:rtl/>
          <w:lang w:bidi="ar-EG"/>
        </w:rPr>
        <w:lastRenderedPageBreak/>
        <w:t xml:space="preserve">مقدمة للبيانات المالية لعام </w:t>
      </w:r>
      <w:bookmarkEnd w:id="0"/>
      <w:r w:rsidRPr="009F4F01">
        <w:rPr>
          <w:rFonts w:hint="cs"/>
          <w:color w:val="auto"/>
          <w:rtl/>
          <w:lang w:bidi="ar-EG"/>
        </w:rPr>
        <w:t>2024</w:t>
      </w:r>
      <w:bookmarkEnd w:id="1"/>
    </w:p>
    <w:p w14:paraId="2C7ECCCB" w14:textId="77777777" w:rsidR="00901AD0" w:rsidRDefault="00083F2A" w:rsidP="00083F2A">
      <w:pPr>
        <w:rPr>
          <w:rtl/>
          <w:lang w:bidi="ar-EG"/>
        </w:rPr>
      </w:pPr>
      <w:r w:rsidRPr="007F0152">
        <w:rPr>
          <w:rtl/>
          <w:lang w:bidi="ar-EG"/>
        </w:rPr>
        <w:t>الاتحاد الدولي للاتصالات (</w:t>
      </w:r>
      <w:r w:rsidRPr="007F0152">
        <w:rPr>
          <w:lang w:bidi="ar-EG"/>
        </w:rPr>
        <w:t>ITU</w:t>
      </w:r>
      <w:r w:rsidRPr="007F0152">
        <w:rPr>
          <w:rtl/>
          <w:lang w:bidi="ar-EG"/>
        </w:rPr>
        <w:t xml:space="preserve">) ملتزم </w:t>
      </w:r>
      <w:r>
        <w:rPr>
          <w:rFonts w:hint="cs"/>
          <w:rtl/>
          <w:lang w:bidi="ar-EG"/>
        </w:rPr>
        <w:t>بتوصيل</w:t>
      </w:r>
      <w:r w:rsidRPr="007F0152">
        <w:rPr>
          <w:rtl/>
          <w:lang w:bidi="ar-EG"/>
        </w:rPr>
        <w:t xml:space="preserve"> الجميع، في كل مكان، بطريقة هادفة.</w:t>
      </w:r>
    </w:p>
    <w:p w14:paraId="252CB5B6" w14:textId="77777777" w:rsidR="00901AD0" w:rsidRDefault="00083F2A" w:rsidP="00083F2A">
      <w:pPr>
        <w:rPr>
          <w:rtl/>
          <w:lang w:bidi="ar-EG"/>
        </w:rPr>
      </w:pPr>
      <w:r w:rsidRPr="007F0152">
        <w:rPr>
          <w:rtl/>
          <w:lang w:bidi="ar-EG"/>
        </w:rPr>
        <w:t>وبصفته وكالة الأمم المتحدة المعنية بالتكنولوجيات الرقمية، ييسر الاتحاد التعاون التقني ويعبئ الشراكات الرئيسية لوضع التكنولوجيات الرقمية في خدمة البشرية جمعاء.</w:t>
      </w:r>
    </w:p>
    <w:p w14:paraId="5FACA1C5" w14:textId="17835A52" w:rsidR="00083F2A" w:rsidRPr="00902CF4" w:rsidRDefault="00083F2A" w:rsidP="00083F2A">
      <w:pPr>
        <w:rPr>
          <w:spacing w:val="-2"/>
          <w:rtl/>
          <w:lang w:bidi="ar-EG"/>
        </w:rPr>
      </w:pPr>
      <w:r w:rsidRPr="00902CF4">
        <w:rPr>
          <w:spacing w:val="-2"/>
          <w:rtl/>
          <w:lang w:bidi="ar-EG"/>
        </w:rPr>
        <w:t xml:space="preserve">وتتركز خطتنا الاستراتيجية للفترة 2024-2027 على هدفين رئيسيين: التوصيلية الشاملة والتحول الرقمي المستدام. ويعود عمل الاتحاد بالفائدة على كل شخص </w:t>
      </w:r>
      <w:r w:rsidRPr="00902CF4">
        <w:rPr>
          <w:rFonts w:hint="cs"/>
          <w:spacing w:val="-2"/>
          <w:rtl/>
          <w:lang w:bidi="ar-EG"/>
        </w:rPr>
        <w:t>موصول</w:t>
      </w:r>
      <w:r w:rsidRPr="00902CF4">
        <w:rPr>
          <w:spacing w:val="-2"/>
          <w:rtl/>
          <w:lang w:bidi="ar-EG"/>
        </w:rPr>
        <w:t xml:space="preserve"> بالشبكات الرقمية، ويقر</w:t>
      </w:r>
      <w:r w:rsidRPr="00902CF4">
        <w:rPr>
          <w:rFonts w:hint="cs"/>
          <w:spacing w:val="-2"/>
          <w:rtl/>
          <w:lang w:bidi="ar-EG"/>
        </w:rPr>
        <w:t>ّ</w:t>
      </w:r>
      <w:r w:rsidRPr="00902CF4">
        <w:rPr>
          <w:spacing w:val="-2"/>
          <w:rtl/>
          <w:lang w:bidi="ar-EG"/>
        </w:rPr>
        <w:t xml:space="preserve">ب العالم الرقمي </w:t>
      </w:r>
      <w:r w:rsidRPr="00902CF4">
        <w:rPr>
          <w:rFonts w:hint="cs"/>
          <w:spacing w:val="-2"/>
          <w:rtl/>
          <w:lang w:bidi="ar-EG"/>
        </w:rPr>
        <w:t>لنحو</w:t>
      </w:r>
      <w:r w:rsidRPr="00902CF4">
        <w:rPr>
          <w:spacing w:val="-2"/>
          <w:rtl/>
          <w:lang w:bidi="ar-EG"/>
        </w:rPr>
        <w:t xml:space="preserve"> </w:t>
      </w:r>
      <w:r w:rsidRPr="00902CF4">
        <w:rPr>
          <w:spacing w:val="-2"/>
          <w:lang w:bidi="ar-EG"/>
        </w:rPr>
        <w:t>2,6</w:t>
      </w:r>
      <w:r w:rsidRPr="00902CF4">
        <w:rPr>
          <w:spacing w:val="-2"/>
          <w:rtl/>
          <w:lang w:bidi="ar-EG"/>
        </w:rPr>
        <w:t xml:space="preserve"> مليار شخص لا يزالون غير </w:t>
      </w:r>
      <w:r w:rsidRPr="00902CF4">
        <w:rPr>
          <w:rFonts w:hint="cs"/>
          <w:spacing w:val="-2"/>
          <w:rtl/>
          <w:lang w:bidi="ar-EG"/>
        </w:rPr>
        <w:t>موصولين</w:t>
      </w:r>
      <w:r w:rsidRPr="00902CF4">
        <w:rPr>
          <w:spacing w:val="-2"/>
          <w:rtl/>
          <w:lang w:bidi="ar-EG"/>
        </w:rPr>
        <w:t xml:space="preserve"> بالإنترنت، ويدعم مليارات</w:t>
      </w:r>
      <w:r w:rsidRPr="00902CF4">
        <w:rPr>
          <w:rFonts w:hint="cs"/>
          <w:spacing w:val="-2"/>
          <w:rtl/>
          <w:lang w:bidi="ar-EG"/>
        </w:rPr>
        <w:t xml:space="preserve"> الأشخاص</w:t>
      </w:r>
      <w:r w:rsidRPr="00902CF4">
        <w:rPr>
          <w:spacing w:val="-2"/>
          <w:rtl/>
          <w:lang w:bidi="ar-EG"/>
        </w:rPr>
        <w:t xml:space="preserve"> </w:t>
      </w:r>
      <w:r w:rsidRPr="00902CF4">
        <w:rPr>
          <w:rFonts w:hint="cs"/>
          <w:spacing w:val="-2"/>
          <w:rtl/>
          <w:lang w:bidi="ar-EG"/>
        </w:rPr>
        <w:t>ال</w:t>
      </w:r>
      <w:r w:rsidRPr="00902CF4">
        <w:rPr>
          <w:spacing w:val="-2"/>
          <w:rtl/>
          <w:lang w:bidi="ar-EG"/>
        </w:rPr>
        <w:t xml:space="preserve">آخرين </w:t>
      </w:r>
      <w:r w:rsidRPr="00902CF4">
        <w:rPr>
          <w:rFonts w:hint="cs"/>
          <w:spacing w:val="-2"/>
          <w:rtl/>
          <w:lang w:bidi="ar-EG"/>
        </w:rPr>
        <w:t>الذين</w:t>
      </w:r>
      <w:r w:rsidRPr="00902CF4">
        <w:rPr>
          <w:spacing w:val="-2"/>
          <w:rtl/>
          <w:lang w:bidi="ar-EG"/>
        </w:rPr>
        <w:t xml:space="preserve"> يعانون من عدم كفاية النفاذ أو </w:t>
      </w:r>
      <w:r w:rsidRPr="00902CF4">
        <w:rPr>
          <w:rFonts w:hint="cs"/>
          <w:spacing w:val="-2"/>
          <w:rtl/>
          <w:lang w:bidi="ar-EG"/>
        </w:rPr>
        <w:t xml:space="preserve">من عدم القدرة على تحمل تكلفة </w:t>
      </w:r>
      <w:r w:rsidRPr="00902CF4">
        <w:rPr>
          <w:spacing w:val="-2"/>
          <w:rtl/>
          <w:lang w:bidi="ar-EG"/>
        </w:rPr>
        <w:t>الخدمات</w:t>
      </w:r>
      <w:r w:rsidRPr="00902CF4">
        <w:rPr>
          <w:rFonts w:hint="cs"/>
          <w:spacing w:val="-2"/>
          <w:rtl/>
          <w:lang w:bidi="ar-EG"/>
        </w:rPr>
        <w:t>.</w:t>
      </w:r>
    </w:p>
    <w:p w14:paraId="7CC6E7F1" w14:textId="77777777" w:rsidR="00083F2A" w:rsidRDefault="00083F2A" w:rsidP="00083F2A">
      <w:pPr>
        <w:rPr>
          <w:rtl/>
        </w:rPr>
      </w:pPr>
      <w:r w:rsidRPr="007F0152">
        <w:rPr>
          <w:rtl/>
          <w:lang w:bidi="ar-EG"/>
        </w:rPr>
        <w:t>وفي عام 2024، قدم الاتحاد مساهمات وخبرات رئيسية للميثاق الرقمي العالمي الذي تم اعتماده مع ميثاق المستقبل في الجمعية العامة للأمم المتحدة لعام 2024، ويتولى الآن، جنباً إلى جنب مع مكتب الأمم المتحدة للتكنولوجيات الرقمية والناشئة، قيادة فريق العمل التابع للأمم المتحدة المعني بالتكنولوجيات الرقمية، ويضطلع، بناءً عليه، بدور رئيسي في تنفيذ الميثاق الرقمي العالمي داخل منظومة الأمم المتحدة وخارجها.</w:t>
      </w:r>
    </w:p>
    <w:p w14:paraId="75BCFF89" w14:textId="504D970D" w:rsidR="00083F2A" w:rsidRDefault="00083F2A" w:rsidP="000D6F9F">
      <w:pPr>
        <w:pStyle w:val="Headingb0"/>
      </w:pPr>
      <w:r w:rsidRPr="00923431">
        <w:rPr>
          <w:rtl/>
        </w:rPr>
        <w:t>وضع المعايير من أجل مستقبل أفضل</w:t>
      </w:r>
    </w:p>
    <w:p w14:paraId="26B2EFDD" w14:textId="77777777" w:rsidR="00901AD0" w:rsidRPr="00322D0D" w:rsidRDefault="00083F2A" w:rsidP="00083F2A">
      <w:pPr>
        <w:rPr>
          <w:spacing w:val="-2"/>
          <w:rtl/>
          <w:lang w:bidi="ar-EG"/>
        </w:rPr>
      </w:pPr>
      <w:r w:rsidRPr="00322D0D">
        <w:rPr>
          <w:spacing w:val="-2"/>
          <w:rtl/>
          <w:lang w:bidi="ar-EG"/>
        </w:rPr>
        <w:t>على مدار عام 2024، واصلنا تطوير المعايير التقنية الرئيسية اللازمة لبناء مستقبل رقمي أفضل، وتناولنا الشواغل والفرص الرئيسية المتعلقة بالذكاء الاصطناعي (</w:t>
      </w:r>
      <w:r w:rsidRPr="00322D0D">
        <w:rPr>
          <w:spacing w:val="-2"/>
          <w:lang w:bidi="ar-EG"/>
        </w:rPr>
        <w:t>AI</w:t>
      </w:r>
      <w:r w:rsidRPr="00322D0D">
        <w:rPr>
          <w:spacing w:val="-2"/>
          <w:rtl/>
          <w:lang w:bidi="ar-EG"/>
        </w:rPr>
        <w:t xml:space="preserve">)، وقدمنا إرشادات </w:t>
      </w:r>
      <w:r w:rsidRPr="00322D0D">
        <w:rPr>
          <w:rFonts w:hint="cs"/>
          <w:spacing w:val="-2"/>
          <w:rtl/>
          <w:lang w:bidi="ar-EG"/>
        </w:rPr>
        <w:t>للبلدان</w:t>
      </w:r>
      <w:r w:rsidRPr="00322D0D">
        <w:rPr>
          <w:spacing w:val="-2"/>
          <w:rtl/>
          <w:lang w:bidi="ar-EG"/>
        </w:rPr>
        <w:t xml:space="preserve"> بشأن الخدمات الرقمية </w:t>
      </w:r>
      <w:r w:rsidRPr="00322D0D">
        <w:rPr>
          <w:rFonts w:hint="cs"/>
          <w:spacing w:val="-2"/>
          <w:rtl/>
          <w:lang w:bidi="ar-EG"/>
        </w:rPr>
        <w:t>المتجاوبَة</w:t>
      </w:r>
      <w:r w:rsidRPr="00322D0D">
        <w:rPr>
          <w:spacing w:val="-2"/>
          <w:rtl/>
          <w:lang w:bidi="ar-EG"/>
        </w:rPr>
        <w:t xml:space="preserve"> التي تركز على المواطنين. وتبيّن معايير الاتحاد كيفية جعل </w:t>
      </w:r>
      <w:r w:rsidRPr="00322D0D">
        <w:rPr>
          <w:rFonts w:hint="cs"/>
          <w:spacing w:val="-2"/>
          <w:rtl/>
          <w:lang w:bidi="ar-EG"/>
        </w:rPr>
        <w:t>التكنولوجيات</w:t>
      </w:r>
      <w:r w:rsidRPr="00322D0D">
        <w:rPr>
          <w:spacing w:val="-2"/>
          <w:rtl/>
          <w:lang w:bidi="ar-EG"/>
        </w:rPr>
        <w:t xml:space="preserve"> فعّالة وميسورة التكلفة وآمنة وقابلة للنفاذ، بالإضافة إلى كيفية الحد من الأثر البيئي.</w:t>
      </w:r>
    </w:p>
    <w:p w14:paraId="27E108EF" w14:textId="3F43CA41" w:rsidR="00083F2A" w:rsidRDefault="00083F2A" w:rsidP="00083F2A">
      <w:pPr>
        <w:rPr>
          <w:lang w:bidi="ar-EG"/>
        </w:rPr>
      </w:pPr>
      <w:r w:rsidRPr="00955E0E">
        <w:rPr>
          <w:rtl/>
          <w:lang w:bidi="ar-EG"/>
        </w:rPr>
        <w:t>وقد شهدت الجمعية العالمية لتقييس الاتصالات (</w:t>
      </w:r>
      <w:r w:rsidRPr="00955E0E">
        <w:rPr>
          <w:lang w:bidi="ar-EG"/>
        </w:rPr>
        <w:t>WTSA-24</w:t>
      </w:r>
      <w:r w:rsidRPr="00955E0E">
        <w:rPr>
          <w:rtl/>
          <w:lang w:bidi="ar-EG"/>
        </w:rPr>
        <w:t>) التي عُقدت في نيودلهي، الهند، اعتماد قرارات جديدة بشأن الذكاء الاصطناعي المسؤول، وتطبيقات الميتافيرس الموثوقة والقابلة للتشغيل البيني، والاتصالات في حالات الطوارئ، والنقل الذكي، والبنية التحتية الرقمية العامة، والاستدامة، وغيرها.</w:t>
      </w:r>
    </w:p>
    <w:p w14:paraId="7F20865F" w14:textId="77777777" w:rsidR="00083F2A" w:rsidRDefault="00083F2A" w:rsidP="00083F2A">
      <w:pPr>
        <w:pStyle w:val="Headingb0"/>
        <w:rPr>
          <w:rtl/>
        </w:rPr>
      </w:pPr>
      <w:r>
        <w:rPr>
          <w:rFonts w:hint="cs"/>
          <w:rtl/>
        </w:rPr>
        <w:t>معالجة أوجه عدم المساواة الرقمية</w:t>
      </w:r>
    </w:p>
    <w:p w14:paraId="18DC1AF3" w14:textId="70CDC31B" w:rsidR="00901AD0" w:rsidRDefault="00083F2A" w:rsidP="00083F2A">
      <w:pPr>
        <w:rPr>
          <w:rtl/>
          <w:lang w:bidi="ar-EG"/>
        </w:rPr>
      </w:pPr>
      <w:r w:rsidRPr="001D101A">
        <w:rPr>
          <w:rtl/>
          <w:lang w:bidi="ar-EG"/>
        </w:rPr>
        <w:t xml:space="preserve">مع اتساع الفجوة الرقمية بين </w:t>
      </w:r>
      <w:r>
        <w:rPr>
          <w:color w:val="000000"/>
          <w:rtl/>
        </w:rPr>
        <w:t xml:space="preserve">من لديهم ومن ليس لديهم التكنولوجيا الرقمية </w:t>
      </w:r>
      <w:r w:rsidRPr="001D101A">
        <w:rPr>
          <w:rtl/>
          <w:lang w:bidi="ar-EG"/>
        </w:rPr>
        <w:t xml:space="preserve">بفعل اعتماد تكنولوجيات جديدة، بما في ذلك </w:t>
      </w:r>
      <w:r>
        <w:rPr>
          <w:rFonts w:hint="cs"/>
          <w:rtl/>
          <w:lang w:bidi="ar-EG"/>
        </w:rPr>
        <w:t>تكنولوجيا</w:t>
      </w:r>
      <w:r w:rsidRPr="001D101A">
        <w:rPr>
          <w:rtl/>
          <w:lang w:bidi="ar-EG"/>
        </w:rPr>
        <w:t xml:space="preserve"> الجيل الخامس (</w:t>
      </w:r>
      <w:r w:rsidR="0007439F">
        <w:rPr>
          <w:lang w:bidi="ar-EG"/>
        </w:rPr>
        <w:t>5G</w:t>
      </w:r>
      <w:r w:rsidRPr="001D101A">
        <w:rPr>
          <w:rtl/>
          <w:lang w:bidi="ar-EG"/>
        </w:rPr>
        <w:t xml:space="preserve">)، </w:t>
      </w:r>
      <w:r>
        <w:rPr>
          <w:rFonts w:hint="cs"/>
          <w:rtl/>
          <w:lang w:bidi="ar-EG"/>
        </w:rPr>
        <w:t>يبادر</w:t>
      </w:r>
      <w:r w:rsidRPr="001D101A">
        <w:rPr>
          <w:rtl/>
          <w:lang w:bidi="ar-EG"/>
        </w:rPr>
        <w:t xml:space="preserve"> الاتحاد </w:t>
      </w:r>
      <w:r>
        <w:rPr>
          <w:rFonts w:hint="cs"/>
          <w:rtl/>
          <w:lang w:bidi="ar-EG"/>
        </w:rPr>
        <w:t xml:space="preserve">إلى تيسير </w:t>
      </w:r>
      <w:r w:rsidRPr="001D101A">
        <w:rPr>
          <w:rtl/>
          <w:lang w:bidi="ar-EG"/>
        </w:rPr>
        <w:t xml:space="preserve">الشراكات اللازمة </w:t>
      </w:r>
      <w:r>
        <w:rPr>
          <w:rFonts w:hint="cs"/>
          <w:rtl/>
          <w:lang w:bidi="ar-EG"/>
        </w:rPr>
        <w:t>لسد</w:t>
      </w:r>
      <w:r w:rsidRPr="001D101A">
        <w:rPr>
          <w:rtl/>
          <w:lang w:bidi="ar-EG"/>
        </w:rPr>
        <w:t xml:space="preserve"> الفجوات الرقمية العالمية.</w:t>
      </w:r>
    </w:p>
    <w:p w14:paraId="4C69606E" w14:textId="307C03BA" w:rsidR="00083F2A" w:rsidRDefault="00083F2A" w:rsidP="00083F2A">
      <w:pPr>
        <w:rPr>
          <w:rtl/>
          <w:lang w:bidi="ar-EG"/>
        </w:rPr>
      </w:pPr>
      <w:r>
        <w:rPr>
          <w:rFonts w:hint="cs"/>
          <w:rtl/>
          <w:lang w:bidi="ar-EG"/>
        </w:rPr>
        <w:t xml:space="preserve">وإن </w:t>
      </w:r>
      <w:r w:rsidRPr="009C645F">
        <w:rPr>
          <w:rtl/>
          <w:lang w:bidi="ar-EG"/>
        </w:rPr>
        <w:t xml:space="preserve">مبادرة الاستثمار في البنية التحتية الرقمية، التي أُطلقت في عام 2024 بدعم من رئاسة البرازيل لمجموعة العشرين، تجمع بين ست مؤسسات رائدة </w:t>
      </w:r>
      <w:r>
        <w:rPr>
          <w:rFonts w:hint="cs"/>
          <w:rtl/>
          <w:lang w:bidi="ar-EG"/>
        </w:rPr>
        <w:t xml:space="preserve">في مجال </w:t>
      </w:r>
      <w:r w:rsidRPr="009C645F">
        <w:rPr>
          <w:rtl/>
          <w:lang w:bidi="ar-EG"/>
        </w:rPr>
        <w:t xml:space="preserve">تمويل التنمية </w:t>
      </w:r>
      <w:r>
        <w:rPr>
          <w:rFonts w:hint="cs"/>
          <w:rtl/>
          <w:lang w:bidi="ar-EG"/>
        </w:rPr>
        <w:t xml:space="preserve">وذلك </w:t>
      </w:r>
      <w:r w:rsidRPr="009C645F">
        <w:rPr>
          <w:rtl/>
          <w:lang w:bidi="ar-EG"/>
        </w:rPr>
        <w:t xml:space="preserve">في </w:t>
      </w:r>
      <w:r>
        <w:rPr>
          <w:rFonts w:hint="cs"/>
          <w:rtl/>
          <w:lang w:bidi="ar-EG"/>
        </w:rPr>
        <w:t xml:space="preserve">إطار </w:t>
      </w:r>
      <w:r w:rsidRPr="009C645F">
        <w:rPr>
          <w:rtl/>
          <w:lang w:bidi="ar-EG"/>
        </w:rPr>
        <w:t xml:space="preserve">مهمة لحشد التمويل والسياسات اللازمة </w:t>
      </w:r>
      <w:r>
        <w:rPr>
          <w:rFonts w:hint="cs"/>
          <w:rtl/>
          <w:lang w:bidi="ar-EG"/>
        </w:rPr>
        <w:t>لإتاحة التوصيل الهادف</w:t>
      </w:r>
      <w:r w:rsidRPr="009C645F">
        <w:rPr>
          <w:rtl/>
          <w:lang w:bidi="ar-EG"/>
        </w:rPr>
        <w:t xml:space="preserve"> للجميع بحلول عام 2030</w:t>
      </w:r>
      <w:r w:rsidR="005522B1">
        <w:rPr>
          <w:rFonts w:hint="cs"/>
          <w:rtl/>
          <w:lang w:bidi="ar-EG"/>
        </w:rPr>
        <w:t>.</w:t>
      </w:r>
    </w:p>
    <w:p w14:paraId="01A5476A" w14:textId="31EF5A36" w:rsidR="00083F2A" w:rsidRDefault="00083F2A" w:rsidP="00083F2A">
      <w:pPr>
        <w:rPr>
          <w:rtl/>
        </w:rPr>
      </w:pPr>
      <w:r w:rsidRPr="009C645F">
        <w:rPr>
          <w:rtl/>
          <w:lang w:bidi="ar-EG"/>
        </w:rPr>
        <w:t>‏</w:t>
      </w:r>
      <w:r>
        <w:rPr>
          <w:rFonts w:hint="cs"/>
          <w:rtl/>
          <w:lang w:bidi="ar-EG"/>
        </w:rPr>
        <w:t>و</w:t>
      </w:r>
      <w:r w:rsidRPr="009C645F">
        <w:rPr>
          <w:rtl/>
          <w:lang w:bidi="ar-EG"/>
        </w:rPr>
        <w:t xml:space="preserve">نواصل </w:t>
      </w:r>
      <w:r>
        <w:rPr>
          <w:rFonts w:hint="cs"/>
          <w:rtl/>
          <w:lang w:bidi="ar-EG"/>
        </w:rPr>
        <w:t>أيضاً</w:t>
      </w:r>
      <w:r w:rsidRPr="009C645F">
        <w:rPr>
          <w:rtl/>
          <w:lang w:bidi="ar-EG"/>
        </w:rPr>
        <w:t xml:space="preserve"> أنشطتنا الرائدة من خلال مبادرة </w:t>
      </w:r>
      <w:r w:rsidRPr="009C645F">
        <w:rPr>
          <w:lang w:bidi="ar-EG"/>
        </w:rPr>
        <w:t>Giga</w:t>
      </w:r>
      <w:r w:rsidRPr="009C645F">
        <w:rPr>
          <w:rtl/>
          <w:lang w:bidi="ar-EG"/>
        </w:rPr>
        <w:t xml:space="preserve">، وهي مبادرة مشتركة مع اليونيسف </w:t>
      </w:r>
      <w:r>
        <w:rPr>
          <w:rFonts w:hint="cs"/>
          <w:rtl/>
          <w:lang w:bidi="ar-EG"/>
        </w:rPr>
        <w:t>تهدف إلى توصيل</w:t>
      </w:r>
      <w:r w:rsidRPr="009C645F">
        <w:rPr>
          <w:rtl/>
          <w:lang w:bidi="ar-EG"/>
        </w:rPr>
        <w:t xml:space="preserve"> كل مدرسة في</w:t>
      </w:r>
      <w:r w:rsidR="00D27CEB">
        <w:rPr>
          <w:rFonts w:hint="cs"/>
          <w:rtl/>
          <w:lang w:bidi="ar-EG"/>
        </w:rPr>
        <w:t> </w:t>
      </w:r>
      <w:r w:rsidRPr="009C645F">
        <w:rPr>
          <w:rtl/>
          <w:lang w:bidi="ar-EG"/>
        </w:rPr>
        <w:t xml:space="preserve">العالم، ومن خلال مبادرة </w:t>
      </w:r>
      <w:r w:rsidRPr="009C645F">
        <w:rPr>
          <w:lang w:bidi="ar-EG"/>
        </w:rPr>
        <w:t>Partner2Connect</w:t>
      </w:r>
      <w:r w:rsidRPr="009C645F">
        <w:rPr>
          <w:rtl/>
          <w:lang w:bidi="ar-EG"/>
        </w:rPr>
        <w:t xml:space="preserve">، </w:t>
      </w:r>
      <w:r>
        <w:rPr>
          <w:rFonts w:hint="cs"/>
          <w:rtl/>
          <w:lang w:bidi="ar-EG"/>
        </w:rPr>
        <w:t xml:space="preserve">وهي </w:t>
      </w:r>
      <w:r w:rsidRPr="00B62BA3">
        <w:rPr>
          <w:rtl/>
          <w:lang w:bidi="ar-EG"/>
        </w:rPr>
        <w:t>حملة تعهدات عالمية للالتزام بمشاريع تحدث تغييرات جذرية</w:t>
      </w:r>
      <w:r>
        <w:rPr>
          <w:rFonts w:hint="cs"/>
          <w:rtl/>
          <w:lang w:bidi="ar-EG"/>
        </w:rPr>
        <w:t>.</w:t>
      </w:r>
    </w:p>
    <w:p w14:paraId="3CB14CC1" w14:textId="77777777" w:rsidR="00083F2A" w:rsidRDefault="00083F2A" w:rsidP="00083F2A">
      <w:pPr>
        <w:rPr>
          <w:rtl/>
        </w:rPr>
      </w:pPr>
      <w:r>
        <w:rPr>
          <w:rFonts w:hint="cs"/>
          <w:rtl/>
          <w:lang w:bidi="ar-EG"/>
        </w:rPr>
        <w:t>و</w:t>
      </w:r>
      <w:r w:rsidRPr="001D101A">
        <w:rPr>
          <w:rtl/>
          <w:lang w:bidi="ar-EG"/>
        </w:rPr>
        <w:t xml:space="preserve">بالتوازي مع ذلك، تكرّس الهيئة الاستشارية الدولية لمرونة </w:t>
      </w:r>
      <w:r>
        <w:rPr>
          <w:rFonts w:hint="cs"/>
          <w:rtl/>
          <w:lang w:bidi="ar-EG"/>
        </w:rPr>
        <w:t>الكبلات</w:t>
      </w:r>
      <w:r w:rsidRPr="001D101A">
        <w:rPr>
          <w:rtl/>
          <w:lang w:bidi="ar-EG"/>
        </w:rPr>
        <w:t xml:space="preserve"> البحرية، التي أُنشئت حديثاً، جهودها لتعزيز </w:t>
      </w:r>
      <w:r>
        <w:rPr>
          <w:rFonts w:hint="cs"/>
          <w:rtl/>
          <w:lang w:bidi="ar-EG"/>
        </w:rPr>
        <w:t>الشبكة الأساسية الرقمية العالمية</w:t>
      </w:r>
      <w:r w:rsidRPr="001D101A">
        <w:rPr>
          <w:rtl/>
          <w:lang w:bidi="ar-EG"/>
        </w:rPr>
        <w:t xml:space="preserve"> من خلال تعزيز التعاون في مجال البنية التحتية </w:t>
      </w:r>
      <w:r>
        <w:rPr>
          <w:rFonts w:hint="cs"/>
          <w:rtl/>
          <w:lang w:bidi="ar-EG"/>
        </w:rPr>
        <w:t>لكبلات</w:t>
      </w:r>
      <w:r w:rsidRPr="001D101A">
        <w:rPr>
          <w:rtl/>
          <w:lang w:bidi="ar-EG"/>
        </w:rPr>
        <w:t xml:space="preserve"> الاتصالات البحرية.</w:t>
      </w:r>
    </w:p>
    <w:p w14:paraId="78DA5822" w14:textId="77777777" w:rsidR="00083F2A" w:rsidRDefault="00083F2A" w:rsidP="00083F2A">
      <w:pPr>
        <w:pStyle w:val="Headingb0"/>
        <w:rPr>
          <w:rtl/>
        </w:rPr>
      </w:pPr>
      <w:r>
        <w:rPr>
          <w:rFonts w:hint="cs"/>
          <w:rtl/>
        </w:rPr>
        <w:t>تحسين استخدام الطيف والمدارات</w:t>
      </w:r>
    </w:p>
    <w:p w14:paraId="6B741BB7" w14:textId="77777777" w:rsidR="00083F2A" w:rsidRDefault="00083F2A" w:rsidP="00083F2A">
      <w:pPr>
        <w:rPr>
          <w:lang w:bidi="ar-EG"/>
        </w:rPr>
      </w:pPr>
      <w:r w:rsidRPr="00943A1D">
        <w:rPr>
          <w:rtl/>
          <w:lang w:bidi="ar-EG"/>
        </w:rPr>
        <w:t xml:space="preserve">ينسق الاتحاد الترددات الراديوية والمدارات الساتلية بين البلدان والمناطق في جميع أنحاء العالم، مما يتيح استثمارات بملايين الدولارات لتقديم </w:t>
      </w:r>
      <w:r>
        <w:rPr>
          <w:rFonts w:hint="cs"/>
          <w:rtl/>
          <w:lang w:bidi="ar-EG"/>
        </w:rPr>
        <w:t>ال</w:t>
      </w:r>
      <w:r w:rsidRPr="00943A1D">
        <w:rPr>
          <w:rtl/>
          <w:lang w:bidi="ar-EG"/>
        </w:rPr>
        <w:t xml:space="preserve">خدمات </w:t>
      </w:r>
      <w:r>
        <w:rPr>
          <w:rFonts w:hint="cs"/>
          <w:rtl/>
          <w:lang w:bidi="ar-EG"/>
        </w:rPr>
        <w:t>مع أ</w:t>
      </w:r>
      <w:r w:rsidRPr="00943A1D">
        <w:rPr>
          <w:rtl/>
          <w:lang w:bidi="ar-EG"/>
        </w:rPr>
        <w:t>قل قدر من التداخل الضار.</w:t>
      </w:r>
      <w:r w:rsidRPr="00943A1D">
        <w:rPr>
          <w:cs/>
          <w:lang w:bidi="ar-EG"/>
        </w:rPr>
        <w:t>‎</w:t>
      </w:r>
    </w:p>
    <w:p w14:paraId="605835FD" w14:textId="77777777" w:rsidR="00083F2A" w:rsidRDefault="00083F2A" w:rsidP="00083F2A">
      <w:pPr>
        <w:rPr>
          <w:rtl/>
          <w:lang w:bidi="ar-EG"/>
        </w:rPr>
      </w:pPr>
      <w:r>
        <w:rPr>
          <w:rFonts w:hint="cs"/>
          <w:rtl/>
          <w:lang w:bidi="ar-EG"/>
        </w:rPr>
        <w:t>وتكفل</w:t>
      </w:r>
      <w:r w:rsidRPr="009F0996">
        <w:rPr>
          <w:rtl/>
          <w:lang w:bidi="ar-EG"/>
        </w:rPr>
        <w:t xml:space="preserve"> طبعة عام 2024 من لوائح الراديو</w:t>
      </w:r>
      <w:r>
        <w:rPr>
          <w:rFonts w:hint="cs"/>
          <w:rtl/>
          <w:lang w:bidi="ar-EG"/>
        </w:rPr>
        <w:t xml:space="preserve"> الصادرة عن</w:t>
      </w:r>
      <w:r w:rsidRPr="009F0996">
        <w:rPr>
          <w:rtl/>
          <w:lang w:bidi="ar-EG"/>
        </w:rPr>
        <w:t xml:space="preserve"> </w:t>
      </w:r>
      <w:r>
        <w:rPr>
          <w:rFonts w:hint="cs"/>
          <w:rtl/>
          <w:lang w:bidi="ar-EG"/>
        </w:rPr>
        <w:t>ا</w:t>
      </w:r>
      <w:r w:rsidRPr="009F0996">
        <w:rPr>
          <w:rtl/>
          <w:lang w:bidi="ar-EG"/>
        </w:rPr>
        <w:t xml:space="preserve">لاتحاد </w:t>
      </w:r>
      <w:r>
        <w:rPr>
          <w:rFonts w:hint="cs"/>
          <w:rtl/>
          <w:lang w:bidi="ar-EG"/>
        </w:rPr>
        <w:t>الحماية</w:t>
      </w:r>
      <w:r w:rsidRPr="009F0996">
        <w:rPr>
          <w:rtl/>
          <w:lang w:bidi="ar-EG"/>
        </w:rPr>
        <w:t xml:space="preserve"> </w:t>
      </w:r>
      <w:r>
        <w:rPr>
          <w:rFonts w:hint="cs"/>
          <w:rtl/>
          <w:lang w:bidi="ar-EG"/>
        </w:rPr>
        <w:t>ل</w:t>
      </w:r>
      <w:r w:rsidRPr="009F0996">
        <w:rPr>
          <w:rtl/>
          <w:lang w:bidi="ar-EG"/>
        </w:rPr>
        <w:t>مجموعة واسعة من الاستخدامات الحالية للطيف، مع تمكين</w:t>
      </w:r>
      <w:r>
        <w:rPr>
          <w:rFonts w:hint="cs"/>
          <w:rtl/>
          <w:lang w:bidi="ar-EG"/>
        </w:rPr>
        <w:t xml:space="preserve"> تسريع وتيرة</w:t>
      </w:r>
      <w:r w:rsidRPr="009F0996">
        <w:rPr>
          <w:rtl/>
          <w:lang w:bidi="ar-EG"/>
        </w:rPr>
        <w:t xml:space="preserve"> الابتكار. </w:t>
      </w:r>
      <w:r>
        <w:rPr>
          <w:rFonts w:hint="cs"/>
          <w:rtl/>
          <w:lang w:bidi="ar-EG"/>
        </w:rPr>
        <w:t>و</w:t>
      </w:r>
      <w:r w:rsidRPr="009F0996">
        <w:rPr>
          <w:rtl/>
          <w:lang w:bidi="ar-EG"/>
        </w:rPr>
        <w:t xml:space="preserve">في أواخر عام 2024، جمع الاتحاد </w:t>
      </w:r>
      <w:r>
        <w:rPr>
          <w:rFonts w:hint="cs"/>
          <w:rtl/>
          <w:lang w:bidi="ar-EG"/>
        </w:rPr>
        <w:t>بين</w:t>
      </w:r>
      <w:r w:rsidRPr="009F0996">
        <w:rPr>
          <w:rtl/>
          <w:lang w:bidi="ar-EG"/>
        </w:rPr>
        <w:t xml:space="preserve"> الحكومات ووكالات الفضاء والقطاع الخاص ومجموعات المجتمع المدني والمنظمات التابعة للأمم المتحدة في أول منتدى له لاستدامة الفضاء، بهدف ضمان الاستخدام المسؤول والحفاظ على استدامة الفضاء الخارجي للأجيال القادمة.</w:t>
      </w:r>
    </w:p>
    <w:p w14:paraId="331C0427" w14:textId="77777777" w:rsidR="00083F2A" w:rsidRDefault="00083F2A" w:rsidP="00083F2A">
      <w:pPr>
        <w:pStyle w:val="Headingb0"/>
        <w:rPr>
          <w:rtl/>
        </w:rPr>
      </w:pPr>
      <w:r w:rsidRPr="004D3C07">
        <w:rPr>
          <w:rtl/>
        </w:rPr>
        <w:t>‏تسخير التكنولوجيا الناشئة لخدمة البشرية</w:t>
      </w:r>
      <w:r w:rsidRPr="004D3C07">
        <w:rPr>
          <w:cs/>
        </w:rPr>
        <w:t>‎</w:t>
      </w:r>
    </w:p>
    <w:p w14:paraId="54D80C75" w14:textId="77777777" w:rsidR="00083F2A" w:rsidRDefault="00083F2A" w:rsidP="00083F2A">
      <w:pPr>
        <w:rPr>
          <w:lang w:bidi="ar-EG"/>
        </w:rPr>
      </w:pPr>
      <w:r w:rsidRPr="004D3C07">
        <w:rPr>
          <w:rtl/>
          <w:lang w:bidi="ar-EG"/>
        </w:rPr>
        <w:t xml:space="preserve">يمكن للتكنولوجيات الجديدة والناشئة أن تعزز التقدم في جميع مجالات التنمية الاجتماعية والاقتصادية </w:t>
      </w:r>
      <w:r>
        <w:rPr>
          <w:rFonts w:hint="cs"/>
          <w:rtl/>
          <w:lang w:bidi="ar-EG"/>
        </w:rPr>
        <w:t>تقريباً</w:t>
      </w:r>
      <w:r w:rsidRPr="004D3C07">
        <w:rPr>
          <w:rtl/>
          <w:lang w:bidi="ar-EG"/>
        </w:rPr>
        <w:t xml:space="preserve">، من الزراعة والتصنيع إلى التعليم والصحة. ويتجلى ذلك في اتساع نطاق أعمال الاتحاد المتعلقة بمعايير الذكاء الاصطناعي، والتي تُنفَّذ بالتعاون مع كيانات أخرى تابعة للأمم المتحدة، فضلاً عن الهيئات الأخرى المعنية بوضع المعايير والشركاء من </w:t>
      </w:r>
      <w:r>
        <w:rPr>
          <w:rFonts w:hint="cs"/>
          <w:rtl/>
          <w:lang w:bidi="ar-EG"/>
        </w:rPr>
        <w:t>دوائر الصناعة.</w:t>
      </w:r>
    </w:p>
    <w:p w14:paraId="7F62B87F" w14:textId="77777777" w:rsidR="00083F2A" w:rsidRDefault="00083F2A" w:rsidP="00083F2A">
      <w:pPr>
        <w:rPr>
          <w:lang w:bidi="ar-EG"/>
        </w:rPr>
      </w:pPr>
      <w:r>
        <w:rPr>
          <w:rFonts w:hint="cs"/>
          <w:rtl/>
          <w:lang w:bidi="ar-EG"/>
        </w:rPr>
        <w:lastRenderedPageBreak/>
        <w:t>و</w:t>
      </w:r>
      <w:r w:rsidRPr="004D3C07">
        <w:rPr>
          <w:rtl/>
          <w:lang w:bidi="ar-EG"/>
        </w:rPr>
        <w:t xml:space="preserve">أصبح برنامج الذكاء الاصطناعي من أجل </w:t>
      </w:r>
      <w:r>
        <w:rPr>
          <w:rFonts w:hint="cs"/>
          <w:rtl/>
          <w:lang w:bidi="ar-EG"/>
        </w:rPr>
        <w:t>المصلحة العامة</w:t>
      </w:r>
      <w:r w:rsidRPr="004D3C07">
        <w:rPr>
          <w:rtl/>
          <w:lang w:bidi="ar-EG"/>
        </w:rPr>
        <w:t xml:space="preserve">، الذي يديره الاتحاد بالتعاون مع أكثر من 40 شريكاً من وكالات الأمم المتحدة، المنصة العالمية لعرض حلول الذكاء الاصطناعي التي تساهم في تحقيق أهداف التنمية المستدامة للأمم المتحدة. كما أصبح منتدى رئيسياً لتبادل الرؤى حول اعتماد الذكاء الاصطناعي المسؤول، ولا سيما منذ تنظيم أول يوم </w:t>
      </w:r>
      <w:r>
        <w:rPr>
          <w:rFonts w:hint="cs"/>
          <w:rtl/>
          <w:lang w:bidi="ar-EG"/>
        </w:rPr>
        <w:t>لإدارة</w:t>
      </w:r>
      <w:r w:rsidRPr="004D3C07">
        <w:rPr>
          <w:rtl/>
          <w:lang w:bidi="ar-EG"/>
        </w:rPr>
        <w:t xml:space="preserve"> الذكاء الاصطناعي في مايو 2024. وفي 2024، أطلق الاتحاد تحالف مهارات الذكاء الاصطناعي لضمان تمكين جميع البلدان والمجتمعات من الوصول إلى المهارات </w:t>
      </w:r>
      <w:r>
        <w:rPr>
          <w:rFonts w:hint="cs"/>
          <w:rtl/>
          <w:lang w:bidi="ar-EG"/>
        </w:rPr>
        <w:t>اللازمة</w:t>
      </w:r>
      <w:r w:rsidRPr="004D3C07">
        <w:rPr>
          <w:rtl/>
          <w:lang w:bidi="ar-EG"/>
        </w:rPr>
        <w:t>.</w:t>
      </w:r>
    </w:p>
    <w:p w14:paraId="094CD1BB" w14:textId="77777777" w:rsidR="00083F2A" w:rsidRDefault="00083F2A" w:rsidP="00083F2A">
      <w:pPr>
        <w:rPr>
          <w:lang w:bidi="ar-EG"/>
        </w:rPr>
      </w:pPr>
      <w:r>
        <w:rPr>
          <w:rFonts w:hint="cs"/>
          <w:rtl/>
        </w:rPr>
        <w:t>و</w:t>
      </w:r>
      <w:r w:rsidRPr="00A73C8B">
        <w:rPr>
          <w:rtl/>
          <w:lang w:bidi="ar-EG"/>
        </w:rPr>
        <w:t xml:space="preserve">بالإضافة إلى ذلك، قمنا بتعزيز شراكات أوسع في </w:t>
      </w:r>
      <w:r>
        <w:rPr>
          <w:rFonts w:hint="cs"/>
          <w:rtl/>
          <w:lang w:bidi="ar-EG"/>
        </w:rPr>
        <w:t>مجال تكنولوجيات</w:t>
      </w:r>
      <w:r w:rsidRPr="00A73C8B">
        <w:rPr>
          <w:rtl/>
          <w:lang w:bidi="ar-EG"/>
        </w:rPr>
        <w:t xml:space="preserve"> المعلومات الكمومية، وواصلنا تعزيز التعاون بشأن معايير الشبكات والأمن السيبراني. </w:t>
      </w:r>
      <w:r>
        <w:rPr>
          <w:rFonts w:hint="cs"/>
          <w:rtl/>
          <w:lang w:bidi="ar-EG"/>
        </w:rPr>
        <w:t>واستعداداً</w:t>
      </w:r>
      <w:r w:rsidRPr="00A73C8B">
        <w:rPr>
          <w:rtl/>
          <w:lang w:bidi="ar-EG"/>
        </w:rPr>
        <w:t xml:space="preserve"> لمستقبل تتضاعف فيه قدرات الحوسبة بشكل هائل، </w:t>
      </w:r>
      <w:r>
        <w:rPr>
          <w:rFonts w:hint="cs"/>
          <w:rtl/>
          <w:lang w:bidi="ar-EG"/>
        </w:rPr>
        <w:t>نعمل على</w:t>
      </w:r>
      <w:r w:rsidRPr="00A73C8B">
        <w:rPr>
          <w:rtl/>
          <w:lang w:bidi="ar-EG"/>
        </w:rPr>
        <w:t xml:space="preserve"> تسخير </w:t>
      </w:r>
      <w:r>
        <w:rPr>
          <w:rFonts w:hint="cs"/>
          <w:rtl/>
          <w:lang w:bidi="ar-EG"/>
        </w:rPr>
        <w:t>التكنولوجيات الكمومية</w:t>
      </w:r>
      <w:r w:rsidRPr="00A73C8B">
        <w:rPr>
          <w:rtl/>
          <w:lang w:bidi="ar-EG"/>
        </w:rPr>
        <w:t xml:space="preserve"> لما فيه </w:t>
      </w:r>
      <w:r>
        <w:rPr>
          <w:rFonts w:hint="cs"/>
          <w:rtl/>
          <w:lang w:bidi="ar-EG"/>
        </w:rPr>
        <w:t>مصلحة الجميع</w:t>
      </w:r>
      <w:r w:rsidRPr="00A73C8B">
        <w:rPr>
          <w:rtl/>
          <w:lang w:bidi="ar-EG"/>
        </w:rPr>
        <w:t>.</w:t>
      </w:r>
    </w:p>
    <w:p w14:paraId="6316B47E" w14:textId="77777777" w:rsidR="00083F2A" w:rsidRDefault="00083F2A" w:rsidP="00083F2A">
      <w:pPr>
        <w:pStyle w:val="Headingb0"/>
        <w:rPr>
          <w:lang w:bidi="ar-EG"/>
        </w:rPr>
      </w:pPr>
      <w:r>
        <w:rPr>
          <w:rFonts w:hint="cs"/>
          <w:rtl/>
          <w:lang w:bidi="ar-EG"/>
        </w:rPr>
        <w:t>نحو تكنولوجيات رقمية مراعية للبيئة</w:t>
      </w:r>
    </w:p>
    <w:p w14:paraId="79174380" w14:textId="2829B50C" w:rsidR="00083F2A" w:rsidRPr="002445C0" w:rsidRDefault="00083F2A" w:rsidP="00083F2A">
      <w:pPr>
        <w:rPr>
          <w:lang w:bidi="ar-EG"/>
        </w:rPr>
      </w:pPr>
      <w:r w:rsidRPr="002445C0">
        <w:rPr>
          <w:rtl/>
          <w:lang w:bidi="ar-EG"/>
        </w:rPr>
        <w:t>أصدر مؤتمر الأمم المتحدة لتغير المناخ (</w:t>
      </w:r>
      <w:r w:rsidRPr="002445C0">
        <w:rPr>
          <w:lang w:bidi="ar-EG"/>
        </w:rPr>
        <w:t>COP29</w:t>
      </w:r>
      <w:r w:rsidRPr="002445C0">
        <w:rPr>
          <w:rtl/>
          <w:lang w:bidi="ar-EG"/>
        </w:rPr>
        <w:t xml:space="preserve">) إعلاناً حظي بتأييد واسع بشأن العمل الرقمي </w:t>
      </w:r>
      <w:r w:rsidRPr="002445C0">
        <w:rPr>
          <w:rFonts w:hint="cs"/>
          <w:rtl/>
          <w:lang w:bidi="ar-EG"/>
        </w:rPr>
        <w:t>المراعي للبيئة</w:t>
      </w:r>
      <w:r w:rsidRPr="002445C0">
        <w:rPr>
          <w:rtl/>
          <w:lang w:bidi="ar-EG"/>
        </w:rPr>
        <w:t xml:space="preserve">، مستلهماً من مبادرة العمل الرقمي </w:t>
      </w:r>
      <w:r w:rsidRPr="002445C0">
        <w:rPr>
          <w:rFonts w:hint="cs"/>
          <w:rtl/>
          <w:lang w:bidi="ar-EG"/>
        </w:rPr>
        <w:t>المراعي للبيئة</w:t>
      </w:r>
      <w:r w:rsidRPr="002445C0">
        <w:rPr>
          <w:rtl/>
          <w:lang w:bidi="ar-EG"/>
        </w:rPr>
        <w:t xml:space="preserve"> التي يقودها الاتحاد بالشراكة مع جهات من جميع أنحاء العالم. وقد </w:t>
      </w:r>
      <w:r w:rsidRPr="002445C0">
        <w:rPr>
          <w:rFonts w:hint="cs"/>
          <w:rtl/>
          <w:lang w:bidi="ar-EG"/>
        </w:rPr>
        <w:t>رسّخ</w:t>
      </w:r>
      <w:r w:rsidRPr="002445C0">
        <w:rPr>
          <w:rtl/>
          <w:lang w:bidi="ar-EG"/>
        </w:rPr>
        <w:t xml:space="preserve"> هذا العام دعوتنا لمعالجة الأثر البيئي للتكنولوجيات الرقمية، وتعزيز معايير الاستدامة، ووضع قطاع التكنولوجيا العالمي في الجانب الصحيح من</w:t>
      </w:r>
      <w:r w:rsidR="002445C0">
        <w:rPr>
          <w:rFonts w:hint="cs"/>
          <w:rtl/>
          <w:lang w:bidi="ar-EG"/>
        </w:rPr>
        <w:t> </w:t>
      </w:r>
      <w:r w:rsidRPr="002445C0">
        <w:rPr>
          <w:rtl/>
          <w:lang w:bidi="ar-EG"/>
        </w:rPr>
        <w:t>التاريخ.</w:t>
      </w:r>
    </w:p>
    <w:p w14:paraId="0C857DC3" w14:textId="77777777" w:rsidR="00083F2A" w:rsidRPr="002C5A20" w:rsidRDefault="00083F2A" w:rsidP="00083F2A">
      <w:pPr>
        <w:rPr>
          <w:rtl/>
          <w:lang w:bidi="ar-EG"/>
        </w:rPr>
      </w:pPr>
      <w:r>
        <w:rPr>
          <w:rFonts w:hint="cs"/>
          <w:rtl/>
          <w:lang w:bidi="ar-EG"/>
        </w:rPr>
        <w:t>و</w:t>
      </w:r>
      <w:r w:rsidRPr="002C5A20">
        <w:rPr>
          <w:rtl/>
          <w:lang w:bidi="ar-EG"/>
        </w:rPr>
        <w:t xml:space="preserve">مع تزايد </w:t>
      </w:r>
      <w:r>
        <w:rPr>
          <w:rFonts w:hint="cs"/>
          <w:rtl/>
          <w:lang w:bidi="ar-EG"/>
        </w:rPr>
        <w:t>حدة</w:t>
      </w:r>
      <w:r w:rsidRPr="002C5A20">
        <w:rPr>
          <w:rtl/>
          <w:lang w:bidi="ar-EG"/>
        </w:rPr>
        <w:t xml:space="preserve"> تغير المناخ، يتولى الاتحاد قيادة الركيزة الثالثة من مبادرة "</w:t>
      </w:r>
      <w:r>
        <w:rPr>
          <w:rFonts w:hint="cs"/>
          <w:rtl/>
          <w:lang w:bidi="ar-EG"/>
        </w:rPr>
        <w:t>الإنذار المبكر</w:t>
      </w:r>
      <w:r w:rsidRPr="002C5A20">
        <w:rPr>
          <w:rtl/>
          <w:lang w:bidi="ar-EG"/>
        </w:rPr>
        <w:t xml:space="preserve"> للجميع" التي أطلقها الأمين العام للأمم المتحدة، والتي تهدف إلى حماية </w:t>
      </w:r>
      <w:r>
        <w:rPr>
          <w:rFonts w:hint="cs"/>
          <w:rtl/>
          <w:lang w:bidi="ar-EG"/>
        </w:rPr>
        <w:t>جميع السكان في</w:t>
      </w:r>
      <w:r w:rsidRPr="002C5A20">
        <w:rPr>
          <w:rtl/>
          <w:lang w:bidi="ar-EG"/>
        </w:rPr>
        <w:t xml:space="preserve"> العالم من خلال </w:t>
      </w:r>
      <w:r>
        <w:rPr>
          <w:rFonts w:hint="cs"/>
          <w:rtl/>
          <w:lang w:bidi="ar-EG"/>
        </w:rPr>
        <w:t>الإنذارات</w:t>
      </w:r>
      <w:r w:rsidRPr="002C5A20">
        <w:rPr>
          <w:rtl/>
          <w:lang w:bidi="ar-EG"/>
        </w:rPr>
        <w:t xml:space="preserve"> المبكرة </w:t>
      </w:r>
      <w:r>
        <w:rPr>
          <w:rFonts w:hint="cs"/>
          <w:rtl/>
          <w:lang w:bidi="ar-EG"/>
        </w:rPr>
        <w:t>في حالات الكوارث</w:t>
      </w:r>
      <w:r w:rsidRPr="002C5A20">
        <w:rPr>
          <w:rtl/>
          <w:lang w:bidi="ar-EG"/>
        </w:rPr>
        <w:t xml:space="preserve">. وتعمل مبادرة جديدة بالتعاون مع وكالات الأمم المتحدة الشريكة على تعزيز القدرة على </w:t>
      </w:r>
      <w:r>
        <w:rPr>
          <w:rFonts w:hint="cs"/>
          <w:rtl/>
          <w:lang w:bidi="ar-EG"/>
        </w:rPr>
        <w:t>الصمود في مواجهة</w:t>
      </w:r>
      <w:r w:rsidRPr="002C5A20">
        <w:rPr>
          <w:rtl/>
          <w:lang w:bidi="ar-EG"/>
        </w:rPr>
        <w:t xml:space="preserve"> </w:t>
      </w:r>
      <w:r>
        <w:rPr>
          <w:rFonts w:hint="cs"/>
          <w:rtl/>
          <w:lang w:bidi="ar-EG"/>
        </w:rPr>
        <w:t>ا</w:t>
      </w:r>
      <w:r w:rsidRPr="002C5A20">
        <w:rPr>
          <w:rtl/>
          <w:lang w:bidi="ar-EG"/>
        </w:rPr>
        <w:t>لمخاطر من خلال حلول الذكاء الاصطناعي</w:t>
      </w:r>
      <w:r>
        <w:rPr>
          <w:rFonts w:hint="cs"/>
          <w:rtl/>
          <w:lang w:bidi="ar-EG"/>
        </w:rPr>
        <w:t>.</w:t>
      </w:r>
    </w:p>
    <w:p w14:paraId="5A8772A9" w14:textId="18778D43" w:rsidR="00083F2A" w:rsidRDefault="00083F2A" w:rsidP="00E45089">
      <w:pPr>
        <w:pStyle w:val="Headingb0"/>
      </w:pPr>
      <w:r w:rsidRPr="002C5A20">
        <w:rPr>
          <w:rtl/>
        </w:rPr>
        <w:t>‏</w:t>
      </w:r>
      <w:r w:rsidRPr="008622B4">
        <w:rPr>
          <w:rtl/>
        </w:rPr>
        <w:t>‏تعزيز التعاون الرقمي العالمي</w:t>
      </w:r>
      <w:r w:rsidRPr="008622B4">
        <w:rPr>
          <w:cs/>
        </w:rPr>
        <w:t>‎</w:t>
      </w:r>
    </w:p>
    <w:p w14:paraId="1946AC84" w14:textId="0CEB5367" w:rsidR="00083F2A" w:rsidRDefault="00083F2A" w:rsidP="00083F2A">
      <w:pPr>
        <w:rPr>
          <w:rtl/>
        </w:rPr>
      </w:pPr>
      <w:r>
        <w:rPr>
          <w:rFonts w:hint="cs"/>
          <w:rtl/>
          <w:lang w:bidi="ar-EG"/>
        </w:rPr>
        <w:t xml:space="preserve">ساعد الاتحاد، </w:t>
      </w:r>
      <w:r w:rsidRPr="008622B4">
        <w:rPr>
          <w:rtl/>
          <w:lang w:bidi="ar-EG"/>
        </w:rPr>
        <w:t xml:space="preserve">على مدى أكثر من عشرين </w:t>
      </w:r>
      <w:r>
        <w:rPr>
          <w:rFonts w:hint="cs"/>
          <w:rtl/>
          <w:lang w:bidi="ar-EG"/>
        </w:rPr>
        <w:t>عاماً</w:t>
      </w:r>
      <w:r w:rsidRPr="008622B4">
        <w:rPr>
          <w:rtl/>
          <w:lang w:bidi="ar-EG"/>
        </w:rPr>
        <w:t xml:space="preserve">، في توجيه التعاون والتنمية الرقمية </w:t>
      </w:r>
      <w:r>
        <w:rPr>
          <w:rFonts w:hint="cs"/>
          <w:rtl/>
          <w:lang w:bidi="ar-EG"/>
        </w:rPr>
        <w:t>استناداً</w:t>
      </w:r>
      <w:r w:rsidRPr="008622B4">
        <w:rPr>
          <w:rtl/>
          <w:lang w:bidi="ar-EG"/>
        </w:rPr>
        <w:t xml:space="preserve"> إلى خطوط العمل التي أُقرت في القمة العالمية لمجتمع المعلومات (</w:t>
      </w:r>
      <w:r w:rsidRPr="008622B4">
        <w:rPr>
          <w:lang w:bidi="ar-EG"/>
        </w:rPr>
        <w:t>WSIS</w:t>
      </w:r>
      <w:r w:rsidRPr="008622B4">
        <w:rPr>
          <w:rtl/>
          <w:lang w:bidi="ar-EG"/>
        </w:rPr>
        <w:t>) للفترة 2003-2005.</w:t>
      </w:r>
      <w:r w:rsidRPr="008622B4">
        <w:rPr>
          <w:rtl/>
        </w:rPr>
        <w:t xml:space="preserve"> </w:t>
      </w:r>
      <w:r>
        <w:rPr>
          <w:rFonts w:hint="cs"/>
          <w:rtl/>
          <w:lang w:bidi="ar-EG"/>
        </w:rPr>
        <w:t>و</w:t>
      </w:r>
      <w:r w:rsidRPr="008622B4">
        <w:rPr>
          <w:rtl/>
          <w:lang w:bidi="ar-EG"/>
        </w:rPr>
        <w:t xml:space="preserve">ستقوم عملية </w:t>
      </w:r>
      <w:r>
        <w:rPr>
          <w:rFonts w:hint="cs"/>
          <w:rtl/>
          <w:lang w:bidi="ar-EG"/>
        </w:rPr>
        <w:t>المشاورة الجارية لأصحاب المصلحة المعنيين بالقمة</w:t>
      </w:r>
      <w:r w:rsidRPr="008622B4">
        <w:rPr>
          <w:rtl/>
          <w:lang w:bidi="ar-EG"/>
        </w:rPr>
        <w:t xml:space="preserve"> </w:t>
      </w:r>
      <w:r>
        <w:rPr>
          <w:rFonts w:hint="cs"/>
          <w:rtl/>
          <w:lang w:bidi="ar-EG"/>
        </w:rPr>
        <w:t>باستعراض</w:t>
      </w:r>
      <w:r w:rsidRPr="008622B4">
        <w:rPr>
          <w:rtl/>
          <w:lang w:bidi="ar-EG"/>
        </w:rPr>
        <w:t xml:space="preserve"> التقدم المحرز وتحديد الفجوات المتبقية. وستكون أيضاً آلية قيّمة لتنفيذ الميثاق الرقمي العالمي من خلال حلول </w:t>
      </w:r>
      <w:r>
        <w:rPr>
          <w:rFonts w:hint="cs"/>
          <w:rtl/>
          <w:lang w:bidi="ar-EG"/>
        </w:rPr>
        <w:t>موجهة نحو التنمية</w:t>
      </w:r>
      <w:r w:rsidRPr="008622B4">
        <w:rPr>
          <w:rtl/>
          <w:lang w:bidi="ar-EG"/>
        </w:rPr>
        <w:t xml:space="preserve"> للجميع. </w:t>
      </w:r>
      <w:r>
        <w:rPr>
          <w:rFonts w:hint="cs"/>
          <w:rtl/>
          <w:lang w:bidi="ar-EG"/>
        </w:rPr>
        <w:t>وستُحدد</w:t>
      </w:r>
      <w:r w:rsidRPr="008622B4">
        <w:rPr>
          <w:rtl/>
          <w:lang w:bidi="ar-EG"/>
        </w:rPr>
        <w:t xml:space="preserve"> </w:t>
      </w:r>
      <w:r>
        <w:rPr>
          <w:color w:val="000000"/>
          <w:rtl/>
        </w:rPr>
        <w:t>عملية استعراض تنفيذ نواتج القمة العالمية لمجتمع المعلومات بعد مضي 20 عاماً على انعقادها</w:t>
      </w:r>
      <w:r w:rsidR="00A05F03">
        <w:rPr>
          <w:rFonts w:hint="cs"/>
          <w:color w:val="000000"/>
          <w:rtl/>
        </w:rPr>
        <w:t xml:space="preserve"> </w:t>
      </w:r>
      <w:r>
        <w:rPr>
          <w:color w:val="000000"/>
        </w:rPr>
        <w:t>(WSIS+20)</w:t>
      </w:r>
      <w:r w:rsidR="00A05F03">
        <w:rPr>
          <w:rFonts w:hint="cs"/>
          <w:color w:val="000000"/>
          <w:rtl/>
        </w:rPr>
        <w:t xml:space="preserve"> </w:t>
      </w:r>
      <w:r w:rsidRPr="008622B4">
        <w:rPr>
          <w:rtl/>
          <w:lang w:bidi="ar-EG"/>
        </w:rPr>
        <w:t xml:space="preserve">المسار المستقبلي في ظل </w:t>
      </w:r>
      <w:r w:rsidRPr="000B2984">
        <w:rPr>
          <w:rtl/>
          <w:lang w:bidi="ar-EG"/>
        </w:rPr>
        <w:t xml:space="preserve">التغيرات السريعة في مجال التكنولوجيا والسياسات </w:t>
      </w:r>
      <w:r w:rsidRPr="008622B4">
        <w:rPr>
          <w:rtl/>
          <w:lang w:bidi="ar-EG"/>
        </w:rPr>
        <w:t>بعد عام 2025.</w:t>
      </w:r>
    </w:p>
    <w:p w14:paraId="23CA0FEF" w14:textId="43379441" w:rsidR="00083F2A" w:rsidRDefault="00083F2A" w:rsidP="00083F2A">
      <w:pPr>
        <w:pStyle w:val="Headingb0"/>
        <w:rPr>
          <w:rtl/>
        </w:rPr>
      </w:pPr>
      <w:r>
        <w:rPr>
          <w:rFonts w:hint="cs"/>
          <w:rtl/>
          <w:lang w:bidi="ar-EG"/>
        </w:rPr>
        <w:t>الالتزام الراسخ</w:t>
      </w:r>
    </w:p>
    <w:p w14:paraId="32E3F32C" w14:textId="77777777" w:rsidR="00901AD0" w:rsidRDefault="00083F2A" w:rsidP="00083F2A">
      <w:pPr>
        <w:rPr>
          <w:rtl/>
        </w:rPr>
      </w:pPr>
      <w:r w:rsidRPr="00E0444E">
        <w:rPr>
          <w:rtl/>
          <w:lang w:bidi="ar-EG"/>
        </w:rPr>
        <w:t xml:space="preserve">يعتمد التنسيق </w:t>
      </w:r>
      <w:r>
        <w:rPr>
          <w:rFonts w:hint="cs"/>
          <w:rtl/>
          <w:lang w:bidi="ar-EG"/>
        </w:rPr>
        <w:t>التقني</w:t>
      </w:r>
      <w:r w:rsidRPr="00E0444E">
        <w:rPr>
          <w:rtl/>
          <w:lang w:bidi="ar-EG"/>
        </w:rPr>
        <w:t xml:space="preserve"> المتخصص للاتحاد ومشاركته </w:t>
      </w:r>
      <w:r>
        <w:rPr>
          <w:rFonts w:hint="cs"/>
          <w:rtl/>
          <w:lang w:bidi="ar-EG"/>
        </w:rPr>
        <w:t>الفعالة</w:t>
      </w:r>
      <w:r w:rsidRPr="00E0444E">
        <w:rPr>
          <w:rtl/>
          <w:lang w:bidi="ar-EG"/>
        </w:rPr>
        <w:t xml:space="preserve"> في القضايا الرقمية على المرونة المؤسسية والثقة الائتمانية </w:t>
      </w:r>
      <w:r>
        <w:rPr>
          <w:rFonts w:hint="cs"/>
          <w:rtl/>
          <w:lang w:bidi="ar-EG"/>
        </w:rPr>
        <w:t>والأساس المتين في الميزانية</w:t>
      </w:r>
      <w:r w:rsidRPr="00E0444E">
        <w:rPr>
          <w:rtl/>
          <w:lang w:bidi="ar-EG"/>
        </w:rPr>
        <w:t xml:space="preserve">. وفي الصفحات التالية، </w:t>
      </w:r>
      <w:r>
        <w:rPr>
          <w:rFonts w:hint="cs"/>
          <w:rtl/>
          <w:lang w:bidi="ar-EG"/>
        </w:rPr>
        <w:t>يحدد تقرير الإدارة المالية</w:t>
      </w:r>
      <w:r w:rsidRPr="00E0444E">
        <w:rPr>
          <w:rtl/>
          <w:lang w:bidi="ar-EG"/>
        </w:rPr>
        <w:t xml:space="preserve"> لعام 2024 </w:t>
      </w:r>
      <w:r>
        <w:rPr>
          <w:rFonts w:hint="cs"/>
          <w:rtl/>
          <w:lang w:bidi="ar-EG"/>
        </w:rPr>
        <w:t>المخصصات</w:t>
      </w:r>
      <w:r w:rsidRPr="00E0444E">
        <w:rPr>
          <w:rtl/>
          <w:lang w:bidi="ar-EG"/>
        </w:rPr>
        <w:t xml:space="preserve"> والنفقات التي مكّنت الاتحاد </w:t>
      </w:r>
      <w:r>
        <w:rPr>
          <w:rFonts w:hint="cs"/>
          <w:rtl/>
          <w:lang w:bidi="ar-EG"/>
        </w:rPr>
        <w:t>من أداء مهامه</w:t>
      </w:r>
      <w:r w:rsidRPr="00E0444E">
        <w:rPr>
          <w:rtl/>
          <w:lang w:bidi="ar-EG"/>
        </w:rPr>
        <w:t xml:space="preserve"> على مدار العام.</w:t>
      </w:r>
    </w:p>
    <w:p w14:paraId="29BDD77B" w14:textId="7CFD19E7" w:rsidR="00083F2A" w:rsidRDefault="00083F2A" w:rsidP="00083F2A">
      <w:pPr>
        <w:rPr>
          <w:lang w:bidi="ar-EG"/>
        </w:rPr>
      </w:pPr>
      <w:r w:rsidRPr="00A16C01">
        <w:rPr>
          <w:rtl/>
          <w:lang w:bidi="ar-EG"/>
        </w:rPr>
        <w:t xml:space="preserve">‏وسيقدم التقرير السنوي للاتحاد (الوثيقة </w:t>
      </w:r>
      <w:hyperlink r:id="rId10" w:history="1">
        <w:r w:rsidRPr="000B7093">
          <w:rPr>
            <w:rStyle w:val="Hyperlink"/>
            <w:noProof w:val="0"/>
            <w:cs/>
            <w:lang w:val="en-US" w:eastAsia="zh-CN" w:bidi="ar-EG"/>
          </w:rPr>
          <w:t>‎</w:t>
        </w:r>
        <w:r w:rsidRPr="000B7093">
          <w:rPr>
            <w:rStyle w:val="Hyperlink"/>
            <w:noProof w:val="0"/>
            <w:lang w:val="en-US" w:eastAsia="zh-CN" w:bidi="ar-EG"/>
          </w:rPr>
          <w:t>C25/35</w:t>
        </w:r>
      </w:hyperlink>
      <w:r w:rsidRPr="00A16C01">
        <w:rPr>
          <w:rtl/>
          <w:lang w:bidi="ar-EG"/>
        </w:rPr>
        <w:t>) ‏مزيدا</w:t>
      </w:r>
      <w:r>
        <w:rPr>
          <w:rFonts w:hint="cs"/>
          <w:rtl/>
          <w:lang w:bidi="ar-EG"/>
        </w:rPr>
        <w:t>ً</w:t>
      </w:r>
      <w:r w:rsidRPr="00A16C01">
        <w:rPr>
          <w:rtl/>
          <w:lang w:bidi="ar-EG"/>
        </w:rPr>
        <w:t xml:space="preserve"> من التفاصيل التشغيلية التي تعكس التزام المنظمة الراسخ بالرؤى القائمة على البيانات والاستراتيجيات الموجهة نحو تحقيق النتائج</w:t>
      </w:r>
      <w:r w:rsidRPr="00A16C01">
        <w:rPr>
          <w:cs/>
          <w:lang w:bidi="ar-EG"/>
        </w:rPr>
        <w:t>‎</w:t>
      </w:r>
      <w:r>
        <w:rPr>
          <w:rFonts w:hint="cs"/>
          <w:rtl/>
          <w:lang w:bidi="ar-EG"/>
        </w:rPr>
        <w:t>.</w:t>
      </w:r>
    </w:p>
    <w:p w14:paraId="730040FA" w14:textId="77777777" w:rsidR="00083F2A" w:rsidRDefault="00083F2A" w:rsidP="00083F2A">
      <w:pPr>
        <w:rPr>
          <w:rtl/>
          <w:lang w:bidi="ar-EG"/>
        </w:rPr>
      </w:pPr>
      <w:r>
        <w:rPr>
          <w:rtl/>
          <w:lang w:bidi="ar-EG"/>
        </w:rPr>
        <w:br w:type="page"/>
      </w:r>
    </w:p>
    <w:p w14:paraId="6BC9B8F8" w14:textId="77777777" w:rsidR="00083F2A" w:rsidRPr="009F4F01" w:rsidRDefault="00083F2A" w:rsidP="00083F2A">
      <w:pPr>
        <w:pStyle w:val="Heading1"/>
        <w:rPr>
          <w:color w:val="auto"/>
          <w:rtl/>
        </w:rPr>
      </w:pPr>
      <w:bookmarkStart w:id="2" w:name="_Toc199403730"/>
      <w:bookmarkStart w:id="3" w:name="_Toc201043134"/>
      <w:r w:rsidRPr="009F4F01">
        <w:rPr>
          <w:color w:val="auto"/>
          <w:rtl/>
        </w:rPr>
        <w:lastRenderedPageBreak/>
        <w:t>مقدمة</w:t>
      </w:r>
      <w:bookmarkEnd w:id="2"/>
      <w:bookmarkEnd w:id="3"/>
    </w:p>
    <w:p w14:paraId="34C9EF91" w14:textId="35A6B2BF" w:rsidR="00083F2A" w:rsidRPr="005269E6" w:rsidRDefault="00083F2A" w:rsidP="00083F2A">
      <w:pPr>
        <w:pStyle w:val="enumlev1"/>
        <w:rPr>
          <w:lang w:bidi="ar-EG"/>
        </w:rPr>
      </w:pPr>
      <w:r w:rsidRPr="005269E6">
        <w:rPr>
          <w:lang w:bidi="ar-EG"/>
        </w:rPr>
        <w:t>1</w:t>
      </w:r>
      <w:r w:rsidRPr="005269E6">
        <w:rPr>
          <w:lang w:bidi="ar-EG"/>
        </w:rPr>
        <w:tab/>
      </w:r>
      <w:r w:rsidRPr="005269E6">
        <w:rPr>
          <w:rtl/>
        </w:rPr>
        <w:t xml:space="preserve">تقدَّم البيانات المالية وتقرير الإدارة المالية للسنة المنتهية في 31 ديسمبر </w:t>
      </w:r>
      <w:r>
        <w:t>2024</w:t>
      </w:r>
      <w:r w:rsidRPr="005269E6">
        <w:rPr>
          <w:rtl/>
        </w:rPr>
        <w:t xml:space="preserve"> وفقاً للمادة 30 من اللوائح المالية للاتحاد</w:t>
      </w:r>
      <w:r w:rsidR="001F1660">
        <w:rPr>
          <w:rFonts w:hint="cs"/>
          <w:rtl/>
        </w:rPr>
        <w:t xml:space="preserve"> </w:t>
      </w:r>
      <w:r w:rsidR="001F1660" w:rsidRPr="006869B5">
        <w:rPr>
          <w:rFonts w:hint="cs"/>
          <w:rtl/>
        </w:rPr>
        <w:t xml:space="preserve">- </w:t>
      </w:r>
      <w:r w:rsidRPr="006869B5">
        <w:rPr>
          <w:rtl/>
        </w:rPr>
        <w:t xml:space="preserve">طبعة عام </w:t>
      </w:r>
      <w:r w:rsidRPr="006869B5">
        <w:t>2024</w:t>
      </w:r>
      <w:r w:rsidRPr="006869B5">
        <w:rPr>
          <w:rtl/>
        </w:rPr>
        <w:t>.</w:t>
      </w:r>
    </w:p>
    <w:p w14:paraId="41F84FB0" w14:textId="77777777" w:rsidR="00083F2A" w:rsidRPr="005269E6" w:rsidRDefault="00083F2A" w:rsidP="00083F2A">
      <w:pPr>
        <w:pStyle w:val="enumlev1"/>
        <w:rPr>
          <w:lang w:bidi="ar-EG"/>
        </w:rPr>
      </w:pPr>
      <w:r w:rsidRPr="005269E6">
        <w:rPr>
          <w:lang w:bidi="ar-EG"/>
        </w:rPr>
        <w:t>2</w:t>
      </w:r>
      <w:r w:rsidRPr="005269E6">
        <w:rPr>
          <w:lang w:bidi="ar-EG"/>
        </w:rPr>
        <w:tab/>
      </w:r>
      <w:r w:rsidRPr="005269E6">
        <w:rPr>
          <w:rtl/>
        </w:rPr>
        <w:t>تُعد البيانات المالية وفقاً للمعايير المحاسبية الدولية للقطاع العام (</w:t>
      </w:r>
      <w:r w:rsidRPr="005269E6">
        <w:t>IPSAS</w:t>
      </w:r>
      <w:r w:rsidRPr="005269E6">
        <w:rPr>
          <w:rtl/>
        </w:rPr>
        <w:t>) وتغطي جميع عمليات المنظمة، بما في ذلك العمليات الممولة من الميزانية العادية والإيرادات من خارج الميزانية ومن التشغيل والتمويل.</w:t>
      </w:r>
    </w:p>
    <w:p w14:paraId="6E15EDC0" w14:textId="77777777" w:rsidR="00083F2A" w:rsidRPr="009772A5" w:rsidRDefault="00083F2A" w:rsidP="00083F2A">
      <w:pPr>
        <w:pStyle w:val="enumlev2"/>
        <w:rPr>
          <w:rtl/>
        </w:rPr>
      </w:pPr>
      <w:r w:rsidRPr="009772A5">
        <w:rPr>
          <w:rtl/>
        </w:rPr>
        <w:t xml:space="preserve"> أ )</w:t>
      </w:r>
      <w:r w:rsidRPr="009772A5">
        <w:rPr>
          <w:rtl/>
        </w:rPr>
        <w:tab/>
        <w:t>تحدد اللوائح المالية فترة مالية لفترة سنتين؛ ومع ذلك، وفقاً للمعايير المحاسبية الدولية للقطاع العام</w:t>
      </w:r>
      <w:r>
        <w:rPr>
          <w:rFonts w:hint="eastAsia"/>
          <w:rtl/>
          <w:lang w:bidi="ar-EG"/>
        </w:rPr>
        <w:t> </w:t>
      </w:r>
      <w:r w:rsidRPr="009772A5">
        <w:rPr>
          <w:rtl/>
        </w:rPr>
        <w:t>(</w:t>
      </w:r>
      <w:r w:rsidRPr="009772A5">
        <w:t>IPSAS</w:t>
      </w:r>
      <w:r w:rsidRPr="009772A5">
        <w:rPr>
          <w:rtl/>
        </w:rPr>
        <w:t>)، يُتطلب عرض البيانات المالية السنوية. وتُعد ميزانية الاتحاد لفترة السنتين في إطار ميزانية قائمة على النتائج، ويشمل نطاقها ما يلي:</w:t>
      </w:r>
    </w:p>
    <w:p w14:paraId="5A4EBE48" w14:textId="77777777" w:rsidR="00083F2A" w:rsidRPr="005269E6" w:rsidRDefault="00083F2A" w:rsidP="00083F2A">
      <w:pPr>
        <w:pStyle w:val="enumlev3"/>
        <w:rPr>
          <w:rtl/>
        </w:rPr>
      </w:pPr>
      <w:r w:rsidRPr="005269E6">
        <w:rPr>
          <w:rtl/>
        </w:rPr>
        <w:t>’1‘</w:t>
      </w:r>
      <w:r w:rsidRPr="005269E6">
        <w:rPr>
          <w:rtl/>
        </w:rPr>
        <w:tab/>
        <w:t>مساهمات الدول الأعضاء وكذلك مساهمات أعضاء القطاعات والمنتسبين</w:t>
      </w:r>
      <w:r>
        <w:rPr>
          <w:rFonts w:hint="cs"/>
          <w:rtl/>
        </w:rPr>
        <w:t xml:space="preserve"> والهيئات الأكاديمية</w:t>
      </w:r>
      <w:r w:rsidRPr="005269E6">
        <w:rPr>
          <w:rtl/>
        </w:rPr>
        <w:t>؛</w:t>
      </w:r>
    </w:p>
    <w:p w14:paraId="19E6C0C7" w14:textId="77777777" w:rsidR="00083F2A" w:rsidRDefault="00083F2A" w:rsidP="00083F2A">
      <w:pPr>
        <w:pStyle w:val="enumlev3"/>
        <w:rPr>
          <w:rtl/>
        </w:rPr>
      </w:pPr>
      <w:r w:rsidRPr="005269E6">
        <w:rPr>
          <w:rtl/>
        </w:rPr>
        <w:t>’2‘</w:t>
      </w:r>
      <w:r w:rsidRPr="005269E6">
        <w:rPr>
          <w:rtl/>
        </w:rPr>
        <w:tab/>
      </w:r>
      <w:r>
        <w:rPr>
          <w:rFonts w:hint="cs"/>
          <w:rtl/>
          <w:lang w:bidi="ar-EG"/>
        </w:rPr>
        <w:t>إيرادات تشغيلية أخرى تشمل</w:t>
      </w:r>
      <w:r>
        <w:rPr>
          <w:rFonts w:hint="cs"/>
          <w:rtl/>
        </w:rPr>
        <w:t xml:space="preserve"> </w:t>
      </w:r>
      <w:r w:rsidRPr="005269E6">
        <w:rPr>
          <w:rtl/>
        </w:rPr>
        <w:t>إيرادات استرداد التكاليف (بما في ذلك المنشورات وبطاقات التبليغ عن الشبكات الساتلية</w:t>
      </w:r>
      <w:r>
        <w:rPr>
          <w:rFonts w:hint="cs"/>
          <w:rtl/>
        </w:rPr>
        <w:t xml:space="preserve"> والأموال الخارجة عن الميزانية)،</w:t>
      </w:r>
      <w:r w:rsidRPr="005269E6">
        <w:rPr>
          <w:rtl/>
        </w:rPr>
        <w:t xml:space="preserve"> والإيرادات المتأتية من الفوائد والأنشطة الأخرى المدرة للإيرادات</w:t>
      </w:r>
      <w:r>
        <w:rPr>
          <w:rFonts w:hint="cs"/>
          <w:rtl/>
        </w:rPr>
        <w:t>؛</w:t>
      </w:r>
    </w:p>
    <w:p w14:paraId="447E45FE" w14:textId="77777777" w:rsidR="00083F2A" w:rsidRPr="005269E6" w:rsidRDefault="00083F2A" w:rsidP="00083F2A">
      <w:pPr>
        <w:pStyle w:val="enumlev3"/>
        <w:rPr>
          <w:rtl/>
        </w:rPr>
      </w:pPr>
      <w:r w:rsidRPr="005269E6">
        <w:rPr>
          <w:rtl/>
        </w:rPr>
        <w:t>’</w:t>
      </w:r>
      <w:r>
        <w:rPr>
          <w:rFonts w:hint="cs"/>
          <w:rtl/>
        </w:rPr>
        <w:t>3</w:t>
      </w:r>
      <w:r w:rsidRPr="005269E6">
        <w:rPr>
          <w:rtl/>
        </w:rPr>
        <w:t>‘</w:t>
      </w:r>
      <w:r w:rsidRPr="005269E6">
        <w:rPr>
          <w:rtl/>
        </w:rPr>
        <w:tab/>
        <w:t>والسحب عند الضرورة، من حساب الاحتياطي.</w:t>
      </w:r>
    </w:p>
    <w:p w14:paraId="3B5007DA" w14:textId="77777777" w:rsidR="00083F2A" w:rsidRPr="005269E6" w:rsidRDefault="00083F2A" w:rsidP="00083F2A">
      <w:pPr>
        <w:pStyle w:val="enumlev2"/>
        <w:rPr>
          <w:rtl/>
        </w:rPr>
      </w:pPr>
      <w:r w:rsidRPr="005269E6">
        <w:rPr>
          <w:rtl/>
        </w:rPr>
        <w:t>ب)</w:t>
      </w:r>
      <w:r w:rsidRPr="005269E6">
        <w:rPr>
          <w:rtl/>
        </w:rPr>
        <w:tab/>
      </w:r>
      <w:r w:rsidRPr="005269E6">
        <w:rPr>
          <w:rtl/>
          <w:lang w:bidi="ar-EG"/>
        </w:rPr>
        <w:t>الإيرادات الأخرى، بما فيها الأموال الخارجة عن الميزانية، غير المبلَّغ عنها في إطار ميزانية الاتحاد.</w:t>
      </w:r>
    </w:p>
    <w:p w14:paraId="084A033A" w14:textId="073456B9" w:rsidR="00083F2A" w:rsidRPr="005269E6" w:rsidRDefault="00083F2A" w:rsidP="00083F2A">
      <w:pPr>
        <w:pStyle w:val="enumlev1"/>
        <w:rPr>
          <w:rtl/>
        </w:rPr>
      </w:pPr>
      <w:r w:rsidRPr="005269E6">
        <w:rPr>
          <w:rtl/>
        </w:rPr>
        <w:t>3</w:t>
      </w:r>
      <w:r w:rsidRPr="005269E6">
        <w:tab/>
      </w:r>
      <w:r w:rsidRPr="005269E6">
        <w:rPr>
          <w:rtl/>
        </w:rPr>
        <w:t>ولا يؤثر الإبلاغ عن البيانات المالية على أساس المعايير المحاسبية الدولية للقطاع العام (</w:t>
      </w:r>
      <w:r w:rsidRPr="005269E6">
        <w:t>IPSAS</w:t>
      </w:r>
      <w:r w:rsidRPr="005269E6">
        <w:rPr>
          <w:rtl/>
        </w:rPr>
        <w:t>) على إعداد ميزانية الاتحاد على أساس النتائج أو الإبلاغ عنها، والتي يستمر عرضها على أساس نقدي معدَّل. ونظراً لاختلاف أساس الميزانية والبيانات المالية، ترد تسوية بين الميزانية وبيان الأداء المالي للمعايير المحاسبية الدولية للقطاع العام في</w:t>
      </w:r>
      <w:r w:rsidR="00A226D6">
        <w:rPr>
          <w:rFonts w:hint="cs"/>
          <w:rtl/>
        </w:rPr>
        <w:t> </w:t>
      </w:r>
      <w:r w:rsidRPr="005269E6">
        <w:rPr>
          <w:rtl/>
        </w:rPr>
        <w:t xml:space="preserve">إطار البيان الخامس: بيان المقارنة – بين الميزانية والمبالغ الفعلية في الملاحظة </w:t>
      </w:r>
      <w:r>
        <w:t>21</w:t>
      </w:r>
      <w:r w:rsidRPr="005269E6">
        <w:rPr>
          <w:rtl/>
        </w:rPr>
        <w:t xml:space="preserve"> من البيانات المالية.</w:t>
      </w:r>
    </w:p>
    <w:p w14:paraId="1A6A710F" w14:textId="77777777" w:rsidR="00083F2A" w:rsidRPr="009F4F01" w:rsidRDefault="00083F2A" w:rsidP="00083F2A">
      <w:pPr>
        <w:pStyle w:val="Heading1"/>
        <w:rPr>
          <w:color w:val="auto"/>
          <w:rtl/>
          <w:lang w:bidi="ar-SY"/>
        </w:rPr>
      </w:pPr>
      <w:bookmarkStart w:id="4" w:name="_Toc452156573"/>
      <w:bookmarkStart w:id="5" w:name="_Toc199403731"/>
      <w:bookmarkStart w:id="6" w:name="_Toc201043135"/>
      <w:r w:rsidRPr="009F4F01">
        <w:rPr>
          <w:color w:val="auto"/>
          <w:rtl/>
        </w:rPr>
        <w:t>أبرز نقاط تقرير الإدارة المالية</w:t>
      </w:r>
      <w:bookmarkEnd w:id="4"/>
      <w:r w:rsidRPr="009F4F01">
        <w:rPr>
          <w:rFonts w:hint="cs"/>
          <w:color w:val="auto"/>
          <w:rtl/>
        </w:rPr>
        <w:t xml:space="preserve"> </w:t>
      </w:r>
      <w:r w:rsidRPr="009F4F01">
        <w:rPr>
          <w:color w:val="auto"/>
        </w:rPr>
        <w:t>2024</w:t>
      </w:r>
      <w:bookmarkEnd w:id="5"/>
      <w:bookmarkEnd w:id="6"/>
    </w:p>
    <w:p w14:paraId="00800DA4" w14:textId="77777777" w:rsidR="00083F2A" w:rsidRPr="005269E6" w:rsidRDefault="00083F2A" w:rsidP="00083F2A">
      <w:pPr>
        <w:pStyle w:val="enumlev1"/>
        <w:rPr>
          <w:rtl/>
        </w:rPr>
      </w:pPr>
      <w:r w:rsidRPr="005269E6">
        <w:t>4</w:t>
      </w:r>
      <w:r w:rsidRPr="005269E6">
        <w:rPr>
          <w:rtl/>
        </w:rPr>
        <w:tab/>
        <w:t xml:space="preserve">تُمسك حسابات الاتحاد بالفرنكات السويسرية. </w:t>
      </w:r>
      <w:r w:rsidRPr="00B27396">
        <w:rPr>
          <w:rtl/>
        </w:rPr>
        <w:t>وتشمل البيانات المالية المعروضة جميع مصادر تمويل الاتحاد، بما في ذلك الميزانية العادية والموارد الخارجة عن الميزانية.</w:t>
      </w:r>
    </w:p>
    <w:p w14:paraId="4B98011A" w14:textId="77777777" w:rsidR="00083F2A" w:rsidRPr="005269E6" w:rsidRDefault="00083F2A" w:rsidP="00083F2A">
      <w:pPr>
        <w:pStyle w:val="enumlev1"/>
        <w:rPr>
          <w:rtl/>
          <w:lang w:bidi="ar-EG"/>
        </w:rPr>
      </w:pPr>
      <w:r w:rsidRPr="005269E6">
        <w:t>5</w:t>
      </w:r>
      <w:r w:rsidRPr="005269E6">
        <w:rPr>
          <w:rtl/>
        </w:rPr>
        <w:tab/>
        <w:t xml:space="preserve">يلخص </w:t>
      </w:r>
      <w:r>
        <w:rPr>
          <w:rFonts w:hint="cs"/>
          <w:rtl/>
        </w:rPr>
        <w:t>الشكل</w:t>
      </w:r>
      <w:r w:rsidRPr="005269E6">
        <w:rPr>
          <w:rtl/>
        </w:rPr>
        <w:t xml:space="preserve"> </w:t>
      </w:r>
      <w:r w:rsidRPr="005269E6">
        <w:t>1</w:t>
      </w:r>
      <w:r w:rsidRPr="005269E6">
        <w:rPr>
          <w:rtl/>
        </w:rPr>
        <w:t xml:space="preserve"> أدناه الوضع المالي للاتحاد </w:t>
      </w:r>
      <w:bookmarkStart w:id="7" w:name="_Hlk160098519"/>
      <w:r>
        <w:rPr>
          <w:rFonts w:hint="cs"/>
          <w:rtl/>
        </w:rPr>
        <w:t xml:space="preserve">في </w:t>
      </w:r>
      <w:r w:rsidRPr="005269E6">
        <w:rPr>
          <w:rtl/>
        </w:rPr>
        <w:t xml:space="preserve">عام </w:t>
      </w:r>
      <w:bookmarkEnd w:id="7"/>
      <w:r>
        <w:rPr>
          <w:rFonts w:hint="cs"/>
          <w:rtl/>
        </w:rPr>
        <w:t>2024</w:t>
      </w:r>
      <w:r w:rsidRPr="005269E6">
        <w:rPr>
          <w:rtl/>
        </w:rPr>
        <w:t xml:space="preserve"> بالمقارنة مع </w:t>
      </w:r>
      <w:r>
        <w:rPr>
          <w:rFonts w:hint="cs"/>
          <w:rtl/>
        </w:rPr>
        <w:t>ال</w:t>
      </w:r>
      <w:r w:rsidRPr="005269E6">
        <w:rPr>
          <w:rtl/>
        </w:rPr>
        <w:t>عام</w:t>
      </w:r>
      <w:r>
        <w:rPr>
          <w:rFonts w:hint="cs"/>
          <w:rtl/>
        </w:rPr>
        <w:t xml:space="preserve"> السابق</w:t>
      </w:r>
      <w:r w:rsidRPr="005269E6">
        <w:rPr>
          <w:rtl/>
          <w:lang w:bidi="ar-EG"/>
        </w:rPr>
        <w:t>.</w:t>
      </w:r>
    </w:p>
    <w:p w14:paraId="216F28F3" w14:textId="77777777" w:rsidR="00083F2A" w:rsidRDefault="00083F2A" w:rsidP="00083F2A">
      <w:pPr>
        <w:pStyle w:val="Tabletitle0"/>
      </w:pPr>
      <w:r>
        <w:rPr>
          <w:rFonts w:hint="cs"/>
          <w:rtl/>
        </w:rPr>
        <w:t>الشكل</w:t>
      </w:r>
      <w:r w:rsidRPr="005269E6">
        <w:rPr>
          <w:rtl/>
        </w:rPr>
        <w:t xml:space="preserve"> 1 - الوضع المالي للسنتين </w:t>
      </w:r>
      <w:r>
        <w:rPr>
          <w:rFonts w:hint="cs"/>
          <w:rtl/>
        </w:rPr>
        <w:t>2024</w:t>
      </w:r>
      <w:r w:rsidRPr="005269E6">
        <w:rPr>
          <w:rtl/>
        </w:rPr>
        <w:t xml:space="preserve"> و</w:t>
      </w:r>
      <w:r>
        <w:rPr>
          <w:rFonts w:hint="cs"/>
          <w:rtl/>
        </w:rPr>
        <w:t>2023</w:t>
      </w:r>
    </w:p>
    <w:p w14:paraId="4082C3CD" w14:textId="77777777" w:rsidR="00083F2A" w:rsidRPr="003C1C83" w:rsidRDefault="00083F2A" w:rsidP="000D6F9F">
      <w:pPr>
        <w:keepNext/>
        <w:jc w:val="center"/>
        <w:rPr>
          <w:i/>
          <w:iCs/>
          <w:rtl/>
          <w:lang w:bidi="ar-EG"/>
        </w:rPr>
      </w:pPr>
      <w:r w:rsidRPr="003C1C83">
        <w:rPr>
          <w:rFonts w:hint="cs"/>
          <w:i/>
          <w:iCs/>
          <w:rtl/>
          <w:lang w:bidi="ar-EG"/>
        </w:rPr>
        <w:t>(</w:t>
      </w:r>
      <w:r w:rsidRPr="003C1C83">
        <w:rPr>
          <w:i/>
          <w:iCs/>
          <w:rtl/>
          <w:lang w:bidi="ar-EG"/>
        </w:rPr>
        <w:t>بملايين الفرنكات السويسرية</w:t>
      </w:r>
      <w:r w:rsidRPr="003C1C83">
        <w:rPr>
          <w:rFonts w:hint="cs"/>
          <w:i/>
          <w:iCs/>
          <w:rtl/>
          <w:lang w:bidi="ar-EG"/>
        </w:rPr>
        <w:t>)</w:t>
      </w:r>
    </w:p>
    <w:p w14:paraId="739E5AEC" w14:textId="77777777" w:rsidR="00083F2A" w:rsidRDefault="00083F2A" w:rsidP="00083F2A">
      <w:pPr>
        <w:pStyle w:val="Figure"/>
        <w:rPr>
          <w:lang w:bidi="ar-EG"/>
        </w:rPr>
      </w:pPr>
      <w:r>
        <w:rPr>
          <w:lang w:bidi="ar-EG"/>
        </w:rPr>
        <w:drawing>
          <wp:inline distT="0" distB="0" distL="0" distR="0" wp14:anchorId="49937213" wp14:editId="260E6F19">
            <wp:extent cx="4319239" cy="2757831"/>
            <wp:effectExtent l="0" t="0" r="5715" b="4445"/>
            <wp:docPr id="862534644" name="Picture 8" descr="A graph of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34644" name="Picture 8" descr="A graph of blue and white ba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1269" cy="2759127"/>
                    </a:xfrm>
                    <a:prstGeom prst="rect">
                      <a:avLst/>
                    </a:prstGeom>
                    <a:noFill/>
                  </pic:spPr>
                </pic:pic>
              </a:graphicData>
            </a:graphic>
          </wp:inline>
        </w:drawing>
      </w:r>
    </w:p>
    <w:p w14:paraId="1D130C91" w14:textId="5E262CE5" w:rsidR="00083F2A" w:rsidRDefault="00083F2A" w:rsidP="00083F2A">
      <w:pPr>
        <w:pStyle w:val="enumlev1"/>
        <w:rPr>
          <w:rtl/>
          <w:lang w:bidi="ar-SA"/>
        </w:rPr>
      </w:pPr>
      <w:r>
        <w:t>6</w:t>
      </w:r>
      <w:r w:rsidRPr="005269E6">
        <w:rPr>
          <w:rtl/>
        </w:rPr>
        <w:tab/>
      </w:r>
      <w:r w:rsidRPr="000845A2">
        <w:rPr>
          <w:rtl/>
        </w:rPr>
        <w:t xml:space="preserve">كما هو مذكور في الشكل 1 أعلاه، هناك زيادة في إجمالي الإيرادات في عام 2024 بمقدار </w:t>
      </w:r>
      <w:r>
        <w:t>4,0</w:t>
      </w:r>
      <w:r w:rsidRPr="000845A2">
        <w:rPr>
          <w:rtl/>
        </w:rPr>
        <w:t xml:space="preserve"> </w:t>
      </w:r>
      <w:r>
        <w:rPr>
          <w:rFonts w:hint="cs"/>
          <w:rtl/>
        </w:rPr>
        <w:t>ملايين</w:t>
      </w:r>
      <w:r w:rsidRPr="000845A2">
        <w:rPr>
          <w:rtl/>
        </w:rPr>
        <w:t xml:space="preserve"> فرنك سويسري مقارنة</w:t>
      </w:r>
      <w:r w:rsidR="003C7254">
        <w:rPr>
          <w:rFonts w:hint="cs"/>
          <w:rtl/>
        </w:rPr>
        <w:t>ً</w:t>
      </w:r>
      <w:r w:rsidRPr="000845A2">
        <w:rPr>
          <w:rtl/>
        </w:rPr>
        <w:t xml:space="preserve"> بعام 2023. ويُعزى ذلك في الغالب إلى الزيادة في المساهمات المقدرة (3</w:t>
      </w:r>
      <w:r>
        <w:t>,</w:t>
      </w:r>
      <w:r w:rsidRPr="000845A2">
        <w:rPr>
          <w:rtl/>
        </w:rPr>
        <w:t>3 ملايين فرنك سويسري)</w:t>
      </w:r>
      <w:r>
        <w:rPr>
          <w:rFonts w:hint="cs"/>
          <w:rtl/>
          <w:lang w:bidi="ar-SA"/>
        </w:rPr>
        <w:t xml:space="preserve">. </w:t>
      </w:r>
      <w:r w:rsidRPr="000845A2">
        <w:rPr>
          <w:rtl/>
          <w:lang w:bidi="ar-SA"/>
        </w:rPr>
        <w:t xml:space="preserve">‏وترجع </w:t>
      </w:r>
      <w:r w:rsidRPr="000845A2">
        <w:rPr>
          <w:rtl/>
          <w:lang w:bidi="ar-SA"/>
        </w:rPr>
        <w:lastRenderedPageBreak/>
        <w:t xml:space="preserve">الزيادة في </w:t>
      </w:r>
      <w:r>
        <w:rPr>
          <w:rFonts w:hint="cs"/>
          <w:rtl/>
          <w:lang w:bidi="ar-SA"/>
        </w:rPr>
        <w:t>المساهمات</w:t>
      </w:r>
      <w:r w:rsidRPr="000845A2">
        <w:rPr>
          <w:rtl/>
          <w:lang w:bidi="ar-SA"/>
        </w:rPr>
        <w:t xml:space="preserve"> المقررة إلى أن الاتحاد بدأ دورة ميزانية جديدة </w:t>
      </w:r>
      <w:r>
        <w:rPr>
          <w:rFonts w:hint="cs"/>
          <w:rtl/>
          <w:lang w:bidi="ar-SA"/>
        </w:rPr>
        <w:t>استناداً إلى</w:t>
      </w:r>
      <w:r w:rsidRPr="000845A2">
        <w:rPr>
          <w:rtl/>
          <w:lang w:bidi="ar-SA"/>
        </w:rPr>
        <w:t xml:space="preserve"> الخطة المالية للفترة </w:t>
      </w:r>
      <w:r w:rsidRPr="000845A2">
        <w:rPr>
          <w:cs/>
          <w:lang w:bidi="ar-SA"/>
        </w:rPr>
        <w:t>‎</w:t>
      </w:r>
      <w:r w:rsidRPr="000845A2">
        <w:rPr>
          <w:lang w:bidi="ar-SA"/>
        </w:rPr>
        <w:t>2027-2024</w:t>
      </w:r>
      <w:r w:rsidRPr="000845A2">
        <w:rPr>
          <w:rtl/>
          <w:lang w:bidi="ar-SA"/>
        </w:rPr>
        <w:t xml:space="preserve"> ‏التي تمت الموافقة عليها في مؤتمر المندوبين المفوضين الأخير وإلى أن بعض الدول الأعضاء زادت مستويات مساهمتها</w:t>
      </w:r>
      <w:r w:rsidRPr="000845A2">
        <w:rPr>
          <w:cs/>
          <w:lang w:bidi="ar-SA"/>
        </w:rPr>
        <w:t>‎</w:t>
      </w:r>
      <w:r>
        <w:rPr>
          <w:rFonts w:hint="cs"/>
          <w:rtl/>
          <w:lang w:bidi="ar-SA"/>
        </w:rPr>
        <w:t>. و</w:t>
      </w:r>
      <w:r w:rsidRPr="000845A2">
        <w:rPr>
          <w:rtl/>
          <w:lang w:bidi="ar-SA"/>
        </w:rPr>
        <w:t xml:space="preserve">ارتفعت إيرادات المنشورات بمقدار </w:t>
      </w:r>
      <w:r>
        <w:rPr>
          <w:lang w:bidi="ar-SA"/>
        </w:rPr>
        <w:t>2,5</w:t>
      </w:r>
      <w:r w:rsidRPr="000845A2">
        <w:rPr>
          <w:rtl/>
          <w:lang w:bidi="ar-SA"/>
        </w:rPr>
        <w:t xml:space="preserve"> مليون فرنك سويسري، وإيرادات </w:t>
      </w:r>
      <w:r>
        <w:rPr>
          <w:rFonts w:hint="cs"/>
          <w:rtl/>
          <w:lang w:bidi="ar-SA"/>
        </w:rPr>
        <w:t>الأموال</w:t>
      </w:r>
      <w:r w:rsidRPr="000845A2">
        <w:rPr>
          <w:rtl/>
          <w:lang w:bidi="ar-SA"/>
        </w:rPr>
        <w:t xml:space="preserve"> الخارجة عن الميزانية بمقدار </w:t>
      </w:r>
      <w:r w:rsidR="005E0735">
        <w:rPr>
          <w:lang w:bidi="ar-SA"/>
        </w:rPr>
        <w:t>2,3</w:t>
      </w:r>
      <w:r w:rsidRPr="000845A2">
        <w:rPr>
          <w:rtl/>
          <w:lang w:bidi="ar-SA"/>
        </w:rPr>
        <w:t xml:space="preserve"> مليون فرنك سويسري، ويقابل ذلك انخفاض في مصادر الإيرادات الأخرى (بما في ذلك </w:t>
      </w:r>
      <w:r>
        <w:rPr>
          <w:rFonts w:hint="cs"/>
          <w:rtl/>
          <w:lang w:bidi="ar-SA"/>
        </w:rPr>
        <w:t>بطاقات التبليغ عن</w:t>
      </w:r>
      <w:r w:rsidRPr="000845A2">
        <w:rPr>
          <w:rtl/>
          <w:lang w:bidi="ar-SA"/>
        </w:rPr>
        <w:t xml:space="preserve"> الشبكات الساتلية </w:t>
      </w:r>
      <w:r w:rsidRPr="000845A2">
        <w:rPr>
          <w:lang w:bidi="ar-SA"/>
        </w:rPr>
        <w:t>(SNF)</w:t>
      </w:r>
      <w:r w:rsidRPr="000845A2">
        <w:rPr>
          <w:rtl/>
          <w:lang w:bidi="ar-SA"/>
        </w:rPr>
        <w:t xml:space="preserve">) بمقدار </w:t>
      </w:r>
      <w:r>
        <w:rPr>
          <w:lang w:bidi="ar-SA"/>
        </w:rPr>
        <w:t>4,1</w:t>
      </w:r>
      <w:r w:rsidRPr="000845A2">
        <w:rPr>
          <w:rtl/>
          <w:lang w:bidi="ar-SA"/>
        </w:rPr>
        <w:t xml:space="preserve"> مليون فرنك سويسري. وبوجه عام، ارتفعت النفقات لعام 2024 بمقدار</w:t>
      </w:r>
      <w:r w:rsidR="009C0523">
        <w:rPr>
          <w:rFonts w:hint="eastAsia"/>
          <w:rtl/>
          <w:lang w:bidi="ar-EG"/>
        </w:rPr>
        <w:t> </w:t>
      </w:r>
      <w:r>
        <w:rPr>
          <w:lang w:bidi="ar-SA"/>
        </w:rPr>
        <w:t>24,8</w:t>
      </w:r>
      <w:r w:rsidRPr="000845A2">
        <w:rPr>
          <w:rtl/>
          <w:lang w:bidi="ar-SA"/>
        </w:rPr>
        <w:t xml:space="preserve"> مليون فرنك سويسري، من </w:t>
      </w:r>
      <w:r>
        <w:rPr>
          <w:lang w:bidi="ar-SA"/>
        </w:rPr>
        <w:t>197,2</w:t>
      </w:r>
      <w:r w:rsidRPr="000845A2">
        <w:rPr>
          <w:rtl/>
          <w:lang w:bidi="ar-SA"/>
        </w:rPr>
        <w:t xml:space="preserve"> مليون فرنك سويسري إلى </w:t>
      </w:r>
      <w:r>
        <w:rPr>
          <w:lang w:bidi="ar-SA"/>
        </w:rPr>
        <w:t>222,0</w:t>
      </w:r>
      <w:r w:rsidRPr="000845A2">
        <w:rPr>
          <w:rtl/>
          <w:lang w:bidi="ar-SA"/>
        </w:rPr>
        <w:t xml:space="preserve"> مليون فرنك سويسري، ويرجع ذلك في معظمه إلى انخفاض قيمة مشروع المبنى الجديد </w:t>
      </w:r>
      <w:r>
        <w:rPr>
          <w:rFonts w:hint="cs"/>
          <w:rtl/>
          <w:lang w:bidi="ar-SA"/>
        </w:rPr>
        <w:t>بمبلغ</w:t>
      </w:r>
      <w:r w:rsidRPr="000845A2">
        <w:rPr>
          <w:rtl/>
          <w:lang w:bidi="ar-SA"/>
        </w:rPr>
        <w:t xml:space="preserve"> </w:t>
      </w:r>
      <w:r>
        <w:rPr>
          <w:lang w:bidi="ar-SA"/>
        </w:rPr>
        <w:t>21,0</w:t>
      </w:r>
      <w:r w:rsidRPr="000845A2">
        <w:rPr>
          <w:rtl/>
          <w:lang w:bidi="ar-SA"/>
        </w:rPr>
        <w:t xml:space="preserve"> مليون فرنك سويسري، </w:t>
      </w:r>
      <w:r>
        <w:rPr>
          <w:rFonts w:hint="cs"/>
          <w:rtl/>
          <w:lang w:bidi="ar-SA"/>
        </w:rPr>
        <w:t>وقيد احتياطي</w:t>
      </w:r>
      <w:r w:rsidRPr="000845A2">
        <w:rPr>
          <w:rtl/>
          <w:lang w:bidi="ar-SA"/>
        </w:rPr>
        <w:t xml:space="preserve"> في المساهمات المقررة </w:t>
      </w:r>
      <w:r>
        <w:rPr>
          <w:rFonts w:hint="cs"/>
          <w:rtl/>
          <w:lang w:bidi="ar-SA"/>
        </w:rPr>
        <w:t>بمبلغ</w:t>
      </w:r>
      <w:r w:rsidRPr="000845A2">
        <w:rPr>
          <w:rtl/>
          <w:lang w:bidi="ar-SA"/>
        </w:rPr>
        <w:t xml:space="preserve"> </w:t>
      </w:r>
      <w:r>
        <w:rPr>
          <w:lang w:bidi="ar-SA"/>
        </w:rPr>
        <w:t>6,4</w:t>
      </w:r>
      <w:r w:rsidRPr="000845A2">
        <w:rPr>
          <w:rtl/>
          <w:lang w:bidi="ar-SA"/>
        </w:rPr>
        <w:t xml:space="preserve"> </w:t>
      </w:r>
      <w:r>
        <w:rPr>
          <w:rFonts w:hint="cs"/>
          <w:rtl/>
          <w:lang w:bidi="ar-SA"/>
        </w:rPr>
        <w:t>مليون</w:t>
      </w:r>
      <w:r w:rsidRPr="000845A2">
        <w:rPr>
          <w:rtl/>
          <w:lang w:bidi="ar-SA"/>
        </w:rPr>
        <w:t xml:space="preserve"> فرنك سويسري، ومخصص لإنهاء اتفاقية رعاية بقيمة </w:t>
      </w:r>
      <w:r>
        <w:rPr>
          <w:lang w:bidi="ar-SA"/>
        </w:rPr>
        <w:t>5,0</w:t>
      </w:r>
      <w:r w:rsidRPr="000845A2">
        <w:rPr>
          <w:rtl/>
          <w:lang w:bidi="ar-SA"/>
        </w:rPr>
        <w:t xml:space="preserve"> ملايين فرنك سويسري نتيجة لمراجعة مشروع المبنى الجديد. ويقابل ذلك إلى حد كبير انخفاض في نفقات الموظفين </w:t>
      </w:r>
      <w:r>
        <w:rPr>
          <w:rFonts w:hint="cs"/>
          <w:rtl/>
          <w:lang w:bidi="ar-SA"/>
        </w:rPr>
        <w:t>بمقدار</w:t>
      </w:r>
      <w:r w:rsidRPr="000845A2">
        <w:rPr>
          <w:rtl/>
          <w:lang w:bidi="ar-SA"/>
        </w:rPr>
        <w:t xml:space="preserve"> </w:t>
      </w:r>
      <w:r>
        <w:rPr>
          <w:lang w:bidi="ar-SA"/>
        </w:rPr>
        <w:t>8,2</w:t>
      </w:r>
      <w:r w:rsidRPr="000845A2">
        <w:rPr>
          <w:rtl/>
          <w:lang w:bidi="ar-SA"/>
        </w:rPr>
        <w:t xml:space="preserve"> مليون فرنك سويسري.</w:t>
      </w:r>
    </w:p>
    <w:p w14:paraId="7ED5E1D3" w14:textId="7301E2D3" w:rsidR="00083F2A" w:rsidRDefault="00083F2A" w:rsidP="00083F2A">
      <w:pPr>
        <w:pStyle w:val="enumlev1"/>
        <w:rPr>
          <w:rtl/>
          <w:lang w:bidi="ar-SA"/>
        </w:rPr>
      </w:pPr>
      <w:r>
        <w:t>7</w:t>
      </w:r>
      <w:r w:rsidRPr="005269E6">
        <w:rPr>
          <w:rtl/>
        </w:rPr>
        <w:tab/>
      </w:r>
      <w:r w:rsidRPr="00E93E5F">
        <w:rPr>
          <w:rtl/>
        </w:rPr>
        <w:t xml:space="preserve">انتقلت الإيرادات/التكاليف المالية من خسارة قدرها </w:t>
      </w:r>
      <w:r>
        <w:t>8,3</w:t>
      </w:r>
      <w:r w:rsidRPr="00E93E5F">
        <w:rPr>
          <w:rtl/>
        </w:rPr>
        <w:t xml:space="preserve"> مليون فرنك سويسري في عام 2023 إلى دخل قدره </w:t>
      </w:r>
      <w:r>
        <w:t>9,5</w:t>
      </w:r>
      <w:r w:rsidRPr="00E93E5F">
        <w:rPr>
          <w:rtl/>
        </w:rPr>
        <w:t xml:space="preserve"> مليون فرنك سويسري في عام 2024</w:t>
      </w:r>
      <w:r>
        <w:rPr>
          <w:rFonts w:hint="cs"/>
          <w:rtl/>
          <w:lang w:bidi="ar-SA"/>
        </w:rPr>
        <w:t>.</w:t>
      </w:r>
      <w:r w:rsidRPr="00E93E5F">
        <w:rPr>
          <w:rtl/>
        </w:rPr>
        <w:t xml:space="preserve"> </w:t>
      </w:r>
      <w:r>
        <w:rPr>
          <w:rFonts w:hint="cs"/>
          <w:rtl/>
        </w:rPr>
        <w:t>و</w:t>
      </w:r>
      <w:r w:rsidRPr="00E93E5F">
        <w:rPr>
          <w:rtl/>
          <w:lang w:bidi="ar-SA"/>
        </w:rPr>
        <w:t xml:space="preserve">يرجع التغير البالغ </w:t>
      </w:r>
      <w:r>
        <w:rPr>
          <w:lang w:bidi="ar-SA"/>
        </w:rPr>
        <w:t>17,8</w:t>
      </w:r>
      <w:r w:rsidRPr="00E93E5F">
        <w:rPr>
          <w:rtl/>
          <w:lang w:bidi="ar-SA"/>
        </w:rPr>
        <w:t xml:space="preserve"> مليون فرنك سويسري بشكل رئيسي إلى التحسن الكبير في مكاسب </w:t>
      </w:r>
      <w:r>
        <w:rPr>
          <w:rFonts w:hint="cs"/>
          <w:rtl/>
          <w:lang w:bidi="ar-SA"/>
        </w:rPr>
        <w:t>ال</w:t>
      </w:r>
      <w:r w:rsidRPr="00E93E5F">
        <w:rPr>
          <w:rtl/>
          <w:lang w:bidi="ar-SA"/>
        </w:rPr>
        <w:t xml:space="preserve">صرف </w:t>
      </w:r>
      <w:r>
        <w:rPr>
          <w:rFonts w:hint="cs"/>
          <w:rtl/>
          <w:lang w:bidi="ar-SA"/>
        </w:rPr>
        <w:t>بمقدار</w:t>
      </w:r>
      <w:r w:rsidRPr="00E93E5F">
        <w:rPr>
          <w:rtl/>
          <w:lang w:bidi="ar-SA"/>
        </w:rPr>
        <w:t xml:space="preserve"> </w:t>
      </w:r>
      <w:r>
        <w:rPr>
          <w:lang w:bidi="ar-SA"/>
        </w:rPr>
        <w:t>14,3</w:t>
      </w:r>
      <w:r w:rsidRPr="00E93E5F">
        <w:rPr>
          <w:rtl/>
          <w:lang w:bidi="ar-SA"/>
        </w:rPr>
        <w:t xml:space="preserve"> مليون فرنك سويسري نتيجة الاتجاه الأكثر ملاءمة في أسعار صرف العملات الأجنبية، </w:t>
      </w:r>
      <w:r>
        <w:rPr>
          <w:rFonts w:hint="cs"/>
          <w:rtl/>
          <w:lang w:bidi="ar-SA"/>
        </w:rPr>
        <w:t>وخاصة</w:t>
      </w:r>
      <w:r w:rsidRPr="00E93E5F">
        <w:rPr>
          <w:rtl/>
          <w:lang w:bidi="ar-SA"/>
        </w:rPr>
        <w:t xml:space="preserve"> سعر صرف الدولار الأمريكي مقابل الفرنك السويسري.</w:t>
      </w:r>
      <w:r w:rsidRPr="00F43DF0">
        <w:rPr>
          <w:rtl/>
        </w:rPr>
        <w:t xml:space="preserve"> </w:t>
      </w:r>
      <w:r w:rsidRPr="00F43DF0">
        <w:rPr>
          <w:rtl/>
          <w:lang w:bidi="ar-SA"/>
        </w:rPr>
        <w:t xml:space="preserve">وعلاوة على ذلك، انخفضت القيمة الحالية الصافية </w:t>
      </w:r>
      <w:r>
        <w:rPr>
          <w:rFonts w:hint="cs"/>
          <w:color w:val="000000"/>
          <w:rtl/>
        </w:rPr>
        <w:t>ل</w:t>
      </w:r>
      <w:r>
        <w:rPr>
          <w:color w:val="000000"/>
          <w:rtl/>
        </w:rPr>
        <w:t>قروض مؤسسة مباني المنظمات الدولية</w:t>
      </w:r>
      <w:r w:rsidR="00A05F03">
        <w:rPr>
          <w:rFonts w:hint="cs"/>
          <w:color w:val="000000"/>
          <w:rtl/>
          <w:lang w:bidi="ar-EG"/>
        </w:rPr>
        <w:t xml:space="preserve"> </w:t>
      </w:r>
      <w:r>
        <w:rPr>
          <w:color w:val="000000"/>
        </w:rPr>
        <w:t>(FIPOI)</w:t>
      </w:r>
      <w:r w:rsidR="00A05F03">
        <w:rPr>
          <w:rFonts w:hint="cs"/>
          <w:color w:val="000000"/>
          <w:rtl/>
        </w:rPr>
        <w:t xml:space="preserve"> </w:t>
      </w:r>
      <w:r w:rsidRPr="00F43DF0">
        <w:rPr>
          <w:rtl/>
          <w:lang w:bidi="ar-SA"/>
        </w:rPr>
        <w:t xml:space="preserve">بمبلغ </w:t>
      </w:r>
      <w:r>
        <w:rPr>
          <w:lang w:bidi="ar-SA"/>
        </w:rPr>
        <w:t>3,4</w:t>
      </w:r>
      <w:r w:rsidRPr="00F43DF0">
        <w:rPr>
          <w:rtl/>
          <w:lang w:bidi="ar-SA"/>
        </w:rPr>
        <w:t xml:space="preserve"> </w:t>
      </w:r>
      <w:r>
        <w:rPr>
          <w:rFonts w:hint="cs"/>
          <w:rtl/>
          <w:lang w:bidi="ar-SA"/>
        </w:rPr>
        <w:t>مليون</w:t>
      </w:r>
      <w:r w:rsidRPr="00F43DF0">
        <w:rPr>
          <w:rtl/>
          <w:lang w:bidi="ar-SA"/>
        </w:rPr>
        <w:t xml:space="preserve"> فرنك سويسري نتيجة انخفاض أسعار الفائدة.</w:t>
      </w:r>
      <w:r w:rsidRPr="00F43DF0">
        <w:rPr>
          <w:rtl/>
        </w:rPr>
        <w:t xml:space="preserve"> </w:t>
      </w:r>
      <w:r>
        <w:rPr>
          <w:rFonts w:hint="cs"/>
          <w:rtl/>
          <w:lang w:bidi="ar-SA"/>
        </w:rPr>
        <w:t>و</w:t>
      </w:r>
      <w:r w:rsidRPr="00F43DF0">
        <w:rPr>
          <w:rtl/>
          <w:lang w:bidi="ar-SA"/>
        </w:rPr>
        <w:t xml:space="preserve">فيما يتعلق بالاستثمارات، ظلت أسعار الفائدة مستقرة بالدولار الأمريكي، وهي عملة الاستثمار الرئيسية للاتحاد، وبلغ الدخل المحقق </w:t>
      </w:r>
      <w:r>
        <w:rPr>
          <w:lang w:bidi="ar-SA"/>
        </w:rPr>
        <w:t>4,6</w:t>
      </w:r>
      <w:r w:rsidRPr="00F43DF0">
        <w:rPr>
          <w:rtl/>
          <w:lang w:bidi="ar-SA"/>
        </w:rPr>
        <w:t xml:space="preserve"> </w:t>
      </w:r>
      <w:r>
        <w:rPr>
          <w:rFonts w:hint="cs"/>
          <w:rtl/>
          <w:lang w:bidi="ar-SA"/>
        </w:rPr>
        <w:t>مليون</w:t>
      </w:r>
      <w:r w:rsidRPr="00F43DF0">
        <w:rPr>
          <w:rtl/>
          <w:lang w:bidi="ar-SA"/>
        </w:rPr>
        <w:t xml:space="preserve"> فرنك سويسري، </w:t>
      </w:r>
      <w:r>
        <w:rPr>
          <w:rFonts w:hint="cs"/>
          <w:rtl/>
          <w:lang w:bidi="ar-SA"/>
        </w:rPr>
        <w:t>وهو ما يتماشى</w:t>
      </w:r>
      <w:r w:rsidRPr="00F43DF0">
        <w:rPr>
          <w:rtl/>
          <w:lang w:bidi="ar-SA"/>
        </w:rPr>
        <w:t xml:space="preserve"> مع العام السابق.</w:t>
      </w:r>
      <w:r w:rsidRPr="009175E9">
        <w:rPr>
          <w:rtl/>
        </w:rPr>
        <w:t xml:space="preserve"> </w:t>
      </w:r>
      <w:r w:rsidRPr="009175E9">
        <w:rPr>
          <w:rtl/>
          <w:lang w:bidi="ar-SA"/>
        </w:rPr>
        <w:t xml:space="preserve">ومع ذلك، يعمل الاتحاد </w:t>
      </w:r>
      <w:r>
        <w:rPr>
          <w:rFonts w:hint="cs"/>
          <w:rtl/>
          <w:lang w:bidi="ar-SA"/>
        </w:rPr>
        <w:t>حالياً</w:t>
      </w:r>
      <w:r w:rsidRPr="009175E9">
        <w:rPr>
          <w:rtl/>
          <w:lang w:bidi="ar-SA"/>
        </w:rPr>
        <w:t xml:space="preserve"> على تعزيز ممارساته في إدارة العملات الأجنبية لمواءمة استثماراته بالعملات الأجنبية بشكل أفضل مع عملته الوظيفية (الفرنك السويسري)، مما يقلل من التعرض لتقلبات أسعار الصرف ويضمن </w:t>
      </w:r>
      <w:r>
        <w:rPr>
          <w:rFonts w:hint="cs"/>
          <w:rtl/>
          <w:lang w:bidi="ar-SA"/>
        </w:rPr>
        <w:t>قدراً</w:t>
      </w:r>
      <w:r w:rsidRPr="009175E9">
        <w:rPr>
          <w:rtl/>
          <w:lang w:bidi="ar-SA"/>
        </w:rPr>
        <w:t xml:space="preserve"> أكبر من القدرة على التنبؤ والاستقرار في النتائج المالية.</w:t>
      </w:r>
    </w:p>
    <w:p w14:paraId="6E4562F8" w14:textId="77777777" w:rsidR="00083F2A" w:rsidRDefault="00083F2A" w:rsidP="00083F2A">
      <w:pPr>
        <w:pStyle w:val="enumlev1"/>
      </w:pPr>
      <w:r>
        <w:t>8</w:t>
      </w:r>
      <w:r w:rsidRPr="005269E6">
        <w:rPr>
          <w:rtl/>
        </w:rPr>
        <w:tab/>
      </w:r>
      <w:r w:rsidRPr="00B402A7">
        <w:rPr>
          <w:rtl/>
        </w:rPr>
        <w:t>زادت أصول المنظمة</w:t>
      </w:r>
      <w:r w:rsidRPr="00680018">
        <w:rPr>
          <w:rtl/>
        </w:rPr>
        <w:t xml:space="preserve"> بمقدار </w:t>
      </w:r>
      <w:r>
        <w:t>14,7</w:t>
      </w:r>
      <w:r w:rsidRPr="00680018">
        <w:rPr>
          <w:rtl/>
        </w:rPr>
        <w:t xml:space="preserve"> مليون فرنك سويسري، </w:t>
      </w:r>
      <w:r>
        <w:rPr>
          <w:rFonts w:hint="cs"/>
          <w:rtl/>
        </w:rPr>
        <w:t>و</w:t>
      </w:r>
      <w:r w:rsidRPr="00680018">
        <w:rPr>
          <w:rtl/>
        </w:rPr>
        <w:t xml:space="preserve">يرجع ذلك في الغالب إلى الزيادة في النقد وما يعادله والمبالغ مستحقة القبض، وقد قابل ذلك جزئياً انخفاض في الاستثمارات والأصول قيد الإنشاء. وازدادت الالتزامات بمقدار </w:t>
      </w:r>
      <w:r>
        <w:t>74,8</w:t>
      </w:r>
      <w:r w:rsidRPr="00680018">
        <w:rPr>
          <w:rtl/>
        </w:rPr>
        <w:t xml:space="preserve"> مليون فرنك سويسري، ويعزى ذلك بشكل رئيسي إلى الزيادة في التزامات صندوق التأمين الصحي بعد انتهاء </w:t>
      </w:r>
      <w:r>
        <w:rPr>
          <w:rFonts w:hint="cs"/>
          <w:rtl/>
        </w:rPr>
        <w:t xml:space="preserve">مدة </w:t>
      </w:r>
      <w:r w:rsidRPr="00680018">
        <w:rPr>
          <w:rtl/>
        </w:rPr>
        <w:t>الخدمة (</w:t>
      </w:r>
      <w:r w:rsidRPr="00680018">
        <w:t>ASHI</w:t>
      </w:r>
      <w:r w:rsidRPr="00680018">
        <w:rPr>
          <w:rtl/>
        </w:rPr>
        <w:t>) والإيرادات المؤجلة المتعلقة بالاتفاقات الخارجة عن الميزانية.</w:t>
      </w:r>
    </w:p>
    <w:p w14:paraId="76F2C617" w14:textId="77777777" w:rsidR="00083F2A" w:rsidRPr="00A53448" w:rsidRDefault="00083F2A" w:rsidP="00083F2A">
      <w:pPr>
        <w:pStyle w:val="enumlev1"/>
        <w:rPr>
          <w:rtl/>
          <w:lang w:val="en-GB" w:bidi="ar-SA"/>
        </w:rPr>
      </w:pPr>
      <w:r>
        <w:t>9</w:t>
      </w:r>
      <w:r w:rsidRPr="005269E6">
        <w:rPr>
          <w:rtl/>
        </w:rPr>
        <w:tab/>
      </w:r>
      <w:r w:rsidRPr="00680018">
        <w:rPr>
          <w:rtl/>
        </w:rPr>
        <w:t xml:space="preserve">العجز </w:t>
      </w:r>
      <w:r>
        <w:rPr>
          <w:rFonts w:hint="cs"/>
          <w:rtl/>
        </w:rPr>
        <w:t xml:space="preserve">في </w:t>
      </w:r>
      <w:r w:rsidRPr="00680018">
        <w:rPr>
          <w:rtl/>
        </w:rPr>
        <w:t xml:space="preserve">عام 2024 البالغ </w:t>
      </w:r>
      <w:r>
        <w:t>27,8</w:t>
      </w:r>
      <w:r w:rsidRPr="00680018">
        <w:rPr>
          <w:rtl/>
        </w:rPr>
        <w:t xml:space="preserve"> مليون فرنك سويسري (البيان الثاني) (مقارنةً بالعجز البالغ </w:t>
      </w:r>
      <w:r>
        <w:t>24,8</w:t>
      </w:r>
      <w:r w:rsidRPr="00680018">
        <w:rPr>
          <w:rtl/>
        </w:rPr>
        <w:t xml:space="preserve"> مليون فرنك سويسري في عام 2023) هو نتيجة صافية لتجاوز إجمالي نفقات الاتحاد إيراداته خلال السنة</w:t>
      </w:r>
      <w:r>
        <w:t>.</w:t>
      </w:r>
      <w:r w:rsidRPr="001E1178">
        <w:rPr>
          <w:rtl/>
        </w:rPr>
        <w:t xml:space="preserve"> ومع ذلك، تجدر الإشارة إلى أن فائض ميزانية برنامج </w:t>
      </w:r>
      <w:r>
        <w:rPr>
          <w:rFonts w:hint="cs"/>
          <w:rtl/>
        </w:rPr>
        <w:t>ا</w:t>
      </w:r>
      <w:r w:rsidRPr="001E1178">
        <w:rPr>
          <w:rtl/>
        </w:rPr>
        <w:t xml:space="preserve">لاتحاد يبلغ </w:t>
      </w:r>
      <w:r>
        <w:t>5,7</w:t>
      </w:r>
      <w:r w:rsidRPr="001E1178">
        <w:rPr>
          <w:rtl/>
        </w:rPr>
        <w:t xml:space="preserve"> </w:t>
      </w:r>
      <w:r>
        <w:rPr>
          <w:rFonts w:hint="cs"/>
          <w:rtl/>
        </w:rPr>
        <w:t>مليون</w:t>
      </w:r>
      <w:r w:rsidRPr="001E1178">
        <w:rPr>
          <w:rtl/>
        </w:rPr>
        <w:t xml:space="preserve"> فرنك سويسري (البيان الخامس).</w:t>
      </w:r>
      <w:r w:rsidRPr="00180106">
        <w:rPr>
          <w:rtl/>
        </w:rPr>
        <w:t xml:space="preserve"> </w:t>
      </w:r>
      <w:r>
        <w:rPr>
          <w:rFonts w:hint="cs"/>
          <w:rtl/>
        </w:rPr>
        <w:t>و</w:t>
      </w:r>
      <w:r w:rsidRPr="00180106">
        <w:rPr>
          <w:rtl/>
        </w:rPr>
        <w:t xml:space="preserve">تُعزى </w:t>
      </w:r>
      <w:r>
        <w:rPr>
          <w:rFonts w:hint="cs"/>
          <w:rtl/>
        </w:rPr>
        <w:t>الاختلافات</w:t>
      </w:r>
      <w:r w:rsidRPr="00180106">
        <w:rPr>
          <w:rtl/>
        </w:rPr>
        <w:t xml:space="preserve"> الرئيسية بين البيان الخامس والبيان الثاني أساساً إلى انخفاض قيمة المبنى الجديد (</w:t>
      </w:r>
      <w:r>
        <w:t>21,0</w:t>
      </w:r>
      <w:r w:rsidRPr="00180106">
        <w:rPr>
          <w:rtl/>
        </w:rPr>
        <w:t xml:space="preserve"> مليون فرنك سويسري)، ومصاريف التأمين الصحي بعد</w:t>
      </w:r>
      <w:r>
        <w:rPr>
          <w:rFonts w:hint="cs"/>
          <w:rtl/>
        </w:rPr>
        <w:t xml:space="preserve"> انتهاء مدة</w:t>
      </w:r>
      <w:r w:rsidRPr="00180106">
        <w:rPr>
          <w:rtl/>
        </w:rPr>
        <w:t xml:space="preserve"> الخدمة (</w:t>
      </w:r>
      <w:r>
        <w:t>7,8</w:t>
      </w:r>
      <w:r w:rsidRPr="00180106">
        <w:rPr>
          <w:rtl/>
        </w:rPr>
        <w:t xml:space="preserve"> </w:t>
      </w:r>
      <w:r>
        <w:rPr>
          <w:rFonts w:hint="cs"/>
          <w:rtl/>
        </w:rPr>
        <w:t>مليون</w:t>
      </w:r>
      <w:r w:rsidRPr="00180106">
        <w:rPr>
          <w:rtl/>
        </w:rPr>
        <w:t xml:space="preserve"> فرنك سويسري)، والمخصصات المتعلقة بالديون المشكوك في تحصيلها (</w:t>
      </w:r>
      <w:r>
        <w:t>6,4</w:t>
      </w:r>
      <w:r w:rsidRPr="00180106">
        <w:rPr>
          <w:rtl/>
        </w:rPr>
        <w:t xml:space="preserve"> </w:t>
      </w:r>
      <w:r>
        <w:rPr>
          <w:rFonts w:hint="cs"/>
          <w:rtl/>
        </w:rPr>
        <w:t>مليون</w:t>
      </w:r>
      <w:r w:rsidRPr="00180106">
        <w:rPr>
          <w:rtl/>
        </w:rPr>
        <w:t xml:space="preserve"> فرنك سويسري) وإنهاء </w:t>
      </w:r>
      <w:r>
        <w:rPr>
          <w:rFonts w:hint="cs"/>
          <w:rtl/>
        </w:rPr>
        <w:t>الرعاية</w:t>
      </w:r>
      <w:r w:rsidRPr="00180106">
        <w:rPr>
          <w:rtl/>
        </w:rPr>
        <w:t xml:space="preserve"> </w:t>
      </w:r>
      <w:r>
        <w:rPr>
          <w:rFonts w:hint="cs"/>
          <w:rtl/>
        </w:rPr>
        <w:t>المتعلقة</w:t>
      </w:r>
      <w:r w:rsidRPr="00180106">
        <w:rPr>
          <w:rtl/>
        </w:rPr>
        <w:t xml:space="preserve"> بمشروع المبنى الجديد (</w:t>
      </w:r>
      <w:r>
        <w:t>5,0</w:t>
      </w:r>
      <w:r w:rsidRPr="00180106">
        <w:rPr>
          <w:rtl/>
        </w:rPr>
        <w:t xml:space="preserve"> ملايين فرنك سويسري)، ويقابل ذلك جزئياً رسملة الأصول الثابتة، وأرباح أسعار الصرف الناتجة عن الاستثمارات والعمليات، وتسوية قرض </w:t>
      </w:r>
      <w:r>
        <w:rPr>
          <w:color w:val="000000"/>
          <w:rtl/>
        </w:rPr>
        <w:t>مؤسسة مباني المنظمات الدولية</w:t>
      </w:r>
      <w:r w:rsidRPr="00180106">
        <w:rPr>
          <w:rtl/>
        </w:rPr>
        <w:t>. و</w:t>
      </w:r>
      <w:r>
        <w:rPr>
          <w:rFonts w:hint="cs"/>
          <w:rtl/>
        </w:rPr>
        <w:t>ي</w:t>
      </w:r>
      <w:r w:rsidRPr="00180106">
        <w:rPr>
          <w:rtl/>
        </w:rPr>
        <w:t xml:space="preserve">رد </w:t>
      </w:r>
      <w:r>
        <w:rPr>
          <w:rFonts w:hint="cs"/>
          <w:rtl/>
        </w:rPr>
        <w:t>مزيد من</w:t>
      </w:r>
      <w:r w:rsidRPr="00180106">
        <w:rPr>
          <w:rtl/>
        </w:rPr>
        <w:t xml:space="preserve"> التفاصيل في البيان الخامس </w:t>
      </w:r>
      <w:r>
        <w:rPr>
          <w:rFonts w:hint="cs"/>
          <w:rtl/>
        </w:rPr>
        <w:t>وفي الملاحظة</w:t>
      </w:r>
      <w:r w:rsidRPr="00180106">
        <w:rPr>
          <w:rtl/>
        </w:rPr>
        <w:t xml:space="preserve"> 21 من البيانات المالية. </w:t>
      </w:r>
      <w:r>
        <w:rPr>
          <w:rFonts w:hint="cs"/>
          <w:rtl/>
        </w:rPr>
        <w:t>وستقدم الأمينة العامة</w:t>
      </w:r>
      <w:r w:rsidRPr="00180106">
        <w:rPr>
          <w:rtl/>
        </w:rPr>
        <w:t xml:space="preserve"> وثيقة </w:t>
      </w:r>
      <w:r>
        <w:rPr>
          <w:rFonts w:hint="cs"/>
          <w:rtl/>
        </w:rPr>
        <w:t>تتضمن مقترحات تُعرض على المجلس لاعتمادها بخصوص</w:t>
      </w:r>
      <w:r w:rsidRPr="00180106">
        <w:rPr>
          <w:rtl/>
        </w:rPr>
        <w:t xml:space="preserve"> تمويل الأنشطة ذات الأولوية لعام 2025.</w:t>
      </w:r>
    </w:p>
    <w:p w14:paraId="3CAD95DE" w14:textId="77777777" w:rsidR="00083F2A" w:rsidRDefault="00083F2A" w:rsidP="00083F2A">
      <w:pPr>
        <w:pStyle w:val="Headingb0"/>
        <w:rPr>
          <w:rtl/>
          <w:lang w:bidi="ar-EG"/>
        </w:rPr>
      </w:pPr>
      <w:r>
        <w:rPr>
          <w:rtl/>
          <w:lang w:bidi="ar-EG"/>
        </w:rPr>
        <w:t>الأداء المالي</w:t>
      </w:r>
    </w:p>
    <w:p w14:paraId="6A5B3FB6" w14:textId="77777777" w:rsidR="00083F2A" w:rsidRDefault="00083F2A" w:rsidP="00083F2A">
      <w:pPr>
        <w:pStyle w:val="Headingb0"/>
        <w:rPr>
          <w:rtl/>
          <w:lang w:bidi="ar-EG"/>
        </w:rPr>
      </w:pPr>
      <w:r>
        <w:rPr>
          <w:rtl/>
          <w:lang w:bidi="ar-EG"/>
        </w:rPr>
        <w:t>الايرادات</w:t>
      </w:r>
    </w:p>
    <w:p w14:paraId="49A80FB2" w14:textId="77777777" w:rsidR="00083F2A" w:rsidRDefault="00083F2A" w:rsidP="00083F2A">
      <w:pPr>
        <w:pStyle w:val="enumlev1"/>
        <w:rPr>
          <w:rtl/>
          <w:lang w:bidi="ar-SA"/>
        </w:rPr>
      </w:pPr>
      <w:r>
        <w:t>10</w:t>
      </w:r>
      <w:r>
        <w:rPr>
          <w:rtl/>
        </w:rPr>
        <w:tab/>
      </w:r>
      <w:r w:rsidRPr="00A53448">
        <w:rPr>
          <w:rtl/>
        </w:rPr>
        <w:t xml:space="preserve">بلغت إيرادات الاتحاد في عام 2024 مبلغ </w:t>
      </w:r>
      <w:r>
        <w:t>184,6</w:t>
      </w:r>
      <w:r w:rsidRPr="00A53448">
        <w:rPr>
          <w:rtl/>
        </w:rPr>
        <w:t xml:space="preserve"> مليون فرنك سويسري، مقارنةً ب</w:t>
      </w:r>
      <w:r>
        <w:rPr>
          <w:rFonts w:hint="cs"/>
          <w:rtl/>
          <w:lang w:bidi="ar-SA"/>
        </w:rPr>
        <w:t>مبلغ</w:t>
      </w:r>
      <w:r w:rsidRPr="00A53448">
        <w:rPr>
          <w:rtl/>
        </w:rPr>
        <w:t xml:space="preserve"> </w:t>
      </w:r>
      <w:r>
        <w:t>180,7</w:t>
      </w:r>
      <w:r w:rsidRPr="00A53448">
        <w:rPr>
          <w:rtl/>
        </w:rPr>
        <w:t xml:space="preserve"> مليون فرنك سويسري في عام 2023. ويبين الجدول 1 أدناه المصادر الرئيسية للإيرادات لكلا العامين 2024 و2023. وقد زادت الإيرادات من المساهمات المقررة والمساهمات </w:t>
      </w:r>
      <w:r>
        <w:rPr>
          <w:rFonts w:hint="cs"/>
          <w:rtl/>
        </w:rPr>
        <w:t>من خارج</w:t>
      </w:r>
      <w:r w:rsidRPr="00A53448">
        <w:rPr>
          <w:rtl/>
        </w:rPr>
        <w:t xml:space="preserve"> الميزانية بمقدار </w:t>
      </w:r>
      <w:r>
        <w:t>5,6</w:t>
      </w:r>
      <w:r w:rsidRPr="00A53448">
        <w:rPr>
          <w:rtl/>
        </w:rPr>
        <w:t xml:space="preserve"> مليون فرنك سويسري. وانخفضت الإيرادات من المنشورات </w:t>
      </w:r>
      <w:r>
        <w:rPr>
          <w:rFonts w:hint="cs"/>
          <w:rtl/>
        </w:rPr>
        <w:t>وبطاقات التبليغ عن الشبكات الساتلية</w:t>
      </w:r>
      <w:r w:rsidRPr="00A53448">
        <w:rPr>
          <w:rtl/>
        </w:rPr>
        <w:t xml:space="preserve"> بمقدار </w:t>
      </w:r>
      <w:r>
        <w:t>0,5</w:t>
      </w:r>
      <w:r w:rsidRPr="00A53448">
        <w:rPr>
          <w:rtl/>
        </w:rPr>
        <w:t xml:space="preserve"> مليون فرنك سويسري. كما انخفضت الإيرادات الأخرى بمقدار </w:t>
      </w:r>
      <w:r>
        <w:t>1,1</w:t>
      </w:r>
      <w:r w:rsidRPr="00A53448">
        <w:rPr>
          <w:rtl/>
        </w:rPr>
        <w:t xml:space="preserve"> مليون فرنك سويسري</w:t>
      </w:r>
      <w:r>
        <w:t>.</w:t>
      </w:r>
    </w:p>
    <w:p w14:paraId="4F6EECB1" w14:textId="32494755" w:rsidR="00083F2A" w:rsidRDefault="00083F2A" w:rsidP="00083F2A">
      <w:pPr>
        <w:pStyle w:val="enumlev1"/>
      </w:pPr>
      <w:r>
        <w:t>11</w:t>
      </w:r>
      <w:r w:rsidRPr="005269E6">
        <w:rPr>
          <w:rtl/>
        </w:rPr>
        <w:tab/>
      </w:r>
      <w:r w:rsidRPr="00290902">
        <w:rPr>
          <w:rtl/>
        </w:rPr>
        <w:t xml:space="preserve">تحسنت الإيرادات المالية الإجمالية للمنظمة بشكل كبير مقارنة بالعام السابق، حيث انتقلت من تكلفة مالية قدرها </w:t>
      </w:r>
      <w:r>
        <w:t>8,3</w:t>
      </w:r>
      <w:r w:rsidRPr="00290902">
        <w:rPr>
          <w:rtl/>
        </w:rPr>
        <w:t xml:space="preserve"> مليون فرنك سويسري في عام 2023 إلى إيرادات مالية قدرها </w:t>
      </w:r>
      <w:r>
        <w:t>9,5</w:t>
      </w:r>
      <w:r w:rsidRPr="00290902">
        <w:rPr>
          <w:rtl/>
        </w:rPr>
        <w:t xml:space="preserve"> مليون فرنك سويسري في عام 2024. ويعزى ذلك مباشرة إلى الاتجاه الأكثر ملاءمة لأسعار صرف الدولار الأمريكي واليورو مقابل الفرنك السويسري. </w:t>
      </w:r>
      <w:r>
        <w:rPr>
          <w:rFonts w:hint="cs"/>
          <w:rtl/>
        </w:rPr>
        <w:t>و</w:t>
      </w:r>
      <w:r w:rsidRPr="00290902">
        <w:rPr>
          <w:rtl/>
        </w:rPr>
        <w:t xml:space="preserve">بالإضافة إلى </w:t>
      </w:r>
      <w:r w:rsidRPr="00290902">
        <w:rPr>
          <w:rtl/>
        </w:rPr>
        <w:lastRenderedPageBreak/>
        <w:t>ذلك، كان انخفاض سعر الفائدة المستخدم في تقدير القيمة الحالية الصافية لقروض</w:t>
      </w:r>
      <w:r>
        <w:rPr>
          <w:rFonts w:hint="cs"/>
          <w:rtl/>
        </w:rPr>
        <w:t xml:space="preserve"> مؤسسة</w:t>
      </w:r>
      <w:r w:rsidRPr="00290902">
        <w:rPr>
          <w:rtl/>
        </w:rPr>
        <w:t xml:space="preserve"> </w:t>
      </w:r>
      <w:r w:rsidRPr="00290902">
        <w:t>FIPOI</w:t>
      </w:r>
      <w:r w:rsidRPr="00290902">
        <w:rPr>
          <w:rtl/>
        </w:rPr>
        <w:t xml:space="preserve"> إيجابياً مقارنة</w:t>
      </w:r>
      <w:r w:rsidR="009C0523">
        <w:rPr>
          <w:rFonts w:hint="cs"/>
          <w:rtl/>
        </w:rPr>
        <w:t>ً</w:t>
      </w:r>
      <w:r w:rsidRPr="00290902">
        <w:rPr>
          <w:rtl/>
        </w:rPr>
        <w:t xml:space="preserve"> بعام 2023 (بحركة إيجابية قدرها </w:t>
      </w:r>
      <w:r>
        <w:t>3,4</w:t>
      </w:r>
      <w:r w:rsidRPr="00290902">
        <w:rPr>
          <w:rtl/>
        </w:rPr>
        <w:t xml:space="preserve"> مليون فرنك سويسري). </w:t>
      </w:r>
      <w:r>
        <w:rPr>
          <w:rFonts w:hint="cs"/>
          <w:rtl/>
        </w:rPr>
        <w:t>وقد ظلت</w:t>
      </w:r>
      <w:r w:rsidRPr="00290902">
        <w:rPr>
          <w:rtl/>
        </w:rPr>
        <w:t xml:space="preserve"> أسعار الفائدة على الاستثمارات خلال العام مستقرة نسبياً، مما أتاح تحقيق دخل قدره </w:t>
      </w:r>
      <w:r>
        <w:t>4,6</w:t>
      </w:r>
      <w:r w:rsidRPr="00290902">
        <w:rPr>
          <w:rtl/>
        </w:rPr>
        <w:t xml:space="preserve"> مليون فرنك سويسري، وهو ما يتماشى مع العام السابق</w:t>
      </w:r>
      <w:r>
        <w:t>.</w:t>
      </w:r>
    </w:p>
    <w:p w14:paraId="6D7B11A6" w14:textId="77777777" w:rsidR="00083F2A" w:rsidRDefault="00083F2A" w:rsidP="00083F2A">
      <w:pPr>
        <w:pStyle w:val="Tabletitle"/>
        <w:rPr>
          <w:lang w:bidi="ar-EG"/>
        </w:rPr>
      </w:pPr>
      <w:r w:rsidRPr="005269E6">
        <w:rPr>
          <w:rtl/>
        </w:rPr>
        <w:t xml:space="preserve">الجدول </w:t>
      </w:r>
      <w:r>
        <w:t>1</w:t>
      </w:r>
      <w:r w:rsidRPr="005269E6">
        <w:rPr>
          <w:rtl/>
        </w:rPr>
        <w:t xml:space="preserve"> - مصادر الإيرادات عام</w:t>
      </w:r>
      <w:r w:rsidRPr="005269E6">
        <w:rPr>
          <w:rFonts w:hint="cs"/>
          <w:rtl/>
        </w:rPr>
        <w:t>َ</w:t>
      </w:r>
      <w:r w:rsidRPr="005269E6">
        <w:rPr>
          <w:rtl/>
        </w:rPr>
        <w:t xml:space="preserve">ي </w:t>
      </w:r>
      <w:r>
        <w:t>2024</w:t>
      </w:r>
      <w:r w:rsidRPr="005269E6">
        <w:rPr>
          <w:rtl/>
        </w:rPr>
        <w:t xml:space="preserve"> و</w:t>
      </w:r>
      <w:r>
        <w:t>2023</w:t>
      </w:r>
    </w:p>
    <w:p w14:paraId="2560F4DC" w14:textId="77777777" w:rsidR="00083F2A" w:rsidRDefault="00083F2A" w:rsidP="00083F2A">
      <w:pPr>
        <w:pStyle w:val="Figure"/>
        <w:rPr>
          <w:lang w:bidi="ar-EG"/>
        </w:rPr>
      </w:pPr>
      <w:r>
        <w:rPr>
          <w:lang w:bidi="ar-EG"/>
        </w:rPr>
        <w:drawing>
          <wp:inline distT="0" distB="0" distL="0" distR="0" wp14:anchorId="7151810A" wp14:editId="59E5413B">
            <wp:extent cx="3816000" cy="2804400"/>
            <wp:effectExtent l="0" t="0" r="0" b="0"/>
            <wp:docPr id="807276579" name="Picture 11" descr="A black screen with a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76579" name="Picture 11" descr="A black screen with a blue bord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000" cy="2804400"/>
                    </a:xfrm>
                    <a:prstGeom prst="rect">
                      <a:avLst/>
                    </a:prstGeom>
                    <a:noFill/>
                  </pic:spPr>
                </pic:pic>
              </a:graphicData>
            </a:graphic>
          </wp:inline>
        </w:drawing>
      </w:r>
    </w:p>
    <w:p w14:paraId="139E5099" w14:textId="77777777" w:rsidR="00083F2A" w:rsidRPr="005269E6" w:rsidRDefault="00083F2A" w:rsidP="00083F2A">
      <w:pPr>
        <w:pStyle w:val="Figuretitle"/>
        <w:rPr>
          <w:lang w:bidi="ar-SY"/>
        </w:rPr>
      </w:pPr>
      <w:r w:rsidRPr="005269E6">
        <w:rPr>
          <w:rtl/>
        </w:rPr>
        <w:t xml:space="preserve">الشكل </w:t>
      </w:r>
      <w:r>
        <w:t>2</w:t>
      </w:r>
      <w:r w:rsidRPr="005269E6">
        <w:rPr>
          <w:rtl/>
        </w:rPr>
        <w:t xml:space="preserve"> - فرز تحليل الإيرادات لعام </w:t>
      </w:r>
      <w:r>
        <w:t>2024</w:t>
      </w:r>
    </w:p>
    <w:p w14:paraId="3B86CBA8" w14:textId="5BA99E42" w:rsidR="00083F2A" w:rsidRPr="008C4FBA" w:rsidRDefault="00C42220" w:rsidP="00083F2A">
      <w:pPr>
        <w:pStyle w:val="Figure"/>
        <w:rPr>
          <w:lang w:bidi="ar-EG"/>
        </w:rPr>
      </w:pPr>
      <w:r>
        <w:rPr>
          <w:lang w:bidi="ar-EG"/>
        </w:rPr>
        <w:drawing>
          <wp:inline distT="0" distB="0" distL="0" distR="0" wp14:anchorId="00315E7F" wp14:editId="2CD3FD50">
            <wp:extent cx="5760000" cy="3139200"/>
            <wp:effectExtent l="0" t="0" r="0" b="4445"/>
            <wp:docPr id="121856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3139200"/>
                    </a:xfrm>
                    <a:prstGeom prst="rect">
                      <a:avLst/>
                    </a:prstGeom>
                    <a:noFill/>
                  </pic:spPr>
                </pic:pic>
              </a:graphicData>
            </a:graphic>
          </wp:inline>
        </w:drawing>
      </w:r>
    </w:p>
    <w:p w14:paraId="3D3FD036" w14:textId="77777777" w:rsidR="00083F2A" w:rsidRDefault="00083F2A" w:rsidP="00083F2A">
      <w:pPr>
        <w:pStyle w:val="enumlev1"/>
      </w:pPr>
      <w:r w:rsidRPr="004D3962">
        <w:t>12</w:t>
      </w:r>
      <w:r w:rsidRPr="004D3962">
        <w:rPr>
          <w:rtl/>
        </w:rPr>
        <w:tab/>
      </w:r>
      <w:r w:rsidRPr="004D3962">
        <w:rPr>
          <w:spacing w:val="-4"/>
          <w:rtl/>
        </w:rPr>
        <w:t xml:space="preserve">وكما يتضح من الشكل </w:t>
      </w:r>
      <w:r w:rsidRPr="004D3962">
        <w:rPr>
          <w:spacing w:val="-4"/>
        </w:rPr>
        <w:t>2</w:t>
      </w:r>
      <w:r w:rsidRPr="004D3962">
        <w:rPr>
          <w:spacing w:val="-4"/>
          <w:rtl/>
        </w:rPr>
        <w:t xml:space="preserve"> أعلاه، فإن المصدر الرئيسي </w:t>
      </w:r>
      <w:r>
        <w:rPr>
          <w:rFonts w:hint="cs"/>
          <w:spacing w:val="-4"/>
          <w:rtl/>
        </w:rPr>
        <w:t>لإيرادات الاتحاد</w:t>
      </w:r>
      <w:r w:rsidRPr="004D3962">
        <w:rPr>
          <w:spacing w:val="-4"/>
          <w:rtl/>
        </w:rPr>
        <w:t xml:space="preserve"> هو المساهمات المقررة التي تمثل </w:t>
      </w:r>
      <w:r w:rsidRPr="004D3962">
        <w:rPr>
          <w:spacing w:val="-4"/>
        </w:rPr>
        <w:t>67</w:t>
      </w:r>
      <w:r>
        <w:rPr>
          <w:rFonts w:hint="cs"/>
          <w:spacing w:val="-4"/>
          <w:rtl/>
        </w:rPr>
        <w:t>%</w:t>
      </w:r>
      <w:r w:rsidRPr="004D3962">
        <w:rPr>
          <w:spacing w:val="-4"/>
          <w:rtl/>
        </w:rPr>
        <w:t xml:space="preserve"> تليها إيرادات </w:t>
      </w:r>
      <w:r>
        <w:rPr>
          <w:rFonts w:hint="cs"/>
          <w:spacing w:val="-4"/>
          <w:rtl/>
        </w:rPr>
        <w:t>التشغيل الأخرى</w:t>
      </w:r>
      <w:r w:rsidRPr="004D3962">
        <w:rPr>
          <w:spacing w:val="-4"/>
          <w:rtl/>
        </w:rPr>
        <w:t xml:space="preserve"> التي تمثل 16</w:t>
      </w:r>
      <w:r>
        <w:rPr>
          <w:rFonts w:hint="cs"/>
          <w:spacing w:val="-4"/>
          <w:rtl/>
        </w:rPr>
        <w:t>%</w:t>
      </w:r>
      <w:r w:rsidRPr="004D3962">
        <w:rPr>
          <w:spacing w:val="-4"/>
          <w:rtl/>
        </w:rPr>
        <w:t xml:space="preserve"> وتشمل مبيعات المنشورات وبطاقات التبليغ عن الشبكات الساتلية (</w:t>
      </w:r>
      <w:r w:rsidRPr="004D3962">
        <w:rPr>
          <w:spacing w:val="-4"/>
        </w:rPr>
        <w:t>SNF</w:t>
      </w:r>
      <w:r w:rsidRPr="004D3962">
        <w:rPr>
          <w:spacing w:val="-4"/>
          <w:rtl/>
        </w:rPr>
        <w:t>)</w:t>
      </w:r>
      <w:r>
        <w:rPr>
          <w:rFonts w:hint="cs"/>
          <w:spacing w:val="-4"/>
          <w:rtl/>
        </w:rPr>
        <w:t xml:space="preserve"> والإيرادات الأخرى</w:t>
      </w:r>
      <w:r w:rsidRPr="004D3962">
        <w:rPr>
          <w:spacing w:val="-4"/>
          <w:rtl/>
        </w:rPr>
        <w:t>.</w:t>
      </w:r>
    </w:p>
    <w:p w14:paraId="54237BD6" w14:textId="403A1F17" w:rsidR="00083F2A" w:rsidRDefault="00083F2A" w:rsidP="00083F2A">
      <w:pPr>
        <w:pStyle w:val="enumlev1"/>
      </w:pPr>
      <w:r w:rsidRPr="0056318B">
        <w:t>13</w:t>
      </w:r>
      <w:r w:rsidR="00901AD0">
        <w:rPr>
          <w:rtl/>
        </w:rPr>
        <w:tab/>
      </w:r>
      <w:r>
        <w:rPr>
          <w:rFonts w:hint="cs"/>
          <w:rtl/>
        </w:rPr>
        <w:t>تشكل المساهمات</w:t>
      </w:r>
      <w:r w:rsidRPr="0056318B">
        <w:rPr>
          <w:rtl/>
        </w:rPr>
        <w:t xml:space="preserve"> الخارجة عن الميزانية المعترف بها لعام 2024 نسبة 11% من إجمالي الإيرادات، أي </w:t>
      </w:r>
      <w:r>
        <w:t>21,3</w:t>
      </w:r>
      <w:r w:rsidRPr="0056318B">
        <w:rPr>
          <w:rtl/>
        </w:rPr>
        <w:t xml:space="preserve"> مليون فرنك سويسري في عام 2024 (مقابل 19 مليون فرنك سويسري في عام 2023). ويعود سبب الزيادة إلى ارتفاع معدل التنفيذ وتوقيع اتفاقيات جديدة في عام 2024 مقارنة</w:t>
      </w:r>
      <w:r w:rsidR="00C62615">
        <w:rPr>
          <w:rFonts w:hint="cs"/>
          <w:rtl/>
        </w:rPr>
        <w:t>ً</w:t>
      </w:r>
      <w:r w:rsidRPr="0056318B">
        <w:rPr>
          <w:rtl/>
        </w:rPr>
        <w:t xml:space="preserve"> بعام 2023.</w:t>
      </w:r>
    </w:p>
    <w:p w14:paraId="7052A0DF" w14:textId="77777777" w:rsidR="00083F2A" w:rsidRDefault="00083F2A" w:rsidP="00083F2A">
      <w:pPr>
        <w:pStyle w:val="enumlev1"/>
      </w:pPr>
      <w:r>
        <w:lastRenderedPageBreak/>
        <w:t>14</w:t>
      </w:r>
      <w:r w:rsidRPr="005269E6">
        <w:rPr>
          <w:rtl/>
        </w:rPr>
        <w:tab/>
      </w:r>
      <w:r w:rsidRPr="0056318B">
        <w:rPr>
          <w:rtl/>
        </w:rPr>
        <w:t>أدى تنفيذ المساهمات الخارجة عن الميزانية إلى تحقيق إيرادات قدرها 1,2 مليون فرنك سويسري في عام 2024 (مقابل 1,0 مليون فرنك سويسري في عام 2023) كتكلفة دعم.</w:t>
      </w:r>
    </w:p>
    <w:p w14:paraId="2CF28CF0" w14:textId="77777777" w:rsidR="00083F2A" w:rsidRDefault="00083F2A" w:rsidP="00083F2A">
      <w:pPr>
        <w:pStyle w:val="Headingb0"/>
        <w:rPr>
          <w:lang w:bidi="ar-EG"/>
        </w:rPr>
      </w:pPr>
      <w:r>
        <w:rPr>
          <w:rFonts w:hint="cs"/>
          <w:rtl/>
          <w:lang w:bidi="ar-EG"/>
        </w:rPr>
        <w:t>استرداد التكاليف</w:t>
      </w:r>
    </w:p>
    <w:p w14:paraId="7015ABD3" w14:textId="77777777" w:rsidR="00083F2A" w:rsidRDefault="00083F2A" w:rsidP="00083F2A">
      <w:pPr>
        <w:pStyle w:val="enumlev1"/>
        <w:rPr>
          <w:rtl/>
        </w:rPr>
      </w:pPr>
      <w:r>
        <w:t>15</w:t>
      </w:r>
      <w:r w:rsidRPr="005269E6">
        <w:rPr>
          <w:rtl/>
        </w:rPr>
        <w:tab/>
      </w:r>
      <w:r w:rsidRPr="0056318B">
        <w:rPr>
          <w:rtl/>
        </w:rPr>
        <w:t xml:space="preserve">بذل الاتحاد </w:t>
      </w:r>
      <w:r>
        <w:rPr>
          <w:rFonts w:hint="cs"/>
          <w:rtl/>
        </w:rPr>
        <w:t xml:space="preserve">كل جهد ممكن </w:t>
      </w:r>
      <w:r w:rsidRPr="0056318B">
        <w:rPr>
          <w:rtl/>
        </w:rPr>
        <w:t xml:space="preserve">لاسترداد تكاليف الدعم المرتبطة بأنشطة الخدمات من خلال فرض </w:t>
      </w:r>
      <w:r>
        <w:rPr>
          <w:rFonts w:hint="cs"/>
          <w:rtl/>
        </w:rPr>
        <w:t>رسوم</w:t>
      </w:r>
      <w:r w:rsidRPr="0056318B">
        <w:rPr>
          <w:rtl/>
        </w:rPr>
        <w:t xml:space="preserve"> على نفقات المساهمات الخارجة عن الميزانية. </w:t>
      </w:r>
      <w:r>
        <w:rPr>
          <w:rFonts w:hint="cs"/>
          <w:rtl/>
        </w:rPr>
        <w:t>و</w:t>
      </w:r>
      <w:r w:rsidRPr="0056318B">
        <w:rPr>
          <w:rtl/>
        </w:rPr>
        <w:t xml:space="preserve">في عام 2024، استرد الاتحاد إيرادات تكاليف الدعم </w:t>
      </w:r>
      <w:r>
        <w:rPr>
          <w:rFonts w:hint="cs"/>
          <w:rtl/>
        </w:rPr>
        <w:t>البالغة</w:t>
      </w:r>
      <w:r w:rsidRPr="0056318B">
        <w:rPr>
          <w:rtl/>
        </w:rPr>
        <w:t xml:space="preserve"> </w:t>
      </w:r>
      <w:r>
        <w:t>1,2</w:t>
      </w:r>
      <w:r w:rsidRPr="0056318B">
        <w:rPr>
          <w:rtl/>
        </w:rPr>
        <w:t xml:space="preserve"> مليون فرنك سويسري عن نفقات المشاريع، مما أسفر عن متوسط معدل تكاليف دعم البرامج بنسبة 7% (</w:t>
      </w:r>
      <w:r>
        <w:t>1,0</w:t>
      </w:r>
      <w:r w:rsidRPr="0056318B">
        <w:rPr>
          <w:rtl/>
        </w:rPr>
        <w:t xml:space="preserve"> مليون فرنك سويسري، أو 7% في عام 2023). وتعكس هذه الزيادة الطفيفة ارتفاع حجم نفقات المشاريع </w:t>
      </w:r>
      <w:r w:rsidRPr="004E5928">
        <w:rPr>
          <w:rtl/>
        </w:rPr>
        <w:t xml:space="preserve">وتغيراً في </w:t>
      </w:r>
      <w:r w:rsidRPr="0056318B">
        <w:rPr>
          <w:rtl/>
        </w:rPr>
        <w:t xml:space="preserve">مزيج الموارد </w:t>
      </w:r>
      <w:r>
        <w:rPr>
          <w:rFonts w:hint="cs"/>
          <w:rtl/>
        </w:rPr>
        <w:t>نحو</w:t>
      </w:r>
      <w:r w:rsidRPr="0056318B">
        <w:rPr>
          <w:rtl/>
        </w:rPr>
        <w:t xml:space="preserve"> اتفاقات المساهمة. وفي الوقت الحالي، لا تزال الإعفاءات من تكاليف الدعم تُمنح للمساهمات الطوعية والطلبات المقدمة من شركاء </w:t>
      </w:r>
      <w:r>
        <w:rPr>
          <w:rFonts w:hint="cs"/>
          <w:rtl/>
        </w:rPr>
        <w:t>التمويل</w:t>
      </w:r>
      <w:r w:rsidRPr="0056318B">
        <w:rPr>
          <w:rtl/>
        </w:rPr>
        <w:t>.</w:t>
      </w:r>
    </w:p>
    <w:p w14:paraId="0A6DB94A" w14:textId="77777777" w:rsidR="00083F2A" w:rsidRDefault="00083F2A" w:rsidP="00083F2A">
      <w:pPr>
        <w:pStyle w:val="Headingb0"/>
        <w:rPr>
          <w:lang w:bidi="ar-EG"/>
        </w:rPr>
      </w:pPr>
      <w:r w:rsidRPr="008C4FBA">
        <w:rPr>
          <w:rtl/>
          <w:lang w:bidi="ar-EG"/>
        </w:rPr>
        <w:t>النفقات</w:t>
      </w:r>
    </w:p>
    <w:p w14:paraId="2E69F445" w14:textId="10C8A1D5" w:rsidR="00083F2A" w:rsidRPr="00C62615" w:rsidRDefault="00083F2A" w:rsidP="00083F2A">
      <w:pPr>
        <w:pStyle w:val="enumlev1"/>
        <w:rPr>
          <w:spacing w:val="-4"/>
          <w:rtl/>
        </w:rPr>
      </w:pPr>
      <w:r w:rsidRPr="00C62615">
        <w:rPr>
          <w:spacing w:val="-4"/>
        </w:rPr>
        <w:t>16</w:t>
      </w:r>
      <w:r w:rsidRPr="00C62615">
        <w:rPr>
          <w:spacing w:val="-4"/>
          <w:rtl/>
        </w:rPr>
        <w:tab/>
        <w:t xml:space="preserve">في عام 2024، بلغت نفقات الاتحاد </w:t>
      </w:r>
      <w:r w:rsidRPr="00C62615">
        <w:rPr>
          <w:spacing w:val="-4"/>
        </w:rPr>
        <w:t>222,0</w:t>
      </w:r>
      <w:r w:rsidRPr="00C62615">
        <w:rPr>
          <w:spacing w:val="-4"/>
          <w:rtl/>
        </w:rPr>
        <w:t xml:space="preserve"> مليون فرنك سويسري (مقابل </w:t>
      </w:r>
      <w:r w:rsidRPr="00C62615">
        <w:rPr>
          <w:spacing w:val="-4"/>
        </w:rPr>
        <w:t>197,2</w:t>
      </w:r>
      <w:r w:rsidRPr="00C62615">
        <w:rPr>
          <w:spacing w:val="-4"/>
          <w:rtl/>
        </w:rPr>
        <w:t xml:space="preserve"> مليون فرنك سويسري في عام 2023)، وهو ما يمثل زيادة بنسبة </w:t>
      </w:r>
      <w:r w:rsidRPr="00C62615">
        <w:rPr>
          <w:spacing w:val="-4"/>
        </w:rPr>
        <w:t>12,6</w:t>
      </w:r>
      <w:r w:rsidRPr="00C62615">
        <w:rPr>
          <w:spacing w:val="-4"/>
          <w:rtl/>
        </w:rPr>
        <w:t>% مقارنة</w:t>
      </w:r>
      <w:r w:rsidR="00111A0D">
        <w:rPr>
          <w:rFonts w:hint="cs"/>
          <w:spacing w:val="-4"/>
          <w:rtl/>
        </w:rPr>
        <w:t>ً</w:t>
      </w:r>
      <w:r w:rsidRPr="00C62615">
        <w:rPr>
          <w:spacing w:val="-4"/>
          <w:rtl/>
        </w:rPr>
        <w:t xml:space="preserve"> بعام 2023. </w:t>
      </w:r>
      <w:r w:rsidRPr="00C62615">
        <w:rPr>
          <w:rFonts w:hint="cs"/>
          <w:spacing w:val="-4"/>
          <w:rtl/>
        </w:rPr>
        <w:t>و</w:t>
      </w:r>
      <w:r w:rsidRPr="00C62615">
        <w:rPr>
          <w:spacing w:val="-4"/>
          <w:rtl/>
        </w:rPr>
        <w:t>يوضح الجدول 2 مقارنة النفقات لعام 2024 مع عام 2023. وي</w:t>
      </w:r>
      <w:r w:rsidRPr="00C62615">
        <w:rPr>
          <w:rFonts w:hint="cs"/>
          <w:spacing w:val="-4"/>
          <w:rtl/>
        </w:rPr>
        <w:t>ُ</w:t>
      </w:r>
      <w:r w:rsidRPr="00C62615">
        <w:rPr>
          <w:spacing w:val="-4"/>
          <w:rtl/>
        </w:rPr>
        <w:t xml:space="preserve">لاحظ أن أكبر بند </w:t>
      </w:r>
      <w:r w:rsidRPr="00C62615">
        <w:rPr>
          <w:rFonts w:hint="cs"/>
          <w:spacing w:val="-4"/>
          <w:rtl/>
        </w:rPr>
        <w:t>من بنود ال</w:t>
      </w:r>
      <w:r w:rsidRPr="00C62615">
        <w:rPr>
          <w:spacing w:val="-4"/>
          <w:rtl/>
        </w:rPr>
        <w:t xml:space="preserve">نفقات هو نفقات الموظفين لعام 2024 (والتي تقل بمقدار </w:t>
      </w:r>
      <w:r w:rsidRPr="00C62615">
        <w:rPr>
          <w:spacing w:val="-4"/>
        </w:rPr>
        <w:t>8,2</w:t>
      </w:r>
      <w:r w:rsidRPr="00C62615">
        <w:rPr>
          <w:spacing w:val="-4"/>
          <w:rtl/>
        </w:rPr>
        <w:t xml:space="preserve"> مليون فرنك سويسري عن عام 2023). وترتبط الزيادة الرئيسية في عام 2024 بانخفاض قيمة المبنى الجديد بمبلغ 21 مليون فرنك سويسري نتيجة قرار المجلس المضي </w:t>
      </w:r>
      <w:r w:rsidRPr="00C62615">
        <w:rPr>
          <w:rFonts w:hint="cs"/>
          <w:spacing w:val="-4"/>
          <w:rtl/>
        </w:rPr>
        <w:t>قدماً</w:t>
      </w:r>
      <w:r w:rsidRPr="00C62615">
        <w:rPr>
          <w:spacing w:val="-4"/>
          <w:rtl/>
        </w:rPr>
        <w:t xml:space="preserve"> في تنفيذ مشروع المبنى المُعاد تقييمه. وعلاوة على ذلك، اضطر الاتحاد إلى زيادة مخصص</w:t>
      </w:r>
      <w:r w:rsidRPr="00C62615">
        <w:rPr>
          <w:rFonts w:hint="cs"/>
          <w:spacing w:val="-4"/>
          <w:rtl/>
        </w:rPr>
        <w:t>ات</w:t>
      </w:r>
      <w:r w:rsidRPr="00C62615">
        <w:rPr>
          <w:spacing w:val="-4"/>
          <w:rtl/>
        </w:rPr>
        <w:t xml:space="preserve"> </w:t>
      </w:r>
      <w:r w:rsidRPr="00C62615">
        <w:rPr>
          <w:rFonts w:hint="cs"/>
          <w:spacing w:val="-4"/>
          <w:rtl/>
        </w:rPr>
        <w:t>المساهمات</w:t>
      </w:r>
      <w:r w:rsidRPr="00C62615">
        <w:rPr>
          <w:spacing w:val="-4"/>
          <w:rtl/>
        </w:rPr>
        <w:t xml:space="preserve"> المقررة في عام 2024 إلى </w:t>
      </w:r>
      <w:r w:rsidRPr="00C62615">
        <w:rPr>
          <w:spacing w:val="-4"/>
        </w:rPr>
        <w:t>6,4</w:t>
      </w:r>
      <w:r w:rsidRPr="00C62615">
        <w:rPr>
          <w:spacing w:val="-4"/>
          <w:rtl/>
        </w:rPr>
        <w:t xml:space="preserve"> مليون فرنك سويسري </w:t>
      </w:r>
      <w:r w:rsidRPr="00C62615">
        <w:rPr>
          <w:rFonts w:hint="cs"/>
          <w:spacing w:val="-4"/>
          <w:rtl/>
        </w:rPr>
        <w:t>بسبب</w:t>
      </w:r>
      <w:r w:rsidRPr="00C62615">
        <w:rPr>
          <w:spacing w:val="-4"/>
          <w:rtl/>
        </w:rPr>
        <w:t xml:space="preserve"> عدم سداد الدول الأعضاء</w:t>
      </w:r>
      <w:r w:rsidRPr="00C62615">
        <w:rPr>
          <w:rFonts w:hint="cs"/>
          <w:spacing w:val="-4"/>
          <w:rtl/>
        </w:rPr>
        <w:t xml:space="preserve"> لمساهماتها</w:t>
      </w:r>
      <w:r w:rsidRPr="00C62615">
        <w:rPr>
          <w:spacing w:val="-4"/>
          <w:rtl/>
        </w:rPr>
        <w:t xml:space="preserve">، وإلى رصد مخصص بقيمة </w:t>
      </w:r>
      <w:r w:rsidRPr="00C62615">
        <w:rPr>
          <w:spacing w:val="-4"/>
        </w:rPr>
        <w:t>5,0</w:t>
      </w:r>
      <w:r w:rsidRPr="00C62615">
        <w:rPr>
          <w:spacing w:val="-4"/>
          <w:rtl/>
        </w:rPr>
        <w:t xml:space="preserve"> ملايين فرنك سويسري عند إنهاء اتفاقية الرعاية </w:t>
      </w:r>
      <w:r w:rsidRPr="00C62615">
        <w:rPr>
          <w:rFonts w:hint="cs"/>
          <w:spacing w:val="-4"/>
          <w:rtl/>
        </w:rPr>
        <w:t>نتيجة</w:t>
      </w:r>
      <w:r w:rsidRPr="00C62615">
        <w:rPr>
          <w:spacing w:val="-4"/>
          <w:rtl/>
        </w:rPr>
        <w:t xml:space="preserve"> مراجعة مشروع المبنى الجديد.</w:t>
      </w:r>
    </w:p>
    <w:p w14:paraId="31CCD13C" w14:textId="77777777" w:rsidR="00083F2A" w:rsidRPr="005269E6" w:rsidRDefault="00083F2A" w:rsidP="00083F2A">
      <w:pPr>
        <w:pStyle w:val="Tabletitle"/>
        <w:rPr>
          <w:rtl/>
          <w:lang w:bidi="ar-EG"/>
        </w:rPr>
      </w:pPr>
      <w:r w:rsidRPr="005269E6">
        <w:rPr>
          <w:rtl/>
        </w:rPr>
        <w:t xml:space="preserve">الجدول </w:t>
      </w:r>
      <w:r>
        <w:t>2</w:t>
      </w:r>
      <w:r w:rsidRPr="005269E6">
        <w:rPr>
          <w:rtl/>
        </w:rPr>
        <w:t xml:space="preserve"> - مقارنة نفقات عام</w:t>
      </w:r>
      <w:r w:rsidRPr="005269E6">
        <w:rPr>
          <w:rFonts w:hint="cs"/>
          <w:rtl/>
        </w:rPr>
        <w:t>َ</w:t>
      </w:r>
      <w:r w:rsidRPr="005269E6">
        <w:rPr>
          <w:rtl/>
        </w:rPr>
        <w:t xml:space="preserve">ي </w:t>
      </w:r>
      <w:r>
        <w:t>2024</w:t>
      </w:r>
      <w:r w:rsidRPr="005269E6">
        <w:rPr>
          <w:rtl/>
        </w:rPr>
        <w:t xml:space="preserve"> و</w:t>
      </w:r>
      <w:r>
        <w:t>2023</w:t>
      </w:r>
    </w:p>
    <w:p w14:paraId="1983C04B" w14:textId="77777777" w:rsidR="00083F2A" w:rsidRDefault="00083F2A" w:rsidP="00083F2A">
      <w:pPr>
        <w:pStyle w:val="Figure"/>
        <w:rPr>
          <w:rtl/>
          <w:lang w:bidi="ar-EG"/>
        </w:rPr>
      </w:pPr>
      <w:r>
        <w:rPr>
          <w:lang w:bidi="ar-EG"/>
        </w:rPr>
        <w:drawing>
          <wp:inline distT="0" distB="0" distL="0" distR="0" wp14:anchorId="31A39A48" wp14:editId="7F66C328">
            <wp:extent cx="4846881" cy="2466536"/>
            <wp:effectExtent l="0" t="0" r="0" b="0"/>
            <wp:docPr id="1044614901" name="Picture 12" descr="A blue and black rectangular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14901" name="Picture 12" descr="A blue and black rectangular fram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9318" cy="2472865"/>
                    </a:xfrm>
                    <a:prstGeom prst="rect">
                      <a:avLst/>
                    </a:prstGeom>
                    <a:noFill/>
                  </pic:spPr>
                </pic:pic>
              </a:graphicData>
            </a:graphic>
          </wp:inline>
        </w:drawing>
      </w:r>
    </w:p>
    <w:p w14:paraId="6E74BA63" w14:textId="4D660A7C" w:rsidR="00083F2A" w:rsidRDefault="00083F2A" w:rsidP="00083F2A">
      <w:pPr>
        <w:pStyle w:val="enumlev1"/>
        <w:rPr>
          <w:rtl/>
          <w:lang w:bidi="ar-SA"/>
        </w:rPr>
      </w:pPr>
      <w:r>
        <w:t>17</w:t>
      </w:r>
      <w:r w:rsidRPr="005269E6">
        <w:rPr>
          <w:rtl/>
        </w:rPr>
        <w:tab/>
      </w:r>
      <w:r w:rsidRPr="00DE11D9">
        <w:rPr>
          <w:rtl/>
        </w:rPr>
        <w:t xml:space="preserve">يوضح الشكل 3، مقارنة النفقات في عام 2024، توزيع النفقات حسب طبيعتها، مما يسلط الضوء على ارتفاع مستوى تكاليف الموظفين في الاتحاد، والتي تمثل </w:t>
      </w:r>
      <w:r>
        <w:t>64,2</w:t>
      </w:r>
      <w:r w:rsidRPr="00DE11D9">
        <w:rPr>
          <w:rtl/>
        </w:rPr>
        <w:t>% من إجمالي التكاليف</w:t>
      </w:r>
      <w:r>
        <w:rPr>
          <w:rFonts w:hint="cs"/>
          <w:rtl/>
        </w:rPr>
        <w:t>. و</w:t>
      </w:r>
      <w:r w:rsidRPr="00D26003">
        <w:rPr>
          <w:rtl/>
          <w:lang w:bidi="ar-SA"/>
        </w:rPr>
        <w:t xml:space="preserve">مع ذلك، انخفض هذا المبلغ بنسبة 6% مقارنة بعام 2023 نتيجة انخفاض صافي رسوم خدمة التزامات التأمين الصحي بعد انتهاء </w:t>
      </w:r>
      <w:r>
        <w:rPr>
          <w:rFonts w:hint="cs"/>
          <w:rtl/>
          <w:lang w:bidi="ar-SA"/>
        </w:rPr>
        <w:t xml:space="preserve">مدة </w:t>
      </w:r>
      <w:r w:rsidRPr="00D26003">
        <w:rPr>
          <w:rtl/>
          <w:lang w:bidi="ar-SA"/>
        </w:rPr>
        <w:t>الخدمة (</w:t>
      </w:r>
      <w:r w:rsidRPr="00D26003">
        <w:rPr>
          <w:lang w:bidi="ar-SA"/>
        </w:rPr>
        <w:t>ASHI</w:t>
      </w:r>
      <w:r w:rsidRPr="00D26003">
        <w:rPr>
          <w:rtl/>
          <w:lang w:bidi="ar-SA"/>
        </w:rPr>
        <w:t xml:space="preserve">) بمقدار </w:t>
      </w:r>
      <w:r>
        <w:rPr>
          <w:lang w:bidi="ar-SA"/>
        </w:rPr>
        <w:t>3,8</w:t>
      </w:r>
      <w:r w:rsidRPr="00D26003">
        <w:rPr>
          <w:rtl/>
          <w:lang w:bidi="ar-SA"/>
        </w:rPr>
        <w:t xml:space="preserve"> مليون فرنك سويسري، وتأثير برنامج </w:t>
      </w:r>
      <w:r>
        <w:rPr>
          <w:rFonts w:hint="cs"/>
          <w:rtl/>
          <w:lang w:bidi="ar-SA"/>
        </w:rPr>
        <w:t>إنهاء الخدمة</w:t>
      </w:r>
      <w:r w:rsidRPr="00D26003">
        <w:rPr>
          <w:rtl/>
          <w:lang w:bidi="ar-SA"/>
        </w:rPr>
        <w:t xml:space="preserve"> الطوعي (3 ملايين فرنك سويسري في عام 2023) الذي أدى إلى </w:t>
      </w:r>
      <w:r>
        <w:rPr>
          <w:rFonts w:hint="cs"/>
          <w:rtl/>
          <w:lang w:bidi="ar-SA"/>
        </w:rPr>
        <w:t>انخفاض</w:t>
      </w:r>
      <w:r w:rsidRPr="00D26003">
        <w:rPr>
          <w:rtl/>
          <w:lang w:bidi="ar-SA"/>
        </w:rPr>
        <w:t xml:space="preserve"> عدد الموظفين بدوام كامل في عام 2024 مقارنة</w:t>
      </w:r>
      <w:r w:rsidR="00111A0D">
        <w:rPr>
          <w:rFonts w:hint="cs"/>
          <w:rtl/>
          <w:lang w:bidi="ar-SA"/>
        </w:rPr>
        <w:t>ً</w:t>
      </w:r>
      <w:r w:rsidRPr="00D26003">
        <w:rPr>
          <w:rtl/>
          <w:lang w:bidi="ar-SA"/>
        </w:rPr>
        <w:t xml:space="preserve"> بعام 2023. وتأتي الخدمات التعاقدية كثاني أكبر فئة من النفقات بنسبة </w:t>
      </w:r>
      <w:r>
        <w:rPr>
          <w:lang w:bidi="ar-SA"/>
        </w:rPr>
        <w:t>9,3</w:t>
      </w:r>
      <w:r w:rsidRPr="00D26003">
        <w:rPr>
          <w:rtl/>
          <w:lang w:bidi="ar-SA"/>
        </w:rPr>
        <w:t>%، وهي نسبة مماثلة لعام 2023. وارتفعت النفقات الأخرى في عام 2024 نتيجة زيادة مخصص الديون المشكوك في تحصيلها وإنهاء اتفاقية رعاية مرتبطة بالمبنى الجديد.</w:t>
      </w:r>
    </w:p>
    <w:p w14:paraId="0F1F4A33" w14:textId="77777777" w:rsidR="00083F2A" w:rsidRPr="005269E6" w:rsidRDefault="00083F2A" w:rsidP="00083F2A">
      <w:pPr>
        <w:pStyle w:val="Figuretitle"/>
        <w:rPr>
          <w:lang w:bidi="ar-SY"/>
        </w:rPr>
      </w:pPr>
      <w:r w:rsidRPr="005269E6">
        <w:rPr>
          <w:rtl/>
          <w:lang w:bidi="ar-SY"/>
        </w:rPr>
        <w:lastRenderedPageBreak/>
        <w:t xml:space="preserve">الشكل </w:t>
      </w:r>
      <w:r>
        <w:rPr>
          <w:lang w:bidi="ar-SY"/>
        </w:rPr>
        <w:t>3</w:t>
      </w:r>
      <w:r w:rsidRPr="005269E6">
        <w:rPr>
          <w:rtl/>
          <w:lang w:bidi="ar-SY"/>
        </w:rPr>
        <w:t xml:space="preserve"> - تكوين النفقات </w:t>
      </w:r>
      <w:r>
        <w:rPr>
          <w:rFonts w:hint="cs"/>
          <w:rtl/>
          <w:lang w:bidi="ar-SY"/>
        </w:rPr>
        <w:t xml:space="preserve">في </w:t>
      </w:r>
      <w:r w:rsidRPr="005269E6">
        <w:rPr>
          <w:rtl/>
          <w:lang w:bidi="ar-SY"/>
        </w:rPr>
        <w:t xml:space="preserve">عام </w:t>
      </w:r>
      <w:r>
        <w:rPr>
          <w:lang w:bidi="ar-SY"/>
        </w:rPr>
        <w:t>2024</w:t>
      </w:r>
      <w:r w:rsidRPr="005269E6">
        <w:rPr>
          <w:rtl/>
          <w:lang w:bidi="ar-SY"/>
        </w:rPr>
        <w:t xml:space="preserve"> (</w:t>
      </w:r>
      <w:r>
        <w:rPr>
          <w:lang w:bidi="ar-SY"/>
        </w:rPr>
        <w:t>222,0</w:t>
      </w:r>
      <w:r w:rsidRPr="005269E6">
        <w:rPr>
          <w:rtl/>
          <w:lang w:bidi="ar-SY"/>
        </w:rPr>
        <w:t xml:space="preserve"> مليون فرنك سويسري)</w:t>
      </w:r>
    </w:p>
    <w:p w14:paraId="3E6E3F19" w14:textId="62D18B89" w:rsidR="00083F2A" w:rsidRDefault="00750A34" w:rsidP="00083F2A">
      <w:pPr>
        <w:pStyle w:val="Figure"/>
        <w:rPr>
          <w:rtl/>
          <w:lang w:bidi="ar-EG"/>
        </w:rPr>
      </w:pPr>
      <w:r>
        <w:rPr>
          <w:lang w:bidi="ar-EG"/>
        </w:rPr>
        <w:drawing>
          <wp:inline distT="0" distB="0" distL="0" distR="0" wp14:anchorId="73F955EE" wp14:editId="20422EE9">
            <wp:extent cx="5760000" cy="3355200"/>
            <wp:effectExtent l="0" t="0" r="0" b="0"/>
            <wp:docPr id="1009623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3355200"/>
                    </a:xfrm>
                    <a:prstGeom prst="rect">
                      <a:avLst/>
                    </a:prstGeom>
                    <a:noFill/>
                  </pic:spPr>
                </pic:pic>
              </a:graphicData>
            </a:graphic>
          </wp:inline>
        </w:drawing>
      </w:r>
    </w:p>
    <w:p w14:paraId="0D01459C" w14:textId="77777777" w:rsidR="00083F2A" w:rsidRPr="005269E6" w:rsidRDefault="00083F2A" w:rsidP="00083F2A">
      <w:pPr>
        <w:pStyle w:val="Headingb0"/>
        <w:rPr>
          <w:lang w:bidi="ar-SY"/>
        </w:rPr>
      </w:pPr>
      <w:r w:rsidRPr="005269E6">
        <w:rPr>
          <w:rtl/>
          <w:lang w:bidi="ar-SY"/>
        </w:rPr>
        <w:t>الوضع المالي</w:t>
      </w:r>
    </w:p>
    <w:p w14:paraId="04D82993" w14:textId="03AC19FF" w:rsidR="00083F2A" w:rsidRDefault="00083F2A" w:rsidP="00083F2A">
      <w:pPr>
        <w:pStyle w:val="enumlev1"/>
        <w:rPr>
          <w:rtl/>
        </w:rPr>
      </w:pPr>
      <w:r w:rsidRPr="004D3962">
        <w:t>18</w:t>
      </w:r>
      <w:r w:rsidRPr="004D3962">
        <w:tab/>
      </w:r>
      <w:r w:rsidRPr="004D3962">
        <w:rPr>
          <w:rtl/>
        </w:rPr>
        <w:t xml:space="preserve">في 31 ديسمبر </w:t>
      </w:r>
      <w:r w:rsidRPr="004D3962">
        <w:t>2024</w:t>
      </w:r>
      <w:r w:rsidRPr="004D3962">
        <w:rPr>
          <w:rtl/>
        </w:rPr>
        <w:t xml:space="preserve">، بلغ صافي </w:t>
      </w:r>
      <w:r>
        <w:rPr>
          <w:rFonts w:hint="cs"/>
          <w:rtl/>
        </w:rPr>
        <w:t>الأصول السلبية</w:t>
      </w:r>
      <w:r w:rsidRPr="004D3962">
        <w:rPr>
          <w:rtl/>
        </w:rPr>
        <w:t xml:space="preserve"> </w:t>
      </w:r>
      <w:r>
        <w:rPr>
          <w:rFonts w:hint="cs"/>
          <w:rtl/>
        </w:rPr>
        <w:t>ل</w:t>
      </w:r>
      <w:r w:rsidRPr="004D3962">
        <w:rPr>
          <w:rtl/>
        </w:rPr>
        <w:t xml:space="preserve">لمنظمة </w:t>
      </w:r>
      <w:r w:rsidRPr="004D3962">
        <w:t>318,0</w:t>
      </w:r>
      <w:r w:rsidRPr="004D3962">
        <w:rPr>
          <w:rtl/>
        </w:rPr>
        <w:t xml:space="preserve"> مليون فرنك سويسري، وبلغ مجموع الأصول </w:t>
      </w:r>
      <w:r w:rsidRPr="004D3962">
        <w:t>322,7</w:t>
      </w:r>
      <w:r w:rsidRPr="004D3962">
        <w:rPr>
          <w:rtl/>
        </w:rPr>
        <w:t xml:space="preserve"> مليون فرنك سويسري وبلغ مجموع الخصوم </w:t>
      </w:r>
      <w:r w:rsidRPr="004D3962">
        <w:t>640,7</w:t>
      </w:r>
      <w:r w:rsidRPr="004D3962">
        <w:rPr>
          <w:rtl/>
        </w:rPr>
        <w:t xml:space="preserve"> مليون فرنك سويسري على النحو المبين في الجدول </w:t>
      </w:r>
      <w:r w:rsidRPr="004D3962">
        <w:t>3</w:t>
      </w:r>
      <w:r w:rsidRPr="004D3962">
        <w:rPr>
          <w:rtl/>
        </w:rPr>
        <w:t xml:space="preserve"> أدناه</w:t>
      </w:r>
      <w:r w:rsidRPr="005D26DD">
        <w:rPr>
          <w:rtl/>
        </w:rPr>
        <w:t>. وقد زاد صافي الأصول السلبي</w:t>
      </w:r>
      <w:r>
        <w:rPr>
          <w:rFonts w:hint="cs"/>
          <w:rtl/>
        </w:rPr>
        <w:t>ة</w:t>
      </w:r>
      <w:r w:rsidRPr="005D26DD">
        <w:rPr>
          <w:rtl/>
        </w:rPr>
        <w:t xml:space="preserve"> بمقدار </w:t>
      </w:r>
      <w:r w:rsidRPr="004D3962">
        <w:t>60,6</w:t>
      </w:r>
      <w:r w:rsidRPr="004D3962">
        <w:rPr>
          <w:rtl/>
        </w:rPr>
        <w:t xml:space="preserve"> </w:t>
      </w:r>
      <w:r w:rsidRPr="005D26DD">
        <w:rPr>
          <w:rtl/>
        </w:rPr>
        <w:t xml:space="preserve">مليون فرنك سويسري مقارنة بعام 2023. ويرجع هذا التغير السلبي بشكل كبير إلى </w:t>
      </w:r>
      <w:r>
        <w:rPr>
          <w:rFonts w:hint="cs"/>
          <w:rtl/>
        </w:rPr>
        <w:t>التغييرا</w:t>
      </w:r>
      <w:r>
        <w:rPr>
          <w:rtl/>
        </w:rPr>
        <w:t>ت</w:t>
      </w:r>
      <w:r w:rsidRPr="005D26DD">
        <w:rPr>
          <w:rtl/>
        </w:rPr>
        <w:t xml:space="preserve"> في معدلات الخصم والافتراضات المستخدمة في تقييم التأمين الصحي بعد انتهاء </w:t>
      </w:r>
      <w:r>
        <w:rPr>
          <w:rFonts w:hint="cs"/>
          <w:rtl/>
        </w:rPr>
        <w:t xml:space="preserve">مدة </w:t>
      </w:r>
      <w:r w:rsidRPr="005D26DD">
        <w:rPr>
          <w:rtl/>
        </w:rPr>
        <w:t>الخدمة (</w:t>
      </w:r>
      <w:r w:rsidRPr="005D26DD">
        <w:t>ASHI</w:t>
      </w:r>
      <w:r w:rsidRPr="005D26DD">
        <w:rPr>
          <w:rtl/>
        </w:rPr>
        <w:t xml:space="preserve">) في عام 2024، حيث بلغ معدل الخصم </w:t>
      </w:r>
      <w:r>
        <w:t>1,40</w:t>
      </w:r>
      <w:r w:rsidRPr="005D26DD">
        <w:rPr>
          <w:rtl/>
        </w:rPr>
        <w:t>% مقارنة</w:t>
      </w:r>
      <w:r w:rsidR="00FB388D">
        <w:rPr>
          <w:rFonts w:hint="cs"/>
          <w:rtl/>
        </w:rPr>
        <w:t>ً</w:t>
      </w:r>
      <w:r w:rsidRPr="005D26DD">
        <w:rPr>
          <w:rtl/>
        </w:rPr>
        <w:t xml:space="preserve"> </w:t>
      </w:r>
      <w:r>
        <w:rPr>
          <w:rFonts w:hint="cs"/>
          <w:rtl/>
        </w:rPr>
        <w:t>بنسبة</w:t>
      </w:r>
      <w:r w:rsidRPr="005D26DD">
        <w:rPr>
          <w:rtl/>
        </w:rPr>
        <w:t xml:space="preserve"> </w:t>
      </w:r>
      <w:r>
        <w:t>1,90</w:t>
      </w:r>
      <w:r w:rsidRPr="005D26DD">
        <w:rPr>
          <w:rtl/>
        </w:rPr>
        <w:t>% في عام 2023، بالإضافة إلى</w:t>
      </w:r>
      <w:r w:rsidR="00FB388D">
        <w:rPr>
          <w:rFonts w:hint="cs"/>
          <w:rtl/>
        </w:rPr>
        <w:t> </w:t>
      </w:r>
      <w:r w:rsidRPr="005D26DD">
        <w:rPr>
          <w:rtl/>
        </w:rPr>
        <w:t>الدراسات الديمغرافية. وقد أدت هذه التغييرات إلى زيادة التزامات التأمين الصحي بعد انتهاء</w:t>
      </w:r>
      <w:r>
        <w:rPr>
          <w:rFonts w:hint="cs"/>
          <w:rtl/>
        </w:rPr>
        <w:t xml:space="preserve"> مدة</w:t>
      </w:r>
      <w:r w:rsidRPr="005D26DD">
        <w:rPr>
          <w:rtl/>
        </w:rPr>
        <w:t xml:space="preserve"> الخدمة بمقدار</w:t>
      </w:r>
      <w:r w:rsidR="00FB388D">
        <w:rPr>
          <w:rFonts w:hint="cs"/>
          <w:rtl/>
        </w:rPr>
        <w:t> </w:t>
      </w:r>
      <w:r>
        <w:t>40,5</w:t>
      </w:r>
      <w:r w:rsidRPr="005D26DD">
        <w:rPr>
          <w:rtl/>
        </w:rPr>
        <w:t xml:space="preserve"> مليون فرنك سويسري، من </w:t>
      </w:r>
      <w:r>
        <w:t>375,3</w:t>
      </w:r>
      <w:r w:rsidRPr="005D26DD">
        <w:rPr>
          <w:rtl/>
        </w:rPr>
        <w:t xml:space="preserve"> مليون فرنك سويسري إلى </w:t>
      </w:r>
      <w:r>
        <w:t>415,8</w:t>
      </w:r>
      <w:r w:rsidRPr="005D26DD">
        <w:rPr>
          <w:rtl/>
        </w:rPr>
        <w:t xml:space="preserve"> مليون فرنك سويسري.</w:t>
      </w:r>
    </w:p>
    <w:p w14:paraId="73BF8CD8" w14:textId="77777777" w:rsidR="00083F2A" w:rsidRPr="005269E6" w:rsidRDefault="00083F2A" w:rsidP="00083F2A">
      <w:pPr>
        <w:pStyle w:val="Tabletitle"/>
        <w:rPr>
          <w:lang w:val="en"/>
        </w:rPr>
      </w:pPr>
      <w:r w:rsidRPr="005269E6">
        <w:rPr>
          <w:rtl/>
        </w:rPr>
        <w:t>الجدول</w:t>
      </w:r>
      <w:r>
        <w:rPr>
          <w:rFonts w:hint="cs"/>
          <w:rtl/>
          <w:lang w:val="en"/>
        </w:rPr>
        <w:t xml:space="preserve"> </w:t>
      </w:r>
      <w:r>
        <w:rPr>
          <w:lang w:val="en"/>
        </w:rPr>
        <w:t>3</w:t>
      </w:r>
      <w:r>
        <w:rPr>
          <w:rFonts w:hint="cs"/>
          <w:rtl/>
          <w:lang w:val="en"/>
        </w:rPr>
        <w:t xml:space="preserve"> - </w:t>
      </w:r>
      <w:r w:rsidRPr="005269E6">
        <w:rPr>
          <w:rtl/>
        </w:rPr>
        <w:t>ملخص</w:t>
      </w:r>
      <w:r w:rsidRPr="005269E6">
        <w:rPr>
          <w:lang w:val="en"/>
        </w:rPr>
        <w:t xml:space="preserve"> </w:t>
      </w:r>
      <w:r w:rsidRPr="005269E6">
        <w:rPr>
          <w:rtl/>
        </w:rPr>
        <w:t>الأصول</w:t>
      </w:r>
      <w:r w:rsidRPr="005269E6">
        <w:rPr>
          <w:lang w:val="en"/>
        </w:rPr>
        <w:t xml:space="preserve"> </w:t>
      </w:r>
      <w:r w:rsidRPr="005269E6">
        <w:rPr>
          <w:rtl/>
        </w:rPr>
        <w:t>والخصوم</w:t>
      </w:r>
      <w:r w:rsidRPr="005269E6">
        <w:rPr>
          <w:lang w:val="en"/>
        </w:rPr>
        <w:t xml:space="preserve"> </w:t>
      </w:r>
      <w:r w:rsidRPr="005269E6">
        <w:rPr>
          <w:rtl/>
        </w:rPr>
        <w:t>وصافي</w:t>
      </w:r>
      <w:r w:rsidRPr="005269E6">
        <w:rPr>
          <w:lang w:val="en"/>
        </w:rPr>
        <w:t xml:space="preserve"> </w:t>
      </w:r>
      <w:r w:rsidRPr="005269E6">
        <w:rPr>
          <w:rtl/>
        </w:rPr>
        <w:t>الأصول</w:t>
      </w:r>
    </w:p>
    <w:p w14:paraId="168B2D43" w14:textId="77777777" w:rsidR="00083F2A" w:rsidRPr="00637FB7" w:rsidRDefault="00083F2A" w:rsidP="00083F2A">
      <w:pPr>
        <w:pStyle w:val="Figure"/>
        <w:rPr>
          <w:lang w:val="en" w:bidi="ar-EG"/>
        </w:rPr>
      </w:pPr>
      <w:r>
        <w:rPr>
          <w:lang w:val="en" w:bidi="ar-EG"/>
        </w:rPr>
        <w:drawing>
          <wp:inline distT="0" distB="0" distL="0" distR="0" wp14:anchorId="5AAAE771" wp14:editId="27942603">
            <wp:extent cx="5304155" cy="1627505"/>
            <wp:effectExtent l="0" t="0" r="0" b="0"/>
            <wp:docPr id="63525559" name="Picture 19" descr="A blue rectangle with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5559" name="Picture 19" descr="A blue rectangle with black rectang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4155" cy="1627505"/>
                    </a:xfrm>
                    <a:prstGeom prst="rect">
                      <a:avLst/>
                    </a:prstGeom>
                    <a:noFill/>
                  </pic:spPr>
                </pic:pic>
              </a:graphicData>
            </a:graphic>
          </wp:inline>
        </w:drawing>
      </w:r>
    </w:p>
    <w:p w14:paraId="7454214D" w14:textId="77777777" w:rsidR="00083F2A" w:rsidRPr="00EB44C4" w:rsidRDefault="00083F2A" w:rsidP="00083F2A">
      <w:pPr>
        <w:pStyle w:val="Headingb0"/>
      </w:pPr>
      <w:r w:rsidRPr="00EB44C4">
        <w:rPr>
          <w:rtl/>
        </w:rPr>
        <w:t>الأصول</w:t>
      </w:r>
    </w:p>
    <w:p w14:paraId="5A8E8F7E" w14:textId="77777777" w:rsidR="00083F2A" w:rsidRDefault="00083F2A" w:rsidP="00083F2A">
      <w:pPr>
        <w:pStyle w:val="enumlev1"/>
        <w:rPr>
          <w:rtl/>
          <w:lang w:bidi="ar-SA"/>
        </w:rPr>
      </w:pPr>
      <w:r w:rsidRPr="004D3962">
        <w:t>19</w:t>
      </w:r>
      <w:r w:rsidRPr="004D3962">
        <w:tab/>
      </w:r>
      <w:r w:rsidRPr="007133CF">
        <w:rPr>
          <w:rtl/>
          <w:lang w:bidi="ar-SA"/>
        </w:rPr>
        <w:t xml:space="preserve">تتجاوز الأصول الجارية </w:t>
      </w:r>
      <w:r>
        <w:rPr>
          <w:rFonts w:hint="cs"/>
          <w:rtl/>
          <w:lang w:bidi="ar-SA"/>
        </w:rPr>
        <w:t>الخصوم</w:t>
      </w:r>
      <w:r w:rsidRPr="007133CF">
        <w:rPr>
          <w:rtl/>
          <w:lang w:bidi="ar-SA"/>
        </w:rPr>
        <w:t xml:space="preserve"> الجارية بمبلغ </w:t>
      </w:r>
      <w:r w:rsidRPr="004D3962">
        <w:t>130,3</w:t>
      </w:r>
      <w:r w:rsidRPr="004D3962">
        <w:rPr>
          <w:rtl/>
        </w:rPr>
        <w:t xml:space="preserve"> مليون فرنك سويسري</w:t>
      </w:r>
      <w:r w:rsidRPr="007133CF">
        <w:rPr>
          <w:rtl/>
          <w:lang w:bidi="ar-SA"/>
        </w:rPr>
        <w:t xml:space="preserve"> (مقارنةً </w:t>
      </w:r>
      <w:r>
        <w:rPr>
          <w:rFonts w:hint="cs"/>
          <w:rtl/>
          <w:lang w:bidi="ar-SA"/>
        </w:rPr>
        <w:t xml:space="preserve">بمبلغ </w:t>
      </w:r>
      <w:r>
        <w:rPr>
          <w:lang w:val="en-GB" w:bidi="ar-SA"/>
        </w:rPr>
        <w:t>118,5</w:t>
      </w:r>
      <w:r w:rsidRPr="007133CF">
        <w:rPr>
          <w:rtl/>
          <w:lang w:bidi="ar-SA"/>
        </w:rPr>
        <w:t xml:space="preserve"> مليون فرنك سويسري في عام 2023)، ويرجع ذلك أساساً إلى المساهمات الخارجة عن الميزانية </w:t>
      </w:r>
      <w:r>
        <w:rPr>
          <w:rFonts w:hint="cs"/>
          <w:rtl/>
          <w:lang w:bidi="ar-SA"/>
        </w:rPr>
        <w:t>الواردة</w:t>
      </w:r>
      <w:r w:rsidRPr="007133CF">
        <w:rPr>
          <w:rtl/>
          <w:lang w:bidi="ar-SA"/>
        </w:rPr>
        <w:t xml:space="preserve"> في عام 2024 </w:t>
      </w:r>
      <w:r>
        <w:rPr>
          <w:rFonts w:hint="cs"/>
          <w:rtl/>
          <w:lang w:bidi="ar-SA"/>
        </w:rPr>
        <w:t>بمبلغ</w:t>
      </w:r>
      <w:r w:rsidRPr="007133CF">
        <w:rPr>
          <w:rtl/>
          <w:lang w:bidi="ar-SA"/>
        </w:rPr>
        <w:t xml:space="preserve"> 33 مليون فرنك سويسري (مقارنةً </w:t>
      </w:r>
      <w:r>
        <w:rPr>
          <w:rFonts w:hint="cs"/>
          <w:rtl/>
          <w:lang w:bidi="ar-SA"/>
        </w:rPr>
        <w:t xml:space="preserve">بمبلغ </w:t>
      </w:r>
      <w:r w:rsidRPr="007133CF">
        <w:rPr>
          <w:rtl/>
          <w:lang w:bidi="ar-SA"/>
        </w:rPr>
        <w:t>25 مليون فرنك سويسري في عام 2023).</w:t>
      </w:r>
    </w:p>
    <w:p w14:paraId="2A23ACD1" w14:textId="77777777" w:rsidR="00083F2A" w:rsidRPr="00EB44C4" w:rsidRDefault="00083F2A" w:rsidP="00083F2A">
      <w:pPr>
        <w:pStyle w:val="Headingb0"/>
        <w:rPr>
          <w:lang w:bidi="ar-EG"/>
        </w:rPr>
      </w:pPr>
      <w:r w:rsidRPr="00EB44C4">
        <w:rPr>
          <w:rtl/>
          <w:lang w:bidi="ar-SY"/>
        </w:rPr>
        <w:lastRenderedPageBreak/>
        <w:t>المساهمات</w:t>
      </w:r>
      <w:r w:rsidRPr="00EB44C4">
        <w:rPr>
          <w:rtl/>
        </w:rPr>
        <w:t xml:space="preserve"> </w:t>
      </w:r>
      <w:r w:rsidRPr="00EB44C4">
        <w:rPr>
          <w:rtl/>
          <w:lang w:bidi="ar-SY"/>
        </w:rPr>
        <w:t>المقررة - المبالغ المستحَقة القبض</w:t>
      </w:r>
    </w:p>
    <w:p w14:paraId="35A991D0" w14:textId="34634CC5" w:rsidR="00083F2A" w:rsidRPr="00EB44C4" w:rsidRDefault="00083F2A" w:rsidP="00083F2A">
      <w:pPr>
        <w:pStyle w:val="enumlev1"/>
        <w:rPr>
          <w:lang w:bidi="ar-EG"/>
        </w:rPr>
      </w:pPr>
      <w:r>
        <w:t>20</w:t>
      </w:r>
      <w:r w:rsidRPr="00EB44C4">
        <w:rPr>
          <w:lang w:bidi="ar-EG"/>
        </w:rPr>
        <w:tab/>
      </w:r>
      <w:r w:rsidRPr="00EB44C4">
        <w:rPr>
          <w:rtl/>
        </w:rPr>
        <w:t>يؤثر تحصيل المساهمات المقررة تأثيراً مباشراً على حالة السيولة</w:t>
      </w:r>
      <w:r>
        <w:rPr>
          <w:rFonts w:hint="cs"/>
          <w:rtl/>
        </w:rPr>
        <w:t xml:space="preserve"> في الاتحاد</w:t>
      </w:r>
      <w:r w:rsidRPr="00EB44C4">
        <w:rPr>
          <w:rtl/>
        </w:rPr>
        <w:t xml:space="preserve">، ومن ثم فهو بالغ الأهمية للتنفيذ السلس للميزانية البرنامجية العادية المعتمَدة </w:t>
      </w:r>
      <w:r>
        <w:rPr>
          <w:rFonts w:hint="cs"/>
          <w:rtl/>
        </w:rPr>
        <w:t>في الاتحاد</w:t>
      </w:r>
      <w:r w:rsidRPr="00EB44C4">
        <w:rPr>
          <w:rtl/>
        </w:rPr>
        <w:t>.</w:t>
      </w:r>
      <w:r w:rsidRPr="00EB44C4">
        <w:rPr>
          <w:rtl/>
          <w:lang w:bidi="ar"/>
        </w:rPr>
        <w:t xml:space="preserve"> وفي</w:t>
      </w:r>
      <w:r w:rsidRPr="00EB44C4">
        <w:rPr>
          <w:lang w:val="en" w:bidi="ar-EG"/>
        </w:rPr>
        <w:t xml:space="preserve"> </w:t>
      </w:r>
      <w:r w:rsidRPr="00EB44C4">
        <w:rPr>
          <w:rtl/>
          <w:lang w:bidi="ar"/>
        </w:rPr>
        <w:t>حين</w:t>
      </w:r>
      <w:r w:rsidRPr="00EB44C4">
        <w:rPr>
          <w:lang w:val="en" w:bidi="ar-EG"/>
        </w:rPr>
        <w:t xml:space="preserve"> </w:t>
      </w:r>
      <w:r>
        <w:rPr>
          <w:rFonts w:hint="cs"/>
          <w:rtl/>
          <w:lang w:bidi="ar"/>
        </w:rPr>
        <w:t>وافق</w:t>
      </w:r>
      <w:r w:rsidRPr="00EB44C4">
        <w:rPr>
          <w:lang w:val="en" w:bidi="ar-EG"/>
        </w:rPr>
        <w:t xml:space="preserve"> </w:t>
      </w:r>
      <w:r w:rsidRPr="00EB44C4">
        <w:rPr>
          <w:rtl/>
          <w:lang w:bidi="ar"/>
        </w:rPr>
        <w:t>مؤتمر</w:t>
      </w:r>
      <w:r w:rsidRPr="00EB44C4">
        <w:rPr>
          <w:lang w:val="en" w:bidi="ar-EG"/>
        </w:rPr>
        <w:t xml:space="preserve"> </w:t>
      </w:r>
      <w:r w:rsidRPr="00EB44C4">
        <w:rPr>
          <w:rtl/>
          <w:lang w:bidi="ar"/>
        </w:rPr>
        <w:t>المندوبين</w:t>
      </w:r>
      <w:r w:rsidRPr="00EB44C4">
        <w:rPr>
          <w:lang w:val="en" w:bidi="ar-EG"/>
        </w:rPr>
        <w:t xml:space="preserve"> </w:t>
      </w:r>
      <w:r w:rsidRPr="00EB44C4">
        <w:rPr>
          <w:rtl/>
          <w:lang w:bidi="ar"/>
        </w:rPr>
        <w:t>المفوضين</w:t>
      </w:r>
      <w:r w:rsidRPr="00EB44C4">
        <w:rPr>
          <w:lang w:val="en" w:bidi="ar-EG"/>
        </w:rPr>
        <w:t xml:space="preserve"> </w:t>
      </w:r>
      <w:r w:rsidRPr="00EB44C4">
        <w:rPr>
          <w:rtl/>
          <w:lang w:bidi="ar"/>
        </w:rPr>
        <w:t>على</w:t>
      </w:r>
      <w:r w:rsidRPr="00EB44C4">
        <w:rPr>
          <w:lang w:val="en" w:bidi="ar-EG"/>
        </w:rPr>
        <w:t xml:space="preserve"> </w:t>
      </w:r>
      <w:r w:rsidRPr="00EB44C4">
        <w:rPr>
          <w:rtl/>
          <w:lang w:bidi="ar"/>
        </w:rPr>
        <w:t>تشغيل</w:t>
      </w:r>
      <w:r>
        <w:rPr>
          <w:lang w:bidi="ar"/>
        </w:rPr>
        <w:t xml:space="preserve"> </w:t>
      </w:r>
      <w:r w:rsidRPr="00EB44C4">
        <w:rPr>
          <w:rtl/>
          <w:lang w:bidi="ar"/>
        </w:rPr>
        <w:t>صندوق</w:t>
      </w:r>
      <w:r w:rsidRPr="00EB44C4">
        <w:rPr>
          <w:lang w:val="en" w:bidi="ar-EG"/>
        </w:rPr>
        <w:t xml:space="preserve"> </w:t>
      </w:r>
      <w:r w:rsidRPr="00EB44C4">
        <w:rPr>
          <w:rtl/>
          <w:lang w:bidi="ar"/>
        </w:rPr>
        <w:t>الاحتياطي</w:t>
      </w:r>
      <w:r w:rsidRPr="00EB44C4">
        <w:rPr>
          <w:lang w:val="en" w:bidi="ar-EG"/>
        </w:rPr>
        <w:t xml:space="preserve"> </w:t>
      </w:r>
      <w:r w:rsidRPr="00EB44C4">
        <w:rPr>
          <w:rtl/>
        </w:rPr>
        <w:t>ب</w:t>
      </w:r>
      <w:r w:rsidRPr="00EB44C4">
        <w:rPr>
          <w:rtl/>
          <w:lang w:bidi="ar"/>
        </w:rPr>
        <w:t>مستوى</w:t>
      </w:r>
      <w:r w:rsidRPr="00EB44C4">
        <w:rPr>
          <w:lang w:val="en" w:bidi="ar-EG"/>
        </w:rPr>
        <w:t xml:space="preserve"> </w:t>
      </w:r>
      <w:r w:rsidRPr="00EB44C4">
        <w:rPr>
          <w:rtl/>
          <w:lang w:bidi="ar"/>
        </w:rPr>
        <w:t>لا</w:t>
      </w:r>
      <w:r w:rsidRPr="00EB44C4">
        <w:rPr>
          <w:lang w:val="en" w:bidi="ar-EG"/>
        </w:rPr>
        <w:t xml:space="preserve"> </w:t>
      </w:r>
      <w:r w:rsidRPr="00EB44C4">
        <w:rPr>
          <w:rtl/>
          <w:lang w:bidi="ar"/>
        </w:rPr>
        <w:t>يقل</w:t>
      </w:r>
      <w:r w:rsidRPr="00EB44C4">
        <w:rPr>
          <w:lang w:val="en" w:bidi="ar-EG"/>
        </w:rPr>
        <w:t xml:space="preserve"> </w:t>
      </w:r>
      <w:r w:rsidRPr="00EB44C4">
        <w:rPr>
          <w:rtl/>
          <w:lang w:bidi="ar"/>
        </w:rPr>
        <w:t xml:space="preserve">عن </w:t>
      </w:r>
      <w:r w:rsidRPr="00EB44C4">
        <w:rPr>
          <w:lang w:val="en" w:bidi="ar-EG"/>
        </w:rPr>
        <w:t>6</w:t>
      </w:r>
      <w:r w:rsidRPr="00EB44C4">
        <w:rPr>
          <w:rtl/>
          <w:lang w:bidi="ar"/>
        </w:rPr>
        <w:t>% (</w:t>
      </w:r>
      <w:r w:rsidRPr="00EB44C4">
        <w:rPr>
          <w:rtl/>
        </w:rPr>
        <w:t xml:space="preserve">10 ملايين فرنك سويسري)، فإن ذلك لا يمثل سوى </w:t>
      </w:r>
      <w:r>
        <w:rPr>
          <w:rFonts w:hint="cs"/>
          <w:rtl/>
        </w:rPr>
        <w:t>ثلاثة</w:t>
      </w:r>
      <w:r w:rsidRPr="00EB44C4">
        <w:rPr>
          <w:rtl/>
        </w:rPr>
        <w:t xml:space="preserve"> أسابيع من النفقات</w:t>
      </w:r>
      <w:r>
        <w:rPr>
          <w:rFonts w:hint="cs"/>
          <w:rtl/>
        </w:rPr>
        <w:t xml:space="preserve">، </w:t>
      </w:r>
      <w:r>
        <w:rPr>
          <w:rFonts w:hint="cs"/>
          <w:rtl/>
          <w:lang w:bidi="ar-EG"/>
        </w:rPr>
        <w:t>وهو أمر ضروري للحفاظ على استمرارية عمل المنظم</w:t>
      </w:r>
      <w:r>
        <w:rPr>
          <w:rFonts w:hint="cs"/>
          <w:rtl/>
        </w:rPr>
        <w:t>ة. و</w:t>
      </w:r>
      <w:r w:rsidRPr="00EB44C4">
        <w:rPr>
          <w:rtl/>
        </w:rPr>
        <w:t xml:space="preserve">يبلغ صندوق الاحتياطي حالياً </w:t>
      </w:r>
      <w:r>
        <w:t>30,7</w:t>
      </w:r>
      <w:r w:rsidRPr="00EB44C4">
        <w:rPr>
          <w:rtl/>
        </w:rPr>
        <w:t xml:space="preserve"> مليون فرنك سويسري، وهو ما يمثل </w:t>
      </w:r>
      <w:r>
        <w:t>10</w:t>
      </w:r>
      <w:r w:rsidRPr="00EB44C4">
        <w:rPr>
          <w:rtl/>
        </w:rPr>
        <w:t xml:space="preserve"> </w:t>
      </w:r>
      <w:r>
        <w:rPr>
          <w:rFonts w:hint="cs"/>
          <w:rtl/>
        </w:rPr>
        <w:t xml:space="preserve">أسابيع من تنفيذ الميزانية البرنامجية، </w:t>
      </w:r>
      <w:r>
        <w:rPr>
          <w:rFonts w:hint="cs"/>
          <w:rtl/>
          <w:lang w:bidi="ar-SA"/>
        </w:rPr>
        <w:t>استناداً إلى ميزانية عام 2024.</w:t>
      </w:r>
      <w:r w:rsidRPr="00EB44C4">
        <w:rPr>
          <w:rtl/>
        </w:rPr>
        <w:t xml:space="preserve"> و</w:t>
      </w:r>
      <w:r w:rsidRPr="00EB44C4">
        <w:rPr>
          <w:rtl/>
          <w:lang w:bidi="ar"/>
        </w:rPr>
        <w:t>بلغ</w:t>
      </w:r>
      <w:r w:rsidRPr="00EB44C4">
        <w:rPr>
          <w:lang w:val="en" w:bidi="ar-EG"/>
        </w:rPr>
        <w:t xml:space="preserve"> </w:t>
      </w:r>
      <w:r w:rsidRPr="00EB44C4">
        <w:rPr>
          <w:rtl/>
          <w:lang w:bidi="ar"/>
        </w:rPr>
        <w:t>معدل</w:t>
      </w:r>
      <w:r w:rsidRPr="00EB44C4">
        <w:rPr>
          <w:lang w:val="en" w:bidi="ar-EG"/>
        </w:rPr>
        <w:t xml:space="preserve"> </w:t>
      </w:r>
      <w:r w:rsidRPr="00EB44C4">
        <w:rPr>
          <w:rtl/>
          <w:lang w:bidi="ar"/>
        </w:rPr>
        <w:t>التحصيل</w:t>
      </w:r>
      <w:r w:rsidRPr="00EB44C4">
        <w:rPr>
          <w:lang w:val="en" w:bidi="ar-EG"/>
        </w:rPr>
        <w:t xml:space="preserve"> </w:t>
      </w:r>
      <w:r w:rsidRPr="00EB44C4">
        <w:rPr>
          <w:rtl/>
          <w:lang w:bidi="ar"/>
        </w:rPr>
        <w:t>للسنة</w:t>
      </w:r>
      <w:r w:rsidRPr="00EB44C4">
        <w:rPr>
          <w:lang w:val="en" w:bidi="ar-EG"/>
        </w:rPr>
        <w:t xml:space="preserve"> </w:t>
      </w:r>
      <w:r w:rsidRPr="00EB44C4">
        <w:rPr>
          <w:rtl/>
          <w:lang w:bidi="ar"/>
        </w:rPr>
        <w:t>المنتهية</w:t>
      </w:r>
      <w:r w:rsidRPr="00EB44C4">
        <w:rPr>
          <w:lang w:val="en" w:bidi="ar-EG"/>
        </w:rPr>
        <w:t xml:space="preserve"> </w:t>
      </w:r>
      <w:r w:rsidRPr="00EB44C4">
        <w:rPr>
          <w:rtl/>
          <w:lang w:bidi="ar"/>
        </w:rPr>
        <w:t>في</w:t>
      </w:r>
      <w:r w:rsidRPr="00EB44C4">
        <w:rPr>
          <w:lang w:val="en" w:bidi="ar-EG"/>
        </w:rPr>
        <w:t xml:space="preserve"> 31 </w:t>
      </w:r>
      <w:r w:rsidRPr="00EB44C4">
        <w:rPr>
          <w:rtl/>
          <w:lang w:bidi="ar"/>
        </w:rPr>
        <w:t>ديسمبر</w:t>
      </w:r>
      <w:r w:rsidRPr="00EB44C4">
        <w:rPr>
          <w:lang w:val="en" w:bidi="ar-EG"/>
        </w:rPr>
        <w:t xml:space="preserve"> </w:t>
      </w:r>
      <w:r>
        <w:rPr>
          <w:lang w:val="en" w:bidi="ar-EG"/>
        </w:rPr>
        <w:t>2024</w:t>
      </w:r>
      <w:r w:rsidRPr="00EB44C4">
        <w:rPr>
          <w:lang w:val="en" w:bidi="ar-EG"/>
        </w:rPr>
        <w:t xml:space="preserve"> </w:t>
      </w:r>
      <w:r w:rsidRPr="00EB44C4">
        <w:rPr>
          <w:rtl/>
          <w:lang w:bidi="ar"/>
        </w:rPr>
        <w:t xml:space="preserve">حوالي </w:t>
      </w:r>
      <w:r w:rsidRPr="00EB44C4">
        <w:rPr>
          <w:lang w:val="en" w:bidi="ar-EG"/>
        </w:rPr>
        <w:t>93</w:t>
      </w:r>
      <w:r w:rsidRPr="00EB44C4">
        <w:rPr>
          <w:rtl/>
          <w:lang w:bidi="ar"/>
        </w:rPr>
        <w:t>%مقارنة</w:t>
      </w:r>
      <w:r w:rsidR="008F2760">
        <w:rPr>
          <w:rFonts w:hint="cs"/>
          <w:rtl/>
          <w:lang w:bidi="ar"/>
        </w:rPr>
        <w:t>ً</w:t>
      </w:r>
      <w:r w:rsidR="008F2760">
        <w:rPr>
          <w:rFonts w:hint="cs"/>
          <w:rtl/>
          <w:lang w:val="en" w:bidi="ar-EG"/>
        </w:rPr>
        <w:t xml:space="preserve"> </w:t>
      </w:r>
      <w:r w:rsidRPr="00EB44C4">
        <w:rPr>
          <w:rtl/>
          <w:lang w:bidi="ar"/>
        </w:rPr>
        <w:t xml:space="preserve">بنسبة </w:t>
      </w:r>
      <w:r>
        <w:rPr>
          <w:lang w:val="en" w:bidi="ar"/>
        </w:rPr>
        <w:t>92</w:t>
      </w:r>
      <w:r w:rsidRPr="00EB44C4">
        <w:rPr>
          <w:rtl/>
          <w:lang w:bidi="ar"/>
        </w:rPr>
        <w:t>%</w:t>
      </w:r>
      <w:r w:rsidRPr="00EB44C4">
        <w:rPr>
          <w:lang w:val="en" w:bidi="ar-EG"/>
        </w:rPr>
        <w:t xml:space="preserve"> </w:t>
      </w:r>
      <w:r w:rsidRPr="00EB44C4">
        <w:rPr>
          <w:rtl/>
          <w:lang w:bidi="ar"/>
        </w:rPr>
        <w:t>في</w:t>
      </w:r>
      <w:r w:rsidRPr="00EB44C4">
        <w:rPr>
          <w:lang w:val="en" w:bidi="ar-EG"/>
        </w:rPr>
        <w:t xml:space="preserve"> </w:t>
      </w:r>
      <w:r w:rsidRPr="00EB44C4">
        <w:rPr>
          <w:rtl/>
          <w:lang w:bidi="ar"/>
        </w:rPr>
        <w:t xml:space="preserve">ديسمبر </w:t>
      </w:r>
      <w:r>
        <w:rPr>
          <w:lang w:val="en" w:bidi="ar-EG"/>
        </w:rPr>
        <w:t>2023</w:t>
      </w:r>
      <w:r w:rsidRPr="00EB44C4">
        <w:rPr>
          <w:rtl/>
          <w:lang w:bidi="ar"/>
        </w:rPr>
        <w:t>.</w:t>
      </w:r>
    </w:p>
    <w:p w14:paraId="454BA1C4" w14:textId="77777777" w:rsidR="00083F2A" w:rsidRPr="00EB44C4" w:rsidRDefault="00083F2A" w:rsidP="00083F2A">
      <w:pPr>
        <w:pStyle w:val="enumlev1"/>
        <w:rPr>
          <w:lang w:bidi="ar-EG"/>
        </w:rPr>
      </w:pPr>
      <w:r>
        <w:rPr>
          <w:lang w:bidi="ar-SA"/>
        </w:rPr>
        <w:t>21</w:t>
      </w:r>
      <w:r w:rsidRPr="00EB44C4">
        <w:rPr>
          <w:rtl/>
          <w:lang w:bidi="ar-SA"/>
        </w:rPr>
        <w:tab/>
        <w:t xml:space="preserve">وتُستحق المساهمات الإجمالية المقررة وتُسدَد </w:t>
      </w:r>
      <w:r>
        <w:rPr>
          <w:rFonts w:hint="cs"/>
          <w:rtl/>
          <w:lang w:bidi="ar-SA"/>
        </w:rPr>
        <w:t>للاتحاد</w:t>
      </w:r>
      <w:r w:rsidRPr="00EB44C4">
        <w:rPr>
          <w:rtl/>
          <w:lang w:bidi="ar-SA"/>
        </w:rPr>
        <w:t xml:space="preserve"> </w:t>
      </w:r>
      <w:r w:rsidRPr="00EB44C4">
        <w:rPr>
          <w:rtl/>
        </w:rPr>
        <w:t>وفقاً</w:t>
      </w:r>
      <w:r w:rsidRPr="00EB44C4">
        <w:rPr>
          <w:lang w:val="en" w:bidi="ar-EG"/>
        </w:rPr>
        <w:t xml:space="preserve"> </w:t>
      </w:r>
      <w:r w:rsidRPr="00EB44C4">
        <w:rPr>
          <w:rtl/>
        </w:rPr>
        <w:t>لدستور</w:t>
      </w:r>
      <w:r>
        <w:rPr>
          <w:rFonts w:hint="cs"/>
          <w:rtl/>
          <w:lang w:val="en"/>
        </w:rPr>
        <w:t xml:space="preserve">ه </w:t>
      </w:r>
      <w:r w:rsidRPr="00EB44C4">
        <w:rPr>
          <w:rtl/>
        </w:rPr>
        <w:t>ولوائحه</w:t>
      </w:r>
      <w:r w:rsidRPr="00EB44C4">
        <w:rPr>
          <w:lang w:val="en" w:bidi="ar-EG"/>
        </w:rPr>
        <w:t xml:space="preserve"> </w:t>
      </w:r>
      <w:r w:rsidRPr="00EB44C4">
        <w:rPr>
          <w:rtl/>
        </w:rPr>
        <w:t>المالية</w:t>
      </w:r>
      <w:r w:rsidRPr="00EB44C4">
        <w:rPr>
          <w:rtl/>
          <w:lang w:bidi="ar-SA"/>
        </w:rPr>
        <w:t>.</w:t>
      </w:r>
      <w:r w:rsidRPr="00EB44C4">
        <w:rPr>
          <w:rtl/>
        </w:rPr>
        <w:t xml:space="preserve"> </w:t>
      </w:r>
      <w:r>
        <w:rPr>
          <w:rFonts w:hint="cs"/>
          <w:rtl/>
        </w:rPr>
        <w:t>و</w:t>
      </w:r>
      <w:r w:rsidRPr="00EB44C4">
        <w:rPr>
          <w:rtl/>
        </w:rPr>
        <w:t>عملاً</w:t>
      </w:r>
      <w:r w:rsidRPr="00EB44C4">
        <w:rPr>
          <w:lang w:val="en" w:bidi="ar-EG"/>
        </w:rPr>
        <w:t xml:space="preserve"> </w:t>
      </w:r>
      <w:r w:rsidRPr="00EB44C4">
        <w:rPr>
          <w:rtl/>
          <w:lang w:bidi="ar-SA"/>
        </w:rPr>
        <w:t>ب</w:t>
      </w:r>
      <w:r w:rsidRPr="00EB44C4">
        <w:rPr>
          <w:rtl/>
        </w:rPr>
        <w:t>ما</w:t>
      </w:r>
      <w:r w:rsidRPr="00EB44C4">
        <w:rPr>
          <w:lang w:val="en" w:bidi="ar-EG"/>
        </w:rPr>
        <w:t xml:space="preserve"> </w:t>
      </w:r>
      <w:r w:rsidRPr="00EB44C4">
        <w:rPr>
          <w:rtl/>
        </w:rPr>
        <w:t>تقتضيه</w:t>
      </w:r>
      <w:r w:rsidRPr="00EB44C4">
        <w:rPr>
          <w:lang w:val="en" w:bidi="ar-EG"/>
        </w:rPr>
        <w:t xml:space="preserve"> </w:t>
      </w:r>
      <w:r w:rsidRPr="00EB44C4">
        <w:rPr>
          <w:rtl/>
        </w:rPr>
        <w:t>المعايير</w:t>
      </w:r>
      <w:r w:rsidRPr="00EB44C4">
        <w:rPr>
          <w:lang w:val="en" w:bidi="ar-EG"/>
        </w:rPr>
        <w:t xml:space="preserve"> </w:t>
      </w:r>
      <w:r w:rsidRPr="00EB44C4">
        <w:rPr>
          <w:rtl/>
        </w:rPr>
        <w:t>المحاسبية الدولية للقطاع العام،</w:t>
      </w:r>
      <w:r w:rsidRPr="00EB44C4">
        <w:rPr>
          <w:lang w:val="en" w:bidi="ar-EG"/>
        </w:rPr>
        <w:t xml:space="preserve"> </w:t>
      </w:r>
      <w:r w:rsidRPr="00EB44C4">
        <w:rPr>
          <w:rtl/>
        </w:rPr>
        <w:t>يخصَص</w:t>
      </w:r>
      <w:r w:rsidRPr="00EB44C4">
        <w:rPr>
          <w:lang w:val="en" w:bidi="ar-EG"/>
        </w:rPr>
        <w:t xml:space="preserve"> </w:t>
      </w:r>
      <w:r w:rsidRPr="00EB44C4">
        <w:rPr>
          <w:rtl/>
        </w:rPr>
        <w:t>بدل</w:t>
      </w:r>
      <w:r w:rsidRPr="00EB44C4">
        <w:rPr>
          <w:lang w:val="en" w:bidi="ar-EG"/>
        </w:rPr>
        <w:t xml:space="preserve"> </w:t>
      </w:r>
      <w:r w:rsidRPr="00EB44C4">
        <w:rPr>
          <w:rtl/>
        </w:rPr>
        <w:t>عندما</w:t>
      </w:r>
      <w:r w:rsidRPr="00EB44C4">
        <w:rPr>
          <w:lang w:val="en" w:bidi="ar-EG"/>
        </w:rPr>
        <w:t xml:space="preserve"> </w:t>
      </w:r>
      <w:r w:rsidRPr="00EB44C4">
        <w:rPr>
          <w:rtl/>
        </w:rPr>
        <w:t>لا</w:t>
      </w:r>
      <w:r w:rsidRPr="00EB44C4">
        <w:rPr>
          <w:lang w:val="en" w:bidi="ar-EG"/>
        </w:rPr>
        <w:t xml:space="preserve"> </w:t>
      </w:r>
      <w:r w:rsidRPr="00EB44C4">
        <w:rPr>
          <w:rtl/>
        </w:rPr>
        <w:t>يُتوقع</w:t>
      </w:r>
      <w:r w:rsidRPr="00EB44C4">
        <w:rPr>
          <w:lang w:val="en" w:bidi="ar-EG"/>
        </w:rPr>
        <w:t xml:space="preserve"> </w:t>
      </w:r>
      <w:r w:rsidRPr="00EB44C4">
        <w:rPr>
          <w:rtl/>
        </w:rPr>
        <w:t>دفع</w:t>
      </w:r>
      <w:r w:rsidRPr="00EB44C4">
        <w:rPr>
          <w:lang w:val="en" w:bidi="ar-EG"/>
        </w:rPr>
        <w:t xml:space="preserve"> </w:t>
      </w:r>
      <w:r w:rsidRPr="00EB44C4">
        <w:rPr>
          <w:rtl/>
        </w:rPr>
        <w:t>المساهمات</w:t>
      </w:r>
      <w:r w:rsidRPr="00EB44C4">
        <w:rPr>
          <w:lang w:val="en" w:bidi="ar-EG"/>
        </w:rPr>
        <w:t>.</w:t>
      </w:r>
    </w:p>
    <w:p w14:paraId="0189C7CE" w14:textId="77777777" w:rsidR="00083F2A" w:rsidRPr="00EB44C4" w:rsidRDefault="00083F2A" w:rsidP="00083F2A">
      <w:pPr>
        <w:pStyle w:val="Headingb0"/>
        <w:rPr>
          <w:lang w:bidi="ar-EG"/>
        </w:rPr>
      </w:pPr>
      <w:r w:rsidRPr="00EB44C4">
        <w:rPr>
          <w:rtl/>
        </w:rPr>
        <w:t>الخصوم</w:t>
      </w:r>
    </w:p>
    <w:p w14:paraId="1DC2D705" w14:textId="77777777" w:rsidR="00083F2A" w:rsidRPr="00893035" w:rsidRDefault="00083F2A" w:rsidP="00083F2A">
      <w:pPr>
        <w:pStyle w:val="enumlev1"/>
        <w:rPr>
          <w:rtl/>
          <w:lang w:bidi="ar-SA"/>
        </w:rPr>
      </w:pPr>
      <w:r>
        <w:t>22</w:t>
      </w:r>
      <w:r w:rsidRPr="00EB44C4">
        <w:rPr>
          <w:lang w:bidi="ar-EG"/>
        </w:rPr>
        <w:tab/>
      </w:r>
      <w:r w:rsidRPr="00EB44C4">
        <w:rPr>
          <w:rtl/>
        </w:rPr>
        <w:t xml:space="preserve">بلغ مجموع الخصوم في 31 ديسمبر </w:t>
      </w:r>
      <w:r>
        <w:t>2024</w:t>
      </w:r>
      <w:r>
        <w:rPr>
          <w:rFonts w:hint="cs"/>
          <w:rtl/>
        </w:rPr>
        <w:t xml:space="preserve"> مبلغ</w:t>
      </w:r>
      <w:r w:rsidRPr="00EB44C4">
        <w:rPr>
          <w:rtl/>
        </w:rPr>
        <w:t xml:space="preserve"> </w:t>
      </w:r>
      <w:r>
        <w:t>640,7</w:t>
      </w:r>
      <w:r w:rsidRPr="00EB44C4">
        <w:rPr>
          <w:rtl/>
        </w:rPr>
        <w:t xml:space="preserve"> مليون فرنك سويسري (</w:t>
      </w:r>
      <w:r>
        <w:rPr>
          <w:rFonts w:hint="cs"/>
          <w:rtl/>
          <w:lang w:bidi="ar-EG"/>
        </w:rPr>
        <w:t xml:space="preserve">مقابل </w:t>
      </w:r>
      <w:r>
        <w:t>565,9</w:t>
      </w:r>
      <w:r w:rsidRPr="00EB44C4">
        <w:rPr>
          <w:rtl/>
        </w:rPr>
        <w:t xml:space="preserve"> مليون فرنك سويسري في 31 ديسمبر </w:t>
      </w:r>
      <w:r>
        <w:t>2023</w:t>
      </w:r>
      <w:r w:rsidRPr="00EB44C4">
        <w:rPr>
          <w:rtl/>
        </w:rPr>
        <w:t>)</w:t>
      </w:r>
      <w:r>
        <w:rPr>
          <w:rFonts w:hint="cs"/>
          <w:rtl/>
        </w:rPr>
        <w:t>. و</w:t>
      </w:r>
      <w:r w:rsidRPr="00DB0C1D">
        <w:rPr>
          <w:rtl/>
          <w:lang w:bidi="ar-SA"/>
        </w:rPr>
        <w:t xml:space="preserve">تشمل الخصوم مخصصاً قدره </w:t>
      </w:r>
      <w:r>
        <w:rPr>
          <w:lang w:bidi="ar-SA"/>
        </w:rPr>
        <w:t>0,8</w:t>
      </w:r>
      <w:r w:rsidRPr="00DB0C1D">
        <w:rPr>
          <w:rtl/>
          <w:lang w:bidi="ar-SA"/>
        </w:rPr>
        <w:t xml:space="preserve"> مليون فرنك سويسري يتعلق بسبع قضايا معلقة أمام محكمة العدل الإدارية الدولية </w:t>
      </w:r>
      <w:r>
        <w:rPr>
          <w:rFonts w:hint="cs"/>
          <w:rtl/>
          <w:lang w:bidi="ar-SA"/>
        </w:rPr>
        <w:t>والنفقات</w:t>
      </w:r>
      <w:r w:rsidRPr="00DB0C1D">
        <w:rPr>
          <w:rtl/>
          <w:lang w:bidi="ar-SA"/>
        </w:rPr>
        <w:t xml:space="preserve"> القانونية ذات الصلة. </w:t>
      </w:r>
      <w:r>
        <w:rPr>
          <w:rFonts w:hint="cs"/>
          <w:rtl/>
          <w:lang w:bidi="ar-SA"/>
        </w:rPr>
        <w:t>و</w:t>
      </w:r>
      <w:r w:rsidRPr="00DB0C1D">
        <w:rPr>
          <w:rtl/>
          <w:lang w:bidi="ar-SA"/>
        </w:rPr>
        <w:t xml:space="preserve">في عام 2024، </w:t>
      </w:r>
      <w:r w:rsidRPr="00FF155D">
        <w:rPr>
          <w:rtl/>
          <w:lang w:bidi="ar-SA"/>
        </w:rPr>
        <w:t xml:space="preserve">أصدرت المحكمة الإدارية لمنظمة العمل الدولية </w:t>
      </w:r>
      <w:r w:rsidRPr="00DB0C1D">
        <w:rPr>
          <w:rtl/>
          <w:lang w:bidi="ar-SA"/>
        </w:rPr>
        <w:t xml:space="preserve">أحكامها في أربع قضايا، ودفع الاتحاد مبلغ </w:t>
      </w:r>
      <w:r>
        <w:rPr>
          <w:lang w:bidi="ar-SA"/>
        </w:rPr>
        <w:t>0,2</w:t>
      </w:r>
      <w:r w:rsidRPr="00DB0C1D">
        <w:rPr>
          <w:rtl/>
          <w:lang w:bidi="ar-SA"/>
        </w:rPr>
        <w:t xml:space="preserve"> مليون فرنك سويسري وخفض المخصص بمقدار </w:t>
      </w:r>
      <w:r>
        <w:rPr>
          <w:lang w:bidi="ar-SA"/>
        </w:rPr>
        <w:t>0,1</w:t>
      </w:r>
      <w:r w:rsidRPr="00DB0C1D">
        <w:rPr>
          <w:rtl/>
          <w:lang w:bidi="ar-SA"/>
        </w:rPr>
        <w:t xml:space="preserve"> مليون فرنك سويسري. وخلال العام، زاد الاتحاد المخصص بمقدار 20 ألف فرنك سويسري عقب مراجعة التقديرات السابقة ولتغطية قضية إضافية تم رفعها.</w:t>
      </w:r>
    </w:p>
    <w:p w14:paraId="56BFA299" w14:textId="77777777" w:rsidR="00083F2A" w:rsidRPr="00EB44C4" w:rsidRDefault="00083F2A" w:rsidP="00083F2A">
      <w:pPr>
        <w:pStyle w:val="Headingb0"/>
        <w:rPr>
          <w:lang w:bidi="ar-EG"/>
        </w:rPr>
      </w:pPr>
      <w:r w:rsidRPr="00EB44C4">
        <w:rPr>
          <w:rtl/>
        </w:rPr>
        <w:t>الاستحقاقات المستحَقة للموظفين</w:t>
      </w:r>
    </w:p>
    <w:p w14:paraId="10CDAD60" w14:textId="4FCA0863" w:rsidR="00083F2A" w:rsidRDefault="00083F2A" w:rsidP="00083F2A">
      <w:pPr>
        <w:pStyle w:val="enumlev1"/>
        <w:rPr>
          <w:rtl/>
          <w:lang w:bidi="ar-SA"/>
        </w:rPr>
      </w:pPr>
      <w:r>
        <w:t>23</w:t>
      </w:r>
      <w:r w:rsidRPr="00EB44C4">
        <w:rPr>
          <w:lang w:bidi="ar-EG"/>
        </w:rPr>
        <w:tab/>
      </w:r>
      <w:r w:rsidRPr="00EB44C4">
        <w:rPr>
          <w:rtl/>
          <w:lang w:bidi="ar-SA"/>
        </w:rPr>
        <w:t xml:space="preserve">تمثلت أهم الخصوم في الاستحقاقات المستحقة للموظفين والمتقاعدين في المستقبل. </w:t>
      </w:r>
      <w:r w:rsidRPr="00EB44C4">
        <w:rPr>
          <w:rtl/>
        </w:rPr>
        <w:t>ومثلت خصوم التأمين الصحي بعد انتهاء</w:t>
      </w:r>
      <w:r>
        <w:rPr>
          <w:rFonts w:hint="cs"/>
          <w:rtl/>
        </w:rPr>
        <w:t xml:space="preserve"> مدة</w:t>
      </w:r>
      <w:r w:rsidRPr="00EB44C4">
        <w:rPr>
          <w:rtl/>
        </w:rPr>
        <w:t xml:space="preserve"> الخدمة (</w:t>
      </w:r>
      <w:r w:rsidRPr="00EB44C4">
        <w:rPr>
          <w:lang w:bidi="ar-EG"/>
        </w:rPr>
        <w:t>ASHI</w:t>
      </w:r>
      <w:r w:rsidRPr="00EB44C4">
        <w:rPr>
          <w:rtl/>
        </w:rPr>
        <w:t xml:space="preserve">) وحدها </w:t>
      </w:r>
      <w:r>
        <w:t>65</w:t>
      </w:r>
      <w:r w:rsidRPr="00EB44C4">
        <w:rPr>
          <w:rtl/>
        </w:rPr>
        <w:t xml:space="preserve">% من إجمالي خصوم الاتحاد في 31 ديسمبر </w:t>
      </w:r>
      <w:r>
        <w:t>2024</w:t>
      </w:r>
      <w:r w:rsidRPr="00EB44C4">
        <w:rPr>
          <w:rtl/>
        </w:rPr>
        <w:t xml:space="preserve">. </w:t>
      </w:r>
      <w:r>
        <w:rPr>
          <w:rFonts w:hint="cs"/>
          <w:rtl/>
        </w:rPr>
        <w:t xml:space="preserve">وارتفعت </w:t>
      </w:r>
      <w:r w:rsidRPr="00EB44C4">
        <w:rPr>
          <w:rtl/>
        </w:rPr>
        <w:t xml:space="preserve">خصوم التأمين الصحي بعد انتهاء </w:t>
      </w:r>
      <w:r>
        <w:rPr>
          <w:rFonts w:hint="cs"/>
          <w:rtl/>
        </w:rPr>
        <w:t xml:space="preserve">مدة </w:t>
      </w:r>
      <w:r w:rsidRPr="00EB44C4">
        <w:rPr>
          <w:rtl/>
        </w:rPr>
        <w:t xml:space="preserve">الخدمة </w:t>
      </w:r>
      <w:r>
        <w:rPr>
          <w:rFonts w:hint="cs"/>
          <w:rtl/>
        </w:rPr>
        <w:t>هذه</w:t>
      </w:r>
      <w:r w:rsidRPr="00EB44C4">
        <w:rPr>
          <w:rtl/>
        </w:rPr>
        <w:t xml:space="preserve"> بمقدار </w:t>
      </w:r>
      <w:r>
        <w:rPr>
          <w:lang w:bidi="ar-EG"/>
        </w:rPr>
        <w:t>40,5</w:t>
      </w:r>
      <w:r w:rsidRPr="00EB44C4">
        <w:rPr>
          <w:rtl/>
        </w:rPr>
        <w:t xml:space="preserve"> مليون فرنك سويسري </w:t>
      </w:r>
      <w:r>
        <w:rPr>
          <w:rFonts w:hint="cs"/>
          <w:rtl/>
        </w:rPr>
        <w:t xml:space="preserve">في </w:t>
      </w:r>
      <w:r w:rsidRPr="00EB44C4">
        <w:rPr>
          <w:rtl/>
        </w:rPr>
        <w:t xml:space="preserve">عام </w:t>
      </w:r>
      <w:r>
        <w:rPr>
          <w:rFonts w:hint="cs"/>
          <w:rtl/>
        </w:rPr>
        <w:t>2024 مقارنة</w:t>
      </w:r>
      <w:r w:rsidR="008F2760">
        <w:rPr>
          <w:rFonts w:hint="cs"/>
          <w:rtl/>
        </w:rPr>
        <w:t>ً</w:t>
      </w:r>
      <w:r>
        <w:rPr>
          <w:rFonts w:hint="cs"/>
          <w:rtl/>
        </w:rPr>
        <w:t xml:space="preserve"> بعام</w:t>
      </w:r>
      <w:r w:rsidR="008F2760">
        <w:rPr>
          <w:rFonts w:hint="eastAsia"/>
          <w:rtl/>
        </w:rPr>
        <w:t> </w:t>
      </w:r>
      <w:r>
        <w:rPr>
          <w:rFonts w:hint="cs"/>
          <w:rtl/>
        </w:rPr>
        <w:t>2023</w:t>
      </w:r>
      <w:r w:rsidRPr="00EB44C4">
        <w:rPr>
          <w:rtl/>
        </w:rPr>
        <w:t xml:space="preserve">. </w:t>
      </w:r>
      <w:r w:rsidRPr="006A336A">
        <w:rPr>
          <w:rtl/>
        </w:rPr>
        <w:t>ويرجع ذلك بشكل رئيسي إلى التغيرات في الافتراضات الديمغرافية والدراسات الاكتوارية المنجزة.</w:t>
      </w:r>
    </w:p>
    <w:p w14:paraId="3D80F951" w14:textId="77777777" w:rsidR="00083F2A" w:rsidRPr="00EB44C4" w:rsidRDefault="00083F2A" w:rsidP="00083F2A">
      <w:pPr>
        <w:pStyle w:val="enumlev1"/>
        <w:rPr>
          <w:rtl/>
        </w:rPr>
      </w:pPr>
      <w:r>
        <w:t>24</w:t>
      </w:r>
      <w:r w:rsidRPr="00EB44C4">
        <w:rPr>
          <w:lang w:bidi="ar-EG"/>
        </w:rPr>
        <w:tab/>
      </w:r>
      <w:r w:rsidRPr="00EB44C4">
        <w:rPr>
          <w:rtl/>
        </w:rPr>
        <w:t xml:space="preserve">ويمول الاتحاد المدفوعات المستحَقة بموجب التزاماته المتعلقة بالتأمين الصحي بعد انتهاء </w:t>
      </w:r>
      <w:r>
        <w:rPr>
          <w:rFonts w:hint="cs"/>
          <w:rtl/>
        </w:rPr>
        <w:t xml:space="preserve">مدة </w:t>
      </w:r>
      <w:r w:rsidRPr="00EB44C4">
        <w:rPr>
          <w:rtl/>
        </w:rPr>
        <w:t>الخدمة على أساس الدفع أولاً بأول.</w:t>
      </w:r>
      <w:r w:rsidRPr="00EB44C4">
        <w:rPr>
          <w:rtl/>
          <w:lang w:bidi="ar-SA"/>
        </w:rPr>
        <w:t xml:space="preserve"> و</w:t>
      </w:r>
      <w:r w:rsidRPr="00EB44C4">
        <w:rPr>
          <w:rtl/>
        </w:rPr>
        <w:t xml:space="preserve">يتضمن القرار </w:t>
      </w:r>
      <w:r>
        <w:t>1417</w:t>
      </w:r>
      <w:r w:rsidRPr="00EB44C4">
        <w:rPr>
          <w:rtl/>
        </w:rPr>
        <w:t xml:space="preserve"> بشأن ميزانية </w:t>
      </w:r>
      <w:r>
        <w:t>2025-2024</w:t>
      </w:r>
      <w:r w:rsidRPr="00EB44C4">
        <w:rPr>
          <w:rtl/>
        </w:rPr>
        <w:t xml:space="preserve"> سحب </w:t>
      </w:r>
      <w:r>
        <w:rPr>
          <w:lang w:val="en-GB"/>
        </w:rPr>
        <w:t>1,0</w:t>
      </w:r>
      <w:r>
        <w:rPr>
          <w:rFonts w:hint="cs"/>
          <w:rtl/>
        </w:rPr>
        <w:t xml:space="preserve"> </w:t>
      </w:r>
      <w:r w:rsidRPr="00EB44C4">
        <w:rPr>
          <w:rtl/>
        </w:rPr>
        <w:t xml:space="preserve">مليون فرنك سويسري كل </w:t>
      </w:r>
      <w:r>
        <w:rPr>
          <w:rFonts w:hint="cs"/>
          <w:rtl/>
        </w:rPr>
        <w:t>سنتين</w:t>
      </w:r>
      <w:r w:rsidRPr="00EB44C4">
        <w:rPr>
          <w:rtl/>
        </w:rPr>
        <w:t xml:space="preserve"> من حساب الاحتياطي لتمويل </w:t>
      </w:r>
      <w:r>
        <w:rPr>
          <w:rFonts w:hint="cs"/>
          <w:rtl/>
        </w:rPr>
        <w:t xml:space="preserve">هذه </w:t>
      </w:r>
      <w:r w:rsidRPr="00EB44C4">
        <w:rPr>
          <w:rtl/>
        </w:rPr>
        <w:t xml:space="preserve">الخصوم طويلة الأجل. ووفقاً لمعيار المحاسبية </w:t>
      </w:r>
      <w:r w:rsidRPr="00EB44C4">
        <w:rPr>
          <w:lang w:bidi="ar-EG"/>
        </w:rPr>
        <w:t>IPSAS-39</w:t>
      </w:r>
      <w:r w:rsidRPr="00EB44C4">
        <w:rPr>
          <w:rtl/>
        </w:rPr>
        <w:t>، لم تُجرَ مقاصة لأصول الخطة مقابل</w:t>
      </w:r>
      <w:r>
        <w:rPr>
          <w:rFonts w:hint="cs"/>
          <w:rtl/>
        </w:rPr>
        <w:t xml:space="preserve"> هذه</w:t>
      </w:r>
      <w:r w:rsidRPr="00EB44C4">
        <w:rPr>
          <w:rtl/>
        </w:rPr>
        <w:t xml:space="preserve"> الخصوم</w:t>
      </w:r>
      <w:r>
        <w:rPr>
          <w:rFonts w:hint="cs"/>
          <w:rtl/>
        </w:rPr>
        <w:t xml:space="preserve">. ومع ذلك، </w:t>
      </w:r>
      <w:r w:rsidRPr="00EB44C4">
        <w:rPr>
          <w:rtl/>
        </w:rPr>
        <w:t xml:space="preserve">تجمَّع مبلغ </w:t>
      </w:r>
      <w:r>
        <w:t>15</w:t>
      </w:r>
      <w:r w:rsidRPr="00EB44C4">
        <w:rPr>
          <w:rtl/>
        </w:rPr>
        <w:t xml:space="preserve"> مليون فرنك سويسري في الحساب الخاص للتأمين الصحي بعد نهاية</w:t>
      </w:r>
      <w:r>
        <w:rPr>
          <w:rFonts w:hint="cs"/>
          <w:rtl/>
        </w:rPr>
        <w:t xml:space="preserve"> مدة</w:t>
      </w:r>
      <w:r w:rsidRPr="00EB44C4">
        <w:rPr>
          <w:rtl/>
        </w:rPr>
        <w:t xml:space="preserve"> الخدمة (</w:t>
      </w:r>
      <w:r w:rsidRPr="00EB44C4">
        <w:rPr>
          <w:lang w:bidi="ar-EG"/>
        </w:rPr>
        <w:t>ASHI</w:t>
      </w:r>
      <w:r w:rsidRPr="00EB44C4">
        <w:rPr>
          <w:rtl/>
        </w:rPr>
        <w:t xml:space="preserve">) حتى 31 ديسمبر </w:t>
      </w:r>
      <w:r>
        <w:t>2024</w:t>
      </w:r>
      <w:r w:rsidRPr="00EB44C4">
        <w:rPr>
          <w:rtl/>
        </w:rPr>
        <w:t xml:space="preserve"> لتغطية </w:t>
      </w:r>
      <w:bookmarkStart w:id="8" w:name="_Hlk160361056"/>
      <w:r w:rsidRPr="00EB44C4">
        <w:rPr>
          <w:rtl/>
        </w:rPr>
        <w:t xml:space="preserve">الخصوم </w:t>
      </w:r>
      <w:bookmarkEnd w:id="8"/>
      <w:r w:rsidRPr="00EB44C4">
        <w:rPr>
          <w:rtl/>
        </w:rPr>
        <w:t>المستقبلية.</w:t>
      </w:r>
    </w:p>
    <w:p w14:paraId="17E9702B" w14:textId="77777777" w:rsidR="00083F2A" w:rsidRPr="00EB44C4" w:rsidRDefault="00083F2A" w:rsidP="00083F2A">
      <w:pPr>
        <w:pStyle w:val="Headingb0"/>
        <w:rPr>
          <w:lang w:bidi="ar-EG"/>
        </w:rPr>
      </w:pPr>
      <w:r w:rsidRPr="00EB44C4">
        <w:rPr>
          <w:rtl/>
          <w:lang w:bidi="ar-SY"/>
        </w:rPr>
        <w:t>القروض طويلة الأجل</w:t>
      </w:r>
    </w:p>
    <w:p w14:paraId="7180EFFE" w14:textId="77777777" w:rsidR="00083F2A" w:rsidRPr="00DA6017" w:rsidRDefault="00083F2A" w:rsidP="00083F2A">
      <w:pPr>
        <w:pStyle w:val="enumlev1"/>
        <w:rPr>
          <w:lang w:bidi="ar-EG"/>
        </w:rPr>
      </w:pPr>
      <w:r>
        <w:t>25</w:t>
      </w:r>
      <w:r w:rsidRPr="00EB44C4">
        <w:rPr>
          <w:lang w:bidi="ar-EG"/>
        </w:rPr>
        <w:tab/>
      </w:r>
      <w:r w:rsidRPr="00EB44C4">
        <w:rPr>
          <w:rtl/>
        </w:rPr>
        <w:t xml:space="preserve">لدى الاتحاد حالياً أربعة </w:t>
      </w:r>
      <w:bookmarkStart w:id="9" w:name="_Hlk160382493"/>
      <w:r w:rsidRPr="00EB44C4">
        <w:rPr>
          <w:rtl/>
        </w:rPr>
        <w:t xml:space="preserve">قروض </w:t>
      </w:r>
      <w:bookmarkEnd w:id="9"/>
      <w:r w:rsidRPr="00EB44C4">
        <w:rPr>
          <w:rtl/>
        </w:rPr>
        <w:t>بدون فوائد مع مؤسسة مباني المنظمات الدولية (</w:t>
      </w:r>
      <w:r w:rsidRPr="00EB44C4">
        <w:rPr>
          <w:lang w:bidi="ar-EG"/>
        </w:rPr>
        <w:t>FIPOI</w:t>
      </w:r>
      <w:r w:rsidRPr="00EB44C4">
        <w:rPr>
          <w:rtl/>
        </w:rPr>
        <w:t xml:space="preserve">). وحتى 31 ديسمبر </w:t>
      </w:r>
      <w:r>
        <w:t>2024</w:t>
      </w:r>
      <w:r w:rsidRPr="00EB44C4">
        <w:rPr>
          <w:rtl/>
        </w:rPr>
        <w:t>، يرد بيان ثلاثة من هذه القروض في البيانات المالية بالقيمة العادلة. وليس للقرض الرابع</w:t>
      </w:r>
      <w:r>
        <w:rPr>
          <w:rFonts w:hint="cs"/>
          <w:rtl/>
          <w:lang w:bidi="ar-SA"/>
        </w:rPr>
        <w:t xml:space="preserve"> حالياً</w:t>
      </w:r>
      <w:r w:rsidRPr="00EB44C4">
        <w:rPr>
          <w:rtl/>
        </w:rPr>
        <w:t xml:space="preserve"> جدول سداد، وبالتالي تقدر قيمته </w:t>
      </w:r>
      <w:r>
        <w:rPr>
          <w:rFonts w:hint="cs"/>
          <w:rtl/>
        </w:rPr>
        <w:t>بتكلفة</w:t>
      </w:r>
      <w:r w:rsidRPr="00EB44C4">
        <w:rPr>
          <w:rtl/>
        </w:rPr>
        <w:t xml:space="preserve"> مهتَلكة إلى أن تبدأ عمليات السداد بموجب هذا القرض</w:t>
      </w:r>
      <w:r>
        <w:rPr>
          <w:rFonts w:hint="cs"/>
          <w:rtl/>
          <w:lang w:bidi="ar-EG"/>
        </w:rPr>
        <w:t>. ويمكن الاطلاع على مزيد من المعلومات في الملاحظة 15.</w:t>
      </w:r>
    </w:p>
    <w:p w14:paraId="7A83E353" w14:textId="77777777" w:rsidR="00083F2A" w:rsidRPr="00EB44C4" w:rsidRDefault="00083F2A" w:rsidP="00083F2A">
      <w:pPr>
        <w:pStyle w:val="Headingb0"/>
        <w:rPr>
          <w:lang w:bidi="ar-EG"/>
        </w:rPr>
      </w:pPr>
      <w:r w:rsidRPr="00EB44C4">
        <w:rPr>
          <w:rtl/>
          <w:lang w:bidi="ar-SY"/>
        </w:rPr>
        <w:t>نتيجة الميزانية مقابل نتيجة المعايير المحاسبية الدولية للقطاع العام (</w:t>
      </w:r>
      <w:r w:rsidRPr="00EB44C4">
        <w:rPr>
          <w:lang w:bidi="ar-EG"/>
        </w:rPr>
        <w:t>IPSAS</w:t>
      </w:r>
      <w:r w:rsidRPr="00EB44C4">
        <w:rPr>
          <w:rtl/>
          <w:lang w:bidi="ar-SY"/>
        </w:rPr>
        <w:t>)</w:t>
      </w:r>
    </w:p>
    <w:p w14:paraId="5CDF90CD" w14:textId="77777777" w:rsidR="00901AD0" w:rsidRDefault="00083F2A" w:rsidP="00083F2A">
      <w:pPr>
        <w:pStyle w:val="enumlev1"/>
        <w:rPr>
          <w:rtl/>
        </w:rPr>
      </w:pPr>
      <w:r>
        <w:t>26</w:t>
      </w:r>
      <w:r w:rsidRPr="00EB44C4">
        <w:rPr>
          <w:lang w:bidi="ar-EG"/>
        </w:rPr>
        <w:tab/>
      </w:r>
      <w:r>
        <w:rPr>
          <w:rFonts w:hint="cs"/>
          <w:rtl/>
        </w:rPr>
        <w:t>أُعد</w:t>
      </w:r>
      <w:r w:rsidRPr="00EB44C4">
        <w:rPr>
          <w:rtl/>
        </w:rPr>
        <w:t xml:space="preserve"> البيان الخامس من البيانات المالية استناداً إلى الميزانية العادية لإطار ميزانية الاتحاد ويقدم عرضاً لاستخدام الميزانية العادية المعتمَدة على أساس نقدي معدَّل. وعلى هذا الأساس، </w:t>
      </w:r>
      <w:r>
        <w:rPr>
          <w:rFonts w:hint="cs"/>
          <w:rtl/>
        </w:rPr>
        <w:t>حققت</w:t>
      </w:r>
      <w:r w:rsidRPr="00EB44C4">
        <w:rPr>
          <w:rtl/>
        </w:rPr>
        <w:t xml:space="preserve"> المنظمة </w:t>
      </w:r>
      <w:r>
        <w:rPr>
          <w:rFonts w:hint="cs"/>
          <w:rtl/>
        </w:rPr>
        <w:t>فائضاً مقابل</w:t>
      </w:r>
      <w:r w:rsidRPr="00EB44C4">
        <w:rPr>
          <w:rtl/>
        </w:rPr>
        <w:t xml:space="preserve"> الميزانية العادية المعتمدة </w:t>
      </w:r>
      <w:r>
        <w:rPr>
          <w:rFonts w:hint="cs"/>
          <w:rtl/>
        </w:rPr>
        <w:t>قدره</w:t>
      </w:r>
      <w:r w:rsidRPr="00EB44C4">
        <w:rPr>
          <w:rtl/>
        </w:rPr>
        <w:t xml:space="preserve"> </w:t>
      </w:r>
      <w:r>
        <w:rPr>
          <w:lang w:bidi="ar-EG"/>
        </w:rPr>
        <w:t>5,7</w:t>
      </w:r>
      <w:r w:rsidRPr="00EB44C4">
        <w:rPr>
          <w:rtl/>
        </w:rPr>
        <w:t xml:space="preserve"> مليون فرنك سويسري</w:t>
      </w:r>
      <w:r>
        <w:rPr>
          <w:rFonts w:hint="cs"/>
          <w:rtl/>
          <w:lang w:bidi="ar-EG"/>
        </w:rPr>
        <w:t>.</w:t>
      </w:r>
    </w:p>
    <w:p w14:paraId="5DF78020" w14:textId="77777777" w:rsidR="00901AD0" w:rsidRDefault="00083F2A" w:rsidP="00083F2A">
      <w:pPr>
        <w:pStyle w:val="enumlev1"/>
        <w:rPr>
          <w:rtl/>
          <w:lang w:val="en-GB" w:bidi="ar-SA"/>
        </w:rPr>
      </w:pPr>
      <w:r>
        <w:t>27</w:t>
      </w:r>
      <w:r w:rsidRPr="00EB44C4">
        <w:rPr>
          <w:lang w:bidi="ar-EG"/>
        </w:rPr>
        <w:tab/>
      </w:r>
      <w:r w:rsidRPr="00EB44C4">
        <w:rPr>
          <w:rtl/>
          <w:lang w:bidi="ar"/>
        </w:rPr>
        <w:t>وترد</w:t>
      </w:r>
      <w:r w:rsidRPr="00EB44C4">
        <w:rPr>
          <w:lang w:val="en" w:bidi="ar-EG"/>
        </w:rPr>
        <w:t xml:space="preserve"> </w:t>
      </w:r>
      <w:r w:rsidRPr="00EB44C4">
        <w:rPr>
          <w:rtl/>
          <w:lang w:bidi="ar"/>
        </w:rPr>
        <w:t>في</w:t>
      </w:r>
      <w:r w:rsidRPr="00EB44C4">
        <w:rPr>
          <w:lang w:val="en" w:bidi="ar-EG"/>
        </w:rPr>
        <w:t xml:space="preserve"> </w:t>
      </w:r>
      <w:r w:rsidRPr="00EB44C4">
        <w:rPr>
          <w:rtl/>
          <w:lang w:bidi="ar"/>
        </w:rPr>
        <w:t>البيانات</w:t>
      </w:r>
      <w:r w:rsidRPr="00EB44C4">
        <w:rPr>
          <w:lang w:val="en" w:bidi="ar-EG"/>
        </w:rPr>
        <w:t xml:space="preserve"> </w:t>
      </w:r>
      <w:r w:rsidRPr="00EB44C4">
        <w:rPr>
          <w:rtl/>
          <w:lang w:bidi="ar"/>
        </w:rPr>
        <w:t>المالية</w:t>
      </w:r>
      <w:r w:rsidRPr="00EB44C4">
        <w:rPr>
          <w:lang w:val="en" w:bidi="ar-EG"/>
        </w:rPr>
        <w:t xml:space="preserve"> </w:t>
      </w:r>
      <w:r w:rsidRPr="00EB44C4">
        <w:rPr>
          <w:rtl/>
          <w:lang w:bidi="ar"/>
        </w:rPr>
        <w:t>تسوية</w:t>
      </w:r>
      <w:r w:rsidRPr="00EB44C4">
        <w:rPr>
          <w:lang w:val="en" w:bidi="ar-EG"/>
        </w:rPr>
        <w:t xml:space="preserve"> </w:t>
      </w:r>
      <w:r w:rsidRPr="00EB44C4">
        <w:rPr>
          <w:rtl/>
          <w:lang w:bidi="ar"/>
        </w:rPr>
        <w:t>بين</w:t>
      </w:r>
      <w:r w:rsidRPr="00EB44C4">
        <w:rPr>
          <w:lang w:val="en" w:bidi="ar-EG"/>
        </w:rPr>
        <w:t xml:space="preserve"> </w:t>
      </w:r>
      <w:r>
        <w:rPr>
          <w:rFonts w:hint="cs"/>
          <w:rtl/>
          <w:lang w:bidi="ar"/>
        </w:rPr>
        <w:t>النتائج</w:t>
      </w:r>
      <w:r w:rsidRPr="00EB44C4">
        <w:rPr>
          <w:lang w:val="en" w:bidi="ar-EG"/>
        </w:rPr>
        <w:t xml:space="preserve"> </w:t>
      </w:r>
      <w:r w:rsidRPr="00EB44C4">
        <w:rPr>
          <w:rtl/>
          <w:lang w:bidi="ar"/>
        </w:rPr>
        <w:t>المدرجة</w:t>
      </w:r>
      <w:r w:rsidRPr="00EB44C4">
        <w:rPr>
          <w:lang w:val="en" w:bidi="ar-EG"/>
        </w:rPr>
        <w:t xml:space="preserve"> </w:t>
      </w:r>
      <w:r w:rsidRPr="00EB44C4">
        <w:rPr>
          <w:rtl/>
          <w:lang w:bidi="ar"/>
        </w:rPr>
        <w:t>في</w:t>
      </w:r>
      <w:r w:rsidRPr="00EB44C4">
        <w:rPr>
          <w:lang w:val="en" w:bidi="ar-EG"/>
        </w:rPr>
        <w:t xml:space="preserve"> </w:t>
      </w:r>
      <w:r w:rsidRPr="00EB44C4">
        <w:rPr>
          <w:rtl/>
          <w:lang w:bidi="ar"/>
        </w:rPr>
        <w:t>الميزانية</w:t>
      </w:r>
      <w:r w:rsidRPr="00EB44C4">
        <w:rPr>
          <w:lang w:val="en" w:bidi="ar-EG"/>
        </w:rPr>
        <w:t xml:space="preserve"> </w:t>
      </w:r>
      <w:r>
        <w:rPr>
          <w:rFonts w:hint="cs"/>
          <w:rtl/>
          <w:lang w:bidi="ar"/>
        </w:rPr>
        <w:t>والنتائج</w:t>
      </w:r>
      <w:r w:rsidRPr="00EB44C4">
        <w:rPr>
          <w:lang w:val="en" w:bidi="ar-EG"/>
        </w:rPr>
        <w:t xml:space="preserve"> </w:t>
      </w:r>
      <w:r w:rsidRPr="00EB44C4">
        <w:rPr>
          <w:rtl/>
          <w:lang w:bidi="ar"/>
        </w:rPr>
        <w:t>المدرجة</w:t>
      </w:r>
      <w:r w:rsidRPr="00EB44C4">
        <w:rPr>
          <w:lang w:val="en" w:bidi="ar-EG"/>
        </w:rPr>
        <w:t xml:space="preserve"> </w:t>
      </w:r>
      <w:r w:rsidRPr="00EB44C4">
        <w:rPr>
          <w:rtl/>
          <w:lang w:bidi="ar"/>
        </w:rPr>
        <w:t>في</w:t>
      </w:r>
      <w:r w:rsidRPr="00EB44C4">
        <w:rPr>
          <w:lang w:val="en" w:bidi="ar-EG"/>
        </w:rPr>
        <w:t xml:space="preserve"> </w:t>
      </w:r>
      <w:r w:rsidRPr="00EB44C4">
        <w:rPr>
          <w:rtl/>
          <w:lang w:bidi="ar"/>
        </w:rPr>
        <w:t xml:space="preserve">المعايير المحاسبية الدولية للقطاع العام </w:t>
      </w:r>
      <w:r w:rsidRPr="00EB44C4">
        <w:rPr>
          <w:rtl/>
        </w:rPr>
        <w:t xml:space="preserve">(البيان الخامس). </w:t>
      </w:r>
      <w:r>
        <w:rPr>
          <w:rFonts w:hint="cs"/>
          <w:rtl/>
        </w:rPr>
        <w:t>ويُلاحظ</w:t>
      </w:r>
      <w:r w:rsidRPr="00EB44C4">
        <w:rPr>
          <w:rtl/>
        </w:rPr>
        <w:t xml:space="preserve"> أن بيان الأداء المالي (البيان الثاني) يشمل مجالات أخرى مثل المساهمات </w:t>
      </w:r>
      <w:r>
        <w:rPr>
          <w:rFonts w:hint="cs"/>
          <w:rtl/>
        </w:rPr>
        <w:t>الخارجة عن الميزانية</w:t>
      </w:r>
      <w:r w:rsidRPr="00EB44C4">
        <w:rPr>
          <w:rtl/>
        </w:rPr>
        <w:t xml:space="preserve"> والاستهلاك والاختلافات الأخرى في الكيانات غير المدرجة في الميزانية.</w:t>
      </w:r>
      <w:r w:rsidRPr="00EB44C4">
        <w:rPr>
          <w:rtl/>
          <w:lang w:bidi="ar"/>
        </w:rPr>
        <w:t xml:space="preserve"> ويبرز</w:t>
      </w:r>
      <w:r w:rsidRPr="00EB44C4">
        <w:rPr>
          <w:lang w:val="en" w:bidi="ar-EG"/>
        </w:rPr>
        <w:t xml:space="preserve"> </w:t>
      </w:r>
      <w:r w:rsidRPr="00EB44C4">
        <w:rPr>
          <w:rtl/>
          <w:lang w:bidi="ar"/>
        </w:rPr>
        <w:t>البيان</w:t>
      </w:r>
      <w:r w:rsidRPr="00EB44C4">
        <w:rPr>
          <w:lang w:val="en" w:bidi="ar-EG"/>
        </w:rPr>
        <w:t xml:space="preserve"> </w:t>
      </w:r>
      <w:r w:rsidRPr="00EB44C4">
        <w:rPr>
          <w:rtl/>
          <w:lang w:bidi="ar"/>
        </w:rPr>
        <w:t>الخامس</w:t>
      </w:r>
      <w:r w:rsidRPr="00EB44C4">
        <w:rPr>
          <w:lang w:val="en" w:bidi="ar-EG"/>
        </w:rPr>
        <w:t xml:space="preserve"> </w:t>
      </w:r>
      <w:r w:rsidRPr="00EB44C4">
        <w:rPr>
          <w:rtl/>
          <w:lang w:bidi="ar"/>
        </w:rPr>
        <w:t>الاختلافات</w:t>
      </w:r>
      <w:r w:rsidRPr="00EB44C4">
        <w:rPr>
          <w:lang w:val="en" w:bidi="ar-EG"/>
        </w:rPr>
        <w:t xml:space="preserve"> </w:t>
      </w:r>
      <w:r w:rsidRPr="00EB44C4">
        <w:rPr>
          <w:rtl/>
          <w:lang w:bidi="ar"/>
        </w:rPr>
        <w:t>الرئيسية</w:t>
      </w:r>
      <w:r w:rsidRPr="00EB44C4">
        <w:rPr>
          <w:lang w:val="en" w:bidi="ar-EG"/>
        </w:rPr>
        <w:t xml:space="preserve"> </w:t>
      </w:r>
      <w:r w:rsidRPr="00EB44C4">
        <w:rPr>
          <w:rtl/>
          <w:lang w:bidi="ar"/>
        </w:rPr>
        <w:t>في</w:t>
      </w:r>
      <w:r w:rsidRPr="00EB44C4">
        <w:rPr>
          <w:rtl/>
        </w:rPr>
        <w:t> </w:t>
      </w:r>
      <w:r w:rsidRPr="00EB44C4">
        <w:rPr>
          <w:rtl/>
          <w:lang w:bidi="ar"/>
        </w:rPr>
        <w:t>ميزانية</w:t>
      </w:r>
      <w:r w:rsidRPr="00EB44C4">
        <w:rPr>
          <w:lang w:val="en" w:bidi="ar-EG"/>
        </w:rPr>
        <w:t xml:space="preserve"> </w:t>
      </w:r>
      <w:r w:rsidRPr="00EB44C4">
        <w:rPr>
          <w:rtl/>
          <w:lang w:bidi="ar"/>
        </w:rPr>
        <w:t>المنظمة</w:t>
      </w:r>
      <w:r w:rsidRPr="00EB44C4">
        <w:rPr>
          <w:lang w:val="en" w:bidi="ar-EG"/>
        </w:rPr>
        <w:t xml:space="preserve"> </w:t>
      </w:r>
      <w:r w:rsidRPr="00EB44C4">
        <w:rPr>
          <w:rtl/>
          <w:lang w:bidi="ar"/>
        </w:rPr>
        <w:t>بالنسبة</w:t>
      </w:r>
      <w:r w:rsidRPr="00EB44C4">
        <w:rPr>
          <w:lang w:val="en" w:bidi="ar-EG"/>
        </w:rPr>
        <w:t xml:space="preserve"> </w:t>
      </w:r>
      <w:r w:rsidRPr="00EB44C4">
        <w:rPr>
          <w:rtl/>
          <w:lang w:bidi="ar"/>
        </w:rPr>
        <w:t>للإيرادات</w:t>
      </w:r>
      <w:r w:rsidRPr="00EB44C4">
        <w:rPr>
          <w:lang w:val="en" w:bidi="ar-EG"/>
        </w:rPr>
        <w:t xml:space="preserve"> </w:t>
      </w:r>
      <w:r w:rsidRPr="00EB44C4">
        <w:rPr>
          <w:rtl/>
          <w:lang w:bidi="ar"/>
        </w:rPr>
        <w:t>والمصروفات</w:t>
      </w:r>
      <w:r w:rsidRPr="00EB44C4">
        <w:rPr>
          <w:lang w:val="en" w:bidi="ar-EG"/>
        </w:rPr>
        <w:t xml:space="preserve"> </w:t>
      </w:r>
      <w:r w:rsidRPr="00EB44C4">
        <w:rPr>
          <w:rtl/>
          <w:lang w:bidi="ar"/>
        </w:rPr>
        <w:t>الإجمالية</w:t>
      </w:r>
      <w:r>
        <w:rPr>
          <w:rFonts w:hint="cs"/>
          <w:rtl/>
          <w:lang w:val="en" w:bidi="ar-SA"/>
        </w:rPr>
        <w:t xml:space="preserve">. </w:t>
      </w:r>
      <w:r>
        <w:rPr>
          <w:rFonts w:hint="cs"/>
          <w:rtl/>
          <w:lang w:val="en-GB" w:bidi="ar-SA"/>
        </w:rPr>
        <w:t>وتقدم ال</w:t>
      </w:r>
      <w:r w:rsidRPr="000954B7">
        <w:rPr>
          <w:rtl/>
          <w:lang w:val="en-GB" w:bidi="ar-SA"/>
        </w:rPr>
        <w:t xml:space="preserve">ملاحظة </w:t>
      </w:r>
      <w:r>
        <w:rPr>
          <w:rFonts w:hint="cs"/>
          <w:rtl/>
          <w:lang w:val="en-GB" w:bidi="ar-SA"/>
        </w:rPr>
        <w:t>21</w:t>
      </w:r>
      <w:r w:rsidRPr="000954B7">
        <w:rPr>
          <w:rtl/>
          <w:lang w:val="en-GB" w:bidi="ar-SA"/>
        </w:rPr>
        <w:t xml:space="preserve"> المزيد من التفاصيل </w:t>
      </w:r>
      <w:r>
        <w:rPr>
          <w:rFonts w:hint="cs"/>
          <w:rtl/>
          <w:lang w:val="en-GB" w:bidi="ar-SA"/>
        </w:rPr>
        <w:t xml:space="preserve">عن </w:t>
      </w:r>
      <w:r w:rsidRPr="000954B7">
        <w:rPr>
          <w:rtl/>
          <w:lang w:val="en-GB" w:bidi="ar-SA"/>
        </w:rPr>
        <w:t>التسوية بين المبالغ المعتمدة في الميزانية والمبالغ الفعلية</w:t>
      </w:r>
    </w:p>
    <w:p w14:paraId="61B6A656" w14:textId="07C2F9D8" w:rsidR="00083F2A" w:rsidRPr="00EB44C4" w:rsidRDefault="00083F2A" w:rsidP="00083F2A">
      <w:pPr>
        <w:pStyle w:val="Headingb0"/>
        <w:rPr>
          <w:lang w:bidi="ar-EG"/>
        </w:rPr>
      </w:pPr>
      <w:bookmarkStart w:id="10" w:name="_Toc452156580"/>
      <w:r w:rsidRPr="00EB44C4">
        <w:rPr>
          <w:rtl/>
        </w:rPr>
        <w:lastRenderedPageBreak/>
        <w:t>المسؤولية</w:t>
      </w:r>
      <w:bookmarkEnd w:id="10"/>
    </w:p>
    <w:p w14:paraId="371826A8" w14:textId="77777777" w:rsidR="00083F2A" w:rsidRPr="00EB44C4" w:rsidRDefault="00083F2A" w:rsidP="00083F2A">
      <w:pPr>
        <w:pStyle w:val="enumlev1"/>
        <w:rPr>
          <w:lang w:bidi="ar-EG"/>
        </w:rPr>
      </w:pPr>
      <w:r>
        <w:t>28</w:t>
      </w:r>
      <w:r w:rsidRPr="00EB44C4">
        <w:rPr>
          <w:lang w:bidi="ar-EG"/>
        </w:rPr>
        <w:tab/>
      </w:r>
      <w:r w:rsidRPr="00EB44C4">
        <w:rPr>
          <w:rtl/>
        </w:rPr>
        <w:t xml:space="preserve">وفقاً للمادة </w:t>
      </w:r>
      <w:r w:rsidRPr="00EB44C4">
        <w:rPr>
          <w:lang w:bidi="ar-EG"/>
        </w:rPr>
        <w:t>30</w:t>
      </w:r>
      <w:r w:rsidRPr="00EB44C4">
        <w:rPr>
          <w:rtl/>
        </w:rPr>
        <w:t xml:space="preserve"> من اللوائح المالية للاتحاد، </w:t>
      </w:r>
      <w:r>
        <w:rPr>
          <w:rFonts w:hint="cs"/>
          <w:rtl/>
        </w:rPr>
        <w:t>أُعدت</w:t>
      </w:r>
      <w:r w:rsidRPr="00EB44C4">
        <w:rPr>
          <w:rtl/>
        </w:rPr>
        <w:t xml:space="preserve"> البيانات المالية فيما يلي وفق معايير </w:t>
      </w:r>
      <w:r w:rsidRPr="00EB44C4">
        <w:rPr>
          <w:lang w:bidi="ar-EG"/>
        </w:rPr>
        <w:t>IPSAS</w:t>
      </w:r>
      <w:r w:rsidRPr="00EB44C4">
        <w:rPr>
          <w:rtl/>
        </w:rPr>
        <w:t>. وتعرض البيانات المالية والملاحظات المتصلة بها والتي تشكل جزءاً لا يتجزأ من هذه الوثيقة، صورة دقيقة للوضع المالي للاتحاد في </w:t>
      </w:r>
      <w:r w:rsidRPr="00EB44C4">
        <w:rPr>
          <w:lang w:bidi="ar-EG"/>
        </w:rPr>
        <w:t>31</w:t>
      </w:r>
      <w:r w:rsidRPr="00EB44C4">
        <w:rPr>
          <w:rtl/>
        </w:rPr>
        <w:t xml:space="preserve"> ديسمبر </w:t>
      </w:r>
      <w:r>
        <w:rPr>
          <w:lang w:bidi="ar-SA"/>
        </w:rPr>
        <w:t>2024</w:t>
      </w:r>
      <w:r w:rsidRPr="00EB44C4">
        <w:rPr>
          <w:rtl/>
        </w:rPr>
        <w:t>.</w:t>
      </w:r>
    </w:p>
    <w:p w14:paraId="348FC6B6" w14:textId="6AC6188C" w:rsidR="00083F2A" w:rsidRPr="00EB44C4" w:rsidRDefault="00083F2A" w:rsidP="00083F2A">
      <w:pPr>
        <w:pStyle w:val="enumlev2"/>
        <w:rPr>
          <w:rtl/>
        </w:rPr>
      </w:pPr>
      <w:bookmarkStart w:id="11" w:name="_Toc520365393"/>
      <w:r w:rsidRPr="00EB44C4">
        <w:rPr>
          <w:rtl/>
        </w:rPr>
        <w:t>أولاً</w:t>
      </w:r>
      <w:r w:rsidRPr="00EB44C4">
        <w:rPr>
          <w:rtl/>
        </w:rPr>
        <w:tab/>
        <w:t>بيان الوضع المالي</w:t>
      </w:r>
      <w:r w:rsidR="00E464E6">
        <w:rPr>
          <w:rFonts w:hint="cs"/>
          <w:rtl/>
        </w:rPr>
        <w:t xml:space="preserve"> - </w:t>
      </w:r>
      <w:r w:rsidRPr="00EB44C4">
        <w:rPr>
          <w:rtl/>
        </w:rPr>
        <w:t>الرصيد في </w:t>
      </w:r>
      <w:r w:rsidRPr="00EB44C4">
        <w:rPr>
          <w:lang w:bidi="ar-EG"/>
        </w:rPr>
        <w:t>31</w:t>
      </w:r>
      <w:r w:rsidRPr="00EB44C4">
        <w:rPr>
          <w:rtl/>
        </w:rPr>
        <w:t xml:space="preserve"> ديسمبر </w:t>
      </w:r>
      <w:bookmarkEnd w:id="11"/>
      <w:r>
        <w:t>2024</w:t>
      </w:r>
    </w:p>
    <w:p w14:paraId="0AC6F921" w14:textId="77777777" w:rsidR="00083F2A" w:rsidRPr="00EB44C4" w:rsidRDefault="00083F2A" w:rsidP="00083F2A">
      <w:pPr>
        <w:pStyle w:val="enumlev2"/>
        <w:rPr>
          <w:rtl/>
        </w:rPr>
      </w:pPr>
      <w:bookmarkStart w:id="12" w:name="_Toc520365394"/>
      <w:r w:rsidRPr="00EB44C4">
        <w:rPr>
          <w:rtl/>
        </w:rPr>
        <w:t>ثانياً</w:t>
      </w:r>
      <w:r w:rsidRPr="00EB44C4">
        <w:rPr>
          <w:rtl/>
        </w:rPr>
        <w:tab/>
        <w:t xml:space="preserve">بيان الأداء المالي </w:t>
      </w:r>
      <w:bookmarkStart w:id="13" w:name="_Hlk160390474"/>
      <w:r w:rsidRPr="00EB44C4">
        <w:rPr>
          <w:rtl/>
        </w:rPr>
        <w:t xml:space="preserve">للسنة </w:t>
      </w:r>
      <w:bookmarkEnd w:id="13"/>
      <w:r w:rsidRPr="00EB44C4">
        <w:rPr>
          <w:rtl/>
        </w:rPr>
        <w:t>المنتهية في </w:t>
      </w:r>
      <w:r w:rsidRPr="00EB44C4">
        <w:rPr>
          <w:lang w:bidi="ar-EG"/>
        </w:rPr>
        <w:t>31</w:t>
      </w:r>
      <w:r w:rsidRPr="00EB44C4">
        <w:rPr>
          <w:rtl/>
        </w:rPr>
        <w:t xml:space="preserve"> ديسمبر </w:t>
      </w:r>
      <w:bookmarkEnd w:id="12"/>
      <w:r>
        <w:t>2024</w:t>
      </w:r>
    </w:p>
    <w:p w14:paraId="0E5025A2" w14:textId="77777777" w:rsidR="00083F2A" w:rsidRPr="00EB44C4" w:rsidRDefault="00083F2A" w:rsidP="00083F2A">
      <w:pPr>
        <w:pStyle w:val="enumlev2"/>
        <w:rPr>
          <w:rtl/>
        </w:rPr>
      </w:pPr>
      <w:bookmarkStart w:id="14" w:name="_Toc520365395"/>
      <w:r w:rsidRPr="00EB44C4">
        <w:rPr>
          <w:rtl/>
        </w:rPr>
        <w:t>ثالثاً</w:t>
      </w:r>
      <w:r w:rsidRPr="00EB44C4">
        <w:rPr>
          <w:rtl/>
        </w:rPr>
        <w:tab/>
        <w:t>بيان الاختلافات في صافي الأصول للسنة المنتهية في </w:t>
      </w:r>
      <w:r w:rsidRPr="00EB44C4">
        <w:rPr>
          <w:lang w:bidi="ar-EG"/>
        </w:rPr>
        <w:t>31</w:t>
      </w:r>
      <w:r w:rsidRPr="00EB44C4">
        <w:rPr>
          <w:rtl/>
        </w:rPr>
        <w:t xml:space="preserve"> ديسمبر </w:t>
      </w:r>
      <w:bookmarkEnd w:id="14"/>
      <w:r>
        <w:t>2024</w:t>
      </w:r>
    </w:p>
    <w:p w14:paraId="33C065A2" w14:textId="77777777" w:rsidR="00083F2A" w:rsidRPr="00EB44C4" w:rsidRDefault="00083F2A" w:rsidP="00083F2A">
      <w:pPr>
        <w:pStyle w:val="enumlev2"/>
        <w:rPr>
          <w:rtl/>
        </w:rPr>
      </w:pPr>
      <w:bookmarkStart w:id="15" w:name="_Toc520365396"/>
      <w:r w:rsidRPr="00EB44C4">
        <w:rPr>
          <w:rtl/>
        </w:rPr>
        <w:t>رابعاً</w:t>
      </w:r>
      <w:r w:rsidRPr="00EB44C4">
        <w:rPr>
          <w:rtl/>
        </w:rPr>
        <w:tab/>
        <w:t>بيان التدفقات النقدية للسنة المنتهية في </w:t>
      </w:r>
      <w:r w:rsidRPr="00EB44C4">
        <w:rPr>
          <w:lang w:bidi="ar-EG"/>
        </w:rPr>
        <w:t>31</w:t>
      </w:r>
      <w:r w:rsidRPr="00EB44C4">
        <w:rPr>
          <w:rtl/>
        </w:rPr>
        <w:t xml:space="preserve"> ديسمبر </w:t>
      </w:r>
      <w:bookmarkEnd w:id="15"/>
      <w:r>
        <w:t>2024</w:t>
      </w:r>
    </w:p>
    <w:p w14:paraId="7707D103" w14:textId="77777777" w:rsidR="00083F2A" w:rsidRPr="00EB44C4" w:rsidRDefault="00083F2A" w:rsidP="00083F2A">
      <w:pPr>
        <w:pStyle w:val="enumlev2"/>
        <w:rPr>
          <w:rtl/>
        </w:rPr>
      </w:pPr>
      <w:bookmarkStart w:id="16" w:name="_Toc520365397"/>
      <w:r w:rsidRPr="00EB44C4">
        <w:rPr>
          <w:rtl/>
        </w:rPr>
        <w:t>خامساً</w:t>
      </w:r>
      <w:r w:rsidRPr="00EB44C4">
        <w:rPr>
          <w:rtl/>
        </w:rPr>
        <w:tab/>
        <w:t xml:space="preserve">بيان </w:t>
      </w:r>
      <w:r>
        <w:rPr>
          <w:rFonts w:hint="cs"/>
          <w:rtl/>
        </w:rPr>
        <w:t>ال</w:t>
      </w:r>
      <w:r w:rsidRPr="00EB44C4">
        <w:rPr>
          <w:rtl/>
        </w:rPr>
        <w:t>مقارنة</w:t>
      </w:r>
      <w:r>
        <w:rPr>
          <w:rFonts w:hint="cs"/>
          <w:rtl/>
        </w:rPr>
        <w:t>:</w:t>
      </w:r>
      <w:r w:rsidRPr="00EB44C4">
        <w:rPr>
          <w:rtl/>
        </w:rPr>
        <w:t xml:space="preserve"> </w:t>
      </w:r>
      <w:r>
        <w:rPr>
          <w:rFonts w:hint="cs"/>
          <w:rtl/>
        </w:rPr>
        <w:t>الميزانية و</w:t>
      </w:r>
      <w:r w:rsidRPr="00EB44C4">
        <w:rPr>
          <w:rtl/>
        </w:rPr>
        <w:t xml:space="preserve">المبالغ الفعلية </w:t>
      </w:r>
      <w:bookmarkEnd w:id="16"/>
      <w:r w:rsidRPr="00EB44C4">
        <w:rPr>
          <w:rtl/>
        </w:rPr>
        <w:t xml:space="preserve">للسنة المنتهية في 31 ديسمبر </w:t>
      </w:r>
      <w:r>
        <w:t>2024</w:t>
      </w:r>
    </w:p>
    <w:p w14:paraId="01EA6624" w14:textId="77777777" w:rsidR="00083F2A" w:rsidRPr="00EB44C4" w:rsidRDefault="00083F2A" w:rsidP="00083F2A">
      <w:pPr>
        <w:pStyle w:val="Headingb0"/>
        <w:rPr>
          <w:lang w:bidi="ar-EG"/>
        </w:rPr>
      </w:pPr>
      <w:r w:rsidRPr="00EB44C4">
        <w:rPr>
          <w:rtl/>
        </w:rPr>
        <w:t>المراجعة الخارجية لحسابات الاتحاد</w:t>
      </w:r>
    </w:p>
    <w:p w14:paraId="7B2749CE" w14:textId="77777777" w:rsidR="00E464E6" w:rsidRDefault="00083F2A" w:rsidP="00A05F03">
      <w:pPr>
        <w:pStyle w:val="enumlev1"/>
        <w:rPr>
          <w:rtl/>
          <w:lang w:bidi="ar-EG"/>
        </w:rPr>
      </w:pPr>
      <w:r>
        <w:rPr>
          <w:lang w:bidi="ar-EG"/>
        </w:rPr>
        <w:t>29</w:t>
      </w:r>
      <w:r w:rsidRPr="00EB44C4">
        <w:rPr>
          <w:lang w:bidi="ar-EG"/>
        </w:rPr>
        <w:tab/>
      </w:r>
      <w:r w:rsidRPr="00EB44C4">
        <w:rPr>
          <w:rtl/>
        </w:rPr>
        <w:t xml:space="preserve">عملاً بالمادة 28 من اللوائح المالية والقواعد المالية، وعملاً بالمقرر 621 الصادر عن المجلس في دورته لعام 2020، عُيِّن المكتب الوطني لمراجعة الحسابات في المملكة المتحدة لبريطانيا العظمى وأيرلندا الشمالية، كمراجع خارجي لحسابات الاتحاد، على نحو ما قرره مؤتمر المندوبين المفوضين </w:t>
      </w:r>
      <w:r>
        <w:rPr>
          <w:rFonts w:hint="cs"/>
          <w:rtl/>
        </w:rPr>
        <w:t xml:space="preserve">للاتحاد </w:t>
      </w:r>
      <w:r w:rsidRPr="00EB44C4">
        <w:rPr>
          <w:rtl/>
        </w:rPr>
        <w:t>ولمدة أربع سنوات</w:t>
      </w:r>
      <w:r>
        <w:rPr>
          <w:rFonts w:hint="cs"/>
          <w:rtl/>
          <w:lang w:bidi="ar-EG"/>
        </w:rPr>
        <w:t>.</w:t>
      </w:r>
    </w:p>
    <w:p w14:paraId="485DAA1B" w14:textId="4CA899F6" w:rsidR="00083F2A" w:rsidRPr="003215B6" w:rsidRDefault="00083F2A" w:rsidP="00E464E6">
      <w:pPr>
        <w:rPr>
          <w:lang w:val="en-GB" w:bidi="ar-EG"/>
        </w:rPr>
      </w:pPr>
      <w:r>
        <w:rPr>
          <w:rtl/>
          <w:lang w:bidi="ar-EG"/>
        </w:rPr>
        <w:br w:type="page"/>
      </w:r>
    </w:p>
    <w:p w14:paraId="4C53A5C6" w14:textId="77777777" w:rsidR="00083F2A" w:rsidRPr="005269E6" w:rsidRDefault="00083F2A" w:rsidP="00083F2A">
      <w:pPr>
        <w:pStyle w:val="Figure"/>
      </w:pPr>
      <w:r w:rsidRPr="005269E6">
        <w:lastRenderedPageBreak/>
        <w:drawing>
          <wp:inline distT="0" distB="0" distL="0" distR="0" wp14:anchorId="1699016F" wp14:editId="06D8BD25">
            <wp:extent cx="682402" cy="720000"/>
            <wp:effectExtent l="0" t="0" r="3810" b="4445"/>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p w14:paraId="400B8036" w14:textId="77777777" w:rsidR="00083F2A" w:rsidRPr="009F4F01" w:rsidRDefault="00083F2A" w:rsidP="00731684">
      <w:pPr>
        <w:pStyle w:val="Heading1"/>
        <w:spacing w:before="2040"/>
        <w:jc w:val="center"/>
        <w:rPr>
          <w:color w:val="auto"/>
          <w:rtl/>
        </w:rPr>
      </w:pPr>
      <w:bookmarkStart w:id="17" w:name="_Toc397499182"/>
      <w:bookmarkStart w:id="18" w:name="_Toc397499890"/>
      <w:bookmarkStart w:id="19" w:name="_Toc419483224"/>
      <w:bookmarkStart w:id="20" w:name="_Toc452156138"/>
      <w:bookmarkStart w:id="21" w:name="_Toc452156583"/>
      <w:bookmarkStart w:id="22" w:name="_Toc511402196"/>
      <w:bookmarkStart w:id="23" w:name="_Toc520370545"/>
      <w:bookmarkStart w:id="24" w:name="_Toc9599201"/>
      <w:bookmarkStart w:id="25" w:name="_Toc9614681"/>
      <w:bookmarkStart w:id="26" w:name="_Toc9614753"/>
      <w:bookmarkStart w:id="27" w:name="_Toc42013340"/>
      <w:bookmarkStart w:id="28" w:name="_Toc42013513"/>
      <w:bookmarkStart w:id="29" w:name="_Toc42013893"/>
      <w:bookmarkStart w:id="30" w:name="_Toc42014509"/>
      <w:bookmarkStart w:id="31" w:name="_Toc74060889"/>
      <w:bookmarkStart w:id="32" w:name="_Toc74061030"/>
      <w:bookmarkStart w:id="33" w:name="_Toc74061152"/>
      <w:bookmarkStart w:id="34" w:name="_Toc74061266"/>
      <w:bookmarkStart w:id="35" w:name="_Toc74061541"/>
      <w:bookmarkStart w:id="36" w:name="_Toc112250624"/>
      <w:bookmarkStart w:id="37" w:name="_Toc112318079"/>
      <w:bookmarkStart w:id="38" w:name="_Toc112318649"/>
      <w:bookmarkStart w:id="39" w:name="_Toc199403732"/>
      <w:bookmarkStart w:id="40" w:name="_Toc201043136"/>
      <w:r w:rsidRPr="009F4F01">
        <w:rPr>
          <w:color w:val="auto"/>
          <w:rtl/>
        </w:rPr>
        <w:t xml:space="preserve">بيان عن الرقابة الداخلية لعام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9F4F01">
        <w:rPr>
          <w:color w:val="auto"/>
        </w:rPr>
        <w:t>2024</w:t>
      </w:r>
      <w:bookmarkEnd w:id="39"/>
      <w:bookmarkEnd w:id="40"/>
    </w:p>
    <w:p w14:paraId="144264F2" w14:textId="77777777" w:rsidR="00083F2A" w:rsidRPr="005269E6" w:rsidRDefault="00083F2A" w:rsidP="00731684">
      <w:pPr>
        <w:pStyle w:val="Headingb0"/>
        <w:spacing w:before="2040"/>
        <w:jc w:val="center"/>
        <w:rPr>
          <w:lang w:bidi="ar-SY"/>
        </w:rPr>
      </w:pPr>
      <w:r w:rsidRPr="005269E6">
        <w:rPr>
          <w:rtl/>
          <w:lang w:bidi="ar-SY"/>
        </w:rPr>
        <w:t>الاتحاد الدولي للاتصالات، جنيف</w:t>
      </w:r>
    </w:p>
    <w:p w14:paraId="52275CC6" w14:textId="77777777" w:rsidR="00083F2A" w:rsidRPr="005269E6" w:rsidRDefault="00083F2A" w:rsidP="00083F2A">
      <w:pPr>
        <w:tabs>
          <w:tab w:val="clear" w:pos="794"/>
        </w:tabs>
        <w:spacing w:before="0" w:after="160" w:line="259" w:lineRule="auto"/>
        <w:jc w:val="left"/>
        <w:rPr>
          <w:rtl/>
        </w:rPr>
      </w:pPr>
      <w:r w:rsidRPr="005269E6">
        <w:rPr>
          <w:rtl/>
        </w:rPr>
        <w:br w:type="page"/>
      </w:r>
    </w:p>
    <w:p w14:paraId="4B1EEEFF" w14:textId="77777777" w:rsidR="00083F2A" w:rsidRPr="00BD0C93" w:rsidRDefault="00083F2A" w:rsidP="00BD0C93">
      <w:pPr>
        <w:pStyle w:val="Headingb"/>
        <w:jc w:val="center"/>
        <w:rPr>
          <w:sz w:val="26"/>
          <w:szCs w:val="26"/>
        </w:rPr>
      </w:pPr>
      <w:bookmarkStart w:id="41" w:name="_Toc162520610"/>
      <w:bookmarkStart w:id="42" w:name="_Toc199403733"/>
      <w:r w:rsidRPr="00BD0C93">
        <w:rPr>
          <w:sz w:val="26"/>
          <w:szCs w:val="26"/>
          <w:rtl/>
        </w:rPr>
        <w:lastRenderedPageBreak/>
        <w:t xml:space="preserve">بيان </w:t>
      </w:r>
      <w:r w:rsidRPr="00BD0C93">
        <w:rPr>
          <w:rFonts w:hint="cs"/>
          <w:sz w:val="26"/>
          <w:szCs w:val="26"/>
          <w:rtl/>
        </w:rPr>
        <w:t>عن</w:t>
      </w:r>
      <w:r w:rsidRPr="00BD0C93">
        <w:rPr>
          <w:sz w:val="26"/>
          <w:szCs w:val="26"/>
          <w:rtl/>
        </w:rPr>
        <w:t xml:space="preserve"> الرقابة الداخلية لعام </w:t>
      </w:r>
      <w:bookmarkEnd w:id="41"/>
      <w:r w:rsidRPr="00BD0C93">
        <w:rPr>
          <w:rFonts w:hint="cs"/>
          <w:sz w:val="26"/>
          <w:szCs w:val="26"/>
          <w:rtl/>
        </w:rPr>
        <w:t>2024</w:t>
      </w:r>
      <w:bookmarkEnd w:id="42"/>
    </w:p>
    <w:p w14:paraId="7CC38905" w14:textId="77777777" w:rsidR="00083F2A" w:rsidRPr="005269E6" w:rsidRDefault="00083F2A" w:rsidP="00BD0C93">
      <w:pPr>
        <w:pStyle w:val="Headingb"/>
        <w:rPr>
          <w:rtl/>
          <w:lang w:bidi="ar-SY"/>
        </w:rPr>
      </w:pPr>
      <w:r>
        <w:rPr>
          <w:rFonts w:hint="cs"/>
          <w:rtl/>
        </w:rPr>
        <w:t>مقدمة</w:t>
      </w:r>
    </w:p>
    <w:p w14:paraId="746C8398" w14:textId="77777777" w:rsidR="00083F2A" w:rsidRPr="00DC5E43" w:rsidRDefault="00083F2A" w:rsidP="00577524">
      <w:pPr>
        <w:rPr>
          <w:spacing w:val="-4"/>
          <w:rtl/>
        </w:rPr>
      </w:pPr>
      <w:r w:rsidRPr="00DC5E43">
        <w:rPr>
          <w:spacing w:val="-4"/>
          <w:rtl/>
          <w:lang w:eastAsia="en-US"/>
        </w:rPr>
        <w:t>أتولى، بصفتي الأمينة العامة، عهدة إدارة الاتحاد الدولي للاتصالات؛ ل</w:t>
      </w:r>
      <w:r w:rsidRPr="00DC5E43">
        <w:rPr>
          <w:rFonts w:hint="cs"/>
          <w:spacing w:val="-4"/>
          <w:rtl/>
          <w:lang w:eastAsia="en-US"/>
        </w:rPr>
        <w:t xml:space="preserve">ضمان </w:t>
      </w:r>
      <w:r w:rsidRPr="00DC5E43">
        <w:rPr>
          <w:spacing w:val="-4"/>
          <w:rtl/>
          <w:lang w:eastAsia="en-US"/>
        </w:rPr>
        <w:t xml:space="preserve">تنفيذ ولايته وبرامجه وأنشطته الأخرى. </w:t>
      </w:r>
      <w:r w:rsidRPr="00DC5E43">
        <w:rPr>
          <w:rFonts w:hint="cs"/>
          <w:spacing w:val="-4"/>
          <w:rtl/>
        </w:rPr>
        <w:t>و</w:t>
      </w:r>
      <w:r w:rsidRPr="00DC5E43">
        <w:rPr>
          <w:spacing w:val="-4"/>
          <w:rtl/>
        </w:rPr>
        <w:t xml:space="preserve">وفقاً </w:t>
      </w:r>
      <w:r w:rsidRPr="00DC5E43">
        <w:rPr>
          <w:rFonts w:hint="cs"/>
          <w:spacing w:val="-4"/>
          <w:rtl/>
        </w:rPr>
        <w:t>ل</w:t>
      </w:r>
      <w:r w:rsidRPr="00DC5E43">
        <w:rPr>
          <w:spacing w:val="-4"/>
          <w:rtl/>
        </w:rPr>
        <w:t>أحكام الرقمين 73 مكرراً و75 من الدستور (المادة 11)، و</w:t>
      </w:r>
      <w:r w:rsidRPr="00DC5E43">
        <w:rPr>
          <w:rFonts w:hint="cs"/>
          <w:spacing w:val="-4"/>
          <w:rtl/>
        </w:rPr>
        <w:t>اللوائح المالية و</w:t>
      </w:r>
      <w:r w:rsidRPr="00DC5E43">
        <w:rPr>
          <w:spacing w:val="-4"/>
          <w:rtl/>
        </w:rPr>
        <w:t>القواعد المالية</w:t>
      </w:r>
      <w:r w:rsidRPr="00DC5E43">
        <w:rPr>
          <w:rFonts w:hint="cs"/>
          <w:spacing w:val="-4"/>
          <w:rtl/>
        </w:rPr>
        <w:t xml:space="preserve">، أتحمل المسؤولية عن الحفاظ </w:t>
      </w:r>
      <w:r w:rsidRPr="00DC5E43">
        <w:rPr>
          <w:spacing w:val="-4"/>
          <w:rtl/>
        </w:rPr>
        <w:t xml:space="preserve">على نظام من الضوابط الداخلية المصممة لتوفير ضمانات معقولة </w:t>
      </w:r>
      <w:r w:rsidRPr="00DC5E43">
        <w:rPr>
          <w:rFonts w:hint="cs"/>
          <w:spacing w:val="-4"/>
          <w:rtl/>
        </w:rPr>
        <w:t>فيما يتعلق ب</w:t>
      </w:r>
      <w:r w:rsidRPr="00DC5E43">
        <w:rPr>
          <w:spacing w:val="-4"/>
          <w:rtl/>
        </w:rPr>
        <w:t xml:space="preserve">تحقيق </w:t>
      </w:r>
      <w:r w:rsidRPr="00DC5E43">
        <w:rPr>
          <w:rFonts w:hint="cs"/>
          <w:spacing w:val="-4"/>
          <w:rtl/>
        </w:rPr>
        <w:t>أهداف الاتحاد،</w:t>
      </w:r>
      <w:r w:rsidRPr="00DC5E43">
        <w:rPr>
          <w:spacing w:val="-4"/>
          <w:rtl/>
        </w:rPr>
        <w:t xml:space="preserve"> </w:t>
      </w:r>
      <w:r w:rsidRPr="00DC5E43">
        <w:rPr>
          <w:rFonts w:hint="cs"/>
          <w:spacing w:val="-4"/>
          <w:rtl/>
        </w:rPr>
        <w:t>والتي تشمل</w:t>
      </w:r>
      <w:r w:rsidRPr="00DC5E43">
        <w:rPr>
          <w:spacing w:val="-4"/>
          <w:rtl/>
        </w:rPr>
        <w:t xml:space="preserve"> </w:t>
      </w:r>
      <w:r w:rsidRPr="00DC5E43">
        <w:rPr>
          <w:rFonts w:hint="cs"/>
          <w:spacing w:val="-4"/>
          <w:rtl/>
        </w:rPr>
        <w:t xml:space="preserve">ضمان </w:t>
      </w:r>
      <w:r w:rsidRPr="00DC5E43">
        <w:rPr>
          <w:spacing w:val="-4"/>
          <w:rtl/>
        </w:rPr>
        <w:t>الإبلاغ المالي وغير المالي الموثوق، وفعالية وكفاءة العمليات والالتزام باللوائح والقواعد والأوامر الإدارية والسياسات</w:t>
      </w:r>
      <w:r w:rsidRPr="00DC5E43">
        <w:rPr>
          <w:rFonts w:hint="cs"/>
          <w:spacing w:val="-4"/>
          <w:rtl/>
        </w:rPr>
        <w:t>، فضلاً عن منع الأنشطة الاحتيالية وكشفها.</w:t>
      </w:r>
    </w:p>
    <w:p w14:paraId="020144F3" w14:textId="6049FD78" w:rsidR="00083F2A" w:rsidRPr="00E832A1" w:rsidRDefault="00083F2A" w:rsidP="00577524">
      <w:pPr>
        <w:rPr>
          <w:lang w:eastAsia="en-US" w:bidi="ar-SY"/>
        </w:rPr>
      </w:pPr>
      <w:r>
        <w:rPr>
          <w:rFonts w:hint="cs"/>
          <w:rtl/>
          <w:lang w:eastAsia="en-US" w:bidi="ar-EG"/>
        </w:rPr>
        <w:t>و</w:t>
      </w:r>
      <w:r w:rsidRPr="00D253A4">
        <w:rPr>
          <w:rtl/>
          <w:lang w:eastAsia="en-US" w:bidi="ar-EG"/>
        </w:rPr>
        <w:t>عند تولي منصب الأمين</w:t>
      </w:r>
      <w:r>
        <w:rPr>
          <w:rFonts w:hint="cs"/>
          <w:rtl/>
          <w:lang w:eastAsia="en-US" w:bidi="ar-EG"/>
        </w:rPr>
        <w:t>ة</w:t>
      </w:r>
      <w:r w:rsidRPr="00D253A4">
        <w:rPr>
          <w:rtl/>
          <w:lang w:eastAsia="en-US" w:bidi="ar-EG"/>
        </w:rPr>
        <w:t xml:space="preserve"> العام</w:t>
      </w:r>
      <w:r>
        <w:rPr>
          <w:rFonts w:hint="cs"/>
          <w:rtl/>
          <w:lang w:eastAsia="en-US" w:bidi="ar-EG"/>
        </w:rPr>
        <w:t>ة</w:t>
      </w:r>
      <w:r w:rsidRPr="00D253A4">
        <w:rPr>
          <w:rtl/>
          <w:lang w:eastAsia="en-US" w:bidi="ar-EG"/>
        </w:rPr>
        <w:t xml:space="preserve"> في يناير 2023، بادرتُ إلى إطلاق جهود لتحويل الاتحاد </w:t>
      </w:r>
      <w:r>
        <w:rPr>
          <w:rFonts w:hint="cs"/>
          <w:rtl/>
          <w:lang w:eastAsia="en-US" w:bidi="ar-EG"/>
        </w:rPr>
        <w:t>ل</w:t>
      </w:r>
      <w:r w:rsidRPr="00D253A4">
        <w:rPr>
          <w:rtl/>
          <w:lang w:eastAsia="en-US" w:bidi="ar-EG"/>
        </w:rPr>
        <w:t xml:space="preserve">مواجهة التحديات التشغيلية سريعة التطور </w:t>
      </w:r>
      <w:r>
        <w:rPr>
          <w:rFonts w:hint="cs"/>
          <w:rtl/>
          <w:lang w:eastAsia="en-US" w:bidi="ar-EG"/>
        </w:rPr>
        <w:t>بهدف ا</w:t>
      </w:r>
      <w:r w:rsidRPr="00D253A4">
        <w:rPr>
          <w:rtl/>
          <w:lang w:eastAsia="en-US" w:bidi="ar-EG"/>
        </w:rPr>
        <w:t>لحفاظ على تقديم الخدمات وتحسينه</w:t>
      </w:r>
      <w:r>
        <w:rPr>
          <w:rFonts w:hint="cs"/>
          <w:rtl/>
          <w:lang w:eastAsia="en-US" w:bidi="ar-EG"/>
        </w:rPr>
        <w:t>ا</w:t>
      </w:r>
      <w:r w:rsidRPr="00D253A4">
        <w:rPr>
          <w:rtl/>
          <w:lang w:eastAsia="en-US" w:bidi="ar-EG"/>
        </w:rPr>
        <w:t xml:space="preserve">. </w:t>
      </w:r>
      <w:r>
        <w:rPr>
          <w:rFonts w:hint="cs"/>
          <w:rtl/>
          <w:lang w:eastAsia="en-US" w:bidi="ar-EG"/>
        </w:rPr>
        <w:t>ويشمل</w:t>
      </w:r>
      <w:r w:rsidRPr="00D253A4">
        <w:rPr>
          <w:rtl/>
          <w:lang w:eastAsia="en-US" w:bidi="ar-EG"/>
        </w:rPr>
        <w:t xml:space="preserve"> ذلك بشكل خاص تعزيز ثقافة عمل قائمة على المساءلة والشفافية، وتحسين </w:t>
      </w:r>
      <w:r>
        <w:rPr>
          <w:rFonts w:hint="cs"/>
          <w:rtl/>
          <w:lang w:eastAsia="en-US" w:bidi="ar-EG"/>
        </w:rPr>
        <w:t>أنظمة</w:t>
      </w:r>
      <w:r w:rsidRPr="00D253A4">
        <w:rPr>
          <w:rtl/>
          <w:lang w:eastAsia="en-US" w:bidi="ar-EG"/>
        </w:rPr>
        <w:t xml:space="preserve"> المعلومات، ودمج إدارة المخاطر في العمليات المؤسسية، وتعزيز الضوابط الداخلية، وتحسين الاستجابة للتوصيات الصادرة عن مقدمي خدمات الضمان المستقلين.</w:t>
      </w:r>
    </w:p>
    <w:p w14:paraId="115486D6" w14:textId="77777777" w:rsidR="00901AD0" w:rsidRDefault="00083F2A" w:rsidP="00577524">
      <w:pPr>
        <w:rPr>
          <w:rtl/>
          <w:lang w:eastAsia="en-US" w:bidi="ar-EG"/>
        </w:rPr>
      </w:pPr>
      <w:r>
        <w:rPr>
          <w:rFonts w:hint="cs"/>
          <w:rtl/>
          <w:lang w:eastAsia="en-US" w:bidi="ar-EG"/>
        </w:rPr>
        <w:t>ووافق المجلس في دورته لعام 2024</w:t>
      </w:r>
      <w:r w:rsidRPr="002204B8">
        <w:rPr>
          <w:rtl/>
          <w:lang w:eastAsia="en-US" w:bidi="ar-EG"/>
        </w:rPr>
        <w:t xml:space="preserve"> على خارطة طريق التحول. ويهدف هذا التحول إلى إعداد المنظمة لمتطلبات المستقبل في ظل مشهد تكنولوجي سريع التطور. وقد دعم </w:t>
      </w:r>
      <w:r>
        <w:rPr>
          <w:rFonts w:hint="cs"/>
          <w:rtl/>
          <w:lang w:eastAsia="en-US" w:bidi="ar-EG"/>
        </w:rPr>
        <w:t>صنّاع</w:t>
      </w:r>
      <w:r w:rsidRPr="002204B8">
        <w:rPr>
          <w:rtl/>
          <w:lang w:eastAsia="en-US" w:bidi="ar-EG"/>
        </w:rPr>
        <w:t xml:space="preserve"> التغيير من مختلف </w:t>
      </w:r>
      <w:r>
        <w:rPr>
          <w:rFonts w:hint="cs"/>
          <w:rtl/>
          <w:lang w:eastAsia="en-US" w:bidi="ar-EG"/>
        </w:rPr>
        <w:t>قطاعات</w:t>
      </w:r>
      <w:r w:rsidRPr="002204B8">
        <w:rPr>
          <w:rtl/>
          <w:lang w:eastAsia="en-US" w:bidi="ar-EG"/>
        </w:rPr>
        <w:t xml:space="preserve"> المنظمة هذه العملية. </w:t>
      </w:r>
      <w:r>
        <w:rPr>
          <w:rFonts w:hint="cs"/>
          <w:rtl/>
          <w:lang w:eastAsia="en-US" w:bidi="ar-EG"/>
        </w:rPr>
        <w:t>و</w:t>
      </w:r>
      <w:r w:rsidRPr="002204B8">
        <w:rPr>
          <w:rtl/>
          <w:lang w:eastAsia="en-US" w:bidi="ar-EG"/>
        </w:rPr>
        <w:t xml:space="preserve">في سبتمبر 2024، </w:t>
      </w:r>
      <w:r>
        <w:rPr>
          <w:rFonts w:hint="cs"/>
          <w:rtl/>
          <w:lang w:eastAsia="en-US" w:bidi="ar-EG"/>
        </w:rPr>
        <w:t>عُيّن</w:t>
      </w:r>
      <w:r w:rsidRPr="002204B8">
        <w:rPr>
          <w:rtl/>
          <w:lang w:eastAsia="en-US" w:bidi="ar-EG"/>
        </w:rPr>
        <w:t xml:space="preserve"> رئيس فريق التحول للمساعدة في تنسيق جهود التحول. ولهذا الغرض، تم إدخال </w:t>
      </w:r>
      <w:r>
        <w:rPr>
          <w:color w:val="000000"/>
          <w:rtl/>
        </w:rPr>
        <w:t xml:space="preserve">لوحة متابعة التحول </w:t>
      </w:r>
      <w:r w:rsidRPr="002204B8">
        <w:rPr>
          <w:rtl/>
          <w:lang w:eastAsia="en-US" w:bidi="ar-EG"/>
        </w:rPr>
        <w:t xml:space="preserve">لتزويد الدول الأعضاء وأصحاب المصلحة الآخرين بمعلومات محدثة عن التقدم المُحرز. ويركز التحول على العمليات الإدارية وأنظمة الدعم والضوابط الداخلية، </w:t>
      </w:r>
      <w:r>
        <w:rPr>
          <w:rFonts w:hint="cs"/>
          <w:rtl/>
          <w:lang w:eastAsia="en-US" w:bidi="ar-EG"/>
        </w:rPr>
        <w:t>غير أنه يمثل</w:t>
      </w:r>
      <w:r w:rsidRPr="002204B8">
        <w:rPr>
          <w:rtl/>
          <w:lang w:eastAsia="en-US" w:bidi="ar-EG"/>
        </w:rPr>
        <w:t xml:space="preserve"> جهوداً على مستوى المنظمة بأكملها بمشاركة جميع الموظفين.</w:t>
      </w:r>
    </w:p>
    <w:p w14:paraId="04AFA8B9" w14:textId="7AFB2F5A" w:rsidR="00083F2A" w:rsidRPr="00E832A1" w:rsidRDefault="00083F2A" w:rsidP="00083F2A">
      <w:pPr>
        <w:pStyle w:val="Headingb"/>
        <w:rPr>
          <w:rtl/>
          <w:lang w:val="en-GB" w:eastAsia="en-US"/>
        </w:rPr>
      </w:pPr>
      <w:r w:rsidRPr="001C64DE">
        <w:rPr>
          <w:rtl/>
          <w:lang w:val="en-GB" w:eastAsia="en-US" w:bidi="ar-EG"/>
        </w:rPr>
        <w:t>فعالية نظام الرقابة الداخلية والتحسين المستمر</w:t>
      </w:r>
    </w:p>
    <w:p w14:paraId="61E86FA7" w14:textId="77777777" w:rsidR="00083F2A" w:rsidRPr="00E832A1" w:rsidRDefault="00083F2A" w:rsidP="00083F2A">
      <w:pPr>
        <w:rPr>
          <w:lang w:val="en-GB" w:eastAsia="en-US" w:bidi="ar-SY"/>
        </w:rPr>
      </w:pPr>
      <w:r>
        <w:rPr>
          <w:rFonts w:hint="cs"/>
          <w:rtl/>
          <w:lang w:val="en-GB" w:eastAsia="en-US" w:bidi="ar-EG"/>
        </w:rPr>
        <w:t>بغية</w:t>
      </w:r>
      <w:r w:rsidRPr="001C64DE">
        <w:rPr>
          <w:rtl/>
          <w:lang w:val="en-GB" w:eastAsia="en-US" w:bidi="ar-EG"/>
        </w:rPr>
        <w:t xml:space="preserve"> تقييم وتحسين نظام الرقابة الداخلية في الاتحاد، يعتمد الاتحاد بشكل متزايد على إطار الرقابة الداخلية المتكامل الصادر عن لجنة المنظمات الراعية للجنة تريدواي (</w:t>
      </w:r>
      <w:r w:rsidRPr="001C64DE">
        <w:rPr>
          <w:lang w:val="en-GB" w:eastAsia="en-US" w:bidi="ar-EG"/>
        </w:rPr>
        <w:t>COSO</w:t>
      </w:r>
      <w:r w:rsidRPr="001C64DE">
        <w:rPr>
          <w:rtl/>
          <w:lang w:val="en-GB" w:eastAsia="en-US" w:bidi="ar-EG"/>
        </w:rPr>
        <w:t xml:space="preserve">) لعام 2013، والذي استند إليه نموذج وإطار المساءلة للاتحاد الذي أقره المجلس في </w:t>
      </w:r>
      <w:r>
        <w:rPr>
          <w:rFonts w:hint="cs"/>
          <w:rtl/>
          <w:lang w:val="en-GB" w:eastAsia="en-US" w:bidi="ar-EG"/>
        </w:rPr>
        <w:t>دورته لعام</w:t>
      </w:r>
      <w:r w:rsidRPr="001C64DE">
        <w:rPr>
          <w:rtl/>
          <w:lang w:val="en-GB" w:eastAsia="en-US" w:bidi="ar-EG"/>
        </w:rPr>
        <w:t xml:space="preserve"> 2022. ويؤكد إطار </w:t>
      </w:r>
      <w:r w:rsidRPr="001C64DE">
        <w:rPr>
          <w:lang w:val="en-GB" w:eastAsia="en-US" w:bidi="ar-EG"/>
        </w:rPr>
        <w:t>COSO</w:t>
      </w:r>
      <w:r w:rsidRPr="001C64DE">
        <w:rPr>
          <w:rtl/>
          <w:lang w:val="en-GB" w:eastAsia="en-US" w:bidi="ar-EG"/>
        </w:rPr>
        <w:t xml:space="preserve"> على خمسة مكونات مترابطة، وهي: (1) بيئة الرقابة؛ (2) تقييم المخاطر؛ (3) أنشطة الرقابة؛ (4) المعلومات والاتصالات؛ (5) </w:t>
      </w:r>
      <w:r>
        <w:rPr>
          <w:rFonts w:hint="cs"/>
          <w:rtl/>
          <w:lang w:val="en-GB" w:eastAsia="en-US" w:bidi="ar-EG"/>
        </w:rPr>
        <w:t xml:space="preserve">مراقبة </w:t>
      </w:r>
      <w:r w:rsidRPr="001C64DE">
        <w:rPr>
          <w:rtl/>
          <w:lang w:val="en-GB" w:eastAsia="en-US" w:bidi="ar-EG"/>
        </w:rPr>
        <w:t xml:space="preserve">أنشطة </w:t>
      </w:r>
      <w:r>
        <w:rPr>
          <w:rFonts w:hint="cs"/>
          <w:rtl/>
          <w:lang w:val="en-GB" w:eastAsia="en-US" w:bidi="ar-EG"/>
        </w:rPr>
        <w:t>الرصد</w:t>
      </w:r>
      <w:r w:rsidRPr="001C64DE">
        <w:rPr>
          <w:rtl/>
          <w:lang w:val="en-GB" w:eastAsia="en-US" w:bidi="ar-EG"/>
        </w:rPr>
        <w:t>.</w:t>
      </w:r>
    </w:p>
    <w:p w14:paraId="2D103BEE" w14:textId="77777777" w:rsidR="00083F2A" w:rsidRPr="00DC5E43" w:rsidRDefault="00083F2A" w:rsidP="00083F2A">
      <w:pPr>
        <w:rPr>
          <w:spacing w:val="-4"/>
          <w:lang w:val="en-GB" w:eastAsia="en-US" w:bidi="ar-SY"/>
        </w:rPr>
      </w:pPr>
      <w:r w:rsidRPr="00DC5E43">
        <w:rPr>
          <w:rFonts w:hint="cs"/>
          <w:spacing w:val="-4"/>
          <w:rtl/>
          <w:lang w:val="en-GB" w:eastAsia="en-US" w:bidi="ar-EG"/>
        </w:rPr>
        <w:t>و</w:t>
      </w:r>
      <w:r w:rsidRPr="00DC5E43">
        <w:rPr>
          <w:spacing w:val="-4"/>
          <w:rtl/>
          <w:lang w:val="en-GB" w:eastAsia="en-US" w:bidi="ar-EG"/>
        </w:rPr>
        <w:t>كما جرت العادة في السنوات السابقة، طُلِبت رسائل تمثيل داخلية من المسؤولين المنتخبين وكبار المديرين الذين فوضت</w:t>
      </w:r>
      <w:r w:rsidRPr="00DC5E43">
        <w:rPr>
          <w:rFonts w:hint="cs"/>
          <w:spacing w:val="-4"/>
          <w:rtl/>
          <w:lang w:val="en-GB" w:eastAsia="en-US" w:bidi="ar-EG"/>
        </w:rPr>
        <w:t>ُ</w:t>
      </w:r>
      <w:r w:rsidRPr="00DC5E43">
        <w:rPr>
          <w:spacing w:val="-4"/>
          <w:rtl/>
          <w:lang w:val="en-GB" w:eastAsia="en-US" w:bidi="ar-EG"/>
        </w:rPr>
        <w:t xml:space="preserve"> إليهم السلطة والمسؤولية بموجب اللوائح المالية والقواعد المالية، </w:t>
      </w:r>
      <w:r w:rsidRPr="00DC5E43">
        <w:rPr>
          <w:rFonts w:hint="cs"/>
          <w:spacing w:val="-4"/>
          <w:rtl/>
          <w:lang w:val="en-GB" w:eastAsia="en-US" w:bidi="ar-EG"/>
        </w:rPr>
        <w:t>و</w:t>
      </w:r>
      <w:r w:rsidRPr="00DC5E43">
        <w:rPr>
          <w:color w:val="000000"/>
          <w:spacing w:val="-4"/>
          <w:rtl/>
        </w:rPr>
        <w:t>النظام الأساسي والنظام الإداري للموظفي</w:t>
      </w:r>
      <w:r w:rsidRPr="00DC5E43">
        <w:rPr>
          <w:rFonts w:hint="cs"/>
          <w:color w:val="000000"/>
          <w:spacing w:val="-4"/>
          <w:rtl/>
        </w:rPr>
        <w:t>ن</w:t>
      </w:r>
      <w:r w:rsidRPr="00DC5E43">
        <w:rPr>
          <w:spacing w:val="-4"/>
          <w:rtl/>
          <w:lang w:val="en-GB" w:eastAsia="en-US" w:bidi="ar-EG"/>
        </w:rPr>
        <w:t xml:space="preserve">، وذلك من أجل الإدارة الفعّالة للضوابط الداخلية </w:t>
      </w:r>
      <w:r w:rsidRPr="00DC5E43">
        <w:rPr>
          <w:rFonts w:hint="cs"/>
          <w:spacing w:val="-4"/>
          <w:rtl/>
          <w:lang w:val="en-GB" w:eastAsia="en-US" w:bidi="ar-EG"/>
        </w:rPr>
        <w:t>في مجالات اختصاصهم</w:t>
      </w:r>
      <w:r w:rsidRPr="00DC5E43">
        <w:rPr>
          <w:spacing w:val="-4"/>
          <w:rtl/>
          <w:lang w:val="en-GB" w:eastAsia="en-US" w:bidi="ar-EG"/>
        </w:rPr>
        <w:t xml:space="preserve">. </w:t>
      </w:r>
      <w:r w:rsidRPr="00DC5E43">
        <w:rPr>
          <w:rFonts w:hint="cs"/>
          <w:spacing w:val="-4"/>
          <w:rtl/>
          <w:lang w:val="en-GB" w:eastAsia="en-US" w:bidi="ar-EG"/>
        </w:rPr>
        <w:t>و</w:t>
      </w:r>
      <w:r w:rsidRPr="00DC5E43">
        <w:rPr>
          <w:spacing w:val="-4"/>
          <w:rtl/>
          <w:lang w:val="en-GB" w:eastAsia="en-US" w:bidi="ar-EG"/>
        </w:rPr>
        <w:t xml:space="preserve">في السابق، </w:t>
      </w:r>
      <w:r w:rsidRPr="00DC5E43">
        <w:rPr>
          <w:rFonts w:hint="cs"/>
          <w:spacing w:val="-4"/>
          <w:rtl/>
          <w:lang w:val="en-GB" w:eastAsia="en-US" w:bidi="ar-EG"/>
        </w:rPr>
        <w:t>ركزت ممارسة</w:t>
      </w:r>
      <w:r w:rsidRPr="00DC5E43">
        <w:rPr>
          <w:spacing w:val="-4"/>
          <w:rtl/>
          <w:lang w:val="en-GB" w:eastAsia="en-US" w:bidi="ar-EG"/>
        </w:rPr>
        <w:t xml:space="preserve"> رسائل التمثيل الداخلية على إدارة الأموال والمسائل المالية ذات الصلة. أما بالنسبة للسنة المالية 2024، </w:t>
      </w:r>
      <w:r w:rsidRPr="00DC5E43">
        <w:rPr>
          <w:rFonts w:hint="cs"/>
          <w:spacing w:val="-4"/>
          <w:rtl/>
          <w:lang w:val="en-GB" w:eastAsia="en-US" w:bidi="ar-EG"/>
        </w:rPr>
        <w:t>وتمشياً مع</w:t>
      </w:r>
      <w:r w:rsidRPr="00DC5E43">
        <w:rPr>
          <w:spacing w:val="-4"/>
          <w:rtl/>
          <w:lang w:val="en-GB" w:eastAsia="en-US" w:bidi="ar-EG"/>
        </w:rPr>
        <w:t xml:space="preserve"> </w:t>
      </w:r>
      <w:r w:rsidRPr="00DC5E43">
        <w:rPr>
          <w:rFonts w:hint="cs"/>
          <w:spacing w:val="-4"/>
          <w:rtl/>
          <w:lang w:val="en-GB" w:eastAsia="en-US" w:bidi="ar-EG"/>
        </w:rPr>
        <w:t>ا</w:t>
      </w:r>
      <w:r w:rsidRPr="00DC5E43">
        <w:rPr>
          <w:spacing w:val="-4"/>
          <w:rtl/>
          <w:lang w:val="en-GB" w:eastAsia="en-US" w:bidi="ar-EG"/>
        </w:rPr>
        <w:t xml:space="preserve">لمكونات الخمسة لإطار </w:t>
      </w:r>
      <w:r w:rsidRPr="00DC5E43">
        <w:rPr>
          <w:spacing w:val="-4"/>
          <w:lang w:val="en-GB" w:eastAsia="en-US" w:bidi="ar-EG"/>
        </w:rPr>
        <w:t>COSO</w:t>
      </w:r>
      <w:r w:rsidRPr="00DC5E43">
        <w:rPr>
          <w:spacing w:val="-4"/>
          <w:rtl/>
          <w:lang w:val="en-GB" w:eastAsia="en-US" w:bidi="ar-EG"/>
        </w:rPr>
        <w:t xml:space="preserve">، فقد تم توسيع نطاق المعلومات المطلوبة من خلال </w:t>
      </w:r>
      <w:r w:rsidRPr="00DC5E43">
        <w:rPr>
          <w:rFonts w:hint="cs"/>
          <w:spacing w:val="-4"/>
          <w:rtl/>
          <w:lang w:val="en-GB" w:eastAsia="en-US" w:bidi="ar-EG"/>
        </w:rPr>
        <w:t>هذه الممارسة</w:t>
      </w:r>
      <w:r w:rsidRPr="00DC5E43">
        <w:rPr>
          <w:spacing w:val="-4"/>
          <w:rtl/>
          <w:lang w:val="en-GB" w:eastAsia="en-US" w:bidi="ar-EG"/>
        </w:rPr>
        <w:t xml:space="preserve"> </w:t>
      </w:r>
      <w:r w:rsidRPr="00DC5E43">
        <w:rPr>
          <w:rFonts w:hint="cs"/>
          <w:spacing w:val="-4"/>
          <w:rtl/>
          <w:lang w:val="en-GB" w:eastAsia="en-US" w:bidi="ar-EG"/>
        </w:rPr>
        <w:t>للحصول على</w:t>
      </w:r>
      <w:r w:rsidRPr="00DC5E43">
        <w:rPr>
          <w:spacing w:val="-4"/>
          <w:rtl/>
          <w:lang w:val="en-GB" w:eastAsia="en-US" w:bidi="ar-EG"/>
        </w:rPr>
        <w:t xml:space="preserve"> تأكيداتهم بشأن تطبيق نظام الرقابة الداخلية بشكل أشمل. وقد </w:t>
      </w:r>
      <w:r w:rsidRPr="00DC5E43">
        <w:rPr>
          <w:rFonts w:hint="cs"/>
          <w:spacing w:val="-4"/>
          <w:rtl/>
          <w:lang w:val="en-GB" w:eastAsia="en-US" w:bidi="ar-EG"/>
        </w:rPr>
        <w:t>التُمست</w:t>
      </w:r>
      <w:r w:rsidRPr="00DC5E43">
        <w:rPr>
          <w:spacing w:val="-4"/>
          <w:rtl/>
          <w:lang w:val="en-GB" w:eastAsia="en-US" w:bidi="ar-EG"/>
        </w:rPr>
        <w:t xml:space="preserve"> هذه الآراء الأوسع </w:t>
      </w:r>
      <w:r w:rsidRPr="00DC5E43">
        <w:rPr>
          <w:rFonts w:hint="cs"/>
          <w:spacing w:val="-4"/>
          <w:rtl/>
          <w:lang w:val="en-GB" w:eastAsia="en-US" w:bidi="ar-EG"/>
        </w:rPr>
        <w:t xml:space="preserve">نطاقاً </w:t>
      </w:r>
      <w:r w:rsidRPr="00DC5E43">
        <w:rPr>
          <w:spacing w:val="-4"/>
          <w:rtl/>
          <w:lang w:val="en-GB" w:eastAsia="en-US" w:bidi="ar-EG"/>
        </w:rPr>
        <w:t xml:space="preserve">ليس فقط </w:t>
      </w:r>
      <w:r w:rsidRPr="00DC5E43">
        <w:rPr>
          <w:rFonts w:hint="cs"/>
          <w:spacing w:val="-4"/>
          <w:rtl/>
          <w:lang w:val="en-GB" w:eastAsia="en-US" w:bidi="ar-EG"/>
        </w:rPr>
        <w:t>لإثراء</w:t>
      </w:r>
      <w:r w:rsidRPr="00DC5E43">
        <w:rPr>
          <w:spacing w:val="-4"/>
          <w:rtl/>
          <w:lang w:val="en-GB" w:eastAsia="en-US" w:bidi="ar-EG"/>
        </w:rPr>
        <w:t xml:space="preserve"> هذا البيان بشكل أفضل، بل </w:t>
      </w:r>
      <w:r w:rsidRPr="00DC5E43">
        <w:rPr>
          <w:rFonts w:hint="cs"/>
          <w:spacing w:val="-4"/>
          <w:rtl/>
          <w:lang w:val="en-GB" w:eastAsia="en-US" w:bidi="ar-EG"/>
        </w:rPr>
        <w:t>و</w:t>
      </w:r>
      <w:r w:rsidRPr="00DC5E43">
        <w:rPr>
          <w:spacing w:val="-4"/>
          <w:rtl/>
          <w:lang w:val="en-GB" w:eastAsia="en-US" w:bidi="ar-EG"/>
        </w:rPr>
        <w:t xml:space="preserve">أيضاً لتعزيز الجهود </w:t>
      </w:r>
      <w:r w:rsidRPr="00DC5E43">
        <w:rPr>
          <w:rFonts w:hint="cs"/>
          <w:spacing w:val="-4"/>
          <w:rtl/>
          <w:lang w:val="en-GB" w:eastAsia="en-US" w:bidi="ar-EG"/>
        </w:rPr>
        <w:t xml:space="preserve">الرامية إلى </w:t>
      </w:r>
      <w:r w:rsidRPr="00DC5E43">
        <w:rPr>
          <w:spacing w:val="-4"/>
          <w:rtl/>
          <w:lang w:val="en-GB" w:eastAsia="en-US" w:bidi="ar-EG"/>
        </w:rPr>
        <w:t>تحسين الضوابط الداخلية.</w:t>
      </w:r>
    </w:p>
    <w:p w14:paraId="62D7D95F" w14:textId="72552328" w:rsidR="00083F2A" w:rsidRPr="00E832A1" w:rsidRDefault="00083F2A" w:rsidP="00083F2A">
      <w:pPr>
        <w:rPr>
          <w:lang w:val="en-GB" w:eastAsia="en-US" w:bidi="ar-SY"/>
        </w:rPr>
      </w:pPr>
      <w:r>
        <w:rPr>
          <w:rFonts w:hint="cs"/>
          <w:rtl/>
          <w:lang w:val="en-GB" w:eastAsia="en-US" w:bidi="ar-EG"/>
        </w:rPr>
        <w:t>و</w:t>
      </w:r>
      <w:r w:rsidRPr="00762033">
        <w:rPr>
          <w:rtl/>
          <w:lang w:val="en-GB" w:eastAsia="en-US" w:bidi="ar-EG"/>
        </w:rPr>
        <w:t xml:space="preserve">في حين أن نتائج هذا المكون الجديد للتقييم الذاتي </w:t>
      </w:r>
      <w:r>
        <w:rPr>
          <w:rFonts w:hint="cs"/>
          <w:rtl/>
          <w:lang w:val="en-GB" w:eastAsia="en-US" w:bidi="ar-EG"/>
        </w:rPr>
        <w:t>في</w:t>
      </w:r>
      <w:r w:rsidRPr="00762033">
        <w:rPr>
          <w:rtl/>
          <w:lang w:val="en-GB" w:eastAsia="en-US" w:bidi="ar-EG"/>
        </w:rPr>
        <w:t xml:space="preserve"> </w:t>
      </w:r>
      <w:r>
        <w:rPr>
          <w:rFonts w:hint="cs"/>
          <w:rtl/>
          <w:lang w:val="en-GB" w:eastAsia="en-US" w:bidi="ar-EG"/>
        </w:rPr>
        <w:t>ممارسة</w:t>
      </w:r>
      <w:r w:rsidRPr="00762033">
        <w:rPr>
          <w:rtl/>
          <w:lang w:val="en-GB" w:eastAsia="en-US" w:bidi="ar-EG"/>
        </w:rPr>
        <w:t xml:space="preserve"> </w:t>
      </w:r>
      <w:r>
        <w:rPr>
          <w:rFonts w:hint="cs"/>
          <w:rtl/>
          <w:lang w:val="en-GB" w:eastAsia="en-US" w:bidi="ar-EG"/>
        </w:rPr>
        <w:t>رسائل التمثيل</w:t>
      </w:r>
      <w:r w:rsidRPr="00762033">
        <w:rPr>
          <w:rtl/>
          <w:lang w:val="en-GB" w:eastAsia="en-US" w:bidi="ar-EG"/>
        </w:rPr>
        <w:t xml:space="preserve"> تتوافق مع الرأي </w:t>
      </w:r>
      <w:r>
        <w:rPr>
          <w:rFonts w:hint="cs"/>
          <w:rtl/>
          <w:lang w:val="en-GB" w:eastAsia="en-US" w:bidi="ar-EG"/>
        </w:rPr>
        <w:t>الذي يفيد بأن</w:t>
      </w:r>
      <w:r w:rsidRPr="00762033">
        <w:rPr>
          <w:rtl/>
          <w:lang w:val="en-GB" w:eastAsia="en-US" w:bidi="ar-EG"/>
        </w:rPr>
        <w:t xml:space="preserve"> الضوابط الداخلية كافية في معظم المجالات، </w:t>
      </w:r>
      <w:r>
        <w:rPr>
          <w:rFonts w:hint="cs"/>
          <w:rtl/>
          <w:lang w:val="en-GB" w:eastAsia="en-US" w:bidi="ar-EG"/>
        </w:rPr>
        <w:t>فإن المسائل</w:t>
      </w:r>
      <w:r w:rsidRPr="00762033">
        <w:rPr>
          <w:rtl/>
          <w:lang w:val="en-GB" w:eastAsia="en-US" w:bidi="ar-EG"/>
        </w:rPr>
        <w:t xml:space="preserve"> المتعلقة بتفويض السلطة لم </w:t>
      </w:r>
      <w:r>
        <w:rPr>
          <w:rFonts w:hint="cs"/>
          <w:rtl/>
          <w:lang w:val="en-GB" w:eastAsia="en-US" w:bidi="ar-EG"/>
        </w:rPr>
        <w:t>تُرصد</w:t>
      </w:r>
      <w:r w:rsidRPr="00762033">
        <w:rPr>
          <w:rtl/>
          <w:lang w:val="en-GB" w:eastAsia="en-US" w:bidi="ar-EG"/>
        </w:rPr>
        <w:t xml:space="preserve"> من خلال </w:t>
      </w:r>
      <w:r>
        <w:rPr>
          <w:rFonts w:hint="cs"/>
          <w:rtl/>
          <w:lang w:val="en-GB" w:eastAsia="en-US" w:bidi="ar-EG"/>
        </w:rPr>
        <w:t>هذه الممارسة</w:t>
      </w:r>
      <w:r w:rsidRPr="00762033">
        <w:rPr>
          <w:rtl/>
          <w:lang w:val="en-GB" w:eastAsia="en-US" w:bidi="ar-EG"/>
        </w:rPr>
        <w:t xml:space="preserve">. </w:t>
      </w:r>
      <w:r>
        <w:rPr>
          <w:rFonts w:hint="cs"/>
          <w:rtl/>
          <w:lang w:val="en-GB" w:eastAsia="en-US" w:bidi="ar-EG"/>
        </w:rPr>
        <w:t>وفيما يواصل</w:t>
      </w:r>
      <w:r w:rsidRPr="00762033">
        <w:rPr>
          <w:rtl/>
          <w:lang w:val="en-GB" w:eastAsia="en-US" w:bidi="ar-EG"/>
        </w:rPr>
        <w:t xml:space="preserve"> الاتحاد جهوده الرامية إلى تعزيز الضوابط الداخلية، </w:t>
      </w:r>
      <w:r>
        <w:rPr>
          <w:rFonts w:hint="cs"/>
          <w:rtl/>
          <w:lang w:val="en-GB" w:eastAsia="en-US" w:bidi="ar-EG"/>
        </w:rPr>
        <w:t>فإنه يحتاج</w:t>
      </w:r>
      <w:r w:rsidRPr="00762033">
        <w:rPr>
          <w:rtl/>
          <w:lang w:val="en-GB" w:eastAsia="en-US" w:bidi="ar-EG"/>
        </w:rPr>
        <w:t xml:space="preserve"> أيضاً </w:t>
      </w:r>
      <w:r>
        <w:rPr>
          <w:rFonts w:hint="cs"/>
          <w:rtl/>
          <w:lang w:val="en-GB" w:eastAsia="en-US" w:bidi="ar-EG"/>
        </w:rPr>
        <w:t xml:space="preserve">إلى </w:t>
      </w:r>
      <w:r w:rsidRPr="00762033">
        <w:rPr>
          <w:rtl/>
          <w:lang w:val="en-GB" w:eastAsia="en-US" w:bidi="ar-EG"/>
        </w:rPr>
        <w:t xml:space="preserve">تعزيز تواصله مع المديرين بشأن الهدف من </w:t>
      </w:r>
      <w:r>
        <w:rPr>
          <w:rFonts w:hint="cs"/>
          <w:rtl/>
          <w:lang w:val="en-GB" w:eastAsia="en-US" w:bidi="ar-EG"/>
        </w:rPr>
        <w:t>ممارسة</w:t>
      </w:r>
      <w:r w:rsidRPr="00762033">
        <w:rPr>
          <w:rtl/>
          <w:lang w:val="en-GB" w:eastAsia="en-US" w:bidi="ar-EG"/>
        </w:rPr>
        <w:t xml:space="preserve"> </w:t>
      </w:r>
      <w:r>
        <w:rPr>
          <w:rFonts w:hint="cs"/>
          <w:rtl/>
          <w:lang w:val="en-GB" w:eastAsia="en-US" w:bidi="ar-EG"/>
        </w:rPr>
        <w:t>رسائل التمثيل</w:t>
      </w:r>
      <w:r w:rsidRPr="00762033">
        <w:rPr>
          <w:rtl/>
          <w:lang w:val="en-GB" w:eastAsia="en-US" w:bidi="ar-EG"/>
        </w:rPr>
        <w:t>، نظراً لأهمية آرائهم في تحديد أوجه القصور ومجالات التحسين عبر المنظمة.</w:t>
      </w:r>
    </w:p>
    <w:p w14:paraId="0DBB0F65" w14:textId="77777777" w:rsidR="00083F2A" w:rsidRPr="00E832A1" w:rsidRDefault="00083F2A" w:rsidP="00083F2A">
      <w:pPr>
        <w:rPr>
          <w:lang w:val="en-GB" w:eastAsia="en-US" w:bidi="ar-SY"/>
        </w:rPr>
      </w:pPr>
      <w:r>
        <w:rPr>
          <w:rFonts w:hint="cs"/>
          <w:rtl/>
          <w:lang w:val="en-GB" w:eastAsia="en-US" w:bidi="ar-EG"/>
        </w:rPr>
        <w:t>وقد حقق</w:t>
      </w:r>
      <w:r w:rsidRPr="00292FF2">
        <w:rPr>
          <w:rtl/>
          <w:lang w:val="en-GB" w:eastAsia="en-US" w:bidi="ar-EG"/>
        </w:rPr>
        <w:t xml:space="preserve"> الاتحاد تحسينات في عدة مجالات، </w:t>
      </w:r>
      <w:r w:rsidRPr="0080613A">
        <w:rPr>
          <w:rtl/>
          <w:lang w:val="en-GB" w:eastAsia="en-US" w:bidi="ar-EG"/>
        </w:rPr>
        <w:t xml:space="preserve">أبرزها تعيين رئيس وحدة الرقابة الجديدة؛ </w:t>
      </w:r>
      <w:r w:rsidRPr="00292FF2">
        <w:rPr>
          <w:rtl/>
          <w:lang w:val="en-GB" w:eastAsia="en-US" w:bidi="ar-EG"/>
        </w:rPr>
        <w:t xml:space="preserve">وتحسين </w:t>
      </w:r>
      <w:r>
        <w:rPr>
          <w:rFonts w:hint="cs"/>
          <w:rtl/>
          <w:lang w:val="en-GB" w:eastAsia="en-US" w:bidi="ar-EG"/>
        </w:rPr>
        <w:t>الإبلاغ المالي</w:t>
      </w:r>
      <w:r w:rsidRPr="00292FF2">
        <w:rPr>
          <w:rtl/>
          <w:lang w:val="en-GB" w:eastAsia="en-US" w:bidi="ar-EG"/>
        </w:rPr>
        <w:t xml:space="preserve">؛ وتعزيز إدارة اتفاقات </w:t>
      </w:r>
      <w:r>
        <w:rPr>
          <w:rFonts w:hint="cs"/>
          <w:rtl/>
          <w:lang w:val="en-GB" w:eastAsia="en-US" w:bidi="ar-EG"/>
        </w:rPr>
        <w:t>الخدمات</w:t>
      </w:r>
      <w:r w:rsidRPr="00292FF2">
        <w:rPr>
          <w:rtl/>
          <w:lang w:val="en-GB" w:eastAsia="en-US" w:bidi="ar-EG"/>
        </w:rPr>
        <w:t xml:space="preserve"> الخاصة (</w:t>
      </w:r>
      <w:r w:rsidRPr="00292FF2">
        <w:rPr>
          <w:lang w:val="en-GB" w:eastAsia="en-US" w:bidi="ar-EG"/>
        </w:rPr>
        <w:t>SSA</w:t>
      </w:r>
      <w:r w:rsidRPr="00292FF2">
        <w:rPr>
          <w:rtl/>
          <w:lang w:val="en-GB" w:eastAsia="en-US" w:bidi="ar-EG"/>
        </w:rPr>
        <w:t xml:space="preserve">)؛ ومواصلة الجهود لمعالجة </w:t>
      </w:r>
      <w:r>
        <w:rPr>
          <w:rFonts w:hint="cs"/>
          <w:rtl/>
          <w:lang w:val="en-GB" w:eastAsia="en-US" w:bidi="ar-EG"/>
        </w:rPr>
        <w:t>توصيات الرقابة</w:t>
      </w:r>
      <w:r w:rsidRPr="00292FF2">
        <w:rPr>
          <w:rtl/>
          <w:lang w:val="en-GB" w:eastAsia="en-US" w:bidi="ar-EG"/>
        </w:rPr>
        <w:t xml:space="preserve"> </w:t>
      </w:r>
      <w:r>
        <w:rPr>
          <w:rFonts w:hint="cs"/>
          <w:rtl/>
          <w:lang w:val="en-GB" w:eastAsia="en-US" w:bidi="ar-EG"/>
        </w:rPr>
        <w:t>المعلّقة</w:t>
      </w:r>
      <w:r w:rsidRPr="00292FF2">
        <w:rPr>
          <w:rtl/>
          <w:lang w:val="en-GB" w:eastAsia="en-US" w:bidi="ar-EG"/>
        </w:rPr>
        <w:t xml:space="preserve">؛ وإدخال سياسة تدريب إلزامية؛ وتعزيز </w:t>
      </w:r>
      <w:r>
        <w:rPr>
          <w:rFonts w:hint="cs"/>
          <w:rtl/>
          <w:lang w:val="en-GB" w:eastAsia="en-US" w:bidi="ar-EG"/>
        </w:rPr>
        <w:t>الإدارة</w:t>
      </w:r>
      <w:r w:rsidRPr="00292FF2">
        <w:rPr>
          <w:rtl/>
          <w:lang w:val="en-GB" w:eastAsia="en-US" w:bidi="ar-EG"/>
        </w:rPr>
        <w:t xml:space="preserve"> في مجال تكنولوجيا المعلومات والاتصالات. ومع ذلك، لا تزال هناك حاجة إلى مواصلة الجهود لضمان تضمين إدارة المخاطر بشكل أكثر منهجية في العمليات التجارية، ورصد الرقابة الداخلية، والمساءلة المالية.</w:t>
      </w:r>
    </w:p>
    <w:p w14:paraId="5C4A4F29" w14:textId="77777777" w:rsidR="00083F2A" w:rsidRPr="00E832A1" w:rsidRDefault="00083F2A" w:rsidP="00083F2A">
      <w:pPr>
        <w:pStyle w:val="Headingb"/>
        <w:rPr>
          <w:lang w:val="en-GB" w:eastAsia="en-US" w:bidi="ar-SY"/>
        </w:rPr>
      </w:pPr>
      <w:r>
        <w:rPr>
          <w:lang w:val="en-GB" w:eastAsia="en-US" w:bidi="ar-EG"/>
        </w:rPr>
        <w:t>1</w:t>
      </w:r>
      <w:r>
        <w:rPr>
          <w:lang w:val="en-GB" w:eastAsia="en-US" w:bidi="ar-EG"/>
        </w:rPr>
        <w:tab/>
      </w:r>
      <w:r>
        <w:rPr>
          <w:rFonts w:hint="cs"/>
          <w:rtl/>
          <w:lang w:val="en-GB" w:eastAsia="en-US" w:bidi="ar-EG"/>
        </w:rPr>
        <w:t>بيئة الرقابة</w:t>
      </w:r>
    </w:p>
    <w:p w14:paraId="29CBBDF3" w14:textId="77777777" w:rsidR="00083F2A" w:rsidRPr="00E832A1" w:rsidRDefault="00083F2A" w:rsidP="00083F2A">
      <w:pPr>
        <w:rPr>
          <w:rtl/>
          <w:lang w:val="en-GB" w:eastAsia="en-US"/>
        </w:rPr>
      </w:pPr>
      <w:r>
        <w:rPr>
          <w:rFonts w:hint="cs"/>
          <w:b/>
          <w:bCs/>
          <w:i/>
          <w:iCs/>
          <w:rtl/>
          <w:lang w:val="en-GB" w:eastAsia="en-US" w:bidi="ar-EG"/>
        </w:rPr>
        <w:t xml:space="preserve">النزاهة وتضارب المصالح. </w:t>
      </w:r>
      <w:r w:rsidRPr="004563B0">
        <w:rPr>
          <w:rtl/>
          <w:lang w:val="en-GB" w:eastAsia="en-US"/>
        </w:rPr>
        <w:t>‏</w:t>
      </w:r>
      <w:r>
        <w:rPr>
          <w:rFonts w:hint="cs"/>
          <w:rtl/>
          <w:lang w:val="en-GB" w:eastAsia="en-US"/>
        </w:rPr>
        <w:t>يعطي</w:t>
      </w:r>
      <w:r w:rsidRPr="004563B0">
        <w:rPr>
          <w:rtl/>
          <w:lang w:val="en-GB" w:eastAsia="en-US"/>
        </w:rPr>
        <w:t xml:space="preserve"> الفريق التنفيذي "</w:t>
      </w:r>
      <w:r>
        <w:rPr>
          <w:rFonts w:hint="cs"/>
          <w:rtl/>
          <w:lang w:val="en-GB" w:eastAsia="en-US"/>
        </w:rPr>
        <w:t>القدوة في أعلى الهرم</w:t>
      </w:r>
      <w:r w:rsidRPr="004563B0">
        <w:rPr>
          <w:rtl/>
          <w:lang w:val="en-GB" w:eastAsia="en-US"/>
        </w:rPr>
        <w:t>"، ما يدل على التزامنا بالنزاهة وتعزيز ثقافة أخلاقية قوية بما يتماشى مع الإطار التنظيمي للاتحاد.</w:t>
      </w:r>
      <w:r w:rsidRPr="004563B0">
        <w:rPr>
          <w:cs/>
          <w:lang w:val="en-GB" w:eastAsia="en-US"/>
        </w:rPr>
        <w:t>‎</w:t>
      </w:r>
      <w:r w:rsidRPr="004563B0">
        <w:rPr>
          <w:rtl/>
        </w:rPr>
        <w:t xml:space="preserve"> </w:t>
      </w:r>
      <w:r w:rsidRPr="004563B0">
        <w:rPr>
          <w:rtl/>
          <w:lang w:val="en-GB" w:eastAsia="en-US"/>
        </w:rPr>
        <w:t xml:space="preserve">ومع ذلك، تظل الإدارة العليا يقظة. ولهذا الغرض، تقتضي سياسة الاتحاد بشأن إعلان المصالح أن يقدم جميع موظفي الاتحاد </w:t>
      </w:r>
      <w:r>
        <w:rPr>
          <w:color w:val="000000"/>
          <w:rtl/>
        </w:rPr>
        <w:t>إعلان المصالح وبيان الامتثال على أساس سنوي</w:t>
      </w:r>
      <w:r w:rsidRPr="004563B0">
        <w:rPr>
          <w:rtl/>
          <w:lang w:val="en-GB" w:eastAsia="en-US"/>
        </w:rPr>
        <w:t xml:space="preserve">، </w:t>
      </w:r>
      <w:r>
        <w:rPr>
          <w:rFonts w:hint="cs"/>
          <w:rtl/>
          <w:lang w:val="en-GB" w:eastAsia="en-US"/>
        </w:rPr>
        <w:t>يستعرضهما</w:t>
      </w:r>
      <w:r w:rsidRPr="004563B0">
        <w:rPr>
          <w:rtl/>
          <w:lang w:val="en-GB" w:eastAsia="en-US"/>
        </w:rPr>
        <w:t xml:space="preserve"> مكتب الأخلاقيات لدينا. وتنطبق هذه السياسة </w:t>
      </w:r>
      <w:r>
        <w:rPr>
          <w:rFonts w:hint="cs"/>
          <w:rtl/>
          <w:lang w:val="en-GB" w:eastAsia="en-US"/>
        </w:rPr>
        <w:t>أيضاً</w:t>
      </w:r>
      <w:r w:rsidRPr="004563B0">
        <w:rPr>
          <w:rtl/>
          <w:lang w:val="en-GB" w:eastAsia="en-US"/>
        </w:rPr>
        <w:t xml:space="preserve"> على الأفراد العاملين لدى الاتحاد بموجب </w:t>
      </w:r>
      <w:r>
        <w:rPr>
          <w:rFonts w:hint="cs"/>
          <w:rtl/>
          <w:lang w:val="en-GB" w:eastAsia="en-US"/>
        </w:rPr>
        <w:t>اتفاق</w:t>
      </w:r>
      <w:r w:rsidRPr="004563B0">
        <w:rPr>
          <w:rtl/>
          <w:lang w:val="en-GB" w:eastAsia="en-US"/>
        </w:rPr>
        <w:t xml:space="preserve"> </w:t>
      </w:r>
      <w:r>
        <w:rPr>
          <w:rFonts w:hint="cs"/>
          <w:rtl/>
          <w:lang w:val="en-GB" w:eastAsia="en-US"/>
        </w:rPr>
        <w:t>خدمة</w:t>
      </w:r>
      <w:r w:rsidRPr="004563B0">
        <w:rPr>
          <w:rtl/>
          <w:lang w:val="en-GB" w:eastAsia="en-US"/>
        </w:rPr>
        <w:t xml:space="preserve"> خاصة (</w:t>
      </w:r>
      <w:r w:rsidRPr="004563B0">
        <w:rPr>
          <w:lang w:val="en-GB" w:eastAsia="en-US"/>
        </w:rPr>
        <w:t>SSA</w:t>
      </w:r>
      <w:r w:rsidRPr="004563B0">
        <w:rPr>
          <w:rtl/>
          <w:lang w:val="en-GB" w:eastAsia="en-US"/>
        </w:rPr>
        <w:t xml:space="preserve">)، مع </w:t>
      </w:r>
      <w:r>
        <w:rPr>
          <w:rFonts w:hint="cs"/>
          <w:rtl/>
          <w:lang w:val="en-GB" w:eastAsia="en-US"/>
        </w:rPr>
        <w:t>إرشادات</w:t>
      </w:r>
      <w:r w:rsidRPr="004563B0">
        <w:rPr>
          <w:rtl/>
          <w:lang w:val="en-GB" w:eastAsia="en-US"/>
        </w:rPr>
        <w:t xml:space="preserve"> ذات صلة بشأن تضارب المصالح. </w:t>
      </w:r>
      <w:r>
        <w:rPr>
          <w:rFonts w:hint="cs"/>
          <w:rtl/>
          <w:lang w:val="en-GB" w:eastAsia="en-US"/>
        </w:rPr>
        <w:t>و</w:t>
      </w:r>
      <w:r w:rsidRPr="004563B0">
        <w:rPr>
          <w:rtl/>
          <w:lang w:val="en-GB" w:eastAsia="en-US"/>
        </w:rPr>
        <w:t xml:space="preserve">بالإضافة إلى ذلك، </w:t>
      </w:r>
      <w:r>
        <w:rPr>
          <w:rFonts w:hint="cs"/>
          <w:rtl/>
          <w:lang w:val="en-GB" w:eastAsia="en-US"/>
        </w:rPr>
        <w:t>اعتُمدت</w:t>
      </w:r>
      <w:r w:rsidRPr="004563B0">
        <w:rPr>
          <w:rtl/>
          <w:lang w:val="en-GB" w:eastAsia="en-US"/>
        </w:rPr>
        <w:t xml:space="preserve"> إجراءات جديدة لتعزيز إدارة عقود </w:t>
      </w:r>
      <w:r>
        <w:rPr>
          <w:rFonts w:hint="cs"/>
          <w:rtl/>
          <w:lang w:val="en-GB" w:eastAsia="en-US"/>
        </w:rPr>
        <w:t>اتفاقات</w:t>
      </w:r>
      <w:r w:rsidRPr="004563B0">
        <w:rPr>
          <w:rtl/>
          <w:lang w:val="en-GB" w:eastAsia="en-US"/>
        </w:rPr>
        <w:t xml:space="preserve"> الخدمات الخاصة، تشمل تصديق المديرين على </w:t>
      </w:r>
      <w:r>
        <w:rPr>
          <w:rFonts w:hint="cs"/>
          <w:rtl/>
          <w:lang w:val="en-GB" w:eastAsia="en-US"/>
        </w:rPr>
        <w:t>الأعمال المنجزة</w:t>
      </w:r>
      <w:r w:rsidRPr="004563B0">
        <w:rPr>
          <w:rtl/>
          <w:lang w:val="en-GB" w:eastAsia="en-US"/>
        </w:rPr>
        <w:t xml:space="preserve"> قبل </w:t>
      </w:r>
      <w:r>
        <w:rPr>
          <w:rFonts w:hint="cs"/>
          <w:rtl/>
          <w:lang w:val="en-GB" w:eastAsia="en-US"/>
        </w:rPr>
        <w:t>الدفع</w:t>
      </w:r>
      <w:r w:rsidRPr="004563B0">
        <w:rPr>
          <w:rtl/>
          <w:lang w:val="en-GB" w:eastAsia="en-US"/>
        </w:rPr>
        <w:t>.</w:t>
      </w:r>
    </w:p>
    <w:p w14:paraId="1ACE096F" w14:textId="77777777" w:rsidR="00901AD0" w:rsidRDefault="00083F2A" w:rsidP="00083F2A">
      <w:pPr>
        <w:rPr>
          <w:b/>
          <w:bCs/>
          <w:rtl/>
          <w:lang w:val="en-GB" w:eastAsia="en-US" w:bidi="ar-EG"/>
        </w:rPr>
      </w:pPr>
      <w:r>
        <w:rPr>
          <w:rFonts w:hint="cs"/>
          <w:b/>
          <w:bCs/>
          <w:i/>
          <w:iCs/>
          <w:rtl/>
          <w:lang w:val="en-GB" w:eastAsia="en-US" w:bidi="ar-EG"/>
        </w:rPr>
        <w:lastRenderedPageBreak/>
        <w:t xml:space="preserve">التصدي </w:t>
      </w:r>
      <w:r w:rsidRPr="00AE5CCA">
        <w:rPr>
          <w:rFonts w:hint="cs"/>
          <w:b/>
          <w:bCs/>
          <w:i/>
          <w:iCs/>
          <w:rtl/>
          <w:lang w:val="en-GB" w:eastAsia="en-US" w:bidi="ar-EG"/>
        </w:rPr>
        <w:t>ل</w:t>
      </w:r>
      <w:r w:rsidRPr="00AE5CCA">
        <w:rPr>
          <w:b/>
          <w:bCs/>
          <w:i/>
          <w:iCs/>
          <w:rtl/>
          <w:lang w:val="en-GB" w:eastAsia="en-US" w:bidi="ar-EG"/>
        </w:rPr>
        <w:t>سوء</w:t>
      </w:r>
      <w:r w:rsidRPr="00F731CB">
        <w:rPr>
          <w:b/>
          <w:bCs/>
          <w:i/>
          <w:iCs/>
          <w:rtl/>
          <w:lang w:val="en-GB" w:eastAsia="en-US" w:bidi="ar-EG"/>
        </w:rPr>
        <w:t xml:space="preserve"> السلوك. </w:t>
      </w:r>
      <w:r w:rsidRPr="00E157F5">
        <w:rPr>
          <w:rtl/>
          <w:lang w:val="en-GB" w:eastAsia="en-US" w:bidi="ar-EG"/>
        </w:rPr>
        <w:t xml:space="preserve">اعتبر كبار المسؤولين الذين تمت استشارتهم من خلال </w:t>
      </w:r>
      <w:r>
        <w:rPr>
          <w:rFonts w:hint="cs"/>
          <w:rtl/>
          <w:lang w:val="en-GB" w:eastAsia="en-US" w:bidi="ar-EG"/>
        </w:rPr>
        <w:t>ممارسة</w:t>
      </w:r>
      <w:r w:rsidRPr="00E157F5">
        <w:rPr>
          <w:rtl/>
          <w:lang w:val="en-GB" w:eastAsia="en-US" w:bidi="ar-EG"/>
        </w:rPr>
        <w:t xml:space="preserve"> </w:t>
      </w:r>
      <w:r w:rsidRPr="00E157F5">
        <w:rPr>
          <w:rFonts w:hint="cs"/>
          <w:rtl/>
          <w:lang w:val="en-GB" w:eastAsia="en-US" w:bidi="ar-EG"/>
        </w:rPr>
        <w:t>رسائل</w:t>
      </w:r>
      <w:r w:rsidRPr="00E157F5">
        <w:rPr>
          <w:rtl/>
          <w:lang w:val="en-GB" w:eastAsia="en-US" w:bidi="ar-EG"/>
        </w:rPr>
        <w:t xml:space="preserve"> التمثيل أن قنوات الإبلاغ عن حالات سوء السلوك المزعومة ومعالجتها، بما في ذلك الاحتيال المشتبه به والممارسات المحظورة ذات الصلة، كافية. وفي هذا الصدد، </w:t>
      </w:r>
      <w:r w:rsidRPr="00E157F5">
        <w:rPr>
          <w:rFonts w:hint="cs"/>
          <w:rtl/>
          <w:lang w:val="en-GB" w:eastAsia="en-US" w:bidi="ar-EG"/>
        </w:rPr>
        <w:t>اختتمت</w:t>
      </w:r>
      <w:r w:rsidRPr="00E157F5">
        <w:rPr>
          <w:rtl/>
          <w:lang w:val="en-GB" w:eastAsia="en-US" w:bidi="ar-EG"/>
        </w:rPr>
        <w:t xml:space="preserve"> وحدة الرقابة الداخلية، التي أُنشئت في عام 2023 بموجب موافقة المجلس، تحقيقين في عام 2024، أُثبتت صحة أحدهما بينما </w:t>
      </w:r>
      <w:r w:rsidRPr="00E157F5">
        <w:rPr>
          <w:rFonts w:hint="cs"/>
          <w:rtl/>
          <w:lang w:val="en-GB" w:eastAsia="en-US" w:bidi="ar-EG"/>
        </w:rPr>
        <w:t>سُحب</w:t>
      </w:r>
      <w:r w:rsidRPr="00E157F5">
        <w:rPr>
          <w:rtl/>
          <w:lang w:val="en-GB" w:eastAsia="en-US" w:bidi="ar-EG"/>
        </w:rPr>
        <w:t xml:space="preserve"> الآخر؛ ولم يكن أي منهما </w:t>
      </w:r>
      <w:r w:rsidRPr="00E157F5">
        <w:rPr>
          <w:rFonts w:hint="cs"/>
          <w:rtl/>
          <w:lang w:val="en-GB" w:eastAsia="en-US" w:bidi="ar-EG"/>
        </w:rPr>
        <w:t>مرتبطاً</w:t>
      </w:r>
      <w:r w:rsidRPr="00E157F5">
        <w:rPr>
          <w:rtl/>
          <w:lang w:val="en-GB" w:eastAsia="en-US" w:bidi="ar-EG"/>
        </w:rPr>
        <w:t xml:space="preserve"> بالاحتيال. وفي نهاية عام 2024، </w:t>
      </w:r>
      <w:r w:rsidRPr="00E157F5">
        <w:rPr>
          <w:rFonts w:hint="cs"/>
          <w:rtl/>
          <w:lang w:val="en-GB" w:eastAsia="en-US" w:bidi="ar-EG"/>
        </w:rPr>
        <w:t>كانت هناك</w:t>
      </w:r>
      <w:r w:rsidRPr="00E157F5">
        <w:rPr>
          <w:rtl/>
          <w:lang w:val="en-GB" w:eastAsia="en-US" w:bidi="ar-EG"/>
        </w:rPr>
        <w:t xml:space="preserve"> أربع قضايا قيد التحقيق. </w:t>
      </w:r>
      <w:r w:rsidRPr="00E157F5">
        <w:rPr>
          <w:rFonts w:hint="cs"/>
          <w:rtl/>
          <w:lang w:val="en-GB" w:eastAsia="en-US" w:bidi="ar-EG"/>
        </w:rPr>
        <w:t>و</w:t>
      </w:r>
      <w:r w:rsidRPr="00E157F5">
        <w:rPr>
          <w:rtl/>
          <w:lang w:val="en-GB" w:eastAsia="en-US" w:bidi="ar-EG"/>
        </w:rPr>
        <w:t xml:space="preserve">من بين هذه القضايا، تتعلق قضية واحدة بالاحتيال في التأمين الطبي، وقد أُغلقت هذه القضية لعدم </w:t>
      </w:r>
      <w:r w:rsidRPr="00E157F5">
        <w:rPr>
          <w:rFonts w:hint="cs"/>
          <w:rtl/>
          <w:lang w:val="en-GB" w:eastAsia="en-US" w:bidi="ar-EG"/>
        </w:rPr>
        <w:t>وجود أدلة تثبت صحتها</w:t>
      </w:r>
      <w:r w:rsidRPr="00E157F5">
        <w:rPr>
          <w:rtl/>
          <w:lang w:val="en-GB" w:eastAsia="en-US" w:bidi="ar-EG"/>
        </w:rPr>
        <w:t xml:space="preserve">. ولا تتعلق أي من القضايا المتبقية بالاحتيال، </w:t>
      </w:r>
      <w:r w:rsidRPr="00E157F5">
        <w:rPr>
          <w:rFonts w:hint="cs"/>
          <w:rtl/>
          <w:lang w:val="en-GB" w:eastAsia="en-US" w:bidi="ar-EG"/>
        </w:rPr>
        <w:t>وليس</w:t>
      </w:r>
      <w:r w:rsidRPr="00E157F5">
        <w:rPr>
          <w:rtl/>
          <w:lang w:val="en-GB" w:eastAsia="en-US" w:bidi="ar-EG"/>
        </w:rPr>
        <w:t xml:space="preserve"> لأي منها أثر مالي.</w:t>
      </w:r>
      <w:r w:rsidRPr="00E157F5">
        <w:rPr>
          <w:lang w:val="en-GB" w:eastAsia="en-US" w:bidi="ar-EG"/>
        </w:rPr>
        <w:t>.</w:t>
      </w:r>
    </w:p>
    <w:p w14:paraId="071451AA" w14:textId="72C56C06" w:rsidR="00083F2A" w:rsidRPr="00E832A1" w:rsidRDefault="00083F2A" w:rsidP="00083F2A">
      <w:pPr>
        <w:rPr>
          <w:rtl/>
          <w:lang w:val="en-GB" w:eastAsia="en-US"/>
        </w:rPr>
      </w:pPr>
      <w:r>
        <w:rPr>
          <w:rFonts w:hint="cs"/>
          <w:b/>
          <w:bCs/>
          <w:i/>
          <w:iCs/>
          <w:rtl/>
          <w:lang w:val="en-GB" w:eastAsia="en-US" w:bidi="ar-EG"/>
        </w:rPr>
        <w:t xml:space="preserve">الهيئات الإدارية والإدارة العليا. </w:t>
      </w:r>
      <w:r w:rsidRPr="005E627C">
        <w:rPr>
          <w:rtl/>
          <w:lang w:val="en-GB" w:eastAsia="en-US" w:bidi="ar-EG"/>
        </w:rPr>
        <w:t>تماشياً مع دستور الاتحاد واتفاقي</w:t>
      </w:r>
      <w:r>
        <w:rPr>
          <w:rFonts w:hint="cs"/>
          <w:rtl/>
          <w:lang w:val="en-GB" w:eastAsia="en-US" w:bidi="ar-EG"/>
        </w:rPr>
        <w:t>ته</w:t>
      </w:r>
      <w:r w:rsidRPr="005E627C">
        <w:rPr>
          <w:rtl/>
          <w:lang w:val="en-GB" w:eastAsia="en-US" w:bidi="ar-EG"/>
        </w:rPr>
        <w:t xml:space="preserve">، يوجه المجلس، بدعم من أفرقة العمل التابعة له، أنشطة الاتحاد ويشرف عليها وفقاً لقرارات ومقررات مؤتمرات المندوبين المفوضين للاتحاد. ومنذ عام 2023، أصبحت إدارة المخاطر والضوابط الداخلية بنداً دائماً في جدول أعمال دورات المجلس. </w:t>
      </w:r>
      <w:r>
        <w:rPr>
          <w:rFonts w:hint="cs"/>
          <w:rtl/>
          <w:lang w:val="en-GB" w:eastAsia="en-US" w:bidi="ar-EG"/>
        </w:rPr>
        <w:t>وابتداءً من</w:t>
      </w:r>
      <w:r w:rsidRPr="005E627C">
        <w:rPr>
          <w:rtl/>
          <w:lang w:val="en-GB" w:eastAsia="en-US" w:bidi="ar-EG"/>
        </w:rPr>
        <w:t xml:space="preserve"> عام 2024، يجري تنسيق إشراف الإدارة العليا على إدارة المخاطر والضوابط الداخلية من خلال </w:t>
      </w:r>
      <w:r>
        <w:rPr>
          <w:rFonts w:hint="cs"/>
          <w:rtl/>
          <w:lang w:val="en-GB" w:eastAsia="en-US" w:bidi="ar-EG"/>
        </w:rPr>
        <w:t>فريق تنسيق الإدارة</w:t>
      </w:r>
      <w:r w:rsidRPr="00060AF3">
        <w:rPr>
          <w:rtl/>
        </w:rPr>
        <w:t xml:space="preserve"> </w:t>
      </w:r>
      <w:r w:rsidRPr="00060AF3">
        <w:rPr>
          <w:rtl/>
          <w:lang w:val="en-GB" w:eastAsia="en-US"/>
        </w:rPr>
        <w:t>‏</w:t>
      </w:r>
      <w:r w:rsidRPr="00B957BA">
        <w:rPr>
          <w:rtl/>
          <w:lang w:val="en-GB" w:eastAsia="en-US"/>
        </w:rPr>
        <w:t>‏</w:t>
      </w:r>
    </w:p>
    <w:p w14:paraId="318DA553" w14:textId="4DE15C26" w:rsidR="00083F2A" w:rsidRPr="00E832A1" w:rsidRDefault="00083F2A" w:rsidP="00083F2A">
      <w:pPr>
        <w:rPr>
          <w:rtl/>
          <w:lang w:val="en-GB" w:eastAsia="en-US"/>
        </w:rPr>
      </w:pPr>
      <w:r>
        <w:rPr>
          <w:rFonts w:hint="cs"/>
          <w:b/>
          <w:bCs/>
          <w:i/>
          <w:iCs/>
          <w:rtl/>
          <w:lang w:val="en-GB" w:eastAsia="en-US" w:bidi="ar-EG"/>
        </w:rPr>
        <w:t>المشورة والضمان المستقلان</w:t>
      </w:r>
      <w:r w:rsidR="00134826">
        <w:rPr>
          <w:rFonts w:hint="cs"/>
          <w:b/>
          <w:bCs/>
          <w:i/>
          <w:iCs/>
          <w:rtl/>
          <w:lang w:val="en-GB" w:eastAsia="en-US" w:bidi="ar-EG"/>
        </w:rPr>
        <w:t>.</w:t>
      </w:r>
      <w:r w:rsidR="00A05F03">
        <w:rPr>
          <w:rFonts w:hint="cs"/>
          <w:b/>
          <w:bCs/>
          <w:i/>
          <w:iCs/>
          <w:rtl/>
          <w:lang w:val="en-GB" w:eastAsia="en-US" w:bidi="ar-EG"/>
        </w:rPr>
        <w:t xml:space="preserve"> </w:t>
      </w:r>
      <w:r w:rsidRPr="00641178">
        <w:rPr>
          <w:rtl/>
          <w:lang w:val="en-GB" w:eastAsia="en-US" w:bidi="ar-EG"/>
        </w:rPr>
        <w:t>تواصل اللجنة الاستشارية المستقلة للإدارة (</w:t>
      </w:r>
      <w:r w:rsidRPr="00641178">
        <w:rPr>
          <w:lang w:val="en-GB" w:eastAsia="en-US" w:bidi="ar-EG"/>
        </w:rPr>
        <w:t>IMAC</w:t>
      </w:r>
      <w:r w:rsidRPr="00641178">
        <w:rPr>
          <w:rtl/>
          <w:lang w:val="en-GB" w:eastAsia="en-US" w:bidi="ar-EG"/>
        </w:rPr>
        <w:t xml:space="preserve">)، التي ترفع تقاريرها إلى المجلس، دعم المجلس والأمانة في الاضطلاع بمسؤوليات </w:t>
      </w:r>
      <w:r>
        <w:rPr>
          <w:rFonts w:hint="cs"/>
          <w:rtl/>
          <w:lang w:val="en-GB" w:eastAsia="en-US" w:bidi="ar-EG"/>
        </w:rPr>
        <w:t>الإدارة</w:t>
      </w:r>
      <w:r w:rsidRPr="00641178">
        <w:rPr>
          <w:rtl/>
          <w:lang w:val="en-GB" w:eastAsia="en-US" w:bidi="ar-EG"/>
        </w:rPr>
        <w:t xml:space="preserve">، بما في ذلك ضمان فعالية نظام الرقابة الداخلية، وإدارة المخاطر، وعمليات </w:t>
      </w:r>
      <w:r>
        <w:rPr>
          <w:rFonts w:hint="cs"/>
          <w:rtl/>
          <w:lang w:val="en-GB" w:eastAsia="en-US" w:bidi="ar-EG"/>
        </w:rPr>
        <w:t>الإدارة في الاتحاد.</w:t>
      </w:r>
      <w:r w:rsidRPr="001B5D40">
        <w:rPr>
          <w:rtl/>
        </w:rPr>
        <w:t xml:space="preserve"> </w:t>
      </w:r>
      <w:r>
        <w:rPr>
          <w:rFonts w:hint="cs"/>
          <w:rtl/>
          <w:lang w:val="en-GB" w:eastAsia="en-US"/>
        </w:rPr>
        <w:t>و</w:t>
      </w:r>
      <w:r w:rsidRPr="001B5D40">
        <w:rPr>
          <w:rtl/>
          <w:lang w:val="en-GB" w:eastAsia="en-US"/>
        </w:rPr>
        <w:t xml:space="preserve">وافق المجلس في دورته المنعقدة في يونيو 2024 على ميثاق جديد للرقابة الداخلية للاتحاد. ويقوم الاتحاد حالياً بوضع اللمسات الأخيرة على مواءمة </w:t>
      </w:r>
      <w:r>
        <w:rPr>
          <w:rFonts w:hint="cs"/>
          <w:rtl/>
          <w:lang w:val="en-GB" w:eastAsia="en-US"/>
        </w:rPr>
        <w:t>الأوامر الإدارية</w:t>
      </w:r>
      <w:r w:rsidRPr="001B5D40">
        <w:rPr>
          <w:rtl/>
          <w:lang w:val="en-GB" w:eastAsia="en-US"/>
        </w:rPr>
        <w:t xml:space="preserve"> والسياسات ذات الصلة مع الميثاق الجديد، بما في ذلك ترتيبات الإبلاغ عن </w:t>
      </w:r>
      <w:r>
        <w:rPr>
          <w:rFonts w:hint="cs"/>
          <w:rtl/>
          <w:lang w:val="en-GB" w:eastAsia="en-US"/>
        </w:rPr>
        <w:t xml:space="preserve">حالات </w:t>
      </w:r>
      <w:r w:rsidRPr="001B5D40">
        <w:rPr>
          <w:rtl/>
          <w:lang w:val="en-GB" w:eastAsia="en-US"/>
        </w:rPr>
        <w:t>سوء السلوك المزعوم</w:t>
      </w:r>
      <w:r>
        <w:rPr>
          <w:rFonts w:hint="cs"/>
          <w:rtl/>
          <w:lang w:val="en-GB" w:eastAsia="en-US"/>
        </w:rPr>
        <w:t>ة</w:t>
      </w:r>
      <w:r w:rsidRPr="001B5D40">
        <w:rPr>
          <w:rtl/>
          <w:lang w:val="en-GB" w:eastAsia="en-US"/>
        </w:rPr>
        <w:t xml:space="preserve">، والتي تنص على أن يقدم رئيس وحدة الرقابة المستقلة تقاريره وظيفياً إلى المجلس واللجنة الاستشارية المستقلة </w:t>
      </w:r>
      <w:r>
        <w:rPr>
          <w:rFonts w:hint="cs"/>
          <w:rtl/>
          <w:lang w:val="en-GB" w:eastAsia="en-US"/>
        </w:rPr>
        <w:t>للإدارة</w:t>
      </w:r>
      <w:r w:rsidRPr="001B5D40">
        <w:rPr>
          <w:rtl/>
          <w:lang w:val="en-GB" w:eastAsia="en-US"/>
        </w:rPr>
        <w:t xml:space="preserve">، وإدارياً إلى </w:t>
      </w:r>
      <w:r>
        <w:rPr>
          <w:rFonts w:hint="cs"/>
          <w:rtl/>
          <w:lang w:val="en-GB" w:eastAsia="en-US"/>
        </w:rPr>
        <w:t>الأمينة العامة.</w:t>
      </w:r>
      <w:r w:rsidRPr="001B5D40">
        <w:rPr>
          <w:rtl/>
        </w:rPr>
        <w:t xml:space="preserve"> </w:t>
      </w:r>
      <w:r>
        <w:rPr>
          <w:rFonts w:hint="cs"/>
          <w:rtl/>
          <w:lang w:val="en-GB" w:eastAsia="en-US"/>
        </w:rPr>
        <w:t>و</w:t>
      </w:r>
      <w:r w:rsidRPr="001B5D40">
        <w:rPr>
          <w:rtl/>
          <w:lang w:val="en-GB" w:eastAsia="en-US"/>
        </w:rPr>
        <w:t xml:space="preserve">قدمت وحدة الرقابة تقريرها السنوي إلى اللجنة </w:t>
      </w:r>
      <w:r>
        <w:rPr>
          <w:rFonts w:hint="cs"/>
          <w:rtl/>
          <w:lang w:val="en-GB" w:eastAsia="en-US"/>
        </w:rPr>
        <w:t>الاستشارية المستقلة للإدارة</w:t>
      </w:r>
      <w:r w:rsidRPr="001B5D40">
        <w:rPr>
          <w:rtl/>
          <w:lang w:val="en-GB" w:eastAsia="en-US"/>
        </w:rPr>
        <w:t xml:space="preserve">، </w:t>
      </w:r>
      <w:r>
        <w:rPr>
          <w:rFonts w:hint="cs"/>
          <w:rtl/>
          <w:lang w:val="en-GB" w:eastAsia="en-US"/>
        </w:rPr>
        <w:t>والمراجع</w:t>
      </w:r>
      <w:r w:rsidRPr="001B5D40">
        <w:rPr>
          <w:rtl/>
          <w:lang w:val="en-GB" w:eastAsia="en-US"/>
        </w:rPr>
        <w:t xml:space="preserve"> الخارجي، والأمين</w:t>
      </w:r>
      <w:r>
        <w:rPr>
          <w:rFonts w:hint="cs"/>
          <w:rtl/>
          <w:lang w:val="en-GB" w:eastAsia="en-US"/>
        </w:rPr>
        <w:t>ة</w:t>
      </w:r>
      <w:r w:rsidRPr="001B5D40">
        <w:rPr>
          <w:rtl/>
          <w:lang w:val="en-GB" w:eastAsia="en-US"/>
        </w:rPr>
        <w:t xml:space="preserve"> العام</w:t>
      </w:r>
      <w:r>
        <w:rPr>
          <w:rFonts w:hint="cs"/>
          <w:rtl/>
          <w:lang w:val="en-GB" w:eastAsia="en-US"/>
        </w:rPr>
        <w:t>ة</w:t>
      </w:r>
      <w:r w:rsidRPr="001B5D40">
        <w:rPr>
          <w:rtl/>
          <w:lang w:val="en-GB" w:eastAsia="en-US"/>
        </w:rPr>
        <w:t xml:space="preserve">، والمجلس. </w:t>
      </w:r>
      <w:r>
        <w:rPr>
          <w:rFonts w:hint="cs"/>
          <w:rtl/>
          <w:lang w:val="en-GB" w:eastAsia="en-US"/>
        </w:rPr>
        <w:t>و</w:t>
      </w:r>
      <w:r w:rsidRPr="001B5D40">
        <w:rPr>
          <w:rtl/>
          <w:lang w:val="en-GB" w:eastAsia="en-US"/>
        </w:rPr>
        <w:t xml:space="preserve">في 23 سبتمبر 2024، انضم الرئيس الجديد إلى الاتحاد لقيادة وحدة الرقابة، التي توفر ضماناً مستقلاً بشأن فعالية نظام الرقابة الداخلية. </w:t>
      </w:r>
      <w:r>
        <w:rPr>
          <w:rFonts w:hint="cs"/>
          <w:rtl/>
          <w:lang w:val="en-GB" w:eastAsia="en-US"/>
        </w:rPr>
        <w:t xml:space="preserve">وأُضيفت أيضاً </w:t>
      </w:r>
      <w:r w:rsidRPr="001B5D40">
        <w:rPr>
          <w:rtl/>
          <w:lang w:val="en-GB" w:eastAsia="en-US"/>
        </w:rPr>
        <w:t>وظيفة التقييم إلى تلك الوحدة، ويجري حالياً تنفيذ إجراءات التوظيف.</w:t>
      </w:r>
    </w:p>
    <w:p w14:paraId="220C2E55" w14:textId="7D66052C" w:rsidR="00083F2A" w:rsidRPr="0002633F" w:rsidRDefault="00083F2A" w:rsidP="00083F2A">
      <w:pPr>
        <w:rPr>
          <w:rtl/>
          <w:lang w:val="en-GB" w:eastAsia="en-US" w:bidi="ar-SY"/>
        </w:rPr>
      </w:pPr>
      <w:r>
        <w:rPr>
          <w:rFonts w:hint="cs"/>
          <w:b/>
          <w:bCs/>
          <w:i/>
          <w:iCs/>
          <w:rtl/>
          <w:lang w:val="en-GB" w:eastAsia="en-US" w:bidi="ar-EG"/>
        </w:rPr>
        <w:t>توصيات الرقابة المعلّقة</w:t>
      </w:r>
      <w:r w:rsidR="00134826">
        <w:rPr>
          <w:rFonts w:hint="cs"/>
          <w:b/>
          <w:bCs/>
          <w:i/>
          <w:iCs/>
          <w:rtl/>
          <w:lang w:val="en-GB" w:eastAsia="en-US" w:bidi="ar-EG"/>
        </w:rPr>
        <w:t>.</w:t>
      </w:r>
      <w:r w:rsidR="00A05F03">
        <w:rPr>
          <w:rFonts w:hint="cs"/>
          <w:b/>
          <w:bCs/>
          <w:i/>
          <w:iCs/>
          <w:rtl/>
          <w:lang w:val="en-GB" w:eastAsia="en-US" w:bidi="ar-EG"/>
        </w:rPr>
        <w:t xml:space="preserve"> </w:t>
      </w:r>
      <w:r w:rsidRPr="0002633F">
        <w:rPr>
          <w:rtl/>
          <w:lang w:val="en-GB" w:eastAsia="en-US" w:bidi="ar-EG"/>
        </w:rPr>
        <w:t>بالإضافة إلى اللجنة الاستشارية المستقلة للإدارة ووظيفة المراجعة الداخلية، تقدم وحدة التفتيش المشتركة والمراجع الخارجي أيضا</w:t>
      </w:r>
      <w:r>
        <w:rPr>
          <w:rFonts w:hint="cs"/>
          <w:rtl/>
          <w:lang w:val="en-GB" w:eastAsia="en-US" w:bidi="ar-EG"/>
        </w:rPr>
        <w:t>ً</w:t>
      </w:r>
      <w:r w:rsidRPr="0002633F">
        <w:rPr>
          <w:rtl/>
          <w:lang w:val="en-GB" w:eastAsia="en-US" w:bidi="ar-EG"/>
        </w:rPr>
        <w:t xml:space="preserve"> ضمانات الرقابة المستقلة. ‏وفي مايو </w:t>
      </w:r>
      <w:r w:rsidRPr="0002633F">
        <w:rPr>
          <w:cs/>
          <w:lang w:val="en-GB" w:eastAsia="en-US" w:bidi="ar-EG"/>
        </w:rPr>
        <w:t>‎</w:t>
      </w:r>
      <w:r w:rsidRPr="0002633F">
        <w:rPr>
          <w:lang w:val="en-GB" w:eastAsia="en-US" w:bidi="ar-EG"/>
        </w:rPr>
        <w:t>2024</w:t>
      </w:r>
      <w:r w:rsidRPr="0002633F">
        <w:rPr>
          <w:rtl/>
          <w:lang w:val="en-GB" w:eastAsia="en-US" w:bidi="ar-EG"/>
        </w:rPr>
        <w:t xml:space="preserve">‏، شرع الاتحاد في استعراض جميع توصيات الرقابة المعلقة، التي يعود بعضها إلى عدة سنوات. </w:t>
      </w:r>
      <w:r>
        <w:rPr>
          <w:rFonts w:hint="cs"/>
          <w:rtl/>
          <w:lang w:val="en-GB" w:eastAsia="en-US" w:bidi="ar-EG"/>
        </w:rPr>
        <w:t>وفي إطار</w:t>
      </w:r>
      <w:r w:rsidRPr="0002633F">
        <w:rPr>
          <w:rtl/>
          <w:lang w:val="en-GB" w:eastAsia="en-US" w:bidi="ar-EG"/>
        </w:rPr>
        <w:t xml:space="preserve"> هذه العملية، بذل الموظفون والمديرون جهودا</w:t>
      </w:r>
      <w:r>
        <w:rPr>
          <w:rFonts w:hint="cs"/>
          <w:rtl/>
          <w:lang w:val="en-GB" w:eastAsia="en-US" w:bidi="ar-EG"/>
        </w:rPr>
        <w:t>ً</w:t>
      </w:r>
      <w:r w:rsidRPr="0002633F">
        <w:rPr>
          <w:rtl/>
          <w:lang w:val="en-GB" w:eastAsia="en-US" w:bidi="ar-EG"/>
        </w:rPr>
        <w:t xml:space="preserve"> كبيرة، لا تزال مستمرة، لمعالجة مختلف نقاط الضعف في الرقابة التي حددتها هذه التوصيات، </w:t>
      </w:r>
      <w:r>
        <w:rPr>
          <w:rFonts w:hint="cs"/>
          <w:rtl/>
          <w:lang w:val="en-GB" w:eastAsia="en-US" w:bidi="ar-EG"/>
        </w:rPr>
        <w:t>والمساهمة بذلك</w:t>
      </w:r>
      <w:r w:rsidRPr="0002633F">
        <w:rPr>
          <w:rtl/>
          <w:lang w:val="en-GB" w:eastAsia="en-US" w:bidi="ar-EG"/>
        </w:rPr>
        <w:t xml:space="preserve"> في </w:t>
      </w:r>
      <w:r>
        <w:rPr>
          <w:rFonts w:hint="cs"/>
          <w:rtl/>
          <w:lang w:val="en-GB" w:eastAsia="en-US" w:bidi="ar-EG"/>
        </w:rPr>
        <w:t>الحد من</w:t>
      </w:r>
      <w:r w:rsidRPr="0002633F">
        <w:rPr>
          <w:rtl/>
          <w:lang w:val="en-GB" w:eastAsia="en-US" w:bidi="ar-EG"/>
        </w:rPr>
        <w:t xml:space="preserve"> المخاطر الكامنة. وفيما يتعلق بالتوصيات المعل</w:t>
      </w:r>
      <w:r>
        <w:rPr>
          <w:rFonts w:hint="cs"/>
          <w:rtl/>
          <w:lang w:val="en-GB" w:eastAsia="en-US" w:bidi="ar-EG"/>
        </w:rPr>
        <w:t>ّ</w:t>
      </w:r>
      <w:r w:rsidRPr="0002633F">
        <w:rPr>
          <w:rtl/>
          <w:lang w:val="en-GB" w:eastAsia="en-US" w:bidi="ar-EG"/>
        </w:rPr>
        <w:t xml:space="preserve">قة </w:t>
      </w:r>
      <w:r>
        <w:rPr>
          <w:rFonts w:hint="cs"/>
          <w:rtl/>
          <w:lang w:val="en-GB" w:eastAsia="en-US" w:bidi="ar-EG"/>
        </w:rPr>
        <w:t>الصادرة عن</w:t>
      </w:r>
      <w:r w:rsidRPr="0002633F">
        <w:rPr>
          <w:rtl/>
          <w:lang w:val="en-GB" w:eastAsia="en-US" w:bidi="ar-EG"/>
        </w:rPr>
        <w:t xml:space="preserve"> </w:t>
      </w:r>
      <w:r>
        <w:rPr>
          <w:rFonts w:hint="cs"/>
          <w:rtl/>
          <w:lang w:val="en-GB" w:eastAsia="en-US" w:bidi="ar-EG"/>
        </w:rPr>
        <w:t>المراجع</w:t>
      </w:r>
      <w:r w:rsidRPr="0002633F">
        <w:rPr>
          <w:rtl/>
          <w:lang w:val="en-GB" w:eastAsia="en-US" w:bidi="ar-EG"/>
        </w:rPr>
        <w:t xml:space="preserve"> الخارجي السابق، </w:t>
      </w:r>
      <w:r>
        <w:rPr>
          <w:rFonts w:hint="cs"/>
          <w:rtl/>
          <w:lang w:val="en-GB" w:eastAsia="en-US" w:bidi="ar-EG"/>
        </w:rPr>
        <w:t>"</w:t>
      </w:r>
      <w:r w:rsidRPr="0002633F">
        <w:rPr>
          <w:lang w:val="en-GB" w:eastAsia="en-US" w:bidi="ar-EG"/>
        </w:rPr>
        <w:t xml:space="preserve">Corte </w:t>
      </w:r>
      <w:proofErr w:type="spellStart"/>
      <w:r w:rsidRPr="0002633F">
        <w:rPr>
          <w:lang w:val="en-GB" w:eastAsia="en-US" w:bidi="ar-EG"/>
        </w:rPr>
        <w:t>dei</w:t>
      </w:r>
      <w:proofErr w:type="spellEnd"/>
      <w:r w:rsidRPr="0002633F">
        <w:rPr>
          <w:lang w:val="en-GB" w:eastAsia="en-US" w:bidi="ar-EG"/>
        </w:rPr>
        <w:t xml:space="preserve"> </w:t>
      </w:r>
      <w:proofErr w:type="spellStart"/>
      <w:r w:rsidRPr="0002633F">
        <w:rPr>
          <w:lang w:val="en-GB" w:eastAsia="en-US" w:bidi="ar-EG"/>
        </w:rPr>
        <w:t>conti</w:t>
      </w:r>
      <w:proofErr w:type="spellEnd"/>
      <w:r>
        <w:rPr>
          <w:rFonts w:hint="cs"/>
          <w:rtl/>
          <w:lang w:val="en-GB" w:eastAsia="en-US" w:bidi="ar-EG"/>
        </w:rPr>
        <w:t>"</w:t>
      </w:r>
      <w:r w:rsidRPr="0002633F">
        <w:rPr>
          <w:rtl/>
          <w:lang w:val="en-GB" w:eastAsia="en-US" w:bidi="ar-EG"/>
        </w:rPr>
        <w:t>، ن</w:t>
      </w:r>
      <w:r>
        <w:rPr>
          <w:rFonts w:hint="cs"/>
          <w:rtl/>
          <w:lang w:val="en-GB" w:eastAsia="en-US" w:bidi="ar-EG"/>
        </w:rPr>
        <w:t>ُ</w:t>
      </w:r>
      <w:r w:rsidRPr="0002633F">
        <w:rPr>
          <w:rtl/>
          <w:lang w:val="en-GB" w:eastAsia="en-US" w:bidi="ar-EG"/>
        </w:rPr>
        <w:t xml:space="preserve">فذ عدد كبير منها </w:t>
      </w:r>
      <w:r>
        <w:rPr>
          <w:rFonts w:hint="cs"/>
          <w:rtl/>
          <w:lang w:val="en-GB" w:eastAsia="en-US" w:bidi="ar-EG"/>
        </w:rPr>
        <w:t>في إطار</w:t>
      </w:r>
      <w:r w:rsidRPr="0002633F">
        <w:rPr>
          <w:rtl/>
          <w:lang w:val="en-GB" w:eastAsia="en-US" w:bidi="ar-EG"/>
        </w:rPr>
        <w:t xml:space="preserve"> هذه العملية. وستجمع التوصيات المتعلقة بإغلاق هذه التوصيات في تقرير للجنة الاستشارية المستقلة للإدارة لمناقشته مع </w:t>
      </w:r>
      <w:r>
        <w:rPr>
          <w:rFonts w:hint="cs"/>
          <w:rtl/>
          <w:lang w:val="en-GB" w:eastAsia="en-US" w:bidi="ar-EG"/>
        </w:rPr>
        <w:t>ال</w:t>
      </w:r>
      <w:r w:rsidRPr="0002633F">
        <w:rPr>
          <w:rtl/>
          <w:lang w:val="en-GB" w:eastAsia="en-US" w:bidi="ar-EG"/>
        </w:rPr>
        <w:t>مراجع الخارجي الحالي، وهو المكتب الوطني لمراجعة الحسابات (</w:t>
      </w:r>
      <w:r w:rsidRPr="0002633F">
        <w:rPr>
          <w:cs/>
          <w:lang w:val="en-GB" w:eastAsia="en-US" w:bidi="ar-EG"/>
        </w:rPr>
        <w:t>‎</w:t>
      </w:r>
      <w:r w:rsidRPr="0002633F">
        <w:rPr>
          <w:lang w:val="en-GB" w:eastAsia="en-US" w:bidi="ar-EG"/>
        </w:rPr>
        <w:t>NAO</w:t>
      </w:r>
      <w:r w:rsidRPr="0002633F">
        <w:rPr>
          <w:rtl/>
          <w:lang w:val="en-GB" w:eastAsia="en-US" w:bidi="ar-EG"/>
        </w:rPr>
        <w:t>) ‏في المملكة المتحدة.</w:t>
      </w:r>
      <w:r w:rsidRPr="0002633F">
        <w:rPr>
          <w:cs/>
          <w:lang w:val="en-GB" w:eastAsia="en-US" w:bidi="ar-EG"/>
        </w:rPr>
        <w:t>‎‎</w:t>
      </w:r>
      <w:r w:rsidRPr="00E832A1">
        <w:rPr>
          <w:lang w:val="en-GB" w:eastAsia="en-US" w:bidi="ar-EG"/>
        </w:rPr>
        <w:t>..</w:t>
      </w:r>
    </w:p>
    <w:p w14:paraId="485A29CD" w14:textId="4EEACE60" w:rsidR="00083F2A" w:rsidRPr="00E832A1" w:rsidRDefault="00083F2A" w:rsidP="00083F2A">
      <w:pPr>
        <w:rPr>
          <w:rtl/>
          <w:lang w:val="en-GB" w:eastAsia="en-US" w:bidi="ar-SY"/>
        </w:rPr>
      </w:pPr>
      <w:r>
        <w:rPr>
          <w:rFonts w:hint="cs"/>
          <w:b/>
          <w:bCs/>
          <w:i/>
          <w:iCs/>
          <w:rtl/>
          <w:lang w:val="en-GB" w:eastAsia="en-US" w:bidi="ar-EG"/>
        </w:rPr>
        <w:t>تنمية المعارف والمهارات.</w:t>
      </w:r>
      <w:r w:rsidRPr="00E74AEA">
        <w:rPr>
          <w:rtl/>
        </w:rPr>
        <w:t xml:space="preserve"> </w:t>
      </w:r>
      <w:r w:rsidRPr="00E74AEA">
        <w:rPr>
          <w:rtl/>
          <w:lang w:val="en-GB" w:eastAsia="en-US" w:bidi="ar-EG"/>
        </w:rPr>
        <w:t>تلتزم الإدارة العليا أيضاً بتعزيز ثقافة مكان العمل القائمة على الكفاءة والاحترام والنزاهة.</w:t>
      </w:r>
      <w:r w:rsidRPr="00E74AEA">
        <w:rPr>
          <w:rtl/>
        </w:rPr>
        <w:t xml:space="preserve"> </w:t>
      </w:r>
      <w:r w:rsidRPr="00E74AEA">
        <w:rPr>
          <w:rtl/>
          <w:lang w:val="en-GB" w:eastAsia="en-US" w:bidi="ar-EG"/>
        </w:rPr>
        <w:t>في</w:t>
      </w:r>
      <w:r w:rsidR="0096249D">
        <w:rPr>
          <w:rFonts w:hint="cs"/>
          <w:rtl/>
          <w:lang w:val="en-GB" w:eastAsia="en-US" w:bidi="ar-EG"/>
        </w:rPr>
        <w:t> </w:t>
      </w:r>
      <w:r w:rsidRPr="00E74AEA">
        <w:rPr>
          <w:rtl/>
          <w:lang w:val="en-GB" w:eastAsia="en-US" w:bidi="ar-EG"/>
        </w:rPr>
        <w:t>أغسطس</w:t>
      </w:r>
      <w:r w:rsidR="0096249D">
        <w:rPr>
          <w:rFonts w:hint="cs"/>
          <w:rtl/>
          <w:lang w:val="en-GB" w:eastAsia="en-US" w:bidi="ar-EG"/>
        </w:rPr>
        <w:t> </w:t>
      </w:r>
      <w:r w:rsidRPr="00E74AEA">
        <w:rPr>
          <w:rtl/>
          <w:lang w:val="en-GB" w:eastAsia="en-US" w:bidi="ar-EG"/>
        </w:rPr>
        <w:t xml:space="preserve">2024، </w:t>
      </w:r>
      <w:r>
        <w:rPr>
          <w:rFonts w:hint="cs"/>
          <w:rtl/>
          <w:lang w:val="en-GB" w:eastAsia="en-US" w:bidi="ar-EG"/>
        </w:rPr>
        <w:t>اعتُمدت</w:t>
      </w:r>
      <w:r w:rsidRPr="00E74AEA">
        <w:rPr>
          <w:rtl/>
          <w:lang w:val="en-GB" w:eastAsia="en-US" w:bidi="ar-EG"/>
        </w:rPr>
        <w:t xml:space="preserve"> سياسة إلزامية جديدة للتعلّم في الاتحاد بهدف بناء قاعدة معرفية مشتركة، وتعزيز ثقافة مؤسسية موحدة، وزيادة الوعي بالمعايير المؤسسية والسلوكيات المتوقعة.</w:t>
      </w:r>
      <w:r w:rsidRPr="00E74AEA">
        <w:rPr>
          <w:rtl/>
        </w:rPr>
        <w:t xml:space="preserve"> </w:t>
      </w:r>
      <w:r>
        <w:rPr>
          <w:rFonts w:hint="cs"/>
          <w:rtl/>
          <w:lang w:val="en-GB" w:eastAsia="en-US" w:bidi="ar-SY"/>
        </w:rPr>
        <w:t>و</w:t>
      </w:r>
      <w:r w:rsidRPr="00E74AEA">
        <w:rPr>
          <w:rtl/>
          <w:lang w:val="en-GB" w:eastAsia="en-US" w:bidi="ar-SY"/>
        </w:rPr>
        <w:t xml:space="preserve">تغطي التدريبات الإلزامية </w:t>
      </w:r>
      <w:r>
        <w:rPr>
          <w:rFonts w:hint="cs"/>
          <w:rtl/>
          <w:lang w:val="en-GB" w:eastAsia="en-US" w:bidi="ar-SY"/>
        </w:rPr>
        <w:t>المواضيع</w:t>
      </w:r>
      <w:r w:rsidRPr="00E74AEA">
        <w:rPr>
          <w:rtl/>
          <w:lang w:val="en-GB" w:eastAsia="en-US" w:bidi="ar-SY"/>
        </w:rPr>
        <w:t xml:space="preserve"> الأساسية المتعلقة بالسلوك الأخلاقي، وأمن المعلومات، والمساواة بين الجنسين، ومنع التحرش والاستغلال والاعتداء الجنسي</w:t>
      </w:r>
      <w:r>
        <w:rPr>
          <w:rFonts w:hint="cs"/>
          <w:rtl/>
          <w:lang w:val="en-GB" w:eastAsia="en-US" w:bidi="ar-SY"/>
        </w:rPr>
        <w:t>ين</w:t>
      </w:r>
      <w:r w:rsidRPr="00E74AEA">
        <w:rPr>
          <w:rtl/>
          <w:lang w:val="en-GB" w:eastAsia="en-US" w:bidi="ar-SY"/>
        </w:rPr>
        <w:t xml:space="preserve">، وشمولية تكنولوجيا المعلومات والاتصالات، وسلامة السفر أثناء أداء </w:t>
      </w:r>
      <w:r>
        <w:rPr>
          <w:rFonts w:hint="cs"/>
          <w:rtl/>
          <w:lang w:val="en-GB" w:eastAsia="en-US" w:bidi="ar-SY"/>
        </w:rPr>
        <w:t>المهام</w:t>
      </w:r>
      <w:r w:rsidRPr="00E74AEA">
        <w:rPr>
          <w:rtl/>
          <w:lang w:val="en-GB" w:eastAsia="en-US" w:bidi="ar-SY"/>
        </w:rPr>
        <w:t>.</w:t>
      </w:r>
      <w:r w:rsidRPr="00E74AEA">
        <w:rPr>
          <w:rtl/>
        </w:rPr>
        <w:t xml:space="preserve"> </w:t>
      </w:r>
      <w:r>
        <w:rPr>
          <w:rFonts w:hint="cs"/>
          <w:rtl/>
        </w:rPr>
        <w:t>و</w:t>
      </w:r>
      <w:r w:rsidRPr="00E74AEA">
        <w:rPr>
          <w:rtl/>
          <w:lang w:val="en-GB" w:eastAsia="en-US" w:bidi="ar-SY"/>
        </w:rPr>
        <w:t xml:space="preserve">أطلقت </w:t>
      </w:r>
      <w:r w:rsidR="008359E8">
        <w:rPr>
          <w:rFonts w:hint="cs"/>
          <w:rtl/>
          <w:lang w:val="en-GB" w:eastAsia="en-US" w:bidi="ar-EG"/>
        </w:rPr>
        <w:t xml:space="preserve">دائرة </w:t>
      </w:r>
      <w:r w:rsidRPr="00E74AEA">
        <w:rPr>
          <w:rtl/>
          <w:lang w:val="en-GB" w:eastAsia="en-US" w:bidi="ar-SY"/>
        </w:rPr>
        <w:t>إدارة الموارد البشرية</w:t>
      </w:r>
      <w:r w:rsidR="008359E8">
        <w:rPr>
          <w:rFonts w:hint="cs"/>
          <w:rtl/>
          <w:lang w:val="en-GB" w:eastAsia="en-US" w:bidi="ar-SY"/>
        </w:rPr>
        <w:t xml:space="preserve"> </w:t>
      </w:r>
      <w:r w:rsidR="008359E8">
        <w:rPr>
          <w:lang w:eastAsia="en-US" w:bidi="ar-SY"/>
        </w:rPr>
        <w:t>(HRMD)</w:t>
      </w:r>
      <w:r w:rsidRPr="00E74AEA">
        <w:rPr>
          <w:rtl/>
          <w:lang w:val="en-GB" w:eastAsia="en-US" w:bidi="ar-SY"/>
        </w:rPr>
        <w:t xml:space="preserve"> برنامج "</w:t>
      </w:r>
      <w:r w:rsidRPr="00E74AEA">
        <w:rPr>
          <w:lang w:val="en-GB" w:eastAsia="en-US" w:bidi="ar-SY"/>
        </w:rPr>
        <w:t>Game</w:t>
      </w:r>
      <w:r w:rsidR="008359E8">
        <w:rPr>
          <w:lang w:val="en-GB" w:eastAsia="en-US" w:bidi="ar-SY"/>
        </w:rPr>
        <w:t> </w:t>
      </w:r>
      <w:r w:rsidRPr="00E74AEA">
        <w:rPr>
          <w:lang w:val="en-GB" w:eastAsia="en-US" w:bidi="ar-SY"/>
        </w:rPr>
        <w:t>Shifter</w:t>
      </w:r>
      <w:r w:rsidRPr="00E74AEA">
        <w:rPr>
          <w:rtl/>
          <w:lang w:val="en-GB" w:eastAsia="en-US" w:bidi="ar-SY"/>
        </w:rPr>
        <w:t>" في</w:t>
      </w:r>
      <w:r w:rsidR="00D60E45">
        <w:rPr>
          <w:rFonts w:hint="cs"/>
          <w:rtl/>
          <w:lang w:val="en-GB" w:eastAsia="en-US" w:bidi="ar-SY"/>
        </w:rPr>
        <w:t> </w:t>
      </w:r>
      <w:r w:rsidRPr="00E74AEA">
        <w:rPr>
          <w:rtl/>
          <w:lang w:val="en-GB" w:eastAsia="en-US" w:bidi="ar-SY"/>
        </w:rPr>
        <w:t>عام</w:t>
      </w:r>
      <w:r w:rsidR="00D60E45">
        <w:rPr>
          <w:rFonts w:hint="cs"/>
          <w:rtl/>
          <w:lang w:val="en-GB" w:eastAsia="en-US" w:bidi="ar-SY"/>
        </w:rPr>
        <w:t> </w:t>
      </w:r>
      <w:r w:rsidRPr="00E74AEA">
        <w:rPr>
          <w:rtl/>
          <w:lang w:val="en-GB" w:eastAsia="en-US" w:bidi="ar-SY"/>
        </w:rPr>
        <w:t xml:space="preserve">2024 لمساعدة زملاء </w:t>
      </w:r>
      <w:r>
        <w:rPr>
          <w:rFonts w:hint="cs"/>
          <w:rtl/>
          <w:lang w:val="en-GB" w:eastAsia="en-US" w:bidi="ar-SY"/>
        </w:rPr>
        <w:t>الخدمات</w:t>
      </w:r>
      <w:r w:rsidRPr="00E74AEA">
        <w:rPr>
          <w:rtl/>
          <w:lang w:val="en-GB" w:eastAsia="en-US" w:bidi="ar-SY"/>
        </w:rPr>
        <w:t xml:space="preserve"> العامة </w:t>
      </w:r>
      <w:r>
        <w:rPr>
          <w:rFonts w:hint="cs"/>
          <w:rtl/>
          <w:lang w:val="en-GB" w:eastAsia="en-US" w:bidi="ar-SY"/>
        </w:rPr>
        <w:t>في</w:t>
      </w:r>
      <w:r w:rsidRPr="00E74AEA">
        <w:rPr>
          <w:rtl/>
          <w:lang w:val="en-GB" w:eastAsia="en-US" w:bidi="ar-SY"/>
        </w:rPr>
        <w:t xml:space="preserve"> اكتساب المهارات الأساسية اللازمة لتطوير مسارهم الوظيفي. </w:t>
      </w:r>
      <w:r>
        <w:rPr>
          <w:rFonts w:hint="cs"/>
          <w:rtl/>
          <w:lang w:val="en-GB" w:eastAsia="en-US" w:bidi="ar-SY"/>
        </w:rPr>
        <w:t>وقُدمت</w:t>
      </w:r>
      <w:r w:rsidRPr="00E74AEA">
        <w:rPr>
          <w:rtl/>
          <w:lang w:val="en-GB" w:eastAsia="en-US" w:bidi="ar-SY"/>
        </w:rPr>
        <w:t xml:space="preserve"> تدريبات تقنية </w:t>
      </w:r>
      <w:r>
        <w:rPr>
          <w:rFonts w:hint="cs"/>
          <w:rtl/>
          <w:lang w:val="en-GB" w:eastAsia="en-US" w:bidi="ar-SY"/>
        </w:rPr>
        <w:t>مخصصة خاصة بكل مكتب</w:t>
      </w:r>
      <w:r w:rsidRPr="00E74AEA">
        <w:rPr>
          <w:rtl/>
          <w:lang w:val="en-GB" w:eastAsia="en-US" w:bidi="ar-SY"/>
        </w:rPr>
        <w:t xml:space="preserve"> </w:t>
      </w:r>
      <w:r>
        <w:rPr>
          <w:rFonts w:hint="cs"/>
          <w:rtl/>
          <w:lang w:val="en-GB" w:eastAsia="en-US" w:bidi="ar-SY"/>
        </w:rPr>
        <w:t>بشأن</w:t>
      </w:r>
      <w:r w:rsidRPr="00E74AEA">
        <w:rPr>
          <w:rtl/>
          <w:lang w:val="en-GB" w:eastAsia="en-US" w:bidi="ar-SY"/>
        </w:rPr>
        <w:t xml:space="preserve"> مواضيع رئيسية على مدار العام، بما في ذلك من خلال سلسلة مختبرات التعلم المفتوحة لجميع الموظفين حول أحدث المواضيع التكنولوجية.</w:t>
      </w:r>
    </w:p>
    <w:p w14:paraId="46027CC8" w14:textId="24AF8AA1" w:rsidR="00083F2A" w:rsidRPr="00E832A1" w:rsidRDefault="00083F2A" w:rsidP="00083F2A">
      <w:pPr>
        <w:rPr>
          <w:rtl/>
          <w:lang w:val="en-GB" w:eastAsia="en-US" w:bidi="ar-SY"/>
        </w:rPr>
      </w:pPr>
      <w:r>
        <w:rPr>
          <w:rFonts w:hint="cs"/>
          <w:b/>
          <w:bCs/>
          <w:i/>
          <w:iCs/>
          <w:rtl/>
          <w:lang w:val="en-GB" w:eastAsia="en-US" w:bidi="ar-EG"/>
        </w:rPr>
        <w:t>إدارة الأداء</w:t>
      </w:r>
      <w:r w:rsidR="00134826">
        <w:rPr>
          <w:rFonts w:hint="cs"/>
          <w:b/>
          <w:bCs/>
          <w:i/>
          <w:iCs/>
          <w:rtl/>
          <w:lang w:val="en-GB" w:eastAsia="en-US" w:bidi="ar-EG"/>
        </w:rPr>
        <w:t>.</w:t>
      </w:r>
      <w:r w:rsidR="00A05F03">
        <w:rPr>
          <w:rFonts w:hint="cs"/>
          <w:b/>
          <w:bCs/>
          <w:i/>
          <w:iCs/>
          <w:rtl/>
          <w:lang w:val="en-GB" w:eastAsia="en-US" w:bidi="ar-EG"/>
        </w:rPr>
        <w:t xml:space="preserve"> </w:t>
      </w:r>
      <w:r w:rsidRPr="005C0B89">
        <w:rPr>
          <w:rtl/>
          <w:lang w:val="en-GB" w:eastAsia="en-US" w:bidi="ar-SY"/>
        </w:rPr>
        <w:t xml:space="preserve">عزّز الاتحاد إدارة الأداء من خلال تبسيط العملية، لا سيما مع إدخال أداة </w:t>
      </w:r>
      <w:proofErr w:type="spellStart"/>
      <w:r w:rsidRPr="005C0B89">
        <w:rPr>
          <w:lang w:val="en-GB" w:eastAsia="en-US" w:bidi="ar-SY"/>
        </w:rPr>
        <w:t>ePMDS</w:t>
      </w:r>
      <w:proofErr w:type="spellEnd"/>
      <w:r w:rsidRPr="005C0B89">
        <w:rPr>
          <w:rtl/>
          <w:lang w:val="en-GB" w:eastAsia="en-US" w:bidi="ar-SY"/>
        </w:rPr>
        <w:t xml:space="preserve"> المبسطة، ما أتاح إجراء مناقشات وملاحظات </w:t>
      </w:r>
      <w:r>
        <w:rPr>
          <w:rFonts w:hint="cs"/>
          <w:rtl/>
          <w:lang w:val="en-GB" w:eastAsia="en-US" w:bidi="ar-SY"/>
        </w:rPr>
        <w:t>بشأن</w:t>
      </w:r>
      <w:r w:rsidRPr="005C0B89">
        <w:rPr>
          <w:rtl/>
          <w:lang w:val="en-GB" w:eastAsia="en-US" w:bidi="ar-SY"/>
        </w:rPr>
        <w:t xml:space="preserve"> الأداء بصورة أكثر كفاءة. </w:t>
      </w:r>
      <w:r>
        <w:rPr>
          <w:rFonts w:hint="cs"/>
          <w:rtl/>
          <w:lang w:val="en-GB" w:eastAsia="en-US" w:bidi="ar-SY"/>
        </w:rPr>
        <w:t>وقد أُطلقت</w:t>
      </w:r>
      <w:r w:rsidRPr="005C0B89">
        <w:rPr>
          <w:rtl/>
          <w:lang w:val="en-GB" w:eastAsia="en-US" w:bidi="ar-SY"/>
        </w:rPr>
        <w:t xml:space="preserve"> صفحة حديثة وسهلة الاستخدام لإدارة الأداء تتضمن معلومات وإرشادات أساسية عن العملية. كما تم توفير تدريب على إدارة الأداء لكل من الموظفين والمشرفين، مع التركيز على المعارف والمهارات الأساسية اللازمة لإعداد خطط العمل وتقييمها بنجاح.</w:t>
      </w:r>
    </w:p>
    <w:p w14:paraId="6879E04B" w14:textId="1217589F" w:rsidR="00083F2A" w:rsidRPr="00E832A1" w:rsidRDefault="00083F2A" w:rsidP="00083F2A">
      <w:pPr>
        <w:rPr>
          <w:rtl/>
          <w:lang w:val="en-GB" w:eastAsia="en-US" w:bidi="ar-EG"/>
        </w:rPr>
      </w:pPr>
      <w:r>
        <w:rPr>
          <w:rFonts w:hint="cs"/>
          <w:b/>
          <w:bCs/>
          <w:i/>
          <w:iCs/>
          <w:rtl/>
          <w:lang w:val="en-GB" w:eastAsia="en-US" w:bidi="ar-EG"/>
        </w:rPr>
        <w:t>برنامج الإنهاء الطوعي للخدمة</w:t>
      </w:r>
      <w:r w:rsidR="00134826">
        <w:rPr>
          <w:rFonts w:hint="cs"/>
          <w:b/>
          <w:bCs/>
          <w:i/>
          <w:iCs/>
          <w:rtl/>
          <w:lang w:val="en-GB" w:eastAsia="en-US" w:bidi="ar-EG"/>
        </w:rPr>
        <w:t>.</w:t>
      </w:r>
      <w:r w:rsidR="00A05F03">
        <w:rPr>
          <w:rFonts w:hint="cs"/>
          <w:b/>
          <w:bCs/>
          <w:i/>
          <w:iCs/>
          <w:rtl/>
          <w:lang w:val="en-GB" w:eastAsia="en-US" w:bidi="ar-EG"/>
        </w:rPr>
        <w:t xml:space="preserve"> </w:t>
      </w:r>
      <w:r w:rsidRPr="00BA79BA">
        <w:rPr>
          <w:rtl/>
          <w:lang w:val="en-GB" w:eastAsia="en-US" w:bidi="ar-EG"/>
        </w:rPr>
        <w:t>‏</w:t>
      </w:r>
      <w:r>
        <w:rPr>
          <w:rFonts w:hint="cs"/>
          <w:rtl/>
          <w:lang w:val="en-GB" w:eastAsia="en-US" w:bidi="ar-EG"/>
        </w:rPr>
        <w:t>أُطلقت</w:t>
      </w:r>
      <w:r w:rsidRPr="00BA79BA">
        <w:rPr>
          <w:rtl/>
          <w:lang w:val="en-GB" w:eastAsia="en-US" w:bidi="ar-EG"/>
        </w:rPr>
        <w:t xml:space="preserve"> الشريحة الثانية من برنامج إنهاء الخدمة الطوعي وفقا</w:t>
      </w:r>
      <w:r>
        <w:rPr>
          <w:rFonts w:hint="cs"/>
          <w:rtl/>
          <w:lang w:val="en-GB" w:eastAsia="en-US" w:bidi="ar-EG"/>
        </w:rPr>
        <w:t>ً</w:t>
      </w:r>
      <w:r w:rsidRPr="00BA79BA">
        <w:rPr>
          <w:rtl/>
          <w:lang w:val="en-GB" w:eastAsia="en-US" w:bidi="ar-EG"/>
        </w:rPr>
        <w:t xml:space="preserve"> للمقرر </w:t>
      </w:r>
      <w:r w:rsidRPr="00BA79BA">
        <w:rPr>
          <w:cs/>
          <w:lang w:val="en-GB" w:eastAsia="en-US" w:bidi="ar-EG"/>
        </w:rPr>
        <w:t>‎</w:t>
      </w:r>
      <w:r w:rsidRPr="00BA79BA">
        <w:rPr>
          <w:lang w:val="en-GB" w:eastAsia="en-US" w:bidi="ar-EG"/>
        </w:rPr>
        <w:t>5</w:t>
      </w:r>
      <w:r w:rsidRPr="00BA79BA">
        <w:rPr>
          <w:rtl/>
          <w:lang w:val="en-GB" w:eastAsia="en-US" w:bidi="ar-EG"/>
        </w:rPr>
        <w:t xml:space="preserve"> (‏المراج</w:t>
      </w:r>
      <w:r w:rsidR="004726DF">
        <w:rPr>
          <w:rFonts w:hint="cs"/>
          <w:rtl/>
          <w:lang w:val="en-GB" w:eastAsia="en-US" w:bidi="ar-EG"/>
        </w:rPr>
        <w:t>َ</w:t>
      </w:r>
      <w:r w:rsidRPr="00BA79BA">
        <w:rPr>
          <w:rtl/>
          <w:lang w:val="en-GB" w:eastAsia="en-US" w:bidi="ar-EG"/>
        </w:rPr>
        <w:t>ع في</w:t>
      </w:r>
      <w:r w:rsidR="004726DF">
        <w:rPr>
          <w:rFonts w:hint="cs"/>
          <w:rtl/>
          <w:lang w:val="en-GB" w:eastAsia="en-US" w:bidi="ar-EG"/>
        </w:rPr>
        <w:t> </w:t>
      </w:r>
      <w:r w:rsidRPr="00BA79BA">
        <w:rPr>
          <w:rtl/>
          <w:lang w:val="en-GB" w:eastAsia="en-US" w:bidi="ar-EG"/>
        </w:rPr>
        <w:t>بوخارست،</w:t>
      </w:r>
      <w:r w:rsidR="004726DF">
        <w:rPr>
          <w:rFonts w:hint="cs"/>
          <w:rtl/>
          <w:lang w:val="en-GB" w:eastAsia="en-US" w:bidi="ar-EG"/>
        </w:rPr>
        <w:t> </w:t>
      </w:r>
      <w:r w:rsidRPr="00BA79BA">
        <w:rPr>
          <w:cs/>
          <w:lang w:val="en-GB" w:eastAsia="en-US" w:bidi="ar-EG"/>
        </w:rPr>
        <w:t>‎</w:t>
      </w:r>
      <w:r w:rsidRPr="00BA79BA">
        <w:rPr>
          <w:lang w:val="en-GB" w:eastAsia="en-US" w:bidi="ar-EG"/>
        </w:rPr>
        <w:t>2022</w:t>
      </w:r>
      <w:r w:rsidRPr="00BA79BA">
        <w:rPr>
          <w:rtl/>
          <w:lang w:val="en-GB" w:eastAsia="en-US" w:bidi="ar-EG"/>
        </w:rPr>
        <w:t xml:space="preserve">) ‏لمؤتمر المندوبين المفوضين. وتتمثل الأهداف الرئيسية للبرنامج في توفير المرونة للاتحاد </w:t>
      </w:r>
      <w:r>
        <w:rPr>
          <w:rFonts w:hint="cs"/>
          <w:rtl/>
          <w:lang w:val="en-GB" w:eastAsia="en-US" w:bidi="ar-EG"/>
        </w:rPr>
        <w:t>لتمكينه</w:t>
      </w:r>
      <w:r w:rsidRPr="00BA79BA">
        <w:rPr>
          <w:rtl/>
          <w:lang w:val="en-GB" w:eastAsia="en-US" w:bidi="ar-EG"/>
        </w:rPr>
        <w:t xml:space="preserve"> </w:t>
      </w:r>
      <w:r>
        <w:rPr>
          <w:rFonts w:hint="cs"/>
          <w:rtl/>
          <w:lang w:val="en-GB" w:eastAsia="en-US" w:bidi="ar-EG"/>
        </w:rPr>
        <w:t>من اكتساب</w:t>
      </w:r>
      <w:r w:rsidRPr="00BA79BA">
        <w:rPr>
          <w:rtl/>
          <w:lang w:val="en-GB" w:eastAsia="en-US" w:bidi="ar-EG"/>
        </w:rPr>
        <w:t xml:space="preserve"> مهارات وكفاءات إضافية، وإعادة تنظيم هياكله، وتحسين استخدام موارده اللازمة لتنفيذ ولايته</w:t>
      </w:r>
      <w:r>
        <w:rPr>
          <w:rFonts w:hint="cs"/>
          <w:rtl/>
          <w:lang w:val="en-GB" w:eastAsia="en-US" w:bidi="ar-EG"/>
        </w:rPr>
        <w:t>.</w:t>
      </w:r>
    </w:p>
    <w:p w14:paraId="269E7CB5" w14:textId="77777777" w:rsidR="00083F2A" w:rsidRPr="00E832A1" w:rsidRDefault="00083F2A" w:rsidP="00083F2A">
      <w:pPr>
        <w:rPr>
          <w:rtl/>
          <w:lang w:val="en-GB" w:eastAsia="en-US" w:bidi="ar-SY"/>
        </w:rPr>
      </w:pPr>
      <w:r>
        <w:rPr>
          <w:rFonts w:hint="cs"/>
          <w:b/>
          <w:bCs/>
          <w:i/>
          <w:iCs/>
          <w:rtl/>
          <w:lang w:eastAsia="en-US"/>
        </w:rPr>
        <w:t>رفاهية الموظفين</w:t>
      </w:r>
      <w:r w:rsidRPr="00E832A1">
        <w:rPr>
          <w:b/>
          <w:bCs/>
          <w:i/>
          <w:iCs/>
          <w:lang w:val="en-GB" w:eastAsia="en-US" w:bidi="ar-EG"/>
        </w:rPr>
        <w:t>.</w:t>
      </w:r>
      <w:r>
        <w:rPr>
          <w:rFonts w:hint="cs"/>
          <w:b/>
          <w:bCs/>
          <w:i/>
          <w:iCs/>
          <w:rtl/>
          <w:lang w:val="en-GB" w:eastAsia="en-US" w:bidi="ar-EG"/>
        </w:rPr>
        <w:t xml:space="preserve"> </w:t>
      </w:r>
      <w:r w:rsidRPr="00822483">
        <w:rPr>
          <w:rtl/>
          <w:lang w:val="en-GB" w:eastAsia="en-US" w:bidi="ar-EG"/>
        </w:rPr>
        <w:t xml:space="preserve">اتخذت الإدارة العليا خطوات ملموسة لمعالجة القضايا التي أُثيرت في </w:t>
      </w:r>
      <w:r>
        <w:rPr>
          <w:rFonts w:hint="cs"/>
          <w:color w:val="000000"/>
          <w:rtl/>
        </w:rPr>
        <w:t>الاستقصاء</w:t>
      </w:r>
      <w:r>
        <w:rPr>
          <w:color w:val="000000"/>
          <w:rtl/>
        </w:rPr>
        <w:t xml:space="preserve"> الذي أُجري على مستوى منظومة الأمم المتحدة بشأن </w:t>
      </w:r>
      <w:r>
        <w:rPr>
          <w:rFonts w:hint="cs"/>
          <w:color w:val="000000"/>
          <w:rtl/>
        </w:rPr>
        <w:t>الصحة في عام</w:t>
      </w:r>
      <w:r w:rsidRPr="00822483">
        <w:rPr>
          <w:rtl/>
          <w:lang w:val="en-GB" w:eastAsia="en-US" w:bidi="ar-EG"/>
        </w:rPr>
        <w:t xml:space="preserve"> 2023.</w:t>
      </w:r>
      <w:r w:rsidRPr="00822483">
        <w:rPr>
          <w:rtl/>
        </w:rPr>
        <w:t xml:space="preserve"> </w:t>
      </w:r>
      <w:r w:rsidRPr="00822483">
        <w:rPr>
          <w:rtl/>
          <w:lang w:val="en-GB" w:eastAsia="en-US" w:bidi="ar-EG"/>
        </w:rPr>
        <w:t>‏</w:t>
      </w:r>
      <w:r>
        <w:rPr>
          <w:rFonts w:hint="cs"/>
          <w:rtl/>
          <w:lang w:val="en-GB" w:eastAsia="en-US" w:bidi="ar-EG"/>
        </w:rPr>
        <w:t>ووُضعت</w:t>
      </w:r>
      <w:r w:rsidRPr="00822483">
        <w:rPr>
          <w:rtl/>
          <w:lang w:val="en-GB" w:eastAsia="en-US" w:bidi="ar-EG"/>
        </w:rPr>
        <w:t xml:space="preserve"> الإجراءات في </w:t>
      </w:r>
      <w:r>
        <w:rPr>
          <w:rFonts w:hint="cs"/>
          <w:rtl/>
          <w:lang w:val="en-GB" w:eastAsia="en-US" w:bidi="ar-EG"/>
        </w:rPr>
        <w:t>معتكفي</w:t>
      </w:r>
      <w:r w:rsidRPr="00822483">
        <w:rPr>
          <w:rtl/>
          <w:lang w:val="en-GB" w:eastAsia="en-US" w:bidi="ar-EG"/>
        </w:rPr>
        <w:t xml:space="preserve"> الإدارة العليا في مارس ونوفمبر </w:t>
      </w:r>
      <w:r w:rsidRPr="00822483">
        <w:rPr>
          <w:cs/>
          <w:lang w:val="en-GB" w:eastAsia="en-US" w:bidi="ar-EG"/>
        </w:rPr>
        <w:t>‎</w:t>
      </w:r>
      <w:r>
        <w:rPr>
          <w:rFonts w:hint="cs"/>
          <w:rtl/>
          <w:lang w:val="en-GB" w:eastAsia="en-US" w:bidi="ar-EG"/>
        </w:rPr>
        <w:t>2024</w:t>
      </w:r>
      <w:r w:rsidRPr="00822483">
        <w:rPr>
          <w:rtl/>
          <w:lang w:val="en-GB" w:eastAsia="en-US" w:bidi="ar-EG"/>
        </w:rPr>
        <w:t xml:space="preserve">، بما في ذلك </w:t>
      </w:r>
      <w:r>
        <w:rPr>
          <w:rFonts w:hint="cs"/>
          <w:rtl/>
          <w:lang w:val="en-GB" w:eastAsia="en-US" w:bidi="ar-EG"/>
        </w:rPr>
        <w:t>عملية</w:t>
      </w:r>
      <w:r w:rsidRPr="00822483">
        <w:rPr>
          <w:rtl/>
          <w:lang w:val="en-GB" w:eastAsia="en-US" w:bidi="ar-EG"/>
        </w:rPr>
        <w:t xml:space="preserve"> تحديد الأولويات، والعمل على إدارة الأداء، والمكافآت والتقدير، ومبادرات التحول </w:t>
      </w:r>
      <w:r>
        <w:rPr>
          <w:rFonts w:hint="cs"/>
          <w:rtl/>
          <w:lang w:val="en-GB" w:eastAsia="en-US" w:bidi="ar-EG"/>
        </w:rPr>
        <w:t>واستعراض</w:t>
      </w:r>
      <w:r w:rsidRPr="00822483">
        <w:rPr>
          <w:rtl/>
          <w:lang w:val="en-GB" w:eastAsia="en-US" w:bidi="ar-EG"/>
        </w:rPr>
        <w:t xml:space="preserve"> نظام </w:t>
      </w:r>
      <w:r>
        <w:rPr>
          <w:rFonts w:hint="cs"/>
          <w:rtl/>
          <w:lang w:val="en-GB" w:eastAsia="en-US" w:bidi="ar-EG"/>
        </w:rPr>
        <w:t>العدالة</w:t>
      </w:r>
      <w:r w:rsidRPr="00822483">
        <w:rPr>
          <w:rtl/>
          <w:lang w:val="en-GB" w:eastAsia="en-US" w:bidi="ar-EG"/>
        </w:rPr>
        <w:t xml:space="preserve"> الداخلي. واستنادا</w:t>
      </w:r>
      <w:r>
        <w:rPr>
          <w:rFonts w:hint="cs"/>
          <w:rtl/>
          <w:lang w:val="en-GB" w:eastAsia="en-US" w:bidi="ar-EG"/>
        </w:rPr>
        <w:t>ً</w:t>
      </w:r>
      <w:r w:rsidRPr="00822483">
        <w:rPr>
          <w:rtl/>
          <w:lang w:val="en-GB" w:eastAsia="en-US" w:bidi="ar-EG"/>
        </w:rPr>
        <w:t xml:space="preserve"> إلى نتائج </w:t>
      </w:r>
      <w:r>
        <w:rPr>
          <w:rFonts w:hint="cs"/>
          <w:rtl/>
          <w:lang w:val="en-GB" w:eastAsia="en-US" w:bidi="ar-EG"/>
        </w:rPr>
        <w:t>الاستقصاء</w:t>
      </w:r>
      <w:r w:rsidRPr="00822483">
        <w:rPr>
          <w:rtl/>
          <w:lang w:val="en-GB" w:eastAsia="en-US" w:bidi="ar-EG"/>
        </w:rPr>
        <w:t xml:space="preserve">، وضع الاتحاد أول خطة عمل للصحة </w:t>
      </w:r>
      <w:r>
        <w:rPr>
          <w:rFonts w:hint="cs"/>
          <w:rtl/>
          <w:lang w:val="en-GB" w:eastAsia="en-US" w:bidi="ar-EG"/>
        </w:rPr>
        <w:t>النفسية</w:t>
      </w:r>
      <w:r w:rsidRPr="00822483">
        <w:rPr>
          <w:rtl/>
          <w:lang w:val="en-GB" w:eastAsia="en-US" w:bidi="ar-EG"/>
        </w:rPr>
        <w:t xml:space="preserve"> والرفاه</w:t>
      </w:r>
      <w:r>
        <w:rPr>
          <w:rFonts w:hint="cs"/>
          <w:rtl/>
          <w:lang w:val="en-GB" w:eastAsia="en-US" w:bidi="ar-EG"/>
        </w:rPr>
        <w:t>ية</w:t>
      </w:r>
      <w:r w:rsidRPr="00822483">
        <w:rPr>
          <w:rtl/>
          <w:lang w:val="en-GB" w:eastAsia="en-US" w:bidi="ar-EG"/>
        </w:rPr>
        <w:t xml:space="preserve"> تركز على الأفراد والبيئة التي </w:t>
      </w:r>
      <w:r w:rsidRPr="00822483">
        <w:rPr>
          <w:rtl/>
          <w:lang w:val="en-GB" w:eastAsia="en-US" w:bidi="ar-EG"/>
        </w:rPr>
        <w:lastRenderedPageBreak/>
        <w:t xml:space="preserve">يعملون فيها. </w:t>
      </w:r>
      <w:r>
        <w:rPr>
          <w:rFonts w:hint="cs"/>
          <w:rtl/>
          <w:lang w:val="en-GB" w:eastAsia="en-US" w:bidi="ar-EG"/>
        </w:rPr>
        <w:t>وقُدمت</w:t>
      </w:r>
      <w:r w:rsidRPr="00822483">
        <w:rPr>
          <w:rtl/>
          <w:lang w:val="en-GB" w:eastAsia="en-US" w:bidi="ar-EG"/>
        </w:rPr>
        <w:t xml:space="preserve"> جلسات </w:t>
      </w:r>
      <w:r>
        <w:rPr>
          <w:rFonts w:hint="cs"/>
          <w:rtl/>
          <w:lang w:val="en-GB" w:eastAsia="en-US" w:bidi="ar-EG"/>
        </w:rPr>
        <w:t>تعزيز الرفاهية</w:t>
      </w:r>
      <w:r w:rsidRPr="00822483">
        <w:rPr>
          <w:rtl/>
          <w:lang w:val="en-GB" w:eastAsia="en-US" w:bidi="ar-EG"/>
        </w:rPr>
        <w:t xml:space="preserve"> في المقر والمكاتب الميدانية، إلى جانب </w:t>
      </w:r>
      <w:r w:rsidRPr="00822483">
        <w:rPr>
          <w:cs/>
          <w:lang w:val="en-GB" w:eastAsia="en-US" w:bidi="ar-EG"/>
        </w:rPr>
        <w:t>‎</w:t>
      </w:r>
      <w:r w:rsidRPr="00822483">
        <w:rPr>
          <w:lang w:val="en-GB" w:eastAsia="en-US" w:bidi="ar-EG"/>
        </w:rPr>
        <w:t>390</w:t>
      </w:r>
      <w:r w:rsidRPr="00822483">
        <w:rPr>
          <w:rtl/>
          <w:lang w:val="en-GB" w:eastAsia="en-US" w:bidi="ar-EG"/>
        </w:rPr>
        <w:t xml:space="preserve"> ‏جلسة استشارية فردية</w:t>
      </w:r>
      <w:r w:rsidRPr="00822483">
        <w:rPr>
          <w:cs/>
          <w:lang w:val="en-GB" w:eastAsia="en-US" w:bidi="ar-EG"/>
        </w:rPr>
        <w:t>‎</w:t>
      </w:r>
      <w:r w:rsidRPr="00E832A1">
        <w:rPr>
          <w:lang w:val="en-GB" w:eastAsia="en-US" w:bidi="ar-EG"/>
        </w:rPr>
        <w:t>..</w:t>
      </w:r>
      <w:r w:rsidRPr="00345AA0">
        <w:rPr>
          <w:rtl/>
        </w:rPr>
        <w:t xml:space="preserve"> </w:t>
      </w:r>
      <w:r>
        <w:rPr>
          <w:rFonts w:hint="cs"/>
          <w:rtl/>
          <w:lang w:val="en-GB" w:eastAsia="en-US" w:bidi="ar-SY"/>
        </w:rPr>
        <w:t>و</w:t>
      </w:r>
      <w:r w:rsidRPr="00345AA0">
        <w:rPr>
          <w:rtl/>
          <w:lang w:val="en-GB" w:eastAsia="en-US" w:bidi="ar-SY"/>
        </w:rPr>
        <w:t xml:space="preserve">عُقدت جلسات حول </w:t>
      </w:r>
      <w:r>
        <w:rPr>
          <w:rFonts w:hint="cs"/>
          <w:rtl/>
          <w:lang w:val="en-GB" w:eastAsia="en-US" w:bidi="ar-SY"/>
        </w:rPr>
        <w:t>الاعتداءات الصغيرة</w:t>
      </w:r>
      <w:r w:rsidRPr="00345AA0">
        <w:rPr>
          <w:rtl/>
          <w:lang w:val="en-GB" w:eastAsia="en-US" w:bidi="ar-SY"/>
        </w:rPr>
        <w:t xml:space="preserve">، ومنع التحرش، والتحيز اللاواعي في أواخر عام 2024. واكتملت الجلسة الأولى من برنامج القيادة الشاملة في عام 2024، </w:t>
      </w:r>
      <w:r>
        <w:rPr>
          <w:rFonts w:hint="cs"/>
          <w:rtl/>
          <w:lang w:val="en-GB" w:eastAsia="en-US" w:bidi="ar-SY"/>
        </w:rPr>
        <w:t>ومن المقرر عقد</w:t>
      </w:r>
      <w:r w:rsidRPr="00345AA0">
        <w:rPr>
          <w:rtl/>
          <w:lang w:val="en-GB" w:eastAsia="en-US" w:bidi="ar-SY"/>
        </w:rPr>
        <w:t xml:space="preserve"> المزيد من الجلسات في أوائل عام 2025 للتركيز على القيادة التكيفية على مستوى الاتحاد. ويهدف البرنامج إلى تعزيز الشمولية والتعاون والاحترام والرفاه</w:t>
      </w:r>
      <w:r>
        <w:rPr>
          <w:rFonts w:hint="cs"/>
          <w:rtl/>
          <w:lang w:val="en-GB" w:eastAsia="en-US" w:bidi="ar-SY"/>
        </w:rPr>
        <w:t>ية</w:t>
      </w:r>
      <w:r w:rsidRPr="00345AA0">
        <w:rPr>
          <w:rtl/>
          <w:lang w:val="en-GB" w:eastAsia="en-US" w:bidi="ar-SY"/>
        </w:rPr>
        <w:t xml:space="preserve"> في الاتحاد</w:t>
      </w:r>
      <w:r>
        <w:rPr>
          <w:rFonts w:hint="cs"/>
          <w:rtl/>
          <w:lang w:val="en-GB" w:eastAsia="en-US" w:bidi="ar-SY"/>
        </w:rPr>
        <w:t xml:space="preserve"> ككل</w:t>
      </w:r>
      <w:r w:rsidRPr="00345AA0">
        <w:rPr>
          <w:rtl/>
          <w:lang w:val="en-GB" w:eastAsia="en-US" w:bidi="ar-SY"/>
        </w:rPr>
        <w:t>.</w:t>
      </w:r>
    </w:p>
    <w:p w14:paraId="2922EEF7" w14:textId="77777777" w:rsidR="00083F2A" w:rsidRPr="003C27A6" w:rsidRDefault="00083F2A" w:rsidP="00083F2A">
      <w:pPr>
        <w:rPr>
          <w:rtl/>
          <w:lang w:eastAsia="en-US" w:bidi="ar-SY"/>
        </w:rPr>
      </w:pPr>
      <w:r w:rsidRPr="00AE5CCA">
        <w:rPr>
          <w:rtl/>
          <w:lang w:val="en-GB" w:eastAsia="en-US" w:bidi="ar-EG"/>
        </w:rPr>
        <w:t>في يناير 2025، أ</w:t>
      </w:r>
      <w:r>
        <w:rPr>
          <w:rFonts w:hint="cs"/>
          <w:rtl/>
          <w:lang w:val="en-GB" w:eastAsia="en-US" w:bidi="ar-EG"/>
        </w:rPr>
        <w:t>ُ</w:t>
      </w:r>
      <w:r w:rsidRPr="00AE5CCA">
        <w:rPr>
          <w:rtl/>
          <w:lang w:val="en-GB" w:eastAsia="en-US" w:bidi="ar-EG"/>
        </w:rPr>
        <w:t xml:space="preserve">طلق </w:t>
      </w:r>
      <w:r>
        <w:rPr>
          <w:rFonts w:hint="cs"/>
          <w:rtl/>
          <w:lang w:val="en-GB" w:eastAsia="en-US" w:bidi="ar-EG"/>
        </w:rPr>
        <w:t>استقصاء بشأن مشاركة</w:t>
      </w:r>
      <w:r w:rsidRPr="00AE5CCA">
        <w:rPr>
          <w:rtl/>
          <w:lang w:val="en-GB" w:eastAsia="en-US" w:bidi="ar-EG"/>
        </w:rPr>
        <w:t xml:space="preserve"> موظفي الاتحاد لفهم مستوى التزام </w:t>
      </w:r>
      <w:r w:rsidRPr="00AE5CCA">
        <w:rPr>
          <w:rFonts w:hint="cs"/>
          <w:rtl/>
          <w:lang w:val="en-GB" w:eastAsia="en-US" w:bidi="ar-EG"/>
        </w:rPr>
        <w:t>الموظفين</w:t>
      </w:r>
      <w:r w:rsidRPr="00AE5CCA">
        <w:rPr>
          <w:rtl/>
          <w:lang w:val="en-GB" w:eastAsia="en-US" w:bidi="ar-EG"/>
        </w:rPr>
        <w:t xml:space="preserve">، </w:t>
      </w:r>
      <w:r>
        <w:rPr>
          <w:rFonts w:hint="cs"/>
          <w:rtl/>
          <w:lang w:val="en-GB" w:eastAsia="en-US" w:bidi="ar-EG"/>
        </w:rPr>
        <w:t>وحماسهم</w:t>
      </w:r>
      <w:r>
        <w:rPr>
          <w:rtl/>
          <w:lang w:val="en-GB" w:eastAsia="en-US" w:bidi="ar-EG"/>
        </w:rPr>
        <w:t>،</w:t>
      </w:r>
      <w:r w:rsidRPr="00AE5CCA">
        <w:rPr>
          <w:rtl/>
          <w:lang w:val="en-GB" w:eastAsia="en-US" w:bidi="ar-EG"/>
        </w:rPr>
        <w:t xml:space="preserve"> </w:t>
      </w:r>
      <w:r w:rsidRPr="00AE5CCA">
        <w:rPr>
          <w:rFonts w:hint="cs"/>
          <w:rtl/>
          <w:lang w:val="en-GB" w:eastAsia="en-US" w:bidi="ar-EG"/>
        </w:rPr>
        <w:t>وارتباطهم بالعمل</w:t>
      </w:r>
      <w:r w:rsidRPr="00AE5CCA">
        <w:rPr>
          <w:rtl/>
          <w:lang w:val="en-GB" w:eastAsia="en-US" w:bidi="ar-EG"/>
        </w:rPr>
        <w:t>،</w:t>
      </w:r>
      <w:r>
        <w:rPr>
          <w:rFonts w:hint="cs"/>
          <w:rtl/>
          <w:lang w:val="en-GB" w:eastAsia="en-US" w:bidi="ar-EG"/>
        </w:rPr>
        <w:t xml:space="preserve"> </w:t>
      </w:r>
      <w:r w:rsidRPr="00AE5CCA">
        <w:rPr>
          <w:rtl/>
          <w:lang w:val="en-GB" w:eastAsia="en-US" w:bidi="ar-EG"/>
        </w:rPr>
        <w:t>والمنظمة.</w:t>
      </w:r>
      <w:r w:rsidRPr="00AE5CCA">
        <w:rPr>
          <w:rtl/>
        </w:rPr>
        <w:t xml:space="preserve"> </w:t>
      </w:r>
      <w:r>
        <w:rPr>
          <w:rFonts w:hint="cs"/>
          <w:rtl/>
          <w:lang w:val="en-GB" w:eastAsia="en-US" w:bidi="ar-SY"/>
        </w:rPr>
        <w:t>ويهدف الاستقصاء</w:t>
      </w:r>
      <w:r w:rsidRPr="00AE5CCA">
        <w:rPr>
          <w:rtl/>
          <w:lang w:val="en-GB" w:eastAsia="en-US" w:bidi="ar-SY"/>
        </w:rPr>
        <w:t xml:space="preserve"> إلى تعزيز الكفاءة والفعالية داخل الاتحاد، وتحديد المجالات التي </w:t>
      </w:r>
      <w:r>
        <w:rPr>
          <w:rFonts w:hint="cs"/>
          <w:rtl/>
          <w:lang w:val="en-GB" w:eastAsia="en-US" w:bidi="ar-SY"/>
        </w:rPr>
        <w:t>تحتاج إلى تحسين</w:t>
      </w:r>
      <w:r w:rsidRPr="00AE5CCA">
        <w:rPr>
          <w:rtl/>
          <w:lang w:val="en-GB" w:eastAsia="en-US" w:bidi="ar-SY"/>
        </w:rPr>
        <w:t xml:space="preserve"> في ثقافة مكان العمل، وممارسات الإدارة، والكفاءة التشغيلية. وقد بلغت نسبة استجابة الموظفين 72%، مع </w:t>
      </w:r>
      <w:r>
        <w:rPr>
          <w:rFonts w:hint="cs"/>
          <w:rtl/>
          <w:lang w:val="en-GB" w:eastAsia="en-US" w:bidi="ar-SY"/>
        </w:rPr>
        <w:t xml:space="preserve">تحقيق </w:t>
      </w:r>
      <w:r w:rsidRPr="00AE5CCA">
        <w:rPr>
          <w:rtl/>
          <w:lang w:val="en-GB" w:eastAsia="en-US" w:bidi="ar-SY"/>
        </w:rPr>
        <w:t xml:space="preserve">نتائج إيجابية بشكل عام فيما يخص مستوى انخراط الموظفين في عملهم، إلى جانب وجود مجالات تتطلب التحسين مثل التواصل الداخلي، والمكافآت والتقدير، وإدارة عبء العمل. ويجري </w:t>
      </w:r>
      <w:r>
        <w:rPr>
          <w:rFonts w:hint="cs"/>
          <w:rtl/>
          <w:lang w:val="en-GB" w:eastAsia="en-US" w:bidi="ar-SY"/>
        </w:rPr>
        <w:t>تنفيذ</w:t>
      </w:r>
      <w:r w:rsidRPr="00AE5CCA">
        <w:rPr>
          <w:rtl/>
          <w:lang w:val="en-GB" w:eastAsia="en-US" w:bidi="ar-SY"/>
        </w:rPr>
        <w:t xml:space="preserve"> سلسلة من </w:t>
      </w:r>
      <w:r>
        <w:rPr>
          <w:rFonts w:hint="cs"/>
          <w:rtl/>
          <w:lang w:val="en-GB" w:eastAsia="en-US" w:bidi="ar-SY"/>
        </w:rPr>
        <w:t>إجراءات المتابعة</w:t>
      </w:r>
      <w:r w:rsidRPr="00AE5CCA">
        <w:rPr>
          <w:rtl/>
          <w:lang w:val="en-GB" w:eastAsia="en-US" w:bidi="ar-SY"/>
        </w:rPr>
        <w:t xml:space="preserve"> لضمان تحقيق تغييرات </w:t>
      </w:r>
      <w:r>
        <w:rPr>
          <w:rFonts w:hint="cs"/>
          <w:rtl/>
          <w:lang w:val="en-GB" w:eastAsia="en-US" w:bidi="ar-SY"/>
        </w:rPr>
        <w:t>ملموسة</w:t>
      </w:r>
      <w:r w:rsidRPr="00AE5CCA">
        <w:rPr>
          <w:rtl/>
          <w:lang w:val="en-GB" w:eastAsia="en-US" w:bidi="ar-SY"/>
        </w:rPr>
        <w:t xml:space="preserve"> وقابلة للقياس، بدعم من سفراء المشاركة، </w:t>
      </w:r>
      <w:r>
        <w:rPr>
          <w:rFonts w:hint="cs"/>
          <w:rtl/>
          <w:lang w:val="en-GB" w:eastAsia="en-US" w:bidi="ar-SY"/>
        </w:rPr>
        <w:t>بما في ذلك عقد جلسات مشتركة</w:t>
      </w:r>
      <w:r w:rsidRPr="00AE5CCA">
        <w:rPr>
          <w:rtl/>
          <w:lang w:val="en-GB" w:eastAsia="en-US" w:bidi="ar-SY"/>
        </w:rPr>
        <w:t xml:space="preserve"> </w:t>
      </w:r>
      <w:r>
        <w:rPr>
          <w:rFonts w:hint="cs"/>
          <w:rtl/>
          <w:lang w:val="en-GB" w:eastAsia="en-US" w:bidi="ar-SY"/>
        </w:rPr>
        <w:t>ل</w:t>
      </w:r>
      <w:r w:rsidRPr="00AE5CCA">
        <w:rPr>
          <w:rtl/>
          <w:lang w:val="en-GB" w:eastAsia="en-US" w:bidi="ar-SY"/>
        </w:rPr>
        <w:t xml:space="preserve">تخطيط العمل مع المكاتب </w:t>
      </w:r>
      <w:r>
        <w:rPr>
          <w:rFonts w:hint="cs"/>
          <w:rtl/>
          <w:lang w:val="en-GB" w:eastAsia="en-US" w:bidi="ar-SY"/>
        </w:rPr>
        <w:t>والدوائر</w:t>
      </w:r>
      <w:r w:rsidRPr="00AE5CCA">
        <w:rPr>
          <w:rtl/>
          <w:lang w:val="en-GB" w:eastAsia="en-US" w:bidi="ar-SY"/>
        </w:rPr>
        <w:t xml:space="preserve"> في عام 2025</w:t>
      </w:r>
      <w:r>
        <w:rPr>
          <w:rFonts w:hint="cs"/>
          <w:rtl/>
          <w:lang w:eastAsia="en-US" w:bidi="ar-SY"/>
        </w:rPr>
        <w:t>.</w:t>
      </w:r>
    </w:p>
    <w:p w14:paraId="3C3650F3" w14:textId="77777777" w:rsidR="00083F2A" w:rsidRPr="00260C8C" w:rsidRDefault="00083F2A" w:rsidP="00083F2A">
      <w:pPr>
        <w:pStyle w:val="Headingb"/>
        <w:rPr>
          <w:rtl/>
          <w:lang w:eastAsia="en-US"/>
        </w:rPr>
      </w:pPr>
      <w:r>
        <w:rPr>
          <w:rFonts w:hint="cs"/>
          <w:rtl/>
          <w:lang w:val="en-GB" w:eastAsia="en-US" w:bidi="ar-EG"/>
        </w:rPr>
        <w:t>2</w:t>
      </w:r>
      <w:r>
        <w:rPr>
          <w:lang w:val="en-GB" w:eastAsia="en-US" w:bidi="ar-EG"/>
        </w:rPr>
        <w:tab/>
      </w:r>
      <w:r>
        <w:rPr>
          <w:rFonts w:hint="cs"/>
          <w:rtl/>
          <w:lang w:eastAsia="en-US"/>
        </w:rPr>
        <w:t>إدارة المخاطر</w:t>
      </w:r>
    </w:p>
    <w:p w14:paraId="0ACC3E3E" w14:textId="28B0FD06" w:rsidR="00083F2A" w:rsidRDefault="00083F2A" w:rsidP="00083F2A">
      <w:pPr>
        <w:rPr>
          <w:rtl/>
          <w:lang w:val="en-GB" w:eastAsia="en-US"/>
        </w:rPr>
      </w:pPr>
      <w:r>
        <w:rPr>
          <w:rFonts w:hint="cs"/>
          <w:b/>
          <w:bCs/>
          <w:i/>
          <w:iCs/>
          <w:rtl/>
          <w:lang w:val="en-GB" w:eastAsia="en-US" w:bidi="ar-EG"/>
        </w:rPr>
        <w:t>عملية إدارة المخاطر</w:t>
      </w:r>
      <w:r w:rsidR="00134826">
        <w:rPr>
          <w:rFonts w:hint="cs"/>
          <w:b/>
          <w:bCs/>
          <w:i/>
          <w:iCs/>
          <w:rtl/>
          <w:lang w:val="en-GB" w:eastAsia="en-US" w:bidi="ar-EG"/>
        </w:rPr>
        <w:t>.</w:t>
      </w:r>
      <w:r w:rsidR="00A05F03">
        <w:rPr>
          <w:rFonts w:hint="cs"/>
          <w:b/>
          <w:bCs/>
          <w:i/>
          <w:iCs/>
          <w:rtl/>
          <w:lang w:val="en-GB" w:eastAsia="en-US" w:bidi="ar-EG"/>
        </w:rPr>
        <w:t xml:space="preserve"> </w:t>
      </w:r>
      <w:r w:rsidRPr="00260C8C">
        <w:rPr>
          <w:rtl/>
          <w:lang w:val="en-GB" w:eastAsia="en-US" w:bidi="ar-EG"/>
        </w:rPr>
        <w:t>تُسجَّل عملية إدارة المخاطر في الاتحاد التي تغطي تحديد المخاطر وتقييمها والاستجابات ذات الصلة في</w:t>
      </w:r>
      <w:r w:rsidR="00134826">
        <w:rPr>
          <w:rFonts w:hint="cs"/>
          <w:rtl/>
          <w:lang w:val="en-GB" w:eastAsia="en-US" w:bidi="ar-EG"/>
        </w:rPr>
        <w:t> </w:t>
      </w:r>
      <w:r w:rsidRPr="00260C8C">
        <w:rPr>
          <w:rtl/>
          <w:lang w:val="en-GB" w:eastAsia="en-US" w:bidi="ar-EG"/>
        </w:rPr>
        <w:t xml:space="preserve">سجل المخاطر المؤسسي، وذلك وفقاً لتعاون مدير مخاطر الأعمال التنظيمية مع </w:t>
      </w:r>
      <w:r>
        <w:rPr>
          <w:rFonts w:hint="cs"/>
          <w:rtl/>
          <w:lang w:val="en-GB" w:eastAsia="en-US" w:bidi="ar-EG"/>
        </w:rPr>
        <w:t>المسؤولين عن إدارة</w:t>
      </w:r>
      <w:r w:rsidRPr="00260C8C">
        <w:rPr>
          <w:rtl/>
          <w:lang w:val="en-GB" w:eastAsia="en-US" w:bidi="ar-EG"/>
        </w:rPr>
        <w:t xml:space="preserve"> المخاطر. ومع ذلك، تظل المخاطر الهامة تحت المراقبة المستمرة، ويتم إطلاع فريق تنسيق الإدارة على التحديثات ذات الصلة ونشرها على صفحة المجلس على الويب. </w:t>
      </w:r>
      <w:r>
        <w:rPr>
          <w:rFonts w:hint="cs"/>
          <w:rtl/>
          <w:lang w:val="en-GB" w:eastAsia="en-US" w:bidi="ar-EG"/>
        </w:rPr>
        <w:t>و</w:t>
      </w:r>
      <w:r w:rsidRPr="00260C8C">
        <w:rPr>
          <w:rtl/>
          <w:lang w:val="en-GB" w:eastAsia="en-US" w:bidi="ar-EG"/>
        </w:rPr>
        <w:t xml:space="preserve">شهد آخر تحديث في عام 2024 انخفاضاً في شدة أهم المخاطر، والتي تتعلق بأساليب العمل في </w:t>
      </w:r>
      <w:r>
        <w:rPr>
          <w:rFonts w:hint="cs"/>
          <w:rtl/>
          <w:lang w:val="en-GB" w:eastAsia="en-US" w:bidi="ar-EG"/>
        </w:rPr>
        <w:t>الأحداث</w:t>
      </w:r>
      <w:r w:rsidRPr="00260C8C">
        <w:rPr>
          <w:rtl/>
          <w:lang w:val="en-GB" w:eastAsia="en-US" w:bidi="ar-EG"/>
        </w:rPr>
        <w:t xml:space="preserve"> الكبرى، ويرجع ذلك إلى إدخال وحدة نظام تخطيط </w:t>
      </w:r>
      <w:r>
        <w:rPr>
          <w:rFonts w:hint="cs"/>
          <w:rtl/>
          <w:lang w:val="en-GB" w:eastAsia="en-US" w:bidi="ar-EG"/>
        </w:rPr>
        <w:t>الموارد المؤسسية</w:t>
      </w:r>
      <w:r w:rsidRPr="00260C8C">
        <w:rPr>
          <w:rtl/>
          <w:lang w:val="en-GB" w:eastAsia="en-US" w:bidi="ar-EG"/>
        </w:rPr>
        <w:t xml:space="preserve"> (</w:t>
      </w:r>
      <w:r w:rsidRPr="00260C8C">
        <w:rPr>
          <w:lang w:val="en-GB" w:eastAsia="en-US" w:bidi="ar-EG"/>
        </w:rPr>
        <w:t>ERP</w:t>
      </w:r>
      <w:r w:rsidRPr="00260C8C">
        <w:rPr>
          <w:rtl/>
          <w:lang w:val="en-GB" w:eastAsia="en-US" w:bidi="ar-EG"/>
        </w:rPr>
        <w:t>) الأكثر مرونة لخدمات العملاء في سبتمبر 2024. كما أُضيف</w:t>
      </w:r>
      <w:r>
        <w:rPr>
          <w:rFonts w:hint="cs"/>
          <w:rtl/>
          <w:lang w:val="en-GB" w:eastAsia="en-US" w:bidi="ar-EG"/>
        </w:rPr>
        <w:t xml:space="preserve"> </w:t>
      </w:r>
      <w:r w:rsidRPr="00260C8C">
        <w:rPr>
          <w:rtl/>
          <w:lang w:val="en-GB" w:eastAsia="en-US" w:bidi="ar-SY"/>
        </w:rPr>
        <w:t xml:space="preserve">خطر مالي آخر </w:t>
      </w:r>
      <w:r w:rsidRPr="00260C8C">
        <w:rPr>
          <w:rtl/>
          <w:lang w:val="en-GB" w:eastAsia="en-US" w:bidi="ar-EG"/>
        </w:rPr>
        <w:t xml:space="preserve">إلى قائمة المخاطر الهامة، </w:t>
      </w:r>
      <w:r>
        <w:rPr>
          <w:rFonts w:hint="cs"/>
          <w:rtl/>
          <w:lang w:val="en-GB" w:eastAsia="en-US" w:bidi="ar-EG"/>
        </w:rPr>
        <w:t>يت</w:t>
      </w:r>
      <w:r w:rsidRPr="00260C8C">
        <w:rPr>
          <w:rtl/>
          <w:lang w:val="en-GB" w:eastAsia="en-US" w:bidi="ar-EG"/>
        </w:rPr>
        <w:t xml:space="preserve">علق بتحديات الميزانية المرتبطة بإيرادات استرداد التكاليف. </w:t>
      </w:r>
      <w:r>
        <w:rPr>
          <w:rFonts w:hint="cs"/>
          <w:rtl/>
          <w:lang w:val="en-GB" w:eastAsia="en-US" w:bidi="ar-EG"/>
        </w:rPr>
        <w:t>و</w:t>
      </w:r>
      <w:r w:rsidRPr="00260C8C">
        <w:rPr>
          <w:rtl/>
          <w:lang w:val="en-GB" w:eastAsia="en-US" w:bidi="ar-EG"/>
        </w:rPr>
        <w:t>لا يزال هناك حاجة إلى مزيد من الجهود لدمج أنشطة إدارة المخاطر مع الإدارة القائمة على النتائج (</w:t>
      </w:r>
      <w:r w:rsidRPr="00260C8C">
        <w:rPr>
          <w:lang w:val="en-GB" w:eastAsia="en-US" w:bidi="ar-EG"/>
        </w:rPr>
        <w:t>RBM</w:t>
      </w:r>
      <w:r w:rsidRPr="00260C8C">
        <w:rPr>
          <w:rtl/>
          <w:lang w:val="en-GB" w:eastAsia="en-US" w:bidi="ar-EG"/>
        </w:rPr>
        <w:t xml:space="preserve">)، مما </w:t>
      </w:r>
      <w:r w:rsidRPr="00260C8C">
        <w:rPr>
          <w:rtl/>
          <w:lang w:val="en-GB" w:eastAsia="en-US" w:bidi="ar-SY"/>
        </w:rPr>
        <w:t>يمكّن</w:t>
      </w:r>
      <w:r w:rsidRPr="00260C8C">
        <w:rPr>
          <w:rtl/>
          <w:lang w:val="en-GB" w:eastAsia="en-US" w:bidi="ar-EG"/>
        </w:rPr>
        <w:t xml:space="preserve"> </w:t>
      </w:r>
      <w:r>
        <w:rPr>
          <w:rFonts w:hint="cs"/>
          <w:rtl/>
          <w:lang w:val="en-GB" w:eastAsia="en-US" w:bidi="ar-EG"/>
        </w:rPr>
        <w:t xml:space="preserve">من </w:t>
      </w:r>
      <w:r w:rsidRPr="00260C8C">
        <w:rPr>
          <w:rtl/>
          <w:lang w:val="en-GB" w:eastAsia="en-US" w:bidi="ar-EG"/>
        </w:rPr>
        <w:t>تنفيذ إطار إدارة المخاطر المؤسسية (</w:t>
      </w:r>
      <w:r w:rsidRPr="00260C8C">
        <w:rPr>
          <w:lang w:val="en-GB" w:eastAsia="en-US" w:bidi="ar-EG"/>
        </w:rPr>
        <w:t>ERM</w:t>
      </w:r>
      <w:r w:rsidRPr="00260C8C">
        <w:rPr>
          <w:rtl/>
          <w:lang w:val="en-GB" w:eastAsia="en-US" w:bidi="ar-EG"/>
        </w:rPr>
        <w:t>) المنصوص عليه في سياسة إدارة المخاطر للاتحاد لعام 2020.</w:t>
      </w:r>
    </w:p>
    <w:p w14:paraId="587C7A55" w14:textId="77777777" w:rsidR="00083F2A" w:rsidRDefault="00083F2A" w:rsidP="00083F2A">
      <w:pPr>
        <w:rPr>
          <w:rtl/>
          <w:lang w:val="en-GB" w:eastAsia="en-US"/>
        </w:rPr>
      </w:pPr>
      <w:r w:rsidRPr="00AB33D0">
        <w:rPr>
          <w:b/>
          <w:bCs/>
          <w:i/>
          <w:iCs/>
          <w:rtl/>
          <w:lang w:val="en-GB" w:eastAsia="en-US"/>
        </w:rPr>
        <w:t>خرق البيانات.</w:t>
      </w:r>
      <w:r w:rsidRPr="00AB33D0">
        <w:rPr>
          <w:rtl/>
          <w:lang w:val="en-GB" w:eastAsia="en-US"/>
        </w:rPr>
        <w:t xml:space="preserve"> في عام 2025، حدث خرق للبيانات داخل مكتب تقييس الاتصالات، تضمن النفاذ غير المصرح به إلى مجموعة محدودة من المعلومات. وتم احتواء الخرق على الفور، واتُخذت تدابير تصحيحية لتعزيز أمن النظام، وتدعيم ضوابط النفاذ، والحيلولة دون وقوع حوادث مماثلة في المستقبل</w:t>
      </w:r>
      <w:r>
        <w:rPr>
          <w:rFonts w:hint="cs"/>
          <w:rtl/>
          <w:lang w:val="en-GB" w:eastAsia="en-US"/>
        </w:rPr>
        <w:t>.</w:t>
      </w:r>
    </w:p>
    <w:p w14:paraId="3A6DF65B" w14:textId="77777777" w:rsidR="00083F2A" w:rsidRPr="00E832A1" w:rsidRDefault="00083F2A" w:rsidP="00083F2A">
      <w:pPr>
        <w:rPr>
          <w:rtl/>
          <w:lang w:val="en-GB" w:eastAsia="en-US"/>
        </w:rPr>
      </w:pPr>
      <w:r w:rsidRPr="0019226B">
        <w:rPr>
          <w:b/>
          <w:bCs/>
          <w:i/>
          <w:iCs/>
          <w:rtl/>
          <w:lang w:val="en-GB" w:eastAsia="en-US" w:bidi="ar-EG"/>
        </w:rPr>
        <w:t>نقاط الضعف في الإدارة القائمة على النتائج</w:t>
      </w:r>
      <w:r>
        <w:rPr>
          <w:rFonts w:hint="cs"/>
          <w:rtl/>
          <w:lang w:val="en-GB" w:eastAsia="en-US"/>
        </w:rPr>
        <w:t xml:space="preserve">. </w:t>
      </w:r>
      <w:r w:rsidRPr="00AB33D0">
        <w:rPr>
          <w:rtl/>
          <w:lang w:val="en-GB" w:eastAsia="en-US"/>
        </w:rPr>
        <w:t>هناك حاجة إلى مزيد من الوضوح بشأن الأهداف التي يجب أن تتسلسل على مستوى الدائرة أو الشعبة أو الوحدة من خلال الإدارة القائمة على النتائج. وتماشياً مع خطة التحول المالي لعام 2023 وخطة الرقابة الداخلية للإدارة العليا لعام 2024، يجري العمل على تعزيز الإدارة القائمة على النتائج لتحسين فعالية برامج المنظمة. ولا تزال هناك حاجة إلى عمل إضافي كبير في هذا المجال ضمن خارطة طريق التحول.</w:t>
      </w:r>
    </w:p>
    <w:p w14:paraId="2790D4FB" w14:textId="14561140" w:rsidR="00083F2A" w:rsidRPr="00AB33D0" w:rsidRDefault="00083F2A" w:rsidP="00A82047">
      <w:pPr>
        <w:rPr>
          <w:rtl/>
          <w:lang w:val="en-GB" w:eastAsia="en-US" w:bidi="ar-SY"/>
        </w:rPr>
      </w:pPr>
      <w:r w:rsidRPr="00AB33D0">
        <w:rPr>
          <w:b/>
          <w:bCs/>
          <w:i/>
          <w:iCs/>
          <w:rtl/>
          <w:lang w:val="en-GB" w:eastAsia="en-US"/>
        </w:rPr>
        <w:t xml:space="preserve">إدارة المخاطر المتخصصة. </w:t>
      </w:r>
      <w:r w:rsidRPr="00AB33D0">
        <w:rPr>
          <w:rtl/>
          <w:lang w:val="en-GB" w:eastAsia="en-US"/>
        </w:rPr>
        <w:t xml:space="preserve">تُدار أيضاً سجلات المخاطر بوظائف متخصصة. ويشمل ذلك وظيفة أمن المعلومات، التي وضعت إطاراً شاملاً لإدارة المخاطر يستند إلى إطار أهداف رقابة </w:t>
      </w:r>
      <w:r>
        <w:rPr>
          <w:rFonts w:hint="cs"/>
          <w:rtl/>
          <w:lang w:val="en-GB" w:eastAsia="en-US"/>
        </w:rPr>
        <w:t>ا</w:t>
      </w:r>
      <w:r w:rsidRPr="00AB33D0">
        <w:rPr>
          <w:rtl/>
          <w:lang w:val="en-GB" w:eastAsia="en-US"/>
        </w:rPr>
        <w:t xml:space="preserve">لمعلومات والتكنولوجيا ذات الصلة </w:t>
      </w:r>
      <w:r>
        <w:rPr>
          <w:rFonts w:hint="cs"/>
          <w:rtl/>
          <w:lang w:val="en-GB" w:eastAsia="en-US"/>
        </w:rPr>
        <w:t>ال</w:t>
      </w:r>
      <w:r w:rsidRPr="00AB33D0">
        <w:rPr>
          <w:rtl/>
          <w:lang w:val="en-GB" w:eastAsia="en-US"/>
        </w:rPr>
        <w:t>مقبول عالمياً (المعروف باسم</w:t>
      </w:r>
      <w:r w:rsidR="00A82047">
        <w:rPr>
          <w:rFonts w:hint="cs"/>
          <w:rtl/>
          <w:lang w:val="en-GB" w:eastAsia="en-US"/>
        </w:rPr>
        <w:t> </w:t>
      </w:r>
      <w:r w:rsidRPr="00AB33D0">
        <w:rPr>
          <w:lang w:eastAsia="en-US" w:bidi="ar-EG"/>
        </w:rPr>
        <w:t>COBIT</w:t>
      </w:r>
      <w:r w:rsidRPr="00AB33D0">
        <w:rPr>
          <w:rtl/>
          <w:lang w:val="en-GB" w:eastAsia="en-US"/>
        </w:rPr>
        <w:t>)، و</w:t>
      </w:r>
      <w:r>
        <w:rPr>
          <w:rFonts w:hint="cs"/>
          <w:rtl/>
          <w:lang w:val="en-GB" w:eastAsia="en-US"/>
        </w:rPr>
        <w:t>ال</w:t>
      </w:r>
      <w:r w:rsidRPr="00AB33D0">
        <w:rPr>
          <w:rtl/>
          <w:lang w:val="en-GB" w:eastAsia="en-US"/>
        </w:rPr>
        <w:t>مدعوم بسجل مفصل لمخاطر تكنولوجيا المعلومات لرصد التهديدات سريعة التطور التي تواجهها أنظمة معلومات الاتحاد والتصدي لها. وهناك أيضاً سجل للمخاطر مكرس لمشروع مبنى المقر الجديد، تديره إدارة المرافق ومشروع المبنى. ويتولى الفريق الاستشاري للدول الأعضاء (</w:t>
      </w:r>
      <w:r w:rsidRPr="00AB33D0">
        <w:rPr>
          <w:lang w:eastAsia="en-US" w:bidi="ar-EG"/>
        </w:rPr>
        <w:t>MSAG</w:t>
      </w:r>
      <w:r w:rsidRPr="00AB33D0">
        <w:rPr>
          <w:rtl/>
          <w:lang w:val="en-GB" w:eastAsia="en-US"/>
        </w:rPr>
        <w:t>) الإشراف</w:t>
      </w:r>
      <w:r>
        <w:rPr>
          <w:rFonts w:hint="cs"/>
          <w:rtl/>
          <w:lang w:val="en-GB" w:eastAsia="en-US"/>
        </w:rPr>
        <w:t xml:space="preserve"> عليه</w:t>
      </w:r>
      <w:r w:rsidRPr="00AB33D0">
        <w:rPr>
          <w:rtl/>
          <w:lang w:val="en-GB" w:eastAsia="en-US"/>
        </w:rPr>
        <w:t>، مع تقاسم التقارير المالية بانتظام مع البلد المضيف. وبالإضافة إلى الفريق الاستشاري للدول الأعضاء، يتولى كل من مجلس إدارة المبنى الجديد واللجنة التوجيهية أيضاً إدارة المشروع</w:t>
      </w:r>
      <w:r>
        <w:rPr>
          <w:lang w:val="en-GB" w:eastAsia="en-US"/>
        </w:rPr>
        <w:t>.</w:t>
      </w:r>
    </w:p>
    <w:p w14:paraId="7A476571" w14:textId="77777777" w:rsidR="00083F2A" w:rsidRPr="00E832A1" w:rsidRDefault="00083F2A" w:rsidP="00083F2A">
      <w:pPr>
        <w:pStyle w:val="Headingb"/>
        <w:rPr>
          <w:lang w:val="en-GB" w:eastAsia="en-US"/>
        </w:rPr>
      </w:pPr>
      <w:r>
        <w:rPr>
          <w:rFonts w:hint="cs"/>
          <w:rtl/>
          <w:lang w:val="en-GB" w:eastAsia="en-US" w:bidi="ar-EG"/>
        </w:rPr>
        <w:t>3</w:t>
      </w:r>
      <w:r>
        <w:rPr>
          <w:lang w:val="en-GB" w:eastAsia="en-US" w:bidi="ar-EG"/>
        </w:rPr>
        <w:tab/>
      </w:r>
      <w:r>
        <w:rPr>
          <w:rFonts w:hint="cs"/>
          <w:rtl/>
          <w:lang w:val="en-GB" w:eastAsia="en-US" w:bidi="ar-EG"/>
        </w:rPr>
        <w:t>أنشطة الرقابة</w:t>
      </w:r>
    </w:p>
    <w:p w14:paraId="309BE7F9" w14:textId="3172E92C" w:rsidR="00901AD0" w:rsidRPr="00A82047" w:rsidRDefault="00083F2A" w:rsidP="00C44AAC">
      <w:pPr>
        <w:rPr>
          <w:rtl/>
        </w:rPr>
      </w:pPr>
      <w:r w:rsidRPr="00A82047">
        <w:rPr>
          <w:b/>
          <w:bCs/>
          <w:i/>
          <w:iCs/>
          <w:rtl/>
        </w:rPr>
        <w:t>إعداد التقارير المالية</w:t>
      </w:r>
      <w:r w:rsidR="00A82047" w:rsidRPr="00A82047">
        <w:rPr>
          <w:rFonts w:hint="cs"/>
          <w:b/>
          <w:bCs/>
          <w:i/>
          <w:iCs/>
          <w:rtl/>
        </w:rPr>
        <w:t>.</w:t>
      </w:r>
      <w:r w:rsidRPr="00A82047">
        <w:rPr>
          <w:rtl/>
        </w:rPr>
        <w:t xml:space="preserve"> لا يزال الاتحاد على المسار الصحيح لتقديم البيانات المالية لعام 2024، التي تم تقاسمها مع المكتب الوطني لمراجعة الحسابات </w:t>
      </w:r>
      <w:r w:rsidRPr="00A82047">
        <w:t>(NAO</w:t>
      </w:r>
      <w:r w:rsidR="00A82047" w:rsidRPr="00A82047">
        <w:t>)</w:t>
      </w:r>
      <w:r w:rsidRPr="00A82047">
        <w:rPr>
          <w:rtl/>
        </w:rPr>
        <w:t xml:space="preserve"> في 10 مارس 2025، ليتم رفعها إلى المجلس ضمن الجداول الزمنية المتفق عليها. ‏ويعكس ذلك التحسينات المستمرة في إعداد التقارير المالية.‎ وأدى إجراء استعراض شامل لعمليات المحاسبة الداخلية إلى تعزيز الضوابط المالية وتحسين إدارة حسابات الأموال الخارجة عن الميزانية، مما يكفل مزيداً من الدقة والامتثال. وقام الاتحاد بتحديث سياساته المحاسبية، وتعزيز عمليات التسوية، واعتماد مراجعة أكثر صرامة لعملية الإقفال السنوي، مما أسهم في معالجة التحديات السابقة وتبسيط سير العمل. ومع ذلك، يدرك الاتحاد الحاجة إلى زيادة تعزيز الضوابط الداخلية وآليات الإبلاغ والتحديد الواضح للأدوار والمسؤوليات، لا سيما في إدارة الأموال الخارجة عن الميزانية. ويجري وضع تدابير لتعزيز الرقابة وضمان الامتثال وتحسين الضوابط المالية لهذه الأموال، مثل وضع إجراءات تشغيل موحدة واضحة بشأن العمليات الشاملة لجميع الأموال الخارجة عن الميزانية على مستوى المنظمة بأكملها، وتحديد الأدوار والمسؤوليات المرتبطة بوظائف الإدارة الرئيسية بوضوح.</w:t>
      </w:r>
    </w:p>
    <w:p w14:paraId="760A7238" w14:textId="6D4CA67D" w:rsidR="00083F2A" w:rsidRPr="00A82047" w:rsidRDefault="00083F2A" w:rsidP="00A82047">
      <w:pPr>
        <w:rPr>
          <w:color w:val="000000" w:themeColor="text1"/>
          <w:lang w:val="ar-SA" w:eastAsia="zh-TW"/>
        </w:rPr>
      </w:pPr>
      <w:r w:rsidRPr="00A82047">
        <w:rPr>
          <w:b/>
          <w:bCs/>
          <w:i/>
          <w:iCs/>
          <w:rtl/>
        </w:rPr>
        <w:lastRenderedPageBreak/>
        <w:t>إدارة الشؤون المالية.</w:t>
      </w:r>
      <w:r w:rsidRPr="00A82047">
        <w:rPr>
          <w:rtl/>
        </w:rPr>
        <w:t xml:space="preserve"> في يونيو 2024، وافق مجلس الاتحاد على اللوائح المالية المراجعة، وقام</w:t>
      </w:r>
      <w:r w:rsidRPr="00A82047">
        <w:rPr>
          <w:rFonts w:hint="cs"/>
          <w:rtl/>
        </w:rPr>
        <w:t>ت</w:t>
      </w:r>
      <w:r w:rsidRPr="00A82047">
        <w:rPr>
          <w:rtl/>
        </w:rPr>
        <w:t xml:space="preserve"> الأمين</w:t>
      </w:r>
      <w:r w:rsidRPr="00A82047">
        <w:rPr>
          <w:rFonts w:hint="cs"/>
          <w:rtl/>
        </w:rPr>
        <w:t>ة</w:t>
      </w:r>
      <w:r w:rsidRPr="00A82047">
        <w:rPr>
          <w:rtl/>
        </w:rPr>
        <w:t xml:space="preserve"> العام</w:t>
      </w:r>
      <w:r w:rsidRPr="00A82047">
        <w:rPr>
          <w:rFonts w:hint="cs"/>
          <w:rtl/>
        </w:rPr>
        <w:t>ة</w:t>
      </w:r>
      <w:r w:rsidRPr="00A82047">
        <w:rPr>
          <w:rtl/>
        </w:rPr>
        <w:t xml:space="preserve"> بتحديث القواعد المالية، مما عزز إطار حوكمة الإدارة المالية. وبالإضافة إلى ذلك، أدخل الاتحاد سياسات محاسبية أقوى فيما يتعلق بدور لجنة الخزانة وإدارة استثماراتها من خلال سياسة الاستثمار، مما يضمن اتباع نهج أكثر تنظيماً وشفافية في عمليات الخزانة. وتبرز هذه التحسينات المستمرة التزام الاتحاد بتعزيز الضوابط المالية وضمان موثوقية ونزاهة </w:t>
      </w:r>
      <w:r w:rsidRPr="00A82047">
        <w:rPr>
          <w:rFonts w:hint="cs"/>
          <w:rtl/>
        </w:rPr>
        <w:t>الإبلاغ المالي</w:t>
      </w:r>
      <w:r w:rsidRPr="00A82047">
        <w:rPr>
          <w:color w:val="000000" w:themeColor="text1"/>
          <w:rtl/>
          <w:lang w:val="ar-SA" w:eastAsia="zh-TW"/>
        </w:rPr>
        <w:t>.</w:t>
      </w:r>
    </w:p>
    <w:p w14:paraId="09CCD811" w14:textId="77777777" w:rsidR="00083F2A" w:rsidRPr="00A82047" w:rsidRDefault="00083F2A" w:rsidP="00A82047">
      <w:pPr>
        <w:rPr>
          <w:color w:val="000000"/>
          <w:lang w:val="ar-SA" w:eastAsia="zh-TW" w:bidi="en-GB"/>
        </w:rPr>
      </w:pPr>
      <w:r w:rsidRPr="00A82047">
        <w:rPr>
          <w:rtl/>
        </w:rPr>
        <w:t>ولا يزال التباين بين إيرادات استرداد التكاليف المدرجة في الميزانية والإيرادات الفعلية لاسترداد التكاليف يشكل تحدياً. وفي ظل غياب مؤشرات رئيسية مفيدة لتوجيه توقعات استرداد التكاليف، يجري الاتحاد مراجعات شهرية للبيانات التاريخية والحجم المخطط وتحليل حساسية الطلب.</w:t>
      </w:r>
    </w:p>
    <w:p w14:paraId="1289B243" w14:textId="77777777" w:rsidR="00083F2A" w:rsidRPr="00A82047" w:rsidRDefault="00083F2A" w:rsidP="00A82047">
      <w:pPr>
        <w:rPr>
          <w:color w:val="000000" w:themeColor="text1"/>
          <w:lang w:val="ar-SA" w:eastAsia="zh-TW" w:bidi="en-GB"/>
        </w:rPr>
      </w:pPr>
      <w:r w:rsidRPr="00A82047">
        <w:rPr>
          <w:b/>
          <w:bCs/>
          <w:rtl/>
        </w:rPr>
        <w:t>الأدوار والمسؤوليات وتفويض السلطة.</w:t>
      </w:r>
      <w:r w:rsidRPr="00A82047">
        <w:rPr>
          <w:rtl/>
        </w:rPr>
        <w:t xml:space="preserve"> في حين أن كبار المسؤولين الذين تم التشاور معهم من خلال ممارسة رسائل التمثيل يرون أن هيكل الإبلاغ، مع تفويض السلطة والمسؤولية، والمساءلة ذات الصلة، هو هيكل مناسب، ‏كشف استعراض حديث أجرته دائرة إدارة الموارد البشرية عن الحاجة إلى تحسين الفهم داخل المنظمة وفي جميع مستوياتها، لا سيما وأن ذلك يتعلق في كثير من الحالات بتوزيع وتفويض السلطة والمسؤوليات في مجالات محددة من الرقابة الداخلية.‎ وقامت إدارة الموارد البشرية بالفعل بتخصيص الموارد لمعالجة هذه المسألة الجوهرية من أجل تطوير إطار شامل لتفويض السلطة. وسيتبع ذلك إجراء مشاورات مع المديرين على مستوى المنظمة لضمان تنفيذ الإطار على النحو السليم في مجالات مسؤولياتهم.‎</w:t>
      </w:r>
    </w:p>
    <w:p w14:paraId="47885CA7" w14:textId="18F020C2" w:rsidR="00083F2A" w:rsidRPr="00A82047" w:rsidRDefault="00083F2A" w:rsidP="00A82047">
      <w:pPr>
        <w:rPr>
          <w:color w:val="000000"/>
          <w:lang w:val="ar-SA" w:eastAsia="zh-TW" w:bidi="en-GB"/>
        </w:rPr>
      </w:pPr>
      <w:r w:rsidRPr="00A82047">
        <w:rPr>
          <w:b/>
          <w:bCs/>
          <w:i/>
          <w:iCs/>
          <w:rtl/>
        </w:rPr>
        <w:t>الفصل بين المهام</w:t>
      </w:r>
      <w:r w:rsidR="00A82047">
        <w:rPr>
          <w:rFonts w:hint="cs"/>
          <w:b/>
          <w:bCs/>
          <w:i/>
          <w:iCs/>
          <w:rtl/>
          <w:lang w:bidi="ar-EG"/>
        </w:rPr>
        <w:t>.</w:t>
      </w:r>
      <w:r w:rsidRPr="00A82047">
        <w:rPr>
          <w:rtl/>
        </w:rPr>
        <w:t xml:space="preserve"> ‏يوضح دليل المشتريات الذي اعتُمد في سبتمبر ‎2022 ‏مبدأ الفصل بين المهام في عملية الشراء، كما يعالج العديد من توصيات الرقابة المعلّقة. وسيقوم الرئيس الجديد لشعبة المشتريات، الذي انضم إلى الشعبة في نهاية عام 2024، بوضع مصفوفة لفصل المهام مستمدة من الدليل لتيسير الرجوع إليها بالنسبة للموظفين غير المعنيين بالمشتريات المشاركين في أي مرحلة من مراحل عملية الشراء.</w:t>
      </w:r>
    </w:p>
    <w:p w14:paraId="555741DE" w14:textId="77777777" w:rsidR="00083F2A" w:rsidRPr="00A82047" w:rsidRDefault="00083F2A" w:rsidP="00A82047">
      <w:pPr>
        <w:rPr>
          <w:color w:val="000000" w:themeColor="text1"/>
          <w:lang w:val="ar-SA" w:eastAsia="zh-TW" w:bidi="en-GB"/>
        </w:rPr>
      </w:pPr>
      <w:r w:rsidRPr="00A82047">
        <w:rPr>
          <w:bCs/>
          <w:i/>
          <w:iCs/>
          <w:rtl/>
        </w:rPr>
        <w:t>تحديث السياسات.</w:t>
      </w:r>
      <w:r w:rsidRPr="00A82047">
        <w:rPr>
          <w:bCs/>
          <w:rtl/>
        </w:rPr>
        <w:t xml:space="preserve"> </w:t>
      </w:r>
      <w:r w:rsidRPr="00A82047">
        <w:rPr>
          <w:rtl/>
        </w:rPr>
        <w:t>في عام 2024، شرعت دائرة إدارة الموارد البشرية في مبادرة لتحديث سياسات الاتحاد لتلبية احتياجات القوى العاملة الحالية والمستقبلية. واستناداً إلى مؤسسات أخرى في منظومة الأمم المتحدة كنماذج مرجعية، تهدف هذه المبادرة إلى تحديث السياسات الحالية أو وضع سياسات جديدة لمواكبة احتياجات القوى العاملة المتطورة في الاتحاد. ويشمل ذلك الإجراءات والمبادئ التوجيهية لأصحاب عقود اتفاقات الخدمات الخاصة، وأمراً إدارياً بشأن إنشاء وظيفة أمين المظالم في الاتحاد سيصدر قريباً. وفي الأشهر المقبلة، سيصدر الاتحاد تحديثات تغطي استخدام وإدارة الموظفين المتعاقدين لفترات قصيرة، وإعانات الإيجار، ومِنح التعليم، وبدلات الإعالة.</w:t>
      </w:r>
    </w:p>
    <w:p w14:paraId="0F86BB44" w14:textId="7395AEDC" w:rsidR="00083F2A" w:rsidRPr="00A82047" w:rsidRDefault="00083F2A" w:rsidP="00A82047">
      <w:pPr>
        <w:rPr>
          <w:color w:val="000000"/>
          <w:lang w:val="ar-SA" w:eastAsia="zh-TW" w:bidi="en-GB"/>
        </w:rPr>
      </w:pPr>
      <w:r w:rsidRPr="00A82047">
        <w:rPr>
          <w:b/>
          <w:bCs/>
          <w:i/>
          <w:iCs/>
          <w:rtl/>
        </w:rPr>
        <w:t>التحكم في التكنولوجيا.</w:t>
      </w:r>
      <w:r w:rsidRPr="00A82047">
        <w:rPr>
          <w:rtl/>
        </w:rPr>
        <w:t xml:space="preserve"> أُنشئت لجنة إدارة تكنولوجيا المعلومات والاتصالات </w:t>
      </w:r>
      <w:r w:rsidRPr="00A82047">
        <w:t>(ICTGC</w:t>
      </w:r>
      <w:r w:rsidR="001008B4">
        <w:t>)</w:t>
      </w:r>
      <w:r w:rsidRPr="00A82047">
        <w:rPr>
          <w:rtl/>
        </w:rPr>
        <w:t xml:space="preserve"> للإشراف على جميع جوانب إدارة تكنولوجيا المعلومات (</w:t>
      </w:r>
      <w:r w:rsidRPr="00A82047">
        <w:t>IT</w:t>
      </w:r>
      <w:r w:rsidRPr="00A82047">
        <w:rPr>
          <w:rtl/>
        </w:rPr>
        <w:t>) والأمن السيبراني وحوكمة المعلومات/البيانات داخل الاتحاد وإدارتها استراتيجياً، بما في ذلك تحسين توزيع موارد تكنولوجيا المعلومات والاتصالات وضمان تنفيذ أنشطة إدارة المخاطر المتعلقة بتكنولوجيا المعلومات على النحو المناسب. وأدى إنشاء لجنة إدارة تكنولوجيا المعلومات والاتصالات، التي تعقد جلساتها بانتظام، إلى معالجة العديد من توصيات الرقابة المعلّقة التي صدرت سابقاً.</w:t>
      </w:r>
    </w:p>
    <w:p w14:paraId="3ECADC78" w14:textId="77777777" w:rsidR="00083F2A" w:rsidRPr="00A8526E" w:rsidRDefault="00083F2A" w:rsidP="00A82047">
      <w:pPr>
        <w:rPr>
          <w:rFonts w:cs="Calibri"/>
          <w:color w:val="000000"/>
          <w:szCs w:val="20"/>
          <w:lang w:val="ar-SA" w:eastAsia="zh-TW" w:bidi="en-GB"/>
        </w:rPr>
      </w:pPr>
      <w:r w:rsidRPr="00A82047">
        <w:rPr>
          <w:b/>
          <w:bCs/>
          <w:i/>
          <w:iCs/>
          <w:rtl/>
        </w:rPr>
        <w:t>السلامة والأمن</w:t>
      </w:r>
      <w:r w:rsidRPr="00A82047">
        <w:rPr>
          <w:rtl/>
        </w:rPr>
        <w:t xml:space="preserve"> في عام 2024، شرع الاتحاد في تحديث هام لأنظمة السلامة والأمن من خلال نشر أصول موحدة لتكنولوجيا المعلومات والأمن في المكاتب الإقليمية ومكاتب المناطق ومكاتب الاتصال بما يتماشى مع المتطلبات الإلزامية لنظام إدارة الأمن في الأمم المتحدة. والهدف من هذه التحسينات هو ضمان مستوى ثابت من السلامة والأمن في جميع مباني الاتحاد، من خلال معدات معيارية مدعومة تشغيلياً من المقر. وقد اكتملت عملية التحديث في بانكوك وجاكرتا ونيودلهي والقاهرة وموسكو وأديس أبابا. ومن المتوقع الانتهاء من التثبيت في المكاتب المتبقية في عام 2025.</w:t>
      </w:r>
    </w:p>
    <w:p w14:paraId="0778CD5A" w14:textId="77777777" w:rsidR="00083F2A" w:rsidRPr="00E832A1" w:rsidRDefault="00083F2A" w:rsidP="00083F2A">
      <w:pPr>
        <w:pStyle w:val="Headingb"/>
        <w:rPr>
          <w:lang w:val="en-GB" w:eastAsia="en-US" w:bidi="ar-SY"/>
        </w:rPr>
      </w:pPr>
      <w:r>
        <w:rPr>
          <w:rFonts w:hint="cs"/>
          <w:rtl/>
          <w:lang w:val="en-GB" w:eastAsia="en-US" w:bidi="ar-EG"/>
        </w:rPr>
        <w:t>4</w:t>
      </w:r>
      <w:r>
        <w:rPr>
          <w:lang w:val="en-GB" w:eastAsia="en-US" w:bidi="ar-EG"/>
        </w:rPr>
        <w:tab/>
      </w:r>
      <w:r>
        <w:rPr>
          <w:rFonts w:hint="cs"/>
          <w:rtl/>
          <w:lang w:val="en-GB" w:eastAsia="en-US" w:bidi="ar-EG"/>
        </w:rPr>
        <w:t>المعلومات والاتصالات</w:t>
      </w:r>
    </w:p>
    <w:p w14:paraId="406A9C6F" w14:textId="0AD157A3" w:rsidR="00083F2A" w:rsidRPr="006F24E4" w:rsidRDefault="00083F2A" w:rsidP="006F24E4">
      <w:pPr>
        <w:rPr>
          <w:rtl/>
          <w:lang w:val="en-GB" w:eastAsia="en-US" w:bidi="ar-SY"/>
        </w:rPr>
      </w:pPr>
      <w:r w:rsidRPr="006F24E4">
        <w:rPr>
          <w:b/>
          <w:bCs/>
          <w:i/>
          <w:iCs/>
          <w:rtl/>
          <w:lang w:val="en-GB" w:eastAsia="en-US"/>
        </w:rPr>
        <w:t>رسائل البوابة الإلكترونية والشبكة الداخلية والاجتماعات المفتوحة</w:t>
      </w:r>
      <w:r w:rsidR="006F24E4" w:rsidRPr="006F24E4">
        <w:rPr>
          <w:rFonts w:hint="cs"/>
          <w:b/>
          <w:bCs/>
          <w:i/>
          <w:iCs/>
          <w:rtl/>
          <w:lang w:val="en-GB" w:eastAsia="en-US"/>
        </w:rPr>
        <w:t>.</w:t>
      </w:r>
      <w:r w:rsidR="00A05F03" w:rsidRPr="006F24E4">
        <w:rPr>
          <w:b/>
          <w:bCs/>
          <w:i/>
          <w:iCs/>
          <w:rtl/>
          <w:lang w:val="en-GB" w:eastAsia="en-US"/>
        </w:rPr>
        <w:t xml:space="preserve"> </w:t>
      </w:r>
      <w:r w:rsidRPr="006F24E4">
        <w:rPr>
          <w:rtl/>
          <w:lang w:val="en-GB" w:eastAsia="en-US"/>
        </w:rPr>
        <w:t xml:space="preserve">تزود رسائل البوابة الإلكترونية والشبكة الداخلية موظفي الاتحاد بالمعلومات الضرورية المتعلقة بأداء وتحسين الضوابط الداخلية مثل إدخال سياسات جديدة وتحديثات الأوامر الإدارية والمذكرات المختلفة، لا سيما بشأن المواضيع المتكررة والرسائل التذكيرية المتعلقة بمختلف التزامات الموظفين. </w:t>
      </w:r>
      <w:r w:rsidRPr="006F24E4">
        <w:rPr>
          <w:rFonts w:hint="cs"/>
          <w:rtl/>
          <w:lang w:val="en-GB" w:eastAsia="en-US"/>
        </w:rPr>
        <w:t>و</w:t>
      </w:r>
      <w:r w:rsidRPr="006F24E4">
        <w:rPr>
          <w:rtl/>
          <w:lang w:val="en-GB" w:eastAsia="en-US"/>
        </w:rPr>
        <w:t>قامت دائرة إدارة الموارد البشرية بإعداد ونشر وثائق شاملة للأسئلة المتكررة في عام 2024 لا سيما فيما يتعلق بترتيبات العمل عن بعد، وإطلاق الشريحة الثانية من برنامج إنهاء الخدمة الطوعي، وسياسة التعلم الإلزامي. وعلاوة على ذلك، تُقدم المعلومات المتعلقة بالرقابة الداخلية في الاجتماعات المفتوحة المنتظمة، مما يضمن التوعية والامتثال على نطاق واسع في المنظمة</w:t>
      </w:r>
      <w:r w:rsidRPr="006F24E4">
        <w:rPr>
          <w:lang w:val="en-GB" w:eastAsia="en-US" w:bidi="ar-EG"/>
        </w:rPr>
        <w:t>.</w:t>
      </w:r>
    </w:p>
    <w:p w14:paraId="550024A4" w14:textId="77777777" w:rsidR="00083F2A" w:rsidRPr="006F24E4" w:rsidRDefault="00083F2A" w:rsidP="006F24E4">
      <w:pPr>
        <w:rPr>
          <w:rtl/>
          <w:lang w:val="en-GB" w:eastAsia="en-US" w:bidi="ar-SY"/>
        </w:rPr>
      </w:pPr>
      <w:r w:rsidRPr="006F24E4">
        <w:rPr>
          <w:b/>
          <w:bCs/>
          <w:i/>
          <w:iCs/>
          <w:rtl/>
          <w:lang w:val="en-GB" w:eastAsia="en-US"/>
        </w:rPr>
        <w:t xml:space="preserve">مشروع الموقع الإلكتروني للاتحاد. </w:t>
      </w:r>
      <w:r w:rsidRPr="006F24E4">
        <w:rPr>
          <w:rtl/>
          <w:lang w:val="en-GB" w:eastAsia="en-US"/>
        </w:rPr>
        <w:t>أُطلق مشروع الموقع الإلكتروني للاتحاد، بتمويل جزئي من المجلس في دورته لعام 2024. وتشمل أهداف المشروع معالجة أوجه القصور في وظائف تصفح الموقع والبحث فيه</w:t>
      </w:r>
      <w:r w:rsidRPr="006F24E4">
        <w:rPr>
          <w:lang w:val="en-GB" w:eastAsia="en-US" w:bidi="ar-EG"/>
        </w:rPr>
        <w:t>.</w:t>
      </w:r>
    </w:p>
    <w:p w14:paraId="018A8B03" w14:textId="77777777" w:rsidR="00083F2A" w:rsidRPr="00DC5E43" w:rsidRDefault="00083F2A" w:rsidP="006F24E4">
      <w:pPr>
        <w:rPr>
          <w:rFonts w:cs="Calibri"/>
          <w:color w:val="000000" w:themeColor="text1"/>
          <w:spacing w:val="-4"/>
          <w:szCs w:val="20"/>
          <w:lang w:val="ar-SA" w:eastAsia="zh-TW" w:bidi="en-GB"/>
        </w:rPr>
      </w:pPr>
      <w:r w:rsidRPr="00DC5E43">
        <w:rPr>
          <w:b/>
          <w:bCs/>
          <w:i/>
          <w:iCs/>
          <w:spacing w:val="-4"/>
          <w:rtl/>
        </w:rPr>
        <w:lastRenderedPageBreak/>
        <w:t>لوحات المتابعة.</w:t>
      </w:r>
      <w:r w:rsidRPr="00DC5E43">
        <w:rPr>
          <w:spacing w:val="-4"/>
          <w:rtl/>
        </w:rPr>
        <w:t xml:space="preserve"> تُستخدم المعلومات في الوقت الفعلي بشكل متزايد لدعم الموظفين والإدارة في الاضطلاع بمسؤولياتهم المتعلقة بالرقابة الداخلية. فعلى سبيل المثال، تتيح لوحة معلومات التحليل المالي والأداء المؤسسي إجراء تحليل دينامي للاتجاهات وإعداد تقارير حول بنود مثل نفقات السفر، ودفتر الحسابات العام، وتنفيذ الميزانية الشاملة، والتوقعات. وفي عام 2024، تم تضمين بيانات ميزانية تكنولوجيا المعلومات والاتصالات غير التشغيلية وصناديق رسملة المباني، بالإضافة إلى وظيفة الأرشفة التلقائية التي توفر سجل مراجعة لتتبع تطور تنفيذ الميزانية. وستُضمّن الأموال الخارجة عن الميزانية في لوحات المعلومات في عام 2025. وعلاوة على ذلك، ستُنظم ورش عمل لتعريف المديرين بهذه الأداة وكيفية تفسير الأرقام في عام 2025. ولاستكمال بوابة تحليلات القوى العاملة للموارد البشرية، تم تطوير لوحات معلومات إضافية لمراقبة العمل عن بعد ومعدلات إكمال التدريب الإلزامي.</w:t>
      </w:r>
    </w:p>
    <w:p w14:paraId="3B03A6FD" w14:textId="77777777" w:rsidR="00083F2A" w:rsidRPr="003A4296" w:rsidRDefault="00083F2A" w:rsidP="003A4296">
      <w:pPr>
        <w:pStyle w:val="Headingb"/>
        <w:rPr>
          <w:rtl/>
        </w:rPr>
      </w:pPr>
      <w:r w:rsidRPr="003A4296">
        <w:rPr>
          <w:rFonts w:hint="cs"/>
          <w:rtl/>
        </w:rPr>
        <w:t>5</w:t>
      </w:r>
      <w:r w:rsidRPr="003A4296">
        <w:tab/>
      </w:r>
      <w:r w:rsidRPr="003A4296">
        <w:rPr>
          <w:rFonts w:hint="cs"/>
          <w:rtl/>
        </w:rPr>
        <w:t>أنشطة المراقبة</w:t>
      </w:r>
    </w:p>
    <w:p w14:paraId="162A1AE5" w14:textId="77777777" w:rsidR="00083F2A" w:rsidRDefault="00083F2A" w:rsidP="003A4296">
      <w:pPr>
        <w:rPr>
          <w:rtl/>
          <w:lang w:val="en-GB" w:eastAsia="en-US"/>
        </w:rPr>
      </w:pPr>
      <w:r w:rsidRPr="00AA43B9">
        <w:rPr>
          <w:b/>
          <w:bCs/>
          <w:i/>
          <w:iCs/>
          <w:rtl/>
          <w:lang w:val="en-GB" w:eastAsia="en-US"/>
        </w:rPr>
        <w:t>مهام المراجعة الداخلية</w:t>
      </w:r>
      <w:r w:rsidRPr="00E832A1">
        <w:rPr>
          <w:b/>
          <w:bCs/>
          <w:i/>
          <w:iCs/>
          <w:lang w:val="en-GB" w:eastAsia="en-US" w:bidi="ar-EG"/>
        </w:rPr>
        <w:t>.</w:t>
      </w:r>
      <w:r>
        <w:rPr>
          <w:rFonts w:hint="cs"/>
          <w:b/>
          <w:bCs/>
          <w:i/>
          <w:iCs/>
          <w:rtl/>
          <w:lang w:val="en-GB" w:eastAsia="en-US" w:bidi="ar-EG"/>
        </w:rPr>
        <w:t xml:space="preserve"> </w:t>
      </w:r>
      <w:r w:rsidRPr="00AA43B9">
        <w:rPr>
          <w:rtl/>
          <w:lang w:val="en-GB" w:eastAsia="en-US"/>
        </w:rPr>
        <w:t xml:space="preserve">في عام ‎2024‏، أصدرت وظيفة المراجعة الخارجية، التي تقدم ضمانات مستقلة فيما يتعلق بالإدارة وإدارة المخاطر وفعالية عمليات الرقابة الداخلية في الاتحاد، أربعة تقارير مراجعة.‎ كما تم إطلاع اللجنة الاستشارية المستقلة للإدارة والمراجع الخارجي على التقارير. وتم التخطيط لمهام المراجعة الداخلية وتنفيذها والإبلاغ عنها، وفقاً لميثاق الرقابة. وتؤكد نتائج المراجعة الداخلية ضرورة تعزيز فعالية الإدارة </w:t>
      </w:r>
      <w:r>
        <w:rPr>
          <w:rFonts w:hint="cs"/>
          <w:rtl/>
          <w:lang w:val="en-GB" w:eastAsia="en-US"/>
        </w:rPr>
        <w:t>والرقابة</w:t>
      </w:r>
      <w:r w:rsidRPr="00AA43B9">
        <w:rPr>
          <w:rtl/>
          <w:lang w:val="en-GB" w:eastAsia="en-US"/>
        </w:rPr>
        <w:t xml:space="preserve">. والتزم المديرون التنفيذيون بتناول هذه التوصيات من خلال اتخاذ الإجراءات الموصى بها، مع قيام وحدة الرقابة برصد التقدم المحرز </w:t>
      </w:r>
      <w:r>
        <w:rPr>
          <w:rFonts w:hint="cs"/>
          <w:rtl/>
          <w:lang w:val="en-GB" w:eastAsia="en-US"/>
        </w:rPr>
        <w:t>من خلال</w:t>
      </w:r>
      <w:r w:rsidRPr="00AA43B9">
        <w:rPr>
          <w:rtl/>
          <w:lang w:val="en-GB" w:eastAsia="en-US"/>
        </w:rPr>
        <w:t xml:space="preserve"> لوحة المعلومات المتعلقة بالامتثال</w:t>
      </w:r>
      <w:r>
        <w:rPr>
          <w:rFonts w:hint="cs"/>
          <w:rtl/>
          <w:lang w:val="en-GB" w:eastAsia="en-US"/>
        </w:rPr>
        <w:t>.</w:t>
      </w:r>
    </w:p>
    <w:p w14:paraId="071A08FB" w14:textId="77777777" w:rsidR="00901AD0" w:rsidRDefault="00083F2A" w:rsidP="003A4296">
      <w:pPr>
        <w:rPr>
          <w:rtl/>
        </w:rPr>
      </w:pPr>
      <w:r w:rsidRPr="00F55453">
        <w:rPr>
          <w:b/>
          <w:bCs/>
          <w:i/>
          <w:iCs/>
          <w:rtl/>
        </w:rPr>
        <w:t>استعراض مراقبة الضوابط في الخط الثاني</w:t>
      </w:r>
      <w:r>
        <w:rPr>
          <w:b/>
          <w:bCs/>
          <w:rtl/>
        </w:rPr>
        <w:t>.</w:t>
      </w:r>
      <w:r>
        <w:rPr>
          <w:rtl/>
        </w:rPr>
        <w:t xml:space="preserve"> في عام </w:t>
      </w:r>
      <w:r w:rsidRPr="008F0704">
        <w:rPr>
          <w:rtl/>
        </w:rPr>
        <w:t>2024</w:t>
      </w:r>
      <w:r>
        <w:rPr>
          <w:rtl/>
        </w:rPr>
        <w:t>، قام مدير مخاطر الأعمال التنظيمية بإجراء أو تنسيق استعراض مراقبة الضوابط في الخط الثاني لتقييم ما إذا كانت الضوابط الداخلية المحددة موجودة وكافية وتم الالتزام بها، مع تقييم أدائها الصحيح ومتانتها عند الاقتضاء. وأجريت ثلاثة استعراضات</w:t>
      </w:r>
      <w:r>
        <w:rPr>
          <w:rFonts w:ascii="Simplified Arabic" w:cs="Simplified Arabic"/>
          <w:szCs w:val="20"/>
        </w:rPr>
        <w:t>:</w:t>
      </w:r>
    </w:p>
    <w:p w14:paraId="597D7F7F" w14:textId="681EF7EC" w:rsidR="00083F2A" w:rsidRPr="006F24E4" w:rsidRDefault="00083F2A" w:rsidP="006F24E4">
      <w:pPr>
        <w:pStyle w:val="enumlev1"/>
        <w:rPr>
          <w:rtl/>
        </w:rPr>
      </w:pPr>
      <w:r w:rsidRPr="00E832A1">
        <w:rPr>
          <w:lang w:val="en-GB" w:eastAsia="en-US"/>
        </w:rPr>
        <w:t>(1)</w:t>
      </w:r>
      <w:r w:rsidRPr="00E832A1">
        <w:rPr>
          <w:lang w:val="en-GB" w:eastAsia="en-US"/>
        </w:rPr>
        <w:tab/>
      </w:r>
      <w:r w:rsidRPr="006F24E4">
        <w:rPr>
          <w:rtl/>
        </w:rPr>
        <w:t xml:space="preserve">استعراض الامتثال لمتطلبات </w:t>
      </w:r>
      <w:r w:rsidRPr="006F24E4">
        <w:t>TRIP</w:t>
      </w:r>
      <w:r w:rsidRPr="006F24E4">
        <w:rPr>
          <w:rtl/>
        </w:rPr>
        <w:t xml:space="preserve"> و</w:t>
      </w:r>
      <w:r w:rsidRPr="006F24E4">
        <w:t>BSAFE</w:t>
      </w:r>
      <w:r w:rsidRPr="006F24E4">
        <w:rPr>
          <w:rtl/>
        </w:rPr>
        <w:t xml:space="preserve"> لدى الأمم المتحدة</w:t>
      </w:r>
      <w:r w:rsidRPr="006F24E4">
        <w:rPr>
          <w:rFonts w:hint="cs"/>
          <w:rtl/>
        </w:rPr>
        <w:t>؛</w:t>
      </w:r>
    </w:p>
    <w:p w14:paraId="3E91165C" w14:textId="77777777" w:rsidR="00083F2A" w:rsidRPr="006F24E4" w:rsidRDefault="00083F2A" w:rsidP="006F24E4">
      <w:pPr>
        <w:pStyle w:val="enumlev1"/>
      </w:pPr>
      <w:r w:rsidRPr="006F24E4">
        <w:t>(2)</w:t>
      </w:r>
      <w:r w:rsidRPr="006F24E4">
        <w:tab/>
      </w:r>
      <w:r w:rsidRPr="006F24E4">
        <w:rPr>
          <w:rtl/>
        </w:rPr>
        <w:t>إدارة مفتاح تجفير خدمات الحوسبة السحابية</w:t>
      </w:r>
      <w:r w:rsidRPr="006F24E4">
        <w:rPr>
          <w:rFonts w:hint="cs"/>
          <w:rtl/>
        </w:rPr>
        <w:t>؛</w:t>
      </w:r>
    </w:p>
    <w:p w14:paraId="5F139E7D" w14:textId="77777777" w:rsidR="00083F2A" w:rsidRDefault="00083F2A" w:rsidP="006F24E4">
      <w:pPr>
        <w:pStyle w:val="enumlev1"/>
        <w:rPr>
          <w:rtl/>
          <w:lang w:val="en-GB" w:eastAsia="en-US"/>
        </w:rPr>
      </w:pPr>
      <w:r w:rsidRPr="006F24E4">
        <w:t>(3)</w:t>
      </w:r>
      <w:r w:rsidRPr="006F24E4">
        <w:tab/>
      </w:r>
      <w:r w:rsidRPr="006F24E4">
        <w:rPr>
          <w:rtl/>
        </w:rPr>
        <w:t>أنشطة</w:t>
      </w:r>
      <w:r w:rsidRPr="00F55453">
        <w:rPr>
          <w:rtl/>
          <w:lang w:val="en-GB" w:eastAsia="en-US" w:bidi="ar-SA"/>
        </w:rPr>
        <w:t xml:space="preserve"> المشتريات والفصل بين المهام</w:t>
      </w:r>
      <w:r>
        <w:rPr>
          <w:rFonts w:hint="cs"/>
          <w:rtl/>
          <w:lang w:val="en-GB" w:eastAsia="en-US" w:bidi="ar-EG"/>
        </w:rPr>
        <w:t>.</w:t>
      </w:r>
    </w:p>
    <w:p w14:paraId="0EB3FDCD" w14:textId="77777777" w:rsidR="00083F2A" w:rsidRPr="004A4057" w:rsidRDefault="00083F2A" w:rsidP="003A4296">
      <w:pPr>
        <w:rPr>
          <w:color w:val="000000" w:themeColor="text1"/>
          <w:lang w:val="en-GB" w:eastAsia="zh-TW" w:bidi="en-GB"/>
        </w:rPr>
      </w:pPr>
      <w:r w:rsidRPr="004A4057">
        <w:rPr>
          <w:rtl/>
        </w:rPr>
        <w:t>وتم إبلاغ المديرين المسؤولين بنتائج هذه الاستعراضات، ولا سيما بغرض اتخاذ التدابير التصحيحية اللازمة، بما في ذلك الإبلاغ عن أوجه القصور الجوهرية المحددة عند الاقتضاء. ويخطط الاتحاد لإجراء استعراضات إضافية في عام 2025، إذا سمح الوقت وتوفرت الموارد.</w:t>
      </w:r>
    </w:p>
    <w:p w14:paraId="2A1C5387" w14:textId="77777777" w:rsidR="00083F2A" w:rsidRPr="003A4296" w:rsidRDefault="00083F2A" w:rsidP="003A4296">
      <w:pPr>
        <w:pStyle w:val="Headingb"/>
      </w:pPr>
      <w:r w:rsidRPr="003A4296">
        <w:rPr>
          <w:rFonts w:hint="cs"/>
          <w:rtl/>
        </w:rPr>
        <w:t>الخلاصة والالتزامات</w:t>
      </w:r>
    </w:p>
    <w:p w14:paraId="1BBD2269" w14:textId="77777777" w:rsidR="00083F2A" w:rsidRDefault="00083F2A" w:rsidP="003A4296">
      <w:pPr>
        <w:rPr>
          <w:lang w:val="en-GB" w:eastAsia="en-US" w:bidi="ar-EG"/>
        </w:rPr>
      </w:pPr>
      <w:r w:rsidRPr="00F55453">
        <w:rPr>
          <w:rtl/>
          <w:lang w:val="en-GB" w:eastAsia="en-US"/>
        </w:rPr>
        <w:t xml:space="preserve">يوضح هذا البيان بشأن الرقابة الداخلية، للسنة المنتهية في 31 ديسمبر 2024، التزامنا بتحسين نظام الرقابة الداخلية. وعلى مدار العام، </w:t>
      </w:r>
      <w:r>
        <w:rPr>
          <w:rFonts w:hint="cs"/>
          <w:rtl/>
          <w:lang w:val="en-GB" w:eastAsia="en-US"/>
        </w:rPr>
        <w:t>أُحرز</w:t>
      </w:r>
      <w:r w:rsidRPr="00F55453">
        <w:rPr>
          <w:rtl/>
          <w:lang w:val="en-GB" w:eastAsia="en-US"/>
        </w:rPr>
        <w:t xml:space="preserve"> تقدم من خلال تنفيذ مبادرات مختلفة منذ عام 2023، بما في ذلك تعزيز </w:t>
      </w:r>
      <w:r>
        <w:rPr>
          <w:rFonts w:hint="cs"/>
          <w:rtl/>
          <w:lang w:val="en-GB" w:eastAsia="en-US"/>
        </w:rPr>
        <w:t>الإبلاغ المالي</w:t>
      </w:r>
      <w:r w:rsidRPr="00F55453">
        <w:rPr>
          <w:rtl/>
          <w:lang w:val="en-GB" w:eastAsia="en-US"/>
        </w:rPr>
        <w:t xml:space="preserve"> والإدارة والجهود المبذولة لمعالجة التوصيات الصادرة عن مقدمي خدمات الضمان المستقلين. وفي حين أن نظام الرقابة الداخلية كاف عموماً، لا تزال هناك مجالات للتحسين، بما في ذلك الأدوار والمسؤوليات والمساءلة ذات الصلة لإدارة الضوابط الداخلية. وإن معالجة هذه القضايا الجوهرية ستعزز ثقتي في فعالية نظام الرقابة الداخلية في توفير مستوى الضمان الذي نطمح إليه مستقبلاً</w:t>
      </w:r>
      <w:r>
        <w:rPr>
          <w:lang w:val="en-GB" w:eastAsia="en-US" w:bidi="ar-EG"/>
        </w:rPr>
        <w:t>.</w:t>
      </w:r>
    </w:p>
    <w:p w14:paraId="4CAE36CD" w14:textId="040FED25" w:rsidR="003D14F1" w:rsidRPr="003700C5" w:rsidRDefault="003D14F1" w:rsidP="003700C5">
      <w:pPr>
        <w:spacing w:before="720" w:after="720"/>
        <w:rPr>
          <w:i/>
          <w:iCs/>
          <w:rtl/>
          <w:lang w:val="en-GB" w:eastAsia="en-US" w:bidi="ar-SY"/>
        </w:rPr>
      </w:pPr>
      <w:r w:rsidRPr="003700C5">
        <w:rPr>
          <w:rFonts w:hint="cs"/>
          <w:i/>
          <w:iCs/>
          <w:rtl/>
          <w:lang w:val="en-GB" w:eastAsia="en-US" w:bidi="ar-EG"/>
        </w:rPr>
        <w:t>(</w:t>
      </w:r>
      <w:r w:rsidR="00F56F50" w:rsidRPr="003700C5">
        <w:rPr>
          <w:rFonts w:hint="eastAsia"/>
          <w:i/>
          <w:iCs/>
          <w:rtl/>
          <w:lang w:val="en-GB" w:eastAsia="en-US" w:bidi="ar-EG"/>
        </w:rPr>
        <w:t> </w:t>
      </w:r>
      <w:r w:rsidRPr="003700C5">
        <w:rPr>
          <w:rFonts w:hint="cs"/>
          <w:i/>
          <w:iCs/>
          <w:rtl/>
          <w:lang w:val="en-GB" w:eastAsia="en-US" w:bidi="ar-EG"/>
        </w:rPr>
        <w:t>الأصل عليه توقيع)</w:t>
      </w:r>
    </w:p>
    <w:p w14:paraId="41DDCABF" w14:textId="77777777" w:rsidR="00083F2A" w:rsidRPr="00E832A1" w:rsidRDefault="00083F2A" w:rsidP="003700C5">
      <w:pPr>
        <w:spacing w:after="360"/>
        <w:jc w:val="left"/>
        <w:rPr>
          <w:lang w:eastAsia="en-US" w:bidi="ar-EG"/>
        </w:rPr>
      </w:pPr>
      <w:r w:rsidRPr="00E832A1">
        <w:rPr>
          <w:rtl/>
          <w:lang w:val="en-GB" w:eastAsia="en-US" w:bidi="ar-SY"/>
        </w:rPr>
        <w:t>دورين بوغدان</w:t>
      </w:r>
      <w:r w:rsidRPr="00E832A1">
        <w:rPr>
          <w:rFonts w:hint="cs"/>
          <w:rtl/>
          <w:lang w:val="en-GB" w:eastAsia="en-US" w:bidi="ar-SY"/>
        </w:rPr>
        <w:t>-</w:t>
      </w:r>
      <w:r w:rsidRPr="00E832A1">
        <w:rPr>
          <w:rtl/>
          <w:lang w:val="en-GB" w:eastAsia="en-US" w:bidi="ar-SY"/>
        </w:rPr>
        <w:t>مارتن</w:t>
      </w:r>
      <w:r w:rsidRPr="00E832A1">
        <w:rPr>
          <w:rtl/>
          <w:lang w:val="en-GB" w:eastAsia="en-US" w:bidi="ar-SY"/>
        </w:rPr>
        <w:br/>
        <w:t>الأمينة العامة</w:t>
      </w:r>
    </w:p>
    <w:p w14:paraId="63089737" w14:textId="4CB7F94D" w:rsidR="00E832A1" w:rsidRDefault="00083F2A" w:rsidP="004A4057">
      <w:pPr>
        <w:spacing w:before="360"/>
        <w:rPr>
          <w:rtl/>
          <w:lang w:val="en-GB" w:eastAsia="en-US" w:bidi="ar-EG"/>
        </w:rPr>
      </w:pPr>
      <w:r w:rsidRPr="00530E62">
        <w:rPr>
          <w:rtl/>
          <w:lang w:val="en-GB" w:eastAsia="en-US" w:bidi="ar-EG"/>
        </w:rPr>
        <w:t xml:space="preserve">جنيف، </w:t>
      </w:r>
      <w:r w:rsidR="003D14F1" w:rsidRPr="00530E62">
        <w:rPr>
          <w:lang w:val="en-GB" w:eastAsia="en-US" w:bidi="ar-EG"/>
        </w:rPr>
        <w:t>29</w:t>
      </w:r>
      <w:r w:rsidRPr="00530E62">
        <w:rPr>
          <w:rtl/>
          <w:lang w:val="en-GB" w:eastAsia="en-US" w:bidi="ar-EG"/>
        </w:rPr>
        <w:t xml:space="preserve"> </w:t>
      </w:r>
      <w:r w:rsidRPr="00530E62">
        <w:rPr>
          <w:rFonts w:hint="cs"/>
          <w:rtl/>
          <w:lang w:val="en-GB" w:eastAsia="en-US" w:bidi="ar-EG"/>
        </w:rPr>
        <w:t>مايو</w:t>
      </w:r>
      <w:r w:rsidRPr="00530E62">
        <w:rPr>
          <w:rtl/>
          <w:lang w:val="en-GB" w:eastAsia="en-US" w:bidi="ar-EG"/>
        </w:rPr>
        <w:t xml:space="preserve"> </w:t>
      </w:r>
      <w:r w:rsidRPr="00530E62">
        <w:rPr>
          <w:lang w:val="en-GB" w:eastAsia="en-US" w:bidi="ar-EG"/>
        </w:rPr>
        <w:t>2025</w:t>
      </w:r>
      <w:r w:rsidR="00E832A1">
        <w:rPr>
          <w:rtl/>
          <w:lang w:val="en-GB" w:eastAsia="en-US" w:bidi="ar-EG"/>
        </w:rPr>
        <w:br w:type="page"/>
      </w:r>
    </w:p>
    <w:p w14:paraId="7AD54054" w14:textId="515CB15A" w:rsidR="00E832A1" w:rsidRPr="007D2E59" w:rsidRDefault="007D2E59" w:rsidP="00DB6561">
      <w:pPr>
        <w:pStyle w:val="Heading1"/>
        <w:jc w:val="center"/>
        <w:rPr>
          <w:lang w:val="en-GB" w:eastAsia="en-US" w:bidi="ar-EG"/>
        </w:rPr>
      </w:pPr>
      <w:bookmarkStart w:id="43" w:name="_Toc199403734"/>
      <w:bookmarkStart w:id="44" w:name="_Toc201043137"/>
      <w:r w:rsidRPr="00AC364A">
        <w:rPr>
          <w:rtl/>
          <w:lang w:val="en-GB" w:eastAsia="en-US" w:bidi="ar-EG"/>
        </w:rPr>
        <w:lastRenderedPageBreak/>
        <w:t>رأي مراجع الحسابات الخارجي</w:t>
      </w:r>
      <w:bookmarkEnd w:id="43"/>
      <w:bookmarkEnd w:id="44"/>
    </w:p>
    <w:p w14:paraId="1CA2BCD3" w14:textId="580E42D3" w:rsidR="00377BC4" w:rsidRPr="00851C1F" w:rsidRDefault="0031694E" w:rsidP="000A3044">
      <w:pPr>
        <w:pStyle w:val="Headingb"/>
        <w:rPr>
          <w:rtl/>
          <w:lang w:val="en-GB" w:eastAsia="en-US" w:bidi="ar-EG"/>
        </w:rPr>
      </w:pPr>
      <w:r w:rsidRPr="00851C1F">
        <w:rPr>
          <w:rFonts w:hint="cs"/>
          <w:rtl/>
          <w:lang w:val="en-GB" w:eastAsia="en-US" w:bidi="ar-EG"/>
        </w:rPr>
        <w:t>رأي بشأن البيانات المالية</w:t>
      </w:r>
    </w:p>
    <w:p w14:paraId="5F43780A" w14:textId="77777777" w:rsidR="00851C1F" w:rsidRDefault="00851C1F" w:rsidP="000A3044">
      <w:pPr>
        <w:rPr>
          <w:rtl/>
        </w:rPr>
      </w:pPr>
      <w:r>
        <w:rPr>
          <w:rtl/>
        </w:rPr>
        <w:t>قمت بمراجعة البيانات المالية للاتحاد الدولي للاتصالات للسنة المنتهية في 31 ديسمبر 2024، ‏وهي تشمل</w:t>
      </w:r>
    </w:p>
    <w:p w14:paraId="3A60FFB5" w14:textId="69C06CC9" w:rsidR="00851C1F" w:rsidRDefault="00851C1F" w:rsidP="000A3044">
      <w:pPr>
        <w:pStyle w:val="enumlev1"/>
        <w:rPr>
          <w:rtl/>
          <w:lang w:bidi="ar-EG"/>
        </w:rPr>
      </w:pPr>
      <w:r>
        <w:rPr>
          <w:cs/>
        </w:rPr>
        <w:t>‎</w:t>
      </w:r>
      <w:r>
        <w:t>–</w:t>
      </w:r>
      <w:r>
        <w:rPr>
          <w:cs/>
        </w:rPr>
        <w:t>‎</w:t>
      </w:r>
      <w:r>
        <w:rPr>
          <w:rtl/>
        </w:rPr>
        <w:tab/>
        <w:t>بيان الوضع المالي في 31 ديسمبر 2024</w:t>
      </w:r>
      <w:r w:rsidR="000A3044">
        <w:rPr>
          <w:rFonts w:hint="cs"/>
          <w:rtl/>
          <w:lang w:bidi="ar-EG"/>
        </w:rPr>
        <w:t>،</w:t>
      </w:r>
    </w:p>
    <w:p w14:paraId="363EA80F" w14:textId="57363EAE" w:rsidR="00851C1F" w:rsidRDefault="00851C1F" w:rsidP="000A3044">
      <w:pPr>
        <w:pStyle w:val="enumlev1"/>
        <w:rPr>
          <w:rtl/>
        </w:rPr>
      </w:pPr>
      <w:r>
        <w:rPr>
          <w:cs/>
        </w:rPr>
        <w:t>‎</w:t>
      </w:r>
      <w:r>
        <w:t>–</w:t>
      </w:r>
      <w:r>
        <w:rPr>
          <w:cs/>
        </w:rPr>
        <w:t>‎</w:t>
      </w:r>
      <w:r>
        <w:rPr>
          <w:rtl/>
        </w:rPr>
        <w:tab/>
        <w:t>بيان الأداء المالي، وبيان التغيرات في صافي الأصول، وبيان التدفقات النقدية، وبيان ‏المقارنة - بين الميزانية والمبالغ الفعلية للسنة المنتهية ذلك التاريخ</w:t>
      </w:r>
      <w:r w:rsidR="000A3044">
        <w:rPr>
          <w:rFonts w:hint="cs"/>
          <w:rtl/>
        </w:rPr>
        <w:t>،</w:t>
      </w:r>
    </w:p>
    <w:p w14:paraId="1CC2111B" w14:textId="4851EE3A" w:rsidR="00851C1F" w:rsidRDefault="00851C1F" w:rsidP="000A3044">
      <w:pPr>
        <w:pStyle w:val="enumlev1"/>
        <w:rPr>
          <w:rtl/>
        </w:rPr>
      </w:pPr>
      <w:r>
        <w:rPr>
          <w:cs/>
        </w:rPr>
        <w:t>‎</w:t>
      </w:r>
      <w:r>
        <w:t>–</w:t>
      </w:r>
      <w:r>
        <w:rPr>
          <w:cs/>
        </w:rPr>
        <w:t>‎</w:t>
      </w:r>
      <w:r>
        <w:rPr>
          <w:rtl/>
        </w:rPr>
        <w:tab/>
        <w:t>الملاحظات ذات الصلة، بما في ذلك السياسات المحاسبية المهمة</w:t>
      </w:r>
      <w:r w:rsidR="000A3044">
        <w:rPr>
          <w:rFonts w:hint="cs"/>
          <w:rtl/>
        </w:rPr>
        <w:t>.</w:t>
      </w:r>
    </w:p>
    <w:p w14:paraId="5C17017D" w14:textId="77777777" w:rsidR="00851C1F" w:rsidRDefault="00851C1F" w:rsidP="00851C1F">
      <w:pPr>
        <w:rPr>
          <w:rtl/>
        </w:rPr>
      </w:pPr>
      <w:r>
        <w:rPr>
          <w:rtl/>
        </w:rPr>
        <w:t>وفي رأيي، تَعرض البيانات المالية المرفقة بشكل عادل، من جميع النواحي الجوهرية، الوضع ‏المالي للاتحاد الدولي للاتصالات حتى 31 ديسمبر 2024 وأدائه المالي وتدفقاته النقدية للسنة ‏المنتهية في ذلك التاريخ وفقاً للمعايير المحاسبية الدولية للقطاع العام.‏</w:t>
      </w:r>
    </w:p>
    <w:p w14:paraId="79A0F997" w14:textId="77777777" w:rsidR="00851C1F" w:rsidRPr="000A3044" w:rsidRDefault="00851C1F" w:rsidP="000A3044">
      <w:pPr>
        <w:pStyle w:val="Headingb"/>
        <w:rPr>
          <w:rtl/>
          <w:lang w:val="en-GB" w:eastAsia="en-US" w:bidi="ar-EG"/>
        </w:rPr>
      </w:pPr>
      <w:r w:rsidRPr="000A3044">
        <w:rPr>
          <w:rtl/>
          <w:lang w:val="en-GB" w:eastAsia="en-US" w:bidi="ar-EG"/>
        </w:rPr>
        <w:t>رأي بشأن التصرف حسب الأصول</w:t>
      </w:r>
    </w:p>
    <w:p w14:paraId="2F940640" w14:textId="77777777" w:rsidR="00851C1F" w:rsidRDefault="00851C1F" w:rsidP="00851C1F">
      <w:pPr>
        <w:rPr>
          <w:rtl/>
        </w:rPr>
      </w:pPr>
      <w:r>
        <w:rPr>
          <w:rtl/>
        </w:rPr>
        <w:t>في رأيي، من جميع النواحي الجوهرية، طُبقت الإيرادات والنفقات على الأغراض التي يتوخاها ‏مجلس الاتحاد الدولي للاتصالات، والمعاملات المالية مطابقة للوائح المالية للاتحاد الدولي ‏للاتصالات.‏</w:t>
      </w:r>
    </w:p>
    <w:p w14:paraId="5CC08A68" w14:textId="77777777" w:rsidR="00851C1F" w:rsidRPr="000F67A3" w:rsidRDefault="00851C1F" w:rsidP="000F67A3">
      <w:pPr>
        <w:pStyle w:val="Headingb"/>
        <w:rPr>
          <w:rtl/>
          <w:lang w:val="en-GB" w:eastAsia="en-US" w:bidi="ar-EG"/>
        </w:rPr>
      </w:pPr>
      <w:r w:rsidRPr="000F67A3">
        <w:rPr>
          <w:rtl/>
          <w:lang w:val="en-GB" w:eastAsia="en-US" w:bidi="ar-EG"/>
        </w:rPr>
        <w:t>أساس الآراء</w:t>
      </w:r>
    </w:p>
    <w:p w14:paraId="618AAAB8" w14:textId="483F3901" w:rsidR="00851C1F" w:rsidRDefault="00851C1F" w:rsidP="00851C1F">
      <w:pPr>
        <w:rPr>
          <w:rtl/>
          <w:lang w:bidi="ar-EG"/>
        </w:rPr>
      </w:pPr>
      <w:r>
        <w:rPr>
          <w:rtl/>
        </w:rPr>
        <w:t>أجريتُ المراجعة وفقاً للمعايير الدولية لمراجعة الحسابات ‏</w:t>
      </w:r>
      <w:r>
        <w:rPr>
          <w:cs/>
        </w:rPr>
        <w:t>‎</w:t>
      </w:r>
      <w:r>
        <w:rPr>
          <w:rtl/>
        </w:rPr>
        <w:t>(</w:t>
      </w:r>
      <w:r>
        <w:t>ISA</w:t>
      </w:r>
      <w:r>
        <w:rPr>
          <w:rtl/>
        </w:rPr>
        <w:t xml:space="preserve">‏) واللوائح المالية للاتحاد الدولي ‏للاتصالات. وقد أجريتُ مراجعة للتصرف حسب الأصول باستخدام المبادئ الواردة في المعايير ‏الدولية لمراجعة الحسابات. ويرد مزيد من الوصف لمسؤولياتي بموجب هذه المعايير في القسم ‏الخاص من تقريري الذي يتناول </w:t>
      </w:r>
      <w:r w:rsidRPr="000F67A3">
        <w:rPr>
          <w:i/>
          <w:iCs/>
          <w:rtl/>
        </w:rPr>
        <w:t>مسؤوليات المراجع فيما يتعلق بمراجَعة البيانات المالية</w:t>
      </w:r>
      <w:r w:rsidR="00CF077D">
        <w:rPr>
          <w:rFonts w:hint="cs"/>
          <w:rtl/>
          <w:lang w:bidi="ar-EG"/>
        </w:rPr>
        <w:t>.</w:t>
      </w:r>
    </w:p>
    <w:p w14:paraId="1FC4471D" w14:textId="091F666D" w:rsidR="00851C1F" w:rsidRDefault="00851C1F" w:rsidP="00851C1F">
      <w:pPr>
        <w:rPr>
          <w:rtl/>
        </w:rPr>
      </w:pPr>
      <w:r>
        <w:rPr>
          <w:rtl/>
        </w:rPr>
        <w:t>وأنا مستقل عن الاتحاد الدولي للاتصالات وفقاً لمجلس معايير الأخلاقيات الدولية لمدونة ‏أخلاقيات المحاسبين المهنيين (مدونة</w:t>
      </w:r>
      <w:r w:rsidR="000F67A3">
        <w:rPr>
          <w:rFonts w:hint="cs"/>
          <w:rtl/>
        </w:rPr>
        <w:t> </w:t>
      </w:r>
      <w:r>
        <w:rPr>
          <w:rtl/>
        </w:rPr>
        <w:t>‏</w:t>
      </w:r>
      <w:r>
        <w:t>IESBA</w:t>
      </w:r>
      <w:r>
        <w:rPr>
          <w:rtl/>
        </w:rPr>
        <w:t>‏) وقد أوفيت بمسؤولياتي الأخلاقية الأخرى وفقاً لهذه ‏المتطلبات ومدونة ‏</w:t>
      </w:r>
      <w:r>
        <w:t>IESBA</w:t>
      </w:r>
      <w:r>
        <w:rPr>
          <w:rtl/>
        </w:rPr>
        <w:t>‏.‏</w:t>
      </w:r>
    </w:p>
    <w:p w14:paraId="47E8D716" w14:textId="77777777" w:rsidR="00851C1F" w:rsidRDefault="00851C1F" w:rsidP="00851C1F">
      <w:pPr>
        <w:rPr>
          <w:rtl/>
        </w:rPr>
      </w:pPr>
      <w:r>
        <w:rPr>
          <w:rtl/>
        </w:rPr>
        <w:t>وأعتقد أن أدلة المراجعة التي حصلت عليها كافية ومناسبة لتشكل أساساً لآرائي.‏</w:t>
      </w:r>
    </w:p>
    <w:p w14:paraId="4A903FA2" w14:textId="77777777" w:rsidR="00851C1F" w:rsidRPr="00E5332D" w:rsidRDefault="00851C1F" w:rsidP="00E5332D">
      <w:pPr>
        <w:pStyle w:val="Headingb"/>
        <w:rPr>
          <w:rtl/>
          <w:lang w:val="en-GB" w:eastAsia="en-US" w:bidi="ar-EG"/>
        </w:rPr>
      </w:pPr>
      <w:r w:rsidRPr="00E5332D">
        <w:rPr>
          <w:rtl/>
          <w:lang w:val="en-GB" w:eastAsia="en-US" w:bidi="ar-EG"/>
        </w:rPr>
        <w:t>المعلومات الأخرى</w:t>
      </w:r>
    </w:p>
    <w:p w14:paraId="1AE5FF1F" w14:textId="77777777" w:rsidR="00851C1F" w:rsidRDefault="00851C1F" w:rsidP="00851C1F">
      <w:pPr>
        <w:rPr>
          <w:rtl/>
        </w:rPr>
      </w:pPr>
      <w:r>
        <w:rPr>
          <w:rtl/>
        </w:rPr>
        <w:t>الإدارة مسؤولة عن المعلومات الأخرى. وتشمل المعلومات الأخرى المعلومات الواردة في تقرير ‏الإدارة المالية، ولكنها لا تتضمن البيانات المالية وتقريري عن مراجعة الحسابات بشأنها.‏</w:t>
      </w:r>
    </w:p>
    <w:p w14:paraId="047916DE" w14:textId="77777777" w:rsidR="00851C1F" w:rsidRDefault="00851C1F" w:rsidP="00851C1F">
      <w:pPr>
        <w:rPr>
          <w:rtl/>
        </w:rPr>
      </w:pPr>
      <w:r>
        <w:rPr>
          <w:rtl/>
        </w:rPr>
        <w:t>ولا يشمل رأيي في البيانات المالية المعلومات الأخرى، وإنني، باستثناء ما ورد صراحة في تقريري، ‏لا أعرب عن أي شكل من أشكال الاستنتاج التأكيدي بشأنها.‏</w:t>
      </w:r>
    </w:p>
    <w:p w14:paraId="346EE484" w14:textId="77777777" w:rsidR="00851C1F" w:rsidRDefault="00851C1F" w:rsidP="00851C1F">
      <w:pPr>
        <w:rPr>
          <w:rtl/>
        </w:rPr>
      </w:pPr>
      <w:r>
        <w:rPr>
          <w:rtl/>
        </w:rPr>
        <w:t>وتتمثل مسؤوليتي في قراءة المعلومات الأخرى، والنظر، عند القيام بذلك، فيما إذا كانت المعلومات ‏غير متسقة مادياً مع البيانات المالية أو مع معرفتي المكتسبة من المراجَعة، أو فيما إذا كانت ‏تبدو غير صحيحة مادياً.‏</w:t>
      </w:r>
    </w:p>
    <w:p w14:paraId="1D4179B1" w14:textId="77777777" w:rsidR="00851C1F" w:rsidRDefault="00851C1F" w:rsidP="00851C1F">
      <w:pPr>
        <w:rPr>
          <w:rtl/>
        </w:rPr>
      </w:pPr>
      <w:r>
        <w:rPr>
          <w:rtl/>
        </w:rPr>
        <w:t>وإذا ما تبينت أوجه عدم الاتساق المادية أو الأخطاء المادية الظاهرة هذه، يُتطلب مني أن أقرر ‏ما إذا كان ذلك يؤدي إلى أخطاء مادية في البيانات المالية ذاتها. وإذا خلصت، استناداً إلى العمل ‏الذي قمت به، إلى أن هناك خطأ مادياً في هذه المعلومات الأخرى، يُتطلب مني الإبلاغ عن ذلك ‏الواقع.‏</w:t>
      </w:r>
    </w:p>
    <w:p w14:paraId="73E637B1" w14:textId="77777777" w:rsidR="00851C1F" w:rsidRDefault="00851C1F" w:rsidP="00851C1F">
      <w:pPr>
        <w:rPr>
          <w:rtl/>
        </w:rPr>
      </w:pPr>
      <w:r>
        <w:rPr>
          <w:rtl/>
        </w:rPr>
        <w:t>وليس لدي ما أبلغ عنه في هذا الصدد.‏</w:t>
      </w:r>
    </w:p>
    <w:p w14:paraId="61F36A93" w14:textId="4ADF798E" w:rsidR="00851C1F" w:rsidRPr="00CC13EB" w:rsidRDefault="00851C1F" w:rsidP="00CC13EB">
      <w:pPr>
        <w:pStyle w:val="Headingb"/>
        <w:rPr>
          <w:rtl/>
          <w:lang w:val="en-GB" w:eastAsia="en-US" w:bidi="ar-EG"/>
        </w:rPr>
      </w:pPr>
      <w:r w:rsidRPr="00CC13EB">
        <w:rPr>
          <w:rtl/>
          <w:lang w:val="en-GB" w:eastAsia="en-US" w:bidi="ar-EG"/>
        </w:rPr>
        <w:t>مسؤوليات الإدارة عن البيانات المالية</w:t>
      </w:r>
    </w:p>
    <w:p w14:paraId="524C6B2F" w14:textId="77777777" w:rsidR="00851C1F" w:rsidRDefault="00851C1F" w:rsidP="00851C1F">
      <w:pPr>
        <w:rPr>
          <w:rtl/>
        </w:rPr>
      </w:pPr>
      <w:r>
        <w:rPr>
          <w:rtl/>
        </w:rPr>
        <w:t>الإدارة هي المسؤولة عن إعداد البيانات المالية وتقديمها بأمانة طبقاً للمعايير المحاسبية الدولية ‏للقطاع العام وعن نظام الرقابة الداخلية حسبما تراه ضرورياً لتمكين إعداد بيانات مالية لا تشوبها ‏أي أخطاء مادية، سواء كانت ناشئة عن احتيال أم عن خطأ.‏</w:t>
      </w:r>
    </w:p>
    <w:p w14:paraId="58B8C57C" w14:textId="77777777" w:rsidR="00851C1F" w:rsidRDefault="00851C1F" w:rsidP="00851C1F">
      <w:pPr>
        <w:rPr>
          <w:rtl/>
        </w:rPr>
      </w:pPr>
      <w:r>
        <w:rPr>
          <w:rtl/>
        </w:rPr>
        <w:t>وعند إعداد البيانات المالية، تتولى الإدارة مسؤولية تقييم قدرة الاتحاد على الاستمرار في عمله، ‏والإفصاح، حسب الاقتضاء، عن المسائل المتصلة بالاستمرارية واستعمال مبدأ الاستمرارية ‏كأساس للمحاسبة إلا إذا كانت الإدارة تنوي تصفية المنظمة أو وقف الأنشطة أو إذا كانت لا ‏تملك بديلاً واقعياً سوى القيام بذلك.‏</w:t>
      </w:r>
    </w:p>
    <w:p w14:paraId="437D16F7" w14:textId="77777777" w:rsidR="00851C1F" w:rsidRDefault="00851C1F" w:rsidP="00851C1F">
      <w:pPr>
        <w:rPr>
          <w:rtl/>
        </w:rPr>
      </w:pPr>
      <w:r>
        <w:rPr>
          <w:rtl/>
        </w:rPr>
        <w:lastRenderedPageBreak/>
        <w:t>وتتولى الإدارة والمكلّفون بالإدارة مسؤولية الإشراف على عملية إعداد التقارير المالية للاتحاد ‏الدولي للاتصالات.‏</w:t>
      </w:r>
    </w:p>
    <w:p w14:paraId="30E6D14E" w14:textId="77777777" w:rsidR="00851C1F" w:rsidRPr="00CC13EB" w:rsidRDefault="00851C1F" w:rsidP="00CC13EB">
      <w:pPr>
        <w:pStyle w:val="Headingb"/>
        <w:rPr>
          <w:rtl/>
          <w:lang w:val="en-GB" w:eastAsia="en-US" w:bidi="ar-EG"/>
        </w:rPr>
      </w:pPr>
      <w:r w:rsidRPr="00CC13EB">
        <w:rPr>
          <w:rtl/>
          <w:lang w:val="en-GB" w:eastAsia="en-US" w:bidi="ar-EG"/>
        </w:rPr>
        <w:t>مسؤوليات المراجع فيما يتعلق بمراجَعة البيانات المالية</w:t>
      </w:r>
    </w:p>
    <w:p w14:paraId="21F8736E" w14:textId="77777777" w:rsidR="00851C1F" w:rsidRDefault="00851C1F" w:rsidP="00CC13EB">
      <w:pPr>
        <w:rPr>
          <w:rtl/>
        </w:rPr>
      </w:pPr>
      <w:r>
        <w:rPr>
          <w:rtl/>
        </w:rPr>
        <w:t>تتمثل أهدافي في التوصل إلى تأكيد معقول بأن البيانات المالية ككل خالية من أخطاء مادية، ‏سواء كانت ناشئة عن غش أم عن خطأ، وإصدار تقرير المراجِع الذي يتضمن رأيي. ويمثل ‏التأكيد المعقول درجة عالية من التأكيد ولكنه لا يضمن أن مراجعةً أجريت وفقاً للمعايير الدولية ‏للمراجَعة ستكشف دائماً أخطاء مادية في حال وجودها. ويمكن أن تنشأ الأخطاء عن الاحتيال أو ‏الخطأ، وتعتبر جسيمة إذا كان من الممكن أن نتوقع بشكل منطقي أنها ستؤثر، سواء منفردةً أم ‏مجموعةً، على القرارات الاقتصادية للمستعملين المتخذة على أساس هذه البيانات المالية.‏</w:t>
      </w:r>
    </w:p>
    <w:p w14:paraId="5371117C" w14:textId="77777777" w:rsidR="00851C1F" w:rsidRDefault="00851C1F" w:rsidP="00851C1F">
      <w:pPr>
        <w:rPr>
          <w:rtl/>
        </w:rPr>
      </w:pPr>
      <w:r>
        <w:rPr>
          <w:rtl/>
        </w:rPr>
        <w:t>وكجزء من المراجَعة وفقاً للمعايير الدولية للمراجَعة:‏</w:t>
      </w:r>
    </w:p>
    <w:p w14:paraId="33B8A9AC" w14:textId="24F609A3" w:rsidR="00851C1F" w:rsidRDefault="00CC13EB" w:rsidP="00CC13EB">
      <w:pPr>
        <w:pStyle w:val="enumlev1"/>
        <w:rPr>
          <w:rtl/>
        </w:rPr>
      </w:pPr>
      <w:r>
        <w:sym w:font="Wingdings 2" w:char="F097"/>
      </w:r>
      <w:r w:rsidR="00851C1F">
        <w:rPr>
          <w:rtl/>
        </w:rPr>
        <w:tab/>
        <w:t>فإنني أتحلى بالاحترافية خلال كامل عملية المراجَعة سواء تعلق الأمر بالحكم على البيانات ‏أو التشكك فيها.‏</w:t>
      </w:r>
    </w:p>
    <w:p w14:paraId="4E520D57" w14:textId="5E5E3961" w:rsidR="00851C1F" w:rsidRDefault="00CC13EB" w:rsidP="00CC13EB">
      <w:pPr>
        <w:pStyle w:val="enumlev1"/>
        <w:rPr>
          <w:rtl/>
        </w:rPr>
      </w:pPr>
      <w:r>
        <w:sym w:font="Wingdings 2" w:char="F097"/>
      </w:r>
      <w:r w:rsidR="00851C1F">
        <w:rPr>
          <w:rtl/>
        </w:rPr>
        <w:tab/>
        <w:t>أقوم بتحديد وتقييم مخاطر الأخطاء المادية في البيانات المالية سواء كانت ناشئة عن غش ‏أم عن خطأ، ووضع إجراءات المراجَعة وتنفيذها استجابة لتلك المخاطر، والحصول على ‏أدلة المراجَعة الكافية والمناسبة لتوفير أساس لرأيي. وخطر عدم اكتشاف الأخطاء المادية ‏الناتجة عن الغش أعلى من خطر عدم اكتشاف تلك الناتجة عن الخطأ، إذ يمكن أن ‏ينطوي الغش على التواطؤ أو التزوير أو الإغفال المتعمد أو المغالطات التفسيرية أو تجاوز ‏الرقابة الداخلية.‏</w:t>
      </w:r>
    </w:p>
    <w:p w14:paraId="3CD6A4FD" w14:textId="386D7345" w:rsidR="00851C1F" w:rsidRDefault="00CC13EB" w:rsidP="00CC13EB">
      <w:pPr>
        <w:pStyle w:val="enumlev1"/>
        <w:rPr>
          <w:rtl/>
        </w:rPr>
      </w:pPr>
      <w:r>
        <w:sym w:font="Wingdings 2" w:char="F097"/>
      </w:r>
      <w:r w:rsidR="00851C1F">
        <w:rPr>
          <w:rtl/>
        </w:rPr>
        <w:tab/>
        <w:t>أحصل على فهم للرقابة الداخلية ذات الصلة بالمراجَعة من أجل وضع إجراءات ‏مراجَعة ملائمة في ظل هذه الظروف، ولكن ليس لغرض إبداء رأي بشأن فعالية الرقابة ‏الداخلية للاتحاد الدولي للاتصالات.‏</w:t>
      </w:r>
    </w:p>
    <w:p w14:paraId="11844459" w14:textId="492B5823" w:rsidR="00851C1F" w:rsidRDefault="00CC13EB" w:rsidP="00CC13EB">
      <w:pPr>
        <w:pStyle w:val="enumlev1"/>
        <w:rPr>
          <w:rtl/>
        </w:rPr>
      </w:pPr>
      <w:r>
        <w:sym w:font="Wingdings 2" w:char="F097"/>
      </w:r>
      <w:r w:rsidR="00851C1F">
        <w:rPr>
          <w:rtl/>
        </w:rPr>
        <w:tab/>
        <w:t>أقوم بتقييم مدى ملاءمة السياسات المحاسبية المتبعة ومدى معقولية التقديرات المحاسبية ‏والإقرارات ذات الصلة التي تقدمها الإدارة.‏</w:t>
      </w:r>
    </w:p>
    <w:p w14:paraId="1A3EB3EB" w14:textId="3E5B65B2" w:rsidR="00851C1F" w:rsidRDefault="00CC13EB" w:rsidP="00CC13EB">
      <w:pPr>
        <w:pStyle w:val="enumlev1"/>
        <w:rPr>
          <w:rtl/>
        </w:rPr>
      </w:pPr>
      <w:r>
        <w:sym w:font="Wingdings 2" w:char="F097"/>
      </w:r>
      <w:r w:rsidR="00851C1F">
        <w:rPr>
          <w:rtl/>
        </w:rPr>
        <w:tab/>
        <w:t>أخرج باستنتاج بشأن مدى ملاءمة استعمال الإدارة لمبدأ الاستمرارية كأساس للمحاسبة، ‏واستناداً إلى أدلة المراجَعة التي يتم الحصول عليها، وتحديد ما إذا كان يوجد عدم يقين ‏مادي بخصوص أحداث أو ظروف قد تثير شكوكاً كبيرة بشأن قدرة الاتحاد على الاستمرار ‏في عمله. وفي حال استنتجت وجود عدم يقين مادي، يُتطلب مني استرعاء الانتباه، في ‏تقرير مراجعتنا، إلى البيانات المبلغة ذات الصلة الواردة ضمن البيانات المالية، أو بتعديل ‏رأيي إذا كانت هذه البيانات المبلغة غير كافية. وتستند استنتاجاتي إلى أدلة المراجَعة ‏المتحصل عليها حتى تاريخ تقرير المراجَعة. ومع ذلك، قد تؤدي أحداث أو ظروف مستقبلية ‏إلى توقف الاتحاد عن مزاولة أعماله.‏</w:t>
      </w:r>
    </w:p>
    <w:p w14:paraId="728910F0" w14:textId="1D85A623" w:rsidR="00851C1F" w:rsidRDefault="00CC13EB" w:rsidP="00CC13EB">
      <w:pPr>
        <w:pStyle w:val="enumlev1"/>
        <w:rPr>
          <w:rtl/>
        </w:rPr>
      </w:pPr>
      <w:r>
        <w:sym w:font="Wingdings 2" w:char="F097"/>
      </w:r>
      <w:r w:rsidR="00851C1F">
        <w:rPr>
          <w:rtl/>
        </w:rPr>
        <w:tab/>
        <w:t>أقوم بتقييم العرض الإجمالي للبيانات المالية وهيكلها ومحتواها، بما في ذلك الإقرارات، ‏وتقييم ما إذا كانت البيانات المالية تمثل المعاملات والأحداث الأساسية على نحو يحقق ‏عرض هذه البيانات بأمانة.‏</w:t>
      </w:r>
    </w:p>
    <w:p w14:paraId="0F5BCDD6" w14:textId="503E6FBC" w:rsidR="00851C1F" w:rsidRDefault="00851C1F" w:rsidP="00CC13EB">
      <w:pPr>
        <w:rPr>
          <w:rtl/>
        </w:rPr>
      </w:pPr>
      <w:r>
        <w:rPr>
          <w:rtl/>
        </w:rPr>
        <w:t>وبالإضافة إلى ذلك، يتعين علي الحصول على أدلة كافية ومناسبة لتأكيد معقول بأن الإيرادات ‏والنفقات المبلغ عنها في البيانات المالية قد استُخدمت للأغراض التي قصدها مجلس الاتحاد وأن ‏المعاملات المالية تلتزم باللوائح المالية الناظمة لها.</w:t>
      </w:r>
    </w:p>
    <w:p w14:paraId="4FF44DF4" w14:textId="77777777" w:rsidR="00851C1F" w:rsidRDefault="00851C1F" w:rsidP="00CC13EB">
      <w:pPr>
        <w:rPr>
          <w:rtl/>
        </w:rPr>
      </w:pPr>
      <w:r>
        <w:rPr>
          <w:rtl/>
        </w:rPr>
        <w:t>وأتواصل مع المكلّفين بالإشراف الإداري فيما يخص نطاق المراجَعة وتوقيتها المخطط لهما ونتائج ‏المراجَعة المهمة، من بين عدة أمور أخرى، بما في ذلك أي أوجه قصور كبيرة في الرقابة الداخلية ‏حدّدتها أثناء المراجَعة.‏</w:t>
      </w:r>
    </w:p>
    <w:p w14:paraId="6A5F60DB" w14:textId="7D591CE7" w:rsidR="00851C1F" w:rsidRDefault="00851C1F" w:rsidP="00CC13EB">
      <w:pPr>
        <w:rPr>
          <w:rtl/>
        </w:rPr>
      </w:pPr>
      <w:r>
        <w:rPr>
          <w:rtl/>
        </w:rPr>
        <w:t>كما أقدم للمكلفين بالإدارة بياناً يفيد بأنني امتثلت للمتطلبات الأخلاقية ذات الصلة فيما يتعلق ‏بالاستقلالية، وأتواصل معهم بشأن جميع العلاقات والمسائل الأخرى التي قد يُعتقد بشكل معقول ‏أنها تؤثر على استقلاليتي، وحيثما ينطبق ذلك، الضمانات ذات الصلة.</w:t>
      </w:r>
      <w:r>
        <w:rPr>
          <w:cs/>
        </w:rPr>
        <w:t>‎</w:t>
      </w:r>
    </w:p>
    <w:p w14:paraId="68139BE1" w14:textId="123D1BE8" w:rsidR="00851C1F" w:rsidRPr="00CC13EB" w:rsidRDefault="00851C1F" w:rsidP="003700C5">
      <w:pPr>
        <w:pStyle w:val="Headingb"/>
        <w:pageBreakBefore/>
        <w:rPr>
          <w:rtl/>
          <w:lang w:val="en-GB" w:eastAsia="en-US" w:bidi="ar-EG"/>
        </w:rPr>
      </w:pPr>
      <w:r w:rsidRPr="00CC13EB">
        <w:rPr>
          <w:rtl/>
          <w:lang w:val="en-GB" w:eastAsia="en-US" w:bidi="ar-EG"/>
        </w:rPr>
        <w:lastRenderedPageBreak/>
        <w:t>التقرير</w:t>
      </w:r>
    </w:p>
    <w:p w14:paraId="534FFD46" w14:textId="2DDDDB37" w:rsidR="00851C1F" w:rsidRDefault="00851C1F" w:rsidP="00851C1F">
      <w:pPr>
        <w:rPr>
          <w:rtl/>
        </w:rPr>
      </w:pPr>
      <w:r>
        <w:rPr>
          <w:rtl/>
        </w:rPr>
        <w:t>أصدرت أيضاً تقرير مراجعة مطولاً عن نتائج مراجعتي للحسابات.‏</w:t>
      </w:r>
    </w:p>
    <w:p w14:paraId="3EB44DE8" w14:textId="456D5FFB" w:rsidR="00851C1F" w:rsidRPr="00CC13EB" w:rsidRDefault="00851C1F" w:rsidP="00CC13EB">
      <w:pPr>
        <w:spacing w:before="600" w:after="600"/>
        <w:rPr>
          <w:i/>
          <w:iCs/>
          <w:rtl/>
        </w:rPr>
      </w:pPr>
      <w:r w:rsidRPr="00CC13EB">
        <w:rPr>
          <w:i/>
          <w:iCs/>
          <w:rtl/>
        </w:rPr>
        <w:t>‏(‏طبقاً للنسخة الأصلية الموقعة</w:t>
      </w:r>
      <w:r w:rsidRPr="00CC13EB">
        <w:rPr>
          <w:i/>
          <w:iCs/>
          <w:cs/>
        </w:rPr>
        <w:t>‎</w:t>
      </w:r>
      <w:r w:rsidRPr="00CC13EB">
        <w:rPr>
          <w:i/>
          <w:iCs/>
          <w:rtl/>
        </w:rPr>
        <w:t>)‏</w:t>
      </w:r>
    </w:p>
    <w:p w14:paraId="3CE90D0F" w14:textId="41CFA052" w:rsidR="00851C1F" w:rsidRDefault="00851C1F" w:rsidP="00CC13EB">
      <w:pPr>
        <w:jc w:val="left"/>
        <w:rPr>
          <w:rtl/>
        </w:rPr>
      </w:pPr>
      <w:r>
        <w:rPr>
          <w:rtl/>
        </w:rPr>
        <w:t>غاريث ديفيز</w:t>
      </w:r>
      <w:r w:rsidR="00CC13EB">
        <w:br/>
      </w:r>
      <w:r w:rsidRPr="00851C1F">
        <w:rPr>
          <w:b/>
          <w:bCs/>
          <w:rtl/>
        </w:rPr>
        <w:t>المراقب المالي والمراجع العام للمكتب الوطني لمراجعة الحسابات في المملكة ‏المتحدة</w:t>
      </w:r>
      <w:r w:rsidR="00CC13EB">
        <w:br/>
      </w:r>
      <w:r w:rsidRPr="00851C1F">
        <w:rPr>
          <w:lang w:val="en-GB"/>
        </w:rPr>
        <w:t>National Audit Office</w:t>
      </w:r>
      <w:r w:rsidRPr="00851C1F">
        <w:rPr>
          <w:lang w:val="en-GB"/>
        </w:rPr>
        <w:br/>
        <w:t>157-197 Buckingham Palace Road</w:t>
      </w:r>
      <w:r w:rsidRPr="00851C1F">
        <w:rPr>
          <w:lang w:val="en-GB"/>
        </w:rPr>
        <w:br/>
        <w:t>Victoria</w:t>
      </w:r>
      <w:r w:rsidRPr="00851C1F">
        <w:rPr>
          <w:lang w:val="en-GB"/>
        </w:rPr>
        <w:br/>
        <w:t>London. SW1W 9SP</w:t>
      </w:r>
      <w:r w:rsidRPr="00851C1F">
        <w:rPr>
          <w:lang w:val="en-GB"/>
        </w:rPr>
        <w:br/>
        <w:t>United Kingdom</w:t>
      </w:r>
    </w:p>
    <w:p w14:paraId="36268380" w14:textId="53A6C3D4" w:rsidR="0031694E" w:rsidRPr="00851C1F" w:rsidRDefault="00851C1F" w:rsidP="00CC13EB">
      <w:pPr>
        <w:spacing w:before="360"/>
        <w:jc w:val="left"/>
        <w:rPr>
          <w:b/>
          <w:bCs/>
          <w:rtl/>
        </w:rPr>
      </w:pPr>
      <w:r w:rsidRPr="00851C1F">
        <w:rPr>
          <w:b/>
          <w:bCs/>
          <w:rtl/>
        </w:rPr>
        <w:t>التاريخ</w:t>
      </w:r>
      <w:r w:rsidRPr="00851C1F">
        <w:rPr>
          <w:b/>
          <w:bCs/>
          <w:cs/>
        </w:rPr>
        <w:t>‎</w:t>
      </w:r>
      <w:r w:rsidRPr="00851C1F">
        <w:rPr>
          <w:b/>
          <w:bCs/>
        </w:rPr>
        <w:t>:</w:t>
      </w:r>
      <w:r w:rsidRPr="00851C1F">
        <w:rPr>
          <w:b/>
          <w:bCs/>
          <w:cs/>
        </w:rPr>
        <w:t>‎</w:t>
      </w:r>
      <w:r w:rsidRPr="00851C1F">
        <w:rPr>
          <w:b/>
          <w:bCs/>
          <w:rtl/>
        </w:rPr>
        <w:t>‏ 30 مايو 2025‏</w:t>
      </w:r>
    </w:p>
    <w:p w14:paraId="1868FA5A" w14:textId="74BAEBB6" w:rsidR="007D2E59" w:rsidRDefault="007D2E59" w:rsidP="00377BC4">
      <w:pPr>
        <w:rPr>
          <w:rtl/>
          <w:lang w:bidi="ar-EG"/>
        </w:rPr>
      </w:pPr>
      <w:r>
        <w:rPr>
          <w:rtl/>
          <w:lang w:bidi="ar-EG"/>
        </w:rPr>
        <w:br w:type="page"/>
      </w:r>
    </w:p>
    <w:p w14:paraId="33F02C56" w14:textId="77777777" w:rsidR="007D2E59" w:rsidRPr="007D2E59" w:rsidRDefault="007D2E59" w:rsidP="00377BC4">
      <w:pPr>
        <w:pStyle w:val="Heading1"/>
        <w:jc w:val="center"/>
        <w:rPr>
          <w:rtl/>
          <w:lang w:val="en-GB" w:eastAsia="en-US" w:bidi="ar-EG"/>
        </w:rPr>
      </w:pPr>
      <w:bookmarkStart w:id="45" w:name="_Toc199403735"/>
      <w:bookmarkStart w:id="46" w:name="_Toc201043138"/>
      <w:r w:rsidRPr="007D2E59">
        <w:rPr>
          <w:rtl/>
          <w:lang w:val="en-GB" w:eastAsia="en-US" w:bidi="ar-EG"/>
        </w:rPr>
        <w:lastRenderedPageBreak/>
        <w:t>البيانات المالية</w:t>
      </w:r>
      <w:bookmarkEnd w:id="45"/>
      <w:bookmarkEnd w:id="46"/>
    </w:p>
    <w:p w14:paraId="7FE73FB4" w14:textId="77777777" w:rsidR="00A635B0" w:rsidRPr="00A635B0" w:rsidRDefault="00A635B0" w:rsidP="009F4F01">
      <w:pPr>
        <w:pStyle w:val="Heading5"/>
        <w:rPr>
          <w:rtl/>
          <w:lang w:val="en-GB" w:bidi="ar-EG"/>
        </w:rPr>
      </w:pPr>
      <w:r w:rsidRPr="00A635B0">
        <w:rPr>
          <w:rFonts w:hint="cs"/>
          <w:rtl/>
          <w:lang w:val="en-GB" w:bidi="ar-EG"/>
        </w:rPr>
        <w:t>البيان الأول</w:t>
      </w:r>
      <w:r w:rsidRPr="00A635B0">
        <w:rPr>
          <w:rtl/>
          <w:lang w:val="en-GB" w:bidi="ar-EG"/>
        </w:rPr>
        <w:t xml:space="preserve">: </w:t>
      </w:r>
      <w:r w:rsidRPr="00A635B0">
        <w:rPr>
          <w:rFonts w:hint="cs"/>
          <w:rtl/>
          <w:lang w:val="en-GB" w:bidi="ar-EG"/>
        </w:rPr>
        <w:t>بيان</w:t>
      </w:r>
      <w:r w:rsidRPr="00A635B0">
        <w:rPr>
          <w:rtl/>
          <w:lang w:val="en-GB" w:bidi="ar-EG"/>
        </w:rPr>
        <w:t xml:space="preserve"> الوضع المالي</w:t>
      </w:r>
    </w:p>
    <w:p w14:paraId="6583CF07" w14:textId="77777777" w:rsidR="00A635B0" w:rsidRPr="00A57D3F" w:rsidRDefault="00A635B0" w:rsidP="00150106">
      <w:pPr>
        <w:rPr>
          <w:i/>
          <w:iCs/>
          <w:rtl/>
          <w:lang w:val="en-GB" w:bidi="ar-EG"/>
        </w:rPr>
      </w:pPr>
      <w:r w:rsidRPr="00A57D3F">
        <w:rPr>
          <w:i/>
          <w:iCs/>
          <w:rtl/>
          <w:lang w:val="en-GB" w:bidi="ar-EG"/>
        </w:rPr>
        <w:t>حتى 31 ديسمبر 2024</w:t>
      </w:r>
    </w:p>
    <w:p w14:paraId="0CAA3C74" w14:textId="77777777" w:rsidR="00A635B0" w:rsidRPr="00150106" w:rsidRDefault="00A635B0" w:rsidP="00150106">
      <w:pPr>
        <w:rPr>
          <w:i/>
          <w:iCs/>
          <w:rtl/>
          <w:lang w:val="en-GB" w:bidi="ar-EG"/>
        </w:rPr>
      </w:pPr>
      <w:r w:rsidRPr="00150106">
        <w:rPr>
          <w:i/>
          <w:iCs/>
          <w:rtl/>
          <w:lang w:val="en-GB" w:bidi="ar-EG"/>
        </w:rPr>
        <w:t>(بآلاف الفرنكات السويسرية)</w:t>
      </w:r>
    </w:p>
    <w:p w14:paraId="5BCBCCDA" w14:textId="35F1AE08" w:rsidR="00AC3D48" w:rsidRDefault="00AC3D48" w:rsidP="00AC3D48">
      <w:pPr>
        <w:pStyle w:val="Figure"/>
        <w:rPr>
          <w:b/>
          <w:bCs/>
          <w:rtl/>
          <w:lang w:val="en-GB" w:bidi="ar-EG"/>
        </w:rPr>
      </w:pPr>
      <w:bookmarkStart w:id="47" w:name="_Toc162520614"/>
      <w:bookmarkStart w:id="48" w:name="_Hlk161065966"/>
      <w:r>
        <w:rPr>
          <w:b/>
          <w:bCs/>
          <w:lang w:val="en-GB" w:bidi="ar-EG"/>
        </w:rPr>
        <w:drawing>
          <wp:inline distT="0" distB="0" distL="0" distR="0" wp14:anchorId="2ECC0CAE" wp14:editId="38F1F87E">
            <wp:extent cx="5617513" cy="7565229"/>
            <wp:effectExtent l="0" t="0" r="2540" b="0"/>
            <wp:docPr id="3588047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148" cy="7575511"/>
                    </a:xfrm>
                    <a:prstGeom prst="rect">
                      <a:avLst/>
                    </a:prstGeom>
                    <a:noFill/>
                  </pic:spPr>
                </pic:pic>
              </a:graphicData>
            </a:graphic>
          </wp:inline>
        </w:drawing>
      </w:r>
      <w:r>
        <w:rPr>
          <w:b/>
          <w:bCs/>
          <w:rtl/>
          <w:lang w:val="en-GB" w:bidi="ar-EG"/>
        </w:rPr>
        <w:br w:type="page"/>
      </w:r>
    </w:p>
    <w:p w14:paraId="12B1E992" w14:textId="6C2B7F9E" w:rsidR="00A635B0" w:rsidRPr="00A635B0" w:rsidRDefault="00A635B0" w:rsidP="009F4F01">
      <w:pPr>
        <w:pStyle w:val="Heading5"/>
        <w:rPr>
          <w:lang w:bidi="ar-EG"/>
        </w:rPr>
      </w:pPr>
      <w:r w:rsidRPr="00A635B0">
        <w:rPr>
          <w:rFonts w:hint="cs"/>
          <w:rtl/>
          <w:lang w:val="en-GB" w:bidi="ar-EG"/>
        </w:rPr>
        <w:lastRenderedPageBreak/>
        <w:t>البيان الثاني: بيان</w:t>
      </w:r>
      <w:r w:rsidRPr="00A635B0">
        <w:rPr>
          <w:rtl/>
          <w:lang w:val="en-GB" w:bidi="ar-EG"/>
        </w:rPr>
        <w:t xml:space="preserve"> الأداء المالي</w:t>
      </w:r>
      <w:bookmarkEnd w:id="47"/>
      <w:bookmarkEnd w:id="48"/>
    </w:p>
    <w:p w14:paraId="4E5A41C2" w14:textId="77777777" w:rsidR="00A635B0" w:rsidRPr="00A57D3F" w:rsidRDefault="00A635B0" w:rsidP="00402C01">
      <w:pPr>
        <w:rPr>
          <w:i/>
          <w:iCs/>
          <w:rtl/>
          <w:lang w:val="en-GB" w:bidi="ar-SY"/>
        </w:rPr>
      </w:pPr>
      <w:bookmarkStart w:id="49" w:name="_Hlk161065984"/>
      <w:r w:rsidRPr="00A57D3F">
        <w:rPr>
          <w:rFonts w:hint="cs"/>
          <w:i/>
          <w:iCs/>
          <w:rtl/>
          <w:lang w:val="en-GB" w:bidi="ar-EG"/>
        </w:rPr>
        <w:t>حتى</w:t>
      </w:r>
      <w:r w:rsidRPr="00A57D3F">
        <w:rPr>
          <w:i/>
          <w:iCs/>
          <w:rtl/>
          <w:lang w:val="en-GB" w:bidi="ar-EG"/>
        </w:rPr>
        <w:t xml:space="preserve"> </w:t>
      </w:r>
      <w:r w:rsidRPr="00A57D3F">
        <w:rPr>
          <w:i/>
          <w:iCs/>
          <w:rtl/>
          <w:lang w:val="en-GB" w:bidi="ar-SY"/>
        </w:rPr>
        <w:t xml:space="preserve">31 ديسمبر </w:t>
      </w:r>
      <w:bookmarkEnd w:id="49"/>
      <w:r w:rsidRPr="00A57D3F">
        <w:rPr>
          <w:i/>
          <w:iCs/>
          <w:rtl/>
          <w:lang w:val="en-GB" w:bidi="ar-SY"/>
        </w:rPr>
        <w:t>2024</w:t>
      </w:r>
    </w:p>
    <w:p w14:paraId="77998065" w14:textId="77777777" w:rsidR="00A635B0" w:rsidRPr="00402C01" w:rsidRDefault="00A635B0" w:rsidP="00402C01">
      <w:pPr>
        <w:rPr>
          <w:i/>
          <w:iCs/>
          <w:lang w:bidi="ar-EG"/>
        </w:rPr>
      </w:pPr>
      <w:r w:rsidRPr="00402C01">
        <w:rPr>
          <w:i/>
          <w:iCs/>
          <w:rtl/>
          <w:lang w:val="en-GB" w:bidi="ar-SY"/>
        </w:rPr>
        <w:t>(بآلاف الفرنكات السويسرية)</w:t>
      </w:r>
    </w:p>
    <w:p w14:paraId="56DFA97D" w14:textId="2941FAE1" w:rsidR="00A635B0" w:rsidRPr="00A635B0" w:rsidRDefault="002038A0" w:rsidP="002038A0">
      <w:pPr>
        <w:pStyle w:val="Figure"/>
        <w:rPr>
          <w:lang w:bidi="ar-EG"/>
        </w:rPr>
      </w:pPr>
      <w:r>
        <w:rPr>
          <w:lang w:bidi="ar-EG"/>
        </w:rPr>
        <w:drawing>
          <wp:inline distT="0" distB="0" distL="0" distR="0" wp14:anchorId="571884F5" wp14:editId="4267F580">
            <wp:extent cx="5389245" cy="5431790"/>
            <wp:effectExtent l="0" t="0" r="1905" b="0"/>
            <wp:docPr id="1716636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9245" cy="5431790"/>
                    </a:xfrm>
                    <a:prstGeom prst="rect">
                      <a:avLst/>
                    </a:prstGeom>
                    <a:noFill/>
                  </pic:spPr>
                </pic:pic>
              </a:graphicData>
            </a:graphic>
          </wp:inline>
        </w:drawing>
      </w:r>
    </w:p>
    <w:p w14:paraId="7BD9BF03" w14:textId="77777777" w:rsidR="00A635B0" w:rsidRPr="00A635B0" w:rsidRDefault="00A635B0" w:rsidP="00A635B0">
      <w:pPr>
        <w:rPr>
          <w:b/>
          <w:bCs/>
          <w:rtl/>
          <w:lang w:val="en-GB" w:bidi="ar-EG"/>
        </w:rPr>
      </w:pPr>
      <w:bookmarkStart w:id="50" w:name="_Toc162520615"/>
      <w:r w:rsidRPr="00A635B0">
        <w:rPr>
          <w:b/>
          <w:bCs/>
          <w:rtl/>
          <w:lang w:val="en-GB" w:bidi="ar-EG"/>
        </w:rPr>
        <w:br w:type="page"/>
      </w:r>
    </w:p>
    <w:p w14:paraId="6B81CF52" w14:textId="77777777" w:rsidR="00A635B0" w:rsidRPr="00A635B0" w:rsidRDefault="00A635B0" w:rsidP="009F4F01">
      <w:pPr>
        <w:pStyle w:val="Heading5"/>
        <w:rPr>
          <w:lang w:bidi="ar-EG"/>
        </w:rPr>
      </w:pPr>
      <w:r w:rsidRPr="00A635B0">
        <w:rPr>
          <w:rFonts w:hint="cs"/>
          <w:rtl/>
          <w:lang w:val="en-GB" w:bidi="ar-EG"/>
        </w:rPr>
        <w:lastRenderedPageBreak/>
        <w:t>البيان الثالث: بيان التغيرات</w:t>
      </w:r>
      <w:r w:rsidRPr="00A635B0">
        <w:rPr>
          <w:rtl/>
          <w:lang w:val="en-GB" w:bidi="ar-EG"/>
        </w:rPr>
        <w:t xml:space="preserve"> في صافي الأصول</w:t>
      </w:r>
      <w:bookmarkEnd w:id="50"/>
    </w:p>
    <w:p w14:paraId="6DFB7918" w14:textId="77777777" w:rsidR="00A635B0" w:rsidRPr="00A57D3F" w:rsidRDefault="00A635B0" w:rsidP="009030A2">
      <w:pPr>
        <w:rPr>
          <w:i/>
          <w:iCs/>
          <w:lang w:bidi="ar-EG"/>
        </w:rPr>
      </w:pPr>
      <w:r w:rsidRPr="00A57D3F">
        <w:rPr>
          <w:rFonts w:hint="cs"/>
          <w:i/>
          <w:iCs/>
          <w:rtl/>
          <w:lang w:val="en-GB" w:bidi="ar-EG"/>
        </w:rPr>
        <w:t>حتى</w:t>
      </w:r>
      <w:r w:rsidRPr="00A57D3F">
        <w:rPr>
          <w:i/>
          <w:iCs/>
          <w:rtl/>
          <w:lang w:val="en-GB" w:bidi="ar-EG"/>
        </w:rPr>
        <w:t xml:space="preserve"> </w:t>
      </w:r>
      <w:r w:rsidRPr="00A57D3F">
        <w:rPr>
          <w:i/>
          <w:iCs/>
          <w:rtl/>
          <w:lang w:val="en-GB"/>
        </w:rPr>
        <w:t xml:space="preserve">31 ديسمبر </w:t>
      </w:r>
      <w:r w:rsidRPr="00A57D3F">
        <w:rPr>
          <w:i/>
          <w:iCs/>
          <w:lang w:bidi="ar-EG"/>
        </w:rPr>
        <w:t>2024</w:t>
      </w:r>
    </w:p>
    <w:p w14:paraId="636174BE" w14:textId="77777777" w:rsidR="00A635B0" w:rsidRPr="009030A2" w:rsidRDefault="00A635B0" w:rsidP="009030A2">
      <w:pPr>
        <w:rPr>
          <w:i/>
          <w:iCs/>
          <w:lang w:bidi="ar-EG"/>
        </w:rPr>
      </w:pPr>
      <w:r w:rsidRPr="009030A2">
        <w:rPr>
          <w:i/>
          <w:iCs/>
          <w:rtl/>
          <w:lang w:val="en-GB"/>
        </w:rPr>
        <w:t>(بآلاف الفرنكات السويسرية)</w:t>
      </w:r>
    </w:p>
    <w:p w14:paraId="2CC893F0" w14:textId="4E4340CF" w:rsidR="00A635B0" w:rsidRPr="00A635B0" w:rsidRDefault="009030A2" w:rsidP="009030A2">
      <w:pPr>
        <w:pStyle w:val="Figure"/>
        <w:rPr>
          <w:lang w:bidi="ar-EG"/>
        </w:rPr>
      </w:pPr>
      <w:r>
        <w:rPr>
          <w:lang w:bidi="ar-EG"/>
        </w:rPr>
        <w:drawing>
          <wp:inline distT="0" distB="0" distL="0" distR="0" wp14:anchorId="5914E3E5" wp14:editId="3EC2B269">
            <wp:extent cx="5760000" cy="1706400"/>
            <wp:effectExtent l="0" t="0" r="0" b="8255"/>
            <wp:docPr id="11039600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1706400"/>
                    </a:xfrm>
                    <a:prstGeom prst="rect">
                      <a:avLst/>
                    </a:prstGeom>
                    <a:noFill/>
                  </pic:spPr>
                </pic:pic>
              </a:graphicData>
            </a:graphic>
          </wp:inline>
        </w:drawing>
      </w:r>
    </w:p>
    <w:p w14:paraId="09D5A9C1" w14:textId="77777777" w:rsidR="00EF3E76" w:rsidRDefault="00A635B0" w:rsidP="009030A2">
      <w:pPr>
        <w:rPr>
          <w:i/>
          <w:iCs/>
          <w:rtl/>
          <w:lang w:val="en-GB" w:bidi="ar-SY"/>
        </w:rPr>
      </w:pPr>
      <w:r w:rsidRPr="009030A2">
        <w:rPr>
          <w:i/>
          <w:iCs/>
          <w:rtl/>
          <w:lang w:val="en-GB" w:bidi="ar-SY"/>
        </w:rPr>
        <w:t>لمزيد من المعلومات، انظر الملاحظة 4.</w:t>
      </w:r>
    </w:p>
    <w:p w14:paraId="320E00D9" w14:textId="1461DFDC" w:rsidR="00A635B0" w:rsidRPr="00A635B0" w:rsidRDefault="00A635B0" w:rsidP="00A635B0">
      <w:pPr>
        <w:rPr>
          <w:b/>
          <w:bCs/>
          <w:lang w:val="en-GB" w:bidi="ar-EG"/>
        </w:rPr>
      </w:pPr>
      <w:r w:rsidRPr="00A635B0">
        <w:rPr>
          <w:b/>
          <w:bCs/>
          <w:lang w:bidi="ar-EG"/>
        </w:rPr>
        <w:br w:type="page"/>
      </w:r>
    </w:p>
    <w:p w14:paraId="5E43530E" w14:textId="77777777" w:rsidR="00A635B0" w:rsidRPr="00A635B0" w:rsidRDefault="00A635B0" w:rsidP="009F4F01">
      <w:pPr>
        <w:pStyle w:val="Heading5"/>
        <w:rPr>
          <w:lang w:bidi="ar-EG"/>
        </w:rPr>
      </w:pPr>
      <w:bookmarkStart w:id="51" w:name="_Toc162520616"/>
      <w:r w:rsidRPr="00A635B0">
        <w:rPr>
          <w:rFonts w:hint="cs"/>
          <w:rtl/>
          <w:lang w:val="en-GB" w:bidi="ar-EG"/>
        </w:rPr>
        <w:lastRenderedPageBreak/>
        <w:t>البيان الرابع: بيان</w:t>
      </w:r>
      <w:r w:rsidRPr="00A635B0">
        <w:rPr>
          <w:rtl/>
          <w:lang w:val="en-GB" w:bidi="ar-EG"/>
        </w:rPr>
        <w:t xml:space="preserve"> التدفقات النقدية</w:t>
      </w:r>
      <w:bookmarkEnd w:id="51"/>
    </w:p>
    <w:p w14:paraId="57D63233" w14:textId="77777777" w:rsidR="00A635B0" w:rsidRPr="00A57D3F" w:rsidRDefault="00A635B0" w:rsidP="0048027F">
      <w:pPr>
        <w:rPr>
          <w:i/>
          <w:iCs/>
          <w:lang w:bidi="ar-EG"/>
        </w:rPr>
      </w:pPr>
      <w:r w:rsidRPr="00A57D3F">
        <w:rPr>
          <w:i/>
          <w:iCs/>
          <w:rtl/>
          <w:lang w:val="en-GB"/>
        </w:rPr>
        <w:t>للسنة المنتهية في 31 ديسمبر 2024</w:t>
      </w:r>
    </w:p>
    <w:p w14:paraId="4F50C0DE" w14:textId="77777777" w:rsidR="00A635B0" w:rsidRPr="0048027F" w:rsidRDefault="00A635B0" w:rsidP="0048027F">
      <w:pPr>
        <w:rPr>
          <w:i/>
          <w:iCs/>
          <w:rtl/>
          <w:lang w:val="en-GB"/>
        </w:rPr>
      </w:pPr>
      <w:r w:rsidRPr="0048027F">
        <w:rPr>
          <w:i/>
          <w:iCs/>
          <w:rtl/>
          <w:lang w:val="en-GB"/>
        </w:rPr>
        <w:t>(بآلاف الفرنكات السويسرية)</w:t>
      </w:r>
    </w:p>
    <w:p w14:paraId="050656D5" w14:textId="64D0F7D0" w:rsidR="00A635B0" w:rsidRPr="00A635B0" w:rsidRDefault="0048027F" w:rsidP="0048027F">
      <w:pPr>
        <w:pStyle w:val="Figure"/>
        <w:rPr>
          <w:b/>
          <w:bCs/>
          <w:lang w:val="en-GB" w:bidi="ar-EG"/>
        </w:rPr>
      </w:pPr>
      <w:r>
        <w:rPr>
          <w:lang w:bidi="ar-EG"/>
        </w:rPr>
        <w:drawing>
          <wp:inline distT="0" distB="0" distL="0" distR="0" wp14:anchorId="73945C75" wp14:editId="758136B5">
            <wp:extent cx="4809265" cy="7772552"/>
            <wp:effectExtent l="0" t="0" r="0" b="0"/>
            <wp:docPr id="92127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38292"/>
                    <a:stretch/>
                  </pic:blipFill>
                  <pic:spPr bwMode="auto">
                    <a:xfrm>
                      <a:off x="0" y="0"/>
                      <a:ext cx="4820593" cy="7790860"/>
                    </a:xfrm>
                    <a:prstGeom prst="rect">
                      <a:avLst/>
                    </a:prstGeom>
                    <a:noFill/>
                    <a:ln>
                      <a:noFill/>
                    </a:ln>
                    <a:extLst>
                      <a:ext uri="{53640926-AAD7-44D8-BBD7-CCE9431645EC}">
                        <a14:shadowObscured xmlns:a14="http://schemas.microsoft.com/office/drawing/2010/main"/>
                      </a:ext>
                    </a:extLst>
                  </pic:spPr>
                </pic:pic>
              </a:graphicData>
            </a:graphic>
          </wp:inline>
        </w:drawing>
      </w:r>
      <w:r w:rsidR="00A635B0" w:rsidRPr="00A635B0">
        <w:rPr>
          <w:b/>
          <w:bCs/>
          <w:rtl/>
          <w:lang w:val="en-GB" w:bidi="ar-SY"/>
        </w:rPr>
        <w:br w:type="page"/>
      </w:r>
    </w:p>
    <w:p w14:paraId="5F3DCD1E" w14:textId="56845E20" w:rsidR="00A635B0" w:rsidRPr="00A635B0" w:rsidRDefault="00A635B0" w:rsidP="009F4F01">
      <w:pPr>
        <w:pStyle w:val="Heading5"/>
        <w:rPr>
          <w:lang w:bidi="ar-EG"/>
        </w:rPr>
      </w:pPr>
      <w:bookmarkStart w:id="52" w:name="_Toc162520617"/>
      <w:r w:rsidRPr="00A635B0">
        <w:rPr>
          <w:rFonts w:hint="cs"/>
          <w:rtl/>
          <w:lang w:val="en-GB" w:bidi="ar-EG"/>
        </w:rPr>
        <w:lastRenderedPageBreak/>
        <w:t>البيان الخامس</w:t>
      </w:r>
      <w:r w:rsidRPr="00A635B0">
        <w:rPr>
          <w:rtl/>
          <w:lang w:val="en-GB" w:bidi="ar-EG"/>
        </w:rPr>
        <w:t xml:space="preserve">: </w:t>
      </w:r>
      <w:r w:rsidRPr="00A635B0">
        <w:rPr>
          <w:rFonts w:hint="cs"/>
          <w:rtl/>
          <w:lang w:val="en-GB" w:bidi="ar-EG"/>
        </w:rPr>
        <w:t>بيان</w:t>
      </w:r>
      <w:r w:rsidRPr="00A635B0">
        <w:rPr>
          <w:rtl/>
          <w:lang w:val="en-GB" w:bidi="ar-EG"/>
        </w:rPr>
        <w:t xml:space="preserve"> المقارنة</w:t>
      </w:r>
      <w:r w:rsidR="009F4F01">
        <w:rPr>
          <w:rFonts w:hint="cs"/>
          <w:rtl/>
          <w:lang w:val="en-GB" w:bidi="ar-EG"/>
        </w:rPr>
        <w:t xml:space="preserve"> - </w:t>
      </w:r>
      <w:r w:rsidRPr="00A635B0">
        <w:rPr>
          <w:rFonts w:hint="cs"/>
          <w:rtl/>
          <w:lang w:val="en-GB" w:bidi="ar-EG"/>
        </w:rPr>
        <w:t xml:space="preserve">المبالغ المدرجة في </w:t>
      </w:r>
      <w:r w:rsidRPr="00A635B0">
        <w:rPr>
          <w:rtl/>
          <w:lang w:val="en-GB" w:bidi="ar-EG"/>
        </w:rPr>
        <w:t>الميزانية والمبالغ الفعلية</w:t>
      </w:r>
      <w:bookmarkEnd w:id="52"/>
    </w:p>
    <w:p w14:paraId="60F2EA63" w14:textId="77777777" w:rsidR="00A635B0" w:rsidRPr="00A57D3F" w:rsidRDefault="00A635B0" w:rsidP="0048027F">
      <w:pPr>
        <w:rPr>
          <w:i/>
          <w:iCs/>
          <w:lang w:bidi="ar-EG"/>
        </w:rPr>
      </w:pPr>
      <w:r w:rsidRPr="00A57D3F">
        <w:rPr>
          <w:i/>
          <w:iCs/>
          <w:rtl/>
          <w:lang w:val="en-GB"/>
        </w:rPr>
        <w:t xml:space="preserve">للسنة المنتهية في 31 ديسمبر </w:t>
      </w:r>
      <w:r w:rsidRPr="00A57D3F">
        <w:rPr>
          <w:i/>
          <w:iCs/>
          <w:lang w:bidi="ar-EG"/>
        </w:rPr>
        <w:t>2024</w:t>
      </w:r>
    </w:p>
    <w:p w14:paraId="6216C6C8" w14:textId="77777777" w:rsidR="00A635B0" w:rsidRPr="0048027F" w:rsidRDefault="00A635B0" w:rsidP="0048027F">
      <w:pPr>
        <w:rPr>
          <w:i/>
          <w:iCs/>
          <w:lang w:bidi="ar-EG"/>
        </w:rPr>
      </w:pPr>
      <w:r w:rsidRPr="0048027F">
        <w:rPr>
          <w:i/>
          <w:iCs/>
          <w:rtl/>
          <w:lang w:val="en-GB"/>
        </w:rPr>
        <w:t>(بآلاف الفرنكات السويسرية)</w:t>
      </w:r>
    </w:p>
    <w:p w14:paraId="1ED4D94D" w14:textId="7A5DC899" w:rsidR="00A635B0" w:rsidRPr="00A635B0" w:rsidRDefault="00A57D3F" w:rsidP="00A57D3F">
      <w:pPr>
        <w:pStyle w:val="Figure"/>
        <w:rPr>
          <w:lang w:bidi="ar-EG"/>
        </w:rPr>
      </w:pPr>
      <w:r>
        <w:rPr>
          <w:lang w:bidi="ar-EG"/>
        </w:rPr>
        <w:drawing>
          <wp:inline distT="0" distB="0" distL="0" distR="0" wp14:anchorId="244C842D" wp14:editId="7AE581DA">
            <wp:extent cx="5760000" cy="4561200"/>
            <wp:effectExtent l="0" t="0" r="0" b="0"/>
            <wp:docPr id="16292712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4561200"/>
                    </a:xfrm>
                    <a:prstGeom prst="rect">
                      <a:avLst/>
                    </a:prstGeom>
                    <a:noFill/>
                  </pic:spPr>
                </pic:pic>
              </a:graphicData>
            </a:graphic>
          </wp:inline>
        </w:drawing>
      </w:r>
    </w:p>
    <w:p w14:paraId="162EC9C4" w14:textId="73C1B7F3" w:rsidR="00A57D3F" w:rsidRPr="00A57D3F" w:rsidRDefault="00A57D3F" w:rsidP="00A57D3F">
      <w:pPr>
        <w:rPr>
          <w:i/>
          <w:iCs/>
          <w:lang w:val="en-GB" w:bidi="ar-SY"/>
        </w:rPr>
      </w:pPr>
      <w:r w:rsidRPr="00A57D3F">
        <w:rPr>
          <w:i/>
          <w:iCs/>
          <w:rtl/>
          <w:lang w:val="en-GB" w:bidi="ar-SY"/>
        </w:rPr>
        <w:t xml:space="preserve">تورد الملاحظة </w:t>
      </w:r>
      <w:r>
        <w:rPr>
          <w:i/>
          <w:iCs/>
          <w:lang w:val="en-GB" w:bidi="ar-SY"/>
        </w:rPr>
        <w:t>21</w:t>
      </w:r>
      <w:r w:rsidRPr="00A57D3F">
        <w:rPr>
          <w:i/>
          <w:iCs/>
          <w:rtl/>
          <w:lang w:val="en-GB" w:bidi="ar-SY"/>
        </w:rPr>
        <w:t xml:space="preserve"> مزيداً من المعلومات عن فروق الأساس وفروق الكيانات.</w:t>
      </w:r>
    </w:p>
    <w:p w14:paraId="67BC7AEF" w14:textId="498BE075" w:rsidR="00A635B0" w:rsidRPr="00A635B0" w:rsidRDefault="00A635B0" w:rsidP="00A57D3F">
      <w:pPr>
        <w:rPr>
          <w:rtl/>
          <w:lang w:val="en-GB" w:bidi="ar-SY"/>
        </w:rPr>
      </w:pPr>
      <w:r w:rsidRPr="00A635B0">
        <w:rPr>
          <w:rtl/>
          <w:lang w:val="en-GB" w:bidi="ar-SY"/>
        </w:rPr>
        <w:br w:type="page"/>
      </w:r>
    </w:p>
    <w:p w14:paraId="44C521C1" w14:textId="77777777" w:rsidR="00A635B0" w:rsidRPr="00A635B0" w:rsidRDefault="00A635B0" w:rsidP="003866C9">
      <w:pPr>
        <w:pStyle w:val="Heading1"/>
        <w:rPr>
          <w:rtl/>
          <w:lang w:val="en-GB"/>
        </w:rPr>
      </w:pPr>
      <w:bookmarkStart w:id="53" w:name="_Toc387338321"/>
      <w:bookmarkStart w:id="54" w:name="_Toc397499184"/>
      <w:bookmarkStart w:id="55" w:name="_Toc397499897"/>
      <w:bookmarkStart w:id="56" w:name="_Toc419483231"/>
      <w:bookmarkStart w:id="57" w:name="_Toc452156141"/>
      <w:bookmarkStart w:id="58" w:name="_Toc452156598"/>
      <w:bookmarkStart w:id="59" w:name="_Toc482793691"/>
      <w:bookmarkStart w:id="60" w:name="_Toc511402205"/>
      <w:bookmarkStart w:id="61" w:name="_Toc511756642"/>
      <w:bookmarkStart w:id="62" w:name="_Toc520365436"/>
      <w:bookmarkStart w:id="63" w:name="_Toc9598875"/>
      <w:bookmarkStart w:id="64" w:name="_Toc9598971"/>
      <w:bookmarkStart w:id="65" w:name="_Toc9614684"/>
      <w:bookmarkStart w:id="66" w:name="_Toc9614761"/>
      <w:bookmarkStart w:id="67" w:name="_Toc42012328"/>
      <w:bookmarkStart w:id="68" w:name="_Toc42013348"/>
      <w:bookmarkStart w:id="69" w:name="_Toc42013521"/>
      <w:bookmarkStart w:id="70" w:name="_Toc42014517"/>
      <w:bookmarkStart w:id="71" w:name="_Toc74061038"/>
      <w:bookmarkStart w:id="72" w:name="_Toc74061160"/>
      <w:bookmarkStart w:id="73" w:name="_Toc74061549"/>
      <w:bookmarkStart w:id="74" w:name="_Toc162520618"/>
      <w:bookmarkStart w:id="75" w:name="_Toc199403736"/>
      <w:bookmarkStart w:id="76" w:name="_Toc201043139"/>
      <w:bookmarkStart w:id="77" w:name="_Toc329296003"/>
      <w:bookmarkStart w:id="78" w:name="_Toc358648322"/>
      <w:bookmarkStart w:id="79" w:name="_Toc358648521"/>
      <w:bookmarkStart w:id="80" w:name="_Toc387263369"/>
      <w:r w:rsidRPr="00A635B0">
        <w:rPr>
          <w:rtl/>
          <w:lang w:val="en-GB"/>
        </w:rPr>
        <w:lastRenderedPageBreak/>
        <w:t xml:space="preserve">ملاحظات بشأن </w:t>
      </w:r>
      <w:r w:rsidRPr="00A635B0">
        <w:rPr>
          <w:rtl/>
          <w:lang w:val="en-GB" w:bidi="ar-EG"/>
        </w:rPr>
        <w:t>البيانات</w:t>
      </w:r>
      <w:r w:rsidRPr="00A635B0">
        <w:rPr>
          <w:rtl/>
          <w:lang w:val="en-GB"/>
        </w:rPr>
        <w:t xml:space="preserve"> المالية</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59ACB769" w14:textId="77777777" w:rsidR="00A635B0" w:rsidRPr="00A635B0" w:rsidRDefault="00A635B0" w:rsidP="009F4F01">
      <w:pPr>
        <w:pStyle w:val="Heading1"/>
        <w:rPr>
          <w:rtl/>
          <w:lang w:val="en-GB"/>
        </w:rPr>
      </w:pPr>
      <w:bookmarkStart w:id="81" w:name="_Toc387338322"/>
      <w:bookmarkStart w:id="82" w:name="_Toc419484047"/>
      <w:bookmarkStart w:id="83" w:name="_Toc452156599"/>
      <w:bookmarkStart w:id="84" w:name="_Toc482792201"/>
      <w:bookmarkStart w:id="85" w:name="_Toc482793692"/>
      <w:bookmarkStart w:id="86" w:name="_Toc511402206"/>
      <w:bookmarkStart w:id="87" w:name="_Toc511756643"/>
      <w:bookmarkStart w:id="88" w:name="_Toc9614762"/>
      <w:bookmarkStart w:id="89" w:name="_Toc42013522"/>
      <w:bookmarkStart w:id="90" w:name="_Toc42014518"/>
      <w:bookmarkStart w:id="91" w:name="_Toc74061550"/>
      <w:bookmarkStart w:id="92" w:name="_Toc162520619"/>
      <w:bookmarkStart w:id="93" w:name="_Toc199403737"/>
      <w:bookmarkStart w:id="94" w:name="_Toc201043140"/>
      <w:r w:rsidRPr="00A635B0">
        <w:rPr>
          <w:rtl/>
          <w:lang w:val="en-GB"/>
        </w:rPr>
        <w:t xml:space="preserve">الملاحظة </w:t>
      </w:r>
      <w:r w:rsidRPr="00A635B0">
        <w:rPr>
          <w:rtl/>
        </w:rPr>
        <w:t>1</w:t>
      </w:r>
      <w:r w:rsidRPr="00A635B0">
        <w:rPr>
          <w:rtl/>
          <w:lang w:val="en-GB"/>
        </w:rPr>
        <w:tab/>
      </w:r>
      <w:bookmarkEnd w:id="77"/>
      <w:bookmarkEnd w:id="78"/>
      <w:bookmarkEnd w:id="79"/>
      <w:bookmarkEnd w:id="80"/>
      <w:bookmarkEnd w:id="81"/>
      <w:bookmarkEnd w:id="82"/>
      <w:bookmarkEnd w:id="83"/>
      <w:r w:rsidRPr="00A635B0">
        <w:rPr>
          <w:rtl/>
          <w:lang w:val="en-GB"/>
        </w:rPr>
        <w:t>أهداف الاتحاد</w:t>
      </w:r>
      <w:bookmarkEnd w:id="84"/>
      <w:bookmarkEnd w:id="85"/>
      <w:bookmarkEnd w:id="86"/>
      <w:bookmarkEnd w:id="87"/>
      <w:bookmarkEnd w:id="88"/>
      <w:bookmarkEnd w:id="89"/>
      <w:bookmarkEnd w:id="90"/>
      <w:bookmarkEnd w:id="91"/>
      <w:bookmarkEnd w:id="92"/>
      <w:bookmarkEnd w:id="93"/>
      <w:r w:rsidRPr="00A635B0">
        <w:rPr>
          <w:rtl/>
          <w:lang w:val="en-GB"/>
        </w:rPr>
        <w:t xml:space="preserve"> الدولي للاتصالات</w:t>
      </w:r>
      <w:bookmarkEnd w:id="94"/>
    </w:p>
    <w:p w14:paraId="5205303A" w14:textId="30BC308D" w:rsidR="00A635B0" w:rsidRPr="003866C9" w:rsidRDefault="00A635B0" w:rsidP="003866C9">
      <w:pPr>
        <w:rPr>
          <w:rtl/>
          <w:lang w:val="en-GB" w:bidi="ar-EG"/>
        </w:rPr>
      </w:pPr>
      <w:r w:rsidRPr="003866C9">
        <w:rPr>
          <w:rtl/>
          <w:lang w:val="en-GB" w:bidi="ar-EG"/>
        </w:rPr>
        <w:t xml:space="preserve">الاتحاد الدولي للاتصالات </w:t>
      </w:r>
      <w:r w:rsidRPr="003866C9">
        <w:rPr>
          <w:lang w:bidi="ar-EG"/>
        </w:rPr>
        <w:t>(ITU)</w:t>
      </w:r>
      <w:r w:rsidRPr="003866C9">
        <w:rPr>
          <w:rtl/>
          <w:lang w:val="en-GB" w:bidi="ar-EG"/>
        </w:rPr>
        <w:t xml:space="preserve"> هو الوكالة المتخصصة في تكنولوجيا المعلومات والاتصالات </w:t>
      </w:r>
      <w:r w:rsidRPr="003866C9">
        <w:rPr>
          <w:lang w:bidi="ar-EG"/>
        </w:rPr>
        <w:t>(ICT)</w:t>
      </w:r>
      <w:r w:rsidRPr="003866C9">
        <w:rPr>
          <w:rtl/>
          <w:lang w:val="en-GB" w:bidi="ar-EG"/>
        </w:rPr>
        <w:t xml:space="preserve"> بمنظومة </w:t>
      </w:r>
      <w:hyperlink r:id="rId23" w:history="1">
        <w:r w:rsidRPr="00312081">
          <w:rPr>
            <w:rStyle w:val="Hyperlink"/>
            <w:noProof w:val="0"/>
            <w:rtl/>
            <w:lang w:eastAsia="zh-CN" w:bidi="ar-EG"/>
          </w:rPr>
          <w:t>الأمم المتحدة</w:t>
        </w:r>
      </w:hyperlink>
      <w:r w:rsidRPr="003866C9">
        <w:rPr>
          <w:rtl/>
          <w:lang w:val="en-GB" w:bidi="ar-EG"/>
        </w:rPr>
        <w:t xml:space="preserve">. إذ يساعد الاتحاد العالم في التواصل، كونه المحفل العالمي الذي تلتقي فيه الحكومات والقطاع الخاص، وذلك عن طريق الأمانة العامة وقطاعاته الثلاثة، ألا وهي </w:t>
      </w:r>
      <w:r w:rsidRPr="00927939">
        <w:rPr>
          <w:rtl/>
          <w:lang w:val="en-GB" w:bidi="ar-EG"/>
        </w:rPr>
        <w:t xml:space="preserve">قطاع </w:t>
      </w:r>
      <w:hyperlink r:id="rId24" w:history="1">
        <w:r w:rsidRPr="00927939">
          <w:rPr>
            <w:rStyle w:val="Hyperlink"/>
            <w:noProof w:val="0"/>
            <w:rtl/>
            <w:lang w:eastAsia="zh-CN" w:bidi="ar-EG"/>
          </w:rPr>
          <w:t>الاتصالات الراديوية</w:t>
        </w:r>
      </w:hyperlink>
      <w:r w:rsidRPr="003866C9">
        <w:rPr>
          <w:rtl/>
          <w:lang w:val="en-GB" w:bidi="ar-EG"/>
        </w:rPr>
        <w:t xml:space="preserve"> </w:t>
      </w:r>
      <w:r w:rsidRPr="003866C9">
        <w:rPr>
          <w:rtl/>
          <w:lang w:val="en-GB"/>
        </w:rPr>
        <w:t>و</w:t>
      </w:r>
      <w:r w:rsidRPr="00927939">
        <w:rPr>
          <w:rtl/>
          <w:lang w:val="en-GB"/>
        </w:rPr>
        <w:t xml:space="preserve">قطاع </w:t>
      </w:r>
      <w:hyperlink r:id="rId25" w:anchor="/ar" w:history="1">
        <w:r w:rsidRPr="00927939">
          <w:rPr>
            <w:rStyle w:val="Hyperlink"/>
            <w:noProof w:val="0"/>
            <w:rtl/>
            <w:lang w:eastAsia="zh-CN"/>
          </w:rPr>
          <w:t>تقييس الاتصالات</w:t>
        </w:r>
      </w:hyperlink>
      <w:r w:rsidRPr="003866C9">
        <w:rPr>
          <w:rtl/>
          <w:lang w:val="en-GB" w:bidi="ar-EG"/>
        </w:rPr>
        <w:t xml:space="preserve"> </w:t>
      </w:r>
      <w:r w:rsidRPr="003866C9">
        <w:rPr>
          <w:rtl/>
          <w:lang w:val="en-GB"/>
        </w:rPr>
        <w:t xml:space="preserve">وقطاع </w:t>
      </w:r>
      <w:hyperlink r:id="rId26" w:history="1">
        <w:r w:rsidRPr="00927939">
          <w:rPr>
            <w:rStyle w:val="Hyperlink"/>
            <w:noProof w:val="0"/>
            <w:rtl/>
            <w:lang w:eastAsia="zh-CN"/>
          </w:rPr>
          <w:t>تنمية الاتصالات</w:t>
        </w:r>
      </w:hyperlink>
      <w:r w:rsidRPr="003866C9">
        <w:rPr>
          <w:rtl/>
          <w:lang w:val="en-GB"/>
        </w:rPr>
        <w:t>.</w:t>
      </w:r>
      <w:r w:rsidRPr="003866C9">
        <w:rPr>
          <w:rtl/>
          <w:lang w:val="en-GB" w:bidi="ar-EG"/>
        </w:rPr>
        <w:t xml:space="preserve"> ويعترف الاتحاد اعترافاً كاملاً بالحق السيادي لكل دولة في تنظيم اتصالاتها.</w:t>
      </w:r>
    </w:p>
    <w:p w14:paraId="2C180F4B" w14:textId="28D3C346" w:rsidR="00A635B0" w:rsidRPr="003866C9" w:rsidRDefault="00A635B0" w:rsidP="00927939">
      <w:pPr>
        <w:rPr>
          <w:rtl/>
          <w:lang w:val="en-GB" w:bidi="ar-EG"/>
        </w:rPr>
      </w:pPr>
      <w:r w:rsidRPr="003866C9">
        <w:rPr>
          <w:rtl/>
          <w:lang w:val="en-GB" w:bidi="ar-EG"/>
        </w:rPr>
        <w:t xml:space="preserve">وكان الاتحاد </w:t>
      </w:r>
      <w:r w:rsidRPr="003866C9">
        <w:rPr>
          <w:rFonts w:hint="cs"/>
          <w:rtl/>
          <w:lang w:val="en-GB" w:bidi="ar-EG"/>
        </w:rPr>
        <w:t>المسؤول الأول</w:t>
      </w:r>
      <w:r w:rsidRPr="003866C9">
        <w:rPr>
          <w:rtl/>
          <w:lang w:val="en-GB" w:bidi="ar-EG"/>
        </w:rPr>
        <w:t xml:space="preserve"> عن التنظيم لعقد </w:t>
      </w:r>
      <w:hyperlink r:id="rId27" w:history="1">
        <w:r w:rsidRPr="00927939">
          <w:rPr>
            <w:rStyle w:val="Hyperlink"/>
            <w:noProof w:val="0"/>
            <w:rtl/>
            <w:lang w:eastAsia="zh-CN" w:bidi="ar-EG"/>
          </w:rPr>
          <w:t>القمة العالمية لمجتمع المعلومات</w:t>
        </w:r>
      </w:hyperlink>
      <w:r w:rsidRPr="003866C9">
        <w:rPr>
          <w:rtl/>
          <w:lang w:val="en-GB" w:bidi="ar-SY"/>
        </w:rPr>
        <w:t xml:space="preserve">، التي عُقدت </w:t>
      </w:r>
      <w:r w:rsidRPr="003866C9">
        <w:rPr>
          <w:rFonts w:hint="cs"/>
          <w:rtl/>
          <w:lang w:val="en-GB" w:bidi="ar-SY"/>
        </w:rPr>
        <w:t>في سنت</w:t>
      </w:r>
      <w:r w:rsidRPr="003866C9">
        <w:rPr>
          <w:rtl/>
          <w:lang w:val="en-GB" w:bidi="ar-SY"/>
        </w:rPr>
        <w:t>ي 2003 و2005.</w:t>
      </w:r>
    </w:p>
    <w:p w14:paraId="00CABB2F" w14:textId="4D1363C8" w:rsidR="003F64C2" w:rsidRPr="003866C9" w:rsidRDefault="003F64C2" w:rsidP="003F64C2">
      <w:pPr>
        <w:rPr>
          <w:rtl/>
          <w:lang w:val="en-GB"/>
        </w:rPr>
      </w:pPr>
      <w:r w:rsidRPr="003866C9">
        <w:rPr>
          <w:rtl/>
          <w:lang w:val="en-GB" w:bidi="ar-EG"/>
        </w:rPr>
        <w:t xml:space="preserve">ويتألف الاتحاد من 194 دولةً عضواً وما يربو على </w:t>
      </w:r>
      <w:r>
        <w:rPr>
          <w:lang w:val="en-GB" w:bidi="ar-EG"/>
        </w:rPr>
        <w:t>1 000</w:t>
      </w:r>
      <w:r w:rsidRPr="003866C9">
        <w:rPr>
          <w:rtl/>
          <w:lang w:val="en-GB" w:bidi="ar-EG"/>
        </w:rPr>
        <w:t xml:space="preserve"> شركة وجامعة ومنظمة دولية </w:t>
      </w:r>
      <w:r w:rsidRPr="00031D0B">
        <w:rPr>
          <w:rtl/>
          <w:lang w:val="en-GB" w:bidi="ar-EG"/>
        </w:rPr>
        <w:t xml:space="preserve">وإقليمية. ويتخذ من جنيف بسويسرا مقراً له، وتمثله مكاتب إقليمية ومكاتب مناطق في كل قارات العالم، كما يمثله مكتب اتصال لدى الأمم المتحدة في نيويورك، ووحدة تنسيق أوروبية بالمقر الرئيسي. </w:t>
      </w:r>
      <w:r w:rsidRPr="00031D0B">
        <w:rPr>
          <w:rtl/>
          <w:lang w:val="en-GB"/>
        </w:rPr>
        <w:t>والاتحاد أقدم وكالة في أسرة الأمم المتحدة، إذ ما فتئ يربط أصقاع العالم منذ فجر اختراع</w:t>
      </w:r>
      <w:r w:rsidRPr="00031D0B">
        <w:rPr>
          <w:rFonts w:hint="cs"/>
          <w:rtl/>
          <w:lang w:val="en-GB" w:bidi="ar-EG"/>
        </w:rPr>
        <w:t xml:space="preserve"> الإبراق</w:t>
      </w:r>
      <w:r w:rsidRPr="00031D0B">
        <w:rPr>
          <w:rtl/>
          <w:lang w:val="en-GB"/>
        </w:rPr>
        <w:t xml:space="preserve"> في </w:t>
      </w:r>
      <w:r w:rsidRPr="00031D0B">
        <w:rPr>
          <w:rFonts w:hint="cs"/>
          <w:rtl/>
          <w:lang w:val="en-GB"/>
        </w:rPr>
        <w:t xml:space="preserve">سنة </w:t>
      </w:r>
      <w:r w:rsidRPr="00031D0B">
        <w:rPr>
          <w:rtl/>
          <w:lang w:val="en-GB"/>
        </w:rPr>
        <w:t xml:space="preserve">1865. ويقع مقره في </w:t>
      </w:r>
      <w:r w:rsidRPr="00031D0B">
        <w:rPr>
          <w:lang w:bidi="ar-EG"/>
        </w:rPr>
        <w:t>Place des Nations, 1211 Geneva 20, Switzerland</w:t>
      </w:r>
      <w:r w:rsidRPr="00031D0B">
        <w:rPr>
          <w:rtl/>
          <w:lang w:val="en-GB"/>
        </w:rPr>
        <w:t>.</w:t>
      </w:r>
    </w:p>
    <w:p w14:paraId="148E1514" w14:textId="77777777" w:rsidR="00A635B0" w:rsidRPr="003866C9" w:rsidRDefault="00A635B0" w:rsidP="002C1BA7">
      <w:pPr>
        <w:rPr>
          <w:rtl/>
          <w:lang w:val="en-GB" w:bidi="ar-EG"/>
        </w:rPr>
      </w:pPr>
      <w:r w:rsidRPr="003866C9">
        <w:rPr>
          <w:rtl/>
          <w:lang w:val="en-GB" w:bidi="ar-EG"/>
        </w:rPr>
        <w:t>وفيما يلي مقاصد الاتحاد:</w:t>
      </w:r>
    </w:p>
    <w:p w14:paraId="29CB614E" w14:textId="77777777" w:rsidR="00A635B0" w:rsidRPr="00584E7F" w:rsidRDefault="00A635B0" w:rsidP="00584E7F">
      <w:pPr>
        <w:pStyle w:val="enumlev1"/>
        <w:rPr>
          <w:rtl/>
        </w:rPr>
      </w:pPr>
      <w:bookmarkStart w:id="95" w:name="_Toc520365437"/>
      <w:r w:rsidRPr="00584E7F">
        <w:rPr>
          <w:rtl/>
        </w:rPr>
        <w:t>-</w:t>
      </w:r>
      <w:r w:rsidRPr="00584E7F">
        <w:rPr>
          <w:rtl/>
        </w:rPr>
        <w:tab/>
        <w:t>الحفاظ على التعاون الدولي فيما بين جميع الدول الأعضاء فيه وتوسيعه، لتحسين الاتصالات بجميع أنواعها وترشيد استخدامها؛</w:t>
      </w:r>
      <w:bookmarkEnd w:id="95"/>
    </w:p>
    <w:p w14:paraId="7A60BA49" w14:textId="0B4BD03E" w:rsidR="00A635B0" w:rsidRPr="00584E7F" w:rsidRDefault="003866C9" w:rsidP="00584E7F">
      <w:pPr>
        <w:pStyle w:val="enumlev1"/>
        <w:rPr>
          <w:lang w:bidi="ar-EG"/>
        </w:rPr>
      </w:pPr>
      <w:r w:rsidRPr="00584E7F">
        <w:rPr>
          <w:rtl/>
        </w:rPr>
        <w:t>-</w:t>
      </w:r>
      <w:r w:rsidR="00A635B0" w:rsidRPr="00584E7F">
        <w:rPr>
          <w:rtl/>
        </w:rPr>
        <w:tab/>
        <w:t>حفز تطوير المرافق التقنية وتشغيلها بأقصى كفاءة ممكنة بغية تحسين كفاءة خدمات الاتصالات وزيادة فائدتها وإتاحتها للجمهور قدر المستطاع؛</w:t>
      </w:r>
    </w:p>
    <w:p w14:paraId="6BD77143" w14:textId="3E6F752E" w:rsidR="00A635B0" w:rsidRPr="00584E7F" w:rsidRDefault="003866C9" w:rsidP="00584E7F">
      <w:pPr>
        <w:pStyle w:val="enumlev1"/>
        <w:rPr>
          <w:lang w:bidi="ar-EG"/>
        </w:rPr>
      </w:pPr>
      <w:r w:rsidRPr="00584E7F">
        <w:rPr>
          <w:rtl/>
        </w:rPr>
        <w:t>-</w:t>
      </w:r>
      <w:r w:rsidR="00A635B0" w:rsidRPr="00584E7F">
        <w:rPr>
          <w:rtl/>
        </w:rPr>
        <w:tab/>
        <w:t>تعزيز توسيع نطاق فوائد تكنولوجيات الاتصالات الجديدة لتعمَّ على سكان العالم كافة؛</w:t>
      </w:r>
    </w:p>
    <w:p w14:paraId="43210329" w14:textId="7743AE77" w:rsidR="00A635B0" w:rsidRPr="00584E7F" w:rsidRDefault="003866C9" w:rsidP="00584E7F">
      <w:pPr>
        <w:pStyle w:val="enumlev1"/>
        <w:rPr>
          <w:lang w:bidi="ar-EG"/>
        </w:rPr>
      </w:pPr>
      <w:r w:rsidRPr="00584E7F">
        <w:rPr>
          <w:rtl/>
        </w:rPr>
        <w:t>-</w:t>
      </w:r>
      <w:r w:rsidR="00A635B0" w:rsidRPr="00584E7F">
        <w:rPr>
          <w:rtl/>
        </w:rPr>
        <w:tab/>
        <w:t>التشجيع على استخدام خدمات الاتصالات بهدف تيسير العلاقات السلمية؛</w:t>
      </w:r>
    </w:p>
    <w:p w14:paraId="6DCB931B" w14:textId="77777777" w:rsidR="00EF3E76" w:rsidRDefault="003866C9" w:rsidP="00584E7F">
      <w:pPr>
        <w:pStyle w:val="enumlev1"/>
        <w:rPr>
          <w:rtl/>
        </w:rPr>
      </w:pPr>
      <w:r w:rsidRPr="00584E7F">
        <w:rPr>
          <w:rtl/>
        </w:rPr>
        <w:t>-</w:t>
      </w:r>
      <w:r w:rsidR="00A635B0" w:rsidRPr="00584E7F">
        <w:rPr>
          <w:rtl/>
        </w:rPr>
        <w:tab/>
        <w:t>تنسيق إجراءات الدول الأعضاء وتعزيز التعاون والشراكة المثمرين والبناءين بين الدول الأعضاء وأعضاء القطاعات إدراكاً لتلك الغايات؛</w:t>
      </w:r>
    </w:p>
    <w:p w14:paraId="161905A0" w14:textId="22FA0CD9" w:rsidR="00A635B0" w:rsidRPr="00584E7F" w:rsidRDefault="003866C9" w:rsidP="00584E7F">
      <w:pPr>
        <w:pStyle w:val="enumlev1"/>
        <w:rPr>
          <w:lang w:bidi="ar-EG"/>
        </w:rPr>
      </w:pPr>
      <w:r w:rsidRPr="00584E7F">
        <w:rPr>
          <w:rtl/>
        </w:rPr>
        <w:t>-</w:t>
      </w:r>
      <w:r w:rsidR="00A635B0" w:rsidRPr="00584E7F">
        <w:rPr>
          <w:rtl/>
        </w:rPr>
        <w:tab/>
        <w:t>التشجيع دولياً على اعتماد نهج أوسع نطاقاً لمعالجة قضايا الاتصالات في اقتصاد ومجتمع المعلومات العالميين، بالتعاون مع سائر المنظمات الحكومية الدولية العالمية والإقليمية والمنظمات غير الحكومية المعنية بالاتصالات.</w:t>
      </w:r>
    </w:p>
    <w:p w14:paraId="58F97C0D" w14:textId="77777777" w:rsidR="00A635B0" w:rsidRPr="00A635B0" w:rsidRDefault="00A635B0" w:rsidP="003866C9">
      <w:pPr>
        <w:rPr>
          <w:rtl/>
          <w:lang w:val="en-GB"/>
        </w:rPr>
      </w:pPr>
      <w:r w:rsidRPr="00A635B0">
        <w:rPr>
          <w:rtl/>
          <w:lang w:val="en-GB"/>
        </w:rPr>
        <w:t>ويشكل مؤتمر المندوبين المفوضين الجهاز الأعلى للاتحاد، ويُعقد كل أربع سنوات. وفي الفترات الفاصلة بين مؤتمرات المندوبين المفوضين، يعمل المجلس، المؤلف من 48 دولةً عضواً، بصفته الهيئة الرئاسية للاتحاد، نيابةً عن مؤتمر المندوبين المفوضين وفقاً للصلاحيات المفوضة له. ويضطلع المؤتمر بما يلي:</w:t>
      </w:r>
    </w:p>
    <w:p w14:paraId="7618F003" w14:textId="426218A2" w:rsidR="00A635B0" w:rsidRPr="00584E7F" w:rsidRDefault="003866C9" w:rsidP="00584E7F">
      <w:pPr>
        <w:pStyle w:val="enumlev1"/>
        <w:rPr>
          <w:lang w:bidi="ar-EG"/>
        </w:rPr>
      </w:pPr>
      <w:bookmarkStart w:id="96" w:name="_Toc162520620"/>
      <w:bookmarkStart w:id="97" w:name="_Toc199403738"/>
      <w:r w:rsidRPr="00584E7F">
        <w:sym w:font="Wingdings 2" w:char="F097"/>
      </w:r>
      <w:r w:rsidRPr="00584E7F">
        <w:tab/>
      </w:r>
      <w:r w:rsidR="00A635B0" w:rsidRPr="00584E7F">
        <w:rPr>
          <w:rtl/>
        </w:rPr>
        <w:t>يحدد السياسات العامة للاتحاد؛</w:t>
      </w:r>
    </w:p>
    <w:p w14:paraId="35BC9582" w14:textId="30EE4A47" w:rsidR="00A635B0" w:rsidRPr="00584E7F" w:rsidRDefault="003866C9" w:rsidP="00584E7F">
      <w:pPr>
        <w:pStyle w:val="enumlev1"/>
        <w:rPr>
          <w:lang w:bidi="ar-EG"/>
        </w:rPr>
      </w:pPr>
      <w:r w:rsidRPr="00584E7F">
        <w:sym w:font="Wingdings 2" w:char="F097"/>
      </w:r>
      <w:r w:rsidRPr="00584E7F">
        <w:tab/>
      </w:r>
      <w:r w:rsidR="00A635B0" w:rsidRPr="00584E7F">
        <w:rPr>
          <w:rtl/>
        </w:rPr>
        <w:t>يعتمد الخطتين الاستراتيجية والمالية الرباعيتين؛</w:t>
      </w:r>
    </w:p>
    <w:p w14:paraId="1EC05DCB" w14:textId="40A45764" w:rsidR="00A635B0" w:rsidRPr="00584E7F" w:rsidRDefault="003866C9" w:rsidP="00584E7F">
      <w:pPr>
        <w:pStyle w:val="enumlev1"/>
        <w:rPr>
          <w:lang w:bidi="ar-EG"/>
        </w:rPr>
      </w:pPr>
      <w:r w:rsidRPr="00584E7F">
        <w:sym w:font="Wingdings 2" w:char="F097"/>
      </w:r>
      <w:r w:rsidRPr="00584E7F">
        <w:tab/>
      </w:r>
      <w:r w:rsidR="00A635B0" w:rsidRPr="00584E7F">
        <w:rPr>
          <w:rtl/>
        </w:rPr>
        <w:t>يفحص حسابات الاتحاد ويقدم الموافقة النهائية عليها، عند الاقتضاء؛</w:t>
      </w:r>
    </w:p>
    <w:p w14:paraId="54DAE5C0" w14:textId="7BB969BF" w:rsidR="00A635B0" w:rsidRPr="00584E7F" w:rsidRDefault="003866C9" w:rsidP="00584E7F">
      <w:pPr>
        <w:pStyle w:val="enumlev1"/>
        <w:rPr>
          <w:lang w:bidi="ar-EG"/>
        </w:rPr>
      </w:pPr>
      <w:r w:rsidRPr="00584E7F">
        <w:sym w:font="Wingdings 2" w:char="F097"/>
      </w:r>
      <w:r w:rsidRPr="00584E7F">
        <w:tab/>
      </w:r>
      <w:r w:rsidR="00A635B0" w:rsidRPr="00584E7F">
        <w:rPr>
          <w:rtl/>
        </w:rPr>
        <w:t>ينتخب الدول الأعضاء في المجلس؛</w:t>
      </w:r>
    </w:p>
    <w:p w14:paraId="6CACC8A5" w14:textId="131ABD19" w:rsidR="00A635B0" w:rsidRPr="00584E7F" w:rsidRDefault="003866C9" w:rsidP="00584E7F">
      <w:pPr>
        <w:pStyle w:val="enumlev1"/>
        <w:rPr>
          <w:lang w:bidi="ar-EG"/>
        </w:rPr>
      </w:pPr>
      <w:r w:rsidRPr="00584E7F">
        <w:sym w:font="Wingdings 2" w:char="F097"/>
      </w:r>
      <w:r w:rsidRPr="00584E7F">
        <w:tab/>
      </w:r>
      <w:r w:rsidR="00A635B0" w:rsidRPr="00584E7F">
        <w:rPr>
          <w:rtl/>
        </w:rPr>
        <w:t>ينتخب الأمين العام ونائب الأمين العام ومديري المكاتب كمسؤولين منتخبين في الاتحاد؛</w:t>
      </w:r>
    </w:p>
    <w:p w14:paraId="3B9A503D" w14:textId="1607B40A" w:rsidR="00A635B0" w:rsidRPr="00584E7F" w:rsidRDefault="003866C9" w:rsidP="00584E7F">
      <w:pPr>
        <w:pStyle w:val="enumlev1"/>
        <w:rPr>
          <w:lang w:bidi="ar-EG"/>
        </w:rPr>
      </w:pPr>
      <w:r w:rsidRPr="00584E7F">
        <w:sym w:font="Wingdings 2" w:char="F097"/>
      </w:r>
      <w:r w:rsidRPr="00584E7F">
        <w:tab/>
      </w:r>
      <w:r w:rsidR="00584E7F">
        <w:rPr>
          <w:rFonts w:hint="cs"/>
          <w:rtl/>
          <w:lang w:bidi="ar-EG"/>
        </w:rPr>
        <w:t>و</w:t>
      </w:r>
      <w:r w:rsidR="00A635B0" w:rsidRPr="00584E7F">
        <w:rPr>
          <w:rtl/>
        </w:rPr>
        <w:t xml:space="preserve">ينتخب أعضاء </w:t>
      </w:r>
      <w:hyperlink r:id="rId28" w:history="1">
        <w:r w:rsidR="00A635B0" w:rsidRPr="00312081">
          <w:rPr>
            <w:rStyle w:val="Hyperlink"/>
            <w:noProof w:val="0"/>
            <w:rtl/>
            <w:lang w:val="en-US" w:eastAsia="zh-CN"/>
          </w:rPr>
          <w:t>لجنة لوائح الراديو</w:t>
        </w:r>
      </w:hyperlink>
      <w:r w:rsidR="00A635B0" w:rsidRPr="00312081">
        <w:rPr>
          <w:rtl/>
        </w:rPr>
        <w:t>.</w:t>
      </w:r>
    </w:p>
    <w:p w14:paraId="2A04F606" w14:textId="77777777" w:rsidR="00A635B0" w:rsidRPr="00A635B0" w:rsidRDefault="00A635B0" w:rsidP="009F4F01">
      <w:pPr>
        <w:pStyle w:val="Heading1"/>
        <w:rPr>
          <w:lang w:val="en-GB"/>
        </w:rPr>
      </w:pPr>
      <w:bookmarkStart w:id="98" w:name="_Toc201043141"/>
      <w:r w:rsidRPr="00A635B0">
        <w:rPr>
          <w:rtl/>
          <w:lang w:val="en-GB"/>
        </w:rPr>
        <w:t>الملاحظة 2</w:t>
      </w:r>
      <w:r w:rsidRPr="00A635B0">
        <w:rPr>
          <w:rtl/>
          <w:lang w:val="en-GB"/>
        </w:rPr>
        <w:tab/>
        <w:t>أساس عملتي الإعداد والعرض</w:t>
      </w:r>
      <w:bookmarkEnd w:id="96"/>
      <w:bookmarkEnd w:id="97"/>
      <w:bookmarkEnd w:id="98"/>
    </w:p>
    <w:p w14:paraId="1B5F110F" w14:textId="0CA72686" w:rsidR="00A635B0" w:rsidRPr="00A635B0" w:rsidRDefault="00A635B0" w:rsidP="00584E7F">
      <w:pPr>
        <w:rPr>
          <w:lang w:bidi="ar-EG"/>
        </w:rPr>
      </w:pPr>
      <w:r w:rsidRPr="00A635B0">
        <w:rPr>
          <w:rtl/>
          <w:lang w:val="en-GB"/>
        </w:rPr>
        <w:t>أُعِّدت البيانات المالية ل</w:t>
      </w:r>
      <w:r w:rsidRPr="00A635B0">
        <w:rPr>
          <w:rFonts w:hint="cs"/>
          <w:rtl/>
          <w:lang w:val="en-GB"/>
        </w:rPr>
        <w:t>سنة</w:t>
      </w:r>
      <w:r w:rsidRPr="00A635B0">
        <w:rPr>
          <w:rtl/>
          <w:lang w:val="en-GB"/>
        </w:rPr>
        <w:t xml:space="preserve"> 2024 وفقاً للمعايير المحاسبية الدولية للقطاع السنة (IPSAS). وتُعرض بالفرنك السويسري، عملة الإبلاغ والعملة الوظيفية للاتحاد الدولي للاتصالات، و</w:t>
      </w:r>
      <w:r w:rsidRPr="00A635B0">
        <w:rPr>
          <w:rFonts w:hint="cs"/>
          <w:rtl/>
          <w:lang w:val="en-GB"/>
        </w:rPr>
        <w:t xml:space="preserve">قد </w:t>
      </w:r>
      <w:r w:rsidRPr="00A635B0">
        <w:rPr>
          <w:rtl/>
          <w:lang w:val="en-GB"/>
        </w:rPr>
        <w:t>قُربت القيم إلى أقرب ألف. وط</w:t>
      </w:r>
      <w:r w:rsidRPr="00A635B0">
        <w:rPr>
          <w:rFonts w:hint="cs"/>
          <w:rtl/>
          <w:lang w:val="en-GB"/>
        </w:rPr>
        <w:t>ُ</w:t>
      </w:r>
      <w:r w:rsidRPr="00A635B0">
        <w:rPr>
          <w:rtl/>
          <w:lang w:val="en-GB"/>
        </w:rPr>
        <w:t>بقت السياسات المحاسبية باتساق على جميع السنوات المعروضة. وتمتد السنة المالية من يناير إلى ديسمبر.</w:t>
      </w:r>
    </w:p>
    <w:p w14:paraId="291E2DDD" w14:textId="037D87EC" w:rsidR="00A635B0" w:rsidRPr="00A635B0" w:rsidRDefault="00A635B0" w:rsidP="00584E7F">
      <w:pPr>
        <w:rPr>
          <w:lang w:bidi="ar-EG"/>
        </w:rPr>
      </w:pPr>
      <w:r w:rsidRPr="00A635B0">
        <w:rPr>
          <w:rtl/>
          <w:lang w:val="en-GB"/>
        </w:rPr>
        <w:t>وقد أ</w:t>
      </w:r>
      <w:r w:rsidRPr="00A635B0">
        <w:rPr>
          <w:rFonts w:hint="cs"/>
          <w:rtl/>
          <w:lang w:val="en-GB"/>
        </w:rPr>
        <w:t>ُ</w:t>
      </w:r>
      <w:r w:rsidRPr="00A635B0">
        <w:rPr>
          <w:rtl/>
          <w:lang w:val="en-GB"/>
        </w:rPr>
        <w:t>عدت البيانات المالية على أساس التكلفة التاريخية، ما لم يُذكر خلاف ذلك. و</w:t>
      </w:r>
      <w:r w:rsidRPr="00A635B0">
        <w:rPr>
          <w:rFonts w:hint="cs"/>
          <w:rtl/>
          <w:lang w:val="en-GB"/>
        </w:rPr>
        <w:t>أُعد</w:t>
      </w:r>
      <w:r w:rsidRPr="00A635B0">
        <w:rPr>
          <w:rtl/>
          <w:lang w:val="en-GB"/>
        </w:rPr>
        <w:t xml:space="preserve"> </w:t>
      </w:r>
      <w:r w:rsidRPr="00A635B0">
        <w:rPr>
          <w:rFonts w:hint="cs"/>
          <w:rtl/>
          <w:lang w:val="en-GB"/>
        </w:rPr>
        <w:t xml:space="preserve">بيان </w:t>
      </w:r>
      <w:r w:rsidRPr="00A635B0">
        <w:rPr>
          <w:rtl/>
          <w:lang w:val="en-GB"/>
        </w:rPr>
        <w:t>التدفقات النقدية باستخدام الأسلوب غير المباشر. وتُعد البيانات المالية على أساس الاستحقاق واستمرارية</w:t>
      </w:r>
      <w:r w:rsidRPr="00A635B0">
        <w:rPr>
          <w:rtl/>
          <w:lang w:val="en-GB" w:bidi="ar-EG"/>
        </w:rPr>
        <w:t xml:space="preserve"> الأعمال</w:t>
      </w:r>
      <w:r w:rsidRPr="00A635B0">
        <w:rPr>
          <w:rtl/>
          <w:lang w:val="en-GB"/>
        </w:rPr>
        <w:t>.</w:t>
      </w:r>
    </w:p>
    <w:p w14:paraId="05D240B8" w14:textId="4BD5BA50" w:rsidR="00A635B0" w:rsidRPr="00A635B0" w:rsidRDefault="00A635B0" w:rsidP="00584E7F">
      <w:pPr>
        <w:rPr>
          <w:lang w:bidi="ar-EG"/>
        </w:rPr>
      </w:pPr>
      <w:r w:rsidRPr="00A635B0">
        <w:rPr>
          <w:rtl/>
          <w:lang w:val="en-GB"/>
        </w:rPr>
        <w:lastRenderedPageBreak/>
        <w:t>وتنص لوائح الاتحاد المالية وقواعده المالية على أن الفترة الميزانوية سنتان. بيْد أنه لإجراء مقارنة مفيدة بالبيانات المالية لسنة</w:t>
      </w:r>
      <w:r w:rsidR="00F878A6">
        <w:rPr>
          <w:lang w:val="en-GB"/>
        </w:rPr>
        <w:t> </w:t>
      </w:r>
      <w:r w:rsidRPr="00A635B0">
        <w:rPr>
          <w:rtl/>
          <w:lang w:val="en-GB"/>
        </w:rPr>
        <w:t xml:space="preserve">2024، تُعرض ميزانية سنة 2024 على أساس سنوي في </w:t>
      </w:r>
      <w:r w:rsidRPr="00A635B0">
        <w:rPr>
          <w:rFonts w:hint="cs"/>
          <w:rtl/>
          <w:lang w:val="en-GB"/>
        </w:rPr>
        <w:t>البيان الخامس</w:t>
      </w:r>
      <w:r w:rsidRPr="00A635B0">
        <w:rPr>
          <w:rtl/>
          <w:lang w:val="en-GB"/>
        </w:rPr>
        <w:t xml:space="preserve"> (</w:t>
      </w:r>
      <w:r w:rsidRPr="00A635B0">
        <w:rPr>
          <w:rFonts w:hint="cs"/>
          <w:rtl/>
          <w:lang w:val="en-GB"/>
        </w:rPr>
        <w:t>بيان</w:t>
      </w:r>
      <w:r w:rsidRPr="00A635B0">
        <w:rPr>
          <w:rtl/>
          <w:lang w:val="en-GB"/>
        </w:rPr>
        <w:t xml:space="preserve"> المقارنة - الميزانية والمبالغ الفعلية).</w:t>
      </w:r>
    </w:p>
    <w:p w14:paraId="6E09869E" w14:textId="77777777" w:rsidR="00A635B0" w:rsidRPr="00A635B0" w:rsidRDefault="00A635B0" w:rsidP="00584E7F">
      <w:pPr>
        <w:rPr>
          <w:lang w:bidi="ar-EG"/>
        </w:rPr>
      </w:pPr>
      <w:r w:rsidRPr="00A635B0">
        <w:rPr>
          <w:rtl/>
          <w:lang w:val="en-GB"/>
        </w:rPr>
        <w:t>وقد طبق الاتحاد مقتضيات المعايير المحاسبية الدولية للقطاع العام السارية في 1 يناير 2024 وامتثل لها، وتقدم الملاحظة 3 بشأن السياسات المحاسبية المهمة مزيداً من التفاصيل.</w:t>
      </w:r>
    </w:p>
    <w:p w14:paraId="7E7E48F1" w14:textId="77777777" w:rsidR="00A635B0" w:rsidRPr="00A635B0" w:rsidRDefault="00A635B0" w:rsidP="00584E7F">
      <w:pPr>
        <w:pStyle w:val="Headingi"/>
        <w:rPr>
          <w:lang w:val="en-GB" w:bidi="ar-EG"/>
        </w:rPr>
      </w:pPr>
      <w:r w:rsidRPr="00A635B0">
        <w:rPr>
          <w:rtl/>
          <w:lang w:val="en-GB" w:bidi="ar-SY"/>
        </w:rPr>
        <w:t>التغ</w:t>
      </w:r>
      <w:r w:rsidRPr="00A635B0">
        <w:rPr>
          <w:rFonts w:hint="cs"/>
          <w:rtl/>
          <w:lang w:val="en-GB" w:bidi="ar-SY"/>
        </w:rPr>
        <w:t>ي</w:t>
      </w:r>
      <w:r w:rsidRPr="00A635B0">
        <w:rPr>
          <w:rtl/>
          <w:lang w:val="en-GB" w:bidi="ar-SY"/>
        </w:rPr>
        <w:t>رات المحاسبية</w:t>
      </w:r>
      <w:r w:rsidRPr="00A635B0">
        <w:rPr>
          <w:rFonts w:hint="cs"/>
          <w:rtl/>
          <w:lang w:val="en-GB" w:bidi="ar-SY"/>
        </w:rPr>
        <w:t xml:space="preserve"> في المستقبل</w:t>
      </w:r>
    </w:p>
    <w:p w14:paraId="4DC134F8" w14:textId="482733C6" w:rsidR="00A635B0" w:rsidRPr="00A635B0" w:rsidRDefault="00A635B0" w:rsidP="00584E7F">
      <w:pPr>
        <w:rPr>
          <w:lang w:bidi="ar-EG"/>
        </w:rPr>
      </w:pPr>
      <w:r w:rsidRPr="00A635B0">
        <w:rPr>
          <w:rtl/>
          <w:lang w:val="en-GB"/>
        </w:rPr>
        <w:t xml:space="preserve">صدرت حتى 31 ديسمبر </w:t>
      </w:r>
      <w:r w:rsidRPr="00A635B0">
        <w:rPr>
          <w:lang w:bidi="ar-EG"/>
        </w:rPr>
        <w:t>2024</w:t>
      </w:r>
      <w:r w:rsidRPr="00A635B0">
        <w:rPr>
          <w:rtl/>
          <w:lang w:val="en-GB"/>
        </w:rPr>
        <w:t>، وهو تاريخ</w:t>
      </w:r>
      <w:r w:rsidR="00EF3E76">
        <w:rPr>
          <w:rtl/>
          <w:lang w:val="en-GB"/>
        </w:rPr>
        <w:t xml:space="preserve"> </w:t>
      </w:r>
      <w:r w:rsidRPr="00A635B0">
        <w:rPr>
          <w:rtl/>
          <w:lang w:val="en-GB"/>
        </w:rPr>
        <w:t>الوضع المالي، المعايير المحاسبية الدولية التالية للقطاع العام (IPSAS)، لكنها لم تدخل حيز النفاذ:</w:t>
      </w:r>
    </w:p>
    <w:tbl>
      <w:tblPr>
        <w:tblStyle w:val="TableGrid"/>
        <w:bidiVisual/>
        <w:tblW w:w="5000" w:type="pct"/>
        <w:jc w:val="center"/>
        <w:tblLayout w:type="fixed"/>
        <w:tblCellMar>
          <w:left w:w="57" w:type="dxa"/>
          <w:right w:w="57" w:type="dxa"/>
        </w:tblCellMar>
        <w:tblLook w:val="06A0" w:firstRow="1" w:lastRow="0" w:firstColumn="1" w:lastColumn="0" w:noHBand="1" w:noVBand="1"/>
      </w:tblPr>
      <w:tblGrid>
        <w:gridCol w:w="1192"/>
        <w:gridCol w:w="2074"/>
        <w:gridCol w:w="1564"/>
        <w:gridCol w:w="4799"/>
      </w:tblGrid>
      <w:tr w:rsidR="00A635B0" w:rsidRPr="00A635B0" w14:paraId="5FD79101" w14:textId="77777777" w:rsidTr="004A7F35">
        <w:trPr>
          <w:tblHeader/>
          <w:jc w:val="center"/>
        </w:trPr>
        <w:tc>
          <w:tcPr>
            <w:tcW w:w="1121" w:type="dxa"/>
            <w:shd w:val="clear" w:color="auto" w:fill="538DD5"/>
          </w:tcPr>
          <w:p w14:paraId="0819EBD5" w14:textId="77777777" w:rsidR="00A635B0" w:rsidRPr="004A7F35" w:rsidRDefault="00A635B0" w:rsidP="004A7F35">
            <w:pPr>
              <w:spacing w:before="80" w:after="80"/>
              <w:jc w:val="center"/>
              <w:rPr>
                <w:b/>
                <w:bCs/>
                <w:sz w:val="20"/>
                <w:szCs w:val="20"/>
                <w:rtl/>
                <w:lang w:val="en-GB" w:bidi="ar-EG"/>
              </w:rPr>
            </w:pPr>
            <w:r w:rsidRPr="004A7F35">
              <w:rPr>
                <w:b/>
                <w:bCs/>
                <w:sz w:val="20"/>
                <w:szCs w:val="20"/>
                <w:rtl/>
                <w:lang w:val="en-GB" w:bidi="ar-EG"/>
              </w:rPr>
              <w:t>المعيار</w:t>
            </w:r>
          </w:p>
        </w:tc>
        <w:tc>
          <w:tcPr>
            <w:tcW w:w="1952" w:type="dxa"/>
            <w:shd w:val="clear" w:color="auto" w:fill="538DD5"/>
          </w:tcPr>
          <w:p w14:paraId="657906C5" w14:textId="77777777" w:rsidR="00A635B0" w:rsidRPr="004A7F35" w:rsidRDefault="00A635B0" w:rsidP="004A7F35">
            <w:pPr>
              <w:spacing w:before="80" w:after="80"/>
              <w:jc w:val="center"/>
              <w:rPr>
                <w:b/>
                <w:bCs/>
                <w:sz w:val="20"/>
                <w:szCs w:val="20"/>
                <w:lang w:bidi="ar-EG"/>
              </w:rPr>
            </w:pPr>
            <w:r w:rsidRPr="004A7F35">
              <w:rPr>
                <w:b/>
                <w:bCs/>
                <w:sz w:val="20"/>
                <w:szCs w:val="20"/>
                <w:rtl/>
                <w:lang w:val="en-GB"/>
              </w:rPr>
              <w:t>العنوان</w:t>
            </w:r>
          </w:p>
        </w:tc>
        <w:tc>
          <w:tcPr>
            <w:tcW w:w="1472" w:type="dxa"/>
            <w:shd w:val="clear" w:color="auto" w:fill="538DD5"/>
          </w:tcPr>
          <w:p w14:paraId="6F059CD7" w14:textId="77777777" w:rsidR="00A635B0" w:rsidRPr="004A7F35" w:rsidRDefault="00A635B0" w:rsidP="004A7F35">
            <w:pPr>
              <w:spacing w:before="80" w:after="80"/>
              <w:jc w:val="center"/>
              <w:rPr>
                <w:b/>
                <w:bCs/>
                <w:sz w:val="20"/>
                <w:szCs w:val="20"/>
                <w:lang w:bidi="ar-EG"/>
              </w:rPr>
            </w:pPr>
            <w:r w:rsidRPr="004A7F35">
              <w:rPr>
                <w:b/>
                <w:bCs/>
                <w:sz w:val="20"/>
                <w:szCs w:val="20"/>
                <w:rtl/>
                <w:lang w:val="en-GB" w:bidi="ar-SY"/>
              </w:rPr>
              <w:t>التاريخ الفعلي</w:t>
            </w:r>
          </w:p>
        </w:tc>
        <w:tc>
          <w:tcPr>
            <w:tcW w:w="4516" w:type="dxa"/>
            <w:shd w:val="clear" w:color="auto" w:fill="538DD5"/>
          </w:tcPr>
          <w:p w14:paraId="455EC5D0" w14:textId="77777777" w:rsidR="00A635B0" w:rsidRPr="004A7F35" w:rsidRDefault="00A635B0" w:rsidP="004A7F35">
            <w:pPr>
              <w:spacing w:before="80" w:after="80"/>
              <w:jc w:val="center"/>
              <w:rPr>
                <w:b/>
                <w:bCs/>
                <w:sz w:val="20"/>
                <w:szCs w:val="20"/>
                <w:lang w:bidi="ar-EG"/>
              </w:rPr>
            </w:pPr>
            <w:r w:rsidRPr="004A7F35">
              <w:rPr>
                <w:b/>
                <w:bCs/>
                <w:sz w:val="20"/>
                <w:szCs w:val="20"/>
                <w:rtl/>
                <w:lang w:val="en-GB" w:bidi="ar-SY"/>
              </w:rPr>
              <w:t>الأثر المحتمل في سنة الاعتماد</w:t>
            </w:r>
          </w:p>
        </w:tc>
      </w:tr>
      <w:tr w:rsidR="00A635B0" w:rsidRPr="00A635B0" w14:paraId="5CEE4EDC" w14:textId="77777777" w:rsidTr="004A7F35">
        <w:trPr>
          <w:jc w:val="center"/>
        </w:trPr>
        <w:tc>
          <w:tcPr>
            <w:tcW w:w="1121" w:type="dxa"/>
          </w:tcPr>
          <w:p w14:paraId="6BE2C866" w14:textId="77777777" w:rsidR="00A635B0" w:rsidRPr="004A7F35" w:rsidRDefault="00A635B0" w:rsidP="004A7F35">
            <w:pPr>
              <w:spacing w:before="80" w:after="80"/>
              <w:rPr>
                <w:sz w:val="20"/>
                <w:szCs w:val="20"/>
                <w:lang w:bidi="ar-EG"/>
              </w:rPr>
            </w:pPr>
            <w:bookmarkStart w:id="99" w:name="lt_pId415"/>
            <w:r w:rsidRPr="004A7F35">
              <w:rPr>
                <w:sz w:val="20"/>
                <w:szCs w:val="20"/>
                <w:lang w:bidi="ar-EG"/>
              </w:rPr>
              <w:t>IPSAS 43</w:t>
            </w:r>
            <w:bookmarkEnd w:id="99"/>
          </w:p>
        </w:tc>
        <w:tc>
          <w:tcPr>
            <w:tcW w:w="1952" w:type="dxa"/>
          </w:tcPr>
          <w:p w14:paraId="762EE69D" w14:textId="77777777" w:rsidR="00A635B0" w:rsidRPr="004A7F35" w:rsidRDefault="00A635B0" w:rsidP="004A7F35">
            <w:pPr>
              <w:spacing w:before="80" w:after="80"/>
              <w:rPr>
                <w:sz w:val="20"/>
                <w:szCs w:val="20"/>
                <w:lang w:bidi="ar-EG"/>
              </w:rPr>
            </w:pPr>
            <w:r w:rsidRPr="004A7F35">
              <w:rPr>
                <w:sz w:val="20"/>
                <w:szCs w:val="20"/>
                <w:rtl/>
                <w:lang w:val="en-GB"/>
              </w:rPr>
              <w:t>عقود الإيجار</w:t>
            </w:r>
          </w:p>
        </w:tc>
        <w:tc>
          <w:tcPr>
            <w:tcW w:w="1472" w:type="dxa"/>
          </w:tcPr>
          <w:p w14:paraId="00521518" w14:textId="77777777" w:rsidR="00A635B0" w:rsidRPr="004A7F35" w:rsidRDefault="00A635B0" w:rsidP="004A7F35">
            <w:pPr>
              <w:spacing w:before="80" w:after="80"/>
              <w:rPr>
                <w:sz w:val="20"/>
                <w:szCs w:val="20"/>
                <w:lang w:bidi="ar-EG"/>
              </w:rPr>
            </w:pPr>
            <w:r w:rsidRPr="004A7F35">
              <w:rPr>
                <w:sz w:val="20"/>
                <w:szCs w:val="20"/>
                <w:rtl/>
                <w:lang w:val="en-GB"/>
              </w:rPr>
              <w:t>01 يناير 2025</w:t>
            </w:r>
          </w:p>
        </w:tc>
        <w:tc>
          <w:tcPr>
            <w:tcW w:w="4516" w:type="dxa"/>
          </w:tcPr>
          <w:p w14:paraId="67FFD72A" w14:textId="77777777" w:rsidR="00A635B0" w:rsidRPr="004A7F35" w:rsidRDefault="00A635B0" w:rsidP="004A7F35">
            <w:pPr>
              <w:spacing w:before="80" w:after="80"/>
              <w:rPr>
                <w:sz w:val="20"/>
                <w:szCs w:val="20"/>
                <w:lang w:bidi="ar-EG"/>
              </w:rPr>
            </w:pPr>
            <w:r w:rsidRPr="004A7F35">
              <w:rPr>
                <w:sz w:val="20"/>
                <w:szCs w:val="20"/>
                <w:rtl/>
                <w:lang w:val="en-GB"/>
              </w:rPr>
              <w:t xml:space="preserve">يحدد مبادئ الاعتراف بالإيجارات وقياسها وعرضها والإفصاح عنها. وقد استعرض الاتحاد محفظة عقوده من أجل تحديد عقود الإيجار المهمة </w:t>
            </w:r>
            <w:r w:rsidRPr="004A7F35">
              <w:rPr>
                <w:sz w:val="20"/>
                <w:szCs w:val="20"/>
                <w:rtl/>
                <w:lang w:val="en-GB" w:bidi="ar-EG"/>
              </w:rPr>
              <w:t>نسبياً</w:t>
            </w:r>
            <w:r w:rsidRPr="004A7F35">
              <w:rPr>
                <w:sz w:val="20"/>
                <w:szCs w:val="20"/>
                <w:rtl/>
                <w:lang w:val="en-GB"/>
              </w:rPr>
              <w:t xml:space="preserve">، ولا يتوقع أن يكون لهذا المعيار تأثير </w:t>
            </w:r>
            <w:r w:rsidRPr="004A7F35">
              <w:rPr>
                <w:sz w:val="20"/>
                <w:szCs w:val="20"/>
                <w:rtl/>
                <w:lang w:val="en-GB" w:bidi="ar-EG"/>
              </w:rPr>
              <w:t xml:space="preserve">مهم نسبياً </w:t>
            </w:r>
            <w:r w:rsidRPr="004A7F35">
              <w:rPr>
                <w:sz w:val="20"/>
                <w:szCs w:val="20"/>
                <w:rtl/>
                <w:lang w:val="en-GB"/>
              </w:rPr>
              <w:t>على البيانات المالية للاتحاد.</w:t>
            </w:r>
          </w:p>
        </w:tc>
      </w:tr>
      <w:tr w:rsidR="00A635B0" w:rsidRPr="00A635B0" w14:paraId="7650AB90" w14:textId="77777777" w:rsidTr="004A7F35">
        <w:trPr>
          <w:jc w:val="center"/>
        </w:trPr>
        <w:tc>
          <w:tcPr>
            <w:tcW w:w="1121" w:type="dxa"/>
          </w:tcPr>
          <w:p w14:paraId="3D5425AA" w14:textId="77777777" w:rsidR="00A635B0" w:rsidRPr="004A7F35" w:rsidRDefault="00A635B0" w:rsidP="004A7F35">
            <w:pPr>
              <w:spacing w:before="80" w:after="80"/>
              <w:rPr>
                <w:sz w:val="20"/>
                <w:szCs w:val="20"/>
                <w:lang w:bidi="ar-EG"/>
              </w:rPr>
            </w:pPr>
            <w:bookmarkStart w:id="100" w:name="lt_pId422"/>
            <w:r w:rsidRPr="004A7F35">
              <w:rPr>
                <w:sz w:val="20"/>
                <w:szCs w:val="20"/>
                <w:lang w:bidi="ar-EG"/>
              </w:rPr>
              <w:t>IPSAS 44</w:t>
            </w:r>
            <w:bookmarkEnd w:id="100"/>
          </w:p>
        </w:tc>
        <w:tc>
          <w:tcPr>
            <w:tcW w:w="1952" w:type="dxa"/>
          </w:tcPr>
          <w:p w14:paraId="6035B922" w14:textId="33B04AF7" w:rsidR="00A635B0" w:rsidRPr="004A7F35" w:rsidRDefault="00A635B0" w:rsidP="004A7F35">
            <w:pPr>
              <w:spacing w:before="80" w:after="80"/>
              <w:rPr>
                <w:sz w:val="20"/>
                <w:szCs w:val="20"/>
                <w:lang w:bidi="ar-EG"/>
              </w:rPr>
            </w:pPr>
            <w:r w:rsidRPr="004A7F35">
              <w:rPr>
                <w:sz w:val="20"/>
                <w:szCs w:val="20"/>
                <w:rtl/>
                <w:lang w:val="en-GB"/>
              </w:rPr>
              <w:t xml:space="preserve">الأصول غير الجارية </w:t>
            </w:r>
            <w:r w:rsidRPr="00656DB6">
              <w:rPr>
                <w:rFonts w:hint="cs"/>
                <w:sz w:val="20"/>
                <w:szCs w:val="20"/>
                <w:rtl/>
                <w:lang w:val="en-GB"/>
              </w:rPr>
              <w:t>ال</w:t>
            </w:r>
            <w:r w:rsidR="003F64C2" w:rsidRPr="00656DB6">
              <w:rPr>
                <w:rFonts w:hint="cs"/>
                <w:sz w:val="20"/>
                <w:szCs w:val="20"/>
                <w:rtl/>
                <w:lang w:val="en-GB"/>
              </w:rPr>
              <w:t>مَ</w:t>
            </w:r>
            <w:r w:rsidRPr="00656DB6">
              <w:rPr>
                <w:rFonts w:hint="cs"/>
                <w:sz w:val="20"/>
                <w:szCs w:val="20"/>
                <w:rtl/>
                <w:lang w:val="en-GB"/>
              </w:rPr>
              <w:t>حوزة</w:t>
            </w:r>
            <w:r w:rsidRPr="004A7F35">
              <w:rPr>
                <w:sz w:val="20"/>
                <w:szCs w:val="20"/>
                <w:rtl/>
                <w:lang w:val="en-GB"/>
              </w:rPr>
              <w:t xml:space="preserve"> للبيع والعمليات المتوقفة</w:t>
            </w:r>
          </w:p>
        </w:tc>
        <w:tc>
          <w:tcPr>
            <w:tcW w:w="1472" w:type="dxa"/>
          </w:tcPr>
          <w:p w14:paraId="080C270B" w14:textId="77777777" w:rsidR="00A635B0" w:rsidRPr="004A7F35" w:rsidRDefault="00A635B0" w:rsidP="004A7F35">
            <w:pPr>
              <w:spacing w:before="80" w:after="80"/>
              <w:rPr>
                <w:sz w:val="20"/>
                <w:szCs w:val="20"/>
                <w:lang w:bidi="ar-EG"/>
              </w:rPr>
            </w:pPr>
            <w:r w:rsidRPr="004A7F35">
              <w:rPr>
                <w:sz w:val="20"/>
                <w:szCs w:val="20"/>
                <w:rtl/>
                <w:lang w:val="en-GB"/>
              </w:rPr>
              <w:t>01 يناير 2025</w:t>
            </w:r>
          </w:p>
        </w:tc>
        <w:tc>
          <w:tcPr>
            <w:tcW w:w="4516" w:type="dxa"/>
          </w:tcPr>
          <w:p w14:paraId="554294BB" w14:textId="77777777" w:rsidR="00A635B0" w:rsidRPr="004A7F35" w:rsidRDefault="00A635B0" w:rsidP="004A7F35">
            <w:pPr>
              <w:spacing w:before="80" w:after="80"/>
              <w:rPr>
                <w:sz w:val="20"/>
                <w:szCs w:val="20"/>
                <w:lang w:bidi="ar-EG"/>
              </w:rPr>
            </w:pPr>
            <w:r w:rsidRPr="004A7F35">
              <w:rPr>
                <w:sz w:val="20"/>
                <w:szCs w:val="20"/>
                <w:rtl/>
                <w:lang w:val="en-GB"/>
              </w:rPr>
              <w:t xml:space="preserve">يحدد هذا المعيار محاسبة الأصول غير الجارية </w:t>
            </w:r>
            <w:r w:rsidRPr="004A7F35">
              <w:rPr>
                <w:rFonts w:hint="cs"/>
                <w:sz w:val="20"/>
                <w:szCs w:val="20"/>
                <w:rtl/>
                <w:lang w:val="en-GB"/>
              </w:rPr>
              <w:t>المحوزة</w:t>
            </w:r>
            <w:r w:rsidRPr="004A7F35">
              <w:rPr>
                <w:sz w:val="20"/>
                <w:szCs w:val="20"/>
                <w:rtl/>
                <w:lang w:val="en-GB"/>
              </w:rPr>
              <w:t xml:space="preserve"> للبيع </w:t>
            </w:r>
            <w:r w:rsidRPr="004A7F35">
              <w:rPr>
                <w:sz w:val="20"/>
                <w:szCs w:val="20"/>
                <w:rtl/>
                <w:lang w:val="en-GB" w:bidi="ar-EG"/>
              </w:rPr>
              <w:t xml:space="preserve">وكيفية عرض العمليات المتوقفة والإفصاح عنها. وخلص التحليل الذي أجري إلى عدم وجود تأثير حالياً على البيانات المالية للاتحاد. </w:t>
            </w:r>
          </w:p>
        </w:tc>
      </w:tr>
      <w:tr w:rsidR="00A635B0" w:rsidRPr="00A635B0" w14:paraId="2500C9FD" w14:textId="77777777" w:rsidTr="004A7F35">
        <w:trPr>
          <w:jc w:val="center"/>
        </w:trPr>
        <w:tc>
          <w:tcPr>
            <w:tcW w:w="1121" w:type="dxa"/>
          </w:tcPr>
          <w:p w14:paraId="0FD2A728" w14:textId="77777777" w:rsidR="00A635B0" w:rsidRPr="004A7F35" w:rsidRDefault="00A635B0" w:rsidP="004A7F35">
            <w:pPr>
              <w:spacing w:before="80" w:after="80"/>
              <w:rPr>
                <w:sz w:val="20"/>
                <w:szCs w:val="20"/>
                <w:lang w:bidi="ar-EG"/>
              </w:rPr>
            </w:pPr>
            <w:bookmarkStart w:id="101" w:name="lt_pId428"/>
            <w:r w:rsidRPr="004A7F35">
              <w:rPr>
                <w:sz w:val="20"/>
                <w:szCs w:val="20"/>
                <w:lang w:bidi="ar-EG"/>
              </w:rPr>
              <w:t>IPSAS 45</w:t>
            </w:r>
            <w:bookmarkEnd w:id="101"/>
          </w:p>
        </w:tc>
        <w:tc>
          <w:tcPr>
            <w:tcW w:w="1952" w:type="dxa"/>
          </w:tcPr>
          <w:p w14:paraId="1F63561E" w14:textId="77777777" w:rsidR="00A635B0" w:rsidRPr="004A7F35" w:rsidRDefault="00A635B0" w:rsidP="004A7F35">
            <w:pPr>
              <w:spacing w:before="80" w:after="80"/>
              <w:rPr>
                <w:sz w:val="20"/>
                <w:szCs w:val="20"/>
                <w:lang w:bidi="ar-EG"/>
              </w:rPr>
            </w:pPr>
            <w:r w:rsidRPr="004A7F35">
              <w:rPr>
                <w:sz w:val="20"/>
                <w:szCs w:val="20"/>
                <w:rtl/>
                <w:lang w:val="en-GB"/>
              </w:rPr>
              <w:t>الممتلكات والمنشآت والمعدات</w:t>
            </w:r>
          </w:p>
        </w:tc>
        <w:tc>
          <w:tcPr>
            <w:tcW w:w="1472" w:type="dxa"/>
          </w:tcPr>
          <w:p w14:paraId="40EB734C" w14:textId="77777777" w:rsidR="00A635B0" w:rsidRPr="004A7F35" w:rsidRDefault="00A635B0" w:rsidP="004A7F35">
            <w:pPr>
              <w:spacing w:before="80" w:after="80"/>
              <w:rPr>
                <w:sz w:val="20"/>
                <w:szCs w:val="20"/>
                <w:lang w:bidi="ar-EG"/>
              </w:rPr>
            </w:pPr>
            <w:r w:rsidRPr="004A7F35">
              <w:rPr>
                <w:sz w:val="20"/>
                <w:szCs w:val="20"/>
                <w:rtl/>
                <w:lang w:val="en-GB"/>
              </w:rPr>
              <w:t>01 يناير 2025</w:t>
            </w:r>
          </w:p>
        </w:tc>
        <w:tc>
          <w:tcPr>
            <w:tcW w:w="4516" w:type="dxa"/>
          </w:tcPr>
          <w:p w14:paraId="23B2FF81" w14:textId="77777777" w:rsidR="00A635B0" w:rsidRPr="004A7F35" w:rsidRDefault="00A635B0" w:rsidP="004A7F35">
            <w:pPr>
              <w:spacing w:before="80" w:after="80"/>
              <w:rPr>
                <w:sz w:val="20"/>
                <w:szCs w:val="20"/>
                <w:lang w:bidi="ar-EG"/>
              </w:rPr>
            </w:pPr>
            <w:r w:rsidRPr="004A7F35">
              <w:rPr>
                <w:sz w:val="20"/>
                <w:szCs w:val="20"/>
                <w:rtl/>
                <w:lang w:val="en-GB" w:bidi="ar-EG"/>
              </w:rPr>
              <w:t>يحل هذا المعيار محل</w:t>
            </w:r>
            <w:r w:rsidRPr="004A7F35">
              <w:rPr>
                <w:sz w:val="20"/>
                <w:szCs w:val="20"/>
                <w:rtl/>
                <w:lang w:val="en-GB"/>
              </w:rPr>
              <w:t xml:space="preserve"> المعي</w:t>
            </w:r>
            <w:r w:rsidRPr="004A7F35">
              <w:rPr>
                <w:sz w:val="20"/>
                <w:szCs w:val="20"/>
                <w:rtl/>
                <w:lang w:val="en-GB" w:bidi="ar-EG"/>
              </w:rPr>
              <w:t xml:space="preserve">ار </w:t>
            </w:r>
            <w:r w:rsidRPr="004A7F35">
              <w:rPr>
                <w:sz w:val="20"/>
                <w:szCs w:val="20"/>
                <w:lang w:bidi="ar-EG"/>
              </w:rPr>
              <w:t>IPSAS 17</w:t>
            </w:r>
            <w:r w:rsidRPr="004A7F35">
              <w:rPr>
                <w:sz w:val="20"/>
                <w:szCs w:val="20"/>
                <w:rtl/>
                <w:lang w:val="en-GB"/>
              </w:rPr>
              <w:t>، الممتلكات والمنشآت والمعدات، بإضافة القيمة التشغيلية الحالية كأساس للقياس إلى نموذج القيمة الحالية المحدَّث للأصول الداخلة في نطاقه، وتحديد خصائص الأصول التراثية وأصول البنية التحتية. وقد أجرى الاتحاد استعراضاً لهذا المعيار ومحفظة أصوله ولا ي</w:t>
            </w:r>
            <w:r w:rsidRPr="004A7F35">
              <w:rPr>
                <w:rFonts w:hint="cs"/>
                <w:sz w:val="20"/>
                <w:szCs w:val="20"/>
                <w:rtl/>
                <w:lang w:val="en-GB"/>
              </w:rPr>
              <w:t>ُ</w:t>
            </w:r>
            <w:r w:rsidRPr="004A7F35">
              <w:rPr>
                <w:sz w:val="20"/>
                <w:szCs w:val="20"/>
                <w:rtl/>
                <w:lang w:val="en-GB"/>
              </w:rPr>
              <w:t>توقع أن يكون له تأثير كبير على البيانات المالية للاتحاد</w:t>
            </w:r>
          </w:p>
        </w:tc>
      </w:tr>
      <w:tr w:rsidR="00A635B0" w:rsidRPr="00A635B0" w14:paraId="54515D48" w14:textId="77777777" w:rsidTr="004A7F35">
        <w:trPr>
          <w:jc w:val="center"/>
        </w:trPr>
        <w:tc>
          <w:tcPr>
            <w:tcW w:w="1121" w:type="dxa"/>
          </w:tcPr>
          <w:p w14:paraId="2A51A562" w14:textId="77777777" w:rsidR="00A635B0" w:rsidRPr="004A7F35" w:rsidRDefault="00A635B0" w:rsidP="004A7F35">
            <w:pPr>
              <w:spacing w:before="80" w:after="80"/>
              <w:rPr>
                <w:sz w:val="20"/>
                <w:szCs w:val="20"/>
                <w:lang w:bidi="ar-EG"/>
              </w:rPr>
            </w:pPr>
            <w:bookmarkStart w:id="102" w:name="lt_pId434"/>
            <w:r w:rsidRPr="004A7F35">
              <w:rPr>
                <w:sz w:val="20"/>
                <w:szCs w:val="20"/>
                <w:lang w:bidi="ar-EG"/>
              </w:rPr>
              <w:t>IPSAS 46</w:t>
            </w:r>
            <w:bookmarkEnd w:id="102"/>
          </w:p>
        </w:tc>
        <w:tc>
          <w:tcPr>
            <w:tcW w:w="1952" w:type="dxa"/>
          </w:tcPr>
          <w:p w14:paraId="19427C77" w14:textId="77777777" w:rsidR="00A635B0" w:rsidRPr="004A7F35" w:rsidRDefault="00A635B0" w:rsidP="004A7F35">
            <w:pPr>
              <w:spacing w:before="80" w:after="80"/>
              <w:rPr>
                <w:sz w:val="20"/>
                <w:szCs w:val="20"/>
                <w:lang w:bidi="ar-EG"/>
              </w:rPr>
            </w:pPr>
            <w:r w:rsidRPr="004A7F35">
              <w:rPr>
                <w:sz w:val="20"/>
                <w:szCs w:val="20"/>
                <w:rtl/>
                <w:lang w:val="en-GB"/>
              </w:rPr>
              <w:t>القياس</w:t>
            </w:r>
          </w:p>
        </w:tc>
        <w:tc>
          <w:tcPr>
            <w:tcW w:w="1472" w:type="dxa"/>
          </w:tcPr>
          <w:p w14:paraId="26ADAF3C" w14:textId="77777777" w:rsidR="00A635B0" w:rsidRPr="004A7F35" w:rsidRDefault="00A635B0" w:rsidP="004A7F35">
            <w:pPr>
              <w:spacing w:before="80" w:after="80"/>
              <w:rPr>
                <w:sz w:val="20"/>
                <w:szCs w:val="20"/>
                <w:lang w:bidi="ar-EG"/>
              </w:rPr>
            </w:pPr>
            <w:r w:rsidRPr="004A7F35">
              <w:rPr>
                <w:sz w:val="20"/>
                <w:szCs w:val="20"/>
                <w:rtl/>
                <w:lang w:val="en-GB"/>
              </w:rPr>
              <w:t>01 يناير 2025</w:t>
            </w:r>
          </w:p>
        </w:tc>
        <w:tc>
          <w:tcPr>
            <w:tcW w:w="4516" w:type="dxa"/>
          </w:tcPr>
          <w:p w14:paraId="702847A4" w14:textId="77777777" w:rsidR="00A635B0" w:rsidRPr="004A7F35" w:rsidRDefault="00A635B0" w:rsidP="004A7F35">
            <w:pPr>
              <w:spacing w:before="80" w:after="80"/>
              <w:rPr>
                <w:sz w:val="20"/>
                <w:szCs w:val="20"/>
                <w:lang w:bidi="ar-EG"/>
              </w:rPr>
            </w:pPr>
            <w:r w:rsidRPr="004A7F35">
              <w:rPr>
                <w:sz w:val="20"/>
                <w:szCs w:val="20"/>
                <w:rtl/>
                <w:lang w:val="en-GB"/>
              </w:rPr>
              <w:t>يقدم المعيار IPSAS 46 إرشادات جديدة في معيار واحد يتناول كيفية تطبيق قواعد القياس الشائعة الاستخدام في الممارسة العملية. ويقدم إرشادات عن القيمة العادلة لأول مرة، ويقدم القيمة التشغيلية الحالية، وهي أساس لقياس القيم الحالية الخاصة بالقطاع العام يتناول آراء</w:t>
            </w:r>
            <w:r w:rsidRPr="004A7F35">
              <w:rPr>
                <w:sz w:val="20"/>
                <w:szCs w:val="20"/>
                <w:rtl/>
                <w:lang w:val="en-GB" w:bidi="ar-EG"/>
              </w:rPr>
              <w:t xml:space="preserve"> ممثليه</w:t>
            </w:r>
            <w:r w:rsidRPr="004A7F35">
              <w:rPr>
                <w:sz w:val="20"/>
                <w:szCs w:val="20"/>
                <w:rtl/>
                <w:lang w:val="en-GB"/>
              </w:rPr>
              <w:t xml:space="preserve"> التي تفيد بالحاجة إلى أساس بديل لقياس القيمة الحالية للقيمة العادلة لبعض أصول القطاع العام. ولا ي</w:t>
            </w:r>
            <w:r w:rsidRPr="004A7F35">
              <w:rPr>
                <w:rFonts w:hint="cs"/>
                <w:sz w:val="20"/>
                <w:szCs w:val="20"/>
                <w:rtl/>
                <w:lang w:val="en-GB"/>
              </w:rPr>
              <w:t>ُ</w:t>
            </w:r>
            <w:r w:rsidRPr="004A7F35">
              <w:rPr>
                <w:sz w:val="20"/>
                <w:szCs w:val="20"/>
                <w:rtl/>
                <w:lang w:val="en-GB"/>
              </w:rPr>
              <w:t>توقع أن يكون لهذا المعيار تأثير مهم نسبياً على البيانات المالية للاتحاد.</w:t>
            </w:r>
          </w:p>
        </w:tc>
      </w:tr>
      <w:tr w:rsidR="00A635B0" w:rsidRPr="00A635B0" w14:paraId="40DF3167" w14:textId="77777777" w:rsidTr="004A7F35">
        <w:trPr>
          <w:jc w:val="center"/>
        </w:trPr>
        <w:tc>
          <w:tcPr>
            <w:tcW w:w="1121" w:type="dxa"/>
          </w:tcPr>
          <w:p w14:paraId="507472FD" w14:textId="77777777" w:rsidR="00A635B0" w:rsidRPr="004A7F35" w:rsidRDefault="00A635B0" w:rsidP="004A7F35">
            <w:pPr>
              <w:spacing w:before="80" w:after="80"/>
              <w:rPr>
                <w:sz w:val="20"/>
                <w:szCs w:val="20"/>
                <w:lang w:bidi="ar-EG"/>
              </w:rPr>
            </w:pPr>
            <w:bookmarkStart w:id="103" w:name="lt_pId441"/>
            <w:r w:rsidRPr="004A7F35">
              <w:rPr>
                <w:sz w:val="20"/>
                <w:szCs w:val="20"/>
                <w:lang w:bidi="ar-EG"/>
              </w:rPr>
              <w:t>IPSAS 47</w:t>
            </w:r>
            <w:bookmarkEnd w:id="103"/>
          </w:p>
        </w:tc>
        <w:tc>
          <w:tcPr>
            <w:tcW w:w="1952" w:type="dxa"/>
          </w:tcPr>
          <w:p w14:paraId="1E6C39F7" w14:textId="77777777" w:rsidR="00A635B0" w:rsidRPr="004A7F35" w:rsidRDefault="00A635B0" w:rsidP="004A7F35">
            <w:pPr>
              <w:spacing w:before="80" w:after="80"/>
              <w:rPr>
                <w:sz w:val="20"/>
                <w:szCs w:val="20"/>
                <w:lang w:bidi="ar-EG"/>
              </w:rPr>
            </w:pPr>
            <w:r w:rsidRPr="004A7F35">
              <w:rPr>
                <w:sz w:val="20"/>
                <w:szCs w:val="20"/>
                <w:rtl/>
                <w:lang w:val="en-GB"/>
              </w:rPr>
              <w:t>الإيرادات</w:t>
            </w:r>
          </w:p>
        </w:tc>
        <w:tc>
          <w:tcPr>
            <w:tcW w:w="1472" w:type="dxa"/>
          </w:tcPr>
          <w:p w14:paraId="38F87B58" w14:textId="77777777" w:rsidR="00A635B0" w:rsidRPr="004A7F35" w:rsidRDefault="00A635B0" w:rsidP="004A7F35">
            <w:pPr>
              <w:spacing w:before="80" w:after="80"/>
              <w:rPr>
                <w:sz w:val="20"/>
                <w:szCs w:val="20"/>
                <w:lang w:bidi="ar-EG"/>
              </w:rPr>
            </w:pPr>
            <w:r w:rsidRPr="004A7F35">
              <w:rPr>
                <w:sz w:val="20"/>
                <w:szCs w:val="20"/>
                <w:rtl/>
                <w:lang w:val="en-GB"/>
              </w:rPr>
              <w:t>01 يناير 2026</w:t>
            </w:r>
          </w:p>
        </w:tc>
        <w:tc>
          <w:tcPr>
            <w:tcW w:w="4516" w:type="dxa"/>
          </w:tcPr>
          <w:p w14:paraId="2FA0A4CE" w14:textId="77777777" w:rsidR="00A635B0" w:rsidRPr="004A7F35" w:rsidRDefault="00A635B0" w:rsidP="004A7F35">
            <w:pPr>
              <w:spacing w:before="80" w:after="80"/>
              <w:rPr>
                <w:sz w:val="20"/>
                <w:szCs w:val="20"/>
                <w:lang w:bidi="ar-EG"/>
              </w:rPr>
            </w:pPr>
            <w:r w:rsidRPr="004A7F35">
              <w:rPr>
                <w:sz w:val="20"/>
                <w:szCs w:val="20"/>
                <w:rtl/>
                <w:lang w:val="en-GB"/>
              </w:rPr>
              <w:t>المعيار</w:t>
            </w:r>
            <w:r w:rsidRPr="004A7F35">
              <w:rPr>
                <w:sz w:val="20"/>
                <w:szCs w:val="20"/>
                <w:lang w:bidi="ar-EG"/>
              </w:rPr>
              <w:t xml:space="preserve"> 47</w:t>
            </w:r>
            <w:r w:rsidRPr="004A7F35">
              <w:rPr>
                <w:sz w:val="20"/>
                <w:szCs w:val="20"/>
                <w:rtl/>
                <w:lang w:val="en-GB"/>
              </w:rPr>
              <w:t>IPSAS</w:t>
            </w:r>
            <w:r w:rsidRPr="004A7F35">
              <w:rPr>
                <w:sz w:val="20"/>
                <w:szCs w:val="20"/>
                <w:rtl/>
                <w:lang w:val="en-GB" w:bidi="ar-EG"/>
              </w:rPr>
              <w:t>،</w:t>
            </w:r>
            <w:r w:rsidRPr="004A7F35">
              <w:rPr>
                <w:sz w:val="20"/>
                <w:szCs w:val="20"/>
                <w:rtl/>
                <w:lang w:val="en-GB"/>
              </w:rPr>
              <w:t xml:space="preserve"> بشأن الإيرادات، هو مصدر واحد للإرشاد المحاسبي بشأن الإيرادات في القطاع العام، يقدم نموذجين محاسبيين يستندان إلى وجود ترتيب ملزم. ويقدم هذا المعيار الجديد إرشادات مكثفة لمساعدة الكيانات في تطبيق مبادئ حساب معاملات إيرادات القطاع العام. ويحدد الاتحاد حالياً مدى تأثير هذا المعيار على حساباته المالية. وسيؤثر ذلك على البيانات المالية للاتحاد تأثيراً </w:t>
            </w:r>
            <w:r w:rsidRPr="004A7F35">
              <w:rPr>
                <w:rFonts w:hint="cs"/>
                <w:sz w:val="20"/>
                <w:szCs w:val="20"/>
                <w:rtl/>
                <w:lang w:val="en-GB"/>
              </w:rPr>
              <w:t>كبيراً.</w:t>
            </w:r>
          </w:p>
        </w:tc>
      </w:tr>
      <w:tr w:rsidR="00A635B0" w:rsidRPr="00A635B0" w14:paraId="0193DB39" w14:textId="77777777" w:rsidTr="004A7F35">
        <w:trPr>
          <w:jc w:val="center"/>
        </w:trPr>
        <w:tc>
          <w:tcPr>
            <w:tcW w:w="1121" w:type="dxa"/>
          </w:tcPr>
          <w:p w14:paraId="4D770998" w14:textId="77777777" w:rsidR="00A635B0" w:rsidRPr="004A7F35" w:rsidRDefault="00A635B0" w:rsidP="004A7F35">
            <w:pPr>
              <w:spacing w:before="80" w:after="80"/>
              <w:rPr>
                <w:sz w:val="20"/>
                <w:szCs w:val="20"/>
                <w:lang w:bidi="ar-EG"/>
              </w:rPr>
            </w:pPr>
            <w:bookmarkStart w:id="104" w:name="lt_pId448"/>
            <w:r w:rsidRPr="004A7F35">
              <w:rPr>
                <w:sz w:val="20"/>
                <w:szCs w:val="20"/>
                <w:lang w:bidi="ar-EG"/>
              </w:rPr>
              <w:t>IPSAS 48</w:t>
            </w:r>
            <w:bookmarkEnd w:id="104"/>
          </w:p>
        </w:tc>
        <w:tc>
          <w:tcPr>
            <w:tcW w:w="1952" w:type="dxa"/>
          </w:tcPr>
          <w:p w14:paraId="6AB7E981" w14:textId="77777777" w:rsidR="00A635B0" w:rsidRPr="004A7F35" w:rsidRDefault="00A635B0" w:rsidP="004A7F35">
            <w:pPr>
              <w:spacing w:before="80" w:after="80"/>
              <w:rPr>
                <w:sz w:val="20"/>
                <w:szCs w:val="20"/>
                <w:lang w:bidi="ar-EG"/>
              </w:rPr>
            </w:pPr>
            <w:r w:rsidRPr="004A7F35">
              <w:rPr>
                <w:sz w:val="20"/>
                <w:szCs w:val="20"/>
                <w:rtl/>
                <w:lang w:val="en-GB"/>
              </w:rPr>
              <w:t>مصروفات التحويل</w:t>
            </w:r>
          </w:p>
        </w:tc>
        <w:tc>
          <w:tcPr>
            <w:tcW w:w="1472" w:type="dxa"/>
          </w:tcPr>
          <w:p w14:paraId="2C85D92C" w14:textId="77777777" w:rsidR="00A635B0" w:rsidRPr="004A7F35" w:rsidRDefault="00A635B0" w:rsidP="004A7F35">
            <w:pPr>
              <w:spacing w:before="80" w:after="80"/>
              <w:rPr>
                <w:sz w:val="20"/>
                <w:szCs w:val="20"/>
                <w:lang w:bidi="ar-EG"/>
              </w:rPr>
            </w:pPr>
            <w:r w:rsidRPr="004A7F35">
              <w:rPr>
                <w:sz w:val="20"/>
                <w:szCs w:val="20"/>
                <w:rtl/>
                <w:lang w:val="en-GB"/>
              </w:rPr>
              <w:t>01 يناير 2026</w:t>
            </w:r>
          </w:p>
        </w:tc>
        <w:tc>
          <w:tcPr>
            <w:tcW w:w="4516" w:type="dxa"/>
          </w:tcPr>
          <w:p w14:paraId="25E948A0" w14:textId="77777777" w:rsidR="00A635B0" w:rsidRPr="004A7F35" w:rsidRDefault="00A635B0" w:rsidP="004A7F35">
            <w:pPr>
              <w:spacing w:before="80" w:after="80"/>
              <w:rPr>
                <w:sz w:val="20"/>
                <w:szCs w:val="20"/>
                <w:lang w:bidi="ar-EG"/>
              </w:rPr>
            </w:pPr>
            <w:r w:rsidRPr="004A7F35">
              <w:rPr>
                <w:sz w:val="20"/>
                <w:szCs w:val="20"/>
                <w:rtl/>
                <w:lang w:val="en-GB"/>
              </w:rPr>
              <w:t>المعيار 48 IPSAS، بشأن مصروفات التحويل، يقدم إرشادات محاسبية بشأن مصروفات التحويل التي تمثل جزءاً كبيراً من النفقات للعديد من كيانات القطاع العام. ويسد هذا المعيار الجديد ثغرة كبيرة في أدبيات المجلس الدولي للمعايير المحاسبية في القطاع العام (IPSASB) ويقدم إرشادات لمساعدة الكيانات في حساب معاملات مصروفات التحويل في القطاع العام. ويحدد الاتحاد حالياً مدى تأثير هذا المعيار على حساباته المالية.</w:t>
            </w:r>
          </w:p>
        </w:tc>
      </w:tr>
    </w:tbl>
    <w:p w14:paraId="6620FA96" w14:textId="77777777" w:rsidR="00A635B0" w:rsidRPr="00A635B0" w:rsidRDefault="00A635B0" w:rsidP="004A7F35">
      <w:pPr>
        <w:rPr>
          <w:rtl/>
          <w:lang w:val="en-GB" w:bidi="ar-EG"/>
        </w:rPr>
      </w:pPr>
      <w:bookmarkStart w:id="105" w:name="_Toc162520621"/>
      <w:r w:rsidRPr="00A635B0">
        <w:rPr>
          <w:rtl/>
          <w:lang w:val="en-GB" w:bidi="ar-EG"/>
        </w:rPr>
        <w:t>ويواصل الاتحاد تقييم تأثير المعايير المذكورة أعلاه على البيانات المالية المستقبلية قبل حلول تواريخ نفاذها.</w:t>
      </w:r>
    </w:p>
    <w:p w14:paraId="1A3A4252" w14:textId="2C511E74" w:rsidR="00A635B0" w:rsidRPr="00A635B0" w:rsidRDefault="00A635B0" w:rsidP="004A7F35">
      <w:pPr>
        <w:rPr>
          <w:rtl/>
          <w:lang w:val="en-GB"/>
        </w:rPr>
      </w:pPr>
      <w:r w:rsidRPr="00A635B0">
        <w:rPr>
          <w:rtl/>
          <w:lang w:val="en-GB" w:bidi="ar-EG"/>
        </w:rPr>
        <w:lastRenderedPageBreak/>
        <w:t>علاوةً على ذلك،</w:t>
      </w:r>
      <w:r w:rsidRPr="00A635B0">
        <w:rPr>
          <w:rtl/>
          <w:lang w:val="en-GB"/>
        </w:rPr>
        <w:t xml:space="preserve"> يواصل الاتحاد رصد إعداد</w:t>
      </w:r>
      <w:r w:rsidRPr="00A635B0">
        <w:rPr>
          <w:rtl/>
          <w:lang w:val="en-GB" w:bidi="ar-EG"/>
        </w:rPr>
        <w:t xml:space="preserve"> مسودات العرض</w:t>
      </w:r>
      <w:r w:rsidRPr="00A635B0">
        <w:rPr>
          <w:rFonts w:hint="cs"/>
          <w:rtl/>
          <w:lang w:val="en-GB" w:bidi="ar-EG"/>
        </w:rPr>
        <w:t xml:space="preserve"> </w:t>
      </w:r>
      <w:r w:rsidRPr="00A635B0">
        <w:rPr>
          <w:rtl/>
          <w:lang w:val="en-GB"/>
        </w:rPr>
        <w:t xml:space="preserve">(ED) ويشارك بفعالية في أعمال لجنة المعايير المحاسبية الدولية للقطاع العام عن طريق فريق العمل المعني بالمعايير المحاسبية التابع لمنظومة الأمم المتحدة، ويشير إلى أن تطبيقها قد </w:t>
      </w:r>
      <w:r w:rsidRPr="00A635B0">
        <w:rPr>
          <w:rFonts w:hint="cs"/>
          <w:rtl/>
          <w:lang w:val="en-GB"/>
        </w:rPr>
        <w:t>يؤثر</w:t>
      </w:r>
      <w:r w:rsidRPr="00A635B0">
        <w:rPr>
          <w:rtl/>
          <w:lang w:val="en-GB"/>
        </w:rPr>
        <w:t xml:space="preserve"> على البيانات المالية للاتحاد</w:t>
      </w:r>
      <w:r w:rsidRPr="00A635B0">
        <w:rPr>
          <w:rFonts w:hint="cs"/>
          <w:rtl/>
          <w:lang w:val="en-GB"/>
        </w:rPr>
        <w:t xml:space="preserve"> في المستقبل</w:t>
      </w:r>
      <w:r w:rsidRPr="00A635B0">
        <w:rPr>
          <w:rtl/>
          <w:lang w:val="en-GB"/>
        </w:rPr>
        <w:t>.</w:t>
      </w:r>
    </w:p>
    <w:p w14:paraId="480EFC49" w14:textId="77777777" w:rsidR="00A635B0" w:rsidRPr="00A635B0" w:rsidRDefault="00A635B0" w:rsidP="009F4F01">
      <w:pPr>
        <w:pStyle w:val="Heading1"/>
        <w:rPr>
          <w:lang w:val="en-GB"/>
        </w:rPr>
      </w:pPr>
      <w:bookmarkStart w:id="106" w:name="_Toc199403739"/>
      <w:bookmarkStart w:id="107" w:name="_Toc201043142"/>
      <w:r w:rsidRPr="00A635B0">
        <w:rPr>
          <w:rtl/>
          <w:lang w:val="en-GB"/>
        </w:rPr>
        <w:t>الملاحظة 3</w:t>
      </w:r>
      <w:r w:rsidRPr="00A635B0">
        <w:rPr>
          <w:rtl/>
          <w:lang w:val="en-GB"/>
        </w:rPr>
        <w:tab/>
        <w:t>السياسات المحاسبية المهمة</w:t>
      </w:r>
      <w:bookmarkEnd w:id="105"/>
      <w:bookmarkEnd w:id="106"/>
      <w:bookmarkEnd w:id="107"/>
    </w:p>
    <w:p w14:paraId="01F154B7" w14:textId="77777777" w:rsidR="00A635B0" w:rsidRPr="00A635B0" w:rsidRDefault="00A635B0" w:rsidP="00475B3E">
      <w:pPr>
        <w:pStyle w:val="Headingi"/>
        <w:rPr>
          <w:lang w:bidi="ar-EG"/>
        </w:rPr>
      </w:pPr>
      <w:bookmarkStart w:id="108" w:name="_Toc329296006"/>
      <w:bookmarkStart w:id="109" w:name="_Toc358648325"/>
      <w:bookmarkStart w:id="110" w:name="_Toc358648524"/>
      <w:bookmarkStart w:id="111" w:name="_Toc387338325"/>
      <w:bookmarkStart w:id="112" w:name="_Toc419484050"/>
      <w:bookmarkStart w:id="113" w:name="_Toc452156602"/>
      <w:bookmarkStart w:id="114" w:name="_Toc482793694"/>
      <w:bookmarkStart w:id="115" w:name="_Toc511402208"/>
      <w:bookmarkStart w:id="116" w:name="_Toc511756645"/>
      <w:bookmarkStart w:id="117" w:name="_Toc520365456"/>
      <w:bookmarkStart w:id="118" w:name="_Toc9614764"/>
      <w:bookmarkStart w:id="119" w:name="_Toc42013524"/>
      <w:bookmarkStart w:id="120" w:name="_Toc42014520"/>
      <w:bookmarkStart w:id="121" w:name="_Toc74061552"/>
      <w:r w:rsidRPr="00A635B0">
        <w:rPr>
          <w:rtl/>
          <w:lang w:val="en-GB"/>
        </w:rPr>
        <w:t>المعاملات بالعملات الأجنبية</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24B9BF1" w14:textId="77777777" w:rsidR="00A635B0" w:rsidRPr="00A635B0" w:rsidRDefault="00A635B0" w:rsidP="00475B3E">
      <w:pPr>
        <w:rPr>
          <w:lang w:bidi="ar-EG"/>
        </w:rPr>
      </w:pPr>
      <w:r w:rsidRPr="00A635B0">
        <w:rPr>
          <w:rtl/>
          <w:lang w:val="en-GB"/>
        </w:rPr>
        <w:t xml:space="preserve">الفرنك السويسري (CHF) هو العملة الوظيفية للاتحاد الدولي للاتصالات. وتحوَّل جميع المعاملات الجارية بعملات أخرى إلى الفرنك السويسري بسعر الصرف المعمول به في الأمم المتحدة </w:t>
      </w:r>
      <w:r w:rsidRPr="00A635B0">
        <w:rPr>
          <w:lang w:bidi="ar-EG"/>
        </w:rPr>
        <w:t>(UNORE)</w:t>
      </w:r>
      <w:r w:rsidRPr="00A635B0">
        <w:rPr>
          <w:rtl/>
          <w:lang w:val="en-GB"/>
        </w:rPr>
        <w:t xml:space="preserve"> في تاريخ المعاملة. ويُعترف في </w:t>
      </w:r>
      <w:r w:rsidRPr="00A635B0">
        <w:rPr>
          <w:rtl/>
          <w:lang w:val="en-GB" w:bidi="ar-EG"/>
        </w:rPr>
        <w:t xml:space="preserve">بيان </w:t>
      </w:r>
      <w:r w:rsidRPr="00A635B0">
        <w:rPr>
          <w:rtl/>
          <w:lang w:val="en-GB"/>
        </w:rPr>
        <w:t>الأداء المالي (</w:t>
      </w:r>
      <w:r w:rsidRPr="00A635B0">
        <w:rPr>
          <w:rFonts w:hint="cs"/>
          <w:rtl/>
          <w:lang w:val="en-GB"/>
        </w:rPr>
        <w:t>البيان الثاني</w:t>
      </w:r>
      <w:r w:rsidRPr="00A635B0">
        <w:rPr>
          <w:rtl/>
          <w:lang w:val="en-GB"/>
        </w:rPr>
        <w:t>) بكل من ال</w:t>
      </w:r>
      <w:r w:rsidRPr="00A635B0">
        <w:rPr>
          <w:rFonts w:hint="cs"/>
          <w:rtl/>
          <w:lang w:val="en-GB"/>
        </w:rPr>
        <w:t xml:space="preserve">أرباح </w:t>
      </w:r>
      <w:r w:rsidRPr="00A635B0">
        <w:rPr>
          <w:rtl/>
          <w:lang w:val="en-GB"/>
        </w:rPr>
        <w:t xml:space="preserve">والخسائر المحققة وغير المحققة </w:t>
      </w:r>
      <w:r w:rsidRPr="00A635B0">
        <w:rPr>
          <w:rFonts w:hint="cs"/>
          <w:rtl/>
          <w:lang w:val="en-GB"/>
        </w:rPr>
        <w:t xml:space="preserve">في </w:t>
      </w:r>
      <w:r w:rsidRPr="00A635B0">
        <w:rPr>
          <w:rtl/>
          <w:lang w:val="en-GB"/>
        </w:rPr>
        <w:t>أسعار الصرف</w:t>
      </w:r>
      <w:r w:rsidRPr="00A635B0">
        <w:rPr>
          <w:rFonts w:hint="cs"/>
          <w:rtl/>
          <w:lang w:val="en-GB"/>
        </w:rPr>
        <w:t>،</w:t>
      </w:r>
      <w:r w:rsidRPr="00A635B0">
        <w:rPr>
          <w:rtl/>
          <w:lang w:val="en-GB"/>
        </w:rPr>
        <w:t xml:space="preserve"> الناتجة عن تسوية هذه المعاملات وعن الترجمة في تاريخ الإبلاغ </w:t>
      </w:r>
      <w:r w:rsidRPr="00A635B0">
        <w:rPr>
          <w:rFonts w:hint="cs"/>
          <w:rtl/>
          <w:lang w:val="en-GB" w:bidi="ar-EG"/>
        </w:rPr>
        <w:t>عن ا</w:t>
      </w:r>
      <w:r w:rsidRPr="00A635B0">
        <w:rPr>
          <w:rtl/>
          <w:lang w:val="en-GB"/>
        </w:rPr>
        <w:t>لأصول والخصوم المقوَّمة بعملات غير العملة الوظيفية للاتحاد.</w:t>
      </w:r>
    </w:p>
    <w:p w14:paraId="49AA2D84" w14:textId="77777777" w:rsidR="00A635B0" w:rsidRPr="00A635B0" w:rsidRDefault="00A635B0" w:rsidP="00475B3E">
      <w:pPr>
        <w:pStyle w:val="Headingi"/>
        <w:rPr>
          <w:lang w:val="en-GB"/>
        </w:rPr>
      </w:pPr>
      <w:r w:rsidRPr="00A635B0">
        <w:rPr>
          <w:rtl/>
          <w:lang w:val="en-GB"/>
        </w:rPr>
        <w:t>الأدوات المالية</w:t>
      </w:r>
    </w:p>
    <w:p w14:paraId="20A0FDF1" w14:textId="77777777" w:rsidR="00A635B0" w:rsidRPr="00A635B0" w:rsidRDefault="00A635B0" w:rsidP="00475B3E">
      <w:pPr>
        <w:rPr>
          <w:lang w:bidi="ar-EG"/>
        </w:rPr>
      </w:pPr>
      <w:r w:rsidRPr="002D5B9B">
        <w:rPr>
          <w:rtl/>
          <w:lang w:val="en-GB"/>
        </w:rPr>
        <w:t xml:space="preserve">تشمل الأدوات المالية للاتحاد الدولي للاتصالات الودائع النقدية والودائع القصيرة الأجل، والاستثمارات، والذمم المدينة عن المعاملات التبادلية وغير التبادلية، والذمم التجارية الدائنة، والقروض، </w:t>
      </w:r>
      <w:r w:rsidRPr="002D5B9B">
        <w:rPr>
          <w:rFonts w:hint="cs"/>
          <w:rtl/>
          <w:lang w:val="en-GB"/>
        </w:rPr>
        <w:t>والاقتراضات</w:t>
      </w:r>
      <w:r w:rsidRPr="002D5B9B">
        <w:rPr>
          <w:rtl/>
          <w:lang w:val="en-GB"/>
        </w:rPr>
        <w:t>.</w:t>
      </w:r>
    </w:p>
    <w:p w14:paraId="5B3AC9FC" w14:textId="77777777" w:rsidR="00A635B0" w:rsidRPr="00A635B0" w:rsidRDefault="00A635B0" w:rsidP="00475B3E">
      <w:pPr>
        <w:pStyle w:val="Headingi"/>
        <w:rPr>
          <w:b w:val="0"/>
          <w:bCs w:val="0"/>
          <w:lang w:val="en-GB"/>
        </w:rPr>
      </w:pPr>
      <w:r w:rsidRPr="00A635B0">
        <w:rPr>
          <w:b w:val="0"/>
          <w:bCs w:val="0"/>
          <w:rtl/>
          <w:lang w:val="en-GB"/>
        </w:rPr>
        <w:tab/>
      </w:r>
      <w:r w:rsidRPr="00A635B0">
        <w:rPr>
          <w:rFonts w:hint="cs"/>
          <w:b w:val="0"/>
          <w:bCs w:val="0"/>
          <w:rtl/>
          <w:lang w:val="en-GB"/>
        </w:rPr>
        <w:t>النقد وما يعادله</w:t>
      </w:r>
    </w:p>
    <w:p w14:paraId="7963B4AA" w14:textId="134A120A" w:rsidR="00A635B0" w:rsidRPr="00A635B0" w:rsidRDefault="00A635B0" w:rsidP="00475B3E">
      <w:pPr>
        <w:rPr>
          <w:rtl/>
          <w:lang w:val="en-GB" w:bidi="ar-SY"/>
        </w:rPr>
      </w:pPr>
      <w:r w:rsidRPr="00A635B0">
        <w:rPr>
          <w:rFonts w:hint="cs"/>
          <w:rtl/>
          <w:lang w:val="en-GB" w:bidi="ar-SY"/>
        </w:rPr>
        <w:t>ي</w:t>
      </w:r>
      <w:r w:rsidRPr="00A635B0">
        <w:rPr>
          <w:rtl/>
          <w:lang w:val="en-GB" w:bidi="ar-SY"/>
        </w:rPr>
        <w:t xml:space="preserve">شمل النقد الجاهز والنقد لدى المصارف </w:t>
      </w:r>
      <w:r w:rsidRPr="00A635B0">
        <w:rPr>
          <w:rtl/>
          <w:lang w:val="en-GB" w:bidi="ar-EG"/>
        </w:rPr>
        <w:t>والودائع القصيرة الأجل ذات آجال الاستحقاق البالغة 90 يوماً أو أقل.</w:t>
      </w:r>
    </w:p>
    <w:p w14:paraId="0116E216" w14:textId="77777777" w:rsidR="00A635B0" w:rsidRPr="00A635B0" w:rsidRDefault="00A635B0" w:rsidP="00475B3E">
      <w:pPr>
        <w:pStyle w:val="Headingi"/>
        <w:rPr>
          <w:b w:val="0"/>
          <w:bCs w:val="0"/>
          <w:lang w:val="en-GB"/>
        </w:rPr>
      </w:pPr>
      <w:r w:rsidRPr="00A635B0">
        <w:rPr>
          <w:b w:val="0"/>
          <w:bCs w:val="0"/>
          <w:rtl/>
          <w:lang w:val="en-GB"/>
        </w:rPr>
        <w:tab/>
        <w:t>الاستثمارات</w:t>
      </w:r>
    </w:p>
    <w:p w14:paraId="65EC1113" w14:textId="77777777" w:rsidR="00A635B0" w:rsidRPr="00A635B0" w:rsidRDefault="00A635B0" w:rsidP="00475B3E">
      <w:pPr>
        <w:rPr>
          <w:lang w:bidi="ar-EG"/>
        </w:rPr>
      </w:pPr>
      <w:r w:rsidRPr="00A635B0">
        <w:rPr>
          <w:rtl/>
          <w:lang w:val="en-GB"/>
        </w:rPr>
        <w:t xml:space="preserve">هي ودائع محددة الأجل تتجاوز آجال استحقاقها ثلاثة أشهر وتصل إلى تسعة أشهر، وهي عالية السيولة وقابلة للتحويل إلى مبلغ نقدي معلوم ومعرضة لمخاطر ضئيلة من حيث تغير </w:t>
      </w:r>
      <w:r w:rsidRPr="00A635B0">
        <w:rPr>
          <w:rtl/>
          <w:lang w:val="en-GB" w:bidi="ar-EG"/>
        </w:rPr>
        <w:t>قيمتها</w:t>
      </w:r>
      <w:r w:rsidRPr="00A635B0">
        <w:rPr>
          <w:rtl/>
          <w:lang w:val="en-GB"/>
        </w:rPr>
        <w:t>، تقيَّد ب</w:t>
      </w:r>
      <w:r w:rsidRPr="00A635B0">
        <w:rPr>
          <w:rFonts w:hint="cs"/>
          <w:rtl/>
          <w:lang w:val="en-GB"/>
        </w:rPr>
        <w:t xml:space="preserve">قيمة </w:t>
      </w:r>
      <w:r w:rsidRPr="00A635B0">
        <w:rPr>
          <w:rtl/>
          <w:lang w:val="en-GB"/>
        </w:rPr>
        <w:t xml:space="preserve">التكلفة المطفأة وفقاً للمعيار 41 من المعايير المحاسبية الدولية للقطاع العام </w:t>
      </w:r>
      <w:r w:rsidRPr="00A635B0">
        <w:rPr>
          <w:lang w:bidi="ar-EG"/>
        </w:rPr>
        <w:t>(IPSAS 41)</w:t>
      </w:r>
      <w:r w:rsidRPr="00A635B0">
        <w:rPr>
          <w:rtl/>
          <w:lang w:val="en-GB"/>
        </w:rPr>
        <w:t xml:space="preserve">. وتُعرض الاستثمارات في </w:t>
      </w:r>
      <w:r w:rsidRPr="00A635B0">
        <w:rPr>
          <w:rFonts w:hint="cs"/>
          <w:rtl/>
          <w:lang w:val="en-GB"/>
        </w:rPr>
        <w:t>بيان</w:t>
      </w:r>
      <w:r w:rsidRPr="00A635B0">
        <w:rPr>
          <w:rtl/>
          <w:lang w:val="en-GB"/>
        </w:rPr>
        <w:t xml:space="preserve"> الوضع المالي على أنها استثمارات جارية.</w:t>
      </w:r>
    </w:p>
    <w:p w14:paraId="2C57F0C1" w14:textId="77777777" w:rsidR="00A635B0" w:rsidRPr="00A635B0" w:rsidRDefault="00A635B0" w:rsidP="00570F35">
      <w:pPr>
        <w:pStyle w:val="Headingi"/>
        <w:rPr>
          <w:b w:val="0"/>
          <w:bCs w:val="0"/>
          <w:lang w:val="en-GB"/>
        </w:rPr>
      </w:pPr>
      <w:r w:rsidRPr="00A635B0">
        <w:rPr>
          <w:b w:val="0"/>
          <w:bCs w:val="0"/>
          <w:rtl/>
          <w:lang w:val="en-GB"/>
        </w:rPr>
        <w:tab/>
        <w:t>الخصوم المالية الأخرى وقرض مؤسسة مباني المنظمات الدولية (</w:t>
      </w:r>
      <w:r w:rsidRPr="00A635B0">
        <w:rPr>
          <w:b w:val="0"/>
          <w:bCs w:val="0"/>
          <w:lang w:val="en-GB"/>
        </w:rPr>
        <w:t>FIPOI</w:t>
      </w:r>
      <w:r w:rsidRPr="00A635B0">
        <w:rPr>
          <w:b w:val="0"/>
          <w:bCs w:val="0"/>
          <w:rtl/>
          <w:lang w:val="en-GB"/>
        </w:rPr>
        <w:t>)</w:t>
      </w:r>
    </w:p>
    <w:p w14:paraId="44BBDBCD" w14:textId="77777777" w:rsidR="00A635B0" w:rsidRPr="00A635B0" w:rsidRDefault="00A635B0" w:rsidP="00475B3E">
      <w:pPr>
        <w:rPr>
          <w:lang w:bidi="ar-EG"/>
        </w:rPr>
      </w:pPr>
      <w:r w:rsidRPr="00A635B0">
        <w:rPr>
          <w:rtl/>
          <w:lang w:val="en-GB" w:bidi="ar-SY"/>
        </w:rPr>
        <w:t xml:space="preserve">تتألف الخصوم المالية من </w:t>
      </w:r>
      <w:r w:rsidRPr="00A635B0">
        <w:rPr>
          <w:rFonts w:hint="cs"/>
          <w:rtl/>
          <w:lang w:val="en-GB" w:bidi="ar-SY"/>
        </w:rPr>
        <w:t>الاقتراضات</w:t>
      </w:r>
      <w:r w:rsidRPr="00A635B0">
        <w:rPr>
          <w:rtl/>
          <w:lang w:val="en-GB" w:bidi="ar-SY"/>
        </w:rPr>
        <w:t xml:space="preserve"> وسائر الذمم الدائنة</w:t>
      </w:r>
      <w:r w:rsidRPr="00A635B0">
        <w:rPr>
          <w:rtl/>
          <w:lang w:val="en-GB"/>
        </w:rPr>
        <w:t xml:space="preserve"> للجهات الممولة والجهات الموردة</w:t>
      </w:r>
      <w:r w:rsidRPr="00A635B0">
        <w:rPr>
          <w:rtl/>
          <w:lang w:val="en-GB" w:bidi="ar-SY"/>
        </w:rPr>
        <w:t xml:space="preserve"> وال</w:t>
      </w:r>
      <w:r w:rsidRPr="00A635B0">
        <w:rPr>
          <w:rFonts w:hint="cs"/>
          <w:rtl/>
          <w:lang w:val="en-GB" w:bidi="ar-SY"/>
        </w:rPr>
        <w:t>ذمم</w:t>
      </w:r>
      <w:r w:rsidRPr="00A635B0">
        <w:rPr>
          <w:rtl/>
          <w:lang w:val="en-GB" w:bidi="ar-SY"/>
        </w:rPr>
        <w:t xml:space="preserve"> التجارية الدائ</w:t>
      </w:r>
      <w:r w:rsidRPr="00A635B0">
        <w:rPr>
          <w:rFonts w:hint="cs"/>
          <w:rtl/>
          <w:lang w:val="en-GB" w:bidi="ar-SY"/>
        </w:rPr>
        <w:t>ن</w:t>
      </w:r>
      <w:r w:rsidRPr="00A635B0">
        <w:rPr>
          <w:rtl/>
          <w:lang w:val="en-GB" w:bidi="ar-SY"/>
        </w:rPr>
        <w:t xml:space="preserve">ة. وتُعرض في </w:t>
      </w:r>
      <w:r w:rsidRPr="00A635B0">
        <w:rPr>
          <w:rFonts w:hint="cs"/>
          <w:rtl/>
          <w:lang w:val="en-GB"/>
        </w:rPr>
        <w:t xml:space="preserve">بيان </w:t>
      </w:r>
      <w:r w:rsidRPr="00A635B0">
        <w:rPr>
          <w:rtl/>
          <w:lang w:val="en-GB"/>
        </w:rPr>
        <w:t xml:space="preserve">الوضع المالي كخصوم جارية أو غير </w:t>
      </w:r>
      <w:r w:rsidRPr="00A635B0">
        <w:rPr>
          <w:rtl/>
          <w:lang w:val="en-GB" w:bidi="ar-EG"/>
        </w:rPr>
        <w:t xml:space="preserve">جارية </w:t>
      </w:r>
      <w:r w:rsidRPr="00A635B0">
        <w:rPr>
          <w:rtl/>
          <w:lang w:val="en-GB"/>
        </w:rPr>
        <w:t xml:space="preserve">وفقاُ لما إذا كانت مستحقة في أقل من </w:t>
      </w:r>
      <w:r w:rsidRPr="00A635B0">
        <w:rPr>
          <w:rFonts w:hint="cs"/>
          <w:rtl/>
          <w:lang w:val="en-GB"/>
        </w:rPr>
        <w:t>سنة</w:t>
      </w:r>
      <w:r w:rsidRPr="00A635B0">
        <w:rPr>
          <w:rtl/>
          <w:lang w:val="en-GB"/>
        </w:rPr>
        <w:t xml:space="preserve"> واحد</w:t>
      </w:r>
      <w:r w:rsidRPr="00A635B0">
        <w:rPr>
          <w:rFonts w:hint="cs"/>
          <w:rtl/>
          <w:lang w:val="en-GB"/>
        </w:rPr>
        <w:t>ة</w:t>
      </w:r>
      <w:r w:rsidRPr="00A635B0">
        <w:rPr>
          <w:rtl/>
          <w:lang w:val="en-GB"/>
        </w:rPr>
        <w:t xml:space="preserve"> أو أكثر من </w:t>
      </w:r>
      <w:r w:rsidRPr="00A635B0">
        <w:rPr>
          <w:rFonts w:hint="cs"/>
          <w:rtl/>
          <w:lang w:val="en-GB"/>
        </w:rPr>
        <w:t>سنة واحدة</w:t>
      </w:r>
      <w:r w:rsidRPr="00A635B0">
        <w:rPr>
          <w:rtl/>
          <w:lang w:val="en-GB"/>
        </w:rPr>
        <w:t>، على التوالي.</w:t>
      </w:r>
    </w:p>
    <w:p w14:paraId="75EC3072" w14:textId="23FE3611" w:rsidR="00A635B0" w:rsidRPr="00570F35" w:rsidRDefault="00A635B0" w:rsidP="00475B3E">
      <w:pPr>
        <w:rPr>
          <w:lang w:bidi="ar-EG"/>
        </w:rPr>
      </w:pPr>
      <w:r w:rsidRPr="00570F35">
        <w:rPr>
          <w:rtl/>
          <w:lang w:val="en-GB"/>
        </w:rPr>
        <w:t xml:space="preserve">وتتألف </w:t>
      </w:r>
      <w:r w:rsidRPr="00570F35">
        <w:rPr>
          <w:rFonts w:hint="cs"/>
          <w:rtl/>
          <w:lang w:val="en-GB"/>
        </w:rPr>
        <w:t>الاقتراضات</w:t>
      </w:r>
      <w:r w:rsidRPr="00570F35">
        <w:rPr>
          <w:rtl/>
          <w:lang w:val="en-GB"/>
        </w:rPr>
        <w:t xml:space="preserve"> من أربعة قروض دون فوائد تمنحها مؤسسة مباني المنظمات الدولية (FIPOI) لتمويل تشييد مباني الاتحاد. ولن يبدأ سداد القرض الممنوح لتشييد المبنى الجديد للاتحاد إلا بعد تسليم المبنى الجديد بنجاح، الذي يقدَّر موعده حالياً بسنة</w:t>
      </w:r>
      <w:r w:rsidR="00213106">
        <w:rPr>
          <w:rFonts w:hint="eastAsia"/>
          <w:rtl/>
          <w:lang w:val="en-GB" w:bidi="ar-EG"/>
        </w:rPr>
        <w:t> </w:t>
      </w:r>
      <w:r w:rsidRPr="00570F35">
        <w:rPr>
          <w:rtl/>
          <w:lang w:val="en-GB"/>
        </w:rPr>
        <w:t>2031 وفقاً للمقرَّر 640 (</w:t>
      </w:r>
      <w:hyperlink r:id="rId29">
        <w:r w:rsidRPr="00570F35">
          <w:rPr>
            <w:rStyle w:val="Hyperlink"/>
            <w:noProof w:val="0"/>
            <w:rtl/>
            <w:lang w:eastAsia="zh-CN"/>
          </w:rPr>
          <w:t>C24/132</w:t>
        </w:r>
      </w:hyperlink>
      <w:r w:rsidRPr="00570F35">
        <w:rPr>
          <w:rtl/>
          <w:lang w:val="en-GB"/>
        </w:rPr>
        <w:t>) بشأن مشروع المبنى المنقَّح. وتمثل ثلاثة قروض منها مجدولة السداد حتى سنة</w:t>
      </w:r>
      <w:r w:rsidR="00213106">
        <w:rPr>
          <w:rFonts w:hint="cs"/>
          <w:rtl/>
          <w:lang w:val="en-GB"/>
        </w:rPr>
        <w:t> </w:t>
      </w:r>
      <w:r w:rsidRPr="00570F35">
        <w:rPr>
          <w:rtl/>
          <w:lang w:val="en-GB"/>
        </w:rPr>
        <w:t>2051 المستوى 2 من التسلسل الهرمي للقيمة العادلة ويعترف بها بالقيمة العادلة من الفائض أو العجز، بينما لم يجدوَل سداد القرض الرابع بعد فيُعترف به بالتكلفة المطفأة.</w:t>
      </w:r>
    </w:p>
    <w:p w14:paraId="010B719D" w14:textId="6765EE3D" w:rsidR="00A635B0" w:rsidRPr="00A635B0" w:rsidRDefault="00A635B0" w:rsidP="00475B3E">
      <w:pPr>
        <w:rPr>
          <w:lang w:bidi="ar-EG"/>
        </w:rPr>
      </w:pPr>
      <w:r w:rsidRPr="00A635B0">
        <w:rPr>
          <w:rtl/>
          <w:lang w:val="en-GB"/>
        </w:rPr>
        <w:t xml:space="preserve">ويُعترف بالقروض الثلاثة المجدولة السداد بالتكلفة المطفأة مبدئياً ثم بالقيمة العادلة من الفائض أو العجز، وتُخصم باستخدام </w:t>
      </w:r>
      <w:r w:rsidRPr="00A635B0">
        <w:rPr>
          <w:rtl/>
          <w:lang w:val="en-GB" w:bidi="ar-EG"/>
        </w:rPr>
        <w:t>سعر</w:t>
      </w:r>
      <w:r w:rsidRPr="00A635B0">
        <w:rPr>
          <w:rtl/>
          <w:lang w:val="en-GB"/>
        </w:rPr>
        <w:t xml:space="preserve"> سندات الاتحاد السويسري المحددة مدتها بثلاثين </w:t>
      </w:r>
      <w:r w:rsidRPr="00A635B0">
        <w:rPr>
          <w:rFonts w:hint="cs"/>
          <w:rtl/>
          <w:lang w:val="en-GB"/>
        </w:rPr>
        <w:t>سنة</w:t>
      </w:r>
      <w:r w:rsidRPr="00A635B0">
        <w:rPr>
          <w:rtl/>
          <w:lang w:val="en-GB"/>
        </w:rPr>
        <w:t xml:space="preserve"> البالغ </w:t>
      </w:r>
      <w:r w:rsidR="00213106">
        <w:rPr>
          <w:lang w:val="en-GB"/>
        </w:rPr>
        <w:t>%0,37</w:t>
      </w:r>
      <w:r w:rsidRPr="00A635B0">
        <w:rPr>
          <w:rtl/>
          <w:lang w:val="en-GB"/>
        </w:rPr>
        <w:t xml:space="preserve"> في ديسمبر 2024 (</w:t>
      </w:r>
      <w:r w:rsidR="00213106">
        <w:rPr>
          <w:lang w:val="en-GB"/>
        </w:rPr>
        <w:t>%0,50</w:t>
      </w:r>
      <w:r w:rsidRPr="00A635B0">
        <w:rPr>
          <w:rtl/>
          <w:lang w:val="en-GB"/>
        </w:rPr>
        <w:t xml:space="preserve"> في سنة 2023). أما القرض الرابع، فلم يجدول سداده بعد ومن ثم يُعترف به بالتكلفة المطفأة. وتورد الملاحظة 15 مزيداً من التفاصيل.</w:t>
      </w:r>
    </w:p>
    <w:p w14:paraId="2F12529A" w14:textId="3833ED65" w:rsidR="00A635B0" w:rsidRPr="00A635B0" w:rsidRDefault="00A635B0" w:rsidP="00213106">
      <w:pPr>
        <w:rPr>
          <w:lang w:bidi="ar-EG"/>
        </w:rPr>
      </w:pPr>
      <w:r w:rsidRPr="00A635B0">
        <w:rPr>
          <w:rtl/>
          <w:lang w:val="en-GB"/>
        </w:rPr>
        <w:t xml:space="preserve">تقع مباني مقر الاتحاد على أرض يملكها كانتون جنيف. </w:t>
      </w:r>
      <w:r w:rsidRPr="00A635B0">
        <w:rPr>
          <w:rtl/>
          <w:lang w:val="en-GB" w:bidi="ar-EG"/>
        </w:rPr>
        <w:t>ويتمتع ا</w:t>
      </w:r>
      <w:r w:rsidRPr="00A635B0">
        <w:rPr>
          <w:rtl/>
          <w:lang w:val="en-GB"/>
        </w:rPr>
        <w:t>لاتحاد بحق انتفاع، مجاني، بمساحة الأرض التي يملكها كانتون جنيف. فبموجب اتفاق حق الانتفاع بمساحة الأرض ("droits de superficie")، يحق للاتحاد استخدام الأرض حتى 31 ديسمبر</w:t>
      </w:r>
      <w:r w:rsidR="00213106">
        <w:rPr>
          <w:lang w:val="en-GB"/>
        </w:rPr>
        <w:t> </w:t>
      </w:r>
      <w:r w:rsidRPr="00A635B0">
        <w:rPr>
          <w:rtl/>
          <w:lang w:val="en-GB"/>
        </w:rPr>
        <w:t>2079. ولم يُعترف بأي قيمة للأرض، ذلك أنه لا يمكن للاتحاد التصرف في هذا الحق في معاملة تجارية. والعمر الإنتاجي لمباني مقر الاتحاد أدنى من العمر الإنتاجي للمكونات المتصلة بالمباني أو من مدة حق الانتفاع بمساحة الأرض.</w:t>
      </w:r>
    </w:p>
    <w:p w14:paraId="6CF7AB1F" w14:textId="77777777" w:rsidR="00A635B0" w:rsidRPr="00570F35" w:rsidRDefault="00A635B0" w:rsidP="00570F35">
      <w:pPr>
        <w:pStyle w:val="Headingi"/>
        <w:rPr>
          <w:b w:val="0"/>
          <w:bCs w:val="0"/>
          <w:lang w:val="en-GB"/>
        </w:rPr>
      </w:pPr>
      <w:r w:rsidRPr="00570F35">
        <w:rPr>
          <w:b w:val="0"/>
          <w:bCs w:val="0"/>
          <w:rtl/>
          <w:lang w:val="en-GB"/>
        </w:rPr>
        <w:tab/>
        <w:t>الذمم</w:t>
      </w:r>
      <w:r w:rsidRPr="00570F35">
        <w:rPr>
          <w:b w:val="0"/>
          <w:bCs w:val="0"/>
          <w:lang w:val="en-GB"/>
        </w:rPr>
        <w:t xml:space="preserve"> </w:t>
      </w:r>
      <w:r w:rsidRPr="00570F35">
        <w:rPr>
          <w:b w:val="0"/>
          <w:bCs w:val="0"/>
          <w:rtl/>
          <w:lang w:val="en-GB"/>
        </w:rPr>
        <w:t>المدينة</w:t>
      </w:r>
    </w:p>
    <w:p w14:paraId="746CAD0C" w14:textId="77777777" w:rsidR="00A635B0" w:rsidRPr="00A635B0" w:rsidRDefault="00A635B0" w:rsidP="00475B3E">
      <w:pPr>
        <w:rPr>
          <w:lang w:bidi="ar-EG"/>
        </w:rPr>
      </w:pPr>
      <w:r w:rsidRPr="00A635B0">
        <w:rPr>
          <w:rtl/>
          <w:lang w:val="en-GB"/>
        </w:rPr>
        <w:t xml:space="preserve">تصنَّف الذمم المدينة للاتحاد بذمم مدينة وقروض، وتشكل أصولاً مالية غير مشتقة ذات تواريخ استحقاق ثابتة أو قابلة للتحديد لا تُطرح للتداول في سوق نشطة. </w:t>
      </w:r>
      <w:r w:rsidRPr="00A635B0">
        <w:rPr>
          <w:rtl/>
          <w:lang w:val="en-GB" w:bidi="ar-EG"/>
        </w:rPr>
        <w:t xml:space="preserve">وتنشأ </w:t>
      </w:r>
      <w:r w:rsidRPr="00A635B0">
        <w:rPr>
          <w:rtl/>
          <w:lang w:val="en-GB"/>
        </w:rPr>
        <w:t>عند</w:t>
      </w:r>
      <w:r w:rsidRPr="00A635B0">
        <w:rPr>
          <w:rtl/>
          <w:lang w:val="en-GB" w:bidi="ar-EG"/>
        </w:rPr>
        <w:t xml:space="preserve"> دخول الاتحاد في اتفاق تعاقدي </w:t>
      </w:r>
      <w:r w:rsidRPr="00A635B0">
        <w:rPr>
          <w:rtl/>
          <w:lang w:val="en-GB"/>
        </w:rPr>
        <w:t>مع طرف ثالث وتظل كذلك إلى أن تنفَّذ التحويلات النقدية المتصلة بتلك الأصول المالية وتحوَّل، بالمثل، المخاطر والمنافع المتصلة بها إلى الاتحاد. وتصنَّف هذه الأصول بأنها أصول جارية، عدا تلك التي يتجاوز تاريخ استحقاقها 12 شهراً من تاريخ إقفال الحسابات، حيث تصنَّف بأنها أصول غير جارية.</w:t>
      </w:r>
    </w:p>
    <w:p w14:paraId="24B4B3CD" w14:textId="77777777" w:rsidR="00EF3E76" w:rsidRDefault="00A635B0" w:rsidP="00475B3E">
      <w:pPr>
        <w:rPr>
          <w:rtl/>
          <w:lang w:val="en-GB"/>
        </w:rPr>
      </w:pPr>
      <w:r w:rsidRPr="00A635B0">
        <w:rPr>
          <w:rtl/>
          <w:lang w:val="en-GB"/>
        </w:rPr>
        <w:lastRenderedPageBreak/>
        <w:t xml:space="preserve">وتنشأ الذمم المدينة الناتجة عن المعاملات التبادلية عن بيع المنشورات أو </w:t>
      </w:r>
      <w:r w:rsidRPr="00A635B0">
        <w:rPr>
          <w:rFonts w:hint="cs"/>
          <w:rtl/>
          <w:lang w:val="en-GB"/>
        </w:rPr>
        <w:t xml:space="preserve">معالجة </w:t>
      </w:r>
      <w:r w:rsidRPr="00A635B0">
        <w:rPr>
          <w:rtl/>
          <w:lang w:val="en-GB"/>
        </w:rPr>
        <w:t xml:space="preserve">بطاقات التبليغ عن الشبكات الساتلية، بينما تنشأ الذمم المدينة الناتجة عن المعاملات غير التبادلية عن الاشتراكات </w:t>
      </w:r>
      <w:r w:rsidRPr="00A635B0">
        <w:rPr>
          <w:rtl/>
          <w:lang w:val="en-GB" w:bidi="ar-EG"/>
        </w:rPr>
        <w:t>المقررة</w:t>
      </w:r>
      <w:r w:rsidRPr="00A635B0">
        <w:rPr>
          <w:rtl/>
          <w:lang w:val="en-GB"/>
        </w:rPr>
        <w:t xml:space="preserve"> والمساهمات الخارجة عن الميزانية.</w:t>
      </w:r>
    </w:p>
    <w:p w14:paraId="571FB65B" w14:textId="35D76E71" w:rsidR="00A635B0" w:rsidRPr="00A635B0" w:rsidRDefault="00A635B0" w:rsidP="00475B3E">
      <w:pPr>
        <w:rPr>
          <w:lang w:bidi="ar-EG"/>
        </w:rPr>
      </w:pPr>
      <w:r w:rsidRPr="00A635B0">
        <w:rPr>
          <w:rtl/>
          <w:lang w:val="en-GB" w:bidi="ar-EG"/>
        </w:rPr>
        <w:t xml:space="preserve">وتحدَّد الذمم المدينة عن </w:t>
      </w:r>
      <w:r w:rsidRPr="00A635B0">
        <w:rPr>
          <w:rtl/>
          <w:lang w:val="en-GB"/>
        </w:rPr>
        <w:t>بطاقات التبليغ عن الشبكات الساتلية بعد تسلم مكتب الاتصالات الراديوية بطاقات التبليغ.</w:t>
      </w:r>
    </w:p>
    <w:p w14:paraId="76A3A143" w14:textId="77777777" w:rsidR="00A635B0" w:rsidRPr="00A635B0" w:rsidRDefault="00A635B0" w:rsidP="00475B3E">
      <w:pPr>
        <w:rPr>
          <w:lang w:bidi="ar-EG"/>
        </w:rPr>
      </w:pPr>
      <w:r w:rsidRPr="00A635B0">
        <w:rPr>
          <w:rtl/>
          <w:lang w:val="en-GB"/>
        </w:rPr>
        <w:t>ويعترف بالذمم المدينة بالقيمة العادلة للمقابل المستحق</w:t>
      </w:r>
      <w:r w:rsidRPr="00A635B0">
        <w:rPr>
          <w:rtl/>
          <w:lang w:val="en-GB" w:bidi="ar-EG"/>
        </w:rPr>
        <w:t xml:space="preserve"> القبض</w:t>
      </w:r>
      <w:r w:rsidRPr="00A635B0">
        <w:rPr>
          <w:rtl/>
          <w:lang w:val="en-GB"/>
        </w:rPr>
        <w:t>.</w:t>
      </w:r>
    </w:p>
    <w:p w14:paraId="7E6E903B" w14:textId="77777777" w:rsidR="00A635B0" w:rsidRPr="00A635B0" w:rsidRDefault="00A635B0" w:rsidP="00475B3E">
      <w:pPr>
        <w:rPr>
          <w:lang w:bidi="ar-EG"/>
        </w:rPr>
      </w:pPr>
      <w:r w:rsidRPr="00A635B0">
        <w:rPr>
          <w:rtl/>
          <w:lang w:val="en-GB"/>
        </w:rPr>
        <w:t>ويقدِّر الاتحاد في كل تاريخ إبلاغ القيمة العادلة للذمم المدينة ويُعترف ب</w:t>
      </w:r>
      <w:r w:rsidRPr="00A635B0">
        <w:rPr>
          <w:rtl/>
          <w:lang w:val="en-GB" w:bidi="ar-EG"/>
        </w:rPr>
        <w:t xml:space="preserve">مخصَّص لها </w:t>
      </w:r>
      <w:r w:rsidRPr="00A635B0">
        <w:rPr>
          <w:rtl/>
          <w:lang w:val="en-GB"/>
        </w:rPr>
        <w:t>عند الاقتضاء.</w:t>
      </w:r>
    </w:p>
    <w:p w14:paraId="38138A12" w14:textId="77777777" w:rsidR="00EF3E76" w:rsidRDefault="00A635B0" w:rsidP="00213106">
      <w:pPr>
        <w:pStyle w:val="Headingi"/>
        <w:rPr>
          <w:rtl/>
          <w:lang w:val="en-GB"/>
        </w:rPr>
      </w:pPr>
      <w:bookmarkStart w:id="122" w:name="_Toc305764070"/>
      <w:bookmarkStart w:id="123" w:name="_Toc131156422"/>
      <w:bookmarkStart w:id="124" w:name="_Toc150028697"/>
      <w:r w:rsidRPr="00A635B0">
        <w:rPr>
          <w:rtl/>
          <w:lang w:val="en-GB"/>
        </w:rPr>
        <w:t>الممتلكات والمنشآت والمعدات</w:t>
      </w:r>
      <w:bookmarkEnd w:id="122"/>
      <w:bookmarkEnd w:id="123"/>
      <w:bookmarkEnd w:id="124"/>
    </w:p>
    <w:p w14:paraId="044E7347" w14:textId="436295A4" w:rsidR="00A635B0" w:rsidRPr="00A635B0" w:rsidRDefault="00A635B0" w:rsidP="00475B3E">
      <w:pPr>
        <w:rPr>
          <w:lang w:bidi="ar-EG"/>
        </w:rPr>
      </w:pPr>
      <w:r w:rsidRPr="00A635B0">
        <w:rPr>
          <w:rtl/>
          <w:lang w:val="en-GB"/>
        </w:rPr>
        <w:t>تقدَّر قيمة الممتلكات والمنشآت والمعدات بتكلفتها مخصوماً منها</w:t>
      </w:r>
      <w:r w:rsidRPr="00A635B0">
        <w:rPr>
          <w:rtl/>
          <w:lang w:val="en-GB" w:bidi="ar-EG"/>
        </w:rPr>
        <w:t xml:space="preserve"> قيمة الإهلاك المتراكم والخسائر المتراكمة الناجمة عن انخفاض قيمتها</w:t>
      </w:r>
      <w:r w:rsidRPr="00A635B0">
        <w:rPr>
          <w:rtl/>
          <w:lang w:val="en-GB"/>
        </w:rPr>
        <w:t xml:space="preserve">. ويعترف بالمعدات كأصل إن بلغت تكلفة الوحدة الواحدة </w:t>
      </w:r>
      <w:r w:rsidRPr="00A635B0">
        <w:rPr>
          <w:lang w:bidi="ar-EG"/>
        </w:rPr>
        <w:t>5 000</w:t>
      </w:r>
      <w:r w:rsidRPr="00A635B0">
        <w:rPr>
          <w:rtl/>
          <w:lang w:val="en-GB"/>
        </w:rPr>
        <w:t xml:space="preserve"> فرنك سويسري أو أكثر وأُه</w:t>
      </w:r>
      <w:r w:rsidRPr="00A635B0">
        <w:rPr>
          <w:rtl/>
          <w:lang w:val="en-GB" w:bidi="ar-EG"/>
        </w:rPr>
        <w:t>لكت</w:t>
      </w:r>
      <w:r w:rsidRPr="00A635B0">
        <w:rPr>
          <w:rtl/>
          <w:lang w:val="en-GB"/>
        </w:rPr>
        <w:t xml:space="preserve"> على أساس القسط الثابت. </w:t>
      </w:r>
      <w:r w:rsidRPr="00A635B0">
        <w:rPr>
          <w:rtl/>
          <w:lang w:val="en-GB" w:bidi="ar-EG"/>
        </w:rPr>
        <w:t>وتحدَّد</w:t>
      </w:r>
      <w:r w:rsidRPr="00A635B0">
        <w:rPr>
          <w:rtl/>
          <w:lang w:val="en-GB"/>
        </w:rPr>
        <w:t xml:space="preserve"> الأرباح والخسائر عند التصرف في هذا الأصل بمقارنة العائدات بقيمة الأصل المسجلة، وت</w:t>
      </w:r>
      <w:r w:rsidRPr="00A635B0">
        <w:rPr>
          <w:rFonts w:hint="cs"/>
          <w:rtl/>
          <w:lang w:val="en-GB"/>
        </w:rPr>
        <w:t>ُ</w:t>
      </w:r>
      <w:r w:rsidRPr="00A635B0">
        <w:rPr>
          <w:rtl/>
          <w:lang w:val="en-GB"/>
        </w:rPr>
        <w:t xml:space="preserve">ضمَّن في </w:t>
      </w:r>
      <w:r w:rsidRPr="00A635B0">
        <w:rPr>
          <w:rFonts w:hint="cs"/>
          <w:rtl/>
          <w:lang w:val="en-GB"/>
        </w:rPr>
        <w:t>بيان</w:t>
      </w:r>
      <w:r w:rsidRPr="00A635B0">
        <w:rPr>
          <w:rtl/>
          <w:lang w:val="en-GB"/>
        </w:rPr>
        <w:t xml:space="preserve"> الأداء المالي. ولا تقدَّر في البيانات المالية الأصول التراثية بما في ذلك الأعمال الفنية المتبرع بها.</w:t>
      </w:r>
    </w:p>
    <w:p w14:paraId="50A91AAC" w14:textId="77777777" w:rsidR="00A635B0" w:rsidRPr="00A635B0" w:rsidRDefault="00A635B0" w:rsidP="00475B3E">
      <w:pPr>
        <w:rPr>
          <w:lang w:bidi="ar-EG"/>
        </w:rPr>
      </w:pPr>
      <w:r w:rsidRPr="00A635B0">
        <w:rPr>
          <w:rtl/>
          <w:lang w:val="en-GB"/>
        </w:rPr>
        <w:t xml:space="preserve">وتُرسمل السلع التي تنخفض قيمتها عن </w:t>
      </w:r>
      <w:r w:rsidRPr="00A635B0">
        <w:rPr>
          <w:lang w:bidi="ar-EG"/>
        </w:rPr>
        <w:t>5 000</w:t>
      </w:r>
      <w:r w:rsidRPr="00A635B0">
        <w:rPr>
          <w:rtl/>
          <w:lang w:val="en-GB" w:bidi="ar-EG"/>
        </w:rPr>
        <w:t xml:space="preserve"> </w:t>
      </w:r>
      <w:r w:rsidRPr="00A635B0">
        <w:rPr>
          <w:rtl/>
          <w:lang w:val="en-GB"/>
        </w:rPr>
        <w:t>فرنك سويسري عند تسلمها ثم تُهلك بالكامل في سنة الشراء.</w:t>
      </w:r>
    </w:p>
    <w:p w14:paraId="027114F3" w14:textId="77777777" w:rsidR="00A635B0" w:rsidRPr="00A635B0" w:rsidRDefault="00A635B0" w:rsidP="00475B3E">
      <w:pPr>
        <w:rPr>
          <w:lang w:bidi="ar-EG"/>
        </w:rPr>
      </w:pPr>
      <w:r w:rsidRPr="00A635B0">
        <w:rPr>
          <w:rtl/>
          <w:lang w:val="en-GB"/>
        </w:rPr>
        <w:t xml:space="preserve">أما الممتلكات والمعدات المشتراة بخصوص </w:t>
      </w:r>
      <w:r w:rsidRPr="00A635B0">
        <w:rPr>
          <w:rFonts w:hint="cs"/>
          <w:rtl/>
          <w:lang w:val="en-GB"/>
        </w:rPr>
        <w:t>ال</w:t>
      </w:r>
      <w:r w:rsidRPr="00A635B0">
        <w:rPr>
          <w:rtl/>
          <w:lang w:val="en-GB"/>
        </w:rPr>
        <w:t xml:space="preserve">مشاريع المنفذة في إطار أنشطة خارجة عن الميزانية، فيعترف بها بالكامل كمصروفات في </w:t>
      </w:r>
      <w:r w:rsidRPr="00A635B0">
        <w:rPr>
          <w:rFonts w:hint="cs"/>
          <w:rtl/>
          <w:lang w:val="en-GB"/>
        </w:rPr>
        <w:t>بيان</w:t>
      </w:r>
      <w:r w:rsidRPr="00A635B0">
        <w:rPr>
          <w:rtl/>
          <w:lang w:val="en-GB"/>
        </w:rPr>
        <w:t xml:space="preserve"> الأداء المالي عند الإقفال الشهري التالي لتاريخ الشراء كونها لا تخضع لسيطرة الاتحاد.</w:t>
      </w:r>
    </w:p>
    <w:p w14:paraId="473D674C" w14:textId="77777777" w:rsidR="00A635B0" w:rsidRPr="00A635B0" w:rsidRDefault="00A635B0" w:rsidP="00475B3E">
      <w:pPr>
        <w:rPr>
          <w:lang w:bidi="ar-EG"/>
        </w:rPr>
      </w:pPr>
      <w:r w:rsidRPr="00A635B0">
        <w:rPr>
          <w:rtl/>
          <w:lang w:val="en-GB"/>
        </w:rPr>
        <w:t>ويوضح الجدول أدناه العمر الإنتاجي المقدر للأصول.</w:t>
      </w:r>
    </w:p>
    <w:p w14:paraId="19B0B138" w14:textId="5F1D08D9" w:rsidR="00A635B0" w:rsidRPr="00A635B0" w:rsidRDefault="00187C0F" w:rsidP="00213106">
      <w:pPr>
        <w:pStyle w:val="Figure"/>
        <w:rPr>
          <w:lang w:bidi="ar-EG"/>
        </w:rPr>
      </w:pPr>
      <w:r>
        <w:rPr>
          <w:lang w:bidi="ar-EG"/>
        </w:rPr>
        <w:lastRenderedPageBreak/>
        <w:drawing>
          <wp:inline distT="0" distB="0" distL="0" distR="0" wp14:anchorId="0BFD19D2" wp14:editId="109BC065">
            <wp:extent cx="5133340" cy="5761355"/>
            <wp:effectExtent l="0" t="0" r="0" b="0"/>
            <wp:docPr id="38990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340" cy="5761355"/>
                    </a:xfrm>
                    <a:prstGeom prst="rect">
                      <a:avLst/>
                    </a:prstGeom>
                    <a:noFill/>
                  </pic:spPr>
                </pic:pic>
              </a:graphicData>
            </a:graphic>
          </wp:inline>
        </w:drawing>
      </w:r>
    </w:p>
    <w:p w14:paraId="3C1D8DD2" w14:textId="5AB0FA2C" w:rsidR="00A635B0" w:rsidRPr="00A635B0" w:rsidRDefault="00A635B0" w:rsidP="00187C0F">
      <w:pPr>
        <w:rPr>
          <w:lang w:bidi="ar-EG"/>
        </w:rPr>
      </w:pPr>
      <w:bookmarkStart w:id="125" w:name="_Toc329296013"/>
      <w:bookmarkStart w:id="126" w:name="_Toc358648333"/>
      <w:bookmarkStart w:id="127" w:name="_Toc358648532"/>
      <w:bookmarkStart w:id="128" w:name="_Toc387338336"/>
      <w:bookmarkStart w:id="129" w:name="_Toc419484061"/>
      <w:bookmarkStart w:id="130" w:name="_Toc452156613"/>
      <w:bookmarkStart w:id="131" w:name="_Toc482793701"/>
      <w:bookmarkStart w:id="132" w:name="_Toc511402215"/>
      <w:bookmarkStart w:id="133" w:name="_Toc511756652"/>
      <w:bookmarkStart w:id="134" w:name="_Toc520365467"/>
      <w:bookmarkStart w:id="135" w:name="_Toc9614771"/>
      <w:bookmarkStart w:id="136" w:name="_Toc42014527"/>
      <w:bookmarkStart w:id="137" w:name="_Toc74061559"/>
      <w:r w:rsidRPr="00A635B0">
        <w:rPr>
          <w:rtl/>
          <w:lang w:val="en-GB"/>
        </w:rPr>
        <w:t xml:space="preserve">ويقيم الاتحاد في كل تاريخ إقفال سنوي للحسابات مدى وجود أي مؤشر إلى احتمال انخفاض قيمة أي من الأصول. وفي حال وجود أي مؤشر من هذا القبيل، يقدَّر مبلغ الأصل، القابل للاسترداد، وتقيَّد خسارة انخفاض القيمة في </w:t>
      </w:r>
      <w:r w:rsidRPr="00A635B0">
        <w:rPr>
          <w:rFonts w:hint="cs"/>
          <w:rtl/>
          <w:lang w:val="en-GB"/>
        </w:rPr>
        <w:t xml:space="preserve">بيان </w:t>
      </w:r>
      <w:r w:rsidRPr="00A635B0">
        <w:rPr>
          <w:rtl/>
          <w:lang w:val="en-GB"/>
        </w:rPr>
        <w:t>الأداء المالي متى تجاوزت القيمة المسجلة المبلغ القابل للاسترداد. وقد أجرى الاتحاد في سنة 2024 استعراضاً مفصلا</w:t>
      </w:r>
      <w:r w:rsidR="002B0774">
        <w:rPr>
          <w:rFonts w:hint="cs"/>
          <w:rtl/>
          <w:lang w:val="en-GB"/>
        </w:rPr>
        <w:t xml:space="preserve">ً </w:t>
      </w:r>
      <w:r w:rsidRPr="00A635B0">
        <w:rPr>
          <w:rtl/>
          <w:lang w:val="en-GB"/>
        </w:rPr>
        <w:t xml:space="preserve">للأصول قيد الإنشاء، وقُيد في </w:t>
      </w:r>
      <w:r w:rsidRPr="00A635B0">
        <w:rPr>
          <w:rFonts w:hint="cs"/>
          <w:rtl/>
          <w:lang w:val="en-GB"/>
        </w:rPr>
        <w:t>بيان</w:t>
      </w:r>
      <w:r w:rsidRPr="00A635B0">
        <w:rPr>
          <w:rtl/>
          <w:lang w:val="en-GB"/>
        </w:rPr>
        <w:t xml:space="preserve"> الأداء المالي انخفاض في قيمتها بلغ 21 مليون فرنك سويسري (انظر الملاحظة 12 للاطلاع على التفاصيل).</w:t>
      </w:r>
    </w:p>
    <w:p w14:paraId="2A35603B" w14:textId="77777777" w:rsidR="00EF3E76" w:rsidRDefault="00A635B0" w:rsidP="00187C0F">
      <w:pPr>
        <w:pStyle w:val="Headingi"/>
        <w:rPr>
          <w:rtl/>
          <w:lang w:val="en-GB"/>
        </w:rPr>
      </w:pPr>
      <w:r w:rsidRPr="00A635B0">
        <w:rPr>
          <w:rtl/>
          <w:lang w:val="en-GB"/>
        </w:rPr>
        <w:t xml:space="preserve">الأصول غير </w:t>
      </w:r>
      <w:bookmarkEnd w:id="125"/>
      <w:bookmarkEnd w:id="126"/>
      <w:bookmarkEnd w:id="127"/>
      <w:bookmarkEnd w:id="128"/>
      <w:bookmarkEnd w:id="129"/>
      <w:bookmarkEnd w:id="130"/>
      <w:bookmarkEnd w:id="131"/>
      <w:bookmarkEnd w:id="132"/>
      <w:bookmarkEnd w:id="133"/>
      <w:bookmarkEnd w:id="134"/>
      <w:bookmarkEnd w:id="135"/>
      <w:bookmarkEnd w:id="136"/>
      <w:bookmarkEnd w:id="137"/>
      <w:r w:rsidRPr="00A635B0">
        <w:rPr>
          <w:rtl/>
          <w:lang w:val="en-GB"/>
        </w:rPr>
        <w:t>الملموسة</w:t>
      </w:r>
    </w:p>
    <w:p w14:paraId="463C9BCE" w14:textId="60A4B80B" w:rsidR="00A635B0" w:rsidRPr="00A635B0" w:rsidRDefault="00A635B0" w:rsidP="00187C0F">
      <w:pPr>
        <w:rPr>
          <w:lang w:bidi="ar-EG"/>
        </w:rPr>
      </w:pPr>
      <w:r w:rsidRPr="00A635B0">
        <w:rPr>
          <w:rtl/>
          <w:lang w:val="en-GB" w:bidi="ar-EG"/>
        </w:rPr>
        <w:t xml:space="preserve">تتألف الأصول غير الملموسة (تراخيص وبرمجيات تكنولوجيا المعلومات </w:t>
      </w:r>
      <w:r w:rsidRPr="00A635B0">
        <w:rPr>
          <w:lang w:bidi="ar-EG"/>
        </w:rPr>
        <w:t>(IT)</w:t>
      </w:r>
      <w:r w:rsidRPr="00A635B0">
        <w:rPr>
          <w:rtl/>
          <w:lang w:val="en-GB" w:bidi="ar-EG"/>
        </w:rPr>
        <w:t>) التي يحوزها الاتحاد من أصول مطورة داخلياً وأصول مشتراة من الخارج. ويُعترف بها بتكلفتها التاريخية مخصوماً منها قيمة الاستهلاك المتراكم والخسائر المتراكمة الناجمة عن انخفاض قيمتها. ولا ترسمل</w:t>
      </w:r>
      <w:r w:rsidRPr="00A635B0">
        <w:rPr>
          <w:rFonts w:hint="cs"/>
          <w:rtl/>
          <w:lang w:val="en-GB" w:bidi="ar-EG"/>
        </w:rPr>
        <w:t xml:space="preserve"> </w:t>
      </w:r>
      <w:r w:rsidRPr="00A635B0">
        <w:rPr>
          <w:rtl/>
          <w:lang w:val="en-GB" w:bidi="ar-EG"/>
        </w:rPr>
        <w:t>كأصول غير ملموسة التكاليف المتعلقة مباشرةً بالتطوير الداخلي للبرمجيات لاستخدامها من قبل الاتحاد</w:t>
      </w:r>
      <w:r w:rsidRPr="00A635B0">
        <w:rPr>
          <w:rFonts w:hint="cs"/>
          <w:rtl/>
          <w:lang w:val="en-GB" w:bidi="ar-EG"/>
        </w:rPr>
        <w:t xml:space="preserve"> </w:t>
      </w:r>
      <w:r w:rsidRPr="00A635B0">
        <w:rPr>
          <w:rtl/>
          <w:lang w:val="en-GB" w:bidi="ar-EG"/>
        </w:rPr>
        <w:t xml:space="preserve">إلا في حال استيفاء معايير الاعتراف </w:t>
      </w:r>
      <w:r w:rsidRPr="00A635B0">
        <w:rPr>
          <w:rFonts w:hint="cs"/>
          <w:rtl/>
          <w:lang w:val="en-GB" w:bidi="ar-EG"/>
        </w:rPr>
        <w:t xml:space="preserve">المحددة </w:t>
      </w:r>
      <w:r w:rsidRPr="00A635B0">
        <w:rPr>
          <w:rtl/>
          <w:lang w:val="en-GB"/>
        </w:rPr>
        <w:t>بموجب المعيار IPSAS 31.</w:t>
      </w:r>
    </w:p>
    <w:p w14:paraId="1E3212FE" w14:textId="77777777" w:rsidR="00A635B0" w:rsidRPr="00187C0F" w:rsidRDefault="00A635B0" w:rsidP="00187C0F">
      <w:pPr>
        <w:pStyle w:val="Headingi"/>
        <w:rPr>
          <w:b w:val="0"/>
          <w:bCs w:val="0"/>
          <w:lang w:val="en-GB"/>
        </w:rPr>
      </w:pPr>
      <w:r w:rsidRPr="00187C0F">
        <w:rPr>
          <w:b w:val="0"/>
          <w:bCs w:val="0"/>
          <w:rtl/>
          <w:lang w:val="en-GB"/>
        </w:rPr>
        <w:tab/>
        <w:t>عتبات الرسملة:</w:t>
      </w:r>
    </w:p>
    <w:p w14:paraId="020F55FF" w14:textId="4FE2EAC2" w:rsidR="00A635B0" w:rsidRPr="00A635B0" w:rsidRDefault="00187C0F" w:rsidP="00187C0F">
      <w:pPr>
        <w:pStyle w:val="enumlev1"/>
        <w:rPr>
          <w:lang w:bidi="ar-EG"/>
        </w:rPr>
      </w:pPr>
      <w:r w:rsidRPr="00A635B0">
        <w:rPr>
          <w:lang w:bidi="ar-EG"/>
        </w:rPr>
        <w:sym w:font="Wingdings 2" w:char="F097"/>
      </w:r>
      <w:r w:rsidR="00A635B0" w:rsidRPr="00A635B0">
        <w:rPr>
          <w:lang w:bidi="ar-EG"/>
        </w:rPr>
        <w:tab/>
      </w:r>
      <w:r w:rsidR="00A635B0" w:rsidRPr="00A635B0">
        <w:rPr>
          <w:rtl/>
          <w:lang w:val="en-GB"/>
        </w:rPr>
        <w:t>ترسمل، وتُهلك كلياً، في السنة المالية ذاتها الأصول</w:t>
      </w:r>
      <w:r w:rsidR="00A635B0" w:rsidRPr="00A635B0">
        <w:rPr>
          <w:rtl/>
          <w:lang w:val="en-GB" w:bidi="ar-EG"/>
        </w:rPr>
        <w:t xml:space="preserve"> غير</w:t>
      </w:r>
      <w:r w:rsidR="00A635B0" w:rsidRPr="00A635B0">
        <w:rPr>
          <w:rtl/>
          <w:lang w:val="en-GB"/>
        </w:rPr>
        <w:t xml:space="preserve"> الملموسة (تراخيص وبرمجيات تكنولوجيا المعلومات) المشتراة من الخارج بقيمة أدنى من 000 5 فرنك سويسري،</w:t>
      </w:r>
      <w:r w:rsidR="00A635B0" w:rsidRPr="00A635B0">
        <w:rPr>
          <w:lang w:bidi="ar-EG"/>
        </w:rPr>
        <w:t xml:space="preserve"> </w:t>
      </w:r>
      <w:r w:rsidR="00A635B0" w:rsidRPr="00A635B0">
        <w:rPr>
          <w:rtl/>
          <w:lang w:val="en-GB"/>
        </w:rPr>
        <w:t>وذلك لتيسير تتبُّع المخزونات.</w:t>
      </w:r>
    </w:p>
    <w:p w14:paraId="2162C233" w14:textId="77777777" w:rsidR="00A635B0" w:rsidRPr="00A635B0" w:rsidRDefault="00A635B0" w:rsidP="00187C0F">
      <w:pPr>
        <w:pStyle w:val="enumlev1"/>
        <w:rPr>
          <w:lang w:bidi="ar-EG"/>
        </w:rPr>
      </w:pPr>
      <w:r w:rsidRPr="00A635B0">
        <w:rPr>
          <w:lang w:bidi="ar-EG"/>
        </w:rPr>
        <w:sym w:font="Wingdings 2" w:char="F097"/>
      </w:r>
      <w:r w:rsidRPr="00A635B0">
        <w:rPr>
          <w:lang w:bidi="ar-EG"/>
        </w:rPr>
        <w:tab/>
      </w:r>
      <w:r w:rsidRPr="00A635B0">
        <w:rPr>
          <w:rtl/>
          <w:lang w:val="en-GB"/>
        </w:rPr>
        <w:t>ترسمل وتُهلك خلال فترة ثلاث سنوات أو خلال مدة البنود التعاقدية الأساسية الأصول غير الملموسة (تراخيص وبرمجيات تكنولوجيا المعلومات) المشتراة من الخارج بقيمة تعادل أو تتجاوز 000 5 فرنك سويسري.</w:t>
      </w:r>
    </w:p>
    <w:p w14:paraId="64C0D899" w14:textId="77777777" w:rsidR="00A635B0" w:rsidRPr="00A635B0" w:rsidRDefault="00A635B0" w:rsidP="00187C0F">
      <w:pPr>
        <w:pStyle w:val="enumlev1"/>
        <w:rPr>
          <w:rtl/>
          <w:lang w:val="en-GB" w:bidi="ar-EG"/>
        </w:rPr>
      </w:pPr>
      <w:r w:rsidRPr="00A635B0">
        <w:rPr>
          <w:lang w:bidi="ar-EG"/>
        </w:rPr>
        <w:lastRenderedPageBreak/>
        <w:sym w:font="Wingdings 2" w:char="F097"/>
      </w:r>
      <w:r w:rsidRPr="00A635B0">
        <w:rPr>
          <w:lang w:bidi="ar-EG"/>
        </w:rPr>
        <w:tab/>
      </w:r>
      <w:r w:rsidRPr="00A635B0">
        <w:rPr>
          <w:rtl/>
          <w:lang w:val="en-GB"/>
        </w:rPr>
        <w:t>ترسمل الأصول غير الملموسة المطورة داخلياً (البرمجيات) بقيمة تتجاوز 000 50 فرنك سويسري ويحدَّد عمرها الإنتاجي الاقتصادي بثلاث سنوات</w:t>
      </w:r>
      <w:r w:rsidRPr="00A635B0">
        <w:rPr>
          <w:rtl/>
          <w:lang w:val="en-GB" w:bidi="ar-EG"/>
        </w:rPr>
        <w:t xml:space="preserve"> أو أكثر</w:t>
      </w:r>
      <w:r w:rsidRPr="00A635B0">
        <w:rPr>
          <w:rtl/>
          <w:lang w:val="en-GB"/>
        </w:rPr>
        <w:t xml:space="preserve"> كحد أدنى، على أساس المنافع الاقتصادية المتوقع تحققها منها في المستقبل. ولا ترسمل سوى التكاليف المتعلقة مباشرةً بعملية التطوير، وتشمل التكاليف </w:t>
      </w:r>
      <w:r w:rsidRPr="00A635B0">
        <w:rPr>
          <w:rtl/>
          <w:lang w:val="en-GB" w:bidi="ar-EG"/>
        </w:rPr>
        <w:t xml:space="preserve">المتعلقة بالعاملين </w:t>
      </w:r>
      <w:r w:rsidRPr="00A635B0">
        <w:rPr>
          <w:rtl/>
          <w:lang w:val="en-GB"/>
        </w:rPr>
        <w:t>و</w:t>
      </w:r>
      <w:r w:rsidRPr="00A635B0">
        <w:rPr>
          <w:rtl/>
          <w:lang w:val="en-GB" w:bidi="ar-EG"/>
        </w:rPr>
        <w:t>النفقات العامة المتعلقة بالتطوير. وتُخصم التكاليف المتعلقة بمراحل البحث.</w:t>
      </w:r>
    </w:p>
    <w:p w14:paraId="55424DA8" w14:textId="1A97E1B0" w:rsidR="00A635B0" w:rsidRPr="00187C0F" w:rsidRDefault="00187C0F" w:rsidP="00187C0F">
      <w:pPr>
        <w:pStyle w:val="Headingi"/>
        <w:rPr>
          <w:b w:val="0"/>
          <w:bCs w:val="0"/>
          <w:lang w:val="en-GB"/>
        </w:rPr>
      </w:pPr>
      <w:r>
        <w:rPr>
          <w:b w:val="0"/>
          <w:bCs w:val="0"/>
          <w:lang w:val="en-GB"/>
        </w:rPr>
        <w:tab/>
      </w:r>
      <w:r w:rsidR="00A635B0" w:rsidRPr="00187C0F">
        <w:rPr>
          <w:b w:val="0"/>
          <w:bCs w:val="0"/>
          <w:rtl/>
          <w:lang w:val="en-GB"/>
        </w:rPr>
        <w:t>الاستهلاك والصيانة:</w:t>
      </w:r>
    </w:p>
    <w:p w14:paraId="6BAA0B55" w14:textId="77777777" w:rsidR="00A635B0" w:rsidRPr="00A635B0" w:rsidRDefault="00A635B0" w:rsidP="00187C0F">
      <w:pPr>
        <w:rPr>
          <w:lang w:val="en-GB" w:bidi="ar-EG"/>
        </w:rPr>
      </w:pPr>
      <w:r w:rsidRPr="00A635B0">
        <w:rPr>
          <w:rtl/>
          <w:lang w:val="en-GB" w:bidi="ar-EG"/>
        </w:rPr>
        <w:t>يُحتسب استهلاك الأصول المرسملة باستخدام أسلوب القسط الثابت طوال عمرها الإنتاجي المقدر، الذي يجوز تمديده بناءً على الاحتياجات التجارية وفترات المنافع الاقتصادية المتوقع تحققها في المستقبل.</w:t>
      </w:r>
    </w:p>
    <w:p w14:paraId="7581ABE5" w14:textId="77777777" w:rsidR="00A635B0" w:rsidRPr="00A635B0" w:rsidRDefault="00A635B0" w:rsidP="00187C0F">
      <w:pPr>
        <w:rPr>
          <w:rtl/>
          <w:lang w:val="en-GB" w:bidi="ar-EG"/>
        </w:rPr>
      </w:pPr>
      <w:r w:rsidRPr="00A635B0">
        <w:rPr>
          <w:rtl/>
          <w:lang w:val="en-GB" w:bidi="ar-EG"/>
        </w:rPr>
        <w:t>وتُخصم التكاليف المتعلقة بصيانة الأصول غير الملموسة.</w:t>
      </w:r>
    </w:p>
    <w:p w14:paraId="0AAC5F50" w14:textId="77777777" w:rsidR="00A635B0" w:rsidRPr="00A635B0" w:rsidRDefault="00A635B0" w:rsidP="00187C0F">
      <w:pPr>
        <w:rPr>
          <w:lang w:bidi="ar-EG"/>
        </w:rPr>
      </w:pPr>
      <w:r w:rsidRPr="00A635B0">
        <w:rPr>
          <w:rtl/>
          <w:lang w:val="en-GB"/>
        </w:rPr>
        <w:t>ويقيم الاتحاد في كل تاريخ إقفال سنوي للحسابات مدى وجود أي مؤشر إلى احتمال انخفاض قيمة أي من الأصول غير الملموسة. وبصرف النظر عن وجود مؤشر إلى انخفاض القيمة من عدمه، يختبر الاتحاد سنوياً الأصول غير الملموسة غير المتاحة بعد للاستخدام. ويُجرى اختبار انخفاض القيمة بمقارنة المبلغ القابل للاسترداد بالقيمة المسجلة، وتقيَّد خسارة انخفاض القيمة في بيان الأداء المالي متى تجاوزت القيمة المسجلة المبلغ القابل للاسترداد.</w:t>
      </w:r>
    </w:p>
    <w:p w14:paraId="11D141ED" w14:textId="77777777" w:rsidR="00A635B0" w:rsidRPr="00187C0F" w:rsidRDefault="00A635B0" w:rsidP="00187C0F">
      <w:pPr>
        <w:pStyle w:val="Headingi"/>
        <w:rPr>
          <w:lang w:val="en-GB"/>
        </w:rPr>
      </w:pPr>
      <w:r w:rsidRPr="00A635B0">
        <w:rPr>
          <w:rtl/>
          <w:lang w:val="en-GB"/>
        </w:rPr>
        <w:t>المخصصات</w:t>
      </w:r>
    </w:p>
    <w:p w14:paraId="23DAEDFA" w14:textId="77777777" w:rsidR="00A635B0" w:rsidRPr="00A635B0" w:rsidRDefault="00A635B0" w:rsidP="00187C0F">
      <w:pPr>
        <w:rPr>
          <w:lang w:bidi="ar-EG"/>
        </w:rPr>
      </w:pPr>
      <w:bookmarkStart w:id="138" w:name="_Toc305764073"/>
      <w:bookmarkStart w:id="139" w:name="_Toc131156425"/>
      <w:bookmarkStart w:id="140" w:name="_Toc1964452081"/>
      <w:r w:rsidRPr="00A635B0">
        <w:rPr>
          <w:rtl/>
          <w:lang w:val="en-GB" w:bidi="ar-EG"/>
        </w:rPr>
        <w:t>يُعترف بالمخصصات متى كان لدى الاتحاد التزام قانوني أو ضمني ناشئ عن أحداث ماضية وكان من المحتمل لزوم تدفق موارد إلى الخارج لتسويته ومتى أمكن تقدير مبلغ الالتزام</w:t>
      </w:r>
      <w:bookmarkEnd w:id="138"/>
      <w:bookmarkEnd w:id="139"/>
      <w:bookmarkEnd w:id="140"/>
      <w:r w:rsidRPr="00A635B0">
        <w:rPr>
          <w:rtl/>
          <w:lang w:val="en-GB" w:bidi="ar-EG"/>
        </w:rPr>
        <w:t xml:space="preserve"> بموثوقية.</w:t>
      </w:r>
    </w:p>
    <w:p w14:paraId="20E8513C" w14:textId="77777777" w:rsidR="00A635B0" w:rsidRPr="00187C0F" w:rsidRDefault="00A635B0" w:rsidP="00187C0F">
      <w:pPr>
        <w:pStyle w:val="Headingi"/>
        <w:rPr>
          <w:lang w:val="en-GB"/>
        </w:rPr>
      </w:pPr>
      <w:r w:rsidRPr="00A635B0">
        <w:rPr>
          <w:rtl/>
          <w:lang w:val="en-GB"/>
        </w:rPr>
        <w:t>الأصول والخصوم المشروطة</w:t>
      </w:r>
    </w:p>
    <w:p w14:paraId="0B81343B" w14:textId="77777777" w:rsidR="00A635B0" w:rsidRPr="00A635B0" w:rsidRDefault="00A635B0" w:rsidP="00187C0F">
      <w:pPr>
        <w:rPr>
          <w:lang w:bidi="ar-EG"/>
        </w:rPr>
      </w:pPr>
      <w:r w:rsidRPr="00A635B0">
        <w:rPr>
          <w:rtl/>
          <w:lang w:val="en-GB"/>
        </w:rPr>
        <w:t>الأصول والخصوم المشروطة هي حقوق أو التزامات يُحتمل نشوؤها عن أحداث ماضية وسيتأكد مدى وجودها بوقوع حدث مستقبلي واحد أو أكثر غير مؤكد وغير خاضع كلياً لسيطرة الاتحاد، أو بعدم وقوعه.</w:t>
      </w:r>
    </w:p>
    <w:p w14:paraId="76BD6F35" w14:textId="77777777" w:rsidR="00A635B0" w:rsidRPr="00A635B0" w:rsidRDefault="00A635B0" w:rsidP="00187C0F">
      <w:pPr>
        <w:rPr>
          <w:rtl/>
          <w:lang w:val="en-GB"/>
        </w:rPr>
      </w:pPr>
      <w:r w:rsidRPr="00A635B0">
        <w:rPr>
          <w:rtl/>
          <w:lang w:val="en-GB"/>
        </w:rPr>
        <w:t>ويفصَح عن الخصوم المشروطة متى كان الالتزام المحتمل نشوؤه غير مؤكد لكنه قابل للقياس، أو متى كان لدى الاتحاد التزام حالي لكن</w:t>
      </w:r>
      <w:r w:rsidRPr="00A635B0">
        <w:rPr>
          <w:rFonts w:hint="cs"/>
          <w:rtl/>
          <w:lang w:val="en-GB"/>
        </w:rPr>
        <w:t xml:space="preserve"> لا يمكنه </w:t>
      </w:r>
      <w:r w:rsidRPr="00A635B0">
        <w:rPr>
          <w:rtl/>
          <w:lang w:val="en-GB"/>
        </w:rPr>
        <w:t>قياس تدفق الموارد المحتمل إلى الخارج قياساً موثوقاً. وليس لدى الاتحاد في الوقت الحاضر أي أصول مشروطة ولا أي خصوم مشروطة مهمة نسبياً.</w:t>
      </w:r>
    </w:p>
    <w:p w14:paraId="5C6031CC" w14:textId="77777777" w:rsidR="00A635B0" w:rsidRPr="00187C0F" w:rsidRDefault="00A635B0" w:rsidP="00187C0F">
      <w:pPr>
        <w:pStyle w:val="Headingi"/>
        <w:rPr>
          <w:lang w:val="en-GB"/>
        </w:rPr>
      </w:pPr>
      <w:bookmarkStart w:id="141" w:name="_Toc329296016"/>
      <w:bookmarkStart w:id="142" w:name="_Toc358648336"/>
      <w:bookmarkStart w:id="143" w:name="_Toc358648535"/>
      <w:bookmarkStart w:id="144" w:name="_Toc387338339"/>
      <w:bookmarkStart w:id="145" w:name="_Toc419484064"/>
      <w:bookmarkStart w:id="146" w:name="_Toc452156616"/>
      <w:bookmarkStart w:id="147" w:name="_Toc482793704"/>
      <w:bookmarkStart w:id="148" w:name="_Toc511402218"/>
      <w:bookmarkStart w:id="149" w:name="_Toc511756655"/>
      <w:bookmarkStart w:id="150" w:name="_Toc520365475"/>
      <w:bookmarkStart w:id="151" w:name="_Toc9614774"/>
      <w:bookmarkStart w:id="152" w:name="_Toc42014530"/>
      <w:bookmarkStart w:id="153" w:name="_Toc74061562"/>
      <w:r w:rsidRPr="00A635B0">
        <w:rPr>
          <w:rtl/>
          <w:lang w:val="en-GB"/>
        </w:rPr>
        <w:t>استحقاقات الموظفين</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71634E86" w14:textId="77777777" w:rsidR="00A635B0" w:rsidRPr="00A635B0" w:rsidRDefault="00A635B0" w:rsidP="00187C0F">
      <w:pPr>
        <w:rPr>
          <w:rtl/>
          <w:lang w:val="en-GB" w:bidi="ar-EG"/>
        </w:rPr>
      </w:pPr>
      <w:bookmarkStart w:id="154" w:name="_Toc520365476"/>
      <w:r w:rsidRPr="00A635B0">
        <w:rPr>
          <w:rtl/>
          <w:lang w:val="en-GB" w:bidi="ar-EG"/>
        </w:rPr>
        <w:t>فيما يلي استحقاقات الموظفين المعترف بها:</w:t>
      </w:r>
    </w:p>
    <w:p w14:paraId="09C86EB5" w14:textId="77777777" w:rsidR="00A635B0" w:rsidRPr="00A635B0" w:rsidRDefault="00A635B0" w:rsidP="00187C0F">
      <w:pPr>
        <w:pStyle w:val="enumlev1"/>
        <w:rPr>
          <w:rtl/>
          <w:lang w:val="en-GB"/>
        </w:rPr>
      </w:pPr>
      <w:r w:rsidRPr="00A635B0">
        <w:rPr>
          <w:rtl/>
          <w:lang w:val="en-GB"/>
        </w:rPr>
        <w:t>-</w:t>
      </w:r>
      <w:r w:rsidRPr="00A635B0">
        <w:rPr>
          <w:rtl/>
          <w:lang w:val="en-GB"/>
        </w:rPr>
        <w:tab/>
      </w:r>
      <w:bookmarkEnd w:id="154"/>
      <w:r w:rsidRPr="00A635B0">
        <w:rPr>
          <w:rtl/>
          <w:lang w:val="en-GB"/>
        </w:rPr>
        <w:t xml:space="preserve">تُتوقع تسوية استحقاقات الموظفين </w:t>
      </w:r>
      <w:r w:rsidRPr="00A635B0">
        <w:rPr>
          <w:rtl/>
          <w:lang w:val="en-GB" w:bidi="ar-EG"/>
        </w:rPr>
        <w:t>ال</w:t>
      </w:r>
      <w:r w:rsidRPr="00A635B0">
        <w:rPr>
          <w:rtl/>
          <w:lang w:val="en-GB"/>
        </w:rPr>
        <w:t xml:space="preserve">قصيرة الأجل في غضون 12 شهراً من تاريخ الإبلاغ وتقاس بقيمها الاسمية استناداً إلى الاستحقاقات المتراكمة بمعدلات الأجور الجارية. وتشمل استحقاقات الموظفين بعقود قصيرة الأجل استحقاقات العمل للمرة الأولى (منح </w:t>
      </w:r>
      <w:r w:rsidRPr="00A635B0">
        <w:rPr>
          <w:rtl/>
          <w:lang w:val="en-GB" w:bidi="ar-EG"/>
        </w:rPr>
        <w:t>الانتداب</w:t>
      </w:r>
      <w:r w:rsidRPr="00A635B0">
        <w:rPr>
          <w:rtl/>
          <w:lang w:val="en-GB"/>
        </w:rPr>
        <w:t>) والاستحقاقات الشهرية العادية (الأجور والمرتبات والبدلات) وغيرها من الاستحقاقات (منحة التعليم وإجازة زيارة الوطن وغيرها</w:t>
      </w:r>
      <w:r w:rsidRPr="00A635B0">
        <w:rPr>
          <w:rFonts w:hint="cs"/>
          <w:rtl/>
          <w:lang w:val="en-GB"/>
        </w:rPr>
        <w:t xml:space="preserve"> من الاستحقاقات</w:t>
      </w:r>
      <w:r w:rsidRPr="00A635B0">
        <w:rPr>
          <w:rtl/>
          <w:lang w:val="en-GB"/>
        </w:rPr>
        <w:t xml:space="preserve">). ويعترف بالمصروفات </w:t>
      </w:r>
      <w:r w:rsidRPr="00A635B0">
        <w:rPr>
          <w:rFonts w:hint="cs"/>
          <w:rtl/>
          <w:lang w:val="en-GB"/>
        </w:rPr>
        <w:t>عند تقديم</w:t>
      </w:r>
      <w:r w:rsidRPr="00A635B0">
        <w:rPr>
          <w:rtl/>
          <w:lang w:val="en-GB"/>
        </w:rPr>
        <w:t xml:space="preserve"> الموظف</w:t>
      </w:r>
      <w:r w:rsidRPr="00A635B0">
        <w:rPr>
          <w:rFonts w:hint="cs"/>
          <w:rtl/>
          <w:lang w:val="en-GB"/>
        </w:rPr>
        <w:t>ي</w:t>
      </w:r>
      <w:r w:rsidRPr="00A635B0">
        <w:rPr>
          <w:rtl/>
          <w:lang w:val="en-GB"/>
        </w:rPr>
        <w:t>ن خدماتهم إلى الاتحاد، ويعترف بالخصوم إزاء الاستحقاقات التي لم تسوَّ</w:t>
      </w:r>
      <w:r w:rsidRPr="00A635B0">
        <w:rPr>
          <w:lang w:val="en" w:bidi="ar-EG"/>
        </w:rPr>
        <w:t xml:space="preserve"> </w:t>
      </w:r>
      <w:r w:rsidRPr="00A635B0">
        <w:rPr>
          <w:rtl/>
          <w:lang w:val="en-GB"/>
        </w:rPr>
        <w:t>في تاريخ الإبلاغ.</w:t>
      </w:r>
    </w:p>
    <w:p w14:paraId="694BCB53" w14:textId="77777777" w:rsidR="00A635B0" w:rsidRPr="00A635B0" w:rsidRDefault="00A635B0" w:rsidP="00187C0F">
      <w:pPr>
        <w:pStyle w:val="enumlev1"/>
        <w:rPr>
          <w:rtl/>
          <w:lang w:val="en-GB"/>
        </w:rPr>
      </w:pPr>
      <w:r w:rsidRPr="00A635B0">
        <w:rPr>
          <w:rtl/>
          <w:lang w:val="en-GB"/>
        </w:rPr>
        <w:t>-</w:t>
      </w:r>
      <w:r w:rsidRPr="00A635B0">
        <w:rPr>
          <w:rtl/>
          <w:lang w:val="en-GB"/>
        </w:rPr>
        <w:tab/>
        <w:t>استحقاقات الموظفين الأخرى الطويلة الأجل هي تلك التي يُتوقع تسويتها بعد أكثر من 12 شهراً من انتهاء الفترة المشمولة بالتقرير وتتعلق بمِنح الإعادة إلى الوطن والإجازات المتراكمة. والخصوم المعترف بها المتعلقة بمِنح الإعادة إلى الوطن هي القيمة الحالية لالتزامات الاستحقاقات المحددة في تاريخ الإبلاغ. وي</w:t>
      </w:r>
      <w:r w:rsidRPr="00A635B0">
        <w:rPr>
          <w:rFonts w:hint="cs"/>
          <w:rtl/>
          <w:lang w:val="en-GB"/>
        </w:rPr>
        <w:t xml:space="preserve">ُكلف </w:t>
      </w:r>
      <w:r w:rsidRPr="00A635B0">
        <w:rPr>
          <w:rtl/>
          <w:lang w:val="en-GB"/>
        </w:rPr>
        <w:t xml:space="preserve">خبير اكتواري مستقل </w:t>
      </w:r>
      <w:r w:rsidRPr="00A635B0">
        <w:rPr>
          <w:rFonts w:hint="cs"/>
          <w:rtl/>
          <w:lang w:val="en-GB"/>
        </w:rPr>
        <w:t>ب</w:t>
      </w:r>
      <w:r w:rsidRPr="00A635B0">
        <w:rPr>
          <w:rtl/>
          <w:lang w:val="en-GB"/>
        </w:rPr>
        <w:t xml:space="preserve">احتساب هذه الخصوم باستخدام أسلوب </w:t>
      </w:r>
      <w:r w:rsidRPr="00A635B0">
        <w:rPr>
          <w:rFonts w:hint="cs"/>
          <w:rtl/>
          <w:lang w:val="en-GB"/>
        </w:rPr>
        <w:t>وحدات الاستحقاق المتوقعة</w:t>
      </w:r>
      <w:r w:rsidRPr="00A635B0">
        <w:rPr>
          <w:rtl/>
          <w:lang w:val="en-GB"/>
        </w:rPr>
        <w:t>. وي</w:t>
      </w:r>
      <w:r w:rsidRPr="00A635B0">
        <w:rPr>
          <w:rFonts w:hint="cs"/>
          <w:rtl/>
          <w:lang w:val="en-GB"/>
        </w:rPr>
        <w:t>ُ</w:t>
      </w:r>
      <w:r w:rsidRPr="00A635B0">
        <w:rPr>
          <w:rtl/>
          <w:lang w:val="en-GB"/>
        </w:rPr>
        <w:t xml:space="preserve">عترف في بيان الأداء المالي بتكلفة الفائدة </w:t>
      </w:r>
      <w:r w:rsidRPr="00A635B0">
        <w:rPr>
          <w:rFonts w:hint="cs"/>
          <w:rtl/>
          <w:lang w:val="en-GB"/>
        </w:rPr>
        <w:t>وتكاليف الخدمة الجارية</w:t>
      </w:r>
      <w:r w:rsidRPr="00A635B0">
        <w:rPr>
          <w:rtl/>
          <w:lang w:val="en-GB"/>
        </w:rPr>
        <w:t xml:space="preserve"> وال</w:t>
      </w:r>
      <w:r w:rsidRPr="00A635B0">
        <w:rPr>
          <w:rFonts w:hint="cs"/>
          <w:rtl/>
          <w:lang w:val="en-GB"/>
        </w:rPr>
        <w:t>أرباح</w:t>
      </w:r>
      <w:r w:rsidRPr="00A635B0">
        <w:rPr>
          <w:rtl/>
          <w:lang w:val="en-GB"/>
        </w:rPr>
        <w:t xml:space="preserve"> أو الخسائر الاكتوارية النا</w:t>
      </w:r>
      <w:r w:rsidRPr="00A635B0">
        <w:rPr>
          <w:rFonts w:hint="cs"/>
          <w:rtl/>
          <w:lang w:val="en-GB"/>
        </w:rPr>
        <w:t>تج</w:t>
      </w:r>
      <w:r w:rsidRPr="00A635B0">
        <w:rPr>
          <w:rtl/>
          <w:lang w:val="en-GB"/>
        </w:rPr>
        <w:t xml:space="preserve">ة عن تغير الافتراضات الاكتوارية أو </w:t>
      </w:r>
      <w:r w:rsidRPr="00A635B0">
        <w:rPr>
          <w:rtl/>
          <w:lang w:val="en-GB" w:bidi="ar"/>
        </w:rPr>
        <w:t>تسويات</w:t>
      </w:r>
      <w:r w:rsidRPr="00A635B0">
        <w:rPr>
          <w:lang w:val="en" w:bidi="ar-EG"/>
        </w:rPr>
        <w:t xml:space="preserve"> </w:t>
      </w:r>
      <w:r w:rsidRPr="00A635B0">
        <w:rPr>
          <w:rtl/>
          <w:lang w:val="en-GB" w:bidi="ar"/>
        </w:rPr>
        <w:t>الخبرة</w:t>
      </w:r>
      <w:r w:rsidRPr="00A635B0">
        <w:rPr>
          <w:rtl/>
          <w:lang w:val="en-GB"/>
        </w:rPr>
        <w:t>.</w:t>
      </w:r>
    </w:p>
    <w:p w14:paraId="1BC42A7D" w14:textId="77777777" w:rsidR="00A635B0" w:rsidRPr="00A635B0" w:rsidRDefault="00A635B0" w:rsidP="00187C0F">
      <w:pPr>
        <w:pStyle w:val="enumlev1"/>
        <w:rPr>
          <w:rtl/>
          <w:lang w:val="en-GB"/>
        </w:rPr>
      </w:pPr>
      <w:bookmarkStart w:id="155" w:name="_Toc520365482"/>
      <w:r w:rsidRPr="00A635B0">
        <w:rPr>
          <w:rtl/>
          <w:lang w:val="en-GB"/>
        </w:rPr>
        <w:t>-</w:t>
      </w:r>
      <w:r w:rsidRPr="00A635B0">
        <w:rPr>
          <w:rtl/>
          <w:lang w:val="en-GB"/>
        </w:rPr>
        <w:tab/>
        <w:t xml:space="preserve">الالتزامات المتعلقة بالتأمين الصحي بعد انتهاء الخدمة </w:t>
      </w:r>
      <w:r w:rsidRPr="00A635B0">
        <w:rPr>
          <w:lang w:val="fr-CH" w:bidi="ar-EG"/>
        </w:rPr>
        <w:t>(ASHI)</w:t>
      </w:r>
      <w:r w:rsidRPr="00A635B0">
        <w:rPr>
          <w:rtl/>
          <w:lang w:val="en-GB"/>
        </w:rPr>
        <w:t>؛</w:t>
      </w:r>
      <w:bookmarkEnd w:id="155"/>
    </w:p>
    <w:p w14:paraId="4F9EB023" w14:textId="6D2C4255" w:rsidR="00A635B0" w:rsidRPr="00A635B0" w:rsidRDefault="00A635B0" w:rsidP="00187C0F">
      <w:pPr>
        <w:pStyle w:val="enumlev1"/>
        <w:rPr>
          <w:rtl/>
          <w:lang w:val="en-GB"/>
        </w:rPr>
      </w:pPr>
      <w:bookmarkStart w:id="156" w:name="_Toc520365483"/>
      <w:r w:rsidRPr="00A635B0">
        <w:rPr>
          <w:rtl/>
          <w:lang w:val="en-GB"/>
        </w:rPr>
        <w:t>-</w:t>
      </w:r>
      <w:r w:rsidRPr="00A635B0">
        <w:rPr>
          <w:rtl/>
          <w:lang w:val="en-GB"/>
        </w:rPr>
        <w:tab/>
      </w:r>
      <w:r w:rsidR="00187C0F">
        <w:rPr>
          <w:rFonts w:hint="cs"/>
          <w:rtl/>
          <w:lang w:val="en-GB"/>
        </w:rPr>
        <w:t>و</w:t>
      </w:r>
      <w:r w:rsidRPr="00A635B0">
        <w:rPr>
          <w:rtl/>
          <w:lang w:val="en-GB"/>
        </w:rPr>
        <w:t>الالتزامات المتعلقة بالخطة القديمة للمعاشات التقاعدية لتحديد التزامات الاتحاد في تاريخ إقفال الفترة المالية.</w:t>
      </w:r>
      <w:bookmarkEnd w:id="156"/>
    </w:p>
    <w:p w14:paraId="15D8076F" w14:textId="2B798E22" w:rsidR="00A635B0" w:rsidRPr="00146B49" w:rsidRDefault="00A635B0" w:rsidP="00BD38F9">
      <w:pPr>
        <w:keepLines/>
        <w:rPr>
          <w:spacing w:val="2"/>
          <w:rtl/>
          <w:lang w:val="en-GB" w:bidi="ar-EG"/>
        </w:rPr>
      </w:pPr>
      <w:r w:rsidRPr="00146B49">
        <w:rPr>
          <w:spacing w:val="2"/>
          <w:rtl/>
          <w:lang w:val="en-GB" w:bidi="ar-EG"/>
        </w:rPr>
        <w:t>والاتحاد الدولي للاتصالات منظمة عضو مشاركة في الصندوق المشترك للمعاشات التقاعدية لموظفي الأمم المتحدة </w:t>
      </w:r>
      <w:r w:rsidRPr="00146B49">
        <w:rPr>
          <w:spacing w:val="2"/>
          <w:lang w:bidi="ar-EG"/>
        </w:rPr>
        <w:t>(UNJSPF)</w:t>
      </w:r>
      <w:r w:rsidRPr="00146B49">
        <w:rPr>
          <w:spacing w:val="2"/>
          <w:rtl/>
          <w:lang w:val="en-GB" w:bidi="ar-EG"/>
        </w:rPr>
        <w:t>، الذي أنشأته الجمعية العامة للأمم المتحدة لتقديم استحقاقات التقاعد والوفاة والعجز وما يتصل بها إلى</w:t>
      </w:r>
      <w:r w:rsidR="00E44664" w:rsidRPr="00146B49">
        <w:rPr>
          <w:spacing w:val="2"/>
          <w:lang w:val="en-GB" w:bidi="ar-EG"/>
        </w:rPr>
        <w:t> </w:t>
      </w:r>
      <w:r w:rsidRPr="00146B49">
        <w:rPr>
          <w:spacing w:val="2"/>
          <w:rtl/>
          <w:lang w:val="en-GB" w:bidi="ar-EG"/>
        </w:rPr>
        <w:t xml:space="preserve">الموظفين. ويشكل الصندوق خطة استحقاقات محددة </w:t>
      </w:r>
      <w:r w:rsidRPr="00146B49">
        <w:rPr>
          <w:rFonts w:hint="cs"/>
          <w:spacing w:val="2"/>
          <w:rtl/>
          <w:lang w:val="en-GB" w:bidi="ar-EG"/>
        </w:rPr>
        <w:t>و</w:t>
      </w:r>
      <w:r w:rsidRPr="00146B49">
        <w:rPr>
          <w:spacing w:val="2"/>
          <w:rtl/>
          <w:lang w:val="en-GB" w:bidi="ar-EG"/>
        </w:rPr>
        <w:t>ممولة ت</w:t>
      </w:r>
      <w:r w:rsidRPr="00146B49">
        <w:rPr>
          <w:rFonts w:hint="cs"/>
          <w:spacing w:val="2"/>
          <w:rtl/>
          <w:lang w:val="en-GB" w:bidi="ar-EG"/>
        </w:rPr>
        <w:t>مثل</w:t>
      </w:r>
      <w:r w:rsidRPr="00146B49">
        <w:rPr>
          <w:spacing w:val="2"/>
          <w:rtl/>
          <w:lang w:val="en-GB" w:bidi="ar-EG"/>
        </w:rPr>
        <w:t xml:space="preserve"> أرباب عمل متعددين. ووفقاً </w:t>
      </w:r>
      <w:r w:rsidRPr="00146B49">
        <w:rPr>
          <w:rFonts w:hint="cs"/>
          <w:spacing w:val="2"/>
          <w:rtl/>
          <w:lang w:val="en-GB" w:bidi="ar-EG"/>
        </w:rPr>
        <w:t>للأحكام المحددة في</w:t>
      </w:r>
      <w:r w:rsidRPr="00146B49">
        <w:rPr>
          <w:spacing w:val="2"/>
          <w:rtl/>
          <w:lang w:val="en-GB" w:bidi="ar-EG"/>
        </w:rPr>
        <w:t> المادة</w:t>
      </w:r>
      <w:r w:rsidR="00146B49" w:rsidRPr="00146B49">
        <w:rPr>
          <w:rFonts w:hint="cs"/>
          <w:spacing w:val="2"/>
          <w:rtl/>
          <w:lang w:val="en-GB" w:bidi="ar-EG"/>
        </w:rPr>
        <w:t xml:space="preserve"> </w:t>
      </w:r>
      <w:r w:rsidRPr="00146B49">
        <w:rPr>
          <w:spacing w:val="2"/>
          <w:lang w:bidi="ar-EG"/>
        </w:rPr>
        <w:t>3</w:t>
      </w:r>
      <w:r w:rsidRPr="00146B49">
        <w:rPr>
          <w:spacing w:val="2"/>
          <w:rtl/>
          <w:lang w:val="en-GB" w:bidi="ar-EG"/>
        </w:rPr>
        <w:t>(ب) من النظام الأساسي للصندوق، تكون العضوية في الصندوق مفتوحة للوكالات المتخصصة و</w:t>
      </w:r>
      <w:r w:rsidRPr="00146B49">
        <w:rPr>
          <w:rFonts w:hint="cs"/>
          <w:spacing w:val="2"/>
          <w:rtl/>
          <w:lang w:val="en-GB" w:bidi="ar-EG"/>
        </w:rPr>
        <w:t xml:space="preserve">لسائر </w:t>
      </w:r>
      <w:r w:rsidRPr="00146B49">
        <w:rPr>
          <w:spacing w:val="2"/>
          <w:rtl/>
          <w:lang w:val="en-GB" w:bidi="ar-EG"/>
        </w:rPr>
        <w:t xml:space="preserve">المنظمات الدولية أو </w:t>
      </w:r>
      <w:r w:rsidRPr="00146B49">
        <w:rPr>
          <w:rFonts w:hint="cs"/>
          <w:spacing w:val="2"/>
          <w:rtl/>
          <w:lang w:val="en-GB" w:bidi="ar-EG"/>
        </w:rPr>
        <w:t xml:space="preserve">المنظمات </w:t>
      </w:r>
      <w:r w:rsidRPr="00146B49">
        <w:rPr>
          <w:spacing w:val="2"/>
          <w:rtl/>
          <w:lang w:val="en-GB" w:bidi="ar-EG"/>
        </w:rPr>
        <w:t>الحكومية الدولية المشاركة في النظام الموحد للمرتبات والبدلات و</w:t>
      </w:r>
      <w:r w:rsidRPr="00146B49">
        <w:rPr>
          <w:rFonts w:hint="cs"/>
          <w:spacing w:val="2"/>
          <w:rtl/>
          <w:lang w:val="en-GB" w:bidi="ar-EG"/>
        </w:rPr>
        <w:t>شروط الخدمة الأخرى</w:t>
      </w:r>
      <w:r w:rsidRPr="00146B49">
        <w:rPr>
          <w:spacing w:val="2"/>
          <w:rtl/>
          <w:lang w:val="en-GB" w:bidi="ar-EG"/>
        </w:rPr>
        <w:t xml:space="preserve"> في الأمم المتحدة والوكالات المتخصصة.</w:t>
      </w:r>
    </w:p>
    <w:p w14:paraId="1BA1E333" w14:textId="77777777" w:rsidR="00A635B0" w:rsidRPr="00A635B0" w:rsidRDefault="00A635B0" w:rsidP="00187C0F">
      <w:pPr>
        <w:rPr>
          <w:rtl/>
          <w:lang w:val="en-GB" w:bidi="ar-EG"/>
        </w:rPr>
      </w:pPr>
      <w:r w:rsidRPr="00A635B0">
        <w:rPr>
          <w:rtl/>
          <w:lang w:val="en-GB" w:bidi="ar-EG"/>
        </w:rPr>
        <w:lastRenderedPageBreak/>
        <w:t>وتعرِّض</w:t>
      </w:r>
      <w:r w:rsidRPr="00A635B0">
        <w:rPr>
          <w:rFonts w:hint="cs"/>
          <w:rtl/>
          <w:lang w:val="en-GB" w:bidi="ar-EG"/>
        </w:rPr>
        <w:t xml:space="preserve"> هذه</w:t>
      </w:r>
      <w:r w:rsidRPr="00A635B0">
        <w:rPr>
          <w:rtl/>
          <w:lang w:val="en-GB" w:bidi="ar-EG"/>
        </w:rPr>
        <w:t xml:space="preserve"> الخطة</w:t>
      </w:r>
      <w:r w:rsidRPr="00A635B0">
        <w:rPr>
          <w:rFonts w:hint="cs"/>
          <w:rtl/>
          <w:lang w:val="en-GB" w:bidi="ar-EG"/>
        </w:rPr>
        <w:t>ُ</w:t>
      </w:r>
      <w:r w:rsidRPr="00A635B0">
        <w:rPr>
          <w:rtl/>
          <w:lang w:val="en-GB" w:bidi="ar-EG"/>
        </w:rPr>
        <w:t xml:space="preserve"> المنظمات المشاركة</w:t>
      </w:r>
      <w:r w:rsidRPr="00A635B0">
        <w:rPr>
          <w:rFonts w:hint="cs"/>
          <w:rtl/>
          <w:lang w:val="en-GB" w:bidi="ar-EG"/>
        </w:rPr>
        <w:t xml:space="preserve"> فيها</w:t>
      </w:r>
      <w:r w:rsidRPr="00A635B0">
        <w:rPr>
          <w:rtl/>
          <w:lang w:val="en-GB" w:bidi="ar-EG"/>
        </w:rPr>
        <w:t xml:space="preserve"> لمخاطر اكتوارية تتعلق بالموظفين الحاليين والسابقين </w:t>
      </w:r>
      <w:r w:rsidRPr="00A635B0">
        <w:rPr>
          <w:rFonts w:hint="cs"/>
          <w:rtl/>
          <w:lang w:val="en-GB" w:bidi="ar-EG"/>
        </w:rPr>
        <w:t>العاملين في</w:t>
      </w:r>
      <w:r w:rsidRPr="00A635B0">
        <w:rPr>
          <w:rtl/>
          <w:lang w:val="en-GB" w:bidi="ar-EG"/>
        </w:rPr>
        <w:t xml:space="preserve"> المنظمات الأخرى المشاركة </w:t>
      </w:r>
      <w:r w:rsidRPr="00A635B0">
        <w:rPr>
          <w:rFonts w:hint="cs"/>
          <w:rtl/>
          <w:lang w:val="en-GB" w:bidi="ar-EG"/>
        </w:rPr>
        <w:t>في الصندوق</w:t>
      </w:r>
      <w:r w:rsidRPr="00A635B0">
        <w:rPr>
          <w:rtl/>
          <w:lang w:val="en-GB" w:bidi="ar-EG"/>
        </w:rPr>
        <w:t>، الأمر الذي يؤدي إلى عدم وجود أساس متسق وموثوق لتخصيص الالتزامات</w:t>
      </w:r>
      <w:r w:rsidRPr="00A635B0">
        <w:rPr>
          <w:rFonts w:hint="cs"/>
          <w:rtl/>
          <w:lang w:val="en-GB" w:bidi="ar-EG"/>
        </w:rPr>
        <w:t xml:space="preserve"> </w:t>
      </w:r>
      <w:r w:rsidRPr="00A635B0">
        <w:rPr>
          <w:rtl/>
          <w:lang w:val="en-GB" w:bidi="ar-EG"/>
        </w:rPr>
        <w:t xml:space="preserve">وأصول الخطة والتكاليف لفرادى المنظمات المشاركة في الخطة. ومن ثم، فالاتحاد الدولي للاتصالات والصندوق المشترك للمعاشات التقاعدية لموظفي الأمم المتحدة، شأنهما شأن سائر المنظمات المشاركة في الصندوق، لا يمكنهما تحديد حصة الاتحاد النسبية من الالتزام بالاستحقاقات المحدد، ومن أصول الخطة، والتكاليف المتعلقة بالخطة، </w:t>
      </w:r>
      <w:r w:rsidRPr="00A635B0">
        <w:rPr>
          <w:rFonts w:hint="cs"/>
          <w:rtl/>
          <w:lang w:val="en-GB" w:bidi="ar-EG"/>
        </w:rPr>
        <w:t>بمستوى كافٍ من الموثوقية</w:t>
      </w:r>
      <w:r w:rsidRPr="00A635B0">
        <w:rPr>
          <w:rtl/>
          <w:lang w:val="en-GB" w:bidi="ar-EG"/>
        </w:rPr>
        <w:t xml:space="preserve"> للأغراض المحاسبية. لذا</w:t>
      </w:r>
      <w:r w:rsidRPr="00A635B0">
        <w:rPr>
          <w:rFonts w:hint="cs"/>
          <w:rtl/>
          <w:lang w:val="en-GB" w:bidi="ar-EG"/>
        </w:rPr>
        <w:t xml:space="preserve">، </w:t>
      </w:r>
      <w:r w:rsidRPr="00A635B0">
        <w:rPr>
          <w:rtl/>
          <w:lang w:val="en-GB" w:bidi="ar-EG"/>
        </w:rPr>
        <w:t xml:space="preserve">فقد تعامل الاتحاد مع هذه الخطة كما لو كانت خطة مساهمات محددة تتفق مع مقتضيات المعيار 39 من المعايير المحاسبية الدولية للقطاع العام </w:t>
      </w:r>
      <w:r w:rsidRPr="00A635B0">
        <w:rPr>
          <w:lang w:bidi="ar-EG"/>
        </w:rPr>
        <w:t>(</w:t>
      </w:r>
      <w:r w:rsidRPr="00A635B0">
        <w:rPr>
          <w:lang w:val="fr-CH" w:bidi="ar-EG"/>
        </w:rPr>
        <w:t>IPSAS 39)</w:t>
      </w:r>
      <w:r w:rsidRPr="00A635B0">
        <w:rPr>
          <w:rtl/>
          <w:lang w:val="en-GB" w:bidi="ar-EG"/>
        </w:rPr>
        <w:t xml:space="preserve"> بشأن استحقاقات الموظفين. ويُعترف بمساهمات الاتحاد في </w:t>
      </w:r>
      <w:r w:rsidRPr="00A635B0">
        <w:rPr>
          <w:rFonts w:hint="cs"/>
          <w:rtl/>
          <w:lang w:val="en-GB" w:bidi="ar-EG"/>
        </w:rPr>
        <w:t xml:space="preserve">هذه </w:t>
      </w:r>
      <w:r w:rsidRPr="00A635B0">
        <w:rPr>
          <w:rtl/>
          <w:lang w:val="en-GB" w:bidi="ar-EG"/>
        </w:rPr>
        <w:t>الخطة في الفترة المالية كمصروفات في بيان الأداء المالي.</w:t>
      </w:r>
    </w:p>
    <w:p w14:paraId="2C95E602" w14:textId="77777777" w:rsidR="00A635B0" w:rsidRPr="00A635B0" w:rsidRDefault="00A635B0" w:rsidP="00187C0F">
      <w:pPr>
        <w:rPr>
          <w:rtl/>
          <w:lang w:val="en-GB" w:bidi="ar-EG"/>
        </w:rPr>
      </w:pPr>
      <w:r w:rsidRPr="00A635B0">
        <w:rPr>
          <w:rtl/>
          <w:lang w:val="en-GB" w:bidi="ar-EG"/>
        </w:rPr>
        <w:t>واعتباراً من 1 يناير 2020، انضم الاتحاد إلى جمعية التأمين التعاوني لموظفي الأمم المتحدة (</w:t>
      </w:r>
      <w:r w:rsidRPr="00A635B0">
        <w:rPr>
          <w:lang w:bidi="ar-EG"/>
        </w:rPr>
        <w:t>UNSMIS</w:t>
      </w:r>
      <w:r w:rsidRPr="00A635B0">
        <w:rPr>
          <w:rtl/>
          <w:lang w:val="en-GB" w:bidi="ar-EG"/>
        </w:rPr>
        <w:t xml:space="preserve">). وتخضع التزامات المتعلقة بالتأمين الصحي بعد انتهاء الخدمة لدراسة اكتوارية عملاً بالمعيار 39 من المعايير المحاسبية الدولية للقطاع العام </w:t>
      </w:r>
      <w:r w:rsidRPr="00A635B0">
        <w:rPr>
          <w:lang w:bidi="ar-EG"/>
        </w:rPr>
        <w:t>(IPSAS 39)</w:t>
      </w:r>
      <w:r w:rsidRPr="00A635B0">
        <w:rPr>
          <w:rtl/>
          <w:lang w:val="en-GB" w:bidi="ar-EG"/>
        </w:rPr>
        <w:t xml:space="preserve"> لتحديد واحتساب مبلغ التزامات الاتحاد المقبلة المتعلقة بهذه الاستحقاقات.</w:t>
      </w:r>
    </w:p>
    <w:p w14:paraId="0DA5A356" w14:textId="77777777" w:rsidR="00A635B0" w:rsidRPr="000E46B5" w:rsidRDefault="00A635B0" w:rsidP="00187C0F">
      <w:pPr>
        <w:rPr>
          <w:spacing w:val="-3"/>
          <w:rtl/>
          <w:lang w:val="en-GB" w:bidi="ar-SY"/>
        </w:rPr>
      </w:pPr>
      <w:r w:rsidRPr="000E46B5">
        <w:rPr>
          <w:spacing w:val="-3"/>
          <w:rtl/>
          <w:lang w:val="en-GB" w:bidi="ar-SY"/>
        </w:rPr>
        <w:t>والتزامات الاتحاد المتعلقة بالتأمين الصحي بعد انتهاء الخدمة تمنح المتقاعدين الحق في الاستفادة من تغطية التأمين الصحي بعد انتهاء الخدمة، وهو حق مكتسب وتراكمي أثناء مدة خدمتهم الفعلية في المنظمة.</w:t>
      </w:r>
      <w:r w:rsidRPr="000E46B5">
        <w:rPr>
          <w:spacing w:val="-3"/>
          <w:rtl/>
          <w:lang w:val="en-GB" w:bidi="ar"/>
        </w:rPr>
        <w:t xml:space="preserve"> والخصوم</w:t>
      </w:r>
      <w:r w:rsidRPr="000E46B5">
        <w:rPr>
          <w:spacing w:val="-3"/>
          <w:lang w:val="en" w:bidi="ar-EG"/>
        </w:rPr>
        <w:t xml:space="preserve"> </w:t>
      </w:r>
      <w:r w:rsidRPr="000E46B5">
        <w:rPr>
          <w:spacing w:val="-3"/>
          <w:rtl/>
          <w:lang w:val="en-GB" w:bidi="ar-SY"/>
        </w:rPr>
        <w:t>المعترف بها في هذه الخطة هي القيمة الحالية لالتزامات الاستحقاقات المحددة في تاريخ الإبلاغ.</w:t>
      </w:r>
      <w:r w:rsidRPr="000E46B5">
        <w:rPr>
          <w:spacing w:val="-3"/>
          <w:rtl/>
          <w:lang w:val="en-GB"/>
        </w:rPr>
        <w:t xml:space="preserve"> وي</w:t>
      </w:r>
      <w:r w:rsidRPr="000E46B5">
        <w:rPr>
          <w:rFonts w:hint="cs"/>
          <w:spacing w:val="-3"/>
          <w:rtl/>
          <w:lang w:val="en-GB"/>
        </w:rPr>
        <w:t>ُكلف</w:t>
      </w:r>
      <w:r w:rsidRPr="000E46B5">
        <w:rPr>
          <w:spacing w:val="-3"/>
          <w:rtl/>
          <w:lang w:val="en-GB"/>
        </w:rPr>
        <w:t xml:space="preserve"> خبير اكتواري مستقل </w:t>
      </w:r>
      <w:r w:rsidRPr="000E46B5">
        <w:rPr>
          <w:rFonts w:hint="cs"/>
          <w:spacing w:val="-3"/>
          <w:rtl/>
          <w:lang w:val="en-GB"/>
        </w:rPr>
        <w:t>ب</w:t>
      </w:r>
      <w:r w:rsidRPr="000E46B5">
        <w:rPr>
          <w:spacing w:val="-3"/>
          <w:rtl/>
          <w:lang w:val="en-GB"/>
        </w:rPr>
        <w:t xml:space="preserve">احتساب هذه الخصوم باستخدام أسلوب </w:t>
      </w:r>
      <w:r w:rsidRPr="000E46B5">
        <w:rPr>
          <w:rFonts w:hint="cs"/>
          <w:spacing w:val="-3"/>
          <w:rtl/>
          <w:lang w:val="en-GB"/>
        </w:rPr>
        <w:t>وحدات الاستحقاق المتوقعة</w:t>
      </w:r>
      <w:r w:rsidRPr="000E46B5">
        <w:rPr>
          <w:spacing w:val="-3"/>
          <w:rtl/>
          <w:lang w:val="en-GB"/>
        </w:rPr>
        <w:t xml:space="preserve">. </w:t>
      </w:r>
      <w:r w:rsidRPr="000E46B5">
        <w:rPr>
          <w:rFonts w:hint="cs"/>
          <w:spacing w:val="-3"/>
          <w:rtl/>
          <w:lang w:val="en-GB"/>
        </w:rPr>
        <w:t>ويعترف ف</w:t>
      </w:r>
      <w:r w:rsidRPr="000E46B5">
        <w:rPr>
          <w:spacing w:val="-3"/>
          <w:rtl/>
          <w:lang w:val="en-GB"/>
        </w:rPr>
        <w:t xml:space="preserve">ي بيان الأداء المالي </w:t>
      </w:r>
      <w:r w:rsidRPr="000E46B5">
        <w:rPr>
          <w:rFonts w:hint="cs"/>
          <w:spacing w:val="-3"/>
          <w:rtl/>
          <w:lang w:val="en-GB"/>
        </w:rPr>
        <w:t>ب</w:t>
      </w:r>
      <w:r w:rsidRPr="000E46B5">
        <w:rPr>
          <w:spacing w:val="-3"/>
          <w:rtl/>
          <w:lang w:val="en-GB"/>
        </w:rPr>
        <w:t xml:space="preserve">تكلفة الفائدة </w:t>
      </w:r>
      <w:r w:rsidRPr="000E46B5">
        <w:rPr>
          <w:rFonts w:hint="cs"/>
          <w:spacing w:val="-3"/>
          <w:rtl/>
          <w:lang w:val="en-GB"/>
        </w:rPr>
        <w:t>وتكاليف الخدمة الجارية</w:t>
      </w:r>
      <w:r w:rsidRPr="000E46B5">
        <w:rPr>
          <w:rFonts w:hint="cs"/>
          <w:spacing w:val="-3"/>
          <w:rtl/>
          <w:lang w:val="en-GB" w:bidi="ar-SY"/>
        </w:rPr>
        <w:t xml:space="preserve"> </w:t>
      </w:r>
      <w:r w:rsidRPr="000E46B5">
        <w:rPr>
          <w:spacing w:val="-3"/>
          <w:rtl/>
          <w:lang w:val="en-GB" w:bidi="ar-SY"/>
        </w:rPr>
        <w:t xml:space="preserve">كأحد مكونات تكاليف الموظفين. </w:t>
      </w:r>
      <w:r w:rsidRPr="000E46B5">
        <w:rPr>
          <w:spacing w:val="-3"/>
          <w:rtl/>
          <w:lang w:val="en-GB" w:bidi="ar"/>
        </w:rPr>
        <w:t>ويعترف مباشرةً</w:t>
      </w:r>
      <w:r w:rsidRPr="000E46B5">
        <w:rPr>
          <w:spacing w:val="-3"/>
          <w:lang w:val="en" w:bidi="ar-EG"/>
        </w:rPr>
        <w:t xml:space="preserve"> </w:t>
      </w:r>
      <w:r w:rsidRPr="000E46B5">
        <w:rPr>
          <w:spacing w:val="-3"/>
          <w:rtl/>
          <w:lang w:val="en-GB" w:bidi="ar"/>
        </w:rPr>
        <w:t>في</w:t>
      </w:r>
      <w:r w:rsidRPr="000E46B5">
        <w:rPr>
          <w:spacing w:val="-3"/>
          <w:lang w:val="en" w:bidi="ar-EG"/>
        </w:rPr>
        <w:t xml:space="preserve"> </w:t>
      </w:r>
      <w:r w:rsidRPr="000E46B5">
        <w:rPr>
          <w:spacing w:val="-3"/>
          <w:rtl/>
          <w:lang w:val="en-GB" w:bidi="ar"/>
        </w:rPr>
        <w:t>صافي</w:t>
      </w:r>
      <w:r w:rsidRPr="000E46B5">
        <w:rPr>
          <w:spacing w:val="-3"/>
          <w:lang w:val="en" w:bidi="ar-EG"/>
        </w:rPr>
        <w:t xml:space="preserve"> </w:t>
      </w:r>
      <w:r w:rsidRPr="000E46B5">
        <w:rPr>
          <w:spacing w:val="-3"/>
          <w:rtl/>
          <w:lang w:val="en-GB" w:bidi="ar"/>
        </w:rPr>
        <w:t>الأصول</w:t>
      </w:r>
      <w:r w:rsidRPr="000E46B5">
        <w:rPr>
          <w:spacing w:val="-3"/>
          <w:lang w:val="en" w:bidi="ar-EG"/>
        </w:rPr>
        <w:t xml:space="preserve"> </w:t>
      </w:r>
      <w:r w:rsidRPr="000E46B5">
        <w:rPr>
          <w:spacing w:val="-3"/>
          <w:rtl/>
          <w:lang w:val="en-GB" w:bidi="ar"/>
        </w:rPr>
        <w:t>بالأرباح أو</w:t>
      </w:r>
      <w:r w:rsidRPr="000E46B5">
        <w:rPr>
          <w:spacing w:val="-3"/>
          <w:lang w:val="en" w:bidi="ar-EG"/>
        </w:rPr>
        <w:t xml:space="preserve"> </w:t>
      </w:r>
      <w:r w:rsidRPr="000E46B5">
        <w:rPr>
          <w:spacing w:val="-3"/>
          <w:rtl/>
          <w:lang w:val="en-GB" w:bidi="ar"/>
        </w:rPr>
        <w:t>الخسائر</w:t>
      </w:r>
      <w:r w:rsidRPr="000E46B5">
        <w:rPr>
          <w:spacing w:val="-3"/>
          <w:lang w:val="en" w:bidi="ar-EG"/>
        </w:rPr>
        <w:t xml:space="preserve"> </w:t>
      </w:r>
      <w:r w:rsidRPr="000E46B5">
        <w:rPr>
          <w:spacing w:val="-3"/>
          <w:rtl/>
          <w:lang w:val="en-GB" w:bidi="ar"/>
        </w:rPr>
        <w:t>الاكتوارية</w:t>
      </w:r>
      <w:r w:rsidRPr="000E46B5">
        <w:rPr>
          <w:spacing w:val="-3"/>
          <w:lang w:val="en" w:bidi="ar-EG"/>
        </w:rPr>
        <w:t xml:space="preserve"> </w:t>
      </w:r>
      <w:r w:rsidRPr="000E46B5">
        <w:rPr>
          <w:spacing w:val="-3"/>
          <w:rtl/>
          <w:lang w:val="en-GB" w:bidi="ar"/>
        </w:rPr>
        <w:t>النا</w:t>
      </w:r>
      <w:r w:rsidRPr="000E46B5">
        <w:rPr>
          <w:rFonts w:hint="cs"/>
          <w:spacing w:val="-3"/>
          <w:rtl/>
          <w:lang w:val="en-GB" w:bidi="ar"/>
        </w:rPr>
        <w:t>تج</w:t>
      </w:r>
      <w:r w:rsidRPr="000E46B5">
        <w:rPr>
          <w:spacing w:val="-3"/>
          <w:rtl/>
          <w:lang w:val="en-GB" w:bidi="ar"/>
        </w:rPr>
        <w:t>ة</w:t>
      </w:r>
      <w:r w:rsidRPr="000E46B5">
        <w:rPr>
          <w:spacing w:val="-3"/>
          <w:lang w:val="en" w:bidi="ar-EG"/>
        </w:rPr>
        <w:t xml:space="preserve"> </w:t>
      </w:r>
      <w:r w:rsidRPr="000E46B5">
        <w:rPr>
          <w:spacing w:val="-3"/>
          <w:rtl/>
          <w:lang w:val="en-GB" w:bidi="ar"/>
        </w:rPr>
        <w:t>عن</w:t>
      </w:r>
      <w:r w:rsidRPr="000E46B5">
        <w:rPr>
          <w:spacing w:val="-3"/>
          <w:lang w:val="en" w:bidi="ar-EG"/>
        </w:rPr>
        <w:t xml:space="preserve"> </w:t>
      </w:r>
      <w:r w:rsidRPr="000E46B5">
        <w:rPr>
          <w:spacing w:val="-3"/>
          <w:rtl/>
          <w:lang w:val="en-GB" w:bidi="ar"/>
        </w:rPr>
        <w:t>تغير</w:t>
      </w:r>
      <w:r w:rsidRPr="000E46B5">
        <w:rPr>
          <w:spacing w:val="-3"/>
          <w:lang w:val="en" w:bidi="ar-EG"/>
        </w:rPr>
        <w:t xml:space="preserve"> </w:t>
      </w:r>
      <w:r w:rsidRPr="000E46B5">
        <w:rPr>
          <w:spacing w:val="-3"/>
          <w:rtl/>
          <w:lang w:val="en-GB" w:bidi="ar"/>
        </w:rPr>
        <w:t>الافتراضات</w:t>
      </w:r>
      <w:r w:rsidRPr="000E46B5">
        <w:rPr>
          <w:spacing w:val="-3"/>
          <w:lang w:val="en" w:bidi="ar-EG"/>
        </w:rPr>
        <w:t xml:space="preserve"> </w:t>
      </w:r>
      <w:r w:rsidRPr="000E46B5">
        <w:rPr>
          <w:spacing w:val="-3"/>
          <w:rtl/>
          <w:lang w:val="en-GB" w:bidi="ar"/>
        </w:rPr>
        <w:t>الاكتوارية</w:t>
      </w:r>
      <w:r w:rsidRPr="000E46B5">
        <w:rPr>
          <w:spacing w:val="-3"/>
          <w:lang w:val="en" w:bidi="ar-EG"/>
        </w:rPr>
        <w:t xml:space="preserve"> </w:t>
      </w:r>
      <w:r w:rsidRPr="000E46B5">
        <w:rPr>
          <w:spacing w:val="-3"/>
          <w:rtl/>
          <w:lang w:val="en-GB" w:bidi="ar"/>
        </w:rPr>
        <w:t>أو</w:t>
      </w:r>
      <w:r w:rsidRPr="000E46B5">
        <w:rPr>
          <w:spacing w:val="-3"/>
          <w:lang w:val="en" w:bidi="ar-EG"/>
        </w:rPr>
        <w:t xml:space="preserve"> </w:t>
      </w:r>
      <w:r w:rsidRPr="000E46B5">
        <w:rPr>
          <w:spacing w:val="-3"/>
          <w:rtl/>
          <w:lang w:val="en-GB" w:bidi="ar"/>
        </w:rPr>
        <w:t>تسويات</w:t>
      </w:r>
      <w:r w:rsidRPr="000E46B5">
        <w:rPr>
          <w:spacing w:val="-3"/>
          <w:lang w:val="en" w:bidi="ar-EG"/>
        </w:rPr>
        <w:t xml:space="preserve"> </w:t>
      </w:r>
      <w:r w:rsidRPr="000E46B5">
        <w:rPr>
          <w:spacing w:val="-3"/>
          <w:rtl/>
          <w:lang w:val="en-GB" w:bidi="ar"/>
        </w:rPr>
        <w:t>الخبرة</w:t>
      </w:r>
      <w:r w:rsidRPr="000E46B5">
        <w:rPr>
          <w:spacing w:val="-3"/>
          <w:lang w:val="en" w:bidi="ar-EG"/>
        </w:rPr>
        <w:t>.</w:t>
      </w:r>
    </w:p>
    <w:p w14:paraId="2677CE18" w14:textId="77777777" w:rsidR="00A635B0" w:rsidRPr="00A635B0" w:rsidRDefault="00A635B0" w:rsidP="00187C0F">
      <w:pPr>
        <w:rPr>
          <w:rtl/>
          <w:lang w:val="en-GB" w:bidi="ar-EG"/>
        </w:rPr>
      </w:pPr>
      <w:r w:rsidRPr="00A635B0">
        <w:rPr>
          <w:rtl/>
          <w:lang w:val="en-GB" w:bidi="ar-EG"/>
        </w:rPr>
        <w:t xml:space="preserve">وتبين الملاحظة </w:t>
      </w:r>
      <w:r w:rsidRPr="00A635B0">
        <w:rPr>
          <w:lang w:bidi="ar-EG"/>
        </w:rPr>
        <w:t>16</w:t>
      </w:r>
      <w:r w:rsidRPr="00A635B0">
        <w:rPr>
          <w:rtl/>
          <w:lang w:val="en-GB" w:bidi="ar-EG"/>
        </w:rPr>
        <w:t xml:space="preserve"> المتعلقة باستحقاقات الموظفين الافتراضات الخاصة بالاتحاد.</w:t>
      </w:r>
    </w:p>
    <w:p w14:paraId="5D2A3CDE" w14:textId="77777777" w:rsidR="00A635B0" w:rsidRPr="008F34B0" w:rsidRDefault="00A635B0" w:rsidP="008F34B0">
      <w:pPr>
        <w:pStyle w:val="Headingi"/>
        <w:rPr>
          <w:rtl/>
          <w:lang w:val="en-GB"/>
        </w:rPr>
      </w:pPr>
      <w:r w:rsidRPr="00A635B0">
        <w:rPr>
          <w:rtl/>
          <w:lang w:val="en-GB"/>
        </w:rPr>
        <w:t>الاعتراف بالإيرادات</w:t>
      </w:r>
    </w:p>
    <w:p w14:paraId="386DFBCC" w14:textId="77777777" w:rsidR="00A635B0" w:rsidRPr="00A635B0" w:rsidRDefault="00A635B0" w:rsidP="00187C0F">
      <w:pPr>
        <w:rPr>
          <w:lang w:val="en" w:bidi="ar-EG"/>
        </w:rPr>
      </w:pPr>
      <w:r w:rsidRPr="00A635B0">
        <w:rPr>
          <w:rtl/>
          <w:lang w:val="en-GB" w:bidi="ar-SY"/>
        </w:rPr>
        <w:t xml:space="preserve">يُعترف بالإيرادات غير التبادلية المتأتية </w:t>
      </w:r>
      <w:r w:rsidRPr="00A635B0">
        <w:rPr>
          <w:rtl/>
          <w:lang w:val="en-GB" w:bidi="ar"/>
        </w:rPr>
        <w:t>من</w:t>
      </w:r>
      <w:r w:rsidRPr="00A635B0">
        <w:rPr>
          <w:lang w:val="en" w:bidi="ar-EG"/>
        </w:rPr>
        <w:t xml:space="preserve"> </w:t>
      </w:r>
      <w:r w:rsidRPr="00A635B0">
        <w:rPr>
          <w:rtl/>
          <w:lang w:val="en-GB" w:bidi="ar"/>
        </w:rPr>
        <w:t>الاشتراكات المقررة</w:t>
      </w:r>
      <w:r w:rsidRPr="00A635B0">
        <w:rPr>
          <w:lang w:val="en" w:bidi="ar-EG"/>
        </w:rPr>
        <w:t xml:space="preserve"> </w:t>
      </w:r>
      <w:r w:rsidRPr="00A635B0">
        <w:rPr>
          <w:rtl/>
          <w:lang w:val="en-GB" w:bidi="ar"/>
        </w:rPr>
        <w:t>والمساهمات الخارجة عن الميزانية (المساهمات الطوعية وأنشطة</w:t>
      </w:r>
      <w:r w:rsidRPr="00A635B0">
        <w:rPr>
          <w:lang w:val="en" w:bidi="ar-EG"/>
        </w:rPr>
        <w:t xml:space="preserve"> </w:t>
      </w:r>
      <w:r w:rsidRPr="00A635B0">
        <w:rPr>
          <w:rtl/>
          <w:lang w:val="en-GB" w:bidi="ar"/>
        </w:rPr>
        <w:t>الرعاية)</w:t>
      </w:r>
      <w:r w:rsidRPr="00A635B0">
        <w:rPr>
          <w:lang w:val="en" w:bidi="ar-EG"/>
        </w:rPr>
        <w:t xml:space="preserve"> </w:t>
      </w:r>
      <w:r w:rsidRPr="00A635B0">
        <w:rPr>
          <w:rtl/>
          <w:lang w:val="en-GB" w:bidi="ar"/>
        </w:rPr>
        <w:t>الواردة</w:t>
      </w:r>
      <w:r w:rsidRPr="00A635B0">
        <w:rPr>
          <w:lang w:val="en" w:bidi="ar-EG"/>
        </w:rPr>
        <w:t xml:space="preserve"> </w:t>
      </w:r>
      <w:r w:rsidRPr="00A635B0">
        <w:rPr>
          <w:rtl/>
          <w:lang w:val="en-GB" w:bidi="ar"/>
        </w:rPr>
        <w:t>أو</w:t>
      </w:r>
      <w:r w:rsidRPr="00A635B0">
        <w:rPr>
          <w:lang w:val="en" w:bidi="ar-EG"/>
        </w:rPr>
        <w:t xml:space="preserve"> </w:t>
      </w:r>
      <w:r w:rsidRPr="00A635B0">
        <w:rPr>
          <w:rtl/>
          <w:lang w:val="en-GB" w:bidi="ar"/>
        </w:rPr>
        <w:t>المؤكدة</w:t>
      </w:r>
      <w:r w:rsidRPr="00A635B0">
        <w:rPr>
          <w:lang w:val="en" w:bidi="ar-EG"/>
        </w:rPr>
        <w:t xml:space="preserve"> </w:t>
      </w:r>
      <w:r w:rsidRPr="00A635B0">
        <w:rPr>
          <w:rFonts w:hint="cs"/>
          <w:rtl/>
          <w:lang w:val="en-GB" w:bidi="ar"/>
        </w:rPr>
        <w:t>بموجب</w:t>
      </w:r>
      <w:r w:rsidRPr="00A635B0">
        <w:rPr>
          <w:rtl/>
          <w:lang w:val="en-GB" w:bidi="ar"/>
        </w:rPr>
        <w:t xml:space="preserve"> اتفاق</w:t>
      </w:r>
      <w:r w:rsidRPr="00A635B0">
        <w:rPr>
          <w:lang w:val="en" w:bidi="ar-EG"/>
        </w:rPr>
        <w:t xml:space="preserve"> </w:t>
      </w:r>
      <w:r w:rsidRPr="00A635B0">
        <w:rPr>
          <w:rtl/>
          <w:lang w:val="en-GB" w:bidi="ar"/>
        </w:rPr>
        <w:t>ملزم</w:t>
      </w:r>
      <w:r w:rsidRPr="00A635B0">
        <w:rPr>
          <w:lang w:val="en" w:bidi="ar-EG"/>
        </w:rPr>
        <w:t xml:space="preserve"> </w:t>
      </w:r>
      <w:r w:rsidRPr="00A635B0">
        <w:rPr>
          <w:rtl/>
          <w:lang w:val="en-GB" w:bidi="ar"/>
        </w:rPr>
        <w:t>كمعاملات</w:t>
      </w:r>
      <w:r w:rsidRPr="00A635B0">
        <w:rPr>
          <w:lang w:val="en" w:bidi="ar-EG"/>
        </w:rPr>
        <w:t xml:space="preserve"> </w:t>
      </w:r>
      <w:r w:rsidRPr="00A635B0">
        <w:rPr>
          <w:rtl/>
          <w:lang w:val="en-GB" w:bidi="ar"/>
        </w:rPr>
        <w:t>غير</w:t>
      </w:r>
      <w:r w:rsidRPr="00A635B0">
        <w:rPr>
          <w:lang w:val="en" w:bidi="ar-EG"/>
        </w:rPr>
        <w:t xml:space="preserve"> </w:t>
      </w:r>
      <w:r w:rsidRPr="00A635B0">
        <w:rPr>
          <w:rtl/>
          <w:lang w:val="en-GB" w:bidi="ar"/>
        </w:rPr>
        <w:t>تبادلية</w:t>
      </w:r>
      <w:r w:rsidRPr="00A635B0">
        <w:rPr>
          <w:lang w:val="en" w:bidi="ar-EG"/>
        </w:rPr>
        <w:t xml:space="preserve"> </w:t>
      </w:r>
      <w:r w:rsidRPr="00A635B0">
        <w:rPr>
          <w:rtl/>
          <w:lang w:val="en-GB" w:bidi="ar"/>
        </w:rPr>
        <w:t>وفقاً</w:t>
      </w:r>
      <w:r w:rsidRPr="00A635B0">
        <w:rPr>
          <w:lang w:val="en" w:bidi="ar-EG"/>
        </w:rPr>
        <w:t xml:space="preserve"> </w:t>
      </w:r>
      <w:r w:rsidRPr="00A635B0">
        <w:rPr>
          <w:rtl/>
          <w:lang w:val="en-GB" w:bidi="ar"/>
        </w:rPr>
        <w:t>للمعيار</w:t>
      </w:r>
      <w:r w:rsidRPr="00A635B0">
        <w:rPr>
          <w:lang w:val="en" w:bidi="ar-EG"/>
        </w:rPr>
        <w:t xml:space="preserve"> 23 </w:t>
      </w:r>
      <w:r w:rsidRPr="00A635B0">
        <w:rPr>
          <w:rtl/>
          <w:lang w:val="en-GB" w:bidi="ar"/>
        </w:rPr>
        <w:t>من</w:t>
      </w:r>
      <w:r w:rsidRPr="00A635B0">
        <w:rPr>
          <w:lang w:val="en" w:bidi="ar-EG"/>
        </w:rPr>
        <w:t xml:space="preserve"> </w:t>
      </w:r>
      <w:r w:rsidRPr="00A635B0">
        <w:rPr>
          <w:rtl/>
          <w:lang w:val="en-GB" w:bidi="ar"/>
        </w:rPr>
        <w:t>المعايير المحاسبية الدولية للقطاع العام</w:t>
      </w:r>
      <w:r w:rsidRPr="00A635B0">
        <w:rPr>
          <w:rFonts w:hint="cs"/>
          <w:rtl/>
          <w:lang w:val="en-GB" w:bidi="ar"/>
        </w:rPr>
        <w:t xml:space="preserve"> </w:t>
      </w:r>
      <w:r w:rsidRPr="00A635B0">
        <w:rPr>
          <w:rtl/>
          <w:lang w:val="en-GB" w:bidi="ar"/>
        </w:rPr>
        <w:t>(</w:t>
      </w:r>
      <w:r w:rsidRPr="00A635B0">
        <w:rPr>
          <w:lang w:val="en-GB" w:bidi="ar-EG"/>
        </w:rPr>
        <w:t>IPSAS 23</w:t>
      </w:r>
      <w:r w:rsidRPr="00A635B0">
        <w:rPr>
          <w:rtl/>
          <w:lang w:val="en-GB" w:bidi="ar"/>
        </w:rPr>
        <w:t>).</w:t>
      </w:r>
    </w:p>
    <w:p w14:paraId="6E619135" w14:textId="77777777" w:rsidR="00A635B0" w:rsidRPr="008F34B0" w:rsidRDefault="00A635B0" w:rsidP="008F34B0">
      <w:pPr>
        <w:pStyle w:val="Headingi"/>
        <w:rPr>
          <w:b w:val="0"/>
          <w:bCs w:val="0"/>
          <w:rtl/>
          <w:lang w:val="en-GB"/>
        </w:rPr>
      </w:pPr>
      <w:r w:rsidRPr="008F34B0">
        <w:rPr>
          <w:b w:val="0"/>
          <w:bCs w:val="0"/>
          <w:rtl/>
          <w:lang w:val="en-GB"/>
        </w:rPr>
        <w:t>-</w:t>
      </w:r>
      <w:r w:rsidRPr="008F34B0">
        <w:rPr>
          <w:b w:val="0"/>
          <w:bCs w:val="0"/>
          <w:rtl/>
          <w:lang w:val="en-GB"/>
        </w:rPr>
        <w:tab/>
        <w:t>الاشتراكات المقررة:</w:t>
      </w:r>
    </w:p>
    <w:p w14:paraId="300C7EC3" w14:textId="77777777" w:rsidR="00A635B0" w:rsidRPr="00A635B0" w:rsidRDefault="00A635B0" w:rsidP="00187C0F">
      <w:pPr>
        <w:rPr>
          <w:lang w:bidi="ar-EG"/>
        </w:rPr>
      </w:pPr>
      <w:r w:rsidRPr="00A635B0">
        <w:rPr>
          <w:rtl/>
          <w:lang w:val="en-GB"/>
        </w:rPr>
        <w:t xml:space="preserve">تشير الاشتراكات المقررة إلى الاشتراكات المقدمة من الدول الأعضاء وأعضاء القطاعات والمنتسبين. ويحدد مؤتمر المندوبين المفوضين الحد الأعلى لوحدة الاشتراك ليكون الأساس لحساب إيرادات الاتحاد </w:t>
      </w:r>
      <w:r w:rsidRPr="00A635B0">
        <w:rPr>
          <w:rFonts w:hint="cs"/>
          <w:rtl/>
          <w:lang w:val="en-GB"/>
        </w:rPr>
        <w:t>لأغراض ميزانيتي فترتي</w:t>
      </w:r>
      <w:r w:rsidRPr="00A635B0">
        <w:rPr>
          <w:rtl/>
          <w:lang w:val="en-GB"/>
        </w:rPr>
        <w:t xml:space="preserve"> السنتين </w:t>
      </w:r>
      <w:r w:rsidRPr="00A635B0">
        <w:rPr>
          <w:rFonts w:hint="cs"/>
          <w:rtl/>
          <w:lang w:val="en-GB"/>
        </w:rPr>
        <w:t>في ا</w:t>
      </w:r>
      <w:r w:rsidRPr="00A635B0">
        <w:rPr>
          <w:rtl/>
          <w:lang w:val="en-GB"/>
        </w:rPr>
        <w:t xml:space="preserve">لسنوات الأربع المقبلة. وهذا </w:t>
      </w:r>
      <w:r w:rsidRPr="00A635B0">
        <w:rPr>
          <w:rFonts w:hint="cs"/>
          <w:rtl/>
          <w:lang w:val="en-GB"/>
        </w:rPr>
        <w:t>الترتيب</w:t>
      </w:r>
      <w:r w:rsidRPr="00A635B0">
        <w:rPr>
          <w:rtl/>
          <w:lang w:val="en-GB"/>
        </w:rPr>
        <w:t xml:space="preserve"> موافق عليه حالياً حتى 31 ديسمبر 2027. وللدول الأعضاء وأعضاء القطاعات حرية اختيار فئة الاشتراك الخاصة بهم لتغطية نفقات الاتحاد وفقاً للأحكام المتصلة بذلك من دستور الاتحاد الدولي للاتصالات، و</w:t>
      </w:r>
      <w:r w:rsidRPr="00A635B0">
        <w:rPr>
          <w:rFonts w:hint="cs"/>
          <w:rtl/>
          <w:lang w:val="en-GB"/>
        </w:rPr>
        <w:t xml:space="preserve">يدفع كل منهما </w:t>
      </w:r>
      <w:r w:rsidRPr="00A635B0">
        <w:rPr>
          <w:rtl/>
          <w:lang w:val="en-GB"/>
        </w:rPr>
        <w:t>اشتراك عن سنة انضمامه أو قبوله</w:t>
      </w:r>
      <w:r w:rsidRPr="00A635B0">
        <w:rPr>
          <w:rFonts w:hint="cs"/>
          <w:rtl/>
          <w:lang w:val="en-GB"/>
        </w:rPr>
        <w:t xml:space="preserve"> </w:t>
      </w:r>
      <w:r w:rsidRPr="00A635B0">
        <w:rPr>
          <w:rtl/>
          <w:lang w:val="en-GB"/>
        </w:rPr>
        <w:t>تح</w:t>
      </w:r>
      <w:r w:rsidRPr="00A635B0">
        <w:rPr>
          <w:rFonts w:hint="cs"/>
          <w:rtl/>
          <w:lang w:val="en-GB"/>
        </w:rPr>
        <w:t>ت</w:t>
      </w:r>
      <w:r w:rsidRPr="00A635B0">
        <w:rPr>
          <w:rtl/>
          <w:lang w:val="en-GB"/>
        </w:rPr>
        <w:t>سب اعتباراً من اليوم الأول من شهر الانضمام أو القبول. وتستخدم هذه الإيرادات لتنفيذ أنشطة الاتحاد بالكيفية التي يحددها مؤتمر المندوبين المفوضين.</w:t>
      </w:r>
    </w:p>
    <w:p w14:paraId="6A67D6E1" w14:textId="77777777" w:rsidR="00A635B0" w:rsidRPr="00A635B0" w:rsidRDefault="00A635B0" w:rsidP="00187C0F">
      <w:pPr>
        <w:rPr>
          <w:lang w:bidi="ar-EG"/>
        </w:rPr>
      </w:pPr>
      <w:r w:rsidRPr="00A635B0">
        <w:rPr>
          <w:rtl/>
          <w:lang w:val="en-GB"/>
        </w:rPr>
        <w:t>ويعترف بالاشتراكات المقررة كإيرادات على أساس سنوي، في اليوم الأول من السنة التي تتعلق بها.</w:t>
      </w:r>
    </w:p>
    <w:p w14:paraId="2CAB5FFD" w14:textId="77777777" w:rsidR="00A635B0" w:rsidRPr="00A635B0" w:rsidRDefault="00A635B0" w:rsidP="008F34B0">
      <w:pPr>
        <w:pStyle w:val="Headingi"/>
        <w:rPr>
          <w:b w:val="0"/>
          <w:bCs w:val="0"/>
          <w:rtl/>
          <w:lang w:val="en-GB"/>
        </w:rPr>
      </w:pPr>
      <w:r w:rsidRPr="008F34B0">
        <w:rPr>
          <w:b w:val="0"/>
          <w:bCs w:val="0"/>
          <w:rtl/>
          <w:lang w:val="en-GB"/>
        </w:rPr>
        <w:t>-</w:t>
      </w:r>
      <w:r w:rsidRPr="008F34B0">
        <w:rPr>
          <w:b w:val="0"/>
          <w:bCs w:val="0"/>
          <w:rtl/>
          <w:lang w:val="en-GB"/>
        </w:rPr>
        <w:tab/>
        <w:t>المساهمات الخارجة عن الميزانية:</w:t>
      </w:r>
    </w:p>
    <w:p w14:paraId="458E361D" w14:textId="77777777" w:rsidR="00A635B0" w:rsidRPr="00A635B0" w:rsidRDefault="00A635B0" w:rsidP="00187C0F">
      <w:pPr>
        <w:rPr>
          <w:rtl/>
          <w:lang w:val="en-GB" w:bidi="ar-EG"/>
        </w:rPr>
      </w:pPr>
      <w:bookmarkStart w:id="157" w:name="_Toc74061569"/>
      <w:bookmarkStart w:id="158" w:name="تقديم"/>
      <w:r w:rsidRPr="00A635B0">
        <w:rPr>
          <w:rtl/>
          <w:lang w:val="en-GB"/>
        </w:rPr>
        <w:t>تتألف المساهمات الخارجة عن الميزانية من المساهمات الطوعية وأنشطة الرعاية التي يعترف بها مبدئياً كإيرادات حينما يصبح الاتفاق بين الاتحاد والجهة المانحة ملزما وحينما يُحصل على السيطرة على الأصل الأساسي ما لم يتضمن الاتفاق شروطا</w:t>
      </w:r>
      <w:r w:rsidRPr="00A635B0">
        <w:rPr>
          <w:rFonts w:hint="cs"/>
          <w:rtl/>
          <w:lang w:val="en-GB"/>
        </w:rPr>
        <w:t>ً</w:t>
      </w:r>
      <w:r w:rsidRPr="00A635B0">
        <w:rPr>
          <w:rtl/>
          <w:lang w:val="en-GB"/>
        </w:rPr>
        <w:t xml:space="preserve"> وفقا</w:t>
      </w:r>
      <w:r w:rsidRPr="00A635B0">
        <w:rPr>
          <w:rFonts w:hint="cs"/>
          <w:rtl/>
          <w:lang w:val="en-GB"/>
        </w:rPr>
        <w:t>ً</w:t>
      </w:r>
      <w:r w:rsidRPr="00A635B0">
        <w:rPr>
          <w:rtl/>
          <w:lang w:val="en-GB"/>
        </w:rPr>
        <w:t xml:space="preserve"> للمعيار 23 من المعايير المحاسبية الدولية للقطاع العام </w:t>
      </w:r>
      <w:r w:rsidRPr="00A635B0">
        <w:rPr>
          <w:lang w:bidi="ar-EG"/>
        </w:rPr>
        <w:t>(PSAS 23)</w:t>
      </w:r>
      <w:r w:rsidRPr="00A635B0">
        <w:rPr>
          <w:rtl/>
          <w:lang w:val="en-GB"/>
        </w:rPr>
        <w:t xml:space="preserve">. وفي حالات أخرى، يعترف بالإيرادات اعترافاً كاملاً، وفقا للمعيار </w:t>
      </w:r>
      <w:r w:rsidRPr="00A635B0">
        <w:rPr>
          <w:lang w:val="en-GB" w:bidi="ar-EG"/>
        </w:rPr>
        <w:t>IPSAS 23</w:t>
      </w:r>
      <w:r w:rsidRPr="00A635B0">
        <w:rPr>
          <w:rtl/>
          <w:lang w:val="en-GB" w:bidi="ar-EG"/>
        </w:rPr>
        <w:t>.</w:t>
      </w:r>
    </w:p>
    <w:p w14:paraId="7BBEE221" w14:textId="77777777" w:rsidR="00A635B0" w:rsidRPr="00A635B0" w:rsidRDefault="00A635B0" w:rsidP="00187C0F">
      <w:pPr>
        <w:rPr>
          <w:lang w:bidi="ar-EG"/>
        </w:rPr>
      </w:pPr>
      <w:r w:rsidRPr="00A635B0">
        <w:rPr>
          <w:rtl/>
          <w:lang w:val="en-GB"/>
        </w:rPr>
        <w:t>وتُلزِم الاتفاقات المتضمنة لهذه الشروط بالاعتراف المبدئي ب</w:t>
      </w:r>
      <w:r w:rsidRPr="00A635B0">
        <w:rPr>
          <w:rtl/>
          <w:lang w:val="en-GB" w:bidi="ar-EG"/>
        </w:rPr>
        <w:t>الخصوم</w:t>
      </w:r>
      <w:r w:rsidRPr="00A635B0">
        <w:rPr>
          <w:rtl/>
          <w:lang w:val="en-GB"/>
        </w:rPr>
        <w:t xml:space="preserve"> وبإرجاء الاعتراف بالإيرادات إلى حين الوفاء بالالتزام عن طريق أداء الشروط المحددة المشمولة بالاتفاقية والتعهد بالتزام إعادة واجب الإنفاذ بإعادة المبالغ في حال عدم استخدامها بالطريقة المحددة. والمبلغ المعترف به كخصم هو أفضل تقدير للمبلغ اللازم لتسوية الالتزام في تاريخ الإبلاغ.</w:t>
      </w:r>
    </w:p>
    <w:p w14:paraId="64F605E5" w14:textId="77777777" w:rsidR="00A635B0" w:rsidRPr="00A635B0" w:rsidRDefault="00A635B0" w:rsidP="00187C0F">
      <w:pPr>
        <w:rPr>
          <w:lang w:bidi="ar-EG"/>
        </w:rPr>
      </w:pPr>
      <w:r w:rsidRPr="00A635B0">
        <w:rPr>
          <w:rtl/>
          <w:lang w:val="en-GB"/>
        </w:rPr>
        <w:t>وفي حال</w:t>
      </w:r>
      <w:r w:rsidRPr="00A635B0">
        <w:rPr>
          <w:lang w:bidi="ar-EG"/>
        </w:rPr>
        <w:t xml:space="preserve"> </w:t>
      </w:r>
      <w:r w:rsidRPr="00A635B0">
        <w:rPr>
          <w:rtl/>
          <w:lang w:val="en-GB"/>
        </w:rPr>
        <w:t>إبرام اتفاقات وعدم ورود اشتراكات وتعلق الاتفاق بفترات مالية مقبلة، يُعترف بالمبلغ كإيراد مؤجل.</w:t>
      </w:r>
    </w:p>
    <w:p w14:paraId="4D4D1069" w14:textId="77777777" w:rsidR="00A635B0" w:rsidRPr="008F34B0" w:rsidRDefault="00A635B0" w:rsidP="008F34B0">
      <w:pPr>
        <w:pStyle w:val="Headingi"/>
        <w:rPr>
          <w:b w:val="0"/>
          <w:bCs w:val="0"/>
          <w:lang w:val="en-GB"/>
        </w:rPr>
      </w:pPr>
      <w:r w:rsidRPr="008F34B0">
        <w:rPr>
          <w:b w:val="0"/>
          <w:bCs w:val="0"/>
          <w:rtl/>
          <w:lang w:val="en-GB"/>
        </w:rPr>
        <w:t>-</w:t>
      </w:r>
      <w:r w:rsidRPr="008F34B0">
        <w:rPr>
          <w:b w:val="0"/>
          <w:bCs w:val="0"/>
          <w:rtl/>
          <w:lang w:val="en-GB"/>
        </w:rPr>
        <w:tab/>
        <w:t>الإيرادات المؤجلة - الأموال المخصصة من أطراف ثالثة (بيان الوضع المالي)</w:t>
      </w:r>
    </w:p>
    <w:p w14:paraId="207B6D67" w14:textId="77777777" w:rsidR="00A635B0" w:rsidRPr="00A635B0" w:rsidRDefault="00A635B0" w:rsidP="00187C0F">
      <w:pPr>
        <w:rPr>
          <w:rtl/>
          <w:lang w:val="en-GB"/>
        </w:rPr>
      </w:pPr>
      <w:r w:rsidRPr="00A635B0">
        <w:rPr>
          <w:rtl/>
          <w:lang w:val="en-GB"/>
        </w:rPr>
        <w:t>تقدم أطراف ثالثة هذه الأموال لدعم الاتحاد في تنفيذ مشاريع في البلدان النامية، بما فيها أقل البلدان نموا</w:t>
      </w:r>
      <w:r w:rsidRPr="00A635B0">
        <w:rPr>
          <w:rFonts w:hint="cs"/>
          <w:rtl/>
          <w:lang w:val="en-GB"/>
        </w:rPr>
        <w:t>ً،</w:t>
      </w:r>
      <w:r w:rsidRPr="00A635B0">
        <w:rPr>
          <w:rtl/>
          <w:lang w:val="en-GB"/>
        </w:rPr>
        <w:t xml:space="preserve"> والدول الجزرية الصغيرة النامية</w:t>
      </w:r>
      <w:r w:rsidRPr="00A635B0">
        <w:rPr>
          <w:rFonts w:hint="cs"/>
          <w:rtl/>
          <w:lang w:val="en-GB"/>
        </w:rPr>
        <w:t>،</w:t>
      </w:r>
      <w:r w:rsidRPr="00A635B0">
        <w:rPr>
          <w:rtl/>
          <w:lang w:val="en-GB"/>
        </w:rPr>
        <w:t xml:space="preserve"> والبلدان النامية غير الساحلية</w:t>
      </w:r>
      <w:r w:rsidRPr="00A635B0">
        <w:rPr>
          <w:rFonts w:hint="cs"/>
          <w:rtl/>
          <w:lang w:val="en-GB"/>
        </w:rPr>
        <w:t>،</w:t>
      </w:r>
      <w:r w:rsidRPr="00A635B0">
        <w:rPr>
          <w:rtl/>
          <w:lang w:val="en-GB"/>
        </w:rPr>
        <w:t xml:space="preserve"> والبلدان التي تمر اقتصاداتها بمرحلة انتقالية. وهذه المساهمات مرهونة بشروط </w:t>
      </w:r>
      <w:r w:rsidRPr="00A635B0">
        <w:rPr>
          <w:rtl/>
          <w:lang w:val="en-GB"/>
        </w:rPr>
        <w:lastRenderedPageBreak/>
        <w:t xml:space="preserve">تعاقدية. ولا يُعترف بهذه الأموال كإيرادات إلا في حال التزام الجهات المانحة خطياً بتقديمها ومع </w:t>
      </w:r>
      <w:r w:rsidRPr="00A635B0">
        <w:rPr>
          <w:rtl/>
          <w:lang w:val="en-GB" w:bidi="ar-EG"/>
        </w:rPr>
        <w:t>نشوء</w:t>
      </w:r>
      <w:r w:rsidRPr="00A635B0">
        <w:rPr>
          <w:rtl/>
          <w:lang w:val="en-GB"/>
        </w:rPr>
        <w:t xml:space="preserve"> مصروفات. ولا يبدأ تنفيذ المشاريع الممولة إلا بعد دفع الأموال إلى الاتحاد. وعند إقفال الفترة المالية، يُعترف بالرصيد غير المستخدم لهذا التمويل في بند الأموال المخصصة من أطراف ثالثة ضمن الإيرادات المؤجلة في بيان الوضع المالي. وفي بعض الحالات المحددة والاستثنائية، تُدفع الأموال إلى الاتحاد كسداد لمصروفات نشأت بالفعل.</w:t>
      </w:r>
    </w:p>
    <w:p w14:paraId="3A20D96B" w14:textId="77777777" w:rsidR="00A635B0" w:rsidRPr="00A635B0" w:rsidRDefault="00A635B0" w:rsidP="008F34B0">
      <w:pPr>
        <w:pStyle w:val="Headingi"/>
        <w:rPr>
          <w:b w:val="0"/>
          <w:bCs w:val="0"/>
          <w:rtl/>
          <w:lang w:val="en-GB"/>
        </w:rPr>
      </w:pPr>
      <w:bookmarkStart w:id="159" w:name="_Toc328494935"/>
      <w:r w:rsidRPr="008F34B0">
        <w:rPr>
          <w:b w:val="0"/>
          <w:bCs w:val="0"/>
          <w:rtl/>
          <w:lang w:val="en-GB"/>
        </w:rPr>
        <w:t>-</w:t>
      </w:r>
      <w:r w:rsidRPr="008F34B0">
        <w:rPr>
          <w:b w:val="0"/>
          <w:bCs w:val="0"/>
          <w:rtl/>
          <w:lang w:val="en-GB"/>
        </w:rPr>
        <w:tab/>
        <w:t>تفصَّل الأموال المخصصة من أطراف ثالثة ضمن الإيرادات المؤجلة على النحو التالي (بيان الوضع المالي):</w:t>
      </w:r>
    </w:p>
    <w:p w14:paraId="19419EE9" w14:textId="77777777" w:rsidR="00A635B0" w:rsidRPr="00A635B0" w:rsidRDefault="00A635B0" w:rsidP="008F34B0">
      <w:pPr>
        <w:pStyle w:val="enumlev1"/>
        <w:rPr>
          <w:rtl/>
          <w:lang w:val="en-GB"/>
        </w:rPr>
      </w:pPr>
      <w:r w:rsidRPr="00A635B0">
        <w:rPr>
          <w:rtl/>
          <w:lang w:val="en-GB"/>
        </w:rPr>
        <w:t>’1‘</w:t>
      </w:r>
      <w:r w:rsidRPr="00A635B0">
        <w:rPr>
          <w:rtl/>
          <w:lang w:val="en-GB"/>
        </w:rPr>
        <w:tab/>
        <w:t>الصناديق الاستئمانية</w:t>
      </w:r>
      <w:bookmarkEnd w:id="159"/>
    </w:p>
    <w:p w14:paraId="5107D5A7" w14:textId="77777777" w:rsidR="00EF3E76" w:rsidRDefault="00A635B0" w:rsidP="008F34B0">
      <w:pPr>
        <w:pStyle w:val="enumlev1"/>
        <w:rPr>
          <w:rtl/>
          <w:lang w:val="en-GB"/>
        </w:rPr>
      </w:pPr>
      <w:r w:rsidRPr="00A635B0">
        <w:rPr>
          <w:lang w:bidi="ar-EG"/>
        </w:rPr>
        <w:tab/>
      </w:r>
      <w:r w:rsidRPr="00A635B0">
        <w:rPr>
          <w:rtl/>
          <w:lang w:val="en-GB"/>
        </w:rPr>
        <w:t>الصناديق الاستئمانية مساهمات طوعية ذات استخدامات محددة و</w:t>
      </w:r>
      <w:r w:rsidRPr="00A635B0">
        <w:rPr>
          <w:rtl/>
          <w:lang w:val="en-GB" w:bidi="ar-EG"/>
        </w:rPr>
        <w:t>تقييدية</w:t>
      </w:r>
      <w:r w:rsidRPr="00A635B0">
        <w:rPr>
          <w:rtl/>
          <w:lang w:val="en-GB"/>
        </w:rPr>
        <w:t xml:space="preserve">. </w:t>
      </w:r>
      <w:r w:rsidRPr="00A635B0">
        <w:rPr>
          <w:rFonts w:hint="cs"/>
          <w:rtl/>
          <w:lang w:val="en-GB" w:bidi="ar-EG"/>
        </w:rPr>
        <w:t>وتترتب على هذه</w:t>
      </w:r>
      <w:r w:rsidRPr="00A635B0">
        <w:rPr>
          <w:rtl/>
          <w:lang w:val="en-GB"/>
        </w:rPr>
        <w:t xml:space="preserve"> المساهمات تكاليف دعم أثناء تنفيذ المشاريع و</w:t>
      </w:r>
      <w:r w:rsidRPr="00A635B0">
        <w:rPr>
          <w:rtl/>
          <w:lang w:val="en-GB" w:bidi="ar-EG"/>
        </w:rPr>
        <w:t>إنفاذها</w:t>
      </w:r>
      <w:r w:rsidRPr="00A635B0">
        <w:rPr>
          <w:rtl/>
          <w:lang w:val="en-GB"/>
        </w:rPr>
        <w:t xml:space="preserve">. وفي سنة 2024، </w:t>
      </w:r>
      <w:r w:rsidRPr="00A635B0">
        <w:rPr>
          <w:rFonts w:hint="cs"/>
          <w:rtl/>
          <w:lang w:val="en-GB"/>
        </w:rPr>
        <w:t xml:space="preserve">ترتب على </w:t>
      </w:r>
      <w:r w:rsidRPr="00A635B0">
        <w:rPr>
          <w:rtl/>
          <w:lang w:val="en-GB"/>
        </w:rPr>
        <w:t>تنفيذ المشروع تكاليف دعم بقيمة 1,2 مليون فرنك سويسري حُملت على المشروع وقُيدت لحساب ميزانية الاتحاد.</w:t>
      </w:r>
    </w:p>
    <w:p w14:paraId="38CE3EF7" w14:textId="5CB96FEE" w:rsidR="00A635B0" w:rsidRPr="00A635B0" w:rsidRDefault="00A635B0" w:rsidP="008F34B0">
      <w:pPr>
        <w:pStyle w:val="enumlev1"/>
        <w:rPr>
          <w:rtl/>
          <w:lang w:val="en-GB"/>
        </w:rPr>
      </w:pPr>
      <w:bookmarkStart w:id="160" w:name="_Toc328494936"/>
      <w:r w:rsidRPr="00A635B0">
        <w:rPr>
          <w:rtl/>
          <w:lang w:val="en-GB"/>
        </w:rPr>
        <w:t>’2‘</w:t>
      </w:r>
      <w:r w:rsidRPr="00A635B0">
        <w:rPr>
          <w:rtl/>
          <w:lang w:val="en-GB"/>
        </w:rPr>
        <w:tab/>
        <w:t>المساهمات الطوعية</w:t>
      </w:r>
      <w:bookmarkEnd w:id="160"/>
    </w:p>
    <w:p w14:paraId="5B524F0A" w14:textId="7A529881" w:rsidR="00A635B0" w:rsidRPr="00A635B0" w:rsidRDefault="00A635B0" w:rsidP="008F34B0">
      <w:pPr>
        <w:pStyle w:val="enumlev1"/>
        <w:rPr>
          <w:rtl/>
          <w:lang w:val="en-GB" w:bidi="ar-EG"/>
        </w:rPr>
      </w:pPr>
      <w:r w:rsidRPr="00A635B0">
        <w:rPr>
          <w:lang w:bidi="ar-EG"/>
        </w:rPr>
        <w:tab/>
      </w:r>
      <w:r w:rsidRPr="00A635B0">
        <w:rPr>
          <w:rtl/>
          <w:lang w:val="en-GB" w:bidi="ar-EG"/>
        </w:rPr>
        <w:t>تقدم الجهات المانحة</w:t>
      </w:r>
      <w:r w:rsidRPr="00A635B0">
        <w:rPr>
          <w:rFonts w:hint="cs"/>
          <w:rtl/>
          <w:lang w:val="en-GB" w:bidi="ar-EG"/>
        </w:rPr>
        <w:t xml:space="preserve"> </w:t>
      </w:r>
      <w:r w:rsidRPr="00A635B0">
        <w:rPr>
          <w:rtl/>
          <w:lang w:val="en-GB" w:bidi="ar-EG"/>
        </w:rPr>
        <w:t xml:space="preserve">المساهمات الطوعية </w:t>
      </w:r>
      <w:r w:rsidRPr="00A635B0">
        <w:rPr>
          <w:rFonts w:hint="cs"/>
          <w:rtl/>
          <w:lang w:val="en-GB" w:bidi="ar-EG"/>
        </w:rPr>
        <w:t>لا</w:t>
      </w:r>
      <w:r w:rsidRPr="00A635B0">
        <w:rPr>
          <w:rtl/>
          <w:lang w:val="en-GB" w:bidi="ar-EG"/>
        </w:rPr>
        <w:t>ستكمال أنشطة محددة ضمن الميزانية العادية مثل الحلقات الدراسية وأفرقة العمل</w:t>
      </w:r>
      <w:r w:rsidRPr="00A635B0">
        <w:rPr>
          <w:rFonts w:hint="cs"/>
          <w:rtl/>
          <w:lang w:val="en-GB" w:bidi="ar-EG"/>
        </w:rPr>
        <w:t xml:space="preserve"> </w:t>
      </w:r>
      <w:r w:rsidRPr="00A635B0">
        <w:rPr>
          <w:rtl/>
          <w:lang w:val="en-GB" w:bidi="ar-EG"/>
        </w:rPr>
        <w:t>ولجان الدراسات والتدريب والم</w:t>
      </w:r>
      <w:r w:rsidRPr="00A635B0">
        <w:rPr>
          <w:rFonts w:hint="cs"/>
          <w:rtl/>
          <w:lang w:val="en-GB" w:bidi="ar-EG"/>
        </w:rPr>
        <w:t>ِ</w:t>
      </w:r>
      <w:r w:rsidRPr="00A635B0">
        <w:rPr>
          <w:rtl/>
          <w:lang w:val="en-GB" w:bidi="ar-EG"/>
        </w:rPr>
        <w:t>نح. ويمكن أن تمول المساهمات الطوعية أنشطة طويلة الأجل. ولا</w:t>
      </w:r>
      <w:r w:rsidR="00A12096">
        <w:rPr>
          <w:rFonts w:hint="cs"/>
          <w:rtl/>
          <w:lang w:val="en-GB" w:bidi="ar-EG"/>
        </w:rPr>
        <w:t> </w:t>
      </w:r>
      <w:r w:rsidRPr="00A635B0">
        <w:rPr>
          <w:rFonts w:hint="cs"/>
          <w:rtl/>
          <w:lang w:val="en-GB" w:bidi="ar-EG"/>
        </w:rPr>
        <w:t>يترتب على</w:t>
      </w:r>
      <w:r w:rsidRPr="00A635B0">
        <w:rPr>
          <w:rtl/>
          <w:lang w:val="en-GB" w:bidi="ar-EG"/>
        </w:rPr>
        <w:t xml:space="preserve"> المساهمات الطوعية أي تكاليف دعم.</w:t>
      </w:r>
    </w:p>
    <w:p w14:paraId="7FAF0D25" w14:textId="77777777" w:rsidR="00A635B0" w:rsidRPr="00A635B0" w:rsidRDefault="00A635B0" w:rsidP="008F34B0">
      <w:pPr>
        <w:pStyle w:val="enumlev1"/>
        <w:rPr>
          <w:rtl/>
          <w:lang w:val="en-GB" w:bidi="ar-EG"/>
        </w:rPr>
      </w:pPr>
      <w:r w:rsidRPr="00A635B0">
        <w:rPr>
          <w:lang w:bidi="ar-EG"/>
        </w:rPr>
        <w:tab/>
      </w:r>
      <w:r w:rsidRPr="00A635B0">
        <w:rPr>
          <w:rFonts w:hint="cs"/>
          <w:rtl/>
          <w:lang w:val="en-GB" w:bidi="ar-EG"/>
        </w:rPr>
        <w:t xml:space="preserve">ويحوز </w:t>
      </w:r>
      <w:r w:rsidRPr="00A635B0">
        <w:rPr>
          <w:rtl/>
          <w:lang w:val="en-GB" w:bidi="ar-EG"/>
        </w:rPr>
        <w:t>الاتحاد حسابات المساهمات الطوعية بالعملة التي ق</w:t>
      </w:r>
      <w:r w:rsidRPr="00A635B0">
        <w:rPr>
          <w:rFonts w:hint="cs"/>
          <w:rtl/>
          <w:lang w:val="en-GB" w:bidi="ar-EG"/>
        </w:rPr>
        <w:t>ُ</w:t>
      </w:r>
      <w:r w:rsidRPr="00A635B0">
        <w:rPr>
          <w:rtl/>
          <w:lang w:val="en-GB" w:bidi="ar-EG"/>
        </w:rPr>
        <w:t>دمت بها المساهمة ويدير المشاريع بناءً على الميزانية المخصصة بعملة التمويل، ما لم يحد</w:t>
      </w:r>
      <w:r w:rsidRPr="00A635B0">
        <w:rPr>
          <w:rFonts w:hint="cs"/>
          <w:rtl/>
          <w:lang w:val="en-GB" w:bidi="ar-EG"/>
        </w:rPr>
        <w:t>َّ</w:t>
      </w:r>
      <w:r w:rsidRPr="00A635B0">
        <w:rPr>
          <w:rtl/>
          <w:lang w:val="en-GB" w:bidi="ar-EG"/>
        </w:rPr>
        <w:t>د خلاف ذلك.</w:t>
      </w:r>
    </w:p>
    <w:p w14:paraId="685657BC" w14:textId="77777777" w:rsidR="00EF3E76" w:rsidRDefault="00A635B0" w:rsidP="00187C0F">
      <w:pPr>
        <w:rPr>
          <w:rtl/>
          <w:lang w:val="en-GB"/>
        </w:rPr>
      </w:pPr>
      <w:r w:rsidRPr="00A635B0">
        <w:rPr>
          <w:rFonts w:hint="cs"/>
          <w:rtl/>
          <w:lang w:val="en-GB" w:bidi="ar-EG"/>
        </w:rPr>
        <w:t xml:space="preserve">ويعترف </w:t>
      </w:r>
      <w:r w:rsidRPr="00A635B0">
        <w:rPr>
          <w:rFonts w:hint="cs"/>
          <w:rtl/>
          <w:lang w:val="en-GB"/>
        </w:rPr>
        <w:t>ب</w:t>
      </w:r>
      <w:r w:rsidRPr="00A635B0">
        <w:rPr>
          <w:rtl/>
          <w:lang w:val="en-GB"/>
        </w:rPr>
        <w:t xml:space="preserve">الإيرادات المتأتية من </w:t>
      </w:r>
      <w:r w:rsidRPr="00A635B0">
        <w:rPr>
          <w:rFonts w:hint="cs"/>
          <w:rtl/>
          <w:lang w:val="en-GB"/>
        </w:rPr>
        <w:t>المعاملات التبادلية</w:t>
      </w:r>
      <w:r w:rsidRPr="00A635B0">
        <w:rPr>
          <w:rtl/>
          <w:lang w:val="en-GB"/>
        </w:rPr>
        <w:t xml:space="preserve"> بالقيمة العادلة للمقابل المقبوض أو المستحق</w:t>
      </w:r>
      <w:r w:rsidRPr="00A635B0">
        <w:rPr>
          <w:rFonts w:hint="cs"/>
          <w:rtl/>
          <w:lang w:val="en-GB"/>
        </w:rPr>
        <w:t xml:space="preserve"> القبض</w:t>
      </w:r>
      <w:r w:rsidRPr="00A635B0">
        <w:rPr>
          <w:rtl/>
          <w:lang w:val="en-GB"/>
        </w:rPr>
        <w:t xml:space="preserve"> عند تسليم السلع والخدمات وفقا</w:t>
      </w:r>
      <w:r w:rsidRPr="00A635B0">
        <w:rPr>
          <w:rFonts w:hint="cs"/>
          <w:rtl/>
          <w:lang w:val="en-GB"/>
        </w:rPr>
        <w:t xml:space="preserve">ً </w:t>
      </w:r>
      <w:r w:rsidRPr="00A635B0">
        <w:rPr>
          <w:rtl/>
          <w:lang w:val="en-GB"/>
        </w:rPr>
        <w:t>للمعيار 9 من المعايير المحاسبية الدولية للقطاع العام</w:t>
      </w:r>
      <w:r w:rsidRPr="00A635B0">
        <w:rPr>
          <w:rFonts w:hint="cs"/>
          <w:rtl/>
          <w:lang w:val="en-GB"/>
        </w:rPr>
        <w:t xml:space="preserve"> </w:t>
      </w:r>
      <w:r w:rsidRPr="00A635B0">
        <w:rPr>
          <w:lang w:bidi="ar-EG"/>
        </w:rPr>
        <w:t>(IPSAS 9)</w:t>
      </w:r>
      <w:r w:rsidRPr="00A635B0">
        <w:rPr>
          <w:rtl/>
          <w:lang w:val="en-GB"/>
        </w:rPr>
        <w:t>.</w:t>
      </w:r>
    </w:p>
    <w:p w14:paraId="5E3B65F8" w14:textId="349C397E" w:rsidR="00A635B0" w:rsidRPr="00A635B0" w:rsidRDefault="00A635B0" w:rsidP="00187C0F">
      <w:pPr>
        <w:rPr>
          <w:lang w:bidi="ar-EG"/>
        </w:rPr>
      </w:pPr>
      <w:r w:rsidRPr="00A635B0">
        <w:rPr>
          <w:rtl/>
          <w:lang w:val="en-GB"/>
        </w:rPr>
        <w:t xml:space="preserve">وتتألف إيرادات </w:t>
      </w:r>
      <w:r w:rsidRPr="00A635B0">
        <w:rPr>
          <w:rFonts w:hint="cs"/>
          <w:rtl/>
          <w:lang w:val="en-GB" w:bidi="ar-EG"/>
        </w:rPr>
        <w:t>المعاملات التبادلية</w:t>
      </w:r>
      <w:r w:rsidRPr="00A635B0">
        <w:rPr>
          <w:rtl/>
          <w:lang w:val="en-GB"/>
        </w:rPr>
        <w:t xml:space="preserve"> من المنتجات والخدمات التي يطبق </w:t>
      </w:r>
      <w:r w:rsidRPr="00A635B0">
        <w:rPr>
          <w:rFonts w:hint="cs"/>
          <w:rtl/>
          <w:lang w:val="en-GB"/>
        </w:rPr>
        <w:t>عليها الاتحاد</w:t>
      </w:r>
      <w:r w:rsidRPr="00A635B0">
        <w:rPr>
          <w:rtl/>
          <w:lang w:val="en-GB"/>
        </w:rPr>
        <w:t xml:space="preserve"> مبدأ استرداد التكاليف، </w:t>
      </w:r>
      <w:r w:rsidRPr="00A635B0">
        <w:rPr>
          <w:rFonts w:hint="cs"/>
          <w:rtl/>
          <w:lang w:val="en-GB"/>
        </w:rPr>
        <w:t>ألا و</w:t>
      </w:r>
      <w:r w:rsidRPr="00A635B0">
        <w:rPr>
          <w:rtl/>
          <w:lang w:val="en-GB"/>
        </w:rPr>
        <w:t>هي:</w:t>
      </w:r>
    </w:p>
    <w:p w14:paraId="27C3B3BC" w14:textId="77777777" w:rsidR="00A635B0" w:rsidRPr="00A635B0" w:rsidRDefault="00A635B0" w:rsidP="008F34B0">
      <w:pPr>
        <w:pStyle w:val="enumlev1"/>
        <w:rPr>
          <w:lang w:bidi="ar-EG"/>
        </w:rPr>
      </w:pPr>
      <w:r w:rsidRPr="00A635B0">
        <w:rPr>
          <w:rtl/>
          <w:lang w:val="en-GB"/>
        </w:rPr>
        <w:t>–</w:t>
      </w:r>
      <w:r w:rsidRPr="00A635B0">
        <w:rPr>
          <w:rtl/>
          <w:lang w:val="en-GB"/>
        </w:rPr>
        <w:tab/>
        <w:t xml:space="preserve">مبيعات المنشورات: </w:t>
      </w:r>
      <w:r w:rsidRPr="00A635B0">
        <w:rPr>
          <w:rFonts w:hint="cs"/>
          <w:rtl/>
          <w:lang w:val="en-GB"/>
        </w:rPr>
        <w:t>يُعترف بإيراداتها</w:t>
      </w:r>
      <w:r w:rsidRPr="00A635B0">
        <w:rPr>
          <w:rtl/>
          <w:lang w:val="en-GB"/>
        </w:rPr>
        <w:t xml:space="preserve"> </w:t>
      </w:r>
      <w:r w:rsidRPr="00A635B0">
        <w:rPr>
          <w:rFonts w:hint="cs"/>
          <w:rtl/>
          <w:lang w:val="en-GB" w:bidi="ar-EG"/>
        </w:rPr>
        <w:t>عند إرسال</w:t>
      </w:r>
      <w:r w:rsidRPr="00A635B0">
        <w:rPr>
          <w:rFonts w:hint="cs"/>
          <w:rtl/>
          <w:lang w:val="en-GB"/>
        </w:rPr>
        <w:t xml:space="preserve"> </w:t>
      </w:r>
      <w:r w:rsidRPr="00A635B0">
        <w:rPr>
          <w:rtl/>
          <w:lang w:val="en-GB"/>
        </w:rPr>
        <w:t xml:space="preserve">المنشورات، أو </w:t>
      </w:r>
      <w:r w:rsidRPr="00A635B0">
        <w:rPr>
          <w:rFonts w:hint="cs"/>
          <w:rtl/>
          <w:lang w:val="en-GB"/>
        </w:rPr>
        <w:t xml:space="preserve">حينما يمكن الحصول على </w:t>
      </w:r>
      <w:r w:rsidRPr="00A635B0">
        <w:rPr>
          <w:rtl/>
          <w:lang w:val="en-GB"/>
        </w:rPr>
        <w:t xml:space="preserve">البيانات </w:t>
      </w:r>
      <w:r w:rsidRPr="00A635B0">
        <w:rPr>
          <w:rFonts w:hint="cs"/>
          <w:rtl/>
          <w:lang w:val="en-GB"/>
        </w:rPr>
        <w:t>الإلكترونية الشكل</w:t>
      </w:r>
      <w:r w:rsidRPr="00A635B0">
        <w:rPr>
          <w:rtl/>
          <w:lang w:val="en-GB"/>
        </w:rPr>
        <w:t>؛</w:t>
      </w:r>
    </w:p>
    <w:p w14:paraId="19D30891" w14:textId="77777777" w:rsidR="00A635B0" w:rsidRPr="00A635B0" w:rsidRDefault="00A635B0" w:rsidP="008F34B0">
      <w:pPr>
        <w:pStyle w:val="enumlev1"/>
        <w:rPr>
          <w:lang w:bidi="ar-EG"/>
        </w:rPr>
      </w:pPr>
      <w:r w:rsidRPr="00A635B0">
        <w:rPr>
          <w:rtl/>
          <w:lang w:val="en-GB"/>
        </w:rPr>
        <w:t>–</w:t>
      </w:r>
      <w:r w:rsidRPr="00A635B0">
        <w:rPr>
          <w:rtl/>
          <w:lang w:val="en-GB"/>
        </w:rPr>
        <w:tab/>
        <w:t xml:space="preserve">معالجة بطاقات التبليغ عن الشبكات الساتلية: </w:t>
      </w:r>
      <w:r w:rsidRPr="00A635B0">
        <w:rPr>
          <w:rFonts w:hint="cs"/>
          <w:rtl/>
          <w:lang w:val="en-GB"/>
        </w:rPr>
        <w:t>يُعترف بإيراداتها</w:t>
      </w:r>
      <w:r w:rsidRPr="00A635B0">
        <w:rPr>
          <w:rtl/>
          <w:lang w:val="en-GB"/>
        </w:rPr>
        <w:t xml:space="preserve"> </w:t>
      </w:r>
      <w:r w:rsidRPr="00A635B0">
        <w:rPr>
          <w:rFonts w:hint="cs"/>
          <w:rtl/>
          <w:lang w:val="en-GB"/>
        </w:rPr>
        <w:t>عند</w:t>
      </w:r>
      <w:r w:rsidRPr="00A635B0">
        <w:rPr>
          <w:rtl/>
          <w:lang w:val="en-GB"/>
        </w:rPr>
        <w:t xml:space="preserve"> نشر المنشورات النهائية </w:t>
      </w:r>
      <w:r w:rsidRPr="00A635B0">
        <w:rPr>
          <w:rFonts w:hint="cs"/>
          <w:rtl/>
          <w:lang w:val="en-GB"/>
        </w:rPr>
        <w:t xml:space="preserve">المتعلقة ببطاقات التبليغ </w:t>
      </w:r>
      <w:r w:rsidRPr="00A635B0">
        <w:rPr>
          <w:rtl/>
          <w:lang w:val="en-GB"/>
        </w:rPr>
        <w:t>في الرسالة الإعلامية الدولية للترددات</w:t>
      </w:r>
      <w:r w:rsidRPr="00A635B0">
        <w:rPr>
          <w:rFonts w:hint="cs"/>
          <w:rtl/>
          <w:lang w:val="en-GB"/>
        </w:rPr>
        <w:t xml:space="preserve"> </w:t>
      </w:r>
      <w:r w:rsidRPr="00A635B0">
        <w:rPr>
          <w:rtl/>
          <w:lang w:val="en-GB"/>
        </w:rPr>
        <w:t>(IFIC) الصادرة عن مكتب الاتصالات الراديوية</w:t>
      </w:r>
      <w:r w:rsidRPr="00A635B0">
        <w:rPr>
          <w:rFonts w:hint="cs"/>
          <w:rtl/>
          <w:lang w:val="en-GB"/>
        </w:rPr>
        <w:t>،</w:t>
      </w:r>
      <w:r w:rsidRPr="00A635B0">
        <w:rPr>
          <w:rtl/>
          <w:lang w:val="en-GB"/>
        </w:rPr>
        <w:t xml:space="preserve"> </w:t>
      </w:r>
      <w:r w:rsidRPr="00A635B0">
        <w:rPr>
          <w:rFonts w:hint="cs"/>
          <w:rtl/>
          <w:lang w:val="en-GB"/>
        </w:rPr>
        <w:t>وإلى حين نشرها</w:t>
      </w:r>
      <w:r w:rsidRPr="00A635B0">
        <w:rPr>
          <w:rtl/>
          <w:lang w:val="en-GB"/>
        </w:rPr>
        <w:t xml:space="preserve">، </w:t>
      </w:r>
      <w:r w:rsidRPr="00A635B0">
        <w:rPr>
          <w:rFonts w:hint="cs"/>
          <w:rtl/>
          <w:lang w:val="en-GB"/>
        </w:rPr>
        <w:t>يُعترف ب</w:t>
      </w:r>
      <w:r w:rsidRPr="00A635B0">
        <w:rPr>
          <w:rtl/>
          <w:lang w:val="en-GB"/>
        </w:rPr>
        <w:t>جميع الفواتير السابقة كإيرادات مؤجلة؛</w:t>
      </w:r>
    </w:p>
    <w:p w14:paraId="4FFC7146" w14:textId="77777777" w:rsidR="00A635B0" w:rsidRPr="00A635B0" w:rsidRDefault="00A635B0" w:rsidP="008F34B0">
      <w:pPr>
        <w:pStyle w:val="enumlev1"/>
        <w:rPr>
          <w:lang w:bidi="ar-EG"/>
        </w:rPr>
      </w:pPr>
      <w:r w:rsidRPr="00A635B0">
        <w:rPr>
          <w:rtl/>
          <w:lang w:val="en-GB"/>
        </w:rPr>
        <w:t>–</w:t>
      </w:r>
      <w:r w:rsidRPr="00A635B0">
        <w:rPr>
          <w:rtl/>
          <w:lang w:val="en-GB"/>
        </w:rPr>
        <w:tab/>
        <w:t xml:space="preserve">تسجيل الأرقام </w:t>
      </w:r>
      <w:r w:rsidRPr="00A635B0">
        <w:rPr>
          <w:rFonts w:hint="cs"/>
          <w:rtl/>
          <w:lang w:val="en-GB"/>
        </w:rPr>
        <w:t>العالمية للنداء الدولي المجاني</w:t>
      </w:r>
      <w:r w:rsidRPr="00A635B0">
        <w:rPr>
          <w:rtl/>
          <w:lang w:val="en-GB"/>
        </w:rPr>
        <w:t xml:space="preserve"> (UIFN): يتلقى الاتحاد مساهمات مقدما</w:t>
      </w:r>
      <w:r w:rsidRPr="00A635B0">
        <w:rPr>
          <w:rFonts w:hint="cs"/>
          <w:rtl/>
          <w:lang w:val="en-GB"/>
        </w:rPr>
        <w:t>ً</w:t>
      </w:r>
      <w:r w:rsidRPr="00A635B0">
        <w:rPr>
          <w:rtl/>
          <w:lang w:val="en-GB"/>
        </w:rPr>
        <w:t xml:space="preserve"> لتقديم خدمات تسجيل الأرقام </w:t>
      </w:r>
      <w:r w:rsidRPr="00A635B0">
        <w:rPr>
          <w:rFonts w:hint="cs"/>
          <w:rtl/>
          <w:lang w:val="en-GB"/>
        </w:rPr>
        <w:t>العالمية للنداء الدولي المجاني</w:t>
      </w:r>
      <w:r w:rsidRPr="00A635B0">
        <w:rPr>
          <w:rtl/>
          <w:lang w:val="en-GB"/>
        </w:rPr>
        <w:t xml:space="preserve"> (UIFN) وتسجيل الأرقام العالمية للخدمة الدولية بسعر مميز (UIPRN) </w:t>
      </w:r>
      <w:r w:rsidRPr="00A635B0">
        <w:rPr>
          <w:rFonts w:hint="cs"/>
          <w:rtl/>
          <w:lang w:val="en-GB"/>
        </w:rPr>
        <w:t>و</w:t>
      </w:r>
      <w:r w:rsidRPr="00A635B0">
        <w:rPr>
          <w:rtl/>
          <w:lang w:val="en-GB"/>
        </w:rPr>
        <w:t xml:space="preserve">الأرقام العالمية للخدمة الدولية </w:t>
      </w:r>
      <w:r w:rsidRPr="00A635B0">
        <w:rPr>
          <w:rFonts w:hint="cs"/>
          <w:rtl/>
          <w:lang w:val="en-GB"/>
        </w:rPr>
        <w:t>مقتسمة</w:t>
      </w:r>
      <w:r w:rsidRPr="00A635B0">
        <w:rPr>
          <w:rtl/>
          <w:lang w:val="en-GB"/>
        </w:rPr>
        <w:t xml:space="preserve"> التكاليف (UISCN).</w:t>
      </w:r>
    </w:p>
    <w:p w14:paraId="22927907" w14:textId="77777777" w:rsidR="00A635B0" w:rsidRPr="008F34B0" w:rsidRDefault="00A635B0" w:rsidP="008F34B0">
      <w:pPr>
        <w:pStyle w:val="Headingi"/>
        <w:rPr>
          <w:rtl/>
          <w:lang w:val="en-GB"/>
        </w:rPr>
      </w:pPr>
      <w:r w:rsidRPr="008F34B0">
        <w:rPr>
          <w:rtl/>
          <w:lang w:val="en-GB"/>
        </w:rPr>
        <w:t>الإبلاغ بحسب الأبواب</w:t>
      </w:r>
    </w:p>
    <w:bookmarkEnd w:id="157"/>
    <w:bookmarkEnd w:id="158"/>
    <w:p w14:paraId="61739FE5" w14:textId="7FB6C242" w:rsidR="00656DB6" w:rsidRPr="00A635B0" w:rsidRDefault="00656DB6" w:rsidP="00656DB6">
      <w:pPr>
        <w:rPr>
          <w:rtl/>
          <w:lang w:val="en-GB" w:bidi="ar-EG"/>
        </w:rPr>
      </w:pPr>
      <w:r w:rsidRPr="00A635B0">
        <w:rPr>
          <w:rtl/>
          <w:lang w:val="en-GB" w:bidi="ar-EG"/>
        </w:rPr>
        <w:t xml:space="preserve">يقوم الإبلاغ بحسب الأبواب على أساس </w:t>
      </w:r>
      <w:r w:rsidRPr="00A635B0">
        <w:rPr>
          <w:rtl/>
          <w:lang w:val="en-GB"/>
        </w:rPr>
        <w:t>قطاعات الاتحاد وأنشطته الرئيسية</w:t>
      </w:r>
      <w:r>
        <w:rPr>
          <w:rFonts w:hint="cs"/>
          <w:rtl/>
          <w:lang w:val="en-GB"/>
        </w:rPr>
        <w:t>، وكذلك على مصادر التمويل</w:t>
      </w:r>
      <w:r w:rsidRPr="00A635B0">
        <w:rPr>
          <w:rtl/>
          <w:lang w:val="en-GB"/>
        </w:rPr>
        <w:t xml:space="preserve"> والصناديق الأخرى المنشأة لإدارة الموارد المالية للمنظمة. </w:t>
      </w:r>
      <w:r w:rsidRPr="00A635B0">
        <w:rPr>
          <w:rtl/>
          <w:lang w:val="en-GB" w:bidi="ar-EG"/>
        </w:rPr>
        <w:t>و</w:t>
      </w:r>
      <w:r w:rsidRPr="00A635B0">
        <w:rPr>
          <w:rFonts w:hint="cs"/>
          <w:rtl/>
          <w:lang w:val="en-GB" w:bidi="ar-EG"/>
        </w:rPr>
        <w:t xml:space="preserve">تبين </w:t>
      </w:r>
      <w:r w:rsidRPr="00A635B0">
        <w:rPr>
          <w:rtl/>
          <w:lang w:val="en-GB" w:bidi="ar-EG"/>
        </w:rPr>
        <w:t>هذه الأبواب برنامج عمل الاتحاد للفترة </w:t>
      </w:r>
      <w:r w:rsidRPr="00A635B0">
        <w:rPr>
          <w:lang w:bidi="ar-EG"/>
        </w:rPr>
        <w:t>2027-2024</w:t>
      </w:r>
      <w:r w:rsidRPr="00A635B0">
        <w:rPr>
          <w:rFonts w:hint="cs"/>
          <w:rtl/>
          <w:lang w:val="en-GB" w:bidi="ar-EG"/>
        </w:rPr>
        <w:t>.</w:t>
      </w:r>
    </w:p>
    <w:p w14:paraId="0977CBC4" w14:textId="77777777" w:rsidR="00A635B0" w:rsidRPr="00A635B0" w:rsidRDefault="00A635B0" w:rsidP="00187C0F">
      <w:pPr>
        <w:rPr>
          <w:lang w:bidi="ar-EG"/>
        </w:rPr>
      </w:pPr>
      <w:r w:rsidRPr="00A635B0">
        <w:rPr>
          <w:rtl/>
          <w:lang w:val="en-GB" w:bidi="ar-SY"/>
        </w:rPr>
        <w:t>وتشمل التحويلات بين الأبواب الإيرادات وال</w:t>
      </w:r>
      <w:r w:rsidRPr="00A635B0">
        <w:rPr>
          <w:rFonts w:hint="cs"/>
          <w:rtl/>
          <w:lang w:val="en-GB" w:bidi="ar-SY"/>
        </w:rPr>
        <w:t>مصروفا</w:t>
      </w:r>
      <w:r w:rsidRPr="00A635B0">
        <w:rPr>
          <w:rtl/>
          <w:lang w:val="en-GB" w:bidi="ar-SY"/>
        </w:rPr>
        <w:t xml:space="preserve">ت </w:t>
      </w:r>
      <w:r w:rsidRPr="00A635B0">
        <w:rPr>
          <w:rFonts w:hint="cs"/>
          <w:rtl/>
          <w:lang w:val="en-GB" w:bidi="ar-SY"/>
        </w:rPr>
        <w:t>الناتجة</w:t>
      </w:r>
      <w:r w:rsidRPr="00A635B0">
        <w:rPr>
          <w:rtl/>
          <w:lang w:val="en-GB" w:bidi="ar-SY"/>
        </w:rPr>
        <w:t xml:space="preserve"> عن التحويلات بين الأبواب. وتح</w:t>
      </w:r>
      <w:r w:rsidRPr="00A635B0">
        <w:rPr>
          <w:rFonts w:hint="cs"/>
          <w:rtl/>
          <w:lang w:val="en-GB" w:bidi="ar-SY"/>
        </w:rPr>
        <w:t>ت</w:t>
      </w:r>
      <w:r w:rsidRPr="00A635B0">
        <w:rPr>
          <w:rtl/>
          <w:lang w:val="en-GB" w:bidi="ar-SY"/>
        </w:rPr>
        <w:t>سب هذه التحويلات على أساس التكلفة لكل باب وت</w:t>
      </w:r>
      <w:r w:rsidRPr="00A635B0">
        <w:rPr>
          <w:rFonts w:hint="cs"/>
          <w:rtl/>
          <w:lang w:val="en-GB" w:bidi="ar-SY"/>
        </w:rPr>
        <w:t>لغى</w:t>
      </w:r>
      <w:r w:rsidRPr="00A635B0">
        <w:rPr>
          <w:rtl/>
          <w:lang w:val="en-GB" w:bidi="ar-SY"/>
        </w:rPr>
        <w:t xml:space="preserve"> عند </w:t>
      </w:r>
      <w:r w:rsidRPr="00A635B0">
        <w:rPr>
          <w:rFonts w:hint="cs"/>
          <w:rtl/>
          <w:lang w:val="en-GB" w:bidi="ar-SY"/>
        </w:rPr>
        <w:t>التجميع.</w:t>
      </w:r>
    </w:p>
    <w:p w14:paraId="53D0E11D" w14:textId="77777777" w:rsidR="00A635B0" w:rsidRPr="00A635B0" w:rsidRDefault="00A635B0" w:rsidP="00187C0F">
      <w:pPr>
        <w:rPr>
          <w:rtl/>
          <w:lang w:val="en-GB" w:bidi="ar-SY"/>
        </w:rPr>
      </w:pPr>
      <w:r w:rsidRPr="00A635B0">
        <w:rPr>
          <w:rtl/>
          <w:lang w:val="en-GB" w:bidi="ar-SY"/>
        </w:rPr>
        <w:t>و</w:t>
      </w:r>
      <w:r w:rsidRPr="00A635B0">
        <w:rPr>
          <w:rFonts w:hint="cs"/>
          <w:rtl/>
          <w:lang w:val="en-GB" w:bidi="ar-SY"/>
        </w:rPr>
        <w:t>قد خُصصت</w:t>
      </w:r>
      <w:r w:rsidRPr="00A635B0">
        <w:rPr>
          <w:rtl/>
          <w:lang w:val="en-GB" w:bidi="ar-SY"/>
        </w:rPr>
        <w:t xml:space="preserve"> التسوية السنوية لمؤشر التأمين الصحي بعد انتهاء الخدمة (</w:t>
      </w:r>
      <w:r w:rsidRPr="00A635B0">
        <w:rPr>
          <w:lang w:bidi="ar-EG"/>
        </w:rPr>
        <w:t>ASHI</w:t>
      </w:r>
      <w:r w:rsidRPr="00A635B0">
        <w:rPr>
          <w:rtl/>
          <w:lang w:val="en-GB" w:bidi="ar-SY"/>
        </w:rPr>
        <w:t>) استناداً إلى عدد الموظفين في كل قطاع.</w:t>
      </w:r>
    </w:p>
    <w:p w14:paraId="732CBD69" w14:textId="77777777" w:rsidR="00EF3E76" w:rsidRDefault="00A635B0" w:rsidP="00187C0F">
      <w:pPr>
        <w:rPr>
          <w:rtl/>
          <w:lang w:val="en-GB"/>
        </w:rPr>
      </w:pPr>
      <w:r w:rsidRPr="00A635B0">
        <w:rPr>
          <w:rFonts w:hint="cs"/>
          <w:rtl/>
          <w:lang w:val="en-GB"/>
        </w:rPr>
        <w:t>و</w:t>
      </w:r>
      <w:r w:rsidRPr="00A635B0">
        <w:rPr>
          <w:rFonts w:hint="cs"/>
          <w:rtl/>
          <w:lang w:val="en-GB" w:bidi="ar-EG"/>
        </w:rPr>
        <w:t xml:space="preserve">تدخل </w:t>
      </w:r>
      <w:r w:rsidRPr="00A635B0">
        <w:rPr>
          <w:rtl/>
          <w:lang w:val="en-GB"/>
        </w:rPr>
        <w:t xml:space="preserve">أصول الاتحاد وخصومه، بخلاف تلك التي تمثل صافي أصوله، </w:t>
      </w:r>
      <w:r w:rsidRPr="00A635B0">
        <w:rPr>
          <w:rFonts w:hint="cs"/>
          <w:rtl/>
          <w:lang w:val="en-GB"/>
        </w:rPr>
        <w:t>في نطاق</w:t>
      </w:r>
      <w:r w:rsidRPr="00A635B0">
        <w:rPr>
          <w:rtl/>
          <w:lang w:val="en-GB"/>
        </w:rPr>
        <w:t xml:space="preserve"> ملكية أو مسؤولية المنظمة ككل ولا تشكل أصولا</w:t>
      </w:r>
      <w:r w:rsidRPr="00A635B0">
        <w:rPr>
          <w:rFonts w:hint="cs"/>
          <w:rtl/>
          <w:lang w:val="en-GB"/>
        </w:rPr>
        <w:t>ً</w:t>
      </w:r>
      <w:r w:rsidRPr="00A635B0">
        <w:rPr>
          <w:rtl/>
          <w:lang w:val="en-GB"/>
        </w:rPr>
        <w:t xml:space="preserve"> وخصوما</w:t>
      </w:r>
      <w:r w:rsidRPr="00A635B0">
        <w:rPr>
          <w:rFonts w:hint="cs"/>
          <w:rtl/>
          <w:lang w:val="en-GB"/>
        </w:rPr>
        <w:t>ً</w:t>
      </w:r>
      <w:r w:rsidRPr="00A635B0">
        <w:rPr>
          <w:rtl/>
          <w:lang w:val="en-GB"/>
        </w:rPr>
        <w:t xml:space="preserve"> للأجزاء المكونة له</w:t>
      </w:r>
      <w:r w:rsidRPr="00A635B0">
        <w:rPr>
          <w:rFonts w:hint="cs"/>
          <w:rtl/>
          <w:lang w:val="en-GB"/>
        </w:rPr>
        <w:t>ا.</w:t>
      </w:r>
      <w:r w:rsidRPr="00A635B0">
        <w:rPr>
          <w:rtl/>
          <w:lang w:val="en-GB"/>
        </w:rPr>
        <w:t xml:space="preserve"> ولا ت</w:t>
      </w:r>
      <w:r w:rsidRPr="00A635B0">
        <w:rPr>
          <w:rFonts w:hint="cs"/>
          <w:rtl/>
          <w:lang w:val="en-GB"/>
        </w:rPr>
        <w:t>وزَّع</w:t>
      </w:r>
      <w:r w:rsidRPr="00A635B0">
        <w:rPr>
          <w:rtl/>
          <w:lang w:val="en-GB"/>
        </w:rPr>
        <w:t xml:space="preserve"> أصول الاتحاد وخصومه </w:t>
      </w:r>
      <w:r w:rsidRPr="00A635B0">
        <w:rPr>
          <w:rFonts w:hint="cs"/>
          <w:rtl/>
          <w:lang w:val="en-GB"/>
        </w:rPr>
        <w:t xml:space="preserve">على </w:t>
      </w:r>
      <w:r w:rsidRPr="00A635B0">
        <w:rPr>
          <w:rtl/>
          <w:lang w:val="en-GB"/>
        </w:rPr>
        <w:t xml:space="preserve">شرائح منفردة، </w:t>
      </w:r>
      <w:r w:rsidRPr="00A635B0">
        <w:rPr>
          <w:rFonts w:hint="cs"/>
          <w:rtl/>
          <w:lang w:val="en-GB"/>
        </w:rPr>
        <w:t xml:space="preserve">نظراً إلى أيلولة ملكيتها إلى </w:t>
      </w:r>
      <w:r w:rsidRPr="00A635B0">
        <w:rPr>
          <w:rtl/>
          <w:lang w:val="en-GB"/>
        </w:rPr>
        <w:t>المنظمة ككل.</w:t>
      </w:r>
    </w:p>
    <w:p w14:paraId="79E96464" w14:textId="77777777" w:rsidR="00EF3E76" w:rsidRDefault="00A635B0" w:rsidP="008F34B0">
      <w:pPr>
        <w:pStyle w:val="Headingi"/>
        <w:rPr>
          <w:rtl/>
          <w:lang w:val="en-GB"/>
        </w:rPr>
      </w:pPr>
      <w:bookmarkStart w:id="161" w:name="_Toc330865252"/>
      <w:bookmarkStart w:id="162" w:name="_Toc305764077"/>
      <w:bookmarkStart w:id="163" w:name="_Toc131156432"/>
      <w:r w:rsidRPr="008F34B0">
        <w:rPr>
          <w:rFonts w:hint="cs"/>
          <w:rtl/>
          <w:lang w:val="en-GB"/>
        </w:rPr>
        <w:t>بيان</w:t>
      </w:r>
      <w:r w:rsidRPr="008F34B0">
        <w:rPr>
          <w:rtl/>
          <w:lang w:val="en-GB"/>
        </w:rPr>
        <w:t xml:space="preserve"> المقارنة </w:t>
      </w:r>
      <w:r w:rsidR="008F34B0">
        <w:rPr>
          <w:rFonts w:hint="cs"/>
          <w:rtl/>
          <w:lang w:val="en-GB"/>
        </w:rPr>
        <w:t>-</w:t>
      </w:r>
      <w:r w:rsidRPr="008F34B0">
        <w:rPr>
          <w:rtl/>
          <w:lang w:val="en-GB"/>
        </w:rPr>
        <w:t xml:space="preserve"> </w:t>
      </w:r>
      <w:r w:rsidRPr="008F34B0">
        <w:rPr>
          <w:rFonts w:hint="cs"/>
          <w:rtl/>
          <w:lang w:val="en-GB"/>
        </w:rPr>
        <w:t>المبالغ المدرجة في الميزانية</w:t>
      </w:r>
      <w:r w:rsidRPr="008F34B0">
        <w:rPr>
          <w:rtl/>
          <w:lang w:val="en-GB"/>
        </w:rPr>
        <w:t xml:space="preserve"> والمبالغ الفعلية</w:t>
      </w:r>
      <w:bookmarkEnd w:id="161"/>
      <w:bookmarkEnd w:id="162"/>
      <w:bookmarkEnd w:id="163"/>
    </w:p>
    <w:p w14:paraId="3EE3CDC5" w14:textId="21E8C564" w:rsidR="00A635B0" w:rsidRPr="00A467DA" w:rsidRDefault="00A635B0" w:rsidP="00187C0F">
      <w:pPr>
        <w:rPr>
          <w:spacing w:val="-4"/>
          <w:rtl/>
          <w:lang w:val="en-GB"/>
        </w:rPr>
      </w:pPr>
      <w:r w:rsidRPr="00A467DA">
        <w:rPr>
          <w:rFonts w:hint="cs"/>
          <w:spacing w:val="-4"/>
          <w:rtl/>
          <w:lang w:val="en-GB" w:bidi="ar-SY"/>
        </w:rPr>
        <w:t xml:space="preserve">تستند </w:t>
      </w:r>
      <w:r w:rsidRPr="00A467DA">
        <w:rPr>
          <w:spacing w:val="-4"/>
          <w:rtl/>
          <w:lang w:val="en-GB" w:bidi="ar-SY"/>
        </w:rPr>
        <w:t>ميزانية الاتحاد ل</w:t>
      </w:r>
      <w:r w:rsidRPr="00A467DA">
        <w:rPr>
          <w:rFonts w:hint="cs"/>
          <w:spacing w:val="-4"/>
          <w:rtl/>
          <w:lang w:val="en-GB" w:bidi="ar-SY"/>
        </w:rPr>
        <w:t xml:space="preserve">سنة </w:t>
      </w:r>
      <w:r w:rsidRPr="00A467DA">
        <w:rPr>
          <w:spacing w:val="-4"/>
          <w:rtl/>
          <w:lang w:val="en-GB" w:bidi="ar-SY"/>
        </w:rPr>
        <w:t xml:space="preserve">2024 </w:t>
      </w:r>
      <w:r w:rsidRPr="00A467DA">
        <w:rPr>
          <w:rFonts w:hint="cs"/>
          <w:spacing w:val="-4"/>
          <w:rtl/>
          <w:lang w:val="en-GB" w:bidi="ar-SY"/>
        </w:rPr>
        <w:t>إلى</w:t>
      </w:r>
      <w:r w:rsidRPr="00A467DA">
        <w:rPr>
          <w:spacing w:val="-4"/>
          <w:rtl/>
          <w:lang w:val="en-GB" w:bidi="ar-SY"/>
        </w:rPr>
        <w:t xml:space="preserve"> المقر</w:t>
      </w:r>
      <w:r w:rsidRPr="00A467DA">
        <w:rPr>
          <w:rFonts w:hint="cs"/>
          <w:spacing w:val="-4"/>
          <w:rtl/>
          <w:lang w:val="en-GB" w:bidi="ar-SY"/>
        </w:rPr>
        <w:t>َّ</w:t>
      </w:r>
      <w:r w:rsidRPr="00A467DA">
        <w:rPr>
          <w:spacing w:val="-4"/>
          <w:rtl/>
          <w:lang w:val="en-GB" w:bidi="ar-SY"/>
        </w:rPr>
        <w:t>ر </w:t>
      </w:r>
      <w:r w:rsidRPr="00A467DA">
        <w:rPr>
          <w:spacing w:val="-4"/>
          <w:lang w:bidi="ar-EG"/>
        </w:rPr>
        <w:t>5</w:t>
      </w:r>
      <w:r w:rsidRPr="00A467DA">
        <w:rPr>
          <w:spacing w:val="-4"/>
          <w:rtl/>
          <w:lang w:val="en-GB" w:bidi="ar-SY"/>
        </w:rPr>
        <w:t xml:space="preserve"> (المراجَع في بوخارست، </w:t>
      </w:r>
      <w:r w:rsidRPr="00A467DA">
        <w:rPr>
          <w:spacing w:val="-4"/>
          <w:rtl/>
          <w:lang w:val="en-GB" w:bidi="ar-EG"/>
        </w:rPr>
        <w:t>2022</w:t>
      </w:r>
      <w:r w:rsidRPr="00A467DA">
        <w:rPr>
          <w:spacing w:val="-4"/>
          <w:rtl/>
          <w:lang w:val="en-GB" w:bidi="ar-SY"/>
        </w:rPr>
        <w:t xml:space="preserve">) </w:t>
      </w:r>
      <w:r w:rsidRPr="00A467DA">
        <w:rPr>
          <w:rFonts w:hint="cs"/>
          <w:spacing w:val="-4"/>
          <w:rtl/>
          <w:lang w:val="en-GB" w:bidi="ar-SY"/>
        </w:rPr>
        <w:t>المعنون</w:t>
      </w:r>
      <w:r w:rsidRPr="00A467DA">
        <w:rPr>
          <w:spacing w:val="-4"/>
          <w:rtl/>
          <w:lang w:val="en-GB" w:bidi="ar-SY"/>
        </w:rPr>
        <w:t xml:space="preserve"> "إيرادات الاتحاد ونفقاته للفترة </w:t>
      </w:r>
      <w:r w:rsidRPr="00A467DA">
        <w:rPr>
          <w:spacing w:val="-4"/>
          <w:rtl/>
          <w:lang w:val="en-GB" w:bidi="ar-EG"/>
        </w:rPr>
        <w:t>2024-2027</w:t>
      </w:r>
      <w:r w:rsidRPr="00A467DA">
        <w:rPr>
          <w:spacing w:val="-4"/>
          <w:rtl/>
          <w:lang w:val="en-GB" w:bidi="ar-SY"/>
        </w:rPr>
        <w:t>" و</w:t>
      </w:r>
      <w:r w:rsidRPr="00A467DA">
        <w:rPr>
          <w:rFonts w:hint="cs"/>
          <w:spacing w:val="-4"/>
          <w:rtl/>
          <w:lang w:val="en-GB" w:bidi="ar-SY"/>
        </w:rPr>
        <w:t xml:space="preserve">إلى </w:t>
      </w:r>
      <w:r w:rsidRPr="00A467DA">
        <w:rPr>
          <w:spacing w:val="-4"/>
          <w:rtl/>
          <w:lang w:val="en-GB" w:bidi="ar-SY"/>
        </w:rPr>
        <w:t xml:space="preserve">الخطة الاستراتيجية للاتحاد للفترة </w:t>
      </w:r>
      <w:r w:rsidRPr="00A467DA">
        <w:rPr>
          <w:spacing w:val="-4"/>
          <w:rtl/>
          <w:lang w:val="en-GB" w:bidi="ar-EG"/>
        </w:rPr>
        <w:t>2024-2027</w:t>
      </w:r>
      <w:r w:rsidRPr="00A467DA">
        <w:rPr>
          <w:spacing w:val="-4"/>
          <w:rtl/>
          <w:lang w:val="en-GB" w:bidi="ar-SY"/>
        </w:rPr>
        <w:t xml:space="preserve"> الواردة في القرار </w:t>
      </w:r>
      <w:r w:rsidRPr="00A467DA">
        <w:rPr>
          <w:spacing w:val="-4"/>
          <w:lang w:bidi="ar-EG"/>
        </w:rPr>
        <w:t>71</w:t>
      </w:r>
      <w:r w:rsidRPr="00A467DA">
        <w:rPr>
          <w:spacing w:val="-4"/>
          <w:rtl/>
          <w:lang w:val="en-GB" w:bidi="ar-SY"/>
        </w:rPr>
        <w:t xml:space="preserve"> (المراجَع في بوخارست، </w:t>
      </w:r>
      <w:r w:rsidRPr="00A467DA">
        <w:rPr>
          <w:spacing w:val="-4"/>
          <w:rtl/>
          <w:lang w:val="en-GB" w:bidi="ar-EG"/>
        </w:rPr>
        <w:t>2022</w:t>
      </w:r>
      <w:r w:rsidRPr="00A467DA">
        <w:rPr>
          <w:spacing w:val="-4"/>
          <w:rtl/>
          <w:lang w:val="en-GB" w:bidi="ar-SY"/>
        </w:rPr>
        <w:t>).</w:t>
      </w:r>
    </w:p>
    <w:p w14:paraId="4459CDC4" w14:textId="77777777" w:rsidR="00A635B0" w:rsidRPr="00A635B0" w:rsidRDefault="00A635B0" w:rsidP="00187C0F">
      <w:pPr>
        <w:rPr>
          <w:rtl/>
          <w:lang w:val="en-GB" w:bidi="ar-SY"/>
        </w:rPr>
      </w:pPr>
      <w:r w:rsidRPr="00A635B0">
        <w:rPr>
          <w:rtl/>
          <w:lang w:val="en-GB" w:bidi="ar-SY"/>
        </w:rPr>
        <w:t>علاوةً على ذلك، تنس</w:t>
      </w:r>
      <w:r w:rsidRPr="00A635B0">
        <w:rPr>
          <w:rFonts w:hint="cs"/>
          <w:rtl/>
          <w:lang w:val="en-GB" w:bidi="ar-SY"/>
        </w:rPr>
        <w:t>َّ</w:t>
      </w:r>
      <w:r w:rsidRPr="00A635B0">
        <w:rPr>
          <w:rtl/>
          <w:lang w:val="en-GB" w:bidi="ar-SY"/>
        </w:rPr>
        <w:t xml:space="preserve">ق </w:t>
      </w:r>
      <w:r w:rsidRPr="00A635B0">
        <w:rPr>
          <w:rFonts w:hint="cs"/>
          <w:rtl/>
          <w:lang w:val="en-GB" w:bidi="ar-SY"/>
        </w:rPr>
        <w:t>الميزانية البرنامجية مع</w:t>
      </w:r>
      <w:r w:rsidRPr="00A635B0">
        <w:rPr>
          <w:rtl/>
          <w:lang w:val="en-GB" w:bidi="ar-SY"/>
        </w:rPr>
        <w:t xml:space="preserve"> الخطط التشغيلية للقطاعات الثلاثة وللأمانة العامة.</w:t>
      </w:r>
    </w:p>
    <w:p w14:paraId="4437B1D1" w14:textId="77777777" w:rsidR="00A635B0" w:rsidRPr="00A635B0" w:rsidRDefault="00A635B0" w:rsidP="00187C0F">
      <w:pPr>
        <w:rPr>
          <w:rtl/>
          <w:lang w:val="en-GB" w:bidi="ar-EG"/>
        </w:rPr>
      </w:pPr>
      <w:r w:rsidRPr="00A635B0">
        <w:rPr>
          <w:rtl/>
          <w:lang w:val="en-GB" w:bidi="ar-SY"/>
        </w:rPr>
        <w:lastRenderedPageBreak/>
        <w:t>وعملاً بالمعيار</w:t>
      </w:r>
      <w:r w:rsidRPr="00A635B0">
        <w:rPr>
          <w:rFonts w:hint="cs"/>
          <w:rtl/>
          <w:lang w:val="en-GB" w:bidi="ar-SY"/>
        </w:rPr>
        <w:t xml:space="preserve"> 24 من المعايير المحاسبية الدولية للقطاع العام</w:t>
      </w:r>
      <w:r w:rsidRPr="00A635B0">
        <w:rPr>
          <w:rtl/>
          <w:lang w:val="en-GB" w:bidi="ar-SY"/>
        </w:rPr>
        <w:t xml:space="preserve"> </w:t>
      </w:r>
      <w:r w:rsidRPr="00A635B0">
        <w:rPr>
          <w:lang w:bidi="ar-EG"/>
        </w:rPr>
        <w:t>(</w:t>
      </w:r>
      <w:r w:rsidRPr="00A635B0">
        <w:rPr>
          <w:lang w:val="fr-CH" w:bidi="ar-EG"/>
        </w:rPr>
        <w:t>IPSAS 24)</w:t>
      </w:r>
      <w:r w:rsidRPr="00A635B0">
        <w:rPr>
          <w:rtl/>
          <w:lang w:val="en-GB" w:bidi="ar-SY"/>
        </w:rPr>
        <w:t xml:space="preserve">، </w:t>
      </w:r>
      <w:r w:rsidRPr="00A635B0">
        <w:rPr>
          <w:rFonts w:hint="cs"/>
          <w:rtl/>
          <w:lang w:val="en-GB" w:bidi="ar-SY"/>
        </w:rPr>
        <w:t>تتضمن البيانات</w:t>
      </w:r>
      <w:r w:rsidRPr="00A635B0">
        <w:rPr>
          <w:rtl/>
          <w:lang w:val="en-GB"/>
        </w:rPr>
        <w:t xml:space="preserve"> المالية السنوية مقارنة</w:t>
      </w:r>
      <w:r w:rsidRPr="00A635B0">
        <w:rPr>
          <w:rFonts w:hint="cs"/>
          <w:rtl/>
          <w:lang w:val="en-GB"/>
        </w:rPr>
        <w:t>ً</w:t>
      </w:r>
      <w:r w:rsidRPr="00A635B0">
        <w:rPr>
          <w:rtl/>
          <w:lang w:val="en-GB"/>
        </w:rPr>
        <w:t xml:space="preserve"> بين المبالغ المدرجة في الميزانية والمبالغ الفعلية (</w:t>
      </w:r>
      <w:r w:rsidRPr="00A635B0">
        <w:rPr>
          <w:rFonts w:hint="cs"/>
          <w:rtl/>
          <w:lang w:val="en-GB"/>
        </w:rPr>
        <w:t>البيان الخامس</w:t>
      </w:r>
      <w:r w:rsidRPr="00A635B0">
        <w:rPr>
          <w:rtl/>
          <w:lang w:val="en-GB"/>
        </w:rPr>
        <w:t xml:space="preserve">). </w:t>
      </w:r>
      <w:r w:rsidRPr="00A635B0">
        <w:rPr>
          <w:rFonts w:hint="cs"/>
          <w:rtl/>
          <w:lang w:val="en-GB"/>
        </w:rPr>
        <w:t>و</w:t>
      </w:r>
      <w:r w:rsidRPr="00A635B0">
        <w:rPr>
          <w:rtl/>
          <w:lang w:val="en-GB"/>
        </w:rPr>
        <w:t xml:space="preserve">تتألف ميزانية الاتحاد للفترة </w:t>
      </w:r>
      <w:r w:rsidRPr="00A635B0">
        <w:rPr>
          <w:lang w:bidi="ar-EG"/>
        </w:rPr>
        <w:t>2025-2024</w:t>
      </w:r>
      <w:r w:rsidRPr="00A635B0">
        <w:rPr>
          <w:rtl/>
          <w:lang w:val="en-GB"/>
        </w:rPr>
        <w:t xml:space="preserve"> من ميزانيتين سنويتين. </w:t>
      </w:r>
      <w:r w:rsidRPr="00A635B0">
        <w:rPr>
          <w:rFonts w:hint="cs"/>
          <w:rtl/>
          <w:lang w:val="en-GB"/>
        </w:rPr>
        <w:t>وقد أجري تقدير</w:t>
      </w:r>
      <w:r w:rsidRPr="00A635B0">
        <w:rPr>
          <w:rtl/>
          <w:lang w:val="en-GB"/>
        </w:rPr>
        <w:t xml:space="preserve"> لميزانية كل </w:t>
      </w:r>
      <w:r w:rsidRPr="00A635B0">
        <w:rPr>
          <w:rFonts w:hint="cs"/>
          <w:rtl/>
          <w:lang w:val="en-GB"/>
        </w:rPr>
        <w:t>من السنتين الماليتين.</w:t>
      </w:r>
    </w:p>
    <w:p w14:paraId="27AD820F" w14:textId="77777777" w:rsidR="00A635B0" w:rsidRPr="00FE1AC5" w:rsidRDefault="00A635B0" w:rsidP="00187C0F">
      <w:pPr>
        <w:rPr>
          <w:rtl/>
          <w:lang w:val="en-GB"/>
        </w:rPr>
      </w:pPr>
      <w:r w:rsidRPr="00FE1AC5">
        <w:rPr>
          <w:rFonts w:hint="cs"/>
          <w:rtl/>
          <w:lang w:val="en-GB" w:bidi="ar-EG"/>
        </w:rPr>
        <w:t>و</w:t>
      </w:r>
      <w:r w:rsidRPr="00FE1AC5">
        <w:rPr>
          <w:rtl/>
          <w:lang w:val="en-GB"/>
        </w:rPr>
        <w:t>وافق المجلس في دورته لسنة 2023 على الميزانية النهائية لسنة 2024 بموجب القرار 1417 (</w:t>
      </w:r>
      <w:hyperlink r:id="rId31" w:history="1">
        <w:r w:rsidRPr="00FE1AC5">
          <w:rPr>
            <w:rStyle w:val="Hyperlink"/>
            <w:noProof w:val="0"/>
            <w:rtl/>
            <w:lang w:eastAsia="zh-CN"/>
          </w:rPr>
          <w:t>C23/115</w:t>
        </w:r>
      </w:hyperlink>
      <w:r w:rsidRPr="00FE1AC5">
        <w:rPr>
          <w:rtl/>
          <w:lang w:val="en-GB"/>
        </w:rPr>
        <w:t>). و</w:t>
      </w:r>
      <w:r w:rsidRPr="00FE1AC5">
        <w:rPr>
          <w:rFonts w:hint="cs"/>
          <w:rtl/>
          <w:lang w:val="en-GB"/>
        </w:rPr>
        <w:t xml:space="preserve">تتضمن البيان الخامس </w:t>
      </w:r>
      <w:r w:rsidRPr="00FE1AC5">
        <w:rPr>
          <w:rtl/>
          <w:lang w:val="en-GB"/>
        </w:rPr>
        <w:t>مقارنة بين</w:t>
      </w:r>
      <w:r w:rsidRPr="00FE1AC5">
        <w:rPr>
          <w:rFonts w:hint="cs"/>
          <w:rtl/>
          <w:lang w:val="en-GB"/>
        </w:rPr>
        <w:t xml:space="preserve"> المبالغ المدرجة في</w:t>
      </w:r>
      <w:r w:rsidRPr="00FE1AC5">
        <w:rPr>
          <w:rtl/>
          <w:lang w:val="en-GB"/>
        </w:rPr>
        <w:t xml:space="preserve"> الميزانية والمبالغ الفعلية. وبما أن الميزانية و</w:t>
      </w:r>
      <w:r w:rsidRPr="00FE1AC5">
        <w:rPr>
          <w:rFonts w:hint="cs"/>
          <w:rtl/>
          <w:lang w:val="en-GB"/>
        </w:rPr>
        <w:t>البيانات</w:t>
      </w:r>
      <w:r w:rsidRPr="00FE1AC5">
        <w:rPr>
          <w:rtl/>
          <w:lang w:val="en-GB"/>
        </w:rPr>
        <w:t xml:space="preserve"> المالية لم ت</w:t>
      </w:r>
      <w:r w:rsidRPr="00FE1AC5">
        <w:rPr>
          <w:rFonts w:hint="cs"/>
          <w:rtl/>
          <w:lang w:val="en-GB"/>
        </w:rPr>
        <w:t>ُ</w:t>
      </w:r>
      <w:r w:rsidRPr="00FE1AC5">
        <w:rPr>
          <w:rtl/>
          <w:lang w:val="en-GB"/>
        </w:rPr>
        <w:t>عد</w:t>
      </w:r>
      <w:r w:rsidRPr="00FE1AC5">
        <w:rPr>
          <w:rFonts w:hint="cs"/>
          <w:rtl/>
          <w:lang w:val="en-GB"/>
        </w:rPr>
        <w:t>َّ</w:t>
      </w:r>
      <w:r w:rsidRPr="00FE1AC5">
        <w:rPr>
          <w:rtl/>
          <w:lang w:val="en-GB"/>
        </w:rPr>
        <w:t xml:space="preserve">ا على نفس الأساس، </w:t>
      </w:r>
      <w:r w:rsidRPr="00FE1AC5">
        <w:rPr>
          <w:rFonts w:hint="cs"/>
          <w:rtl/>
          <w:lang w:val="en-GB"/>
        </w:rPr>
        <w:t>يتضمن البيان الخامس</w:t>
      </w:r>
      <w:r w:rsidRPr="00FE1AC5">
        <w:rPr>
          <w:rtl/>
          <w:lang w:val="en-GB"/>
        </w:rPr>
        <w:t xml:space="preserve"> </w:t>
      </w:r>
      <w:r w:rsidRPr="00FE1AC5">
        <w:rPr>
          <w:rFonts w:hint="cs"/>
          <w:rtl/>
          <w:lang w:val="en-GB"/>
        </w:rPr>
        <w:t>عملية توفيق بين</w:t>
      </w:r>
      <w:r w:rsidRPr="00FE1AC5">
        <w:rPr>
          <w:rtl/>
          <w:lang w:val="en-GB"/>
        </w:rPr>
        <w:t xml:space="preserve"> الميزانية </w:t>
      </w:r>
      <w:r w:rsidRPr="00FE1AC5">
        <w:rPr>
          <w:rFonts w:hint="cs"/>
          <w:rtl/>
          <w:lang w:val="en-GB"/>
        </w:rPr>
        <w:t>وبيان ا</w:t>
      </w:r>
      <w:r w:rsidRPr="00FE1AC5">
        <w:rPr>
          <w:rtl/>
          <w:lang w:val="en-GB"/>
        </w:rPr>
        <w:t>لأداء المالي (</w:t>
      </w:r>
      <w:r w:rsidRPr="00FE1AC5">
        <w:rPr>
          <w:rFonts w:hint="cs"/>
          <w:rtl/>
          <w:lang w:val="en-GB"/>
        </w:rPr>
        <w:t>البيان الثاني</w:t>
      </w:r>
      <w:r w:rsidRPr="00FE1AC5">
        <w:rPr>
          <w:rtl/>
          <w:lang w:val="en-GB"/>
        </w:rPr>
        <w:t>). و</w:t>
      </w:r>
      <w:r w:rsidRPr="00FE1AC5">
        <w:rPr>
          <w:rFonts w:hint="cs"/>
          <w:rtl/>
          <w:lang w:val="en-GB"/>
        </w:rPr>
        <w:t>ت</w:t>
      </w:r>
      <w:r w:rsidRPr="00FE1AC5">
        <w:rPr>
          <w:rtl/>
          <w:lang w:val="en-GB"/>
        </w:rPr>
        <w:t>عكس</w:t>
      </w:r>
      <w:r w:rsidRPr="00FE1AC5">
        <w:rPr>
          <w:rFonts w:hint="cs"/>
          <w:rtl/>
          <w:lang w:val="en-GB" w:bidi="ar-EG"/>
        </w:rPr>
        <w:t xml:space="preserve"> فروق الكيانات </w:t>
      </w:r>
      <w:r w:rsidRPr="00FE1AC5">
        <w:rPr>
          <w:rtl/>
          <w:lang w:val="en-GB"/>
        </w:rPr>
        <w:t xml:space="preserve">إدراج أموال خارجة عن الميزانية في </w:t>
      </w:r>
      <w:r w:rsidRPr="00FE1AC5">
        <w:rPr>
          <w:rFonts w:hint="cs"/>
          <w:rtl/>
          <w:lang w:val="en-GB"/>
        </w:rPr>
        <w:t>البيانات</w:t>
      </w:r>
      <w:r w:rsidRPr="00FE1AC5">
        <w:rPr>
          <w:rtl/>
          <w:lang w:val="en-GB"/>
        </w:rPr>
        <w:t xml:space="preserve"> المالية للاتحاد، في حين تعكس فروق الأساس </w:t>
      </w:r>
      <w:r w:rsidRPr="00FE1AC5">
        <w:rPr>
          <w:rFonts w:hint="cs"/>
          <w:rtl/>
          <w:lang w:val="en-GB"/>
        </w:rPr>
        <w:t>المصروفات</w:t>
      </w:r>
      <w:r w:rsidRPr="00FE1AC5">
        <w:rPr>
          <w:rtl/>
          <w:lang w:val="en-GB"/>
        </w:rPr>
        <w:t xml:space="preserve"> والإيرادات غير المدرجة في ميزانية الاتحاد أو </w:t>
      </w:r>
      <w:r w:rsidRPr="00FE1AC5">
        <w:rPr>
          <w:rFonts w:hint="cs"/>
          <w:rtl/>
          <w:lang w:val="en-GB"/>
        </w:rPr>
        <w:t>الخاضعة لمعاملة</w:t>
      </w:r>
      <w:r w:rsidRPr="00FE1AC5">
        <w:rPr>
          <w:rtl/>
          <w:lang w:val="en-GB"/>
        </w:rPr>
        <w:t xml:space="preserve"> م</w:t>
      </w:r>
      <w:r w:rsidRPr="00FE1AC5">
        <w:rPr>
          <w:rFonts w:hint="cs"/>
          <w:rtl/>
          <w:lang w:val="en-GB"/>
        </w:rPr>
        <w:t>غايرة</w:t>
      </w:r>
      <w:r w:rsidRPr="00FE1AC5">
        <w:rPr>
          <w:rtl/>
          <w:lang w:val="en-GB"/>
        </w:rPr>
        <w:t xml:space="preserve"> بموجب م</w:t>
      </w:r>
      <w:r w:rsidRPr="00FE1AC5">
        <w:rPr>
          <w:rFonts w:hint="cs"/>
          <w:rtl/>
          <w:lang w:val="en-GB"/>
        </w:rPr>
        <w:t>قتضيات</w:t>
      </w:r>
      <w:r w:rsidRPr="00FE1AC5">
        <w:rPr>
          <w:rtl/>
          <w:lang w:val="en-GB"/>
        </w:rPr>
        <w:t xml:space="preserve"> المعايير المحاسبية الدولية للقطاع العام. ويمكن الاطلاع على مزيد من التفاصيل في الملاحظة 21.</w:t>
      </w:r>
    </w:p>
    <w:p w14:paraId="466338D7" w14:textId="77777777" w:rsidR="00A635B0" w:rsidRPr="00FE1AC5" w:rsidRDefault="00A635B0" w:rsidP="00FE1AC5">
      <w:pPr>
        <w:pStyle w:val="Headingi"/>
        <w:rPr>
          <w:lang w:val="en-GB"/>
        </w:rPr>
      </w:pPr>
      <w:r w:rsidRPr="00FE1AC5">
        <w:rPr>
          <w:rtl/>
          <w:lang w:val="en-GB"/>
        </w:rPr>
        <w:t>استخدام التقديرات</w:t>
      </w:r>
    </w:p>
    <w:p w14:paraId="67885D34" w14:textId="77777777" w:rsidR="00A635B0" w:rsidRPr="00A635B0" w:rsidRDefault="00A635B0" w:rsidP="00187C0F">
      <w:pPr>
        <w:rPr>
          <w:lang w:val="en-GB" w:bidi="ar-EG"/>
        </w:rPr>
      </w:pPr>
      <w:r w:rsidRPr="00A635B0">
        <w:rPr>
          <w:rFonts w:hint="cs"/>
          <w:rtl/>
          <w:lang w:val="en-GB"/>
        </w:rPr>
        <w:t>تشتمل البيانات</w:t>
      </w:r>
      <w:r w:rsidRPr="00A635B0">
        <w:rPr>
          <w:rtl/>
          <w:lang w:val="en-GB"/>
        </w:rPr>
        <w:t xml:space="preserve"> المالية</w:t>
      </w:r>
      <w:r w:rsidRPr="00A635B0">
        <w:rPr>
          <w:rFonts w:hint="cs"/>
          <w:rtl/>
          <w:lang w:val="en-GB"/>
        </w:rPr>
        <w:t xml:space="preserve"> على</w:t>
      </w:r>
      <w:r w:rsidRPr="00A635B0">
        <w:rPr>
          <w:rtl/>
          <w:lang w:val="en-GB"/>
        </w:rPr>
        <w:t xml:space="preserve"> مبالغ تستند إلى تقديرات وافتراضات الإدارة. وت</w:t>
      </w:r>
      <w:r w:rsidRPr="00A635B0">
        <w:rPr>
          <w:rFonts w:hint="cs"/>
          <w:rtl/>
          <w:lang w:val="en-GB"/>
        </w:rPr>
        <w:t>ُ</w:t>
      </w:r>
      <w:r w:rsidRPr="00A635B0">
        <w:rPr>
          <w:rtl/>
          <w:lang w:val="en-GB"/>
        </w:rPr>
        <w:t>ستعرض</w:t>
      </w:r>
      <w:r w:rsidRPr="00A635B0">
        <w:rPr>
          <w:rFonts w:hint="cs"/>
          <w:rtl/>
          <w:lang w:val="en-GB"/>
        </w:rPr>
        <w:t xml:space="preserve"> في إطار</w:t>
      </w:r>
      <w:r w:rsidRPr="00A635B0">
        <w:rPr>
          <w:rtl/>
          <w:lang w:val="en-GB"/>
        </w:rPr>
        <w:t xml:space="preserve"> عملية إعداد </w:t>
      </w:r>
      <w:r w:rsidRPr="00A635B0">
        <w:rPr>
          <w:rFonts w:hint="cs"/>
          <w:rtl/>
          <w:lang w:val="en-GB"/>
        </w:rPr>
        <w:t>البيانات</w:t>
      </w:r>
      <w:r w:rsidRPr="00A635B0">
        <w:rPr>
          <w:rtl/>
          <w:lang w:val="en-GB"/>
        </w:rPr>
        <w:t xml:space="preserve"> المالية أسس </w:t>
      </w:r>
      <w:r w:rsidRPr="00A635B0">
        <w:rPr>
          <w:rFonts w:hint="cs"/>
          <w:rtl/>
          <w:lang w:val="en-GB"/>
        </w:rPr>
        <w:t>إنشاء</w:t>
      </w:r>
      <w:r w:rsidRPr="00A635B0">
        <w:rPr>
          <w:rtl/>
          <w:lang w:val="en-GB"/>
        </w:rPr>
        <w:t xml:space="preserve"> </w:t>
      </w:r>
      <w:r w:rsidRPr="00A635B0">
        <w:rPr>
          <w:rFonts w:hint="cs"/>
          <w:rtl/>
          <w:lang w:val="en-GB"/>
        </w:rPr>
        <w:t xml:space="preserve">هذه </w:t>
      </w:r>
      <w:r w:rsidRPr="00A635B0">
        <w:rPr>
          <w:rtl/>
          <w:lang w:val="en-GB"/>
        </w:rPr>
        <w:t>التقديرات والافتراضات للت</w:t>
      </w:r>
      <w:r w:rsidRPr="00A635B0">
        <w:rPr>
          <w:rFonts w:hint="cs"/>
          <w:rtl/>
          <w:lang w:val="en-GB"/>
        </w:rPr>
        <w:t xml:space="preserve">حقق </w:t>
      </w:r>
      <w:r w:rsidRPr="00A635B0">
        <w:rPr>
          <w:rtl/>
          <w:lang w:val="en-GB"/>
        </w:rPr>
        <w:t>من معقوليتها. وتشمل التقديرات، على سبيل المثال</w:t>
      </w:r>
      <w:r w:rsidRPr="00A635B0">
        <w:rPr>
          <w:rFonts w:hint="cs"/>
          <w:rtl/>
          <w:lang w:val="en-GB"/>
        </w:rPr>
        <w:t>،</w:t>
      </w:r>
      <w:r w:rsidRPr="00A635B0">
        <w:rPr>
          <w:rtl/>
          <w:lang w:val="en-GB"/>
        </w:rPr>
        <w:t xml:space="preserve"> لا الحصر</w:t>
      </w:r>
      <w:r w:rsidRPr="00A635B0">
        <w:rPr>
          <w:rFonts w:hint="cs"/>
          <w:rtl/>
          <w:lang w:val="en-GB"/>
        </w:rPr>
        <w:t>، ما يلي</w:t>
      </w:r>
      <w:r w:rsidRPr="00A635B0">
        <w:rPr>
          <w:rtl/>
          <w:lang w:val="en-GB"/>
        </w:rPr>
        <w:t>: التأمين الصحي بعد انتهاء الخدمة، م</w:t>
      </w:r>
      <w:r w:rsidRPr="00A635B0">
        <w:rPr>
          <w:rFonts w:hint="cs"/>
          <w:rtl/>
          <w:lang w:val="en-GB"/>
        </w:rPr>
        <w:t>ِ</w:t>
      </w:r>
      <w:r w:rsidRPr="00A635B0">
        <w:rPr>
          <w:rtl/>
          <w:lang w:val="en-GB"/>
        </w:rPr>
        <w:t xml:space="preserve">نح الإعادة إلى الوطن والسفر (التي </w:t>
      </w:r>
      <w:r w:rsidRPr="00A635B0">
        <w:rPr>
          <w:rFonts w:hint="cs"/>
          <w:rtl/>
          <w:lang w:val="en-GB"/>
        </w:rPr>
        <w:t>يكلَّف</w:t>
      </w:r>
      <w:r w:rsidRPr="00A635B0">
        <w:rPr>
          <w:rtl/>
          <w:lang w:val="en-GB"/>
        </w:rPr>
        <w:t xml:space="preserve"> خبير اكتواري مستقل</w:t>
      </w:r>
      <w:r w:rsidRPr="00A635B0">
        <w:rPr>
          <w:rFonts w:hint="cs"/>
          <w:rtl/>
          <w:lang w:val="en-GB"/>
        </w:rPr>
        <w:t xml:space="preserve"> باحتساب قيمتها</w:t>
      </w:r>
      <w:r w:rsidRPr="00A635B0">
        <w:rPr>
          <w:rtl/>
          <w:lang w:val="en-GB"/>
        </w:rPr>
        <w:t xml:space="preserve">)، </w:t>
      </w:r>
      <w:r w:rsidRPr="00A635B0">
        <w:rPr>
          <w:rFonts w:hint="cs"/>
          <w:rtl/>
          <w:lang w:val="en-GB"/>
        </w:rPr>
        <w:t>الالتزامات المتعلقة بسائر</w:t>
      </w:r>
      <w:r w:rsidRPr="00A635B0">
        <w:rPr>
          <w:rtl/>
          <w:lang w:val="en-GB"/>
        </w:rPr>
        <w:t xml:space="preserve"> استحقاقات الموظفين، مخصصات التقاضي، المخاطر المالية على </w:t>
      </w:r>
      <w:r w:rsidRPr="00A635B0">
        <w:rPr>
          <w:rFonts w:hint="cs"/>
          <w:rtl/>
          <w:lang w:val="en-GB"/>
        </w:rPr>
        <w:t>ال</w:t>
      </w:r>
      <w:r w:rsidRPr="00A635B0">
        <w:rPr>
          <w:rtl/>
          <w:lang w:val="en-GB"/>
        </w:rPr>
        <w:t>ذمم</w:t>
      </w:r>
      <w:r w:rsidRPr="00A635B0">
        <w:rPr>
          <w:rFonts w:hint="cs"/>
          <w:rtl/>
          <w:lang w:val="en-GB"/>
        </w:rPr>
        <w:t xml:space="preserve"> </w:t>
      </w:r>
      <w:r w:rsidRPr="00A635B0">
        <w:rPr>
          <w:rFonts w:hint="cs"/>
          <w:rtl/>
          <w:lang w:val="en-GB" w:bidi="ar-EG"/>
        </w:rPr>
        <w:t>المدينة</w:t>
      </w:r>
      <w:r w:rsidRPr="00A635B0">
        <w:rPr>
          <w:rtl/>
          <w:lang w:val="en-GB"/>
        </w:rPr>
        <w:t>، الرسوم المستحقة، درجة انخفاض قيمة الأصول الملموسة و</w:t>
      </w:r>
      <w:r w:rsidRPr="00A635B0">
        <w:rPr>
          <w:rFonts w:hint="cs"/>
          <w:rtl/>
          <w:lang w:val="en-GB"/>
        </w:rPr>
        <w:t xml:space="preserve">الأصول </w:t>
      </w:r>
      <w:r w:rsidRPr="00A635B0">
        <w:rPr>
          <w:rtl/>
          <w:lang w:val="en-GB"/>
        </w:rPr>
        <w:t xml:space="preserve">غير الملموسة. وقد تختلف النتائج الفعلية عن هذه التقديرات. </w:t>
      </w:r>
      <w:r w:rsidRPr="00A635B0">
        <w:rPr>
          <w:rFonts w:hint="cs"/>
          <w:rtl/>
          <w:lang w:val="en-GB"/>
        </w:rPr>
        <w:t>وتُبيَّن تغيرات</w:t>
      </w:r>
      <w:r w:rsidRPr="00A635B0">
        <w:rPr>
          <w:rtl/>
          <w:lang w:val="en-GB"/>
        </w:rPr>
        <w:t xml:space="preserve"> التقديرات في الفترة التي تصبح </w:t>
      </w:r>
      <w:r w:rsidRPr="00A635B0">
        <w:rPr>
          <w:rFonts w:hint="cs"/>
          <w:rtl/>
          <w:lang w:val="en-GB"/>
        </w:rPr>
        <w:t>فيها معلومة.</w:t>
      </w:r>
    </w:p>
    <w:p w14:paraId="756C9092" w14:textId="77777777" w:rsidR="00A635B0" w:rsidRPr="00A635B0" w:rsidRDefault="00A635B0" w:rsidP="00187C0F">
      <w:pPr>
        <w:rPr>
          <w:lang w:val="en-GB" w:bidi="ar-EG"/>
        </w:rPr>
      </w:pPr>
      <w:r w:rsidRPr="00A635B0">
        <w:rPr>
          <w:rtl/>
          <w:lang w:val="en-GB"/>
        </w:rPr>
        <w:t xml:space="preserve">وتعرض جميع الأرصدة بآلاف الفرنكات السويسرية، </w:t>
      </w:r>
      <w:r w:rsidRPr="00A635B0">
        <w:rPr>
          <w:rFonts w:hint="cs"/>
          <w:rtl/>
          <w:lang w:val="en-GB"/>
        </w:rPr>
        <w:t>ومن ثم،</w:t>
      </w:r>
      <w:r w:rsidRPr="00A635B0">
        <w:rPr>
          <w:rtl/>
          <w:lang w:val="en-GB"/>
        </w:rPr>
        <w:t xml:space="preserve"> قد تحدث </w:t>
      </w:r>
      <w:r w:rsidRPr="00A635B0">
        <w:rPr>
          <w:rFonts w:hint="cs"/>
          <w:rtl/>
          <w:lang w:val="en-GB"/>
        </w:rPr>
        <w:t>تفاوتات تقريبية بسيطة.</w:t>
      </w:r>
    </w:p>
    <w:p w14:paraId="60F31478" w14:textId="77777777" w:rsidR="00A635B0" w:rsidRPr="00A635B0" w:rsidRDefault="00A635B0" w:rsidP="009F4F01">
      <w:pPr>
        <w:pStyle w:val="Heading1"/>
        <w:rPr>
          <w:rtl/>
          <w:lang w:val="en-GB"/>
        </w:rPr>
      </w:pPr>
      <w:bookmarkStart w:id="164" w:name="_Toc329296022"/>
      <w:bookmarkStart w:id="165" w:name="_Toc358648342"/>
      <w:bookmarkStart w:id="166" w:name="_Toc358648541"/>
      <w:bookmarkStart w:id="167" w:name="_Toc387263372"/>
      <w:bookmarkStart w:id="168" w:name="_Toc387338347"/>
      <w:bookmarkStart w:id="169" w:name="_Toc419484069"/>
      <w:bookmarkStart w:id="170" w:name="_Toc452156621"/>
      <w:bookmarkStart w:id="171" w:name="_Toc482792207"/>
      <w:bookmarkStart w:id="172" w:name="_Toc482793712"/>
      <w:bookmarkStart w:id="173" w:name="_Toc511402227"/>
      <w:bookmarkStart w:id="174" w:name="_Toc511756664"/>
      <w:bookmarkStart w:id="175" w:name="_Toc9614783"/>
      <w:bookmarkStart w:id="176" w:name="_Toc42013538"/>
      <w:bookmarkStart w:id="177" w:name="_Toc42014539"/>
      <w:bookmarkStart w:id="178" w:name="_Toc74061571"/>
      <w:bookmarkStart w:id="179" w:name="_Toc162520622"/>
      <w:bookmarkStart w:id="180" w:name="_Toc199403740"/>
      <w:bookmarkStart w:id="181" w:name="_Toc201043143"/>
      <w:r w:rsidRPr="00A635B0">
        <w:rPr>
          <w:rtl/>
          <w:lang w:val="en-GB"/>
        </w:rPr>
        <w:t xml:space="preserve">الملاحظة </w:t>
      </w:r>
      <w:r w:rsidRPr="00A635B0">
        <w:rPr>
          <w:rtl/>
        </w:rPr>
        <w:t>4</w:t>
      </w:r>
      <w:r w:rsidRPr="00A635B0">
        <w:rPr>
          <w:rtl/>
          <w:lang w:val="en-GB"/>
        </w:rPr>
        <w:tab/>
        <w:t>إدارة صافي الأصول</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68651AEE" w14:textId="77777777" w:rsidR="00A635B0" w:rsidRPr="00A635B0" w:rsidRDefault="00A635B0" w:rsidP="00187C0F">
      <w:pPr>
        <w:rPr>
          <w:rtl/>
          <w:lang w:val="en-GB" w:bidi="ar-EG"/>
        </w:rPr>
      </w:pPr>
      <w:r w:rsidRPr="00A635B0">
        <w:rPr>
          <w:rFonts w:hint="cs"/>
          <w:rtl/>
          <w:lang w:val="en-GB" w:bidi="ar-EG"/>
        </w:rPr>
        <w:t xml:space="preserve">تشمل </w:t>
      </w:r>
      <w:r w:rsidRPr="00A635B0">
        <w:rPr>
          <w:rtl/>
          <w:lang w:val="en-GB"/>
        </w:rPr>
        <w:t>صافي</w:t>
      </w:r>
      <w:r w:rsidRPr="00A635B0">
        <w:rPr>
          <w:rtl/>
          <w:lang w:val="en-GB" w:bidi="ar-EG"/>
        </w:rPr>
        <w:t xml:space="preserve"> أصول الاتحاد</w:t>
      </w:r>
      <w:r w:rsidRPr="00A635B0">
        <w:rPr>
          <w:rFonts w:hint="cs"/>
          <w:rtl/>
          <w:lang w:val="en-GB" w:bidi="ar-EG"/>
        </w:rPr>
        <w:t xml:space="preserve"> الدولي للاتصالات</w:t>
      </w:r>
      <w:r w:rsidRPr="00A635B0">
        <w:rPr>
          <w:rtl/>
          <w:lang w:val="en-GB" w:bidi="ar-EG"/>
        </w:rPr>
        <w:t xml:space="preserve"> </w:t>
      </w:r>
      <w:r w:rsidRPr="00A635B0">
        <w:rPr>
          <w:rFonts w:hint="cs"/>
          <w:rtl/>
          <w:lang w:val="en-GB" w:bidi="ar-EG"/>
        </w:rPr>
        <w:t>حتى 31 ديسمبر 2024 ما يلي:</w:t>
      </w:r>
    </w:p>
    <w:p w14:paraId="09C7066A" w14:textId="77777777" w:rsidR="00A635B0" w:rsidRPr="00A635B0" w:rsidRDefault="00A635B0" w:rsidP="00FE1AC5">
      <w:pPr>
        <w:pStyle w:val="enumlev1"/>
        <w:rPr>
          <w:rtl/>
          <w:lang w:val="en-GB"/>
        </w:rPr>
      </w:pPr>
      <w:r w:rsidRPr="00A635B0">
        <w:rPr>
          <w:rtl/>
          <w:lang w:val="en-GB" w:bidi="ar-EG"/>
        </w:rPr>
        <w:t>1</w:t>
      </w:r>
      <w:r w:rsidRPr="00A635B0">
        <w:rPr>
          <w:rtl/>
          <w:lang w:val="en-GB"/>
        </w:rPr>
        <w:tab/>
        <w:t>حساب احتياطي الاتحاد</w:t>
      </w:r>
      <w:r w:rsidRPr="00A635B0">
        <w:rPr>
          <w:rFonts w:hint="cs"/>
          <w:rtl/>
          <w:lang w:val="en-GB"/>
        </w:rPr>
        <w:t>،</w:t>
      </w:r>
    </w:p>
    <w:p w14:paraId="334DBDD7" w14:textId="77777777" w:rsidR="00A635B0" w:rsidRPr="00A635B0" w:rsidRDefault="00A635B0" w:rsidP="00FE1AC5">
      <w:pPr>
        <w:pStyle w:val="enumlev1"/>
        <w:rPr>
          <w:rtl/>
          <w:lang w:val="en-GB"/>
        </w:rPr>
      </w:pPr>
      <w:r w:rsidRPr="00A635B0">
        <w:rPr>
          <w:rtl/>
          <w:lang w:val="en-GB" w:bidi="ar-EG"/>
        </w:rPr>
        <w:t>2</w:t>
      </w:r>
      <w:r w:rsidRPr="00A635B0">
        <w:rPr>
          <w:rtl/>
          <w:lang w:val="en-GB"/>
        </w:rPr>
        <w:tab/>
      </w:r>
      <w:r w:rsidRPr="00A635B0">
        <w:rPr>
          <w:rFonts w:hint="cs"/>
          <w:rtl/>
          <w:lang w:val="en-GB" w:bidi="ar-EG"/>
        </w:rPr>
        <w:t>الاحتياطيات</w:t>
      </w:r>
      <w:r w:rsidRPr="00A635B0">
        <w:rPr>
          <w:rtl/>
          <w:lang w:val="en-GB"/>
        </w:rPr>
        <w:t xml:space="preserve"> الأخرى</w:t>
      </w:r>
      <w:r w:rsidRPr="00A635B0">
        <w:rPr>
          <w:rFonts w:hint="cs"/>
          <w:rtl/>
          <w:lang w:val="en-GB" w:bidi="ar-EG"/>
        </w:rPr>
        <w:t xml:space="preserve"> والصناديق</w:t>
      </w:r>
      <w:r w:rsidRPr="00A635B0">
        <w:rPr>
          <w:rFonts w:hint="cs"/>
          <w:rtl/>
          <w:lang w:val="en-GB"/>
        </w:rPr>
        <w:t>،</w:t>
      </w:r>
    </w:p>
    <w:p w14:paraId="4878B6D3" w14:textId="77777777" w:rsidR="00A635B0" w:rsidRPr="00A635B0" w:rsidRDefault="00A635B0" w:rsidP="00FE1AC5">
      <w:pPr>
        <w:pStyle w:val="enumlev1"/>
        <w:rPr>
          <w:rtl/>
          <w:lang w:val="en-GB"/>
        </w:rPr>
      </w:pPr>
      <w:r w:rsidRPr="00A635B0">
        <w:rPr>
          <w:rtl/>
          <w:lang w:val="en-GB" w:bidi="ar-EG"/>
        </w:rPr>
        <w:t>3</w:t>
      </w:r>
      <w:r w:rsidRPr="00A635B0">
        <w:rPr>
          <w:rtl/>
          <w:lang w:val="en-GB"/>
        </w:rPr>
        <w:tab/>
      </w:r>
      <w:r w:rsidRPr="00A635B0">
        <w:rPr>
          <w:rFonts w:hint="cs"/>
          <w:rtl/>
          <w:lang w:val="en-GB" w:bidi="ar-EG"/>
        </w:rPr>
        <w:t>الاحتياطيات</w:t>
      </w:r>
      <w:r w:rsidRPr="00A635B0">
        <w:rPr>
          <w:rtl/>
          <w:lang w:val="en-GB"/>
        </w:rPr>
        <w:t xml:space="preserve"> من خارج الميزانية</w:t>
      </w:r>
      <w:r w:rsidRPr="00A635B0">
        <w:rPr>
          <w:rFonts w:hint="cs"/>
          <w:rtl/>
          <w:lang w:val="en-GB"/>
        </w:rPr>
        <w:t>،</w:t>
      </w:r>
    </w:p>
    <w:p w14:paraId="5A0A8EB3" w14:textId="2638DE39" w:rsidR="00A635B0" w:rsidRPr="00A635B0" w:rsidRDefault="00A635B0" w:rsidP="00FE1AC5">
      <w:pPr>
        <w:pStyle w:val="enumlev1"/>
        <w:rPr>
          <w:rtl/>
          <w:lang w:val="en-GB"/>
        </w:rPr>
      </w:pPr>
      <w:r w:rsidRPr="00A635B0">
        <w:rPr>
          <w:rtl/>
          <w:lang w:val="en-GB" w:bidi="ar-EG"/>
        </w:rPr>
        <w:t>4</w:t>
      </w:r>
      <w:r w:rsidRPr="00A635B0">
        <w:rPr>
          <w:rtl/>
          <w:lang w:val="en-GB"/>
        </w:rPr>
        <w:tab/>
        <w:t>ال</w:t>
      </w:r>
      <w:r w:rsidRPr="00A635B0">
        <w:rPr>
          <w:rFonts w:hint="cs"/>
          <w:rtl/>
          <w:lang w:val="en-GB"/>
        </w:rPr>
        <w:t>أرباح</w:t>
      </w:r>
      <w:r w:rsidR="00FE3D4F">
        <w:rPr>
          <w:rFonts w:hint="cs"/>
          <w:rtl/>
          <w:lang w:val="en-GB"/>
        </w:rPr>
        <w:t>/</w:t>
      </w:r>
      <w:r w:rsidRPr="00A635B0">
        <w:rPr>
          <w:rtl/>
          <w:lang w:val="en-GB"/>
        </w:rPr>
        <w:t>(الخسائر) ال</w:t>
      </w:r>
      <w:r w:rsidRPr="00A635B0">
        <w:rPr>
          <w:rFonts w:hint="cs"/>
          <w:rtl/>
          <w:lang w:val="en-GB"/>
        </w:rPr>
        <w:t>اك</w:t>
      </w:r>
      <w:r w:rsidRPr="00A635B0">
        <w:rPr>
          <w:rtl/>
          <w:lang w:val="en-GB"/>
        </w:rPr>
        <w:t xml:space="preserve">توارية </w:t>
      </w:r>
      <w:r w:rsidRPr="00A635B0">
        <w:rPr>
          <w:rFonts w:hint="cs"/>
          <w:rtl/>
          <w:lang w:val="en-GB"/>
        </w:rPr>
        <w:t>من تنفيذ نظام ا</w:t>
      </w:r>
      <w:r w:rsidRPr="00A635B0">
        <w:rPr>
          <w:rtl/>
          <w:lang w:val="en-GB"/>
        </w:rPr>
        <w:t xml:space="preserve">لتأمين الصحي بعد </w:t>
      </w:r>
      <w:r w:rsidRPr="00A635B0">
        <w:rPr>
          <w:rFonts w:hint="cs"/>
          <w:rtl/>
          <w:lang w:val="en-GB"/>
        </w:rPr>
        <w:t xml:space="preserve">انتهاء </w:t>
      </w:r>
      <w:r w:rsidRPr="00A635B0">
        <w:rPr>
          <w:rtl/>
          <w:lang w:val="en-GB"/>
        </w:rPr>
        <w:t>الخدمة (</w:t>
      </w:r>
      <w:r w:rsidRPr="00A635B0">
        <w:rPr>
          <w:lang w:bidi="ar-EG"/>
        </w:rPr>
        <w:t>ASHI</w:t>
      </w:r>
      <w:r w:rsidRPr="00A635B0">
        <w:rPr>
          <w:rtl/>
          <w:lang w:val="en-GB"/>
        </w:rPr>
        <w:t>)</w:t>
      </w:r>
      <w:r w:rsidRPr="00A635B0">
        <w:rPr>
          <w:rFonts w:hint="cs"/>
          <w:rtl/>
          <w:lang w:val="en-GB"/>
        </w:rPr>
        <w:t>، عن طريق</w:t>
      </w:r>
      <w:r w:rsidRPr="00A635B0">
        <w:rPr>
          <w:rtl/>
          <w:lang w:val="en-GB"/>
        </w:rPr>
        <w:t xml:space="preserve"> صافي الأصول</w:t>
      </w:r>
      <w:r w:rsidRPr="00A635B0">
        <w:rPr>
          <w:rFonts w:hint="cs"/>
          <w:rtl/>
          <w:lang w:val="en-GB"/>
        </w:rPr>
        <w:t>،</w:t>
      </w:r>
    </w:p>
    <w:p w14:paraId="62113EE5" w14:textId="6763E291" w:rsidR="00A635B0" w:rsidRPr="00A635B0" w:rsidRDefault="00A635B0" w:rsidP="00FE1AC5">
      <w:pPr>
        <w:pStyle w:val="enumlev1"/>
        <w:rPr>
          <w:lang w:bidi="ar-EG"/>
        </w:rPr>
      </w:pPr>
      <w:r w:rsidRPr="00A635B0">
        <w:rPr>
          <w:rtl/>
          <w:lang w:val="en-GB" w:bidi="ar-EG"/>
        </w:rPr>
        <w:t>5</w:t>
      </w:r>
      <w:r w:rsidRPr="00A635B0">
        <w:rPr>
          <w:rtl/>
          <w:lang w:val="en-GB"/>
        </w:rPr>
        <w:tab/>
        <w:t>الفائض</w:t>
      </w:r>
      <w:r w:rsidR="00FE3D4F">
        <w:rPr>
          <w:rFonts w:hint="cs"/>
          <w:rtl/>
          <w:lang w:val="en-GB"/>
        </w:rPr>
        <w:t>/</w:t>
      </w:r>
      <w:r w:rsidRPr="00A635B0">
        <w:rPr>
          <w:rtl/>
          <w:lang w:val="en-GB"/>
        </w:rPr>
        <w:t>(العجز) المتراكم.</w:t>
      </w:r>
    </w:p>
    <w:p w14:paraId="3F28FEC2" w14:textId="77777777" w:rsidR="00EF3E76" w:rsidRDefault="00A635B0" w:rsidP="00FE1AC5">
      <w:pPr>
        <w:pStyle w:val="Headingb0"/>
        <w:rPr>
          <w:rtl/>
          <w:lang w:val="en-GB"/>
        </w:rPr>
      </w:pPr>
      <w:r w:rsidRPr="00A635B0">
        <w:rPr>
          <w:rtl/>
          <w:lang w:val="en-GB"/>
        </w:rPr>
        <w:t>حساب احتياطي الاتحاد</w:t>
      </w:r>
    </w:p>
    <w:p w14:paraId="78CE06F8" w14:textId="09BD5315" w:rsidR="00A635B0" w:rsidRPr="00A635B0" w:rsidRDefault="00A635B0" w:rsidP="00187C0F">
      <w:pPr>
        <w:rPr>
          <w:lang w:val="en-GB" w:bidi="ar-EG"/>
        </w:rPr>
      </w:pPr>
      <w:r w:rsidRPr="00A635B0">
        <w:rPr>
          <w:rtl/>
          <w:lang w:val="en-GB"/>
        </w:rPr>
        <w:t>أنشئ حساب احتياطي الاتحاد وفقا</w:t>
      </w:r>
      <w:r w:rsidRPr="00A635B0">
        <w:rPr>
          <w:rFonts w:hint="cs"/>
          <w:rtl/>
          <w:lang w:val="en-GB"/>
        </w:rPr>
        <w:t>ً لأحكام ا</w:t>
      </w:r>
      <w:r w:rsidRPr="00A635B0">
        <w:rPr>
          <w:rtl/>
          <w:lang w:val="en-GB"/>
        </w:rPr>
        <w:t>لرقم 485 من اتفاقية الاتحاد الدولي للاتصالات و</w:t>
      </w:r>
      <w:r w:rsidRPr="00A635B0">
        <w:rPr>
          <w:rFonts w:hint="cs"/>
          <w:rtl/>
          <w:lang w:val="en-GB"/>
        </w:rPr>
        <w:t xml:space="preserve">أحكام </w:t>
      </w:r>
      <w:r w:rsidRPr="00A635B0">
        <w:rPr>
          <w:rtl/>
          <w:lang w:val="en-GB"/>
        </w:rPr>
        <w:t xml:space="preserve">المادة 27 من اللوائح المالية. </w:t>
      </w:r>
      <w:r w:rsidRPr="00A635B0">
        <w:rPr>
          <w:rFonts w:hint="cs"/>
          <w:rtl/>
          <w:lang w:val="en-GB"/>
        </w:rPr>
        <w:t>ويموَّل عن طريق ما يلي</w:t>
      </w:r>
      <w:r w:rsidRPr="00A635B0">
        <w:rPr>
          <w:rtl/>
          <w:lang w:val="en-GB"/>
        </w:rPr>
        <w:t>:</w:t>
      </w:r>
    </w:p>
    <w:p w14:paraId="12EE5F31" w14:textId="156C4A6C"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 xml:space="preserve">الأرصدة الإيجابية أو السلبية </w:t>
      </w:r>
      <w:r w:rsidR="00A635B0" w:rsidRPr="00A635B0">
        <w:rPr>
          <w:rFonts w:hint="cs"/>
          <w:rtl/>
          <w:lang w:val="en-GB"/>
        </w:rPr>
        <w:t>الناتجة ع</w:t>
      </w:r>
      <w:r w:rsidR="00A635B0" w:rsidRPr="00A635B0">
        <w:rPr>
          <w:rtl/>
          <w:lang w:val="en-GB"/>
        </w:rPr>
        <w:t>ن تنفيذ الميزانية العادية لكل سنة مالية.</w:t>
      </w:r>
    </w:p>
    <w:p w14:paraId="5DC6A175" w14:textId="5857C557"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التحويلات من الاحتياطيات أو الصناديق الأخرى وفقا</w:t>
      </w:r>
      <w:r w:rsidR="00A635B0" w:rsidRPr="00A635B0">
        <w:rPr>
          <w:rFonts w:hint="cs"/>
          <w:rtl/>
          <w:lang w:val="en-GB"/>
        </w:rPr>
        <w:t>ً لقرارات</w:t>
      </w:r>
      <w:r w:rsidR="00A635B0" w:rsidRPr="00A635B0">
        <w:rPr>
          <w:rtl/>
          <w:lang w:val="en-GB"/>
        </w:rPr>
        <w:t xml:space="preserve"> المجلس.</w:t>
      </w:r>
    </w:p>
    <w:p w14:paraId="282CEA5C" w14:textId="3A3A8B99"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 xml:space="preserve">الاعتمادات الأخرى </w:t>
      </w:r>
      <w:r w:rsidR="00A635B0" w:rsidRPr="00A635B0">
        <w:rPr>
          <w:rFonts w:hint="cs"/>
          <w:rtl/>
          <w:lang w:val="en-GB"/>
        </w:rPr>
        <w:t>وفقاً لأحكام</w:t>
      </w:r>
      <w:r w:rsidR="00A635B0" w:rsidRPr="00A635B0">
        <w:rPr>
          <w:rtl/>
          <w:lang w:val="en-GB"/>
        </w:rPr>
        <w:t xml:space="preserve"> المعايير المحاسبية المعمول بها.</w:t>
      </w:r>
    </w:p>
    <w:p w14:paraId="5E2791A1" w14:textId="77777777" w:rsidR="00A635B0" w:rsidRPr="00A635B0" w:rsidRDefault="00A635B0" w:rsidP="00FE1AC5">
      <w:pPr>
        <w:keepNext/>
        <w:rPr>
          <w:lang w:val="en-GB" w:bidi="ar-EG"/>
        </w:rPr>
      </w:pPr>
      <w:r w:rsidRPr="00A635B0">
        <w:rPr>
          <w:rFonts w:hint="cs"/>
          <w:rtl/>
          <w:lang w:val="en-GB"/>
        </w:rPr>
        <w:t xml:space="preserve">ولا </w:t>
      </w:r>
      <w:r w:rsidRPr="00A635B0">
        <w:rPr>
          <w:rtl/>
          <w:lang w:val="en-GB"/>
        </w:rPr>
        <w:t>يجوز السحب من حساب الاحتياطي إلا بقرار خاص من المجلس، ويقتصر استخدامه على</w:t>
      </w:r>
      <w:r w:rsidRPr="00A635B0">
        <w:rPr>
          <w:rFonts w:hint="cs"/>
          <w:rtl/>
          <w:lang w:val="en-GB"/>
        </w:rPr>
        <w:t xml:space="preserve"> الأغراض التالية</w:t>
      </w:r>
      <w:r w:rsidRPr="00A635B0">
        <w:rPr>
          <w:rtl/>
          <w:lang w:val="en-GB"/>
        </w:rPr>
        <w:t>:</w:t>
      </w:r>
    </w:p>
    <w:p w14:paraId="2F0AAEE5" w14:textId="77B6CE1A" w:rsidR="00A635B0" w:rsidRPr="00A635B0" w:rsidRDefault="00FE1AC5" w:rsidP="00FE1AC5">
      <w:pPr>
        <w:pStyle w:val="enumlev1"/>
        <w:rPr>
          <w:lang w:val="en-GB" w:bidi="ar-EG"/>
        </w:rPr>
      </w:pPr>
      <w:r>
        <w:rPr>
          <w:lang w:val="en-GB"/>
        </w:rPr>
        <w:sym w:font="Wingdings 2" w:char="F097"/>
      </w:r>
      <w:r>
        <w:rPr>
          <w:lang w:val="en-GB"/>
        </w:rPr>
        <w:tab/>
      </w:r>
      <w:r w:rsidR="00A635B0" w:rsidRPr="00A635B0">
        <w:rPr>
          <w:rFonts w:hint="cs"/>
          <w:rtl/>
          <w:lang w:val="en-GB"/>
        </w:rPr>
        <w:t>خ</w:t>
      </w:r>
      <w:r w:rsidR="00A635B0" w:rsidRPr="00A635B0">
        <w:rPr>
          <w:rtl/>
          <w:lang w:val="en-GB"/>
        </w:rPr>
        <w:t>فض وحدة ال</w:t>
      </w:r>
      <w:r w:rsidR="00A635B0" w:rsidRPr="00A635B0">
        <w:rPr>
          <w:rFonts w:hint="cs"/>
          <w:rtl/>
          <w:lang w:val="en-GB"/>
        </w:rPr>
        <w:t>اشتراك</w:t>
      </w:r>
      <w:r w:rsidR="00A635B0" w:rsidRPr="00A635B0">
        <w:rPr>
          <w:rtl/>
          <w:lang w:val="en-GB"/>
        </w:rPr>
        <w:t>.</w:t>
      </w:r>
    </w:p>
    <w:p w14:paraId="47E46620" w14:textId="3B0DBCC6"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موازنة ميزانية الاتحاد.</w:t>
      </w:r>
    </w:p>
    <w:p w14:paraId="202EB8C9" w14:textId="190FBF30"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 xml:space="preserve">التحويلات إلى احتياطيات أو </w:t>
      </w:r>
      <w:r w:rsidR="00A635B0" w:rsidRPr="00A635B0">
        <w:rPr>
          <w:rFonts w:hint="cs"/>
          <w:rtl/>
          <w:lang w:val="en-GB"/>
        </w:rPr>
        <w:t xml:space="preserve">صناديق </w:t>
      </w:r>
      <w:r w:rsidR="00A635B0" w:rsidRPr="00A635B0">
        <w:rPr>
          <w:rtl/>
          <w:lang w:val="en-GB"/>
        </w:rPr>
        <w:t>أخرى.</w:t>
      </w:r>
    </w:p>
    <w:p w14:paraId="3B73C4B9" w14:textId="0C266451" w:rsidR="00A635B0" w:rsidRPr="00A635B0" w:rsidRDefault="00FE1AC5" w:rsidP="00FE1AC5">
      <w:pPr>
        <w:pStyle w:val="enumlev1"/>
        <w:rPr>
          <w:lang w:val="en-GB" w:bidi="ar-EG"/>
        </w:rPr>
      </w:pPr>
      <w:r>
        <w:rPr>
          <w:lang w:val="en-GB"/>
        </w:rPr>
        <w:sym w:font="Wingdings 2" w:char="F097"/>
      </w:r>
      <w:r>
        <w:rPr>
          <w:lang w:val="en-GB"/>
        </w:rPr>
        <w:tab/>
      </w:r>
      <w:r w:rsidR="00A635B0" w:rsidRPr="00A635B0">
        <w:rPr>
          <w:rtl/>
          <w:lang w:val="en-GB"/>
        </w:rPr>
        <w:t>التسويات المنصوص عليها في المعايير المحاسبية المعمول بها.</w:t>
      </w:r>
    </w:p>
    <w:p w14:paraId="634EAE8B" w14:textId="77777777" w:rsidR="00A635B0" w:rsidRPr="00A635B0" w:rsidRDefault="00A635B0" w:rsidP="00187C0F">
      <w:pPr>
        <w:rPr>
          <w:rtl/>
          <w:lang w:val="en-GB" w:bidi="ar-SY"/>
        </w:rPr>
      </w:pPr>
      <w:r w:rsidRPr="00A635B0">
        <w:rPr>
          <w:rFonts w:hint="cs"/>
          <w:rtl/>
          <w:lang w:val="en-GB" w:bidi="ar-SY"/>
        </w:rPr>
        <w:t>ويشير</w:t>
      </w:r>
      <w:r w:rsidRPr="00A635B0">
        <w:rPr>
          <w:rtl/>
          <w:lang w:val="en-GB" w:bidi="ar-SY"/>
        </w:rPr>
        <w:t xml:space="preserve"> الجدول أدناه </w:t>
      </w:r>
      <w:r w:rsidRPr="00A635B0">
        <w:rPr>
          <w:rFonts w:hint="cs"/>
          <w:rtl/>
          <w:lang w:val="en-GB" w:bidi="ar-SY"/>
        </w:rPr>
        <w:t xml:space="preserve">إلى </w:t>
      </w:r>
      <w:r w:rsidRPr="00A635B0">
        <w:rPr>
          <w:rtl/>
          <w:lang w:val="en-GB" w:bidi="ar-SY"/>
        </w:rPr>
        <w:t>حركة حساب</w:t>
      </w:r>
      <w:r w:rsidRPr="00A635B0">
        <w:rPr>
          <w:lang w:bidi="ar-EG"/>
        </w:rPr>
        <w:t xml:space="preserve"> </w:t>
      </w:r>
      <w:r w:rsidRPr="00A635B0">
        <w:rPr>
          <w:rtl/>
          <w:lang w:val="en-GB" w:bidi="ar-SY"/>
        </w:rPr>
        <w:t>احتياطي</w:t>
      </w:r>
      <w:r w:rsidRPr="00A635B0">
        <w:rPr>
          <w:rFonts w:hint="cs"/>
          <w:rtl/>
          <w:lang w:val="en-GB" w:bidi="ar-EG"/>
        </w:rPr>
        <w:t xml:space="preserve"> الاتحاد</w:t>
      </w:r>
      <w:r w:rsidRPr="00A635B0">
        <w:rPr>
          <w:rtl/>
          <w:lang w:val="en-GB" w:bidi="ar-SY"/>
        </w:rPr>
        <w:t>.</w:t>
      </w:r>
    </w:p>
    <w:p w14:paraId="5C8AF352" w14:textId="46290C2B" w:rsidR="00A635B0" w:rsidRPr="00A635B0" w:rsidRDefault="00413CED" w:rsidP="00483879">
      <w:pPr>
        <w:pStyle w:val="Figure"/>
        <w:rPr>
          <w:rtl/>
          <w:lang w:val="en-GB" w:bidi="ar-EG"/>
        </w:rPr>
      </w:pPr>
      <w:r>
        <w:rPr>
          <w:lang w:val="en-GB" w:bidi="ar-EG"/>
        </w:rPr>
        <w:lastRenderedPageBreak/>
        <w:drawing>
          <wp:inline distT="0" distB="0" distL="0" distR="0" wp14:anchorId="50EEB753" wp14:editId="0B909ECE">
            <wp:extent cx="5040000" cy="1893600"/>
            <wp:effectExtent l="0" t="0" r="8255" b="0"/>
            <wp:docPr id="18500684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0000" cy="1893600"/>
                    </a:xfrm>
                    <a:prstGeom prst="rect">
                      <a:avLst/>
                    </a:prstGeom>
                    <a:noFill/>
                  </pic:spPr>
                </pic:pic>
              </a:graphicData>
            </a:graphic>
          </wp:inline>
        </w:drawing>
      </w:r>
    </w:p>
    <w:p w14:paraId="0C4B1F0B" w14:textId="77777777" w:rsidR="00EF3E76" w:rsidRDefault="00A635B0" w:rsidP="00187C0F">
      <w:pPr>
        <w:rPr>
          <w:spacing w:val="-4"/>
          <w:rtl/>
          <w:lang w:val="en-GB"/>
        </w:rPr>
      </w:pPr>
      <w:r w:rsidRPr="005C386C">
        <w:rPr>
          <w:spacing w:val="-4"/>
          <w:rtl/>
          <w:lang w:val="en-GB"/>
        </w:rPr>
        <w:t xml:space="preserve">وفي 31 ديسمبر 2024، بلغت أصول حساب الاحتياطي 30,7 مليون فرنك سويسري (26,3 مليون فرنك سويسري في سنة 2023). </w:t>
      </w:r>
      <w:r w:rsidRPr="005C386C">
        <w:rPr>
          <w:rFonts w:hint="cs"/>
          <w:spacing w:val="-4"/>
          <w:rtl/>
          <w:lang w:val="en-GB"/>
        </w:rPr>
        <w:t>و</w:t>
      </w:r>
      <w:r w:rsidRPr="005C386C">
        <w:rPr>
          <w:spacing w:val="-4"/>
          <w:rtl/>
          <w:lang w:val="en-GB"/>
        </w:rPr>
        <w:t xml:space="preserve">تمثل أصول حساب الاحتياطي </w:t>
      </w:r>
      <w:r w:rsidR="005C386C">
        <w:rPr>
          <w:spacing w:val="-4"/>
          <w:lang w:val="en-GB"/>
        </w:rPr>
        <w:t>%18,6</w:t>
      </w:r>
      <w:r w:rsidRPr="005C386C">
        <w:rPr>
          <w:spacing w:val="-4"/>
          <w:rtl/>
          <w:lang w:val="en-GB"/>
        </w:rPr>
        <w:t xml:space="preserve"> من ميزانية </w:t>
      </w:r>
      <w:r w:rsidRPr="005C386C">
        <w:rPr>
          <w:rFonts w:hint="cs"/>
          <w:spacing w:val="-4"/>
          <w:rtl/>
          <w:lang w:val="en-GB"/>
        </w:rPr>
        <w:t>سنة</w:t>
      </w:r>
      <w:r w:rsidRPr="005C386C">
        <w:rPr>
          <w:spacing w:val="-4"/>
          <w:rtl/>
          <w:lang w:val="en-GB"/>
        </w:rPr>
        <w:t xml:space="preserve"> 2024، وه</w:t>
      </w:r>
      <w:r w:rsidRPr="005C386C">
        <w:rPr>
          <w:rFonts w:hint="cs"/>
          <w:spacing w:val="-4"/>
          <w:rtl/>
          <w:lang w:val="en-GB"/>
        </w:rPr>
        <w:t>ي نسبة</w:t>
      </w:r>
      <w:r w:rsidRPr="005C386C">
        <w:rPr>
          <w:spacing w:val="-4"/>
          <w:rtl/>
          <w:lang w:val="en-GB"/>
        </w:rPr>
        <w:t xml:space="preserve"> أعلى بكثير من </w:t>
      </w:r>
      <w:r w:rsidRPr="005C386C">
        <w:rPr>
          <w:rFonts w:hint="cs"/>
          <w:spacing w:val="-4"/>
          <w:rtl/>
          <w:lang w:val="en-GB"/>
        </w:rPr>
        <w:t>ال</w:t>
      </w:r>
      <w:r w:rsidRPr="005C386C">
        <w:rPr>
          <w:spacing w:val="-4"/>
          <w:rtl/>
          <w:lang w:val="en-GB"/>
        </w:rPr>
        <w:t>عتبة</w:t>
      </w:r>
      <w:r w:rsidRPr="005C386C">
        <w:rPr>
          <w:rFonts w:hint="cs"/>
          <w:spacing w:val="-4"/>
          <w:rtl/>
          <w:lang w:val="en-GB"/>
        </w:rPr>
        <w:t xml:space="preserve"> المحددة بنسبة</w:t>
      </w:r>
      <w:r w:rsidRPr="005C386C">
        <w:rPr>
          <w:spacing w:val="-4"/>
          <w:rtl/>
          <w:lang w:val="en-GB"/>
        </w:rPr>
        <w:t xml:space="preserve"> </w:t>
      </w:r>
      <w:r w:rsidR="005C386C">
        <w:rPr>
          <w:spacing w:val="-4"/>
          <w:lang w:val="en-GB"/>
        </w:rPr>
        <w:t>%6</w:t>
      </w:r>
      <w:r w:rsidRPr="005C386C">
        <w:rPr>
          <w:spacing w:val="-4"/>
          <w:rtl/>
          <w:lang w:val="en-GB"/>
        </w:rPr>
        <w:t xml:space="preserve"> المنصوص عليها في المقر</w:t>
      </w:r>
      <w:r w:rsidRPr="005C386C">
        <w:rPr>
          <w:rFonts w:hint="cs"/>
          <w:spacing w:val="-4"/>
          <w:rtl/>
          <w:lang w:val="en-GB"/>
        </w:rPr>
        <w:t>َّ</w:t>
      </w:r>
      <w:r w:rsidRPr="005C386C">
        <w:rPr>
          <w:spacing w:val="-4"/>
          <w:rtl/>
          <w:lang w:val="en-GB"/>
        </w:rPr>
        <w:t>ر 5 (المراج</w:t>
      </w:r>
      <w:r w:rsidR="005C386C">
        <w:rPr>
          <w:rFonts w:hint="cs"/>
          <w:spacing w:val="-4"/>
          <w:rtl/>
          <w:lang w:val="en-GB"/>
        </w:rPr>
        <w:t>َ</w:t>
      </w:r>
      <w:r w:rsidRPr="005C386C">
        <w:rPr>
          <w:spacing w:val="-4"/>
          <w:rtl/>
          <w:lang w:val="en-GB"/>
        </w:rPr>
        <w:t>ع في دبي، 2022).</w:t>
      </w:r>
    </w:p>
    <w:p w14:paraId="51510BF9" w14:textId="22C21FCF" w:rsidR="00A635B0" w:rsidRPr="00307E03" w:rsidRDefault="00A635B0" w:rsidP="00307E03">
      <w:pPr>
        <w:pStyle w:val="Headingb0"/>
      </w:pPr>
      <w:r w:rsidRPr="00307E03">
        <w:rPr>
          <w:rtl/>
        </w:rPr>
        <w:t>الاحتياطيات</w:t>
      </w:r>
      <w:r w:rsidRPr="00307E03">
        <w:rPr>
          <w:rFonts w:hint="cs"/>
          <w:rtl/>
        </w:rPr>
        <w:t xml:space="preserve"> الأخرى</w:t>
      </w:r>
      <w:r w:rsidRPr="00307E03">
        <w:rPr>
          <w:rtl/>
        </w:rPr>
        <w:t xml:space="preserve"> والصناديق</w:t>
      </w:r>
    </w:p>
    <w:p w14:paraId="2D453E94" w14:textId="77777777" w:rsidR="00A635B0" w:rsidRPr="00A635B0" w:rsidRDefault="00A635B0" w:rsidP="00187C0F">
      <w:pPr>
        <w:rPr>
          <w:lang w:bidi="ar-EG"/>
        </w:rPr>
      </w:pPr>
      <w:r w:rsidRPr="00A635B0">
        <w:rPr>
          <w:rtl/>
          <w:lang w:val="en-GB"/>
        </w:rPr>
        <w:t>تُنشأ احتياطيات</w:t>
      </w:r>
      <w:r w:rsidRPr="00A635B0">
        <w:rPr>
          <w:rFonts w:hint="cs"/>
          <w:rtl/>
          <w:lang w:val="en-GB"/>
        </w:rPr>
        <w:t xml:space="preserve"> أخرى</w:t>
      </w:r>
      <w:r w:rsidRPr="00A635B0">
        <w:rPr>
          <w:rtl/>
          <w:lang w:val="en-GB"/>
        </w:rPr>
        <w:t xml:space="preserve"> وصناديق لدعم مشاريع الاتحاد، واحتياجاته التشغيلية،</w:t>
      </w:r>
      <w:r w:rsidRPr="00A635B0">
        <w:rPr>
          <w:lang w:bidi="ar-EG"/>
        </w:rPr>
        <w:t xml:space="preserve"> </w:t>
      </w:r>
      <w:r w:rsidRPr="00A635B0">
        <w:rPr>
          <w:rtl/>
          <w:lang w:val="en-GB"/>
        </w:rPr>
        <w:t>والتزاماته غير المنظورة، في الأجل الطويل. وتشمل ما يلي:</w:t>
      </w:r>
    </w:p>
    <w:p w14:paraId="547E758D" w14:textId="1697E8A1" w:rsidR="00A635B0" w:rsidRPr="00A635B0" w:rsidRDefault="00307E03" w:rsidP="00307E03">
      <w:pPr>
        <w:pStyle w:val="enumlev1"/>
        <w:rPr>
          <w:lang w:bidi="ar-EG"/>
        </w:rPr>
      </w:pPr>
      <w:r>
        <w:rPr>
          <w:lang w:val="en-GB"/>
        </w:rPr>
        <w:t>1</w:t>
      </w:r>
      <w:r>
        <w:rPr>
          <w:lang w:val="en-GB"/>
        </w:rPr>
        <w:tab/>
      </w:r>
      <w:r w:rsidR="00A635B0" w:rsidRPr="00A635B0">
        <w:rPr>
          <w:rtl/>
          <w:lang w:val="en-GB"/>
        </w:rPr>
        <w:t>الوفورات من السنوات السابقة: الوفورات المستبقاة من دورات الميزانيات السابقة؛</w:t>
      </w:r>
    </w:p>
    <w:p w14:paraId="12708E7F" w14:textId="6CECE7D2" w:rsidR="00A635B0" w:rsidRPr="00A635B0" w:rsidRDefault="00307E03" w:rsidP="00307E03">
      <w:pPr>
        <w:pStyle w:val="enumlev1"/>
        <w:rPr>
          <w:lang w:bidi="ar-EG"/>
        </w:rPr>
      </w:pPr>
      <w:r>
        <w:rPr>
          <w:lang w:val="en-GB"/>
        </w:rPr>
        <w:t>2</w:t>
      </w:r>
      <w:r>
        <w:rPr>
          <w:lang w:val="en-GB"/>
        </w:rPr>
        <w:tab/>
      </w:r>
      <w:r w:rsidR="00A635B0" w:rsidRPr="00A635B0">
        <w:rPr>
          <w:rtl/>
          <w:lang w:val="en-GB"/>
        </w:rPr>
        <w:t>صناديق الاستثمار: وتشمل صندوق صيانة المباني والصندوق الرأسمالي لتكنولوجيا المعلومات والاتصالات</w:t>
      </w:r>
      <w:r w:rsidRPr="00A635B0">
        <w:rPr>
          <w:rtl/>
          <w:lang w:val="en-GB"/>
        </w:rPr>
        <w:t>؛</w:t>
      </w:r>
    </w:p>
    <w:p w14:paraId="031763AD" w14:textId="5550FC62" w:rsidR="00A635B0" w:rsidRPr="00A635B0" w:rsidRDefault="00307E03" w:rsidP="00307E03">
      <w:pPr>
        <w:pStyle w:val="enumlev1"/>
        <w:rPr>
          <w:lang w:bidi="ar-EG"/>
        </w:rPr>
      </w:pPr>
      <w:r>
        <w:rPr>
          <w:lang w:val="en-GB"/>
        </w:rPr>
        <w:t>3</w:t>
      </w:r>
      <w:r>
        <w:rPr>
          <w:lang w:val="en-GB"/>
        </w:rPr>
        <w:tab/>
      </w:r>
      <w:r w:rsidR="00A635B0" w:rsidRPr="00A635B0">
        <w:rPr>
          <w:rtl/>
          <w:lang w:val="en-GB"/>
        </w:rPr>
        <w:t xml:space="preserve">احتياطي المبنى الجديد: أُنشئ لاستكمال الميزانية الممولة بالقرض الممنوح من مؤسسة مباني المنظمات الدولية </w:t>
      </w:r>
      <w:r w:rsidR="00A635B0" w:rsidRPr="00A635B0">
        <w:rPr>
          <w:lang w:bidi="ar-EG"/>
        </w:rPr>
        <w:t>(FIPOI)</w:t>
      </w:r>
      <w:r w:rsidR="00A635B0" w:rsidRPr="00A635B0">
        <w:rPr>
          <w:rtl/>
          <w:lang w:val="en-GB" w:bidi="ar-EG"/>
        </w:rPr>
        <w:t>.</w:t>
      </w:r>
      <w:r w:rsidR="00A635B0" w:rsidRPr="00A635B0">
        <w:rPr>
          <w:rtl/>
          <w:lang w:val="en-GB"/>
        </w:rPr>
        <w:t xml:space="preserve"> وتمثل هذه الميزانية الإضافية 20,14 مليون فرنك سويسري وردت من الجهات الراعية والتبرعات ومن الوفورات المخصصة بالإضافة إلى فائض سنة 2018؛</w:t>
      </w:r>
    </w:p>
    <w:p w14:paraId="3357868A" w14:textId="5929D2C7" w:rsidR="00A635B0" w:rsidRPr="00A635B0" w:rsidRDefault="00307E03" w:rsidP="00307E03">
      <w:pPr>
        <w:pStyle w:val="enumlev1"/>
        <w:rPr>
          <w:lang w:bidi="ar-EG"/>
        </w:rPr>
      </w:pPr>
      <w:r>
        <w:rPr>
          <w:lang w:val="en-GB"/>
        </w:rPr>
        <w:t>4</w:t>
      </w:r>
      <w:r>
        <w:rPr>
          <w:lang w:val="en-GB"/>
        </w:rPr>
        <w:tab/>
      </w:r>
      <w:r w:rsidR="00A635B0" w:rsidRPr="00A635B0">
        <w:rPr>
          <w:rtl/>
          <w:lang w:val="en-GB"/>
        </w:rPr>
        <w:t xml:space="preserve">صندوق سجل المخاطر: أنشئ </w:t>
      </w:r>
      <w:r w:rsidR="00A635B0" w:rsidRPr="00A635B0">
        <w:rPr>
          <w:rFonts w:hint="cs"/>
          <w:rtl/>
          <w:lang w:val="en-GB"/>
        </w:rPr>
        <w:t>تحسباً</w:t>
      </w:r>
      <w:r w:rsidR="00A635B0" w:rsidRPr="00A635B0">
        <w:rPr>
          <w:rtl/>
          <w:lang w:val="en-GB"/>
        </w:rPr>
        <w:t xml:space="preserve"> </w:t>
      </w:r>
      <w:r w:rsidR="00A635B0" w:rsidRPr="00A635B0">
        <w:rPr>
          <w:rFonts w:hint="cs"/>
          <w:rtl/>
          <w:lang w:val="en-GB"/>
        </w:rPr>
        <w:t>ل</w:t>
      </w:r>
      <w:r w:rsidR="00A635B0" w:rsidRPr="00A635B0">
        <w:rPr>
          <w:rtl/>
          <w:lang w:val="en-GB"/>
        </w:rPr>
        <w:t>لتجاوزات غير المنظورة في تكاليف مشروع المبنى الجديد؛</w:t>
      </w:r>
    </w:p>
    <w:p w14:paraId="3FD139CC" w14:textId="0140A9A9" w:rsidR="00A635B0" w:rsidRPr="00A635B0" w:rsidRDefault="00307E03" w:rsidP="00307E03">
      <w:pPr>
        <w:pStyle w:val="enumlev1"/>
        <w:rPr>
          <w:lang w:bidi="ar-EG"/>
        </w:rPr>
      </w:pPr>
      <w:r>
        <w:rPr>
          <w:lang w:val="en-GB"/>
        </w:rPr>
        <w:t>5</w:t>
      </w:r>
      <w:r>
        <w:rPr>
          <w:lang w:val="en-GB"/>
        </w:rPr>
        <w:tab/>
      </w:r>
      <w:r w:rsidR="00A635B0" w:rsidRPr="00A635B0">
        <w:rPr>
          <w:rtl/>
          <w:lang w:val="en-GB"/>
        </w:rPr>
        <w:t>صندوق الرعاية: تدير الأمينة العامة هذا الصندوق وي</w:t>
      </w:r>
      <w:r w:rsidR="00A635B0" w:rsidRPr="00A635B0">
        <w:rPr>
          <w:rFonts w:hint="cs"/>
          <w:rtl/>
          <w:lang w:val="en-GB"/>
        </w:rPr>
        <w:t>ُ</w:t>
      </w:r>
      <w:r w:rsidR="00A635B0" w:rsidRPr="00A635B0">
        <w:rPr>
          <w:rtl/>
          <w:lang w:val="en-GB"/>
        </w:rPr>
        <w:t>ستخدم لتمويل أنشطة الموظفين بالتنسيق مع مجلس موظفي الاتحاد. وتتألف إيراداته الأساسية من العمولة التي تدفعها خدمات المطاعم في الاتحاد وتتعلق المصروفات الأساسية ب</w:t>
      </w:r>
      <w:r w:rsidR="00A635B0" w:rsidRPr="00A635B0">
        <w:rPr>
          <w:rtl/>
          <w:lang w:val="en-GB" w:bidi="ar-EG"/>
        </w:rPr>
        <w:t>مِنح</w:t>
      </w:r>
      <w:r w:rsidR="00A635B0" w:rsidRPr="00A635B0">
        <w:rPr>
          <w:rtl/>
          <w:lang w:val="en-GB"/>
        </w:rPr>
        <w:t xml:space="preserve"> نوادي الاتحاد وتنظيم فريق الموظفين</w:t>
      </w:r>
      <w:r w:rsidRPr="00A635B0">
        <w:rPr>
          <w:rtl/>
          <w:lang w:val="en-GB"/>
        </w:rPr>
        <w:t>؛</w:t>
      </w:r>
    </w:p>
    <w:p w14:paraId="58A31389" w14:textId="23CE2C56" w:rsidR="00A635B0" w:rsidRPr="00A635B0" w:rsidRDefault="00307E03" w:rsidP="00307E03">
      <w:pPr>
        <w:pStyle w:val="enumlev1"/>
        <w:rPr>
          <w:lang w:bidi="ar-EG"/>
        </w:rPr>
      </w:pPr>
      <w:r>
        <w:rPr>
          <w:lang w:val="en-GB"/>
        </w:rPr>
        <w:t>6</w:t>
      </w:r>
      <w:r>
        <w:rPr>
          <w:lang w:val="en-GB"/>
        </w:rPr>
        <w:tab/>
      </w:r>
      <w:r w:rsidR="00A635B0" w:rsidRPr="00A635B0">
        <w:rPr>
          <w:rtl/>
          <w:lang w:val="en-GB"/>
        </w:rPr>
        <w:t>صندوق الذكرى المئوية الذي أُنشئ للاحتفال بالذكرى السنوية المائة للاتحاد. غير أن المجلس قد قرر تخصيص الأموال المتبقية فيه لتحديث المكتبة</w:t>
      </w:r>
      <w:r w:rsidRPr="00A635B0">
        <w:rPr>
          <w:rtl/>
          <w:lang w:val="en-GB"/>
        </w:rPr>
        <w:t>؛</w:t>
      </w:r>
    </w:p>
    <w:p w14:paraId="0331531A" w14:textId="44E261E4" w:rsidR="00A635B0" w:rsidRPr="00A635B0" w:rsidRDefault="00307E03" w:rsidP="00307E03">
      <w:pPr>
        <w:pStyle w:val="enumlev1"/>
        <w:rPr>
          <w:lang w:bidi="ar-EG"/>
        </w:rPr>
      </w:pPr>
      <w:r>
        <w:rPr>
          <w:lang w:val="en-GB"/>
        </w:rPr>
        <w:t>7</w:t>
      </w:r>
      <w:r>
        <w:rPr>
          <w:lang w:val="en-GB"/>
        </w:rPr>
        <w:tab/>
      </w:r>
      <w:r w:rsidR="00A635B0" w:rsidRPr="00A635B0">
        <w:rPr>
          <w:rtl/>
          <w:lang w:val="en-GB"/>
        </w:rPr>
        <w:t xml:space="preserve">صندوق </w:t>
      </w:r>
      <w:r w:rsidR="00A635B0" w:rsidRPr="00A635B0">
        <w:rPr>
          <w:rFonts w:hint="cs"/>
          <w:rtl/>
          <w:lang w:val="en-GB" w:bidi="ar-EG"/>
        </w:rPr>
        <w:t>التأمينات</w:t>
      </w:r>
      <w:r w:rsidR="00A635B0" w:rsidRPr="00A635B0">
        <w:rPr>
          <w:rtl/>
          <w:lang w:val="en-GB"/>
        </w:rPr>
        <w:t xml:space="preserve"> (SS&amp;BF): يشمل</w:t>
      </w:r>
      <w:r w:rsidR="00A635B0" w:rsidRPr="00A635B0">
        <w:rPr>
          <w:rFonts w:hint="cs"/>
          <w:rtl/>
          <w:lang w:val="en-GB"/>
        </w:rPr>
        <w:t xml:space="preserve"> </w:t>
      </w:r>
      <w:r w:rsidR="00A635B0" w:rsidRPr="00A635B0">
        <w:rPr>
          <w:rtl/>
          <w:lang w:val="en-GB"/>
        </w:rPr>
        <w:t xml:space="preserve">الصندوق الاحتياطي والتكميلي وصندوق المساعدة: </w:t>
      </w:r>
      <w:r w:rsidR="00A635B0" w:rsidRPr="00A635B0">
        <w:rPr>
          <w:rFonts w:hint="cs"/>
          <w:rtl/>
          <w:lang w:val="en-GB"/>
        </w:rPr>
        <w:t>يتعلق هذان الصندوقان</w:t>
      </w:r>
      <w:r w:rsidR="00A635B0" w:rsidRPr="00A635B0">
        <w:rPr>
          <w:rtl/>
          <w:lang w:val="en-GB"/>
        </w:rPr>
        <w:t xml:space="preserve"> بالمعاشات التقاعدية للموظفين الذين كانوا في الخدمة قبل 1 يناير 1960، وهو تاريخ انتساب الاتحاد إلى الصندوق المشترك للمعاشات التقاعدية لموظفي الأمم المتحدة </w:t>
      </w:r>
      <w:r w:rsidR="00A635B0" w:rsidRPr="00A635B0">
        <w:rPr>
          <w:lang w:bidi="ar-EG"/>
        </w:rPr>
        <w:t>(UNJSPF)</w:t>
      </w:r>
      <w:r w:rsidR="00A635B0" w:rsidRPr="00A635B0">
        <w:rPr>
          <w:rtl/>
          <w:lang w:val="en-GB"/>
        </w:rPr>
        <w:t xml:space="preserve">. وبموجب المادة 86 من </w:t>
      </w:r>
      <w:r w:rsidR="00A635B0" w:rsidRPr="00A635B0">
        <w:rPr>
          <w:rFonts w:hint="cs"/>
          <w:rtl/>
          <w:lang w:val="en-GB"/>
        </w:rPr>
        <w:t>لوائح</w:t>
      </w:r>
      <w:r w:rsidR="00A635B0" w:rsidRPr="00A635B0">
        <w:rPr>
          <w:rtl/>
          <w:lang w:val="en-GB"/>
        </w:rPr>
        <w:t xml:space="preserve"> صندوق </w:t>
      </w:r>
      <w:r w:rsidR="00A635B0" w:rsidRPr="00A635B0">
        <w:rPr>
          <w:rFonts w:hint="cs"/>
          <w:rtl/>
          <w:lang w:val="en-GB"/>
        </w:rPr>
        <w:t>التأمينات</w:t>
      </w:r>
      <w:r w:rsidR="00A635B0" w:rsidRPr="00A635B0">
        <w:rPr>
          <w:rtl/>
          <w:lang w:val="en-GB"/>
        </w:rPr>
        <w:t xml:space="preserve"> ل</w:t>
      </w:r>
      <w:r w:rsidR="00A635B0" w:rsidRPr="00A635B0">
        <w:rPr>
          <w:rFonts w:hint="cs"/>
          <w:rtl/>
          <w:lang w:val="en-GB"/>
        </w:rPr>
        <w:t xml:space="preserve">موظفي الاتحاد، يدير الاتحاد هذا الصندوق </w:t>
      </w:r>
      <w:r w:rsidR="00A635B0" w:rsidRPr="00A635B0">
        <w:rPr>
          <w:rtl/>
          <w:lang w:val="en-GB"/>
        </w:rPr>
        <w:t>وي</w:t>
      </w:r>
      <w:r w:rsidR="00A635B0" w:rsidRPr="00A635B0">
        <w:rPr>
          <w:rFonts w:hint="cs"/>
          <w:rtl/>
          <w:lang w:val="en-GB"/>
        </w:rPr>
        <w:t>ُ</w:t>
      </w:r>
      <w:r w:rsidR="00A635B0" w:rsidRPr="00A635B0">
        <w:rPr>
          <w:rtl/>
          <w:lang w:val="en-GB"/>
        </w:rPr>
        <w:t>ستثمر</w:t>
      </w:r>
      <w:r w:rsidR="00A635B0" w:rsidRPr="00A635B0">
        <w:rPr>
          <w:rtl/>
          <w:lang w:val="en-GB" w:bidi="ar-EG"/>
        </w:rPr>
        <w:t xml:space="preserve"> فيه بالسندات الاستئمانية؛</w:t>
      </w:r>
    </w:p>
    <w:p w14:paraId="164DC83E" w14:textId="0A1A46B9" w:rsidR="00A635B0" w:rsidRPr="00A635B0" w:rsidRDefault="00307E03" w:rsidP="00307E03">
      <w:pPr>
        <w:pStyle w:val="enumlev1"/>
        <w:rPr>
          <w:lang w:bidi="ar-EG"/>
        </w:rPr>
      </w:pPr>
      <w:r>
        <w:rPr>
          <w:lang w:val="en-GB" w:bidi="ar-EG"/>
        </w:rPr>
        <w:t>8</w:t>
      </w:r>
      <w:r>
        <w:rPr>
          <w:lang w:val="en-GB" w:bidi="ar-EG"/>
        </w:rPr>
        <w:tab/>
      </w:r>
      <w:r w:rsidR="00A635B0" w:rsidRPr="00A635B0">
        <w:rPr>
          <w:rtl/>
          <w:lang w:val="en-GB" w:bidi="ar-EG"/>
        </w:rPr>
        <w:t xml:space="preserve">صندوق </w:t>
      </w:r>
      <w:r w:rsidR="00A635B0" w:rsidRPr="00A635B0">
        <w:rPr>
          <w:rtl/>
          <w:lang w:val="en-GB"/>
        </w:rPr>
        <w:t xml:space="preserve">التأمين الصحي بعد انتهاء الخدمة (ASHI): أُنشئ لتمويل الالتزام الطويل الأجل المتعلق بالتأمين الصحي بعد انتهاء الخدمة </w:t>
      </w:r>
      <w:r w:rsidR="00A635B0" w:rsidRPr="00A635B0">
        <w:rPr>
          <w:lang w:bidi="ar-EG"/>
        </w:rPr>
        <w:t>(ASHI)</w:t>
      </w:r>
      <w:r w:rsidR="00A635B0" w:rsidRPr="00A635B0">
        <w:rPr>
          <w:rtl/>
          <w:lang w:val="en-GB"/>
        </w:rPr>
        <w:t>؛</w:t>
      </w:r>
    </w:p>
    <w:p w14:paraId="4107A40E" w14:textId="0661266F" w:rsidR="00A635B0" w:rsidRPr="00A635B0" w:rsidRDefault="00307E03" w:rsidP="00307E03">
      <w:pPr>
        <w:pStyle w:val="enumlev1"/>
        <w:rPr>
          <w:lang w:bidi="ar-EG"/>
        </w:rPr>
      </w:pPr>
      <w:r>
        <w:rPr>
          <w:lang w:val="en-GB"/>
        </w:rPr>
        <w:t>9</w:t>
      </w:r>
      <w:r>
        <w:rPr>
          <w:lang w:val="en-GB"/>
        </w:rPr>
        <w:tab/>
      </w:r>
      <w:r w:rsidR="00A635B0" w:rsidRPr="00A635B0">
        <w:rPr>
          <w:rtl/>
          <w:lang w:val="en-GB"/>
        </w:rPr>
        <w:t>يتصل صندوق التأمين الصحي بصندوق ضمان خطة التأمين الطبي المستمر (CMIP)، الذي يشكل صندوق الضمان الذي أنشئ لنظام التأمين الصحي في الاتحاد في سنة 2014 حينما كانت المنظمة منتسبة إلى</w:t>
      </w:r>
      <w:r w:rsidR="00A635B0" w:rsidRPr="00A635B0">
        <w:rPr>
          <w:rtl/>
          <w:lang w:val="en-GB" w:bidi="ar-EG"/>
        </w:rPr>
        <w:t xml:space="preserve"> شركة التأمين السابقة قبل انتسابها إلى جمعية التأمين التعاوني لموظفي الأمم المتحدة</w:t>
      </w:r>
      <w:r w:rsidR="00A635B0" w:rsidRPr="00A635B0">
        <w:rPr>
          <w:rtl/>
          <w:lang w:val="en-GB"/>
        </w:rPr>
        <w:t xml:space="preserve"> </w:t>
      </w:r>
      <w:r w:rsidR="00A635B0" w:rsidRPr="00A635B0">
        <w:rPr>
          <w:lang w:bidi="ar-EG"/>
        </w:rPr>
        <w:t>(UNSMIS)</w:t>
      </w:r>
      <w:r w:rsidR="00A635B0" w:rsidRPr="00A635B0">
        <w:rPr>
          <w:rtl/>
          <w:lang w:val="en-GB" w:bidi="ar-EG"/>
        </w:rPr>
        <w:t>.</w:t>
      </w:r>
    </w:p>
    <w:p w14:paraId="51691D19" w14:textId="77777777" w:rsidR="00EF3E76" w:rsidRDefault="00A635B0" w:rsidP="00187C0F">
      <w:pPr>
        <w:rPr>
          <w:rtl/>
          <w:lang w:val="en-GB"/>
        </w:rPr>
      </w:pPr>
      <w:r w:rsidRPr="00A635B0">
        <w:rPr>
          <w:rtl/>
          <w:lang w:val="en-GB"/>
        </w:rPr>
        <w:t xml:space="preserve">ويبين الجدول أدناه حركة الاحتياطيات </w:t>
      </w:r>
      <w:r w:rsidRPr="00A635B0">
        <w:rPr>
          <w:rFonts w:hint="cs"/>
          <w:rtl/>
          <w:lang w:val="en-GB"/>
        </w:rPr>
        <w:t>الأخرى والصناديق</w:t>
      </w:r>
      <w:r w:rsidRPr="00A635B0">
        <w:rPr>
          <w:rtl/>
          <w:lang w:val="en-GB"/>
        </w:rPr>
        <w:t xml:space="preserve"> </w:t>
      </w:r>
      <w:r w:rsidRPr="00A635B0">
        <w:rPr>
          <w:rFonts w:hint="cs"/>
          <w:rtl/>
          <w:lang w:val="en-GB" w:bidi="ar-EG"/>
        </w:rPr>
        <w:t xml:space="preserve">لدى </w:t>
      </w:r>
      <w:r w:rsidRPr="00A635B0">
        <w:rPr>
          <w:rtl/>
          <w:lang w:val="en-GB"/>
        </w:rPr>
        <w:t>الاتحاد.</w:t>
      </w:r>
    </w:p>
    <w:p w14:paraId="34AF9A04" w14:textId="38F2B07A" w:rsidR="00A635B0" w:rsidRPr="00A635B0" w:rsidRDefault="00307E03" w:rsidP="00307E03">
      <w:pPr>
        <w:pStyle w:val="Figure"/>
        <w:rPr>
          <w:rtl/>
          <w:lang w:val="en-GB" w:bidi="ar-SY"/>
        </w:rPr>
      </w:pPr>
      <w:r>
        <w:rPr>
          <w:lang w:val="en-GB" w:bidi="ar-SY"/>
        </w:rPr>
        <w:lastRenderedPageBreak/>
        <w:drawing>
          <wp:inline distT="0" distB="0" distL="0" distR="0" wp14:anchorId="022A2D49" wp14:editId="770D26C4">
            <wp:extent cx="5760000" cy="3186000"/>
            <wp:effectExtent l="0" t="0" r="0" b="0"/>
            <wp:docPr id="250458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3186000"/>
                    </a:xfrm>
                    <a:prstGeom prst="rect">
                      <a:avLst/>
                    </a:prstGeom>
                    <a:noFill/>
                  </pic:spPr>
                </pic:pic>
              </a:graphicData>
            </a:graphic>
          </wp:inline>
        </w:drawing>
      </w:r>
    </w:p>
    <w:p w14:paraId="054CD393" w14:textId="77777777" w:rsidR="00A635B0" w:rsidRPr="00A635B0" w:rsidRDefault="00A635B0" w:rsidP="00307E03">
      <w:pPr>
        <w:pStyle w:val="Headingb0"/>
        <w:rPr>
          <w:rtl/>
          <w:lang w:val="en-GB" w:bidi="ar-SY"/>
        </w:rPr>
      </w:pPr>
      <w:r w:rsidRPr="00A635B0">
        <w:rPr>
          <w:rFonts w:hint="cs"/>
          <w:rtl/>
          <w:lang w:val="en-GB" w:bidi="ar-EG"/>
        </w:rPr>
        <w:t>الاحتياطيات من خارج الميزانية</w:t>
      </w:r>
    </w:p>
    <w:p w14:paraId="6F5D726F" w14:textId="77777777" w:rsidR="00A635B0" w:rsidRPr="00A635B0" w:rsidRDefault="00A635B0" w:rsidP="00187C0F">
      <w:pPr>
        <w:rPr>
          <w:lang w:bidi="ar-EG"/>
        </w:rPr>
      </w:pPr>
      <w:r w:rsidRPr="00A635B0">
        <w:rPr>
          <w:rFonts w:hint="cs"/>
          <w:rtl/>
          <w:lang w:val="en-GB"/>
        </w:rPr>
        <w:t xml:space="preserve">هي </w:t>
      </w:r>
      <w:r w:rsidRPr="00A635B0">
        <w:rPr>
          <w:rtl/>
          <w:lang w:val="en-GB"/>
        </w:rPr>
        <w:t xml:space="preserve">الاحتياطيات </w:t>
      </w:r>
      <w:r w:rsidRPr="00A635B0">
        <w:rPr>
          <w:rFonts w:hint="cs"/>
          <w:rtl/>
          <w:lang w:val="en-GB"/>
        </w:rPr>
        <w:t>الداعمة</w:t>
      </w:r>
      <w:r w:rsidRPr="00A635B0">
        <w:rPr>
          <w:rtl/>
          <w:lang w:val="en-GB"/>
        </w:rPr>
        <w:t xml:space="preserve"> </w:t>
      </w:r>
      <w:r w:rsidRPr="00A635B0">
        <w:rPr>
          <w:rFonts w:hint="cs"/>
          <w:rtl/>
          <w:lang w:val="en-GB"/>
        </w:rPr>
        <w:t>ل</w:t>
      </w:r>
      <w:r w:rsidRPr="00A635B0">
        <w:rPr>
          <w:rtl/>
          <w:lang w:val="en-GB"/>
        </w:rPr>
        <w:t>مشاريع الاتحاد ومبادراته</w:t>
      </w:r>
      <w:r w:rsidRPr="00A635B0">
        <w:rPr>
          <w:rFonts w:hint="cs"/>
          <w:rtl/>
          <w:lang w:val="en-GB"/>
        </w:rPr>
        <w:t xml:space="preserve"> من</w:t>
      </w:r>
      <w:r w:rsidRPr="00A635B0">
        <w:rPr>
          <w:rtl/>
          <w:lang w:val="en-GB"/>
        </w:rPr>
        <w:t xml:space="preserve"> خارج الميزانية العادية، وتشمل</w:t>
      </w:r>
      <w:r w:rsidRPr="00A635B0">
        <w:rPr>
          <w:rFonts w:hint="cs"/>
          <w:rtl/>
          <w:lang w:val="en-GB"/>
        </w:rPr>
        <w:t xml:space="preserve"> ما يلي</w:t>
      </w:r>
      <w:r w:rsidRPr="00A635B0">
        <w:rPr>
          <w:rtl/>
          <w:lang w:val="en-GB"/>
        </w:rPr>
        <w:t>:</w:t>
      </w:r>
    </w:p>
    <w:p w14:paraId="6EFC09D4" w14:textId="4909F8B1" w:rsidR="00A635B0" w:rsidRPr="00307E03" w:rsidRDefault="00A635B0" w:rsidP="00307E03">
      <w:pPr>
        <w:pStyle w:val="Headingi"/>
        <w:rPr>
          <w:b w:val="0"/>
          <w:bCs w:val="0"/>
          <w:lang w:val="en-GB"/>
        </w:rPr>
      </w:pPr>
      <w:r w:rsidRPr="00307E03">
        <w:rPr>
          <w:b w:val="0"/>
          <w:bCs w:val="0"/>
          <w:rtl/>
          <w:lang w:val="en-GB"/>
        </w:rPr>
        <w:t>-</w:t>
      </w:r>
      <w:r w:rsidRPr="00307E03">
        <w:rPr>
          <w:b w:val="0"/>
          <w:bCs w:val="0"/>
          <w:rtl/>
          <w:lang w:val="en-GB"/>
        </w:rPr>
        <w:tab/>
        <w:t>الاحتياطيات المخصصة</w:t>
      </w:r>
    </w:p>
    <w:p w14:paraId="5611ED72" w14:textId="77777777" w:rsidR="00A635B0" w:rsidRPr="00A635B0" w:rsidRDefault="00A635B0" w:rsidP="00187C0F">
      <w:pPr>
        <w:rPr>
          <w:lang w:bidi="ar-EG"/>
        </w:rPr>
      </w:pPr>
      <w:r w:rsidRPr="00A635B0">
        <w:rPr>
          <w:rtl/>
          <w:lang w:val="en-GB"/>
        </w:rPr>
        <w:t xml:space="preserve">أنشئت لتمويل المشاريع الداخلية الجارية. وتمثل </w:t>
      </w:r>
      <w:r w:rsidRPr="00A635B0">
        <w:rPr>
          <w:rFonts w:hint="cs"/>
          <w:rtl/>
          <w:lang w:val="en-GB"/>
        </w:rPr>
        <w:t>حركتها مصروفات</w:t>
      </w:r>
      <w:r w:rsidRPr="00A635B0">
        <w:rPr>
          <w:rtl/>
          <w:lang w:val="en-GB"/>
        </w:rPr>
        <w:t xml:space="preserve"> تنفيذ المشاريع وتخصيص الأموال الداخلية </w:t>
      </w:r>
      <w:r w:rsidRPr="00A635B0">
        <w:rPr>
          <w:rFonts w:hint="cs"/>
          <w:rtl/>
          <w:lang w:val="en-GB"/>
        </w:rPr>
        <w:t xml:space="preserve">المتأتية </w:t>
      </w:r>
      <w:r w:rsidRPr="00A635B0">
        <w:rPr>
          <w:rtl/>
          <w:lang w:val="en-GB"/>
        </w:rPr>
        <w:t xml:space="preserve">من الميزانية العادية أو </w:t>
      </w:r>
      <w:r w:rsidRPr="00A635B0">
        <w:rPr>
          <w:rFonts w:hint="cs"/>
          <w:rtl/>
          <w:lang w:val="en-GB"/>
        </w:rPr>
        <w:t xml:space="preserve">من </w:t>
      </w:r>
      <w:r w:rsidRPr="00A635B0">
        <w:rPr>
          <w:rtl/>
          <w:lang w:val="en-GB"/>
        </w:rPr>
        <w:t>صندوق تنمية تكنولوجيا المعلومات والاتصالات.</w:t>
      </w:r>
    </w:p>
    <w:p w14:paraId="08CF09C1" w14:textId="2CD31F4B" w:rsidR="00A635B0" w:rsidRPr="00307E03" w:rsidRDefault="00307E03" w:rsidP="00307E03">
      <w:pPr>
        <w:pStyle w:val="Headingi"/>
        <w:rPr>
          <w:b w:val="0"/>
          <w:bCs w:val="0"/>
          <w:lang w:val="en-GB"/>
        </w:rPr>
      </w:pPr>
      <w:r>
        <w:rPr>
          <w:b w:val="0"/>
          <w:bCs w:val="0"/>
          <w:lang w:val="en-GB"/>
        </w:rPr>
        <w:t>-</w:t>
      </w:r>
      <w:r>
        <w:rPr>
          <w:b w:val="0"/>
          <w:bCs w:val="0"/>
          <w:lang w:val="en-GB"/>
        </w:rPr>
        <w:tab/>
      </w:r>
      <w:r w:rsidR="00A635B0" w:rsidRPr="00307E03">
        <w:rPr>
          <w:b w:val="0"/>
          <w:bCs w:val="0"/>
          <w:rtl/>
          <w:lang w:val="en-GB"/>
        </w:rPr>
        <w:t>صندوق رأس المال العامل لمعرض الاتحاد</w:t>
      </w:r>
    </w:p>
    <w:p w14:paraId="09B5F4B4" w14:textId="46B4110C" w:rsidR="00A635B0" w:rsidRPr="00A635B0" w:rsidRDefault="00A635B0" w:rsidP="00307E03">
      <w:pPr>
        <w:rPr>
          <w:lang w:bidi="ar-EG"/>
        </w:rPr>
      </w:pPr>
      <w:r w:rsidRPr="00A635B0">
        <w:rPr>
          <w:rtl/>
          <w:lang w:val="en-GB"/>
        </w:rPr>
        <w:t>عقب إلغاء القرار 11 (بوخارست، 2022)، د</w:t>
      </w:r>
      <w:r w:rsidRPr="00A635B0">
        <w:rPr>
          <w:rFonts w:hint="cs"/>
          <w:rtl/>
          <w:lang w:val="en-GB"/>
        </w:rPr>
        <w:t>ُ</w:t>
      </w:r>
      <w:r w:rsidRPr="00A635B0">
        <w:rPr>
          <w:rtl/>
          <w:lang w:val="en-GB"/>
        </w:rPr>
        <w:t>فع</w:t>
      </w:r>
      <w:r w:rsidRPr="00A635B0">
        <w:rPr>
          <w:rFonts w:hint="cs"/>
          <w:rtl/>
          <w:lang w:val="en-GB"/>
        </w:rPr>
        <w:t xml:space="preserve"> من هذا الصندوق</w:t>
      </w:r>
      <w:r w:rsidRPr="00A635B0">
        <w:rPr>
          <w:rtl/>
          <w:lang w:val="en-GB"/>
        </w:rPr>
        <w:t xml:space="preserve"> في سنة 2024 وفقا</w:t>
      </w:r>
      <w:r w:rsidRPr="00A635B0">
        <w:rPr>
          <w:rFonts w:hint="cs"/>
          <w:rtl/>
          <w:lang w:val="en-GB"/>
        </w:rPr>
        <w:t>ً</w:t>
      </w:r>
      <w:r w:rsidRPr="00A635B0">
        <w:rPr>
          <w:rtl/>
          <w:lang w:val="en-GB"/>
        </w:rPr>
        <w:t xml:space="preserve"> للقرار 1427 (الوثيقة </w:t>
      </w:r>
      <w:hyperlink r:id="rId34" w:history="1">
        <w:r w:rsidRPr="00307E03">
          <w:rPr>
            <w:rStyle w:val="Hyperlink"/>
            <w:noProof w:val="0"/>
            <w:lang w:val="en-US" w:eastAsia="zh-CN" w:bidi="ar-EG"/>
          </w:rPr>
          <w:t>C24/134</w:t>
        </w:r>
      </w:hyperlink>
      <w:r w:rsidRPr="00A635B0">
        <w:rPr>
          <w:rFonts w:hint="cs"/>
          <w:rtl/>
          <w:lang w:val="en-GB"/>
        </w:rPr>
        <w:t>)</w:t>
      </w:r>
      <w:r w:rsidRPr="00A635B0">
        <w:rPr>
          <w:rtl/>
          <w:lang w:val="en-GB"/>
        </w:rPr>
        <w:t xml:space="preserve"> 0,465 </w:t>
      </w:r>
      <w:r w:rsidRPr="00A635B0">
        <w:rPr>
          <w:rFonts w:hint="cs"/>
          <w:rtl/>
          <w:lang w:val="en-GB"/>
        </w:rPr>
        <w:t>م</w:t>
      </w:r>
      <w:r w:rsidRPr="00A635B0">
        <w:rPr>
          <w:rtl/>
          <w:lang w:val="en-GB"/>
        </w:rPr>
        <w:t xml:space="preserve">ليون فرنك سويسري إلى صندوق تنمية تكنولوجيا المعلومات والاتصالات ولا يزال الرصيد المتبقي </w:t>
      </w:r>
      <w:r w:rsidRPr="00A635B0">
        <w:rPr>
          <w:rFonts w:hint="cs"/>
          <w:rtl/>
          <w:lang w:val="en-GB"/>
        </w:rPr>
        <w:t xml:space="preserve">موجوداً </w:t>
      </w:r>
      <w:r w:rsidRPr="00A635B0">
        <w:rPr>
          <w:rtl/>
          <w:lang w:val="en-GB"/>
        </w:rPr>
        <w:t xml:space="preserve">في صندوق رأس المال العامل للمعرض للوفاء بجميع الالتزامات </w:t>
      </w:r>
      <w:r w:rsidRPr="00A635B0">
        <w:rPr>
          <w:rFonts w:hint="cs"/>
          <w:rtl/>
          <w:lang w:val="en-GB"/>
        </w:rPr>
        <w:t xml:space="preserve">الواجبة </w:t>
      </w:r>
      <w:r w:rsidRPr="00A635B0">
        <w:rPr>
          <w:rtl/>
          <w:lang w:val="en-GB"/>
        </w:rPr>
        <w:t xml:space="preserve">تجاه </w:t>
      </w:r>
      <w:r w:rsidRPr="00A635B0">
        <w:rPr>
          <w:rFonts w:hint="cs"/>
          <w:rtl/>
          <w:lang w:val="en-GB"/>
        </w:rPr>
        <w:t>الموظفين المعنيين بمعرض تليكوم الاتحاد.</w:t>
      </w:r>
    </w:p>
    <w:p w14:paraId="24794AB9" w14:textId="2DE9D66B" w:rsidR="00A635B0" w:rsidRPr="00EA20A1" w:rsidRDefault="00EA20A1" w:rsidP="00EA20A1">
      <w:pPr>
        <w:pStyle w:val="Headingi"/>
        <w:rPr>
          <w:b w:val="0"/>
          <w:bCs w:val="0"/>
          <w:lang w:val="en-GB"/>
        </w:rPr>
      </w:pPr>
      <w:r>
        <w:rPr>
          <w:b w:val="0"/>
          <w:bCs w:val="0"/>
          <w:lang w:val="en-GB"/>
        </w:rPr>
        <w:t>-</w:t>
      </w:r>
      <w:r>
        <w:rPr>
          <w:b w:val="0"/>
          <w:bCs w:val="0"/>
          <w:lang w:val="en-GB"/>
        </w:rPr>
        <w:tab/>
      </w:r>
      <w:r w:rsidR="00A635B0" w:rsidRPr="00EA20A1">
        <w:rPr>
          <w:b w:val="0"/>
          <w:bCs w:val="0"/>
          <w:rtl/>
          <w:lang w:val="en-GB"/>
        </w:rPr>
        <w:t>صندوق تنمية تكنولوجيا المعلومات والاتصالات</w:t>
      </w:r>
      <w:r w:rsidR="00A635B0" w:rsidRPr="00EA20A1">
        <w:rPr>
          <w:rFonts w:hint="cs"/>
          <w:b w:val="0"/>
          <w:bCs w:val="0"/>
          <w:rtl/>
          <w:lang w:val="en-GB"/>
        </w:rPr>
        <w:t xml:space="preserve"> </w:t>
      </w:r>
      <w:r w:rsidR="00A635B0" w:rsidRPr="00EA20A1">
        <w:rPr>
          <w:b w:val="0"/>
          <w:bCs w:val="0"/>
          <w:lang w:val="en-GB"/>
        </w:rPr>
        <w:t>(ICTDF)</w:t>
      </w:r>
    </w:p>
    <w:p w14:paraId="117B781B" w14:textId="77777777" w:rsidR="00EF3E76" w:rsidRDefault="00A635B0" w:rsidP="00187C0F">
      <w:pPr>
        <w:rPr>
          <w:rtl/>
          <w:lang w:val="en-GB"/>
        </w:rPr>
      </w:pPr>
      <w:r w:rsidRPr="00A635B0">
        <w:rPr>
          <w:rtl/>
          <w:lang w:val="en-GB"/>
        </w:rPr>
        <w:t>يدعم مشاريع ت</w:t>
      </w:r>
      <w:r w:rsidRPr="00A635B0">
        <w:rPr>
          <w:rFonts w:hint="cs"/>
          <w:rtl/>
          <w:lang w:val="en-GB"/>
        </w:rPr>
        <w:t>طوير</w:t>
      </w:r>
      <w:r w:rsidRPr="00A635B0">
        <w:rPr>
          <w:rtl/>
          <w:lang w:val="en-GB"/>
        </w:rPr>
        <w:t xml:space="preserve"> تكنولوجيا المعلومات والاتصالات الوطنية والإقليمية الممولة من فائض إيرادات أحداث تليكوم الاتحاد و</w:t>
      </w:r>
      <w:r w:rsidRPr="00A635B0">
        <w:rPr>
          <w:rFonts w:hint="cs"/>
          <w:rtl/>
          <w:lang w:val="en-GB"/>
        </w:rPr>
        <w:t xml:space="preserve">من </w:t>
      </w:r>
      <w:r w:rsidRPr="00A635B0">
        <w:rPr>
          <w:rtl/>
          <w:lang w:val="en-GB"/>
        </w:rPr>
        <w:t>المساهمات المقدمة من الأعضاء أو أطراف ثالثة. ويشمل ال</w:t>
      </w:r>
      <w:r w:rsidRPr="00A635B0">
        <w:rPr>
          <w:rFonts w:hint="cs"/>
          <w:rtl/>
          <w:lang w:val="en-GB"/>
        </w:rPr>
        <w:t>صندوق</w:t>
      </w:r>
      <w:r w:rsidRPr="00A635B0">
        <w:rPr>
          <w:rtl/>
          <w:lang w:val="en-GB"/>
        </w:rPr>
        <w:t xml:space="preserve"> أيضا</w:t>
      </w:r>
      <w:r w:rsidRPr="00A635B0">
        <w:rPr>
          <w:rFonts w:hint="cs"/>
          <w:rtl/>
          <w:lang w:val="en-GB"/>
        </w:rPr>
        <w:t xml:space="preserve">ً </w:t>
      </w:r>
      <w:r w:rsidRPr="00A635B0">
        <w:rPr>
          <w:rtl/>
          <w:lang w:val="en-GB"/>
        </w:rPr>
        <w:t>المساهمات التي يدفعها الأعضاء أو أطراف ثالثة لتمويل مشاريع ت</w:t>
      </w:r>
      <w:r w:rsidRPr="00A635B0">
        <w:rPr>
          <w:rFonts w:hint="cs"/>
          <w:rtl/>
          <w:lang w:val="en-GB"/>
        </w:rPr>
        <w:t>طوير</w:t>
      </w:r>
      <w:r w:rsidRPr="00A635B0">
        <w:rPr>
          <w:rtl/>
          <w:lang w:val="en-GB"/>
        </w:rPr>
        <w:t xml:space="preserve"> تكنولوجيا المعلومات والاتصالات.</w:t>
      </w:r>
    </w:p>
    <w:p w14:paraId="62DD0624" w14:textId="488E2DAF" w:rsidR="00A635B0" w:rsidRPr="00EA20A1" w:rsidRDefault="00A635B0" w:rsidP="00EA20A1">
      <w:pPr>
        <w:pStyle w:val="Headingi"/>
        <w:rPr>
          <w:b w:val="0"/>
          <w:bCs w:val="0"/>
          <w:lang w:val="en-GB"/>
        </w:rPr>
      </w:pPr>
      <w:r w:rsidRPr="00EA20A1">
        <w:rPr>
          <w:b w:val="0"/>
          <w:bCs w:val="0"/>
          <w:rtl/>
          <w:lang w:val="en-GB"/>
        </w:rPr>
        <w:t>-</w:t>
      </w:r>
      <w:r w:rsidRPr="00EA20A1">
        <w:rPr>
          <w:b w:val="0"/>
          <w:bCs w:val="0"/>
          <w:rtl/>
          <w:lang w:val="en-GB"/>
        </w:rPr>
        <w:tab/>
        <w:t>الاحتياطيات الأخرى غير المخصصة</w:t>
      </w:r>
    </w:p>
    <w:p w14:paraId="54418F4F" w14:textId="77777777" w:rsidR="00A635B0" w:rsidRPr="00A635B0" w:rsidRDefault="00A635B0" w:rsidP="00187C0F">
      <w:pPr>
        <w:rPr>
          <w:lang w:bidi="ar-EG"/>
        </w:rPr>
      </w:pPr>
      <w:r w:rsidRPr="00A635B0">
        <w:rPr>
          <w:rFonts w:hint="cs"/>
          <w:rtl/>
          <w:lang w:val="en-GB"/>
        </w:rPr>
        <w:t>ت</w:t>
      </w:r>
      <w:r w:rsidRPr="00A635B0">
        <w:rPr>
          <w:rtl/>
          <w:lang w:val="en-GB"/>
        </w:rPr>
        <w:t>شمل الأرصدة المتبقية من المشاريع الداخلية المغلقة</w:t>
      </w:r>
      <w:r w:rsidRPr="00A635B0">
        <w:rPr>
          <w:rFonts w:hint="cs"/>
          <w:rtl/>
          <w:lang w:val="en-GB"/>
        </w:rPr>
        <w:t>،</w:t>
      </w:r>
      <w:r w:rsidRPr="00A635B0">
        <w:rPr>
          <w:rtl/>
          <w:lang w:val="en-GB"/>
        </w:rPr>
        <w:t xml:space="preserve"> المتاحة لتمويل مشاريع جديدة أو مبادرات إقليمية.</w:t>
      </w:r>
    </w:p>
    <w:p w14:paraId="5D316C33" w14:textId="77777777" w:rsidR="00A635B0" w:rsidRPr="00A635B0" w:rsidRDefault="00A635B0" w:rsidP="00BF734F">
      <w:pPr>
        <w:keepNext/>
        <w:rPr>
          <w:lang w:bidi="ar-EG"/>
        </w:rPr>
      </w:pPr>
      <w:r w:rsidRPr="00A635B0">
        <w:rPr>
          <w:rtl/>
          <w:lang w:val="en-GB" w:bidi="ar-EG"/>
        </w:rPr>
        <w:lastRenderedPageBreak/>
        <w:t xml:space="preserve">ويبين الجدول أدناه </w:t>
      </w:r>
      <w:r w:rsidRPr="00A635B0">
        <w:rPr>
          <w:rFonts w:hint="cs"/>
          <w:rtl/>
          <w:lang w:val="en-GB" w:bidi="ar-EG"/>
        </w:rPr>
        <w:t>حركة احتياطيات الاتحاد من خارج الميزانية</w:t>
      </w:r>
      <w:r w:rsidRPr="00A635B0">
        <w:rPr>
          <w:rtl/>
          <w:lang w:val="en-GB" w:bidi="ar-EG"/>
        </w:rPr>
        <w:t>.</w:t>
      </w:r>
    </w:p>
    <w:p w14:paraId="4C10C142" w14:textId="3659C0D6" w:rsidR="00A635B0" w:rsidRPr="00A635B0" w:rsidRDefault="00413CED" w:rsidP="00413CED">
      <w:pPr>
        <w:pStyle w:val="Figure"/>
        <w:rPr>
          <w:rtl/>
          <w:lang w:val="en-GB" w:bidi="ar-EG"/>
        </w:rPr>
      </w:pPr>
      <w:r>
        <w:rPr>
          <w:lang w:val="en-GB" w:bidi="ar-EG"/>
        </w:rPr>
        <w:drawing>
          <wp:inline distT="0" distB="0" distL="0" distR="0" wp14:anchorId="25E630B7" wp14:editId="52CDF658">
            <wp:extent cx="5329787" cy="2409825"/>
            <wp:effectExtent l="0" t="0" r="4445" b="0"/>
            <wp:docPr id="1872976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7079" cy="2413122"/>
                    </a:xfrm>
                    <a:prstGeom prst="rect">
                      <a:avLst/>
                    </a:prstGeom>
                    <a:noFill/>
                  </pic:spPr>
                </pic:pic>
              </a:graphicData>
            </a:graphic>
          </wp:inline>
        </w:drawing>
      </w:r>
    </w:p>
    <w:p w14:paraId="60ADD1D3" w14:textId="77777777" w:rsidR="00A635B0" w:rsidRPr="00A635B0" w:rsidRDefault="00A635B0" w:rsidP="00EA20A1">
      <w:pPr>
        <w:pStyle w:val="Headingb0"/>
        <w:rPr>
          <w:lang w:bidi="ar-EG"/>
        </w:rPr>
      </w:pPr>
      <w:bookmarkStart w:id="182" w:name="_Hlk199951390"/>
      <w:bookmarkStart w:id="183" w:name="_Toc387263373"/>
      <w:bookmarkStart w:id="184" w:name="_Toc387338348"/>
      <w:bookmarkStart w:id="185" w:name="_Toc419484070"/>
      <w:bookmarkStart w:id="186" w:name="_Toc452156622"/>
      <w:bookmarkStart w:id="187" w:name="_Toc482792208"/>
      <w:bookmarkStart w:id="188" w:name="_Toc482793713"/>
      <w:bookmarkStart w:id="189" w:name="_Toc511402228"/>
      <w:bookmarkStart w:id="190" w:name="_Toc511756665"/>
      <w:bookmarkStart w:id="191" w:name="_Toc9614784"/>
      <w:bookmarkStart w:id="192" w:name="_Toc42013539"/>
      <w:bookmarkStart w:id="193" w:name="_Toc42014540"/>
      <w:bookmarkStart w:id="194" w:name="_Toc74061572"/>
      <w:bookmarkStart w:id="195" w:name="_Toc162520623"/>
      <w:bookmarkStart w:id="196" w:name="_Toc199403741"/>
      <w:r w:rsidRPr="00A635B0">
        <w:rPr>
          <w:rtl/>
          <w:lang w:val="en-GB"/>
        </w:rPr>
        <w:t>ال</w:t>
      </w:r>
      <w:r w:rsidRPr="00A635B0">
        <w:rPr>
          <w:rFonts w:hint="cs"/>
          <w:rtl/>
          <w:lang w:val="en-GB"/>
        </w:rPr>
        <w:t>أرباح</w:t>
      </w:r>
      <w:r w:rsidRPr="00A635B0">
        <w:rPr>
          <w:rtl/>
          <w:lang w:val="en-GB"/>
        </w:rPr>
        <w:t xml:space="preserve">/(الخسائر) الاكتوارية </w:t>
      </w:r>
      <w:r w:rsidRPr="00A635B0">
        <w:rPr>
          <w:rFonts w:hint="cs"/>
          <w:rtl/>
          <w:lang w:val="en-GB"/>
        </w:rPr>
        <w:t>من تنفيذ نظام</w:t>
      </w:r>
      <w:r w:rsidRPr="00A635B0">
        <w:rPr>
          <w:rtl/>
          <w:lang w:val="en-GB"/>
        </w:rPr>
        <w:t xml:space="preserve"> التأمين الصحي بعد انتهاء الخدمة</w:t>
      </w:r>
      <w:r w:rsidRPr="00A635B0">
        <w:rPr>
          <w:rFonts w:hint="cs"/>
          <w:rtl/>
          <w:lang w:val="en-GB"/>
        </w:rPr>
        <w:t xml:space="preserve">، </w:t>
      </w:r>
      <w:r w:rsidRPr="00A635B0">
        <w:rPr>
          <w:rtl/>
          <w:lang w:val="en-GB"/>
        </w:rPr>
        <w:t>المعترف بها في صافي الأصول</w:t>
      </w:r>
    </w:p>
    <w:p w14:paraId="07578005" w14:textId="098F698D" w:rsidR="00A635B0" w:rsidRPr="00BF734F" w:rsidRDefault="00A635B0" w:rsidP="00BF734F">
      <w:pPr>
        <w:rPr>
          <w:lang w:val="en-GB"/>
        </w:rPr>
      </w:pPr>
      <w:r w:rsidRPr="00A635B0">
        <w:rPr>
          <w:rFonts w:hint="cs"/>
          <w:rtl/>
          <w:lang w:val="en-GB"/>
        </w:rPr>
        <w:t>يعترف ب</w:t>
      </w:r>
      <w:r w:rsidRPr="00A635B0">
        <w:rPr>
          <w:rtl/>
          <w:lang w:val="en-GB"/>
        </w:rPr>
        <w:t xml:space="preserve">الأرباح والخسائر الاكتوارية </w:t>
      </w:r>
      <w:r w:rsidRPr="00A635B0">
        <w:rPr>
          <w:rFonts w:hint="cs"/>
          <w:rtl/>
          <w:lang w:val="en-GB"/>
        </w:rPr>
        <w:t>الناتجة عن</w:t>
      </w:r>
      <w:r w:rsidRPr="00A635B0">
        <w:rPr>
          <w:rtl/>
          <w:lang w:val="en-GB"/>
        </w:rPr>
        <w:t xml:space="preserve"> التقييم الدوري لالتزامات التأمين الصحي بعد انتهاء الخدمة </w:t>
      </w:r>
      <w:r w:rsidRPr="00A635B0">
        <w:rPr>
          <w:lang w:bidi="ar-EG"/>
        </w:rPr>
        <w:t>(ASHI)</w:t>
      </w:r>
      <w:r w:rsidRPr="00A635B0">
        <w:rPr>
          <w:rFonts w:hint="cs"/>
          <w:rtl/>
          <w:lang w:val="en-GB"/>
        </w:rPr>
        <w:t xml:space="preserve"> </w:t>
      </w:r>
      <w:r w:rsidRPr="00A635B0">
        <w:rPr>
          <w:rtl/>
          <w:lang w:val="en-GB"/>
        </w:rPr>
        <w:t>مباشرة</w:t>
      </w:r>
      <w:r w:rsidRPr="00A635B0">
        <w:rPr>
          <w:rFonts w:hint="cs"/>
          <w:rtl/>
          <w:lang w:val="en-GB"/>
        </w:rPr>
        <w:t xml:space="preserve">ً </w:t>
      </w:r>
      <w:r w:rsidRPr="00A635B0">
        <w:rPr>
          <w:rtl/>
          <w:lang w:val="en-GB"/>
        </w:rPr>
        <w:t>في صافي الأصول وفقا</w:t>
      </w:r>
      <w:r w:rsidRPr="00A635B0">
        <w:rPr>
          <w:rFonts w:hint="cs"/>
          <w:rtl/>
          <w:lang w:val="en-GB"/>
        </w:rPr>
        <w:t>ً</w:t>
      </w:r>
      <w:r w:rsidRPr="00A635B0">
        <w:rPr>
          <w:rtl/>
          <w:lang w:val="en-GB"/>
        </w:rPr>
        <w:t xml:space="preserve"> لم</w:t>
      </w:r>
      <w:r w:rsidRPr="00A635B0">
        <w:rPr>
          <w:rFonts w:hint="cs"/>
          <w:rtl/>
          <w:lang w:val="en-GB"/>
        </w:rPr>
        <w:t>قتضيات</w:t>
      </w:r>
      <w:r w:rsidRPr="00A635B0">
        <w:rPr>
          <w:rtl/>
          <w:lang w:val="en-GB"/>
        </w:rPr>
        <w:t xml:space="preserve"> المعايير المحاسبية الدولية للقطاع العام. وتعكس هذه المبالغ تغير الافتراضات الاكتوارية أو</w:t>
      </w:r>
      <w:r w:rsidR="00BF734F">
        <w:rPr>
          <w:rFonts w:hint="eastAsia"/>
          <w:rtl/>
          <w:lang w:val="en-GB" w:bidi="ar-EG"/>
        </w:rPr>
        <w:t> </w:t>
      </w:r>
      <w:r w:rsidRPr="00A635B0">
        <w:rPr>
          <w:rFonts w:hint="cs"/>
          <w:rtl/>
          <w:lang w:val="en-GB"/>
        </w:rPr>
        <w:t>الفروق</w:t>
      </w:r>
      <w:r w:rsidRPr="00A635B0">
        <w:rPr>
          <w:rtl/>
          <w:lang w:val="en-GB"/>
        </w:rPr>
        <w:t xml:space="preserve"> بين النتائج المتوقعة و</w:t>
      </w:r>
      <w:r w:rsidRPr="00A635B0">
        <w:rPr>
          <w:rFonts w:hint="cs"/>
          <w:rtl/>
          <w:lang w:val="en-GB"/>
        </w:rPr>
        <w:t xml:space="preserve">النتائج </w:t>
      </w:r>
      <w:r w:rsidRPr="00A635B0">
        <w:rPr>
          <w:rtl/>
          <w:lang w:val="en-GB"/>
        </w:rPr>
        <w:t>الفعلية.</w:t>
      </w:r>
    </w:p>
    <w:p w14:paraId="42D6F6AA" w14:textId="77777777" w:rsidR="00A635B0" w:rsidRPr="00A635B0" w:rsidRDefault="00A635B0" w:rsidP="00EA20A1">
      <w:pPr>
        <w:pStyle w:val="Headingb0"/>
        <w:rPr>
          <w:lang w:bidi="ar-EG"/>
        </w:rPr>
      </w:pPr>
      <w:r w:rsidRPr="00A635B0">
        <w:rPr>
          <w:rtl/>
          <w:lang w:val="en-GB"/>
        </w:rPr>
        <w:t>الفائض/(العجز) المتراكم</w:t>
      </w:r>
    </w:p>
    <w:p w14:paraId="4BC1B019" w14:textId="77777777" w:rsidR="00A635B0" w:rsidRPr="00A635B0" w:rsidRDefault="00A635B0" w:rsidP="00187C0F">
      <w:pPr>
        <w:rPr>
          <w:lang w:bidi="ar-EG"/>
        </w:rPr>
      </w:pPr>
      <w:r w:rsidRPr="00A635B0">
        <w:rPr>
          <w:rtl/>
          <w:lang w:val="en-GB"/>
        </w:rPr>
        <w:t>يمثل الفائض/(العجز) المتراكم النتائج التراكمية لعمليات الاتحاد بمرور الوقت</w:t>
      </w:r>
      <w:r w:rsidRPr="00A635B0">
        <w:rPr>
          <w:rFonts w:hint="cs"/>
          <w:rtl/>
          <w:lang w:val="en-GB"/>
        </w:rPr>
        <w:t xml:space="preserve">، المسوَّاة </w:t>
      </w:r>
      <w:r w:rsidRPr="00A635B0">
        <w:rPr>
          <w:rtl/>
          <w:lang w:val="en-GB"/>
        </w:rPr>
        <w:t>ل</w:t>
      </w:r>
      <w:r w:rsidRPr="00A635B0">
        <w:rPr>
          <w:rFonts w:hint="cs"/>
          <w:rtl/>
          <w:lang w:val="en-GB"/>
        </w:rPr>
        <w:t>أغراض ال</w:t>
      </w:r>
      <w:r w:rsidRPr="00A635B0">
        <w:rPr>
          <w:rtl/>
          <w:lang w:val="en-GB"/>
        </w:rPr>
        <w:t>تحويلات من الاحتياطيات وإليها. كما تظهر حرك</w:t>
      </w:r>
      <w:r w:rsidRPr="00A635B0">
        <w:rPr>
          <w:rFonts w:hint="cs"/>
          <w:rtl/>
          <w:lang w:val="en-GB"/>
        </w:rPr>
        <w:t>ة</w:t>
      </w:r>
      <w:r w:rsidRPr="00A635B0">
        <w:rPr>
          <w:rtl/>
          <w:lang w:val="en-GB"/>
        </w:rPr>
        <w:t xml:space="preserve"> الفائض/(العجز) المتراكم في </w:t>
      </w:r>
      <w:r w:rsidRPr="00A635B0">
        <w:rPr>
          <w:rFonts w:hint="cs"/>
          <w:rtl/>
          <w:lang w:val="en-GB"/>
        </w:rPr>
        <w:t>بيان</w:t>
      </w:r>
      <w:r w:rsidRPr="00A635B0">
        <w:rPr>
          <w:rtl/>
          <w:lang w:val="en-GB"/>
        </w:rPr>
        <w:t xml:space="preserve"> التغيرات في صافي الأصول.</w:t>
      </w:r>
    </w:p>
    <w:p w14:paraId="608D8ED7" w14:textId="77777777" w:rsidR="00A635B0" w:rsidRPr="00A635B0" w:rsidRDefault="00A635B0" w:rsidP="009F4F01">
      <w:pPr>
        <w:pStyle w:val="Heading1"/>
        <w:rPr>
          <w:rtl/>
          <w:lang w:val="en-GB"/>
        </w:rPr>
      </w:pPr>
      <w:bookmarkStart w:id="197" w:name="_Toc201043144"/>
      <w:bookmarkEnd w:id="182"/>
      <w:r w:rsidRPr="00A635B0">
        <w:rPr>
          <w:rtl/>
          <w:lang w:val="en-GB"/>
        </w:rPr>
        <w:t xml:space="preserve">الملاحظة </w:t>
      </w:r>
      <w:r w:rsidRPr="00A635B0">
        <w:rPr>
          <w:rtl/>
        </w:rPr>
        <w:t>5</w:t>
      </w:r>
      <w:r w:rsidRPr="00A635B0">
        <w:rPr>
          <w:rtl/>
          <w:lang w:val="en-GB"/>
        </w:rPr>
        <w:tab/>
        <w:t>المخاطر المالية</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31ADAD31" w14:textId="77777777" w:rsidR="00A635B0" w:rsidRPr="00A635B0" w:rsidRDefault="00A635B0" w:rsidP="00187C0F">
      <w:pPr>
        <w:rPr>
          <w:lang w:bidi="ar-EG"/>
        </w:rPr>
      </w:pPr>
      <w:r w:rsidRPr="00A635B0">
        <w:rPr>
          <w:rtl/>
          <w:lang w:val="en-GB"/>
        </w:rPr>
        <w:t>يتعرض الاتحاد</w:t>
      </w:r>
      <w:r w:rsidRPr="00A635B0">
        <w:rPr>
          <w:rFonts w:hint="cs"/>
          <w:rtl/>
          <w:lang w:val="en-GB"/>
        </w:rPr>
        <w:t xml:space="preserve"> الدولي للاتصالات</w:t>
      </w:r>
      <w:r w:rsidRPr="00A635B0">
        <w:rPr>
          <w:rtl/>
          <w:lang w:val="en-GB"/>
        </w:rPr>
        <w:t xml:space="preserve"> </w:t>
      </w:r>
      <w:r w:rsidRPr="00A635B0">
        <w:rPr>
          <w:rFonts w:hint="cs"/>
          <w:rtl/>
          <w:lang w:val="en-GB"/>
        </w:rPr>
        <w:t>أثناء</w:t>
      </w:r>
      <w:r w:rsidRPr="00A635B0">
        <w:rPr>
          <w:rFonts w:hint="cs"/>
          <w:rtl/>
          <w:lang w:val="en-GB" w:bidi="ar-EG"/>
        </w:rPr>
        <w:t xml:space="preserve"> الاضطلاع</w:t>
      </w:r>
      <w:r w:rsidRPr="00A635B0">
        <w:rPr>
          <w:rFonts w:hint="cs"/>
          <w:rtl/>
          <w:lang w:val="en-GB"/>
        </w:rPr>
        <w:t xml:space="preserve"> بأعماله</w:t>
      </w:r>
      <w:r w:rsidRPr="00A635B0">
        <w:rPr>
          <w:rtl/>
          <w:lang w:val="en-GB"/>
        </w:rPr>
        <w:t xml:space="preserve"> ل</w:t>
      </w:r>
      <w:r w:rsidRPr="00A635B0">
        <w:rPr>
          <w:rFonts w:hint="cs"/>
          <w:rtl/>
          <w:lang w:val="en-GB"/>
        </w:rPr>
        <w:t xml:space="preserve">مخاطر مالية عديدة، </w:t>
      </w:r>
      <w:r w:rsidRPr="00A635B0">
        <w:rPr>
          <w:rFonts w:hint="cs"/>
          <w:rtl/>
          <w:lang w:val="en-GB" w:bidi="ar-EG"/>
        </w:rPr>
        <w:t>منها</w:t>
      </w:r>
      <w:r w:rsidRPr="00A635B0">
        <w:rPr>
          <w:rtl/>
          <w:lang w:val="en-GB"/>
        </w:rPr>
        <w:t xml:space="preserve"> مخاطر الائتمان ومخاطر السوق (مخاطر عملات الصرف الأجنبي) ومخاطر أسعار الفائدة</w:t>
      </w:r>
      <w:r w:rsidRPr="00A635B0">
        <w:rPr>
          <w:rFonts w:hint="cs"/>
          <w:rtl/>
          <w:lang w:val="en-GB"/>
        </w:rPr>
        <w:t xml:space="preserve"> </w:t>
      </w:r>
      <w:r w:rsidRPr="00A635B0">
        <w:rPr>
          <w:rtl/>
          <w:lang w:val="en-GB"/>
        </w:rPr>
        <w:t xml:space="preserve">ومخاطر السيولة. </w:t>
      </w:r>
      <w:r w:rsidRPr="00A635B0">
        <w:rPr>
          <w:rFonts w:hint="cs"/>
          <w:rtl/>
          <w:lang w:val="en-GB"/>
        </w:rPr>
        <w:t>و</w:t>
      </w:r>
      <w:r w:rsidRPr="00A635B0">
        <w:rPr>
          <w:rtl/>
          <w:lang w:val="en-GB"/>
        </w:rPr>
        <w:t>ت</w:t>
      </w:r>
      <w:r w:rsidRPr="00A635B0">
        <w:rPr>
          <w:rFonts w:hint="cs"/>
          <w:rtl/>
          <w:lang w:val="en-GB"/>
        </w:rPr>
        <w:t>قدم</w:t>
      </w:r>
      <w:r w:rsidRPr="00A635B0">
        <w:rPr>
          <w:rtl/>
          <w:lang w:val="en-GB"/>
        </w:rPr>
        <w:t xml:space="preserve"> </w:t>
      </w:r>
      <w:r w:rsidRPr="00A635B0">
        <w:rPr>
          <w:rFonts w:hint="cs"/>
          <w:rtl/>
          <w:lang w:val="en-GB"/>
        </w:rPr>
        <w:t>هذه الملاحظة</w:t>
      </w:r>
      <w:r w:rsidRPr="00A635B0">
        <w:rPr>
          <w:rtl/>
          <w:lang w:val="en-GB"/>
        </w:rPr>
        <w:t xml:space="preserve"> معلومات عن </w:t>
      </w:r>
      <w:r w:rsidRPr="00A635B0">
        <w:rPr>
          <w:rFonts w:hint="cs"/>
          <w:rtl/>
          <w:lang w:val="en-GB"/>
        </w:rPr>
        <w:t xml:space="preserve">مدى </w:t>
      </w:r>
      <w:r w:rsidRPr="00A635B0">
        <w:rPr>
          <w:rtl/>
          <w:lang w:val="en-GB"/>
        </w:rPr>
        <w:t>تعرض الاتحاد لكل من المخاطر المذكورة أعلاه و</w:t>
      </w:r>
      <w:r w:rsidRPr="00A635B0">
        <w:rPr>
          <w:rFonts w:hint="cs"/>
          <w:rtl/>
          <w:lang w:val="en-GB"/>
        </w:rPr>
        <w:t xml:space="preserve">تستعرض بإيجاز </w:t>
      </w:r>
      <w:r w:rsidRPr="00A635B0">
        <w:rPr>
          <w:rtl/>
          <w:lang w:val="en-GB"/>
        </w:rPr>
        <w:t>المبادئ التي اعتمدها الاتحاد لإدار</w:t>
      </w:r>
      <w:r w:rsidRPr="00A635B0">
        <w:rPr>
          <w:rFonts w:hint="cs"/>
          <w:rtl/>
          <w:lang w:val="en-GB"/>
        </w:rPr>
        <w:t>ة تلك المخاطر</w:t>
      </w:r>
      <w:r w:rsidRPr="00A635B0">
        <w:rPr>
          <w:rtl/>
          <w:lang w:val="en-GB"/>
        </w:rPr>
        <w:t xml:space="preserve"> والحفاظ على رأس ماله. </w:t>
      </w:r>
      <w:r w:rsidRPr="00A635B0">
        <w:rPr>
          <w:rFonts w:hint="cs"/>
          <w:rtl/>
          <w:lang w:val="en-GB"/>
        </w:rPr>
        <w:t xml:space="preserve">وتتركز </w:t>
      </w:r>
      <w:r w:rsidRPr="00A635B0">
        <w:rPr>
          <w:rtl/>
          <w:lang w:val="en-GB"/>
        </w:rPr>
        <w:t>إدارة المخاطر المالية تحت مسؤولية الأمينة العامة.</w:t>
      </w:r>
    </w:p>
    <w:p w14:paraId="56C5750B" w14:textId="788523DD" w:rsidR="00EF3E76" w:rsidRDefault="00A635B0" w:rsidP="00187C0F">
      <w:pPr>
        <w:rPr>
          <w:rtl/>
          <w:lang w:val="en-GB"/>
        </w:rPr>
      </w:pPr>
      <w:r w:rsidRPr="00A635B0">
        <w:rPr>
          <w:rtl/>
          <w:lang w:val="en-GB"/>
        </w:rPr>
        <w:t>ووفقا</w:t>
      </w:r>
      <w:r w:rsidRPr="00A635B0">
        <w:rPr>
          <w:rFonts w:hint="cs"/>
          <w:rtl/>
          <w:lang w:val="en-GB"/>
        </w:rPr>
        <w:t>ً</w:t>
      </w:r>
      <w:r w:rsidRPr="00A635B0">
        <w:rPr>
          <w:rtl/>
          <w:lang w:val="en-GB"/>
        </w:rPr>
        <w:t xml:space="preserve"> للم</w:t>
      </w:r>
      <w:r w:rsidRPr="00A635B0">
        <w:rPr>
          <w:rFonts w:hint="cs"/>
          <w:rtl/>
          <w:lang w:val="en-GB"/>
        </w:rPr>
        <w:t>عيار 41 من المعايير</w:t>
      </w:r>
      <w:r w:rsidRPr="00A635B0">
        <w:rPr>
          <w:rtl/>
          <w:lang w:val="en-GB"/>
        </w:rPr>
        <w:t xml:space="preserve"> المحاسبية الدولية للقطاع العام </w:t>
      </w:r>
      <w:r w:rsidRPr="00A635B0">
        <w:rPr>
          <w:lang w:bidi="ar-EG"/>
        </w:rPr>
        <w:t>(IPSAS)</w:t>
      </w:r>
      <w:r w:rsidRPr="00A635B0">
        <w:rPr>
          <w:rtl/>
          <w:lang w:val="en-GB"/>
        </w:rPr>
        <w:t xml:space="preserve">، </w:t>
      </w:r>
      <w:r w:rsidRPr="00A635B0">
        <w:rPr>
          <w:rFonts w:hint="cs"/>
          <w:rtl/>
          <w:lang w:val="en-GB"/>
        </w:rPr>
        <w:t>ي</w:t>
      </w:r>
      <w:r w:rsidRPr="00A635B0">
        <w:rPr>
          <w:rtl/>
          <w:lang w:val="en-GB"/>
        </w:rPr>
        <w:t>در</w:t>
      </w:r>
      <w:r w:rsidRPr="00A635B0">
        <w:rPr>
          <w:rFonts w:hint="cs"/>
          <w:rtl/>
          <w:lang w:val="en-GB"/>
        </w:rPr>
        <w:t>َ</w:t>
      </w:r>
      <w:r w:rsidRPr="00A635B0">
        <w:rPr>
          <w:rtl/>
          <w:lang w:val="en-GB"/>
        </w:rPr>
        <w:t xml:space="preserve">ج </w:t>
      </w:r>
      <w:r w:rsidRPr="00A635B0">
        <w:rPr>
          <w:rFonts w:hint="cs"/>
          <w:rtl/>
          <w:lang w:val="en-GB"/>
        </w:rPr>
        <w:t>النقد وما يعادله</w:t>
      </w:r>
      <w:r w:rsidRPr="00A635B0">
        <w:rPr>
          <w:rtl/>
          <w:lang w:val="en-GB"/>
        </w:rPr>
        <w:t xml:space="preserve"> في </w:t>
      </w:r>
      <w:r w:rsidRPr="00A635B0">
        <w:rPr>
          <w:rFonts w:hint="cs"/>
          <w:rtl/>
          <w:lang w:val="en-GB"/>
        </w:rPr>
        <w:t>البيانات المالية</w:t>
      </w:r>
      <w:r w:rsidRPr="00A635B0">
        <w:rPr>
          <w:rtl/>
          <w:lang w:val="en-GB"/>
        </w:rPr>
        <w:t xml:space="preserve"> </w:t>
      </w:r>
      <w:r w:rsidRPr="00A635B0">
        <w:rPr>
          <w:rFonts w:hint="cs"/>
          <w:rtl/>
          <w:lang w:val="en-GB"/>
        </w:rPr>
        <w:t xml:space="preserve">بقيمة </w:t>
      </w:r>
      <w:r w:rsidRPr="00A635B0">
        <w:rPr>
          <w:rtl/>
          <w:lang w:val="en-GB"/>
        </w:rPr>
        <w:t xml:space="preserve">التكلفة المطفأة. </w:t>
      </w:r>
      <w:r w:rsidRPr="00A635B0">
        <w:rPr>
          <w:rFonts w:hint="cs"/>
          <w:rtl/>
          <w:lang w:val="en-GB"/>
        </w:rPr>
        <w:t>ويبين</w:t>
      </w:r>
      <w:r w:rsidRPr="00A635B0">
        <w:rPr>
          <w:rtl/>
          <w:lang w:val="en-GB"/>
        </w:rPr>
        <w:t xml:space="preserve"> هذا القياس </w:t>
      </w:r>
      <w:r w:rsidRPr="00A635B0">
        <w:rPr>
          <w:rFonts w:hint="cs"/>
          <w:rtl/>
          <w:lang w:val="en-GB"/>
        </w:rPr>
        <w:t>مبلغ</w:t>
      </w:r>
      <w:r w:rsidRPr="00A635B0">
        <w:rPr>
          <w:rtl/>
          <w:lang w:val="en-GB"/>
        </w:rPr>
        <w:t xml:space="preserve"> النقد ال</w:t>
      </w:r>
      <w:r w:rsidRPr="00A635B0">
        <w:rPr>
          <w:rFonts w:hint="cs"/>
          <w:rtl/>
          <w:lang w:val="en-GB"/>
        </w:rPr>
        <w:t>جاهز</w:t>
      </w:r>
      <w:r w:rsidRPr="00A635B0">
        <w:rPr>
          <w:rtl/>
          <w:lang w:val="en-GB"/>
        </w:rPr>
        <w:t xml:space="preserve"> وقيمة الأصول التي يمكن تحويلها بسهولة إلى مبالغ نقدية مع</w:t>
      </w:r>
      <w:r w:rsidRPr="00A635B0">
        <w:rPr>
          <w:rFonts w:hint="cs"/>
          <w:rtl/>
          <w:lang w:val="en-GB"/>
        </w:rPr>
        <w:t>لوم</w:t>
      </w:r>
      <w:r w:rsidRPr="00A635B0">
        <w:rPr>
          <w:rtl/>
          <w:lang w:val="en-GB"/>
        </w:rPr>
        <w:t>ة، مطروحا</w:t>
      </w:r>
      <w:r w:rsidRPr="00A635B0">
        <w:rPr>
          <w:rFonts w:hint="cs"/>
          <w:rtl/>
          <w:lang w:val="en-GB"/>
        </w:rPr>
        <w:t>ً</w:t>
      </w:r>
      <w:r w:rsidRPr="00A635B0">
        <w:rPr>
          <w:rtl/>
          <w:lang w:val="en-GB"/>
        </w:rPr>
        <w:t xml:space="preserve"> منها أي تخفيضات أو انخفاض</w:t>
      </w:r>
      <w:r w:rsidRPr="00A635B0">
        <w:rPr>
          <w:rFonts w:hint="cs"/>
          <w:rtl/>
          <w:lang w:val="en-GB"/>
        </w:rPr>
        <w:t>ات في</w:t>
      </w:r>
      <w:r w:rsidRPr="00A635B0">
        <w:rPr>
          <w:rtl/>
          <w:lang w:val="en-GB"/>
        </w:rPr>
        <w:t xml:space="preserve"> القيمة</w:t>
      </w:r>
      <w:r w:rsidRPr="00A635B0">
        <w:rPr>
          <w:rFonts w:hint="cs"/>
          <w:rtl/>
          <w:lang w:val="en-GB"/>
        </w:rPr>
        <w:t xml:space="preserve"> واجبة التطبيق</w:t>
      </w:r>
      <w:r w:rsidRPr="00A635B0">
        <w:rPr>
          <w:rtl/>
          <w:lang w:val="en-GB"/>
        </w:rPr>
        <w:t>، اعتبارا</w:t>
      </w:r>
      <w:r w:rsidRPr="00A635B0">
        <w:rPr>
          <w:rFonts w:hint="cs"/>
          <w:rtl/>
          <w:lang w:val="en-GB"/>
        </w:rPr>
        <w:t xml:space="preserve">ً </w:t>
      </w:r>
      <w:r w:rsidRPr="00A635B0">
        <w:rPr>
          <w:rtl/>
          <w:lang w:val="en-GB"/>
        </w:rPr>
        <w:t xml:space="preserve">من تاريخ </w:t>
      </w:r>
      <w:r w:rsidRPr="00A635B0">
        <w:rPr>
          <w:rFonts w:hint="cs"/>
          <w:rtl/>
          <w:lang w:val="en-GB"/>
        </w:rPr>
        <w:t>الإبلاغ.</w:t>
      </w:r>
    </w:p>
    <w:p w14:paraId="3AFA083B" w14:textId="48BB5C01" w:rsidR="00A635B0" w:rsidRPr="00A635B0" w:rsidRDefault="00A635B0" w:rsidP="00187C0F">
      <w:pPr>
        <w:rPr>
          <w:lang w:bidi="ar-EG"/>
        </w:rPr>
      </w:pPr>
      <w:r w:rsidRPr="00A635B0">
        <w:rPr>
          <w:rtl/>
          <w:lang w:val="en-GB"/>
        </w:rPr>
        <w:t xml:space="preserve">وتقترب القيمة العادلة للذمم الدائنة </w:t>
      </w:r>
      <w:r w:rsidRPr="00A635B0">
        <w:rPr>
          <w:rFonts w:hint="cs"/>
          <w:rtl/>
          <w:lang w:val="en-GB"/>
        </w:rPr>
        <w:t>للجهات الموردة،</w:t>
      </w:r>
      <w:r w:rsidRPr="00A635B0">
        <w:rPr>
          <w:rtl/>
          <w:lang w:val="en-GB"/>
        </w:rPr>
        <w:t xml:space="preserve"> وغيرها من الالتزامات الجارية والمساهمات الطوعية</w:t>
      </w:r>
      <w:r w:rsidRPr="00A635B0">
        <w:rPr>
          <w:rFonts w:hint="cs"/>
          <w:rtl/>
          <w:lang w:val="en-GB"/>
        </w:rPr>
        <w:t xml:space="preserve">، </w:t>
      </w:r>
      <w:r w:rsidRPr="00A635B0">
        <w:rPr>
          <w:rtl/>
          <w:lang w:val="en-GB"/>
        </w:rPr>
        <w:t xml:space="preserve">من قيمتها المسجلة </w:t>
      </w:r>
      <w:r w:rsidRPr="00A635B0">
        <w:rPr>
          <w:rFonts w:hint="cs"/>
          <w:rtl/>
          <w:lang w:val="en-GB"/>
        </w:rPr>
        <w:t xml:space="preserve">بحكم </w:t>
      </w:r>
      <w:r w:rsidRPr="00A635B0">
        <w:rPr>
          <w:rtl/>
          <w:lang w:val="en-GB"/>
        </w:rPr>
        <w:t>طبيعتها القصيرة الأجل.</w:t>
      </w:r>
    </w:p>
    <w:p w14:paraId="4AF9B4CD" w14:textId="77777777" w:rsidR="00EF3E76" w:rsidRDefault="00A635B0" w:rsidP="00187C0F">
      <w:pPr>
        <w:rPr>
          <w:rtl/>
          <w:lang w:val="en-GB"/>
        </w:rPr>
      </w:pPr>
      <w:r w:rsidRPr="00A635B0">
        <w:rPr>
          <w:rFonts w:hint="cs"/>
          <w:rtl/>
          <w:lang w:val="en-GB"/>
        </w:rPr>
        <w:t>وتقيَّد الاقتراضات</w:t>
      </w:r>
      <w:r w:rsidRPr="00A635B0">
        <w:rPr>
          <w:rtl/>
          <w:lang w:val="en-GB"/>
        </w:rPr>
        <w:t xml:space="preserve"> (القروض) في الحسابات بالقيمة العادلة إ</w:t>
      </w:r>
      <w:r w:rsidRPr="00A635B0">
        <w:rPr>
          <w:rFonts w:hint="cs"/>
          <w:rtl/>
          <w:lang w:val="en-GB"/>
        </w:rPr>
        <w:t>ن</w:t>
      </w:r>
      <w:r w:rsidRPr="00A635B0">
        <w:rPr>
          <w:rtl/>
          <w:lang w:val="en-GB"/>
        </w:rPr>
        <w:t xml:space="preserve"> </w:t>
      </w:r>
      <w:r w:rsidRPr="00A635B0">
        <w:rPr>
          <w:rFonts w:hint="cs"/>
          <w:rtl/>
          <w:lang w:val="en-GB"/>
        </w:rPr>
        <w:t>كانت مجدولة السداد</w:t>
      </w:r>
      <w:r w:rsidRPr="00A635B0">
        <w:rPr>
          <w:rtl/>
          <w:lang w:val="en-GB"/>
        </w:rPr>
        <w:t xml:space="preserve"> أو </w:t>
      </w:r>
      <w:r w:rsidRPr="00A635B0">
        <w:rPr>
          <w:rFonts w:hint="cs"/>
          <w:rtl/>
          <w:lang w:val="en-GB"/>
        </w:rPr>
        <w:t>بقيمة التكلفة المطفأة</w:t>
      </w:r>
      <w:r w:rsidRPr="00A635B0">
        <w:rPr>
          <w:rtl/>
          <w:lang w:val="en-GB"/>
        </w:rPr>
        <w:t xml:space="preserve"> </w:t>
      </w:r>
      <w:r w:rsidRPr="00A635B0">
        <w:rPr>
          <w:rFonts w:hint="cs"/>
          <w:rtl/>
          <w:lang w:val="en-GB"/>
        </w:rPr>
        <w:t>إن لم تكن مجدولة السداد</w:t>
      </w:r>
      <w:r w:rsidRPr="00A635B0">
        <w:rPr>
          <w:rtl/>
          <w:lang w:val="en-GB"/>
        </w:rPr>
        <w:t xml:space="preserve"> (انظر الملاحظة 15).</w:t>
      </w:r>
    </w:p>
    <w:p w14:paraId="04EA8CF9" w14:textId="7028094D" w:rsidR="00A635B0" w:rsidRPr="00BF734F" w:rsidRDefault="00BF734F" w:rsidP="00BF734F">
      <w:pPr>
        <w:pStyle w:val="enumlev1"/>
        <w:rPr>
          <w:i/>
          <w:iCs/>
          <w:lang w:bidi="ar-EG"/>
        </w:rPr>
      </w:pPr>
      <w:r>
        <w:rPr>
          <w:rFonts w:hint="eastAsia"/>
          <w:i/>
          <w:iCs/>
          <w:rtl/>
          <w:lang w:val="en-GB" w:bidi="ar-EG"/>
        </w:rPr>
        <w:t> </w:t>
      </w:r>
      <w:r w:rsidR="00A635B0" w:rsidRPr="00BF734F">
        <w:rPr>
          <w:rFonts w:hint="cs"/>
          <w:i/>
          <w:iCs/>
          <w:rtl/>
          <w:lang w:val="en-GB"/>
        </w:rPr>
        <w:t>أ</w:t>
      </w:r>
      <w:r>
        <w:rPr>
          <w:rFonts w:hint="eastAsia"/>
          <w:i/>
          <w:iCs/>
          <w:rtl/>
          <w:lang w:val="en-GB"/>
        </w:rPr>
        <w:t> </w:t>
      </w:r>
      <w:r w:rsidR="00A635B0" w:rsidRPr="00BF734F">
        <w:rPr>
          <w:rFonts w:hint="cs"/>
          <w:i/>
          <w:iCs/>
          <w:rtl/>
          <w:lang w:val="en-GB"/>
        </w:rPr>
        <w:t>)</w:t>
      </w:r>
      <w:r w:rsidR="00A635B0" w:rsidRPr="00BF734F">
        <w:rPr>
          <w:i/>
          <w:iCs/>
          <w:rtl/>
          <w:lang w:val="en-GB"/>
        </w:rPr>
        <w:tab/>
        <w:t>مخاطر الائتمان</w:t>
      </w:r>
    </w:p>
    <w:p w14:paraId="74B0B68F" w14:textId="77777777" w:rsidR="00EF3E76" w:rsidRDefault="00A635B0" w:rsidP="00BF734F">
      <w:pPr>
        <w:pStyle w:val="enumlev1"/>
        <w:rPr>
          <w:rtl/>
          <w:lang w:val="en-GB"/>
        </w:rPr>
      </w:pPr>
      <w:r w:rsidRPr="00A635B0">
        <w:rPr>
          <w:rtl/>
          <w:lang w:val="en-GB"/>
        </w:rPr>
        <w:tab/>
        <w:t xml:space="preserve">مخاطر الائتمان هي مخاطر الخسارة المالية للاتحاد </w:t>
      </w:r>
      <w:r w:rsidRPr="00A635B0">
        <w:rPr>
          <w:rFonts w:hint="cs"/>
          <w:rtl/>
          <w:lang w:val="en-GB"/>
        </w:rPr>
        <w:t>إن لم يَفِ أي من العملاء أو الأطراف النظيرة</w:t>
      </w:r>
      <w:r w:rsidRPr="00A635B0">
        <w:rPr>
          <w:rtl/>
          <w:lang w:val="en-GB"/>
        </w:rPr>
        <w:t xml:space="preserve"> في </w:t>
      </w:r>
      <w:r w:rsidRPr="00A635B0">
        <w:rPr>
          <w:rFonts w:hint="cs"/>
          <w:rtl/>
          <w:lang w:val="en-GB"/>
        </w:rPr>
        <w:t>الأدوات</w:t>
      </w:r>
      <w:r w:rsidRPr="00A635B0">
        <w:rPr>
          <w:rtl/>
          <w:lang w:val="en-GB"/>
        </w:rPr>
        <w:t xml:space="preserve"> المالية بالتزاماته التعاقدية، وتنشأ أساسا</w:t>
      </w:r>
      <w:r w:rsidRPr="00A635B0">
        <w:rPr>
          <w:rFonts w:hint="cs"/>
          <w:rtl/>
          <w:lang w:val="en-GB"/>
        </w:rPr>
        <w:t xml:space="preserve">ً </w:t>
      </w:r>
      <w:r w:rsidRPr="00A635B0">
        <w:rPr>
          <w:rtl/>
          <w:lang w:val="en-GB"/>
        </w:rPr>
        <w:t>عن الاستثمارات وال</w:t>
      </w:r>
      <w:r w:rsidRPr="00A635B0">
        <w:rPr>
          <w:rFonts w:hint="cs"/>
          <w:rtl/>
          <w:lang w:val="en-GB"/>
        </w:rPr>
        <w:t>ذمم المدينة</w:t>
      </w:r>
      <w:r w:rsidRPr="00A635B0">
        <w:rPr>
          <w:rtl/>
          <w:lang w:val="en-GB"/>
        </w:rPr>
        <w:t xml:space="preserve"> والنقد وما يعادله. </w:t>
      </w:r>
      <w:r w:rsidRPr="00A635B0">
        <w:rPr>
          <w:rFonts w:hint="cs"/>
          <w:rtl/>
          <w:lang w:val="en-GB"/>
        </w:rPr>
        <w:t>و</w:t>
      </w:r>
      <w:r w:rsidRPr="00A635B0">
        <w:rPr>
          <w:rtl/>
          <w:lang w:val="en-GB"/>
        </w:rPr>
        <w:t>تمثل القيمة ال</w:t>
      </w:r>
      <w:r w:rsidRPr="00A635B0">
        <w:rPr>
          <w:rFonts w:hint="cs"/>
          <w:rtl/>
          <w:lang w:val="en-GB"/>
        </w:rPr>
        <w:t>مسجلة</w:t>
      </w:r>
      <w:r w:rsidRPr="00A635B0">
        <w:rPr>
          <w:rtl/>
          <w:lang w:val="en-GB"/>
        </w:rPr>
        <w:t xml:space="preserve"> للأصول المالية </w:t>
      </w:r>
      <w:r w:rsidRPr="00A635B0">
        <w:rPr>
          <w:rFonts w:hint="cs"/>
          <w:rtl/>
          <w:lang w:val="en-GB"/>
        </w:rPr>
        <w:t>الحد الأقصى</w:t>
      </w:r>
      <w:r w:rsidRPr="00A635B0">
        <w:rPr>
          <w:rtl/>
          <w:lang w:val="en-GB"/>
        </w:rPr>
        <w:t xml:space="preserve"> </w:t>
      </w:r>
      <w:r w:rsidRPr="00A635B0">
        <w:rPr>
          <w:rFonts w:hint="cs"/>
          <w:rtl/>
          <w:lang w:val="en-GB"/>
        </w:rPr>
        <w:t>لل</w:t>
      </w:r>
      <w:r w:rsidRPr="00A635B0">
        <w:rPr>
          <w:rtl/>
          <w:lang w:val="en-GB"/>
        </w:rPr>
        <w:t xml:space="preserve">تعرض </w:t>
      </w:r>
      <w:r w:rsidRPr="00A635B0">
        <w:rPr>
          <w:rFonts w:hint="cs"/>
          <w:rtl/>
          <w:lang w:val="en-GB" w:bidi="ar-EG"/>
        </w:rPr>
        <w:t>لمخاطر الائتمان</w:t>
      </w:r>
      <w:r w:rsidRPr="00A635B0">
        <w:rPr>
          <w:rtl/>
          <w:lang w:val="en-GB"/>
        </w:rPr>
        <w:t xml:space="preserve">. ويخفف الاتحاد من مخاطر الائتمان على النقد وما يعادله وعلى الاستثمارات بتوزيعها على عدة مؤسسات مصرفية ذات تصنيفات ائتمانية عالية </w:t>
      </w:r>
      <w:r w:rsidRPr="00A635B0">
        <w:rPr>
          <w:rFonts w:hint="cs"/>
          <w:rtl/>
          <w:lang w:val="en-GB"/>
        </w:rPr>
        <w:t xml:space="preserve">الدرجة </w:t>
      </w:r>
      <w:r w:rsidRPr="00A635B0">
        <w:rPr>
          <w:rtl/>
          <w:lang w:val="en-GB"/>
        </w:rPr>
        <w:t>لا تقل عن التصنيف A3.</w:t>
      </w:r>
    </w:p>
    <w:p w14:paraId="61EFE9E4" w14:textId="6899F09D" w:rsidR="00A635B0" w:rsidRPr="00A635B0" w:rsidRDefault="00A635B0" w:rsidP="00BF734F">
      <w:pPr>
        <w:keepNext/>
        <w:rPr>
          <w:i/>
          <w:iCs/>
          <w:rtl/>
          <w:lang w:val="en-GB" w:bidi="ar-SY"/>
        </w:rPr>
      </w:pPr>
      <w:r w:rsidRPr="00A635B0">
        <w:rPr>
          <w:rtl/>
          <w:lang w:val="en-GB" w:bidi="ar-SY"/>
        </w:rPr>
        <w:lastRenderedPageBreak/>
        <w:t>وفي 31 ديسمبر</w:t>
      </w:r>
      <w:r w:rsidRPr="00A635B0">
        <w:rPr>
          <w:rFonts w:hint="cs"/>
          <w:rtl/>
          <w:lang w:val="en-GB" w:bidi="ar-SY"/>
        </w:rPr>
        <w:t xml:space="preserve">، </w:t>
      </w:r>
      <w:r w:rsidRPr="00A635B0">
        <w:rPr>
          <w:rtl/>
          <w:lang w:val="en-GB" w:bidi="ar-SY"/>
        </w:rPr>
        <w:t xml:space="preserve">كان </w:t>
      </w:r>
      <w:r w:rsidRPr="00A635B0">
        <w:rPr>
          <w:rFonts w:hint="cs"/>
          <w:rtl/>
          <w:lang w:val="en-GB" w:bidi="ar-SY"/>
        </w:rPr>
        <w:t>الحد الأقصى للتعرض</w:t>
      </w:r>
      <w:r w:rsidRPr="00A635B0">
        <w:rPr>
          <w:rtl/>
          <w:lang w:val="en-GB" w:bidi="ar-SY"/>
        </w:rPr>
        <w:t xml:space="preserve"> لمخاطر الائتمان كما يلي:</w:t>
      </w:r>
    </w:p>
    <w:p w14:paraId="4BECC23E" w14:textId="05D06542" w:rsidR="00A635B0" w:rsidRPr="00A635B0" w:rsidRDefault="00BF734F" w:rsidP="00BF734F">
      <w:pPr>
        <w:pStyle w:val="Figure"/>
        <w:rPr>
          <w:rtl/>
          <w:lang w:val="en-GB" w:bidi="ar-SY"/>
        </w:rPr>
      </w:pPr>
      <w:r>
        <w:rPr>
          <w:lang w:val="en-GB" w:bidi="ar-SY"/>
        </w:rPr>
        <w:drawing>
          <wp:inline distT="0" distB="0" distL="0" distR="0" wp14:anchorId="6C4300CB" wp14:editId="62A0254C">
            <wp:extent cx="5038637" cy="2067150"/>
            <wp:effectExtent l="0" t="0" r="0" b="9525"/>
            <wp:docPr id="20157068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3742" cy="2069244"/>
                    </a:xfrm>
                    <a:prstGeom prst="rect">
                      <a:avLst/>
                    </a:prstGeom>
                    <a:noFill/>
                  </pic:spPr>
                </pic:pic>
              </a:graphicData>
            </a:graphic>
          </wp:inline>
        </w:drawing>
      </w:r>
    </w:p>
    <w:p w14:paraId="7C37BC9A" w14:textId="77777777" w:rsidR="00A635B0" w:rsidRPr="00BF734F" w:rsidRDefault="00A635B0" w:rsidP="00BF734F">
      <w:pPr>
        <w:pStyle w:val="enumlev1"/>
        <w:rPr>
          <w:i/>
          <w:iCs/>
          <w:rtl/>
          <w:lang w:val="en-GB"/>
        </w:rPr>
      </w:pPr>
      <w:r w:rsidRPr="00BF734F">
        <w:rPr>
          <w:i/>
          <w:iCs/>
          <w:rtl/>
          <w:lang w:val="en-GB"/>
        </w:rPr>
        <w:t>ب)</w:t>
      </w:r>
      <w:r w:rsidRPr="00BF734F">
        <w:rPr>
          <w:i/>
          <w:iCs/>
          <w:rtl/>
          <w:lang w:val="en-GB"/>
        </w:rPr>
        <w:tab/>
        <w:t>جودة الائتمان</w:t>
      </w:r>
    </w:p>
    <w:p w14:paraId="014B6C4A" w14:textId="77777777" w:rsidR="00A635B0" w:rsidRPr="00A635B0" w:rsidRDefault="00A635B0" w:rsidP="00BF734F">
      <w:pPr>
        <w:pStyle w:val="enumlev1"/>
        <w:rPr>
          <w:lang w:bidi="ar-EG"/>
        </w:rPr>
      </w:pPr>
      <w:r w:rsidRPr="00A635B0">
        <w:rPr>
          <w:rtl/>
          <w:lang w:val="en-GB"/>
        </w:rPr>
        <w:tab/>
      </w:r>
      <w:r w:rsidRPr="00A635B0">
        <w:rPr>
          <w:rFonts w:hint="cs"/>
          <w:rtl/>
          <w:lang w:val="en-GB" w:bidi="ar-EG"/>
        </w:rPr>
        <w:t>يٌقصد ب</w:t>
      </w:r>
      <w:r w:rsidRPr="00A635B0">
        <w:rPr>
          <w:rtl/>
          <w:lang w:val="en-GB"/>
        </w:rPr>
        <w:t xml:space="preserve">جودة الائتمان المخاطر المقدرة </w:t>
      </w:r>
      <w:r w:rsidRPr="00A635B0">
        <w:rPr>
          <w:rFonts w:hint="cs"/>
          <w:rtl/>
          <w:lang w:val="en-GB"/>
        </w:rPr>
        <w:t xml:space="preserve">لتخلف الأطراف النظيرة </w:t>
      </w:r>
      <w:r w:rsidRPr="00A635B0">
        <w:rPr>
          <w:rtl/>
          <w:lang w:val="en-GB"/>
        </w:rPr>
        <w:t xml:space="preserve">التي يقدم </w:t>
      </w:r>
      <w:r w:rsidRPr="00A635B0">
        <w:rPr>
          <w:rFonts w:hint="cs"/>
          <w:rtl/>
          <w:lang w:val="en-GB"/>
        </w:rPr>
        <w:t>إليها الاتحاد</w:t>
      </w:r>
      <w:r w:rsidRPr="00A635B0">
        <w:rPr>
          <w:rtl/>
          <w:lang w:val="en-GB"/>
        </w:rPr>
        <w:t xml:space="preserve"> الائتمان والأطراف التي يستثمر معها</w:t>
      </w:r>
      <w:r w:rsidRPr="00A635B0">
        <w:rPr>
          <w:rFonts w:hint="cs"/>
          <w:rtl/>
          <w:lang w:val="en-GB"/>
        </w:rPr>
        <w:t xml:space="preserve"> عن السداد</w:t>
      </w:r>
      <w:r w:rsidRPr="00A635B0">
        <w:rPr>
          <w:rtl/>
          <w:lang w:val="en-GB"/>
        </w:rPr>
        <w:t xml:space="preserve">. </w:t>
      </w:r>
      <w:r w:rsidRPr="00A635B0">
        <w:rPr>
          <w:rFonts w:hint="cs"/>
          <w:rtl/>
          <w:lang w:val="en-GB"/>
        </w:rPr>
        <w:t xml:space="preserve">وقد </w:t>
      </w:r>
      <w:r w:rsidRPr="00A635B0">
        <w:rPr>
          <w:rtl/>
          <w:lang w:val="en-GB"/>
        </w:rPr>
        <w:t>استعرض الاتحاد مستويات حساباته المدينة من الاشتراكات المقررة ومصادر أخرى. و</w:t>
      </w:r>
      <w:r w:rsidRPr="00A635B0">
        <w:rPr>
          <w:rFonts w:hint="cs"/>
          <w:rtl/>
          <w:lang w:val="en-GB"/>
        </w:rPr>
        <w:t>توجد شواغل بشأن</w:t>
      </w:r>
      <w:r w:rsidRPr="00A635B0">
        <w:rPr>
          <w:rtl/>
          <w:lang w:val="en-GB"/>
        </w:rPr>
        <w:t xml:space="preserve"> تقادم </w:t>
      </w:r>
      <w:r w:rsidRPr="00A635B0">
        <w:rPr>
          <w:rFonts w:hint="cs"/>
          <w:rtl/>
          <w:lang w:val="en-GB"/>
        </w:rPr>
        <w:t>الذمم المدينة</w:t>
      </w:r>
      <w:r w:rsidRPr="00A635B0">
        <w:rPr>
          <w:rtl/>
          <w:lang w:val="en-GB"/>
        </w:rPr>
        <w:t xml:space="preserve"> من الدول الأعضاء وأعضاء القطاعات والمنتسبين. و</w:t>
      </w:r>
      <w:r w:rsidRPr="00A635B0">
        <w:rPr>
          <w:rFonts w:hint="cs"/>
          <w:rtl/>
          <w:lang w:val="en-GB"/>
        </w:rPr>
        <w:t>و</w:t>
      </w:r>
      <w:r w:rsidRPr="00A635B0">
        <w:rPr>
          <w:rtl/>
          <w:lang w:val="en-GB"/>
        </w:rPr>
        <w:t>فقا</w:t>
      </w:r>
      <w:r w:rsidRPr="00A635B0">
        <w:rPr>
          <w:rFonts w:hint="cs"/>
          <w:rtl/>
          <w:lang w:val="en-GB"/>
        </w:rPr>
        <w:t>ً</w:t>
      </w:r>
      <w:r w:rsidRPr="00A635B0">
        <w:rPr>
          <w:rtl/>
          <w:lang w:val="en-GB"/>
        </w:rPr>
        <w:t xml:space="preserve"> للقرار 41، الذي </w:t>
      </w:r>
      <w:r w:rsidRPr="00A635B0">
        <w:rPr>
          <w:rFonts w:hint="cs"/>
          <w:rtl/>
          <w:lang w:val="en-GB"/>
        </w:rPr>
        <w:t>وافق عليه مؤتمر المندوبين المفوضين</w:t>
      </w:r>
      <w:r w:rsidRPr="00A635B0">
        <w:rPr>
          <w:rtl/>
          <w:lang w:val="en-GB"/>
        </w:rPr>
        <w:t xml:space="preserve"> (دبي 2018)، بشأن المتأخرات والحسابات الخاصة بالمتأخرات، يسلط هذا القرار الضوء على ارتفاع مستوى المتأخرات، ويضع آليات للسداد، ويشجع المتأخرين</w:t>
      </w:r>
      <w:r w:rsidRPr="00A635B0">
        <w:rPr>
          <w:rFonts w:hint="cs"/>
          <w:rtl/>
          <w:lang w:val="en-GB" w:bidi="ar-EG"/>
        </w:rPr>
        <w:t xml:space="preserve"> في السداد</w:t>
      </w:r>
      <w:r w:rsidRPr="00A635B0">
        <w:rPr>
          <w:rtl/>
          <w:lang w:val="en-GB"/>
        </w:rPr>
        <w:t xml:space="preserve"> على </w:t>
      </w:r>
      <w:r w:rsidRPr="00A635B0">
        <w:rPr>
          <w:rFonts w:hint="cs"/>
          <w:rtl/>
          <w:lang w:val="en-GB"/>
        </w:rPr>
        <w:t>سداد</w:t>
      </w:r>
      <w:r w:rsidRPr="00A635B0">
        <w:rPr>
          <w:rtl/>
          <w:lang w:val="en-GB"/>
        </w:rPr>
        <w:t xml:space="preserve"> المدفوعات </w:t>
      </w:r>
      <w:r w:rsidRPr="00A635B0">
        <w:rPr>
          <w:rFonts w:hint="cs"/>
          <w:rtl/>
          <w:lang w:val="en-GB"/>
        </w:rPr>
        <w:t>في أوانها</w:t>
      </w:r>
      <w:r w:rsidRPr="00A635B0">
        <w:rPr>
          <w:rtl/>
          <w:lang w:val="en-GB"/>
        </w:rPr>
        <w:t xml:space="preserve"> لضمان </w:t>
      </w:r>
      <w:r w:rsidRPr="00A635B0">
        <w:rPr>
          <w:rFonts w:hint="cs"/>
          <w:rtl/>
          <w:lang w:val="en-GB"/>
        </w:rPr>
        <w:t xml:space="preserve">كفاية التمويل اللازم </w:t>
      </w:r>
      <w:r w:rsidRPr="00A635B0">
        <w:rPr>
          <w:rtl/>
          <w:lang w:val="en-GB"/>
        </w:rPr>
        <w:t>للاتحاد. وسيؤثر هذا المستوى من المتأخرات على الاستقرار المالي للاتحاد إ</w:t>
      </w:r>
      <w:r w:rsidRPr="00A635B0">
        <w:rPr>
          <w:rFonts w:hint="cs"/>
          <w:rtl/>
          <w:lang w:val="en-GB"/>
        </w:rPr>
        <w:t>ن</w:t>
      </w:r>
      <w:r w:rsidRPr="00A635B0">
        <w:rPr>
          <w:rtl/>
          <w:lang w:val="en-GB"/>
        </w:rPr>
        <w:t xml:space="preserve"> ظلت هذه المبالغ غير محصلة. وفي </w:t>
      </w:r>
      <w:r w:rsidRPr="00A635B0">
        <w:rPr>
          <w:rFonts w:hint="cs"/>
          <w:rtl/>
          <w:lang w:val="en-GB"/>
        </w:rPr>
        <w:t>سنة</w:t>
      </w:r>
      <w:r w:rsidRPr="00A635B0">
        <w:rPr>
          <w:rtl/>
          <w:lang w:val="en-GB"/>
        </w:rPr>
        <w:t xml:space="preserve"> 2024، ش</w:t>
      </w:r>
      <w:r w:rsidRPr="00A635B0">
        <w:rPr>
          <w:rFonts w:hint="cs"/>
          <w:rtl/>
          <w:lang w:val="en-GB"/>
        </w:rPr>
        <w:t>ُ</w:t>
      </w:r>
      <w:r w:rsidRPr="00A635B0">
        <w:rPr>
          <w:rtl/>
          <w:lang w:val="en-GB"/>
        </w:rPr>
        <w:t>طب 0,2 مليون فرنك سويسري ع</w:t>
      </w:r>
      <w:r w:rsidRPr="00A635B0">
        <w:rPr>
          <w:rFonts w:hint="cs"/>
          <w:rtl/>
          <w:lang w:val="en-GB"/>
        </w:rPr>
        <w:t>ن</w:t>
      </w:r>
      <w:r w:rsidRPr="00A635B0">
        <w:rPr>
          <w:rtl/>
          <w:lang w:val="en-GB"/>
        </w:rPr>
        <w:t xml:space="preserve"> الذمم</w:t>
      </w:r>
      <w:r w:rsidRPr="00A635B0">
        <w:rPr>
          <w:rFonts w:hint="cs"/>
          <w:rtl/>
          <w:lang w:val="en-GB"/>
        </w:rPr>
        <w:t xml:space="preserve"> المدينة</w:t>
      </w:r>
      <w:r w:rsidRPr="00A635B0">
        <w:rPr>
          <w:rtl/>
          <w:lang w:val="en-GB"/>
        </w:rPr>
        <w:t xml:space="preserve"> الرئيسية إلى جانب متأخرات الفوائد البالغة 0,2 مليون فرنك سويسري. ويلزم </w:t>
      </w:r>
      <w:r w:rsidRPr="00A635B0">
        <w:rPr>
          <w:rFonts w:hint="cs"/>
          <w:rtl/>
          <w:lang w:val="en-GB"/>
        </w:rPr>
        <w:t>الاضطلاع بمزيد من الأعمال</w:t>
      </w:r>
      <w:r w:rsidRPr="00A635B0">
        <w:rPr>
          <w:rtl/>
          <w:lang w:val="en-GB"/>
        </w:rPr>
        <w:t xml:space="preserve"> </w:t>
      </w:r>
      <w:r w:rsidRPr="00A635B0">
        <w:rPr>
          <w:rFonts w:hint="cs"/>
          <w:rtl/>
          <w:lang w:val="en-GB"/>
        </w:rPr>
        <w:t>ضماناً لقيام</w:t>
      </w:r>
      <w:r w:rsidRPr="00A635B0">
        <w:rPr>
          <w:rtl/>
          <w:lang w:val="en-GB"/>
        </w:rPr>
        <w:t xml:space="preserve"> الاتحاد بتحصيل </w:t>
      </w:r>
      <w:r w:rsidRPr="00A635B0">
        <w:rPr>
          <w:rFonts w:hint="cs"/>
          <w:rtl/>
          <w:lang w:val="en-GB" w:bidi="ar-EG"/>
        </w:rPr>
        <w:t>مقبوضاته المستحقة</w:t>
      </w:r>
      <w:r w:rsidRPr="00A635B0">
        <w:rPr>
          <w:rtl/>
          <w:lang w:val="en-GB"/>
        </w:rPr>
        <w:t xml:space="preserve"> في</w:t>
      </w:r>
      <w:r w:rsidRPr="00A635B0">
        <w:rPr>
          <w:rFonts w:hint="cs"/>
          <w:rtl/>
          <w:lang w:val="en-GB"/>
        </w:rPr>
        <w:t xml:space="preserve"> أوانها</w:t>
      </w:r>
      <w:r w:rsidRPr="00A635B0">
        <w:rPr>
          <w:rtl/>
          <w:lang w:val="en-GB"/>
        </w:rPr>
        <w:t xml:space="preserve"> </w:t>
      </w:r>
      <w:r w:rsidRPr="00A635B0">
        <w:rPr>
          <w:rFonts w:hint="cs"/>
          <w:rtl/>
          <w:lang w:val="en-GB"/>
        </w:rPr>
        <w:t>أثناء مُضيه بأعماله.</w:t>
      </w:r>
    </w:p>
    <w:p w14:paraId="45860E9A" w14:textId="77777777" w:rsidR="00A635B0" w:rsidRPr="00A635B0" w:rsidRDefault="00A635B0" w:rsidP="00BF734F">
      <w:pPr>
        <w:pStyle w:val="enumlev1"/>
        <w:rPr>
          <w:lang w:bidi="ar-EG"/>
        </w:rPr>
      </w:pPr>
      <w:r w:rsidRPr="00A635B0">
        <w:rPr>
          <w:rtl/>
          <w:lang w:val="en-GB"/>
        </w:rPr>
        <w:tab/>
      </w:r>
      <w:r w:rsidRPr="00A635B0">
        <w:rPr>
          <w:rFonts w:hint="cs"/>
          <w:rtl/>
          <w:lang w:val="en-GB"/>
        </w:rPr>
        <w:t>إضافةً إلى</w:t>
      </w:r>
      <w:r w:rsidRPr="00A635B0">
        <w:rPr>
          <w:rtl/>
          <w:lang w:val="en-GB"/>
        </w:rPr>
        <w:t xml:space="preserve"> ذلك، يرسل الاتحاد </w:t>
      </w:r>
      <w:r w:rsidRPr="00A635B0">
        <w:rPr>
          <w:rFonts w:hint="cs"/>
          <w:rtl/>
          <w:lang w:val="en-GB"/>
        </w:rPr>
        <w:t xml:space="preserve">كشوفات </w:t>
      </w:r>
      <w:r w:rsidRPr="00A635B0">
        <w:rPr>
          <w:rtl/>
          <w:lang w:val="en-GB"/>
        </w:rPr>
        <w:t xml:space="preserve">ربع سنوية </w:t>
      </w:r>
      <w:r w:rsidRPr="00A635B0">
        <w:rPr>
          <w:rFonts w:hint="cs"/>
          <w:rtl/>
          <w:lang w:val="en-GB"/>
        </w:rPr>
        <w:t>بالم</w:t>
      </w:r>
      <w:r w:rsidRPr="00A635B0">
        <w:rPr>
          <w:rtl/>
          <w:lang w:val="en-GB"/>
        </w:rPr>
        <w:t>تأخرات و</w:t>
      </w:r>
      <w:r w:rsidRPr="00A635B0">
        <w:rPr>
          <w:rFonts w:hint="cs"/>
          <w:rtl/>
          <w:lang w:val="en-GB"/>
        </w:rPr>
        <w:t xml:space="preserve">حالات </w:t>
      </w:r>
      <w:r w:rsidRPr="00A635B0">
        <w:rPr>
          <w:rtl/>
          <w:lang w:val="en-GB"/>
        </w:rPr>
        <w:t xml:space="preserve">تعليق المشاركة </w:t>
      </w:r>
      <w:r w:rsidRPr="00A635B0">
        <w:rPr>
          <w:rFonts w:hint="cs"/>
          <w:rtl/>
          <w:lang w:val="en-GB"/>
        </w:rPr>
        <w:t>إلى</w:t>
      </w:r>
      <w:r w:rsidRPr="00A635B0">
        <w:rPr>
          <w:rtl/>
          <w:lang w:val="en-GB"/>
        </w:rPr>
        <w:t xml:space="preserve"> الدول الأعضاء وأعضاء القطاعات والمنتسبين </w:t>
      </w:r>
      <w:r w:rsidRPr="00A635B0">
        <w:rPr>
          <w:rFonts w:hint="cs"/>
          <w:rtl/>
          <w:lang w:val="en-GB"/>
        </w:rPr>
        <w:t xml:space="preserve">لتشجيعهم </w:t>
      </w:r>
      <w:r w:rsidRPr="00A635B0">
        <w:rPr>
          <w:rtl/>
          <w:lang w:val="en-GB"/>
        </w:rPr>
        <w:t>على تسوية متأخراتهم. علاوة</w:t>
      </w:r>
      <w:r w:rsidRPr="00A635B0">
        <w:rPr>
          <w:rFonts w:hint="cs"/>
          <w:rtl/>
          <w:lang w:val="en-GB"/>
        </w:rPr>
        <w:t>ً</w:t>
      </w:r>
      <w:r w:rsidRPr="00A635B0">
        <w:rPr>
          <w:rtl/>
          <w:lang w:val="en-GB"/>
        </w:rPr>
        <w:t xml:space="preserve"> على ذلك، يشكل فقدان الدول الأعضاء حقوقها في التصويت حافزا</w:t>
      </w:r>
      <w:r w:rsidRPr="00A635B0">
        <w:rPr>
          <w:rFonts w:hint="cs"/>
          <w:rtl/>
          <w:lang w:val="en-GB"/>
        </w:rPr>
        <w:t>ً</w:t>
      </w:r>
      <w:r w:rsidRPr="00A635B0">
        <w:rPr>
          <w:rtl/>
          <w:lang w:val="en-GB"/>
        </w:rPr>
        <w:t xml:space="preserve"> إضافيا</w:t>
      </w:r>
      <w:r w:rsidRPr="00A635B0">
        <w:rPr>
          <w:rFonts w:hint="cs"/>
          <w:rtl/>
          <w:lang w:val="en-GB"/>
        </w:rPr>
        <w:t xml:space="preserve">ً </w:t>
      </w:r>
      <w:r w:rsidRPr="00A635B0">
        <w:rPr>
          <w:rtl/>
          <w:lang w:val="en-GB"/>
        </w:rPr>
        <w:t>لتشجيع</w:t>
      </w:r>
      <w:r w:rsidRPr="00A635B0">
        <w:rPr>
          <w:rFonts w:hint="cs"/>
          <w:rtl/>
          <w:lang w:val="en-GB"/>
        </w:rPr>
        <w:t>ها على</w:t>
      </w:r>
      <w:r w:rsidRPr="00A635B0">
        <w:rPr>
          <w:rtl/>
          <w:lang w:val="en-GB"/>
        </w:rPr>
        <w:t xml:space="preserve"> سداد </w:t>
      </w:r>
      <w:r w:rsidRPr="00A635B0">
        <w:rPr>
          <w:rFonts w:hint="cs"/>
          <w:rtl/>
          <w:lang w:val="en-GB"/>
        </w:rPr>
        <w:t>المدفوعات</w:t>
      </w:r>
      <w:r w:rsidRPr="00A635B0">
        <w:rPr>
          <w:rtl/>
          <w:lang w:val="en-GB"/>
        </w:rPr>
        <w:t xml:space="preserve"> وتسوي</w:t>
      </w:r>
      <w:r w:rsidRPr="00A635B0">
        <w:rPr>
          <w:rFonts w:hint="cs"/>
          <w:rtl/>
          <w:lang w:val="en-GB"/>
        </w:rPr>
        <w:t>ة متأخراتها، في أوانها</w:t>
      </w:r>
      <w:r w:rsidRPr="00A635B0">
        <w:rPr>
          <w:rtl/>
          <w:lang w:val="en-GB"/>
        </w:rPr>
        <w:t>.</w:t>
      </w:r>
    </w:p>
    <w:p w14:paraId="42EAFADF" w14:textId="77777777" w:rsidR="00A635B0" w:rsidRPr="00BF734F" w:rsidRDefault="00A635B0" w:rsidP="00BF734F">
      <w:pPr>
        <w:pStyle w:val="enumlev1"/>
        <w:rPr>
          <w:i/>
          <w:iCs/>
          <w:rtl/>
          <w:lang w:val="en-GB"/>
        </w:rPr>
      </w:pPr>
      <w:r w:rsidRPr="00BF734F">
        <w:rPr>
          <w:i/>
          <w:iCs/>
          <w:rtl/>
          <w:lang w:val="en-GB"/>
        </w:rPr>
        <w:t>ج)</w:t>
      </w:r>
      <w:r w:rsidRPr="00BF734F">
        <w:rPr>
          <w:i/>
          <w:iCs/>
          <w:rtl/>
          <w:lang w:val="en-GB"/>
        </w:rPr>
        <w:tab/>
        <w:t>مخاطر أسعار الفائدة</w:t>
      </w:r>
    </w:p>
    <w:p w14:paraId="4BA7028B" w14:textId="77777777" w:rsidR="00A635B0" w:rsidRPr="00A635B0" w:rsidRDefault="00A635B0" w:rsidP="00BF734F">
      <w:pPr>
        <w:pStyle w:val="enumlev1"/>
        <w:rPr>
          <w:rtl/>
          <w:lang w:val="en-GB" w:bidi="ar-EG"/>
        </w:rPr>
      </w:pPr>
      <w:r w:rsidRPr="00A635B0">
        <w:rPr>
          <w:rtl/>
          <w:lang w:val="en-GB"/>
        </w:rPr>
        <w:tab/>
      </w:r>
      <w:bookmarkStart w:id="198" w:name="_Toc520365528"/>
      <w:r w:rsidRPr="00A635B0">
        <w:rPr>
          <w:rtl/>
          <w:lang w:val="en-GB"/>
        </w:rPr>
        <w:t xml:space="preserve">يتعرض الاتحاد لمخاطر أسعار الفائدة </w:t>
      </w:r>
      <w:r w:rsidRPr="00A635B0">
        <w:rPr>
          <w:rFonts w:hint="cs"/>
          <w:rtl/>
          <w:lang w:val="en-GB"/>
        </w:rPr>
        <w:t>عن طريق</w:t>
      </w:r>
      <w:r w:rsidRPr="00A635B0">
        <w:rPr>
          <w:rtl/>
          <w:lang w:val="en-GB"/>
        </w:rPr>
        <w:t xml:space="preserve"> استثماراته القصيرة الأجل بالدولار الأمريكي واليورو. و</w:t>
      </w:r>
      <w:r w:rsidRPr="00A635B0">
        <w:rPr>
          <w:rFonts w:hint="cs"/>
          <w:rtl/>
          <w:lang w:val="en-GB"/>
        </w:rPr>
        <w:t xml:space="preserve">قد </w:t>
      </w:r>
      <w:r w:rsidRPr="00A635B0">
        <w:rPr>
          <w:rtl/>
          <w:lang w:val="en-GB"/>
        </w:rPr>
        <w:t xml:space="preserve">حقق الاتحاد </w:t>
      </w:r>
      <w:r w:rsidRPr="00A635B0">
        <w:rPr>
          <w:rFonts w:hint="cs"/>
          <w:rtl/>
          <w:lang w:val="en-GB" w:bidi="ar-EG"/>
        </w:rPr>
        <w:t>أرباح</w:t>
      </w:r>
      <w:r w:rsidRPr="00A635B0">
        <w:rPr>
          <w:rtl/>
          <w:lang w:val="en-GB"/>
        </w:rPr>
        <w:t xml:space="preserve"> فوائد بقيمة 4,6 م</w:t>
      </w:r>
      <w:r w:rsidRPr="00A635B0">
        <w:rPr>
          <w:rFonts w:hint="cs"/>
          <w:rtl/>
          <w:lang w:val="en-GB"/>
        </w:rPr>
        <w:t xml:space="preserve">لايين </w:t>
      </w:r>
      <w:r w:rsidRPr="00A635B0">
        <w:rPr>
          <w:rtl/>
          <w:lang w:val="en-GB"/>
        </w:rPr>
        <w:t>فرنك سويسري (4,6 مل</w:t>
      </w:r>
      <w:r w:rsidRPr="00A635B0">
        <w:rPr>
          <w:rFonts w:hint="cs"/>
          <w:rtl/>
          <w:lang w:val="en-GB"/>
        </w:rPr>
        <w:t>ايين</w:t>
      </w:r>
      <w:r w:rsidRPr="00A635B0">
        <w:rPr>
          <w:rtl/>
          <w:lang w:val="en-GB"/>
        </w:rPr>
        <w:t xml:space="preserve"> فرنك سويسري في سنة 2023).</w:t>
      </w:r>
    </w:p>
    <w:bookmarkEnd w:id="198"/>
    <w:p w14:paraId="61197DEA" w14:textId="77777777" w:rsidR="00A635B0" w:rsidRPr="00BF734F" w:rsidRDefault="00A635B0" w:rsidP="00BF734F">
      <w:pPr>
        <w:pStyle w:val="enumlev1"/>
        <w:rPr>
          <w:i/>
          <w:iCs/>
          <w:rtl/>
          <w:lang w:val="en-GB"/>
        </w:rPr>
      </w:pPr>
      <w:r w:rsidRPr="00BF734F">
        <w:rPr>
          <w:i/>
          <w:iCs/>
          <w:rtl/>
          <w:lang w:val="en-GB"/>
        </w:rPr>
        <w:t>د )</w:t>
      </w:r>
      <w:r w:rsidRPr="00BF734F">
        <w:rPr>
          <w:i/>
          <w:iCs/>
          <w:rtl/>
          <w:lang w:val="en-GB"/>
        </w:rPr>
        <w:tab/>
        <w:t>مخاطر السيولة</w:t>
      </w:r>
    </w:p>
    <w:p w14:paraId="2A0057AB" w14:textId="77777777" w:rsidR="00A635B0" w:rsidRPr="00A635B0" w:rsidRDefault="00A635B0" w:rsidP="00BF734F">
      <w:pPr>
        <w:pStyle w:val="enumlev1"/>
        <w:rPr>
          <w:lang w:bidi="ar-EG"/>
        </w:rPr>
      </w:pPr>
      <w:r w:rsidRPr="00A635B0">
        <w:rPr>
          <w:rtl/>
          <w:lang w:val="en-GB"/>
        </w:rPr>
        <w:tab/>
        <w:t xml:space="preserve">مخاطر السيولة هي مخاطر عدم قدرة الاتحاد على الوفاء بالتزاماته عند استحقاقها. ويتمثل نهج الاتحاد في إدارة مخاطر السيولة في ضمان توفر سيولة كافية للوفاء بالتزاماته عند استحقاقها. ويضمن الاتحاد </w:t>
      </w:r>
      <w:r w:rsidRPr="00A635B0">
        <w:rPr>
          <w:rFonts w:hint="cs"/>
          <w:rtl/>
          <w:lang w:val="en-GB"/>
        </w:rPr>
        <w:t>كفاية ما لديه من نقد حاضر</w:t>
      </w:r>
      <w:r w:rsidRPr="00A635B0">
        <w:rPr>
          <w:rtl/>
          <w:lang w:val="en-GB"/>
        </w:rPr>
        <w:t xml:space="preserve"> لتغطية </w:t>
      </w:r>
      <w:r w:rsidRPr="00A635B0">
        <w:rPr>
          <w:rFonts w:hint="cs"/>
          <w:rtl/>
          <w:lang w:val="en-GB"/>
        </w:rPr>
        <w:t xml:space="preserve">مصروفات </w:t>
      </w:r>
      <w:r w:rsidRPr="00A635B0">
        <w:rPr>
          <w:rtl/>
          <w:lang w:val="en-GB"/>
        </w:rPr>
        <w:t xml:space="preserve">التشغيل المتوقعة </w:t>
      </w:r>
      <w:r w:rsidRPr="00A635B0">
        <w:rPr>
          <w:rFonts w:hint="cs"/>
          <w:rtl/>
          <w:lang w:val="en-GB"/>
        </w:rPr>
        <w:t>عن طريق</w:t>
      </w:r>
      <w:r w:rsidRPr="00A635B0">
        <w:rPr>
          <w:rFonts w:hint="cs"/>
          <w:rtl/>
          <w:lang w:val="en-GB" w:bidi="ar-EG"/>
        </w:rPr>
        <w:t xml:space="preserve"> التنبؤ</w:t>
      </w:r>
      <w:r w:rsidRPr="00A635B0">
        <w:rPr>
          <w:rtl/>
          <w:lang w:val="en-GB"/>
        </w:rPr>
        <w:t xml:space="preserve"> </w:t>
      </w:r>
      <w:r w:rsidRPr="00A635B0">
        <w:rPr>
          <w:rFonts w:hint="cs"/>
          <w:rtl/>
          <w:lang w:val="en-GB"/>
        </w:rPr>
        <w:t>ب</w:t>
      </w:r>
      <w:r w:rsidRPr="00A635B0">
        <w:rPr>
          <w:rtl/>
          <w:lang w:val="en-GB"/>
        </w:rPr>
        <w:t>التدفقات النقدية.</w:t>
      </w:r>
    </w:p>
    <w:p w14:paraId="6A3016E8" w14:textId="77777777" w:rsidR="00A635B0" w:rsidRPr="00A635B0" w:rsidRDefault="00A635B0" w:rsidP="00BF734F">
      <w:pPr>
        <w:pStyle w:val="enumlev1"/>
        <w:rPr>
          <w:lang w:bidi="ar-EG"/>
        </w:rPr>
      </w:pPr>
      <w:r w:rsidRPr="00A635B0">
        <w:rPr>
          <w:rtl/>
          <w:lang w:val="en-GB"/>
        </w:rPr>
        <w:tab/>
      </w:r>
      <w:r w:rsidRPr="00A635B0">
        <w:rPr>
          <w:rFonts w:hint="cs"/>
          <w:rtl/>
          <w:lang w:val="en-GB"/>
        </w:rPr>
        <w:t xml:space="preserve">والهدف </w:t>
      </w:r>
      <w:r w:rsidRPr="00A635B0">
        <w:rPr>
          <w:rtl/>
          <w:lang w:val="en-GB"/>
        </w:rPr>
        <w:t xml:space="preserve">الرئيسي </w:t>
      </w:r>
      <w:r w:rsidRPr="00A635B0">
        <w:rPr>
          <w:rFonts w:hint="cs"/>
          <w:rtl/>
          <w:lang w:val="en-GB"/>
        </w:rPr>
        <w:t xml:space="preserve">من </w:t>
      </w:r>
      <w:r w:rsidRPr="00A635B0">
        <w:rPr>
          <w:rtl/>
          <w:lang w:val="en-GB"/>
        </w:rPr>
        <w:t xml:space="preserve">إدارة رأس مال الاتحاد ضمان </w:t>
      </w:r>
      <w:r w:rsidRPr="00A635B0">
        <w:rPr>
          <w:rFonts w:hint="cs"/>
          <w:rtl/>
          <w:lang w:val="en-GB"/>
        </w:rPr>
        <w:t>توفر النقد الكافي</w:t>
      </w:r>
      <w:r w:rsidRPr="00A635B0">
        <w:rPr>
          <w:rtl/>
          <w:lang w:val="en-GB"/>
        </w:rPr>
        <w:t xml:space="preserve"> لدعم </w:t>
      </w:r>
      <w:r w:rsidRPr="00A635B0">
        <w:rPr>
          <w:rFonts w:hint="cs"/>
          <w:rtl/>
          <w:lang w:val="en-GB"/>
        </w:rPr>
        <w:t>متطلبات</w:t>
      </w:r>
      <w:r w:rsidRPr="00A635B0">
        <w:rPr>
          <w:rtl/>
          <w:lang w:val="en-GB"/>
        </w:rPr>
        <w:t xml:space="preserve"> الاتحاد</w:t>
      </w:r>
      <w:r w:rsidRPr="00A635B0">
        <w:rPr>
          <w:rFonts w:hint="cs"/>
          <w:rtl/>
          <w:lang w:val="en-GB"/>
        </w:rPr>
        <w:t xml:space="preserve"> من التمويل</w:t>
      </w:r>
      <w:r w:rsidRPr="00A635B0">
        <w:rPr>
          <w:rtl/>
          <w:lang w:val="en-GB"/>
        </w:rPr>
        <w:t xml:space="preserve">، بما </w:t>
      </w:r>
      <w:r w:rsidRPr="00A635B0">
        <w:rPr>
          <w:rFonts w:hint="cs"/>
          <w:rtl/>
          <w:lang w:val="en-GB"/>
        </w:rPr>
        <w:t xml:space="preserve">يشمل </w:t>
      </w:r>
      <w:r w:rsidRPr="00A635B0">
        <w:rPr>
          <w:rtl/>
          <w:lang w:val="en-GB"/>
        </w:rPr>
        <w:t>النفقات الرأسمالية، لضمان</w:t>
      </w:r>
      <w:r w:rsidRPr="00A635B0">
        <w:rPr>
          <w:rFonts w:hint="cs"/>
          <w:rtl/>
          <w:lang w:val="en-GB"/>
        </w:rPr>
        <w:t xml:space="preserve"> استدامة</w:t>
      </w:r>
      <w:r w:rsidRPr="00A635B0">
        <w:rPr>
          <w:rFonts w:hint="cs"/>
          <w:rtl/>
          <w:lang w:val="en-GB" w:bidi="ar-EG"/>
        </w:rPr>
        <w:t xml:space="preserve"> </w:t>
      </w:r>
      <w:r w:rsidRPr="00A635B0">
        <w:rPr>
          <w:rFonts w:hint="cs"/>
          <w:rtl/>
          <w:lang w:val="en-GB"/>
        </w:rPr>
        <w:t>سلامة الاتحاد المالية</w:t>
      </w:r>
      <w:r w:rsidRPr="00A635B0">
        <w:rPr>
          <w:rtl/>
          <w:lang w:val="en-GB"/>
        </w:rPr>
        <w:t>.</w:t>
      </w:r>
    </w:p>
    <w:p w14:paraId="51EBAFAD" w14:textId="77777777" w:rsidR="00A635B0" w:rsidRPr="00BF734F" w:rsidRDefault="00A635B0" w:rsidP="00BF734F">
      <w:pPr>
        <w:pStyle w:val="enumlev1"/>
        <w:rPr>
          <w:i/>
          <w:iCs/>
          <w:rtl/>
          <w:lang w:val="en-GB"/>
        </w:rPr>
      </w:pPr>
      <w:r w:rsidRPr="00BF734F">
        <w:rPr>
          <w:i/>
          <w:iCs/>
          <w:rtl/>
          <w:lang w:val="en-GB"/>
        </w:rPr>
        <w:t>ه‍ )</w:t>
      </w:r>
      <w:r w:rsidRPr="00BF734F">
        <w:rPr>
          <w:i/>
          <w:iCs/>
          <w:rtl/>
          <w:lang w:val="en-GB"/>
        </w:rPr>
        <w:tab/>
        <w:t>مخاطر العملة</w:t>
      </w:r>
    </w:p>
    <w:p w14:paraId="59BF612E" w14:textId="571A3C28" w:rsidR="00A635B0" w:rsidRPr="00A635B0" w:rsidRDefault="00BF734F" w:rsidP="00BF734F">
      <w:pPr>
        <w:pStyle w:val="enumlev1"/>
        <w:rPr>
          <w:lang w:bidi="ar-EG"/>
        </w:rPr>
      </w:pPr>
      <w:r>
        <w:rPr>
          <w:lang w:val="en-GB"/>
        </w:rPr>
        <w:tab/>
      </w:r>
      <w:r w:rsidR="00A635B0" w:rsidRPr="00A635B0">
        <w:rPr>
          <w:rtl/>
          <w:lang w:val="en-GB"/>
        </w:rPr>
        <w:t>يتلقى الاتحاد مساهمات الدول الأعضاء و</w:t>
      </w:r>
      <w:r w:rsidR="00A635B0" w:rsidRPr="00A635B0">
        <w:rPr>
          <w:rFonts w:hint="cs"/>
          <w:rtl/>
          <w:lang w:val="en-GB"/>
        </w:rPr>
        <w:t xml:space="preserve">المساهمات في </w:t>
      </w:r>
      <w:r w:rsidR="00A635B0" w:rsidRPr="00A635B0">
        <w:rPr>
          <w:rtl/>
          <w:lang w:val="en-GB"/>
        </w:rPr>
        <w:t>الميزانية العادية بالفرنك السويسري</w:t>
      </w:r>
      <w:r w:rsidR="00A635B0" w:rsidRPr="00A635B0">
        <w:rPr>
          <w:rFonts w:hint="cs"/>
          <w:rtl/>
          <w:lang w:val="en-GB"/>
        </w:rPr>
        <w:t>، ويتلقى</w:t>
      </w:r>
      <w:r w:rsidR="00A635B0" w:rsidRPr="00A635B0">
        <w:rPr>
          <w:rtl/>
          <w:lang w:val="en-GB"/>
        </w:rPr>
        <w:t xml:space="preserve"> المساهمات الخارجة عن الميزانية بالفرنك السويسري وبعملات أخرى</w:t>
      </w:r>
      <w:r w:rsidR="00A635B0" w:rsidRPr="00A635B0">
        <w:rPr>
          <w:rFonts w:hint="cs"/>
          <w:rtl/>
          <w:lang w:val="en-GB"/>
        </w:rPr>
        <w:t xml:space="preserve"> كذلك</w:t>
      </w:r>
      <w:r w:rsidR="00A635B0" w:rsidRPr="00A635B0">
        <w:rPr>
          <w:rtl/>
          <w:lang w:val="en-GB"/>
        </w:rPr>
        <w:t>، معظمها بالدولار الأمريكي واليورو. ولا يلجأ الاتحاد إلى عقود الصرف المحدد</w:t>
      </w:r>
      <w:r w:rsidR="00A635B0" w:rsidRPr="00A635B0">
        <w:rPr>
          <w:rFonts w:hint="cs"/>
          <w:rtl/>
          <w:lang w:val="en-GB"/>
        </w:rPr>
        <w:t xml:space="preserve">ة الأجل </w:t>
      </w:r>
      <w:r w:rsidR="00A635B0" w:rsidRPr="00A635B0">
        <w:rPr>
          <w:rFonts w:hint="cs"/>
          <w:rtl/>
          <w:lang w:val="en-GB" w:bidi="ar-EG"/>
        </w:rPr>
        <w:t xml:space="preserve">أو </w:t>
      </w:r>
      <w:r w:rsidR="00A635B0" w:rsidRPr="00A635B0">
        <w:rPr>
          <w:rtl/>
          <w:lang w:val="en-GB"/>
        </w:rPr>
        <w:t xml:space="preserve">العقود </w:t>
      </w:r>
      <w:r w:rsidR="00A635B0" w:rsidRPr="00A635B0">
        <w:rPr>
          <w:rFonts w:hint="cs"/>
          <w:rtl/>
          <w:lang w:val="en-GB"/>
        </w:rPr>
        <w:t>المستقبلية</w:t>
      </w:r>
      <w:r w:rsidR="00A635B0" w:rsidRPr="00A635B0">
        <w:rPr>
          <w:rtl/>
          <w:lang w:val="en-GB"/>
        </w:rPr>
        <w:t xml:space="preserve"> أو المقايضات أو خيارات العملات للتحوط من ال</w:t>
      </w:r>
      <w:r w:rsidR="00A635B0" w:rsidRPr="00A635B0">
        <w:rPr>
          <w:rFonts w:hint="cs"/>
          <w:rtl/>
          <w:lang w:val="en-GB" w:bidi="ar-EG"/>
        </w:rPr>
        <w:t>أرباح</w:t>
      </w:r>
      <w:r w:rsidR="00A635B0" w:rsidRPr="00A635B0">
        <w:rPr>
          <w:rtl/>
          <w:lang w:val="en-GB"/>
        </w:rPr>
        <w:t xml:space="preserve"> أو الخسائر المحققة أو غير المحققة من</w:t>
      </w:r>
      <w:r w:rsidR="00A635B0" w:rsidRPr="00A635B0">
        <w:rPr>
          <w:rFonts w:hint="cs"/>
          <w:rtl/>
          <w:lang w:val="en-GB" w:bidi="ar-EG"/>
        </w:rPr>
        <w:t xml:space="preserve"> الصرف الأجنبي</w:t>
      </w:r>
      <w:r w:rsidR="00A635B0" w:rsidRPr="00A635B0">
        <w:rPr>
          <w:rtl/>
          <w:lang w:val="en-GB"/>
        </w:rPr>
        <w:t xml:space="preserve">. </w:t>
      </w:r>
      <w:r w:rsidR="00A635B0" w:rsidRPr="00A635B0">
        <w:rPr>
          <w:rFonts w:hint="cs"/>
          <w:rtl/>
          <w:lang w:val="en-GB"/>
        </w:rPr>
        <w:t>إذ يطبَّق التحوط الطبيعي، متى أمكن،</w:t>
      </w:r>
      <w:r w:rsidR="00A635B0" w:rsidRPr="00A635B0">
        <w:rPr>
          <w:rtl/>
          <w:lang w:val="en-GB"/>
        </w:rPr>
        <w:t xml:space="preserve"> عن طريق تخصيص العملات الأجنبية مباشرة</w:t>
      </w:r>
      <w:r w:rsidR="00A635B0" w:rsidRPr="00A635B0">
        <w:rPr>
          <w:rFonts w:hint="cs"/>
          <w:rtl/>
          <w:lang w:val="en-GB"/>
        </w:rPr>
        <w:t>ً</w:t>
      </w:r>
      <w:r w:rsidR="00A635B0" w:rsidRPr="00A635B0">
        <w:rPr>
          <w:rtl/>
          <w:lang w:val="en-GB"/>
        </w:rPr>
        <w:t xml:space="preserve"> </w:t>
      </w:r>
      <w:r w:rsidR="00A635B0" w:rsidRPr="00A635B0">
        <w:rPr>
          <w:rFonts w:hint="cs"/>
          <w:rtl/>
          <w:lang w:val="en-GB"/>
        </w:rPr>
        <w:t>لل</w:t>
      </w:r>
      <w:r w:rsidR="00A635B0" w:rsidRPr="00A635B0">
        <w:rPr>
          <w:rtl/>
          <w:lang w:val="en-GB"/>
        </w:rPr>
        <w:t xml:space="preserve">حسابات المصرفية المناسبة </w:t>
      </w:r>
      <w:r w:rsidR="00A635B0" w:rsidRPr="00A635B0">
        <w:rPr>
          <w:rFonts w:hint="cs"/>
          <w:rtl/>
          <w:lang w:val="en-GB"/>
        </w:rPr>
        <w:t xml:space="preserve">المحوزة </w:t>
      </w:r>
      <w:r w:rsidR="00A635B0" w:rsidRPr="00A635B0">
        <w:rPr>
          <w:rtl/>
          <w:lang w:val="en-GB"/>
        </w:rPr>
        <w:t>بنفس العملات.</w:t>
      </w:r>
    </w:p>
    <w:p w14:paraId="1DFFF9AE" w14:textId="5C04D6CD" w:rsidR="00A635B0" w:rsidRPr="00A635B0" w:rsidRDefault="00BF734F" w:rsidP="00BF734F">
      <w:pPr>
        <w:pStyle w:val="enumlev1"/>
        <w:rPr>
          <w:lang w:bidi="ar-EG"/>
        </w:rPr>
      </w:pPr>
      <w:r>
        <w:rPr>
          <w:lang w:val="en-GB"/>
        </w:rPr>
        <w:tab/>
      </w:r>
      <w:r w:rsidR="00A635B0" w:rsidRPr="00A635B0">
        <w:rPr>
          <w:rtl/>
          <w:lang w:val="en-GB"/>
        </w:rPr>
        <w:t xml:space="preserve">وتجدر الإشارة إلى أن المدفوعات الشهرية </w:t>
      </w:r>
      <w:r w:rsidR="00A635B0" w:rsidRPr="00A635B0">
        <w:rPr>
          <w:rFonts w:hint="cs"/>
          <w:rtl/>
          <w:lang w:val="en-GB"/>
        </w:rPr>
        <w:t>بموجب ن</w:t>
      </w:r>
      <w:r w:rsidR="00A635B0" w:rsidRPr="00A635B0">
        <w:rPr>
          <w:rtl/>
          <w:lang w:val="en-GB"/>
        </w:rPr>
        <w:t xml:space="preserve">ظام التأمين الصحي </w:t>
      </w:r>
      <w:r w:rsidR="00A635B0" w:rsidRPr="00A635B0">
        <w:rPr>
          <w:rFonts w:hint="cs"/>
          <w:rtl/>
          <w:lang w:val="en-GB"/>
        </w:rPr>
        <w:t xml:space="preserve">تصرف </w:t>
      </w:r>
      <w:r w:rsidR="00A635B0" w:rsidRPr="00A635B0">
        <w:rPr>
          <w:rtl/>
          <w:lang w:val="en-GB"/>
        </w:rPr>
        <w:t xml:space="preserve">بالفرنك السويسري، </w:t>
      </w:r>
      <w:r w:rsidR="00A635B0" w:rsidRPr="00A635B0">
        <w:rPr>
          <w:rFonts w:hint="cs"/>
          <w:rtl/>
          <w:lang w:val="en-GB"/>
        </w:rPr>
        <w:t>وهو ما يحد</w:t>
      </w:r>
      <w:r w:rsidR="00A635B0" w:rsidRPr="00A635B0">
        <w:rPr>
          <w:rtl/>
          <w:lang w:val="en-GB"/>
        </w:rPr>
        <w:t xml:space="preserve"> بشكل كبير من التعرض لتقلبات أسعار الصرف. </w:t>
      </w:r>
      <w:r w:rsidR="00A635B0" w:rsidRPr="00A635B0">
        <w:rPr>
          <w:rFonts w:hint="cs"/>
          <w:rtl/>
          <w:lang w:val="en-GB"/>
        </w:rPr>
        <w:t xml:space="preserve">لكن </w:t>
      </w:r>
      <w:r w:rsidR="00A635B0" w:rsidRPr="00A635B0">
        <w:rPr>
          <w:rtl/>
          <w:lang w:val="en-GB"/>
        </w:rPr>
        <w:t>لا يزال الاتحاد معرضا</w:t>
      </w:r>
      <w:r w:rsidR="00A635B0" w:rsidRPr="00A635B0">
        <w:rPr>
          <w:rFonts w:hint="cs"/>
          <w:rtl/>
          <w:lang w:val="en-GB"/>
        </w:rPr>
        <w:t>ً</w:t>
      </w:r>
      <w:r w:rsidR="00A635B0" w:rsidRPr="00A635B0">
        <w:rPr>
          <w:rtl/>
          <w:lang w:val="en-GB"/>
        </w:rPr>
        <w:t xml:space="preserve"> ل</w:t>
      </w:r>
      <w:r w:rsidR="00A635B0" w:rsidRPr="00A635B0">
        <w:rPr>
          <w:rFonts w:hint="cs"/>
          <w:rtl/>
          <w:lang w:val="en-GB"/>
        </w:rPr>
        <w:t>أرباح</w:t>
      </w:r>
      <w:r w:rsidR="00A635B0" w:rsidRPr="00A635B0">
        <w:rPr>
          <w:rtl/>
          <w:lang w:val="en-GB"/>
        </w:rPr>
        <w:t xml:space="preserve"> أو خسائر</w:t>
      </w:r>
      <w:r w:rsidR="00A635B0" w:rsidRPr="00A635B0">
        <w:rPr>
          <w:rFonts w:hint="cs"/>
          <w:rtl/>
          <w:lang w:val="en-GB" w:bidi="ar-EG"/>
        </w:rPr>
        <w:t xml:space="preserve"> الصرف الأجنبي</w:t>
      </w:r>
      <w:r w:rsidR="00A635B0" w:rsidRPr="00A635B0">
        <w:rPr>
          <w:rtl/>
          <w:lang w:val="en-GB"/>
        </w:rPr>
        <w:t xml:space="preserve"> </w:t>
      </w:r>
      <w:r w:rsidR="00A635B0" w:rsidRPr="00A635B0">
        <w:rPr>
          <w:rFonts w:hint="cs"/>
          <w:rtl/>
          <w:lang w:val="en-GB"/>
        </w:rPr>
        <w:t xml:space="preserve">الناتجة </w:t>
      </w:r>
      <w:r w:rsidR="00A635B0" w:rsidRPr="00A635B0">
        <w:rPr>
          <w:rtl/>
          <w:lang w:val="en-GB"/>
        </w:rPr>
        <w:t xml:space="preserve">عن دفع </w:t>
      </w:r>
      <w:r w:rsidR="00A635B0" w:rsidRPr="00A635B0">
        <w:rPr>
          <w:rFonts w:hint="cs"/>
          <w:rtl/>
          <w:lang w:val="en-GB" w:bidi="ar-EG"/>
        </w:rPr>
        <w:t>الاشتراكات</w:t>
      </w:r>
      <w:r w:rsidR="00A635B0" w:rsidRPr="00A635B0">
        <w:rPr>
          <w:rtl/>
          <w:lang w:val="en-GB"/>
        </w:rPr>
        <w:t xml:space="preserve"> إلى الصندوق المشترك للمعاشات التقاعدية لموظفي الأمم المتحدة </w:t>
      </w:r>
      <w:r w:rsidR="00A635B0" w:rsidRPr="00A635B0">
        <w:rPr>
          <w:rFonts w:hint="cs"/>
          <w:rtl/>
          <w:lang w:val="en-GB"/>
        </w:rPr>
        <w:t>والاشتراك</w:t>
      </w:r>
      <w:r w:rsidR="00A635B0" w:rsidRPr="00A635B0">
        <w:rPr>
          <w:rtl/>
          <w:lang w:val="en-GB"/>
        </w:rPr>
        <w:t xml:space="preserve"> </w:t>
      </w:r>
      <w:r w:rsidR="00A635B0" w:rsidRPr="00A635B0">
        <w:rPr>
          <w:rFonts w:hint="cs"/>
          <w:rtl/>
          <w:lang w:val="en-GB"/>
        </w:rPr>
        <w:t xml:space="preserve">الاستثنائي </w:t>
      </w:r>
      <w:r w:rsidR="00A635B0" w:rsidRPr="00A635B0">
        <w:rPr>
          <w:rtl/>
          <w:lang w:val="en-GB"/>
        </w:rPr>
        <w:t xml:space="preserve">غير </w:t>
      </w:r>
      <w:r w:rsidR="00A635B0" w:rsidRPr="00A635B0">
        <w:rPr>
          <w:rtl/>
          <w:lang w:val="en-GB"/>
        </w:rPr>
        <w:lastRenderedPageBreak/>
        <w:t>المسدد المت</w:t>
      </w:r>
      <w:r w:rsidR="00A635B0" w:rsidRPr="00A635B0">
        <w:rPr>
          <w:rFonts w:hint="cs"/>
          <w:rtl/>
          <w:lang w:val="en-GB"/>
        </w:rPr>
        <w:t xml:space="preserve">علق بالانتساب إلى </w:t>
      </w:r>
      <w:r w:rsidR="00A635B0" w:rsidRPr="00A635B0">
        <w:rPr>
          <w:rtl/>
          <w:lang w:val="en-GB" w:bidi="ar-EG"/>
        </w:rPr>
        <w:t>جمعية التأمين التعاوني لموظفي الأمم المتحدة</w:t>
      </w:r>
      <w:r w:rsidR="00A635B0" w:rsidRPr="00A635B0">
        <w:rPr>
          <w:rtl/>
          <w:lang w:val="en-GB"/>
        </w:rPr>
        <w:t xml:space="preserve">، </w:t>
      </w:r>
      <w:r w:rsidR="00A635B0" w:rsidRPr="00A635B0">
        <w:rPr>
          <w:rFonts w:hint="cs"/>
          <w:rtl/>
          <w:lang w:val="en-GB"/>
        </w:rPr>
        <w:t>بالدولار الأمريكي. بيد</w:t>
      </w:r>
      <w:r w:rsidR="00A635B0" w:rsidRPr="00A635B0">
        <w:rPr>
          <w:rtl/>
          <w:lang w:val="en-GB"/>
        </w:rPr>
        <w:t xml:space="preserve"> أنه بالنظر إلى أن اشتراكات موظفي الفئة الفنية محددة </w:t>
      </w:r>
      <w:r w:rsidR="00A635B0" w:rsidRPr="00A635B0">
        <w:rPr>
          <w:rFonts w:hint="cs"/>
          <w:rtl/>
          <w:lang w:val="en-GB"/>
        </w:rPr>
        <w:t>بالدولار الأمريكي</w:t>
      </w:r>
      <w:r w:rsidR="00A635B0" w:rsidRPr="00A635B0">
        <w:rPr>
          <w:rtl/>
          <w:lang w:val="en-GB"/>
        </w:rPr>
        <w:t xml:space="preserve"> واشتراكات موظفي </w:t>
      </w:r>
      <w:r w:rsidR="00A635B0" w:rsidRPr="00A635B0">
        <w:rPr>
          <w:rFonts w:hint="cs"/>
          <w:rtl/>
          <w:lang w:val="en-GB"/>
        </w:rPr>
        <w:t xml:space="preserve">فئة الخدمة </w:t>
      </w:r>
      <w:r w:rsidR="00A635B0" w:rsidRPr="00A635B0">
        <w:rPr>
          <w:rtl/>
          <w:lang w:val="en-GB"/>
        </w:rPr>
        <w:t xml:space="preserve">العامة محددة بالفرنك السويسري وأن عدد الموظفين في هاتين الفئتين موزع بالتساوي، </w:t>
      </w:r>
      <w:r w:rsidR="00A635B0" w:rsidRPr="00A635B0">
        <w:rPr>
          <w:rFonts w:hint="cs"/>
          <w:rtl/>
          <w:lang w:val="en-GB"/>
        </w:rPr>
        <w:t xml:space="preserve">فعادةً ما تتوازن </w:t>
      </w:r>
      <w:r w:rsidR="00A635B0" w:rsidRPr="00A635B0">
        <w:rPr>
          <w:rtl/>
          <w:lang w:val="en-GB"/>
        </w:rPr>
        <w:t>تقلبات أسعار الصرف.</w:t>
      </w:r>
    </w:p>
    <w:p w14:paraId="001A4522" w14:textId="5054B086" w:rsidR="00A635B0" w:rsidRPr="00A635B0" w:rsidRDefault="00BF734F" w:rsidP="00BF734F">
      <w:pPr>
        <w:pStyle w:val="enumlev1"/>
        <w:rPr>
          <w:lang w:bidi="ar-EG"/>
        </w:rPr>
      </w:pPr>
      <w:r>
        <w:rPr>
          <w:lang w:val="en-GB"/>
        </w:rPr>
        <w:tab/>
      </w:r>
      <w:r w:rsidR="00A635B0" w:rsidRPr="00A635B0">
        <w:rPr>
          <w:rtl/>
          <w:lang w:val="en-GB"/>
        </w:rPr>
        <w:t>وت</w:t>
      </w:r>
      <w:r w:rsidR="00A635B0" w:rsidRPr="00A635B0">
        <w:rPr>
          <w:rFonts w:hint="cs"/>
          <w:rtl/>
          <w:lang w:val="en-GB"/>
        </w:rPr>
        <w:t>ُ</w:t>
      </w:r>
      <w:r w:rsidR="00A635B0" w:rsidRPr="00A635B0">
        <w:rPr>
          <w:rtl/>
          <w:lang w:val="en-GB"/>
        </w:rPr>
        <w:t xml:space="preserve">دار المساهمات الخارجة عن الميزانية بعملة </w:t>
      </w:r>
      <w:r w:rsidR="00A635B0" w:rsidRPr="00A635B0">
        <w:rPr>
          <w:rFonts w:hint="cs"/>
          <w:rtl/>
          <w:lang w:val="en-GB"/>
        </w:rPr>
        <w:t>ال</w:t>
      </w:r>
      <w:r w:rsidR="00A635B0" w:rsidRPr="00A635B0">
        <w:rPr>
          <w:rtl/>
          <w:lang w:val="en-GB"/>
        </w:rPr>
        <w:t>مساهمة الواردة و</w:t>
      </w:r>
      <w:r w:rsidR="00A635B0" w:rsidRPr="00A635B0">
        <w:rPr>
          <w:rFonts w:hint="cs"/>
          <w:rtl/>
          <w:lang w:val="en-GB"/>
        </w:rPr>
        <w:t>تحوَّل</w:t>
      </w:r>
      <w:r w:rsidR="00A635B0" w:rsidRPr="00A635B0">
        <w:rPr>
          <w:rtl/>
          <w:lang w:val="en-GB"/>
        </w:rPr>
        <w:t xml:space="preserve"> بالفرنك السويسري لأغراض العرض. ويبين الجدول أدناه المبالغ الرئيسية </w:t>
      </w:r>
      <w:r w:rsidR="00A635B0" w:rsidRPr="00A635B0">
        <w:rPr>
          <w:rFonts w:hint="cs"/>
          <w:rtl/>
          <w:lang w:val="en-GB"/>
        </w:rPr>
        <w:t>المحوزة</w:t>
      </w:r>
      <w:r w:rsidR="00A635B0" w:rsidRPr="00A635B0">
        <w:rPr>
          <w:rtl/>
          <w:lang w:val="en-GB"/>
        </w:rPr>
        <w:t xml:space="preserve"> بالعملات الأجنبية</w:t>
      </w:r>
      <w:r w:rsidR="00A635B0" w:rsidRPr="00A635B0">
        <w:rPr>
          <w:rFonts w:hint="cs"/>
          <w:rtl/>
          <w:lang w:val="en-GB"/>
        </w:rPr>
        <w:t xml:space="preserve"> في ال</w:t>
      </w:r>
      <w:r w:rsidR="00A635B0" w:rsidRPr="00A635B0">
        <w:rPr>
          <w:rtl/>
          <w:lang w:val="en-GB"/>
        </w:rPr>
        <w:t>مصارف</w:t>
      </w:r>
      <w:r w:rsidR="00A635B0" w:rsidRPr="00A635B0">
        <w:rPr>
          <w:rFonts w:hint="cs"/>
          <w:rtl/>
          <w:lang w:val="en-GB"/>
        </w:rPr>
        <w:t xml:space="preserve"> المعنية بحسابات</w:t>
      </w:r>
      <w:r w:rsidR="00A635B0" w:rsidRPr="00A635B0">
        <w:rPr>
          <w:rtl/>
          <w:lang w:val="en-GB"/>
        </w:rPr>
        <w:t xml:space="preserve"> الاتحاد باليورو </w:t>
      </w:r>
      <w:r w:rsidR="00A635B0" w:rsidRPr="00A635B0">
        <w:rPr>
          <w:rFonts w:hint="cs"/>
          <w:rtl/>
          <w:lang w:val="en-GB"/>
        </w:rPr>
        <w:t>والدولار الأمريكي في صورة نقد وما يعادله، واستثمارات.</w:t>
      </w:r>
    </w:p>
    <w:p w14:paraId="0ADAD051" w14:textId="41E02E15" w:rsidR="00A635B0" w:rsidRPr="00A635B0" w:rsidRDefault="00BF734F" w:rsidP="00BF734F">
      <w:pPr>
        <w:pStyle w:val="enumlev1"/>
        <w:rPr>
          <w:lang w:bidi="ar-EG"/>
        </w:rPr>
      </w:pPr>
      <w:r>
        <w:rPr>
          <w:lang w:val="en-GB"/>
        </w:rPr>
        <w:tab/>
      </w:r>
      <w:r w:rsidR="00A635B0" w:rsidRPr="00A635B0">
        <w:rPr>
          <w:rFonts w:hint="cs"/>
          <w:rtl/>
          <w:lang w:val="en-GB"/>
        </w:rPr>
        <w:t>والاتحاد بصدد تعزيز</w:t>
      </w:r>
      <w:r w:rsidR="00A635B0" w:rsidRPr="00A635B0">
        <w:rPr>
          <w:rtl/>
          <w:lang w:val="en-GB"/>
        </w:rPr>
        <w:t xml:space="preserve"> ممارساته </w:t>
      </w:r>
      <w:r w:rsidR="00A635B0" w:rsidRPr="00A635B0">
        <w:rPr>
          <w:rFonts w:hint="cs"/>
          <w:rtl/>
          <w:lang w:val="en-GB"/>
        </w:rPr>
        <w:t>المتعلقة</w:t>
      </w:r>
      <w:r w:rsidR="00A635B0" w:rsidRPr="00A635B0">
        <w:rPr>
          <w:rtl/>
          <w:lang w:val="en-GB"/>
        </w:rPr>
        <w:t xml:space="preserve"> </w:t>
      </w:r>
      <w:r w:rsidR="00A635B0" w:rsidRPr="00A635B0">
        <w:rPr>
          <w:rFonts w:hint="cs"/>
          <w:rtl/>
          <w:lang w:val="en-GB"/>
        </w:rPr>
        <w:t>ب</w:t>
      </w:r>
      <w:r w:rsidR="00A635B0" w:rsidRPr="00A635B0">
        <w:rPr>
          <w:rtl/>
          <w:lang w:val="en-GB"/>
        </w:rPr>
        <w:t xml:space="preserve">إدارة العملات الأجنبية لتحسين مواءمة استثماراته بالعملات الأجنبية مع عملته الوظيفية </w:t>
      </w:r>
      <w:r w:rsidR="00A635B0" w:rsidRPr="00A635B0">
        <w:rPr>
          <w:rFonts w:hint="cs"/>
          <w:rtl/>
          <w:lang w:val="en-GB"/>
        </w:rPr>
        <w:t xml:space="preserve">(الفرنك السويسري </w:t>
      </w:r>
      <w:r w:rsidR="00A635B0" w:rsidRPr="00A635B0">
        <w:rPr>
          <w:lang w:bidi="ar-EG"/>
        </w:rPr>
        <w:t>(CHF)</w:t>
      </w:r>
      <w:r w:rsidR="00A635B0" w:rsidRPr="00A635B0">
        <w:rPr>
          <w:rFonts w:hint="cs"/>
          <w:rtl/>
          <w:lang w:val="en-GB"/>
        </w:rPr>
        <w:t>)</w:t>
      </w:r>
      <w:r w:rsidR="00A635B0" w:rsidRPr="00A635B0">
        <w:rPr>
          <w:rtl/>
          <w:lang w:val="en-GB"/>
        </w:rPr>
        <w:t xml:space="preserve">، </w:t>
      </w:r>
      <w:r w:rsidR="00A635B0" w:rsidRPr="00A635B0">
        <w:rPr>
          <w:rFonts w:hint="cs"/>
          <w:rtl/>
          <w:lang w:val="en-GB"/>
        </w:rPr>
        <w:t>ليحد بذلك من</w:t>
      </w:r>
      <w:r w:rsidR="00A635B0" w:rsidRPr="00A635B0">
        <w:rPr>
          <w:rtl/>
          <w:lang w:val="en-GB"/>
        </w:rPr>
        <w:t xml:space="preserve"> تعرض</w:t>
      </w:r>
      <w:r w:rsidR="00A635B0" w:rsidRPr="00A635B0">
        <w:rPr>
          <w:rFonts w:hint="cs"/>
          <w:rtl/>
          <w:lang w:val="en-GB"/>
        </w:rPr>
        <w:t>ه</w:t>
      </w:r>
      <w:r w:rsidR="00A635B0" w:rsidRPr="00A635B0">
        <w:rPr>
          <w:rtl/>
          <w:lang w:val="en-GB"/>
        </w:rPr>
        <w:t xml:space="preserve"> لتقلبات أسعار الصرف ويضمن </w:t>
      </w:r>
      <w:r w:rsidR="00A635B0" w:rsidRPr="00A635B0">
        <w:rPr>
          <w:rFonts w:hint="cs"/>
          <w:rtl/>
          <w:lang w:val="en-GB"/>
        </w:rPr>
        <w:t>زيادة</w:t>
      </w:r>
      <w:r w:rsidR="00A635B0" w:rsidRPr="00A635B0">
        <w:rPr>
          <w:rtl/>
          <w:lang w:val="en-GB"/>
        </w:rPr>
        <w:t xml:space="preserve"> قدر</w:t>
      </w:r>
      <w:r w:rsidR="00A635B0" w:rsidRPr="00A635B0">
        <w:rPr>
          <w:rFonts w:hint="cs"/>
          <w:rtl/>
          <w:lang w:val="en-GB"/>
        </w:rPr>
        <w:t>ته</w:t>
      </w:r>
      <w:r w:rsidR="00A635B0" w:rsidRPr="00A635B0">
        <w:rPr>
          <w:rtl/>
          <w:lang w:val="en-GB"/>
        </w:rPr>
        <w:t xml:space="preserve"> على التنبؤ بالنتائج المالية و</w:t>
      </w:r>
      <w:r w:rsidR="00A635B0" w:rsidRPr="00A635B0">
        <w:rPr>
          <w:rFonts w:hint="cs"/>
          <w:rtl/>
          <w:lang w:val="en-GB"/>
        </w:rPr>
        <w:t xml:space="preserve">زيادة </w:t>
      </w:r>
      <w:r w:rsidR="00A635B0" w:rsidRPr="00A635B0">
        <w:rPr>
          <w:rtl/>
          <w:lang w:val="en-GB"/>
        </w:rPr>
        <w:t>استقرارها.</w:t>
      </w:r>
    </w:p>
    <w:p w14:paraId="66F16DF6" w14:textId="77777777" w:rsidR="00A635B0" w:rsidRPr="00A635B0" w:rsidRDefault="00A635B0" w:rsidP="00BF734F">
      <w:pPr>
        <w:pStyle w:val="Figure"/>
        <w:rPr>
          <w:lang w:bidi="ar-EG"/>
        </w:rPr>
      </w:pPr>
      <w:r w:rsidRPr="00A635B0">
        <w:rPr>
          <w:lang w:bidi="ar-EG"/>
        </w:rPr>
        <w:drawing>
          <wp:inline distT="0" distB="0" distL="0" distR="0" wp14:anchorId="2BBD86BA" wp14:editId="76AA5091">
            <wp:extent cx="4859392" cy="1794131"/>
            <wp:effectExtent l="0" t="0" r="0" b="0"/>
            <wp:docPr id="311283887" name="Picture 35" descr="A black screen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83887" name="Picture 35" descr="A black screen with blue tex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3444" cy="1795627"/>
                    </a:xfrm>
                    <a:prstGeom prst="rect">
                      <a:avLst/>
                    </a:prstGeom>
                    <a:noFill/>
                  </pic:spPr>
                </pic:pic>
              </a:graphicData>
            </a:graphic>
          </wp:inline>
        </w:drawing>
      </w:r>
    </w:p>
    <w:p w14:paraId="57146510" w14:textId="77777777" w:rsidR="00A635B0" w:rsidRPr="00BF734F" w:rsidRDefault="00A635B0" w:rsidP="00BF734F">
      <w:pPr>
        <w:pStyle w:val="enumlev1"/>
        <w:rPr>
          <w:i/>
          <w:iCs/>
          <w:rtl/>
          <w:lang w:val="en-GB"/>
        </w:rPr>
      </w:pPr>
      <w:r w:rsidRPr="00BF734F">
        <w:rPr>
          <w:i/>
          <w:iCs/>
          <w:rtl/>
          <w:lang w:val="en-GB"/>
        </w:rPr>
        <w:t>و )</w:t>
      </w:r>
      <w:r w:rsidRPr="00BF734F">
        <w:rPr>
          <w:i/>
          <w:iCs/>
          <w:rtl/>
          <w:lang w:val="en-GB"/>
        </w:rPr>
        <w:tab/>
        <w:t>مخاطر السوق</w:t>
      </w:r>
    </w:p>
    <w:p w14:paraId="447602EF" w14:textId="77777777" w:rsidR="00A635B0" w:rsidRPr="00A635B0" w:rsidRDefault="00A635B0" w:rsidP="00BF734F">
      <w:pPr>
        <w:pStyle w:val="enumlev1"/>
        <w:rPr>
          <w:rtl/>
          <w:lang w:val="en-GB"/>
        </w:rPr>
      </w:pPr>
      <w:r w:rsidRPr="00A635B0">
        <w:rPr>
          <w:rtl/>
          <w:lang w:val="en-GB"/>
        </w:rPr>
        <w:tab/>
      </w:r>
      <w:bookmarkStart w:id="199" w:name="_Toc520365535"/>
      <w:r w:rsidRPr="00A635B0">
        <w:rPr>
          <w:rtl/>
          <w:lang w:val="en-GB"/>
        </w:rPr>
        <w:t xml:space="preserve">مخاطر السوق هي مخاطر </w:t>
      </w:r>
      <w:r w:rsidRPr="00A635B0">
        <w:rPr>
          <w:rFonts w:hint="cs"/>
          <w:rtl/>
          <w:lang w:val="en-GB"/>
        </w:rPr>
        <w:t>تغير</w:t>
      </w:r>
      <w:r w:rsidRPr="00A635B0">
        <w:rPr>
          <w:rtl/>
          <w:lang w:val="en-GB"/>
        </w:rPr>
        <w:t> أسعار السوق</w:t>
      </w:r>
      <w:r w:rsidRPr="00A635B0">
        <w:rPr>
          <w:rFonts w:hint="cs"/>
          <w:rtl/>
          <w:lang w:val="en-GB"/>
        </w:rPr>
        <w:t xml:space="preserve"> ك</w:t>
      </w:r>
      <w:r w:rsidRPr="00A635B0">
        <w:rPr>
          <w:rtl/>
          <w:lang w:val="en-GB"/>
        </w:rPr>
        <w:t xml:space="preserve">أسعار </w:t>
      </w:r>
      <w:r w:rsidRPr="00A635B0">
        <w:rPr>
          <w:rFonts w:hint="cs"/>
          <w:rtl/>
          <w:lang w:val="en-GB"/>
        </w:rPr>
        <w:t>ال</w:t>
      </w:r>
      <w:r w:rsidRPr="00A635B0">
        <w:rPr>
          <w:rtl/>
          <w:lang w:val="en-GB"/>
        </w:rPr>
        <w:t xml:space="preserve">صرف </w:t>
      </w:r>
      <w:r w:rsidRPr="00A635B0">
        <w:rPr>
          <w:rFonts w:hint="cs"/>
          <w:rtl/>
          <w:lang w:val="en-GB"/>
        </w:rPr>
        <w:t>الأجنبي</w:t>
      </w:r>
      <w:r w:rsidRPr="00A635B0">
        <w:rPr>
          <w:rtl/>
          <w:lang w:val="en-GB"/>
        </w:rPr>
        <w:t xml:space="preserve"> وأسعار الفائدة</w:t>
      </w:r>
      <w:r w:rsidRPr="00A635B0">
        <w:rPr>
          <w:rFonts w:hint="cs"/>
          <w:rtl/>
          <w:lang w:val="en-GB"/>
        </w:rPr>
        <w:t xml:space="preserve"> المؤثر</w:t>
      </w:r>
      <w:r w:rsidRPr="00A635B0">
        <w:rPr>
          <w:rtl/>
          <w:lang w:val="en-GB"/>
        </w:rPr>
        <w:t xml:space="preserve"> على دخل الاتحاد أو قيمة</w:t>
      </w:r>
      <w:r w:rsidRPr="00A635B0">
        <w:rPr>
          <w:rFonts w:hint="cs"/>
          <w:rtl/>
          <w:lang w:val="en-GB"/>
        </w:rPr>
        <w:t xml:space="preserve"> حيازاته من</w:t>
      </w:r>
      <w:r w:rsidRPr="00A635B0">
        <w:rPr>
          <w:rtl/>
          <w:lang w:val="en-GB"/>
        </w:rPr>
        <w:t xml:space="preserve"> </w:t>
      </w:r>
      <w:r w:rsidRPr="00A635B0">
        <w:rPr>
          <w:rFonts w:hint="cs"/>
          <w:rtl/>
          <w:lang w:val="en-GB"/>
        </w:rPr>
        <w:t>الأدوات</w:t>
      </w:r>
      <w:r w:rsidRPr="00A635B0">
        <w:rPr>
          <w:rtl/>
          <w:lang w:val="en-GB"/>
        </w:rPr>
        <w:t xml:space="preserve"> المالية. والهدف من إدارة مخاطر السوق </w:t>
      </w:r>
      <w:r w:rsidRPr="00A635B0">
        <w:rPr>
          <w:rFonts w:hint="cs"/>
          <w:rtl/>
          <w:lang w:val="en-GB"/>
        </w:rPr>
        <w:t xml:space="preserve">هو </w:t>
      </w:r>
      <w:r w:rsidRPr="00A635B0">
        <w:rPr>
          <w:rtl/>
          <w:lang w:val="en-GB"/>
        </w:rPr>
        <w:t xml:space="preserve">إدارة التعرض لمخاطر السوق والتحكم فيه </w:t>
      </w:r>
      <w:r w:rsidRPr="00A635B0">
        <w:rPr>
          <w:rFonts w:hint="cs"/>
          <w:rtl/>
          <w:lang w:val="en-GB"/>
        </w:rPr>
        <w:t xml:space="preserve">ضمن </w:t>
      </w:r>
      <w:r w:rsidRPr="00A635B0">
        <w:rPr>
          <w:rtl/>
          <w:lang w:val="en-GB"/>
        </w:rPr>
        <w:t xml:space="preserve">معلمات مقبولة </w:t>
      </w:r>
      <w:r w:rsidRPr="00A635B0">
        <w:rPr>
          <w:rFonts w:hint="cs"/>
          <w:rtl/>
          <w:lang w:val="en-GB"/>
        </w:rPr>
        <w:t>وتحقيق أعلى عائد بالنسبة إلى ال</w:t>
      </w:r>
      <w:r w:rsidRPr="00A635B0">
        <w:rPr>
          <w:rtl/>
          <w:lang w:val="en-GB"/>
        </w:rPr>
        <w:t>مخاطر</w:t>
      </w:r>
      <w:bookmarkEnd w:id="199"/>
      <w:r w:rsidRPr="00A635B0">
        <w:rPr>
          <w:rFonts w:hint="cs"/>
          <w:rtl/>
          <w:lang w:val="en-GB"/>
        </w:rPr>
        <w:t>، في آن.</w:t>
      </w:r>
    </w:p>
    <w:p w14:paraId="7E5B68C8" w14:textId="77777777" w:rsidR="00A635B0" w:rsidRPr="00A635B0" w:rsidRDefault="00A635B0" w:rsidP="00187C0F">
      <w:pPr>
        <w:rPr>
          <w:rtl/>
          <w:lang w:val="en-GB" w:bidi="ar-SY"/>
        </w:rPr>
      </w:pPr>
      <w:r w:rsidRPr="00A635B0">
        <w:rPr>
          <w:rtl/>
          <w:lang w:val="en-GB" w:bidi="ar-SY"/>
        </w:rPr>
        <w:t>وفيما يلي</w:t>
      </w:r>
      <w:r w:rsidRPr="00A635B0">
        <w:rPr>
          <w:rFonts w:hint="cs"/>
          <w:rtl/>
          <w:lang w:val="en-GB" w:bidi="ar-SY"/>
        </w:rPr>
        <w:t xml:space="preserve"> </w:t>
      </w:r>
      <w:r w:rsidRPr="00A635B0">
        <w:rPr>
          <w:rFonts w:hint="cs"/>
          <w:rtl/>
          <w:lang w:val="en-GB" w:bidi="ar-EG"/>
        </w:rPr>
        <w:t xml:space="preserve">جدول </w:t>
      </w:r>
      <w:r w:rsidRPr="00A635B0">
        <w:rPr>
          <w:rFonts w:hint="cs"/>
          <w:rtl/>
          <w:lang w:val="en-GB" w:bidi="ar-SY"/>
        </w:rPr>
        <w:t xml:space="preserve">بيانات </w:t>
      </w:r>
      <w:r w:rsidRPr="00A635B0">
        <w:rPr>
          <w:rtl/>
          <w:lang w:val="en-GB" w:bidi="ar-SY"/>
        </w:rPr>
        <w:t>استحقاق ال</w:t>
      </w:r>
      <w:r w:rsidRPr="00A635B0">
        <w:rPr>
          <w:rFonts w:hint="cs"/>
          <w:rtl/>
          <w:lang w:val="en-GB" w:bidi="ar-SY"/>
        </w:rPr>
        <w:t>أدوات</w:t>
      </w:r>
      <w:r w:rsidRPr="00A635B0">
        <w:rPr>
          <w:rtl/>
          <w:lang w:val="en-GB" w:bidi="ar-SY"/>
        </w:rPr>
        <w:t xml:space="preserve"> المالية حتى </w:t>
      </w:r>
      <w:r w:rsidRPr="00A635B0">
        <w:rPr>
          <w:lang w:bidi="ar-EG"/>
        </w:rPr>
        <w:t>31</w:t>
      </w:r>
      <w:r w:rsidRPr="00A635B0">
        <w:rPr>
          <w:rtl/>
          <w:lang w:val="en-GB" w:bidi="ar-SY"/>
        </w:rPr>
        <w:t xml:space="preserve"> ديسمبر</w:t>
      </w:r>
      <w:r w:rsidRPr="00A635B0">
        <w:rPr>
          <w:rtl/>
          <w:lang w:val="en-GB"/>
        </w:rPr>
        <w:t> </w:t>
      </w:r>
      <w:r w:rsidRPr="00A635B0">
        <w:rPr>
          <w:lang w:bidi="ar-EG"/>
        </w:rPr>
        <w:t>2024</w:t>
      </w:r>
      <w:r w:rsidRPr="00A635B0">
        <w:rPr>
          <w:rtl/>
          <w:lang w:val="en-GB" w:bidi="ar-SY"/>
        </w:rPr>
        <w:t>:</w:t>
      </w:r>
    </w:p>
    <w:p w14:paraId="13CFB852" w14:textId="26087655" w:rsidR="00A635B0" w:rsidRPr="00A635B0" w:rsidRDefault="00E07AC5" w:rsidP="00BF734F">
      <w:pPr>
        <w:pStyle w:val="Figure"/>
        <w:rPr>
          <w:lang w:bidi="ar-EG"/>
        </w:rPr>
      </w:pPr>
      <w:r>
        <w:rPr>
          <w:lang w:bidi="ar-EG"/>
        </w:rPr>
        <w:drawing>
          <wp:inline distT="0" distB="0" distL="0" distR="0" wp14:anchorId="31544B66" wp14:editId="2F447458">
            <wp:extent cx="4467708" cy="3102893"/>
            <wp:effectExtent l="0" t="0" r="9525" b="2540"/>
            <wp:docPr id="1209540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1733" cy="3112633"/>
                    </a:xfrm>
                    <a:prstGeom prst="rect">
                      <a:avLst/>
                    </a:prstGeom>
                    <a:noFill/>
                  </pic:spPr>
                </pic:pic>
              </a:graphicData>
            </a:graphic>
          </wp:inline>
        </w:drawing>
      </w:r>
    </w:p>
    <w:p w14:paraId="4E98A260" w14:textId="77777777" w:rsidR="00A635B0" w:rsidRPr="00A635B0" w:rsidRDefault="00A635B0" w:rsidP="009F4F01">
      <w:pPr>
        <w:pStyle w:val="Heading1"/>
        <w:rPr>
          <w:rtl/>
          <w:lang w:val="en-GB"/>
        </w:rPr>
      </w:pPr>
      <w:bookmarkStart w:id="200" w:name="_Toc358648344"/>
      <w:bookmarkStart w:id="201" w:name="_Toc358648543"/>
      <w:bookmarkStart w:id="202" w:name="_Toc387263375"/>
      <w:bookmarkStart w:id="203" w:name="_Toc387338350"/>
      <w:bookmarkStart w:id="204" w:name="_Toc419484074"/>
      <w:bookmarkStart w:id="205" w:name="_Toc452156626"/>
      <w:bookmarkStart w:id="206" w:name="_Toc482792210"/>
      <w:bookmarkStart w:id="207" w:name="_Toc482793715"/>
      <w:bookmarkStart w:id="208" w:name="_Toc511402230"/>
      <w:bookmarkStart w:id="209" w:name="_Toc511756667"/>
      <w:bookmarkStart w:id="210" w:name="_Toc9614786"/>
      <w:bookmarkStart w:id="211" w:name="_Toc42013541"/>
      <w:bookmarkStart w:id="212" w:name="_Toc42014542"/>
      <w:bookmarkStart w:id="213" w:name="_Toc74061574"/>
      <w:bookmarkStart w:id="214" w:name="_Toc162520625"/>
      <w:bookmarkStart w:id="215" w:name="_Toc199403742"/>
      <w:bookmarkStart w:id="216" w:name="_Toc201043145"/>
      <w:r w:rsidRPr="00A635B0">
        <w:rPr>
          <w:rtl/>
          <w:lang w:val="en-GB"/>
        </w:rPr>
        <w:lastRenderedPageBreak/>
        <w:t xml:space="preserve">الملاحظة </w:t>
      </w:r>
      <w:r w:rsidRPr="00A635B0">
        <w:rPr>
          <w:rtl/>
        </w:rPr>
        <w:t>6</w:t>
      </w:r>
      <w:r w:rsidRPr="00A635B0">
        <w:rPr>
          <w:rtl/>
          <w:lang w:val="en-GB"/>
        </w:rPr>
        <w:tab/>
      </w:r>
      <w:r w:rsidRPr="00A635B0">
        <w:rPr>
          <w:rFonts w:hint="cs"/>
          <w:rtl/>
          <w:lang w:val="en-GB"/>
        </w:rPr>
        <w:t>النقد</w:t>
      </w:r>
      <w:r w:rsidRPr="00A635B0">
        <w:rPr>
          <w:rtl/>
          <w:lang w:val="en-GB"/>
        </w:rPr>
        <w:t xml:space="preserve"> وما </w:t>
      </w:r>
      <w:bookmarkEnd w:id="200"/>
      <w:bookmarkEnd w:id="201"/>
      <w:bookmarkEnd w:id="202"/>
      <w:bookmarkEnd w:id="203"/>
      <w:bookmarkEnd w:id="204"/>
      <w:bookmarkEnd w:id="205"/>
      <w:bookmarkEnd w:id="206"/>
      <w:bookmarkEnd w:id="207"/>
      <w:r w:rsidRPr="00A635B0">
        <w:rPr>
          <w:rtl/>
          <w:lang w:val="en-GB"/>
        </w:rPr>
        <w:t>يعادله</w:t>
      </w:r>
      <w:bookmarkEnd w:id="208"/>
      <w:bookmarkEnd w:id="209"/>
      <w:bookmarkEnd w:id="210"/>
      <w:bookmarkEnd w:id="211"/>
      <w:bookmarkEnd w:id="212"/>
      <w:bookmarkEnd w:id="213"/>
      <w:bookmarkEnd w:id="214"/>
      <w:bookmarkEnd w:id="215"/>
      <w:bookmarkEnd w:id="216"/>
    </w:p>
    <w:p w14:paraId="72E5BBD3" w14:textId="77777777" w:rsidR="00EF3E76" w:rsidRDefault="00A635B0" w:rsidP="0001764B">
      <w:pPr>
        <w:keepNext/>
        <w:rPr>
          <w:rtl/>
          <w:lang w:val="en-GB"/>
        </w:rPr>
      </w:pPr>
      <w:r w:rsidRPr="00A635B0">
        <w:rPr>
          <w:rtl/>
          <w:lang w:val="en-GB"/>
        </w:rPr>
        <w:t xml:space="preserve">يتضمن الجدول أدناه </w:t>
      </w:r>
      <w:r w:rsidRPr="00A635B0">
        <w:rPr>
          <w:rFonts w:hint="cs"/>
          <w:rtl/>
          <w:lang w:val="en-GB" w:bidi="ar-EG"/>
        </w:rPr>
        <w:t xml:space="preserve">تفصيلاً </w:t>
      </w:r>
      <w:r w:rsidRPr="00A635B0">
        <w:rPr>
          <w:rtl/>
          <w:lang w:val="en-GB"/>
        </w:rPr>
        <w:t>للنقد وما يعادله حتى 31 ديسمبر 2024 و 2023.</w:t>
      </w:r>
    </w:p>
    <w:p w14:paraId="41B9C3E9" w14:textId="3A5891FF" w:rsidR="00A635B0" w:rsidRPr="00A635B0" w:rsidRDefault="00ED09AE" w:rsidP="00ED09AE">
      <w:pPr>
        <w:pStyle w:val="Figure"/>
        <w:rPr>
          <w:lang w:bidi="ar-EG"/>
        </w:rPr>
      </w:pPr>
      <w:r>
        <w:rPr>
          <w:lang w:bidi="ar-EG"/>
        </w:rPr>
        <w:drawing>
          <wp:inline distT="0" distB="0" distL="0" distR="0" wp14:anchorId="4302E682" wp14:editId="563B715B">
            <wp:extent cx="4881563" cy="1865455"/>
            <wp:effectExtent l="0" t="0" r="0" b="1905"/>
            <wp:docPr id="292350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934" cy="1868654"/>
                    </a:xfrm>
                    <a:prstGeom prst="rect">
                      <a:avLst/>
                    </a:prstGeom>
                    <a:noFill/>
                  </pic:spPr>
                </pic:pic>
              </a:graphicData>
            </a:graphic>
          </wp:inline>
        </w:drawing>
      </w:r>
    </w:p>
    <w:p w14:paraId="1669FC09" w14:textId="77777777" w:rsidR="00A635B0" w:rsidRPr="00A635B0" w:rsidRDefault="00A635B0" w:rsidP="00187C0F">
      <w:pPr>
        <w:rPr>
          <w:rtl/>
          <w:lang w:val="en-GB" w:bidi="ar-EG"/>
        </w:rPr>
      </w:pPr>
      <w:r w:rsidRPr="00A635B0">
        <w:rPr>
          <w:rtl/>
          <w:lang w:val="en-GB"/>
        </w:rPr>
        <w:t xml:space="preserve">ومبلغ النقد المقيد وما يعادله </w:t>
      </w:r>
      <w:r w:rsidRPr="00A635B0">
        <w:rPr>
          <w:rFonts w:hint="cs"/>
          <w:rtl/>
          <w:lang w:val="en-GB"/>
        </w:rPr>
        <w:t>في سنتي</w:t>
      </w:r>
      <w:r w:rsidRPr="00A635B0">
        <w:rPr>
          <w:rtl/>
          <w:lang w:val="en-GB"/>
        </w:rPr>
        <w:t xml:space="preserve"> 2024 و</w:t>
      </w:r>
      <w:r w:rsidRPr="00A635B0">
        <w:rPr>
          <w:rFonts w:hint="cs"/>
          <w:rtl/>
          <w:lang w:val="en-GB"/>
        </w:rPr>
        <w:t xml:space="preserve"> </w:t>
      </w:r>
      <w:r w:rsidRPr="00A635B0">
        <w:rPr>
          <w:rtl/>
          <w:lang w:val="en-GB"/>
        </w:rPr>
        <w:t xml:space="preserve">2023 </w:t>
      </w:r>
      <w:r w:rsidRPr="00A635B0">
        <w:rPr>
          <w:rFonts w:hint="cs"/>
          <w:rtl/>
          <w:lang w:val="en-GB"/>
        </w:rPr>
        <w:t xml:space="preserve">هو </w:t>
      </w:r>
      <w:r w:rsidRPr="00A635B0">
        <w:rPr>
          <w:rtl/>
          <w:lang w:val="en-GB"/>
        </w:rPr>
        <w:t>28,9 مليون فرنك سويسري و27,5 مليون فرنك سويسري</w:t>
      </w:r>
      <w:r w:rsidRPr="00A635B0">
        <w:rPr>
          <w:rFonts w:hint="cs"/>
          <w:rtl/>
          <w:lang w:val="en-GB"/>
        </w:rPr>
        <w:t xml:space="preserve">، </w:t>
      </w:r>
      <w:r w:rsidRPr="00A635B0">
        <w:rPr>
          <w:rtl/>
          <w:lang w:val="en-GB"/>
        </w:rPr>
        <w:t xml:space="preserve">على التوالي. وتتعلق القيود المفروضة على النقد وما يعادله </w:t>
      </w:r>
      <w:r w:rsidRPr="00A635B0">
        <w:rPr>
          <w:rFonts w:hint="cs"/>
          <w:rtl/>
          <w:lang w:val="en-GB"/>
        </w:rPr>
        <w:t>بصفة رئيسية بمؤسسة مباني المنظمات الدولية</w:t>
      </w:r>
      <w:r w:rsidRPr="00A635B0">
        <w:rPr>
          <w:rtl/>
          <w:lang w:val="en-GB"/>
        </w:rPr>
        <w:t xml:space="preserve"> والتبرعات الواردة للمبنى الجديد، </w:t>
      </w:r>
      <w:r w:rsidRPr="00A635B0">
        <w:rPr>
          <w:rFonts w:hint="cs"/>
          <w:rtl/>
          <w:lang w:val="en-GB"/>
        </w:rPr>
        <w:t>وكذلك ب</w:t>
      </w:r>
      <w:r w:rsidRPr="00A635B0">
        <w:rPr>
          <w:rtl/>
          <w:lang w:val="en-GB"/>
        </w:rPr>
        <w:t>استثمارات صندوق المعاشات التقاعدية القديم ل</w:t>
      </w:r>
      <w:r w:rsidRPr="00A635B0">
        <w:rPr>
          <w:rFonts w:hint="cs"/>
          <w:rtl/>
          <w:lang w:val="en-GB"/>
        </w:rPr>
        <w:t>دى ا</w:t>
      </w:r>
      <w:r w:rsidRPr="00A635B0">
        <w:rPr>
          <w:rtl/>
          <w:lang w:val="en-GB"/>
        </w:rPr>
        <w:t>لاتحاد</w:t>
      </w:r>
      <w:r w:rsidRPr="00A635B0">
        <w:rPr>
          <w:rFonts w:hint="cs"/>
          <w:rtl/>
          <w:lang w:val="en-GB"/>
        </w:rPr>
        <w:t>.</w:t>
      </w:r>
    </w:p>
    <w:p w14:paraId="7AF699A4" w14:textId="353F5EBF" w:rsidR="00A635B0" w:rsidRPr="00A635B0" w:rsidRDefault="00F05D87" w:rsidP="00F05D87">
      <w:pPr>
        <w:pStyle w:val="Figure"/>
        <w:rPr>
          <w:lang w:bidi="ar-EG"/>
        </w:rPr>
      </w:pPr>
      <w:r>
        <w:rPr>
          <w:lang w:bidi="ar-EG"/>
        </w:rPr>
        <w:drawing>
          <wp:inline distT="0" distB="0" distL="0" distR="0" wp14:anchorId="567C9AFC" wp14:editId="4C3C02AC">
            <wp:extent cx="5040000" cy="2728800"/>
            <wp:effectExtent l="0" t="0" r="8255" b="0"/>
            <wp:docPr id="3927495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40000" cy="2728800"/>
                    </a:xfrm>
                    <a:prstGeom prst="rect">
                      <a:avLst/>
                    </a:prstGeom>
                    <a:noFill/>
                  </pic:spPr>
                </pic:pic>
              </a:graphicData>
            </a:graphic>
          </wp:inline>
        </w:drawing>
      </w:r>
    </w:p>
    <w:p w14:paraId="29ED4294" w14:textId="77777777" w:rsidR="00A635B0" w:rsidRPr="00A635B0" w:rsidRDefault="00A635B0" w:rsidP="009F4F01">
      <w:pPr>
        <w:pStyle w:val="Heading1"/>
        <w:rPr>
          <w:rtl/>
          <w:lang w:val="en-GB"/>
        </w:rPr>
      </w:pPr>
      <w:bookmarkStart w:id="217" w:name="_Toc329296025"/>
      <w:bookmarkStart w:id="218" w:name="_Toc358648345"/>
      <w:bookmarkStart w:id="219" w:name="_Toc358648544"/>
      <w:bookmarkStart w:id="220" w:name="_Toc387263376"/>
      <w:bookmarkStart w:id="221" w:name="_Toc387338351"/>
      <w:bookmarkStart w:id="222" w:name="_Toc419484075"/>
      <w:bookmarkStart w:id="223" w:name="_Toc452156627"/>
      <w:bookmarkStart w:id="224" w:name="_Toc482792211"/>
      <w:bookmarkStart w:id="225" w:name="_Toc482793716"/>
      <w:bookmarkStart w:id="226" w:name="_Toc511402231"/>
      <w:bookmarkStart w:id="227" w:name="_Toc511756668"/>
      <w:bookmarkStart w:id="228" w:name="_Toc9614787"/>
      <w:bookmarkStart w:id="229" w:name="_Toc42013542"/>
      <w:bookmarkStart w:id="230" w:name="_Toc42014543"/>
      <w:bookmarkStart w:id="231" w:name="_Toc74061575"/>
      <w:bookmarkStart w:id="232" w:name="_Toc162520626"/>
      <w:bookmarkStart w:id="233" w:name="_Toc199403743"/>
      <w:bookmarkStart w:id="234" w:name="_Toc201043146"/>
      <w:r w:rsidRPr="00A635B0">
        <w:rPr>
          <w:rtl/>
          <w:lang w:val="en-GB"/>
        </w:rPr>
        <w:t xml:space="preserve">الملاحظة </w:t>
      </w:r>
      <w:r w:rsidRPr="00A635B0">
        <w:rPr>
          <w:rtl/>
        </w:rPr>
        <w:t>7</w:t>
      </w:r>
      <w:r w:rsidRPr="00A635B0">
        <w:rPr>
          <w:rtl/>
          <w:lang w:val="en-GB"/>
        </w:rPr>
        <w:tab/>
        <w:t>الاستثمارات</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0E20013C" w14:textId="77777777" w:rsidR="00A635B0" w:rsidRPr="00A635B0" w:rsidRDefault="00A635B0" w:rsidP="00187C0F">
      <w:pPr>
        <w:rPr>
          <w:lang w:val="en-GB" w:bidi="ar-EG"/>
        </w:rPr>
      </w:pPr>
      <w:r w:rsidRPr="00A635B0">
        <w:rPr>
          <w:rFonts w:hint="cs"/>
          <w:rtl/>
          <w:lang w:val="en-GB" w:bidi="ar-EG"/>
        </w:rPr>
        <w:t>يستعرض</w:t>
      </w:r>
      <w:r w:rsidRPr="00A635B0">
        <w:rPr>
          <w:rtl/>
          <w:lang w:val="en-GB"/>
        </w:rPr>
        <w:t xml:space="preserve"> الاتحاد حاليا</w:t>
      </w:r>
      <w:r w:rsidRPr="00A635B0">
        <w:rPr>
          <w:rFonts w:hint="cs"/>
          <w:rtl/>
          <w:lang w:val="en-GB"/>
        </w:rPr>
        <w:t>ً</w:t>
      </w:r>
      <w:r w:rsidRPr="00A635B0">
        <w:rPr>
          <w:rtl/>
          <w:lang w:val="en-GB"/>
        </w:rPr>
        <w:t xml:space="preserve"> استراتيجيته للاستثمار في الأجلين المتوسط والطويل</w:t>
      </w:r>
      <w:r w:rsidRPr="00A635B0">
        <w:rPr>
          <w:rFonts w:hint="cs"/>
          <w:rtl/>
          <w:lang w:val="en-GB"/>
        </w:rPr>
        <w:t>.</w:t>
      </w:r>
      <w:r w:rsidRPr="00A635B0">
        <w:rPr>
          <w:rtl/>
          <w:lang w:val="en-GB"/>
        </w:rPr>
        <w:t xml:space="preserve"> </w:t>
      </w:r>
      <w:r w:rsidRPr="00A635B0">
        <w:rPr>
          <w:rFonts w:hint="cs"/>
          <w:rtl/>
          <w:lang w:val="en-GB"/>
        </w:rPr>
        <w:t xml:space="preserve">ونظراً إلى انعدام </w:t>
      </w:r>
      <w:r w:rsidRPr="00A635B0">
        <w:rPr>
          <w:rtl/>
          <w:lang w:val="en-GB"/>
        </w:rPr>
        <w:t xml:space="preserve">اليقين الحالي المحيط بأسعار الصرف وأسعار الفائدة، </w:t>
      </w:r>
      <w:r w:rsidRPr="00A635B0">
        <w:rPr>
          <w:rFonts w:hint="cs"/>
          <w:rtl/>
          <w:lang w:val="en-GB"/>
        </w:rPr>
        <w:t xml:space="preserve">فقد </w:t>
      </w:r>
      <w:r w:rsidRPr="00A635B0">
        <w:rPr>
          <w:rtl/>
          <w:lang w:val="en-GB"/>
        </w:rPr>
        <w:t>قررت المنظمة عدم الانخراط في استثمارات متوسطة أو طويلة الأجل. ونتيجة</w:t>
      </w:r>
      <w:r w:rsidRPr="00A635B0">
        <w:rPr>
          <w:rFonts w:hint="cs"/>
          <w:rtl/>
          <w:lang w:val="en-GB"/>
        </w:rPr>
        <w:t>ً</w:t>
      </w:r>
      <w:r w:rsidRPr="00A635B0">
        <w:rPr>
          <w:rtl/>
          <w:lang w:val="en-GB"/>
        </w:rPr>
        <w:t xml:space="preserve"> لذلك، لم </w:t>
      </w:r>
      <w:r w:rsidRPr="00A635B0">
        <w:rPr>
          <w:rFonts w:hint="cs"/>
          <w:rtl/>
          <w:lang w:val="en-GB"/>
        </w:rPr>
        <w:t xml:space="preserve">يَحُز </w:t>
      </w:r>
      <w:r w:rsidRPr="00A635B0">
        <w:rPr>
          <w:rtl/>
          <w:lang w:val="en-GB"/>
        </w:rPr>
        <w:t>الاتحاد أي استثمارات في نهاية سنة 2024.</w:t>
      </w:r>
    </w:p>
    <w:p w14:paraId="7CDC09A0" w14:textId="77777777" w:rsidR="00A635B0" w:rsidRPr="00A635B0" w:rsidRDefault="00A635B0" w:rsidP="00A05EE8">
      <w:pPr>
        <w:keepNext/>
        <w:rPr>
          <w:lang w:bidi="ar-EG"/>
        </w:rPr>
      </w:pPr>
      <w:r w:rsidRPr="00A635B0">
        <w:rPr>
          <w:rFonts w:hint="cs"/>
          <w:rtl/>
          <w:lang w:val="en-GB" w:bidi="ar-EG"/>
        </w:rPr>
        <w:lastRenderedPageBreak/>
        <w:t>ويرد أدناه</w:t>
      </w:r>
      <w:r w:rsidRPr="00A635B0">
        <w:rPr>
          <w:rtl/>
          <w:lang w:val="en-GB" w:bidi="ar-EG"/>
        </w:rPr>
        <w:t xml:space="preserve"> </w:t>
      </w:r>
      <w:r w:rsidRPr="00A635B0">
        <w:rPr>
          <w:rFonts w:hint="cs"/>
          <w:rtl/>
          <w:lang w:val="en-GB" w:bidi="ar-EG"/>
        </w:rPr>
        <w:t>تفصيل</w:t>
      </w:r>
      <w:r w:rsidRPr="00A635B0">
        <w:rPr>
          <w:rtl/>
          <w:lang w:val="en-GB" w:bidi="ar-EG"/>
        </w:rPr>
        <w:t xml:space="preserve"> </w:t>
      </w:r>
      <w:r w:rsidRPr="00A635B0">
        <w:rPr>
          <w:rFonts w:hint="cs"/>
          <w:rtl/>
          <w:lang w:val="en-GB" w:bidi="ar-EG"/>
        </w:rPr>
        <w:t>ل</w:t>
      </w:r>
      <w:r w:rsidRPr="00A635B0">
        <w:rPr>
          <w:rtl/>
          <w:lang w:val="en-GB" w:bidi="ar-EG"/>
        </w:rPr>
        <w:t xml:space="preserve">لاستثمارات </w:t>
      </w:r>
      <w:r w:rsidRPr="00A635B0">
        <w:rPr>
          <w:rFonts w:hint="cs"/>
          <w:rtl/>
          <w:lang w:val="en-GB" w:bidi="ar-EG"/>
        </w:rPr>
        <w:t>ال</w:t>
      </w:r>
      <w:r w:rsidRPr="00A635B0">
        <w:rPr>
          <w:rtl/>
          <w:lang w:val="en-GB" w:bidi="ar-EG"/>
        </w:rPr>
        <w:t>محددة الأجل حسب تاريخ الاستحقاق (الفترة المتبقية) والعملة:</w:t>
      </w:r>
    </w:p>
    <w:p w14:paraId="206A2D1F" w14:textId="1F82AA6C" w:rsidR="00A635B0" w:rsidRPr="00A635B0" w:rsidRDefault="00A05EE8" w:rsidP="00A05EE8">
      <w:pPr>
        <w:pStyle w:val="Figure"/>
        <w:rPr>
          <w:lang w:bidi="ar-EG"/>
        </w:rPr>
      </w:pPr>
      <w:r>
        <w:rPr>
          <w:lang w:bidi="ar-EG"/>
        </w:rPr>
        <w:drawing>
          <wp:inline distT="0" distB="0" distL="0" distR="0" wp14:anchorId="15B2632B" wp14:editId="1D7A52E6">
            <wp:extent cx="4657725" cy="1840865"/>
            <wp:effectExtent l="0" t="0" r="9525" b="6985"/>
            <wp:docPr id="1914363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7725" cy="1840865"/>
                    </a:xfrm>
                    <a:prstGeom prst="rect">
                      <a:avLst/>
                    </a:prstGeom>
                    <a:noFill/>
                  </pic:spPr>
                </pic:pic>
              </a:graphicData>
            </a:graphic>
          </wp:inline>
        </w:drawing>
      </w:r>
    </w:p>
    <w:p w14:paraId="0C43A374" w14:textId="77777777" w:rsidR="00A635B0" w:rsidRPr="00A635B0" w:rsidRDefault="00A635B0" w:rsidP="009F4F01">
      <w:pPr>
        <w:pStyle w:val="Heading1"/>
        <w:rPr>
          <w:rtl/>
          <w:lang w:val="en-GB"/>
        </w:rPr>
      </w:pPr>
      <w:bookmarkStart w:id="235" w:name="_Toc329296026"/>
      <w:bookmarkStart w:id="236" w:name="_Toc358648346"/>
      <w:bookmarkStart w:id="237" w:name="_Toc358648545"/>
      <w:bookmarkStart w:id="238" w:name="_Toc387263377"/>
      <w:bookmarkStart w:id="239" w:name="_Toc387338352"/>
      <w:bookmarkStart w:id="240" w:name="_Toc419484076"/>
      <w:bookmarkStart w:id="241" w:name="_Toc452156628"/>
      <w:bookmarkStart w:id="242" w:name="_Toc482792212"/>
      <w:bookmarkStart w:id="243" w:name="_Toc482793717"/>
      <w:bookmarkStart w:id="244" w:name="_Toc511402232"/>
      <w:bookmarkStart w:id="245" w:name="_Toc511756669"/>
      <w:bookmarkStart w:id="246" w:name="_Toc9614788"/>
      <w:bookmarkStart w:id="247" w:name="_Toc42013543"/>
      <w:bookmarkStart w:id="248" w:name="_Toc42014544"/>
      <w:bookmarkStart w:id="249" w:name="_Toc74061576"/>
      <w:bookmarkStart w:id="250" w:name="_Toc162520627"/>
      <w:bookmarkStart w:id="251" w:name="_Toc199403744"/>
      <w:bookmarkStart w:id="252" w:name="_Toc201043147"/>
      <w:r w:rsidRPr="00A635B0">
        <w:rPr>
          <w:rtl/>
          <w:lang w:val="en-GB"/>
        </w:rPr>
        <w:t xml:space="preserve">الملاحظة </w:t>
      </w:r>
      <w:r w:rsidRPr="00A635B0">
        <w:rPr>
          <w:rtl/>
        </w:rPr>
        <w:t>8</w:t>
      </w:r>
      <w:r w:rsidRPr="00A635B0">
        <w:rPr>
          <w:rtl/>
          <w:lang w:val="en-GB"/>
        </w:rPr>
        <w:tab/>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635B0">
        <w:rPr>
          <w:rtl/>
          <w:lang w:val="en-GB"/>
        </w:rPr>
        <w:t>الذمم المدينة</w:t>
      </w:r>
      <w:bookmarkEnd w:id="250"/>
      <w:bookmarkEnd w:id="251"/>
      <w:bookmarkEnd w:id="252"/>
    </w:p>
    <w:p w14:paraId="19E25BAE" w14:textId="77777777" w:rsidR="00A635B0" w:rsidRPr="00A635B0" w:rsidRDefault="00A635B0" w:rsidP="00187C0F">
      <w:pPr>
        <w:rPr>
          <w:lang w:bidi="ar-EG"/>
        </w:rPr>
      </w:pPr>
      <w:r w:rsidRPr="00A635B0">
        <w:rPr>
          <w:rtl/>
          <w:lang w:val="en-GB"/>
        </w:rPr>
        <w:t>تمثل ال</w:t>
      </w:r>
      <w:r w:rsidRPr="00A635B0">
        <w:rPr>
          <w:rFonts w:hint="cs"/>
          <w:rtl/>
          <w:lang w:val="en-GB" w:bidi="ar-EG"/>
        </w:rPr>
        <w:t>ذمم المدينة</w:t>
      </w:r>
      <w:r w:rsidRPr="00A635B0">
        <w:rPr>
          <w:rtl/>
          <w:lang w:val="en-GB"/>
        </w:rPr>
        <w:t xml:space="preserve"> الإيرادات غير المحصلة من ال</w:t>
      </w:r>
      <w:r w:rsidRPr="00A635B0">
        <w:rPr>
          <w:rFonts w:hint="cs"/>
          <w:rtl/>
          <w:lang w:val="en-GB"/>
        </w:rPr>
        <w:t>اشتراكات</w:t>
      </w:r>
      <w:r w:rsidRPr="00A635B0">
        <w:rPr>
          <w:rtl/>
          <w:lang w:val="en-GB"/>
        </w:rPr>
        <w:t xml:space="preserve"> المقررة و</w:t>
      </w:r>
      <w:r w:rsidRPr="00A635B0">
        <w:rPr>
          <w:rFonts w:hint="cs"/>
          <w:rtl/>
          <w:lang w:val="en-GB"/>
        </w:rPr>
        <w:t xml:space="preserve">المساهمات </w:t>
      </w:r>
      <w:r w:rsidRPr="00A635B0">
        <w:rPr>
          <w:rtl/>
          <w:lang w:val="en-GB"/>
        </w:rPr>
        <w:t>الطوعية والمنشورات وبطاقات التبليغ عن الشبكات الساتلية.</w:t>
      </w:r>
    </w:p>
    <w:p w14:paraId="6F124A11" w14:textId="77777777" w:rsidR="00EF3E76" w:rsidRDefault="00A635B0" w:rsidP="00187C0F">
      <w:pPr>
        <w:rPr>
          <w:rtl/>
          <w:lang w:val="en-GB"/>
        </w:rPr>
      </w:pPr>
      <w:r w:rsidRPr="00A635B0">
        <w:rPr>
          <w:rtl/>
          <w:lang w:val="en-GB"/>
        </w:rPr>
        <w:t xml:space="preserve">وتمثل الذمم المدينة غير الجارية وغير التبادلية </w:t>
      </w:r>
      <w:r w:rsidRPr="00A635B0">
        <w:rPr>
          <w:rFonts w:hint="cs"/>
          <w:rtl/>
          <w:lang w:val="en-GB"/>
        </w:rPr>
        <w:t>الذمم المدينة</w:t>
      </w:r>
      <w:r w:rsidRPr="00A635B0">
        <w:rPr>
          <w:rtl/>
          <w:lang w:val="en-GB"/>
        </w:rPr>
        <w:t xml:space="preserve"> من الأعضاء </w:t>
      </w:r>
      <w:r w:rsidRPr="00A635B0">
        <w:rPr>
          <w:rFonts w:hint="cs"/>
          <w:rtl/>
          <w:lang w:val="en-GB"/>
        </w:rPr>
        <w:t>المتعهدين بسداد</w:t>
      </w:r>
      <w:r w:rsidRPr="00A635B0">
        <w:rPr>
          <w:rtl/>
          <w:lang w:val="en-GB"/>
        </w:rPr>
        <w:t xml:space="preserve"> متأخراتهم بموجب اتفاقات سداد </w:t>
      </w:r>
      <w:r w:rsidRPr="00A635B0">
        <w:rPr>
          <w:rFonts w:hint="cs"/>
          <w:rtl/>
          <w:lang w:val="en-GB"/>
        </w:rPr>
        <w:t>مجدولة</w:t>
      </w:r>
      <w:r w:rsidRPr="00A635B0">
        <w:rPr>
          <w:rtl/>
          <w:lang w:val="en-GB"/>
        </w:rPr>
        <w:t xml:space="preserve"> على عدة فترات مالية، فضلا</w:t>
      </w:r>
      <w:r w:rsidRPr="00A635B0">
        <w:rPr>
          <w:rFonts w:hint="cs"/>
          <w:rtl/>
          <w:lang w:val="en-GB"/>
        </w:rPr>
        <w:t xml:space="preserve">ً </w:t>
      </w:r>
      <w:r w:rsidRPr="00A635B0">
        <w:rPr>
          <w:rtl/>
          <w:lang w:val="en-GB"/>
        </w:rPr>
        <w:t xml:space="preserve">عن </w:t>
      </w:r>
      <w:r w:rsidRPr="00A635B0">
        <w:rPr>
          <w:rFonts w:hint="cs"/>
          <w:rtl/>
          <w:lang w:val="en-GB"/>
        </w:rPr>
        <w:t>الذمم المدينة</w:t>
      </w:r>
      <w:r w:rsidRPr="00A635B0">
        <w:rPr>
          <w:rtl/>
          <w:lang w:val="en-GB"/>
        </w:rPr>
        <w:t xml:space="preserve"> </w:t>
      </w:r>
      <w:r w:rsidRPr="00A635B0">
        <w:rPr>
          <w:rFonts w:hint="cs"/>
          <w:rtl/>
          <w:lang w:val="en-GB"/>
        </w:rPr>
        <w:t>من خارج الميزانية، المتعلقة</w:t>
      </w:r>
      <w:r w:rsidRPr="00A635B0">
        <w:rPr>
          <w:rtl/>
          <w:lang w:val="en-GB"/>
        </w:rPr>
        <w:t xml:space="preserve"> ب</w:t>
      </w:r>
      <w:r w:rsidRPr="00A635B0">
        <w:rPr>
          <w:rFonts w:hint="cs"/>
          <w:rtl/>
          <w:lang w:val="en-GB"/>
        </w:rPr>
        <w:t>ال</w:t>
      </w:r>
      <w:r w:rsidRPr="00A635B0">
        <w:rPr>
          <w:rtl/>
          <w:lang w:val="en-GB"/>
        </w:rPr>
        <w:t xml:space="preserve">مشاريع </w:t>
      </w:r>
      <w:r w:rsidRPr="00A635B0">
        <w:rPr>
          <w:rFonts w:hint="cs"/>
          <w:rtl/>
          <w:lang w:val="en-GB"/>
        </w:rPr>
        <w:t>ال</w:t>
      </w:r>
      <w:r w:rsidRPr="00A635B0">
        <w:rPr>
          <w:rtl/>
          <w:lang w:val="en-GB"/>
        </w:rPr>
        <w:t>طويلة الأجل</w:t>
      </w:r>
      <w:r w:rsidRPr="00A635B0">
        <w:rPr>
          <w:rFonts w:hint="cs"/>
          <w:rtl/>
          <w:lang w:val="en-GB"/>
        </w:rPr>
        <w:t xml:space="preserve"> الجاري تنفيذها، والمتوق</w:t>
      </w:r>
      <w:r w:rsidRPr="00A635B0">
        <w:rPr>
          <w:rtl/>
          <w:lang w:val="en-GB"/>
        </w:rPr>
        <w:t xml:space="preserve">ع تحصيلها في الفترات اللاحقة. وتعزى الزيادة الكبيرة </w:t>
      </w:r>
      <w:r w:rsidRPr="00A635B0">
        <w:rPr>
          <w:rFonts w:hint="cs"/>
          <w:rtl/>
          <w:lang w:val="en-GB"/>
        </w:rPr>
        <w:t xml:space="preserve">في الذمم المدينة </w:t>
      </w:r>
      <w:r w:rsidRPr="00A635B0">
        <w:rPr>
          <w:rtl/>
          <w:lang w:val="en-GB"/>
        </w:rPr>
        <w:t xml:space="preserve">مقارنة </w:t>
      </w:r>
      <w:r w:rsidRPr="00A635B0">
        <w:rPr>
          <w:rFonts w:hint="cs"/>
          <w:rtl/>
          <w:lang w:val="en-GB"/>
        </w:rPr>
        <w:t>بالسنة السابقة إ</w:t>
      </w:r>
      <w:r w:rsidRPr="00A635B0">
        <w:rPr>
          <w:rtl/>
          <w:lang w:val="en-GB"/>
        </w:rPr>
        <w:t>لى المشاريع الإضافية الموقع</w:t>
      </w:r>
      <w:r w:rsidRPr="00A635B0">
        <w:rPr>
          <w:rFonts w:hint="cs"/>
          <w:rtl/>
          <w:lang w:val="en-GB"/>
        </w:rPr>
        <w:t xml:space="preserve"> على تنفيذها في</w:t>
      </w:r>
      <w:r w:rsidRPr="00A635B0">
        <w:rPr>
          <w:rtl/>
          <w:lang w:val="en-GB"/>
        </w:rPr>
        <w:t xml:space="preserve"> </w:t>
      </w:r>
      <w:r w:rsidRPr="00A635B0">
        <w:rPr>
          <w:rFonts w:hint="cs"/>
          <w:rtl/>
          <w:lang w:val="en-GB"/>
        </w:rPr>
        <w:t>سنة</w:t>
      </w:r>
      <w:r w:rsidRPr="00A635B0">
        <w:rPr>
          <w:rtl/>
          <w:lang w:val="en-GB"/>
        </w:rPr>
        <w:t xml:space="preserve"> 2024 </w:t>
      </w:r>
      <w:r w:rsidRPr="00A635B0">
        <w:rPr>
          <w:rFonts w:hint="cs"/>
          <w:rtl/>
          <w:lang w:val="en-GB"/>
        </w:rPr>
        <w:t xml:space="preserve">والمتوقع </w:t>
      </w:r>
      <w:r w:rsidRPr="00A635B0">
        <w:rPr>
          <w:rtl/>
          <w:lang w:val="en-GB"/>
        </w:rPr>
        <w:t>تنفيذها في الفترات المقبلة. انظر أيضا</w:t>
      </w:r>
      <w:r w:rsidRPr="00A635B0">
        <w:rPr>
          <w:rFonts w:hint="cs"/>
          <w:rtl/>
          <w:lang w:val="en-GB"/>
        </w:rPr>
        <w:t xml:space="preserve">ً </w:t>
      </w:r>
      <w:r w:rsidRPr="00A635B0">
        <w:rPr>
          <w:rtl/>
          <w:lang w:val="en-GB"/>
        </w:rPr>
        <w:t>ال</w:t>
      </w:r>
      <w:r w:rsidRPr="00A635B0">
        <w:rPr>
          <w:rFonts w:hint="cs"/>
          <w:rtl/>
          <w:lang w:val="en-GB"/>
        </w:rPr>
        <w:t>ملاحظة</w:t>
      </w:r>
      <w:r w:rsidRPr="00A635B0">
        <w:rPr>
          <w:rtl/>
          <w:lang w:val="en-GB"/>
        </w:rPr>
        <w:t xml:space="preserve"> 14 </w:t>
      </w:r>
      <w:r w:rsidRPr="00A635B0">
        <w:rPr>
          <w:rFonts w:hint="cs"/>
          <w:rtl/>
          <w:lang w:val="en-GB"/>
        </w:rPr>
        <w:t>ل</w:t>
      </w:r>
      <w:r w:rsidRPr="00A635B0">
        <w:rPr>
          <w:rtl/>
          <w:lang w:val="en-GB"/>
        </w:rPr>
        <w:t>مزيد من التفاصيل.</w:t>
      </w:r>
    </w:p>
    <w:p w14:paraId="12660A26" w14:textId="726385D6" w:rsidR="00A635B0" w:rsidRPr="00A635B0" w:rsidRDefault="00A05EE8" w:rsidP="00A05EE8">
      <w:pPr>
        <w:pStyle w:val="Figure"/>
        <w:rPr>
          <w:rtl/>
          <w:lang w:val="en-GB" w:bidi="ar-EG"/>
        </w:rPr>
      </w:pPr>
      <w:r>
        <w:rPr>
          <w:lang w:val="en-GB" w:bidi="ar-EG"/>
        </w:rPr>
        <w:drawing>
          <wp:inline distT="0" distB="0" distL="0" distR="0" wp14:anchorId="249F225F" wp14:editId="51267FB6">
            <wp:extent cx="5760000" cy="3052800"/>
            <wp:effectExtent l="0" t="0" r="0" b="0"/>
            <wp:docPr id="6368945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3052800"/>
                    </a:xfrm>
                    <a:prstGeom prst="rect">
                      <a:avLst/>
                    </a:prstGeom>
                    <a:noFill/>
                  </pic:spPr>
                </pic:pic>
              </a:graphicData>
            </a:graphic>
          </wp:inline>
        </w:drawing>
      </w:r>
    </w:p>
    <w:p w14:paraId="5430DA58" w14:textId="77777777" w:rsidR="00A635B0" w:rsidRPr="00A635B0" w:rsidRDefault="00A635B0" w:rsidP="009F4F01">
      <w:pPr>
        <w:pStyle w:val="Heading1"/>
        <w:rPr>
          <w:rtl/>
          <w:lang w:val="en-GB"/>
        </w:rPr>
      </w:pPr>
      <w:bookmarkStart w:id="253" w:name="_Toc199403745"/>
      <w:bookmarkStart w:id="254" w:name="_Toc201043148"/>
      <w:r w:rsidRPr="00A635B0">
        <w:rPr>
          <w:rtl/>
          <w:lang w:val="en-GB"/>
        </w:rPr>
        <w:t xml:space="preserve">الملاحظة </w:t>
      </w:r>
      <w:r w:rsidRPr="00A635B0">
        <w:rPr>
          <w:rtl/>
        </w:rPr>
        <w:t>9</w:t>
      </w:r>
      <w:r w:rsidRPr="00A635B0">
        <w:rPr>
          <w:rtl/>
          <w:lang w:val="en-GB"/>
        </w:rPr>
        <w:tab/>
        <w:t>الذمم المدينة الأخرى</w:t>
      </w:r>
      <w:bookmarkEnd w:id="253"/>
      <w:bookmarkEnd w:id="254"/>
    </w:p>
    <w:p w14:paraId="713547A5" w14:textId="6C8B1F0F" w:rsidR="00A635B0" w:rsidRPr="001810F1" w:rsidRDefault="00A635B0" w:rsidP="00187C0F">
      <w:pPr>
        <w:rPr>
          <w:spacing w:val="-2"/>
          <w:lang w:bidi="ar-EG"/>
        </w:rPr>
      </w:pPr>
      <w:r w:rsidRPr="001810F1">
        <w:rPr>
          <w:spacing w:val="-2"/>
          <w:rtl/>
          <w:lang w:val="en-GB"/>
        </w:rPr>
        <w:t xml:space="preserve">الفئة الرئيسية تحت بند الذمم المدينة الأخرى هي المصروفات المدفوعة </w:t>
      </w:r>
      <w:r w:rsidRPr="001810F1">
        <w:rPr>
          <w:rFonts w:hint="cs"/>
          <w:spacing w:val="-2"/>
          <w:rtl/>
          <w:lang w:val="en-GB"/>
        </w:rPr>
        <w:t>مسبقاً</w:t>
      </w:r>
      <w:r w:rsidRPr="001810F1">
        <w:rPr>
          <w:spacing w:val="-2"/>
          <w:rtl/>
          <w:lang w:val="en-GB"/>
        </w:rPr>
        <w:t xml:space="preserve"> التي زادت بنحو مليون فرنك سويسري مقارنة</w:t>
      </w:r>
      <w:r w:rsidR="001810F1">
        <w:rPr>
          <w:rFonts w:hint="cs"/>
          <w:spacing w:val="-2"/>
          <w:rtl/>
          <w:lang w:val="en-GB"/>
        </w:rPr>
        <w:t>ً</w:t>
      </w:r>
      <w:r w:rsidRPr="001810F1">
        <w:rPr>
          <w:spacing w:val="-2"/>
          <w:rtl/>
          <w:lang w:val="en-GB"/>
        </w:rPr>
        <w:t xml:space="preserve"> بشهر ديسمبر 2023</w:t>
      </w:r>
      <w:r w:rsidRPr="001810F1">
        <w:rPr>
          <w:rFonts w:hint="cs"/>
          <w:spacing w:val="-2"/>
          <w:rtl/>
          <w:lang w:val="en-GB"/>
        </w:rPr>
        <w:t>،</w:t>
      </w:r>
      <w:r w:rsidRPr="001810F1">
        <w:rPr>
          <w:spacing w:val="-2"/>
          <w:rtl/>
          <w:lang w:val="en-GB"/>
        </w:rPr>
        <w:t xml:space="preserve"> </w:t>
      </w:r>
      <w:r w:rsidRPr="001810F1">
        <w:rPr>
          <w:rFonts w:hint="cs"/>
          <w:spacing w:val="-2"/>
          <w:rtl/>
          <w:lang w:val="en-GB"/>
        </w:rPr>
        <w:t>نتيجةً في الغالب ل</w:t>
      </w:r>
      <w:r w:rsidRPr="001810F1">
        <w:rPr>
          <w:spacing w:val="-2"/>
          <w:rtl/>
          <w:lang w:val="en-GB"/>
        </w:rPr>
        <w:t>لمدفوعات المسبقة المتنوعة المتعلقة بمعاملات برنامج الأمم المتحدة الإنمائي</w:t>
      </w:r>
      <w:r w:rsidRPr="001810F1">
        <w:rPr>
          <w:rFonts w:hint="cs"/>
          <w:spacing w:val="-2"/>
          <w:rtl/>
          <w:lang w:val="en-GB"/>
        </w:rPr>
        <w:t xml:space="preserve"> </w:t>
      </w:r>
      <w:r w:rsidRPr="001810F1">
        <w:rPr>
          <w:spacing w:val="-2"/>
          <w:lang w:bidi="ar-EG"/>
        </w:rPr>
        <w:t>(UNDP)</w:t>
      </w:r>
      <w:r w:rsidRPr="001810F1">
        <w:rPr>
          <w:spacing w:val="-2"/>
          <w:rtl/>
          <w:lang w:val="en-GB"/>
        </w:rPr>
        <w:t xml:space="preserve"> واتفاقات الخدمات الخاص</w:t>
      </w:r>
      <w:r w:rsidRPr="001810F1">
        <w:rPr>
          <w:rFonts w:hint="cs"/>
          <w:spacing w:val="-2"/>
          <w:rtl/>
          <w:lang w:val="en-GB"/>
        </w:rPr>
        <w:t>ة</w:t>
      </w:r>
      <w:r w:rsidRPr="001810F1">
        <w:rPr>
          <w:rFonts w:hint="cs"/>
          <w:spacing w:val="-2"/>
          <w:rtl/>
          <w:lang w:val="en-GB" w:bidi="ar-EG"/>
        </w:rPr>
        <w:t xml:space="preserve"> </w:t>
      </w:r>
      <w:r w:rsidRPr="001810F1">
        <w:rPr>
          <w:spacing w:val="-2"/>
          <w:lang w:bidi="ar-EG"/>
        </w:rPr>
        <w:t>(SSA)</w:t>
      </w:r>
      <w:r w:rsidRPr="001810F1">
        <w:rPr>
          <w:spacing w:val="-2"/>
          <w:rtl/>
          <w:lang w:val="en-GB"/>
        </w:rPr>
        <w:t xml:space="preserve"> وغيرها</w:t>
      </w:r>
      <w:r w:rsidRPr="001810F1">
        <w:rPr>
          <w:rFonts w:hint="cs"/>
          <w:spacing w:val="-2"/>
          <w:rtl/>
          <w:lang w:val="en-GB"/>
        </w:rPr>
        <w:t xml:space="preserve"> من المعاملات</w:t>
      </w:r>
      <w:r w:rsidRPr="001810F1">
        <w:rPr>
          <w:spacing w:val="-2"/>
          <w:rtl/>
          <w:lang w:val="en-GB"/>
        </w:rPr>
        <w:t>.</w:t>
      </w:r>
    </w:p>
    <w:p w14:paraId="240A7171" w14:textId="77777777" w:rsidR="00A635B0" w:rsidRPr="00A635B0" w:rsidRDefault="00A635B0" w:rsidP="00187C0F">
      <w:pPr>
        <w:rPr>
          <w:lang w:bidi="ar-EG"/>
        </w:rPr>
      </w:pPr>
      <w:r w:rsidRPr="00A635B0">
        <w:rPr>
          <w:rFonts w:hint="cs"/>
          <w:rtl/>
          <w:lang w:val="en-GB" w:bidi="ar-EG"/>
        </w:rPr>
        <w:t>و</w:t>
      </w:r>
      <w:r w:rsidRPr="00A635B0">
        <w:rPr>
          <w:rtl/>
          <w:lang w:val="en-GB"/>
        </w:rPr>
        <w:t>س</w:t>
      </w:r>
      <w:r w:rsidRPr="00A635B0">
        <w:rPr>
          <w:rFonts w:hint="cs"/>
          <w:rtl/>
          <w:lang w:val="en-GB"/>
        </w:rPr>
        <w:t>ُ</w:t>
      </w:r>
      <w:r w:rsidRPr="00A635B0">
        <w:rPr>
          <w:rtl/>
          <w:lang w:val="en-GB"/>
        </w:rPr>
        <w:t xml:space="preserve">لف الموظفين هي السلف المقدمة </w:t>
      </w:r>
      <w:r w:rsidRPr="00A635B0">
        <w:rPr>
          <w:rFonts w:hint="cs"/>
          <w:rtl/>
          <w:lang w:val="en-GB"/>
        </w:rPr>
        <w:t>إلى ا</w:t>
      </w:r>
      <w:r w:rsidRPr="00A635B0">
        <w:rPr>
          <w:rtl/>
          <w:lang w:val="en-GB"/>
        </w:rPr>
        <w:t>لموظفين وفقا</w:t>
      </w:r>
      <w:r w:rsidRPr="00A635B0">
        <w:rPr>
          <w:rFonts w:hint="cs"/>
          <w:rtl/>
          <w:lang w:val="en-GB"/>
        </w:rPr>
        <w:t>ً للنظام الأساسي للموظفين لدى الاتحاد.</w:t>
      </w:r>
    </w:p>
    <w:p w14:paraId="3FAEB020" w14:textId="77777777" w:rsidR="00A635B0" w:rsidRPr="00A635B0" w:rsidRDefault="00A635B0" w:rsidP="00187C0F">
      <w:pPr>
        <w:rPr>
          <w:lang w:bidi="ar-EG"/>
        </w:rPr>
      </w:pPr>
      <w:r w:rsidRPr="00A635B0">
        <w:rPr>
          <w:rtl/>
          <w:lang w:val="en-GB"/>
        </w:rPr>
        <w:t xml:space="preserve">وتشمل الضريبة المقتطعة الضريبة </w:t>
      </w:r>
      <w:r w:rsidRPr="00A635B0">
        <w:rPr>
          <w:rFonts w:hint="cs"/>
          <w:rtl/>
          <w:lang w:val="en-GB"/>
        </w:rPr>
        <w:t xml:space="preserve">الواجبة السداد على </w:t>
      </w:r>
      <w:r w:rsidRPr="00A635B0">
        <w:rPr>
          <w:rtl/>
          <w:lang w:val="en-GB"/>
        </w:rPr>
        <w:t xml:space="preserve">إدارة الضرائب الاتحادية </w:t>
      </w:r>
      <w:r w:rsidRPr="00A635B0">
        <w:rPr>
          <w:rFonts w:hint="cs"/>
          <w:rtl/>
          <w:lang w:val="en-GB"/>
        </w:rPr>
        <w:t>با</w:t>
      </w:r>
      <w:r w:rsidRPr="00A635B0">
        <w:rPr>
          <w:rtl/>
          <w:lang w:val="en-GB"/>
        </w:rPr>
        <w:t xml:space="preserve">لاتحاد السويسري وكذلك ضريبة الدخل </w:t>
      </w:r>
      <w:r w:rsidRPr="00A635B0">
        <w:rPr>
          <w:rFonts w:hint="cs"/>
          <w:rtl/>
          <w:lang w:val="en-GB"/>
        </w:rPr>
        <w:t>الواجب</w:t>
      </w:r>
      <w:r w:rsidRPr="00A635B0">
        <w:rPr>
          <w:rtl/>
          <w:lang w:val="en-GB"/>
        </w:rPr>
        <w:t xml:space="preserve"> استردادها من حكومة الولايات المتحدة الأمريكية.</w:t>
      </w:r>
    </w:p>
    <w:p w14:paraId="2BA79EAF" w14:textId="370AF026" w:rsidR="00A635B0" w:rsidRPr="00A635B0" w:rsidRDefault="00E2464F" w:rsidP="00E2464F">
      <w:pPr>
        <w:pStyle w:val="Figure"/>
      </w:pPr>
      <w:r>
        <w:lastRenderedPageBreak/>
        <w:drawing>
          <wp:inline distT="0" distB="0" distL="0" distR="0" wp14:anchorId="0DFBA217" wp14:editId="1C8DEBAC">
            <wp:extent cx="4859020" cy="1908175"/>
            <wp:effectExtent l="0" t="0" r="0" b="0"/>
            <wp:docPr id="21087269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9020" cy="1908175"/>
                    </a:xfrm>
                    <a:prstGeom prst="rect">
                      <a:avLst/>
                    </a:prstGeom>
                    <a:noFill/>
                  </pic:spPr>
                </pic:pic>
              </a:graphicData>
            </a:graphic>
          </wp:inline>
        </w:drawing>
      </w:r>
    </w:p>
    <w:p w14:paraId="6DDF57C1" w14:textId="77777777" w:rsidR="00901AD0" w:rsidRDefault="00D5219A" w:rsidP="009F4F01">
      <w:pPr>
        <w:pStyle w:val="Heading1"/>
        <w:rPr>
          <w:lang w:bidi="ar-EG"/>
        </w:rPr>
      </w:pPr>
      <w:bookmarkStart w:id="255" w:name="_Toc201043149"/>
      <w:r w:rsidRPr="00D5219A">
        <w:rPr>
          <w:rtl/>
        </w:rPr>
        <w:t>الملاحظة 10</w:t>
      </w:r>
      <w:r w:rsidRPr="00D5219A">
        <w:rPr>
          <w:rtl/>
        </w:rPr>
        <w:tab/>
        <w:t>الممتلكات والمنشآت والمعدات</w:t>
      </w:r>
      <w:bookmarkEnd w:id="255"/>
    </w:p>
    <w:p w14:paraId="40AD5A4C" w14:textId="77777777" w:rsidR="00901AD0" w:rsidRDefault="00D5219A" w:rsidP="00D5219A">
      <w:pPr>
        <w:rPr>
          <w:rtl/>
        </w:rPr>
      </w:pPr>
      <w:r w:rsidRPr="00D5219A">
        <w:rPr>
          <w:rtl/>
        </w:rPr>
        <w:t>تتألف مباني الاتحاد مما يلي</w:t>
      </w:r>
      <w:r w:rsidRPr="00D5219A">
        <w:rPr>
          <w:lang w:bidi="ar-EG"/>
        </w:rPr>
        <w:t>:</w:t>
      </w:r>
    </w:p>
    <w:p w14:paraId="6D1D8D09" w14:textId="2C36782E" w:rsidR="00D5219A" w:rsidRPr="00D5219A" w:rsidRDefault="00D5219A" w:rsidP="00F60E47">
      <w:pPr>
        <w:pStyle w:val="enumlev1"/>
        <w:rPr>
          <w:lang w:val="ar-SA" w:bidi="ar-EG"/>
        </w:rPr>
      </w:pPr>
      <w:r w:rsidRPr="00D5219A">
        <w:rPr>
          <w:lang w:bidi="ar-EG"/>
        </w:rPr>
        <w:t>–</w:t>
      </w:r>
      <w:r w:rsidRPr="00D5219A">
        <w:rPr>
          <w:rtl/>
        </w:rPr>
        <w:tab/>
        <w:t>مبنى البرج، شارع فارامبيه، جنيف؛</w:t>
      </w:r>
    </w:p>
    <w:p w14:paraId="21B89386" w14:textId="6229BE0C" w:rsidR="00D5219A" w:rsidRPr="00D5219A" w:rsidRDefault="00D5219A" w:rsidP="00F60E47">
      <w:pPr>
        <w:pStyle w:val="enumlev1"/>
        <w:rPr>
          <w:lang w:val="ar-SA" w:bidi="ar-EG"/>
        </w:rPr>
      </w:pPr>
      <w:r w:rsidRPr="00D5219A">
        <w:rPr>
          <w:lang w:bidi="ar-EG"/>
        </w:rPr>
        <w:t>–</w:t>
      </w:r>
      <w:r w:rsidRPr="00D5219A">
        <w:rPr>
          <w:rtl/>
        </w:rPr>
        <w:tab/>
      </w:r>
      <w:r w:rsidR="00656DB6" w:rsidRPr="00D5219A">
        <w:rPr>
          <w:rtl/>
        </w:rPr>
        <w:t xml:space="preserve">مبنى </w:t>
      </w:r>
      <w:r w:rsidR="00656DB6">
        <w:rPr>
          <w:rFonts w:hint="cs"/>
          <w:rtl/>
        </w:rPr>
        <w:t>فارامبيه</w:t>
      </w:r>
      <w:r w:rsidR="00656DB6" w:rsidRPr="00D5219A">
        <w:rPr>
          <w:rtl/>
        </w:rPr>
        <w:t>، شارع فارامبيه، جنيف. واستُهلك هذا المبنى بالكامل اعتباراً من 31 ديسمبر 2022 ترقباً لبدء مشروع المبنى الجديد. وحالياً لا يزال هذا المبنى قيد الاستخدام؛</w:t>
      </w:r>
    </w:p>
    <w:p w14:paraId="41003BE5" w14:textId="766CBC3B" w:rsidR="00D5219A" w:rsidRPr="00D5219A" w:rsidRDefault="00D5219A" w:rsidP="00F60E47">
      <w:pPr>
        <w:pStyle w:val="enumlev1"/>
        <w:rPr>
          <w:lang w:val="ar-SA" w:bidi="ar-EG"/>
        </w:rPr>
      </w:pPr>
      <w:r w:rsidRPr="00D5219A">
        <w:rPr>
          <w:lang w:bidi="ar-EG"/>
        </w:rPr>
        <w:t>–</w:t>
      </w:r>
      <w:r w:rsidRPr="00D5219A">
        <w:rPr>
          <w:rtl/>
        </w:rPr>
        <w:tab/>
      </w:r>
      <w:r w:rsidR="00656DB6">
        <w:rPr>
          <w:rFonts w:hint="cs"/>
          <w:rtl/>
        </w:rPr>
        <w:t>الامتداد</w:t>
      </w:r>
      <w:r w:rsidR="00656DB6" w:rsidRPr="00D5219A">
        <w:rPr>
          <w:rtl/>
        </w:rPr>
        <w:t xml:space="preserve"> </w:t>
      </w:r>
      <w:r w:rsidR="00656DB6" w:rsidRPr="00D5219A">
        <w:rPr>
          <w:lang w:bidi="ar-EG"/>
        </w:rPr>
        <w:t>C</w:t>
      </w:r>
      <w:r w:rsidR="00656DB6" w:rsidRPr="00D5219A">
        <w:rPr>
          <w:rtl/>
        </w:rPr>
        <w:t xml:space="preserve"> والكافتيريا، شارع فارامبيه، جنيف</w:t>
      </w:r>
      <w:r w:rsidRPr="00D5219A">
        <w:rPr>
          <w:rtl/>
        </w:rPr>
        <w:t>؛</w:t>
      </w:r>
    </w:p>
    <w:p w14:paraId="41068D38" w14:textId="77777777" w:rsidR="00D5219A" w:rsidRPr="00D5219A" w:rsidRDefault="00D5219A" w:rsidP="00F60E47">
      <w:pPr>
        <w:pStyle w:val="enumlev1"/>
        <w:rPr>
          <w:lang w:val="ar-SA" w:bidi="ar-EG"/>
        </w:rPr>
      </w:pPr>
      <w:r w:rsidRPr="00D5219A">
        <w:rPr>
          <w:lang w:bidi="ar-EG"/>
        </w:rPr>
        <w:t>–</w:t>
      </w:r>
      <w:r w:rsidRPr="00D5219A">
        <w:rPr>
          <w:rtl/>
        </w:rPr>
        <w:tab/>
        <w:t>مبنى مونبريان، شارع فارامبيه، جنيف.</w:t>
      </w:r>
    </w:p>
    <w:p w14:paraId="74C7491C" w14:textId="77777777" w:rsidR="00901AD0" w:rsidRDefault="00D5219A" w:rsidP="00D5219A">
      <w:pPr>
        <w:rPr>
          <w:rtl/>
        </w:rPr>
      </w:pPr>
      <w:r w:rsidRPr="00D5219A">
        <w:rPr>
          <w:rtl/>
        </w:rPr>
        <w:t>‏ولا يملك الاتحاد الأراضي التي تقع عليها ممتلكاته؛ وبدلاً من ذلك، منحته الحكومة حقوق الانتفاع بهذه الأراضي دون أي تكلفة مع احتفاظها بملكية الأرض. ونظرا لأن الاتحاد لا يمكن سلطة التصرف تجارياً في هذه الحقوق، فمن غير الممكن تحديد القيمة العادلة للأرض أو حسابها بشكل موثوق بموجب المعايير المحاسبية الدولية للقطاع العام، ونتيجة لذلك، يكشف عن هذه القيود القانونية لضمان الشفافية إزاء متطلبات المعايير المحاسبية الدولية للقطاع العام ‎(IPSAS) ‏فيما يتعلق بتقييم الممتلكات. وحتى 31 ديسمبر 2024، لم تُرهن أي ممتلكات أو معدات كضمانة لدين. ويحتفظ الاتحاد بجدول شامل للممتلكات والمنشآت والمعدات. ويتضمن هذا الجدول الأصول التي وصلت إلى الإهلاك الكامل ولكنها لا تزال قيد الاستخدام النشط ضمن المنظمة.</w:t>
      </w:r>
    </w:p>
    <w:p w14:paraId="2EAAA9DA" w14:textId="556DEA6D" w:rsidR="00D5219A" w:rsidRPr="00D5219A" w:rsidRDefault="00D5219A" w:rsidP="00D5219A">
      <w:pPr>
        <w:rPr>
          <w:lang w:val="ar-SA" w:bidi="ar-EG"/>
        </w:rPr>
      </w:pPr>
      <w:r w:rsidRPr="00D5219A">
        <w:rPr>
          <w:rtl/>
        </w:rPr>
        <w:t>ويوضح الجدول أدناه القيمة الإجمالية للممتلكات والمنشآت والمعدات المستهلكة بالكامل والتي كانت لا تزال قيد الاستخدام حتى 31 ديسمبر 2024.</w:t>
      </w:r>
    </w:p>
    <w:p w14:paraId="6442EB15" w14:textId="77777777" w:rsidR="00D5219A" w:rsidRPr="00D5219A" w:rsidRDefault="00D5219A" w:rsidP="00F60E47">
      <w:pPr>
        <w:pStyle w:val="Figure"/>
        <w:rPr>
          <w:lang w:bidi="ar-EG"/>
        </w:rPr>
      </w:pPr>
      <w:r w:rsidRPr="00F60E47">
        <w:drawing>
          <wp:inline distT="0" distB="0" distL="0" distR="0" wp14:anchorId="58A13F97" wp14:editId="3BEB91E3">
            <wp:extent cx="3621386" cy="2045018"/>
            <wp:effectExtent l="0" t="0" r="0" b="0"/>
            <wp:docPr id="186555058" name="Picture 43" descr="A blue and black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5058" name="Picture 43" descr="A blue and black rectangular box with black text&#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2593" cy="2045700"/>
                    </a:xfrm>
                    <a:prstGeom prst="rect">
                      <a:avLst/>
                    </a:prstGeom>
                    <a:noFill/>
                  </pic:spPr>
                </pic:pic>
              </a:graphicData>
            </a:graphic>
          </wp:inline>
        </w:drawing>
      </w:r>
    </w:p>
    <w:p w14:paraId="76416B21" w14:textId="77777777" w:rsidR="00D5219A" w:rsidRPr="00D5219A" w:rsidRDefault="00D5219A" w:rsidP="00D5219A">
      <w:pPr>
        <w:rPr>
          <w:lang w:val="ar-SA" w:bidi="ar-EG"/>
        </w:rPr>
      </w:pPr>
      <w:r w:rsidRPr="00D5219A">
        <w:rPr>
          <w:rtl/>
        </w:rPr>
        <w:t>يحتفظ الاتحاد بأصول تراثية، يشار إليها باسم الأعمال الفنية، تمثل المواد التي تبرع بها أو أعاروها للمنظمة ممثلو أو مسؤولو الدول الأعضاء أو الكيانات العامة أو الخاصة الأخرى أو الأفراد. وتشمل الأعمال الفنية التي يحتفظ بها الاتحاد السجاد والصور والمنحوتات وقطع الأثاث وغيرها من الأعمال. وحتى 31 ديسمبر 2024، كانت القيمة الإجمالية لهذه البنود أقل من 0,5 مليون فرنك سويسري، وقد اختار الاتحاد عدم تسجيل الأعمال الفنية كأصول في بيان الوضع المالي، وفقا للمعيار 17 من المعايير المحاسبية الدولية للقطاع العام.</w:t>
      </w:r>
    </w:p>
    <w:p w14:paraId="46B7BD69" w14:textId="77777777" w:rsidR="00D5219A" w:rsidRPr="00D5219A" w:rsidRDefault="00D5219A" w:rsidP="00D5219A">
      <w:pPr>
        <w:rPr>
          <w:lang w:val="ar-SA" w:bidi="ar-EG"/>
        </w:rPr>
      </w:pPr>
      <w:r w:rsidRPr="00D5219A">
        <w:rPr>
          <w:rtl/>
        </w:rPr>
        <w:lastRenderedPageBreak/>
        <w:t>وبموجب سياسة الاتحاد بشأن الممتلكات والمنشآت والمعدات، وضعت المنظمة عمليات وإجراءات لإدارة الأعمال الفنية. ويُحتفظ بالأعمال الفنية في مخزن يخضع الدخول إليه للرقابة إلى أن يُتخذ قرار بشأن المكان الذي يوضع فيه أي منها. وتُضمَّن الأعمال الفنية في عملية الجرد المادي السنوية للمنظمة، وتقدم تأكيدات رسمية إلى الجهات المانحة، عندما تطلب ذلك، بأن الأعمال الفنية محفوظة لدى الاتحاد.</w:t>
      </w:r>
    </w:p>
    <w:p w14:paraId="11EA38B1" w14:textId="77777777" w:rsidR="00D5219A" w:rsidRPr="00D5219A" w:rsidRDefault="00D5219A" w:rsidP="00D5219A">
      <w:pPr>
        <w:rPr>
          <w:lang w:val="ar-SA" w:bidi="ar-EG"/>
        </w:rPr>
      </w:pPr>
      <w:r w:rsidRPr="00D5219A">
        <w:rPr>
          <w:rtl/>
        </w:rPr>
        <w:t>ويرد في الجدول أدناه توزيع لتحركات الممتلكات والمنشآت والمعدات لعامي 2024 و2023. وتشمل عمليات إعادة التصنيف أصولا كانت قيد الإنشاء في السابق وأنجزت ودخلت حيز الاستخدام خلال الفترة.</w:t>
      </w:r>
    </w:p>
    <w:p w14:paraId="6049C613" w14:textId="77777777" w:rsidR="00901AD0" w:rsidRDefault="00D5219A" w:rsidP="00F60E47">
      <w:pPr>
        <w:jc w:val="center"/>
        <w:rPr>
          <w:lang w:val="ar-SA" w:bidi="ar-EG"/>
        </w:rPr>
      </w:pPr>
      <w:r w:rsidRPr="00D5219A">
        <w:rPr>
          <w:b/>
          <w:bCs/>
          <w:rtl/>
        </w:rPr>
        <w:t>2024</w:t>
      </w:r>
    </w:p>
    <w:p w14:paraId="12294DEC" w14:textId="04C4E963" w:rsidR="00D5219A" w:rsidRPr="00D5219A" w:rsidRDefault="00F60E47" w:rsidP="008B286B">
      <w:pPr>
        <w:pStyle w:val="Figure"/>
        <w:rPr>
          <w:lang w:bidi="ar-EG"/>
        </w:rPr>
      </w:pPr>
      <w:r>
        <w:rPr>
          <w:lang w:bidi="ar-EG"/>
        </w:rPr>
        <w:drawing>
          <wp:inline distT="0" distB="0" distL="0" distR="0" wp14:anchorId="6EEFAF9F" wp14:editId="42663FE7">
            <wp:extent cx="5400000" cy="3412800"/>
            <wp:effectExtent l="0" t="0" r="0" b="0"/>
            <wp:docPr id="13221044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3412800"/>
                    </a:xfrm>
                    <a:prstGeom prst="rect">
                      <a:avLst/>
                    </a:prstGeom>
                    <a:noFill/>
                  </pic:spPr>
                </pic:pic>
              </a:graphicData>
            </a:graphic>
          </wp:inline>
        </w:drawing>
      </w:r>
    </w:p>
    <w:p w14:paraId="559F057D" w14:textId="77777777" w:rsidR="00D5219A" w:rsidRPr="00D5219A" w:rsidRDefault="00D5219A" w:rsidP="00F60E47">
      <w:pPr>
        <w:keepNext/>
        <w:jc w:val="center"/>
        <w:rPr>
          <w:lang w:val="ar-SA" w:bidi="ar-EG"/>
        </w:rPr>
      </w:pPr>
      <w:r w:rsidRPr="00D5219A">
        <w:rPr>
          <w:b/>
          <w:bCs/>
          <w:rtl/>
        </w:rPr>
        <w:t>2023</w:t>
      </w:r>
    </w:p>
    <w:p w14:paraId="1054DFD6" w14:textId="3D2FD0E0" w:rsidR="00901AD0" w:rsidRDefault="000D2803" w:rsidP="008B286B">
      <w:pPr>
        <w:pStyle w:val="Figure"/>
        <w:rPr>
          <w:lang w:bidi="ar-EG"/>
        </w:rPr>
      </w:pPr>
      <w:r>
        <w:rPr>
          <w:lang w:bidi="ar-EG"/>
        </w:rPr>
        <w:drawing>
          <wp:inline distT="0" distB="0" distL="0" distR="0" wp14:anchorId="7EA95509" wp14:editId="6E6CE615">
            <wp:extent cx="5400000" cy="3506400"/>
            <wp:effectExtent l="0" t="0" r="0" b="0"/>
            <wp:docPr id="114020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3506400"/>
                    </a:xfrm>
                    <a:prstGeom prst="rect">
                      <a:avLst/>
                    </a:prstGeom>
                    <a:noFill/>
                  </pic:spPr>
                </pic:pic>
              </a:graphicData>
            </a:graphic>
          </wp:inline>
        </w:drawing>
      </w:r>
    </w:p>
    <w:p w14:paraId="0333602A" w14:textId="6A43266C" w:rsidR="00D5219A" w:rsidRPr="00D5219A" w:rsidRDefault="00D5219A" w:rsidP="009F4F01">
      <w:pPr>
        <w:pStyle w:val="Heading1"/>
        <w:rPr>
          <w:lang w:val="ar-SA" w:bidi="ar-EG"/>
        </w:rPr>
      </w:pPr>
      <w:bookmarkStart w:id="256" w:name="_Toc305764087"/>
      <w:bookmarkStart w:id="257" w:name="_Toc201043150"/>
      <w:r w:rsidRPr="00D5219A">
        <w:rPr>
          <w:rtl/>
        </w:rPr>
        <w:lastRenderedPageBreak/>
        <w:t>الملاحظة 11</w:t>
      </w:r>
      <w:r w:rsidR="00901AD0">
        <w:rPr>
          <w:rtl/>
        </w:rPr>
        <w:tab/>
      </w:r>
      <w:r w:rsidRPr="00D5219A">
        <w:rPr>
          <w:rtl/>
        </w:rPr>
        <w:t>الأصول غير المادية</w:t>
      </w:r>
      <w:bookmarkStart w:id="258" w:name="_Toc97786674"/>
      <w:bookmarkStart w:id="259" w:name="_Toc196292783"/>
      <w:bookmarkEnd w:id="256"/>
      <w:bookmarkEnd w:id="258"/>
      <w:bookmarkEnd w:id="259"/>
      <w:bookmarkEnd w:id="257"/>
    </w:p>
    <w:p w14:paraId="64FCE1E1" w14:textId="77777777" w:rsidR="00D5219A" w:rsidRPr="00D5219A" w:rsidRDefault="00D5219A" w:rsidP="00D5219A">
      <w:pPr>
        <w:rPr>
          <w:lang w:val="ar-SA" w:bidi="ar-EG"/>
        </w:rPr>
      </w:pPr>
      <w:bookmarkStart w:id="260" w:name="_MON_1754218473"/>
      <w:bookmarkEnd w:id="260"/>
      <w:r w:rsidRPr="00D5219A">
        <w:rPr>
          <w:rtl/>
        </w:rPr>
        <w:t>تتألف الأصول غير المادية التي يحتفظ بها الاتحاد من تراخيص وبرمجيات تكنولوجيا المعلومات التي يتم تطويرها داخلياً والحصول عليها خارجياً.</w:t>
      </w:r>
    </w:p>
    <w:p w14:paraId="54725E8A" w14:textId="03760E74" w:rsidR="00D5219A" w:rsidRPr="00D5219A" w:rsidRDefault="00F60E47" w:rsidP="008B286B">
      <w:pPr>
        <w:pStyle w:val="Figure"/>
        <w:rPr>
          <w:lang w:bidi="ar-EG"/>
        </w:rPr>
      </w:pPr>
      <w:r>
        <w:rPr>
          <w:lang w:bidi="ar-EG"/>
        </w:rPr>
        <w:drawing>
          <wp:inline distT="0" distB="0" distL="0" distR="0" wp14:anchorId="72769E89" wp14:editId="67AE4EFE">
            <wp:extent cx="5400000" cy="3049200"/>
            <wp:effectExtent l="0" t="0" r="0" b="0"/>
            <wp:docPr id="118457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3049200"/>
                    </a:xfrm>
                    <a:prstGeom prst="rect">
                      <a:avLst/>
                    </a:prstGeom>
                    <a:noFill/>
                  </pic:spPr>
                </pic:pic>
              </a:graphicData>
            </a:graphic>
          </wp:inline>
        </w:drawing>
      </w:r>
    </w:p>
    <w:p w14:paraId="42A1B0E5" w14:textId="0893E8D9" w:rsidR="00D5219A" w:rsidRPr="00D5219A" w:rsidRDefault="00D5219A" w:rsidP="00D5219A">
      <w:pPr>
        <w:rPr>
          <w:lang w:val="ar-SA" w:bidi="ar-EG"/>
        </w:rPr>
      </w:pPr>
      <w:r w:rsidRPr="00D5219A">
        <w:rPr>
          <w:rtl/>
        </w:rPr>
        <w:t>ووفقاً للبند 121(ج) من المعيار IPSAS 31، يُكشف عن فرادى الأصول غير المادية التي تعتبر جوهرية في البيانات المالية للكيان. وفي 31 ديسمبر 2024، أدى تقييمنا إلى تحديد 12 مشروعاً ضمن فئة الأصول غير المادية الذي يبلغ متوسط مدة حياتها الاقتصادية زهاء خمس سنوات وتبلغ قيمتها 6,5 مليون فرنك سويسري. وتشمل هذه المشاريع تطوير إدارة الخدمات الفضائية وتطوير برمجيات تطبيقات ومنتجات الأنظمة (</w:t>
      </w:r>
      <w:r w:rsidRPr="00D5219A">
        <w:rPr>
          <w:lang w:bidi="ar-EG"/>
        </w:rPr>
        <w:t>SAP</w:t>
      </w:r>
      <w:r w:rsidRPr="00D5219A">
        <w:rPr>
          <w:rtl/>
        </w:rPr>
        <w:t>) ووحدات التوظيف النمطية.</w:t>
      </w:r>
    </w:p>
    <w:p w14:paraId="500C1616" w14:textId="77777777" w:rsidR="00D5219A" w:rsidRPr="00D5219A" w:rsidRDefault="00D5219A" w:rsidP="00D5219A">
      <w:pPr>
        <w:rPr>
          <w:lang w:val="ar-SA" w:bidi="ar-EG"/>
        </w:rPr>
      </w:pPr>
      <w:r w:rsidRPr="00D5219A">
        <w:rPr>
          <w:rtl/>
        </w:rPr>
        <w:t>وتشمل عمليات إعادة التصنيف أصولاً كانت قيد الإنشاء في السابق وأنجزت ودخلت حيز الاستخدام خلال الفترة.</w:t>
      </w:r>
    </w:p>
    <w:p w14:paraId="7AB81C1C" w14:textId="218790C1" w:rsidR="00D5219A" w:rsidRPr="00D5219A" w:rsidRDefault="00D5219A" w:rsidP="009F4F01">
      <w:pPr>
        <w:pStyle w:val="Heading1"/>
        <w:rPr>
          <w:lang w:bidi="ar-EG"/>
        </w:rPr>
      </w:pPr>
      <w:bookmarkStart w:id="261" w:name="_Toc1415970939"/>
      <w:bookmarkStart w:id="262" w:name="_Toc196292784"/>
      <w:bookmarkStart w:id="263" w:name="_Toc201043151"/>
      <w:r w:rsidRPr="00D5219A">
        <w:rPr>
          <w:rtl/>
        </w:rPr>
        <w:t>الملاحظة 12</w:t>
      </w:r>
      <w:r w:rsidR="00901AD0">
        <w:rPr>
          <w:rtl/>
        </w:rPr>
        <w:tab/>
      </w:r>
      <w:r w:rsidRPr="00D5219A">
        <w:rPr>
          <w:rtl/>
        </w:rPr>
        <w:t>الأصول قيد الإنشاء</w:t>
      </w:r>
      <w:bookmarkEnd w:id="261"/>
      <w:bookmarkEnd w:id="262"/>
      <w:bookmarkEnd w:id="263"/>
    </w:p>
    <w:p w14:paraId="041B6160" w14:textId="2C5AF315" w:rsidR="00D5219A" w:rsidRPr="00D5219A" w:rsidRDefault="00D5219A" w:rsidP="00D5219A">
      <w:pPr>
        <w:rPr>
          <w:lang w:val="ar-SA" w:bidi="ar-EG"/>
        </w:rPr>
      </w:pPr>
      <w:r w:rsidRPr="00D5219A">
        <w:rPr>
          <w:rtl/>
        </w:rPr>
        <w:t>في دورة مجلس الاتحاد التي عقدت في يونيو 2024، قدمت الأمانة تقريراً عن التقدم المحرز فيما يتعلق بمشروع المبنى الجديد. ووافق المجلس على المشروع البديل المعاد تقييمه وطلب إلى الاتحاد مراجعة المشروع وتقليصه ليتناسب مع الميزانية المعتمدة البالغة 172,7 مليون فرنك سويسري والتمويل المتاح وفقاً للمقرر 640 (</w:t>
      </w:r>
      <w:hyperlink r:id="rId48" w:history="1">
        <w:r w:rsidRPr="0078332D">
          <w:rPr>
            <w:rStyle w:val="Hyperlink"/>
            <w:noProof w:val="0"/>
            <w:rtl/>
            <w:lang w:val="en-US" w:eastAsia="zh-CN"/>
          </w:rPr>
          <w:t>C24/132</w:t>
        </w:r>
      </w:hyperlink>
      <w:r w:rsidRPr="00D5219A">
        <w:rPr>
          <w:rtl/>
        </w:rPr>
        <w:t>).</w:t>
      </w:r>
    </w:p>
    <w:p w14:paraId="29735573" w14:textId="77777777" w:rsidR="00D5219A" w:rsidRPr="00D5219A" w:rsidRDefault="00D5219A" w:rsidP="00D5219A">
      <w:pPr>
        <w:rPr>
          <w:lang w:val="ar-SA" w:bidi="ar-EG"/>
        </w:rPr>
      </w:pPr>
      <w:r w:rsidRPr="00D5219A">
        <w:rPr>
          <w:rtl/>
        </w:rPr>
        <w:t>وخلصت المراجعة إلى أن التكاليف الحالية المتكبدة لم تعد إلى حد كبير ذات صلة بالنطاق المنقح للمشروع وأُدرج انخفاض قدره 21 مليون فرنك سويسري في بيان الأداء المالي هذا العام.</w:t>
      </w:r>
    </w:p>
    <w:p w14:paraId="4734C369" w14:textId="77777777" w:rsidR="00901AD0" w:rsidRDefault="00D5219A" w:rsidP="00D5219A">
      <w:pPr>
        <w:rPr>
          <w:rtl/>
        </w:rPr>
      </w:pPr>
      <w:r w:rsidRPr="00D5219A">
        <w:rPr>
          <w:rtl/>
        </w:rPr>
        <w:t>وبالإضافة إلى ذلك، استعرض الاتحاد الرعايات التي حُددت لتمويل عناصر محددة في مشروع المبنى السابق مثل قاعة الاجتماعات والردهة والفناء والكافيتريا وغيرها (ما مجموعه 16,9 مليون فرنك سويسري).</w:t>
      </w:r>
    </w:p>
    <w:p w14:paraId="6A62433E" w14:textId="20A87BFE" w:rsidR="00656DB6" w:rsidRPr="00D5219A" w:rsidRDefault="00656DB6" w:rsidP="00656DB6">
      <w:pPr>
        <w:rPr>
          <w:lang w:val="ar-SA" w:bidi="ar-EG"/>
        </w:rPr>
      </w:pPr>
      <w:r w:rsidRPr="002B7BFD">
        <w:rPr>
          <w:rtl/>
        </w:rPr>
        <w:t>وأنهى أحد الأطراف الراعية اتفاقية الرعاية البالغ قدرها 5,0 مليون فرنك سويسري بسبب مراجعة مشروع المبنى الجديد</w:t>
      </w:r>
      <w:r w:rsidRPr="002B7BFD">
        <w:rPr>
          <w:rFonts w:hint="cs"/>
          <w:rtl/>
        </w:rPr>
        <w:t>وخُصِّص اعتماد</w:t>
      </w:r>
      <w:r w:rsidRPr="002B7BFD">
        <w:t xml:space="preserve"> </w:t>
      </w:r>
      <w:r w:rsidRPr="002B7BFD">
        <w:rPr>
          <w:rFonts w:hint="cs"/>
          <w:rtl/>
        </w:rPr>
        <w:t xml:space="preserve">لرد هذا المبلغ. </w:t>
      </w:r>
      <w:r w:rsidRPr="002B7BFD">
        <w:rPr>
          <w:rtl/>
        </w:rPr>
        <w:t>و</w:t>
      </w:r>
      <w:r w:rsidRPr="002B7BFD">
        <w:rPr>
          <w:rFonts w:hint="cs"/>
          <w:rtl/>
        </w:rPr>
        <w:t>ي</w:t>
      </w:r>
      <w:r w:rsidRPr="002B7BFD">
        <w:rPr>
          <w:rtl/>
        </w:rPr>
        <w:t xml:space="preserve">جري حالياً </w:t>
      </w:r>
      <w:r w:rsidRPr="002B7BFD">
        <w:rPr>
          <w:rFonts w:hint="cs"/>
          <w:rtl/>
        </w:rPr>
        <w:t>التواصل</w:t>
      </w:r>
      <w:r w:rsidRPr="002B7BFD">
        <w:rPr>
          <w:rtl/>
        </w:rPr>
        <w:t xml:space="preserve"> مع الجهة الراعية للاتفاق على رعاية جديدة محتملة لمشروع المبنى الجديد المنقح. واستجابة لذلك، تعهدت الأمانة بإدراج العناصر التي طلبتها الجهة الراعية في مرحلة تصميم المشروع الجديد. وتعمل الأمانة بجد مع جميع الأطراف للتوصل إلى نتيجة مرضية بينها وبينهم.</w:t>
      </w:r>
    </w:p>
    <w:p w14:paraId="0612F20A" w14:textId="6AB4E5AD" w:rsidR="00D5219A" w:rsidRPr="00D5219A" w:rsidRDefault="00E702D8" w:rsidP="008B286B">
      <w:pPr>
        <w:pStyle w:val="Figure"/>
        <w:rPr>
          <w:lang w:bidi="ar-EG"/>
        </w:rPr>
      </w:pPr>
      <w:r>
        <w:rPr>
          <w:lang w:bidi="ar-EG"/>
        </w:rPr>
        <w:lastRenderedPageBreak/>
        <w:drawing>
          <wp:inline distT="0" distB="0" distL="0" distR="0" wp14:anchorId="29274B73" wp14:editId="1C75B531">
            <wp:extent cx="5760000" cy="1828800"/>
            <wp:effectExtent l="0" t="0" r="0" b="0"/>
            <wp:docPr id="707960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00" cy="1828800"/>
                    </a:xfrm>
                    <a:prstGeom prst="rect">
                      <a:avLst/>
                    </a:prstGeom>
                    <a:noFill/>
                  </pic:spPr>
                </pic:pic>
              </a:graphicData>
            </a:graphic>
          </wp:inline>
        </w:drawing>
      </w:r>
    </w:p>
    <w:p w14:paraId="5859425D" w14:textId="0398B79F" w:rsidR="00D5219A" w:rsidRPr="00D5219A" w:rsidRDefault="00D5219A" w:rsidP="009F4F01">
      <w:pPr>
        <w:pStyle w:val="Heading1"/>
        <w:rPr>
          <w:lang w:bidi="ar-EG"/>
        </w:rPr>
      </w:pPr>
      <w:bookmarkStart w:id="264" w:name="_Toc635167924"/>
      <w:bookmarkStart w:id="265" w:name="_Toc196292785"/>
      <w:bookmarkStart w:id="266" w:name="_Toc201043152"/>
      <w:r w:rsidRPr="00D5219A">
        <w:rPr>
          <w:rtl/>
        </w:rPr>
        <w:t>الملاحظة 13</w:t>
      </w:r>
      <w:r w:rsidR="00901AD0">
        <w:rPr>
          <w:rtl/>
        </w:rPr>
        <w:tab/>
      </w:r>
      <w:r w:rsidRPr="00D5219A">
        <w:rPr>
          <w:rtl/>
        </w:rPr>
        <w:t>الذمم الدائنة</w:t>
      </w:r>
      <w:bookmarkEnd w:id="264"/>
      <w:bookmarkEnd w:id="265"/>
      <w:bookmarkEnd w:id="266"/>
    </w:p>
    <w:p w14:paraId="7353D4EE" w14:textId="77777777" w:rsidR="00D5219A" w:rsidRPr="00D5219A" w:rsidRDefault="00D5219A" w:rsidP="00D5219A">
      <w:pPr>
        <w:rPr>
          <w:lang w:val="ar-SA" w:bidi="ar-EG"/>
        </w:rPr>
      </w:pPr>
      <w:r w:rsidRPr="00D5219A">
        <w:rPr>
          <w:rtl/>
        </w:rPr>
        <w:t>تتعلق حسابات الموردين بالفواتير غير المسددة، والموظفين، والسلف المتأتية من معاملات قسائم الدفع الداخلية لبرنامج الأمم المتحدة الإنمائي رهن السداد.</w:t>
      </w:r>
    </w:p>
    <w:p w14:paraId="0CEE6786" w14:textId="77777777" w:rsidR="00901AD0" w:rsidRDefault="00D5219A" w:rsidP="00D5219A">
      <w:pPr>
        <w:rPr>
          <w:rtl/>
        </w:rPr>
      </w:pPr>
      <w:r w:rsidRPr="00D5219A">
        <w:rPr>
          <w:rtl/>
        </w:rPr>
        <w:t>وقد وردت السلَف المقدمة من العملاء لقاء معالجة بطاقات التبليغ عن الشبكات الساتلية وكذلك لقاء المشتريات المقبلة من المنشورات أو سداد فواتير. وسوف تعاد هذه المبالغ إلى أصحابها أو تستخدم لسداد فواتير مقبلة لمعالجة بطاقات التبليغ عن الشبكات الساتلية والمنشورات.</w:t>
      </w:r>
    </w:p>
    <w:p w14:paraId="4FEFD251" w14:textId="4E39729A" w:rsidR="00D5219A" w:rsidRPr="00D5219A" w:rsidRDefault="00D5219A" w:rsidP="00D5219A">
      <w:pPr>
        <w:rPr>
          <w:lang w:val="ar-SA" w:bidi="ar-EG"/>
        </w:rPr>
      </w:pPr>
      <w:r w:rsidRPr="00D5219A">
        <w:rPr>
          <w:rtl/>
        </w:rPr>
        <w:t>والسلَف المقدمة للمؤتمرات هي مدفوعات لحسابات الاتحاد من قبل البلدان المضيفة لتنظيم أحداث مثل المؤتمرات العالمية. وبعد اختتام الحدث، يعاد الرصيد المتبقي في العادة إلى البلدان المضيفة طبقاً للاتفاقات الموقعة.</w:t>
      </w:r>
    </w:p>
    <w:p w14:paraId="3E644C83" w14:textId="7B91A8A6" w:rsidR="00D5219A" w:rsidRPr="00D5219A" w:rsidRDefault="006D0C6E" w:rsidP="008B286B">
      <w:pPr>
        <w:pStyle w:val="Figure"/>
        <w:rPr>
          <w:lang w:bidi="ar-EG"/>
        </w:rPr>
      </w:pPr>
      <w:r>
        <w:rPr>
          <w:lang w:bidi="ar-EG"/>
        </w:rPr>
        <w:drawing>
          <wp:inline distT="0" distB="0" distL="0" distR="0" wp14:anchorId="5A90F603" wp14:editId="58ECD318">
            <wp:extent cx="4535805" cy="1493520"/>
            <wp:effectExtent l="0" t="0" r="0" b="0"/>
            <wp:docPr id="1837843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5805" cy="1493520"/>
                    </a:xfrm>
                    <a:prstGeom prst="rect">
                      <a:avLst/>
                    </a:prstGeom>
                    <a:noFill/>
                  </pic:spPr>
                </pic:pic>
              </a:graphicData>
            </a:graphic>
          </wp:inline>
        </w:drawing>
      </w:r>
    </w:p>
    <w:p w14:paraId="44B64169" w14:textId="7D901987" w:rsidR="00D5219A" w:rsidRPr="00D5219A" w:rsidRDefault="00D5219A" w:rsidP="009F4F01">
      <w:pPr>
        <w:pStyle w:val="Heading1"/>
        <w:rPr>
          <w:lang w:bidi="ar-EG"/>
        </w:rPr>
      </w:pPr>
      <w:bookmarkStart w:id="267" w:name="_Toc305764088"/>
      <w:bookmarkStart w:id="268" w:name="_Toc2056268247"/>
      <w:bookmarkStart w:id="269" w:name="_Toc196292786"/>
      <w:bookmarkStart w:id="270" w:name="_Toc201043153"/>
      <w:r w:rsidRPr="00D5219A">
        <w:rPr>
          <w:rtl/>
        </w:rPr>
        <w:t>الملاحظة 14</w:t>
      </w:r>
      <w:r w:rsidR="00901AD0">
        <w:rPr>
          <w:rtl/>
        </w:rPr>
        <w:tab/>
      </w:r>
      <w:r w:rsidRPr="00D5219A">
        <w:rPr>
          <w:rtl/>
        </w:rPr>
        <w:t>الإيرادات المؤجلة</w:t>
      </w:r>
      <w:bookmarkEnd w:id="267"/>
      <w:bookmarkEnd w:id="268"/>
      <w:bookmarkEnd w:id="269"/>
      <w:bookmarkEnd w:id="270"/>
    </w:p>
    <w:p w14:paraId="1EF840FF" w14:textId="77777777" w:rsidR="00D5219A" w:rsidRPr="00D5219A" w:rsidRDefault="00D5219A" w:rsidP="00D5219A">
      <w:pPr>
        <w:rPr>
          <w:lang w:val="ar-SA" w:bidi="ar-EG"/>
        </w:rPr>
      </w:pPr>
      <w:r w:rsidRPr="00D5219A">
        <w:rPr>
          <w:rtl/>
        </w:rPr>
        <w:t>تشمل الإيرادات المؤجلة ما يلي:</w:t>
      </w:r>
    </w:p>
    <w:p w14:paraId="34E24709" w14:textId="195D9371" w:rsidR="00D5219A" w:rsidRPr="00D5219A" w:rsidRDefault="006D0C6E" w:rsidP="006D0C6E">
      <w:pPr>
        <w:pStyle w:val="enumlev1"/>
        <w:rPr>
          <w:lang w:val="ar-SA" w:bidi="ar-EG"/>
        </w:rPr>
      </w:pPr>
      <w:r>
        <w:sym w:font="Wingdings 2" w:char="F097"/>
      </w:r>
      <w:r>
        <w:tab/>
      </w:r>
      <w:r w:rsidR="00D5219A" w:rsidRPr="00D5219A">
        <w:rPr>
          <w:rtl/>
        </w:rPr>
        <w:t>المساهمات المقررة الواردة من الدول الأعضاء وأعضاء القطاعات والمنتسبين والهيئات الأكاديمية فيما يتعلق بالسنة</w:t>
      </w:r>
      <w:r>
        <w:rPr>
          <w:rFonts w:hint="eastAsia"/>
          <w:rtl/>
          <w:lang w:bidi="ar-EG"/>
        </w:rPr>
        <w:t> </w:t>
      </w:r>
      <w:r w:rsidR="00D5219A" w:rsidRPr="00D5219A">
        <w:rPr>
          <w:rtl/>
        </w:rPr>
        <w:t>التالية،</w:t>
      </w:r>
    </w:p>
    <w:p w14:paraId="5580BBBA" w14:textId="22D21D32" w:rsidR="00901AD0" w:rsidRDefault="006D0C6E" w:rsidP="006D0C6E">
      <w:pPr>
        <w:pStyle w:val="enumlev1"/>
        <w:rPr>
          <w:rtl/>
        </w:rPr>
      </w:pPr>
      <w:r>
        <w:sym w:font="Wingdings 2" w:char="F097"/>
      </w:r>
      <w:r>
        <w:tab/>
      </w:r>
      <w:r w:rsidR="00D5219A" w:rsidRPr="00D5219A">
        <w:rPr>
          <w:rtl/>
        </w:rPr>
        <w:t>بطاقات التبليغ عن الشبكات الساتلية التي لم يكن نشرها في النشرة الإعلامية الدولية للترددات الصادرة عن مكتب الاتصالات الراديوية (BR IFIC) قد تم في نهاية العام،</w:t>
      </w:r>
    </w:p>
    <w:p w14:paraId="174DB071" w14:textId="1A24F9AC" w:rsidR="00D5219A" w:rsidRPr="00D5219A" w:rsidRDefault="006D0C6E" w:rsidP="006D0C6E">
      <w:pPr>
        <w:pStyle w:val="enumlev1"/>
        <w:rPr>
          <w:lang w:val="ar-SA" w:bidi="ar-EG"/>
        </w:rPr>
      </w:pPr>
      <w:r>
        <w:sym w:font="Wingdings 2" w:char="F097"/>
      </w:r>
      <w:r>
        <w:tab/>
      </w:r>
      <w:r w:rsidR="00D5219A" w:rsidRPr="00D5219A">
        <w:rPr>
          <w:rtl/>
        </w:rPr>
        <w:t>المساهمات من خارج الميزانية، الجارية وغير الجارية، المتعلقة بالمشاريع الجارية بشروط ستتحقق في السنة/السنوات التالية. وتحديداً، ‏أموال الأطراف الخارجية قيد التخصيص هي أموال يجري تخصيصها لمشروع معيَّن، وأما الأموال الخارجية المزمع استلامها، فتتعلق باتفاقات موقعة في السنة المالية الجارية وصدرت بشأنها فواتير ولكن لم تُستلَم بعد.‎ وترتبط الأموال المخصصة من طرف ثالث بالمشاريع الجارية التي وردت بشأنها الأموال أو سترد في</w:t>
      </w:r>
      <w:r w:rsidR="002B5B16">
        <w:rPr>
          <w:rFonts w:hint="cs"/>
          <w:rtl/>
        </w:rPr>
        <w:t> </w:t>
      </w:r>
      <w:r w:rsidR="00D5219A" w:rsidRPr="00D5219A">
        <w:rPr>
          <w:rtl/>
        </w:rPr>
        <w:t>السنوات التالية أو المقبلة. وتعزى الزيادة الكبيرة في الإيرادات المؤجلة من خارج الميزانية إلى عدد من المشاريع الكبيرة والمعقدة والطويلة الأجل الموقعة مع جهات مانحة نشطة، من بينها الاتحاد الأوروبي الذي يركز على تسهيل الاستثمارات في البنية التحتية الرقمية والابتكار في الخدمات العامة.</w:t>
      </w:r>
    </w:p>
    <w:p w14:paraId="1A76A470" w14:textId="268A0635" w:rsidR="00D5219A" w:rsidRPr="00D5219A" w:rsidRDefault="0066088C" w:rsidP="0066088C">
      <w:pPr>
        <w:pStyle w:val="Figure"/>
        <w:rPr>
          <w:rtl/>
        </w:rPr>
      </w:pPr>
      <w:bookmarkStart w:id="271" w:name="_Toc305764089"/>
      <w:r w:rsidRPr="0066088C">
        <w:lastRenderedPageBreak/>
        <w:drawing>
          <wp:inline distT="0" distB="0" distL="0" distR="0" wp14:anchorId="3A624D6B" wp14:editId="181CE3AB">
            <wp:extent cx="5760000" cy="4651200"/>
            <wp:effectExtent l="0" t="0" r="0" b="0"/>
            <wp:docPr id="6849790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4651200"/>
                    </a:xfrm>
                    <a:prstGeom prst="rect">
                      <a:avLst/>
                    </a:prstGeom>
                    <a:noFill/>
                  </pic:spPr>
                </pic:pic>
              </a:graphicData>
            </a:graphic>
          </wp:inline>
        </w:drawing>
      </w:r>
    </w:p>
    <w:p w14:paraId="023EFFFD" w14:textId="04C56FBD" w:rsidR="00D5219A" w:rsidRPr="0066088C" w:rsidRDefault="00D5219A" w:rsidP="009F4F01">
      <w:pPr>
        <w:pStyle w:val="Heading1"/>
      </w:pPr>
      <w:bookmarkStart w:id="272" w:name="_Toc2021876045"/>
      <w:bookmarkStart w:id="273" w:name="_Toc196292787"/>
      <w:bookmarkStart w:id="274" w:name="_Toc201043154"/>
      <w:r w:rsidRPr="00D5219A">
        <w:rPr>
          <w:rtl/>
        </w:rPr>
        <w:t>الملاحظة 15</w:t>
      </w:r>
      <w:r w:rsidR="00901AD0">
        <w:rPr>
          <w:rtl/>
        </w:rPr>
        <w:tab/>
      </w:r>
      <w:r w:rsidRPr="00D5219A">
        <w:rPr>
          <w:rtl/>
        </w:rPr>
        <w:t>القروض والديون المالية الأخرى</w:t>
      </w:r>
      <w:bookmarkEnd w:id="271"/>
      <w:bookmarkEnd w:id="272"/>
      <w:bookmarkEnd w:id="273"/>
      <w:bookmarkEnd w:id="274"/>
    </w:p>
    <w:p w14:paraId="39CC8449" w14:textId="77777777" w:rsidR="00901AD0" w:rsidRDefault="00D5219A" w:rsidP="0066088C">
      <w:pPr>
        <w:rPr>
          <w:rtl/>
        </w:rPr>
      </w:pPr>
      <w:r w:rsidRPr="00D5219A">
        <w:rPr>
          <w:rtl/>
        </w:rPr>
        <w:t>لدى الاتحاد حالياً أربعة قروض بدون فوائد مع مؤسسة ‎مباني المنظمات الدولية (</w:t>
      </w:r>
      <w:r w:rsidRPr="00D5219A">
        <w:rPr>
          <w:lang w:bidi="ar-EG"/>
        </w:rPr>
        <w:t>FIPOI</w:t>
      </w:r>
      <w:r w:rsidRPr="00D5219A">
        <w:rPr>
          <w:rtl/>
        </w:rPr>
        <w:t>). ‏وفي ‎31 ‏ديسمبر ‎2024‏، ترد ثلاثة من هذه القروض في البيانات المالية بالقيمة العادلة.</w:t>
      </w:r>
    </w:p>
    <w:p w14:paraId="069A1DBC" w14:textId="46AEC51B" w:rsidR="00D5219A" w:rsidRPr="00D5219A" w:rsidRDefault="00D5219A" w:rsidP="0066088C">
      <w:pPr>
        <w:rPr>
          <w:lang w:val="ar-SA" w:bidi="ar-EG"/>
        </w:rPr>
      </w:pPr>
      <w:r w:rsidRPr="00D5219A">
        <w:rPr>
          <w:rtl/>
        </w:rPr>
        <w:t>‏وحتى ‎31 ‏ديسمبر ‎2024‏، بلغ مجموع المبالغ المستحقة ‎54,8 ‏مليون فرنك سويسري وبلغ صافي القيمة الحالية ‎53,3 ‏مليون فرنك سويسري.</w:t>
      </w:r>
    </w:p>
    <w:p w14:paraId="61736121" w14:textId="77777777" w:rsidR="00D5219A" w:rsidRPr="00D5219A" w:rsidRDefault="00D5219A" w:rsidP="0066088C">
      <w:pPr>
        <w:rPr>
          <w:lang w:val="ar-SA" w:bidi="ar-EG"/>
        </w:rPr>
      </w:pPr>
      <w:r w:rsidRPr="00D5219A">
        <w:rPr>
          <w:rtl/>
        </w:rPr>
        <w:t>‏وتبلغ قيمة القروض الثلاثة الأولى المتعلقة بالمباني القائمة ‎32,3 ‏مليون فرنك سويسري؛ ويبلغ صافي القيمة الحالية ‎30,8 ‏مليون فرنك سويسري.</w:t>
      </w:r>
    </w:p>
    <w:p w14:paraId="226212CB" w14:textId="2FDCCE9B" w:rsidR="00D5219A" w:rsidRPr="00D5219A" w:rsidRDefault="00D5219A" w:rsidP="0066088C">
      <w:pPr>
        <w:rPr>
          <w:lang w:val="ar-SA" w:bidi="ar-EG"/>
        </w:rPr>
      </w:pPr>
      <w:r w:rsidRPr="00D5219A">
        <w:rPr>
          <w:rtl/>
        </w:rPr>
        <w:t>وفي عام ‎2017‏، مُنح قرض جديد بدون فوائد بقيمة ‎150 ‏مليون فرنك سويسري من أجل مشروع المبنى الجديد للاتحاد. وفي</w:t>
      </w:r>
      <w:r w:rsidR="0066088C">
        <w:rPr>
          <w:rFonts w:hint="eastAsia"/>
          <w:rtl/>
          <w:lang w:bidi="ar-EG"/>
        </w:rPr>
        <w:t> </w:t>
      </w:r>
      <w:r w:rsidRPr="00D5219A">
        <w:rPr>
          <w:rtl/>
        </w:rPr>
        <w:t>‎31</w:t>
      </w:r>
      <w:r w:rsidR="0066088C">
        <w:rPr>
          <w:rFonts w:hint="cs"/>
          <w:rtl/>
        </w:rPr>
        <w:t> </w:t>
      </w:r>
      <w:r w:rsidRPr="00D5219A">
        <w:rPr>
          <w:rtl/>
        </w:rPr>
        <w:t>‏ديسمبر ‎2024، بلغ مبلغ القرض الذي سحبه الاتحاد من هذا القرض الرابع ‎22,5 ‏مليون فرنك سويسري.</w:t>
      </w:r>
      <w:bookmarkStart w:id="275" w:name="_Int_vXKY5x6Q"/>
      <w:bookmarkEnd w:id="275"/>
    </w:p>
    <w:p w14:paraId="2777CD7D" w14:textId="77777777" w:rsidR="00D5219A" w:rsidRPr="00D5219A" w:rsidRDefault="00D5219A" w:rsidP="00D5219A">
      <w:pPr>
        <w:rPr>
          <w:lang w:val="ar-SA" w:bidi="ar-EG"/>
        </w:rPr>
      </w:pPr>
      <w:r w:rsidRPr="00D5219A">
        <w:rPr>
          <w:rtl/>
        </w:rPr>
        <w:t>وقد تلقى الاتحاد تأكيداً بأن القرض يمكن إعادة توجيهه لمشروع المبنى المعدل. وقد وافقت الحكومة الاتحادية السويسرية رسمياً على إعادة البرمجة. ولا يزال الاتحاد منخرطا في اتصالات مفتوحة ومنتظمة مع الأطراف الممولة والسلطات المعنية لتقديم تحديثات بشأن التقدم المحرز في مشروع المبنى المراجع، بما يتماشى مع القرار الذي وافق عليه المجلس في عام 2024.</w:t>
      </w:r>
    </w:p>
    <w:p w14:paraId="3A1302C9" w14:textId="77777777" w:rsidR="00D5219A" w:rsidRPr="00D5219A" w:rsidRDefault="00D5219A" w:rsidP="00D5219A">
      <w:pPr>
        <w:rPr>
          <w:lang w:val="ar-SA" w:bidi="ar-EG"/>
        </w:rPr>
      </w:pPr>
      <w:r w:rsidRPr="00D5219A">
        <w:rPr>
          <w:rtl/>
        </w:rPr>
        <w:t>ولن يبدأ سداد القرض الممنوح من أجل المبنى الجديد للاتحاد إلا بعد تسليم المبنى بنجاح.</w:t>
      </w:r>
    </w:p>
    <w:p w14:paraId="065EB2B6" w14:textId="77777777" w:rsidR="00D5219A" w:rsidRPr="00D5219A" w:rsidRDefault="00D5219A" w:rsidP="00301885">
      <w:pPr>
        <w:pStyle w:val="Figure"/>
        <w:rPr>
          <w:b/>
          <w:bCs/>
          <w:lang w:bidi="ar-EG"/>
        </w:rPr>
      </w:pPr>
      <w:bookmarkStart w:id="276" w:name="_Toc305764090"/>
      <w:r w:rsidRPr="00301885">
        <w:lastRenderedPageBreak/>
        <w:drawing>
          <wp:inline distT="0" distB="0" distL="0" distR="0" wp14:anchorId="25E1993C" wp14:editId="352433D3">
            <wp:extent cx="5400000" cy="1947600"/>
            <wp:effectExtent l="0" t="0" r="0" b="0"/>
            <wp:docPr id="2058150727" name="Picture 50" descr="A blue and black rectangular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50727" name="Picture 50" descr="A blue and black rectangular frame&#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1947600"/>
                    </a:xfrm>
                    <a:prstGeom prst="rect">
                      <a:avLst/>
                    </a:prstGeom>
                    <a:noFill/>
                  </pic:spPr>
                </pic:pic>
              </a:graphicData>
            </a:graphic>
          </wp:inline>
        </w:drawing>
      </w:r>
    </w:p>
    <w:p w14:paraId="79FAB3D9" w14:textId="62250D46" w:rsidR="00D5219A" w:rsidRPr="00301885" w:rsidRDefault="00D5219A" w:rsidP="009F4F01">
      <w:pPr>
        <w:pStyle w:val="Heading1"/>
      </w:pPr>
      <w:bookmarkStart w:id="277" w:name="_Toc1569757906"/>
      <w:bookmarkStart w:id="278" w:name="_Toc196292788"/>
      <w:bookmarkStart w:id="279" w:name="_Toc201043155"/>
      <w:r w:rsidRPr="00D5219A">
        <w:rPr>
          <w:rtl/>
        </w:rPr>
        <w:t>الملاحظة 16</w:t>
      </w:r>
      <w:r w:rsidR="00901AD0">
        <w:rPr>
          <w:rtl/>
        </w:rPr>
        <w:tab/>
      </w:r>
      <w:r w:rsidRPr="00D5219A">
        <w:rPr>
          <w:rtl/>
        </w:rPr>
        <w:t>استحقاقات الموظفين</w:t>
      </w:r>
      <w:bookmarkEnd w:id="276"/>
      <w:bookmarkEnd w:id="277"/>
      <w:bookmarkEnd w:id="278"/>
      <w:bookmarkEnd w:id="279"/>
    </w:p>
    <w:p w14:paraId="21D293D4" w14:textId="77777777" w:rsidR="00D5219A" w:rsidRPr="00D5219A" w:rsidRDefault="00D5219A" w:rsidP="00D5219A">
      <w:pPr>
        <w:rPr>
          <w:lang w:val="ar-SA" w:bidi="ar-EG"/>
        </w:rPr>
      </w:pPr>
      <w:r w:rsidRPr="00D5219A">
        <w:rPr>
          <w:rtl/>
        </w:rPr>
        <w:t>تشير عبارة استحقاقات الموظفين إلى كل أشكال المكافآت التي يقدمها الاتحاد مقابل الخدمات التي يقدمها موظفوه. وهذه الاستحقاقات تدرج في الحسابات حالما تستحق للموظفين.</w:t>
      </w:r>
      <w:bookmarkStart w:id="280" w:name="_Toc305764091"/>
    </w:p>
    <w:p w14:paraId="267DF991" w14:textId="77777777" w:rsidR="00D5219A" w:rsidRPr="00D5219A" w:rsidRDefault="00D5219A" w:rsidP="008B286B">
      <w:pPr>
        <w:pStyle w:val="Figure"/>
        <w:rPr>
          <w:lang w:bidi="ar-EG"/>
        </w:rPr>
      </w:pPr>
      <w:r w:rsidRPr="00D5219A">
        <w:rPr>
          <w:lang w:bidi="ar-EG"/>
        </w:rPr>
        <w:drawing>
          <wp:inline distT="0" distB="0" distL="0" distR="0" wp14:anchorId="2173ADA4" wp14:editId="48E4FDEC">
            <wp:extent cx="5072380" cy="3322320"/>
            <wp:effectExtent l="0" t="0" r="0" b="0"/>
            <wp:docPr id="1223329258" name="Picture 1" descr="A blue rectangular fram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29258" name="Picture 1" descr="A blue rectangular frame with black tex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2380" cy="3322320"/>
                    </a:xfrm>
                    <a:prstGeom prst="rect">
                      <a:avLst/>
                    </a:prstGeom>
                    <a:noFill/>
                  </pic:spPr>
                </pic:pic>
              </a:graphicData>
            </a:graphic>
          </wp:inline>
        </w:drawing>
      </w:r>
    </w:p>
    <w:p w14:paraId="49DC0971" w14:textId="1118364C" w:rsidR="00D5219A" w:rsidRPr="0022473B" w:rsidRDefault="00301885" w:rsidP="0022473B">
      <w:pPr>
        <w:pStyle w:val="Heading2"/>
        <w:rPr>
          <w:iCs w:val="0"/>
        </w:rPr>
      </w:pPr>
      <w:bookmarkStart w:id="281" w:name="_Toc131156448"/>
      <w:bookmarkStart w:id="282" w:name="_Toc1313097152"/>
      <w:bookmarkEnd w:id="280"/>
      <w:r>
        <w:t>1.16</w:t>
      </w:r>
      <w:r w:rsidR="00901AD0" w:rsidRPr="0022473B">
        <w:rPr>
          <w:iCs w:val="0"/>
          <w:rtl/>
        </w:rPr>
        <w:tab/>
      </w:r>
      <w:r w:rsidR="00D5219A" w:rsidRPr="00D5219A">
        <w:rPr>
          <w:rtl/>
        </w:rPr>
        <w:t>التأمين الصحي بعد انتهاء الخدمة</w:t>
      </w:r>
      <w:bookmarkEnd w:id="281"/>
      <w:bookmarkEnd w:id="282"/>
    </w:p>
    <w:p w14:paraId="1962FEC2" w14:textId="1D942A70" w:rsidR="00D5219A" w:rsidRPr="003458BF" w:rsidRDefault="00301885" w:rsidP="0022473B">
      <w:pPr>
        <w:pStyle w:val="Heading3"/>
      </w:pPr>
      <w:bookmarkStart w:id="283" w:name="_Toc305764093"/>
      <w:bookmarkStart w:id="284" w:name="_Hlk131158609"/>
      <w:r w:rsidRPr="003458BF">
        <w:t>1.1.16</w:t>
      </w:r>
      <w:r w:rsidR="00D5219A" w:rsidRPr="003458BF">
        <w:rPr>
          <w:rtl/>
        </w:rPr>
        <w:tab/>
        <w:t xml:space="preserve">التقييم الإكتواري للتعويضات المستحقة بعد انتهاء الخدمة بموجب خطة التأمين الصحي </w:t>
      </w:r>
      <w:r w:rsidR="00D5219A" w:rsidRPr="003458BF">
        <w:t>ASHI</w:t>
      </w:r>
      <w:bookmarkEnd w:id="283"/>
    </w:p>
    <w:p w14:paraId="05D40FA1" w14:textId="77777777" w:rsidR="00D5219A" w:rsidRPr="00D5219A" w:rsidRDefault="00D5219A" w:rsidP="00D5219A">
      <w:pPr>
        <w:rPr>
          <w:lang w:val="ar-SA" w:bidi="ar-EG"/>
        </w:rPr>
      </w:pPr>
      <w:r w:rsidRPr="00D5219A">
        <w:rPr>
          <w:rtl/>
        </w:rPr>
        <w:t>يتحدد مبلغ الالتزامات المتصلة بالتأمين الصحي بعد انتهاء الخدمة (</w:t>
      </w:r>
      <w:r w:rsidRPr="00D5219A">
        <w:rPr>
          <w:lang w:bidi="ar-EG"/>
        </w:rPr>
        <w:t>ASHI</w:t>
      </w:r>
      <w:r w:rsidRPr="00D5219A">
        <w:rPr>
          <w:rtl/>
        </w:rPr>
        <w:t>) على أساس دراسة إكتوارية سنوية يقوم بها مكتب استشاري مستقل. وكان آخر تقييم في يناير 2025 قد حدد بمقدار 415,8 مليون فرنك سويسري التزامات الاتحاد في إطار استحقاقات التأمين الصحي بعد انتهاء الخدمة المستحقة للموظفين المستوفين للشروط المطلوبة في 31 ديسمبر 2024 (مقابل مبلغ 375,3 مليون فرنك سويسري في نهاية 2023). وأجريت الدراسة الإكتوارية على أساس البيانات المقدمة من الاتحاد (تكلفة المطالبات/المساهمات المدفوعة/مجموعة المستفيدين المؤهلين).</w:t>
      </w:r>
      <w:bookmarkStart w:id="285" w:name="_Int_kYabykDA"/>
      <w:bookmarkStart w:id="286" w:name="_Toc305764094"/>
      <w:bookmarkEnd w:id="285"/>
    </w:p>
    <w:bookmarkEnd w:id="284"/>
    <w:p w14:paraId="33683AFA" w14:textId="364CE009" w:rsidR="00D5219A" w:rsidRPr="0022473B" w:rsidRDefault="00301885" w:rsidP="0022473B">
      <w:pPr>
        <w:pStyle w:val="Heading3"/>
      </w:pPr>
      <w:r w:rsidRPr="0022473B">
        <w:t>2.1.16</w:t>
      </w:r>
      <w:r w:rsidR="00D5219A" w:rsidRPr="0022473B">
        <w:rPr>
          <w:rtl/>
        </w:rPr>
        <w:tab/>
        <w:t>التقييم الإكتواري - الافتراضات والأساليب</w:t>
      </w:r>
      <w:bookmarkEnd w:id="286"/>
    </w:p>
    <w:p w14:paraId="40AB5818" w14:textId="77777777" w:rsidR="00D5219A" w:rsidRPr="00D5219A" w:rsidRDefault="00D5219A" w:rsidP="00301885">
      <w:pPr>
        <w:rPr>
          <w:lang w:val="ar-SA" w:bidi="ar-EG"/>
        </w:rPr>
      </w:pPr>
      <w:r w:rsidRPr="00D5219A">
        <w:rPr>
          <w:rtl/>
        </w:rPr>
        <w:t xml:space="preserve">يتحقق الاتحاد، في إطار تقييم الالتزامات المتصلة بخطة التأمين الصحي </w:t>
      </w:r>
      <w:r w:rsidRPr="00D5219A">
        <w:rPr>
          <w:lang w:bidi="ar-EG"/>
        </w:rPr>
        <w:t>ASHI</w:t>
      </w:r>
      <w:r w:rsidRPr="00D5219A">
        <w:rPr>
          <w:rtl/>
        </w:rPr>
        <w:t xml:space="preserve"> في 31 ديسمبر 2024 وبالمساهمة في الفترة المالية 2024، من صحة الافتراضات والأساليب التي يستخدمها المكتب الإكتواري. وفيما يلي الافتراضات والأساليب المستخدمة في التقييم الذي يشمل الفترة المالية 2024.</w:t>
      </w:r>
      <w:bookmarkStart w:id="287" w:name="_Int_zkEfRDFx"/>
      <w:bookmarkEnd w:id="28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4"/>
        <w:gridCol w:w="6055"/>
      </w:tblGrid>
      <w:tr w:rsidR="00D5219A" w:rsidRPr="003458BF" w14:paraId="3BFB3AA5" w14:textId="77777777" w:rsidTr="00D0091C">
        <w:trPr>
          <w:trHeight w:val="276"/>
          <w:jc w:val="center"/>
        </w:trPr>
        <w:tc>
          <w:tcPr>
            <w:tcW w:w="3574" w:type="dxa"/>
          </w:tcPr>
          <w:p w14:paraId="085F714E" w14:textId="77777777" w:rsidR="00D5219A" w:rsidRPr="003458BF" w:rsidRDefault="00D5219A" w:rsidP="003458BF">
            <w:pPr>
              <w:spacing w:before="80" w:after="60" w:line="280" w:lineRule="exact"/>
              <w:rPr>
                <w:position w:val="2"/>
                <w:sz w:val="20"/>
                <w:szCs w:val="20"/>
                <w:lang w:val="ar-SA" w:bidi="ar-EG"/>
              </w:rPr>
            </w:pPr>
            <w:bookmarkStart w:id="288" w:name="_Hlk37059178"/>
            <w:r w:rsidRPr="003458BF">
              <w:rPr>
                <w:position w:val="2"/>
                <w:sz w:val="20"/>
                <w:szCs w:val="20"/>
                <w:rtl/>
              </w:rPr>
              <w:lastRenderedPageBreak/>
              <w:t>معدل الخصم</w:t>
            </w:r>
          </w:p>
        </w:tc>
        <w:tc>
          <w:tcPr>
            <w:tcW w:w="6055" w:type="dxa"/>
          </w:tcPr>
          <w:p w14:paraId="54DF8B4F" w14:textId="4C07CFD4" w:rsidR="00901AD0" w:rsidRPr="003458BF" w:rsidRDefault="00565D86" w:rsidP="003458BF">
            <w:pPr>
              <w:spacing w:before="80" w:after="60" w:line="280" w:lineRule="exact"/>
              <w:rPr>
                <w:position w:val="2"/>
                <w:sz w:val="20"/>
                <w:szCs w:val="20"/>
                <w:rtl/>
              </w:rPr>
            </w:pPr>
            <w:r w:rsidRPr="003458BF">
              <w:rPr>
                <w:position w:val="2"/>
                <w:sz w:val="20"/>
                <w:szCs w:val="20"/>
              </w:rPr>
              <w:t>%1,40</w:t>
            </w:r>
            <w:r w:rsidR="00D5219A" w:rsidRPr="003458BF">
              <w:rPr>
                <w:position w:val="2"/>
                <w:sz w:val="20"/>
                <w:szCs w:val="20"/>
                <w:rtl/>
              </w:rPr>
              <w:t xml:space="preserve"> لعام 2024 و</w:t>
            </w:r>
            <w:r w:rsidRPr="003458BF">
              <w:rPr>
                <w:position w:val="2"/>
                <w:sz w:val="20"/>
                <w:szCs w:val="20"/>
              </w:rPr>
              <w:t>%1,90</w:t>
            </w:r>
            <w:r w:rsidR="00D5219A" w:rsidRPr="003458BF">
              <w:rPr>
                <w:position w:val="2"/>
                <w:sz w:val="20"/>
                <w:szCs w:val="20"/>
                <w:rtl/>
              </w:rPr>
              <w:t xml:space="preserve"> لعام 2023.</w:t>
            </w:r>
          </w:p>
          <w:p w14:paraId="6ADD044F" w14:textId="75FBB870"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 xml:space="preserve">تحددت معدلات الخصم المستخدمة في هذا التقييم أولاً بشكل منفصل لكل من العملات الرئيسية بما في ذلك الفرنك السويسري والدولار الأمريكي واليورو باستخدام منحنى عائد سندات الشركات </w:t>
            </w:r>
            <w:r w:rsidRPr="003458BF">
              <w:rPr>
                <w:position w:val="2"/>
                <w:sz w:val="20"/>
                <w:szCs w:val="20"/>
                <w:lang w:bidi="ar-EG"/>
              </w:rPr>
              <w:t>AA</w:t>
            </w:r>
            <w:r w:rsidRPr="003458BF">
              <w:rPr>
                <w:position w:val="2"/>
                <w:sz w:val="20"/>
                <w:szCs w:val="20"/>
                <w:rtl/>
              </w:rPr>
              <w:t xml:space="preserve"> لمكتب </w:t>
            </w:r>
            <w:r w:rsidRPr="003458BF">
              <w:rPr>
                <w:position w:val="2"/>
                <w:sz w:val="20"/>
                <w:szCs w:val="20"/>
                <w:lang w:bidi="ar-EG"/>
              </w:rPr>
              <w:t>Aon</w:t>
            </w:r>
            <w:r w:rsidRPr="003458BF">
              <w:rPr>
                <w:position w:val="2"/>
                <w:sz w:val="20"/>
                <w:szCs w:val="20"/>
                <w:rtl/>
              </w:rPr>
              <w:t xml:space="preserve"> لغاية 31 ديسمبر 2024. ثم تحدَّد معدل الخصم النهائي بحساب متوسط معدلات الخصم المقوَّمة بمختلف العملات، مرجحاً بدفعات الاستحقاقات المدفوعة بكل عملة إلى الموظفين غير النشطين حالياً.</w:t>
            </w:r>
            <w:bookmarkStart w:id="289" w:name="_Int_4R42gV8R"/>
            <w:bookmarkEnd w:id="289"/>
          </w:p>
        </w:tc>
      </w:tr>
      <w:tr w:rsidR="00D5219A" w:rsidRPr="003458BF" w14:paraId="75DC01E4" w14:textId="77777777" w:rsidTr="00D0091C">
        <w:trPr>
          <w:trHeight w:val="262"/>
          <w:jc w:val="center"/>
        </w:trPr>
        <w:tc>
          <w:tcPr>
            <w:tcW w:w="3574" w:type="dxa"/>
          </w:tcPr>
          <w:p w14:paraId="30058DCE"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ارتفاع التكاليف الطبية</w:t>
            </w:r>
          </w:p>
        </w:tc>
        <w:tc>
          <w:tcPr>
            <w:tcW w:w="6055" w:type="dxa"/>
          </w:tcPr>
          <w:p w14:paraId="601DE4B6" w14:textId="7B150CEB" w:rsidR="00D5219A" w:rsidRPr="003458BF" w:rsidRDefault="00565D86" w:rsidP="003458BF">
            <w:pPr>
              <w:spacing w:before="80" w:after="60" w:line="280" w:lineRule="exact"/>
              <w:rPr>
                <w:position w:val="2"/>
                <w:sz w:val="20"/>
                <w:szCs w:val="20"/>
                <w:lang w:val="ar-SA" w:bidi="ar-EG"/>
              </w:rPr>
            </w:pPr>
            <w:r w:rsidRPr="003458BF">
              <w:rPr>
                <w:position w:val="2"/>
                <w:sz w:val="20"/>
                <w:szCs w:val="20"/>
              </w:rPr>
              <w:t>%2,40</w:t>
            </w:r>
            <w:r w:rsidR="00D5219A" w:rsidRPr="003458BF">
              <w:rPr>
                <w:position w:val="2"/>
                <w:sz w:val="20"/>
                <w:szCs w:val="20"/>
                <w:rtl/>
              </w:rPr>
              <w:t xml:space="preserve"> لعام 2024 و</w:t>
            </w:r>
            <w:r w:rsidRPr="003458BF">
              <w:rPr>
                <w:position w:val="2"/>
                <w:sz w:val="20"/>
                <w:szCs w:val="20"/>
              </w:rPr>
              <w:t>%2,60</w:t>
            </w:r>
            <w:r w:rsidR="00D5219A" w:rsidRPr="003458BF">
              <w:rPr>
                <w:position w:val="2"/>
                <w:sz w:val="20"/>
                <w:szCs w:val="20"/>
                <w:rtl/>
              </w:rPr>
              <w:t xml:space="preserve"> في عام 2023. </w:t>
            </w:r>
          </w:p>
        </w:tc>
      </w:tr>
      <w:tr w:rsidR="00D5219A" w:rsidRPr="003458BF" w14:paraId="6E71AD19" w14:textId="77777777" w:rsidTr="00D0091C">
        <w:trPr>
          <w:trHeight w:val="261"/>
          <w:jc w:val="center"/>
        </w:trPr>
        <w:tc>
          <w:tcPr>
            <w:tcW w:w="3574" w:type="dxa"/>
          </w:tcPr>
          <w:p w14:paraId="144177A0"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زيادة المرتبات</w:t>
            </w:r>
          </w:p>
        </w:tc>
        <w:tc>
          <w:tcPr>
            <w:tcW w:w="6055" w:type="dxa"/>
          </w:tcPr>
          <w:p w14:paraId="2E96E8E7" w14:textId="4DD08AA8"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 xml:space="preserve">زيادة بنسبة </w:t>
            </w:r>
            <w:r w:rsidR="00565D86" w:rsidRPr="003458BF">
              <w:rPr>
                <w:position w:val="2"/>
                <w:sz w:val="20"/>
                <w:szCs w:val="20"/>
              </w:rPr>
              <w:t>%3,10</w:t>
            </w:r>
            <w:r w:rsidRPr="003458BF">
              <w:rPr>
                <w:position w:val="2"/>
                <w:sz w:val="20"/>
                <w:szCs w:val="20"/>
                <w:rtl/>
              </w:rPr>
              <w:t xml:space="preserve"> لعامي 2023 و2024 في جدول المرتبات الثابتة للصندوق </w:t>
            </w:r>
            <w:r w:rsidRPr="003458BF">
              <w:rPr>
                <w:position w:val="2"/>
                <w:sz w:val="20"/>
                <w:szCs w:val="20"/>
                <w:lang w:bidi="ar-EG"/>
              </w:rPr>
              <w:t>UNJSPF</w:t>
            </w:r>
            <w:r w:rsidRPr="003458BF">
              <w:rPr>
                <w:position w:val="2"/>
                <w:sz w:val="20"/>
                <w:szCs w:val="20"/>
                <w:rtl/>
              </w:rPr>
              <w:t>.</w:t>
            </w:r>
          </w:p>
        </w:tc>
      </w:tr>
      <w:tr w:rsidR="00D5219A" w:rsidRPr="003458BF" w14:paraId="4BE467C5" w14:textId="77777777" w:rsidTr="00D0091C">
        <w:trPr>
          <w:trHeight w:val="276"/>
          <w:jc w:val="center"/>
        </w:trPr>
        <w:tc>
          <w:tcPr>
            <w:tcW w:w="3574" w:type="dxa"/>
          </w:tcPr>
          <w:p w14:paraId="1A0A875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زيادة معاشات التقاعد</w:t>
            </w:r>
          </w:p>
        </w:tc>
        <w:tc>
          <w:tcPr>
            <w:tcW w:w="6055" w:type="dxa"/>
          </w:tcPr>
          <w:p w14:paraId="20F7577F" w14:textId="72F351C6" w:rsidR="00D5219A" w:rsidRPr="003458BF" w:rsidRDefault="00565D86" w:rsidP="003458BF">
            <w:pPr>
              <w:spacing w:before="80" w:after="60" w:line="280" w:lineRule="exact"/>
              <w:rPr>
                <w:position w:val="2"/>
                <w:sz w:val="20"/>
                <w:szCs w:val="20"/>
                <w:lang w:val="ar-SA" w:bidi="ar-EG"/>
              </w:rPr>
            </w:pPr>
            <w:r w:rsidRPr="003458BF">
              <w:rPr>
                <w:position w:val="2"/>
                <w:sz w:val="20"/>
                <w:szCs w:val="20"/>
              </w:rPr>
              <w:t>%2,60</w:t>
            </w:r>
            <w:r w:rsidR="00D5219A" w:rsidRPr="003458BF">
              <w:rPr>
                <w:position w:val="2"/>
                <w:sz w:val="20"/>
                <w:szCs w:val="20"/>
                <w:rtl/>
              </w:rPr>
              <w:t xml:space="preserve"> لعامي 2023 و2024.</w:t>
            </w:r>
          </w:p>
        </w:tc>
      </w:tr>
      <w:tr w:rsidR="00D5219A" w:rsidRPr="003458BF" w14:paraId="5391F57F" w14:textId="77777777" w:rsidTr="00D0091C">
        <w:trPr>
          <w:trHeight w:val="5424"/>
          <w:jc w:val="center"/>
        </w:trPr>
        <w:tc>
          <w:tcPr>
            <w:tcW w:w="3574" w:type="dxa"/>
          </w:tcPr>
          <w:p w14:paraId="146DD918"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متوسط التكلفة السنوية المقدر لطلبات استرداد النفقات الطبية في 2024 والاختلاف في النفقات الطبية بحكم السن</w:t>
            </w:r>
          </w:p>
        </w:tc>
        <w:tc>
          <w:tcPr>
            <w:tcW w:w="6055" w:type="dxa"/>
          </w:tcPr>
          <w:p w14:paraId="552E301B"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يستند التقرير الإكتواري لعام 2024 إلى متوسط تكلفة الطلبات مقدراً في نهاية السنة بحسب الفئات العمرية التالية على النحو التالي:</w:t>
            </w:r>
          </w:p>
          <w:tbl>
            <w:tblPr>
              <w:tblStyle w:val="TableGrid"/>
              <w:bidiVisual/>
              <w:tblW w:w="4250" w:type="pct"/>
              <w:jc w:val="center"/>
              <w:tblLayout w:type="fixed"/>
              <w:tblLook w:val="06A0" w:firstRow="1" w:lastRow="0" w:firstColumn="1" w:lastColumn="0" w:noHBand="1" w:noVBand="1"/>
            </w:tblPr>
            <w:tblGrid>
              <w:gridCol w:w="1239"/>
              <w:gridCol w:w="1858"/>
              <w:gridCol w:w="1858"/>
            </w:tblGrid>
            <w:tr w:rsidR="00D5219A" w:rsidRPr="003458BF" w14:paraId="22EB6AAD" w14:textId="77777777" w:rsidTr="00565D86">
              <w:trPr>
                <w:trHeight w:val="300"/>
                <w:jc w:val="center"/>
              </w:trPr>
              <w:tc>
                <w:tcPr>
                  <w:tcW w:w="1135" w:type="dxa"/>
                </w:tcPr>
                <w:p w14:paraId="67F85319" w14:textId="77777777" w:rsidR="00D5219A" w:rsidRPr="003458BF" w:rsidRDefault="00D5219A" w:rsidP="003458BF">
                  <w:pPr>
                    <w:spacing w:before="80" w:after="60" w:line="280" w:lineRule="exact"/>
                    <w:jc w:val="center"/>
                    <w:rPr>
                      <w:b/>
                      <w:bCs/>
                      <w:position w:val="2"/>
                      <w:sz w:val="20"/>
                      <w:szCs w:val="20"/>
                      <w:lang w:val="ar-SA" w:bidi="ar-EG"/>
                    </w:rPr>
                  </w:pPr>
                  <w:r w:rsidRPr="003458BF">
                    <w:rPr>
                      <w:b/>
                      <w:bCs/>
                      <w:position w:val="2"/>
                      <w:sz w:val="20"/>
                      <w:szCs w:val="20"/>
                      <w:rtl/>
                    </w:rPr>
                    <w:t>الفئة العمرية</w:t>
                  </w:r>
                </w:p>
              </w:tc>
              <w:tc>
                <w:tcPr>
                  <w:tcW w:w="1701" w:type="dxa"/>
                </w:tcPr>
                <w:p w14:paraId="3C98D760" w14:textId="77777777" w:rsidR="00D5219A" w:rsidRPr="003458BF" w:rsidRDefault="00D5219A" w:rsidP="003458BF">
                  <w:pPr>
                    <w:spacing w:before="80" w:after="60" w:line="280" w:lineRule="exact"/>
                    <w:jc w:val="center"/>
                    <w:rPr>
                      <w:b/>
                      <w:bCs/>
                      <w:position w:val="2"/>
                      <w:sz w:val="20"/>
                      <w:szCs w:val="20"/>
                      <w:lang w:val="ar-SA" w:bidi="ar-EG"/>
                    </w:rPr>
                  </w:pPr>
                  <w:r w:rsidRPr="003458BF">
                    <w:rPr>
                      <w:b/>
                      <w:bCs/>
                      <w:position w:val="2"/>
                      <w:sz w:val="20"/>
                      <w:szCs w:val="20"/>
                      <w:rtl/>
                    </w:rPr>
                    <w:t>تكاليف المطالبات (فرنك سويسري) 2024</w:t>
                  </w:r>
                </w:p>
              </w:tc>
              <w:tc>
                <w:tcPr>
                  <w:tcW w:w="1701" w:type="dxa"/>
                </w:tcPr>
                <w:p w14:paraId="509FF0F3" w14:textId="22F2D403" w:rsidR="00D5219A" w:rsidRPr="003458BF" w:rsidRDefault="00D5219A" w:rsidP="003458BF">
                  <w:pPr>
                    <w:spacing w:before="80" w:after="60" w:line="280" w:lineRule="exact"/>
                    <w:jc w:val="center"/>
                    <w:rPr>
                      <w:b/>
                      <w:bCs/>
                      <w:position w:val="2"/>
                      <w:sz w:val="20"/>
                      <w:szCs w:val="20"/>
                      <w:lang w:val="ar-SA" w:bidi="ar-EG"/>
                    </w:rPr>
                  </w:pPr>
                  <w:r w:rsidRPr="003458BF">
                    <w:rPr>
                      <w:b/>
                      <w:bCs/>
                      <w:position w:val="2"/>
                      <w:sz w:val="20"/>
                      <w:szCs w:val="20"/>
                      <w:rtl/>
                    </w:rPr>
                    <w:t>تكاليف المطالبة (فرنك سويسري)</w:t>
                  </w:r>
                  <w:r w:rsidR="00565D86" w:rsidRPr="003458BF">
                    <w:rPr>
                      <w:rFonts w:hint="cs"/>
                      <w:b/>
                      <w:bCs/>
                      <w:position w:val="2"/>
                      <w:sz w:val="20"/>
                      <w:szCs w:val="20"/>
                      <w:rtl/>
                      <w:lang w:bidi="ar-EG"/>
                    </w:rPr>
                    <w:t xml:space="preserve"> </w:t>
                  </w:r>
                  <w:r w:rsidRPr="003458BF">
                    <w:rPr>
                      <w:b/>
                      <w:bCs/>
                      <w:position w:val="2"/>
                      <w:sz w:val="20"/>
                      <w:szCs w:val="20"/>
                      <w:rtl/>
                    </w:rPr>
                    <w:t>2023</w:t>
                  </w:r>
                </w:p>
              </w:tc>
            </w:tr>
            <w:tr w:rsidR="00D5219A" w:rsidRPr="003458BF" w14:paraId="7DDC2CB1" w14:textId="77777777" w:rsidTr="00565D86">
              <w:trPr>
                <w:trHeight w:val="300"/>
                <w:jc w:val="center"/>
              </w:trPr>
              <w:tc>
                <w:tcPr>
                  <w:tcW w:w="1135" w:type="dxa"/>
                </w:tcPr>
                <w:p w14:paraId="3C6844DE"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50</w:t>
                  </w:r>
                </w:p>
              </w:tc>
              <w:tc>
                <w:tcPr>
                  <w:tcW w:w="1701" w:type="dxa"/>
                </w:tcPr>
                <w:p w14:paraId="0726C035"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408 4</w:t>
                  </w:r>
                </w:p>
              </w:tc>
              <w:tc>
                <w:tcPr>
                  <w:tcW w:w="1701" w:type="dxa"/>
                </w:tcPr>
                <w:p w14:paraId="74A876A2"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226 3</w:t>
                  </w:r>
                </w:p>
              </w:tc>
            </w:tr>
            <w:tr w:rsidR="00D5219A" w:rsidRPr="003458BF" w14:paraId="025FD1DB" w14:textId="77777777" w:rsidTr="00565D86">
              <w:trPr>
                <w:trHeight w:val="300"/>
                <w:jc w:val="center"/>
              </w:trPr>
              <w:tc>
                <w:tcPr>
                  <w:tcW w:w="1135" w:type="dxa"/>
                </w:tcPr>
                <w:p w14:paraId="02AB8EA5"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55</w:t>
                  </w:r>
                </w:p>
              </w:tc>
              <w:tc>
                <w:tcPr>
                  <w:tcW w:w="1701" w:type="dxa"/>
                </w:tcPr>
                <w:p w14:paraId="0A8C0BA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441 5</w:t>
                  </w:r>
                </w:p>
              </w:tc>
              <w:tc>
                <w:tcPr>
                  <w:tcW w:w="1701" w:type="dxa"/>
                </w:tcPr>
                <w:p w14:paraId="39A82352"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038 4</w:t>
                  </w:r>
                </w:p>
              </w:tc>
            </w:tr>
            <w:tr w:rsidR="00D5219A" w:rsidRPr="003458BF" w14:paraId="080BE445" w14:textId="77777777" w:rsidTr="00565D86">
              <w:trPr>
                <w:trHeight w:val="300"/>
                <w:jc w:val="center"/>
              </w:trPr>
              <w:tc>
                <w:tcPr>
                  <w:tcW w:w="1135" w:type="dxa"/>
                </w:tcPr>
                <w:p w14:paraId="31027748"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60</w:t>
                  </w:r>
                </w:p>
              </w:tc>
              <w:tc>
                <w:tcPr>
                  <w:tcW w:w="1701" w:type="dxa"/>
                </w:tcPr>
                <w:p w14:paraId="46A6CBE4"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620 6</w:t>
                  </w:r>
                </w:p>
              </w:tc>
              <w:tc>
                <w:tcPr>
                  <w:tcW w:w="1701" w:type="dxa"/>
                </w:tcPr>
                <w:p w14:paraId="07E8C64B"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063 5</w:t>
                  </w:r>
                </w:p>
              </w:tc>
            </w:tr>
            <w:tr w:rsidR="00D5219A" w:rsidRPr="003458BF" w14:paraId="6EBFD409" w14:textId="77777777" w:rsidTr="00565D86">
              <w:trPr>
                <w:trHeight w:val="300"/>
                <w:jc w:val="center"/>
              </w:trPr>
              <w:tc>
                <w:tcPr>
                  <w:tcW w:w="1135" w:type="dxa"/>
                </w:tcPr>
                <w:p w14:paraId="4B40E74F"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65</w:t>
                  </w:r>
                </w:p>
              </w:tc>
              <w:tc>
                <w:tcPr>
                  <w:tcW w:w="1701" w:type="dxa"/>
                </w:tcPr>
                <w:p w14:paraId="13F69D0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938 7</w:t>
                  </w:r>
                </w:p>
              </w:tc>
              <w:tc>
                <w:tcPr>
                  <w:tcW w:w="1701" w:type="dxa"/>
                </w:tcPr>
                <w:p w14:paraId="76F34C37"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357 6</w:t>
                  </w:r>
                </w:p>
              </w:tc>
            </w:tr>
            <w:tr w:rsidR="00D5219A" w:rsidRPr="003458BF" w14:paraId="532C15E7" w14:textId="77777777" w:rsidTr="00565D86">
              <w:trPr>
                <w:trHeight w:val="300"/>
                <w:jc w:val="center"/>
              </w:trPr>
              <w:tc>
                <w:tcPr>
                  <w:tcW w:w="1135" w:type="dxa"/>
                </w:tcPr>
                <w:p w14:paraId="5036596D"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70</w:t>
                  </w:r>
                </w:p>
              </w:tc>
              <w:tc>
                <w:tcPr>
                  <w:tcW w:w="1701" w:type="dxa"/>
                </w:tcPr>
                <w:p w14:paraId="501183B0"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566 9</w:t>
                  </w:r>
                </w:p>
              </w:tc>
              <w:tc>
                <w:tcPr>
                  <w:tcW w:w="1701" w:type="dxa"/>
                </w:tcPr>
                <w:p w14:paraId="4AF5CFA7"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995 7</w:t>
                  </w:r>
                </w:p>
              </w:tc>
            </w:tr>
            <w:tr w:rsidR="00D5219A" w:rsidRPr="003458BF" w14:paraId="788475A3" w14:textId="77777777" w:rsidTr="00565D86">
              <w:trPr>
                <w:trHeight w:val="300"/>
                <w:jc w:val="center"/>
              </w:trPr>
              <w:tc>
                <w:tcPr>
                  <w:tcW w:w="1135" w:type="dxa"/>
                </w:tcPr>
                <w:p w14:paraId="5D512FC2"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75</w:t>
                  </w:r>
                </w:p>
              </w:tc>
              <w:tc>
                <w:tcPr>
                  <w:tcW w:w="1701" w:type="dxa"/>
                </w:tcPr>
                <w:p w14:paraId="0EA21473"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926 10</w:t>
                  </w:r>
                </w:p>
              </w:tc>
              <w:tc>
                <w:tcPr>
                  <w:tcW w:w="1701" w:type="dxa"/>
                </w:tcPr>
                <w:p w14:paraId="7AF733A0"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074 10</w:t>
                  </w:r>
                </w:p>
              </w:tc>
            </w:tr>
            <w:tr w:rsidR="00D5219A" w:rsidRPr="003458BF" w14:paraId="709A2CCE" w14:textId="77777777" w:rsidTr="00565D86">
              <w:trPr>
                <w:trHeight w:val="300"/>
                <w:jc w:val="center"/>
              </w:trPr>
              <w:tc>
                <w:tcPr>
                  <w:tcW w:w="1135" w:type="dxa"/>
                </w:tcPr>
                <w:p w14:paraId="0CA1D971"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80</w:t>
                  </w:r>
                </w:p>
              </w:tc>
              <w:tc>
                <w:tcPr>
                  <w:tcW w:w="1701" w:type="dxa"/>
                </w:tcPr>
                <w:p w14:paraId="381F74D4"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060 12</w:t>
                  </w:r>
                </w:p>
              </w:tc>
              <w:tc>
                <w:tcPr>
                  <w:tcW w:w="1701" w:type="dxa"/>
                </w:tcPr>
                <w:p w14:paraId="29D1CC5F"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715 12</w:t>
                  </w:r>
                </w:p>
              </w:tc>
            </w:tr>
            <w:tr w:rsidR="00D5219A" w:rsidRPr="003458BF" w14:paraId="163B5EDF" w14:textId="77777777" w:rsidTr="00565D86">
              <w:trPr>
                <w:trHeight w:val="300"/>
                <w:jc w:val="center"/>
              </w:trPr>
              <w:tc>
                <w:tcPr>
                  <w:tcW w:w="1135" w:type="dxa"/>
                </w:tcPr>
                <w:p w14:paraId="65B5C1EF"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85</w:t>
                  </w:r>
                </w:p>
              </w:tc>
              <w:tc>
                <w:tcPr>
                  <w:tcW w:w="1701" w:type="dxa"/>
                </w:tcPr>
                <w:p w14:paraId="08DDEBA2"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672 14</w:t>
                  </w:r>
                </w:p>
              </w:tc>
              <w:tc>
                <w:tcPr>
                  <w:tcW w:w="1701" w:type="dxa"/>
                </w:tcPr>
                <w:p w14:paraId="44A5585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736 14</w:t>
                  </w:r>
                </w:p>
              </w:tc>
            </w:tr>
            <w:tr w:rsidR="00D5219A" w:rsidRPr="003458BF" w14:paraId="35F2D1DC" w14:textId="77777777" w:rsidTr="00565D86">
              <w:trPr>
                <w:trHeight w:val="300"/>
                <w:jc w:val="center"/>
              </w:trPr>
              <w:tc>
                <w:tcPr>
                  <w:tcW w:w="1135" w:type="dxa"/>
                </w:tcPr>
                <w:p w14:paraId="7EB3533F" w14:textId="77777777" w:rsidR="00D5219A" w:rsidRPr="003458BF" w:rsidRDefault="00D5219A" w:rsidP="003458BF">
                  <w:pPr>
                    <w:spacing w:before="80" w:after="60" w:line="280" w:lineRule="exact"/>
                    <w:jc w:val="center"/>
                    <w:rPr>
                      <w:position w:val="2"/>
                      <w:sz w:val="20"/>
                      <w:szCs w:val="20"/>
                      <w:lang w:val="ar-SA" w:bidi="ar-EG"/>
                    </w:rPr>
                  </w:pPr>
                  <w:r w:rsidRPr="003458BF">
                    <w:rPr>
                      <w:position w:val="2"/>
                      <w:sz w:val="20"/>
                      <w:szCs w:val="20"/>
                      <w:rtl/>
                    </w:rPr>
                    <w:t>90</w:t>
                  </w:r>
                </w:p>
              </w:tc>
              <w:tc>
                <w:tcPr>
                  <w:tcW w:w="1701" w:type="dxa"/>
                </w:tcPr>
                <w:p w14:paraId="408D879B"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919 16</w:t>
                  </w:r>
                </w:p>
              </w:tc>
              <w:tc>
                <w:tcPr>
                  <w:tcW w:w="1701" w:type="dxa"/>
                </w:tcPr>
                <w:p w14:paraId="1098188F"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953 16</w:t>
                  </w:r>
                </w:p>
              </w:tc>
            </w:tr>
          </w:tbl>
          <w:p w14:paraId="3F69A955" w14:textId="77777777" w:rsidR="00D5219A" w:rsidRPr="003458BF" w:rsidRDefault="00D5219A" w:rsidP="003458BF">
            <w:pPr>
              <w:spacing w:before="80" w:after="60" w:line="280" w:lineRule="exact"/>
              <w:rPr>
                <w:position w:val="2"/>
                <w:sz w:val="20"/>
                <w:szCs w:val="20"/>
                <w:lang w:bidi="ar-EG"/>
              </w:rPr>
            </w:pPr>
          </w:p>
        </w:tc>
      </w:tr>
      <w:tr w:rsidR="00D5219A" w:rsidRPr="003458BF" w14:paraId="0B98E55E" w14:textId="77777777" w:rsidTr="00D0091C">
        <w:trPr>
          <w:trHeight w:val="262"/>
          <w:jc w:val="center"/>
        </w:trPr>
        <w:tc>
          <w:tcPr>
            <w:tcW w:w="3574" w:type="dxa"/>
          </w:tcPr>
          <w:p w14:paraId="2183FE40"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مصاريف إدارية</w:t>
            </w:r>
          </w:p>
        </w:tc>
        <w:tc>
          <w:tcPr>
            <w:tcW w:w="6055" w:type="dxa"/>
          </w:tcPr>
          <w:p w14:paraId="5FBDB36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تم تقدير متوسط التكلفة الإدارية السنوية لكل فرد بنحو 166 فرنكاً سويسرياً، 164 فرنكاً سويسرياً في عام 2023</w:t>
            </w:r>
          </w:p>
        </w:tc>
      </w:tr>
      <w:tr w:rsidR="00D5219A" w:rsidRPr="003458BF" w14:paraId="7077D064" w14:textId="77777777" w:rsidTr="00D0091C">
        <w:trPr>
          <w:trHeight w:val="1026"/>
          <w:jc w:val="center"/>
        </w:trPr>
        <w:tc>
          <w:tcPr>
            <w:tcW w:w="3574" w:type="dxa"/>
          </w:tcPr>
          <w:p w14:paraId="03A4044B"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معدل الوفيات</w:t>
            </w:r>
          </w:p>
        </w:tc>
        <w:tc>
          <w:tcPr>
            <w:tcW w:w="6055" w:type="dxa"/>
          </w:tcPr>
          <w:p w14:paraId="46456D1D"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يستند معدل الوفيات إلى أحدث جداول الأمم المتحدة لمعدل الوفيات المصنفة حسب نوع الجنس (يناير 2024) مع عدم تطبيق تحسن في أمد الحياة فيما يتعلق بالموظفين النشطين والمتقاعدين بسبب العجز، ومع تطبيق تحسن عبر الأجيال في أمد الحياة حتى 2044، واعتبار 2017 السنة الأساس، فيما يتعلق بالمتقاعدين من الخدمة والأرامل.</w:t>
            </w:r>
          </w:p>
        </w:tc>
      </w:tr>
      <w:tr w:rsidR="00D5219A" w:rsidRPr="003458BF" w14:paraId="1C8311EF" w14:textId="77777777" w:rsidTr="00D0091C">
        <w:trPr>
          <w:trHeight w:val="374"/>
          <w:jc w:val="center"/>
        </w:trPr>
        <w:tc>
          <w:tcPr>
            <w:tcW w:w="3574" w:type="dxa"/>
          </w:tcPr>
          <w:p w14:paraId="3F828AE2"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تقدير قيمة الأصول</w:t>
            </w:r>
          </w:p>
        </w:tc>
        <w:tc>
          <w:tcPr>
            <w:tcW w:w="6055" w:type="dxa"/>
          </w:tcPr>
          <w:p w14:paraId="0E16D200"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لم يكن للاتحاد أي أصول لخطة صندوق ‏التأمين الصحي بعد انتهاء مدة الخدمة ‏‎(ASHI)‎‏ (2023</w:t>
            </w:r>
            <w:r w:rsidRPr="003458BF">
              <w:rPr>
                <w:position w:val="2"/>
                <w:sz w:val="20"/>
                <w:szCs w:val="20"/>
                <w:lang w:bidi="ar-EG"/>
              </w:rPr>
              <w:t>:</w:t>
            </w:r>
            <w:r w:rsidRPr="003458BF">
              <w:rPr>
                <w:position w:val="2"/>
                <w:sz w:val="20"/>
                <w:szCs w:val="20"/>
                <w:rtl/>
              </w:rPr>
              <w:t xml:space="preserve"> لا توجد).</w:t>
            </w:r>
          </w:p>
        </w:tc>
      </w:tr>
      <w:tr w:rsidR="00D0091C" w:rsidRPr="003458BF" w14:paraId="62B3067C" w14:textId="77777777" w:rsidTr="00D0091C">
        <w:trPr>
          <w:trHeight w:val="742"/>
          <w:jc w:val="center"/>
        </w:trPr>
        <w:tc>
          <w:tcPr>
            <w:tcW w:w="3574" w:type="dxa"/>
          </w:tcPr>
          <w:p w14:paraId="6B53BFAF" w14:textId="77777777" w:rsidR="00D0091C" w:rsidRPr="003458BF" w:rsidRDefault="00D0091C" w:rsidP="003458BF">
            <w:pPr>
              <w:spacing w:before="80" w:after="60" w:line="280" w:lineRule="exact"/>
              <w:rPr>
                <w:position w:val="2"/>
                <w:sz w:val="20"/>
                <w:szCs w:val="20"/>
                <w:lang w:val="ar-SA" w:bidi="ar-EG"/>
              </w:rPr>
            </w:pPr>
            <w:r w:rsidRPr="003458BF">
              <w:rPr>
                <w:position w:val="2"/>
                <w:sz w:val="20"/>
                <w:szCs w:val="20"/>
                <w:rtl/>
              </w:rPr>
              <w:t>معدل الإعاقة</w:t>
            </w:r>
          </w:p>
        </w:tc>
        <w:tc>
          <w:tcPr>
            <w:tcW w:w="6055" w:type="dxa"/>
          </w:tcPr>
          <w:p w14:paraId="06ED8FD1" w14:textId="217304B0" w:rsidR="00D0091C" w:rsidRPr="003458BF" w:rsidRDefault="00D0091C" w:rsidP="003458BF">
            <w:pPr>
              <w:spacing w:before="80" w:after="60" w:line="280" w:lineRule="exact"/>
              <w:rPr>
                <w:position w:val="2"/>
                <w:sz w:val="20"/>
                <w:szCs w:val="20"/>
                <w:lang w:val="ar-SA" w:bidi="ar-EG"/>
              </w:rPr>
            </w:pPr>
            <w:r w:rsidRPr="003458BF">
              <w:rPr>
                <w:position w:val="2"/>
                <w:sz w:val="20"/>
                <w:szCs w:val="20"/>
                <w:rtl/>
              </w:rPr>
              <w:t xml:space="preserve">يتفاوت بحسب العمر ونوع الجنس والفئة الفنية وفئة الخدمة العامة ويزداد مع العمر من سن 19 إلى 70 سنة. ويستند المعدل إلى جدول الأمم المتحدة للإعاقة الصادر في يناير 2025 </w:t>
            </w:r>
            <w:r w:rsidRPr="003458BF">
              <w:rPr>
                <w:rFonts w:hint="cs"/>
                <w:position w:val="2"/>
                <w:sz w:val="20"/>
                <w:szCs w:val="20"/>
                <w:rtl/>
              </w:rPr>
              <w:t>ويتراوح بين</w:t>
            </w:r>
            <w:r w:rsidRPr="003458BF">
              <w:rPr>
                <w:position w:val="2"/>
                <w:sz w:val="20"/>
                <w:szCs w:val="20"/>
                <w:rtl/>
              </w:rPr>
              <w:t xml:space="preserve"> </w:t>
            </w:r>
            <w:r w:rsidRPr="003458BF">
              <w:rPr>
                <w:position w:val="2"/>
                <w:sz w:val="20"/>
                <w:szCs w:val="20"/>
              </w:rPr>
              <w:t>0,00006</w:t>
            </w:r>
            <w:r w:rsidRPr="003458BF">
              <w:rPr>
                <w:position w:val="2"/>
                <w:sz w:val="20"/>
                <w:szCs w:val="20"/>
                <w:rtl/>
              </w:rPr>
              <w:t xml:space="preserve"> </w:t>
            </w:r>
            <w:proofErr w:type="gramStart"/>
            <w:r w:rsidRPr="003458BF">
              <w:rPr>
                <w:rFonts w:hint="cs"/>
                <w:position w:val="2"/>
                <w:sz w:val="20"/>
                <w:szCs w:val="20"/>
                <w:rtl/>
              </w:rPr>
              <w:t>و</w:t>
            </w:r>
            <w:r w:rsidRPr="003458BF">
              <w:rPr>
                <w:position w:val="2"/>
                <w:sz w:val="20"/>
                <w:szCs w:val="20"/>
                <w:rtl/>
              </w:rPr>
              <w:t xml:space="preserve"> </w:t>
            </w:r>
            <w:r w:rsidRPr="003458BF">
              <w:rPr>
                <w:position w:val="2"/>
                <w:sz w:val="20"/>
                <w:szCs w:val="20"/>
              </w:rPr>
              <w:t>0,005</w:t>
            </w:r>
            <w:proofErr w:type="gramEnd"/>
            <w:r w:rsidRPr="003458BF">
              <w:rPr>
                <w:position w:val="2"/>
                <w:sz w:val="20"/>
                <w:szCs w:val="20"/>
              </w:rPr>
              <w:t>50</w:t>
            </w:r>
            <w:r w:rsidRPr="003458BF">
              <w:rPr>
                <w:position w:val="2"/>
                <w:sz w:val="20"/>
                <w:szCs w:val="20"/>
                <w:rtl/>
              </w:rPr>
              <w:t>.</w:t>
            </w:r>
          </w:p>
        </w:tc>
      </w:tr>
      <w:tr w:rsidR="00D0091C" w:rsidRPr="003458BF" w14:paraId="12AC73BC" w14:textId="77777777" w:rsidTr="00D0091C">
        <w:trPr>
          <w:trHeight w:val="509"/>
          <w:jc w:val="center"/>
        </w:trPr>
        <w:tc>
          <w:tcPr>
            <w:tcW w:w="3574" w:type="dxa"/>
          </w:tcPr>
          <w:p w14:paraId="090CC0C8" w14:textId="77777777" w:rsidR="00D0091C" w:rsidRPr="003458BF" w:rsidRDefault="00D0091C" w:rsidP="003458BF">
            <w:pPr>
              <w:spacing w:before="80" w:after="60" w:line="280" w:lineRule="exact"/>
              <w:rPr>
                <w:position w:val="2"/>
                <w:sz w:val="20"/>
                <w:szCs w:val="20"/>
                <w:lang w:val="ar-SA" w:bidi="ar-EG"/>
              </w:rPr>
            </w:pPr>
            <w:r w:rsidRPr="003458BF">
              <w:rPr>
                <w:position w:val="2"/>
                <w:sz w:val="20"/>
                <w:szCs w:val="20"/>
                <w:rtl/>
              </w:rPr>
              <w:t>تعاقب الموظفين</w:t>
            </w:r>
          </w:p>
        </w:tc>
        <w:tc>
          <w:tcPr>
            <w:tcW w:w="6055" w:type="dxa"/>
          </w:tcPr>
          <w:p w14:paraId="494C6430" w14:textId="23BBFC24" w:rsidR="00D0091C" w:rsidRPr="003458BF" w:rsidRDefault="00D0091C" w:rsidP="003458BF">
            <w:pPr>
              <w:spacing w:before="80" w:after="60" w:line="280" w:lineRule="exact"/>
              <w:rPr>
                <w:spacing w:val="-3"/>
                <w:position w:val="2"/>
                <w:sz w:val="20"/>
                <w:szCs w:val="20"/>
                <w:lang w:val="ar-SA" w:bidi="ar-EG"/>
              </w:rPr>
            </w:pPr>
            <w:r w:rsidRPr="003458BF">
              <w:rPr>
                <w:spacing w:val="-3"/>
                <w:position w:val="2"/>
                <w:sz w:val="20"/>
                <w:szCs w:val="20"/>
                <w:rtl/>
              </w:rPr>
              <w:t xml:space="preserve">عُدِّل الافتراض </w:t>
            </w:r>
            <w:r w:rsidRPr="003458BF">
              <w:rPr>
                <w:rFonts w:hint="cs"/>
                <w:spacing w:val="-3"/>
                <w:position w:val="2"/>
                <w:sz w:val="20"/>
                <w:szCs w:val="20"/>
                <w:rtl/>
              </w:rPr>
              <w:t>المتعلق</w:t>
            </w:r>
            <w:r w:rsidRPr="003458BF">
              <w:rPr>
                <w:spacing w:val="-3"/>
                <w:position w:val="2"/>
                <w:sz w:val="20"/>
                <w:szCs w:val="20"/>
                <w:rtl/>
              </w:rPr>
              <w:t xml:space="preserve"> بتعاقب الموظفين الذي أُخذ به في التقييم </w:t>
            </w:r>
            <w:r w:rsidRPr="003458BF">
              <w:rPr>
                <w:rFonts w:hint="cs"/>
                <w:spacing w:val="-3"/>
                <w:position w:val="2"/>
                <w:sz w:val="20"/>
                <w:szCs w:val="20"/>
                <w:rtl/>
              </w:rPr>
              <w:t>باستخدام الخبرة الأحدث</w:t>
            </w:r>
            <w:r w:rsidR="00FE3D4F" w:rsidRPr="003458BF">
              <w:rPr>
                <w:rFonts w:hint="cs"/>
                <w:spacing w:val="-3"/>
                <w:position w:val="2"/>
                <w:sz w:val="20"/>
                <w:szCs w:val="20"/>
                <w:rtl/>
              </w:rPr>
              <w:t xml:space="preserve"> </w:t>
            </w:r>
            <w:r w:rsidRPr="003458BF">
              <w:rPr>
                <w:spacing w:val="-3"/>
                <w:position w:val="2"/>
                <w:sz w:val="20"/>
                <w:szCs w:val="20"/>
                <w:rtl/>
              </w:rPr>
              <w:t>لتقديم تقدير معقول بالتركيز على الموظفين بعقود غير قصيرة المقسمين إلى مجموعتين وفقا</w:t>
            </w:r>
            <w:r w:rsidRPr="003458BF">
              <w:rPr>
                <w:rFonts w:hint="cs"/>
                <w:spacing w:val="-3"/>
                <w:position w:val="2"/>
                <w:sz w:val="20"/>
                <w:szCs w:val="20"/>
                <w:rtl/>
              </w:rPr>
              <w:t>ً</w:t>
            </w:r>
            <w:r w:rsidRPr="003458BF">
              <w:rPr>
                <w:spacing w:val="-3"/>
                <w:position w:val="2"/>
                <w:sz w:val="20"/>
                <w:szCs w:val="20"/>
                <w:rtl/>
              </w:rPr>
              <w:t xml:space="preserve"> للعمر من أقل من 45 إلى أكثر من 45، من </w:t>
            </w:r>
            <w:r w:rsidRPr="003458BF">
              <w:rPr>
                <w:spacing w:val="-3"/>
                <w:position w:val="2"/>
                <w:sz w:val="20"/>
                <w:szCs w:val="20"/>
              </w:rPr>
              <w:t>%4</w:t>
            </w:r>
            <w:r w:rsidRPr="003458BF">
              <w:rPr>
                <w:spacing w:val="-3"/>
                <w:position w:val="2"/>
                <w:sz w:val="20"/>
                <w:szCs w:val="20"/>
                <w:rtl/>
              </w:rPr>
              <w:t xml:space="preserve"> إلى </w:t>
            </w:r>
            <w:r w:rsidRPr="003458BF">
              <w:rPr>
                <w:spacing w:val="-3"/>
                <w:position w:val="2"/>
                <w:sz w:val="20"/>
                <w:szCs w:val="20"/>
              </w:rPr>
              <w:t>%2,5</w:t>
            </w:r>
            <w:r w:rsidRPr="003458BF">
              <w:rPr>
                <w:spacing w:val="-3"/>
                <w:position w:val="2"/>
                <w:sz w:val="20"/>
                <w:szCs w:val="20"/>
                <w:rtl/>
              </w:rPr>
              <w:t xml:space="preserve"> على الترتيب. </w:t>
            </w:r>
          </w:p>
        </w:tc>
      </w:tr>
      <w:tr w:rsidR="00D5219A" w:rsidRPr="003458BF" w14:paraId="3DE1177E" w14:textId="77777777" w:rsidTr="00D0091C">
        <w:trPr>
          <w:trHeight w:val="509"/>
          <w:jc w:val="center"/>
        </w:trPr>
        <w:tc>
          <w:tcPr>
            <w:tcW w:w="3574" w:type="dxa"/>
          </w:tcPr>
          <w:p w14:paraId="7CE0B528"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lastRenderedPageBreak/>
              <w:t>معدل الإحالة إلى التقاعد</w:t>
            </w:r>
          </w:p>
        </w:tc>
        <w:tc>
          <w:tcPr>
            <w:tcW w:w="6055" w:type="dxa"/>
          </w:tcPr>
          <w:p w14:paraId="5392B2C5"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تحدَّد معدلات التقاعد فيما يخص جميع الموظفين بما يساوي المعدلات الواردة في رسالة فرقة العمل التابعة للأمم المتحدة في يناير 2025. وتتفاوت المعدلات بحسب العمر والنوع الاجتماعي وسنوات الخدمة وفئة الوظيفة.</w:t>
            </w:r>
          </w:p>
        </w:tc>
      </w:tr>
      <w:tr w:rsidR="00D0091C" w:rsidRPr="003458BF" w14:paraId="67AE90D3" w14:textId="77777777" w:rsidTr="00D0091C">
        <w:trPr>
          <w:trHeight w:val="262"/>
          <w:jc w:val="center"/>
        </w:trPr>
        <w:tc>
          <w:tcPr>
            <w:tcW w:w="3574" w:type="dxa"/>
          </w:tcPr>
          <w:p w14:paraId="7F4F1423" w14:textId="77777777" w:rsidR="00D0091C" w:rsidRPr="003458BF" w:rsidRDefault="00D0091C" w:rsidP="003458BF">
            <w:pPr>
              <w:spacing w:before="80" w:after="60" w:line="280" w:lineRule="exact"/>
              <w:rPr>
                <w:position w:val="2"/>
                <w:sz w:val="20"/>
                <w:szCs w:val="20"/>
                <w:lang w:bidi="ar-EG"/>
              </w:rPr>
            </w:pPr>
            <w:r w:rsidRPr="003458BF">
              <w:rPr>
                <w:position w:val="2"/>
                <w:sz w:val="20"/>
                <w:szCs w:val="20"/>
                <w:rtl/>
              </w:rPr>
              <w:t>المشاركة</w:t>
            </w:r>
          </w:p>
        </w:tc>
        <w:tc>
          <w:tcPr>
            <w:tcW w:w="6055" w:type="dxa"/>
          </w:tcPr>
          <w:p w14:paraId="598A20A3" w14:textId="7FACA1EE" w:rsidR="00D0091C" w:rsidRPr="003458BF" w:rsidRDefault="00D0091C" w:rsidP="003458BF">
            <w:pPr>
              <w:spacing w:before="80" w:after="60" w:line="280" w:lineRule="exact"/>
              <w:rPr>
                <w:spacing w:val="-2"/>
                <w:position w:val="2"/>
                <w:sz w:val="20"/>
                <w:szCs w:val="20"/>
                <w:rtl/>
              </w:rPr>
            </w:pPr>
            <w:r w:rsidRPr="003458BF">
              <w:rPr>
                <w:rFonts w:hint="cs"/>
                <w:spacing w:val="-2"/>
                <w:position w:val="2"/>
                <w:sz w:val="20"/>
                <w:szCs w:val="20"/>
                <w:rtl/>
              </w:rPr>
              <w:t>س</w:t>
            </w:r>
            <w:r w:rsidRPr="003458BF">
              <w:rPr>
                <w:spacing w:val="-2"/>
                <w:position w:val="2"/>
                <w:sz w:val="20"/>
                <w:szCs w:val="20"/>
                <w:rtl/>
              </w:rPr>
              <w:t xml:space="preserve">يختار </w:t>
            </w:r>
            <w:r w:rsidRPr="003458BF">
              <w:rPr>
                <w:spacing w:val="-2"/>
                <w:position w:val="2"/>
                <w:sz w:val="20"/>
                <w:szCs w:val="20"/>
              </w:rPr>
              <w:t>%97,5</w:t>
            </w:r>
            <w:r w:rsidRPr="003458BF">
              <w:rPr>
                <w:spacing w:val="-2"/>
                <w:position w:val="2"/>
                <w:sz w:val="20"/>
                <w:szCs w:val="20"/>
                <w:rtl/>
              </w:rPr>
              <w:t xml:space="preserve"> ممن هم على أبواب التقاعد تغطية الخطة </w:t>
            </w:r>
            <w:r w:rsidRPr="003458BF">
              <w:rPr>
                <w:spacing w:val="-2"/>
                <w:position w:val="2"/>
                <w:sz w:val="20"/>
                <w:szCs w:val="20"/>
                <w:lang w:bidi="ar-EG"/>
              </w:rPr>
              <w:t>ASHI</w:t>
            </w:r>
            <w:r w:rsidRPr="003458BF">
              <w:rPr>
                <w:spacing w:val="-2"/>
                <w:position w:val="2"/>
                <w:sz w:val="20"/>
                <w:szCs w:val="20"/>
                <w:rtl/>
              </w:rPr>
              <w:t>.</w:t>
            </w:r>
            <w:r w:rsidRPr="003458BF">
              <w:rPr>
                <w:rFonts w:hint="cs"/>
                <w:spacing w:val="-2"/>
                <w:position w:val="2"/>
                <w:sz w:val="20"/>
                <w:szCs w:val="20"/>
                <w:rtl/>
              </w:rPr>
              <w:t xml:space="preserve"> ويجوز للموظفين الذين يتقاعدون عن الخدمة في الاتحاد الاستمرار في الاشتراك في تغطية التأمين الصحي تحت مظلة جمعية التأمين الصحي </w:t>
            </w:r>
            <w:r w:rsidRPr="003458BF">
              <w:rPr>
                <w:spacing w:val="-2"/>
                <w:position w:val="2"/>
                <w:sz w:val="20"/>
                <w:szCs w:val="20"/>
                <w:lang w:val="en-GB"/>
              </w:rPr>
              <w:t>UNSMIS</w:t>
            </w:r>
            <w:r w:rsidRPr="003458BF">
              <w:rPr>
                <w:rFonts w:hint="cs"/>
                <w:spacing w:val="-2"/>
                <w:position w:val="2"/>
                <w:sz w:val="20"/>
                <w:szCs w:val="20"/>
                <w:rtl/>
              </w:rPr>
              <w:t xml:space="preserve"> إذا كانوا قد ساهموا في نظام للتأمين الطبي تابع للأمم المتحدة لمدة عشر سنوات على الأقل، وإذا كانوا يتقاضون معاشاً من ا</w:t>
            </w:r>
            <w:r w:rsidRPr="003458BF">
              <w:rPr>
                <w:spacing w:val="-2"/>
                <w:position w:val="2"/>
                <w:sz w:val="20"/>
                <w:szCs w:val="20"/>
                <w:rtl/>
              </w:rPr>
              <w:t>لصندوق المشترك للمعاشات التقاعدية لموظفي الأمم المتحد</w:t>
            </w:r>
            <w:r w:rsidRPr="003458BF">
              <w:rPr>
                <w:rFonts w:hint="cs"/>
                <w:spacing w:val="-2"/>
                <w:position w:val="2"/>
                <w:sz w:val="20"/>
                <w:szCs w:val="20"/>
                <w:rtl/>
              </w:rPr>
              <w:t>ة</w:t>
            </w:r>
            <w:r w:rsidR="00FE3D4F" w:rsidRPr="003458BF">
              <w:rPr>
                <w:rFonts w:hint="cs"/>
                <w:spacing w:val="-2"/>
                <w:position w:val="2"/>
                <w:sz w:val="20"/>
                <w:szCs w:val="20"/>
                <w:rtl/>
              </w:rPr>
              <w:t xml:space="preserve"> </w:t>
            </w:r>
            <w:r w:rsidRPr="003458BF">
              <w:rPr>
                <w:spacing w:val="-2"/>
                <w:position w:val="2"/>
                <w:sz w:val="20"/>
                <w:szCs w:val="20"/>
              </w:rPr>
              <w:t>(UNJSPF)</w:t>
            </w:r>
            <w:r w:rsidRPr="003458BF">
              <w:rPr>
                <w:rFonts w:hint="cs"/>
                <w:spacing w:val="-2"/>
                <w:position w:val="2"/>
                <w:sz w:val="20"/>
                <w:szCs w:val="20"/>
                <w:rtl/>
              </w:rPr>
              <w:t>، وكانوا مشمولين بالتغطية في وقت تقاعدهم. ويمكن أن يُحتسب الوقت الذي انقضى في منظمة أخرى من منظمات الأمم المتحدة تحت مظلة أنظمة تأمين طبي معترف بها باعتباره جزءا</w:t>
            </w:r>
            <w:r w:rsidR="002B7BFD" w:rsidRPr="003458BF">
              <w:rPr>
                <w:rFonts w:hint="cs"/>
                <w:spacing w:val="-2"/>
                <w:position w:val="2"/>
                <w:sz w:val="20"/>
                <w:szCs w:val="20"/>
                <w:rtl/>
              </w:rPr>
              <w:t>ً</w:t>
            </w:r>
            <w:r w:rsidRPr="003458BF">
              <w:rPr>
                <w:rFonts w:hint="cs"/>
                <w:spacing w:val="-2"/>
                <w:position w:val="2"/>
                <w:sz w:val="20"/>
                <w:szCs w:val="20"/>
                <w:rtl/>
              </w:rPr>
              <w:t xml:space="preserve"> من مطلب العشر سنوات، شريطة أن تكون التغطية متواصلة.</w:t>
            </w:r>
          </w:p>
          <w:p w14:paraId="17C47AFA" w14:textId="2312FB70" w:rsidR="00D0091C" w:rsidRPr="003458BF" w:rsidRDefault="00D0091C" w:rsidP="003458BF">
            <w:pPr>
              <w:spacing w:before="80" w:after="60" w:line="280" w:lineRule="exact"/>
              <w:rPr>
                <w:position w:val="2"/>
                <w:sz w:val="20"/>
                <w:szCs w:val="20"/>
                <w:lang w:val="ar-SA" w:bidi="ar-EG"/>
              </w:rPr>
            </w:pPr>
            <w:r w:rsidRPr="003458BF">
              <w:rPr>
                <w:rFonts w:hint="cs"/>
                <w:position w:val="2"/>
                <w:sz w:val="20"/>
                <w:szCs w:val="20"/>
                <w:rtl/>
              </w:rPr>
              <w:t xml:space="preserve">وللاطلاع على كامل قواعد الأهلية، وشروط التغطية، وتفاصيل المساهمات، يرجى زيارة الموقع الإلكتروني الرسمي لجمعية التأمين الصحي </w:t>
            </w:r>
            <w:r w:rsidRPr="003458BF">
              <w:rPr>
                <w:position w:val="2"/>
                <w:sz w:val="20"/>
                <w:szCs w:val="20"/>
                <w:lang w:val="en-GB"/>
              </w:rPr>
              <w:t>UNSMIS</w:t>
            </w:r>
            <w:r w:rsidRPr="003458BF">
              <w:rPr>
                <w:rFonts w:hint="cs"/>
                <w:position w:val="2"/>
                <w:sz w:val="20"/>
                <w:szCs w:val="20"/>
                <w:rtl/>
              </w:rPr>
              <w:t xml:space="preserve">: </w:t>
            </w:r>
            <w:hyperlink r:id="rId54" w:history="1">
              <w:r w:rsidRPr="003458BF">
                <w:rPr>
                  <w:rStyle w:val="Hyperlink"/>
                  <w:position w:val="2"/>
                  <w:sz w:val="20"/>
                </w:rPr>
                <w:t>https://medical-insurance.unog.ch/en</w:t>
              </w:r>
            </w:hyperlink>
            <w:r w:rsidRPr="003458BF">
              <w:rPr>
                <w:rFonts w:hint="cs"/>
                <w:position w:val="2"/>
                <w:sz w:val="20"/>
                <w:rtl/>
              </w:rPr>
              <w:t xml:space="preserve">. </w:t>
            </w:r>
          </w:p>
        </w:tc>
      </w:tr>
      <w:tr w:rsidR="00D5219A" w:rsidRPr="003458BF" w14:paraId="3802E0A5" w14:textId="77777777" w:rsidTr="00D0091C">
        <w:trPr>
          <w:trHeight w:val="509"/>
          <w:jc w:val="center"/>
        </w:trPr>
        <w:tc>
          <w:tcPr>
            <w:tcW w:w="3574" w:type="dxa"/>
          </w:tcPr>
          <w:p w14:paraId="2EF6DDD9"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تغطية الأزواج</w:t>
            </w:r>
          </w:p>
        </w:tc>
        <w:tc>
          <w:tcPr>
            <w:tcW w:w="6055" w:type="dxa"/>
          </w:tcPr>
          <w:p w14:paraId="4FA99696" w14:textId="4ACBD92A" w:rsidR="00D5219A" w:rsidRPr="003458BF" w:rsidRDefault="006827C2" w:rsidP="003458BF">
            <w:pPr>
              <w:spacing w:before="80" w:after="60" w:line="280" w:lineRule="exact"/>
              <w:rPr>
                <w:position w:val="2"/>
                <w:sz w:val="20"/>
                <w:szCs w:val="20"/>
                <w:lang w:val="ar-SA" w:bidi="ar-EG"/>
              </w:rPr>
            </w:pPr>
            <w:r w:rsidRPr="003458BF">
              <w:rPr>
                <w:position w:val="2"/>
                <w:sz w:val="20"/>
                <w:szCs w:val="20"/>
              </w:rPr>
              <w:t>%75</w:t>
            </w:r>
            <w:r w:rsidR="00D5219A" w:rsidRPr="003458BF">
              <w:rPr>
                <w:position w:val="2"/>
                <w:sz w:val="20"/>
                <w:szCs w:val="20"/>
                <w:rtl/>
              </w:rPr>
              <w:t xml:space="preserve"> و</w:t>
            </w:r>
            <w:r w:rsidRPr="003458BF">
              <w:rPr>
                <w:position w:val="2"/>
                <w:sz w:val="20"/>
                <w:szCs w:val="20"/>
              </w:rPr>
              <w:t>%25</w:t>
            </w:r>
            <w:r w:rsidR="00D5219A" w:rsidRPr="003458BF">
              <w:rPr>
                <w:position w:val="2"/>
                <w:sz w:val="20"/>
                <w:szCs w:val="20"/>
                <w:rtl/>
              </w:rPr>
              <w:t xml:space="preserve"> من المتقاعدين من الرجال والنساء سيختار أزواجهم تغطية الخطة ASHI. ويفترض أن عمر الرجال يزيد بمقدار خمس سنوات عن عمر زوجاتهم. </w:t>
            </w:r>
          </w:p>
        </w:tc>
      </w:tr>
      <w:tr w:rsidR="00D5219A" w:rsidRPr="003458BF" w14:paraId="708C95FC" w14:textId="77777777" w:rsidTr="00D0091C">
        <w:trPr>
          <w:trHeight w:val="756"/>
          <w:jc w:val="center"/>
        </w:trPr>
        <w:tc>
          <w:tcPr>
            <w:tcW w:w="3574" w:type="dxa"/>
          </w:tcPr>
          <w:p w14:paraId="6170DFD9"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الأسلوب الإكتواري</w:t>
            </w:r>
          </w:p>
        </w:tc>
        <w:tc>
          <w:tcPr>
            <w:tcW w:w="6055" w:type="dxa"/>
          </w:tcPr>
          <w:p w14:paraId="424873BB"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أسلوب رصيد الوحدات المتوقعة مع توزيع تناسبي لمدة الخدمة. وتبدأ فترة المنح في سن 45 لكي تؤخذ في الحسبان ضرورة أن يبلغ عمر الموظف ما لا يقل عن 55 سنة ويكون قد استوفى 10 سنوات من الخدمة ليكون مؤهلاً للخطة.</w:t>
            </w:r>
            <w:bookmarkStart w:id="290" w:name="_Int_CvN53haY"/>
            <w:bookmarkStart w:id="291" w:name="_Int_6geCIJz3"/>
            <w:bookmarkEnd w:id="290"/>
            <w:bookmarkEnd w:id="291"/>
          </w:p>
        </w:tc>
      </w:tr>
      <w:tr w:rsidR="00D5219A" w:rsidRPr="003458BF" w14:paraId="45A8BFCA" w14:textId="77777777" w:rsidTr="00D0091C">
        <w:trPr>
          <w:trHeight w:val="742"/>
          <w:jc w:val="center"/>
        </w:trPr>
        <w:tc>
          <w:tcPr>
            <w:tcW w:w="3574" w:type="dxa"/>
          </w:tcPr>
          <w:p w14:paraId="5C62E892"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نهج صافي الأصول</w:t>
            </w:r>
          </w:p>
        </w:tc>
        <w:tc>
          <w:tcPr>
            <w:tcW w:w="6055" w:type="dxa"/>
          </w:tcPr>
          <w:p w14:paraId="598104FA" w14:textId="77777777" w:rsidR="00D5219A" w:rsidRPr="003458BF" w:rsidRDefault="00D5219A" w:rsidP="003458BF">
            <w:pPr>
              <w:spacing w:before="80" w:after="60" w:line="280" w:lineRule="exact"/>
              <w:rPr>
                <w:position w:val="2"/>
                <w:sz w:val="20"/>
                <w:szCs w:val="20"/>
                <w:lang w:val="ar-SA" w:bidi="ar-EG"/>
              </w:rPr>
            </w:pPr>
            <w:r w:rsidRPr="003458BF">
              <w:rPr>
                <w:position w:val="2"/>
                <w:sz w:val="20"/>
                <w:szCs w:val="20"/>
                <w:rtl/>
              </w:rPr>
              <w:t>تُقيد جميع المكاسب/الخسائر بالكامل خلال السنة التي تنشأ فيها مباشرة، ولكن خارج الفائض أو العجز، من خلال بيان التغيرات في صافي الأصول.</w:t>
            </w:r>
          </w:p>
        </w:tc>
      </w:tr>
    </w:tbl>
    <w:bookmarkEnd w:id="288"/>
    <w:p w14:paraId="27BDD7AD" w14:textId="2BBAF2EE" w:rsidR="00D5219A" w:rsidRPr="00D5219A" w:rsidRDefault="00D5219A" w:rsidP="003458BF">
      <w:pPr>
        <w:spacing w:before="240"/>
        <w:rPr>
          <w:lang w:val="ar-SA" w:bidi="ar-EG"/>
        </w:rPr>
      </w:pPr>
      <w:r w:rsidRPr="00D5219A">
        <w:rPr>
          <w:rtl/>
        </w:rPr>
        <w:t xml:space="preserve">ويحق للموظفين الذين يغادرون الخدمة في سن 55 سنة أو أكثر، ولأزواجهم وأطفالهم المعالين وأراملهم، الحصول على التأمين الصحي بعد انتهاء الخدمة إذا كانوا قد أكملوا ما لا يقل عن عشر سنوات من الخدمة في منظمة الأمم المتحدة أو في وكالة متخصصة وإذا كانت تشملهم خطة التأمين الصحي </w:t>
      </w:r>
      <w:r w:rsidRPr="00D5219A">
        <w:rPr>
          <w:lang w:bidi="ar-EG"/>
        </w:rPr>
        <w:t>UNSMIS</w:t>
      </w:r>
      <w:r w:rsidRPr="00D5219A">
        <w:rPr>
          <w:rtl/>
        </w:rPr>
        <w:t xml:space="preserve"> أثناء السنوات الخمس التي تسبق مباشرةً انتهاء مدة خدمتهم. وتنطبق نفس الاستحقاقات على الموظفين المستفيدين من معاش عجز من الصندوق المشترك للمعاشات التقاعدية لموظفي الأمم المتحدة. ويموَّل هذا النظام بأقساط - حيث يساهم فيها الاتحاد بالثلثين والمستفيد من التأمين بالثلث.</w:t>
      </w:r>
    </w:p>
    <w:p w14:paraId="3907BDB9" w14:textId="77777777" w:rsidR="00D5219A" w:rsidRPr="00D5219A" w:rsidRDefault="00D5219A" w:rsidP="00D5219A">
      <w:pPr>
        <w:rPr>
          <w:lang w:val="ar-SA" w:bidi="ar-EG"/>
        </w:rPr>
      </w:pPr>
      <w:r w:rsidRPr="00D5219A">
        <w:rPr>
          <w:rtl/>
        </w:rPr>
        <w:t>ويحتوي الجدول التالي على معلومات وتحليلات إضافية بشأن خصوم التأمين الصحي بعد انتهاء الخدمة، الناشئة عن علاوات الموظفين وفقاً للدراسة الإكتوارية التي أجريت بغية التوصل إلى المبالغ ذات الصلة في 31 ديسمبر 2024.</w:t>
      </w:r>
      <w:bookmarkStart w:id="292" w:name="_Int_9oA6dv4k"/>
      <w:bookmarkEnd w:id="292"/>
    </w:p>
    <w:p w14:paraId="79062CAF" w14:textId="77777777" w:rsidR="00D5219A" w:rsidRPr="00D5219A" w:rsidRDefault="00D5219A" w:rsidP="006F59F0">
      <w:pPr>
        <w:pStyle w:val="Figure"/>
        <w:rPr>
          <w:lang w:bidi="ar-EG"/>
        </w:rPr>
      </w:pPr>
      <w:r w:rsidRPr="006F59F0">
        <w:lastRenderedPageBreak/>
        <w:drawing>
          <wp:inline distT="0" distB="0" distL="0" distR="0" wp14:anchorId="40EE4562" wp14:editId="13EE102B">
            <wp:extent cx="4540313" cy="3269791"/>
            <wp:effectExtent l="0" t="0" r="0" b="6985"/>
            <wp:docPr id="1738922486" name="Picture 2" descr="A blue rectangular fram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2486" name="Picture 2" descr="A blue rectangular frame with black tex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4674" cy="3280134"/>
                    </a:xfrm>
                    <a:prstGeom prst="rect">
                      <a:avLst/>
                    </a:prstGeom>
                    <a:noFill/>
                  </pic:spPr>
                </pic:pic>
              </a:graphicData>
            </a:graphic>
          </wp:inline>
        </w:drawing>
      </w:r>
    </w:p>
    <w:p w14:paraId="7CED248A" w14:textId="0923D3F5" w:rsidR="00D5219A" w:rsidRPr="00D5219A" w:rsidRDefault="00D5219A" w:rsidP="006F59F0">
      <w:pPr>
        <w:rPr>
          <w:lang w:val="ar-SA" w:bidi="ar-EG"/>
        </w:rPr>
      </w:pPr>
      <w:bookmarkStart w:id="293" w:name="_Hlk39146820"/>
      <w:bookmarkStart w:id="294" w:name="_Hlk39146930"/>
      <w:r w:rsidRPr="00D5219A">
        <w:rPr>
          <w:rtl/>
        </w:rPr>
        <w:t>والعنصر الرئيسي الذي أثر على تقييم التأمين الصحي بعد انتهاء الخدمة (</w:t>
      </w:r>
      <w:r w:rsidRPr="00D5219A">
        <w:rPr>
          <w:lang w:bidi="ar-EG"/>
        </w:rPr>
        <w:t>ASHI</w:t>
      </w:r>
      <w:r w:rsidRPr="00D5219A">
        <w:rPr>
          <w:rtl/>
        </w:rPr>
        <w:t xml:space="preserve">) هو معدل الخصم المستخدم لحساب القيمة الحالية للمطالبات في المستقبل. وفي 2024، انخفض معدل الخصم من </w:t>
      </w:r>
      <w:r w:rsidR="00D34078">
        <w:t>%1,9</w:t>
      </w:r>
      <w:r w:rsidRPr="00D5219A">
        <w:rPr>
          <w:rtl/>
        </w:rPr>
        <w:t xml:space="preserve"> (2023) إلى </w:t>
      </w:r>
      <w:r w:rsidR="00D34078">
        <w:t>%1,4</w:t>
      </w:r>
      <w:r w:rsidRPr="00D5219A">
        <w:rPr>
          <w:rtl/>
        </w:rPr>
        <w:t xml:space="preserve"> (2024)، ما يؤكد الاتجاه السابق الملاحظ في عام 2023 حيث انخفض معدل الخصم من </w:t>
      </w:r>
      <w:r w:rsidR="00D34078">
        <w:t>%2,5</w:t>
      </w:r>
      <w:r w:rsidRPr="00D5219A">
        <w:rPr>
          <w:rtl/>
        </w:rPr>
        <w:t xml:space="preserve"> (2022) إلى </w:t>
      </w:r>
      <w:r w:rsidR="00D34078">
        <w:t>%1,9</w:t>
      </w:r>
      <w:r w:rsidRPr="00D5219A">
        <w:rPr>
          <w:rtl/>
        </w:rPr>
        <w:t xml:space="preserve"> (2023). وأدت هذه الاتجاهات إلى خسارة إكتوارية بلغت 20,6 مليون فرنك سويسري في عام 2024 مقابل 24,7 مليون فرنك سويسري في 2023.</w:t>
      </w:r>
    </w:p>
    <w:p w14:paraId="309FC2C9" w14:textId="77777777" w:rsidR="00D5219A" w:rsidRPr="00D5219A" w:rsidRDefault="00D5219A" w:rsidP="00D5219A">
      <w:pPr>
        <w:rPr>
          <w:lang w:val="ar-SA" w:bidi="ar-EG"/>
        </w:rPr>
      </w:pPr>
      <w:bookmarkStart w:id="295" w:name="_Hlk132877785"/>
      <w:r w:rsidRPr="00D5219A">
        <w:rPr>
          <w:rtl/>
        </w:rPr>
        <w:t>والعناصر الأخرى التي أثرت على الالتزام المتعلق بالتأمين الصحي بعد انتهاء الخدمة:</w:t>
      </w:r>
    </w:p>
    <w:p w14:paraId="7D190165" w14:textId="37A475D2" w:rsidR="00901AD0" w:rsidRDefault="00D34078" w:rsidP="00D34078">
      <w:pPr>
        <w:pStyle w:val="enumlev1"/>
        <w:rPr>
          <w:rtl/>
        </w:rPr>
      </w:pPr>
      <w:r>
        <w:sym w:font="Wingdings 2" w:char="F097"/>
      </w:r>
      <w:r>
        <w:tab/>
      </w:r>
      <w:r w:rsidR="00D5219A" w:rsidRPr="00D5219A">
        <w:rPr>
          <w:rtl/>
        </w:rPr>
        <w:t>التعديلات في الافتراضات الديمغرافية المتعلقة بخسارة قدرها 10,6 مليون فرنك سويسري في عام 2024 (ربح مقداره 0,6 مليون فرنك سويسري في عام 2023)، نتيجة للدراسات الديمغرافية الجديدة التي أجريت والتي أسفرت عن خسارة قدرها 6,5 مليون فرنك سويسري تتعلق بمعدل تعاقب الموظفين، وخسارة قدرها 3,7 مليون فرنك سويسري تعزى إلى تكاليف المطالبات الطبية، و0,4 مليون فرنك سويسري لتحديث معدلات الوفيات؛</w:t>
      </w:r>
    </w:p>
    <w:p w14:paraId="10D1EEEC" w14:textId="73A78CDB" w:rsidR="00901AD0" w:rsidRDefault="00D34078" w:rsidP="00D34078">
      <w:pPr>
        <w:pStyle w:val="enumlev1"/>
        <w:rPr>
          <w:rtl/>
        </w:rPr>
      </w:pPr>
      <w:r>
        <w:sym w:font="Wingdings 2" w:char="F097"/>
      </w:r>
      <w:r>
        <w:tab/>
      </w:r>
      <w:r w:rsidR="00D5219A" w:rsidRPr="00D5219A">
        <w:rPr>
          <w:rtl/>
        </w:rPr>
        <w:t>خسارة قدرها 1,5 مليون فرنك سويسري (ربح قدره 4,6 مليون فرنك سويسري في عام 2023) بسبب الفرق الملحوظ في صافي تكاليف المطالبات الطبية الفعلية المتكبدة مقارنة بتلك المفترضة للسنة؛</w:t>
      </w:r>
    </w:p>
    <w:p w14:paraId="50118263" w14:textId="36B7CCCC" w:rsidR="00D5219A" w:rsidRPr="00D5219A" w:rsidRDefault="00D34078" w:rsidP="00D34078">
      <w:pPr>
        <w:pStyle w:val="enumlev1"/>
        <w:rPr>
          <w:lang w:val="ar-SA" w:bidi="ar-EG"/>
        </w:rPr>
      </w:pPr>
      <w:r>
        <w:sym w:font="Wingdings 2" w:char="F097"/>
      </w:r>
      <w:r>
        <w:tab/>
      </w:r>
      <w:r w:rsidR="00D5219A" w:rsidRPr="00D5219A">
        <w:rPr>
          <w:rtl/>
        </w:rPr>
        <w:t>ارتفاع صافي تكلفة الخدمة، بزيادة قدرها 0,9 مليون فرنك سويسري (10,2 مليون فرنك سويسري في عام 2023 إلى</w:t>
      </w:r>
      <w:r w:rsidR="00641653">
        <w:rPr>
          <w:rFonts w:hint="eastAsia"/>
          <w:rtl/>
          <w:lang w:bidi="ar-EG"/>
        </w:rPr>
        <w:t> </w:t>
      </w:r>
      <w:r w:rsidR="00D5219A" w:rsidRPr="00D5219A">
        <w:rPr>
          <w:rtl/>
        </w:rPr>
        <w:t>11,1 مليون فرنك سويسري في عام 2024)، مما يشير إلى ارتفاع في تكلفة استحقاقات الموظفين العاملين.</w:t>
      </w:r>
    </w:p>
    <w:p w14:paraId="61E2D10E" w14:textId="044608E6" w:rsidR="00901AD0" w:rsidRDefault="00D5219A" w:rsidP="00D5219A">
      <w:pPr>
        <w:rPr>
          <w:rtl/>
        </w:rPr>
      </w:pPr>
      <w:r w:rsidRPr="00D5219A">
        <w:rPr>
          <w:rtl/>
        </w:rPr>
        <w:t>وفي إطار تقييم أجراه الاتحاد وفق</w:t>
      </w:r>
      <w:r w:rsidR="00D915CE">
        <w:rPr>
          <w:rtl/>
        </w:rPr>
        <w:t>اً</w:t>
      </w:r>
      <w:r w:rsidRPr="00D5219A">
        <w:rPr>
          <w:rtl/>
        </w:rPr>
        <w:t xml:space="preserve"> للمعيار </w:t>
      </w:r>
      <w:r w:rsidRPr="00D5219A">
        <w:rPr>
          <w:lang w:bidi="ar-EG"/>
        </w:rPr>
        <w:t>IPSAS 39</w:t>
      </w:r>
      <w:r w:rsidRPr="00D5219A">
        <w:rPr>
          <w:rtl/>
        </w:rPr>
        <w:t>، أجريت دراسة محدثة للمطالبات الطبية لإعادة تقييم الافتراضات التي كانت تستخدم سابقا</w:t>
      </w:r>
      <w:r w:rsidR="00D915CE">
        <w:rPr>
          <w:rFonts w:hint="cs"/>
          <w:rtl/>
        </w:rPr>
        <w:t>ً</w:t>
      </w:r>
      <w:r w:rsidRPr="00D5219A">
        <w:rPr>
          <w:rtl/>
        </w:rPr>
        <w:t xml:space="preserve"> للاستحقاقات الطبية بعد انتهاء الخدمة. وحللت الدراسة بيانات المطالبات الطبية الفعلية من 2020 إلى</w:t>
      </w:r>
      <w:r w:rsidR="00D915CE">
        <w:rPr>
          <w:rFonts w:hint="cs"/>
          <w:rtl/>
        </w:rPr>
        <w:t> </w:t>
      </w:r>
      <w:r w:rsidRPr="00D5219A">
        <w:rPr>
          <w:rtl/>
        </w:rPr>
        <w:t>2023، فأخذت بعين الاعتبار التضخم في اتجاه المطالبات الطبية وفهرسة المطالبات لتجسيد ذلك في توقعات أدق للتكاليف. وتشير النتائج إلى اتجاه تصاعدي في سداد التكاليف الطبية للفرد، مما يستلزم مراجعة افتراضات التكاليف الطبية للاتحاد. وقد طبقت هذه الافتراضات المحدثة في تقييم المعايير المحاسبية الدولية للقطاع العام في نهاية عام 2024 لضمان تقدير أدق لالتزامات الاتحاد بسداد استحقاقات ما بعد انتهاء الخدمة.</w:t>
      </w:r>
    </w:p>
    <w:p w14:paraId="59746F6E" w14:textId="60C78915" w:rsidR="00D5219A" w:rsidRPr="00D5219A" w:rsidRDefault="00D5219A" w:rsidP="00D5219A">
      <w:pPr>
        <w:rPr>
          <w:lang w:val="ar-SA" w:bidi="ar-EG"/>
        </w:rPr>
      </w:pPr>
      <w:r w:rsidRPr="00D5219A">
        <w:rPr>
          <w:rtl/>
        </w:rPr>
        <w:t>وبلغت المساهمات التي دفعتها المنظمة مقابل التأمين الصحي بعد انتهاء الخدمة ما مجموعه 10,3 ملايين فرنك سويسري في 2024 (7,0 مليون فرنك سويسري في 2023). وتقدر مساهمة رب العمل لعام 2025 بزهاء 9,8 مليون فرنك سويسري.</w:t>
      </w:r>
    </w:p>
    <w:p w14:paraId="62E3A67A" w14:textId="6C0527CD" w:rsidR="00D5219A" w:rsidRPr="00D5219A" w:rsidRDefault="00D5219A" w:rsidP="00D5219A">
      <w:pPr>
        <w:rPr>
          <w:lang w:val="ar-SA" w:bidi="ar-EG"/>
        </w:rPr>
      </w:pPr>
      <w:r w:rsidRPr="00D5219A">
        <w:rPr>
          <w:rtl/>
        </w:rPr>
        <w:t>ومنذ يناير 2020، انضم الاتحاد إلى جمعية التأمين التعاوني لموظفي الأمم المتحدة ضد المرض والحوادث (</w:t>
      </w:r>
      <w:r w:rsidRPr="00D5219A">
        <w:rPr>
          <w:lang w:bidi="ar-EG"/>
        </w:rPr>
        <w:t>(UNSMIS</w:t>
      </w:r>
      <w:r w:rsidRPr="00D5219A">
        <w:rPr>
          <w:rtl/>
        </w:rPr>
        <w:t>. وهو صندوق تأمين طبي لموظفي الأمم المتحدة. تأسس في عام 1947 ومقره في جنيف. والغرض من جمعية التأمين التعاوني</w:t>
      </w:r>
      <w:r w:rsidR="00E82186">
        <w:rPr>
          <w:rFonts w:hint="cs"/>
          <w:rtl/>
        </w:rPr>
        <w:t> </w:t>
      </w:r>
      <w:r w:rsidRPr="00D5219A">
        <w:rPr>
          <w:lang w:bidi="ar-EG"/>
        </w:rPr>
        <w:t>UNSMIS</w:t>
      </w:r>
      <w:r w:rsidRPr="00D5219A">
        <w:rPr>
          <w:rtl/>
        </w:rPr>
        <w:t xml:space="preserve"> هو تسديد النفقات الطبية لأعضائها، والتي يمكن أن تشمل التكاليف الناجمة عن المرض والحوادث والأمومة. وتخدم الجمعية موظفي الأمم المتحدة العاملين والمتقاعدين على السواء، فضلاً عن أسرهم.</w:t>
      </w:r>
    </w:p>
    <w:p w14:paraId="52767627" w14:textId="77777777" w:rsidR="00D5219A" w:rsidRPr="00D5219A" w:rsidRDefault="00D5219A" w:rsidP="00D5219A">
      <w:pPr>
        <w:rPr>
          <w:lang w:val="ar-SA" w:bidi="ar-EG"/>
        </w:rPr>
      </w:pPr>
      <w:r w:rsidRPr="00D5219A">
        <w:rPr>
          <w:rtl/>
        </w:rPr>
        <w:lastRenderedPageBreak/>
        <w:t xml:space="preserve">وتعتمد جمعية التأمين الصحي </w:t>
      </w:r>
      <w:r w:rsidRPr="00D5219A">
        <w:rPr>
          <w:lang w:bidi="ar-EG"/>
        </w:rPr>
        <w:t>UNSMIS</w:t>
      </w:r>
      <w:r w:rsidRPr="00D5219A">
        <w:rPr>
          <w:rtl/>
        </w:rPr>
        <w:t xml:space="preserve"> في عملها على مساهمات المشاركين فيها من منظمات وموظفين، لضمان حصول أعضائها على تعويض لتكاليف الرعاية الطبية بموجب قواعد الجمعية ولوائحها التنظيمية. وبالإضافة إلى معالجة المطالبات، تتولى الجمعية مسؤولية الحفاظ على الاتفاقات مع مقدمي الخدمات الصحية وضمان الاستقرار المالي لخطة التأمين.</w:t>
      </w:r>
    </w:p>
    <w:p w14:paraId="259F9C39" w14:textId="70649DC8" w:rsidR="00D5219A" w:rsidRPr="00946293" w:rsidRDefault="00D5219A" w:rsidP="00D5219A">
      <w:pPr>
        <w:rPr>
          <w:spacing w:val="-2"/>
          <w:lang w:val="ar-SA" w:bidi="ar-EG"/>
        </w:rPr>
      </w:pPr>
      <w:r w:rsidRPr="00946293">
        <w:rPr>
          <w:spacing w:val="-2"/>
          <w:rtl/>
        </w:rPr>
        <w:t xml:space="preserve">‏وقد أنشئ الاحتياطي الإكتواري المخصص للمخاطر الطويلة الأجل عام ‎1995 ‏لتغطية الزيادة المستمرة في تكاليف الرعاية الصحية والزيادة التدريجية في متوسط عمر الأعضاء. وينبغي أن تمكّن إيرادات الاستثمار المتأتية من هذا الاحتياطي المخصص للمخاطر الطويلة الأجل من الحد من ارتفاع الأقساط واستيعاب أي تكاليف غير متوقعة. واقترحت الدراسة التي قامت بها شركة ‎EY ‏تحديد المبلغ الإجمالي لهذا الاحتياطي بمبلغ </w:t>
      </w:r>
      <w:r w:rsidR="0016356F">
        <w:rPr>
          <w:rFonts w:hint="cs"/>
          <w:spacing w:val="-2"/>
          <w:rtl/>
        </w:rPr>
        <w:t>5</w:t>
      </w:r>
      <w:r w:rsidRPr="00946293">
        <w:rPr>
          <w:spacing w:val="-2"/>
          <w:rtl/>
        </w:rPr>
        <w:t>8,8 ‏مليون دولار أمريكي. ‏وفي ‎31 ‏ديسمبر ‎2022‏، كان هذا الاحتياطي ممولاً بالكامل.‎</w:t>
      </w:r>
    </w:p>
    <w:p w14:paraId="7738F951" w14:textId="77777777" w:rsidR="00D5219A" w:rsidRPr="00D5219A" w:rsidRDefault="00D5219A" w:rsidP="00D5219A">
      <w:pPr>
        <w:rPr>
          <w:lang w:val="ar-SA" w:bidi="ar-EG"/>
        </w:rPr>
      </w:pPr>
      <w:r w:rsidRPr="00D5219A">
        <w:rPr>
          <w:rtl/>
        </w:rPr>
        <w:t xml:space="preserve">ويقدم الانضمام إلى خطة الأمم المتحدة الطبية هذه مزايا إلى الموظفين، نظراً لتخفيض معدل المساهمة وإزالة المبلغ المقتطع، وكذلك مزايا إلى الاتحاد على المدى الطويل بالنظر إلى حجم الخطة. وتضم خطة الجمعية </w:t>
      </w:r>
      <w:r w:rsidRPr="00D5219A">
        <w:rPr>
          <w:lang w:bidi="ar-EG"/>
        </w:rPr>
        <w:t>UNSMIS</w:t>
      </w:r>
      <w:r w:rsidRPr="00D5219A">
        <w:rPr>
          <w:rtl/>
        </w:rPr>
        <w:t xml:space="preserve"> العديد من المنظمات والوكالات المتخصصة التابعة للأمم المتحدة التي تتخذ من جنيف مقراً لها. وتشمل خطة التأمين الصحي أيضاً هذه موظفي مكتب الأمم المتحدة في جنيف وموظفي مفوضية الأمم المتحدة لشؤون اللاجئين وموظفي المنظمة العالمية للأرصاد الجوية.</w:t>
      </w:r>
    </w:p>
    <w:p w14:paraId="5FC1849F" w14:textId="77777777" w:rsidR="00D5219A" w:rsidRPr="00415055" w:rsidRDefault="00D5219A" w:rsidP="00D5219A">
      <w:pPr>
        <w:rPr>
          <w:spacing w:val="-2"/>
          <w:lang w:val="ar-SA" w:bidi="ar-EG"/>
        </w:rPr>
      </w:pPr>
      <w:r w:rsidRPr="00415055">
        <w:rPr>
          <w:spacing w:val="-2"/>
          <w:rtl/>
        </w:rPr>
        <w:t xml:space="preserve">ولكي يلتحق الاتحاد بخطة التأمين الطبي </w:t>
      </w:r>
      <w:r w:rsidRPr="00415055">
        <w:rPr>
          <w:spacing w:val="-2"/>
          <w:lang w:bidi="ar-EG"/>
        </w:rPr>
        <w:t>UNSMIS</w:t>
      </w:r>
      <w:r w:rsidRPr="00415055">
        <w:rPr>
          <w:spacing w:val="-2"/>
          <w:rtl/>
        </w:rPr>
        <w:t xml:space="preserve"> في يناير 2020، كان عليه المساهمة في الصندوق الاحتياطي لهذه الخطة لأغراض التسوية. وقد اتُّفق على مقدار المساهمة بمبلغ 19,5 مليون دولار أمريكي، دُفعت من صندوق ضمان خطة التأمين الطبي الجماعي (</w:t>
      </w:r>
      <w:r w:rsidRPr="00415055">
        <w:rPr>
          <w:spacing w:val="-2"/>
          <w:lang w:bidi="ar-EG"/>
        </w:rPr>
        <w:t>CMIP</w:t>
      </w:r>
      <w:r w:rsidRPr="00415055">
        <w:rPr>
          <w:spacing w:val="-2"/>
          <w:rtl/>
        </w:rPr>
        <w:t>) في أوائل 2020. وبالإضافة إلى ذلك، اتفق على أن تدفع سنوياً، اعتباراً من 2020، مساهمة استثنائية لمدة 13 عاماً. وتهدف هذه المساهمة الإضافية إلى تسوية أثر انضمام الاتحاد إلى هذه الخطة الطبية بناءً على عمر الموظفين والمتقاعدين والعوامل الديموغرافية وعوامل أخرى متفق عليها. وتمثل هذه المساهمة الإضافية مبلغاً إجمالياً قدره 22,5 مليون دولار أمريكي مقسماً لسداده سنوياً على مدى 13 عاماً. وفي عامي 2024 و2023، دفعت مساهمات إضافية بقيمة 1,7 مليون دولار أمريكي (1,5 مليون فرنك سويسري) إلى جمعية التأمين التعاوني لموظفي الأمم المتحدة ضد المرض والحوادث (</w:t>
      </w:r>
      <w:r w:rsidRPr="00415055">
        <w:rPr>
          <w:spacing w:val="-2"/>
          <w:lang w:bidi="ar-EG"/>
        </w:rPr>
        <w:t>UNSMIS</w:t>
      </w:r>
      <w:r w:rsidRPr="00415055">
        <w:rPr>
          <w:spacing w:val="-2"/>
          <w:rtl/>
        </w:rPr>
        <w:t>).</w:t>
      </w:r>
    </w:p>
    <w:p w14:paraId="1E09ACB1" w14:textId="3E0FCEC2" w:rsidR="00D5219A" w:rsidRPr="00D5219A" w:rsidRDefault="00D5219A" w:rsidP="00D5219A">
      <w:pPr>
        <w:rPr>
          <w:lang w:val="ar-SA" w:bidi="ar-EG"/>
        </w:rPr>
      </w:pPr>
      <w:bookmarkStart w:id="296" w:name="_Hlk52542193"/>
      <w:bookmarkStart w:id="297" w:name="_Hlk53040691"/>
      <w:bookmarkStart w:id="298" w:name="_Toc305764095"/>
      <w:bookmarkEnd w:id="293"/>
      <w:bookmarkEnd w:id="294"/>
      <w:bookmarkEnd w:id="295"/>
      <w:r w:rsidRPr="00D5219A">
        <w:rPr>
          <w:rtl/>
        </w:rPr>
        <w:t xml:space="preserve">وتدير جميعة التأمين التعاوني </w:t>
      </w:r>
      <w:r w:rsidRPr="00D5219A">
        <w:rPr>
          <w:lang w:bidi="ar-EG"/>
        </w:rPr>
        <w:t>UNSMIS</w:t>
      </w:r>
      <w:r w:rsidRPr="00D5219A">
        <w:rPr>
          <w:rtl/>
        </w:rPr>
        <w:t xml:space="preserve">، التي يشغل فيها الاتحاد مقعداً بصفته عضواً جديداً، أعمال متابعة احتواء التكاليف. ويمكن الاطلاع على مزيد من التفاصيل في </w:t>
      </w:r>
      <w:r w:rsidRPr="00415055">
        <w:rPr>
          <w:rtl/>
          <w:lang w:bidi="ar-EG"/>
        </w:rPr>
        <w:t xml:space="preserve">الوثيقة </w:t>
      </w:r>
      <w:hyperlink r:id="rId56" w:history="1">
        <w:r w:rsidRPr="00415055">
          <w:rPr>
            <w:rStyle w:val="Hyperlink"/>
            <w:noProof w:val="0"/>
            <w:lang w:val="en-US" w:eastAsia="zh-CN" w:bidi="ar-EG"/>
          </w:rPr>
          <w:t>C25/46</w:t>
        </w:r>
      </w:hyperlink>
      <w:r w:rsidRPr="00D5219A">
        <w:rPr>
          <w:rtl/>
        </w:rPr>
        <w:t xml:space="preserve"> التي تتضمن التقرير السنوي بشأن التأمين الصحي بعد انتهاء الخدمة (</w:t>
      </w:r>
      <w:r w:rsidRPr="00D5219A">
        <w:rPr>
          <w:lang w:bidi="ar-EG"/>
        </w:rPr>
        <w:t>ASHI</w:t>
      </w:r>
      <w:r w:rsidRPr="00D5219A">
        <w:rPr>
          <w:rtl/>
        </w:rPr>
        <w:t>).</w:t>
      </w:r>
      <w:bookmarkStart w:id="299" w:name="_Hlk131410232"/>
    </w:p>
    <w:bookmarkEnd w:id="296"/>
    <w:bookmarkEnd w:id="297"/>
    <w:bookmarkEnd w:id="299"/>
    <w:p w14:paraId="7432CF79" w14:textId="09B8AB8B" w:rsidR="00D5219A" w:rsidRPr="00415055" w:rsidRDefault="00415055" w:rsidP="0022473B">
      <w:pPr>
        <w:pStyle w:val="Heading3"/>
      </w:pPr>
      <w:r>
        <w:t>3.1.16</w:t>
      </w:r>
      <w:r w:rsidR="00D5219A" w:rsidRPr="00D5219A">
        <w:rPr>
          <w:rtl/>
        </w:rPr>
        <w:tab/>
        <w:t>معلومات الحساسية لخطة الرعاية الصحية</w:t>
      </w:r>
      <w:bookmarkEnd w:id="298"/>
    </w:p>
    <w:p w14:paraId="5C4E589B" w14:textId="057D3640" w:rsidR="00D5219A" w:rsidRPr="00D5219A" w:rsidRDefault="00D5219A" w:rsidP="00D5219A">
      <w:pPr>
        <w:rPr>
          <w:lang w:val="ar-SA" w:bidi="ar-EG"/>
        </w:rPr>
      </w:pPr>
      <w:r w:rsidRPr="00D5219A">
        <w:rPr>
          <w:rtl/>
        </w:rPr>
        <w:t xml:space="preserve">فيما يلي تحليل الحساسية لتكاليف الخدمة والفائدة وكذلك التزام المنفعة المحددة بافتراض زيادة/نقصان بنسبة </w:t>
      </w:r>
      <w:r w:rsidR="00147ADB">
        <w:t>%1</w:t>
      </w:r>
      <w:r w:rsidRPr="00D5219A">
        <w:rPr>
          <w:rtl/>
        </w:rPr>
        <w:t xml:space="preserve"> في</w:t>
      </w:r>
      <w:r w:rsidR="00147ADB">
        <w:rPr>
          <w:rFonts w:hint="eastAsia"/>
          <w:rtl/>
          <w:lang w:bidi="ar-EG"/>
        </w:rPr>
        <w:t> </w:t>
      </w:r>
      <w:r w:rsidRPr="00D5219A">
        <w:rPr>
          <w:rtl/>
        </w:rPr>
        <w:t>معدل الرعاية الصحية.</w:t>
      </w:r>
    </w:p>
    <w:p w14:paraId="44AA11B1" w14:textId="7574E49A" w:rsidR="00D5219A" w:rsidRPr="00593603" w:rsidRDefault="00D5219A" w:rsidP="00D5219A">
      <w:pPr>
        <w:rPr>
          <w:spacing w:val="-4"/>
          <w:lang w:val="ar-SA" w:bidi="ar-EG"/>
        </w:rPr>
      </w:pPr>
      <w:r w:rsidRPr="00593603">
        <w:rPr>
          <w:spacing w:val="-4"/>
          <w:rtl/>
        </w:rPr>
        <w:t xml:space="preserve">وقد تحددت أسعار الخصم المستخدمة لهذا التقييم باستخدام منحنيات عائد سندات شركات </w:t>
      </w:r>
      <w:r w:rsidRPr="00593603">
        <w:rPr>
          <w:spacing w:val="-4"/>
          <w:lang w:bidi="ar-EG"/>
        </w:rPr>
        <w:t>AA</w:t>
      </w:r>
      <w:r w:rsidRPr="00593603">
        <w:rPr>
          <w:spacing w:val="-4"/>
          <w:rtl/>
        </w:rPr>
        <w:t xml:space="preserve"> لمكتب </w:t>
      </w:r>
      <w:r w:rsidRPr="00593603">
        <w:rPr>
          <w:spacing w:val="-4"/>
          <w:lang w:bidi="ar-EG"/>
        </w:rPr>
        <w:t>Aon</w:t>
      </w:r>
      <w:r w:rsidRPr="00593603">
        <w:rPr>
          <w:spacing w:val="-4"/>
          <w:rtl/>
        </w:rPr>
        <w:t xml:space="preserve"> في 31 ديسمبر 2024. ويتم تقديم تحليل الحساسية على التزام المنفعة المحددة بافتراض زيادة/ نقصان بنسبة </w:t>
      </w:r>
      <w:r w:rsidR="00593603">
        <w:rPr>
          <w:spacing w:val="-4"/>
        </w:rPr>
        <w:t>%1</w:t>
      </w:r>
      <w:r w:rsidRPr="00593603">
        <w:rPr>
          <w:spacing w:val="-4"/>
          <w:rtl/>
        </w:rPr>
        <w:t xml:space="preserve"> في معدل الخصم.</w:t>
      </w:r>
    </w:p>
    <w:p w14:paraId="4B7595E8" w14:textId="77777777" w:rsidR="00D5219A" w:rsidRPr="00D5219A" w:rsidRDefault="00D5219A" w:rsidP="00CE3F7E">
      <w:pPr>
        <w:pStyle w:val="Figure"/>
        <w:rPr>
          <w:lang w:bidi="ar-EG"/>
        </w:rPr>
      </w:pPr>
      <w:r w:rsidRPr="00CE3F7E">
        <w:drawing>
          <wp:inline distT="0" distB="0" distL="0" distR="0" wp14:anchorId="69293657" wp14:editId="1105748D">
            <wp:extent cx="5306609" cy="2109787"/>
            <wp:effectExtent l="0" t="0" r="8890" b="0"/>
            <wp:docPr id="679239012" name="Picture 3"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39012" name="Picture 3" descr="A screen shot of a comput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71348" cy="2135526"/>
                    </a:xfrm>
                    <a:prstGeom prst="rect">
                      <a:avLst/>
                    </a:prstGeom>
                    <a:noFill/>
                  </pic:spPr>
                </pic:pic>
              </a:graphicData>
            </a:graphic>
          </wp:inline>
        </w:drawing>
      </w:r>
    </w:p>
    <w:p w14:paraId="7904C09E" w14:textId="41760631" w:rsidR="00D5219A" w:rsidRPr="0022473B" w:rsidRDefault="00CE3F7E" w:rsidP="0022473B">
      <w:pPr>
        <w:pStyle w:val="Heading2"/>
      </w:pPr>
      <w:bookmarkStart w:id="300" w:name="_Toc131156449"/>
      <w:bookmarkStart w:id="301" w:name="_Toc417759981"/>
      <w:r w:rsidRPr="0022473B">
        <w:lastRenderedPageBreak/>
        <w:t>2.16</w:t>
      </w:r>
      <w:r w:rsidR="00901AD0" w:rsidRPr="0022473B">
        <w:rPr>
          <w:rtl/>
        </w:rPr>
        <w:tab/>
      </w:r>
      <w:r w:rsidR="00D5219A" w:rsidRPr="0022473B">
        <w:rPr>
          <w:rtl/>
        </w:rPr>
        <w:t>منحة الإعادة إلى الوطن</w:t>
      </w:r>
      <w:bookmarkEnd w:id="300"/>
      <w:bookmarkEnd w:id="301"/>
    </w:p>
    <w:p w14:paraId="465E5759" w14:textId="31002106" w:rsidR="00D5219A" w:rsidRPr="0022473B" w:rsidRDefault="0022473B" w:rsidP="0022473B">
      <w:pPr>
        <w:pStyle w:val="Heading3"/>
      </w:pPr>
      <w:r>
        <w:t>1.2.16</w:t>
      </w:r>
      <w:r w:rsidR="00D5219A" w:rsidRPr="0022473B">
        <w:rPr>
          <w:rtl/>
        </w:rPr>
        <w:tab/>
        <w:t>تعريف</w:t>
      </w:r>
    </w:p>
    <w:p w14:paraId="2C49C52E" w14:textId="77777777" w:rsidR="00D5219A" w:rsidRPr="00D5219A" w:rsidRDefault="00D5219A" w:rsidP="00D5219A">
      <w:pPr>
        <w:rPr>
          <w:lang w:val="ar-SA" w:bidi="ar-EG"/>
        </w:rPr>
      </w:pPr>
      <w:r w:rsidRPr="00D5219A">
        <w:rPr>
          <w:rtl/>
        </w:rPr>
        <w:t>يستحق، من حيث المبدأ، منحة إعادة إلى الوطن الموظفون الذين قضوا ما لا يقل عن 5 سنوات متواصلة في الخدمة والذين يكون الاتحاد ملزماً بإعادتهم إلى الوطن. وتشمل التكاليف سفر الإعادة إلى الوطن، وشحن الأمتعة عند الإعادة إلى الوطن. وتحدد الأمينة العامة بالتفصيل الشروط والتعاريف المتعلقة بالحق في هذه المنحة والوثائق المطلوبة لإثبات تغيير مكان الإقامة.</w:t>
      </w:r>
    </w:p>
    <w:p w14:paraId="251E3301" w14:textId="39E2BA07" w:rsidR="00D5219A" w:rsidRPr="00D5219A" w:rsidRDefault="00D5219A" w:rsidP="00D5219A">
      <w:pPr>
        <w:rPr>
          <w:lang w:val="ar-SA" w:bidi="ar-EG"/>
        </w:rPr>
      </w:pPr>
      <w:r w:rsidRPr="00D5219A">
        <w:rPr>
          <w:rtl/>
        </w:rPr>
        <w:t xml:space="preserve">وقد أُخذت في الاعتبار مدة الخدمة والمرتب الإجمالي بعد خصم الاقتطاعات الإلزامية (بما في ذلك علاوات اللغة وبدل الاغتراب عند الاقتضاء لموظفي فئة الخدمات العامة) في حساب المبلغ الإجمالي للالتزامات في 31 ديسمبر 2024. والافتراضات الاقتصادية المستخدمة هي معدل خصم بمقدار </w:t>
      </w:r>
      <w:r w:rsidR="00C6277D">
        <w:rPr>
          <w:lang w:bidi="ar-EG"/>
        </w:rPr>
        <w:t>%1,4</w:t>
      </w:r>
      <w:r w:rsidR="00C6277D">
        <w:rPr>
          <w:rFonts w:hint="cs"/>
          <w:rtl/>
          <w:lang w:bidi="ar-EG"/>
        </w:rPr>
        <w:t xml:space="preserve"> </w:t>
      </w:r>
      <w:r w:rsidRPr="00D5219A">
        <w:rPr>
          <w:rtl/>
        </w:rPr>
        <w:t xml:space="preserve">(مقابل </w:t>
      </w:r>
      <w:r w:rsidR="00C6277D">
        <w:rPr>
          <w:lang w:bidi="ar-EG"/>
        </w:rPr>
        <w:t>%1,9</w:t>
      </w:r>
      <w:r w:rsidRPr="00D5219A">
        <w:rPr>
          <w:rtl/>
        </w:rPr>
        <w:t xml:space="preserve"> عام 2023) ومعدل زيادة في المرتبات بنسبة </w:t>
      </w:r>
      <w:r w:rsidR="00C6277D">
        <w:t>%3,1</w:t>
      </w:r>
      <w:r w:rsidRPr="00D5219A">
        <w:rPr>
          <w:rtl/>
        </w:rPr>
        <w:t xml:space="preserve">. وفي تقييم عام 2024، تمت مواءمة افتراضات الدراسة الإكتوارية بشأن منحة الإعادة إلى الوطن مع افتراضات </w:t>
      </w:r>
      <w:r w:rsidRPr="00D5219A">
        <w:rPr>
          <w:lang w:bidi="ar-EG"/>
        </w:rPr>
        <w:t>ASHI</w:t>
      </w:r>
      <w:r w:rsidRPr="00D5219A">
        <w:rPr>
          <w:rtl/>
        </w:rPr>
        <w:t>.</w:t>
      </w:r>
      <w:bookmarkStart w:id="302" w:name="_Int_2XO9XeTB"/>
      <w:bookmarkStart w:id="303" w:name="_Int_lkZaLiqw"/>
      <w:bookmarkEnd w:id="302"/>
      <w:bookmarkEnd w:id="303"/>
    </w:p>
    <w:p w14:paraId="1297772C" w14:textId="07939093" w:rsidR="00D5219A" w:rsidRPr="0022473B" w:rsidRDefault="0022473B" w:rsidP="0022473B">
      <w:pPr>
        <w:pStyle w:val="Heading3"/>
      </w:pPr>
      <w:bookmarkStart w:id="304" w:name="_Toc305764097"/>
      <w:r>
        <w:t>2.2.16</w:t>
      </w:r>
      <w:r w:rsidR="00D5219A" w:rsidRPr="00D5219A">
        <w:rPr>
          <w:rtl/>
        </w:rPr>
        <w:tab/>
        <w:t>دفع منحة الإعادة إلى الوطن</w:t>
      </w:r>
      <w:bookmarkEnd w:id="304"/>
    </w:p>
    <w:p w14:paraId="57C3833D" w14:textId="6E084D98" w:rsidR="00D5219A" w:rsidRPr="00D5219A" w:rsidRDefault="00D5219A" w:rsidP="00D5219A">
      <w:pPr>
        <w:rPr>
          <w:lang w:val="ar-SA" w:bidi="ar-EG"/>
        </w:rPr>
      </w:pPr>
      <w:r w:rsidRPr="00D5219A">
        <w:rPr>
          <w:rtl/>
        </w:rPr>
        <w:t>يخضع دفع منحة الإعادة إلى الوطن للشروط والتعاريف المذكورة في النظام الإداري والنظام الأساسي للموظفين. وفي 31 ديسمبر 2024، بلغت خصوم استحقاقات الموظفين المتعلقة بالإعادة إلى الوطن 13,5 مليون فرنك سويسري مقابل 12 مليون فرنك سويسري عام 2023. ويموَّل هذا الاحتياطي من خلال خصم قدره واحد في المائة (</w:t>
      </w:r>
      <w:r w:rsidR="00C6277D">
        <w:t>%1</w:t>
      </w:r>
      <w:r w:rsidRPr="00D5219A">
        <w:rPr>
          <w:rtl/>
        </w:rPr>
        <w:t>) من أجور الموظفين عدا أولئك الذين يعملون لخدمة المؤتمرات والخدمات الأخرى القصيرة الأجل.</w:t>
      </w:r>
    </w:p>
    <w:p w14:paraId="093FE062" w14:textId="77777777" w:rsidR="00901AD0" w:rsidRPr="00FD5B84" w:rsidRDefault="00D5219A" w:rsidP="00D5219A">
      <w:pPr>
        <w:rPr>
          <w:spacing w:val="-2"/>
          <w:rtl/>
        </w:rPr>
      </w:pPr>
      <w:r w:rsidRPr="00FD5B84">
        <w:rPr>
          <w:spacing w:val="-2"/>
          <w:rtl/>
        </w:rPr>
        <w:t>والخصوم المثبَّتة بشأن هذه الاستحقاقات الأخرى الطويلة الأجل هي القيمة الحالية لالتزامات الاستحقاقات المعرَّفة في تاريخ الإبلاغ. ويحسب خبير إكتواري مستقل الخصوم باستخدام أسلوب رصيد الوحدات المتوقعة. ويرد في بيان الأداء المالي حساب تكلفة الفائدة وتكاليف الخدمة الجارية والمكاسب أو الخسائر الإكتوارية الناشئة عن التغيرات في الافتراضات الإكتوارية أو تعديلات الخبرة.</w:t>
      </w:r>
    </w:p>
    <w:p w14:paraId="32D4743A" w14:textId="2C1052A9" w:rsidR="00D5219A" w:rsidRPr="00D5219A" w:rsidRDefault="00D5219A" w:rsidP="00D5219A">
      <w:pPr>
        <w:rPr>
          <w:lang w:val="ar-SA" w:bidi="ar-EG"/>
        </w:rPr>
      </w:pPr>
      <w:r w:rsidRPr="00D5219A">
        <w:rPr>
          <w:rtl/>
        </w:rPr>
        <w:t xml:space="preserve">ويجري مكتب استشاري مستقل كل سنة تقييماً إكتوارياً بحسب معايير </w:t>
      </w:r>
      <w:r w:rsidRPr="00D5219A">
        <w:rPr>
          <w:lang w:bidi="ar-EG"/>
        </w:rPr>
        <w:t>IPSAS</w:t>
      </w:r>
      <w:r w:rsidRPr="00D5219A">
        <w:rPr>
          <w:rtl/>
        </w:rPr>
        <w:t>.</w:t>
      </w:r>
    </w:p>
    <w:p w14:paraId="1274CE56" w14:textId="0A10601A" w:rsidR="00901AD0" w:rsidRPr="004E0237" w:rsidRDefault="004E0237" w:rsidP="004E0237">
      <w:pPr>
        <w:pStyle w:val="Heading2"/>
        <w:rPr>
          <w:rtl/>
        </w:rPr>
      </w:pPr>
      <w:r>
        <w:t>3.16</w:t>
      </w:r>
      <w:r w:rsidR="00901AD0">
        <w:rPr>
          <w:rtl/>
        </w:rPr>
        <w:tab/>
      </w:r>
      <w:r w:rsidR="00D5219A" w:rsidRPr="00D5219A">
        <w:rPr>
          <w:rtl/>
        </w:rPr>
        <w:t>استحقاقات الموظفين بموجب خطة المعاشات التقاعدية لموظفي الأمم المتحدة</w:t>
      </w:r>
    </w:p>
    <w:p w14:paraId="6ECA792B" w14:textId="1114D14F" w:rsidR="00D5219A" w:rsidRPr="00D5219A" w:rsidRDefault="00D5219A" w:rsidP="00D5219A">
      <w:pPr>
        <w:rPr>
          <w:lang w:val="ar-SA" w:bidi="ar-EG"/>
        </w:rPr>
      </w:pPr>
      <w:r w:rsidRPr="00D5219A">
        <w:rPr>
          <w:rtl/>
        </w:rPr>
        <w:t>الاتحاد الدولي للاتصالات منظمة عضو في صندوق الأمم المتحدة المشترك للمعاشات التقاعدية ("الصندوق")، الذي أنشأته الجمعية العامة للأمم المتحدة لتوفير استحقاقات التقاعد والوفاة والعجز وما يتصل بها للموظفين. والصندوق هو خطة استحقاقات محددة ممولة متعددة أرباب العمل. وكما هو محدد في المادة 3(ب) من النظام الأساسي للصندوق، تكون العضوية في الصندوق مفتوحة أمام الوكالات المتخصصة وأي منظمة دولية أو حكومية دولية أخرى تشارك في النظام الموحد للمرتبات والبدلات وغيرها من شروط الخدمة في الأمم المتحدة والوكالات المتخصصة.</w:t>
      </w:r>
    </w:p>
    <w:p w14:paraId="68975391" w14:textId="77777777" w:rsidR="00D5219A" w:rsidRPr="00D5219A" w:rsidRDefault="00D5219A" w:rsidP="00D5219A">
      <w:pPr>
        <w:rPr>
          <w:lang w:val="ar-SA" w:bidi="ar-EG"/>
        </w:rPr>
      </w:pPr>
      <w:r w:rsidRPr="00D5219A">
        <w:rPr>
          <w:rtl/>
        </w:rPr>
        <w:t>ويعرّض الصندوق المنظمات المشاركة لمخاطر إكتوارية مرتبطة بالموظفين الحاليين والسابقين في المنظمات الأخرى المشاركة في الصندوق، ونتيجةً لذلك لا يوجد أساس متسق وموثوق لتخصيص الالتزامات وأصول الخطة، وتكاليف فرادى المنظمات المشاركة في الصندوق. ومن ثم فإن الاتحاد والصندوق، على غرار المنظمات الأخرى المشاركة في الصندوق، ليسا في وضع يمكنهما من تحديد حصة الاتحاد التناسبية في الالتزام بالاستحقاقات المحددة، وبأصول الخطة والتكاليف المرتبطة بالخطة بقدر كاف من الموثوقية للأغراض المحاسبية. ولذا فإن الاتحاد يتعامل مع هذه الخطة كما لو كانت خطة مساهمات محددة تماشياً مع متطلبات المعيار IPSAS 39</w:t>
      </w:r>
      <w:r w:rsidRPr="00D5219A">
        <w:rPr>
          <w:lang w:bidi="ar-EG"/>
        </w:rPr>
        <w:t>:</w:t>
      </w:r>
      <w:r w:rsidRPr="00D5219A">
        <w:rPr>
          <w:rtl/>
        </w:rPr>
        <w:t xml:space="preserve"> استحقاقات الموظفين. وتُدرج مساهمات الاتحاد في الصندوق خلال الفترة المالية كنفقات في بيان الأداء المالي.</w:t>
      </w:r>
    </w:p>
    <w:p w14:paraId="106DBFB7" w14:textId="77777777" w:rsidR="00D5219A" w:rsidRPr="00D5219A" w:rsidRDefault="00D5219A" w:rsidP="00D5219A">
      <w:pPr>
        <w:rPr>
          <w:lang w:val="ar-SA" w:bidi="ar-EG"/>
        </w:rPr>
      </w:pPr>
      <w:r w:rsidRPr="00D5219A">
        <w:rPr>
          <w:rtl/>
        </w:rPr>
        <w:t>وينص النظام الأساسي للصندوق على أن يقوم مجلس الصندوق بإجراء تقييم إكتواري للصندوق مرة على الأقل كل ثلاث سنوات من قبل مكتب الخبير الإكتواري الاستشاري. وقد جرت العادة في مجلس الصندوق على إجراء تقييم إكتواري كل سنتين. والغرض الرئيسي من التقييم الإكتواري هو تحديد ما إذا كانت الأصول الحالية والمستقبلية المقدرة للصندوق ستكفي للوفاء بالتزاماته على الدوام. وتحدد سياسة التمويل المنشورة للصندوق (المتاحة على موقع الصندوق على الإنترنت) الأساليب والعمليات والأهداف المستخدمة لرصد وضع التمويل والمخاطر المرتبطة به. ويشمل ذلك أيضا ممارسة استخدام القيمة الاكتوارية للأصول، لإحداث توازن بين مكاسب الاستثمار وخسائره على المدى القصير لغرض الإبلاغ عن الملاءة المالية على المدى الطويل.</w:t>
      </w:r>
    </w:p>
    <w:p w14:paraId="5D608162" w14:textId="77777777" w:rsidR="00D5219A" w:rsidRPr="00D5219A" w:rsidRDefault="00D5219A" w:rsidP="00D5219A">
      <w:pPr>
        <w:rPr>
          <w:lang w:val="ar-SA" w:bidi="ar-EG"/>
        </w:rPr>
      </w:pPr>
      <w:r w:rsidRPr="00D5219A">
        <w:rPr>
          <w:rtl/>
        </w:rPr>
        <w:t xml:space="preserve">ويتألف الالتزام المالي للاتحاد إزاء الصندوق من حصته الإجبارية، بالمعدل الذي تحدده الجمعية العامة للأمم المتحدة (حالياً بنسبة </w:t>
      </w:r>
      <w:r w:rsidRPr="00D5219A">
        <w:rPr>
          <w:lang w:bidi="ar-EG"/>
        </w:rPr>
        <w:t>7,9</w:t>
      </w:r>
      <w:r w:rsidRPr="00D5219A">
        <w:rPr>
          <w:rtl/>
        </w:rPr>
        <w:t xml:space="preserve"> في المائة من الأجر الداخل في حساب المعاش التقاعدي للمشاركين و</w:t>
      </w:r>
      <w:r w:rsidRPr="00D5219A">
        <w:rPr>
          <w:lang w:bidi="ar-EG"/>
        </w:rPr>
        <w:t>15,8</w:t>
      </w:r>
      <w:r w:rsidRPr="00D5219A">
        <w:rPr>
          <w:rtl/>
        </w:rPr>
        <w:t xml:space="preserve"> في المائة للمنظمات الأعضاء) بالإضافة إلى ذلك الجزء من أي مدفوعات مطلوبة بغرض تغطية أي عجز إكتواري وفقاً للمادة 26 من النظام الأساسي لصندوق </w:t>
      </w:r>
      <w:r w:rsidRPr="00D5219A">
        <w:rPr>
          <w:rtl/>
        </w:rPr>
        <w:lastRenderedPageBreak/>
        <w:t>المعاشات التقاعدية. ولا تدفع هذه المبالغ لتغطية أي عجز ما لم تقرر الجمعية العامة للأمم المتحدة العمل بأحكام المادة 26، عندما يتحدد أن دفع هذه المبالغ ضروري انطلاقاً من تقييم الحالة الإكتوارية للصندوق وقت التقييم. ويتعين على كل منظمة عضو أن تسهم في تغطية هذا العجز بمبلغ متناسب مع مجموع المساهمات التي تدفعها كل منها خلال السنوات الثلاث السابقة لتاريخ التقييم. ولم يقتض الأمر أبداً العمل بالمادة 26، ولم يطلب قط دفع أي مبالغ لتغطية عجز.</w:t>
      </w:r>
    </w:p>
    <w:p w14:paraId="5A506564" w14:textId="77777777" w:rsidR="00D5219A" w:rsidRPr="001D4D84" w:rsidRDefault="00D5219A" w:rsidP="00D5219A">
      <w:pPr>
        <w:rPr>
          <w:spacing w:val="-2"/>
          <w:lang w:val="ar-SA" w:bidi="ar-EG"/>
        </w:rPr>
      </w:pPr>
      <w:r w:rsidRPr="001D4D84">
        <w:rPr>
          <w:spacing w:val="-2"/>
          <w:rtl/>
        </w:rPr>
        <w:t>واستُكمل أحدث تقييم إكتواري للصندوق في 31 ديسمبر 2023. وسيستخدم الصندوق ترحيل بيانات المشاركة في 31 ديسمبر 2023 إلى 31 ديسمبر 2024 من أجل الإبلاغ عن قيمة إكتوارية حالية للاستحقاقات المتراكمة للخطة في بياناته المالية لعام 2024.</w:t>
      </w:r>
    </w:p>
    <w:p w14:paraId="594E9088" w14:textId="6FD34BA3" w:rsidR="00D5219A" w:rsidRPr="00D5219A" w:rsidRDefault="00D5219A" w:rsidP="00D5219A">
      <w:pPr>
        <w:rPr>
          <w:lang w:val="ar-SA" w:bidi="ar-EG"/>
        </w:rPr>
      </w:pPr>
      <w:r w:rsidRPr="00D5219A">
        <w:rPr>
          <w:rtl/>
        </w:rPr>
        <w:t xml:space="preserve">وأبلغ التقييم الاكتواري في 31 ديسمبر 2023 عن نسبة ممولة من الأصول الإكتوارية إلى الخصوم الإكتوارية بلغت </w:t>
      </w:r>
      <w:r w:rsidR="001D4D84">
        <w:t>%111,0</w:t>
      </w:r>
      <w:r w:rsidRPr="00D5219A">
        <w:rPr>
          <w:rtl/>
        </w:rPr>
        <w:t xml:space="preserve"> (117,0% في تقييم عام 2021) عندما أخذ في الحسبان تسويات المعاش التقاعدي المتوقعة في المستقبل. وكانت نسبة التمويل المبلغ عنها 152,0% (158,2% في تقييم 2021) عندما لم يؤخذ النظام الحالي لتسويات المعاشات التقاعدية في</w:t>
      </w:r>
      <w:r w:rsidR="001D4D84">
        <w:rPr>
          <w:rFonts w:hint="eastAsia"/>
          <w:rtl/>
          <w:lang w:bidi="ar-EG"/>
        </w:rPr>
        <w:t> </w:t>
      </w:r>
      <w:r w:rsidRPr="00D5219A">
        <w:rPr>
          <w:rtl/>
        </w:rPr>
        <w:t>الاعتبار وسيكون المقياس الذي يتم من خلاله تحديد الكفاية الاكتوارية بموجب المادة 26.</w:t>
      </w:r>
    </w:p>
    <w:p w14:paraId="360B9E21" w14:textId="77777777" w:rsidR="00D5219A" w:rsidRPr="00D5219A" w:rsidRDefault="00D5219A" w:rsidP="00D5219A">
      <w:pPr>
        <w:rPr>
          <w:lang w:val="ar-SA" w:bidi="ar-EG"/>
        </w:rPr>
      </w:pPr>
      <w:r w:rsidRPr="00D5219A">
        <w:rPr>
          <w:rtl/>
        </w:rPr>
        <w:t>وبعد تقييم الكفاية الإكتوارية للصندوق، خلص مكتب الخبير الإكتواري الاستشاري إلى انتفاء الحاجة إلى سداد أي مدفوعات لتغطية العجز بموجب المادة 26 من النظام الأساسي للصندوق، حتى 31 ديسمبر 2023، لأن القيمة الإكتوارية للأصول تجاوزت القيمة الإكتوارية لجميع الالتزامات المتراكمة المطلوبة بموجب الخطة. وفي وقت كتابة هذا التقرير، لم تلجأ الجمعية العامة إلى أحكام المادة 26.</w:t>
      </w:r>
    </w:p>
    <w:p w14:paraId="76BE20F7" w14:textId="299A1BC9" w:rsidR="00D5219A" w:rsidRPr="00D5219A" w:rsidRDefault="00D5219A" w:rsidP="00D5219A">
      <w:pPr>
        <w:rPr>
          <w:lang w:val="ar-SA" w:bidi="ar-EG"/>
        </w:rPr>
      </w:pPr>
      <w:r w:rsidRPr="00D5219A">
        <w:rPr>
          <w:rtl/>
        </w:rPr>
        <w:t xml:space="preserve">وفي حال الأخذ بالمادة 26 بسبب عجز إكتواري، سواء أثناء التشغيل الجاري للصندوق أو بسبب انتهاء تشغيله، ستستند مدفوعات تغطية العجز المطلوبة من كل منظمة عضو إلى نسبة مساهمات المنظمة العضو إلى مجموع المساهمات المدفوعة إلى الصندوق خلال السنوات الثلاث السابقة لتاريخ التقييم. وبلغ مجموع المساهمات المدفوعة إلى الصندوق خلال السنوات الثلاث السابقة لتاريخ التقييم (2021 و2022 و2023) مبلغ </w:t>
      </w:r>
      <w:r w:rsidR="00D77849">
        <w:t>9 499,41</w:t>
      </w:r>
      <w:r w:rsidRPr="00D5219A">
        <w:rPr>
          <w:rtl/>
        </w:rPr>
        <w:t xml:space="preserve"> مليون دولار أمريكي، ساهم الاتحاد فيها بنسبة </w:t>
      </w:r>
      <w:r w:rsidRPr="00D5219A">
        <w:rPr>
          <w:lang w:bidi="ar-EG"/>
        </w:rPr>
        <w:t>0,92</w:t>
      </w:r>
      <w:r w:rsidRPr="00D5219A">
        <w:rPr>
          <w:rtl/>
        </w:rPr>
        <w:t>%.</w:t>
      </w:r>
    </w:p>
    <w:p w14:paraId="7703A0C8" w14:textId="77777777" w:rsidR="00D5219A" w:rsidRPr="00D5219A" w:rsidRDefault="00D5219A" w:rsidP="00D5219A">
      <w:pPr>
        <w:rPr>
          <w:lang w:val="ar-SA" w:bidi="ar-EG"/>
        </w:rPr>
      </w:pPr>
      <w:r w:rsidRPr="00D5219A">
        <w:rPr>
          <w:rtl/>
        </w:rPr>
        <w:t>وفي 2024، بلغت المساهمات المدفوعة إلى الصندوق 27,3 مليون فرنك سويسري (31,1 مليون فرنك سويسري) (27,2 مليون دولار أمريكي أو 30,3 مليون دولار أمريكي في 2023). وتبلغ المساهمات المتوقعة المستحقة في 2025 حوالي 28,5 مليون فرنك سويسري (31,6 مليون دولار أمريكي).</w:t>
      </w:r>
    </w:p>
    <w:p w14:paraId="613C1F00" w14:textId="77777777" w:rsidR="00D5219A" w:rsidRPr="00D5219A" w:rsidRDefault="00D5219A" w:rsidP="00D5219A">
      <w:pPr>
        <w:rPr>
          <w:lang w:val="ar-SA" w:bidi="ar-EG"/>
        </w:rPr>
      </w:pPr>
      <w:r w:rsidRPr="00D5219A">
        <w:rPr>
          <w:rtl/>
        </w:rPr>
        <w:t>ويجوز إنهاء العضوية في الصندوق بموجب قرار من الجمعية العامة للأمم المتحدة بناءً على توصية إيجابية من مجلس صندوق المعاشات التقاعدية. وتُدفع حصة تناسبية من إجمالي أصول الصندوق في تاريخ الإنهاء للمنظمة العضو السابقة لفائدة موظفيها حصراً الذين كانوا مشاركين في الصندوق في ذلك التاريخ، وفقاً لترتيب متفق عليه بين المنظمة والصندوق. ويحدد المبلغ من جانب الصندوق المشترك للمعاشات التقاعدية لموظفي الأمم المتحدة استناداً إلى تقييم إكتواري لأصول وخصوم الصندوق في تاريخ الإنهاء؛ ولا يُدرج في المبلغ أي جزء من الأصول التي تتجاوز الخصوم.</w:t>
      </w:r>
    </w:p>
    <w:p w14:paraId="5A7E3710" w14:textId="77777777" w:rsidR="00D5219A" w:rsidRPr="00D5219A" w:rsidRDefault="00D5219A" w:rsidP="00D5219A">
      <w:pPr>
        <w:rPr>
          <w:lang w:val="ar-SA" w:bidi="ar-EG"/>
        </w:rPr>
      </w:pPr>
      <w:r w:rsidRPr="00D5219A">
        <w:rPr>
          <w:rtl/>
        </w:rPr>
        <w:t xml:space="preserve">ويقوم مجلس مراجعي حسابات الأمم المتحدة بمراجعة سنوية لحسابات هذا الصندوق ويقدم تقاريره إلى مجلس صندوق المعاشات والجمعية العامة للأمم المتحدة عن مراجعة الحسابات هذه كل عام. وينشر الصندوق تقارير فصلية عن استثماراته، ويمكن الاطلاع على هذه التقارير بزيارة موقع الصندوق في العنوان </w:t>
      </w:r>
      <w:hyperlink r:id="rId58">
        <w:r w:rsidRPr="00D5219A">
          <w:rPr>
            <w:rStyle w:val="Hyperlink"/>
            <w:noProof w:val="0"/>
            <w:lang w:val="en-US" w:eastAsia="zh-CN" w:bidi="ar-EG"/>
          </w:rPr>
          <w:t>www.unjspf.org</w:t>
        </w:r>
      </w:hyperlink>
      <w:r w:rsidRPr="00D5219A">
        <w:rPr>
          <w:rtl/>
        </w:rPr>
        <w:t>.</w:t>
      </w:r>
    </w:p>
    <w:p w14:paraId="37134884" w14:textId="77777777" w:rsidR="00D5219A" w:rsidRPr="00D5219A" w:rsidRDefault="00D5219A" w:rsidP="00D77849">
      <w:pPr>
        <w:pStyle w:val="Tabletitle0"/>
        <w:rPr>
          <w:lang w:val="ar-SA" w:bidi="ar-EG"/>
        </w:rPr>
      </w:pPr>
      <w:r w:rsidRPr="00D5219A">
        <w:rPr>
          <w:rtl/>
        </w:rPr>
        <w:t>موجز المساهمات في الصندوق في الفترة من 1 يناير إلى 31 ديسمبر 2024</w:t>
      </w:r>
    </w:p>
    <w:p w14:paraId="79D1B269" w14:textId="77777777" w:rsidR="00D5219A" w:rsidRPr="00D5219A" w:rsidRDefault="00D5219A" w:rsidP="00D77849">
      <w:pPr>
        <w:pStyle w:val="Figure"/>
        <w:rPr>
          <w:b/>
          <w:bCs/>
          <w:lang w:bidi="ar-EG"/>
        </w:rPr>
      </w:pPr>
      <w:r w:rsidRPr="00D77849">
        <w:drawing>
          <wp:inline distT="0" distB="0" distL="0" distR="0" wp14:anchorId="192AC222" wp14:editId="2049113D">
            <wp:extent cx="4780229" cy="1395582"/>
            <wp:effectExtent l="0" t="0" r="1905" b="0"/>
            <wp:docPr id="109198123" name="Picture 4" descr="A blue and black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23" name="Picture 4" descr="A blue and black car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17122" cy="1406353"/>
                    </a:xfrm>
                    <a:prstGeom prst="rect">
                      <a:avLst/>
                    </a:prstGeom>
                    <a:noFill/>
                  </pic:spPr>
                </pic:pic>
              </a:graphicData>
            </a:graphic>
          </wp:inline>
        </w:drawing>
      </w:r>
    </w:p>
    <w:p w14:paraId="7CB66AC4" w14:textId="77777777" w:rsidR="00D5219A" w:rsidRPr="00D5219A" w:rsidRDefault="00D5219A" w:rsidP="00D5219A">
      <w:pPr>
        <w:rPr>
          <w:u w:val="single"/>
          <w:lang w:val="ar-SA" w:bidi="ar-EG"/>
        </w:rPr>
      </w:pPr>
      <w:r w:rsidRPr="00D5219A">
        <w:rPr>
          <w:u w:val="single"/>
          <w:rtl/>
        </w:rPr>
        <w:t>الالتزامات فيما يتعلق بالاستحقاقات الأخرى للموظفين</w:t>
      </w:r>
    </w:p>
    <w:p w14:paraId="7D2ACE85" w14:textId="77777777" w:rsidR="00D5219A" w:rsidRPr="00D5219A" w:rsidRDefault="00D5219A" w:rsidP="00D5219A">
      <w:pPr>
        <w:rPr>
          <w:lang w:val="ar-SA" w:bidi="ar-EG"/>
        </w:rPr>
      </w:pPr>
      <w:r w:rsidRPr="00D5219A">
        <w:rPr>
          <w:rtl/>
        </w:rPr>
        <w:t>قبل إنشاء الصندوق المشترك للمعاشات التقاعدية لموظفي الأمم المتحدة وانضمام الاتحاد إليه، كان الاتحاد قد أنشأ صندوقين لتقديم استحقاقات في حالة التقاعد أو الوفاة أو العجز وكذلك التأمين الصحي لموظفيه. وكان الصندوقان اللذان أنشأهما الاتحاد يعملان في شكل صندوق مغلق منذ انضمام الاتحاد إلى الصندوقين المذكورين أعلاه. والالتزامات مدرجة في بند الخصوم في الأجل الطويل. وقد أبرمت اتفاقيتان بين الاتحاد وهذين الصندوقين حرصاً على ضمان تمويلهما.</w:t>
      </w:r>
    </w:p>
    <w:p w14:paraId="6E41C51E" w14:textId="7B80D47E" w:rsidR="00D5219A" w:rsidRPr="00D5219A" w:rsidRDefault="00D5219A" w:rsidP="00D5219A">
      <w:pPr>
        <w:rPr>
          <w:lang w:val="ar-SA" w:bidi="ar-EG"/>
        </w:rPr>
      </w:pPr>
      <w:r w:rsidRPr="00D5219A">
        <w:rPr>
          <w:rtl/>
        </w:rPr>
        <w:lastRenderedPageBreak/>
        <w:t xml:space="preserve">وفي عام 2024، لم يستصوب الاتحاد جدوى التماس دراسة إكتوارية جديدة لصندوق تأمينات الموظفين. وفي 31 ديسمبر 2024، بقي الاحتياطي من أجل الالتزامات الناجمة عن المعاشات التقاعدية الراهنة لقدامى الموظفين المشاركين في صندوق التأمينات المقيدة في عام 2010 بمقدار </w:t>
      </w:r>
      <w:r w:rsidR="00F01D1F">
        <w:t>54 000</w:t>
      </w:r>
      <w:r w:rsidRPr="00D5219A">
        <w:rPr>
          <w:rtl/>
        </w:rPr>
        <w:t xml:space="preserve"> فرنك سويسري دون تغيير.</w:t>
      </w:r>
    </w:p>
    <w:p w14:paraId="29E5B324" w14:textId="77777777" w:rsidR="00901AD0" w:rsidRDefault="00D5219A" w:rsidP="009F4F01">
      <w:pPr>
        <w:pStyle w:val="Heading1"/>
        <w:rPr>
          <w:rtl/>
        </w:rPr>
      </w:pPr>
      <w:bookmarkStart w:id="305" w:name="_Toc1506214376"/>
      <w:bookmarkStart w:id="306" w:name="_Toc196292789"/>
      <w:bookmarkStart w:id="307" w:name="_Toc305764100"/>
      <w:bookmarkStart w:id="308" w:name="_Toc201043156"/>
      <w:r w:rsidRPr="00D5219A">
        <w:rPr>
          <w:rtl/>
        </w:rPr>
        <w:t>الملاحظة 17</w:t>
      </w:r>
      <w:r w:rsidRPr="00D5219A">
        <w:rPr>
          <w:rtl/>
        </w:rPr>
        <w:tab/>
        <w:t>خصوم أخرى</w:t>
      </w:r>
      <w:bookmarkEnd w:id="305"/>
      <w:bookmarkEnd w:id="306"/>
      <w:bookmarkEnd w:id="307"/>
      <w:bookmarkEnd w:id="308"/>
    </w:p>
    <w:p w14:paraId="1FFF395F" w14:textId="261C61EE" w:rsidR="00D5219A" w:rsidRPr="00D5219A" w:rsidRDefault="00D5219A" w:rsidP="00D5219A">
      <w:pPr>
        <w:rPr>
          <w:bCs/>
          <w:lang w:val="ar-SA" w:bidi="ar-EG"/>
        </w:rPr>
      </w:pPr>
      <w:bookmarkStart w:id="309" w:name="_Toc305764101"/>
      <w:r w:rsidRPr="00D5219A">
        <w:rPr>
          <w:rtl/>
        </w:rPr>
        <w:t>تعزى الزيادة في الحسابات المستحقة الدفع إلى زيادة النشاط قرب نهاية السنة وزيادة المبالغ المستحقة الدفع لمّا يزل يتعين سدادها إلى الاتفاقات المشتركة بين الوكالات.</w:t>
      </w:r>
    </w:p>
    <w:p w14:paraId="7BA92057" w14:textId="77777777" w:rsidR="00901AD0" w:rsidRDefault="00D5219A" w:rsidP="00D5219A">
      <w:pPr>
        <w:rPr>
          <w:bCs/>
          <w:lang w:val="ar-SA" w:bidi="ar-EG"/>
        </w:rPr>
      </w:pPr>
      <w:r w:rsidRPr="00D5219A">
        <w:rPr>
          <w:rtl/>
        </w:rPr>
        <w:t>ويعزى الانخفاض في الالتزامات المتنوعة تجاه الموظفين إلى انخفاض الالتزامات غير المسددة المتصلة باتفاقات الخدمة الخاصة الجارية والاقتطاعات من مدفوعات انتهاء خدمة الموظفين.</w:t>
      </w:r>
    </w:p>
    <w:p w14:paraId="0BD39733" w14:textId="46A51FD8" w:rsidR="00D5219A" w:rsidRPr="00D5219A" w:rsidRDefault="009B00BD" w:rsidP="009B00BD">
      <w:pPr>
        <w:pStyle w:val="Figure"/>
        <w:rPr>
          <w:lang w:bidi="ar-EG"/>
        </w:rPr>
      </w:pPr>
      <w:r w:rsidRPr="009B00BD">
        <w:drawing>
          <wp:inline distT="0" distB="0" distL="0" distR="0" wp14:anchorId="793EBF69" wp14:editId="7E26918F">
            <wp:extent cx="4901565" cy="1938655"/>
            <wp:effectExtent l="0" t="0" r="0" b="4445"/>
            <wp:docPr id="804792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01565" cy="1938655"/>
                    </a:xfrm>
                    <a:prstGeom prst="rect">
                      <a:avLst/>
                    </a:prstGeom>
                    <a:noFill/>
                  </pic:spPr>
                </pic:pic>
              </a:graphicData>
            </a:graphic>
          </wp:inline>
        </w:drawing>
      </w:r>
    </w:p>
    <w:p w14:paraId="2A65FDFF" w14:textId="77777777" w:rsidR="00901AD0" w:rsidRDefault="00D5219A" w:rsidP="00D5219A">
      <w:pPr>
        <w:rPr>
          <w:rtl/>
        </w:rPr>
      </w:pPr>
      <w:r w:rsidRPr="00D5219A">
        <w:rPr>
          <w:rtl/>
        </w:rPr>
        <w:t>ويمثل هذا الحساب الاحتياطي أفضل تقدير للإدارة، في تاريخ الإقفال، للالتزامات المستقبلية المرتبطة بالأحداث الماضية التي يشوبها عدم يقين بشأن القيمة النهائية لتدفقات موارد الاتحاد إلى الخارج وتوقيتها.</w:t>
      </w:r>
    </w:p>
    <w:p w14:paraId="06024BA4" w14:textId="3DDB3C8F" w:rsidR="00D5219A" w:rsidRPr="00D5219A" w:rsidRDefault="00D5219A" w:rsidP="00D5219A">
      <w:pPr>
        <w:rPr>
          <w:bCs/>
          <w:lang w:val="ar-SA" w:bidi="ar-EG"/>
        </w:rPr>
      </w:pPr>
      <w:r w:rsidRPr="00D5219A">
        <w:rPr>
          <w:rtl/>
        </w:rPr>
        <w:t>وعلى وجه التحديد، يشمل ’1‘ الحساب الاحتياطي المخصص للمخاطر والنفقات الإدارية المرتبطة بالدعاوى الجارية المتعلقة بالقضايا التي تبلغها المحكمة بشكل دوري، ’2‘ الحساب الاحتياطي المخصص للمنشورات المجانية غير المطالب بها والتي يحق للإدارات طلبها لبطاقات التبليغ عن الشبكات الساتلية (</w:t>
      </w:r>
      <w:r w:rsidRPr="00D5219A">
        <w:rPr>
          <w:lang w:bidi="ar-EG"/>
        </w:rPr>
        <w:t>SNF</w:t>
      </w:r>
      <w:r w:rsidRPr="00D5219A">
        <w:rPr>
          <w:rtl/>
        </w:rPr>
        <w:t>)، و’3‘ الحساب الاحتياطي المخصص لإنهاء الرعاية البالغة</w:t>
      </w:r>
      <w:r w:rsidR="009B00BD">
        <w:rPr>
          <w:rFonts w:hint="eastAsia"/>
          <w:rtl/>
          <w:lang w:bidi="ar-EG"/>
        </w:rPr>
        <w:t> </w:t>
      </w:r>
      <w:r w:rsidRPr="00D5219A">
        <w:rPr>
          <w:rtl/>
        </w:rPr>
        <w:t>5,0 مليون فرنك سويسري المستلمة لمشروع المبنى الجديد.</w:t>
      </w:r>
    </w:p>
    <w:p w14:paraId="211C7664" w14:textId="77777777" w:rsidR="00D5219A" w:rsidRPr="00D5219A" w:rsidRDefault="00D5219A" w:rsidP="00D5219A">
      <w:pPr>
        <w:rPr>
          <w:lang w:val="ar-SA" w:bidi="ar-EG"/>
        </w:rPr>
      </w:pPr>
      <w:r w:rsidRPr="00D5219A">
        <w:rPr>
          <w:rtl/>
        </w:rPr>
        <w:t>وهذا الحساب الاحتياطي إما سيستخدم أو سيلغي كلياً خلال الفترة المالية 2025.</w:t>
      </w:r>
    </w:p>
    <w:p w14:paraId="5BF69A4C" w14:textId="63B1B3B3" w:rsidR="00D5219A" w:rsidRPr="00D5219A" w:rsidRDefault="00733A6B" w:rsidP="008B286B">
      <w:pPr>
        <w:pStyle w:val="Figure"/>
        <w:rPr>
          <w:rtl/>
        </w:rPr>
      </w:pPr>
      <w:r>
        <w:drawing>
          <wp:inline distT="0" distB="0" distL="0" distR="0" wp14:anchorId="3FEBA395" wp14:editId="3347CC5E">
            <wp:extent cx="6120000" cy="1569600"/>
            <wp:effectExtent l="0" t="0" r="0" b="0"/>
            <wp:docPr id="18761239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000" cy="1569600"/>
                    </a:xfrm>
                    <a:prstGeom prst="rect">
                      <a:avLst/>
                    </a:prstGeom>
                    <a:noFill/>
                  </pic:spPr>
                </pic:pic>
              </a:graphicData>
            </a:graphic>
          </wp:inline>
        </w:drawing>
      </w:r>
    </w:p>
    <w:p w14:paraId="6071E2F8" w14:textId="2F83E9C4" w:rsidR="00D5219A" w:rsidRPr="00D5219A" w:rsidRDefault="00D5219A" w:rsidP="009F4F01">
      <w:pPr>
        <w:pStyle w:val="Heading1"/>
        <w:rPr>
          <w:lang w:bidi="ar-EG"/>
        </w:rPr>
      </w:pPr>
      <w:bookmarkStart w:id="310" w:name="_Toc1546949396"/>
      <w:bookmarkStart w:id="311" w:name="_Toc196292790"/>
      <w:bookmarkStart w:id="312" w:name="_Toc201043157"/>
      <w:bookmarkEnd w:id="309"/>
      <w:r w:rsidRPr="00D5219A">
        <w:rPr>
          <w:rtl/>
        </w:rPr>
        <w:t>الملاحظة 18</w:t>
      </w:r>
      <w:r w:rsidR="00901AD0">
        <w:rPr>
          <w:rtl/>
        </w:rPr>
        <w:tab/>
      </w:r>
      <w:r w:rsidRPr="00D5219A">
        <w:rPr>
          <w:rtl/>
        </w:rPr>
        <w:t>الإيرادات</w:t>
      </w:r>
      <w:bookmarkEnd w:id="310"/>
      <w:bookmarkEnd w:id="311"/>
      <w:bookmarkEnd w:id="312"/>
    </w:p>
    <w:p w14:paraId="0C1D2115" w14:textId="77777777" w:rsidR="00D5219A" w:rsidRPr="00D5219A" w:rsidRDefault="00D5219A" w:rsidP="00733A6B">
      <w:pPr>
        <w:pStyle w:val="Headingb0"/>
        <w:rPr>
          <w:lang w:val="ar-SA" w:bidi="ar-EG"/>
        </w:rPr>
      </w:pPr>
      <w:r w:rsidRPr="00D5219A">
        <w:rPr>
          <w:rtl/>
        </w:rPr>
        <w:t>المساهمات المقررة</w:t>
      </w:r>
    </w:p>
    <w:p w14:paraId="548AE610" w14:textId="77777777" w:rsidR="00D5219A" w:rsidRPr="00D5219A" w:rsidRDefault="00D5219A" w:rsidP="000D30D9">
      <w:pPr>
        <w:keepNext/>
        <w:rPr>
          <w:lang w:val="ar-SA" w:bidi="ar-EG"/>
        </w:rPr>
      </w:pPr>
      <w:r w:rsidRPr="00D5219A">
        <w:rPr>
          <w:rtl/>
        </w:rPr>
        <w:t>أقر المجلس، في القرار 1417 الذي اعتمده في دورته لعام 2023، ميزانية الاتحاد للفترة 2024-2025.</w:t>
      </w:r>
    </w:p>
    <w:p w14:paraId="6FA8DFEE" w14:textId="1ACDF1AD" w:rsidR="00D5219A" w:rsidRPr="00D5219A" w:rsidRDefault="00D5219A" w:rsidP="00D5219A">
      <w:pPr>
        <w:rPr>
          <w:lang w:val="ar-SA" w:bidi="ar-EG"/>
        </w:rPr>
      </w:pPr>
      <w:r w:rsidRPr="00D5219A">
        <w:rPr>
          <w:rtl/>
        </w:rPr>
        <w:t>وتتماشى إيرادات عام 2024 المتأتية من الدول الأعضاء مع الخطة المالية التي عُرضت في مؤتمر المندوبين المفوضين لعام</w:t>
      </w:r>
      <w:r w:rsidR="00733A6B">
        <w:rPr>
          <w:rFonts w:hint="eastAsia"/>
          <w:rtl/>
          <w:lang w:bidi="ar-EG"/>
        </w:rPr>
        <w:t> </w:t>
      </w:r>
      <w:r w:rsidRPr="00D5219A">
        <w:rPr>
          <w:rtl/>
        </w:rPr>
        <w:t>2022. وتقوم المساهمات المقررة من الدول الأعضاء على أساس 356 وحدة.</w:t>
      </w:r>
    </w:p>
    <w:p w14:paraId="2CD1A610" w14:textId="77777777" w:rsidR="00901AD0" w:rsidRDefault="00D5219A" w:rsidP="00D5219A">
      <w:pPr>
        <w:rPr>
          <w:rtl/>
        </w:rPr>
      </w:pPr>
      <w:r w:rsidRPr="00D5219A">
        <w:rPr>
          <w:rtl/>
        </w:rPr>
        <w:lastRenderedPageBreak/>
        <w:t>ثُبِّتت مساهمات من أجل</w:t>
      </w:r>
      <w:r w:rsidRPr="00D5219A">
        <w:rPr>
          <w:lang w:bidi="ar-EG"/>
        </w:rPr>
        <w:t>:</w:t>
      </w:r>
    </w:p>
    <w:p w14:paraId="6EE83D77" w14:textId="32B42FE7" w:rsidR="00D5219A" w:rsidRPr="00D5219A" w:rsidRDefault="000D373F" w:rsidP="000D373F">
      <w:pPr>
        <w:pStyle w:val="enumlev1"/>
        <w:rPr>
          <w:lang w:val="ar-SA" w:bidi="ar-EG"/>
        </w:rPr>
      </w:pPr>
      <w:r>
        <w:sym w:font="Wingdings 2" w:char="F097"/>
      </w:r>
      <w:r>
        <w:tab/>
      </w:r>
      <w:r w:rsidR="00D5219A" w:rsidRPr="00D5219A">
        <w:rPr>
          <w:rtl/>
        </w:rPr>
        <w:t>الجمعية العالمية لمعايير الاتصالات (WTSA-24) المنعقدة في دلهي، الهند. وغطت حكومة الهند تكاليف النقل والإقامة لجميع موظفي الاتحاد الذين سافروا إلى هناك. ووفرت الحكومة أيضاً بشكل مباشر جميع الترتيبات اللوجستية والأمن لجميع المشاركين.</w:t>
      </w:r>
    </w:p>
    <w:p w14:paraId="5E8AE914" w14:textId="6C721AD7" w:rsidR="00D5219A" w:rsidRPr="00D5219A" w:rsidRDefault="000D373F" w:rsidP="000D373F">
      <w:pPr>
        <w:pStyle w:val="enumlev1"/>
        <w:rPr>
          <w:lang w:val="ar-SA" w:bidi="ar-EG"/>
        </w:rPr>
      </w:pPr>
      <w:r>
        <w:sym w:font="Wingdings 2" w:char="F097"/>
      </w:r>
      <w:r>
        <w:tab/>
      </w:r>
      <w:r w:rsidR="00D5219A" w:rsidRPr="00D5219A">
        <w:rPr>
          <w:rtl/>
        </w:rPr>
        <w:t>الندوة العالمية لمنظمي الاتصالات (GSR-24)، التي عقدت في كمبالا، أوغندا. وفقاً لاتفاق البلد المضيف، مولت الحكومة الأوغندية تكاليف النقل والإقامة لجميع موظفي الاتحاد الذين سافروا إلى هناك، ووفرت بشكل مباشر اللوجستيات والأمن لجميع المشاركين.</w:t>
      </w:r>
    </w:p>
    <w:p w14:paraId="121C7F02" w14:textId="0DBDD371" w:rsidR="00D5219A" w:rsidRPr="00D5219A" w:rsidRDefault="00D5219A" w:rsidP="000D373F">
      <w:pPr>
        <w:keepNext/>
        <w:rPr>
          <w:lang w:val="ar-SA" w:bidi="ar-EG"/>
        </w:rPr>
      </w:pPr>
      <w:r w:rsidRPr="00D5219A">
        <w:rPr>
          <w:rtl/>
        </w:rPr>
        <w:t>ويعرض الجدول التالي المساهمات المقررة المسجَّلة في الحساب في عامَي 2024 و2023.</w:t>
      </w:r>
    </w:p>
    <w:p w14:paraId="6A4121ED" w14:textId="77777777" w:rsidR="00D5219A" w:rsidRPr="00D5219A" w:rsidRDefault="00D5219A" w:rsidP="000D373F">
      <w:pPr>
        <w:pStyle w:val="Figure"/>
        <w:rPr>
          <w:lang w:bidi="ar-EG"/>
        </w:rPr>
      </w:pPr>
      <w:bookmarkStart w:id="313" w:name="_Toc305764104"/>
      <w:bookmarkStart w:id="314" w:name="_Toc305778514"/>
      <w:r w:rsidRPr="000D373F">
        <w:drawing>
          <wp:inline distT="0" distB="0" distL="0" distR="0" wp14:anchorId="42F5788A" wp14:editId="0BD4F396">
            <wp:extent cx="4810108" cy="1991762"/>
            <wp:effectExtent l="0" t="0" r="0" b="8890"/>
            <wp:docPr id="1821512990" name="Picture 7" descr="A blue rectangular frame with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12990" name="Picture 7" descr="A blue rectangular frame with black rectangl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3393" cy="1993122"/>
                    </a:xfrm>
                    <a:prstGeom prst="rect">
                      <a:avLst/>
                    </a:prstGeom>
                    <a:noFill/>
                  </pic:spPr>
                </pic:pic>
              </a:graphicData>
            </a:graphic>
          </wp:inline>
        </w:drawing>
      </w:r>
    </w:p>
    <w:p w14:paraId="5FBF75C2" w14:textId="77777777" w:rsidR="00D5219A" w:rsidRPr="00D5219A" w:rsidRDefault="00D5219A" w:rsidP="000D373F">
      <w:pPr>
        <w:pStyle w:val="Headingi"/>
        <w:rPr>
          <w:lang w:val="ar-SA" w:bidi="ar-EG"/>
        </w:rPr>
      </w:pPr>
      <w:r w:rsidRPr="00D5219A">
        <w:rPr>
          <w:rtl/>
        </w:rPr>
        <w:t>المساهمات من خارج الميزانية</w:t>
      </w:r>
    </w:p>
    <w:p w14:paraId="4F158C8F" w14:textId="77777777" w:rsidR="00D5219A" w:rsidRPr="00D5219A" w:rsidRDefault="00D5219A" w:rsidP="00D5219A">
      <w:pPr>
        <w:rPr>
          <w:lang w:val="ar-SA" w:bidi="ar-EG"/>
        </w:rPr>
      </w:pPr>
      <w:r w:rsidRPr="00D5219A">
        <w:rPr>
          <w:rtl/>
        </w:rPr>
        <w:t>المساهمات الطوعية ومساهمات الصناديق الاستئمانية هي مصادر تمويل من أطراف ثالثة لدعم الاتحاد في تنفيذ مشاريع التنمية لصالح البلدان النامية، بما في ذلك أقل البلدان نموا والدول الجزرية الصغيرة النامية والبلدان النامية غير الساحلية والبلدان التي تمر اقتصاداتها بمرحلة انتقالية، وتكمل ميزانية الاتحاد للأنشطة العادية.</w:t>
      </w:r>
    </w:p>
    <w:p w14:paraId="08BE382C" w14:textId="77777777" w:rsidR="00D5219A" w:rsidRPr="00D5219A" w:rsidRDefault="00D5219A" w:rsidP="000D373F">
      <w:pPr>
        <w:pStyle w:val="Figure"/>
        <w:rPr>
          <w:lang w:bidi="ar-EG"/>
        </w:rPr>
      </w:pPr>
      <w:r w:rsidRPr="000D373F">
        <w:drawing>
          <wp:inline distT="0" distB="0" distL="0" distR="0" wp14:anchorId="463E93CD" wp14:editId="03917FB0">
            <wp:extent cx="4816444" cy="1611578"/>
            <wp:effectExtent l="0" t="0" r="3810" b="8255"/>
            <wp:docPr id="1571811246" name="Picture 8" descr="A blue rectangle with black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11246" name="Picture 8" descr="A blue rectangle with black rectangle&#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2780" cy="1617044"/>
                    </a:xfrm>
                    <a:prstGeom prst="rect">
                      <a:avLst/>
                    </a:prstGeom>
                    <a:noFill/>
                  </pic:spPr>
                </pic:pic>
              </a:graphicData>
            </a:graphic>
          </wp:inline>
        </w:drawing>
      </w:r>
    </w:p>
    <w:p w14:paraId="047DAAE2" w14:textId="77777777" w:rsidR="00D5219A" w:rsidRPr="000D373F" w:rsidRDefault="00D5219A" w:rsidP="000D373F">
      <w:pPr>
        <w:pStyle w:val="Headingi"/>
      </w:pPr>
      <w:r w:rsidRPr="00D5219A">
        <w:rPr>
          <w:rtl/>
        </w:rPr>
        <w:t>إيرادات التشغيل الأخرى</w:t>
      </w:r>
    </w:p>
    <w:p w14:paraId="022AF443" w14:textId="77777777" w:rsidR="00901AD0" w:rsidRDefault="00D5219A" w:rsidP="00D5219A">
      <w:pPr>
        <w:rPr>
          <w:rtl/>
        </w:rPr>
      </w:pPr>
      <w:r w:rsidRPr="00D5219A">
        <w:rPr>
          <w:rtl/>
        </w:rPr>
        <w:t>وفي عام 2024، بلغت إيرادات مبيعاتنا من المنشورات 19,2 مليون فرنك سويسري، متجاوزة مبيعات العام السابق بمبلغ 2,5 مليون فرنك سويسري. وتعزى هذه الزيادة في معظمها إلى توقيت منشورات الفترة وبشكل أكثر تحديدا إلى إصدار الدليل البحري ومنشورات لوائح الراديو التي حدثت في الربع الأخير من العام.</w:t>
      </w:r>
    </w:p>
    <w:p w14:paraId="484EF81D" w14:textId="4CE3387E" w:rsidR="00901AD0" w:rsidRDefault="00D5219A" w:rsidP="00D5219A">
      <w:pPr>
        <w:rPr>
          <w:rtl/>
        </w:rPr>
      </w:pPr>
      <w:r w:rsidRPr="00D5219A">
        <w:rPr>
          <w:rtl/>
        </w:rPr>
        <w:t>ويعزى الانخفاض في إيرادات بطاقات التبليغ عن الشبكات الساتلية أساسا</w:t>
      </w:r>
      <w:r w:rsidR="00D97434">
        <w:rPr>
          <w:rFonts w:hint="cs"/>
          <w:rtl/>
        </w:rPr>
        <w:t>ً</w:t>
      </w:r>
      <w:r w:rsidRPr="00D5219A">
        <w:rPr>
          <w:rtl/>
        </w:rPr>
        <w:t xml:space="preserve"> إلى التأخير في المنشورات النهائية (يتم تسجيل الإيرادات في الوقت الذي تحدث فيه المنشورات النهائية للتبليغ في النشرة الإعلامية الدولية للترددات (</w:t>
      </w:r>
      <w:r w:rsidRPr="00D5219A">
        <w:rPr>
          <w:lang w:bidi="ar-EG"/>
        </w:rPr>
        <w:t>IFIC</w:t>
      </w:r>
      <w:r w:rsidRPr="00D5219A">
        <w:rPr>
          <w:rtl/>
        </w:rPr>
        <w:t>) الصادرة عن مكتب الاتصالات الراديوية). وأتى ذلك نتيجة لقرارات المؤتمر WRC-23 التي طلبت إدخال تعديلات على البرمجيات ذات الصلة إلى جانب زيادة في التبليغات في عام 2024.</w:t>
      </w:r>
    </w:p>
    <w:p w14:paraId="18C537B7" w14:textId="77777777" w:rsidR="00901AD0" w:rsidRDefault="00D5219A" w:rsidP="00D5219A">
      <w:pPr>
        <w:rPr>
          <w:rtl/>
        </w:rPr>
      </w:pPr>
      <w:r w:rsidRPr="00D5219A">
        <w:rPr>
          <w:rtl/>
        </w:rPr>
        <w:t>ويرجع الانخفاض في إيرادات التشغيل الأخرى في الغالب إلى الإيرادات المتعلقة بالمساهمات الواردة لمشروع المبنى الجديد في عام 2023 والتي لم يتم استلامها في العام الحالي.</w:t>
      </w:r>
    </w:p>
    <w:p w14:paraId="219E8591" w14:textId="189149B4" w:rsidR="00D5219A" w:rsidRPr="00D5219A" w:rsidRDefault="00D5219A" w:rsidP="000D373F">
      <w:pPr>
        <w:pStyle w:val="Figure"/>
        <w:rPr>
          <w:lang w:bidi="ar-EG"/>
        </w:rPr>
      </w:pPr>
      <w:r w:rsidRPr="000D373F">
        <w:lastRenderedPageBreak/>
        <w:drawing>
          <wp:inline distT="0" distB="0" distL="0" distR="0" wp14:anchorId="75EB5EA2" wp14:editId="7FDC2D45">
            <wp:extent cx="4759124" cy="2503817"/>
            <wp:effectExtent l="0" t="0" r="3810" b="0"/>
            <wp:docPr id="1601386928" name="Picture 9" descr="A blue rectangular frame with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86928" name="Picture 9" descr="A blue rectangular frame with black background&#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5569" cy="2507208"/>
                    </a:xfrm>
                    <a:prstGeom prst="rect">
                      <a:avLst/>
                    </a:prstGeom>
                    <a:noFill/>
                  </pic:spPr>
                </pic:pic>
              </a:graphicData>
            </a:graphic>
          </wp:inline>
        </w:drawing>
      </w:r>
    </w:p>
    <w:p w14:paraId="5976D0FC" w14:textId="4B28DC37" w:rsidR="00D5219A" w:rsidRPr="000D373F" w:rsidRDefault="00D5219A" w:rsidP="000D373F">
      <w:pPr>
        <w:pStyle w:val="Headingi"/>
      </w:pPr>
      <w:r w:rsidRPr="00D5219A">
        <w:rPr>
          <w:rtl/>
        </w:rPr>
        <w:t>الإيرادات/(التكاليف) المالية</w:t>
      </w:r>
    </w:p>
    <w:p w14:paraId="3E3C2E10" w14:textId="1403AA80" w:rsidR="00D5219A" w:rsidRPr="00D5219A" w:rsidRDefault="00D5219A" w:rsidP="000D373F">
      <w:pPr>
        <w:rPr>
          <w:lang w:val="ar-SA" w:bidi="ar-EG"/>
        </w:rPr>
      </w:pPr>
      <w:r w:rsidRPr="00D5219A">
        <w:rPr>
          <w:rtl/>
        </w:rPr>
        <w:t>ظل سعر الفائدة على الودائع القصيرة الأجل بالدولار الأمريكي واليورو مستقرا</w:t>
      </w:r>
      <w:r w:rsidR="00D97434">
        <w:rPr>
          <w:rFonts w:hint="cs"/>
          <w:rtl/>
        </w:rPr>
        <w:t>ً</w:t>
      </w:r>
      <w:r w:rsidRPr="00D5219A">
        <w:rPr>
          <w:rtl/>
        </w:rPr>
        <w:t xml:space="preserve"> نسبيا</w:t>
      </w:r>
      <w:r w:rsidR="00D97434">
        <w:rPr>
          <w:rFonts w:hint="cs"/>
          <w:rtl/>
        </w:rPr>
        <w:t>ً</w:t>
      </w:r>
      <w:r w:rsidRPr="00D5219A">
        <w:rPr>
          <w:rtl/>
        </w:rPr>
        <w:t xml:space="preserve"> طوال العام ومقارنة بالعام السابق مما سمح بدخل استثماري مماثل يبلغ حوالي 4,6 مليون فرنك سويسري.</w:t>
      </w:r>
    </w:p>
    <w:p w14:paraId="25BFDF7A" w14:textId="03D5B82F" w:rsidR="00D5219A" w:rsidRPr="00D5219A" w:rsidRDefault="00D5219A" w:rsidP="000D373F">
      <w:pPr>
        <w:rPr>
          <w:lang w:val="ar-SA" w:bidi="ar-EG"/>
        </w:rPr>
      </w:pPr>
      <w:r w:rsidRPr="00D5219A">
        <w:rPr>
          <w:rtl/>
        </w:rPr>
        <w:t>ويحتفظ بالاستثمارات في الغالب بالدولار الأمريكي واليورو، ونتيجة لذلك، سجل الاتحاد في عام 2024 أرباحاً في صرف العملات الأجنبية من الاستثمارات بمبلغ إجمالي قدره 3,9 مليون فرنك سويسري، مقارنة</w:t>
      </w:r>
      <w:r w:rsidR="006B3839">
        <w:rPr>
          <w:rFonts w:hint="cs"/>
          <w:rtl/>
        </w:rPr>
        <w:t>ً</w:t>
      </w:r>
      <w:r w:rsidRPr="00D5219A">
        <w:rPr>
          <w:rtl/>
        </w:rPr>
        <w:t xml:space="preserve"> بخسائر قدرها 6,2 مليون فرنك سويسري في</w:t>
      </w:r>
      <w:r w:rsidR="00D22940">
        <w:rPr>
          <w:rFonts w:hint="eastAsia"/>
          <w:rtl/>
          <w:lang w:bidi="ar-EG"/>
        </w:rPr>
        <w:t> </w:t>
      </w:r>
      <w:r w:rsidRPr="00D5219A">
        <w:rPr>
          <w:rtl/>
        </w:rPr>
        <w:t>عام 2023 تعزى في معظمها إلى الاتجاه الأكثر ملاءمة لأسعار صرف الفرنك السويسري مقارنة بالدولار الأمريكي.</w:t>
      </w:r>
    </w:p>
    <w:p w14:paraId="4CECFF9F" w14:textId="1CBFC42D" w:rsidR="00D5219A" w:rsidRPr="00D5219A" w:rsidRDefault="00D5219A" w:rsidP="000D373F">
      <w:pPr>
        <w:rPr>
          <w:lang w:val="ar-SA" w:bidi="ar-EG"/>
        </w:rPr>
      </w:pPr>
      <w:r w:rsidRPr="00D5219A">
        <w:rPr>
          <w:rtl/>
        </w:rPr>
        <w:t>ونتجت أرباح صرف العملات الأجنبية من العمليات المسجلة في عام 2024 من اتجاه صرف العملات الأجنبية كما هو مبيَّن فيما يخص الاستثمارات، وضعف الفرنك السويسري مقارنة</w:t>
      </w:r>
      <w:r w:rsidR="006B3839">
        <w:rPr>
          <w:rFonts w:hint="cs"/>
          <w:rtl/>
        </w:rPr>
        <w:t>ً</w:t>
      </w:r>
      <w:r w:rsidRPr="00D5219A">
        <w:rPr>
          <w:rtl/>
        </w:rPr>
        <w:t xml:space="preserve"> بالدولار الأمريكي.</w:t>
      </w:r>
    </w:p>
    <w:p w14:paraId="3B17485C" w14:textId="39F967F8" w:rsidR="00D5219A" w:rsidRPr="00D5219A" w:rsidRDefault="00D5219A" w:rsidP="000D373F">
      <w:pPr>
        <w:rPr>
          <w:lang w:val="ar-SA" w:bidi="ar-EG"/>
        </w:rPr>
      </w:pPr>
      <w:r w:rsidRPr="00D5219A">
        <w:rPr>
          <w:rtl/>
        </w:rPr>
        <w:t xml:space="preserve">وفي نهاية عام 2024 بلغ معدل سندات الحكومة السويسرية لمدة 30 عاماً </w:t>
      </w:r>
      <w:r w:rsidR="006B3839">
        <w:t>%0,37</w:t>
      </w:r>
      <w:r w:rsidRPr="00D5219A">
        <w:rPr>
          <w:rtl/>
        </w:rPr>
        <w:t xml:space="preserve">، بينما كان </w:t>
      </w:r>
      <w:r w:rsidR="006B3839">
        <w:t>%0,50</w:t>
      </w:r>
      <w:r w:rsidRPr="00D5219A">
        <w:rPr>
          <w:rtl/>
        </w:rPr>
        <w:t xml:space="preserve"> في نهاية عام 2023. وأدى هذا الانخفاض إلى زيادة في الالتزامات المرتبطة بالقروض مقدارها 0,7 مليون فرنك سويسري.</w:t>
      </w:r>
    </w:p>
    <w:p w14:paraId="073FC3D9" w14:textId="7F56A722" w:rsidR="00D5219A" w:rsidRPr="00D5219A" w:rsidRDefault="006B3839" w:rsidP="008B286B">
      <w:pPr>
        <w:pStyle w:val="Figure"/>
        <w:rPr>
          <w:lang w:bidi="ar-EG"/>
        </w:rPr>
      </w:pPr>
      <w:r>
        <w:rPr>
          <w:lang w:bidi="ar-EG"/>
        </w:rPr>
        <w:drawing>
          <wp:inline distT="0" distB="0" distL="0" distR="0" wp14:anchorId="2B260B0C" wp14:editId="690F9637">
            <wp:extent cx="4895215" cy="1932305"/>
            <wp:effectExtent l="0" t="0" r="635" b="0"/>
            <wp:docPr id="17587590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95215" cy="1932305"/>
                    </a:xfrm>
                    <a:prstGeom prst="rect">
                      <a:avLst/>
                    </a:prstGeom>
                    <a:noFill/>
                  </pic:spPr>
                </pic:pic>
              </a:graphicData>
            </a:graphic>
          </wp:inline>
        </w:drawing>
      </w:r>
    </w:p>
    <w:p w14:paraId="2151E171" w14:textId="46697E0E" w:rsidR="00D5219A" w:rsidRPr="00D5219A" w:rsidRDefault="00D5219A" w:rsidP="009F4F01">
      <w:pPr>
        <w:pStyle w:val="Heading1"/>
        <w:rPr>
          <w:lang w:bidi="ar-EG"/>
        </w:rPr>
      </w:pPr>
      <w:bookmarkStart w:id="315" w:name="_Toc2116969957"/>
      <w:bookmarkStart w:id="316" w:name="_Toc196292791"/>
      <w:bookmarkStart w:id="317" w:name="_Toc201043158"/>
      <w:bookmarkStart w:id="318" w:name="_Toc305764108"/>
      <w:bookmarkEnd w:id="313"/>
      <w:bookmarkEnd w:id="314"/>
      <w:r w:rsidRPr="00D5219A">
        <w:rPr>
          <w:rtl/>
        </w:rPr>
        <w:t>الملاحظة 19</w:t>
      </w:r>
      <w:r w:rsidR="00901AD0">
        <w:rPr>
          <w:rtl/>
        </w:rPr>
        <w:tab/>
      </w:r>
      <w:r w:rsidRPr="00D5219A">
        <w:rPr>
          <w:rtl/>
        </w:rPr>
        <w:t>النفقات</w:t>
      </w:r>
      <w:bookmarkEnd w:id="315"/>
      <w:bookmarkEnd w:id="316"/>
      <w:bookmarkEnd w:id="317"/>
    </w:p>
    <w:p w14:paraId="5D42690A" w14:textId="77777777" w:rsidR="00D5219A" w:rsidRPr="006B3839" w:rsidRDefault="00D5219A" w:rsidP="006B3839">
      <w:pPr>
        <w:pStyle w:val="Headingi"/>
      </w:pPr>
      <w:bookmarkStart w:id="319" w:name="_Toc131156460"/>
      <w:r w:rsidRPr="00D5219A">
        <w:rPr>
          <w:rtl/>
        </w:rPr>
        <w:t>تكاليف الموظفين</w:t>
      </w:r>
      <w:bookmarkEnd w:id="318"/>
      <w:bookmarkEnd w:id="319"/>
    </w:p>
    <w:p w14:paraId="57C49F4A" w14:textId="77777777" w:rsidR="00D5219A" w:rsidRPr="00D5219A" w:rsidRDefault="00D5219A" w:rsidP="00D5219A">
      <w:pPr>
        <w:rPr>
          <w:lang w:val="ar-SA" w:bidi="ar-EG"/>
        </w:rPr>
      </w:pPr>
      <w:r w:rsidRPr="00D5219A">
        <w:rPr>
          <w:rtl/>
        </w:rPr>
        <w:t>تشمل تكاليف الموظفين كل الأجور التي تدفع إلى أصحاب الوظائف الدائمة وإلى كل موظفي المؤتمرات أو أصحاب العقود القصيرة الأجل، من قبيل المرتبات الأساسية وتسويات مقر العمل وعلاوات اللغة وبدل الاغتراب وبدل الإعالة والساعات الإضافية وغير ذلك من نفقات الموظفين.</w:t>
      </w:r>
    </w:p>
    <w:p w14:paraId="2D1FC0FC" w14:textId="77777777" w:rsidR="00D5219A" w:rsidRPr="00D5219A" w:rsidRDefault="00D5219A" w:rsidP="00D5219A">
      <w:pPr>
        <w:rPr>
          <w:lang w:val="ar-SA" w:bidi="ar-EG"/>
        </w:rPr>
      </w:pPr>
      <w:r w:rsidRPr="00D5219A">
        <w:rPr>
          <w:rtl/>
        </w:rPr>
        <w:t>وشهدت نفقات الموظفين انخفاضاً على الصعيد العالمي في عام 2024. ويعزى هذا الانخفاض بشكل كبير إلى ما يلي:</w:t>
      </w:r>
    </w:p>
    <w:p w14:paraId="363B5AFD" w14:textId="346224C6" w:rsidR="00D5219A" w:rsidRPr="00D5219A" w:rsidRDefault="006B3839" w:rsidP="006B3839">
      <w:pPr>
        <w:pStyle w:val="enumlev1"/>
        <w:rPr>
          <w:lang w:val="ar-SA" w:bidi="ar-EG"/>
        </w:rPr>
      </w:pPr>
      <w:r>
        <w:sym w:font="Wingdings 2" w:char="F097"/>
      </w:r>
      <w:r>
        <w:tab/>
      </w:r>
      <w:r w:rsidR="00D5219A" w:rsidRPr="00D5219A">
        <w:rPr>
          <w:rtl/>
        </w:rPr>
        <w:t>الانخفاضات في تسوية التأمين الصحي بعد انتهاء الخدمة</w:t>
      </w:r>
      <w:r w:rsidR="005671DC">
        <w:rPr>
          <w:rFonts w:hint="cs"/>
          <w:rtl/>
        </w:rPr>
        <w:t xml:space="preserve"> - </w:t>
      </w:r>
      <w:r w:rsidR="00D5219A" w:rsidRPr="00D5219A">
        <w:rPr>
          <w:rtl/>
        </w:rPr>
        <w:t xml:space="preserve">(3,8 مليون فرنك سويسري)، ويتعلق هذا التعديل المتعلق بالتأمين الصحي بعد انتهاء الخدمة بصافي تكاليف الخدمة وتكلفة الفائدة، مخصوماً منها المبالغ التي دُفعت </w:t>
      </w:r>
      <w:r w:rsidR="00D5219A" w:rsidRPr="00D5219A">
        <w:rPr>
          <w:rtl/>
        </w:rPr>
        <w:lastRenderedPageBreak/>
        <w:t>خلال الفترة. ويعزى الانخفاض مقارنة بعام 2023 في معظمه إلى زيادة الأخير من 7,0 مليون فرنك سويسري في عام</w:t>
      </w:r>
      <w:r w:rsidR="003D492B">
        <w:rPr>
          <w:rFonts w:hint="eastAsia"/>
          <w:rtl/>
          <w:lang w:bidi="ar-EG"/>
        </w:rPr>
        <w:t> </w:t>
      </w:r>
      <w:r w:rsidR="00D5219A" w:rsidRPr="00D5219A">
        <w:rPr>
          <w:rtl/>
        </w:rPr>
        <w:t>2023 إلى 10,3 مليون فرنك سويسري في عام 2024؛</w:t>
      </w:r>
    </w:p>
    <w:p w14:paraId="6E96A13B" w14:textId="77AF7E2C" w:rsidR="00901AD0" w:rsidRDefault="006B3839" w:rsidP="006B3839">
      <w:pPr>
        <w:pStyle w:val="enumlev1"/>
        <w:rPr>
          <w:rtl/>
        </w:rPr>
      </w:pPr>
      <w:r>
        <w:sym w:font="Wingdings 2" w:char="F097"/>
      </w:r>
      <w:r>
        <w:tab/>
      </w:r>
      <w:r w:rsidR="00D5219A" w:rsidRPr="00D5219A">
        <w:rPr>
          <w:rtl/>
        </w:rPr>
        <w:t>الانخفاض في نفقات أخرى</w:t>
      </w:r>
      <w:r w:rsidR="005671DC">
        <w:rPr>
          <w:rFonts w:hint="cs"/>
          <w:rtl/>
        </w:rPr>
        <w:t xml:space="preserve"> - </w:t>
      </w:r>
      <w:r w:rsidR="00D5219A" w:rsidRPr="00D5219A">
        <w:rPr>
          <w:rtl/>
        </w:rPr>
        <w:t>(3,</w:t>
      </w:r>
      <w:r w:rsidR="005671DC">
        <w:rPr>
          <w:rFonts w:hint="cs"/>
          <w:rtl/>
        </w:rPr>
        <w:t>4</w:t>
      </w:r>
      <w:r w:rsidR="00D5219A" w:rsidRPr="00D5219A">
        <w:rPr>
          <w:rtl/>
        </w:rPr>
        <w:t xml:space="preserve"> مليون فرنك سويسري)، تتعلق في معظمها ببرنامج الإنهاء الطوعي للخدمة.</w:t>
      </w:r>
    </w:p>
    <w:p w14:paraId="24EE411F" w14:textId="4A146713" w:rsidR="00901AD0" w:rsidRDefault="006B3839" w:rsidP="006B3839">
      <w:pPr>
        <w:pStyle w:val="enumlev1"/>
        <w:rPr>
          <w:lang w:val="ar-SA" w:bidi="ar-EG"/>
        </w:rPr>
      </w:pPr>
      <w:r>
        <w:sym w:font="Wingdings 2" w:char="F097"/>
      </w:r>
      <w:r>
        <w:tab/>
      </w:r>
      <w:r w:rsidR="00D5219A" w:rsidRPr="00D5219A">
        <w:rPr>
          <w:rtl/>
        </w:rPr>
        <w:t>انخفاض في المرتبات والبدلات</w:t>
      </w:r>
      <w:r w:rsidR="005671DC">
        <w:rPr>
          <w:rFonts w:hint="cs"/>
          <w:rtl/>
        </w:rPr>
        <w:t xml:space="preserve"> - </w:t>
      </w:r>
      <w:r w:rsidR="00D5219A" w:rsidRPr="00D5219A">
        <w:rPr>
          <w:rtl/>
        </w:rPr>
        <w:t>(1,4 مليون فرنك سويسري)؛</w:t>
      </w:r>
    </w:p>
    <w:p w14:paraId="795A600B" w14:textId="224AA6D0" w:rsidR="00D5219A" w:rsidRPr="00D5219A" w:rsidRDefault="00D5219A" w:rsidP="008B286B">
      <w:pPr>
        <w:pStyle w:val="Figure"/>
        <w:rPr>
          <w:lang w:bidi="ar-EG"/>
        </w:rPr>
      </w:pPr>
      <w:r w:rsidRPr="00D5219A">
        <w:rPr>
          <w:lang w:bidi="ar-EG"/>
        </w:rPr>
        <w:drawing>
          <wp:inline distT="0" distB="0" distL="0" distR="0" wp14:anchorId="7441916A" wp14:editId="6B6F1170">
            <wp:extent cx="4947719" cy="2932309"/>
            <wp:effectExtent l="0" t="0" r="5715" b="1905"/>
            <wp:docPr id="1842112534" name="Picture 11" descr="A black screen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534" name="Picture 11" descr="A black screen with blue border&#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60138" cy="2939669"/>
                    </a:xfrm>
                    <a:prstGeom prst="rect">
                      <a:avLst/>
                    </a:prstGeom>
                    <a:noFill/>
                  </pic:spPr>
                </pic:pic>
              </a:graphicData>
            </a:graphic>
          </wp:inline>
        </w:drawing>
      </w:r>
    </w:p>
    <w:p w14:paraId="1B2375B7" w14:textId="77777777" w:rsidR="00D5219A" w:rsidRPr="00D71F49" w:rsidRDefault="00D5219A" w:rsidP="00D71F49">
      <w:pPr>
        <w:pStyle w:val="Headingi"/>
      </w:pPr>
      <w:r w:rsidRPr="00D5219A">
        <w:rPr>
          <w:rtl/>
        </w:rPr>
        <w:t>التكاليف غير المتعلقة بالموظفين</w:t>
      </w:r>
    </w:p>
    <w:p w14:paraId="3A67C0BA" w14:textId="77777777" w:rsidR="00D5219A" w:rsidRPr="00D71F49" w:rsidRDefault="00D5219A" w:rsidP="00D71F49">
      <w:pPr>
        <w:pStyle w:val="Headingi"/>
        <w:rPr>
          <w:b w:val="0"/>
          <w:bCs w:val="0"/>
        </w:rPr>
      </w:pPr>
      <w:r w:rsidRPr="00D71F49">
        <w:rPr>
          <w:b w:val="0"/>
          <w:bCs w:val="0"/>
          <w:rtl/>
        </w:rPr>
        <w:t>نفقات المهام الرسمية</w:t>
      </w:r>
    </w:p>
    <w:p w14:paraId="395971D8" w14:textId="77777777" w:rsidR="00D5219A" w:rsidRPr="00D5219A" w:rsidRDefault="00D5219A" w:rsidP="00D5219A">
      <w:pPr>
        <w:rPr>
          <w:lang w:val="ar-SA" w:bidi="ar-EG"/>
        </w:rPr>
      </w:pPr>
      <w:bookmarkStart w:id="320" w:name="_Toc305764110"/>
      <w:r w:rsidRPr="00D5219A">
        <w:rPr>
          <w:rtl/>
        </w:rPr>
        <w:t>ارتفعت تكاليف السفر إلى 8,2 مليون فرنك سويسري في عام 2024، بزيادة قدرها 0,4 مليون فرنك سويسري مقارنة بتكاليف عام 2023.</w:t>
      </w:r>
    </w:p>
    <w:p w14:paraId="37712FE1" w14:textId="77777777" w:rsidR="00D5219A" w:rsidRPr="00D71F49" w:rsidRDefault="00D5219A" w:rsidP="00D71F49">
      <w:pPr>
        <w:pStyle w:val="Headingi"/>
        <w:rPr>
          <w:b w:val="0"/>
          <w:bCs w:val="0"/>
        </w:rPr>
      </w:pPr>
      <w:bookmarkStart w:id="321" w:name="_Toc131156462"/>
      <w:r w:rsidRPr="00D71F49">
        <w:rPr>
          <w:b w:val="0"/>
          <w:bCs w:val="0"/>
          <w:rtl/>
        </w:rPr>
        <w:t>الخدمات التعاقدية</w:t>
      </w:r>
      <w:bookmarkEnd w:id="320"/>
      <w:bookmarkEnd w:id="321"/>
    </w:p>
    <w:p w14:paraId="56B87334" w14:textId="77777777" w:rsidR="00901AD0" w:rsidRDefault="00D5219A" w:rsidP="00D5219A">
      <w:pPr>
        <w:rPr>
          <w:rtl/>
        </w:rPr>
      </w:pPr>
      <w:r w:rsidRPr="00D5219A">
        <w:rPr>
          <w:rtl/>
        </w:rPr>
        <w:t>تدخل في هذه الفئة كل الأتعاب والرسوم والنفقات التي تُدفع إلى الشركات التي تزود الاستشاريين في إطار اتفاقات وترتيبات تعاقدية. وتدخل في هذه الفئة أيضاً اتفاقات الخدمات الخاصة والنفقات المرتبطة بدورات تدريس اللغات في إطار التدريب المهني، وكذلك تكاليف خدمات التعاقد من الباطن.</w:t>
      </w:r>
    </w:p>
    <w:p w14:paraId="1174E539" w14:textId="77777777" w:rsidR="00901AD0" w:rsidRPr="00D71F49" w:rsidRDefault="00D5219A" w:rsidP="00D71F49">
      <w:pPr>
        <w:pStyle w:val="Headingi"/>
        <w:rPr>
          <w:b w:val="0"/>
          <w:bCs w:val="0"/>
          <w:rtl/>
        </w:rPr>
      </w:pPr>
      <w:bookmarkStart w:id="322" w:name="_Toc305764111"/>
      <w:bookmarkStart w:id="323" w:name="_Toc131156463"/>
      <w:bookmarkStart w:id="324" w:name="_Hlk130480918"/>
      <w:r w:rsidRPr="00D71F49">
        <w:rPr>
          <w:b w:val="0"/>
          <w:bCs w:val="0"/>
          <w:rtl/>
        </w:rPr>
        <w:t>استئجار وصيانة الأماكن والمعدات</w:t>
      </w:r>
      <w:bookmarkEnd w:id="322"/>
      <w:bookmarkEnd w:id="323"/>
    </w:p>
    <w:p w14:paraId="5505730C" w14:textId="44B33921" w:rsidR="00D0091C" w:rsidRPr="002B7BFD" w:rsidRDefault="00D0091C" w:rsidP="00D0091C">
      <w:pPr>
        <w:rPr>
          <w:spacing w:val="-2"/>
          <w:lang w:val="ar-SA" w:bidi="ar-EG"/>
        </w:rPr>
      </w:pPr>
      <w:bookmarkStart w:id="325" w:name="_Hlk106632265"/>
      <w:bookmarkEnd w:id="324"/>
      <w:r w:rsidRPr="002B7BFD">
        <w:rPr>
          <w:spacing w:val="-2"/>
          <w:rtl/>
        </w:rPr>
        <w:t xml:space="preserve">بلغت تكاليف الاستئجار والمعدات 4,0 مليون فرنك سويسري في 2024 (مقابل 3,5 مليون فرنك سويسري في 2023). </w:t>
      </w:r>
      <w:r w:rsidRPr="002B7BFD">
        <w:rPr>
          <w:rFonts w:hint="cs"/>
          <w:spacing w:val="-2"/>
          <w:rtl/>
        </w:rPr>
        <w:t>وتُعزى</w:t>
      </w:r>
      <w:r w:rsidRPr="002B7BFD">
        <w:rPr>
          <w:spacing w:val="-2"/>
          <w:rtl/>
        </w:rPr>
        <w:t xml:space="preserve"> هذه الزيادة الضئيلة </w:t>
      </w:r>
      <w:r w:rsidRPr="002B7BFD">
        <w:rPr>
          <w:rFonts w:hint="cs"/>
          <w:spacing w:val="-2"/>
          <w:rtl/>
        </w:rPr>
        <w:t xml:space="preserve">إلى </w:t>
      </w:r>
      <w:r w:rsidRPr="002B7BFD">
        <w:rPr>
          <w:spacing w:val="-2"/>
          <w:rtl/>
        </w:rPr>
        <w:t>عقد المؤتمرات في مركز جنيف الدولي للمؤتمرات حيث استؤجر المكان وكذلك المعدات السمعية المرئية.</w:t>
      </w:r>
    </w:p>
    <w:bookmarkEnd w:id="325"/>
    <w:p w14:paraId="486011A9" w14:textId="77777777" w:rsidR="00D5219A" w:rsidRPr="00D71F49" w:rsidRDefault="00D5219A" w:rsidP="00D71F49">
      <w:pPr>
        <w:pStyle w:val="Headingi"/>
        <w:rPr>
          <w:b w:val="0"/>
          <w:bCs w:val="0"/>
        </w:rPr>
      </w:pPr>
      <w:r w:rsidRPr="00D71F49">
        <w:rPr>
          <w:b w:val="0"/>
          <w:bCs w:val="0"/>
          <w:rtl/>
        </w:rPr>
        <w:t>الإهلاك وخسائر انخفاض القيمة</w:t>
      </w:r>
    </w:p>
    <w:p w14:paraId="289263E7" w14:textId="7468333E" w:rsidR="00D5219A" w:rsidRPr="00D5219A" w:rsidRDefault="00D5219A" w:rsidP="00D5219A">
      <w:pPr>
        <w:rPr>
          <w:lang w:val="ar-SA" w:bidi="ar-EG"/>
        </w:rPr>
      </w:pPr>
      <w:r w:rsidRPr="00D5219A">
        <w:rPr>
          <w:rtl/>
        </w:rPr>
        <w:t xml:space="preserve">ارتفعت خسائر الإهلاك وانخفاض القيمة بشكل كبير بسبب انخفاض القيمة البالغ 21 مليون فرنك سويسري المسجل للأصول قيد الإنشاء المتعلقة بمشروع المبنى الجديد بعد المراجعة التي وافق عليها المجلس في دروته لعام 2024. انظر أيضاً الملاحظة </w:t>
      </w:r>
      <w:r w:rsidR="00D71F49">
        <w:rPr>
          <w:rFonts w:hint="cs"/>
          <w:rtl/>
        </w:rPr>
        <w:t>12</w:t>
      </w:r>
      <w:r w:rsidRPr="00D5219A">
        <w:rPr>
          <w:rtl/>
        </w:rPr>
        <w:t xml:space="preserve"> أعلاه.</w:t>
      </w:r>
    </w:p>
    <w:p w14:paraId="130F50CA" w14:textId="3889BD11" w:rsidR="00D5219A" w:rsidRPr="00D71F49" w:rsidRDefault="00D5219A" w:rsidP="00D71F49">
      <w:pPr>
        <w:pStyle w:val="Headingi"/>
        <w:rPr>
          <w:b w:val="0"/>
          <w:bCs w:val="0"/>
        </w:rPr>
      </w:pPr>
      <w:r w:rsidRPr="00D71F49">
        <w:rPr>
          <w:b w:val="0"/>
          <w:bCs w:val="0"/>
          <w:rtl/>
        </w:rPr>
        <w:t>الحركة في انخفاض القيمة/الحساب الاحتياطي</w:t>
      </w:r>
    </w:p>
    <w:p w14:paraId="6AEF635E" w14:textId="77777777" w:rsidR="00901AD0" w:rsidRDefault="00D5219A" w:rsidP="00D5219A">
      <w:pPr>
        <w:rPr>
          <w:rtl/>
        </w:rPr>
      </w:pPr>
      <w:r w:rsidRPr="00D5219A">
        <w:rPr>
          <w:rtl/>
        </w:rPr>
        <w:t>تعزى الزيادة إلى حد كبير إلى زيادة بدلات الحسابات المشكوك في تحصيلها المسجلة لتغطية مخاطر تحصيل الاشتراكات غير المسددة لدولة عضو ما فتئت تعاني من قيود على الوفاء بالمدفوعات الدولية، والحساب الاحتياطي المسجل لإنهاء اتفاق رعاية متعلق بالمبنى الجديد قيد التقييم بينما لا يزال تصميم المشروع المنقح جارياً.</w:t>
      </w:r>
    </w:p>
    <w:p w14:paraId="04055847" w14:textId="77777777" w:rsidR="00901AD0" w:rsidRPr="00D71F49" w:rsidRDefault="00D5219A" w:rsidP="00D71F49">
      <w:pPr>
        <w:pStyle w:val="Headingi"/>
        <w:rPr>
          <w:b w:val="0"/>
          <w:bCs w:val="0"/>
          <w:rtl/>
        </w:rPr>
      </w:pPr>
      <w:r w:rsidRPr="00D71F49">
        <w:rPr>
          <w:b w:val="0"/>
          <w:bCs w:val="0"/>
          <w:rtl/>
        </w:rPr>
        <w:lastRenderedPageBreak/>
        <w:t>نفقات أخرى</w:t>
      </w:r>
    </w:p>
    <w:p w14:paraId="7EAAA447" w14:textId="7CC3F119" w:rsidR="00D5219A" w:rsidRPr="00D5219A" w:rsidRDefault="00D5219A" w:rsidP="00D5219A">
      <w:pPr>
        <w:rPr>
          <w:b/>
          <w:lang w:val="ar-SA" w:bidi="ar-EG"/>
        </w:rPr>
      </w:pPr>
      <w:r w:rsidRPr="00D5219A">
        <w:rPr>
          <w:b/>
          <w:rtl/>
        </w:rPr>
        <w:t>تعزى الزيادة في معظمها إلى الزيادة في اقتراض موظفي برنامج الأمم المتحدة الإنمائي والآلية المشتركة بين الوكالات.</w:t>
      </w:r>
    </w:p>
    <w:p w14:paraId="2993D33B" w14:textId="716CE765" w:rsidR="004A2C7B" w:rsidRDefault="00D71F49" w:rsidP="008E0B10">
      <w:pPr>
        <w:pStyle w:val="Figure"/>
        <w:rPr>
          <w:rtl/>
          <w:lang w:bidi="ar-EG"/>
        </w:rPr>
      </w:pPr>
      <w:r>
        <w:rPr>
          <w:b/>
          <w:bCs/>
          <w:lang w:bidi="ar-EG"/>
        </w:rPr>
        <w:drawing>
          <wp:inline distT="0" distB="0" distL="0" distR="0" wp14:anchorId="072358FA" wp14:editId="04E8C8D3">
            <wp:extent cx="4710430" cy="3220035"/>
            <wp:effectExtent l="0" t="0" r="0" b="0"/>
            <wp:docPr id="10597243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15089" cy="3223220"/>
                    </a:xfrm>
                    <a:prstGeom prst="rect">
                      <a:avLst/>
                    </a:prstGeom>
                    <a:noFill/>
                  </pic:spPr>
                </pic:pic>
              </a:graphicData>
            </a:graphic>
          </wp:inline>
        </w:drawing>
      </w:r>
    </w:p>
    <w:p w14:paraId="64B31B5A" w14:textId="569F5E01" w:rsidR="004A2C7B" w:rsidRPr="00D5219A" w:rsidRDefault="004A2C7B" w:rsidP="004A2C7B">
      <w:pPr>
        <w:tabs>
          <w:tab w:val="clear" w:pos="794"/>
          <w:tab w:val="left" w:pos="4063"/>
        </w:tabs>
        <w:rPr>
          <w:lang w:bidi="ar-EG"/>
        </w:rPr>
        <w:sectPr w:rsidR="004A2C7B" w:rsidRPr="00D5219A" w:rsidSect="00A05F03">
          <w:headerReference w:type="default" r:id="rId68"/>
          <w:footerReference w:type="default" r:id="rId69"/>
          <w:headerReference w:type="first" r:id="rId70"/>
          <w:footerReference w:type="first" r:id="rId71"/>
          <w:pgSz w:w="11907" w:h="16834"/>
          <w:pgMar w:top="1418" w:right="1134" w:bottom="1134" w:left="1134" w:header="425" w:footer="720" w:gutter="0"/>
          <w:paperSrc w:first="7" w:other="7"/>
          <w:cols w:space="720"/>
          <w:titlePg/>
          <w:docGrid w:linePitch="326"/>
        </w:sectPr>
      </w:pPr>
    </w:p>
    <w:p w14:paraId="462D39D7" w14:textId="3ACADAA9" w:rsidR="00D5219A" w:rsidRPr="00D5219A" w:rsidRDefault="00D5219A" w:rsidP="009F4F01">
      <w:pPr>
        <w:pStyle w:val="Heading1"/>
        <w:rPr>
          <w:rtl/>
        </w:rPr>
      </w:pPr>
      <w:bookmarkStart w:id="326" w:name="_Toc305764117"/>
      <w:bookmarkStart w:id="327" w:name="_Toc329011659"/>
      <w:bookmarkStart w:id="328" w:name="_Toc237032957"/>
      <w:bookmarkStart w:id="329" w:name="_Toc196292792"/>
      <w:bookmarkStart w:id="330" w:name="_Toc201043159"/>
      <w:r w:rsidRPr="00D5219A">
        <w:rPr>
          <w:rtl/>
        </w:rPr>
        <w:lastRenderedPageBreak/>
        <w:t>الملاحظة 20</w:t>
      </w:r>
      <w:r w:rsidR="00901AD0">
        <w:rPr>
          <w:rtl/>
        </w:rPr>
        <w:tab/>
      </w:r>
      <w:r w:rsidRPr="00D5219A">
        <w:rPr>
          <w:rtl/>
        </w:rPr>
        <w:t>الإبلاغ بحسب الأبواب</w:t>
      </w:r>
      <w:r w:rsidR="00C464D2">
        <w:rPr>
          <w:rFonts w:hint="cs"/>
          <w:rtl/>
        </w:rPr>
        <w:t xml:space="preserve"> - </w:t>
      </w:r>
      <w:r w:rsidRPr="00D5219A">
        <w:rPr>
          <w:rtl/>
        </w:rPr>
        <w:t>بيان الأداء المالي 2024</w:t>
      </w:r>
      <w:bookmarkEnd w:id="326"/>
      <w:bookmarkEnd w:id="327"/>
      <w:bookmarkEnd w:id="328"/>
      <w:bookmarkEnd w:id="329"/>
      <w:bookmarkEnd w:id="330"/>
    </w:p>
    <w:p w14:paraId="5010C765" w14:textId="68F66F53" w:rsidR="00D5219A" w:rsidRPr="00D5219A" w:rsidRDefault="00A95E34" w:rsidP="008B286B">
      <w:pPr>
        <w:pStyle w:val="Figure"/>
        <w:rPr>
          <w:lang w:bidi="ar-EG"/>
        </w:rPr>
      </w:pPr>
      <w:r>
        <w:rPr>
          <w:lang w:bidi="ar-EG"/>
        </w:rPr>
        <w:drawing>
          <wp:inline distT="0" distB="0" distL="0" distR="0" wp14:anchorId="2625A597" wp14:editId="79ABB9FD">
            <wp:extent cx="9632950" cy="4583220"/>
            <wp:effectExtent l="0" t="0" r="6350" b="8255"/>
            <wp:docPr id="38900103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77026" cy="4604191"/>
                    </a:xfrm>
                    <a:prstGeom prst="rect">
                      <a:avLst/>
                    </a:prstGeom>
                    <a:noFill/>
                  </pic:spPr>
                </pic:pic>
              </a:graphicData>
            </a:graphic>
          </wp:inline>
        </w:drawing>
      </w:r>
    </w:p>
    <w:p w14:paraId="73D6EA09" w14:textId="1410B2FA" w:rsidR="006056D2" w:rsidRPr="00D0091C" w:rsidRDefault="00D5219A" w:rsidP="00256066">
      <w:pPr>
        <w:jc w:val="left"/>
        <w:rPr>
          <w:i/>
          <w:iCs/>
        </w:rPr>
      </w:pPr>
      <w:r w:rsidRPr="00256066">
        <w:rPr>
          <w:i/>
          <w:iCs/>
          <w:sz w:val="20"/>
          <w:szCs w:val="20"/>
          <w:rtl/>
        </w:rPr>
        <w:t xml:space="preserve">يشمل استبعاد العمليات المشتركة بين الأبواب تكاليف الدعم (الدعم الإداري والتشغيلي </w:t>
      </w:r>
      <w:r w:rsidR="0077702E" w:rsidRPr="00256066">
        <w:rPr>
          <w:i/>
          <w:iCs/>
          <w:sz w:val="20"/>
          <w:szCs w:val="20"/>
        </w:rPr>
        <w:t>(</w:t>
      </w:r>
      <w:r w:rsidRPr="00256066">
        <w:rPr>
          <w:i/>
          <w:iCs/>
          <w:sz w:val="20"/>
          <w:szCs w:val="20"/>
          <w:lang w:bidi="ar-EG"/>
        </w:rPr>
        <w:t>AOS</w:t>
      </w:r>
      <w:r w:rsidR="0077702E" w:rsidRPr="00256066">
        <w:rPr>
          <w:i/>
          <w:iCs/>
          <w:sz w:val="20"/>
          <w:szCs w:val="20"/>
        </w:rPr>
        <w:t>)</w:t>
      </w:r>
      <w:r w:rsidR="0077702E" w:rsidRPr="00256066">
        <w:rPr>
          <w:rFonts w:hint="cs"/>
          <w:i/>
          <w:iCs/>
          <w:sz w:val="20"/>
          <w:szCs w:val="20"/>
          <w:rtl/>
          <w:lang w:bidi="ar-EG"/>
        </w:rPr>
        <w:t>)</w:t>
      </w:r>
      <w:r w:rsidRPr="00256066">
        <w:rPr>
          <w:i/>
          <w:iCs/>
          <w:sz w:val="20"/>
          <w:szCs w:val="20"/>
          <w:rtl/>
        </w:rPr>
        <w:t xml:space="preserve"> التي تتحملها المشاريع وتحول إلى ميزانية الاتحاد العادية.</w:t>
      </w:r>
      <w:r w:rsidR="004D6A52" w:rsidRPr="00256066">
        <w:rPr>
          <w:i/>
          <w:iCs/>
          <w:sz w:val="20"/>
          <w:szCs w:val="20"/>
          <w:rtl/>
        </w:rPr>
        <w:br/>
      </w:r>
      <w:r w:rsidR="00D0091C" w:rsidRPr="00256066">
        <w:rPr>
          <w:i/>
          <w:iCs/>
          <w:sz w:val="20"/>
          <w:szCs w:val="20"/>
          <w:rtl/>
        </w:rPr>
        <w:t xml:space="preserve">وفي عام 2024، أُدمِج الصندوق الخاص بالمبنى الجديد في الأمانة العامة </w:t>
      </w:r>
      <w:r w:rsidR="006056D2" w:rsidRPr="00D0091C">
        <w:rPr>
          <w:i/>
          <w:iCs/>
        </w:rPr>
        <w:br w:type="page"/>
      </w:r>
    </w:p>
    <w:p w14:paraId="7A5875D2" w14:textId="2834326B" w:rsidR="006056D2" w:rsidRDefault="006056D2" w:rsidP="006056D2">
      <w:pPr>
        <w:pStyle w:val="Headingb"/>
      </w:pPr>
      <w:r w:rsidRPr="00D5219A">
        <w:rPr>
          <w:rtl/>
        </w:rPr>
        <w:lastRenderedPageBreak/>
        <w:t>الإبلاغ بحسب الأبواب</w:t>
      </w:r>
      <w:r>
        <w:rPr>
          <w:rFonts w:hint="cs"/>
          <w:rtl/>
        </w:rPr>
        <w:t xml:space="preserve"> - </w:t>
      </w:r>
      <w:r w:rsidRPr="00D5219A">
        <w:rPr>
          <w:rtl/>
        </w:rPr>
        <w:t xml:space="preserve">بيان الأداء المالي </w:t>
      </w:r>
      <w:r w:rsidR="00D0091C">
        <w:rPr>
          <w:rFonts w:hint="cs"/>
          <w:rtl/>
        </w:rPr>
        <w:t>2023</w:t>
      </w:r>
    </w:p>
    <w:p w14:paraId="6FF6AE64" w14:textId="600BAD6C" w:rsidR="006056D2" w:rsidRPr="00D5219A" w:rsidRDefault="006056D2" w:rsidP="006056D2">
      <w:pPr>
        <w:pStyle w:val="Figure"/>
        <w:rPr>
          <w:i/>
          <w:iCs/>
          <w:lang w:val="ar-SA"/>
        </w:rPr>
      </w:pPr>
      <w:r>
        <w:rPr>
          <w:lang w:bidi="ar-EG"/>
        </w:rPr>
        <w:drawing>
          <wp:inline distT="0" distB="0" distL="0" distR="0" wp14:anchorId="7A2D8510" wp14:editId="3F56ABDA">
            <wp:extent cx="9718978" cy="5131558"/>
            <wp:effectExtent l="0" t="0" r="0" b="0"/>
            <wp:docPr id="55" name="Picture 55" descr="A blue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blue and white rectangular object with text&#10;&#10;Description automatically generated"/>
                    <pic:cNvPicPr/>
                  </pic:nvPicPr>
                  <pic:blipFill rotWithShape="1">
                    <a:blip r:embed="rId73">
                      <a:extLst>
                        <a:ext uri="{28A0092B-C50C-407E-A947-70E740481C1C}">
                          <a14:useLocalDpi xmlns:a14="http://schemas.microsoft.com/office/drawing/2010/main" val="0"/>
                        </a:ext>
                      </a:extLst>
                    </a:blip>
                    <a:srcRect l="2814" t="6250" r="3051" b="23464"/>
                    <a:stretch/>
                  </pic:blipFill>
                  <pic:spPr bwMode="auto">
                    <a:xfrm>
                      <a:off x="0" y="0"/>
                      <a:ext cx="9743478" cy="5144494"/>
                    </a:xfrm>
                    <a:prstGeom prst="rect">
                      <a:avLst/>
                    </a:prstGeom>
                    <a:ln>
                      <a:noFill/>
                    </a:ln>
                    <a:extLst>
                      <a:ext uri="{53640926-AAD7-44D8-BBD7-CCE9431645EC}">
                        <a14:shadowObscured xmlns:a14="http://schemas.microsoft.com/office/drawing/2010/main"/>
                      </a:ext>
                    </a:extLst>
                  </pic:spPr>
                </pic:pic>
              </a:graphicData>
            </a:graphic>
          </wp:inline>
        </w:drawing>
      </w:r>
    </w:p>
    <w:p w14:paraId="672E0F8B" w14:textId="77777777" w:rsidR="00D5219A" w:rsidRPr="00D5219A" w:rsidRDefault="00D5219A" w:rsidP="00D5219A">
      <w:pPr>
        <w:rPr>
          <w:b/>
          <w:bCs/>
          <w:lang w:bidi="ar-EG"/>
        </w:rPr>
        <w:sectPr w:rsidR="00D5219A" w:rsidRPr="00D5219A" w:rsidSect="00A05F03">
          <w:footerReference w:type="default" r:id="rId74"/>
          <w:pgSz w:w="16834" w:h="11907" w:orient="landscape"/>
          <w:pgMar w:top="1134" w:right="567" w:bottom="567" w:left="567" w:header="720" w:footer="720" w:gutter="0"/>
          <w:paperSrc w:first="7" w:other="7"/>
          <w:cols w:space="720"/>
          <w:docGrid w:linePitch="326"/>
        </w:sectPr>
      </w:pPr>
    </w:p>
    <w:p w14:paraId="6D17247B" w14:textId="1E1C20AD" w:rsidR="00D5219A" w:rsidRPr="00D5219A" w:rsidRDefault="00D5219A" w:rsidP="009F4F01">
      <w:pPr>
        <w:pStyle w:val="Heading1"/>
        <w:rPr>
          <w:lang w:bidi="ar-EG"/>
        </w:rPr>
      </w:pPr>
      <w:bookmarkStart w:id="331" w:name="_Toc305764118"/>
      <w:bookmarkStart w:id="332" w:name="_Toc329011660"/>
      <w:bookmarkStart w:id="333" w:name="_Toc1399135979"/>
      <w:bookmarkStart w:id="334" w:name="_Toc196292793"/>
      <w:bookmarkStart w:id="335" w:name="_Toc201043160"/>
      <w:r w:rsidRPr="00D5219A">
        <w:rPr>
          <w:rtl/>
        </w:rPr>
        <w:lastRenderedPageBreak/>
        <w:t>الملاحظة 21</w:t>
      </w:r>
      <w:r w:rsidR="00901AD0">
        <w:rPr>
          <w:rtl/>
        </w:rPr>
        <w:tab/>
      </w:r>
      <w:r w:rsidRPr="00D5219A">
        <w:rPr>
          <w:rtl/>
        </w:rPr>
        <w:t>التوفيق بين المبالغ المدرجة في الميزانية والمبالغ الفعلية</w:t>
      </w:r>
      <w:bookmarkEnd w:id="331"/>
      <w:bookmarkEnd w:id="332"/>
      <w:bookmarkEnd w:id="333"/>
      <w:bookmarkEnd w:id="334"/>
      <w:bookmarkEnd w:id="335"/>
    </w:p>
    <w:p w14:paraId="2BDF6C7C" w14:textId="77777777" w:rsidR="00D5219A" w:rsidRPr="00D5219A" w:rsidRDefault="00D5219A" w:rsidP="00D5219A">
      <w:pPr>
        <w:rPr>
          <w:b/>
          <w:lang w:val="ar-SA" w:bidi="ar-EG"/>
        </w:rPr>
      </w:pPr>
      <w:r w:rsidRPr="00D5219A">
        <w:rPr>
          <w:b/>
          <w:rtl/>
        </w:rPr>
        <w:t>تشمل البيانات المالية ما يلي:</w:t>
      </w:r>
    </w:p>
    <w:p w14:paraId="355196CE" w14:textId="169361AB" w:rsidR="00D5219A" w:rsidRPr="00671BAF" w:rsidRDefault="00671BAF" w:rsidP="00671BAF">
      <w:pPr>
        <w:pStyle w:val="enumlev1"/>
      </w:pPr>
      <w:r w:rsidRPr="00671BAF">
        <w:sym w:font="Wingdings 2" w:char="F097"/>
      </w:r>
      <w:r w:rsidR="00D5219A" w:rsidRPr="00671BAF">
        <w:rPr>
          <w:rtl/>
        </w:rPr>
        <w:tab/>
        <w:t>الميزانية العادية للاتحاد؛</w:t>
      </w:r>
    </w:p>
    <w:p w14:paraId="2ACB6592" w14:textId="6D84F4FB" w:rsidR="00901AD0" w:rsidRPr="00671BAF" w:rsidRDefault="00671BAF" w:rsidP="00671BAF">
      <w:pPr>
        <w:pStyle w:val="enumlev1"/>
        <w:rPr>
          <w:rtl/>
        </w:rPr>
      </w:pPr>
      <w:r w:rsidRPr="00671BAF">
        <w:sym w:font="Wingdings 2" w:char="F097"/>
      </w:r>
      <w:r w:rsidRPr="00671BAF">
        <w:rPr>
          <w:rtl/>
        </w:rPr>
        <w:tab/>
      </w:r>
      <w:r w:rsidR="00D5219A" w:rsidRPr="00671BAF">
        <w:rPr>
          <w:rtl/>
        </w:rPr>
        <w:t>أموال أخرى؛</w:t>
      </w:r>
    </w:p>
    <w:p w14:paraId="7AC37567" w14:textId="2109DE01" w:rsidR="00D5219A" w:rsidRPr="00671BAF" w:rsidRDefault="00671BAF" w:rsidP="00671BAF">
      <w:pPr>
        <w:pStyle w:val="enumlev1"/>
      </w:pPr>
      <w:r w:rsidRPr="00671BAF">
        <w:sym w:font="Wingdings 2" w:char="F097"/>
      </w:r>
      <w:r w:rsidRPr="00671BAF">
        <w:rPr>
          <w:rtl/>
        </w:rPr>
        <w:tab/>
      </w:r>
      <w:r w:rsidR="00611B5B">
        <w:rPr>
          <w:rFonts w:hint="cs"/>
          <w:rtl/>
          <w:lang w:bidi="ar-EG"/>
        </w:rPr>
        <w:t>و</w:t>
      </w:r>
      <w:r w:rsidR="00D5219A" w:rsidRPr="00671BAF">
        <w:rPr>
          <w:rtl/>
        </w:rPr>
        <w:t>الأموال من خارج الميزانية</w:t>
      </w:r>
    </w:p>
    <w:p w14:paraId="377BF3B1" w14:textId="77777777" w:rsidR="00D5219A" w:rsidRPr="00D5219A" w:rsidRDefault="00D5219A" w:rsidP="00671BAF">
      <w:pPr>
        <w:pStyle w:val="Headingb0"/>
        <w:rPr>
          <w:lang w:val="ar-SA" w:bidi="ar-EG"/>
        </w:rPr>
      </w:pPr>
      <w:r w:rsidRPr="00D5219A">
        <w:rPr>
          <w:rtl/>
        </w:rPr>
        <w:t>عملية التوفيق</w:t>
      </w:r>
    </w:p>
    <w:p w14:paraId="2940B022" w14:textId="77777777" w:rsidR="00D5219A" w:rsidRPr="00D5219A" w:rsidRDefault="00D5219A" w:rsidP="00D5219A">
      <w:pPr>
        <w:rPr>
          <w:lang w:val="ar-SA" w:bidi="ar-EG"/>
        </w:rPr>
      </w:pPr>
      <w:r w:rsidRPr="00D5219A">
        <w:rPr>
          <w:rtl/>
        </w:rPr>
        <w:t>تختلف حسابات ميزانية الاتحاد عن حسابات بياناته المالية. فميزانية الفترة 2024-2025 تقوم على أساس نقدي معدَّل يشمل عدداً من العناصر المحددة التي لا تعالَج على أساس محاسبة تقوم على الاستحقاق. وعلاوةً على ذلك، تقتصر ميزانية الاتحاد على أنشطة الاتحاد الأساسية ولا تتناول الأنشطة الممولة بأموال من خارج الميزانية.</w:t>
      </w:r>
    </w:p>
    <w:p w14:paraId="31B1D23B" w14:textId="77777777" w:rsidR="00D5219A" w:rsidRPr="00D5219A" w:rsidRDefault="00D5219A" w:rsidP="00D5219A">
      <w:pPr>
        <w:rPr>
          <w:lang w:val="ar-SA" w:bidi="ar-EG"/>
        </w:rPr>
      </w:pPr>
      <w:r w:rsidRPr="00D5219A">
        <w:rPr>
          <w:rtl/>
        </w:rPr>
        <w:t>أما البيانات المالية للاتحاد فتوضع على أساس محاسبة تقوم على الاستحقاق باستخدام تصنيف قائم على طبيعة النفقات المدرجة في بيان الأداء المالي (انظر البيان الثاني).</w:t>
      </w:r>
    </w:p>
    <w:p w14:paraId="37CBE08A" w14:textId="77777777" w:rsidR="00901AD0" w:rsidRDefault="00D5219A" w:rsidP="00D5219A">
      <w:pPr>
        <w:rPr>
          <w:rtl/>
        </w:rPr>
      </w:pPr>
      <w:r w:rsidRPr="00D5219A">
        <w:rPr>
          <w:rtl/>
        </w:rPr>
        <w:t>وللتوفيق بين البيانين الثاني والخامس، تقسَّم المعاملات إلى فئتين من الاختلافات - الاختلافات من حيث الأساس والاختلافات المتعلقة بالكيانات.</w:t>
      </w:r>
    </w:p>
    <w:p w14:paraId="257637A3" w14:textId="58044B5C" w:rsidR="00D5219A" w:rsidRPr="00D5219A" w:rsidRDefault="00D5219A" w:rsidP="00D5219A">
      <w:pPr>
        <w:rPr>
          <w:lang w:val="ar-SA" w:bidi="ar-EG"/>
        </w:rPr>
      </w:pPr>
      <w:r w:rsidRPr="00D5219A">
        <w:rPr>
          <w:b/>
          <w:bCs/>
          <w:rtl/>
        </w:rPr>
        <w:t>الاختلافات من حيث الأساس</w:t>
      </w:r>
      <w:r w:rsidRPr="00D5219A">
        <w:rPr>
          <w:rtl/>
        </w:rPr>
        <w:t>: تشمل النفقات غير المدرجة في ميزانية الاتحاد أو التي تعامَل على نحو مختلف بموجب متطلبات المعايير المحاسبية الدولية للقطاع العام (</w:t>
      </w:r>
      <w:r w:rsidRPr="00D5219A">
        <w:rPr>
          <w:lang w:bidi="ar-EG"/>
        </w:rPr>
        <w:t>(‎IPSAS</w:t>
      </w:r>
      <w:r w:rsidRPr="00D5219A">
        <w:rPr>
          <w:rtl/>
        </w:rPr>
        <w:t>. وتتضمن هذه النفقات عادة تغييرات في الحسابات الاحتياطية للديون المشكوك في تحصيلها، وتثبيت المخزونات، ورسملة الأصول الثابتة، والإهلاك، ومكاسب وخسائر سعر الصرف، والتأمين الصحي بعد انتهاء الخدمة (</w:t>
      </w:r>
      <w:r w:rsidRPr="00D5219A">
        <w:rPr>
          <w:lang w:bidi="ar-EG"/>
        </w:rPr>
        <w:t>ASHI</w:t>
      </w:r>
      <w:r w:rsidRPr="00D5219A">
        <w:rPr>
          <w:rtl/>
        </w:rPr>
        <w:t>)، وسداد قروض مؤسسة مباني المنظمات الدولية (</w:t>
      </w:r>
      <w:r w:rsidRPr="00D5219A">
        <w:rPr>
          <w:lang w:bidi="ar-EG"/>
        </w:rPr>
        <w:t>FIPOI</w:t>
      </w:r>
      <w:r w:rsidRPr="00D5219A">
        <w:rPr>
          <w:rtl/>
        </w:rPr>
        <w:t>) والفائض و/أو العجز في الاستثمارات.</w:t>
      </w:r>
    </w:p>
    <w:p w14:paraId="619E26FE" w14:textId="77777777" w:rsidR="00901AD0" w:rsidRDefault="00D5219A" w:rsidP="00D5219A">
      <w:pPr>
        <w:rPr>
          <w:rtl/>
        </w:rPr>
      </w:pPr>
      <w:r w:rsidRPr="00D5219A">
        <w:rPr>
          <w:b/>
          <w:bCs/>
          <w:rtl/>
        </w:rPr>
        <w:t>الاختلافات المتعلقة بالكيانات</w:t>
      </w:r>
      <w:r w:rsidRPr="00D5219A">
        <w:rPr>
          <w:rtl/>
        </w:rPr>
        <w:t>: تشير عادة إلى الإيرادات والنفقات التي تقع خارج ميزانية برامج الاتحاد المعتمدة، أي الأموال من خارج الميزانية وأموال أخرى غير مدرجة في ميزانية الاتحاد.</w:t>
      </w:r>
    </w:p>
    <w:p w14:paraId="375C7E1B" w14:textId="2ECF00DE" w:rsidR="00D5219A" w:rsidRPr="00D5219A" w:rsidRDefault="00222CA6" w:rsidP="00611B5B">
      <w:pPr>
        <w:pStyle w:val="Figure"/>
        <w:rPr>
          <w:lang w:bidi="ar-EG"/>
        </w:rPr>
      </w:pPr>
      <w:r>
        <w:rPr>
          <w:lang w:bidi="ar-EG"/>
        </w:rPr>
        <w:drawing>
          <wp:inline distT="0" distB="0" distL="0" distR="0" wp14:anchorId="6B23D2D0" wp14:editId="7D08A62A">
            <wp:extent cx="5738813" cy="340866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1280" cy="3422004"/>
                    </a:xfrm>
                    <a:prstGeom prst="rect">
                      <a:avLst/>
                    </a:prstGeom>
                    <a:noFill/>
                  </pic:spPr>
                </pic:pic>
              </a:graphicData>
            </a:graphic>
          </wp:inline>
        </w:drawing>
      </w:r>
    </w:p>
    <w:p w14:paraId="4F0566B8" w14:textId="77777777" w:rsidR="00D5219A" w:rsidRPr="00D5219A" w:rsidRDefault="00D5219A" w:rsidP="00611B5B">
      <w:pPr>
        <w:pStyle w:val="Headingb0"/>
        <w:rPr>
          <w:lang w:val="ar-SA" w:bidi="ar-EG"/>
        </w:rPr>
      </w:pPr>
      <w:r w:rsidRPr="00D5219A">
        <w:rPr>
          <w:rtl/>
        </w:rPr>
        <w:lastRenderedPageBreak/>
        <w:t>ملخص الاختلافات بين مبالغ الميزانية والمبالغ الفعلية</w:t>
      </w:r>
    </w:p>
    <w:p w14:paraId="4F3DA2E9" w14:textId="4FE025D8" w:rsidR="00901AD0" w:rsidRDefault="00D5219A" w:rsidP="00D5219A">
      <w:pPr>
        <w:rPr>
          <w:rtl/>
        </w:rPr>
      </w:pPr>
      <w:r w:rsidRPr="00D5219A">
        <w:rPr>
          <w:rtl/>
        </w:rPr>
        <w:t xml:space="preserve">أقرَّ المجلس في دورته لعام 2023 ميزانية سنة 2024 بموجب القرار </w:t>
      </w:r>
      <w:r w:rsidR="00611B5B">
        <w:t>1417</w:t>
      </w:r>
      <w:r w:rsidRPr="00D5219A">
        <w:rPr>
          <w:rtl/>
        </w:rPr>
        <w:t>. وبلغت في الأصل 164,9 مليون فرنك سويسري. وخفضت الميزانية إلى 164,7 مليون فرنك سويسري بسبب تأجيل عقد 3 اجتماعات تحضيرية إقليمية للمؤتمر العالمي لتنمية الاتصالات من عام 2024 إلى عام 2025.</w:t>
      </w:r>
    </w:p>
    <w:p w14:paraId="28844D3D" w14:textId="63CE4CF2" w:rsidR="00901AD0" w:rsidRPr="00611B5B" w:rsidRDefault="00D5219A" w:rsidP="00D5219A">
      <w:pPr>
        <w:rPr>
          <w:spacing w:val="-4"/>
          <w:rtl/>
        </w:rPr>
      </w:pPr>
      <w:r w:rsidRPr="00611B5B">
        <w:rPr>
          <w:spacing w:val="-4"/>
          <w:rtl/>
        </w:rPr>
        <w:t>وتبلغ الإيرادات لعام 2024، 161,5 مليون فرنك سويسري. ويقل هذا المبلغ بمقدار 3,4 مليون فرنك سويسري عن المستوى المدرج في الميزانية، ويعزى ذلك أساساً إلى انخفاض إيرادات استرداد التكاليف لمعالجة بطاقات التبليغ عن الشبكات الساتلية</w:t>
      </w:r>
      <w:r w:rsidR="00611B5B">
        <w:rPr>
          <w:rFonts w:hint="eastAsia"/>
          <w:spacing w:val="-4"/>
          <w:rtl/>
          <w:lang w:bidi="ar-EG"/>
        </w:rPr>
        <w:t> </w:t>
      </w:r>
      <w:r w:rsidRPr="00611B5B">
        <w:rPr>
          <w:spacing w:val="-4"/>
          <w:rtl/>
        </w:rPr>
        <w:t>(</w:t>
      </w:r>
      <w:r w:rsidRPr="00611B5B">
        <w:rPr>
          <w:spacing w:val="-4"/>
          <w:lang w:bidi="ar-EG"/>
        </w:rPr>
        <w:t>SNF</w:t>
      </w:r>
      <w:r w:rsidRPr="00611B5B">
        <w:rPr>
          <w:spacing w:val="-4"/>
          <w:rtl/>
        </w:rPr>
        <w:t>) وتقابله جزئياً زيادة في إيرادات الفوائد بمبلغ 2,6 مليون فرنك سويسري عن تلك المدرجة في الميزانية.</w:t>
      </w:r>
    </w:p>
    <w:p w14:paraId="0E9C10FE" w14:textId="0A9F9E30" w:rsidR="00D5219A" w:rsidRPr="00D5219A" w:rsidRDefault="00D5219A" w:rsidP="00D5219A">
      <w:pPr>
        <w:rPr>
          <w:lang w:val="ar-SA" w:bidi="ar-EG"/>
        </w:rPr>
      </w:pPr>
      <w:r w:rsidRPr="00D5219A">
        <w:rPr>
          <w:rtl/>
        </w:rPr>
        <w:t>ولضمان بقاء الاتحاد ضمن حدود الانخفاض في الإيرادات، مارست الأمانة إدارة صارمة للإنفاق بما في ذلك المراجعات الشهرية وحتى الأسبوعية لضمان بقاء مستوى النفقات دون مستوى الإيرادات لعام 2024.</w:t>
      </w:r>
    </w:p>
    <w:p w14:paraId="1444982C" w14:textId="77777777" w:rsidR="00D5219A" w:rsidRPr="00D5219A" w:rsidRDefault="00D5219A" w:rsidP="00D5219A">
      <w:pPr>
        <w:rPr>
          <w:lang w:val="ar-SA" w:bidi="ar-EG"/>
        </w:rPr>
      </w:pPr>
      <w:r w:rsidRPr="00D5219A">
        <w:rPr>
          <w:rtl/>
        </w:rPr>
        <w:t>وفيما يلي مزيد من التفاصيل بشأن الفروق في تنفيذ ميزانية عام 2024 بحسب القطاع:</w:t>
      </w:r>
    </w:p>
    <w:p w14:paraId="268E96CB" w14:textId="77777777" w:rsidR="00D5219A" w:rsidRPr="00A71906" w:rsidRDefault="00D5219A" w:rsidP="00A71906">
      <w:pPr>
        <w:pStyle w:val="Headingi"/>
        <w:rPr>
          <w:b w:val="0"/>
          <w:bCs w:val="0"/>
        </w:rPr>
      </w:pPr>
      <w:r w:rsidRPr="00A71906">
        <w:rPr>
          <w:b w:val="0"/>
          <w:bCs w:val="0"/>
          <w:rtl/>
        </w:rPr>
        <w:t>الأمانة العامة</w:t>
      </w:r>
    </w:p>
    <w:p w14:paraId="473BB62C" w14:textId="1271F8FF" w:rsidR="00D5219A" w:rsidRPr="00D5219A" w:rsidRDefault="00A71906" w:rsidP="00A71906">
      <w:pPr>
        <w:pStyle w:val="enumlev1"/>
        <w:rPr>
          <w:lang w:val="ar-SA" w:bidi="ar-EG"/>
        </w:rPr>
      </w:pPr>
      <w:r>
        <w:sym w:font="Wingdings 2" w:char="F097"/>
      </w:r>
      <w:r>
        <w:tab/>
      </w:r>
      <w:r w:rsidR="00D5219A" w:rsidRPr="00D5219A">
        <w:rPr>
          <w:rtl/>
        </w:rPr>
        <w:t xml:space="preserve">‏بلغ مجموع نفقات الأمانة العامة ‎85,6 ‏مليون فرنك سويسري في ‎2024‏، أي </w:t>
      </w:r>
      <w:r>
        <w:t>%94,3</w:t>
      </w:r>
      <w:r w:rsidR="00D5219A" w:rsidRPr="00D5219A">
        <w:rPr>
          <w:rtl/>
        </w:rPr>
        <w:t xml:space="preserve"> من الميزانية البالغة </w:t>
      </w:r>
      <w:r>
        <w:t>90,8</w:t>
      </w:r>
      <w:r w:rsidR="00D5219A" w:rsidRPr="00D5219A">
        <w:rPr>
          <w:rtl/>
        </w:rPr>
        <w:t xml:space="preserve"> ‏مليون فرنك سويسري.‎</w:t>
      </w:r>
    </w:p>
    <w:p w14:paraId="58C89A50" w14:textId="67BB8D25" w:rsidR="00D5219A" w:rsidRPr="00D5219A" w:rsidRDefault="00A71906" w:rsidP="00A71906">
      <w:pPr>
        <w:pStyle w:val="enumlev1"/>
        <w:rPr>
          <w:lang w:val="ar-SA" w:bidi="ar-EG"/>
        </w:rPr>
      </w:pPr>
      <w:r>
        <w:sym w:font="Wingdings 2" w:char="F097"/>
      </w:r>
      <w:r>
        <w:tab/>
      </w:r>
      <w:r w:rsidR="00D5219A" w:rsidRPr="00D5219A">
        <w:rPr>
          <w:rtl/>
        </w:rPr>
        <w:t>وتتصل الوفورات الرئيسية بالوفورات في الوثائق.</w:t>
      </w:r>
    </w:p>
    <w:p w14:paraId="22D4D138" w14:textId="2122B43D" w:rsidR="00D5219A" w:rsidRPr="00D5219A" w:rsidRDefault="00A71906" w:rsidP="00A71906">
      <w:pPr>
        <w:pStyle w:val="enumlev1"/>
        <w:rPr>
          <w:lang w:val="ar-SA" w:bidi="ar-EG"/>
        </w:rPr>
      </w:pPr>
      <w:r>
        <w:sym w:font="Wingdings 2" w:char="F097"/>
      </w:r>
      <w:r>
        <w:tab/>
      </w:r>
      <w:r w:rsidR="00D5219A" w:rsidRPr="00D5219A">
        <w:rPr>
          <w:rtl/>
        </w:rPr>
        <w:t>وتحققت وفورات أخرى أيضاً في النفقات المشتركة وبسبب البطء في ملء الوظائف الشاغرة فيما يتصل بتنفيذ برنامج إنهاء الخدمة الطوعي.</w:t>
      </w:r>
    </w:p>
    <w:p w14:paraId="596B293C" w14:textId="77777777" w:rsidR="00D5219A" w:rsidRPr="00A71906" w:rsidRDefault="00D5219A" w:rsidP="00A71906">
      <w:pPr>
        <w:pStyle w:val="Headingi"/>
        <w:rPr>
          <w:b w:val="0"/>
          <w:bCs w:val="0"/>
        </w:rPr>
      </w:pPr>
      <w:r w:rsidRPr="00A71906">
        <w:rPr>
          <w:b w:val="0"/>
          <w:bCs w:val="0"/>
          <w:rtl/>
        </w:rPr>
        <w:t>قطاع الاتصالات الراديوية (</w:t>
      </w:r>
      <w:r w:rsidRPr="00A71906">
        <w:rPr>
          <w:b w:val="0"/>
          <w:bCs w:val="0"/>
        </w:rPr>
        <w:t>(ITU-R</w:t>
      </w:r>
    </w:p>
    <w:p w14:paraId="7F19BF1B" w14:textId="352B8D2A" w:rsidR="00D5219A" w:rsidRPr="00D5219A" w:rsidRDefault="00A71906" w:rsidP="00A71906">
      <w:pPr>
        <w:pStyle w:val="enumlev1"/>
        <w:rPr>
          <w:lang w:val="ar-SA" w:bidi="ar-EG"/>
        </w:rPr>
      </w:pPr>
      <w:r>
        <w:sym w:font="Wingdings 2" w:char="F097"/>
      </w:r>
      <w:r>
        <w:tab/>
      </w:r>
      <w:r w:rsidR="00D5219A" w:rsidRPr="00D5219A">
        <w:rPr>
          <w:rtl/>
        </w:rPr>
        <w:t xml:space="preserve">‏بلغ مجموع نفقات قطاع الاتصالات الراديوية 28,7 ‏مليون فرنك سويسري في ‎2024‏، أي </w:t>
      </w:r>
      <w:r>
        <w:t>%94,8</w:t>
      </w:r>
      <w:r w:rsidR="00D5219A" w:rsidRPr="00D5219A">
        <w:rPr>
          <w:rtl/>
        </w:rPr>
        <w:t xml:space="preserve"> من الميزانية البالغة ‎30,2 ‏مليون فرنك سويسري.‎</w:t>
      </w:r>
    </w:p>
    <w:p w14:paraId="19C5669F" w14:textId="41D192E0" w:rsidR="00D5219A" w:rsidRPr="00D5219A" w:rsidRDefault="00A71906" w:rsidP="00A71906">
      <w:pPr>
        <w:pStyle w:val="enumlev1"/>
        <w:rPr>
          <w:lang w:val="ar-SA" w:bidi="ar-EG"/>
        </w:rPr>
      </w:pPr>
      <w:r>
        <w:sym w:font="Wingdings 2" w:char="F097"/>
      </w:r>
      <w:r>
        <w:tab/>
      </w:r>
      <w:r w:rsidR="00D5219A" w:rsidRPr="00D5219A">
        <w:rPr>
          <w:rtl/>
        </w:rPr>
        <w:t>وتحققت وفورات رئيسية في السفر والترجمة التحريرية والنفقات التشغيلية الأخرى وتكاليف الموظفين فيما يتصل بتنفيذ برنامج إنهاء الخدمة الطوعي.</w:t>
      </w:r>
    </w:p>
    <w:p w14:paraId="44FEA652" w14:textId="77777777" w:rsidR="00D5219A" w:rsidRPr="00A71906" w:rsidRDefault="00D5219A" w:rsidP="00A71906">
      <w:pPr>
        <w:pStyle w:val="Headingi"/>
        <w:rPr>
          <w:b w:val="0"/>
          <w:bCs w:val="0"/>
        </w:rPr>
      </w:pPr>
      <w:r w:rsidRPr="00A71906">
        <w:rPr>
          <w:b w:val="0"/>
          <w:bCs w:val="0"/>
          <w:rtl/>
        </w:rPr>
        <w:t>قطاع تقييس الاتصالات (</w:t>
      </w:r>
      <w:r w:rsidRPr="00A71906">
        <w:rPr>
          <w:b w:val="0"/>
          <w:bCs w:val="0"/>
        </w:rPr>
        <w:t>(ITU-T</w:t>
      </w:r>
    </w:p>
    <w:p w14:paraId="783F7958" w14:textId="5E1C3951" w:rsidR="00D5219A" w:rsidRPr="00D5219A" w:rsidRDefault="00A71906" w:rsidP="00A71906">
      <w:pPr>
        <w:pStyle w:val="enumlev1"/>
        <w:rPr>
          <w:lang w:val="ar-SA" w:bidi="ar-EG"/>
        </w:rPr>
      </w:pPr>
      <w:r>
        <w:sym w:font="Wingdings 2" w:char="F097"/>
      </w:r>
      <w:r>
        <w:tab/>
      </w:r>
      <w:r w:rsidR="00D5219A" w:rsidRPr="00D5219A">
        <w:rPr>
          <w:rtl/>
        </w:rPr>
        <w:t xml:space="preserve">‏بلغ مجموع نفقات قطاع تقييس الاتصالات 14,6 ‏مليون فرنك سويسري في ‎2024‏، أي </w:t>
      </w:r>
      <w:r>
        <w:t>%99,4</w:t>
      </w:r>
      <w:r w:rsidR="00D5219A" w:rsidRPr="00D5219A">
        <w:rPr>
          <w:rtl/>
        </w:rPr>
        <w:t xml:space="preserve"> من الميزانية البالغة ‎14,7 ‏مليون فرنك سويسري.‎</w:t>
      </w:r>
    </w:p>
    <w:p w14:paraId="361F11D7" w14:textId="42FD016A" w:rsidR="00D5219A" w:rsidRPr="00D5219A" w:rsidRDefault="00A71906" w:rsidP="00A71906">
      <w:pPr>
        <w:pStyle w:val="enumlev1"/>
        <w:rPr>
          <w:lang w:val="ar-SA" w:bidi="ar-EG"/>
        </w:rPr>
      </w:pPr>
      <w:r>
        <w:sym w:font="Wingdings 2" w:char="F097"/>
      </w:r>
      <w:r>
        <w:tab/>
      </w:r>
      <w:r w:rsidR="00D5219A" w:rsidRPr="00D5219A">
        <w:rPr>
          <w:rtl/>
        </w:rPr>
        <w:t>وتحققت معظم الوفورات المحدودة في إطار تكاليف الترجمة الشفوية للجمعية العالمية لتقييس الاتصالات.</w:t>
      </w:r>
    </w:p>
    <w:p w14:paraId="60FC3C18" w14:textId="77777777" w:rsidR="00D5219A" w:rsidRPr="00A71906" w:rsidRDefault="00D5219A" w:rsidP="00A71906">
      <w:pPr>
        <w:pStyle w:val="Headingi"/>
        <w:rPr>
          <w:b w:val="0"/>
          <w:bCs w:val="0"/>
        </w:rPr>
      </w:pPr>
      <w:r w:rsidRPr="00A71906">
        <w:rPr>
          <w:b w:val="0"/>
          <w:bCs w:val="0"/>
          <w:rtl/>
        </w:rPr>
        <w:t>قطاع تنمية الاتصالات (</w:t>
      </w:r>
      <w:r w:rsidRPr="00A71906">
        <w:rPr>
          <w:b w:val="0"/>
          <w:bCs w:val="0"/>
        </w:rPr>
        <w:t>(ITU-D</w:t>
      </w:r>
    </w:p>
    <w:p w14:paraId="479A6080" w14:textId="7F2C2794" w:rsidR="00D5219A" w:rsidRPr="00D5219A" w:rsidRDefault="00A71906" w:rsidP="00A71906">
      <w:pPr>
        <w:pStyle w:val="enumlev1"/>
        <w:rPr>
          <w:lang w:val="ar-SA" w:bidi="ar-EG"/>
        </w:rPr>
      </w:pPr>
      <w:r>
        <w:sym w:font="Wingdings 2" w:char="F097"/>
      </w:r>
      <w:r>
        <w:tab/>
      </w:r>
      <w:r w:rsidR="00D5219A" w:rsidRPr="00D5219A">
        <w:rPr>
          <w:rtl/>
        </w:rPr>
        <w:t>‏بلغ مجموع نفقات قطاع تنمية الاتصالات 26,9 ‏مليون فرنك سويسري في ‎2024‏، أي ‎%93 من الميزانية البالغة ‎29 ‏مليون فرنك سويسري.‎</w:t>
      </w:r>
    </w:p>
    <w:p w14:paraId="0874EB0A" w14:textId="5BF7646E" w:rsidR="00D5219A" w:rsidRPr="00D5219A" w:rsidRDefault="00A71906" w:rsidP="00A71906">
      <w:pPr>
        <w:pStyle w:val="enumlev1"/>
        <w:rPr>
          <w:lang w:val="ar-SA" w:bidi="ar-EG"/>
        </w:rPr>
      </w:pPr>
      <w:r>
        <w:sym w:font="Wingdings 2" w:char="F097"/>
      </w:r>
      <w:r>
        <w:tab/>
      </w:r>
      <w:r w:rsidR="00D5219A" w:rsidRPr="00D5219A">
        <w:rPr>
          <w:rtl/>
        </w:rPr>
        <w:t>وتحققت وفورات كبيرة في تكاليف السفر والموظفين فيما يتصل بتنفيذ برنامج إنهاء الخدمة الطوعي.</w:t>
      </w:r>
    </w:p>
    <w:p w14:paraId="08699EA0" w14:textId="77777777" w:rsidR="00D5219A" w:rsidRPr="00D5219A" w:rsidRDefault="00D5219A" w:rsidP="00D5219A">
      <w:pPr>
        <w:rPr>
          <w:lang w:val="ar-SA" w:bidi="ar-EG"/>
        </w:rPr>
      </w:pPr>
      <w:r w:rsidRPr="00D5219A">
        <w:rPr>
          <w:rtl/>
        </w:rPr>
        <w:t>وبلغ إجمالي مبلغ التنفيذ 155,8 مليون فرنك سويسري وهو أقل بمقدار 5,7 مليون فرنك سويسري من إجمالي الإيرادات المحققة في عام 2024.</w:t>
      </w:r>
    </w:p>
    <w:p w14:paraId="221EF337" w14:textId="77777777" w:rsidR="00901AD0" w:rsidRDefault="00D5219A" w:rsidP="00D5219A">
      <w:pPr>
        <w:rPr>
          <w:rtl/>
        </w:rPr>
      </w:pPr>
      <w:r w:rsidRPr="00D5219A">
        <w:rPr>
          <w:rtl/>
        </w:rPr>
        <w:t>واتبع الاتحاد نهجاً متحفظا في الإفراج عن الأموال بسبب عدم التيقن من إيرادات استرداد التكاليف خلال العام. وقد أدى ذلك إلى ضمان استمرارية العمليات وفي الآن ذاته ضمان الانضباط المالي.</w:t>
      </w:r>
    </w:p>
    <w:p w14:paraId="606A0499" w14:textId="6473932A" w:rsidR="00D5219A" w:rsidRPr="00D5219A" w:rsidRDefault="00D5219A" w:rsidP="00D5219A">
      <w:pPr>
        <w:rPr>
          <w:lang w:val="ar-SA" w:bidi="ar-EG"/>
        </w:rPr>
      </w:pPr>
      <w:r w:rsidRPr="00D5219A">
        <w:rPr>
          <w:rtl/>
        </w:rPr>
        <w:t>وعلاوة</w:t>
      </w:r>
      <w:r w:rsidR="00A71906">
        <w:rPr>
          <w:rFonts w:hint="cs"/>
          <w:rtl/>
        </w:rPr>
        <w:t>ً</w:t>
      </w:r>
      <w:r w:rsidRPr="00D5219A">
        <w:rPr>
          <w:rtl/>
        </w:rPr>
        <w:t xml:space="preserve"> على ذلك، كان لارتفاع مستوى أرباح الفوائد لمستوى أعلى من المتوقع وتحركات أسعار الصرف المواتية دور أيضاً في تحقيق فائض أعلى من المستوى المتوقع لعام 2024.</w:t>
      </w:r>
    </w:p>
    <w:p w14:paraId="5E3F4802" w14:textId="7B460571" w:rsidR="00D5219A" w:rsidRPr="00D5219A" w:rsidRDefault="00D5219A" w:rsidP="009F4F01">
      <w:pPr>
        <w:pStyle w:val="Heading1"/>
        <w:rPr>
          <w:lang w:bidi="ar-EG"/>
        </w:rPr>
      </w:pPr>
      <w:bookmarkStart w:id="336" w:name="_Toc305764119"/>
      <w:bookmarkStart w:id="337" w:name="_Toc329011661"/>
      <w:bookmarkStart w:id="338" w:name="_Toc433667371"/>
      <w:bookmarkStart w:id="339" w:name="_Toc196292794"/>
      <w:bookmarkStart w:id="340" w:name="_Toc201043161"/>
      <w:r w:rsidRPr="00D5219A">
        <w:rPr>
          <w:rtl/>
        </w:rPr>
        <w:lastRenderedPageBreak/>
        <w:t>الملاحظة 22</w:t>
      </w:r>
      <w:r w:rsidR="00901AD0">
        <w:rPr>
          <w:rtl/>
        </w:rPr>
        <w:tab/>
      </w:r>
      <w:r w:rsidRPr="00D5219A">
        <w:rPr>
          <w:rtl/>
        </w:rPr>
        <w:t>الكشوف المتعلقة بالأطراف المتكافلة</w:t>
      </w:r>
      <w:bookmarkEnd w:id="336"/>
      <w:bookmarkEnd w:id="337"/>
      <w:bookmarkEnd w:id="338"/>
      <w:bookmarkEnd w:id="339"/>
      <w:bookmarkEnd w:id="340"/>
    </w:p>
    <w:p w14:paraId="3CBA5A2E" w14:textId="77777777" w:rsidR="00D5219A" w:rsidRPr="00D5219A" w:rsidRDefault="00D5219A" w:rsidP="00BA2270">
      <w:pPr>
        <w:keepNext/>
        <w:rPr>
          <w:lang w:val="ar-SA" w:bidi="ar-EG"/>
        </w:rPr>
      </w:pPr>
      <w:r w:rsidRPr="00D5219A">
        <w:rPr>
          <w:rtl/>
        </w:rPr>
        <w:t>وفيما يلي الأطراف ذات الصلة بالاتحاد:</w:t>
      </w:r>
    </w:p>
    <w:p w14:paraId="54226E4D" w14:textId="19AC4D66" w:rsidR="00D5219A" w:rsidRPr="00D5219A" w:rsidRDefault="00BA2270" w:rsidP="00BA2270">
      <w:pPr>
        <w:pStyle w:val="enumlev1"/>
        <w:rPr>
          <w:lang w:val="ar-SA" w:bidi="ar-EG"/>
        </w:rPr>
      </w:pPr>
      <w:r>
        <w:rPr>
          <w:lang w:bidi="ar-EG"/>
        </w:rPr>
        <w:t>-</w:t>
      </w:r>
      <w:r w:rsidR="00D5219A" w:rsidRPr="00D5219A">
        <w:rPr>
          <w:rtl/>
        </w:rPr>
        <w:tab/>
        <w:t>يتألف مجلس إدارة الاتحاد من 48 دولة عضواً، دون تسمية أشخاص بعينهم.</w:t>
      </w:r>
    </w:p>
    <w:p w14:paraId="47EE66C6" w14:textId="6FC30D89" w:rsidR="00D5219A" w:rsidRPr="00D5219A" w:rsidRDefault="00BA2270" w:rsidP="00BA2270">
      <w:pPr>
        <w:pStyle w:val="enumlev1"/>
        <w:rPr>
          <w:lang w:val="ar-SA" w:bidi="ar-EG"/>
        </w:rPr>
      </w:pPr>
      <w:r>
        <w:rPr>
          <w:lang w:bidi="ar-EG"/>
        </w:rPr>
        <w:t>-</w:t>
      </w:r>
      <w:r w:rsidR="00D5219A" w:rsidRPr="00D5219A">
        <w:rPr>
          <w:rtl/>
        </w:rPr>
        <w:tab/>
        <w:t>تدير الاتحاد الأمينة العامة كرئيس تنفيذي، يساعدها في ذلك نائب الأمينة العامة ومديرو مكاتب الاتحاد الثلاثة (موظفو الإدارة العليا الذين لهم مقاعد في لجنة التنسيق): قطاع الاتصالات الراديوية (</w:t>
      </w:r>
      <w:r w:rsidR="00704544">
        <w:t>ITU-R</w:t>
      </w:r>
      <w:r w:rsidR="00D5219A" w:rsidRPr="00D5219A">
        <w:rPr>
          <w:rtl/>
        </w:rPr>
        <w:t>) وقطاع تقييس الاتصالات (</w:t>
      </w:r>
      <w:r w:rsidR="00704544">
        <w:t>ITU-T</w:t>
      </w:r>
      <w:r w:rsidR="00D5219A" w:rsidRPr="00D5219A">
        <w:rPr>
          <w:rtl/>
        </w:rPr>
        <w:t>) وقطاع تنمية الاتصالات (</w:t>
      </w:r>
      <w:r w:rsidR="00704544">
        <w:t>ITU-D</w:t>
      </w:r>
      <w:r w:rsidR="00D5219A" w:rsidRPr="00D5219A">
        <w:rPr>
          <w:rtl/>
        </w:rPr>
        <w:t>).</w:t>
      </w:r>
    </w:p>
    <w:p w14:paraId="1FE99BDD" w14:textId="77777777" w:rsidR="00D5219A" w:rsidRPr="00D5219A" w:rsidRDefault="00D5219A" w:rsidP="00D5219A">
      <w:pPr>
        <w:rPr>
          <w:b/>
          <w:lang w:val="ar-SA" w:bidi="ar-EG"/>
        </w:rPr>
      </w:pPr>
      <w:r w:rsidRPr="00D5219A">
        <w:rPr>
          <w:b/>
          <w:rtl/>
        </w:rPr>
        <w:t>وتشمل الأجور الإجمالية التي تدفع لموظفي الإدارة الرئيسيين صافي المرتب وعلاوة تسوية المقر وبدلات من قبيل بدل التمثيل وبدل الانتداب وبدل الإعادة إلى الوطن والإجازات المتراكمة وبدل السكن ونقل الأمتعة الشخصية، فضلاً عن الاستحقاقات ذاتها التي تدفع إلى الموظفين في الفئة الفنية، مثل إجازة زيارة الوطن، ومنحة التعليم، وإعانات الإيجار، واستحقاقات ما بعد الخدمة. ويتضمن الجدول أدناه المبالغ المتعلقة بعام 2024.</w:t>
      </w:r>
    </w:p>
    <w:p w14:paraId="600D3045" w14:textId="77777777" w:rsidR="00D5219A" w:rsidRPr="00D5219A" w:rsidRDefault="00D5219A" w:rsidP="008B286B">
      <w:pPr>
        <w:pStyle w:val="Figure"/>
        <w:rPr>
          <w:lang w:bidi="ar-EG"/>
        </w:rPr>
      </w:pPr>
      <w:bookmarkStart w:id="341" w:name="_Toc305764120"/>
      <w:bookmarkStart w:id="342" w:name="_Toc329011662"/>
      <w:bookmarkStart w:id="343" w:name="_Toc1800894350"/>
      <w:r w:rsidRPr="00D5219A">
        <w:rPr>
          <w:lang w:bidi="ar-EG"/>
        </w:rPr>
        <w:drawing>
          <wp:inline distT="0" distB="0" distL="0" distR="0" wp14:anchorId="5F2F570D" wp14:editId="5A28A24E">
            <wp:extent cx="4714875" cy="822036"/>
            <wp:effectExtent l="0" t="0" r="0" b="0"/>
            <wp:docPr id="547692261" name="Picture 15" descr="A blue and black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692261" name="Picture 15" descr="A blue and black background with black text&#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68858" cy="831448"/>
                    </a:xfrm>
                    <a:prstGeom prst="rect">
                      <a:avLst/>
                    </a:prstGeom>
                    <a:noFill/>
                  </pic:spPr>
                </pic:pic>
              </a:graphicData>
            </a:graphic>
          </wp:inline>
        </w:drawing>
      </w:r>
    </w:p>
    <w:p w14:paraId="7501AFBD" w14:textId="1D158F9F" w:rsidR="00D5219A" w:rsidRPr="00D5219A" w:rsidRDefault="00D5219A" w:rsidP="009F4F01">
      <w:pPr>
        <w:pStyle w:val="Heading1"/>
        <w:rPr>
          <w:lang w:bidi="ar-EG"/>
        </w:rPr>
      </w:pPr>
      <w:bookmarkStart w:id="344" w:name="_Toc196292795"/>
      <w:bookmarkStart w:id="345" w:name="_Toc201043162"/>
      <w:r w:rsidRPr="00D5219A">
        <w:rPr>
          <w:rtl/>
        </w:rPr>
        <w:t>الملاحظة 23</w:t>
      </w:r>
      <w:r w:rsidR="00901AD0">
        <w:rPr>
          <w:rtl/>
        </w:rPr>
        <w:tab/>
      </w:r>
      <w:r w:rsidRPr="00D5219A">
        <w:rPr>
          <w:rtl/>
        </w:rPr>
        <w:t>الالتزامات المستقبلية</w:t>
      </w:r>
      <w:bookmarkEnd w:id="341"/>
      <w:bookmarkEnd w:id="342"/>
      <w:bookmarkEnd w:id="343"/>
      <w:bookmarkEnd w:id="344"/>
      <w:bookmarkEnd w:id="345"/>
    </w:p>
    <w:p w14:paraId="5CBFDC58" w14:textId="77777777" w:rsidR="00D5219A" w:rsidRPr="00D5219A" w:rsidRDefault="00D5219A" w:rsidP="00D5219A">
      <w:pPr>
        <w:rPr>
          <w:lang w:val="ar-SA" w:bidi="ar-EG"/>
        </w:rPr>
      </w:pPr>
      <w:r w:rsidRPr="00D5219A">
        <w:rPr>
          <w:rtl/>
        </w:rPr>
        <w:t xml:space="preserve">وقّع الاتحاد عقداً مع جمعية التأمين التعاوني </w:t>
      </w:r>
      <w:r w:rsidRPr="00D5219A">
        <w:rPr>
          <w:lang w:bidi="ar-EG"/>
        </w:rPr>
        <w:t>UNSMIS</w:t>
      </w:r>
      <w:r w:rsidRPr="00D5219A">
        <w:rPr>
          <w:rtl/>
        </w:rPr>
        <w:t xml:space="preserve"> في ‎1 ‏يناير ‎2020 ‏يلزم بموجبه دفع مساهمة سنوية إضافية حتى عام ‎2032. ‏وفي ‎31 ‏ديسمبر ‎2024‏، بلغ مجموع المساهمات الإضافية المتبقية ‎12,8 ‏مليون فرنك سويسري (‎14,2 ‏مليون دولار أمريكي) (‎31 ‏ديسمبر ‎2023 ‏ - 13,3 مليون فرنك سويسري (‎15,9 ‏مليون دولار أمريكي)).‎</w:t>
      </w:r>
    </w:p>
    <w:p w14:paraId="47751162" w14:textId="77777777" w:rsidR="00D5219A" w:rsidRPr="00D5219A" w:rsidRDefault="00D5219A" w:rsidP="009F4F01">
      <w:pPr>
        <w:pStyle w:val="Heading1"/>
        <w:rPr>
          <w:lang w:bidi="ar-EG"/>
        </w:rPr>
      </w:pPr>
      <w:bookmarkStart w:id="346" w:name="_Toc305764121"/>
      <w:bookmarkStart w:id="347" w:name="_Toc329011663"/>
      <w:bookmarkStart w:id="348" w:name="_Toc1219009599"/>
      <w:bookmarkStart w:id="349" w:name="_Toc196292796"/>
      <w:bookmarkStart w:id="350" w:name="_Toc201043163"/>
      <w:bookmarkStart w:id="351" w:name="_Hlk39154510"/>
      <w:r w:rsidRPr="00D5219A">
        <w:rPr>
          <w:rtl/>
        </w:rPr>
        <w:t>الملاحظة 24</w:t>
      </w:r>
      <w:r w:rsidRPr="00D5219A">
        <w:rPr>
          <w:rtl/>
        </w:rPr>
        <w:tab/>
        <w:t>الأحداث بعد تاريخ الإبلاغ</w:t>
      </w:r>
      <w:bookmarkEnd w:id="346"/>
      <w:bookmarkEnd w:id="347"/>
      <w:bookmarkEnd w:id="348"/>
      <w:bookmarkEnd w:id="349"/>
      <w:bookmarkEnd w:id="350"/>
    </w:p>
    <w:p w14:paraId="7128A847" w14:textId="77777777" w:rsidR="00D5219A" w:rsidRPr="00A57DE5" w:rsidRDefault="00D5219A" w:rsidP="00D5219A">
      <w:pPr>
        <w:rPr>
          <w:spacing w:val="-4"/>
          <w:lang w:val="ar-SA" w:bidi="ar-EG"/>
        </w:rPr>
      </w:pPr>
      <w:bookmarkStart w:id="352" w:name="_Toc357006004"/>
      <w:bookmarkEnd w:id="351"/>
      <w:r w:rsidRPr="00A57DE5">
        <w:rPr>
          <w:spacing w:val="-4"/>
          <w:rtl/>
        </w:rPr>
        <w:t>تاريخ الإبلاغ للاتحاد هو 31 ديسمبر 2024، وقد أُذن بإصدار هذه البيانات المالية في نفس التاريخ بناءً على رأي المراجع الخارجي.</w:t>
      </w:r>
    </w:p>
    <w:bookmarkEnd w:id="352"/>
    <w:p w14:paraId="3FCC972A" w14:textId="77777777" w:rsidR="00D5219A" w:rsidRPr="00D5219A" w:rsidRDefault="00D5219A" w:rsidP="00D5219A">
      <w:pPr>
        <w:rPr>
          <w:lang w:val="ar-SA" w:bidi="ar-EG"/>
        </w:rPr>
      </w:pPr>
      <w:r w:rsidRPr="00D5219A">
        <w:rPr>
          <w:rtl/>
        </w:rPr>
        <w:t>لم يكن أبداً دور الاتحاد الدولي للاتصالات كمنظمة حكومية دولية تعمل مع الحكومات وكيانات القطاع الخاص والمؤسسات الأكاديمية لتنسيق معايير الاتصالات العالمية وإدارة الطيف وتطوير البنية التحتية أكثر أهمية مما هو عليه الآن. وتدرك الإدارة جيداً أوجه عدم اليقين المحتملة بسبب المناخ الجيوسياسي الحالي بالإضافة إلى تعديل الجهات المانحة الأولويات التي تركز عليها.</w:t>
      </w:r>
    </w:p>
    <w:p w14:paraId="26D00B57" w14:textId="77777777" w:rsidR="00D5219A" w:rsidRPr="00D5219A" w:rsidRDefault="00D5219A" w:rsidP="00D5219A">
      <w:pPr>
        <w:rPr>
          <w:lang w:val="ar-SA" w:bidi="ar-EG"/>
        </w:rPr>
      </w:pPr>
      <w:r w:rsidRPr="00D5219A">
        <w:rPr>
          <w:rtl/>
        </w:rPr>
        <w:t>وفي حين أن مساهمات المانحين لا تمثل سوى حصة متواضعة من إيرادات المنظمة، فإن التخفيضات المحتملة في المستقبل لا يمكن تقييمها تقييماً موثوقاً فيه في تاريخ إعداد هذه البيانات المالية.</w:t>
      </w:r>
    </w:p>
    <w:p w14:paraId="164FBD5C" w14:textId="77777777" w:rsidR="00D5219A" w:rsidRPr="00D5219A" w:rsidRDefault="00D5219A" w:rsidP="00D5219A">
      <w:pPr>
        <w:rPr>
          <w:lang w:val="ar-SA" w:bidi="ar-EG"/>
        </w:rPr>
      </w:pPr>
      <w:r w:rsidRPr="00D5219A">
        <w:rPr>
          <w:rtl/>
        </w:rPr>
        <w:t>وبالنسبة لعام 2024، بلغت المساهمات المقررة الواردة من جهة مانحة أعلنت عن استعراضها المستمر لأولويات تمويلها الدولي 11% من إجمالي إيرادات المساهمات المقررة للاتحاد لهذا العام.</w:t>
      </w:r>
    </w:p>
    <w:p w14:paraId="0C20211B" w14:textId="5A20A958" w:rsidR="00D5219A" w:rsidRPr="007B78C7" w:rsidRDefault="00D5219A" w:rsidP="00D5219A">
      <w:pPr>
        <w:rPr>
          <w:spacing w:val="-4"/>
          <w:lang w:val="ar-SA" w:bidi="ar-EG"/>
        </w:rPr>
      </w:pPr>
      <w:r w:rsidRPr="007B78C7">
        <w:rPr>
          <w:spacing w:val="-4"/>
          <w:rtl/>
        </w:rPr>
        <w:t>ويجري الاتحاد حالياً تقييماً لأنشطته المخطط لها والتزاماته المالية وإدارتها بشكل استباقي بأكثر الطرق كفاءة ولتقليل المخاطر إلى أدنى حد. وفي تاريخ إصدار هذه البيانات المالية، لم تتخذ أي قرارات من شأنها أن تؤدي إلى إبرام عقود مرهقة، ولم تحدد أي التزامات طارئة يمكن قياسها بشكل موثوق نتيجة لتدابير التخفيف التي اتخذت بالفعل. ووفقا</w:t>
      </w:r>
      <w:r w:rsidR="00A57DE5" w:rsidRPr="007B78C7">
        <w:rPr>
          <w:rFonts w:hint="cs"/>
          <w:spacing w:val="-4"/>
          <w:rtl/>
        </w:rPr>
        <w:t>ً</w:t>
      </w:r>
      <w:r w:rsidRPr="007B78C7">
        <w:rPr>
          <w:spacing w:val="-4"/>
          <w:rtl/>
        </w:rPr>
        <w:t xml:space="preserve"> للمعيار</w:t>
      </w:r>
      <w:r w:rsidR="001D664A" w:rsidRPr="007B78C7">
        <w:rPr>
          <w:rFonts w:hint="cs"/>
          <w:spacing w:val="-4"/>
          <w:rtl/>
        </w:rPr>
        <w:t> </w:t>
      </w:r>
      <w:r w:rsidRPr="007B78C7">
        <w:rPr>
          <w:spacing w:val="-4"/>
          <w:rtl/>
        </w:rPr>
        <w:t>IPSAS 23 وممارسات الاتحاد، تعد الاتفاقات خارج الميزانية المتأثرة بأي حالة من عدم اليقين خاضعة لشروط، وبالتالي فإن الإيرادات المقابلة، المتعلقة بالأنشطة التي لم تنفذ بعد، والتي لم تدر أموالاً بعد، قد أرجئت بالفعل (0,9 مليون فرنك سويسري) حتى 31 ديسمبر 2024. وبالإضافة إلى ذلك، يواصل الاتحاد ممارسته المعتادة المتمثلة في عدم بدء التنفيذ إلا عند استلام الأموال من الجهة المانحة، مما يقلل من مخاطر عدم التحصيل. ولن يضطلع بجميع الأنشطة الأساسية المتصلة بمواصلة هذه المشاريع إلى حين البت في ذلك لاحقاً. ويعكف الاتحاد على إيجاد مصادر تمويل إضافية لمواصلة تنفيذ المشاريع.</w:t>
      </w:r>
    </w:p>
    <w:p w14:paraId="2D1FCDE7" w14:textId="3345B01D" w:rsidR="00D5219A" w:rsidRDefault="00D5219A" w:rsidP="007B78C7">
      <w:pPr>
        <w:rPr>
          <w:rtl/>
        </w:rPr>
      </w:pPr>
      <w:r w:rsidRPr="00D5219A">
        <w:rPr>
          <w:rtl/>
        </w:rPr>
        <w:t>وقد أتاحت هذه التدابير للاتحاد أن يكون في وضع متوازن في نهاية عام 2024، مما جعل الآثار المحتملة لعدم اليقين تقتصر فقط على الالتزامات والعمليات التي لم تُنفّذ بعد.</w:t>
      </w:r>
      <w:bookmarkStart w:id="353" w:name="Annex_A"/>
      <w:bookmarkStart w:id="354" w:name="_Toc1715290932"/>
      <w:bookmarkStart w:id="355" w:name="_Toc196292797"/>
      <w:r>
        <w:rPr>
          <w:rtl/>
        </w:rPr>
        <w:br w:type="page"/>
      </w:r>
    </w:p>
    <w:p w14:paraId="0D5CF1DC" w14:textId="2E271A11" w:rsidR="00D5219A" w:rsidRPr="00374ED6" w:rsidRDefault="00D5219A" w:rsidP="00533BCC">
      <w:pPr>
        <w:pStyle w:val="AnnexNo0"/>
        <w:rPr>
          <w:lang w:val="ar-SA" w:bidi="ar-EG"/>
        </w:rPr>
      </w:pPr>
      <w:bookmarkStart w:id="356" w:name="الملحق_A"/>
      <w:bookmarkStart w:id="357" w:name="_Toc201043164"/>
      <w:r w:rsidRPr="00374ED6">
        <w:rPr>
          <w:rtl/>
        </w:rPr>
        <w:lastRenderedPageBreak/>
        <w:t xml:space="preserve">الملحق </w:t>
      </w:r>
      <w:r w:rsidRPr="00374ED6">
        <w:rPr>
          <w:lang w:bidi="ar-EG"/>
        </w:rPr>
        <w:t>A</w:t>
      </w:r>
      <w:bookmarkEnd w:id="353"/>
      <w:bookmarkEnd w:id="356"/>
      <w:bookmarkEnd w:id="357"/>
    </w:p>
    <w:bookmarkEnd w:id="354"/>
    <w:bookmarkEnd w:id="355"/>
    <w:p w14:paraId="41B738EC" w14:textId="77777777" w:rsidR="00D5219A" w:rsidRPr="00D5219A" w:rsidRDefault="00D5219A" w:rsidP="00533BCC">
      <w:pPr>
        <w:pStyle w:val="ResNo"/>
        <w:rPr>
          <w:lang w:val="ar-SA" w:bidi="ar-EG"/>
        </w:rPr>
      </w:pPr>
      <w:r w:rsidRPr="00D5219A">
        <w:rPr>
          <w:rtl/>
        </w:rPr>
        <w:t>مشـروع القـرار [...]</w:t>
      </w:r>
    </w:p>
    <w:p w14:paraId="2D0F91D3" w14:textId="77777777" w:rsidR="00D5219A" w:rsidRPr="00D5219A" w:rsidRDefault="00D5219A" w:rsidP="00533BCC">
      <w:pPr>
        <w:pStyle w:val="Restitle"/>
        <w:rPr>
          <w:lang w:val="ar-SA" w:bidi="ar-EG"/>
        </w:rPr>
      </w:pPr>
      <w:bookmarkStart w:id="358" w:name="_Toc131156200"/>
      <w:r w:rsidRPr="00D5219A">
        <w:rPr>
          <w:rtl/>
        </w:rPr>
        <w:t>تقرير الإدارة المالية والبيانات المالية المراجعة للسنة المالية 2024</w:t>
      </w:r>
      <w:bookmarkStart w:id="359" w:name="_Int_ujVKbKfT"/>
      <w:bookmarkEnd w:id="358"/>
      <w:bookmarkEnd w:id="359"/>
    </w:p>
    <w:p w14:paraId="495A0832" w14:textId="77777777" w:rsidR="00D5219A" w:rsidRPr="00D5219A" w:rsidRDefault="00D5219A" w:rsidP="00533BCC">
      <w:pPr>
        <w:pStyle w:val="Normalaftertitle"/>
        <w:rPr>
          <w:lang w:val="ar-SA" w:bidi="ar-EG"/>
        </w:rPr>
      </w:pPr>
      <w:r w:rsidRPr="00D5219A">
        <w:rPr>
          <w:rtl/>
        </w:rPr>
        <w:t>إن مجلس الاتحاد،</w:t>
      </w:r>
    </w:p>
    <w:p w14:paraId="1DF93704" w14:textId="77777777" w:rsidR="00D5219A" w:rsidRPr="00D5219A" w:rsidRDefault="00D5219A" w:rsidP="00533BCC">
      <w:pPr>
        <w:pStyle w:val="Call"/>
        <w:rPr>
          <w:lang w:val="ar-SA" w:bidi="ar-EG"/>
        </w:rPr>
      </w:pPr>
      <w:r w:rsidRPr="00D5219A">
        <w:rPr>
          <w:rtl/>
        </w:rPr>
        <w:t>إذ يأخذ بعين الاعتبار</w:t>
      </w:r>
    </w:p>
    <w:p w14:paraId="7CC0478D" w14:textId="02DD5978" w:rsidR="00D5219A" w:rsidRPr="00D5219A" w:rsidRDefault="00D5219A" w:rsidP="00D5219A">
      <w:pPr>
        <w:rPr>
          <w:rtl/>
        </w:rPr>
      </w:pPr>
      <w:r w:rsidRPr="00D5219A">
        <w:rPr>
          <w:rtl/>
        </w:rPr>
        <w:t xml:space="preserve">أحكام </w:t>
      </w:r>
      <w:hyperlink r:id="rId77" w:history="1">
        <w:r w:rsidRPr="00D5219A">
          <w:rPr>
            <w:rStyle w:val="Hyperlink"/>
            <w:noProof w:val="0"/>
            <w:rtl/>
            <w:lang w:val="en-US" w:eastAsia="zh-CN"/>
          </w:rPr>
          <w:t>الرقم </w:t>
        </w:r>
        <w:r w:rsidRPr="00D5219A">
          <w:rPr>
            <w:rStyle w:val="Hyperlink"/>
            <w:noProof w:val="0"/>
            <w:lang w:val="en-US" w:eastAsia="zh-CN" w:bidi="ar-EG"/>
          </w:rPr>
          <w:t>101</w:t>
        </w:r>
      </w:hyperlink>
      <w:r w:rsidRPr="00D5219A">
        <w:rPr>
          <w:rtl/>
        </w:rPr>
        <w:t xml:space="preserve"> من اتفاقية الاتحاد الدولي للاتصالات و</w:t>
      </w:r>
      <w:hyperlink r:id="rId78" w:history="1">
        <w:r w:rsidRPr="00D5219A">
          <w:rPr>
            <w:rStyle w:val="Hyperlink"/>
            <w:noProof w:val="0"/>
            <w:rtl/>
            <w:lang w:val="en-US" w:eastAsia="zh-CN"/>
          </w:rPr>
          <w:t xml:space="preserve">المادة </w:t>
        </w:r>
        <w:r w:rsidRPr="00D5219A">
          <w:rPr>
            <w:rStyle w:val="Hyperlink"/>
            <w:noProof w:val="0"/>
            <w:lang w:val="en-US" w:eastAsia="zh-CN" w:bidi="ar-EG"/>
          </w:rPr>
          <w:t>30</w:t>
        </w:r>
      </w:hyperlink>
      <w:r w:rsidRPr="00D5219A">
        <w:rPr>
          <w:rtl/>
        </w:rPr>
        <w:t xml:space="preserve"> من اللوائح المالية للاتحاد</w:t>
      </w:r>
      <w:r w:rsidR="00EF3E76">
        <w:rPr>
          <w:rFonts w:hint="cs"/>
          <w:rtl/>
        </w:rPr>
        <w:t>،</w:t>
      </w:r>
    </w:p>
    <w:p w14:paraId="7785E7C7" w14:textId="77777777" w:rsidR="00D5219A" w:rsidRPr="00D5219A" w:rsidRDefault="00D5219A" w:rsidP="00533BCC">
      <w:pPr>
        <w:pStyle w:val="Call"/>
        <w:rPr>
          <w:lang w:val="ar-SA" w:bidi="ar-EG"/>
        </w:rPr>
      </w:pPr>
      <w:r w:rsidRPr="00D5219A">
        <w:rPr>
          <w:rtl/>
        </w:rPr>
        <w:t>وقد اطّلع على</w:t>
      </w:r>
    </w:p>
    <w:p w14:paraId="6719AB5C" w14:textId="368C7DE4" w:rsidR="00D5219A" w:rsidRPr="00D5219A" w:rsidRDefault="00D5219A" w:rsidP="00D5219A">
      <w:pPr>
        <w:rPr>
          <w:lang w:val="ar-SA" w:bidi="ar-EG"/>
        </w:rPr>
      </w:pPr>
      <w:r w:rsidRPr="00D5219A">
        <w:rPr>
          <w:rtl/>
        </w:rPr>
        <w:t>تقرير الإدارة المالية المرا</w:t>
      </w:r>
      <w:r w:rsidR="00533BCC">
        <w:rPr>
          <w:rFonts w:hint="cs"/>
          <w:rtl/>
        </w:rPr>
        <w:t>جَ</w:t>
      </w:r>
      <w:r w:rsidRPr="00D5219A">
        <w:rPr>
          <w:rtl/>
        </w:rPr>
        <w:t>ع للسنة المالية 2024، الذي يغطي حسابات السنة المالية 2024 لميزانية الاتحاد، والحسابات المراج</w:t>
      </w:r>
      <w:r w:rsidR="00533BCC">
        <w:rPr>
          <w:rFonts w:hint="cs"/>
          <w:rtl/>
        </w:rPr>
        <w:t>َ</w:t>
      </w:r>
      <w:r w:rsidRPr="00D5219A">
        <w:rPr>
          <w:rtl/>
        </w:rPr>
        <w:t>عة لعام 2024،</w:t>
      </w:r>
      <w:bookmarkStart w:id="360" w:name="_Int_FvNvTxPz"/>
      <w:bookmarkStart w:id="361" w:name="_Int_9IATo8Rp"/>
      <w:bookmarkEnd w:id="360"/>
      <w:bookmarkEnd w:id="361"/>
    </w:p>
    <w:p w14:paraId="5ECFE22E" w14:textId="77777777" w:rsidR="00D5219A" w:rsidRPr="00D5219A" w:rsidRDefault="00D5219A" w:rsidP="00533BCC">
      <w:pPr>
        <w:pStyle w:val="Call"/>
        <w:rPr>
          <w:lang w:val="ar-SA" w:bidi="ar-EG"/>
        </w:rPr>
      </w:pPr>
      <w:r w:rsidRPr="00D5219A">
        <w:rPr>
          <w:rtl/>
        </w:rPr>
        <w:t>وقد أخذ علماً</w:t>
      </w:r>
    </w:p>
    <w:p w14:paraId="6824DEEB" w14:textId="5EBFCC8B" w:rsidR="00D5219A" w:rsidRPr="00D5219A" w:rsidRDefault="00D5219A" w:rsidP="00D5219A">
      <w:pPr>
        <w:rPr>
          <w:lang w:val="ar-SA" w:bidi="ar-EG"/>
        </w:rPr>
      </w:pPr>
      <w:r w:rsidRPr="00D5219A">
        <w:rPr>
          <w:rtl/>
        </w:rPr>
        <w:t xml:space="preserve">بتقرير المراجع الخارجي الوارد في الوثيقة </w:t>
      </w:r>
      <w:hyperlink r:id="rId79" w:history="1">
        <w:r w:rsidRPr="00D5219A">
          <w:rPr>
            <w:rStyle w:val="Hyperlink"/>
            <w:noProof w:val="0"/>
            <w:lang w:val="en-US" w:eastAsia="zh-CN" w:bidi="ar-EG"/>
          </w:rPr>
          <w:t>C25/41</w:t>
        </w:r>
      </w:hyperlink>
      <w:r w:rsidRPr="00D5219A">
        <w:rPr>
          <w:rtl/>
        </w:rPr>
        <w:t>،</w:t>
      </w:r>
    </w:p>
    <w:p w14:paraId="6988BFE6" w14:textId="77777777" w:rsidR="00D5219A" w:rsidRPr="00D5219A" w:rsidRDefault="00D5219A" w:rsidP="00533BCC">
      <w:pPr>
        <w:pStyle w:val="Call"/>
        <w:rPr>
          <w:lang w:val="ar-SA" w:bidi="ar-EG"/>
        </w:rPr>
      </w:pPr>
      <w:bookmarkStart w:id="362" w:name="_Hlk39237827"/>
      <w:r w:rsidRPr="00D5219A">
        <w:rPr>
          <w:rtl/>
        </w:rPr>
        <w:t>يقرر</w:t>
      </w:r>
    </w:p>
    <w:p w14:paraId="3E36D54A" w14:textId="2B4269E5" w:rsidR="00D5219A" w:rsidRPr="00D5219A" w:rsidRDefault="00D5219A" w:rsidP="00D5219A">
      <w:pPr>
        <w:rPr>
          <w:lang w:val="ar-SA" w:bidi="ar-EG"/>
        </w:rPr>
      </w:pPr>
      <w:r w:rsidRPr="00D5219A">
        <w:rPr>
          <w:rtl/>
        </w:rPr>
        <w:t>أن يوافق على تقرير الإدارة المالية للسنة المالية 2024 (</w:t>
      </w:r>
      <w:r w:rsidRPr="00533BCC">
        <w:rPr>
          <w:rtl/>
        </w:rPr>
        <w:t xml:space="preserve">الوثيقة </w:t>
      </w:r>
      <w:hyperlink r:id="rId80" w:history="1">
        <w:r w:rsidRPr="00533BCC">
          <w:rPr>
            <w:rStyle w:val="Hyperlink"/>
            <w:noProof w:val="0"/>
            <w:lang w:val="en-US" w:eastAsia="zh-CN" w:bidi="ar-EG"/>
          </w:rPr>
          <w:t>C25/40</w:t>
        </w:r>
      </w:hyperlink>
      <w:r w:rsidRPr="00D5219A">
        <w:rPr>
          <w:rtl/>
        </w:rPr>
        <w:t>) الذي يغطي حسابات الاتحاد لعام 2024.</w:t>
      </w:r>
      <w:bookmarkStart w:id="363" w:name="_Int_brO3cBdj"/>
      <w:bookmarkStart w:id="364" w:name="_MON_1402910630"/>
      <w:bookmarkStart w:id="365" w:name="_MON_1402854367"/>
      <w:bookmarkStart w:id="366" w:name="_MON_1402854952"/>
      <w:bookmarkStart w:id="367" w:name="_MON_1402856415"/>
      <w:bookmarkStart w:id="368" w:name="_MON_1402930663"/>
      <w:bookmarkStart w:id="369" w:name="_MON_1402933351"/>
      <w:bookmarkStart w:id="370" w:name="_MON_1402856792"/>
      <w:bookmarkEnd w:id="362"/>
      <w:bookmarkEnd w:id="363"/>
      <w:bookmarkEnd w:id="364"/>
      <w:bookmarkEnd w:id="365"/>
      <w:bookmarkEnd w:id="366"/>
      <w:bookmarkEnd w:id="367"/>
      <w:bookmarkEnd w:id="368"/>
      <w:bookmarkEnd w:id="369"/>
      <w:bookmarkEnd w:id="370"/>
    </w:p>
    <w:p w14:paraId="46C4E325" w14:textId="5630CABF" w:rsidR="00F50E3F" w:rsidRDefault="00D63735" w:rsidP="00D63735">
      <w:pPr>
        <w:spacing w:before="600"/>
        <w:jc w:val="center"/>
        <w:rPr>
          <w:rtl/>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F50E3F" w:rsidSect="00030A8B">
      <w:footerReference w:type="default" r:id="rId81"/>
      <w:headerReference w:type="first" r:id="rId82"/>
      <w:footerReference w:type="first" r:id="rId83"/>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52B12" w14:textId="77777777" w:rsidR="00986593" w:rsidRDefault="00986593" w:rsidP="006C3242">
      <w:pPr>
        <w:spacing w:before="0" w:line="240" w:lineRule="auto"/>
      </w:pPr>
      <w:r>
        <w:separator/>
      </w:r>
    </w:p>
  </w:endnote>
  <w:endnote w:type="continuationSeparator" w:id="0">
    <w:p w14:paraId="005D82A7" w14:textId="77777777" w:rsidR="00986593" w:rsidRDefault="00986593"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Wingdings 2">
    <w:panose1 w:val="050201020105070707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venir Nxt2 W1G Medium">
    <w:altName w:val="Calibri"/>
    <w:panose1 w:val="020B0603020202020204"/>
    <w:charset w:val="00"/>
    <w:family w:val="swiss"/>
    <w:notTrueType/>
    <w:pitch w:val="variable"/>
    <w:sig w:usb0="A00002EF"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7919"/>
      <w:gridCol w:w="445"/>
    </w:tblGrid>
    <w:tr w:rsidR="004A2C7B" w:rsidRPr="007B0AA0" w14:paraId="206FA870" w14:textId="77777777" w:rsidTr="00327AD3">
      <w:trPr>
        <w:jc w:val="center"/>
      </w:trPr>
      <w:tc>
        <w:tcPr>
          <w:tcW w:w="868" w:type="pct"/>
          <w:vAlign w:val="center"/>
        </w:tcPr>
        <w:p w14:paraId="24A46E14" w14:textId="77777777" w:rsidR="004A2C7B" w:rsidRPr="007B0AA0" w:rsidRDefault="004A2C7B" w:rsidP="00410DE5">
          <w:pPr>
            <w:tabs>
              <w:tab w:val="clear" w:pos="794"/>
            </w:tabs>
            <w:overflowPunct w:val="0"/>
            <w:autoSpaceDE w:val="0"/>
            <w:autoSpaceDN w:val="0"/>
            <w:bidi w:val="0"/>
            <w:adjustRightInd w:val="0"/>
            <w:spacing w:before="0" w:after="0" w:line="240" w:lineRule="auto"/>
            <w:jc w:val="right"/>
            <w:textAlignment w:val="baseline"/>
            <w:rPr>
              <w:rFonts w:ascii="Calibri" w:hAnsi="Calibri" w:cs="Arial"/>
              <w:noProof/>
              <w:sz w:val="18"/>
            </w:rPr>
          </w:pPr>
          <w:r w:rsidRPr="00465FA5">
            <w:rPr>
              <w:rFonts w:ascii="Calibri" w:hAnsi="Calibri" w:cs="Arial"/>
              <w:sz w:val="18"/>
              <w:szCs w:val="14"/>
            </w:rPr>
            <w:t>2501294</w:t>
          </w:r>
        </w:p>
      </w:tc>
      <w:tc>
        <w:tcPr>
          <w:tcW w:w="3912" w:type="pct"/>
        </w:tcPr>
        <w:p w14:paraId="531FB8ED" w14:textId="77777777" w:rsidR="004A2C7B" w:rsidRPr="007B0AA0" w:rsidRDefault="004A2C7B" w:rsidP="00410DE5">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40</w:t>
          </w:r>
          <w:r w:rsidRPr="007B0AA0">
            <w:rPr>
              <w:rFonts w:ascii="Calibri" w:hAnsi="Calibri" w:cs="Arial"/>
              <w:bCs/>
              <w:color w:val="7F7F7F"/>
              <w:sz w:val="18"/>
            </w:rPr>
            <w:t>-</w:t>
          </w:r>
          <w:r>
            <w:rPr>
              <w:rFonts w:ascii="Calibri" w:hAnsi="Calibri" w:cs="Arial"/>
              <w:bCs/>
              <w:color w:val="7F7F7F"/>
              <w:sz w:val="18"/>
            </w:rPr>
            <w:t>A</w:t>
          </w:r>
        </w:p>
      </w:tc>
      <w:tc>
        <w:tcPr>
          <w:tcW w:w="220" w:type="pct"/>
        </w:tcPr>
        <w:p w14:paraId="030636C4" w14:textId="77777777" w:rsidR="004A2C7B" w:rsidRPr="007B0AA0" w:rsidRDefault="004A2C7B" w:rsidP="00410DE5">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0B0FFB0C" w14:textId="77777777" w:rsidR="00D5219A" w:rsidRPr="00B67838" w:rsidRDefault="00D5219A" w:rsidP="004A2C7B">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9"/>
      <w:gridCol w:w="7584"/>
      <w:gridCol w:w="441"/>
    </w:tblGrid>
    <w:tr w:rsidR="00A05F03" w:rsidRPr="007B0AA0" w14:paraId="095D38E8" w14:textId="77777777" w:rsidTr="00327AD3">
      <w:trPr>
        <w:jc w:val="center"/>
      </w:trPr>
      <w:tc>
        <w:tcPr>
          <w:tcW w:w="1013" w:type="pct"/>
          <w:vAlign w:val="center"/>
        </w:tcPr>
        <w:p w14:paraId="752A9369" w14:textId="77777777" w:rsidR="00A05F03" w:rsidRPr="00A05F03" w:rsidRDefault="00A05F03" w:rsidP="00410DE5">
          <w:pPr>
            <w:tabs>
              <w:tab w:val="clear" w:pos="794"/>
            </w:tabs>
            <w:overflowPunct w:val="0"/>
            <w:autoSpaceDE w:val="0"/>
            <w:autoSpaceDN w:val="0"/>
            <w:bidi w:val="0"/>
            <w:adjustRightInd w:val="0"/>
            <w:spacing w:before="0" w:after="0" w:line="240" w:lineRule="auto"/>
            <w:jc w:val="right"/>
            <w:textAlignment w:val="baseline"/>
            <w:rPr>
              <w:rFonts w:ascii="Calibri" w:hAnsi="Calibri" w:cs="Calibri"/>
              <w:noProof/>
              <w:color w:val="7F7F7F"/>
              <w:sz w:val="18"/>
              <w:szCs w:val="18"/>
            </w:rPr>
          </w:pPr>
          <w:hyperlink r:id="rId1" w:history="1">
            <w:r w:rsidRPr="00A05F03">
              <w:rPr>
                <w:rStyle w:val="Hyperlink"/>
                <w:rFonts w:ascii="Calibri" w:hAnsi="Calibri" w:cs="Calibri"/>
                <w:sz w:val="18"/>
                <w:szCs w:val="18"/>
              </w:rPr>
              <w:t>council.itu.int/2025</w:t>
            </w:r>
          </w:hyperlink>
        </w:p>
      </w:tc>
      <w:tc>
        <w:tcPr>
          <w:tcW w:w="3768" w:type="pct"/>
        </w:tcPr>
        <w:p w14:paraId="7D66066C" w14:textId="77777777" w:rsidR="00A05F03" w:rsidRPr="00A05F03" w:rsidRDefault="00A05F03" w:rsidP="00410DE5">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Calibri"/>
              <w:b/>
              <w:bCs/>
              <w:color w:val="7F7F7F"/>
              <w:sz w:val="18"/>
              <w:szCs w:val="18"/>
            </w:rPr>
          </w:pPr>
          <w:r w:rsidRPr="00A05F03">
            <w:rPr>
              <w:rFonts w:ascii="Calibri" w:hAnsi="Calibri" w:cs="Calibri"/>
              <w:bCs/>
              <w:color w:val="7F7F7F"/>
              <w:sz w:val="18"/>
              <w:szCs w:val="18"/>
            </w:rPr>
            <w:t>C25/40-A</w:t>
          </w:r>
        </w:p>
      </w:tc>
      <w:tc>
        <w:tcPr>
          <w:tcW w:w="220" w:type="pct"/>
        </w:tcPr>
        <w:p w14:paraId="4E115100" w14:textId="77777777" w:rsidR="00A05F03" w:rsidRPr="00A05F03" w:rsidRDefault="00A05F03" w:rsidP="00410DE5">
          <w:pPr>
            <w:tabs>
              <w:tab w:val="clear" w:pos="794"/>
              <w:tab w:val="left" w:pos="862"/>
              <w:tab w:val="right" w:pos="8505"/>
              <w:tab w:val="right" w:pos="9639"/>
            </w:tabs>
            <w:overflowPunct w:val="0"/>
            <w:autoSpaceDE w:val="0"/>
            <w:autoSpaceDN w:val="0"/>
            <w:adjustRightInd w:val="0"/>
            <w:spacing w:before="0" w:after="0" w:line="240" w:lineRule="auto"/>
            <w:jc w:val="right"/>
            <w:textAlignment w:val="baseline"/>
            <w:rPr>
              <w:rFonts w:ascii="Calibri" w:hAnsi="Calibri" w:cs="Calibri"/>
              <w:bCs/>
              <w:color w:val="7F7F7F"/>
              <w:sz w:val="18"/>
              <w:szCs w:val="18"/>
            </w:rPr>
          </w:pPr>
          <w:r w:rsidRPr="00A05F03">
            <w:rPr>
              <w:rFonts w:ascii="Calibri" w:hAnsi="Calibri" w:cs="Calibri"/>
              <w:color w:val="7F7F7F"/>
              <w:sz w:val="18"/>
              <w:szCs w:val="18"/>
            </w:rPr>
            <w:fldChar w:fldCharType="begin"/>
          </w:r>
          <w:r w:rsidRPr="00A05F03">
            <w:rPr>
              <w:rFonts w:ascii="Calibri" w:hAnsi="Calibri" w:cs="Calibri"/>
              <w:color w:val="7F7F7F"/>
              <w:sz w:val="18"/>
              <w:szCs w:val="18"/>
            </w:rPr>
            <w:instrText>PAGE</w:instrText>
          </w:r>
          <w:r w:rsidRPr="00A05F03">
            <w:rPr>
              <w:rFonts w:ascii="Calibri" w:hAnsi="Calibri" w:cs="Calibri"/>
              <w:color w:val="7F7F7F"/>
              <w:sz w:val="18"/>
              <w:szCs w:val="18"/>
            </w:rPr>
            <w:fldChar w:fldCharType="separate"/>
          </w:r>
          <w:r w:rsidRPr="00A05F03">
            <w:rPr>
              <w:rFonts w:ascii="Calibri" w:hAnsi="Calibri" w:cs="Calibri"/>
              <w:color w:val="7F7F7F"/>
              <w:sz w:val="18"/>
              <w:szCs w:val="18"/>
            </w:rPr>
            <w:t>1</w:t>
          </w:r>
          <w:r w:rsidRPr="00A05F03">
            <w:rPr>
              <w:rFonts w:ascii="Calibri" w:hAnsi="Calibri" w:cs="Calibri"/>
              <w:noProof/>
              <w:color w:val="7F7F7F"/>
              <w:sz w:val="18"/>
              <w:szCs w:val="18"/>
            </w:rPr>
            <w:fldChar w:fldCharType="end"/>
          </w:r>
        </w:p>
      </w:tc>
    </w:tr>
  </w:tbl>
  <w:p w14:paraId="214FBBD9" w14:textId="77777777" w:rsidR="00D5219A" w:rsidRPr="00A05F03" w:rsidRDefault="00D5219A" w:rsidP="00A05F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2"/>
      <w:gridCol w:w="12898"/>
      <w:gridCol w:w="725"/>
    </w:tblGrid>
    <w:tr w:rsidR="004A2C7B" w:rsidRPr="007B0AA0" w14:paraId="2B72FFAD" w14:textId="77777777" w:rsidTr="00327AD3">
      <w:trPr>
        <w:jc w:val="center"/>
      </w:trPr>
      <w:tc>
        <w:tcPr>
          <w:tcW w:w="868" w:type="pct"/>
          <w:vAlign w:val="center"/>
        </w:tcPr>
        <w:p w14:paraId="2184A83B" w14:textId="77777777" w:rsidR="004A2C7B" w:rsidRPr="007B0AA0" w:rsidRDefault="004A2C7B" w:rsidP="004A2C7B">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465FA5">
            <w:rPr>
              <w:rFonts w:ascii="Calibri" w:hAnsi="Calibri" w:cs="Arial"/>
              <w:sz w:val="18"/>
              <w:szCs w:val="14"/>
            </w:rPr>
            <w:t>2501294</w:t>
          </w:r>
        </w:p>
      </w:tc>
      <w:tc>
        <w:tcPr>
          <w:tcW w:w="3912" w:type="pct"/>
        </w:tcPr>
        <w:p w14:paraId="7936ADBB"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40</w:t>
          </w:r>
          <w:r w:rsidRPr="007B0AA0">
            <w:rPr>
              <w:rFonts w:ascii="Calibri" w:hAnsi="Calibri" w:cs="Arial"/>
              <w:bCs/>
              <w:color w:val="7F7F7F"/>
              <w:sz w:val="18"/>
            </w:rPr>
            <w:t>-</w:t>
          </w:r>
          <w:r>
            <w:rPr>
              <w:rFonts w:ascii="Calibri" w:hAnsi="Calibri" w:cs="Arial"/>
              <w:bCs/>
              <w:color w:val="7F7F7F"/>
              <w:sz w:val="18"/>
            </w:rPr>
            <w:t>A</w:t>
          </w:r>
        </w:p>
      </w:tc>
      <w:tc>
        <w:tcPr>
          <w:tcW w:w="220" w:type="pct"/>
        </w:tcPr>
        <w:p w14:paraId="41B3D805"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75C74ABD" w14:textId="77777777" w:rsidR="004A2C7B" w:rsidRPr="00374ED6" w:rsidRDefault="004A2C7B" w:rsidP="004A2C7B">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4A2C7B" w:rsidRPr="007B0AA0" w14:paraId="6DEE9B4E" w14:textId="77777777" w:rsidTr="00327AD3">
      <w:trPr>
        <w:jc w:val="center"/>
      </w:trPr>
      <w:tc>
        <w:tcPr>
          <w:tcW w:w="868" w:type="pct"/>
          <w:vAlign w:val="center"/>
        </w:tcPr>
        <w:p w14:paraId="4EC6FB27" w14:textId="77777777" w:rsidR="004A2C7B" w:rsidRPr="007B0AA0" w:rsidRDefault="004A2C7B" w:rsidP="004A2C7B">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465FA5">
            <w:rPr>
              <w:rFonts w:ascii="Calibri" w:hAnsi="Calibri" w:cs="Arial"/>
              <w:sz w:val="18"/>
              <w:szCs w:val="14"/>
            </w:rPr>
            <w:t>2501294</w:t>
          </w:r>
        </w:p>
      </w:tc>
      <w:tc>
        <w:tcPr>
          <w:tcW w:w="3912" w:type="pct"/>
        </w:tcPr>
        <w:p w14:paraId="429DE953"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40</w:t>
          </w:r>
          <w:r w:rsidRPr="007B0AA0">
            <w:rPr>
              <w:rFonts w:ascii="Calibri" w:hAnsi="Calibri" w:cs="Arial"/>
              <w:bCs/>
              <w:color w:val="7F7F7F"/>
              <w:sz w:val="18"/>
            </w:rPr>
            <w:t>-</w:t>
          </w:r>
          <w:r>
            <w:rPr>
              <w:rFonts w:ascii="Calibri" w:hAnsi="Calibri" w:cs="Arial"/>
              <w:bCs/>
              <w:color w:val="7F7F7F"/>
              <w:sz w:val="18"/>
            </w:rPr>
            <w:t>A</w:t>
          </w:r>
        </w:p>
      </w:tc>
      <w:tc>
        <w:tcPr>
          <w:tcW w:w="220" w:type="pct"/>
        </w:tcPr>
        <w:p w14:paraId="3F0CED0B"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56A7F089" w14:textId="77777777" w:rsidR="00A05F03" w:rsidRPr="00374ED6" w:rsidRDefault="00A05F03" w:rsidP="004A2C7B">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
      <w:bidiVisual/>
      <w:tblW w:w="52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7452"/>
      <w:gridCol w:w="419"/>
    </w:tblGrid>
    <w:tr w:rsidR="004A2C7B" w:rsidRPr="007B0AA0" w14:paraId="63E69069" w14:textId="77777777" w:rsidTr="00327AD3">
      <w:trPr>
        <w:jc w:val="center"/>
      </w:trPr>
      <w:tc>
        <w:tcPr>
          <w:tcW w:w="868" w:type="pct"/>
          <w:vAlign w:val="center"/>
        </w:tcPr>
        <w:p w14:paraId="18875286" w14:textId="77777777" w:rsidR="004A2C7B" w:rsidRPr="007B0AA0" w:rsidRDefault="004A2C7B" w:rsidP="004A2C7B">
          <w:pPr>
            <w:tabs>
              <w:tab w:val="clear" w:pos="794"/>
            </w:tabs>
            <w:overflowPunct w:val="0"/>
            <w:autoSpaceDE w:val="0"/>
            <w:autoSpaceDN w:val="0"/>
            <w:bidi w:val="0"/>
            <w:adjustRightInd w:val="0"/>
            <w:spacing w:before="0" w:line="240" w:lineRule="auto"/>
            <w:jc w:val="right"/>
            <w:textAlignment w:val="baseline"/>
            <w:rPr>
              <w:rFonts w:ascii="Calibri" w:hAnsi="Calibri" w:cs="Arial"/>
              <w:noProof/>
              <w:sz w:val="18"/>
            </w:rPr>
          </w:pPr>
          <w:r w:rsidRPr="00465FA5">
            <w:rPr>
              <w:rFonts w:ascii="Calibri" w:hAnsi="Calibri" w:cs="Arial"/>
              <w:sz w:val="18"/>
              <w:szCs w:val="14"/>
            </w:rPr>
            <w:t>2501294</w:t>
          </w:r>
        </w:p>
      </w:tc>
      <w:tc>
        <w:tcPr>
          <w:tcW w:w="3912" w:type="pct"/>
        </w:tcPr>
        <w:p w14:paraId="1A75A125"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Arial" w:hAnsi="Arial" w:cs="Arial"/>
              <w:b/>
              <w:bCs/>
              <w:color w:val="7F7F7F"/>
              <w:sz w:val="18"/>
              <w:szCs w:val="18"/>
            </w:rPr>
          </w:pPr>
          <w:r w:rsidRPr="007B0AA0">
            <w:rPr>
              <w:rFonts w:ascii="Calibri" w:hAnsi="Calibri" w:cs="Arial"/>
              <w:bCs/>
              <w:color w:val="7F7F7F"/>
              <w:sz w:val="18"/>
            </w:rPr>
            <w:t>C2</w:t>
          </w:r>
          <w:r>
            <w:rPr>
              <w:rFonts w:ascii="Calibri" w:hAnsi="Calibri" w:cs="Arial"/>
              <w:bCs/>
              <w:color w:val="7F7F7F"/>
              <w:sz w:val="18"/>
            </w:rPr>
            <w:t>5</w:t>
          </w:r>
          <w:r w:rsidRPr="007B0AA0">
            <w:rPr>
              <w:rFonts w:ascii="Calibri" w:hAnsi="Calibri" w:cs="Arial"/>
              <w:bCs/>
              <w:color w:val="7F7F7F"/>
              <w:sz w:val="18"/>
            </w:rPr>
            <w:t>/</w:t>
          </w:r>
          <w:r>
            <w:rPr>
              <w:rFonts w:ascii="Calibri" w:hAnsi="Calibri" w:cs="Arial"/>
              <w:bCs/>
              <w:color w:val="7F7F7F"/>
              <w:sz w:val="18"/>
            </w:rPr>
            <w:t>40</w:t>
          </w:r>
          <w:r w:rsidRPr="007B0AA0">
            <w:rPr>
              <w:rFonts w:ascii="Calibri" w:hAnsi="Calibri" w:cs="Arial"/>
              <w:bCs/>
              <w:color w:val="7F7F7F"/>
              <w:sz w:val="18"/>
            </w:rPr>
            <w:t>-</w:t>
          </w:r>
          <w:r>
            <w:rPr>
              <w:rFonts w:ascii="Calibri" w:hAnsi="Calibri" w:cs="Arial"/>
              <w:bCs/>
              <w:color w:val="7F7F7F"/>
              <w:sz w:val="18"/>
            </w:rPr>
            <w:t>A</w:t>
          </w:r>
        </w:p>
      </w:tc>
      <w:tc>
        <w:tcPr>
          <w:tcW w:w="220" w:type="pct"/>
        </w:tcPr>
        <w:p w14:paraId="2DB3C057" w14:textId="77777777" w:rsidR="004A2C7B" w:rsidRPr="007B0AA0" w:rsidRDefault="004A2C7B" w:rsidP="004A2C7B">
          <w:pPr>
            <w:tabs>
              <w:tab w:val="clear" w:pos="794"/>
              <w:tab w:val="left" w:pos="862"/>
              <w:tab w:val="right" w:pos="8505"/>
              <w:tab w:val="right" w:pos="9639"/>
            </w:tabs>
            <w:overflowPunct w:val="0"/>
            <w:autoSpaceDE w:val="0"/>
            <w:autoSpaceDN w:val="0"/>
            <w:adjustRightInd w:val="0"/>
            <w:spacing w:before="0" w:line="240" w:lineRule="auto"/>
            <w:jc w:val="right"/>
            <w:textAlignment w:val="baseline"/>
            <w:rPr>
              <w:rFonts w:ascii="Calibri" w:hAnsi="Calibri" w:cs="Arial"/>
              <w:bCs/>
              <w:color w:val="7F7F7F"/>
              <w:sz w:val="18"/>
            </w:rPr>
          </w:pPr>
          <w:r w:rsidRPr="007B0AA0">
            <w:rPr>
              <w:rFonts w:ascii="Calibri" w:hAnsi="Calibri" w:cs="Arial"/>
              <w:color w:val="7F7F7F"/>
              <w:sz w:val="18"/>
            </w:rPr>
            <w:fldChar w:fldCharType="begin"/>
          </w:r>
          <w:r w:rsidRPr="007B0AA0">
            <w:rPr>
              <w:rFonts w:ascii="Calibri" w:hAnsi="Calibri" w:cs="Arial"/>
              <w:color w:val="7F7F7F"/>
              <w:sz w:val="18"/>
            </w:rPr>
            <w:instrText>PAGE</w:instrText>
          </w:r>
          <w:r w:rsidRPr="007B0AA0">
            <w:rPr>
              <w:rFonts w:ascii="Calibri" w:hAnsi="Calibri" w:cs="Arial"/>
              <w:color w:val="7F7F7F"/>
              <w:sz w:val="18"/>
            </w:rPr>
            <w:fldChar w:fldCharType="separate"/>
          </w:r>
          <w:r>
            <w:rPr>
              <w:rFonts w:ascii="Calibri" w:hAnsi="Calibri" w:cs="Arial"/>
              <w:color w:val="7F7F7F"/>
              <w:sz w:val="18"/>
            </w:rPr>
            <w:t>2</w:t>
          </w:r>
          <w:r w:rsidRPr="007B0AA0">
            <w:rPr>
              <w:rFonts w:ascii="Calibri" w:hAnsi="Calibri" w:cs="Arial"/>
              <w:noProof/>
              <w:color w:val="7F7F7F"/>
              <w:sz w:val="18"/>
            </w:rPr>
            <w:fldChar w:fldCharType="end"/>
          </w:r>
        </w:p>
      </w:tc>
    </w:tr>
  </w:tbl>
  <w:p w14:paraId="2A9C0031" w14:textId="77777777" w:rsidR="001D272B" w:rsidRPr="004A2C7B" w:rsidRDefault="001D272B" w:rsidP="004A2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F6592" w14:textId="77777777" w:rsidR="00986593" w:rsidRDefault="00986593" w:rsidP="006C3242">
      <w:pPr>
        <w:spacing w:before="0" w:line="240" w:lineRule="auto"/>
      </w:pPr>
      <w:r>
        <w:separator/>
      </w:r>
    </w:p>
  </w:footnote>
  <w:footnote w:type="continuationSeparator" w:id="0">
    <w:p w14:paraId="0A3C73BD" w14:textId="77777777" w:rsidR="00986593" w:rsidRDefault="00986593"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09EC" w14:textId="2B01FD32" w:rsidR="00D5219A" w:rsidRPr="00A05F03" w:rsidRDefault="00A05F03" w:rsidP="00A05F03">
    <w:pPr>
      <w:pStyle w:val="Header"/>
      <w:jc w:val="center"/>
    </w:pPr>
    <w:r w:rsidRPr="00A05F03">
      <w:rPr>
        <w:rtl/>
      </w:rPr>
      <w:t>تقرير التشغيل المالي السنوي والبيانات المالية للاتحاد لعام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1BA0" w14:textId="22455066" w:rsidR="00D5219A" w:rsidRPr="00A05F03" w:rsidRDefault="00A05F03" w:rsidP="00A05F03">
    <w:pPr>
      <w:pStyle w:val="Header"/>
      <w:spacing w:before="120" w:after="600"/>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0154013A" wp14:editId="0EBFAE85">
              <wp:simplePos x="0" y="0"/>
              <wp:positionH relativeFrom="page">
                <wp:posOffset>7453630</wp:posOffset>
              </wp:positionH>
              <wp:positionV relativeFrom="topMargin">
                <wp:posOffset>641294</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F5A95" id="Rectangle 5" o:spid="_x0000_s1026" style="position:absolute;margin-left:586.9pt;margin-top:50.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" fillcolor="#009cd5" stroked="f">
              <w10:wrap anchorx="page" anchory="margin"/>
            </v:rect>
          </w:pict>
        </mc:Fallback>
      </mc:AlternateContent>
    </w:r>
    <w:r>
      <w:rPr>
        <w:rFonts w:ascii="Avenir Nxt2 W1G Medium" w:eastAsia="Avenir Nxt2 W1G Medium" w:hAnsi="Avenir Nxt2 W1G Medium" w:cs="Avenir Nxt2 W1G Medium"/>
        <w:noProof/>
      </w:rPr>
      <w:drawing>
        <wp:inline distT="0" distB="0" distL="0" distR="0" wp14:anchorId="6A96CA61" wp14:editId="35DEDB12">
          <wp:extent cx="2999433" cy="612775"/>
          <wp:effectExtent l="0" t="0" r="0" b="0"/>
          <wp:docPr id="1631567398" name="Picture 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7398" name="Picture 1" descr="A black background with blue text&#10;&#10;AI-generated content may be incorrect."/>
                  <pic:cNvPicPr/>
                </pic:nvPicPr>
                <pic:blipFill rotWithShape="1">
                  <a:blip r:embed="rId1">
                    <a:extLst>
                      <a:ext uri="{28A0092B-C50C-407E-A947-70E740481C1C}">
                        <a14:useLocalDpi xmlns:a14="http://schemas.microsoft.com/office/drawing/2010/main" val="0"/>
                      </a:ext>
                    </a:extLst>
                  </a:blip>
                  <a:srcRect r="18302"/>
                  <a:stretch/>
                </pic:blipFill>
                <pic:spPr bwMode="auto">
                  <a:xfrm>
                    <a:off x="0" y="0"/>
                    <a:ext cx="2999932" cy="61287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35CC" w14:textId="52BAA11A" w:rsidR="00A05F03" w:rsidRPr="00A05F03" w:rsidRDefault="00A05F03" w:rsidP="00A05F03">
    <w:pPr>
      <w:pStyle w:val="Header"/>
      <w:jc w:val="center"/>
    </w:pPr>
    <w:r w:rsidRPr="00A05F03">
      <w:rPr>
        <w:rtl/>
      </w:rPr>
      <w:t>تقرير التشغيل المالي السنوي والبيانات المالية للاتحاد لعام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97E38"/>
    <w:multiLevelType w:val="multilevel"/>
    <w:tmpl w:val="F5C4E7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D95F6E"/>
    <w:multiLevelType w:val="multilevel"/>
    <w:tmpl w:val="70CA6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F72A76"/>
    <w:multiLevelType w:val="hybridMultilevel"/>
    <w:tmpl w:val="3950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111683"/>
    <w:multiLevelType w:val="hybridMultilevel"/>
    <w:tmpl w:val="05284682"/>
    <w:lvl w:ilvl="0" w:tplc="FFFFFFFF">
      <w:numFmt w:val="bullet"/>
      <w:lvlText w:val="-"/>
      <w:lvlJc w:val="left"/>
      <w:pPr>
        <w:ind w:left="1080" w:hanging="360"/>
      </w:pPr>
      <w:rPr>
        <w:rFonts w:ascii="Calibri" w:hAnsi="Calibri" w:hint="default"/>
      </w:rPr>
    </w:lvl>
    <w:lvl w:ilvl="1" w:tplc="FFFFFFFF">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05C1FC3"/>
    <w:multiLevelType w:val="hybridMultilevel"/>
    <w:tmpl w:val="9FCE5402"/>
    <w:lvl w:ilvl="0" w:tplc="A914E284">
      <w:start w:val="2"/>
      <w:numFmt w:val="bullet"/>
      <w:lvlText w:val="-"/>
      <w:lvlJc w:val="left"/>
      <w:pPr>
        <w:ind w:left="1152" w:hanging="360"/>
      </w:pPr>
      <w:rPr>
        <w:rFonts w:ascii="Dubai" w:eastAsiaTheme="minorEastAsia" w:hAnsi="Dubai" w:cs="Dubai" w:hint="default"/>
        <w:b/>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6" w15:restartNumberingAfterBreak="0">
    <w:nsid w:val="26541F92"/>
    <w:multiLevelType w:val="hybridMultilevel"/>
    <w:tmpl w:val="CEB22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745988"/>
    <w:multiLevelType w:val="hybridMultilevel"/>
    <w:tmpl w:val="A4BC2DA4"/>
    <w:lvl w:ilvl="0" w:tplc="0809000F">
      <w:start w:val="1"/>
      <w:numFmt w:val="decimalFullWidth"/>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A87297C"/>
    <w:multiLevelType w:val="hybridMultilevel"/>
    <w:tmpl w:val="81A8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BC2920"/>
    <w:multiLevelType w:val="hybridMultilevel"/>
    <w:tmpl w:val="D55C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51087D"/>
    <w:multiLevelType w:val="hybridMultilevel"/>
    <w:tmpl w:val="A7C8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994611"/>
    <w:multiLevelType w:val="hybridMultilevel"/>
    <w:tmpl w:val="5E740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3879A2"/>
    <w:multiLevelType w:val="hybridMultilevel"/>
    <w:tmpl w:val="C15A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5815AC"/>
    <w:multiLevelType w:val="hybridMultilevel"/>
    <w:tmpl w:val="4180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8D26F9"/>
    <w:multiLevelType w:val="hybridMultilevel"/>
    <w:tmpl w:val="ACCC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B10935"/>
    <w:multiLevelType w:val="hybridMultilevel"/>
    <w:tmpl w:val="C6D8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1A2C8B"/>
    <w:multiLevelType w:val="hybridMultilevel"/>
    <w:tmpl w:val="35DA5496"/>
    <w:lvl w:ilvl="0" w:tplc="11E26A5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9C0079"/>
    <w:multiLevelType w:val="hybridMultilevel"/>
    <w:tmpl w:val="8948104C"/>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num w:numId="1" w16cid:durableId="838345589">
    <w:abstractNumId w:val="9"/>
  </w:num>
  <w:num w:numId="2" w16cid:durableId="1774472849">
    <w:abstractNumId w:val="7"/>
  </w:num>
  <w:num w:numId="3" w16cid:durableId="923494626">
    <w:abstractNumId w:val="6"/>
  </w:num>
  <w:num w:numId="4" w16cid:durableId="442574474">
    <w:abstractNumId w:val="5"/>
  </w:num>
  <w:num w:numId="5" w16cid:durableId="1628318554">
    <w:abstractNumId w:val="4"/>
  </w:num>
  <w:num w:numId="6" w16cid:durableId="2075542342">
    <w:abstractNumId w:val="8"/>
  </w:num>
  <w:num w:numId="7" w16cid:durableId="1174762821">
    <w:abstractNumId w:val="3"/>
  </w:num>
  <w:num w:numId="8" w16cid:durableId="201795547">
    <w:abstractNumId w:val="2"/>
  </w:num>
  <w:num w:numId="9" w16cid:durableId="355010693">
    <w:abstractNumId w:val="1"/>
  </w:num>
  <w:num w:numId="10" w16cid:durableId="844200481">
    <w:abstractNumId w:val="0"/>
  </w:num>
  <w:num w:numId="11" w16cid:durableId="1104838316">
    <w:abstractNumId w:val="14"/>
  </w:num>
  <w:num w:numId="12" w16cid:durableId="330069132">
    <w:abstractNumId w:val="27"/>
  </w:num>
  <w:num w:numId="13" w16cid:durableId="1874223012">
    <w:abstractNumId w:val="15"/>
  </w:num>
  <w:num w:numId="14" w16cid:durableId="1465850544">
    <w:abstractNumId w:val="12"/>
  </w:num>
  <w:num w:numId="15" w16cid:durableId="1731810104">
    <w:abstractNumId w:val="22"/>
  </w:num>
  <w:num w:numId="16" w16cid:durableId="55472107">
    <w:abstractNumId w:val="26"/>
  </w:num>
  <w:num w:numId="17" w16cid:durableId="1724865529">
    <w:abstractNumId w:val="11"/>
  </w:num>
  <w:num w:numId="18" w16cid:durableId="745106717">
    <w:abstractNumId w:val="10"/>
  </w:num>
  <w:num w:numId="19" w16cid:durableId="136262881">
    <w:abstractNumId w:val="17"/>
  </w:num>
  <w:num w:numId="20" w16cid:durableId="226652077">
    <w:abstractNumId w:val="13"/>
  </w:num>
  <w:num w:numId="21" w16cid:durableId="1769080484">
    <w:abstractNumId w:val="20"/>
    <w:lvlOverride w:ilvl="0">
      <w:lvl w:ilvl="0" w:tplc="08090001">
        <w:start w:val="1"/>
        <w:numFmt w:val="bullet"/>
        <w:lvlText w:val=""/>
        <w:lvlJc w:val="left"/>
        <w:pPr>
          <w:ind w:left="720" w:hanging="360"/>
        </w:pPr>
        <w:rPr>
          <w:rFonts w:ascii="Symbol" w:hAnsi="Symbol" w:hint="default"/>
        </w:rPr>
      </w:lvl>
    </w:lvlOverride>
  </w:num>
  <w:num w:numId="22" w16cid:durableId="273564375">
    <w:abstractNumId w:val="16"/>
    <w:lvlOverride w:ilvl="0">
      <w:lvl w:ilvl="0" w:tplc="08090001">
        <w:start w:val="1"/>
        <w:numFmt w:val="bullet"/>
        <w:lvlText w:val=""/>
        <w:lvlJc w:val="left"/>
        <w:pPr>
          <w:ind w:left="720" w:hanging="360"/>
        </w:pPr>
        <w:rPr>
          <w:rFonts w:ascii="Symbol" w:hAnsi="Symbol" w:hint="default"/>
        </w:rPr>
      </w:lvl>
    </w:lvlOverride>
  </w:num>
  <w:num w:numId="23" w16cid:durableId="127288847">
    <w:abstractNumId w:val="21"/>
    <w:lvlOverride w:ilvl="0">
      <w:lvl w:ilvl="0" w:tplc="08090001">
        <w:start w:val="1"/>
        <w:numFmt w:val="bullet"/>
        <w:lvlText w:val=""/>
        <w:lvlJc w:val="left"/>
        <w:pPr>
          <w:ind w:left="720" w:hanging="360"/>
        </w:pPr>
        <w:rPr>
          <w:rFonts w:ascii="Symbol" w:hAnsi="Symbol" w:hint="default"/>
        </w:rPr>
      </w:lvl>
    </w:lvlOverride>
  </w:num>
  <w:num w:numId="24" w16cid:durableId="761023301">
    <w:abstractNumId w:val="24"/>
    <w:lvlOverride w:ilvl="0">
      <w:lvl w:ilvl="0" w:tplc="08090001">
        <w:start w:val="1"/>
        <w:numFmt w:val="bullet"/>
        <w:lvlText w:val=""/>
        <w:lvlJc w:val="left"/>
        <w:pPr>
          <w:ind w:left="720" w:hanging="360"/>
        </w:pPr>
        <w:rPr>
          <w:rFonts w:ascii="Symbol" w:hAnsi="Symbol" w:hint="default"/>
        </w:rPr>
      </w:lvl>
    </w:lvlOverride>
  </w:num>
  <w:num w:numId="25" w16cid:durableId="1556816356">
    <w:abstractNumId w:val="25"/>
    <w:lvlOverride w:ilvl="0">
      <w:lvl w:ilvl="0" w:tplc="08090001">
        <w:start w:val="1"/>
        <w:numFmt w:val="bullet"/>
        <w:lvlText w:val=""/>
        <w:lvlJc w:val="left"/>
        <w:pPr>
          <w:ind w:left="720" w:hanging="360"/>
        </w:pPr>
        <w:rPr>
          <w:rFonts w:ascii="Symbol" w:hAnsi="Symbol" w:hint="default"/>
        </w:rPr>
      </w:lvl>
    </w:lvlOverride>
  </w:num>
  <w:num w:numId="26" w16cid:durableId="142552948">
    <w:abstractNumId w:val="23"/>
    <w:lvlOverride w:ilvl="0">
      <w:lvl w:ilvl="0" w:tplc="08090001">
        <w:start w:val="1"/>
        <w:numFmt w:val="bullet"/>
        <w:lvlText w:val=""/>
        <w:lvlJc w:val="left"/>
        <w:pPr>
          <w:ind w:left="720" w:hanging="360"/>
        </w:pPr>
        <w:rPr>
          <w:rFonts w:ascii="Symbol" w:hAnsi="Symbol" w:hint="default"/>
        </w:rPr>
      </w:lvl>
    </w:lvlOverride>
  </w:num>
  <w:num w:numId="27" w16cid:durableId="517472982">
    <w:abstractNumId w:val="19"/>
    <w:lvlOverride w:ilvl="0">
      <w:lvl w:ilvl="0" w:tplc="08090001">
        <w:start w:val="1"/>
        <w:numFmt w:val="bullet"/>
        <w:lvlText w:val=""/>
        <w:lvlJc w:val="left"/>
        <w:pPr>
          <w:ind w:left="720" w:hanging="360"/>
        </w:pPr>
        <w:rPr>
          <w:rFonts w:ascii="Symbol" w:hAnsi="Symbol" w:hint="default"/>
        </w:rPr>
      </w:lvl>
    </w:lvlOverride>
  </w:num>
  <w:num w:numId="28" w16cid:durableId="1165629822">
    <w:abstractNumId w:val="18"/>
    <w:lvlOverride w:ilvl="0">
      <w:lvl w:ilvl="0" w:tplc="08090001">
        <w:start w:val="1"/>
        <w:numFmt w:val="bullet"/>
        <w:lvlText w:val=""/>
        <w:lvlJc w:val="left"/>
        <w:pPr>
          <w:ind w:left="72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BE"/>
    <w:rsid w:val="00013B21"/>
    <w:rsid w:val="0001764B"/>
    <w:rsid w:val="0002685E"/>
    <w:rsid w:val="00030A8B"/>
    <w:rsid w:val="00031D0B"/>
    <w:rsid w:val="00050773"/>
    <w:rsid w:val="00054B20"/>
    <w:rsid w:val="0005717A"/>
    <w:rsid w:val="00060E9E"/>
    <w:rsid w:val="000630C7"/>
    <w:rsid w:val="0006468A"/>
    <w:rsid w:val="0007439F"/>
    <w:rsid w:val="00083F2A"/>
    <w:rsid w:val="00090574"/>
    <w:rsid w:val="000A3044"/>
    <w:rsid w:val="000A7501"/>
    <w:rsid w:val="000B7093"/>
    <w:rsid w:val="000C1C0E"/>
    <w:rsid w:val="000C548A"/>
    <w:rsid w:val="000D1F44"/>
    <w:rsid w:val="000D2803"/>
    <w:rsid w:val="000D30D9"/>
    <w:rsid w:val="000D373F"/>
    <w:rsid w:val="000D6F9F"/>
    <w:rsid w:val="000E46B5"/>
    <w:rsid w:val="000F0A86"/>
    <w:rsid w:val="000F67A3"/>
    <w:rsid w:val="001008B4"/>
    <w:rsid w:val="00111241"/>
    <w:rsid w:val="00111A0D"/>
    <w:rsid w:val="00113714"/>
    <w:rsid w:val="00121C8E"/>
    <w:rsid w:val="001278F0"/>
    <w:rsid w:val="0013009B"/>
    <w:rsid w:val="001307C5"/>
    <w:rsid w:val="00131CE0"/>
    <w:rsid w:val="00134826"/>
    <w:rsid w:val="00146B49"/>
    <w:rsid w:val="00147ADB"/>
    <w:rsid w:val="00150106"/>
    <w:rsid w:val="0015188C"/>
    <w:rsid w:val="00152C86"/>
    <w:rsid w:val="0016356F"/>
    <w:rsid w:val="00173301"/>
    <w:rsid w:val="001810F1"/>
    <w:rsid w:val="001843C2"/>
    <w:rsid w:val="00187C0F"/>
    <w:rsid w:val="00191059"/>
    <w:rsid w:val="001B6E2B"/>
    <w:rsid w:val="001C0169"/>
    <w:rsid w:val="001C0756"/>
    <w:rsid w:val="001C0C21"/>
    <w:rsid w:val="001C22E9"/>
    <w:rsid w:val="001D1D50"/>
    <w:rsid w:val="001D272B"/>
    <w:rsid w:val="001D4D84"/>
    <w:rsid w:val="001D64C7"/>
    <w:rsid w:val="001D664A"/>
    <w:rsid w:val="001D6745"/>
    <w:rsid w:val="001E446E"/>
    <w:rsid w:val="001F1660"/>
    <w:rsid w:val="002019C1"/>
    <w:rsid w:val="002031B9"/>
    <w:rsid w:val="002038A0"/>
    <w:rsid w:val="00213106"/>
    <w:rsid w:val="00214ABD"/>
    <w:rsid w:val="002154EE"/>
    <w:rsid w:val="00216875"/>
    <w:rsid w:val="00222CA6"/>
    <w:rsid w:val="0022473B"/>
    <w:rsid w:val="002276D2"/>
    <w:rsid w:val="002303D5"/>
    <w:rsid w:val="0023283D"/>
    <w:rsid w:val="0023788E"/>
    <w:rsid w:val="002445C0"/>
    <w:rsid w:val="00254393"/>
    <w:rsid w:val="00256066"/>
    <w:rsid w:val="0026373E"/>
    <w:rsid w:val="00264568"/>
    <w:rsid w:val="00266957"/>
    <w:rsid w:val="00271C43"/>
    <w:rsid w:val="0029048B"/>
    <w:rsid w:val="00290728"/>
    <w:rsid w:val="00292389"/>
    <w:rsid w:val="00293711"/>
    <w:rsid w:val="002978F4"/>
    <w:rsid w:val="002B028D"/>
    <w:rsid w:val="002B0774"/>
    <w:rsid w:val="002B5B16"/>
    <w:rsid w:val="002B6B13"/>
    <w:rsid w:val="002B7BFD"/>
    <w:rsid w:val="002C1BA7"/>
    <w:rsid w:val="002C3AA0"/>
    <w:rsid w:val="002C3F32"/>
    <w:rsid w:val="002C4E80"/>
    <w:rsid w:val="002D3108"/>
    <w:rsid w:val="002D3F57"/>
    <w:rsid w:val="002D5B9B"/>
    <w:rsid w:val="002E40FC"/>
    <w:rsid w:val="002E6541"/>
    <w:rsid w:val="00301885"/>
    <w:rsid w:val="00301C61"/>
    <w:rsid w:val="0030340C"/>
    <w:rsid w:val="0030764E"/>
    <w:rsid w:val="00307E03"/>
    <w:rsid w:val="00312081"/>
    <w:rsid w:val="00312445"/>
    <w:rsid w:val="0031694E"/>
    <w:rsid w:val="00322614"/>
    <w:rsid w:val="00322D0D"/>
    <w:rsid w:val="00334924"/>
    <w:rsid w:val="00336350"/>
    <w:rsid w:val="003409BC"/>
    <w:rsid w:val="003458BF"/>
    <w:rsid w:val="00345F8C"/>
    <w:rsid w:val="003544AE"/>
    <w:rsid w:val="00357185"/>
    <w:rsid w:val="00360034"/>
    <w:rsid w:val="0036081F"/>
    <w:rsid w:val="003700C5"/>
    <w:rsid w:val="00374ED6"/>
    <w:rsid w:val="00377BC4"/>
    <w:rsid w:val="00381B6F"/>
    <w:rsid w:val="00383829"/>
    <w:rsid w:val="003866C9"/>
    <w:rsid w:val="003A15E5"/>
    <w:rsid w:val="003A2067"/>
    <w:rsid w:val="003A4296"/>
    <w:rsid w:val="003A5074"/>
    <w:rsid w:val="003C1C83"/>
    <w:rsid w:val="003C6BA9"/>
    <w:rsid w:val="003C7254"/>
    <w:rsid w:val="003D14F1"/>
    <w:rsid w:val="003D492B"/>
    <w:rsid w:val="003F18E2"/>
    <w:rsid w:val="003F4B29"/>
    <w:rsid w:val="003F64C2"/>
    <w:rsid w:val="003F6720"/>
    <w:rsid w:val="00402C01"/>
    <w:rsid w:val="00402CC5"/>
    <w:rsid w:val="00410DE5"/>
    <w:rsid w:val="00413CED"/>
    <w:rsid w:val="00414F36"/>
    <w:rsid w:val="00415055"/>
    <w:rsid w:val="00417611"/>
    <w:rsid w:val="00420F8A"/>
    <w:rsid w:val="0042686F"/>
    <w:rsid w:val="004317D8"/>
    <w:rsid w:val="0043260A"/>
    <w:rsid w:val="00434183"/>
    <w:rsid w:val="00443869"/>
    <w:rsid w:val="00447F32"/>
    <w:rsid w:val="004605D5"/>
    <w:rsid w:val="00461F8D"/>
    <w:rsid w:val="00462E9A"/>
    <w:rsid w:val="0046495E"/>
    <w:rsid w:val="00465FA5"/>
    <w:rsid w:val="004662FE"/>
    <w:rsid w:val="004726DF"/>
    <w:rsid w:val="00475B3E"/>
    <w:rsid w:val="00475CC8"/>
    <w:rsid w:val="0048027F"/>
    <w:rsid w:val="00482A30"/>
    <w:rsid w:val="00483879"/>
    <w:rsid w:val="00484AC8"/>
    <w:rsid w:val="00491BA9"/>
    <w:rsid w:val="00494119"/>
    <w:rsid w:val="004963A3"/>
    <w:rsid w:val="004A2C7B"/>
    <w:rsid w:val="004A4057"/>
    <w:rsid w:val="004A4701"/>
    <w:rsid w:val="004A7F35"/>
    <w:rsid w:val="004B7334"/>
    <w:rsid w:val="004C21A2"/>
    <w:rsid w:val="004C668B"/>
    <w:rsid w:val="004D3962"/>
    <w:rsid w:val="004D6A52"/>
    <w:rsid w:val="004E0237"/>
    <w:rsid w:val="004E11DC"/>
    <w:rsid w:val="00502FC2"/>
    <w:rsid w:val="00507B5D"/>
    <w:rsid w:val="00507EF5"/>
    <w:rsid w:val="005130DE"/>
    <w:rsid w:val="00513157"/>
    <w:rsid w:val="00520599"/>
    <w:rsid w:val="00523BB5"/>
    <w:rsid w:val="00525490"/>
    <w:rsid w:val="00525DDD"/>
    <w:rsid w:val="00530E62"/>
    <w:rsid w:val="00533BCC"/>
    <w:rsid w:val="005409AC"/>
    <w:rsid w:val="005434E0"/>
    <w:rsid w:val="00546E91"/>
    <w:rsid w:val="005522B1"/>
    <w:rsid w:val="005546CF"/>
    <w:rsid w:val="0055516A"/>
    <w:rsid w:val="00565D86"/>
    <w:rsid w:val="005671DC"/>
    <w:rsid w:val="00567BD1"/>
    <w:rsid w:val="00570F35"/>
    <w:rsid w:val="00574A3D"/>
    <w:rsid w:val="00577524"/>
    <w:rsid w:val="0058491B"/>
    <w:rsid w:val="00584E7F"/>
    <w:rsid w:val="00592EA5"/>
    <w:rsid w:val="00593603"/>
    <w:rsid w:val="005A3170"/>
    <w:rsid w:val="005B76A4"/>
    <w:rsid w:val="005C2239"/>
    <w:rsid w:val="005C341E"/>
    <w:rsid w:val="005C386C"/>
    <w:rsid w:val="005C426C"/>
    <w:rsid w:val="005D434E"/>
    <w:rsid w:val="005D55EE"/>
    <w:rsid w:val="005E0735"/>
    <w:rsid w:val="005F77FC"/>
    <w:rsid w:val="006056D2"/>
    <w:rsid w:val="00606638"/>
    <w:rsid w:val="006073A1"/>
    <w:rsid w:val="00611B5B"/>
    <w:rsid w:val="006152AE"/>
    <w:rsid w:val="00622855"/>
    <w:rsid w:val="00634492"/>
    <w:rsid w:val="00637BE4"/>
    <w:rsid w:val="00637FB7"/>
    <w:rsid w:val="00641653"/>
    <w:rsid w:val="00647C51"/>
    <w:rsid w:val="00654396"/>
    <w:rsid w:val="00656DB6"/>
    <w:rsid w:val="00657019"/>
    <w:rsid w:val="0066088C"/>
    <w:rsid w:val="00660DEA"/>
    <w:rsid w:val="00667EE1"/>
    <w:rsid w:val="00670DAA"/>
    <w:rsid w:val="00671BAF"/>
    <w:rsid w:val="00677396"/>
    <w:rsid w:val="00680D7A"/>
    <w:rsid w:val="00681C42"/>
    <w:rsid w:val="006827C2"/>
    <w:rsid w:val="006869B5"/>
    <w:rsid w:val="0068786A"/>
    <w:rsid w:val="0069200F"/>
    <w:rsid w:val="00694A93"/>
    <w:rsid w:val="006A5F6A"/>
    <w:rsid w:val="006A65CB"/>
    <w:rsid w:val="006A688D"/>
    <w:rsid w:val="006B12E5"/>
    <w:rsid w:val="006B3839"/>
    <w:rsid w:val="006B6A70"/>
    <w:rsid w:val="006C3242"/>
    <w:rsid w:val="006C7CC0"/>
    <w:rsid w:val="006D0C6E"/>
    <w:rsid w:val="006D627E"/>
    <w:rsid w:val="006E56E5"/>
    <w:rsid w:val="006F0051"/>
    <w:rsid w:val="006F24E4"/>
    <w:rsid w:val="006F2BEE"/>
    <w:rsid w:val="006F363C"/>
    <w:rsid w:val="006F59F0"/>
    <w:rsid w:val="006F63F7"/>
    <w:rsid w:val="007025C7"/>
    <w:rsid w:val="00704544"/>
    <w:rsid w:val="00706D7A"/>
    <w:rsid w:val="007101C0"/>
    <w:rsid w:val="007178EE"/>
    <w:rsid w:val="00722F0D"/>
    <w:rsid w:val="00726D1D"/>
    <w:rsid w:val="00731684"/>
    <w:rsid w:val="00733A6B"/>
    <w:rsid w:val="00735081"/>
    <w:rsid w:val="007403C5"/>
    <w:rsid w:val="0074420E"/>
    <w:rsid w:val="00750A34"/>
    <w:rsid w:val="007568B7"/>
    <w:rsid w:val="007648A6"/>
    <w:rsid w:val="0077110E"/>
    <w:rsid w:val="0077702E"/>
    <w:rsid w:val="0078332D"/>
    <w:rsid w:val="00783E26"/>
    <w:rsid w:val="007A1FEC"/>
    <w:rsid w:val="007A6684"/>
    <w:rsid w:val="007B0AA0"/>
    <w:rsid w:val="007B4C99"/>
    <w:rsid w:val="007B64B1"/>
    <w:rsid w:val="007B78C7"/>
    <w:rsid w:val="007C3BC7"/>
    <w:rsid w:val="007C3BCD"/>
    <w:rsid w:val="007D2E59"/>
    <w:rsid w:val="007D4ACF"/>
    <w:rsid w:val="007E20A2"/>
    <w:rsid w:val="007F0787"/>
    <w:rsid w:val="007F3F46"/>
    <w:rsid w:val="00805CEE"/>
    <w:rsid w:val="00806357"/>
    <w:rsid w:val="00810B7B"/>
    <w:rsid w:val="008122BF"/>
    <w:rsid w:val="00822CDC"/>
    <w:rsid w:val="0082358A"/>
    <w:rsid w:val="008235CD"/>
    <w:rsid w:val="008247DE"/>
    <w:rsid w:val="008253DA"/>
    <w:rsid w:val="008339C0"/>
    <w:rsid w:val="008359E8"/>
    <w:rsid w:val="00840B10"/>
    <w:rsid w:val="008513CB"/>
    <w:rsid w:val="00851C1F"/>
    <w:rsid w:val="00860D8F"/>
    <w:rsid w:val="00870BC2"/>
    <w:rsid w:val="00870ED3"/>
    <w:rsid w:val="00874E9F"/>
    <w:rsid w:val="00884422"/>
    <w:rsid w:val="00893035"/>
    <w:rsid w:val="008A4F3D"/>
    <w:rsid w:val="008A7F84"/>
    <w:rsid w:val="008B286B"/>
    <w:rsid w:val="008B3DD5"/>
    <w:rsid w:val="008B5764"/>
    <w:rsid w:val="008C2705"/>
    <w:rsid w:val="008C2951"/>
    <w:rsid w:val="008C2AAF"/>
    <w:rsid w:val="008C4FBA"/>
    <w:rsid w:val="008D6EC8"/>
    <w:rsid w:val="008D7CF2"/>
    <w:rsid w:val="008E0B10"/>
    <w:rsid w:val="008F2760"/>
    <w:rsid w:val="008F34B0"/>
    <w:rsid w:val="00901AD0"/>
    <w:rsid w:val="00902CF4"/>
    <w:rsid w:val="009030A2"/>
    <w:rsid w:val="00905BBA"/>
    <w:rsid w:val="00911CC0"/>
    <w:rsid w:val="009137E3"/>
    <w:rsid w:val="009163D3"/>
    <w:rsid w:val="0091702E"/>
    <w:rsid w:val="00923B0C"/>
    <w:rsid w:val="00924F46"/>
    <w:rsid w:val="00927939"/>
    <w:rsid w:val="00930ED4"/>
    <w:rsid w:val="00932811"/>
    <w:rsid w:val="00935AAC"/>
    <w:rsid w:val="0094021C"/>
    <w:rsid w:val="00941D2C"/>
    <w:rsid w:val="00946293"/>
    <w:rsid w:val="009465B1"/>
    <w:rsid w:val="00952F86"/>
    <w:rsid w:val="0096249D"/>
    <w:rsid w:val="00963E8B"/>
    <w:rsid w:val="00966DEC"/>
    <w:rsid w:val="00975D16"/>
    <w:rsid w:val="009760AA"/>
    <w:rsid w:val="009762BE"/>
    <w:rsid w:val="009772A5"/>
    <w:rsid w:val="009814F3"/>
    <w:rsid w:val="00982B28"/>
    <w:rsid w:val="00985E05"/>
    <w:rsid w:val="00986593"/>
    <w:rsid w:val="0099444E"/>
    <w:rsid w:val="009B00BD"/>
    <w:rsid w:val="009B5FE6"/>
    <w:rsid w:val="009C0523"/>
    <w:rsid w:val="009C4E03"/>
    <w:rsid w:val="009C7780"/>
    <w:rsid w:val="009D313F"/>
    <w:rsid w:val="009D7102"/>
    <w:rsid w:val="009E24F1"/>
    <w:rsid w:val="009E49E3"/>
    <w:rsid w:val="009F0D08"/>
    <w:rsid w:val="009F4F01"/>
    <w:rsid w:val="009F6889"/>
    <w:rsid w:val="00A0402E"/>
    <w:rsid w:val="00A05EE8"/>
    <w:rsid w:val="00A05F03"/>
    <w:rsid w:val="00A11F63"/>
    <w:rsid w:val="00A12096"/>
    <w:rsid w:val="00A12EB2"/>
    <w:rsid w:val="00A203F9"/>
    <w:rsid w:val="00A226D6"/>
    <w:rsid w:val="00A45A31"/>
    <w:rsid w:val="00A467DA"/>
    <w:rsid w:val="00A47A5A"/>
    <w:rsid w:val="00A5695A"/>
    <w:rsid w:val="00A57D3F"/>
    <w:rsid w:val="00A57DE5"/>
    <w:rsid w:val="00A635B0"/>
    <w:rsid w:val="00A63AE6"/>
    <w:rsid w:val="00A6683B"/>
    <w:rsid w:val="00A67F05"/>
    <w:rsid w:val="00A71906"/>
    <w:rsid w:val="00A76457"/>
    <w:rsid w:val="00A82047"/>
    <w:rsid w:val="00A928A1"/>
    <w:rsid w:val="00A95E34"/>
    <w:rsid w:val="00A97F94"/>
    <w:rsid w:val="00AA7EA2"/>
    <w:rsid w:val="00AB5684"/>
    <w:rsid w:val="00AB5A56"/>
    <w:rsid w:val="00AC002F"/>
    <w:rsid w:val="00AC364A"/>
    <w:rsid w:val="00AC3D48"/>
    <w:rsid w:val="00AE13E2"/>
    <w:rsid w:val="00B03099"/>
    <w:rsid w:val="00B05BC8"/>
    <w:rsid w:val="00B20D2D"/>
    <w:rsid w:val="00B30F5E"/>
    <w:rsid w:val="00B422FE"/>
    <w:rsid w:val="00B44EDB"/>
    <w:rsid w:val="00B54E49"/>
    <w:rsid w:val="00B64B47"/>
    <w:rsid w:val="00B65345"/>
    <w:rsid w:val="00B67838"/>
    <w:rsid w:val="00B8375F"/>
    <w:rsid w:val="00B93849"/>
    <w:rsid w:val="00B95654"/>
    <w:rsid w:val="00B97F32"/>
    <w:rsid w:val="00BA04B2"/>
    <w:rsid w:val="00BA2270"/>
    <w:rsid w:val="00BB56EB"/>
    <w:rsid w:val="00BD0C93"/>
    <w:rsid w:val="00BD38F9"/>
    <w:rsid w:val="00BE666F"/>
    <w:rsid w:val="00BF219F"/>
    <w:rsid w:val="00BF2685"/>
    <w:rsid w:val="00BF2C56"/>
    <w:rsid w:val="00BF734F"/>
    <w:rsid w:val="00C002DE"/>
    <w:rsid w:val="00C0602B"/>
    <w:rsid w:val="00C068A9"/>
    <w:rsid w:val="00C224DA"/>
    <w:rsid w:val="00C24DFE"/>
    <w:rsid w:val="00C30012"/>
    <w:rsid w:val="00C330D9"/>
    <w:rsid w:val="00C354F0"/>
    <w:rsid w:val="00C372D2"/>
    <w:rsid w:val="00C37885"/>
    <w:rsid w:val="00C41A6F"/>
    <w:rsid w:val="00C42220"/>
    <w:rsid w:val="00C43CE4"/>
    <w:rsid w:val="00C44AAC"/>
    <w:rsid w:val="00C464D2"/>
    <w:rsid w:val="00C53BF8"/>
    <w:rsid w:val="00C62615"/>
    <w:rsid w:val="00C6277D"/>
    <w:rsid w:val="00C659BA"/>
    <w:rsid w:val="00C65EED"/>
    <w:rsid w:val="00C66157"/>
    <w:rsid w:val="00C674FE"/>
    <w:rsid w:val="00C67501"/>
    <w:rsid w:val="00C75633"/>
    <w:rsid w:val="00C817B1"/>
    <w:rsid w:val="00C979EF"/>
    <w:rsid w:val="00CA1898"/>
    <w:rsid w:val="00CA2243"/>
    <w:rsid w:val="00CA6F4F"/>
    <w:rsid w:val="00CB697C"/>
    <w:rsid w:val="00CC13EB"/>
    <w:rsid w:val="00CC4426"/>
    <w:rsid w:val="00CD7809"/>
    <w:rsid w:val="00CE2EE1"/>
    <w:rsid w:val="00CE3349"/>
    <w:rsid w:val="00CE36E5"/>
    <w:rsid w:val="00CE3F7E"/>
    <w:rsid w:val="00CE4360"/>
    <w:rsid w:val="00CF077D"/>
    <w:rsid w:val="00CF27F5"/>
    <w:rsid w:val="00CF3B05"/>
    <w:rsid w:val="00CF3FFD"/>
    <w:rsid w:val="00CF70FA"/>
    <w:rsid w:val="00D0091C"/>
    <w:rsid w:val="00D03AA6"/>
    <w:rsid w:val="00D076D9"/>
    <w:rsid w:val="00D10CCF"/>
    <w:rsid w:val="00D13941"/>
    <w:rsid w:val="00D22940"/>
    <w:rsid w:val="00D23F5F"/>
    <w:rsid w:val="00D27CEB"/>
    <w:rsid w:val="00D317A2"/>
    <w:rsid w:val="00D34078"/>
    <w:rsid w:val="00D35901"/>
    <w:rsid w:val="00D4074B"/>
    <w:rsid w:val="00D43F7D"/>
    <w:rsid w:val="00D44F35"/>
    <w:rsid w:val="00D460D9"/>
    <w:rsid w:val="00D5219A"/>
    <w:rsid w:val="00D562F0"/>
    <w:rsid w:val="00D60E45"/>
    <w:rsid w:val="00D63735"/>
    <w:rsid w:val="00D71F49"/>
    <w:rsid w:val="00D7242D"/>
    <w:rsid w:val="00D77849"/>
    <w:rsid w:val="00D77D0F"/>
    <w:rsid w:val="00D80FF0"/>
    <w:rsid w:val="00D915CE"/>
    <w:rsid w:val="00D932F6"/>
    <w:rsid w:val="00D93744"/>
    <w:rsid w:val="00D97434"/>
    <w:rsid w:val="00DA1339"/>
    <w:rsid w:val="00DA1CF0"/>
    <w:rsid w:val="00DA6017"/>
    <w:rsid w:val="00DB6561"/>
    <w:rsid w:val="00DB7B3F"/>
    <w:rsid w:val="00DC0644"/>
    <w:rsid w:val="00DC1E02"/>
    <w:rsid w:val="00DC24B4"/>
    <w:rsid w:val="00DC459F"/>
    <w:rsid w:val="00DC5E43"/>
    <w:rsid w:val="00DC5FB0"/>
    <w:rsid w:val="00DD2B74"/>
    <w:rsid w:val="00DD3428"/>
    <w:rsid w:val="00DD6113"/>
    <w:rsid w:val="00DE3CFE"/>
    <w:rsid w:val="00DE445D"/>
    <w:rsid w:val="00DF16DC"/>
    <w:rsid w:val="00E07AC5"/>
    <w:rsid w:val="00E2464F"/>
    <w:rsid w:val="00E44664"/>
    <w:rsid w:val="00E45089"/>
    <w:rsid w:val="00E45211"/>
    <w:rsid w:val="00E464E6"/>
    <w:rsid w:val="00E473C5"/>
    <w:rsid w:val="00E5332D"/>
    <w:rsid w:val="00E5624A"/>
    <w:rsid w:val="00E61BE8"/>
    <w:rsid w:val="00E702D8"/>
    <w:rsid w:val="00E82186"/>
    <w:rsid w:val="00E832A1"/>
    <w:rsid w:val="00E83FF1"/>
    <w:rsid w:val="00E92863"/>
    <w:rsid w:val="00E979B2"/>
    <w:rsid w:val="00EA20A1"/>
    <w:rsid w:val="00EA42FB"/>
    <w:rsid w:val="00EB44C4"/>
    <w:rsid w:val="00EB50B4"/>
    <w:rsid w:val="00EB796D"/>
    <w:rsid w:val="00ED09AE"/>
    <w:rsid w:val="00ED3DA0"/>
    <w:rsid w:val="00EE18B4"/>
    <w:rsid w:val="00EF3E76"/>
    <w:rsid w:val="00F01D1F"/>
    <w:rsid w:val="00F02F53"/>
    <w:rsid w:val="00F058DC"/>
    <w:rsid w:val="00F05D87"/>
    <w:rsid w:val="00F0662B"/>
    <w:rsid w:val="00F24FC4"/>
    <w:rsid w:val="00F2676C"/>
    <w:rsid w:val="00F27786"/>
    <w:rsid w:val="00F363FE"/>
    <w:rsid w:val="00F50E3F"/>
    <w:rsid w:val="00F55111"/>
    <w:rsid w:val="00F56F50"/>
    <w:rsid w:val="00F60E47"/>
    <w:rsid w:val="00F6143D"/>
    <w:rsid w:val="00F75030"/>
    <w:rsid w:val="00F84366"/>
    <w:rsid w:val="00F85089"/>
    <w:rsid w:val="00F857AA"/>
    <w:rsid w:val="00F878A6"/>
    <w:rsid w:val="00F954E7"/>
    <w:rsid w:val="00F974C5"/>
    <w:rsid w:val="00FA3763"/>
    <w:rsid w:val="00FA60BB"/>
    <w:rsid w:val="00FA6F46"/>
    <w:rsid w:val="00FB388D"/>
    <w:rsid w:val="00FC0E94"/>
    <w:rsid w:val="00FC2418"/>
    <w:rsid w:val="00FC4592"/>
    <w:rsid w:val="00FD527F"/>
    <w:rsid w:val="00FD5B84"/>
    <w:rsid w:val="00FE1AC5"/>
    <w:rsid w:val="00FE3D4F"/>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E8558D"/>
  <w15:chartTrackingRefBased/>
  <w15:docId w15:val="{C3D8546E-2FCF-4231-A784-2BD63551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047"/>
    <w:pPr>
      <w:tabs>
        <w:tab w:val="left" w:pos="794"/>
      </w:tabs>
      <w:bidi/>
      <w:spacing w:before="120" w:after="120" w:line="192" w:lineRule="auto"/>
      <w:jc w:val="both"/>
    </w:pPr>
    <w:rPr>
      <w:rFonts w:ascii="Dubai" w:hAnsi="Dubai" w:cs="Dubai"/>
    </w:rPr>
  </w:style>
  <w:style w:type="paragraph" w:styleId="Heading1">
    <w:name w:val="heading 1"/>
    <w:basedOn w:val="Normal"/>
    <w:next w:val="Normal"/>
    <w:link w:val="Heading1Char"/>
    <w:uiPriority w:val="9"/>
    <w:qFormat/>
    <w:rsid w:val="009F4F01"/>
    <w:pPr>
      <w:keepNext/>
      <w:keepLines/>
      <w:spacing w:before="360"/>
      <w:ind w:left="794" w:hanging="794"/>
      <w:outlineLvl w:val="0"/>
    </w:pPr>
    <w:rPr>
      <w:rFonts w:eastAsiaTheme="majorEastAsia"/>
      <w:b/>
      <w:bCs/>
      <w:color w:val="0070C0"/>
      <w:sz w:val="26"/>
      <w:szCs w:val="26"/>
    </w:rPr>
  </w:style>
  <w:style w:type="paragraph" w:styleId="Heading2">
    <w:name w:val="heading 2"/>
    <w:basedOn w:val="Normal"/>
    <w:next w:val="Normal"/>
    <w:link w:val="Heading2Char"/>
    <w:uiPriority w:val="9"/>
    <w:unhideWhenUsed/>
    <w:qFormat/>
    <w:rsid w:val="0022473B"/>
    <w:pPr>
      <w:keepNext/>
      <w:keepLines/>
      <w:spacing w:before="300"/>
      <w:ind w:left="794" w:hanging="794"/>
      <w:outlineLvl w:val="1"/>
    </w:pPr>
    <w:rPr>
      <w:rFonts w:eastAsiaTheme="majorEastAsia"/>
      <w:b/>
      <w:bCs/>
      <w:i/>
      <w:iCs/>
      <w:sz w:val="24"/>
      <w:szCs w:val="24"/>
    </w:rPr>
  </w:style>
  <w:style w:type="paragraph" w:styleId="Heading3">
    <w:name w:val="heading 3"/>
    <w:basedOn w:val="Normal"/>
    <w:next w:val="Normal"/>
    <w:link w:val="Heading3Char"/>
    <w:uiPriority w:val="9"/>
    <w:unhideWhenUsed/>
    <w:qFormat/>
    <w:rsid w:val="0022473B"/>
    <w:pPr>
      <w:keepNext/>
      <w:keepLines/>
      <w:spacing w:before="240"/>
      <w:ind w:left="794" w:hanging="794"/>
      <w:outlineLvl w:val="2"/>
    </w:pPr>
    <w:rPr>
      <w:rFonts w:eastAsiaTheme="majorEastAsia"/>
      <w:b/>
      <w:bCs/>
      <w:i/>
      <w:i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360034"/>
    <w:pPr>
      <w:keepNext/>
      <w:keepLines/>
      <w:ind w:left="1134" w:hanging="1134"/>
      <w:outlineLvl w:val="4"/>
    </w:pPr>
    <w:rPr>
      <w:rFonts w:eastAsiaTheme="majorEastAsia"/>
      <w:b/>
      <w:bCs/>
      <w:color w:val="0070C0"/>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9F4F01"/>
    <w:rPr>
      <w:rFonts w:ascii="Dubai" w:eastAsiaTheme="majorEastAsia" w:hAnsi="Dubai" w:cs="Dubai"/>
      <w:b/>
      <w:bCs/>
      <w:color w:val="0070C0"/>
      <w:sz w:val="26"/>
      <w:szCs w:val="26"/>
    </w:rPr>
  </w:style>
  <w:style w:type="character" w:customStyle="1" w:styleId="Heading2Char">
    <w:name w:val="Heading 2 Char"/>
    <w:basedOn w:val="DefaultParagraphFont"/>
    <w:link w:val="Heading2"/>
    <w:uiPriority w:val="9"/>
    <w:rsid w:val="0022473B"/>
    <w:rPr>
      <w:rFonts w:ascii="Dubai" w:eastAsiaTheme="majorEastAsia" w:hAnsi="Dubai" w:cs="Dubai"/>
      <w:b/>
      <w:bCs/>
      <w:i/>
      <w:iCs/>
      <w:sz w:val="24"/>
      <w:szCs w:val="24"/>
    </w:rPr>
  </w:style>
  <w:style w:type="character" w:customStyle="1" w:styleId="Heading3Char">
    <w:name w:val="Heading 3 Char"/>
    <w:basedOn w:val="DefaultParagraphFont"/>
    <w:link w:val="Heading3"/>
    <w:uiPriority w:val="9"/>
    <w:rsid w:val="0022473B"/>
    <w:rPr>
      <w:rFonts w:ascii="Dubai" w:eastAsiaTheme="majorEastAsia" w:hAnsi="Dubai" w:cs="Dubai"/>
      <w:b/>
      <w:bCs/>
      <w:i/>
      <w:i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360034"/>
    <w:rPr>
      <w:rFonts w:ascii="Dubai" w:eastAsiaTheme="majorEastAsia" w:hAnsi="Dubai" w:cs="Dubai"/>
      <w:b/>
      <w:bCs/>
      <w:color w:val="0070C0"/>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_i"/>
    <w:basedOn w:val="Normal"/>
    <w:qFormat/>
    <w:rsid w:val="00681C42"/>
    <w:pPr>
      <w:keepNext/>
      <w:keepLines/>
      <w:spacing w:before="160"/>
    </w:pPr>
    <w:rPr>
      <w:b/>
      <w:bCs/>
      <w:i/>
      <w:iCs/>
    </w:rPr>
  </w:style>
  <w:style w:type="paragraph" w:customStyle="1" w:styleId="AgendaItem">
    <w:name w:val="Agenda Item"/>
    <w:basedOn w:val="Normal"/>
    <w:qFormat/>
    <w:rsid w:val="00F974C5"/>
    <w:pPr>
      <w:spacing w:before="360"/>
      <w:jc w:val="center"/>
    </w:pPr>
    <w:rPr>
      <w:sz w:val="26"/>
      <w:szCs w:val="26"/>
      <w:lang w:bidi="ar-SY"/>
    </w:rPr>
  </w:style>
  <w:style w:type="paragraph" w:customStyle="1" w:styleId="AnnexNo">
    <w:name w:val="Annex_No"/>
    <w:basedOn w:val="AgendaItem"/>
    <w:qFormat/>
    <w:rsid w:val="00F974C5"/>
  </w:style>
  <w:style w:type="paragraph" w:customStyle="1" w:styleId="Annextitle">
    <w:name w:val="Annex_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_No"/>
    <w:basedOn w:val="Normal"/>
    <w:qFormat/>
    <w:rsid w:val="00F974C5"/>
    <w:pPr>
      <w:keepNext/>
      <w:keepLines/>
      <w:spacing w:before="360"/>
      <w:jc w:val="center"/>
    </w:pPr>
    <w:rPr>
      <w:sz w:val="26"/>
      <w:szCs w:val="26"/>
      <w:lang w:bidi="ar-SY"/>
    </w:rPr>
  </w:style>
  <w:style w:type="paragraph" w:customStyle="1" w:styleId="Appendixtitle">
    <w:name w:val="Appendix_title"/>
    <w:basedOn w:val="Normal"/>
    <w:qFormat/>
    <w:rsid w:val="00F974C5"/>
    <w:pPr>
      <w:keepNext/>
      <w:keepLines/>
      <w:spacing w:after="360"/>
      <w:jc w:val="center"/>
    </w:pPr>
    <w:rPr>
      <w:b/>
      <w:bCs/>
      <w:sz w:val="28"/>
      <w:szCs w:val="28"/>
    </w:rPr>
  </w:style>
  <w:style w:type="paragraph" w:customStyle="1" w:styleId="ArticleNo">
    <w:name w:val="Article_No"/>
    <w:basedOn w:val="Normal"/>
    <w:qFormat/>
    <w:rsid w:val="00F974C5"/>
    <w:pPr>
      <w:keepNext/>
      <w:keepLines/>
      <w:spacing w:after="360"/>
      <w:jc w:val="center"/>
    </w:pPr>
    <w:rPr>
      <w:sz w:val="26"/>
      <w:szCs w:val="26"/>
      <w:lang w:bidi="ar-SY"/>
    </w:rPr>
  </w:style>
  <w:style w:type="paragraph" w:customStyle="1" w:styleId="Articletitle">
    <w:name w:val="Article_title"/>
    <w:basedOn w:val="ArticleNo"/>
    <w:qFormat/>
    <w:rsid w:val="00F974C5"/>
    <w:rPr>
      <w:b/>
      <w:bCs/>
      <w:sz w:val="28"/>
      <w:szCs w:val="28"/>
    </w:rPr>
  </w:style>
  <w:style w:type="paragraph" w:customStyle="1" w:styleId="Call">
    <w:name w:val="Call"/>
    <w:basedOn w:val="Normal"/>
    <w:link w:val="CallChar"/>
    <w:qFormat/>
    <w:rsid w:val="00F974C5"/>
    <w:pPr>
      <w:keepNext/>
      <w:spacing w:before="160"/>
      <w:ind w:left="1588" w:hanging="794"/>
    </w:pPr>
    <w:rPr>
      <w:i/>
      <w:iCs/>
    </w:rPr>
  </w:style>
  <w:style w:type="paragraph" w:customStyle="1" w:styleId="ChapterNo">
    <w:name w:val="Chapter_No"/>
    <w:basedOn w:val="Normal"/>
    <w:qFormat/>
    <w:rsid w:val="00F974C5"/>
    <w:pPr>
      <w:keepNext/>
      <w:keepLines/>
      <w:spacing w:before="600"/>
      <w:jc w:val="center"/>
    </w:pPr>
    <w:rPr>
      <w:sz w:val="28"/>
      <w:szCs w:val="28"/>
      <w:lang w:bidi="ar-SY"/>
    </w:rPr>
  </w:style>
  <w:style w:type="paragraph" w:customStyle="1" w:styleId="Chaptertitle">
    <w:name w:val="Chapter_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1"/>
    <w:basedOn w:val="Normal"/>
    <w:qFormat/>
    <w:rsid w:val="00584E7F"/>
    <w:pPr>
      <w:spacing w:before="80" w:after="80"/>
      <w:ind w:left="794" w:hanging="794"/>
      <w:outlineLvl w:val="0"/>
    </w:pPr>
    <w:rPr>
      <w:lang w:bidi="ar-SY"/>
    </w:rPr>
  </w:style>
  <w:style w:type="paragraph" w:customStyle="1" w:styleId="enumlev2">
    <w:name w:val="enumlev2"/>
    <w:basedOn w:val="Normal"/>
    <w:next w:val="enumlev1"/>
    <w:qFormat/>
    <w:rsid w:val="00584E7F"/>
    <w:pPr>
      <w:spacing w:before="80" w:after="80"/>
      <w:ind w:left="1588" w:hanging="794"/>
      <w:outlineLvl w:val="1"/>
    </w:pPr>
  </w:style>
  <w:style w:type="paragraph" w:customStyle="1" w:styleId="enumlev3">
    <w:name w:val="enumlev3"/>
    <w:basedOn w:val="Normal"/>
    <w:qFormat/>
    <w:rsid w:val="00584E7F"/>
    <w:pPr>
      <w:spacing w:before="80" w:after="80"/>
      <w:ind w:left="2382" w:hanging="794"/>
      <w:outlineLvl w:val="2"/>
    </w:pPr>
    <w:rPr>
      <w:lang w:bidi="ar-SY"/>
    </w:rPr>
  </w:style>
  <w:style w:type="paragraph" w:customStyle="1" w:styleId="Figurelegend">
    <w:name w:val="Figure_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aliases w:val="Footnote_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link w:val="NormalaftertitleChar"/>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_No"/>
    <w:basedOn w:val="Normal"/>
    <w:qFormat/>
    <w:rsid w:val="00F974C5"/>
    <w:pPr>
      <w:keepNext/>
      <w:keepLines/>
      <w:spacing w:before="360"/>
      <w:jc w:val="center"/>
    </w:pPr>
    <w:rPr>
      <w:sz w:val="26"/>
      <w:szCs w:val="26"/>
    </w:rPr>
  </w:style>
  <w:style w:type="paragraph" w:customStyle="1" w:styleId="Parttitle">
    <w:name w:val="Part_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_1"/>
    <w:basedOn w:val="Normal"/>
    <w:qFormat/>
    <w:rsid w:val="00F974C5"/>
    <w:pPr>
      <w:keepNext/>
      <w:spacing w:before="360" w:after="240"/>
      <w:jc w:val="center"/>
    </w:pPr>
    <w:rPr>
      <w:b/>
      <w:bCs/>
      <w:sz w:val="26"/>
      <w:szCs w:val="26"/>
      <w:lang w:bidi="ar-SY"/>
    </w:rPr>
  </w:style>
  <w:style w:type="paragraph" w:customStyle="1" w:styleId="Section2">
    <w:name w:val="Section_2"/>
    <w:basedOn w:val="Section1"/>
    <w:qFormat/>
    <w:rsid w:val="00F974C5"/>
    <w:pPr>
      <w:spacing w:before="240"/>
    </w:pPr>
    <w:rPr>
      <w:b w:val="0"/>
      <w:bCs w:val="0"/>
    </w:rPr>
  </w:style>
  <w:style w:type="paragraph" w:customStyle="1" w:styleId="SectionNo">
    <w:name w:val="Section_No"/>
    <w:basedOn w:val="Normal"/>
    <w:qFormat/>
    <w:rsid w:val="00F974C5"/>
    <w:pPr>
      <w:keepNext/>
      <w:keepLines/>
      <w:spacing w:before="36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jc w:val="center"/>
    </w:pPr>
    <w:rPr>
      <w:b/>
      <w:bCs/>
      <w:sz w:val="32"/>
      <w:szCs w:val="32"/>
    </w:rPr>
  </w:style>
  <w:style w:type="paragraph" w:customStyle="1" w:styleId="FigureNo">
    <w:name w:val="Figure_No"/>
    <w:basedOn w:val="Normal"/>
    <w:qFormat/>
    <w:rsid w:val="00F974C5"/>
    <w:pPr>
      <w:keepNext/>
      <w:spacing w:before="240"/>
      <w:jc w:val="center"/>
    </w:pPr>
    <w:rPr>
      <w:lang w:bidi="ar-SY"/>
    </w:rPr>
  </w:style>
  <w:style w:type="paragraph" w:customStyle="1" w:styleId="Figuretitle">
    <w:name w:val="Figure_title"/>
    <w:basedOn w:val="Normal"/>
    <w:qFormat/>
    <w:rsid w:val="003C6BA9"/>
    <w:pPr>
      <w:keepNext/>
      <w:spacing w:before="240"/>
      <w:jc w:val="center"/>
    </w:pPr>
    <w:rPr>
      <w:b/>
      <w:bCs/>
    </w:rPr>
  </w:style>
  <w:style w:type="paragraph" w:customStyle="1" w:styleId="TableNo">
    <w:name w:val="Table_No"/>
    <w:basedOn w:val="Normal"/>
    <w:qFormat/>
    <w:rsid w:val="00F974C5"/>
    <w:pPr>
      <w:keepNext/>
      <w:spacing w:before="240"/>
      <w:jc w:val="center"/>
    </w:pPr>
    <w:rPr>
      <w:lang w:bidi="ar-SY"/>
    </w:rPr>
  </w:style>
  <w:style w:type="paragraph" w:customStyle="1" w:styleId="Tabletitle">
    <w:name w:val="Table_title"/>
    <w:basedOn w:val="TableNo"/>
    <w:qFormat/>
    <w:rsid w:val="003C6BA9"/>
    <w:rPr>
      <w:b/>
      <w:bCs/>
    </w:rPr>
  </w:style>
  <w:style w:type="paragraph" w:customStyle="1" w:styleId="Tablehead">
    <w:name w:val="Table_head"/>
    <w:basedOn w:val="Normal"/>
    <w:qFormat/>
    <w:rsid w:val="00F974C5"/>
    <w:pPr>
      <w:keepNext/>
      <w:spacing w:before="60" w:after="60" w:line="260" w:lineRule="exact"/>
      <w:jc w:val="center"/>
    </w:pPr>
    <w:rPr>
      <w:b/>
      <w:bCs/>
      <w:sz w:val="20"/>
      <w:szCs w:val="20"/>
    </w:rPr>
  </w:style>
  <w:style w:type="paragraph" w:customStyle="1" w:styleId="Tabletexte">
    <w:name w:val="Table_texte"/>
    <w:basedOn w:val="Normal"/>
    <w:qFormat/>
    <w:rsid w:val="00F974C5"/>
    <w:pPr>
      <w:spacing w:before="60" w:after="60" w:line="260" w:lineRule="exact"/>
    </w:pPr>
    <w:rPr>
      <w:sz w:val="20"/>
      <w:szCs w:val="20"/>
      <w:lang w:bidi="ar-SY"/>
    </w:rPr>
  </w:style>
  <w:style w:type="paragraph" w:customStyle="1" w:styleId="Title1">
    <w:name w:val="Title 1"/>
    <w:basedOn w:val="Normal"/>
    <w:qFormat/>
    <w:rsid w:val="007C3BCD"/>
    <w:pPr>
      <w:keepNext/>
      <w:spacing w:before="36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9F0D08"/>
    <w:pPr>
      <w:tabs>
        <w:tab w:val="clear" w:pos="794"/>
        <w:tab w:val="left" w:pos="1134"/>
        <w:tab w:val="left" w:leader="dot" w:pos="9072"/>
        <w:tab w:val="right" w:pos="9639"/>
      </w:tabs>
      <w:spacing w:after="0"/>
    </w:pPr>
    <w:rPr>
      <w:lang w:bidi="ar-SY"/>
    </w:r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_No"/>
    <w:basedOn w:val="Normal"/>
    <w:qFormat/>
    <w:rsid w:val="00F974C5"/>
    <w:pPr>
      <w:keepNext/>
      <w:spacing w:before="360"/>
      <w:jc w:val="center"/>
    </w:pPr>
    <w:rPr>
      <w:sz w:val="26"/>
      <w:szCs w:val="26"/>
      <w:lang w:bidi="ar-SY"/>
    </w:rPr>
  </w:style>
  <w:style w:type="paragraph" w:customStyle="1" w:styleId="Volumetitle">
    <w:name w:val="Volume_title"/>
    <w:basedOn w:val="VolumeNo"/>
    <w:qFormat/>
    <w:rsid w:val="00F974C5"/>
    <w:pPr>
      <w:spacing w:before="120" w:after="360"/>
    </w:pPr>
    <w:rPr>
      <w:b/>
      <w:bCs/>
      <w:sz w:val="28"/>
      <w:szCs w:val="28"/>
    </w:rPr>
  </w:style>
  <w:style w:type="paragraph" w:customStyle="1" w:styleId="ResNo">
    <w:name w:val="Res_No"/>
    <w:basedOn w:val="Normal"/>
    <w:link w:val="ResNoChar"/>
    <w:qFormat/>
    <w:rsid w:val="00F974C5"/>
    <w:pPr>
      <w:keepNext/>
      <w:keepLines/>
      <w:spacing w:before="360"/>
      <w:jc w:val="center"/>
    </w:pPr>
    <w:rPr>
      <w:sz w:val="26"/>
      <w:szCs w:val="26"/>
    </w:rPr>
  </w:style>
  <w:style w:type="paragraph" w:customStyle="1" w:styleId="Restitle">
    <w:name w:val="Res_title"/>
    <w:basedOn w:val="Normal"/>
    <w:link w:val="RestitleChar"/>
    <w:qFormat/>
    <w:rsid w:val="00F974C5"/>
    <w:pPr>
      <w:keepNext/>
      <w:keepLines/>
      <w:spacing w:before="240"/>
      <w:jc w:val="center"/>
    </w:pPr>
    <w:rPr>
      <w:b/>
      <w:bCs/>
      <w:sz w:val="28"/>
      <w:szCs w:val="28"/>
      <w:lang w:bidi="ar-SY"/>
    </w:rPr>
  </w:style>
  <w:style w:type="paragraph" w:customStyle="1" w:styleId="OpinionNo">
    <w:name w:val="Opinion_No"/>
    <w:basedOn w:val="Normal"/>
    <w:qFormat/>
    <w:rsid w:val="00F974C5"/>
    <w:pPr>
      <w:keepNext/>
      <w:keepLines/>
      <w:spacing w:before="360"/>
      <w:jc w:val="center"/>
    </w:pPr>
    <w:rPr>
      <w:sz w:val="26"/>
      <w:szCs w:val="26"/>
    </w:rPr>
  </w:style>
  <w:style w:type="paragraph" w:customStyle="1" w:styleId="Opiniontitle">
    <w:name w:val="Opinion_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iPriority w:val="99"/>
    <w:unhideWhenUsed/>
    <w:rsid w:val="003866C9"/>
    <w:rPr>
      <w:rFonts w:ascii="Dubai" w:hAnsi="Dubai" w:cs="Dubai"/>
      <w:b w:val="0"/>
      <w:noProof/>
      <w:color w:val="5B9BD5" w:themeColor="accent1"/>
      <w:sz w:val="22"/>
      <w:szCs w:val="22"/>
      <w:u w:val="single"/>
      <w:lang w:val="en-GB" w:eastAsia="en-US"/>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_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aliases w:val="List Paragraph1,Recommendation,List Paragraph11,Bullet List,FooterText,numbered,Paragraphe de liste1,Bulletr List Paragraph,Bullet 1,Numbered Para 1,Dot pt,No Spacing1,List Paragraph Char Char Char,Indicator Text,Bullet Points,titre"/>
    <w:basedOn w:val="Normal"/>
    <w:link w:val="ListParagraphChar"/>
    <w:uiPriority w:val="34"/>
    <w:qFormat/>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_legend"/>
    <w:basedOn w:val="Normal"/>
    <w:qFormat/>
    <w:rsid w:val="00F974C5"/>
    <w:pPr>
      <w:spacing w:before="80"/>
    </w:pPr>
    <w:rPr>
      <w:lang w:bidi="ar-SY"/>
    </w:rPr>
  </w:style>
  <w:style w:type="paragraph" w:customStyle="1" w:styleId="Headingb">
    <w:name w:val="Heading_b"/>
    <w:basedOn w:val="Normal"/>
    <w:qFormat/>
    <w:rsid w:val="00E832A1"/>
    <w:pPr>
      <w:keepNext/>
      <w:spacing w:before="240"/>
      <w:ind w:left="1134" w:hanging="1134"/>
    </w:pPr>
    <w:rPr>
      <w:b/>
      <w:bCs/>
      <w:color w:val="0070C0"/>
      <w:sz w:val="24"/>
      <w:szCs w:val="24"/>
    </w:rPr>
  </w:style>
  <w:style w:type="table" w:styleId="GridTable5Dark-Accent1">
    <w:name w:val="Grid Table 5 Dark Accent 1"/>
    <w:basedOn w:val="TableNormal"/>
    <w:uiPriority w:val="50"/>
    <w:rsid w:val="00E61B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ubtitle0">
    <w:name w:val="Sub_title"/>
    <w:basedOn w:val="Normal"/>
    <w:qFormat/>
    <w:rsid w:val="007B0AA0"/>
    <w:rPr>
      <w:sz w:val="30"/>
      <w:szCs w:val="30"/>
      <w:lang w:bidi="ar-EG"/>
    </w:rPr>
  </w:style>
  <w:style w:type="table" w:customStyle="1" w:styleId="TableGrid1">
    <w:name w:val="Table Grid1"/>
    <w:basedOn w:val="TableNormal"/>
    <w:next w:val="TableGrid"/>
    <w:uiPriority w:val="39"/>
    <w:rsid w:val="007B0AA0"/>
    <w:pPr>
      <w:spacing w:after="0" w:line="240" w:lineRule="auto"/>
    </w:pPr>
    <w:rPr>
      <w:rFonts w:eastAsia="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60DEA"/>
    <w:rPr>
      <w:color w:val="605E5C"/>
      <w:shd w:val="clear" w:color="auto" w:fill="E1DFDD"/>
    </w:rPr>
  </w:style>
  <w:style w:type="paragraph" w:customStyle="1" w:styleId="Annextitle0">
    <w:name w:val="Annex title"/>
    <w:basedOn w:val="Normal"/>
    <w:qFormat/>
    <w:rsid w:val="00525490"/>
    <w:pPr>
      <w:keepNext/>
      <w:keepLines/>
      <w:spacing w:after="360"/>
      <w:jc w:val="center"/>
    </w:pPr>
    <w:rPr>
      <w:b/>
      <w:bCs/>
      <w:sz w:val="28"/>
      <w:szCs w:val="28"/>
      <w:lang w:bidi="ar-SY"/>
    </w:rPr>
  </w:style>
  <w:style w:type="paragraph" w:customStyle="1" w:styleId="Tabletitle0">
    <w:name w:val="Table title"/>
    <w:basedOn w:val="Normal"/>
    <w:qFormat/>
    <w:rsid w:val="009772A5"/>
    <w:pPr>
      <w:keepNext/>
      <w:spacing w:before="240"/>
      <w:jc w:val="center"/>
    </w:pPr>
    <w:rPr>
      <w:b/>
      <w:bCs/>
      <w:lang w:bidi="ar-SY"/>
    </w:rPr>
  </w:style>
  <w:style w:type="paragraph" w:customStyle="1" w:styleId="Headingb0">
    <w:name w:val="Heading b"/>
    <w:basedOn w:val="Normal"/>
    <w:qFormat/>
    <w:rsid w:val="008C4FBA"/>
    <w:pPr>
      <w:keepNext/>
      <w:spacing w:before="240"/>
      <w:ind w:left="1134" w:hanging="1134"/>
    </w:pPr>
    <w:rPr>
      <w:b/>
      <w:bCs/>
      <w:sz w:val="24"/>
      <w:szCs w:val="24"/>
    </w:rPr>
  </w:style>
  <w:style w:type="paragraph" w:customStyle="1" w:styleId="Figure">
    <w:name w:val="Figure"/>
    <w:basedOn w:val="Normal"/>
    <w:qFormat/>
    <w:rsid w:val="00637FB7"/>
    <w:pPr>
      <w:spacing w:before="240" w:after="240" w:line="240" w:lineRule="auto"/>
      <w:jc w:val="center"/>
    </w:pPr>
    <w:rPr>
      <w:noProof/>
    </w:rPr>
  </w:style>
  <w:style w:type="paragraph" w:customStyle="1" w:styleId="Figuretitle0">
    <w:name w:val="Figure title"/>
    <w:basedOn w:val="Normal"/>
    <w:qFormat/>
    <w:rsid w:val="008C4FBA"/>
    <w:pPr>
      <w:keepNext/>
      <w:spacing w:before="240"/>
      <w:jc w:val="center"/>
    </w:pPr>
    <w:rPr>
      <w:b/>
      <w:bCs/>
    </w:rPr>
  </w:style>
  <w:style w:type="character" w:styleId="FollowedHyperlink">
    <w:name w:val="FollowedHyperlink"/>
    <w:basedOn w:val="DefaultParagraphFont"/>
    <w:uiPriority w:val="99"/>
    <w:semiHidden/>
    <w:unhideWhenUsed/>
    <w:rsid w:val="00360034"/>
    <w:rPr>
      <w:color w:val="954F72" w:themeColor="followedHyperlink"/>
      <w:u w:val="single"/>
    </w:rPr>
  </w:style>
  <w:style w:type="paragraph" w:customStyle="1" w:styleId="a">
    <w:name w:val="ب"/>
    <w:basedOn w:val="Normal"/>
    <w:qFormat/>
    <w:rsid w:val="00381B6F"/>
    <w:rPr>
      <w:noProof/>
      <w:lang w:bidi="ar-EG"/>
    </w:rPr>
  </w:style>
  <w:style w:type="paragraph" w:customStyle="1" w:styleId="Tabletext">
    <w:name w:val="Table_text"/>
    <w:basedOn w:val="Normal"/>
    <w:rsid w:val="00523BB5"/>
    <w:pPr>
      <w:tabs>
        <w:tab w:val="clear" w:pos="794"/>
      </w:tabs>
      <w:overflowPunct w:val="0"/>
      <w:autoSpaceDE w:val="0"/>
      <w:autoSpaceDN w:val="0"/>
      <w:bidi w:val="0"/>
      <w:adjustRightInd w:val="0"/>
      <w:spacing w:before="60" w:after="60" w:line="240" w:lineRule="auto"/>
      <w:jc w:val="left"/>
      <w:textAlignment w:val="baseline"/>
    </w:pPr>
    <w:rPr>
      <w:rFonts w:ascii="Calibri" w:eastAsia="Times New Roman" w:hAnsi="Calibri" w:cs="Times New Roman"/>
      <w:szCs w:val="20"/>
      <w:lang w:val="en-GB" w:eastAsia="en-US"/>
    </w:rPr>
  </w:style>
  <w:style w:type="paragraph" w:customStyle="1" w:styleId="AnnexNo0">
    <w:name w:val="Annex No"/>
    <w:basedOn w:val="AgendaItem"/>
    <w:qFormat/>
    <w:rsid w:val="006A688D"/>
  </w:style>
  <w:style w:type="character" w:customStyle="1" w:styleId="CallChar">
    <w:name w:val="Call Char"/>
    <w:basedOn w:val="DefaultParagraphFont"/>
    <w:link w:val="Call"/>
    <w:locked/>
    <w:rsid w:val="006A688D"/>
    <w:rPr>
      <w:rFonts w:ascii="Dubai" w:hAnsi="Dubai" w:cs="Dubai"/>
      <w:i/>
      <w:iCs/>
    </w:rPr>
  </w:style>
  <w:style w:type="character" w:customStyle="1" w:styleId="NormalaftertitleChar">
    <w:name w:val="Normal after title Char"/>
    <w:basedOn w:val="DefaultParagraphFont"/>
    <w:link w:val="Normalaftertitle"/>
    <w:rsid w:val="006A688D"/>
    <w:rPr>
      <w:rFonts w:ascii="Dubai" w:hAnsi="Dubai" w:cs="Dubai"/>
      <w:lang w:bidi="ar-SY"/>
    </w:rPr>
  </w:style>
  <w:style w:type="character" w:customStyle="1" w:styleId="ResNoChar">
    <w:name w:val="Res_No Char"/>
    <w:basedOn w:val="DefaultParagraphFont"/>
    <w:link w:val="ResNo"/>
    <w:rsid w:val="006A688D"/>
    <w:rPr>
      <w:rFonts w:ascii="Dubai" w:hAnsi="Dubai" w:cs="Dubai"/>
      <w:sz w:val="26"/>
      <w:szCs w:val="26"/>
    </w:rPr>
  </w:style>
  <w:style w:type="character" w:customStyle="1" w:styleId="RestitleChar">
    <w:name w:val="Res_title Char"/>
    <w:basedOn w:val="DefaultParagraphFont"/>
    <w:link w:val="Restitle"/>
    <w:rsid w:val="006A688D"/>
    <w:rPr>
      <w:rFonts w:ascii="Dubai" w:hAnsi="Dubai" w:cs="Dubai"/>
      <w:b/>
      <w:bCs/>
      <w:sz w:val="28"/>
      <w:szCs w:val="28"/>
      <w:lang w:bidi="ar-SY"/>
    </w:rPr>
  </w:style>
  <w:style w:type="paragraph" w:customStyle="1" w:styleId="Default">
    <w:name w:val="Default"/>
    <w:rsid w:val="006E56E5"/>
    <w:pPr>
      <w:autoSpaceDE w:val="0"/>
      <w:autoSpaceDN w:val="0"/>
      <w:adjustRightInd w:val="0"/>
      <w:spacing w:after="0" w:line="240" w:lineRule="auto"/>
    </w:pPr>
    <w:rPr>
      <w:rFonts w:ascii="Calibri" w:eastAsia="Times New Roman" w:hAnsi="Calibri" w:cs="Calibri"/>
      <w:color w:val="000000"/>
      <w:sz w:val="24"/>
      <w:szCs w:val="24"/>
    </w:rPr>
  </w:style>
  <w:style w:type="paragraph" w:styleId="Revision">
    <w:name w:val="Revision"/>
    <w:hidden/>
    <w:uiPriority w:val="99"/>
    <w:semiHidden/>
    <w:rsid w:val="006E56E5"/>
    <w:pPr>
      <w:spacing w:after="0" w:line="240" w:lineRule="auto"/>
    </w:pPr>
    <w:rPr>
      <w:rFonts w:ascii="Dubai" w:hAnsi="Dubai" w:cs="Dubai"/>
    </w:rPr>
  </w:style>
  <w:style w:type="character" w:customStyle="1" w:styleId="ListParagraphChar">
    <w:name w:val="List Paragraph Char"/>
    <w:aliases w:val="List Paragraph1 Char,Recommendation Char,List Paragraph11 Char,Bullet List Char,FooterText Char,numbered Char,Paragraphe de liste1 Char,Bulletr List Paragraph Char,Bullet 1 Char,Numbered Para 1 Char,Dot pt Char,No Spacing1 Char"/>
    <w:basedOn w:val="DefaultParagraphFont"/>
    <w:link w:val="ListParagraph"/>
    <w:uiPriority w:val="1"/>
    <w:rsid w:val="006E56E5"/>
    <w:rPr>
      <w:rFonts w:ascii="Dubai" w:hAnsi="Dubai" w:cs="Dubai"/>
    </w:rPr>
  </w:style>
  <w:style w:type="character" w:customStyle="1" w:styleId="ui-provider">
    <w:name w:val="ui-provider"/>
    <w:basedOn w:val="DefaultParagraphFont"/>
    <w:rsid w:val="006E56E5"/>
  </w:style>
  <w:style w:type="paragraph" w:styleId="Index1">
    <w:name w:val="index 1"/>
    <w:basedOn w:val="Normal"/>
    <w:next w:val="Normal"/>
    <w:rsid w:val="006E56E5"/>
    <w:pPr>
      <w:tabs>
        <w:tab w:val="clear" w:pos="794"/>
        <w:tab w:val="left" w:pos="567"/>
        <w:tab w:val="left" w:pos="1134"/>
        <w:tab w:val="left" w:pos="1701"/>
        <w:tab w:val="left" w:pos="2268"/>
        <w:tab w:val="left" w:pos="2835"/>
      </w:tabs>
      <w:overflowPunct w:val="0"/>
      <w:autoSpaceDE w:val="0"/>
      <w:autoSpaceDN w:val="0"/>
      <w:bidi w:val="0"/>
      <w:adjustRightInd w:val="0"/>
      <w:spacing w:after="0" w:line="240" w:lineRule="auto"/>
      <w:jc w:val="left"/>
      <w:textAlignment w:val="baseline"/>
    </w:pPr>
    <w:rPr>
      <w:rFonts w:ascii="Calibri" w:eastAsia="Times New Roman" w:hAnsi="Calibri" w:cs="Times New Roman"/>
      <w:sz w:val="24"/>
      <w:szCs w:val="20"/>
      <w:lang w:val="en-GB" w:eastAsia="en-US"/>
    </w:rPr>
  </w:style>
  <w:style w:type="character" w:customStyle="1" w:styleId="normaltextrun">
    <w:name w:val="normaltextrun"/>
    <w:basedOn w:val="DefaultParagraphFont"/>
    <w:rsid w:val="006E56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542480">
      <w:bodyDiv w:val="1"/>
      <w:marLeft w:val="0"/>
      <w:marRight w:val="0"/>
      <w:marTop w:val="0"/>
      <w:marBottom w:val="0"/>
      <w:divBdr>
        <w:top w:val="none" w:sz="0" w:space="0" w:color="auto"/>
        <w:left w:val="none" w:sz="0" w:space="0" w:color="auto"/>
        <w:bottom w:val="none" w:sz="0" w:space="0" w:color="auto"/>
        <w:right w:val="none" w:sz="0" w:space="0" w:color="auto"/>
      </w:divBdr>
    </w:div>
    <w:div w:id="677119422">
      <w:bodyDiv w:val="1"/>
      <w:marLeft w:val="0"/>
      <w:marRight w:val="0"/>
      <w:marTop w:val="0"/>
      <w:marBottom w:val="0"/>
      <w:divBdr>
        <w:top w:val="none" w:sz="0" w:space="0" w:color="auto"/>
        <w:left w:val="none" w:sz="0" w:space="0" w:color="auto"/>
        <w:bottom w:val="none" w:sz="0" w:space="0" w:color="auto"/>
        <w:right w:val="none" w:sz="0" w:space="0" w:color="auto"/>
      </w:divBdr>
    </w:div>
    <w:div w:id="776412735">
      <w:bodyDiv w:val="1"/>
      <w:marLeft w:val="0"/>
      <w:marRight w:val="0"/>
      <w:marTop w:val="0"/>
      <w:marBottom w:val="0"/>
      <w:divBdr>
        <w:top w:val="none" w:sz="0" w:space="0" w:color="auto"/>
        <w:left w:val="none" w:sz="0" w:space="0" w:color="auto"/>
        <w:bottom w:val="none" w:sz="0" w:space="0" w:color="auto"/>
        <w:right w:val="none" w:sz="0" w:space="0" w:color="auto"/>
      </w:divBdr>
    </w:div>
    <w:div w:id="911356007">
      <w:bodyDiv w:val="1"/>
      <w:marLeft w:val="0"/>
      <w:marRight w:val="0"/>
      <w:marTop w:val="0"/>
      <w:marBottom w:val="0"/>
      <w:divBdr>
        <w:top w:val="none" w:sz="0" w:space="0" w:color="auto"/>
        <w:left w:val="none" w:sz="0" w:space="0" w:color="auto"/>
        <w:bottom w:val="none" w:sz="0" w:space="0" w:color="auto"/>
        <w:right w:val="none" w:sz="0" w:space="0" w:color="auto"/>
      </w:divBdr>
    </w:div>
    <w:div w:id="961695709">
      <w:bodyDiv w:val="1"/>
      <w:marLeft w:val="0"/>
      <w:marRight w:val="0"/>
      <w:marTop w:val="0"/>
      <w:marBottom w:val="0"/>
      <w:divBdr>
        <w:top w:val="none" w:sz="0" w:space="0" w:color="auto"/>
        <w:left w:val="none" w:sz="0" w:space="0" w:color="auto"/>
        <w:bottom w:val="none" w:sz="0" w:space="0" w:color="auto"/>
        <w:right w:val="none" w:sz="0" w:space="0" w:color="auto"/>
      </w:divBdr>
    </w:div>
    <w:div w:id="1026710730">
      <w:bodyDiv w:val="1"/>
      <w:marLeft w:val="0"/>
      <w:marRight w:val="0"/>
      <w:marTop w:val="0"/>
      <w:marBottom w:val="0"/>
      <w:divBdr>
        <w:top w:val="none" w:sz="0" w:space="0" w:color="auto"/>
        <w:left w:val="none" w:sz="0" w:space="0" w:color="auto"/>
        <w:bottom w:val="none" w:sz="0" w:space="0" w:color="auto"/>
        <w:right w:val="none" w:sz="0" w:space="0" w:color="auto"/>
      </w:divBdr>
    </w:div>
    <w:div w:id="1120876971">
      <w:bodyDiv w:val="1"/>
      <w:marLeft w:val="0"/>
      <w:marRight w:val="0"/>
      <w:marTop w:val="0"/>
      <w:marBottom w:val="0"/>
      <w:divBdr>
        <w:top w:val="none" w:sz="0" w:space="0" w:color="auto"/>
        <w:left w:val="none" w:sz="0" w:space="0" w:color="auto"/>
        <w:bottom w:val="none" w:sz="0" w:space="0" w:color="auto"/>
        <w:right w:val="none" w:sz="0" w:space="0" w:color="auto"/>
      </w:divBdr>
    </w:div>
    <w:div w:id="183972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ar/ITU-D/Pages/default.aspx" TargetMode="External"/><Relationship Id="rId21" Type="http://schemas.openxmlformats.org/officeDocument/2006/relationships/image" Target="media/image11.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0.png"/><Relationship Id="rId68" Type="http://schemas.openxmlformats.org/officeDocument/2006/relationships/header" Target="header1.xml"/><Relationship Id="rId84" Type="http://schemas.openxmlformats.org/officeDocument/2006/relationships/fontTable" Target="fontTable.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3.png"/><Relationship Id="rId58" Type="http://schemas.openxmlformats.org/officeDocument/2006/relationships/hyperlink" Target="http://www.unjspf.org" TargetMode="External"/><Relationship Id="rId74" Type="http://schemas.openxmlformats.org/officeDocument/2006/relationships/footer" Target="footer3.xml"/><Relationship Id="rId79" Type="http://schemas.openxmlformats.org/officeDocument/2006/relationships/hyperlink" Target="https://www.itu.int/md/S25-CL-C-0041/en" TargetMode="External"/><Relationship Id="rId5" Type="http://schemas.openxmlformats.org/officeDocument/2006/relationships/webSettings" Target="web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tu.int/itu-wsis/implementation/"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yperlink" Target="https://www.itu.int/md/S24-CL-C-0132/en" TargetMode="External"/><Relationship Id="rId56" Type="http://schemas.openxmlformats.org/officeDocument/2006/relationships/hyperlink" Target="https://www.itu.int/md/S25-CL-C-0046/en" TargetMode="External"/><Relationship Id="rId64" Type="http://schemas.openxmlformats.org/officeDocument/2006/relationships/image" Target="media/image41.png"/><Relationship Id="rId69" Type="http://schemas.openxmlformats.org/officeDocument/2006/relationships/footer" Target="footer1.xml"/><Relationship Id="rId77" Type="http://schemas.openxmlformats.org/officeDocument/2006/relationships/hyperlink" Target="https://www.itu.int/en/council/Documents/basic-texts/Convention-a.pdf" TargetMode="External"/><Relationship Id="rId8" Type="http://schemas.openxmlformats.org/officeDocument/2006/relationships/hyperlink" Target="https://www.itu.int/en/council/Documents/basic-texts/Convention-a.pdf" TargetMode="External"/><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hyperlink" Target="https://www.itu.int/md/S25-CL-C-0040/e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www.itu.int/en/ITU-T/Pages/default.aspx"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hyperlink" Target="https://medical-insurance.unog.ch/en" TargetMode="External"/><Relationship Id="rId62" Type="http://schemas.openxmlformats.org/officeDocument/2006/relationships/image" Target="media/image39.png"/><Relationship Id="rId70" Type="http://schemas.openxmlformats.org/officeDocument/2006/relationships/header" Target="header2.xml"/><Relationship Id="rId75" Type="http://schemas.openxmlformats.org/officeDocument/2006/relationships/image" Target="media/image48.png"/><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unsystem.org/en" TargetMode="External"/><Relationship Id="rId28" Type="http://schemas.openxmlformats.org/officeDocument/2006/relationships/hyperlink" Target="http://www.itu.int/ITU-R/index.asp?category=conferences&amp;link=rrb&amp;lang=en"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hyperlink" Target="https://www.itu.int/md/S25-CL-C-0035/en" TargetMode="External"/><Relationship Id="rId31" Type="http://schemas.openxmlformats.org/officeDocument/2006/relationships/hyperlink" Target="https://www.itu.int/md/S23-CL-C-0115/en" TargetMode="External"/><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47.png"/><Relationship Id="rId78" Type="http://schemas.openxmlformats.org/officeDocument/2006/relationships/hyperlink" Target="https://www.itu.int/en/council/Pages/Financial-Regulations.aspx" TargetMode="External"/><Relationship Id="rId8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itu.int/en/council/Pages/Financial-Regulations.aspx"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0.png"/><Relationship Id="rId34" Type="http://schemas.openxmlformats.org/officeDocument/2006/relationships/hyperlink" Target="https://www.itu.int/md/S24-CL-C-0134/en" TargetMode="External"/><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itu.int/md/S24-CL-C-0132/en" TargetMode="External"/><Relationship Id="rId24" Type="http://schemas.openxmlformats.org/officeDocument/2006/relationships/hyperlink" Target="https://www.itu.int/ar/ITU-R/Pages/default.aspx"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3.png"/><Relationship Id="rId61" Type="http://schemas.openxmlformats.org/officeDocument/2006/relationships/image" Target="media/image38.png"/><Relationship Id="rId8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202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28108-4966-4581-8805-B68FC0355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19521</Words>
  <Characters>106726</Characters>
  <Application>Microsoft Office Word</Application>
  <DocSecurity>0</DocSecurity>
  <Lines>1643</Lines>
  <Paragraphs>734</Paragraphs>
  <ScaleCrop>false</ScaleCrop>
  <HeadingPairs>
    <vt:vector size="2" baseType="variant">
      <vt:variant>
        <vt:lpstr>Title</vt:lpstr>
      </vt:variant>
      <vt:variant>
        <vt:i4>1</vt:i4>
      </vt:variant>
    </vt:vector>
  </HeadingPairs>
  <TitlesOfParts>
    <vt:vector size="1" baseType="lpstr">
      <vt:lpstr/>
    </vt:vector>
  </TitlesOfParts>
  <Company>International Telecommunication Union</Company>
  <LinksUpToDate>false</LinksUpToDate>
  <CharactersWithSpaces>125577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Operating Report and Audited Financial Statements for the financial year 2024</dc:title>
  <dc:subject>ITU Council 2025</dc:subject>
  <cp:keywords>C2025, C25, Council-25</cp:keywords>
  <dc:description/>
  <dcterms:created xsi:type="dcterms:W3CDTF">2025-06-17T10:25:00Z</dcterms:created>
  <dcterms:modified xsi:type="dcterms:W3CDTF">2025-06-17T10:35:00Z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4764bc0ed8aab6cc3f228418da0bf4d692034987165b3c327d8e9737cd820415</vt:lpwstr>
  </property>
</Properties>
</file>