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3B02D3" w14:paraId="02FC8A53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DF5F1F2" w14:textId="428A729D" w:rsidR="00FE57F6" w:rsidRPr="003B02D3" w:rsidRDefault="00BB6FD8" w:rsidP="009C593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3B02D3">
              <w:rPr>
                <w:b/>
              </w:rPr>
              <w:t>Orden del día</w:t>
            </w:r>
            <w:r w:rsidR="00FE57F6" w:rsidRPr="003B02D3">
              <w:rPr>
                <w:b/>
              </w:rPr>
              <w:t xml:space="preserve">: </w:t>
            </w:r>
            <w:r w:rsidR="009C593B" w:rsidRPr="003B02D3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0F4FC9C7" w14:textId="2E84D3B2" w:rsidR="00FE57F6" w:rsidRPr="003B02D3" w:rsidRDefault="009C593B" w:rsidP="009C593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B02D3">
              <w:rPr>
                <w:b/>
              </w:rPr>
              <w:t xml:space="preserve">Documento </w:t>
            </w:r>
            <w:proofErr w:type="spellStart"/>
            <w:r w:rsidRPr="003B02D3">
              <w:rPr>
                <w:b/>
              </w:rPr>
              <w:t>C25</w:t>
            </w:r>
            <w:proofErr w:type="spellEnd"/>
            <w:r w:rsidRPr="003B02D3">
              <w:rPr>
                <w:b/>
              </w:rPr>
              <w:t>/38-S</w:t>
            </w:r>
          </w:p>
        </w:tc>
      </w:tr>
      <w:tr w:rsidR="00FE57F6" w:rsidRPr="003B02D3" w14:paraId="3A1B0F3C" w14:textId="77777777" w:rsidTr="00C538FC">
        <w:trPr>
          <w:cantSplit/>
        </w:trPr>
        <w:tc>
          <w:tcPr>
            <w:tcW w:w="3969" w:type="dxa"/>
            <w:vMerge/>
          </w:tcPr>
          <w:p w14:paraId="2D533A04" w14:textId="77777777" w:rsidR="00FE57F6" w:rsidRPr="003B02D3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CE57735" w14:textId="69BE482E" w:rsidR="00FE57F6" w:rsidRPr="003B02D3" w:rsidRDefault="005B7844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F0498">
              <w:rPr>
                <w:b/>
              </w:rPr>
              <w:t xml:space="preserve">17 </w:t>
            </w:r>
            <w:r w:rsidR="009C593B" w:rsidRPr="00EF0498">
              <w:rPr>
                <w:b/>
              </w:rPr>
              <w:t>de abril</w:t>
            </w:r>
            <w:r w:rsidR="009C593B" w:rsidRPr="003B02D3">
              <w:rPr>
                <w:b/>
              </w:rPr>
              <w:t xml:space="preserve"> de 2025</w:t>
            </w:r>
          </w:p>
        </w:tc>
      </w:tr>
      <w:tr w:rsidR="00FE57F6" w:rsidRPr="003B02D3" w14:paraId="3BE3BCB3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B2448B0" w14:textId="77777777" w:rsidR="00FE57F6" w:rsidRPr="003B02D3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A05643F" w14:textId="77777777" w:rsidR="00FE57F6" w:rsidRPr="003B02D3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3B02D3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3B02D3" w14:paraId="7672603A" w14:textId="77777777" w:rsidTr="00C538FC">
        <w:trPr>
          <w:cantSplit/>
          <w:trHeight w:val="23"/>
        </w:trPr>
        <w:tc>
          <w:tcPr>
            <w:tcW w:w="3969" w:type="dxa"/>
          </w:tcPr>
          <w:p w14:paraId="2ACAE397" w14:textId="77777777" w:rsidR="00FE57F6" w:rsidRPr="003B02D3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489D30D" w14:textId="77777777" w:rsidR="00FE57F6" w:rsidRPr="003B02D3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3B02D3" w14:paraId="3A7BE125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CE28E5A" w14:textId="77777777" w:rsidR="00FE57F6" w:rsidRPr="003B02D3" w:rsidRDefault="00157AC4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3B02D3">
              <w:rPr>
                <w:rFonts w:cstheme="minorHAnsi"/>
                <w:sz w:val="34"/>
                <w:szCs w:val="34"/>
              </w:rPr>
              <w:t>Informe de la Secretaria General</w:t>
            </w:r>
          </w:p>
        </w:tc>
      </w:tr>
      <w:tr w:rsidR="00FE57F6" w:rsidRPr="003B02D3" w14:paraId="6C2A8A0F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D792919" w14:textId="6394F55F" w:rsidR="00FE57F6" w:rsidRPr="003B02D3" w:rsidRDefault="00226D00" w:rsidP="009C593B">
            <w:pPr>
              <w:pStyle w:val="Subtitle"/>
              <w:framePr w:hSpace="0" w:wrap="auto" w:vAnchor="margin" w:hAnchor="text" w:xAlign="left" w:yAlign="inline"/>
            </w:pPr>
            <w:r w:rsidRPr="003B02D3">
              <w:t>INFORME DE SITUACIÓN SOBRE LA APLICACIÓN DE LOS ACUERDOS 600 Y 601 DEL CONSEJO (</w:t>
            </w:r>
            <w:proofErr w:type="spellStart"/>
            <w:r w:rsidRPr="003B02D3">
              <w:t>UIFN</w:t>
            </w:r>
            <w:proofErr w:type="spellEnd"/>
            <w:r w:rsidRPr="003B02D3">
              <w:t xml:space="preserve">, </w:t>
            </w:r>
            <w:proofErr w:type="spellStart"/>
            <w:r w:rsidRPr="003B02D3">
              <w:t>IIN</w:t>
            </w:r>
            <w:proofErr w:type="spellEnd"/>
            <w:r w:rsidRPr="003B02D3">
              <w:t>)</w:t>
            </w:r>
          </w:p>
        </w:tc>
      </w:tr>
      <w:tr w:rsidR="00FE57F6" w:rsidRPr="003B02D3" w14:paraId="6094EE39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6FF4375" w14:textId="77777777" w:rsidR="00FE57F6" w:rsidRPr="003B02D3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B02D3">
              <w:rPr>
                <w:b/>
                <w:bCs/>
                <w:sz w:val="26"/>
                <w:szCs w:val="26"/>
              </w:rPr>
              <w:t>Finalidad</w:t>
            </w:r>
          </w:p>
          <w:p w14:paraId="79CBA974" w14:textId="155D51D6" w:rsidR="00FE57F6" w:rsidRPr="003B02D3" w:rsidRDefault="009C593B" w:rsidP="009C593B">
            <w:bookmarkStart w:id="1" w:name="lt_pId014"/>
            <w:r w:rsidRPr="003B02D3">
              <w:t>La UIT ha estado trabajando en la aplicación de los Acuerdos 600 y 601 desde su aprobación en la reunión del Consejo de 2017.</w:t>
            </w:r>
            <w:bookmarkEnd w:id="1"/>
            <w:r w:rsidRPr="003B02D3">
              <w:t xml:space="preserve"> En el presente informe se actualiza la información consignada en el Documento </w:t>
            </w:r>
            <w:hyperlink r:id="rId6" w:history="1">
              <w:proofErr w:type="spellStart"/>
              <w:r w:rsidRPr="003B02D3">
                <w:rPr>
                  <w:rStyle w:val="Hyperlink"/>
                </w:rPr>
                <w:t>C24</w:t>
              </w:r>
              <w:proofErr w:type="spellEnd"/>
              <w:r w:rsidRPr="003B02D3">
                <w:rPr>
                  <w:rStyle w:val="Hyperlink"/>
                </w:rPr>
                <w:t>/38</w:t>
              </w:r>
            </w:hyperlink>
            <w:r w:rsidRPr="003B02D3">
              <w:t>.</w:t>
            </w:r>
          </w:p>
          <w:p w14:paraId="1530D210" w14:textId="77777777" w:rsidR="00FE57F6" w:rsidRPr="003B02D3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B02D3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3B02D3">
              <w:rPr>
                <w:b/>
                <w:bCs/>
                <w:sz w:val="26"/>
                <w:szCs w:val="26"/>
              </w:rPr>
              <w:t>al</w:t>
            </w:r>
            <w:r w:rsidRPr="003B02D3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0CF75A4D" w14:textId="58C607A2" w:rsidR="00F92BED" w:rsidRPr="003B02D3" w:rsidRDefault="009C593B" w:rsidP="009C593B">
            <w:pPr>
              <w:spacing w:before="160"/>
              <w:rPr>
                <w:szCs w:val="24"/>
              </w:rPr>
            </w:pPr>
            <w:r w:rsidRPr="003B02D3">
              <w:rPr>
                <w:szCs w:val="24"/>
              </w:rPr>
              <w:t xml:space="preserve">Se invita al Consejo a </w:t>
            </w:r>
            <w:r w:rsidRPr="003B02D3">
              <w:rPr>
                <w:b/>
                <w:bCs/>
                <w:szCs w:val="24"/>
              </w:rPr>
              <w:t>tomar nota</w:t>
            </w:r>
            <w:r w:rsidRPr="003B02D3">
              <w:rPr>
                <w:szCs w:val="24"/>
              </w:rPr>
              <w:t xml:space="preserve"> del presente informe.</w:t>
            </w:r>
          </w:p>
          <w:p w14:paraId="084FEF14" w14:textId="77777777" w:rsidR="00F92BED" w:rsidRPr="003B02D3" w:rsidRDefault="00F92BED" w:rsidP="00F92BE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B02D3">
              <w:rPr>
                <w:b/>
                <w:bCs/>
                <w:sz w:val="26"/>
                <w:szCs w:val="26"/>
              </w:rPr>
              <w:t>Vínculo(s) pertinente(s) con el Plan Estratégico</w:t>
            </w:r>
          </w:p>
          <w:p w14:paraId="7D938118" w14:textId="1C218763" w:rsidR="00F92BED" w:rsidRPr="003B02D3" w:rsidRDefault="009C593B" w:rsidP="009C593B">
            <w:r w:rsidRPr="003B02D3">
              <w:t>Recursos de numeración de las telecomunicaciones internacionales.</w:t>
            </w:r>
          </w:p>
          <w:p w14:paraId="1ECC63B7" w14:textId="77777777" w:rsidR="00F92BED" w:rsidRPr="003B02D3" w:rsidRDefault="00F92BED" w:rsidP="00F92BED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B02D3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221A2FD6" w14:textId="1A8DEF3A" w:rsidR="00F92BED" w:rsidRPr="003B02D3" w:rsidRDefault="009C593B" w:rsidP="009C593B">
            <w:r w:rsidRPr="003B02D3">
              <w:t>Los ingresos derivados de la aplicación de los Acuerdos 600 y 601 del Consejo se han incluido en el presupuesto para 2024-2025.</w:t>
            </w:r>
          </w:p>
          <w:p w14:paraId="61A9DBBD" w14:textId="77777777" w:rsidR="00FE57F6" w:rsidRPr="003B02D3" w:rsidRDefault="00FE57F6" w:rsidP="00C538FC">
            <w:pPr>
              <w:spacing w:before="160"/>
              <w:rPr>
                <w:caps/>
                <w:sz w:val="22"/>
              </w:rPr>
            </w:pPr>
            <w:r w:rsidRPr="003B02D3">
              <w:rPr>
                <w:sz w:val="22"/>
              </w:rPr>
              <w:t>__________________</w:t>
            </w:r>
          </w:p>
          <w:p w14:paraId="4C5FC7F0" w14:textId="6AC2713D" w:rsidR="00FE57F6" w:rsidRPr="003B02D3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B02D3">
              <w:rPr>
                <w:b/>
                <w:bCs/>
                <w:sz w:val="26"/>
                <w:szCs w:val="26"/>
              </w:rPr>
              <w:t>Referencia</w:t>
            </w:r>
            <w:r w:rsidR="00F92BED" w:rsidRPr="003B02D3">
              <w:rPr>
                <w:b/>
                <w:bCs/>
                <w:sz w:val="26"/>
                <w:szCs w:val="26"/>
              </w:rPr>
              <w:t>s</w:t>
            </w:r>
          </w:p>
          <w:p w14:paraId="118619B5" w14:textId="64DFFA4B" w:rsidR="00FE57F6" w:rsidRPr="003B02D3" w:rsidRDefault="009C593B" w:rsidP="009C593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3B02D3">
              <w:rPr>
                <w:i/>
                <w:iCs/>
                <w:sz w:val="22"/>
                <w:szCs w:val="22"/>
              </w:rPr>
              <w:t xml:space="preserve">Documentos </w:t>
            </w:r>
            <w:hyperlink r:id="rId7" w:history="1"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C17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/133</w:t>
              </w:r>
            </w:hyperlink>
            <w:r w:rsidRPr="003B02D3">
              <w:rPr>
                <w:i/>
                <w:iCs/>
                <w:sz w:val="22"/>
                <w:szCs w:val="22"/>
              </w:rPr>
              <w:t xml:space="preserve"> y </w:t>
            </w:r>
            <w:hyperlink r:id="rId8" w:history="1"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C17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/134</w:t>
              </w:r>
            </w:hyperlink>
            <w:r w:rsidRPr="003B02D3">
              <w:rPr>
                <w:i/>
                <w:iCs/>
                <w:sz w:val="22"/>
                <w:szCs w:val="22"/>
              </w:rPr>
              <w:t xml:space="preserve">; </w:t>
            </w:r>
            <w:hyperlink r:id="rId9" w:history="1"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C18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/100</w:t>
              </w:r>
            </w:hyperlink>
            <w:r w:rsidRPr="003B02D3">
              <w:rPr>
                <w:i/>
                <w:iCs/>
                <w:sz w:val="22"/>
                <w:szCs w:val="22"/>
              </w:rPr>
              <w:t xml:space="preserve">; </w:t>
            </w:r>
            <w:hyperlink r:id="rId10" w:history="1"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CWG-FHR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 xml:space="preserve"> 9/1</w:t>
              </w:r>
            </w:hyperlink>
            <w:r w:rsidRPr="003B02D3">
              <w:rPr>
                <w:i/>
                <w:iCs/>
                <w:color w:val="0000FF"/>
                <w:sz w:val="22"/>
                <w:szCs w:val="22"/>
                <w:u w:val="single"/>
              </w:rPr>
              <w:t>4</w:t>
            </w:r>
            <w:r w:rsidRPr="003B02D3">
              <w:rPr>
                <w:i/>
                <w:iCs/>
                <w:sz w:val="22"/>
                <w:szCs w:val="22"/>
              </w:rPr>
              <w:t xml:space="preserve"> y </w:t>
            </w:r>
            <w:hyperlink r:id="rId11" w:history="1"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CWG-FHR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 xml:space="preserve"> 9/15</w:t>
              </w:r>
            </w:hyperlink>
            <w:r w:rsidRPr="003B02D3">
              <w:rPr>
                <w:i/>
                <w:iCs/>
                <w:sz w:val="22"/>
                <w:szCs w:val="22"/>
                <w:u w:val="single"/>
              </w:rPr>
              <w:t xml:space="preserve">; </w:t>
            </w:r>
            <w:hyperlink r:id="rId12" w:history="1"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C19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/47</w:t>
              </w:r>
            </w:hyperlink>
            <w:r w:rsidRPr="003B02D3">
              <w:rPr>
                <w:i/>
                <w:iCs/>
                <w:sz w:val="22"/>
                <w:szCs w:val="22"/>
                <w:u w:val="single"/>
              </w:rPr>
              <w:t xml:space="preserve"> y </w:t>
            </w:r>
            <w:hyperlink r:id="rId13" w:history="1">
              <w:proofErr w:type="spellStart"/>
              <w:r w:rsidRPr="003B02D3">
                <w:rPr>
                  <w:rStyle w:val="Hyperlink"/>
                  <w:bCs/>
                  <w:i/>
                  <w:iCs/>
                  <w:sz w:val="22"/>
                  <w:szCs w:val="22"/>
                </w:rPr>
                <w:t>C19</w:t>
              </w:r>
              <w:proofErr w:type="spellEnd"/>
              <w:r w:rsidRPr="003B02D3">
                <w:rPr>
                  <w:rStyle w:val="Hyperlink"/>
                  <w:bCs/>
                  <w:i/>
                  <w:iCs/>
                  <w:sz w:val="22"/>
                  <w:szCs w:val="22"/>
                </w:rPr>
                <w:t>/120</w:t>
              </w:r>
            </w:hyperlink>
            <w:r w:rsidRPr="003B02D3">
              <w:rPr>
                <w:i/>
                <w:iCs/>
                <w:sz w:val="22"/>
                <w:szCs w:val="22"/>
              </w:rPr>
              <w:t xml:space="preserve">; </w:t>
            </w:r>
            <w:hyperlink r:id="rId14" w:history="1"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C20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/47</w:t>
              </w:r>
            </w:hyperlink>
            <w:r w:rsidRPr="003B02D3">
              <w:rPr>
                <w:i/>
                <w:iCs/>
                <w:sz w:val="22"/>
                <w:szCs w:val="22"/>
              </w:rPr>
              <w:t xml:space="preserve">; </w:t>
            </w:r>
            <w:bookmarkStart w:id="2" w:name="_Hlk132728228"/>
            <w:r w:rsidRPr="003B02D3">
              <w:rPr>
                <w:i/>
                <w:iCs/>
                <w:sz w:val="22"/>
                <w:szCs w:val="22"/>
              </w:rPr>
              <w:fldChar w:fldCharType="begin"/>
            </w:r>
            <w:r w:rsidRPr="003B02D3">
              <w:rPr>
                <w:i/>
                <w:iCs/>
                <w:sz w:val="22"/>
                <w:szCs w:val="22"/>
              </w:rPr>
              <w:instrText xml:space="preserve"> HYPERLINK "https://www.itu.int/md/S21-CL-C-0047/en" </w:instrText>
            </w:r>
            <w:r w:rsidRPr="003B02D3">
              <w:rPr>
                <w:i/>
                <w:iCs/>
                <w:sz w:val="22"/>
                <w:szCs w:val="22"/>
              </w:rPr>
            </w:r>
            <w:r w:rsidRPr="003B02D3">
              <w:rPr>
                <w:i/>
                <w:iCs/>
                <w:sz w:val="22"/>
                <w:szCs w:val="22"/>
              </w:rPr>
              <w:fldChar w:fldCharType="separate"/>
            </w:r>
            <w:proofErr w:type="spellStart"/>
            <w:r w:rsidRPr="003B02D3">
              <w:rPr>
                <w:rStyle w:val="Hyperlink"/>
                <w:i/>
                <w:iCs/>
                <w:sz w:val="22"/>
                <w:szCs w:val="22"/>
              </w:rPr>
              <w:t>C21</w:t>
            </w:r>
            <w:proofErr w:type="spellEnd"/>
            <w:r w:rsidRPr="003B02D3">
              <w:rPr>
                <w:rStyle w:val="Hyperlink"/>
                <w:i/>
                <w:iCs/>
                <w:sz w:val="22"/>
                <w:szCs w:val="22"/>
              </w:rPr>
              <w:t>/47</w:t>
            </w:r>
            <w:r w:rsidRPr="003B02D3">
              <w:rPr>
                <w:i/>
                <w:iCs/>
                <w:sz w:val="22"/>
                <w:szCs w:val="22"/>
              </w:rPr>
              <w:fldChar w:fldCharType="end"/>
            </w:r>
            <w:bookmarkEnd w:id="2"/>
            <w:r w:rsidRPr="003B02D3">
              <w:rPr>
                <w:i/>
                <w:iCs/>
                <w:sz w:val="22"/>
                <w:szCs w:val="22"/>
              </w:rPr>
              <w:t xml:space="preserve">; </w:t>
            </w:r>
            <w:hyperlink r:id="rId15" w:history="1"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CWG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-</w:t>
              </w:r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FHR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-14/6</w:t>
              </w:r>
            </w:hyperlink>
            <w:r w:rsidRPr="003B02D3">
              <w:rPr>
                <w:i/>
                <w:iCs/>
                <w:sz w:val="22"/>
                <w:szCs w:val="22"/>
              </w:rPr>
              <w:t xml:space="preserve">, </w:t>
            </w:r>
            <w:hyperlink r:id="rId16" w:history="1"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CWG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-</w:t>
              </w:r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FHR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-14/7</w:t>
              </w:r>
            </w:hyperlink>
            <w:r w:rsidRPr="003B02D3">
              <w:rPr>
                <w:i/>
                <w:iCs/>
                <w:sz w:val="22"/>
                <w:szCs w:val="22"/>
              </w:rPr>
              <w:t xml:space="preserve"> y </w:t>
            </w:r>
            <w:hyperlink r:id="rId17" w:history="1"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CWG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-</w:t>
              </w:r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FHR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-14/12</w:t>
              </w:r>
            </w:hyperlink>
            <w:r w:rsidRPr="003B02D3">
              <w:rPr>
                <w:i/>
                <w:iCs/>
                <w:sz w:val="22"/>
                <w:szCs w:val="22"/>
              </w:rPr>
              <w:t xml:space="preserve">; </w:t>
            </w:r>
            <w:hyperlink r:id="rId18" w:history="1"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C22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/50</w:t>
              </w:r>
            </w:hyperlink>
            <w:r w:rsidRPr="003B02D3">
              <w:rPr>
                <w:i/>
                <w:iCs/>
                <w:sz w:val="22"/>
                <w:szCs w:val="22"/>
              </w:rPr>
              <w:t xml:space="preserve">; </w:t>
            </w:r>
            <w:hyperlink r:id="rId19" w:history="1">
              <w:proofErr w:type="spellStart"/>
              <w:r w:rsidRPr="00226D00">
                <w:rPr>
                  <w:rStyle w:val="Hyperlink"/>
                  <w:i/>
                  <w:iCs/>
                  <w:sz w:val="22"/>
                  <w:szCs w:val="22"/>
                </w:rPr>
                <w:t>CWG</w:t>
              </w:r>
              <w:proofErr w:type="spellEnd"/>
              <w:r w:rsidRPr="00226D00">
                <w:rPr>
                  <w:rStyle w:val="Hyperlink"/>
                  <w:i/>
                  <w:iCs/>
                  <w:sz w:val="22"/>
                  <w:szCs w:val="22"/>
                </w:rPr>
                <w:t>-</w:t>
              </w:r>
              <w:proofErr w:type="spellStart"/>
              <w:r w:rsidRPr="00226D00">
                <w:rPr>
                  <w:rStyle w:val="Hyperlink"/>
                  <w:i/>
                  <w:iCs/>
                  <w:sz w:val="22"/>
                  <w:szCs w:val="22"/>
                </w:rPr>
                <w:t>FHR</w:t>
              </w:r>
              <w:proofErr w:type="spellEnd"/>
              <w:r w:rsidRPr="00226D00">
                <w:rPr>
                  <w:rStyle w:val="Hyperlink"/>
                  <w:i/>
                  <w:iCs/>
                  <w:sz w:val="22"/>
                  <w:szCs w:val="22"/>
                </w:rPr>
                <w:t>-17/8</w:t>
              </w:r>
            </w:hyperlink>
            <w:r w:rsidRPr="003B02D3">
              <w:rPr>
                <w:i/>
                <w:iCs/>
                <w:sz w:val="22"/>
                <w:szCs w:val="22"/>
              </w:rPr>
              <w:t xml:space="preserve">; </w:t>
            </w:r>
            <w:hyperlink r:id="rId20" w:history="1"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C24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/38</w:t>
              </w:r>
            </w:hyperlink>
            <w:r w:rsidRPr="003B02D3">
              <w:rPr>
                <w:i/>
                <w:iCs/>
                <w:sz w:val="22"/>
                <w:szCs w:val="22"/>
              </w:rPr>
              <w:t xml:space="preserve">; y </w:t>
            </w:r>
            <w:hyperlink r:id="rId21" w:history="1"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CWG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-</w:t>
              </w:r>
              <w:proofErr w:type="spellStart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FHR</w:t>
              </w:r>
              <w:proofErr w:type="spellEnd"/>
              <w:r w:rsidRPr="003B02D3">
                <w:rPr>
                  <w:rStyle w:val="Hyperlink"/>
                  <w:i/>
                  <w:iCs/>
                  <w:sz w:val="22"/>
                  <w:szCs w:val="22"/>
                </w:rPr>
                <w:t>-20/13</w:t>
              </w:r>
            </w:hyperlink>
          </w:p>
        </w:tc>
      </w:tr>
      <w:bookmarkEnd w:id="0"/>
    </w:tbl>
    <w:p w14:paraId="4C83E6C2" w14:textId="77777777" w:rsidR="00093EEB" w:rsidRPr="003B02D3" w:rsidRDefault="00093EEB"/>
    <w:p w14:paraId="7B388973" w14:textId="77777777" w:rsidR="001559F5" w:rsidRPr="003B02D3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3B02D3">
        <w:br w:type="page"/>
      </w:r>
    </w:p>
    <w:p w14:paraId="604AEC6D" w14:textId="77777777" w:rsidR="009C593B" w:rsidRPr="003B02D3" w:rsidRDefault="009C593B" w:rsidP="00955E69">
      <w:pPr>
        <w:pStyle w:val="Headingb"/>
      </w:pPr>
      <w:r w:rsidRPr="003B02D3">
        <w:lastRenderedPageBreak/>
        <w:t>Antecedentes</w:t>
      </w:r>
    </w:p>
    <w:p w14:paraId="355D0B0F" w14:textId="3104C85E" w:rsidR="009C593B" w:rsidRPr="003B02D3" w:rsidRDefault="009C593B" w:rsidP="00226D00">
      <w:pPr>
        <w:jc w:val="both"/>
        <w:rPr>
          <w:rFonts w:asciiTheme="minorHAnsi" w:eastAsia="SimSun" w:hAnsiTheme="minorHAnsi"/>
          <w:szCs w:val="24"/>
        </w:rPr>
      </w:pPr>
      <w:r w:rsidRPr="003B02D3">
        <w:t>1</w:t>
      </w:r>
      <w:r w:rsidRPr="003B02D3">
        <w:tab/>
        <w:t xml:space="preserve">La secretaría de la UIT ha estado trabajando en la aplicación de los Acuerdos 600 (Documento </w:t>
      </w:r>
      <w:hyperlink r:id="rId22" w:history="1">
        <w:proofErr w:type="spellStart"/>
        <w:r w:rsidRPr="003B02D3">
          <w:rPr>
            <w:rStyle w:val="Hyperlink"/>
            <w:rFonts w:eastAsia="SimSun"/>
          </w:rPr>
          <w:t>C17</w:t>
        </w:r>
        <w:proofErr w:type="spellEnd"/>
        <w:r w:rsidRPr="003B02D3">
          <w:rPr>
            <w:rStyle w:val="Hyperlink"/>
            <w:rFonts w:eastAsia="SimSun"/>
          </w:rPr>
          <w:t>/133</w:t>
        </w:r>
      </w:hyperlink>
      <w:r w:rsidRPr="003B02D3">
        <w:t xml:space="preserve">) y 601 (Documento </w:t>
      </w:r>
      <w:hyperlink r:id="rId23" w:history="1">
        <w:proofErr w:type="spellStart"/>
        <w:r w:rsidRPr="003B02D3">
          <w:rPr>
            <w:rStyle w:val="Hyperlink"/>
            <w:rFonts w:eastAsia="SimSun"/>
          </w:rPr>
          <w:t>C17</w:t>
        </w:r>
        <w:proofErr w:type="spellEnd"/>
        <w:r w:rsidRPr="003B02D3">
          <w:rPr>
            <w:rStyle w:val="Hyperlink"/>
            <w:rFonts w:eastAsia="SimSun"/>
          </w:rPr>
          <w:t>/134</w:t>
        </w:r>
      </w:hyperlink>
      <w:r w:rsidRPr="003B02D3">
        <w:t>) desde su aprobación en la reunión del Consejo de 2017.</w:t>
      </w:r>
    </w:p>
    <w:p w14:paraId="4D7E02C9" w14:textId="126879B9" w:rsidR="009C593B" w:rsidRPr="003B02D3" w:rsidRDefault="009C593B" w:rsidP="00226D00">
      <w:pPr>
        <w:jc w:val="both"/>
      </w:pPr>
      <w:r w:rsidRPr="003B02D3">
        <w:t>2</w:t>
      </w:r>
      <w:r w:rsidRPr="003B02D3">
        <w:tab/>
        <w:t>En la reunión de 2024 del Consejo, la Oficina de Normalización de las Telecomunicaciones (TSB) presentó el Documento</w:t>
      </w:r>
      <w:r w:rsidRPr="003B02D3">
        <w:rPr>
          <w:rFonts w:eastAsia="SimSun"/>
        </w:rPr>
        <w:t xml:space="preserve"> </w:t>
      </w:r>
      <w:hyperlink r:id="rId24" w:history="1">
        <w:proofErr w:type="spellStart"/>
        <w:r w:rsidRPr="003B02D3">
          <w:rPr>
            <w:rStyle w:val="Hyperlink"/>
            <w:rFonts w:eastAsia="SimSun" w:cstheme="majorBidi"/>
            <w:spacing w:val="-2"/>
          </w:rPr>
          <w:t>C24</w:t>
        </w:r>
        <w:proofErr w:type="spellEnd"/>
        <w:r w:rsidRPr="003B02D3">
          <w:rPr>
            <w:rStyle w:val="Hyperlink"/>
            <w:rFonts w:eastAsia="SimSun" w:cstheme="majorBidi"/>
            <w:spacing w:val="-2"/>
          </w:rPr>
          <w:t>/38</w:t>
        </w:r>
      </w:hyperlink>
      <w:r w:rsidRPr="003B02D3">
        <w:t>, relativo a la aplicación de los citados Acuerdos del Consejo y los ingresos derivados de los números universales del servicio internacional de llamada gratuita (</w:t>
      </w:r>
      <w:proofErr w:type="spellStart"/>
      <w:r w:rsidRPr="003B02D3">
        <w:t>UIFN</w:t>
      </w:r>
      <w:proofErr w:type="spellEnd"/>
      <w:r w:rsidRPr="003B02D3">
        <w:t>) y los números de identificación del expedidor (</w:t>
      </w:r>
      <w:proofErr w:type="spellStart"/>
      <w:r w:rsidRPr="003B02D3">
        <w:t>IIN</w:t>
      </w:r>
      <w:proofErr w:type="spellEnd"/>
      <w:r w:rsidRPr="003B02D3">
        <w:t>).</w:t>
      </w:r>
    </w:p>
    <w:p w14:paraId="763DA5AB" w14:textId="4D125B17" w:rsidR="009C593B" w:rsidRPr="003B02D3" w:rsidRDefault="009C593B" w:rsidP="00226D00">
      <w:pPr>
        <w:jc w:val="both"/>
      </w:pPr>
      <w:r w:rsidRPr="003B02D3">
        <w:t>3</w:t>
      </w:r>
      <w:r w:rsidRPr="003B02D3">
        <w:tab/>
        <w:t>El presente documento contiene información actualizada sobre el estado de aplicación de dichos Acuerdos desde la reunión de 2024 del Consejo.</w:t>
      </w:r>
    </w:p>
    <w:p w14:paraId="36098A5B" w14:textId="77777777" w:rsidR="009C593B" w:rsidRPr="003B02D3" w:rsidRDefault="009C593B" w:rsidP="009C593B">
      <w:pPr>
        <w:pStyle w:val="Headingb"/>
      </w:pPr>
      <w:r w:rsidRPr="003B02D3">
        <w:t>Situación financiera actualizada de los</w:t>
      </w:r>
      <w:bookmarkStart w:id="3" w:name="_Hlk158995552"/>
      <w:r w:rsidRPr="003B02D3">
        <w:t xml:space="preserve"> </w:t>
      </w:r>
      <w:proofErr w:type="spellStart"/>
      <w:r w:rsidRPr="003B02D3">
        <w:t>UIFN</w:t>
      </w:r>
      <w:proofErr w:type="spellEnd"/>
      <w:r w:rsidRPr="003B02D3">
        <w:t xml:space="preserve"> (Acuerdo 600 del Consejo)</w:t>
      </w:r>
      <w:bookmarkEnd w:id="3"/>
    </w:p>
    <w:p w14:paraId="270D9B01" w14:textId="33512B31" w:rsidR="009C593B" w:rsidRPr="003B02D3" w:rsidRDefault="003A4708" w:rsidP="009C593B">
      <w:pPr>
        <w:pStyle w:val="Figure"/>
        <w:rPr>
          <w:rFonts w:asciiTheme="minorHAnsi" w:eastAsia="SimSun" w:hAnsiTheme="minorHAnsi"/>
          <w:szCs w:val="24"/>
        </w:rPr>
      </w:pPr>
      <w:r>
        <w:rPr>
          <w:rFonts w:asciiTheme="minorHAnsi" w:eastAsia="SimSun" w:hAnsiTheme="minorHAnsi"/>
          <w:noProof/>
          <w:szCs w:val="24"/>
        </w:rPr>
        <w:drawing>
          <wp:inline distT="0" distB="0" distL="0" distR="0" wp14:anchorId="16C7DC0C" wp14:editId="38464A5C">
            <wp:extent cx="4142248" cy="196153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002" cy="1982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6BB8C" w14:textId="543D53A0" w:rsidR="009C593B" w:rsidRPr="003B02D3" w:rsidRDefault="009C593B" w:rsidP="00226D00">
      <w:pPr>
        <w:jc w:val="both"/>
      </w:pPr>
      <w:r w:rsidRPr="003B02D3">
        <w:t>Desde el 1 de marzo de 2024 (último día del período considerado en la reunión de 2024 del Consejo) hasta el 19 de marzo de 2025, se han recibido los siguientes pagos adicionales:</w:t>
      </w:r>
    </w:p>
    <w:p w14:paraId="0475D34A" w14:textId="77777777" w:rsidR="009C593B" w:rsidRPr="003B02D3" w:rsidRDefault="009C593B" w:rsidP="00226D00">
      <w:pPr>
        <w:pStyle w:val="enumlev1"/>
        <w:jc w:val="both"/>
      </w:pPr>
      <w:r w:rsidRPr="003B02D3">
        <w:t>–</w:t>
      </w:r>
      <w:r w:rsidRPr="003B02D3">
        <w:tab/>
        <w:t xml:space="preserve">En cuanto a las cuotas anuales de mantenimiento para 2018, se han abonado 300 francos suizos (CHF) adicionales. Hasta la fecha, se ha saldado el 96 % de las facturas válidas y quedan 15 300 CHF pendientes de pago. </w:t>
      </w:r>
    </w:p>
    <w:p w14:paraId="373760CD" w14:textId="3734CFA7" w:rsidR="009C593B" w:rsidRPr="003B02D3" w:rsidRDefault="009C593B" w:rsidP="00226D00">
      <w:pPr>
        <w:pStyle w:val="enumlev1"/>
        <w:jc w:val="both"/>
      </w:pPr>
      <w:r w:rsidRPr="003B02D3">
        <w:t>–</w:t>
      </w:r>
      <w:r w:rsidRPr="003B02D3">
        <w:tab/>
        <w:t>En cuanto a las cuotas anuales de mantenimiento para 2023, se han abonado 5 900 CHF adicionales. Hasta la fecha, se ha saldado el 69 % de las facturas válidas y quedan 59</w:t>
      </w:r>
      <w:r w:rsidR="00403B49">
        <w:t> </w:t>
      </w:r>
      <w:r w:rsidRPr="003B02D3">
        <w:t>800</w:t>
      </w:r>
      <w:r w:rsidR="00403B49">
        <w:t> </w:t>
      </w:r>
      <w:r w:rsidRPr="003B02D3">
        <w:t>CHF pendientes de pago.</w:t>
      </w:r>
    </w:p>
    <w:p w14:paraId="628964AC" w14:textId="13CC0ABA" w:rsidR="009C593B" w:rsidRPr="003B02D3" w:rsidRDefault="009C593B" w:rsidP="00226D00">
      <w:pPr>
        <w:pStyle w:val="enumlev1"/>
        <w:jc w:val="both"/>
      </w:pPr>
      <w:r w:rsidRPr="003B02D3">
        <w:t>–</w:t>
      </w:r>
      <w:r w:rsidRPr="003B02D3">
        <w:tab/>
        <w:t>En cuanto a las cuotas anuales de mantenimiento para 2024, se han abonado 222 400 CHF. Hasta la fecha, se ha saldado el 67 % de las facturas válidas y quedan 111 500 CHF pendientes de pago.</w:t>
      </w:r>
      <w:bookmarkStart w:id="4" w:name="_Hlk158995566"/>
      <w:r w:rsidRPr="003B02D3">
        <w:t xml:space="preserve"> </w:t>
      </w:r>
    </w:p>
    <w:p w14:paraId="4BE81045" w14:textId="5AB1B353" w:rsidR="009C593B" w:rsidRPr="003B02D3" w:rsidRDefault="009C593B" w:rsidP="00226D00">
      <w:pPr>
        <w:jc w:val="both"/>
      </w:pPr>
      <w:r w:rsidRPr="003B02D3">
        <w:t>El total de cuotas pendientes de pago para el periodo 2018-2022 se redujo a 16 600 CHF. El</w:t>
      </w:r>
      <w:r w:rsidR="00403B49">
        <w:t> </w:t>
      </w:r>
      <w:r w:rsidRPr="003B02D3">
        <w:t>total de cuotas pendientes de pago para el periodo 2023-2024 asciende a 171 300 CHF en total, y la suma pendiente de pago de un proveedor de servicios en concreto representa el 65 % del total</w:t>
      </w:r>
      <w:r w:rsidR="005B7844">
        <w:t xml:space="preserve"> </w:t>
      </w:r>
      <w:r w:rsidR="005B7844" w:rsidRPr="00EF0498">
        <w:t>para el mismo periodo</w:t>
      </w:r>
      <w:r w:rsidRPr="00EF0498">
        <w:t>.</w:t>
      </w:r>
    </w:p>
    <w:bookmarkEnd w:id="4"/>
    <w:p w14:paraId="20C51596" w14:textId="77777777" w:rsidR="009C593B" w:rsidRPr="003B02D3" w:rsidRDefault="009C593B" w:rsidP="00226D00">
      <w:pPr>
        <w:jc w:val="both"/>
      </w:pPr>
      <w:r w:rsidRPr="003B02D3">
        <w:t>En el anexo 1 se enumeran las entidades para las que la TSB tiene un contacto válido, a las que se ha facturado para el periodo 2018-2024 y que, al 19 de marzo de 2025, no habían abonado sus facturas.</w:t>
      </w:r>
    </w:p>
    <w:p w14:paraId="43D9F242" w14:textId="49942779" w:rsidR="009C593B" w:rsidRPr="003B02D3" w:rsidRDefault="009C593B" w:rsidP="00226D00">
      <w:pPr>
        <w:jc w:val="both"/>
      </w:pPr>
      <w:bookmarkStart w:id="5" w:name="_Hlk158995641"/>
      <w:r w:rsidRPr="003B02D3">
        <w:t xml:space="preserve">En 2024, los ingresos derivados previstos de los </w:t>
      </w:r>
      <w:proofErr w:type="spellStart"/>
      <w:r w:rsidRPr="003B02D3">
        <w:t>UIFN</w:t>
      </w:r>
      <w:proofErr w:type="spellEnd"/>
      <w:r w:rsidRPr="003B02D3">
        <w:t xml:space="preserve"> ascendieron a 403 800 CHF (incluidas la cuota única y la cuota anual de mantenimiento).</w:t>
      </w:r>
    </w:p>
    <w:p w14:paraId="1B2FB4DB" w14:textId="77777777" w:rsidR="009C593B" w:rsidRPr="003B02D3" w:rsidRDefault="009C593B" w:rsidP="00D9343E">
      <w:pPr>
        <w:pStyle w:val="Headingb"/>
      </w:pPr>
      <w:r w:rsidRPr="003B02D3">
        <w:lastRenderedPageBreak/>
        <w:t xml:space="preserve">Debate entablado en el </w:t>
      </w:r>
      <w:proofErr w:type="spellStart"/>
      <w:r w:rsidRPr="003B02D3">
        <w:t>GTC</w:t>
      </w:r>
      <w:proofErr w:type="spellEnd"/>
      <w:r w:rsidRPr="003B02D3">
        <w:t>-</w:t>
      </w:r>
      <w:proofErr w:type="spellStart"/>
      <w:r w:rsidRPr="003B02D3">
        <w:t>RHF</w:t>
      </w:r>
      <w:proofErr w:type="spellEnd"/>
      <w:r w:rsidRPr="003B02D3">
        <w:t xml:space="preserve">-20 sobre el </w:t>
      </w:r>
      <w:proofErr w:type="spellStart"/>
      <w:r w:rsidRPr="003B02D3">
        <w:t>IIN</w:t>
      </w:r>
      <w:proofErr w:type="spellEnd"/>
      <w:r w:rsidRPr="003B02D3">
        <w:t xml:space="preserve"> (Acuerdo 601 del Consejo)</w:t>
      </w:r>
    </w:p>
    <w:p w14:paraId="1039F819" w14:textId="757038EA" w:rsidR="009C593B" w:rsidRPr="003B02D3" w:rsidRDefault="009C593B" w:rsidP="00226D00">
      <w:pPr>
        <w:jc w:val="both"/>
        <w:rPr>
          <w:rFonts w:eastAsia="SimSun"/>
        </w:rPr>
      </w:pPr>
      <w:r w:rsidRPr="003B02D3">
        <w:t>En la 20ª reunión del Grupo de Trabajo del Consejo sobre Recursos Humanos y Financieros (</w:t>
      </w:r>
      <w:proofErr w:type="spellStart"/>
      <w:r w:rsidRPr="003B02D3">
        <w:t>GTC-RHF</w:t>
      </w:r>
      <w:proofErr w:type="spellEnd"/>
      <w:r w:rsidRPr="003B02D3">
        <w:t xml:space="preserve">), celebrada en febrero de 2025, la TSB presentó el Documento </w:t>
      </w:r>
      <w:hyperlink r:id="rId26" w:history="1">
        <w:proofErr w:type="spellStart"/>
        <w:r w:rsidRPr="003B02D3">
          <w:rPr>
            <w:rStyle w:val="Hyperlink"/>
            <w:rFonts w:eastAsia="SimSun"/>
          </w:rPr>
          <w:t>CWG</w:t>
        </w:r>
        <w:proofErr w:type="spellEnd"/>
        <w:r w:rsidRPr="003B02D3">
          <w:rPr>
            <w:rStyle w:val="Hyperlink"/>
            <w:rFonts w:eastAsia="SimSun"/>
          </w:rPr>
          <w:t>-</w:t>
        </w:r>
        <w:proofErr w:type="spellStart"/>
        <w:r w:rsidRPr="003B02D3">
          <w:rPr>
            <w:rStyle w:val="Hyperlink"/>
            <w:rFonts w:eastAsia="SimSun"/>
          </w:rPr>
          <w:t>FHR</w:t>
        </w:r>
        <w:proofErr w:type="spellEnd"/>
        <w:r w:rsidRPr="003B02D3">
          <w:rPr>
            <w:rStyle w:val="Hyperlink"/>
            <w:rFonts w:eastAsia="SimSun"/>
          </w:rPr>
          <w:t>-20/13</w:t>
        </w:r>
      </w:hyperlink>
      <w:r w:rsidRPr="003B02D3">
        <w:rPr>
          <w:rFonts w:eastAsia="SimSun"/>
        </w:rPr>
        <w:t xml:space="preserve">, </w:t>
      </w:r>
      <w:r w:rsidRPr="003B02D3">
        <w:t xml:space="preserve">relativo a los desafíos que plantea la aplicación del Acuerdo 601 del Consejo sobre inscripción de </w:t>
      </w:r>
      <w:proofErr w:type="spellStart"/>
      <w:r w:rsidRPr="003B02D3">
        <w:t>IIN</w:t>
      </w:r>
      <w:proofErr w:type="spellEnd"/>
      <w:r w:rsidRPr="003B02D3">
        <w:t xml:space="preserve">. Un Consejero (Presidente de la CE 2) indicó que la Recomendación UIT-T </w:t>
      </w:r>
      <w:proofErr w:type="spellStart"/>
      <w:r w:rsidRPr="003B02D3">
        <w:t>E.118</w:t>
      </w:r>
      <w:proofErr w:type="spellEnd"/>
      <w:r w:rsidRPr="003B02D3">
        <w:t xml:space="preserve"> había sido objeto de revisión y se había determinado en la reunión de la Comisión de Estudio 2 (CE 2) del UIT-T (Ginebra, 5-14 de febrero de 2025). </w:t>
      </w:r>
      <w:r w:rsidR="005B7844" w:rsidRPr="00EF0498">
        <w:t>En consecuencia, se prev</w:t>
      </w:r>
      <w:r w:rsidR="004B2879" w:rsidRPr="00EF0498">
        <w:t>e</w:t>
      </w:r>
      <w:r w:rsidR="005B7844" w:rsidRPr="00EF0498">
        <w:t xml:space="preserve">ía una pérdida potencial de aproximadamente 35 000 CHF. </w:t>
      </w:r>
      <w:r w:rsidRPr="00EF0498">
        <w:t>La</w:t>
      </w:r>
      <w:r w:rsidRPr="003B02D3">
        <w:t xml:space="preserve"> función de registrador de </w:t>
      </w:r>
      <w:proofErr w:type="spellStart"/>
      <w:r w:rsidRPr="003B02D3">
        <w:t>IIN</w:t>
      </w:r>
      <w:proofErr w:type="spellEnd"/>
      <w:r w:rsidRPr="003B02D3">
        <w:t xml:space="preserve"> se había suprimido de la Recomendación revisada. Cabe prever que la CE 2 del UIT-T se comunique con el Consejo a través del Director de la TSB tras la aprobación oficial de la Recomendación UIT</w:t>
      </w:r>
      <w:r w:rsidR="00BD341E" w:rsidRPr="003B02D3">
        <w:noBreakHyphen/>
      </w:r>
      <w:r w:rsidRPr="003B02D3">
        <w:t>T</w:t>
      </w:r>
      <w:r w:rsidR="00BD341E" w:rsidRPr="003B02D3">
        <w:t> </w:t>
      </w:r>
      <w:proofErr w:type="spellStart"/>
      <w:r w:rsidRPr="003B02D3">
        <w:t>E.118</w:t>
      </w:r>
      <w:proofErr w:type="spellEnd"/>
      <w:r w:rsidRPr="003B02D3">
        <w:t xml:space="preserve"> sobre </w:t>
      </w:r>
      <w:proofErr w:type="spellStart"/>
      <w:r w:rsidRPr="003B02D3">
        <w:t>IIN</w:t>
      </w:r>
      <w:proofErr w:type="spellEnd"/>
      <w:r w:rsidRPr="003B02D3">
        <w:t>. En consecuencia, es probable que el Acuerdo 601 se derogue/suprima.</w:t>
      </w:r>
    </w:p>
    <w:bookmarkEnd w:id="5"/>
    <w:p w14:paraId="1AEF95F3" w14:textId="77777777" w:rsidR="009C593B" w:rsidRPr="003B02D3" w:rsidRDefault="009C593B" w:rsidP="009C593B">
      <w:pPr>
        <w:pStyle w:val="Headingb"/>
      </w:pPr>
      <w:r w:rsidRPr="003B02D3">
        <w:t>Conclusión</w:t>
      </w:r>
    </w:p>
    <w:p w14:paraId="74584DF6" w14:textId="77777777" w:rsidR="009C593B" w:rsidRPr="003B02D3" w:rsidRDefault="009C593B" w:rsidP="009C593B">
      <w:r w:rsidRPr="003B02D3">
        <w:t xml:space="preserve">La secretaría sigue trabajando en la aplicación de los Acuerdos 600 y 601 del Consejo. </w:t>
      </w:r>
    </w:p>
    <w:p w14:paraId="7AB3C987" w14:textId="77777777" w:rsidR="009C593B" w:rsidRPr="003B02D3" w:rsidRDefault="009C593B" w:rsidP="00AC446E">
      <w:pPr>
        <w:spacing w:before="2040"/>
        <w:rPr>
          <w:rFonts w:asciiTheme="minorHAnsi" w:eastAsia="SimSun" w:hAnsiTheme="minorHAnsi" w:cstheme="minorHAnsi"/>
          <w:bCs/>
        </w:rPr>
      </w:pPr>
      <w:r w:rsidRPr="003B02D3">
        <w:rPr>
          <w:b/>
          <w:bCs/>
        </w:rPr>
        <w:t>Anexo</w:t>
      </w:r>
      <w:r w:rsidRPr="003B02D3">
        <w:t>: 1</w:t>
      </w:r>
    </w:p>
    <w:p w14:paraId="5E474749" w14:textId="77777777" w:rsidR="009C593B" w:rsidRPr="003B02D3" w:rsidRDefault="009C593B" w:rsidP="009C59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9C593B" w:rsidRPr="003B02D3" w:rsidSect="00394615">
          <w:footerReference w:type="default" r:id="rId27"/>
          <w:headerReference w:type="first" r:id="rId28"/>
          <w:footerReference w:type="first" r:id="rId29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  <w:docGrid w:linePitch="326"/>
        </w:sectPr>
      </w:pPr>
    </w:p>
    <w:p w14:paraId="4DB20749" w14:textId="77777777" w:rsidR="009C593B" w:rsidRPr="003B02D3" w:rsidRDefault="009C593B" w:rsidP="00403B49">
      <w:pPr>
        <w:pStyle w:val="AnnexNo"/>
        <w:spacing w:before="0"/>
      </w:pPr>
      <w:r w:rsidRPr="003B02D3">
        <w:lastRenderedPageBreak/>
        <w:t>Anexo</w:t>
      </w:r>
    </w:p>
    <w:p w14:paraId="41CE5CED" w14:textId="286C1981" w:rsidR="009C593B" w:rsidRPr="003B02D3" w:rsidRDefault="009C593B" w:rsidP="00403B49">
      <w:pPr>
        <w:pStyle w:val="Annextitle"/>
        <w:spacing w:before="120"/>
      </w:pPr>
      <w:r w:rsidRPr="003B02D3">
        <w:t xml:space="preserve">Lista actualizada de proveedores de servicios </w:t>
      </w:r>
      <w:proofErr w:type="spellStart"/>
      <w:r w:rsidRPr="003B02D3">
        <w:t>UIFN</w:t>
      </w:r>
      <w:proofErr w:type="spellEnd"/>
      <w:r w:rsidRPr="003B02D3">
        <w:t xml:space="preserve"> con facturas pendientes de pago </w:t>
      </w:r>
      <w:r w:rsidR="00403B49">
        <w:br/>
      </w:r>
      <w:r w:rsidRPr="003B02D3">
        <w:t>(para 2018, 2019, 2020, 2021, 2022, 2023 y 2024, al 19</w:t>
      </w:r>
      <w:r w:rsidR="00B7559A" w:rsidRPr="003B02D3">
        <w:t xml:space="preserve"> </w:t>
      </w:r>
      <w:r w:rsidRPr="003B02D3">
        <w:t>de marzo de 2025)</w:t>
      </w:r>
    </w:p>
    <w:tbl>
      <w:tblPr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5"/>
        <w:gridCol w:w="2301"/>
        <w:gridCol w:w="945"/>
        <w:gridCol w:w="1070"/>
        <w:gridCol w:w="2981"/>
        <w:gridCol w:w="1755"/>
        <w:gridCol w:w="2178"/>
      </w:tblGrid>
      <w:tr w:rsidR="009C593B" w:rsidRPr="003B02D3" w14:paraId="278A5EA3" w14:textId="77777777" w:rsidTr="00403B49">
        <w:trPr>
          <w:cantSplit/>
          <w:trHeight w:val="255"/>
          <w:tblHeader/>
        </w:trPr>
        <w:tc>
          <w:tcPr>
            <w:tcW w:w="2625" w:type="dxa"/>
            <w:shd w:val="clear" w:color="auto" w:fill="DDDDDD"/>
          </w:tcPr>
          <w:p w14:paraId="53464510" w14:textId="77777777" w:rsidR="009C593B" w:rsidRPr="003B02D3" w:rsidRDefault="009C593B" w:rsidP="003B02D3">
            <w:pPr>
              <w:pStyle w:val="Tablehead"/>
              <w:tabs>
                <w:tab w:val="left" w:pos="709"/>
              </w:tabs>
            </w:pPr>
            <w:r w:rsidRPr="003B02D3">
              <w:t>Año</w:t>
            </w:r>
          </w:p>
        </w:tc>
        <w:tc>
          <w:tcPr>
            <w:tcW w:w="2301" w:type="dxa"/>
            <w:shd w:val="clear" w:color="auto" w:fill="DDDDDD"/>
            <w:noWrap/>
          </w:tcPr>
          <w:p w14:paraId="49D46AE0" w14:textId="77777777" w:rsidR="009C593B" w:rsidRPr="003B02D3" w:rsidRDefault="009C593B" w:rsidP="008F3B39">
            <w:pPr>
              <w:pStyle w:val="Tablehead"/>
              <w:tabs>
                <w:tab w:val="left" w:pos="709"/>
              </w:tabs>
            </w:pPr>
            <w:r w:rsidRPr="003B02D3">
              <w:t>Importe</w:t>
            </w:r>
          </w:p>
        </w:tc>
        <w:tc>
          <w:tcPr>
            <w:tcW w:w="945" w:type="dxa"/>
            <w:shd w:val="clear" w:color="auto" w:fill="DDDDDD"/>
            <w:noWrap/>
          </w:tcPr>
          <w:p w14:paraId="7514FB13" w14:textId="77777777" w:rsidR="009C593B" w:rsidRPr="003B02D3" w:rsidRDefault="009C593B" w:rsidP="003B02D3">
            <w:pPr>
              <w:pStyle w:val="Tablehead"/>
              <w:tabs>
                <w:tab w:val="left" w:pos="709"/>
              </w:tabs>
            </w:pPr>
            <w:r w:rsidRPr="003B02D3">
              <w:t>Divisa</w:t>
            </w:r>
          </w:p>
        </w:tc>
        <w:tc>
          <w:tcPr>
            <w:tcW w:w="1070" w:type="dxa"/>
            <w:shd w:val="clear" w:color="auto" w:fill="DDDDDD"/>
          </w:tcPr>
          <w:p w14:paraId="40F0F0BA" w14:textId="77777777" w:rsidR="009C593B" w:rsidRPr="003B02D3" w:rsidRDefault="009C593B" w:rsidP="003B02D3">
            <w:pPr>
              <w:pStyle w:val="Tablehead"/>
              <w:tabs>
                <w:tab w:val="left" w:pos="709"/>
              </w:tabs>
            </w:pPr>
            <w:r w:rsidRPr="003B02D3">
              <w:t xml:space="preserve">Cantidad </w:t>
            </w:r>
            <w:r w:rsidRPr="003B02D3">
              <w:br/>
              <w:t xml:space="preserve">de </w:t>
            </w:r>
            <w:proofErr w:type="spellStart"/>
            <w:r w:rsidRPr="003B02D3">
              <w:t>UIFN</w:t>
            </w:r>
            <w:proofErr w:type="spellEnd"/>
          </w:p>
        </w:tc>
        <w:tc>
          <w:tcPr>
            <w:tcW w:w="2981" w:type="dxa"/>
            <w:shd w:val="clear" w:color="auto" w:fill="DDDDDD"/>
            <w:noWrap/>
          </w:tcPr>
          <w:p w14:paraId="764FEDE7" w14:textId="77777777" w:rsidR="009C593B" w:rsidRPr="003B02D3" w:rsidRDefault="009C593B" w:rsidP="008F3B39">
            <w:pPr>
              <w:pStyle w:val="Tablehead"/>
              <w:tabs>
                <w:tab w:val="left" w:pos="709"/>
              </w:tabs>
            </w:pPr>
            <w:r w:rsidRPr="003B02D3">
              <w:t>Nombre de la empresa</w:t>
            </w:r>
          </w:p>
        </w:tc>
        <w:tc>
          <w:tcPr>
            <w:tcW w:w="1755" w:type="dxa"/>
            <w:shd w:val="clear" w:color="auto" w:fill="DDDDDD"/>
            <w:noWrap/>
          </w:tcPr>
          <w:p w14:paraId="7366AB0E" w14:textId="77777777" w:rsidR="009C593B" w:rsidRPr="003B02D3" w:rsidRDefault="009C593B" w:rsidP="008F3B39">
            <w:pPr>
              <w:pStyle w:val="Tablehead"/>
              <w:tabs>
                <w:tab w:val="left" w:pos="709"/>
              </w:tabs>
            </w:pPr>
            <w:r w:rsidRPr="003B02D3">
              <w:t>País/zona geográfica</w:t>
            </w:r>
          </w:p>
        </w:tc>
        <w:tc>
          <w:tcPr>
            <w:tcW w:w="2178" w:type="dxa"/>
            <w:shd w:val="clear" w:color="auto" w:fill="DDDDDD"/>
          </w:tcPr>
          <w:p w14:paraId="44BD26E8" w14:textId="77777777" w:rsidR="009C593B" w:rsidRPr="003B02D3" w:rsidRDefault="009C593B" w:rsidP="008F3B39">
            <w:pPr>
              <w:pStyle w:val="Tablehead"/>
              <w:tabs>
                <w:tab w:val="left" w:pos="709"/>
              </w:tabs>
            </w:pPr>
            <w:r w:rsidRPr="003B02D3">
              <w:t>Nota</w:t>
            </w:r>
          </w:p>
        </w:tc>
      </w:tr>
      <w:tr w:rsidR="009C593B" w:rsidRPr="003B02D3" w14:paraId="63C0737D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025D4A3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4FF4DFE5" w14:textId="77777777" w:rsidR="009C593B" w:rsidRPr="003B02D3" w:rsidRDefault="009C593B" w:rsidP="00B7559A">
            <w:pPr>
              <w:pStyle w:val="Tabletext"/>
            </w:pPr>
            <w:r w:rsidRPr="003B02D3">
              <w:t>14 000,00</w:t>
            </w:r>
            <w:r w:rsidRPr="003B02D3">
              <w:br/>
              <w:t>[pago parcial: 2 800 CHF]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003E2BB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6C1FB596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140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17863ED9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Bezeq</w:t>
            </w:r>
            <w:proofErr w:type="spellEnd"/>
            <w:r w:rsidRPr="003B02D3">
              <w:t xml:space="preserve"> International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1425B65E" w14:textId="77777777" w:rsidR="009C593B" w:rsidRPr="003B02D3" w:rsidRDefault="009C593B" w:rsidP="00B7559A">
            <w:pPr>
              <w:pStyle w:val="Tabletext"/>
            </w:pPr>
            <w:r w:rsidRPr="003B02D3">
              <w:t>Israel</w:t>
            </w:r>
          </w:p>
        </w:tc>
        <w:tc>
          <w:tcPr>
            <w:tcW w:w="2178" w:type="dxa"/>
            <w:shd w:val="clear" w:color="auto" w:fill="auto"/>
          </w:tcPr>
          <w:p w14:paraId="05D1FC15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30687B97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691B75A6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5D7D4914" w14:textId="77777777" w:rsidR="009C593B" w:rsidRPr="003B02D3" w:rsidRDefault="009C593B" w:rsidP="00B7559A">
            <w:pPr>
              <w:pStyle w:val="Tabletext"/>
            </w:pPr>
            <w:r w:rsidRPr="003B02D3">
              <w:t>5 600,00</w:t>
            </w:r>
            <w:r w:rsidRPr="003B02D3">
              <w:br/>
              <w:t xml:space="preserve">[pago parcial del crédito: </w:t>
            </w:r>
            <w:r w:rsidRPr="003B02D3">
              <w:br/>
              <w:t>4 000 CHF]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2A69740F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2A963D9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56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60C59109" w14:textId="77777777" w:rsidR="009C593B" w:rsidRPr="003B02D3" w:rsidRDefault="009C593B" w:rsidP="00B7559A">
            <w:pPr>
              <w:pStyle w:val="Tabletext"/>
            </w:pPr>
            <w:r w:rsidRPr="003B02D3">
              <w:t xml:space="preserve">International </w:t>
            </w:r>
            <w:proofErr w:type="spellStart"/>
            <w:r w:rsidRPr="003B02D3">
              <w:t>Telcom</w:t>
            </w:r>
            <w:proofErr w:type="spellEnd"/>
            <w:r w:rsidRPr="003B02D3">
              <w:t xml:space="preserve"> Ltd.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1659F58A" w14:textId="77777777" w:rsidR="009C593B" w:rsidRPr="003B02D3" w:rsidRDefault="009C593B" w:rsidP="00B7559A">
            <w:pPr>
              <w:pStyle w:val="Tabletext"/>
            </w:pPr>
            <w:r w:rsidRPr="003B02D3">
              <w:t>Estados Unidos</w:t>
            </w:r>
          </w:p>
        </w:tc>
        <w:tc>
          <w:tcPr>
            <w:tcW w:w="2178" w:type="dxa"/>
            <w:shd w:val="clear" w:color="auto" w:fill="auto"/>
          </w:tcPr>
          <w:p w14:paraId="142D7EDC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37383A14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335A1624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22102518" w14:textId="77777777" w:rsidR="009C593B" w:rsidRPr="003B02D3" w:rsidRDefault="009C593B" w:rsidP="00B7559A">
            <w:pPr>
              <w:pStyle w:val="Tabletext"/>
            </w:pPr>
            <w:r w:rsidRPr="003B02D3">
              <w:t>2 300,00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606BBE2B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206B5728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23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50FB63B6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TeliaSonera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Finland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Oyj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  <w:hideMark/>
          </w:tcPr>
          <w:p w14:paraId="572D1036" w14:textId="77777777" w:rsidR="009C593B" w:rsidRPr="003B02D3" w:rsidRDefault="009C593B" w:rsidP="00B7559A">
            <w:pPr>
              <w:pStyle w:val="Tabletext"/>
            </w:pPr>
            <w:r w:rsidRPr="003B02D3">
              <w:t>Finlandia</w:t>
            </w:r>
          </w:p>
        </w:tc>
        <w:tc>
          <w:tcPr>
            <w:tcW w:w="2178" w:type="dxa"/>
            <w:shd w:val="clear" w:color="auto" w:fill="auto"/>
          </w:tcPr>
          <w:p w14:paraId="76D3D250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28953D2E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0318E43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6CF7C860" w14:textId="77777777" w:rsidR="009C593B" w:rsidRPr="003B02D3" w:rsidRDefault="009C593B" w:rsidP="00B7559A">
            <w:pPr>
              <w:pStyle w:val="Tabletext"/>
            </w:pPr>
            <w:r w:rsidRPr="003B02D3">
              <w:t>1 300,00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78CF0622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392B2F7A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13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48C92F2A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Slovak</w:t>
            </w:r>
            <w:proofErr w:type="spellEnd"/>
            <w:r w:rsidRPr="003B02D3">
              <w:t xml:space="preserve"> Telekom, </w:t>
            </w:r>
            <w:proofErr w:type="spellStart"/>
            <w:r w:rsidRPr="003B02D3">
              <w:t>a.s.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  <w:hideMark/>
          </w:tcPr>
          <w:p w14:paraId="692341E9" w14:textId="77777777" w:rsidR="009C593B" w:rsidRPr="003B02D3" w:rsidRDefault="009C593B" w:rsidP="00B7559A">
            <w:pPr>
              <w:pStyle w:val="Tabletext"/>
            </w:pPr>
            <w:r w:rsidRPr="003B02D3">
              <w:t>Eslovaquia</w:t>
            </w:r>
          </w:p>
        </w:tc>
        <w:tc>
          <w:tcPr>
            <w:tcW w:w="2178" w:type="dxa"/>
            <w:shd w:val="clear" w:color="auto" w:fill="auto"/>
          </w:tcPr>
          <w:p w14:paraId="08A477D1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26B5F21D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0058E6A8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6D955F72" w14:textId="77777777" w:rsidR="009C593B" w:rsidRPr="003B02D3" w:rsidRDefault="009C593B" w:rsidP="00B7559A">
            <w:pPr>
              <w:pStyle w:val="Tabletext"/>
            </w:pPr>
            <w:r w:rsidRPr="003B02D3">
              <w:t>1 000,00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167B7CE6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1A733562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10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50D3C26C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Eutelia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S.p.A</w:t>
            </w:r>
            <w:proofErr w:type="spellEnd"/>
            <w:r w:rsidRPr="003B02D3">
              <w:t>.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66D6908F" w14:textId="77777777" w:rsidR="009C593B" w:rsidRPr="003B02D3" w:rsidRDefault="009C593B" w:rsidP="00B7559A">
            <w:pPr>
              <w:pStyle w:val="Tabletext"/>
            </w:pPr>
            <w:r w:rsidRPr="003B02D3">
              <w:t>Italia</w:t>
            </w:r>
          </w:p>
        </w:tc>
        <w:tc>
          <w:tcPr>
            <w:tcW w:w="2178" w:type="dxa"/>
            <w:shd w:val="clear" w:color="auto" w:fill="auto"/>
          </w:tcPr>
          <w:p w14:paraId="5074AA4B" w14:textId="77777777" w:rsidR="009C593B" w:rsidRPr="003B02D3" w:rsidRDefault="009C593B" w:rsidP="00B7559A">
            <w:pPr>
              <w:pStyle w:val="Tabletext"/>
            </w:pPr>
            <w:r w:rsidRPr="003B02D3">
              <w:t xml:space="preserve">Adquirida parcialmente por </w:t>
            </w:r>
            <w:proofErr w:type="spellStart"/>
            <w:r w:rsidRPr="003B02D3">
              <w:t>CloudItalia</w:t>
            </w:r>
            <w:proofErr w:type="spellEnd"/>
            <w:r w:rsidRPr="003B02D3">
              <w:t xml:space="preserve">, pero sin responsabilidad en materia de </w:t>
            </w:r>
            <w:proofErr w:type="spellStart"/>
            <w:r w:rsidRPr="003B02D3">
              <w:t>UIFN</w:t>
            </w:r>
            <w:proofErr w:type="spellEnd"/>
            <w:r w:rsidRPr="003B02D3">
              <w:t>; no obstante, es posible comunicarse con 3 </w:t>
            </w:r>
            <w:proofErr w:type="spellStart"/>
            <w:r w:rsidRPr="003B02D3">
              <w:t>UIFN</w:t>
            </w:r>
            <w:proofErr w:type="spellEnd"/>
            <w:r w:rsidRPr="003B02D3">
              <w:t>.</w:t>
            </w:r>
          </w:p>
        </w:tc>
      </w:tr>
      <w:tr w:rsidR="009C593B" w:rsidRPr="003B02D3" w14:paraId="24B8FBF1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2D160778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2022</w:t>
            </w:r>
          </w:p>
        </w:tc>
        <w:tc>
          <w:tcPr>
            <w:tcW w:w="2301" w:type="dxa"/>
            <w:shd w:val="clear" w:color="auto" w:fill="auto"/>
            <w:noWrap/>
          </w:tcPr>
          <w:p w14:paraId="412964A1" w14:textId="4F1E8DB7" w:rsidR="00AC446E" w:rsidRPr="00AC446E" w:rsidRDefault="009C593B" w:rsidP="00226D00">
            <w:pPr>
              <w:pStyle w:val="Tabletext"/>
            </w:pPr>
            <w:r w:rsidRPr="003B02D3">
              <w:t>600,00</w:t>
            </w:r>
          </w:p>
        </w:tc>
        <w:tc>
          <w:tcPr>
            <w:tcW w:w="945" w:type="dxa"/>
            <w:shd w:val="clear" w:color="auto" w:fill="auto"/>
            <w:noWrap/>
          </w:tcPr>
          <w:p w14:paraId="6C064CC0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48BB60E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6</w:t>
            </w:r>
          </w:p>
        </w:tc>
        <w:tc>
          <w:tcPr>
            <w:tcW w:w="2981" w:type="dxa"/>
            <w:shd w:val="clear" w:color="auto" w:fill="auto"/>
            <w:noWrap/>
          </w:tcPr>
          <w:p w14:paraId="57816132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PLANinterNET</w:t>
            </w:r>
            <w:proofErr w:type="spellEnd"/>
            <w:r w:rsidRPr="003B02D3">
              <w:t xml:space="preserve"> VoIP-</w:t>
            </w:r>
            <w:proofErr w:type="spellStart"/>
            <w:r w:rsidRPr="003B02D3">
              <w:t>GmbH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197AAEDB" w14:textId="77777777" w:rsidR="009C593B" w:rsidRPr="003B02D3" w:rsidRDefault="009C593B" w:rsidP="00B7559A">
            <w:pPr>
              <w:pStyle w:val="Tabletext"/>
            </w:pPr>
            <w:r w:rsidRPr="003B02D3">
              <w:t>Alemania</w:t>
            </w:r>
          </w:p>
        </w:tc>
        <w:tc>
          <w:tcPr>
            <w:tcW w:w="2178" w:type="dxa"/>
            <w:shd w:val="clear" w:color="auto" w:fill="auto"/>
          </w:tcPr>
          <w:p w14:paraId="1292CC6C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2F254E5E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67A60292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2018</w:t>
            </w:r>
          </w:p>
        </w:tc>
        <w:tc>
          <w:tcPr>
            <w:tcW w:w="2301" w:type="dxa"/>
            <w:shd w:val="clear" w:color="auto" w:fill="auto"/>
            <w:noWrap/>
          </w:tcPr>
          <w:p w14:paraId="66BD99D1" w14:textId="77777777" w:rsidR="009C593B" w:rsidRPr="003B02D3" w:rsidRDefault="009C593B" w:rsidP="00B7559A">
            <w:pPr>
              <w:pStyle w:val="Tabletext"/>
            </w:pPr>
            <w:r w:rsidRPr="003B02D3">
              <w:t>500,00</w:t>
            </w:r>
            <w:r w:rsidRPr="003B02D3">
              <w:br/>
              <w:t>[pago parcial del crédito:</w:t>
            </w:r>
            <w:r w:rsidRPr="003B02D3">
              <w:br/>
              <w:t>200 CHF]</w:t>
            </w:r>
          </w:p>
        </w:tc>
        <w:tc>
          <w:tcPr>
            <w:tcW w:w="945" w:type="dxa"/>
            <w:shd w:val="clear" w:color="auto" w:fill="auto"/>
            <w:noWrap/>
          </w:tcPr>
          <w:p w14:paraId="12C2CDA8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56585AA1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5</w:t>
            </w:r>
          </w:p>
        </w:tc>
        <w:tc>
          <w:tcPr>
            <w:tcW w:w="2981" w:type="dxa"/>
            <w:shd w:val="clear" w:color="auto" w:fill="auto"/>
            <w:noWrap/>
          </w:tcPr>
          <w:p w14:paraId="1699BFF6" w14:textId="77777777" w:rsidR="009C593B" w:rsidRPr="003B02D3" w:rsidRDefault="009C593B" w:rsidP="00B7559A">
            <w:pPr>
              <w:pStyle w:val="Tabletext"/>
            </w:pPr>
            <w:r w:rsidRPr="003B02D3">
              <w:t xml:space="preserve">Telefónica S.A. </w:t>
            </w:r>
            <w:r w:rsidRPr="003B02D3">
              <w:br/>
              <w:t xml:space="preserve">(anteriormente, Colombia Telecomunicaciones S.A. </w:t>
            </w:r>
            <w:proofErr w:type="spellStart"/>
            <w:r w:rsidRPr="003B02D3">
              <w:t>ESP</w:t>
            </w:r>
            <w:proofErr w:type="spellEnd"/>
            <w:r w:rsidRPr="003B02D3">
              <w:t xml:space="preserve"> - Telecom Colombia)</w:t>
            </w:r>
          </w:p>
        </w:tc>
        <w:tc>
          <w:tcPr>
            <w:tcW w:w="1755" w:type="dxa"/>
            <w:shd w:val="clear" w:color="auto" w:fill="auto"/>
            <w:noWrap/>
          </w:tcPr>
          <w:p w14:paraId="2366024E" w14:textId="77777777" w:rsidR="009C593B" w:rsidRPr="003B02D3" w:rsidRDefault="009C593B" w:rsidP="00B7559A">
            <w:pPr>
              <w:pStyle w:val="Tabletext"/>
            </w:pPr>
            <w:r w:rsidRPr="003B02D3">
              <w:t>Colombia</w:t>
            </w:r>
          </w:p>
        </w:tc>
        <w:tc>
          <w:tcPr>
            <w:tcW w:w="2178" w:type="dxa"/>
            <w:shd w:val="clear" w:color="auto" w:fill="auto"/>
          </w:tcPr>
          <w:p w14:paraId="1B733E2F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65E0709E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453C35F4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lastRenderedPageBreak/>
              <w:t>2018</w:t>
            </w:r>
          </w:p>
        </w:tc>
        <w:tc>
          <w:tcPr>
            <w:tcW w:w="2301" w:type="dxa"/>
            <w:shd w:val="clear" w:color="auto" w:fill="auto"/>
            <w:noWrap/>
          </w:tcPr>
          <w:p w14:paraId="31EEA842" w14:textId="77777777" w:rsidR="009C593B" w:rsidRPr="003B02D3" w:rsidRDefault="009C593B" w:rsidP="00B7559A">
            <w:pPr>
              <w:pStyle w:val="Tabletext"/>
            </w:pPr>
            <w:r w:rsidRPr="003B02D3">
              <w:t>500,00</w:t>
            </w:r>
            <w:r w:rsidRPr="003B02D3">
              <w:br/>
              <w:t>[pago parcial del crédito:</w:t>
            </w:r>
            <w:r w:rsidRPr="003B02D3">
              <w:br/>
              <w:t>400 CHF]</w:t>
            </w:r>
          </w:p>
        </w:tc>
        <w:tc>
          <w:tcPr>
            <w:tcW w:w="945" w:type="dxa"/>
            <w:shd w:val="clear" w:color="auto" w:fill="auto"/>
            <w:noWrap/>
          </w:tcPr>
          <w:p w14:paraId="2BB9C4EB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10C4362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5</w:t>
            </w:r>
          </w:p>
        </w:tc>
        <w:tc>
          <w:tcPr>
            <w:tcW w:w="2981" w:type="dxa"/>
            <w:shd w:val="clear" w:color="auto" w:fill="auto"/>
            <w:noWrap/>
          </w:tcPr>
          <w:p w14:paraId="525E3448" w14:textId="622F8CE1" w:rsidR="009C593B" w:rsidRPr="003B02D3" w:rsidRDefault="009C593B" w:rsidP="00B7559A">
            <w:pPr>
              <w:pStyle w:val="Tabletext"/>
            </w:pPr>
            <w:r w:rsidRPr="003B02D3">
              <w:t xml:space="preserve">Kingston </w:t>
            </w:r>
            <w:proofErr w:type="spellStart"/>
            <w:r w:rsidRPr="003B02D3">
              <w:t>communications</w:t>
            </w:r>
            <w:proofErr w:type="spellEnd"/>
            <w:r w:rsidRPr="003B02D3">
              <w:t>/</w:t>
            </w:r>
            <w:r w:rsidR="00226D00">
              <w:br/>
            </w:r>
            <w:proofErr w:type="spellStart"/>
            <w:r w:rsidRPr="003B02D3">
              <w:t>Affiniti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03089E41" w14:textId="77777777" w:rsidR="009C593B" w:rsidRPr="003B02D3" w:rsidRDefault="009C593B" w:rsidP="00B7559A">
            <w:pPr>
              <w:pStyle w:val="Tabletext"/>
            </w:pPr>
            <w:r w:rsidRPr="003B02D3">
              <w:t>Reino Unido</w:t>
            </w:r>
          </w:p>
        </w:tc>
        <w:tc>
          <w:tcPr>
            <w:tcW w:w="2178" w:type="dxa"/>
            <w:shd w:val="clear" w:color="auto" w:fill="auto"/>
          </w:tcPr>
          <w:p w14:paraId="7CABCCE5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06106E92" w14:textId="77777777" w:rsidTr="00403B49">
        <w:trPr>
          <w:cantSplit/>
          <w:trHeight w:val="256"/>
        </w:trPr>
        <w:tc>
          <w:tcPr>
            <w:tcW w:w="2625" w:type="dxa"/>
            <w:shd w:val="clear" w:color="auto" w:fill="auto"/>
          </w:tcPr>
          <w:p w14:paraId="6E4D3EE1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2021</w:t>
            </w:r>
          </w:p>
        </w:tc>
        <w:tc>
          <w:tcPr>
            <w:tcW w:w="2301" w:type="dxa"/>
            <w:shd w:val="clear" w:color="auto" w:fill="auto"/>
            <w:noWrap/>
          </w:tcPr>
          <w:p w14:paraId="247223A5" w14:textId="77777777" w:rsidR="009C593B" w:rsidRPr="003B02D3" w:rsidRDefault="009C593B" w:rsidP="00B7559A">
            <w:pPr>
              <w:pStyle w:val="Tabletext"/>
            </w:pPr>
            <w:r w:rsidRPr="003B02D3">
              <w:t>500,00</w:t>
            </w:r>
          </w:p>
        </w:tc>
        <w:tc>
          <w:tcPr>
            <w:tcW w:w="945" w:type="dxa"/>
            <w:shd w:val="clear" w:color="auto" w:fill="auto"/>
            <w:noWrap/>
          </w:tcPr>
          <w:p w14:paraId="49CE259E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0485EC7A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5</w:t>
            </w:r>
          </w:p>
        </w:tc>
        <w:tc>
          <w:tcPr>
            <w:tcW w:w="2981" w:type="dxa"/>
            <w:shd w:val="clear" w:color="auto" w:fill="auto"/>
            <w:noWrap/>
          </w:tcPr>
          <w:p w14:paraId="20CDC223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Qupra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Wholesale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109D8CF0" w14:textId="77777777" w:rsidR="009C593B" w:rsidRPr="003B02D3" w:rsidRDefault="009C593B" w:rsidP="00B7559A">
            <w:pPr>
              <w:pStyle w:val="Tabletext"/>
            </w:pPr>
            <w:r w:rsidRPr="003B02D3">
              <w:t>Países Bajos</w:t>
            </w:r>
          </w:p>
        </w:tc>
        <w:tc>
          <w:tcPr>
            <w:tcW w:w="2178" w:type="dxa"/>
            <w:shd w:val="clear" w:color="auto" w:fill="auto"/>
          </w:tcPr>
          <w:p w14:paraId="07348CF6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503EBE06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3F6E892B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2018</w:t>
            </w:r>
          </w:p>
        </w:tc>
        <w:tc>
          <w:tcPr>
            <w:tcW w:w="2301" w:type="dxa"/>
            <w:shd w:val="clear" w:color="auto" w:fill="auto"/>
            <w:noWrap/>
          </w:tcPr>
          <w:p w14:paraId="0E90FDF5" w14:textId="77777777" w:rsidR="009C593B" w:rsidRPr="003B02D3" w:rsidRDefault="009C593B" w:rsidP="00B7559A">
            <w:pPr>
              <w:pStyle w:val="Tabletext"/>
            </w:pPr>
            <w:r w:rsidRPr="003B02D3">
              <w:t>400,00</w:t>
            </w:r>
          </w:p>
        </w:tc>
        <w:tc>
          <w:tcPr>
            <w:tcW w:w="945" w:type="dxa"/>
            <w:shd w:val="clear" w:color="auto" w:fill="auto"/>
            <w:noWrap/>
          </w:tcPr>
          <w:p w14:paraId="6B6B507B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0EFB6C88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4</w:t>
            </w:r>
          </w:p>
        </w:tc>
        <w:tc>
          <w:tcPr>
            <w:tcW w:w="2981" w:type="dxa"/>
            <w:shd w:val="clear" w:color="auto" w:fill="auto"/>
            <w:noWrap/>
          </w:tcPr>
          <w:p w14:paraId="5E7F5BF8" w14:textId="77777777" w:rsidR="009C593B" w:rsidRPr="005B7844" w:rsidRDefault="009C593B" w:rsidP="00B7559A">
            <w:pPr>
              <w:pStyle w:val="Tabletext"/>
              <w:rPr>
                <w:lang w:val="en-GB"/>
              </w:rPr>
            </w:pPr>
            <w:proofErr w:type="spellStart"/>
            <w:r w:rsidRPr="005B7844">
              <w:rPr>
                <w:lang w:val="en-GB"/>
              </w:rPr>
              <w:t>HKBN</w:t>
            </w:r>
            <w:proofErr w:type="spellEnd"/>
            <w:r w:rsidRPr="005B7844">
              <w:rPr>
                <w:lang w:val="en-GB"/>
              </w:rPr>
              <w:t xml:space="preserve"> Enterprise Solutions HK Limited (</w:t>
            </w:r>
            <w:proofErr w:type="spellStart"/>
            <w:r w:rsidRPr="005B7844">
              <w:rPr>
                <w:lang w:val="en-GB"/>
              </w:rPr>
              <w:t>anteriormente</w:t>
            </w:r>
            <w:proofErr w:type="spellEnd"/>
            <w:r w:rsidRPr="005B7844">
              <w:rPr>
                <w:lang w:val="en-GB"/>
              </w:rPr>
              <w:t xml:space="preserve">, </w:t>
            </w:r>
            <w:proofErr w:type="spellStart"/>
            <w:r w:rsidRPr="005B7844">
              <w:rPr>
                <w:lang w:val="en-GB"/>
              </w:rPr>
              <w:t>WTT</w:t>
            </w:r>
            <w:proofErr w:type="spellEnd"/>
            <w:r w:rsidRPr="005B7844">
              <w:rPr>
                <w:lang w:val="en-GB"/>
              </w:rPr>
              <w:t xml:space="preserve"> HK Limited)</w:t>
            </w:r>
          </w:p>
        </w:tc>
        <w:tc>
          <w:tcPr>
            <w:tcW w:w="1755" w:type="dxa"/>
            <w:shd w:val="clear" w:color="auto" w:fill="auto"/>
            <w:noWrap/>
          </w:tcPr>
          <w:p w14:paraId="56F82CA2" w14:textId="77777777" w:rsidR="009C593B" w:rsidRPr="003B02D3" w:rsidRDefault="009C593B" w:rsidP="00B7559A">
            <w:pPr>
              <w:pStyle w:val="Tabletext"/>
            </w:pPr>
            <w:r w:rsidRPr="003B02D3">
              <w:t>Hong Kong, China</w:t>
            </w:r>
          </w:p>
        </w:tc>
        <w:tc>
          <w:tcPr>
            <w:tcW w:w="2178" w:type="dxa"/>
            <w:shd w:val="clear" w:color="auto" w:fill="auto"/>
          </w:tcPr>
          <w:p w14:paraId="09D52024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0D5696DD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120CC7D2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0F5A7C63" w14:textId="77777777" w:rsidR="009C593B" w:rsidRPr="003B02D3" w:rsidRDefault="009C593B" w:rsidP="00B7559A">
            <w:pPr>
              <w:pStyle w:val="Tabletext"/>
            </w:pPr>
            <w:r w:rsidRPr="003B02D3">
              <w:t>300,00</w:t>
            </w:r>
            <w:r w:rsidRPr="003B02D3">
              <w:br/>
              <w:t>[pago parcial: 200 CHF]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1D62A52E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6C678690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3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5AA22CA2" w14:textId="77777777" w:rsidR="009C593B" w:rsidRPr="003B02D3" w:rsidRDefault="009C593B" w:rsidP="00B7559A">
            <w:pPr>
              <w:pStyle w:val="Tabletext"/>
            </w:pPr>
            <w:r w:rsidRPr="003B02D3">
              <w:t>Telefónica del Perú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1A973977" w14:textId="77777777" w:rsidR="009C593B" w:rsidRPr="003B02D3" w:rsidRDefault="009C593B" w:rsidP="00B7559A">
            <w:pPr>
              <w:pStyle w:val="Tabletext"/>
            </w:pPr>
            <w:r w:rsidRPr="003B02D3">
              <w:t>Perú</w:t>
            </w:r>
          </w:p>
        </w:tc>
        <w:tc>
          <w:tcPr>
            <w:tcW w:w="2178" w:type="dxa"/>
            <w:shd w:val="clear" w:color="auto" w:fill="auto"/>
          </w:tcPr>
          <w:p w14:paraId="36845250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1543E500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4DE660EB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1A20FFE6" w14:textId="77777777" w:rsidR="009C593B" w:rsidRPr="003B02D3" w:rsidRDefault="009C593B" w:rsidP="00B7559A">
            <w:pPr>
              <w:pStyle w:val="Tabletext"/>
            </w:pPr>
            <w:r w:rsidRPr="003B02D3">
              <w:t>300,00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7F05DCF0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1EF9E0D8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3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73338978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PTGI</w:t>
            </w:r>
            <w:proofErr w:type="spellEnd"/>
            <w:r w:rsidRPr="003B02D3">
              <w:t xml:space="preserve"> INTERNATIONAL CARRIER </w:t>
            </w:r>
            <w:r w:rsidRPr="003B02D3">
              <w:br/>
              <w:t xml:space="preserve">(anteriormente, PRIMUS </w:t>
            </w:r>
            <w:proofErr w:type="spellStart"/>
            <w:r w:rsidRPr="003B02D3">
              <w:t>Telecommunications</w:t>
            </w:r>
            <w:proofErr w:type="spellEnd"/>
            <w:r w:rsidRPr="003B02D3">
              <w:t xml:space="preserve"> Ltd.)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1B2DB9FB" w14:textId="77777777" w:rsidR="009C593B" w:rsidRPr="003B02D3" w:rsidRDefault="009C593B" w:rsidP="00B7559A">
            <w:pPr>
              <w:pStyle w:val="Tabletext"/>
            </w:pPr>
            <w:r w:rsidRPr="003B02D3">
              <w:t>Reino Unido</w:t>
            </w:r>
          </w:p>
        </w:tc>
        <w:tc>
          <w:tcPr>
            <w:tcW w:w="2178" w:type="dxa"/>
            <w:shd w:val="clear" w:color="auto" w:fill="auto"/>
          </w:tcPr>
          <w:p w14:paraId="44448F8D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31760A1A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68B4DD21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2023</w:t>
            </w:r>
          </w:p>
        </w:tc>
        <w:tc>
          <w:tcPr>
            <w:tcW w:w="2301" w:type="dxa"/>
            <w:shd w:val="clear" w:color="auto" w:fill="auto"/>
            <w:noWrap/>
          </w:tcPr>
          <w:p w14:paraId="7D943AAA" w14:textId="77777777" w:rsidR="009C593B" w:rsidRPr="003B02D3" w:rsidRDefault="009C593B" w:rsidP="00B7559A">
            <w:pPr>
              <w:pStyle w:val="Tabletext"/>
            </w:pPr>
            <w:r w:rsidRPr="003B02D3">
              <w:t>200,00</w:t>
            </w:r>
          </w:p>
        </w:tc>
        <w:tc>
          <w:tcPr>
            <w:tcW w:w="945" w:type="dxa"/>
            <w:shd w:val="clear" w:color="auto" w:fill="auto"/>
            <w:noWrap/>
          </w:tcPr>
          <w:p w14:paraId="3A9B7961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798C4E2F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</w:t>
            </w:r>
          </w:p>
        </w:tc>
        <w:tc>
          <w:tcPr>
            <w:tcW w:w="2981" w:type="dxa"/>
            <w:shd w:val="clear" w:color="auto" w:fill="auto"/>
            <w:noWrap/>
          </w:tcPr>
          <w:p w14:paraId="16A05A03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EMTEX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GmbH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20A9DF29" w14:textId="77777777" w:rsidR="009C593B" w:rsidRPr="003B02D3" w:rsidRDefault="009C593B" w:rsidP="00B7559A">
            <w:pPr>
              <w:pStyle w:val="Tabletext"/>
            </w:pPr>
            <w:r w:rsidRPr="003B02D3">
              <w:t>Alemania</w:t>
            </w:r>
          </w:p>
        </w:tc>
        <w:tc>
          <w:tcPr>
            <w:tcW w:w="2178" w:type="dxa"/>
            <w:shd w:val="clear" w:color="auto" w:fill="auto"/>
          </w:tcPr>
          <w:p w14:paraId="2FE2F8F8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319D59DA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186E504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2020</w:t>
            </w:r>
          </w:p>
        </w:tc>
        <w:tc>
          <w:tcPr>
            <w:tcW w:w="2301" w:type="dxa"/>
            <w:shd w:val="clear" w:color="auto" w:fill="auto"/>
            <w:noWrap/>
          </w:tcPr>
          <w:p w14:paraId="5B0A7C8C" w14:textId="77777777" w:rsidR="009C593B" w:rsidRPr="003B02D3" w:rsidRDefault="009C593B" w:rsidP="00B7559A">
            <w:pPr>
              <w:pStyle w:val="Tabletext"/>
            </w:pPr>
            <w:r w:rsidRPr="003B02D3">
              <w:t>200,00</w:t>
            </w:r>
          </w:p>
        </w:tc>
        <w:tc>
          <w:tcPr>
            <w:tcW w:w="945" w:type="dxa"/>
            <w:shd w:val="clear" w:color="auto" w:fill="auto"/>
            <w:noWrap/>
          </w:tcPr>
          <w:p w14:paraId="3C58EF03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3AD60C00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</w:t>
            </w:r>
          </w:p>
        </w:tc>
        <w:tc>
          <w:tcPr>
            <w:tcW w:w="2981" w:type="dxa"/>
            <w:shd w:val="clear" w:color="auto" w:fill="auto"/>
            <w:noWrap/>
          </w:tcPr>
          <w:p w14:paraId="40972189" w14:textId="553C870D" w:rsidR="009C593B" w:rsidRPr="003B02D3" w:rsidRDefault="009C593B" w:rsidP="00B7559A">
            <w:pPr>
              <w:pStyle w:val="Tabletext"/>
            </w:pPr>
            <w:r w:rsidRPr="003B02D3">
              <w:t>Telefónica de Argentina S.A</w:t>
            </w:r>
            <w:r w:rsidR="00226D00">
              <w:t>.</w:t>
            </w:r>
          </w:p>
        </w:tc>
        <w:tc>
          <w:tcPr>
            <w:tcW w:w="1755" w:type="dxa"/>
            <w:shd w:val="clear" w:color="auto" w:fill="auto"/>
            <w:noWrap/>
          </w:tcPr>
          <w:p w14:paraId="00EE4DD4" w14:textId="77777777" w:rsidR="009C593B" w:rsidRPr="003B02D3" w:rsidRDefault="009C593B" w:rsidP="00B7559A">
            <w:pPr>
              <w:pStyle w:val="Tabletext"/>
            </w:pPr>
            <w:r w:rsidRPr="003B02D3">
              <w:t>Argentina</w:t>
            </w:r>
          </w:p>
        </w:tc>
        <w:tc>
          <w:tcPr>
            <w:tcW w:w="2178" w:type="dxa"/>
            <w:shd w:val="clear" w:color="auto" w:fill="auto"/>
          </w:tcPr>
          <w:p w14:paraId="512C7550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4246A4AE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C8CD2B0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417BA99E" w14:textId="77777777" w:rsidR="009C593B" w:rsidRPr="003B02D3" w:rsidRDefault="009C593B" w:rsidP="00B7559A">
            <w:pPr>
              <w:pStyle w:val="Tabletext"/>
            </w:pPr>
            <w:r w:rsidRPr="003B02D3">
              <w:t>100,00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4026D9A8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2D78D1E8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1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0F197CE3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HGC</w:t>
            </w:r>
            <w:proofErr w:type="spellEnd"/>
            <w:r w:rsidRPr="003B02D3">
              <w:t xml:space="preserve"> Global </w:t>
            </w:r>
            <w:proofErr w:type="spellStart"/>
            <w:r w:rsidRPr="003B02D3">
              <w:t>Communications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Limited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  <w:hideMark/>
          </w:tcPr>
          <w:p w14:paraId="5FD8CE81" w14:textId="77777777" w:rsidR="009C593B" w:rsidRPr="003B02D3" w:rsidRDefault="009C593B" w:rsidP="00B7559A">
            <w:pPr>
              <w:pStyle w:val="Tabletext"/>
            </w:pPr>
            <w:r w:rsidRPr="003B02D3">
              <w:t>Hong Kong, China</w:t>
            </w:r>
          </w:p>
        </w:tc>
        <w:tc>
          <w:tcPr>
            <w:tcW w:w="2178" w:type="dxa"/>
            <w:shd w:val="clear" w:color="auto" w:fill="auto"/>
          </w:tcPr>
          <w:p w14:paraId="1B7713FD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23E9718D" w14:textId="77777777" w:rsidTr="00403B49">
        <w:trPr>
          <w:cantSplit/>
          <w:trHeight w:val="256"/>
        </w:trPr>
        <w:tc>
          <w:tcPr>
            <w:tcW w:w="2625" w:type="dxa"/>
            <w:shd w:val="clear" w:color="auto" w:fill="auto"/>
          </w:tcPr>
          <w:p w14:paraId="2B2883E6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4C58DC7B" w14:textId="77777777" w:rsidR="009C593B" w:rsidRPr="003B02D3" w:rsidRDefault="009C593B" w:rsidP="00B7559A">
            <w:pPr>
              <w:pStyle w:val="Tabletext"/>
            </w:pPr>
            <w:r w:rsidRPr="003B02D3">
              <w:t>100,00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080F30EE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49D4D08F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1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0451DD56" w14:textId="77777777" w:rsidR="009C593B" w:rsidRPr="003B02D3" w:rsidRDefault="009C593B" w:rsidP="00B7559A">
            <w:pPr>
              <w:pStyle w:val="Tabletext"/>
            </w:pPr>
            <w:r w:rsidRPr="003B02D3">
              <w:t xml:space="preserve">Vodafone New </w:t>
            </w:r>
            <w:proofErr w:type="spellStart"/>
            <w:r w:rsidRPr="003B02D3">
              <w:t>Zealand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  <w:hideMark/>
          </w:tcPr>
          <w:p w14:paraId="53A4E87C" w14:textId="77777777" w:rsidR="009C593B" w:rsidRPr="003B02D3" w:rsidRDefault="009C593B" w:rsidP="00B7559A">
            <w:pPr>
              <w:pStyle w:val="Tabletext"/>
            </w:pPr>
            <w:r w:rsidRPr="003B02D3">
              <w:t>Nueva Zelandia</w:t>
            </w:r>
          </w:p>
        </w:tc>
        <w:tc>
          <w:tcPr>
            <w:tcW w:w="2178" w:type="dxa"/>
            <w:shd w:val="clear" w:color="auto" w:fill="auto"/>
          </w:tcPr>
          <w:p w14:paraId="7877B862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77BC26C2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4DB60211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5A7A29D4" w14:textId="77777777" w:rsidR="009C593B" w:rsidRPr="003B02D3" w:rsidRDefault="009C593B" w:rsidP="00B7559A">
            <w:pPr>
              <w:pStyle w:val="Tabletext"/>
            </w:pPr>
            <w:r w:rsidRPr="003B02D3">
              <w:t>100,00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1BA39A30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6E5ED3B0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1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46EC063E" w14:textId="77777777" w:rsidR="009C593B" w:rsidRPr="003B02D3" w:rsidRDefault="009C593B" w:rsidP="00B7559A">
            <w:pPr>
              <w:pStyle w:val="Tabletext"/>
            </w:pPr>
            <w:r w:rsidRPr="003B02D3">
              <w:t xml:space="preserve">Empresa Hondureña de </w:t>
            </w:r>
            <w:proofErr w:type="spellStart"/>
            <w:r w:rsidRPr="003B02D3">
              <w:t>Telecommunicaciones</w:t>
            </w:r>
            <w:proofErr w:type="spellEnd"/>
            <w:r w:rsidRPr="003B02D3">
              <w:t xml:space="preserve"> (HONDUTEL)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67B84360" w14:textId="77777777" w:rsidR="009C593B" w:rsidRPr="003B02D3" w:rsidRDefault="009C593B" w:rsidP="00B7559A">
            <w:pPr>
              <w:pStyle w:val="Tabletext"/>
            </w:pPr>
            <w:r w:rsidRPr="003B02D3">
              <w:t>Honduras</w:t>
            </w:r>
          </w:p>
        </w:tc>
        <w:tc>
          <w:tcPr>
            <w:tcW w:w="2178" w:type="dxa"/>
            <w:shd w:val="clear" w:color="auto" w:fill="auto"/>
          </w:tcPr>
          <w:p w14:paraId="22FDA553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2CC77F7E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0827D6DE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7B6AB5D2" w14:textId="77777777" w:rsidR="009C593B" w:rsidRPr="003B02D3" w:rsidRDefault="009C593B" w:rsidP="00B7559A">
            <w:pPr>
              <w:pStyle w:val="Tabletext"/>
            </w:pPr>
            <w:r w:rsidRPr="003B02D3">
              <w:t>100,00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47CE3BD0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4DD98496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1</w:t>
            </w:r>
          </w:p>
        </w:tc>
        <w:tc>
          <w:tcPr>
            <w:tcW w:w="2981" w:type="dxa"/>
            <w:shd w:val="clear" w:color="auto" w:fill="auto"/>
            <w:noWrap/>
            <w:hideMark/>
          </w:tcPr>
          <w:p w14:paraId="2CC04928" w14:textId="77777777" w:rsidR="009C593B" w:rsidRPr="003B02D3" w:rsidRDefault="009C593B" w:rsidP="00B7559A">
            <w:pPr>
              <w:pStyle w:val="Tabletext"/>
            </w:pPr>
            <w:r w:rsidRPr="003B02D3">
              <w:t xml:space="preserve">Telecom </w:t>
            </w:r>
            <w:proofErr w:type="spellStart"/>
            <w:r w:rsidRPr="003B02D3">
              <w:t>Itália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Móbile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S.p.A</w:t>
            </w:r>
            <w:proofErr w:type="spellEnd"/>
            <w:r w:rsidRPr="003B02D3">
              <w:t xml:space="preserve">. (TIM) </w:t>
            </w:r>
            <w:r w:rsidRPr="003B02D3">
              <w:br/>
              <w:t xml:space="preserve">(anteriormente, </w:t>
            </w:r>
            <w:proofErr w:type="spellStart"/>
            <w:r w:rsidRPr="003B02D3">
              <w:t>INTELIG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Telecomunicações</w:t>
            </w:r>
            <w:proofErr w:type="spellEnd"/>
            <w:r w:rsidRPr="003B02D3">
              <w:t xml:space="preserve"> Ltda.)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67C35520" w14:textId="77777777" w:rsidR="009C593B" w:rsidRPr="003B02D3" w:rsidRDefault="009C593B" w:rsidP="00B7559A">
            <w:pPr>
              <w:pStyle w:val="Tabletext"/>
            </w:pPr>
            <w:r w:rsidRPr="003B02D3">
              <w:t>Brasil</w:t>
            </w:r>
          </w:p>
        </w:tc>
        <w:tc>
          <w:tcPr>
            <w:tcW w:w="2178" w:type="dxa"/>
            <w:shd w:val="clear" w:color="auto" w:fill="auto"/>
          </w:tcPr>
          <w:p w14:paraId="4BA5A569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2723C809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C72D026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lastRenderedPageBreak/>
              <w:t>2023</w:t>
            </w:r>
          </w:p>
        </w:tc>
        <w:tc>
          <w:tcPr>
            <w:tcW w:w="2301" w:type="dxa"/>
            <w:shd w:val="clear" w:color="auto" w:fill="auto"/>
            <w:noWrap/>
          </w:tcPr>
          <w:p w14:paraId="5BA837AA" w14:textId="77777777" w:rsidR="009C593B" w:rsidRPr="003B02D3" w:rsidRDefault="009C593B" w:rsidP="00B7559A">
            <w:pPr>
              <w:pStyle w:val="Tabletext"/>
            </w:pPr>
            <w:r w:rsidRPr="003B02D3">
              <w:t>55 900,00</w:t>
            </w:r>
          </w:p>
        </w:tc>
        <w:tc>
          <w:tcPr>
            <w:tcW w:w="945" w:type="dxa"/>
            <w:shd w:val="clear" w:color="auto" w:fill="auto"/>
            <w:noWrap/>
          </w:tcPr>
          <w:p w14:paraId="5F6C6A52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5D37A56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559</w:t>
            </w:r>
          </w:p>
        </w:tc>
        <w:tc>
          <w:tcPr>
            <w:tcW w:w="2981" w:type="dxa"/>
            <w:shd w:val="clear" w:color="auto" w:fill="auto"/>
            <w:noWrap/>
          </w:tcPr>
          <w:p w14:paraId="3AD1438C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eircom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Limited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0919379E" w14:textId="77777777" w:rsidR="009C593B" w:rsidRPr="003B02D3" w:rsidRDefault="009C593B" w:rsidP="00B7559A">
            <w:pPr>
              <w:pStyle w:val="Tabletext"/>
            </w:pPr>
            <w:r w:rsidRPr="003B02D3">
              <w:t>Irlanda</w:t>
            </w:r>
          </w:p>
        </w:tc>
        <w:tc>
          <w:tcPr>
            <w:tcW w:w="2178" w:type="dxa"/>
            <w:shd w:val="clear" w:color="auto" w:fill="auto"/>
          </w:tcPr>
          <w:p w14:paraId="27774F23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3C9D73B2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22BDBE5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643BC481" w14:textId="77777777" w:rsidR="009C593B" w:rsidRPr="003B02D3" w:rsidRDefault="009C593B" w:rsidP="00B7559A">
            <w:pPr>
              <w:pStyle w:val="Tabletext"/>
            </w:pPr>
            <w:r w:rsidRPr="003B02D3">
              <w:t>1 300,00</w:t>
            </w:r>
          </w:p>
        </w:tc>
        <w:tc>
          <w:tcPr>
            <w:tcW w:w="945" w:type="dxa"/>
            <w:shd w:val="clear" w:color="auto" w:fill="auto"/>
            <w:noWrap/>
          </w:tcPr>
          <w:p w14:paraId="63EE6BD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4CAC1549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13</w:t>
            </w:r>
          </w:p>
        </w:tc>
        <w:tc>
          <w:tcPr>
            <w:tcW w:w="2981" w:type="dxa"/>
            <w:shd w:val="clear" w:color="auto" w:fill="auto"/>
            <w:noWrap/>
          </w:tcPr>
          <w:p w14:paraId="00B966DE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Slovak</w:t>
            </w:r>
            <w:proofErr w:type="spellEnd"/>
            <w:r w:rsidRPr="003B02D3">
              <w:t xml:space="preserve"> Telekom, </w:t>
            </w:r>
            <w:proofErr w:type="spellStart"/>
            <w:r w:rsidRPr="003B02D3">
              <w:t>a.s.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63AC01DA" w14:textId="77777777" w:rsidR="009C593B" w:rsidRPr="003B02D3" w:rsidRDefault="009C593B" w:rsidP="00B7559A">
            <w:pPr>
              <w:pStyle w:val="Tabletext"/>
            </w:pPr>
            <w:r w:rsidRPr="003B02D3">
              <w:t>Eslovaquia</w:t>
            </w:r>
          </w:p>
        </w:tc>
        <w:tc>
          <w:tcPr>
            <w:tcW w:w="2178" w:type="dxa"/>
            <w:shd w:val="clear" w:color="auto" w:fill="auto"/>
          </w:tcPr>
          <w:p w14:paraId="58CFF2AB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2F1FCDF5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F6C4AE1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7881840F" w14:textId="77777777" w:rsidR="009C593B" w:rsidRPr="003B02D3" w:rsidRDefault="009C593B" w:rsidP="00B7559A">
            <w:pPr>
              <w:pStyle w:val="Tabletext"/>
            </w:pPr>
            <w:r w:rsidRPr="003B02D3">
              <w:t>100,00</w:t>
            </w:r>
          </w:p>
        </w:tc>
        <w:tc>
          <w:tcPr>
            <w:tcW w:w="945" w:type="dxa"/>
            <w:shd w:val="clear" w:color="auto" w:fill="auto"/>
            <w:noWrap/>
          </w:tcPr>
          <w:p w14:paraId="1BB42A10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69BE6FF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1</w:t>
            </w:r>
          </w:p>
        </w:tc>
        <w:tc>
          <w:tcPr>
            <w:tcW w:w="2981" w:type="dxa"/>
            <w:shd w:val="clear" w:color="auto" w:fill="auto"/>
            <w:noWrap/>
          </w:tcPr>
          <w:p w14:paraId="49DA53DC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JSC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Kazakhtelecom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57D005CC" w14:textId="77777777" w:rsidR="009C593B" w:rsidRPr="003B02D3" w:rsidRDefault="009C593B" w:rsidP="00B7559A">
            <w:pPr>
              <w:pStyle w:val="Tabletext"/>
            </w:pPr>
            <w:r w:rsidRPr="003B02D3">
              <w:t>Kazajstán</w:t>
            </w:r>
          </w:p>
        </w:tc>
        <w:tc>
          <w:tcPr>
            <w:tcW w:w="2178" w:type="dxa"/>
            <w:shd w:val="clear" w:color="auto" w:fill="auto"/>
          </w:tcPr>
          <w:p w14:paraId="627B4C02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5398A617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22CF2B0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41673D1A" w14:textId="77777777" w:rsidR="009C593B" w:rsidRPr="003B02D3" w:rsidRDefault="009C593B" w:rsidP="00B7559A">
            <w:pPr>
              <w:pStyle w:val="Tabletext"/>
            </w:pPr>
            <w:r w:rsidRPr="003B02D3">
              <w:t>700,00</w:t>
            </w:r>
          </w:p>
        </w:tc>
        <w:tc>
          <w:tcPr>
            <w:tcW w:w="945" w:type="dxa"/>
            <w:shd w:val="clear" w:color="auto" w:fill="auto"/>
            <w:noWrap/>
          </w:tcPr>
          <w:p w14:paraId="309FEF54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02AD3E0A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7</w:t>
            </w:r>
          </w:p>
        </w:tc>
        <w:tc>
          <w:tcPr>
            <w:tcW w:w="2981" w:type="dxa"/>
            <w:shd w:val="clear" w:color="auto" w:fill="auto"/>
            <w:noWrap/>
          </w:tcPr>
          <w:p w14:paraId="4B31B4EA" w14:textId="77777777" w:rsidR="009C593B" w:rsidRPr="003B02D3" w:rsidRDefault="009C593B" w:rsidP="00B7559A">
            <w:pPr>
              <w:pStyle w:val="Tabletext"/>
            </w:pPr>
            <w:r w:rsidRPr="003B02D3">
              <w:t>Cable &amp; Wireless Panamá S.A.</w:t>
            </w:r>
          </w:p>
        </w:tc>
        <w:tc>
          <w:tcPr>
            <w:tcW w:w="1755" w:type="dxa"/>
            <w:shd w:val="clear" w:color="auto" w:fill="auto"/>
            <w:noWrap/>
          </w:tcPr>
          <w:p w14:paraId="4CF64016" w14:textId="77777777" w:rsidR="009C593B" w:rsidRPr="003B02D3" w:rsidRDefault="009C593B" w:rsidP="00B7559A">
            <w:pPr>
              <w:pStyle w:val="Tabletext"/>
            </w:pPr>
            <w:r w:rsidRPr="003B02D3">
              <w:t>Panamá</w:t>
            </w:r>
          </w:p>
        </w:tc>
        <w:tc>
          <w:tcPr>
            <w:tcW w:w="2178" w:type="dxa"/>
            <w:shd w:val="clear" w:color="auto" w:fill="auto"/>
          </w:tcPr>
          <w:p w14:paraId="1E057CFD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03B8A4CA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22289254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09826F6B" w14:textId="77777777" w:rsidR="009C593B" w:rsidRPr="003B02D3" w:rsidRDefault="009C593B" w:rsidP="00B7559A">
            <w:pPr>
              <w:pStyle w:val="Tabletext"/>
            </w:pPr>
            <w:r w:rsidRPr="003B02D3">
              <w:t>1 200,00</w:t>
            </w:r>
          </w:p>
        </w:tc>
        <w:tc>
          <w:tcPr>
            <w:tcW w:w="945" w:type="dxa"/>
            <w:shd w:val="clear" w:color="auto" w:fill="auto"/>
            <w:noWrap/>
          </w:tcPr>
          <w:p w14:paraId="6BF9199C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4E586949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12</w:t>
            </w:r>
          </w:p>
        </w:tc>
        <w:tc>
          <w:tcPr>
            <w:tcW w:w="2981" w:type="dxa"/>
            <w:shd w:val="clear" w:color="auto" w:fill="auto"/>
            <w:noWrap/>
          </w:tcPr>
          <w:p w14:paraId="30CBF9DA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Cyprus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Telecoms</w:t>
            </w:r>
            <w:proofErr w:type="spellEnd"/>
            <w:r w:rsidRPr="003B02D3">
              <w:t xml:space="preserve">. </w:t>
            </w:r>
            <w:proofErr w:type="spellStart"/>
            <w:r w:rsidRPr="003B02D3">
              <w:t>Authority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1C3CDBFE" w14:textId="77777777" w:rsidR="009C593B" w:rsidRPr="003B02D3" w:rsidRDefault="009C593B" w:rsidP="00B7559A">
            <w:pPr>
              <w:pStyle w:val="Tabletext"/>
            </w:pPr>
            <w:r w:rsidRPr="003B02D3">
              <w:t>Chipre</w:t>
            </w:r>
          </w:p>
        </w:tc>
        <w:tc>
          <w:tcPr>
            <w:tcW w:w="2178" w:type="dxa"/>
            <w:shd w:val="clear" w:color="auto" w:fill="auto"/>
          </w:tcPr>
          <w:p w14:paraId="65D050CD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5686CF95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5D96847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7264B413" w14:textId="77777777" w:rsidR="009C593B" w:rsidRPr="003B02D3" w:rsidRDefault="009C593B" w:rsidP="00B7559A">
            <w:pPr>
              <w:pStyle w:val="Tabletext"/>
            </w:pPr>
            <w:r w:rsidRPr="003B02D3">
              <w:t>28 100,00</w:t>
            </w:r>
          </w:p>
        </w:tc>
        <w:tc>
          <w:tcPr>
            <w:tcW w:w="945" w:type="dxa"/>
            <w:shd w:val="clear" w:color="auto" w:fill="auto"/>
            <w:noWrap/>
          </w:tcPr>
          <w:p w14:paraId="1C5D3DDB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401AC543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281</w:t>
            </w:r>
          </w:p>
        </w:tc>
        <w:tc>
          <w:tcPr>
            <w:tcW w:w="2981" w:type="dxa"/>
            <w:shd w:val="clear" w:color="auto" w:fill="auto"/>
            <w:noWrap/>
          </w:tcPr>
          <w:p w14:paraId="5E0E78D9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TDC</w:t>
            </w:r>
            <w:proofErr w:type="spellEnd"/>
            <w:r w:rsidRPr="003B02D3">
              <w:t xml:space="preserve"> A/S</w:t>
            </w:r>
          </w:p>
        </w:tc>
        <w:tc>
          <w:tcPr>
            <w:tcW w:w="1755" w:type="dxa"/>
            <w:shd w:val="clear" w:color="auto" w:fill="auto"/>
            <w:noWrap/>
          </w:tcPr>
          <w:p w14:paraId="6C3F110B" w14:textId="77777777" w:rsidR="009C593B" w:rsidRPr="003B02D3" w:rsidRDefault="009C593B" w:rsidP="00B7559A">
            <w:pPr>
              <w:pStyle w:val="Tabletext"/>
            </w:pPr>
            <w:r w:rsidRPr="003B02D3">
              <w:t>Dinamarca</w:t>
            </w:r>
          </w:p>
        </w:tc>
        <w:tc>
          <w:tcPr>
            <w:tcW w:w="2178" w:type="dxa"/>
            <w:shd w:val="clear" w:color="auto" w:fill="auto"/>
          </w:tcPr>
          <w:p w14:paraId="4A7DC8A2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080FE925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0CD67414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1A2FDACA" w14:textId="77777777" w:rsidR="009C593B" w:rsidRPr="003B02D3" w:rsidRDefault="009C593B" w:rsidP="00B7559A">
            <w:pPr>
              <w:pStyle w:val="Tabletext"/>
            </w:pPr>
            <w:r w:rsidRPr="003B02D3">
              <w:t>55 900,00</w:t>
            </w:r>
          </w:p>
        </w:tc>
        <w:tc>
          <w:tcPr>
            <w:tcW w:w="945" w:type="dxa"/>
            <w:shd w:val="clear" w:color="auto" w:fill="auto"/>
            <w:noWrap/>
          </w:tcPr>
          <w:p w14:paraId="38E941B6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678AC426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559</w:t>
            </w:r>
          </w:p>
        </w:tc>
        <w:tc>
          <w:tcPr>
            <w:tcW w:w="2981" w:type="dxa"/>
            <w:shd w:val="clear" w:color="auto" w:fill="auto"/>
            <w:noWrap/>
          </w:tcPr>
          <w:p w14:paraId="5193C842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eircom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Limited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2D767FBE" w14:textId="77777777" w:rsidR="009C593B" w:rsidRPr="003B02D3" w:rsidRDefault="009C593B" w:rsidP="00B7559A">
            <w:pPr>
              <w:pStyle w:val="Tabletext"/>
            </w:pPr>
            <w:r w:rsidRPr="003B02D3">
              <w:t>Irlanda</w:t>
            </w:r>
          </w:p>
        </w:tc>
        <w:tc>
          <w:tcPr>
            <w:tcW w:w="2178" w:type="dxa"/>
            <w:shd w:val="clear" w:color="auto" w:fill="auto"/>
          </w:tcPr>
          <w:p w14:paraId="360F67DA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3B599C8E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656FE6D6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10F79B01" w14:textId="77777777" w:rsidR="009C593B" w:rsidRPr="003B02D3" w:rsidRDefault="009C593B" w:rsidP="00B7559A">
            <w:pPr>
              <w:pStyle w:val="Tabletext"/>
            </w:pPr>
            <w:r w:rsidRPr="003B02D3">
              <w:t>13 200,00</w:t>
            </w:r>
          </w:p>
        </w:tc>
        <w:tc>
          <w:tcPr>
            <w:tcW w:w="945" w:type="dxa"/>
            <w:shd w:val="clear" w:color="auto" w:fill="auto"/>
            <w:noWrap/>
          </w:tcPr>
          <w:p w14:paraId="06022120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1ABD7F1A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132</w:t>
            </w:r>
          </w:p>
        </w:tc>
        <w:tc>
          <w:tcPr>
            <w:tcW w:w="2981" w:type="dxa"/>
            <w:shd w:val="clear" w:color="auto" w:fill="auto"/>
            <w:noWrap/>
          </w:tcPr>
          <w:p w14:paraId="72C1BDF1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Singapore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Telecommunications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Ltd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0DA0BAEB" w14:textId="77777777" w:rsidR="009C593B" w:rsidRPr="003B02D3" w:rsidRDefault="009C593B" w:rsidP="00B7559A">
            <w:pPr>
              <w:pStyle w:val="Tabletext"/>
            </w:pPr>
            <w:r w:rsidRPr="003B02D3">
              <w:t>Singapur</w:t>
            </w:r>
          </w:p>
        </w:tc>
        <w:tc>
          <w:tcPr>
            <w:tcW w:w="2178" w:type="dxa"/>
            <w:shd w:val="clear" w:color="auto" w:fill="auto"/>
          </w:tcPr>
          <w:p w14:paraId="6A2F804B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16D87F05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7D7CF38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2D359D2B" w14:textId="77777777" w:rsidR="009C593B" w:rsidRPr="003B02D3" w:rsidRDefault="009C593B" w:rsidP="00B7559A">
            <w:pPr>
              <w:pStyle w:val="Tabletext"/>
            </w:pPr>
            <w:r w:rsidRPr="003B02D3">
              <w:t>900,00</w:t>
            </w:r>
          </w:p>
        </w:tc>
        <w:tc>
          <w:tcPr>
            <w:tcW w:w="945" w:type="dxa"/>
            <w:shd w:val="clear" w:color="auto" w:fill="auto"/>
            <w:noWrap/>
          </w:tcPr>
          <w:p w14:paraId="7CDB3DFA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01E5AB5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9</w:t>
            </w:r>
          </w:p>
        </w:tc>
        <w:tc>
          <w:tcPr>
            <w:tcW w:w="2981" w:type="dxa"/>
            <w:shd w:val="clear" w:color="auto" w:fill="auto"/>
            <w:noWrap/>
          </w:tcPr>
          <w:p w14:paraId="62EAE479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Beltelecom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684BD4D1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Belarús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14:paraId="4030451F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1593232C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0A8DA49B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76F09437" w14:textId="77777777" w:rsidR="009C593B" w:rsidRPr="003B02D3" w:rsidRDefault="009C593B" w:rsidP="00B7559A">
            <w:pPr>
              <w:pStyle w:val="Tabletext"/>
            </w:pPr>
            <w:r w:rsidRPr="003B02D3">
              <w:t>600,00</w:t>
            </w:r>
          </w:p>
        </w:tc>
        <w:tc>
          <w:tcPr>
            <w:tcW w:w="945" w:type="dxa"/>
            <w:shd w:val="clear" w:color="auto" w:fill="auto"/>
            <w:noWrap/>
          </w:tcPr>
          <w:p w14:paraId="0672EDE2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021C99CC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6</w:t>
            </w:r>
          </w:p>
        </w:tc>
        <w:tc>
          <w:tcPr>
            <w:tcW w:w="2981" w:type="dxa"/>
            <w:shd w:val="clear" w:color="auto" w:fill="auto"/>
            <w:noWrap/>
          </w:tcPr>
          <w:p w14:paraId="1E44DE69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Hellenic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Telecommunications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Org</w:t>
            </w:r>
            <w:proofErr w:type="spellEnd"/>
            <w:r w:rsidRPr="003B02D3">
              <w:t>. S.A.</w:t>
            </w:r>
          </w:p>
        </w:tc>
        <w:tc>
          <w:tcPr>
            <w:tcW w:w="1755" w:type="dxa"/>
            <w:shd w:val="clear" w:color="auto" w:fill="auto"/>
            <w:noWrap/>
          </w:tcPr>
          <w:p w14:paraId="53151792" w14:textId="77777777" w:rsidR="009C593B" w:rsidRPr="003B02D3" w:rsidRDefault="009C593B" w:rsidP="00B7559A">
            <w:pPr>
              <w:pStyle w:val="Tabletext"/>
            </w:pPr>
            <w:r w:rsidRPr="003B02D3">
              <w:t>Grecia</w:t>
            </w:r>
          </w:p>
        </w:tc>
        <w:tc>
          <w:tcPr>
            <w:tcW w:w="2178" w:type="dxa"/>
            <w:shd w:val="clear" w:color="auto" w:fill="auto"/>
          </w:tcPr>
          <w:p w14:paraId="6B361A12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0F10D795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48B90190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7C7DBC16" w14:textId="77777777" w:rsidR="009C593B" w:rsidRPr="003B02D3" w:rsidRDefault="009C593B" w:rsidP="00B7559A">
            <w:pPr>
              <w:pStyle w:val="Tabletext"/>
            </w:pPr>
            <w:r w:rsidRPr="003B02D3">
              <w:t>300,00</w:t>
            </w:r>
          </w:p>
        </w:tc>
        <w:tc>
          <w:tcPr>
            <w:tcW w:w="945" w:type="dxa"/>
            <w:shd w:val="clear" w:color="auto" w:fill="auto"/>
            <w:noWrap/>
          </w:tcPr>
          <w:p w14:paraId="7EA5A2D5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3364B58C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3</w:t>
            </w:r>
          </w:p>
        </w:tc>
        <w:tc>
          <w:tcPr>
            <w:tcW w:w="2981" w:type="dxa"/>
            <w:shd w:val="clear" w:color="auto" w:fill="auto"/>
            <w:noWrap/>
          </w:tcPr>
          <w:p w14:paraId="3995928D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Mass</w:t>
            </w:r>
            <w:proofErr w:type="spellEnd"/>
            <w:r w:rsidRPr="003B02D3">
              <w:t xml:space="preserve"> Response Service </w:t>
            </w:r>
            <w:proofErr w:type="spellStart"/>
            <w:r w:rsidRPr="003B02D3">
              <w:t>GmbH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3A240B22" w14:textId="77777777" w:rsidR="009C593B" w:rsidRPr="003B02D3" w:rsidRDefault="009C593B" w:rsidP="00B7559A">
            <w:pPr>
              <w:pStyle w:val="Tabletext"/>
            </w:pPr>
            <w:r w:rsidRPr="003B02D3">
              <w:t>Austria</w:t>
            </w:r>
          </w:p>
        </w:tc>
        <w:tc>
          <w:tcPr>
            <w:tcW w:w="2178" w:type="dxa"/>
            <w:shd w:val="clear" w:color="auto" w:fill="auto"/>
          </w:tcPr>
          <w:p w14:paraId="13CBDE03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2D3D21CA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142B3557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58AA05A6" w14:textId="77777777" w:rsidR="009C593B" w:rsidRPr="003B02D3" w:rsidRDefault="009C593B" w:rsidP="00B7559A">
            <w:pPr>
              <w:pStyle w:val="Tabletext"/>
            </w:pPr>
            <w:r w:rsidRPr="003B02D3">
              <w:t>4 500,00</w:t>
            </w:r>
          </w:p>
        </w:tc>
        <w:tc>
          <w:tcPr>
            <w:tcW w:w="945" w:type="dxa"/>
            <w:shd w:val="clear" w:color="auto" w:fill="auto"/>
            <w:noWrap/>
          </w:tcPr>
          <w:p w14:paraId="0DA7903E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70555351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45</w:t>
            </w:r>
          </w:p>
        </w:tc>
        <w:tc>
          <w:tcPr>
            <w:tcW w:w="2981" w:type="dxa"/>
            <w:shd w:val="clear" w:color="auto" w:fill="auto"/>
            <w:noWrap/>
          </w:tcPr>
          <w:p w14:paraId="146A3E7E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MessageBird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B.V</w:t>
            </w:r>
            <w:proofErr w:type="spellEnd"/>
            <w:r w:rsidRPr="003B02D3">
              <w:t>.</w:t>
            </w:r>
          </w:p>
        </w:tc>
        <w:tc>
          <w:tcPr>
            <w:tcW w:w="1755" w:type="dxa"/>
            <w:shd w:val="clear" w:color="auto" w:fill="auto"/>
            <w:noWrap/>
          </w:tcPr>
          <w:p w14:paraId="4AEC292F" w14:textId="77777777" w:rsidR="009C593B" w:rsidRPr="003B02D3" w:rsidRDefault="009C593B" w:rsidP="00B7559A">
            <w:pPr>
              <w:pStyle w:val="Tabletext"/>
            </w:pPr>
            <w:r w:rsidRPr="003B02D3">
              <w:t>Países Bajos</w:t>
            </w:r>
          </w:p>
        </w:tc>
        <w:tc>
          <w:tcPr>
            <w:tcW w:w="2178" w:type="dxa"/>
            <w:shd w:val="clear" w:color="auto" w:fill="auto"/>
          </w:tcPr>
          <w:p w14:paraId="60F4DFDE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21F3336F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1D460991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22E9C895" w14:textId="77777777" w:rsidR="009C593B" w:rsidRPr="003B02D3" w:rsidRDefault="009C593B" w:rsidP="00B7559A">
            <w:pPr>
              <w:pStyle w:val="Tabletext"/>
            </w:pPr>
            <w:r w:rsidRPr="003B02D3">
              <w:t>200,00</w:t>
            </w:r>
          </w:p>
        </w:tc>
        <w:tc>
          <w:tcPr>
            <w:tcW w:w="945" w:type="dxa"/>
            <w:shd w:val="clear" w:color="auto" w:fill="auto"/>
            <w:noWrap/>
          </w:tcPr>
          <w:p w14:paraId="7DC0CBD9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68594E39" w14:textId="77777777" w:rsidR="009C593B" w:rsidRPr="003B02D3" w:rsidRDefault="009C593B" w:rsidP="003B02D3">
            <w:pPr>
              <w:pStyle w:val="Tabletext"/>
              <w:jc w:val="center"/>
            </w:pPr>
            <w:r w:rsidRPr="003B02D3">
              <w:t>2</w:t>
            </w:r>
          </w:p>
        </w:tc>
        <w:tc>
          <w:tcPr>
            <w:tcW w:w="2981" w:type="dxa"/>
            <w:shd w:val="clear" w:color="auto" w:fill="auto"/>
            <w:noWrap/>
          </w:tcPr>
          <w:p w14:paraId="451ACD6E" w14:textId="77777777" w:rsidR="009C593B" w:rsidRPr="003B02D3" w:rsidRDefault="009C593B" w:rsidP="00B7559A">
            <w:pPr>
              <w:pStyle w:val="Tabletext"/>
            </w:pPr>
            <w:proofErr w:type="spellStart"/>
            <w:r w:rsidRPr="003B02D3">
              <w:t>EMTEX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GmbH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3047BDF1" w14:textId="77777777" w:rsidR="009C593B" w:rsidRPr="003B02D3" w:rsidRDefault="009C593B" w:rsidP="00B7559A">
            <w:pPr>
              <w:pStyle w:val="Tabletext"/>
            </w:pPr>
            <w:r w:rsidRPr="003B02D3">
              <w:t>Alemania</w:t>
            </w:r>
          </w:p>
        </w:tc>
        <w:tc>
          <w:tcPr>
            <w:tcW w:w="2178" w:type="dxa"/>
            <w:shd w:val="clear" w:color="auto" w:fill="auto"/>
          </w:tcPr>
          <w:p w14:paraId="4B4E9D3E" w14:textId="77777777" w:rsidR="009C593B" w:rsidRPr="003B02D3" w:rsidRDefault="009C593B" w:rsidP="00B7559A">
            <w:pPr>
              <w:pStyle w:val="Tabletext"/>
            </w:pPr>
          </w:p>
        </w:tc>
      </w:tr>
      <w:tr w:rsidR="009C593B" w:rsidRPr="003B02D3" w14:paraId="33FA798A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0A08EFFC" w14:textId="77777777" w:rsidR="009C593B" w:rsidRPr="003B02D3" w:rsidRDefault="009C593B" w:rsidP="00403B49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13EB550A" w14:textId="77777777" w:rsidR="009C593B" w:rsidRPr="003B02D3" w:rsidRDefault="009C593B" w:rsidP="00403B49">
            <w:pPr>
              <w:pStyle w:val="Tabletext"/>
            </w:pPr>
            <w:r w:rsidRPr="003B02D3">
              <w:t>2 100,00</w:t>
            </w:r>
          </w:p>
        </w:tc>
        <w:tc>
          <w:tcPr>
            <w:tcW w:w="945" w:type="dxa"/>
            <w:shd w:val="clear" w:color="auto" w:fill="auto"/>
            <w:noWrap/>
          </w:tcPr>
          <w:p w14:paraId="462A26D7" w14:textId="77777777" w:rsidR="009C593B" w:rsidRPr="003B02D3" w:rsidRDefault="009C593B" w:rsidP="00403B49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5A20E783" w14:textId="77777777" w:rsidR="009C593B" w:rsidRPr="003B02D3" w:rsidRDefault="009C593B" w:rsidP="00403B49">
            <w:pPr>
              <w:pStyle w:val="Tabletext"/>
              <w:jc w:val="center"/>
            </w:pPr>
            <w:r w:rsidRPr="003B02D3">
              <w:t>21</w:t>
            </w:r>
          </w:p>
        </w:tc>
        <w:tc>
          <w:tcPr>
            <w:tcW w:w="2981" w:type="dxa"/>
            <w:shd w:val="clear" w:color="auto" w:fill="auto"/>
            <w:noWrap/>
          </w:tcPr>
          <w:p w14:paraId="3B5E6B86" w14:textId="77777777" w:rsidR="009C593B" w:rsidRPr="003B02D3" w:rsidRDefault="009C593B" w:rsidP="00403B49">
            <w:pPr>
              <w:pStyle w:val="Tabletext"/>
            </w:pPr>
            <w:proofErr w:type="spellStart"/>
            <w:r w:rsidRPr="003B02D3">
              <w:t>Telia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Norge</w:t>
            </w:r>
            <w:proofErr w:type="spellEnd"/>
            <w:r w:rsidRPr="003B02D3">
              <w:t xml:space="preserve"> AS</w:t>
            </w:r>
          </w:p>
        </w:tc>
        <w:tc>
          <w:tcPr>
            <w:tcW w:w="1755" w:type="dxa"/>
            <w:shd w:val="clear" w:color="auto" w:fill="auto"/>
            <w:noWrap/>
          </w:tcPr>
          <w:p w14:paraId="304FD2D7" w14:textId="77777777" w:rsidR="009C593B" w:rsidRPr="003B02D3" w:rsidRDefault="009C593B" w:rsidP="00403B49">
            <w:pPr>
              <w:pStyle w:val="Tabletext"/>
            </w:pPr>
            <w:r w:rsidRPr="003B02D3">
              <w:t>Noruega</w:t>
            </w:r>
          </w:p>
        </w:tc>
        <w:tc>
          <w:tcPr>
            <w:tcW w:w="2178" w:type="dxa"/>
            <w:shd w:val="clear" w:color="auto" w:fill="auto"/>
          </w:tcPr>
          <w:p w14:paraId="01584FCF" w14:textId="77777777" w:rsidR="009C593B" w:rsidRPr="003B02D3" w:rsidRDefault="009C593B" w:rsidP="00403B49">
            <w:pPr>
              <w:pStyle w:val="Tabletext"/>
            </w:pPr>
          </w:p>
        </w:tc>
      </w:tr>
      <w:tr w:rsidR="009C593B" w:rsidRPr="003B02D3" w14:paraId="3D8BFF96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2B156599" w14:textId="77777777" w:rsidR="009C593B" w:rsidRPr="003B02D3" w:rsidRDefault="009C593B" w:rsidP="00403B49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6EE761FA" w14:textId="77777777" w:rsidR="009C593B" w:rsidRPr="003B02D3" w:rsidRDefault="009C593B" w:rsidP="00403B49">
            <w:pPr>
              <w:pStyle w:val="Tabletext"/>
            </w:pPr>
            <w:r w:rsidRPr="003B02D3">
              <w:t>2 300,00</w:t>
            </w:r>
          </w:p>
        </w:tc>
        <w:tc>
          <w:tcPr>
            <w:tcW w:w="945" w:type="dxa"/>
            <w:shd w:val="clear" w:color="auto" w:fill="auto"/>
            <w:noWrap/>
          </w:tcPr>
          <w:p w14:paraId="3DA6AFA4" w14:textId="77777777" w:rsidR="009C593B" w:rsidRPr="003B02D3" w:rsidRDefault="009C593B" w:rsidP="00403B49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3EACF388" w14:textId="77777777" w:rsidR="009C593B" w:rsidRPr="003B02D3" w:rsidRDefault="009C593B" w:rsidP="00403B49">
            <w:pPr>
              <w:pStyle w:val="Tabletext"/>
              <w:jc w:val="center"/>
            </w:pPr>
            <w:r w:rsidRPr="003B02D3">
              <w:t>23</w:t>
            </w:r>
          </w:p>
        </w:tc>
        <w:tc>
          <w:tcPr>
            <w:tcW w:w="2981" w:type="dxa"/>
            <w:shd w:val="clear" w:color="auto" w:fill="auto"/>
            <w:noWrap/>
          </w:tcPr>
          <w:p w14:paraId="0C0770CA" w14:textId="77777777" w:rsidR="009C593B" w:rsidRPr="003B02D3" w:rsidRDefault="009C593B" w:rsidP="00403B49">
            <w:pPr>
              <w:pStyle w:val="Tabletext"/>
            </w:pPr>
            <w:proofErr w:type="spellStart"/>
            <w:r w:rsidRPr="003B02D3">
              <w:t>TeliaSonera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Finland</w:t>
            </w:r>
            <w:proofErr w:type="spellEnd"/>
            <w:r w:rsidRPr="003B02D3">
              <w:t xml:space="preserve"> </w:t>
            </w:r>
            <w:proofErr w:type="spellStart"/>
            <w:r w:rsidRPr="003B02D3">
              <w:t>Oyj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147EBAB2" w14:textId="77777777" w:rsidR="009C593B" w:rsidRPr="003B02D3" w:rsidRDefault="009C593B" w:rsidP="00403B49">
            <w:pPr>
              <w:pStyle w:val="Tabletext"/>
            </w:pPr>
            <w:r w:rsidRPr="003B02D3">
              <w:t>Finlandia</w:t>
            </w:r>
          </w:p>
        </w:tc>
        <w:tc>
          <w:tcPr>
            <w:tcW w:w="2178" w:type="dxa"/>
            <w:shd w:val="clear" w:color="auto" w:fill="auto"/>
          </w:tcPr>
          <w:p w14:paraId="5CCCF2D0" w14:textId="77777777" w:rsidR="009C593B" w:rsidRPr="003B02D3" w:rsidRDefault="009C593B" w:rsidP="00403B49">
            <w:pPr>
              <w:pStyle w:val="Tabletext"/>
            </w:pPr>
          </w:p>
        </w:tc>
      </w:tr>
      <w:tr w:rsidR="009C593B" w:rsidRPr="003B02D3" w14:paraId="773C2088" w14:textId="77777777" w:rsidTr="00403B49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3ED8F828" w14:textId="77777777" w:rsidR="009C593B" w:rsidRPr="003B02D3" w:rsidRDefault="009C593B" w:rsidP="00403B49">
            <w:pPr>
              <w:pStyle w:val="Tabletext"/>
              <w:jc w:val="center"/>
            </w:pPr>
            <w:r w:rsidRPr="003B02D3">
              <w:t>2024</w:t>
            </w:r>
          </w:p>
        </w:tc>
        <w:tc>
          <w:tcPr>
            <w:tcW w:w="2301" w:type="dxa"/>
            <w:shd w:val="clear" w:color="auto" w:fill="auto"/>
            <w:noWrap/>
          </w:tcPr>
          <w:p w14:paraId="24B4E821" w14:textId="77777777" w:rsidR="009C593B" w:rsidRPr="003B02D3" w:rsidRDefault="009C593B" w:rsidP="00403B49">
            <w:pPr>
              <w:pStyle w:val="Tabletext"/>
            </w:pPr>
            <w:r w:rsidRPr="003B02D3">
              <w:t>100,00</w:t>
            </w:r>
          </w:p>
        </w:tc>
        <w:tc>
          <w:tcPr>
            <w:tcW w:w="945" w:type="dxa"/>
            <w:shd w:val="clear" w:color="auto" w:fill="auto"/>
            <w:noWrap/>
          </w:tcPr>
          <w:p w14:paraId="4B3A0C69" w14:textId="77777777" w:rsidR="009C593B" w:rsidRPr="003B02D3" w:rsidRDefault="009C593B" w:rsidP="00403B49">
            <w:pPr>
              <w:pStyle w:val="Tabletext"/>
              <w:jc w:val="center"/>
            </w:pPr>
            <w:r w:rsidRPr="003B02D3">
              <w:t>CHF</w:t>
            </w:r>
          </w:p>
        </w:tc>
        <w:tc>
          <w:tcPr>
            <w:tcW w:w="1070" w:type="dxa"/>
            <w:shd w:val="clear" w:color="auto" w:fill="auto"/>
          </w:tcPr>
          <w:p w14:paraId="0CFAEA7F" w14:textId="77777777" w:rsidR="009C593B" w:rsidRPr="003B02D3" w:rsidRDefault="009C593B" w:rsidP="00403B49">
            <w:pPr>
              <w:pStyle w:val="Tabletext"/>
              <w:jc w:val="center"/>
            </w:pPr>
            <w:r w:rsidRPr="003B02D3">
              <w:t>1</w:t>
            </w:r>
          </w:p>
        </w:tc>
        <w:tc>
          <w:tcPr>
            <w:tcW w:w="2981" w:type="dxa"/>
            <w:shd w:val="clear" w:color="auto" w:fill="auto"/>
            <w:noWrap/>
          </w:tcPr>
          <w:p w14:paraId="1102AF28" w14:textId="77777777" w:rsidR="009C593B" w:rsidRPr="003B02D3" w:rsidRDefault="009C593B" w:rsidP="00403B49">
            <w:pPr>
              <w:pStyle w:val="Tabletext"/>
            </w:pPr>
            <w:r w:rsidRPr="003B02D3">
              <w:t xml:space="preserve">Elisa </w:t>
            </w:r>
            <w:proofErr w:type="spellStart"/>
            <w:r w:rsidRPr="003B02D3">
              <w:t>Eesti</w:t>
            </w:r>
            <w:proofErr w:type="spellEnd"/>
            <w:r w:rsidRPr="003B02D3">
              <w:t xml:space="preserve"> AS</w:t>
            </w:r>
          </w:p>
        </w:tc>
        <w:tc>
          <w:tcPr>
            <w:tcW w:w="1755" w:type="dxa"/>
            <w:shd w:val="clear" w:color="auto" w:fill="auto"/>
            <w:noWrap/>
          </w:tcPr>
          <w:p w14:paraId="2F063AAB" w14:textId="77777777" w:rsidR="009C593B" w:rsidRPr="003B02D3" w:rsidRDefault="009C593B" w:rsidP="00403B49">
            <w:pPr>
              <w:pStyle w:val="Tabletext"/>
            </w:pPr>
            <w:r w:rsidRPr="003B02D3">
              <w:t>Estonia</w:t>
            </w:r>
          </w:p>
        </w:tc>
        <w:tc>
          <w:tcPr>
            <w:tcW w:w="2178" w:type="dxa"/>
            <w:shd w:val="clear" w:color="auto" w:fill="auto"/>
          </w:tcPr>
          <w:p w14:paraId="1D05813F" w14:textId="77777777" w:rsidR="009C593B" w:rsidRPr="003B02D3" w:rsidRDefault="009C593B" w:rsidP="00403B49">
            <w:pPr>
              <w:pStyle w:val="Tabletext"/>
            </w:pPr>
          </w:p>
        </w:tc>
      </w:tr>
    </w:tbl>
    <w:p w14:paraId="14D13025" w14:textId="77777777" w:rsidR="00F92BED" w:rsidRPr="003B02D3" w:rsidRDefault="00F92BED" w:rsidP="00403B49">
      <w:pPr>
        <w:pStyle w:val="Reasons"/>
      </w:pPr>
    </w:p>
    <w:p w14:paraId="3830B25D" w14:textId="77777777" w:rsidR="00F92BED" w:rsidRPr="00F92BED" w:rsidRDefault="00F92BED" w:rsidP="00AC446E">
      <w:pPr>
        <w:keepNext/>
        <w:jc w:val="center"/>
      </w:pPr>
      <w:r w:rsidRPr="003B02D3">
        <w:t>______________</w:t>
      </w:r>
    </w:p>
    <w:sectPr w:rsidR="00F92BED" w:rsidRPr="00F92BED" w:rsidSect="009C593B">
      <w:footerReference w:type="default" r:id="rId30"/>
      <w:headerReference w:type="first" r:id="rId31"/>
      <w:footerReference w:type="first" r:id="rId32"/>
      <w:pgSz w:w="16834" w:h="11907" w:orient="landscape"/>
      <w:pgMar w:top="1418" w:right="1418" w:bottom="1418" w:left="1418" w:header="720" w:footer="720" w:gutter="0"/>
      <w:paperSrc w:first="286" w:other="28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37F6E" w14:textId="77777777" w:rsidR="000526BB" w:rsidRDefault="000526BB">
      <w:r>
        <w:separator/>
      </w:r>
    </w:p>
  </w:endnote>
  <w:endnote w:type="continuationSeparator" w:id="0">
    <w:p w14:paraId="77B3AF13" w14:textId="77777777" w:rsidR="000526BB" w:rsidRDefault="0005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C593B" w:rsidRPr="00784011" w14:paraId="3E801BE7" w14:textId="77777777" w:rsidTr="00CB5E2F">
      <w:trPr>
        <w:jc w:val="center"/>
      </w:trPr>
      <w:tc>
        <w:tcPr>
          <w:tcW w:w="1803" w:type="dxa"/>
          <w:vAlign w:val="center"/>
        </w:tcPr>
        <w:p w14:paraId="63FB91C8" w14:textId="2EF4FEC1" w:rsidR="009C593B" w:rsidRDefault="00AC446E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gDoc </w:t>
          </w:r>
          <w:r w:rsidRPr="00AC446E">
            <w:rPr>
              <w:noProof/>
            </w:rPr>
            <w:t>2500904</w:t>
          </w:r>
        </w:p>
      </w:tc>
      <w:tc>
        <w:tcPr>
          <w:tcW w:w="8261" w:type="dxa"/>
        </w:tcPr>
        <w:p w14:paraId="45148005" w14:textId="10344941" w:rsidR="009C593B" w:rsidRPr="00E06FD5" w:rsidRDefault="009C593B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</w:rPr>
            <w:t>38</w:t>
          </w:r>
          <w:r w:rsidRPr="00623AE3">
            <w:rPr>
              <w:bCs/>
            </w:rPr>
            <w:t>-</w:t>
          </w:r>
          <w:r w:rsidR="003B02D3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3BB4FD3" w14:textId="77777777" w:rsidR="009C593B" w:rsidRPr="00DB1936" w:rsidRDefault="009C593B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C593B" w:rsidRPr="00784011" w14:paraId="18CC854D" w14:textId="77777777" w:rsidTr="00EE49E8">
      <w:trPr>
        <w:jc w:val="center"/>
      </w:trPr>
      <w:tc>
        <w:tcPr>
          <w:tcW w:w="1803" w:type="dxa"/>
          <w:vAlign w:val="center"/>
        </w:tcPr>
        <w:p w14:paraId="5FD98ADB" w14:textId="77777777" w:rsidR="009C593B" w:rsidRDefault="009C593B" w:rsidP="00EE49E8">
          <w:pPr>
            <w:pStyle w:val="Header"/>
            <w:jc w:val="left"/>
            <w:rPr>
              <w:noProof/>
            </w:rPr>
          </w:pPr>
          <w:hyperlink w:history="1"/>
          <w:hyperlink r:id="rId1" w:history="1">
            <w:r w:rsidRPr="006B77F1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37B0E84C" w14:textId="77777777" w:rsidR="009C593B" w:rsidRPr="00E06FD5" w:rsidRDefault="009C593B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25</w:t>
          </w:r>
          <w:proofErr w:type="spellEnd"/>
          <w:r w:rsidRPr="00623AE3">
            <w:rPr>
              <w:bCs/>
            </w:rPr>
            <w:t>/</w:t>
          </w:r>
          <w:r>
            <w:rPr>
              <w:bCs/>
            </w:rPr>
            <w:t>38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9229EB4" w14:textId="77777777" w:rsidR="009C593B" w:rsidRPr="00623AE3" w:rsidRDefault="009C593B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0CD3E850" w14:textId="77777777" w:rsidTr="00E31DCE">
      <w:trPr>
        <w:jc w:val="center"/>
      </w:trPr>
      <w:tc>
        <w:tcPr>
          <w:tcW w:w="1803" w:type="dxa"/>
          <w:vAlign w:val="center"/>
        </w:tcPr>
        <w:p w14:paraId="43423958" w14:textId="5D6386DE" w:rsidR="003273A4" w:rsidRDefault="002946E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gDoc </w:t>
          </w:r>
          <w:r w:rsidR="00AC446E" w:rsidRPr="00AC446E">
            <w:rPr>
              <w:noProof/>
            </w:rPr>
            <w:t>2500904</w:t>
          </w:r>
        </w:p>
      </w:tc>
      <w:tc>
        <w:tcPr>
          <w:tcW w:w="8261" w:type="dxa"/>
        </w:tcPr>
        <w:p w14:paraId="5E9ECAB8" w14:textId="0ADE0F02" w:rsidR="003273A4" w:rsidRPr="00E06FD5" w:rsidRDefault="003273A4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B6FD8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3B02D3">
            <w:rPr>
              <w:bCs/>
            </w:rPr>
            <w:t>38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9F59247" w14:textId="77777777" w:rsidR="007155AF" w:rsidRDefault="007155AF" w:rsidP="00AC446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955E69" w14:paraId="5F8065EA" w14:textId="77777777" w:rsidTr="00E31DCE">
      <w:trPr>
        <w:jc w:val="center"/>
      </w:trPr>
      <w:tc>
        <w:tcPr>
          <w:tcW w:w="1803" w:type="dxa"/>
          <w:vAlign w:val="center"/>
        </w:tcPr>
        <w:p w14:paraId="4D984736" w14:textId="140A246C" w:rsidR="00F24B71" w:rsidRPr="00955E69" w:rsidRDefault="00AC446E" w:rsidP="00F24B71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gDoc </w:t>
          </w:r>
          <w:r w:rsidRPr="00AC446E">
            <w:rPr>
              <w:noProof/>
            </w:rPr>
            <w:t>2500904</w:t>
          </w:r>
        </w:p>
      </w:tc>
      <w:tc>
        <w:tcPr>
          <w:tcW w:w="8261" w:type="dxa"/>
        </w:tcPr>
        <w:p w14:paraId="65F0BC9B" w14:textId="0A6DE77E" w:rsidR="00F24B71" w:rsidRPr="00955E69" w:rsidRDefault="00F24B71" w:rsidP="00B060DF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955E69">
            <w:rPr>
              <w:bCs/>
            </w:rPr>
            <w:tab/>
          </w:r>
          <w:proofErr w:type="spellStart"/>
          <w:r w:rsidRPr="00955E69">
            <w:rPr>
              <w:bCs/>
            </w:rPr>
            <w:t>C2</w:t>
          </w:r>
          <w:r w:rsidR="00BB6FD8" w:rsidRPr="00955E69">
            <w:rPr>
              <w:bCs/>
            </w:rPr>
            <w:t>5</w:t>
          </w:r>
          <w:proofErr w:type="spellEnd"/>
          <w:r w:rsidRPr="00955E69">
            <w:rPr>
              <w:bCs/>
            </w:rPr>
            <w:t>/</w:t>
          </w:r>
          <w:r w:rsidR="009C593B" w:rsidRPr="00955E69">
            <w:rPr>
              <w:bCs/>
            </w:rPr>
            <w:t>38</w:t>
          </w:r>
          <w:r w:rsidRPr="00955E69">
            <w:rPr>
              <w:bCs/>
            </w:rPr>
            <w:t>-</w:t>
          </w:r>
          <w:r w:rsidR="003273A4" w:rsidRPr="00955E69">
            <w:rPr>
              <w:bCs/>
            </w:rPr>
            <w:t>S</w:t>
          </w:r>
          <w:r w:rsidRPr="00955E69">
            <w:rPr>
              <w:bCs/>
            </w:rPr>
            <w:tab/>
          </w:r>
          <w:r w:rsidRPr="00955E69">
            <w:fldChar w:fldCharType="begin"/>
          </w:r>
          <w:r w:rsidRPr="00955E69">
            <w:instrText>PAGE</w:instrText>
          </w:r>
          <w:r w:rsidRPr="00955E69">
            <w:fldChar w:fldCharType="separate"/>
          </w:r>
          <w:r w:rsidRPr="00955E69">
            <w:t>1</w:t>
          </w:r>
          <w:r w:rsidRPr="00955E69">
            <w:rPr>
              <w:noProof/>
            </w:rPr>
            <w:fldChar w:fldCharType="end"/>
          </w:r>
        </w:p>
      </w:tc>
    </w:tr>
  </w:tbl>
  <w:p w14:paraId="1FFC0EF5" w14:textId="77777777" w:rsidR="007155AF" w:rsidRDefault="007155AF" w:rsidP="00AC44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F8BC6" w14:textId="77777777" w:rsidR="000526BB" w:rsidRDefault="000526BB">
      <w:r>
        <w:t>____________________</w:t>
      </w:r>
    </w:p>
  </w:footnote>
  <w:footnote w:type="continuationSeparator" w:id="0">
    <w:p w14:paraId="547AF185" w14:textId="77777777" w:rsidR="000526BB" w:rsidRDefault="0005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9C593B" w:rsidRPr="00784011" w14:paraId="0A3363E2" w14:textId="77777777" w:rsidTr="00CB5E2F">
      <w:trPr>
        <w:trHeight w:val="1104"/>
        <w:jc w:val="center"/>
      </w:trPr>
      <w:tc>
        <w:tcPr>
          <w:tcW w:w="4390" w:type="dxa"/>
          <w:vAlign w:val="center"/>
        </w:tcPr>
        <w:p w14:paraId="0B2261F8" w14:textId="77777777" w:rsidR="009C593B" w:rsidRPr="009621F8" w:rsidRDefault="009C593B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59E0E83" wp14:editId="4B9FB7B8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11515ED" w14:textId="77777777" w:rsidR="009C593B" w:rsidRDefault="009C593B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0F6ECBA" w14:textId="77777777" w:rsidR="009C593B" w:rsidRDefault="009C593B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BE48E48" w14:textId="77777777" w:rsidR="009C593B" w:rsidRPr="00784011" w:rsidRDefault="009C593B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08B952A" w14:textId="77777777" w:rsidR="009C593B" w:rsidRDefault="009C593B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57D8B2" wp14:editId="4A21101C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E85A2" id="Rectangle 1" o:spid="_x0000_s1026" style="position:absolute;margin-left:1.05pt;margin-top:50.8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1C29" w14:textId="6DCF1DFF" w:rsidR="001559F5" w:rsidRDefault="001559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3B"/>
    <w:rsid w:val="000007D1"/>
    <w:rsid w:val="000526BB"/>
    <w:rsid w:val="0006007D"/>
    <w:rsid w:val="00093EEB"/>
    <w:rsid w:val="000B0D00"/>
    <w:rsid w:val="000B31D5"/>
    <w:rsid w:val="000B7C15"/>
    <w:rsid w:val="000D1D0F"/>
    <w:rsid w:val="000E3F07"/>
    <w:rsid w:val="000F5290"/>
    <w:rsid w:val="0010165C"/>
    <w:rsid w:val="00146BFB"/>
    <w:rsid w:val="001559F5"/>
    <w:rsid w:val="00157AC4"/>
    <w:rsid w:val="0016169C"/>
    <w:rsid w:val="001B6E2B"/>
    <w:rsid w:val="001F14A2"/>
    <w:rsid w:val="00226D00"/>
    <w:rsid w:val="002801AA"/>
    <w:rsid w:val="002946E2"/>
    <w:rsid w:val="002C3F32"/>
    <w:rsid w:val="002C4676"/>
    <w:rsid w:val="002C70B0"/>
    <w:rsid w:val="002F3CC4"/>
    <w:rsid w:val="003032E2"/>
    <w:rsid w:val="0031300A"/>
    <w:rsid w:val="003273A4"/>
    <w:rsid w:val="0034796E"/>
    <w:rsid w:val="00387FE7"/>
    <w:rsid w:val="003A4708"/>
    <w:rsid w:val="003B02D3"/>
    <w:rsid w:val="00403B49"/>
    <w:rsid w:val="00473962"/>
    <w:rsid w:val="0048520E"/>
    <w:rsid w:val="004B2879"/>
    <w:rsid w:val="004B5D49"/>
    <w:rsid w:val="004D3A3C"/>
    <w:rsid w:val="004F7962"/>
    <w:rsid w:val="00513630"/>
    <w:rsid w:val="00531AC7"/>
    <w:rsid w:val="00560125"/>
    <w:rsid w:val="00585553"/>
    <w:rsid w:val="005B34D9"/>
    <w:rsid w:val="005B7844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66D09"/>
    <w:rsid w:val="006710F6"/>
    <w:rsid w:val="00677A97"/>
    <w:rsid w:val="006C1B56"/>
    <w:rsid w:val="006D4761"/>
    <w:rsid w:val="007155AF"/>
    <w:rsid w:val="00726872"/>
    <w:rsid w:val="00760F1C"/>
    <w:rsid w:val="007657F0"/>
    <w:rsid w:val="0077110E"/>
    <w:rsid w:val="0077252D"/>
    <w:rsid w:val="007955DA"/>
    <w:rsid w:val="007E5DD3"/>
    <w:rsid w:val="007F350B"/>
    <w:rsid w:val="00804CE6"/>
    <w:rsid w:val="00820BE4"/>
    <w:rsid w:val="008451E8"/>
    <w:rsid w:val="0086158D"/>
    <w:rsid w:val="008F6ABC"/>
    <w:rsid w:val="00913B9C"/>
    <w:rsid w:val="00927F93"/>
    <w:rsid w:val="00955E69"/>
    <w:rsid w:val="00956E77"/>
    <w:rsid w:val="009A338E"/>
    <w:rsid w:val="009C593B"/>
    <w:rsid w:val="009D4C56"/>
    <w:rsid w:val="009F4811"/>
    <w:rsid w:val="00A94438"/>
    <w:rsid w:val="00AA390C"/>
    <w:rsid w:val="00AC446E"/>
    <w:rsid w:val="00B0200A"/>
    <w:rsid w:val="00B060DF"/>
    <w:rsid w:val="00B574DB"/>
    <w:rsid w:val="00B7559A"/>
    <w:rsid w:val="00B826C2"/>
    <w:rsid w:val="00B8298E"/>
    <w:rsid w:val="00BB6FD8"/>
    <w:rsid w:val="00BD0723"/>
    <w:rsid w:val="00BD1718"/>
    <w:rsid w:val="00BD2518"/>
    <w:rsid w:val="00BD341E"/>
    <w:rsid w:val="00BF1D1C"/>
    <w:rsid w:val="00C20C59"/>
    <w:rsid w:val="00C2727F"/>
    <w:rsid w:val="00C538FC"/>
    <w:rsid w:val="00C55B1F"/>
    <w:rsid w:val="00CF1A67"/>
    <w:rsid w:val="00D2750E"/>
    <w:rsid w:val="00D375E0"/>
    <w:rsid w:val="00D50A36"/>
    <w:rsid w:val="00D62446"/>
    <w:rsid w:val="00D9343E"/>
    <w:rsid w:val="00DA4EA2"/>
    <w:rsid w:val="00DC3D3E"/>
    <w:rsid w:val="00DE2C90"/>
    <w:rsid w:val="00DE3B24"/>
    <w:rsid w:val="00E06947"/>
    <w:rsid w:val="00E11319"/>
    <w:rsid w:val="00E21444"/>
    <w:rsid w:val="00E34072"/>
    <w:rsid w:val="00E3592D"/>
    <w:rsid w:val="00E50D76"/>
    <w:rsid w:val="00E8018B"/>
    <w:rsid w:val="00E92DE8"/>
    <w:rsid w:val="00EB1212"/>
    <w:rsid w:val="00ED65AB"/>
    <w:rsid w:val="00EF0498"/>
    <w:rsid w:val="00F12850"/>
    <w:rsid w:val="00F24B71"/>
    <w:rsid w:val="00F33BF4"/>
    <w:rsid w:val="00F7105E"/>
    <w:rsid w:val="00F75F57"/>
    <w:rsid w:val="00F82FEE"/>
    <w:rsid w:val="00F92BED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2257D7"/>
  <w15:docId w15:val="{6A0BBE80-290B-41BE-8045-13CB866A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226D00"/>
    <w:rPr>
      <w:color w:val="0070C0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92BED"/>
    <w:pPr>
      <w:framePr w:hSpace="181" w:wrap="around" w:vAnchor="page" w:hAnchor="page" w:x="1821" w:y="2314"/>
      <w:spacing w:before="120" w:after="160"/>
      <w:jc w:val="left"/>
    </w:pPr>
    <w:rPr>
      <w:rFonts w:cstheme="minorHAnsi"/>
      <w:caps w:val="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6FD8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946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7844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120/en" TargetMode="External"/><Relationship Id="rId18" Type="http://schemas.openxmlformats.org/officeDocument/2006/relationships/hyperlink" Target="https://www.itu.int/md/S22-CL-C-0050/en" TargetMode="External"/><Relationship Id="rId26" Type="http://schemas.openxmlformats.org/officeDocument/2006/relationships/hyperlink" Target="https://www.itu.int/md/S25-CWGFHR20-C-0013/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25-CWGFHR20-C-0013/e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tu.int/md/S17-CL-C-0133/en" TargetMode="External"/><Relationship Id="rId12" Type="http://schemas.openxmlformats.org/officeDocument/2006/relationships/hyperlink" Target="https://www.itu.int/md/S19-CL-C-0047/en" TargetMode="External"/><Relationship Id="rId17" Type="http://schemas.openxmlformats.org/officeDocument/2006/relationships/hyperlink" Target="https://www.itu.int/md/S21-CWGFHR14-C-0012/en" TargetMode="External"/><Relationship Id="rId25" Type="http://schemas.openxmlformats.org/officeDocument/2006/relationships/image" Target="media/image1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21-CWGFHR14-C-0007/en" TargetMode="External"/><Relationship Id="rId20" Type="http://schemas.openxmlformats.org/officeDocument/2006/relationships/hyperlink" Target="https://www.itu.int/md/S24-CL-C-0038/es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itu.int/md/S24-CL-C-0038/es" TargetMode="External"/><Relationship Id="rId11" Type="http://schemas.openxmlformats.org/officeDocument/2006/relationships/hyperlink" Target="https://www.itu.int/md/S19-CLCWGFHR09-C-0015/en" TargetMode="External"/><Relationship Id="rId24" Type="http://schemas.openxmlformats.org/officeDocument/2006/relationships/hyperlink" Target="https://www.itu.int/md/S24-CL-C-0038/es" TargetMode="External"/><Relationship Id="rId32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1-CWGFHR14-C-0006/en" TargetMode="External"/><Relationship Id="rId23" Type="http://schemas.openxmlformats.org/officeDocument/2006/relationships/hyperlink" Target="https://www.itu.int/md/S17-CL-C-0134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19-CLCWGFHR09-C-0014/en" TargetMode="External"/><Relationship Id="rId19" Type="http://schemas.openxmlformats.org/officeDocument/2006/relationships/hyperlink" Target="https://www.itu.int/md/S24-CWGFHR17-C-0008/en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100/en" TargetMode="External"/><Relationship Id="rId14" Type="http://schemas.openxmlformats.org/officeDocument/2006/relationships/hyperlink" Target="https://www.itu.int/md/S20-CL-C-0047/en" TargetMode="External"/><Relationship Id="rId22" Type="http://schemas.openxmlformats.org/officeDocument/2006/relationships/hyperlink" Target="https://www.itu.int/md/S17-CL-C-0133/e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hyperlink" Target="https://www.itu.int/md/S17-CL-C-013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PS_Council25.dotx</Template>
  <TotalTime>14</TotalTime>
  <Pages>6</Pages>
  <Words>1121</Words>
  <Characters>5688</Characters>
  <Application>Microsoft Office Word</Application>
  <DocSecurity>0</DocSecurity>
  <Lines>363</Lines>
  <Paragraphs>249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6571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situación sobre la aplicación de los Acuerdos 600 y 601 del Consejo (UIFN, IIN)</dc:title>
  <dc:subject>Consejo 2025 de la UIT</dc:subject>
  <cp:keywords>C2025, C25, Council-25</cp:keywords>
  <dc:description/>
  <cp:lastPrinted>2006-03-24T09:51:00Z</cp:lastPrinted>
  <dcterms:created xsi:type="dcterms:W3CDTF">2025-04-25T06:05:00Z</dcterms:created>
  <dcterms:modified xsi:type="dcterms:W3CDTF">2025-05-05T15:45:00Z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5c03a5c9b91678b956e25536f0296632c716f66cf9a10e87f22af88ff3e788b1</vt:lpwstr>
  </property>
</Properties>
</file>