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5158F" w14:paraId="0BDC7C03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E6D6844" w14:textId="1989F6B6" w:rsidR="00796BD3" w:rsidRPr="00E5158F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5158F">
              <w:rPr>
                <w:b/>
                <w:lang w:val="ru-RU"/>
              </w:rPr>
              <w:t>Пункт повестки дня:</w:t>
            </w:r>
            <w:r w:rsidR="001F5873" w:rsidRPr="00E5158F">
              <w:rPr>
                <w:b/>
                <w:lang w:val="ru-RU"/>
              </w:rPr>
              <w:t xml:space="preserve"> </w:t>
            </w:r>
            <w:r w:rsidR="001F5873" w:rsidRPr="00E5158F">
              <w:rPr>
                <w:b/>
                <w:bCs/>
                <w:lang w:val="ru-RU"/>
              </w:rPr>
              <w:t>ADM 1</w:t>
            </w:r>
          </w:p>
        </w:tc>
        <w:tc>
          <w:tcPr>
            <w:tcW w:w="5245" w:type="dxa"/>
          </w:tcPr>
          <w:p w14:paraId="1645B925" w14:textId="1C5469C4" w:rsidR="00796BD3" w:rsidRPr="00E5158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5158F">
              <w:rPr>
                <w:b/>
                <w:lang w:val="ru-RU"/>
              </w:rPr>
              <w:t xml:space="preserve">Документ </w:t>
            </w:r>
            <w:r w:rsidR="00796BD3" w:rsidRPr="00E5158F">
              <w:rPr>
                <w:b/>
                <w:lang w:val="ru-RU"/>
              </w:rPr>
              <w:t>C2</w:t>
            </w:r>
            <w:r w:rsidR="00D631AA" w:rsidRPr="00E5158F">
              <w:rPr>
                <w:b/>
                <w:lang w:val="ru-RU"/>
              </w:rPr>
              <w:t>5</w:t>
            </w:r>
            <w:r w:rsidR="00796BD3" w:rsidRPr="00E5158F">
              <w:rPr>
                <w:b/>
                <w:lang w:val="ru-RU"/>
              </w:rPr>
              <w:t>/</w:t>
            </w:r>
            <w:r w:rsidR="001F5873" w:rsidRPr="00E5158F">
              <w:rPr>
                <w:b/>
                <w:lang w:val="ru-RU"/>
              </w:rPr>
              <w:t>38</w:t>
            </w:r>
            <w:r w:rsidR="00796BD3" w:rsidRPr="00E5158F">
              <w:rPr>
                <w:b/>
                <w:lang w:val="ru-RU"/>
              </w:rPr>
              <w:t>-R</w:t>
            </w:r>
          </w:p>
        </w:tc>
      </w:tr>
      <w:tr w:rsidR="00796BD3" w:rsidRPr="00E5158F" w14:paraId="3EEDED17" w14:textId="77777777" w:rsidTr="00DA770A">
        <w:trPr>
          <w:cantSplit/>
        </w:trPr>
        <w:tc>
          <w:tcPr>
            <w:tcW w:w="3969" w:type="dxa"/>
            <w:vMerge/>
          </w:tcPr>
          <w:p w14:paraId="248E4214" w14:textId="77777777" w:rsidR="00796BD3" w:rsidRPr="00E5158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089BB95" w14:textId="721F0D59" w:rsidR="00796BD3" w:rsidRPr="00E5158F" w:rsidRDefault="001F5873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5158F">
              <w:rPr>
                <w:b/>
                <w:lang w:val="ru-RU"/>
              </w:rPr>
              <w:t>1</w:t>
            </w:r>
            <w:r w:rsidR="00F25C76" w:rsidRPr="00E5158F">
              <w:rPr>
                <w:b/>
                <w:lang w:val="ru-RU"/>
              </w:rPr>
              <w:t>7</w:t>
            </w:r>
            <w:r w:rsidRPr="00E5158F">
              <w:rPr>
                <w:b/>
                <w:lang w:val="ru-RU"/>
              </w:rPr>
              <w:t xml:space="preserve"> апреля 2025 года</w:t>
            </w:r>
          </w:p>
        </w:tc>
      </w:tr>
      <w:tr w:rsidR="00796BD3" w:rsidRPr="00E5158F" w14:paraId="5E19271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48AD5A68" w14:textId="77777777" w:rsidR="00796BD3" w:rsidRPr="00E5158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D721EEC" w14:textId="77777777" w:rsidR="00796BD3" w:rsidRPr="00E5158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5158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5158F" w14:paraId="32CA7139" w14:textId="77777777" w:rsidTr="00DA770A">
        <w:trPr>
          <w:cantSplit/>
          <w:trHeight w:val="23"/>
        </w:trPr>
        <w:tc>
          <w:tcPr>
            <w:tcW w:w="3969" w:type="dxa"/>
          </w:tcPr>
          <w:p w14:paraId="05FD71A7" w14:textId="77777777" w:rsidR="00796BD3" w:rsidRPr="00E5158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6FDD467" w14:textId="77777777" w:rsidR="00796BD3" w:rsidRPr="00E5158F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5158F" w14:paraId="43F97B36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B667093" w14:textId="77777777" w:rsidR="00796BD3" w:rsidRPr="00E5158F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5158F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AA1808" w14:paraId="6366C0B2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4F8AF37" w14:textId="3A3A97B1" w:rsidR="00796BD3" w:rsidRPr="00E5158F" w:rsidRDefault="001F5873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lt_pId009"/>
            <w:bookmarkStart w:id="7" w:name="_Hlk163593292"/>
            <w:bookmarkStart w:id="8" w:name="dtitle1" w:colFirst="0" w:colLast="0"/>
            <w:bookmarkEnd w:id="5"/>
            <w:r w:rsidRPr="00E5158F">
              <w:rPr>
                <w:rFonts w:cstheme="minorHAnsi"/>
                <w:sz w:val="32"/>
                <w:szCs w:val="32"/>
                <w:lang w:val="ru-RU"/>
              </w:rPr>
              <w:t>О</w:t>
            </w:r>
            <w:r w:rsidR="00F25C76" w:rsidRPr="00E5158F">
              <w:rPr>
                <w:rFonts w:cstheme="minorHAnsi"/>
                <w:sz w:val="32"/>
                <w:szCs w:val="32"/>
                <w:lang w:val="ru-RU"/>
              </w:rPr>
              <w:t xml:space="preserve">тчет о ходе выполнения Решений </w:t>
            </w:r>
            <w:r w:rsidRPr="00E5158F">
              <w:rPr>
                <w:rFonts w:cstheme="minorHAnsi"/>
                <w:sz w:val="32"/>
                <w:szCs w:val="32"/>
                <w:lang w:val="ru-RU"/>
              </w:rPr>
              <w:t xml:space="preserve">600 </w:t>
            </w:r>
            <w:r w:rsidR="00F25C76" w:rsidRPr="00E5158F"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E5158F">
              <w:rPr>
                <w:rFonts w:cstheme="minorHAnsi"/>
                <w:sz w:val="32"/>
                <w:szCs w:val="32"/>
                <w:lang w:val="ru-RU"/>
              </w:rPr>
              <w:t xml:space="preserve"> 601 С</w:t>
            </w:r>
            <w:r w:rsidR="00F25C76" w:rsidRPr="00E5158F">
              <w:rPr>
                <w:rFonts w:cstheme="minorHAnsi"/>
                <w:sz w:val="32"/>
                <w:szCs w:val="32"/>
                <w:lang w:val="ru-RU"/>
              </w:rPr>
              <w:t xml:space="preserve">овета </w:t>
            </w:r>
            <w:r w:rsidRPr="00E5158F">
              <w:rPr>
                <w:rFonts w:cstheme="minorHAnsi"/>
                <w:sz w:val="32"/>
                <w:szCs w:val="32"/>
                <w:lang w:val="ru-RU"/>
              </w:rPr>
              <w:t>(UIFN, IIN)</w:t>
            </w:r>
            <w:bookmarkEnd w:id="6"/>
            <w:bookmarkEnd w:id="7"/>
          </w:p>
        </w:tc>
      </w:tr>
      <w:tr w:rsidR="00796BD3" w:rsidRPr="00FF7EED" w14:paraId="4E14D011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7FB6632" w14:textId="77777777" w:rsidR="00796BD3" w:rsidRPr="00E5158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5158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8C7DD6" w14:textId="68091B66" w:rsidR="00796BD3" w:rsidRPr="00E5158F" w:rsidRDefault="001F5873" w:rsidP="00DA770A">
            <w:pPr>
              <w:rPr>
                <w:lang w:val="ru-RU"/>
              </w:rPr>
            </w:pPr>
            <w:bookmarkStart w:id="9" w:name="lt_pId011"/>
            <w:r w:rsidRPr="00E5158F">
              <w:rPr>
                <w:lang w:val="ru-RU"/>
              </w:rPr>
              <w:t xml:space="preserve">После утверждения на сессии Совета 2017 года Решений 600 и 601 МСЭ ведет работу по выполнению этих Решений. В настоящем отчете представлены обновленные данные, указанные в Документе </w:t>
            </w:r>
            <w:hyperlink r:id="rId7" w:history="1">
              <w:proofErr w:type="spellStart"/>
              <w:r w:rsidRPr="00E5158F">
                <w:rPr>
                  <w:rStyle w:val="Hyperlink"/>
                  <w:lang w:val="ru-RU"/>
                </w:rPr>
                <w:t>С24</w:t>
              </w:r>
              <w:proofErr w:type="spellEnd"/>
              <w:r w:rsidRPr="00E5158F">
                <w:rPr>
                  <w:rStyle w:val="Hyperlink"/>
                  <w:lang w:val="ru-RU"/>
                </w:rPr>
                <w:t>/38</w:t>
              </w:r>
            </w:hyperlink>
            <w:r w:rsidRPr="00E5158F">
              <w:rPr>
                <w:lang w:val="ru-RU"/>
              </w:rPr>
              <w:t>.</w:t>
            </w:r>
            <w:bookmarkEnd w:id="9"/>
          </w:p>
          <w:p w14:paraId="62C41CFC" w14:textId="77777777" w:rsidR="00796BD3" w:rsidRPr="00E5158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5158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898C9C4" w14:textId="68C09F8E" w:rsidR="00796BD3" w:rsidRPr="00E5158F" w:rsidRDefault="001F5873" w:rsidP="00DA770A">
            <w:pPr>
              <w:rPr>
                <w:lang w:val="ru-RU"/>
              </w:rPr>
            </w:pPr>
            <w:bookmarkStart w:id="10" w:name="lt_pId014"/>
            <w:r w:rsidRPr="00E5158F">
              <w:rPr>
                <w:lang w:val="ru-RU"/>
              </w:rPr>
              <w:t xml:space="preserve">Совету предлагается </w:t>
            </w:r>
            <w:r w:rsidRPr="00E5158F">
              <w:rPr>
                <w:b/>
                <w:bCs/>
                <w:lang w:val="ru-RU"/>
              </w:rPr>
              <w:t>принять к сведению</w:t>
            </w:r>
            <w:r w:rsidRPr="00E5158F">
              <w:rPr>
                <w:lang w:val="ru-RU"/>
              </w:rPr>
              <w:t xml:space="preserve"> настоящий отчет.</w:t>
            </w:r>
            <w:bookmarkEnd w:id="10"/>
          </w:p>
          <w:p w14:paraId="388122FE" w14:textId="77777777" w:rsidR="00796BD3" w:rsidRPr="00E5158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5158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D284C5B" w14:textId="25242348" w:rsidR="00796BD3" w:rsidRPr="00E5158F" w:rsidRDefault="001F5873" w:rsidP="00DA770A">
            <w:pPr>
              <w:rPr>
                <w:lang w:val="ru-RU"/>
              </w:rPr>
            </w:pPr>
            <w:bookmarkStart w:id="11" w:name="lt_pId016"/>
            <w:r w:rsidRPr="00E5158F">
              <w:rPr>
                <w:lang w:val="ru-RU"/>
              </w:rPr>
              <w:t>Ресурсы международной нумерации электросвязи.</w:t>
            </w:r>
            <w:bookmarkEnd w:id="11"/>
          </w:p>
          <w:p w14:paraId="1E060FFC" w14:textId="77777777" w:rsidR="00796BD3" w:rsidRPr="00E5158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5158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699FF09D" w14:textId="7DB33263" w:rsidR="00345D2A" w:rsidRPr="00E5158F" w:rsidRDefault="001F5873" w:rsidP="00DA770A">
            <w:pPr>
              <w:spacing w:before="160"/>
              <w:rPr>
                <w:szCs w:val="22"/>
                <w:lang w:val="ru-RU"/>
              </w:rPr>
            </w:pPr>
            <w:bookmarkStart w:id="12" w:name="lt_pId018"/>
            <w:r w:rsidRPr="00E5158F">
              <w:rPr>
                <w:szCs w:val="22"/>
                <w:lang w:val="ru-RU"/>
              </w:rPr>
              <w:t>Доходы от выполнения Решений 600 и 601 Совета включены в бюджет на 2024–2025 годы.</w:t>
            </w:r>
            <w:bookmarkEnd w:id="12"/>
          </w:p>
          <w:p w14:paraId="37DEAE79" w14:textId="77777777" w:rsidR="00796BD3" w:rsidRPr="00E5158F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5158F">
              <w:rPr>
                <w:sz w:val="20"/>
                <w:szCs w:val="18"/>
                <w:lang w:val="ru-RU"/>
              </w:rPr>
              <w:t>__________________</w:t>
            </w:r>
          </w:p>
          <w:p w14:paraId="74D81FF6" w14:textId="77777777" w:rsidR="00796BD3" w:rsidRPr="00E5158F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5158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24F0F90" w14:textId="419A1230" w:rsidR="00796BD3" w:rsidRPr="00AA1808" w:rsidRDefault="001F5873" w:rsidP="00DA770A">
            <w:pPr>
              <w:spacing w:after="160"/>
              <w:rPr>
                <w:i/>
                <w:iCs/>
                <w:sz w:val="20"/>
                <w:lang w:val="ru-RU"/>
              </w:rPr>
            </w:pPr>
            <w:bookmarkStart w:id="13" w:name="lt_pId021"/>
            <w:r w:rsidRPr="00AA1808">
              <w:rPr>
                <w:i/>
                <w:iCs/>
                <w:sz w:val="20"/>
                <w:lang w:val="ru-RU"/>
              </w:rPr>
              <w:t xml:space="preserve">Документы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17-</w:instrText>
            </w:r>
            <w:r>
              <w:instrText>CL</w:instrText>
            </w:r>
            <w:r w:rsidRPr="00FF7EED">
              <w:rPr>
                <w:lang w:val="ru-RU"/>
              </w:rPr>
              <w:instrText>-</w:instrText>
            </w:r>
            <w:r>
              <w:instrText>C</w:instrText>
            </w:r>
            <w:r w:rsidRPr="00FF7EED">
              <w:rPr>
                <w:lang w:val="ru-RU"/>
              </w:rPr>
              <w:instrText>-0133/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C17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/133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 и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17-</w:instrText>
            </w:r>
            <w:r>
              <w:instrText>CL</w:instrText>
            </w:r>
            <w:r w:rsidRPr="00FF7EED">
              <w:rPr>
                <w:lang w:val="ru-RU"/>
              </w:rPr>
              <w:instrText>-</w:instrText>
            </w:r>
            <w:r>
              <w:instrText>C</w:instrText>
            </w:r>
            <w:r w:rsidRPr="00FF7EED">
              <w:rPr>
                <w:lang w:val="ru-RU"/>
              </w:rPr>
              <w:instrText>-0134/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C17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/134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18-</w:instrText>
            </w:r>
            <w:r>
              <w:instrText>CL</w:instrText>
            </w:r>
            <w:r w:rsidRPr="00FF7EED">
              <w:rPr>
                <w:lang w:val="ru-RU"/>
              </w:rPr>
              <w:instrText>-</w:instrText>
            </w:r>
            <w:r>
              <w:instrText>C</w:instrText>
            </w:r>
            <w:r w:rsidRPr="00FF7EED">
              <w:rPr>
                <w:lang w:val="ru-RU"/>
              </w:rPr>
              <w:instrText>-0100/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C18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/100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19-</w:instrText>
            </w:r>
            <w:r>
              <w:instrText>CLCWGFHR</w:instrText>
            </w:r>
            <w:r w:rsidRPr="00FF7EED">
              <w:rPr>
                <w:lang w:val="ru-RU"/>
              </w:rPr>
              <w:instrText>09-</w:instrText>
            </w:r>
            <w:r>
              <w:instrText>C</w:instrText>
            </w:r>
            <w:r w:rsidRPr="00FF7EED">
              <w:rPr>
                <w:lang w:val="ru-RU"/>
              </w:rPr>
              <w:instrText>-0014/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CWG-FHR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 xml:space="preserve"> 9/14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 и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19-</w:instrText>
            </w:r>
            <w:r>
              <w:instrText>CLCWGFHR</w:instrText>
            </w:r>
            <w:r w:rsidRPr="00FF7EED">
              <w:rPr>
                <w:lang w:val="ru-RU"/>
              </w:rPr>
              <w:instrText>09-</w:instrText>
            </w:r>
            <w:r>
              <w:instrText>C</w:instrText>
            </w:r>
            <w:r w:rsidRPr="00FF7EED">
              <w:rPr>
                <w:lang w:val="ru-RU"/>
              </w:rPr>
              <w:instrText>-0015/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CWG-FHR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 xml:space="preserve"> 9/15</w:t>
            </w:r>
            <w:r>
              <w:fldChar w:fldCharType="end"/>
            </w:r>
            <w:r w:rsidRPr="00AA1808">
              <w:rPr>
                <w:i/>
                <w:iCs/>
                <w:sz w:val="20"/>
                <w:u w:val="single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19-</w:instrText>
            </w:r>
            <w:r>
              <w:instrText>CL</w:instrText>
            </w:r>
            <w:r w:rsidRPr="00FF7EED">
              <w:rPr>
                <w:lang w:val="ru-RU"/>
              </w:rPr>
              <w:instrText>-</w:instrText>
            </w:r>
            <w:r>
              <w:instrText>C</w:instrText>
            </w:r>
            <w:r w:rsidRPr="00FF7EED">
              <w:rPr>
                <w:lang w:val="ru-RU"/>
              </w:rPr>
              <w:instrText>-0047/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C19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/47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 и</w:t>
            </w:r>
            <w:r w:rsidRPr="00AA1808">
              <w:rPr>
                <w:i/>
                <w:iCs/>
                <w:sz w:val="20"/>
                <w:u w:val="single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19-</w:instrText>
            </w:r>
            <w:r>
              <w:instrText>CL</w:instrText>
            </w:r>
            <w:r w:rsidRPr="00FF7EED">
              <w:rPr>
                <w:lang w:val="ru-RU"/>
              </w:rPr>
              <w:instrText>-</w:instrText>
            </w:r>
            <w:r>
              <w:instrText>C</w:instrText>
            </w:r>
            <w:r w:rsidRPr="00FF7EED">
              <w:rPr>
                <w:lang w:val="ru-RU"/>
              </w:rPr>
              <w:instrText>-0120/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bCs/>
                <w:i/>
                <w:iCs/>
                <w:sz w:val="20"/>
                <w:lang w:val="ru-RU"/>
              </w:rPr>
              <w:t>C19</w:t>
            </w:r>
            <w:proofErr w:type="spellEnd"/>
            <w:r w:rsidRPr="00AA1808">
              <w:rPr>
                <w:rStyle w:val="Hyperlink"/>
                <w:bCs/>
                <w:i/>
                <w:iCs/>
                <w:sz w:val="20"/>
                <w:lang w:val="ru-RU"/>
              </w:rPr>
              <w:t>/120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20-</w:instrText>
            </w:r>
            <w:r>
              <w:instrText>CL</w:instrText>
            </w:r>
            <w:r w:rsidRPr="00FF7EED">
              <w:rPr>
                <w:lang w:val="ru-RU"/>
              </w:rPr>
              <w:instrText>-</w:instrText>
            </w:r>
            <w:r>
              <w:instrText>C</w:instrText>
            </w:r>
            <w:r w:rsidRPr="00FF7EED">
              <w:rPr>
                <w:lang w:val="ru-RU"/>
              </w:rPr>
              <w:instrText>-0047/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C20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/47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; </w:t>
            </w:r>
            <w:bookmarkStart w:id="14" w:name="_Hlk132728228"/>
            <w:r w:rsidRPr="00AA1808">
              <w:rPr>
                <w:i/>
                <w:iCs/>
                <w:sz w:val="20"/>
                <w:lang w:val="ru-RU"/>
              </w:rPr>
              <w:fldChar w:fldCharType="begin"/>
            </w:r>
            <w:r w:rsidRPr="00AA1808">
              <w:rPr>
                <w:i/>
                <w:iCs/>
                <w:sz w:val="20"/>
                <w:lang w:val="ru-RU"/>
              </w:rPr>
              <w:instrText xml:space="preserve"> HYPERLINK "https://www.itu.int/md/S21-CL-C-0047/en" </w:instrText>
            </w:r>
            <w:r w:rsidRPr="00AA1808">
              <w:rPr>
                <w:i/>
                <w:iCs/>
                <w:sz w:val="20"/>
                <w:lang w:val="ru-RU"/>
              </w:rPr>
            </w:r>
            <w:r w:rsidRPr="00AA1808">
              <w:rPr>
                <w:i/>
                <w:iCs/>
                <w:sz w:val="20"/>
                <w:lang w:val="ru-RU"/>
              </w:rP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C21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/47</w:t>
            </w:r>
            <w:r w:rsidRPr="00AA1808">
              <w:rPr>
                <w:i/>
                <w:iCs/>
                <w:sz w:val="20"/>
                <w:lang w:val="ru-RU"/>
              </w:rPr>
              <w:fldChar w:fldCharType="end"/>
            </w:r>
            <w:bookmarkEnd w:id="14"/>
            <w:r w:rsidRPr="00AA1808">
              <w:rPr>
                <w:i/>
                <w:iCs/>
                <w:sz w:val="20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21-</w:instrText>
            </w:r>
            <w:r>
              <w:instrText>CWGFHR</w:instrText>
            </w:r>
            <w:r w:rsidRPr="00FF7EED">
              <w:rPr>
                <w:lang w:val="ru-RU"/>
              </w:rPr>
              <w:instrText>14-</w:instrText>
            </w:r>
            <w:r>
              <w:instrText>C</w:instrText>
            </w:r>
            <w:r w:rsidRPr="00FF7EED">
              <w:rPr>
                <w:lang w:val="ru-RU"/>
              </w:rPr>
              <w:instrText>-0006/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CWG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</w:t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FHR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-14/6</w:t>
            </w:r>
            <w:r>
              <w:fldChar w:fldCharType="end"/>
            </w:r>
            <w:r w:rsidR="00F25C76" w:rsidRPr="00AA1808">
              <w:rPr>
                <w:sz w:val="20"/>
                <w:lang w:val="ru-RU"/>
              </w:rPr>
              <w:t>,</w:t>
            </w:r>
            <w:r w:rsidRPr="00AA1808">
              <w:rPr>
                <w:i/>
                <w:iCs/>
                <w:sz w:val="2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21-</w:instrText>
            </w:r>
            <w:r>
              <w:instrText>CWGFHR</w:instrText>
            </w:r>
            <w:r w:rsidRPr="00FF7EED">
              <w:rPr>
                <w:lang w:val="ru-RU"/>
              </w:rPr>
              <w:instrText>14-</w:instrText>
            </w:r>
            <w:r>
              <w:instrText>C</w:instrText>
            </w:r>
            <w:r w:rsidRPr="00FF7EED">
              <w:rPr>
                <w:lang w:val="ru-RU"/>
              </w:rPr>
              <w:instrText>-0007/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CWG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</w:t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FHR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-14/7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 и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21-</w:instrText>
            </w:r>
            <w:r>
              <w:instrText>CWGFHR</w:instrText>
            </w:r>
            <w:r w:rsidRPr="00FF7EED">
              <w:rPr>
                <w:lang w:val="ru-RU"/>
              </w:rPr>
              <w:instrText>14-</w:instrText>
            </w:r>
            <w:r>
              <w:instrText>C</w:instrText>
            </w:r>
            <w:r w:rsidRPr="00FF7EED">
              <w:rPr>
                <w:lang w:val="ru-RU"/>
              </w:rPr>
              <w:instrText>-0012/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CWG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</w:t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FHR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-14/12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22-</w:instrText>
            </w:r>
            <w:r>
              <w:instrText>CL</w:instrText>
            </w:r>
            <w:r w:rsidRPr="00FF7EED">
              <w:rPr>
                <w:lang w:val="ru-RU"/>
              </w:rPr>
              <w:instrText>-</w:instrText>
            </w:r>
            <w:r>
              <w:instrText>C</w:instrText>
            </w:r>
            <w:r w:rsidRPr="00FF7EED">
              <w:rPr>
                <w:lang w:val="ru-RU"/>
              </w:rPr>
              <w:instrText>-0050/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C22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/50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24-</w:instrText>
            </w:r>
            <w:r>
              <w:instrText>CWGFHR</w:instrText>
            </w:r>
            <w:r w:rsidRPr="00FF7EED">
              <w:rPr>
                <w:lang w:val="ru-RU"/>
              </w:rPr>
              <w:instrText>17-</w:instrText>
            </w:r>
            <w:r>
              <w:instrText>C</w:instrText>
            </w:r>
            <w:r w:rsidRPr="00FF7EED">
              <w:rPr>
                <w:lang w:val="ru-RU"/>
              </w:rPr>
              <w:instrText>-0008/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CWG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</w:t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FHR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-17/8</w:t>
            </w:r>
            <w:bookmarkEnd w:id="13"/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24-</w:instrText>
            </w:r>
            <w:r>
              <w:instrText>CL</w:instrText>
            </w:r>
            <w:r w:rsidRPr="00FF7EED">
              <w:rPr>
                <w:lang w:val="ru-RU"/>
              </w:rPr>
              <w:instrText>-</w:instrText>
            </w:r>
            <w:r>
              <w:instrText>C</w:instrText>
            </w:r>
            <w:r w:rsidRPr="00FF7EED">
              <w:rPr>
                <w:lang w:val="ru-RU"/>
              </w:rPr>
              <w:instrText>-0038/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С24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/38</w:t>
            </w:r>
            <w:r>
              <w:fldChar w:fldCharType="end"/>
            </w:r>
            <w:r w:rsidRPr="00AA1808">
              <w:rPr>
                <w:i/>
                <w:iCs/>
                <w:sz w:val="20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FF7EE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F7EED">
              <w:rPr>
                <w:lang w:val="ru-RU"/>
              </w:rPr>
              <w:instrText>://</w:instrText>
            </w:r>
            <w:r>
              <w:instrText>www</w:instrText>
            </w:r>
            <w:r w:rsidRPr="00FF7EED">
              <w:rPr>
                <w:lang w:val="ru-RU"/>
              </w:rPr>
              <w:instrText>.</w:instrText>
            </w:r>
            <w:r>
              <w:instrText>itu</w:instrText>
            </w:r>
            <w:r w:rsidRPr="00FF7EED">
              <w:rPr>
                <w:lang w:val="ru-RU"/>
              </w:rPr>
              <w:instrText>.</w:instrText>
            </w:r>
            <w:r>
              <w:instrText>int</w:instrText>
            </w:r>
            <w:r w:rsidRPr="00FF7EED">
              <w:rPr>
                <w:lang w:val="ru-RU"/>
              </w:rPr>
              <w:instrText>/</w:instrText>
            </w:r>
            <w:r>
              <w:instrText>md</w:instrText>
            </w:r>
            <w:r w:rsidRPr="00FF7EED">
              <w:rPr>
                <w:lang w:val="ru-RU"/>
              </w:rPr>
              <w:instrText>/</w:instrText>
            </w:r>
            <w:r>
              <w:instrText>S</w:instrText>
            </w:r>
            <w:r w:rsidRPr="00FF7EED">
              <w:rPr>
                <w:lang w:val="ru-RU"/>
              </w:rPr>
              <w:instrText>25-</w:instrText>
            </w:r>
            <w:r>
              <w:instrText>CWGFHR</w:instrText>
            </w:r>
            <w:r w:rsidRPr="00FF7EED">
              <w:rPr>
                <w:lang w:val="ru-RU"/>
              </w:rPr>
              <w:instrText>20-</w:instrText>
            </w:r>
            <w:r>
              <w:instrText>C</w:instrText>
            </w:r>
            <w:r w:rsidRPr="00FF7EED">
              <w:rPr>
                <w:lang w:val="ru-RU"/>
              </w:rPr>
              <w:instrText>-0013/</w:instrText>
            </w:r>
            <w:r>
              <w:instrText>en</w:instrText>
            </w:r>
            <w:r w:rsidRPr="00FF7EED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CWG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</w:t>
            </w:r>
            <w:proofErr w:type="spellStart"/>
            <w:r w:rsidRPr="00AA1808">
              <w:rPr>
                <w:rStyle w:val="Hyperlink"/>
                <w:i/>
                <w:iCs/>
                <w:sz w:val="20"/>
                <w:lang w:val="ru-RU"/>
              </w:rPr>
              <w:t>FHR</w:t>
            </w:r>
            <w:proofErr w:type="spellEnd"/>
            <w:r w:rsidRPr="00AA1808">
              <w:rPr>
                <w:rStyle w:val="Hyperlink"/>
                <w:i/>
                <w:iCs/>
                <w:sz w:val="20"/>
                <w:lang w:val="ru-RU"/>
              </w:rPr>
              <w:t>-20/13</w:t>
            </w:r>
            <w:r>
              <w:fldChar w:fldCharType="end"/>
            </w:r>
          </w:p>
        </w:tc>
      </w:tr>
      <w:bookmarkEnd w:id="2"/>
      <w:bookmarkEnd w:id="8"/>
    </w:tbl>
    <w:p w14:paraId="0F7F0454" w14:textId="77777777" w:rsidR="00796BD3" w:rsidRPr="00E5158F" w:rsidRDefault="00796BD3" w:rsidP="00796BD3">
      <w:pPr>
        <w:rPr>
          <w:lang w:val="ru-RU"/>
        </w:rPr>
      </w:pPr>
    </w:p>
    <w:p w14:paraId="16D5D06D" w14:textId="77777777" w:rsidR="00165D06" w:rsidRPr="00E5158F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5158F">
        <w:rPr>
          <w:lang w:val="ru-RU"/>
        </w:rPr>
        <w:br w:type="page"/>
      </w:r>
    </w:p>
    <w:p w14:paraId="43954BF8" w14:textId="77777777" w:rsidR="001F5873" w:rsidRPr="00E5158F" w:rsidRDefault="001F5873" w:rsidP="001F5873">
      <w:pPr>
        <w:pStyle w:val="Headingb"/>
        <w:rPr>
          <w:rFonts w:asciiTheme="minorHAnsi" w:eastAsia="SimSun" w:hAnsiTheme="minorHAnsi" w:cstheme="minorHAnsi"/>
          <w:lang w:val="ru-RU"/>
        </w:rPr>
      </w:pPr>
      <w:bookmarkStart w:id="15" w:name="lt_pId022"/>
      <w:r w:rsidRPr="00E5158F">
        <w:rPr>
          <w:lang w:val="ru-RU"/>
        </w:rPr>
        <w:lastRenderedPageBreak/>
        <w:t>Базовая информация</w:t>
      </w:r>
      <w:bookmarkEnd w:id="15"/>
    </w:p>
    <w:p w14:paraId="5190469A" w14:textId="559F5A6C" w:rsidR="001F5873" w:rsidRPr="00E5158F" w:rsidRDefault="001F5873" w:rsidP="00AA1808">
      <w:pPr>
        <w:jc w:val="both"/>
        <w:rPr>
          <w:rFonts w:asciiTheme="minorHAnsi" w:eastAsia="SimSun" w:hAnsiTheme="minorHAnsi"/>
          <w:szCs w:val="24"/>
          <w:lang w:val="ru-RU"/>
        </w:rPr>
      </w:pPr>
      <w:r w:rsidRPr="00E5158F">
        <w:rPr>
          <w:lang w:val="ru-RU"/>
        </w:rPr>
        <w:t>1</w:t>
      </w:r>
      <w:r w:rsidRPr="00E5158F">
        <w:rPr>
          <w:lang w:val="ru-RU"/>
        </w:rPr>
        <w:tab/>
        <w:t>После утверждения на сессии Совета 2017 года Решений 600 (</w:t>
      </w:r>
      <w:r w:rsidR="00F25C76" w:rsidRPr="00E5158F">
        <w:rPr>
          <w:lang w:val="ru-RU"/>
        </w:rPr>
        <w:t xml:space="preserve">Документ </w:t>
      </w:r>
      <w:hyperlink r:id="rId8" w:history="1">
        <w:proofErr w:type="spellStart"/>
        <w:r w:rsidRPr="00AA1808">
          <w:rPr>
            <w:rStyle w:val="Hyperlink"/>
          </w:rPr>
          <w:t>C17</w:t>
        </w:r>
        <w:proofErr w:type="spellEnd"/>
        <w:r w:rsidRPr="00AA1808">
          <w:rPr>
            <w:rStyle w:val="Hyperlink"/>
          </w:rPr>
          <w:t>/133</w:t>
        </w:r>
      </w:hyperlink>
      <w:r w:rsidRPr="00E5158F">
        <w:rPr>
          <w:lang w:val="ru-RU"/>
        </w:rPr>
        <w:t>) и 601</w:t>
      </w:r>
      <w:r w:rsidR="00F25C76" w:rsidRPr="00E5158F">
        <w:rPr>
          <w:lang w:val="ru-RU"/>
        </w:rPr>
        <w:t> </w:t>
      </w:r>
      <w:r w:rsidRPr="00E5158F">
        <w:rPr>
          <w:lang w:val="ru-RU"/>
        </w:rPr>
        <w:t>(</w:t>
      </w:r>
      <w:r w:rsidR="00F25C76" w:rsidRPr="00E5158F">
        <w:rPr>
          <w:lang w:val="ru-RU"/>
        </w:rPr>
        <w:t xml:space="preserve">Документ </w:t>
      </w:r>
      <w:hyperlink r:id="rId9" w:history="1">
        <w:proofErr w:type="spellStart"/>
        <w:r w:rsidRPr="00AA1808">
          <w:rPr>
            <w:rStyle w:val="Hyperlink"/>
          </w:rPr>
          <w:t>C17</w:t>
        </w:r>
        <w:proofErr w:type="spellEnd"/>
        <w:r w:rsidRPr="00AA1808">
          <w:rPr>
            <w:rStyle w:val="Hyperlink"/>
          </w:rPr>
          <w:t>/134</w:t>
        </w:r>
      </w:hyperlink>
      <w:r w:rsidRPr="00E5158F">
        <w:rPr>
          <w:lang w:val="ru-RU"/>
        </w:rPr>
        <w:t>) Секретариат МСЭ ведет работу по выполнению этих Решений.</w:t>
      </w:r>
      <w:bookmarkStart w:id="16" w:name="lt_pId024"/>
      <w:bookmarkEnd w:id="16"/>
    </w:p>
    <w:p w14:paraId="26F17629" w14:textId="28DEC4DC" w:rsidR="001F5873" w:rsidRPr="00E5158F" w:rsidRDefault="001F5873" w:rsidP="00AA1808">
      <w:pPr>
        <w:jc w:val="both"/>
        <w:rPr>
          <w:rFonts w:asciiTheme="minorHAnsi" w:eastAsia="SimSun" w:hAnsiTheme="minorHAnsi"/>
          <w:lang w:val="ru-RU"/>
        </w:rPr>
      </w:pPr>
      <w:r w:rsidRPr="00E5158F">
        <w:rPr>
          <w:lang w:val="ru-RU"/>
        </w:rPr>
        <w:t>2</w:t>
      </w:r>
      <w:r w:rsidRPr="00E5158F">
        <w:rPr>
          <w:lang w:val="ru-RU"/>
        </w:rPr>
        <w:tab/>
        <w:t xml:space="preserve">Бюро стандартизации электросвязи (БСЭ) представило </w:t>
      </w:r>
      <w:r w:rsidR="00583770" w:rsidRPr="00E5158F">
        <w:rPr>
          <w:lang w:val="ru-RU"/>
        </w:rPr>
        <w:t xml:space="preserve">на </w:t>
      </w:r>
      <w:r w:rsidR="00F25C76" w:rsidRPr="00E5158F">
        <w:rPr>
          <w:lang w:val="ru-RU"/>
        </w:rPr>
        <w:t xml:space="preserve">сессии Совета 2024 года </w:t>
      </w:r>
      <w:r w:rsidRPr="00E5158F">
        <w:rPr>
          <w:lang w:val="ru-RU"/>
        </w:rPr>
        <w:t xml:space="preserve">Документ </w:t>
      </w:r>
      <w:hyperlink r:id="rId10" w:history="1">
        <w:proofErr w:type="spellStart"/>
        <w:r w:rsidRPr="00E5158F">
          <w:rPr>
            <w:rStyle w:val="Hyperlink"/>
            <w:rFonts w:eastAsia="SimSun" w:cstheme="majorBidi"/>
            <w:spacing w:val="-2"/>
            <w:lang w:val="ru-RU"/>
          </w:rPr>
          <w:t>C24</w:t>
        </w:r>
        <w:proofErr w:type="spellEnd"/>
        <w:r w:rsidRPr="00E5158F">
          <w:rPr>
            <w:rStyle w:val="Hyperlink"/>
            <w:rFonts w:eastAsia="SimSun" w:cstheme="majorBidi"/>
            <w:spacing w:val="-2"/>
            <w:lang w:val="ru-RU"/>
          </w:rPr>
          <w:t>/38</w:t>
        </w:r>
      </w:hyperlink>
      <w:r w:rsidRPr="00E5158F">
        <w:rPr>
          <w:lang w:val="ru-RU"/>
        </w:rPr>
        <w:t>, в котором содержится информация о ходе выполнения этих Решений Совета и о доходах от регистрации универсальных номеров международной услуги бесплатного вызова (UIFN) и идентификационных номеров эмитентов (IIN).</w:t>
      </w:r>
      <w:bookmarkStart w:id="17" w:name="lt_pId026"/>
      <w:bookmarkEnd w:id="17"/>
    </w:p>
    <w:p w14:paraId="184ED22C" w14:textId="556A079B" w:rsidR="001F5873" w:rsidRPr="00E5158F" w:rsidRDefault="001F5873" w:rsidP="00AA1808">
      <w:pPr>
        <w:jc w:val="both"/>
        <w:rPr>
          <w:rFonts w:asciiTheme="minorHAnsi" w:eastAsia="SimSun" w:hAnsiTheme="minorHAnsi"/>
          <w:lang w:val="ru-RU"/>
        </w:rPr>
      </w:pPr>
      <w:r w:rsidRPr="00E5158F">
        <w:rPr>
          <w:lang w:val="ru-RU"/>
        </w:rPr>
        <w:t>3</w:t>
      </w:r>
      <w:r w:rsidRPr="00E5158F">
        <w:rPr>
          <w:lang w:val="ru-RU"/>
        </w:rPr>
        <w:tab/>
        <w:t xml:space="preserve">В настоящем документе представлена обновленная информация о ходе этой работы после собрания </w:t>
      </w:r>
      <w:r w:rsidR="00F25C76" w:rsidRPr="00E5158F">
        <w:rPr>
          <w:lang w:val="ru-RU"/>
        </w:rPr>
        <w:t>Совета</w:t>
      </w:r>
      <w:r w:rsidRPr="00E5158F">
        <w:rPr>
          <w:lang w:val="ru-RU"/>
        </w:rPr>
        <w:t xml:space="preserve"> 2024 года.</w:t>
      </w:r>
      <w:bookmarkStart w:id="18" w:name="lt_pId028"/>
      <w:bookmarkEnd w:id="18"/>
    </w:p>
    <w:p w14:paraId="443255E6" w14:textId="6288882E" w:rsidR="001F5873" w:rsidRPr="00AA1808" w:rsidRDefault="001F5873" w:rsidP="00AA1808">
      <w:pPr>
        <w:pStyle w:val="Tabletitle"/>
      </w:pPr>
      <w:bookmarkStart w:id="19" w:name="lt_pId029"/>
      <w:r w:rsidRPr="00AA1808">
        <w:t>Обновленная информация по финансированию</w:t>
      </w:r>
      <w:bookmarkEnd w:id="19"/>
      <w:r w:rsidR="006609B2" w:rsidRPr="00AA1808">
        <w:t xml:space="preserve"> </w:t>
      </w:r>
      <w:proofErr w:type="spellStart"/>
      <w:r w:rsidRPr="00AA1808">
        <w:t>UIFN</w:t>
      </w:r>
      <w:proofErr w:type="spellEnd"/>
      <w:r w:rsidRPr="00AA1808">
        <w:t xml:space="preserve"> (Решение 600 Совета)</w:t>
      </w:r>
      <w:bookmarkStart w:id="20" w:name="_Hlk158995552"/>
      <w:bookmarkStart w:id="21" w:name="lt_pId031"/>
      <w:bookmarkEnd w:id="20"/>
      <w:bookmarkEnd w:id="21"/>
    </w:p>
    <w:p w14:paraId="3F170068" w14:textId="2D54F729" w:rsidR="00C462C5" w:rsidRPr="00AA1808" w:rsidRDefault="00ED1E37" w:rsidP="00AA1808">
      <w:pPr>
        <w:pStyle w:val="Figure"/>
      </w:pPr>
      <w:r w:rsidRPr="00AA1808">
        <w:drawing>
          <wp:inline distT="0" distB="0" distL="0" distR="0" wp14:anchorId="375C15C1" wp14:editId="26B6FDF9">
            <wp:extent cx="4529836" cy="2289343"/>
            <wp:effectExtent l="0" t="0" r="4445" b="0"/>
            <wp:docPr id="1565703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25" cy="2310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75A9F" w14:textId="6475243C" w:rsidR="001F5873" w:rsidRPr="00E5158F" w:rsidRDefault="00F25C76" w:rsidP="00AA1808">
      <w:pPr>
        <w:spacing w:before="240"/>
        <w:jc w:val="both"/>
        <w:rPr>
          <w:rFonts w:asciiTheme="minorHAnsi" w:eastAsia="SimSun" w:hAnsiTheme="minorHAnsi"/>
          <w:lang w:val="ru-RU"/>
        </w:rPr>
      </w:pPr>
      <w:bookmarkStart w:id="22" w:name="lt_pId032"/>
      <w:r w:rsidRPr="00E5158F">
        <w:rPr>
          <w:lang w:val="ru-RU"/>
        </w:rPr>
        <w:t>После 1 марта 2024 года (последний день отчетного периода для собрания Совета 2024 г</w:t>
      </w:r>
      <w:r w:rsidR="00583770" w:rsidRPr="00E5158F">
        <w:rPr>
          <w:lang w:val="ru-RU"/>
        </w:rPr>
        <w:t>.</w:t>
      </w:r>
      <w:r w:rsidRPr="00E5158F">
        <w:rPr>
          <w:lang w:val="ru-RU"/>
        </w:rPr>
        <w:t xml:space="preserve">) </w:t>
      </w:r>
      <w:r w:rsidR="001F5873" w:rsidRPr="00E5158F">
        <w:rPr>
          <w:lang w:val="ru-RU"/>
        </w:rPr>
        <w:t>до</w:t>
      </w:r>
      <w:r w:rsidR="00583770" w:rsidRPr="00E5158F">
        <w:rPr>
          <w:lang w:val="ru-RU"/>
        </w:rPr>
        <w:t> </w:t>
      </w:r>
      <w:r w:rsidR="001F5873" w:rsidRPr="00E5158F">
        <w:rPr>
          <w:lang w:val="ru-RU"/>
        </w:rPr>
        <w:t>19 марта 202</w:t>
      </w:r>
      <w:r w:rsidR="0048472B" w:rsidRPr="00E5158F">
        <w:rPr>
          <w:lang w:val="ru-RU"/>
        </w:rPr>
        <w:t>5</w:t>
      </w:r>
      <w:r w:rsidR="001F5873" w:rsidRPr="00E5158F">
        <w:rPr>
          <w:lang w:val="ru-RU"/>
        </w:rPr>
        <w:t> года были произведены следующие дополнительные платежи:</w:t>
      </w:r>
      <w:bookmarkEnd w:id="22"/>
    </w:p>
    <w:p w14:paraId="1E7C76FB" w14:textId="4A1FB276" w:rsidR="001F5873" w:rsidRPr="00E5158F" w:rsidRDefault="003A6008" w:rsidP="00AA1808">
      <w:pPr>
        <w:pStyle w:val="enumlev1"/>
        <w:jc w:val="both"/>
        <w:rPr>
          <w:rFonts w:asciiTheme="minorHAnsi" w:eastAsia="SimSun" w:hAnsiTheme="minorHAnsi"/>
          <w:szCs w:val="24"/>
          <w:lang w:val="ru-RU"/>
        </w:rPr>
      </w:pPr>
      <w:bookmarkStart w:id="23" w:name="lt_pId033"/>
      <w:r w:rsidRPr="00E5158F">
        <w:rPr>
          <w:lang w:val="ru-RU"/>
        </w:rPr>
        <w:sym w:font="Symbol" w:char="F02D"/>
      </w:r>
      <w:r w:rsidR="001F5873" w:rsidRPr="00E5158F">
        <w:rPr>
          <w:lang w:val="ru-RU"/>
        </w:rPr>
        <w:tab/>
        <w:t xml:space="preserve">Ежегодный сбор за обслуживание за 2018 год </w:t>
      </w:r>
      <w:r w:rsidR="001F5873" w:rsidRPr="00E5158F">
        <w:rPr>
          <w:rFonts w:cs="Calibri"/>
          <w:lang w:val="ru-RU"/>
        </w:rPr>
        <w:t>–</w:t>
      </w:r>
      <w:r w:rsidR="001F5873" w:rsidRPr="00E5158F">
        <w:rPr>
          <w:lang w:val="ru-RU"/>
        </w:rPr>
        <w:t xml:space="preserve"> получено еще </w:t>
      </w:r>
      <w:r w:rsidR="0048472B" w:rsidRPr="00E5158F">
        <w:rPr>
          <w:lang w:val="ru-RU"/>
        </w:rPr>
        <w:t>3</w:t>
      </w:r>
      <w:r w:rsidR="001F5873" w:rsidRPr="00E5158F">
        <w:rPr>
          <w:lang w:val="ru-RU"/>
        </w:rPr>
        <w:t xml:space="preserve">00 швейцарских франков. К настоящему времени оплачено 96% действительных счетов; уплате подлежит еще 15 </w:t>
      </w:r>
      <w:r w:rsidR="006609B2" w:rsidRPr="00E5158F">
        <w:rPr>
          <w:lang w:val="ru-RU"/>
        </w:rPr>
        <w:t>3</w:t>
      </w:r>
      <w:r w:rsidR="001F5873" w:rsidRPr="00E5158F">
        <w:rPr>
          <w:lang w:val="ru-RU"/>
        </w:rPr>
        <w:t>00 швейцарских франков.</w:t>
      </w:r>
      <w:bookmarkStart w:id="24" w:name="lt_pId034"/>
      <w:bookmarkEnd w:id="23"/>
      <w:bookmarkEnd w:id="24"/>
    </w:p>
    <w:p w14:paraId="27ED4045" w14:textId="6531F61F" w:rsidR="001F5873" w:rsidRPr="00E5158F" w:rsidRDefault="003A6008" w:rsidP="00AA1808">
      <w:pPr>
        <w:pStyle w:val="enumlev1"/>
        <w:jc w:val="both"/>
        <w:rPr>
          <w:rFonts w:asciiTheme="minorHAnsi" w:eastAsia="SimSun" w:hAnsiTheme="minorHAnsi"/>
          <w:szCs w:val="24"/>
          <w:lang w:val="ru-RU"/>
        </w:rPr>
      </w:pPr>
      <w:bookmarkStart w:id="25" w:name="lt_pId035"/>
      <w:r w:rsidRPr="00E5158F">
        <w:rPr>
          <w:lang w:val="ru-RU"/>
        </w:rPr>
        <w:sym w:font="Symbol" w:char="F02D"/>
      </w:r>
      <w:r w:rsidR="001F5873" w:rsidRPr="00E5158F">
        <w:rPr>
          <w:lang w:val="ru-RU"/>
        </w:rPr>
        <w:tab/>
      </w:r>
      <w:r w:rsidR="00F25C76" w:rsidRPr="00E5158F">
        <w:rPr>
          <w:lang w:val="ru-RU"/>
        </w:rPr>
        <w:t>Е</w:t>
      </w:r>
      <w:r w:rsidR="001F5873" w:rsidRPr="00E5158F">
        <w:rPr>
          <w:lang w:val="ru-RU"/>
        </w:rPr>
        <w:t>жегодный сбор за обслуживание за 20</w:t>
      </w:r>
      <w:r w:rsidR="0048472B" w:rsidRPr="00E5158F">
        <w:rPr>
          <w:lang w:val="ru-RU"/>
        </w:rPr>
        <w:t>23</w:t>
      </w:r>
      <w:r w:rsidR="001F5873" w:rsidRPr="00E5158F">
        <w:rPr>
          <w:lang w:val="ru-RU"/>
        </w:rPr>
        <w:t xml:space="preserve"> год </w:t>
      </w:r>
      <w:r w:rsidR="001F5873" w:rsidRPr="00E5158F">
        <w:rPr>
          <w:rFonts w:cs="Calibri"/>
          <w:lang w:val="ru-RU"/>
        </w:rPr>
        <w:t>–</w:t>
      </w:r>
      <w:r w:rsidR="001F5873" w:rsidRPr="00E5158F">
        <w:rPr>
          <w:lang w:val="ru-RU"/>
        </w:rPr>
        <w:t xml:space="preserve"> получено еще </w:t>
      </w:r>
      <w:r w:rsidR="0048472B" w:rsidRPr="00E5158F">
        <w:rPr>
          <w:lang w:val="ru-RU"/>
        </w:rPr>
        <w:t>5900</w:t>
      </w:r>
      <w:r w:rsidR="001F5873" w:rsidRPr="00E5158F">
        <w:rPr>
          <w:lang w:val="ru-RU"/>
        </w:rPr>
        <w:t> швейцарских франков.</w:t>
      </w:r>
      <w:bookmarkEnd w:id="25"/>
      <w:r w:rsidR="0048472B" w:rsidRPr="00E5158F">
        <w:rPr>
          <w:rFonts w:eastAsia="SimSun"/>
          <w:lang w:val="ru-RU"/>
        </w:rPr>
        <w:t xml:space="preserve"> </w:t>
      </w:r>
      <w:r w:rsidR="00750AE4" w:rsidRPr="00E5158F">
        <w:rPr>
          <w:rFonts w:eastAsia="SimSun"/>
          <w:lang w:val="ru-RU"/>
        </w:rPr>
        <w:t>К настоящему времени оплачено 69% действительных счетов; уплате подлежит еще 59 800 швейцарских франков</w:t>
      </w:r>
      <w:r w:rsidR="0048472B" w:rsidRPr="00E5158F">
        <w:rPr>
          <w:rFonts w:eastAsia="SimSun"/>
          <w:lang w:val="ru-RU"/>
        </w:rPr>
        <w:t>.</w:t>
      </w:r>
    </w:p>
    <w:p w14:paraId="53C75CAD" w14:textId="6D797972" w:rsidR="001F5873" w:rsidRPr="00E5158F" w:rsidRDefault="003A6008" w:rsidP="00AA1808">
      <w:pPr>
        <w:pStyle w:val="enumlev1"/>
        <w:jc w:val="both"/>
        <w:rPr>
          <w:rFonts w:asciiTheme="minorHAnsi" w:eastAsia="SimSun" w:hAnsiTheme="minorHAnsi"/>
          <w:szCs w:val="24"/>
          <w:lang w:val="ru-RU"/>
        </w:rPr>
      </w:pPr>
      <w:bookmarkStart w:id="26" w:name="lt_pId036"/>
      <w:r w:rsidRPr="00E5158F">
        <w:rPr>
          <w:lang w:val="ru-RU"/>
        </w:rPr>
        <w:sym w:font="Symbol" w:char="F02D"/>
      </w:r>
      <w:r w:rsidR="001F5873" w:rsidRPr="00E5158F">
        <w:rPr>
          <w:lang w:val="ru-RU"/>
        </w:rPr>
        <w:tab/>
        <w:t>Ежегодный сбор за обслуживание за 202</w:t>
      </w:r>
      <w:r w:rsidR="0048472B" w:rsidRPr="00E5158F">
        <w:rPr>
          <w:lang w:val="ru-RU"/>
        </w:rPr>
        <w:t>4</w:t>
      </w:r>
      <w:r w:rsidR="001F5873" w:rsidRPr="00E5158F">
        <w:rPr>
          <w:lang w:val="ru-RU"/>
        </w:rPr>
        <w:t xml:space="preserve"> год </w:t>
      </w:r>
      <w:r w:rsidR="001F5873" w:rsidRPr="00E5158F">
        <w:rPr>
          <w:rFonts w:cs="Calibri"/>
          <w:lang w:val="ru-RU"/>
        </w:rPr>
        <w:t>–</w:t>
      </w:r>
      <w:r w:rsidR="001F5873" w:rsidRPr="00E5158F">
        <w:rPr>
          <w:lang w:val="ru-RU"/>
        </w:rPr>
        <w:t xml:space="preserve"> получено </w:t>
      </w:r>
      <w:r w:rsidR="0048472B" w:rsidRPr="00E5158F">
        <w:rPr>
          <w:lang w:val="ru-RU"/>
        </w:rPr>
        <w:t>222</w:t>
      </w:r>
      <w:r w:rsidR="001F5873" w:rsidRPr="00E5158F">
        <w:rPr>
          <w:lang w:val="ru-RU"/>
        </w:rPr>
        <w:t> </w:t>
      </w:r>
      <w:r w:rsidR="0048472B" w:rsidRPr="00E5158F">
        <w:rPr>
          <w:lang w:val="ru-RU"/>
        </w:rPr>
        <w:t>4</w:t>
      </w:r>
      <w:r w:rsidR="001F5873" w:rsidRPr="00E5158F">
        <w:rPr>
          <w:lang w:val="ru-RU"/>
        </w:rPr>
        <w:t xml:space="preserve">00 швейцарских франков. </w:t>
      </w:r>
      <w:bookmarkStart w:id="27" w:name="_Hlk158995566"/>
      <w:bookmarkEnd w:id="26"/>
      <w:r w:rsidR="00750AE4" w:rsidRPr="00E5158F">
        <w:rPr>
          <w:rFonts w:eastAsia="SimSun"/>
          <w:lang w:val="ru-RU"/>
        </w:rPr>
        <w:t>К настоящему времени оплачено 67% действительных счетов; уплате подлежит еще 111 500 швейцарских франков</w:t>
      </w:r>
      <w:r w:rsidR="0048472B" w:rsidRPr="00E5158F">
        <w:rPr>
          <w:rFonts w:eastAsia="SimSun"/>
          <w:lang w:val="ru-RU"/>
        </w:rPr>
        <w:t>.</w:t>
      </w:r>
    </w:p>
    <w:p w14:paraId="223B28E0" w14:textId="708ADDDC" w:rsidR="001F5873" w:rsidRPr="00E5158F" w:rsidRDefault="001F5873" w:rsidP="00AA1808">
      <w:pPr>
        <w:jc w:val="both"/>
        <w:rPr>
          <w:rFonts w:asciiTheme="minorHAnsi" w:eastAsia="SimSun" w:hAnsiTheme="minorHAnsi"/>
          <w:szCs w:val="24"/>
          <w:lang w:val="ru-RU"/>
        </w:rPr>
      </w:pPr>
      <w:bookmarkStart w:id="28" w:name="lt_pId037"/>
      <w:r w:rsidRPr="00E5158F">
        <w:rPr>
          <w:lang w:val="ru-RU"/>
        </w:rPr>
        <w:t>Сумма неуплаченных сборов за период 2018–2022 годов уменьшилась до 16 </w:t>
      </w:r>
      <w:r w:rsidR="0048472B" w:rsidRPr="00E5158F">
        <w:rPr>
          <w:lang w:val="ru-RU"/>
        </w:rPr>
        <w:t>6</w:t>
      </w:r>
      <w:r w:rsidRPr="00E5158F">
        <w:rPr>
          <w:lang w:val="ru-RU"/>
        </w:rPr>
        <w:t>00 швейцарских франков.</w:t>
      </w:r>
      <w:bookmarkEnd w:id="28"/>
      <w:r w:rsidR="0048472B" w:rsidRPr="00E5158F">
        <w:rPr>
          <w:rFonts w:eastAsia="SimSun"/>
          <w:lang w:val="ru-RU"/>
        </w:rPr>
        <w:t xml:space="preserve"> </w:t>
      </w:r>
      <w:r w:rsidR="00750AE4" w:rsidRPr="00E5158F">
        <w:rPr>
          <w:rFonts w:eastAsia="SimSun"/>
          <w:lang w:val="ru-RU"/>
        </w:rPr>
        <w:t>Сумма неуплаченных сборов за период 2023</w:t>
      </w:r>
      <w:r w:rsidR="00583770" w:rsidRPr="00E5158F">
        <w:rPr>
          <w:rFonts w:asciiTheme="minorHAnsi" w:eastAsia="SimSun" w:hAnsiTheme="minorHAnsi" w:cstheme="minorHAnsi"/>
          <w:lang w:val="ru-RU"/>
        </w:rPr>
        <w:t>−</w:t>
      </w:r>
      <w:r w:rsidR="00750AE4" w:rsidRPr="00E5158F">
        <w:rPr>
          <w:rFonts w:eastAsia="SimSun"/>
          <w:lang w:val="ru-RU"/>
        </w:rPr>
        <w:t xml:space="preserve">2024 годов составляет в общей сложности 171 300 швейцарских франков, а неуплаченные сборы одного поставщика услуг </w:t>
      </w:r>
      <w:r w:rsidR="00583770" w:rsidRPr="00E5158F">
        <w:rPr>
          <w:rFonts w:eastAsia="SimSun"/>
          <w:lang w:val="ru-RU"/>
        </w:rPr>
        <w:t>достигают</w:t>
      </w:r>
      <w:r w:rsidR="00750AE4" w:rsidRPr="00E5158F">
        <w:rPr>
          <w:rFonts w:eastAsia="SimSun"/>
          <w:lang w:val="ru-RU"/>
        </w:rPr>
        <w:t xml:space="preserve"> 65% от общей суммы за тот же период.</w:t>
      </w:r>
    </w:p>
    <w:p w14:paraId="529BCC8D" w14:textId="248C9EAB" w:rsidR="001F5873" w:rsidRPr="00E5158F" w:rsidRDefault="001F5873" w:rsidP="00AA1808">
      <w:pPr>
        <w:jc w:val="both"/>
        <w:rPr>
          <w:rFonts w:asciiTheme="minorHAnsi" w:eastAsia="SimSun" w:hAnsiTheme="minorHAnsi"/>
          <w:lang w:val="ru-RU"/>
        </w:rPr>
      </w:pPr>
      <w:bookmarkStart w:id="29" w:name="lt_pId038"/>
      <w:bookmarkEnd w:id="27"/>
      <w:r w:rsidRPr="00E5158F">
        <w:rPr>
          <w:lang w:val="ru-RU"/>
        </w:rPr>
        <w:t>В Приложении 1 представлен перечень организаций, подтвержденные контактные данные которых имеются у БСЭ и которым в период с 2018 по 202</w:t>
      </w:r>
      <w:r w:rsidR="0048472B" w:rsidRPr="00E5158F">
        <w:rPr>
          <w:lang w:val="ru-RU"/>
        </w:rPr>
        <w:t>4</w:t>
      </w:r>
      <w:r w:rsidRPr="00E5158F">
        <w:rPr>
          <w:lang w:val="ru-RU"/>
        </w:rPr>
        <w:t xml:space="preserve"> год были выставлены счета, подлежащие оплате (по состоянию на 1</w:t>
      </w:r>
      <w:r w:rsidR="0048472B" w:rsidRPr="00E5158F">
        <w:rPr>
          <w:lang w:val="ru-RU"/>
        </w:rPr>
        <w:t>9</w:t>
      </w:r>
      <w:r w:rsidRPr="00E5158F">
        <w:rPr>
          <w:lang w:val="ru-RU"/>
        </w:rPr>
        <w:t xml:space="preserve"> марта 202</w:t>
      </w:r>
      <w:r w:rsidR="0048472B" w:rsidRPr="00E5158F">
        <w:rPr>
          <w:lang w:val="ru-RU"/>
        </w:rPr>
        <w:t>5</w:t>
      </w:r>
      <w:r w:rsidRPr="00E5158F">
        <w:rPr>
          <w:lang w:val="ru-RU"/>
        </w:rPr>
        <w:t xml:space="preserve"> г.).</w:t>
      </w:r>
      <w:bookmarkEnd w:id="29"/>
    </w:p>
    <w:p w14:paraId="17F1AE7A" w14:textId="552489BC" w:rsidR="001F5873" w:rsidRPr="00E5158F" w:rsidRDefault="001F5873" w:rsidP="00AA1808">
      <w:pPr>
        <w:jc w:val="both"/>
        <w:rPr>
          <w:rFonts w:eastAsia="SimSun"/>
          <w:lang w:val="ru-RU"/>
        </w:rPr>
      </w:pPr>
      <w:bookmarkStart w:id="30" w:name="lt_pId041"/>
      <w:bookmarkStart w:id="31" w:name="_Hlk158995641"/>
      <w:r w:rsidRPr="00E5158F">
        <w:rPr>
          <w:lang w:val="ru-RU"/>
        </w:rPr>
        <w:t>В 202</w:t>
      </w:r>
      <w:r w:rsidR="0048472B" w:rsidRPr="00E5158F">
        <w:rPr>
          <w:lang w:val="ru-RU"/>
        </w:rPr>
        <w:t>4</w:t>
      </w:r>
      <w:r w:rsidRPr="00E5158F">
        <w:rPr>
          <w:lang w:val="ru-RU"/>
        </w:rPr>
        <w:t xml:space="preserve"> году</w:t>
      </w:r>
      <w:r w:rsidR="00750AE4" w:rsidRPr="00E5158F">
        <w:rPr>
          <w:lang w:val="ru-RU"/>
        </w:rPr>
        <w:t xml:space="preserve"> ожидаемый</w:t>
      </w:r>
      <w:r w:rsidRPr="00E5158F">
        <w:rPr>
          <w:lang w:val="ru-RU"/>
        </w:rPr>
        <w:t xml:space="preserve"> доход от UIFN состав</w:t>
      </w:r>
      <w:r w:rsidR="00583770" w:rsidRPr="00E5158F">
        <w:rPr>
          <w:lang w:val="ru-RU"/>
        </w:rPr>
        <w:t>ляет</w:t>
      </w:r>
      <w:r w:rsidRPr="00E5158F">
        <w:rPr>
          <w:lang w:val="ru-RU"/>
        </w:rPr>
        <w:t xml:space="preserve"> </w:t>
      </w:r>
      <w:r w:rsidR="0048472B" w:rsidRPr="00E5158F">
        <w:rPr>
          <w:lang w:val="ru-RU"/>
        </w:rPr>
        <w:t>403</w:t>
      </w:r>
      <w:r w:rsidRPr="00E5158F">
        <w:rPr>
          <w:lang w:val="ru-RU"/>
        </w:rPr>
        <w:t> </w:t>
      </w:r>
      <w:r w:rsidR="0048472B" w:rsidRPr="00E5158F">
        <w:rPr>
          <w:lang w:val="ru-RU"/>
        </w:rPr>
        <w:t>8</w:t>
      </w:r>
      <w:r w:rsidRPr="00E5158F">
        <w:rPr>
          <w:lang w:val="ru-RU"/>
        </w:rPr>
        <w:t>00 швейцарских франков (включая</w:t>
      </w:r>
      <w:r w:rsidR="003A6008" w:rsidRPr="00E5158F">
        <w:rPr>
          <w:lang w:val="ru-RU"/>
        </w:rPr>
        <w:t> </w:t>
      </w:r>
      <w:r w:rsidRPr="00E5158F">
        <w:rPr>
          <w:lang w:val="ru-RU"/>
        </w:rPr>
        <w:t>единовременную плату и ежегодный сбор за обслуживание).</w:t>
      </w:r>
      <w:bookmarkEnd w:id="30"/>
      <w:bookmarkEnd w:id="31"/>
    </w:p>
    <w:p w14:paraId="3D3302BE" w14:textId="6DA08547" w:rsidR="0048472B" w:rsidRPr="00E5158F" w:rsidRDefault="00750AE4" w:rsidP="0048472B">
      <w:pPr>
        <w:pStyle w:val="Headingb"/>
        <w:rPr>
          <w:rFonts w:eastAsia="SimSun"/>
          <w:lang w:val="ru-RU"/>
        </w:rPr>
      </w:pPr>
      <w:bookmarkStart w:id="32" w:name="lt_pId042"/>
      <w:r w:rsidRPr="00E5158F">
        <w:rPr>
          <w:rFonts w:eastAsia="SimSun"/>
          <w:bCs/>
          <w:lang w:val="ru-RU"/>
        </w:rPr>
        <w:lastRenderedPageBreak/>
        <w:t>Обсуждение IIN на РГС-ФЛР-20 (Решение 601 Совета)</w:t>
      </w:r>
    </w:p>
    <w:p w14:paraId="68FCF795" w14:textId="2B7EF018" w:rsidR="0048472B" w:rsidRPr="00E5158F" w:rsidRDefault="00B9612F" w:rsidP="00AA1808">
      <w:pPr>
        <w:jc w:val="both"/>
        <w:rPr>
          <w:rFonts w:eastAsia="SimSun"/>
          <w:lang w:val="ru-RU"/>
        </w:rPr>
      </w:pPr>
      <w:r w:rsidRPr="00E5158F">
        <w:rPr>
          <w:rFonts w:eastAsia="SimSun"/>
          <w:lang w:val="ru-RU"/>
        </w:rPr>
        <w:t xml:space="preserve">На 20-м собрании Рабочей группы Совета по финансовым и людским ресурсам (РГС-ФЛР) в феврале 2025 года БСЭ представило Документ </w:t>
      </w:r>
      <w:hyperlink r:id="rId12" w:history="1">
        <w:proofErr w:type="spellStart"/>
        <w:r w:rsidRPr="00E5158F">
          <w:rPr>
            <w:rStyle w:val="Hyperlink"/>
            <w:rFonts w:eastAsia="SimSun"/>
            <w:lang w:val="ru-RU"/>
          </w:rPr>
          <w:t>CWG</w:t>
        </w:r>
        <w:proofErr w:type="spellEnd"/>
        <w:r w:rsidRPr="00E5158F">
          <w:rPr>
            <w:rStyle w:val="Hyperlink"/>
            <w:rFonts w:eastAsia="SimSun"/>
            <w:lang w:val="ru-RU"/>
          </w:rPr>
          <w:t>-</w:t>
        </w:r>
        <w:proofErr w:type="spellStart"/>
        <w:r w:rsidRPr="00E5158F">
          <w:rPr>
            <w:rStyle w:val="Hyperlink"/>
            <w:rFonts w:eastAsia="SimSun"/>
            <w:lang w:val="ru-RU"/>
          </w:rPr>
          <w:t>FHR</w:t>
        </w:r>
        <w:proofErr w:type="spellEnd"/>
        <w:r w:rsidRPr="00E5158F">
          <w:rPr>
            <w:rStyle w:val="Hyperlink"/>
            <w:rFonts w:eastAsia="SimSun"/>
            <w:lang w:val="ru-RU"/>
          </w:rPr>
          <w:t>-20/13</w:t>
        </w:r>
      </w:hyperlink>
      <w:r w:rsidRPr="00E5158F">
        <w:rPr>
          <w:lang w:val="ru-RU"/>
        </w:rPr>
        <w:t xml:space="preserve"> </w:t>
      </w:r>
      <w:r w:rsidRPr="00E5158F">
        <w:rPr>
          <w:rFonts w:eastAsia="SimSun"/>
          <w:lang w:val="ru-RU"/>
        </w:rPr>
        <w:t xml:space="preserve">"Проблемы, возникающие при выполнении Решения 601 Совета о регистрации IIN". </w:t>
      </w:r>
      <w:r w:rsidR="006C17BD" w:rsidRPr="00E5158F">
        <w:rPr>
          <w:rFonts w:eastAsia="SimSun"/>
          <w:lang w:val="ru-RU"/>
        </w:rPr>
        <w:t xml:space="preserve">Один из Советников (Председатель ИК2) сообщил, что Рекомендация МСЭ-Т E.118 </w:t>
      </w:r>
      <w:r w:rsidR="000E7F75" w:rsidRPr="00E5158F">
        <w:rPr>
          <w:rFonts w:eastAsia="SimSun"/>
          <w:lang w:val="ru-RU"/>
        </w:rPr>
        <w:t>была пересмотрена</w:t>
      </w:r>
      <w:r w:rsidR="006C17BD" w:rsidRPr="00E5158F">
        <w:rPr>
          <w:rFonts w:eastAsia="SimSun"/>
          <w:lang w:val="ru-RU"/>
        </w:rPr>
        <w:t>, по</w:t>
      </w:r>
      <w:r w:rsidR="000E7F75" w:rsidRPr="00E5158F">
        <w:rPr>
          <w:rFonts w:eastAsia="SimSun"/>
          <w:lang w:val="ru-RU"/>
        </w:rPr>
        <w:t>сле чего по</w:t>
      </w:r>
      <w:r w:rsidR="006C17BD" w:rsidRPr="00E5158F">
        <w:rPr>
          <w:rFonts w:eastAsia="SimSun"/>
          <w:lang w:val="ru-RU"/>
        </w:rPr>
        <w:t xml:space="preserve"> ней было сделано заключение на собрании 2-й Исследовательской комиссии (ИК2) МСЭ-Т (Женева, 5</w:t>
      </w:r>
      <w:r w:rsidR="006C17BD" w:rsidRPr="00E5158F">
        <w:rPr>
          <w:rFonts w:asciiTheme="minorHAnsi" w:eastAsia="SimSun" w:hAnsiTheme="minorHAnsi" w:cstheme="minorHAnsi"/>
          <w:lang w:val="ru-RU"/>
        </w:rPr>
        <w:t>−</w:t>
      </w:r>
      <w:r w:rsidR="006C17BD" w:rsidRPr="00E5158F">
        <w:rPr>
          <w:rFonts w:eastAsia="SimSun"/>
          <w:lang w:val="ru-RU"/>
        </w:rPr>
        <w:t xml:space="preserve">14 февраля 2025 г.). Функция регистратора для IIN была исключена из пересмотренной Рекомендации. Следовательно, потенциальные потери составляют приблизительно 35 000 швейцарских франков. Ожидается, что ИК2 МСЭ-Т свяжется с Советом через Директора БСЭ после официального утверждения пересмотренной Рекомендации МСЭ-Т E.118 по IIN. </w:t>
      </w:r>
      <w:r w:rsidR="0055328C" w:rsidRPr="00E5158F">
        <w:rPr>
          <w:rFonts w:eastAsia="SimSun"/>
          <w:lang w:val="ru-RU"/>
        </w:rPr>
        <w:t>Следовательно, Решение 601, скорее всего, будет аннулировано/исключено.</w:t>
      </w:r>
    </w:p>
    <w:p w14:paraId="6D87D900" w14:textId="77777777" w:rsidR="001F5873" w:rsidRPr="00E5158F" w:rsidRDefault="001F5873" w:rsidP="00AA1808">
      <w:pPr>
        <w:pStyle w:val="Headingb"/>
        <w:jc w:val="both"/>
        <w:rPr>
          <w:rFonts w:asciiTheme="minorHAnsi" w:eastAsia="SimSun" w:hAnsiTheme="minorHAnsi" w:cstheme="minorHAnsi"/>
          <w:lang w:val="ru-RU"/>
        </w:rPr>
      </w:pPr>
      <w:r w:rsidRPr="00E5158F">
        <w:rPr>
          <w:lang w:val="ru-RU"/>
        </w:rPr>
        <w:t>Заключение</w:t>
      </w:r>
      <w:bookmarkEnd w:id="32"/>
    </w:p>
    <w:p w14:paraId="0F9CD043" w14:textId="2E715978" w:rsidR="001F5873" w:rsidRPr="00E5158F" w:rsidRDefault="001F5873" w:rsidP="00AA1808">
      <w:pPr>
        <w:jc w:val="both"/>
        <w:rPr>
          <w:rFonts w:asciiTheme="minorHAnsi" w:eastAsia="SimSun" w:hAnsiTheme="minorHAnsi" w:cstheme="minorHAnsi"/>
          <w:bCs/>
          <w:lang w:val="ru-RU"/>
        </w:rPr>
      </w:pPr>
      <w:bookmarkStart w:id="33" w:name="lt_pId043"/>
      <w:r w:rsidRPr="00E5158F">
        <w:rPr>
          <w:lang w:val="ru-RU"/>
        </w:rPr>
        <w:t>Секретариат продолжает работу по выполнению Решений 600 и 601 Совета.</w:t>
      </w:r>
      <w:bookmarkEnd w:id="33"/>
    </w:p>
    <w:p w14:paraId="0DEE462D" w14:textId="77777777" w:rsidR="001F5873" w:rsidRPr="00E5158F" w:rsidRDefault="001F5873" w:rsidP="00AA1808">
      <w:pPr>
        <w:spacing w:before="1440"/>
        <w:jc w:val="both"/>
        <w:outlineLvl w:val="3"/>
        <w:rPr>
          <w:lang w:val="ru-RU"/>
        </w:rPr>
      </w:pPr>
      <w:r w:rsidRPr="00AA1808">
        <w:rPr>
          <w:b/>
          <w:bCs/>
          <w:i/>
          <w:iCs/>
          <w:lang w:val="ru-RU"/>
        </w:rPr>
        <w:t>Приложение</w:t>
      </w:r>
      <w:r w:rsidRPr="00E5158F">
        <w:rPr>
          <w:lang w:val="ru-RU"/>
        </w:rPr>
        <w:t>: 1</w:t>
      </w:r>
    </w:p>
    <w:p w14:paraId="6BC7FF22" w14:textId="77777777" w:rsidR="0048472B" w:rsidRPr="00E5158F" w:rsidRDefault="0048472B" w:rsidP="0048472B">
      <w:pPr>
        <w:rPr>
          <w:lang w:val="ru-RU"/>
        </w:rPr>
      </w:pPr>
    </w:p>
    <w:p w14:paraId="7293B6D5" w14:textId="77777777" w:rsidR="0048472B" w:rsidRPr="00E5158F" w:rsidRDefault="0048472B" w:rsidP="0048472B">
      <w:pPr>
        <w:rPr>
          <w:lang w:val="ru-RU"/>
        </w:rPr>
        <w:sectPr w:rsidR="0048472B" w:rsidRPr="00E5158F" w:rsidSect="0048472B">
          <w:footerReference w:type="default" r:id="rId13"/>
          <w:headerReference w:type="first" r:id="rId14"/>
          <w:footerReference w:type="first" r:id="rId15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7D9F068" w14:textId="77777777" w:rsidR="0048472B" w:rsidRPr="00E5158F" w:rsidRDefault="0048472B" w:rsidP="0048472B">
      <w:pPr>
        <w:pStyle w:val="AnnexNo"/>
        <w:spacing w:before="0"/>
        <w:rPr>
          <w:rFonts w:eastAsia="SimSun"/>
          <w:sz w:val="28"/>
          <w:szCs w:val="28"/>
          <w:lang w:val="ru-RU"/>
        </w:rPr>
      </w:pPr>
      <w:bookmarkStart w:id="34" w:name="lt_pId047"/>
      <w:r w:rsidRPr="00E5158F">
        <w:rPr>
          <w:lang w:val="ru-RU"/>
        </w:rPr>
        <w:lastRenderedPageBreak/>
        <w:t>ПРИЛОЖЕНИЕ</w:t>
      </w:r>
      <w:bookmarkEnd w:id="34"/>
    </w:p>
    <w:p w14:paraId="6EE89654" w14:textId="07046704" w:rsidR="0048472B" w:rsidRPr="00E5158F" w:rsidRDefault="0084050B" w:rsidP="0048472B">
      <w:pPr>
        <w:pStyle w:val="Annextitle"/>
        <w:rPr>
          <w:rFonts w:eastAsia="SimSun"/>
          <w:sz w:val="28"/>
          <w:szCs w:val="28"/>
          <w:lang w:val="ru-RU"/>
        </w:rPr>
      </w:pPr>
      <w:bookmarkStart w:id="35" w:name="lt_pId048"/>
      <w:r w:rsidRPr="00E5158F">
        <w:rPr>
          <w:bCs/>
          <w:lang w:val="ru-RU"/>
        </w:rPr>
        <w:t xml:space="preserve">Обновленный список </w:t>
      </w:r>
      <w:r w:rsidR="0048472B" w:rsidRPr="00E5158F">
        <w:rPr>
          <w:lang w:val="ru-RU"/>
        </w:rPr>
        <w:t xml:space="preserve">поставщиков услуг UIFN, не осуществивших платеж </w:t>
      </w:r>
      <w:r w:rsidRPr="00E5158F">
        <w:rPr>
          <w:lang w:val="ru-RU"/>
        </w:rPr>
        <w:t>(</w:t>
      </w:r>
      <w:r w:rsidR="0048472B" w:rsidRPr="00E5158F">
        <w:rPr>
          <w:lang w:val="ru-RU"/>
        </w:rPr>
        <w:t xml:space="preserve">за 2018, 2019, 2020, 2021, 2022, 2023 и 2024 годы </w:t>
      </w:r>
      <w:r w:rsidR="0048472B" w:rsidRPr="00E5158F">
        <w:rPr>
          <w:lang w:val="ru-RU"/>
        </w:rPr>
        <w:br/>
        <w:t>по состоянию на 19 марта 2025 г.)</w:t>
      </w:r>
      <w:bookmarkEnd w:id="35"/>
    </w:p>
    <w:tbl>
      <w:tblPr>
        <w:tblW w:w="14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193"/>
        <w:gridCol w:w="1091"/>
        <w:gridCol w:w="3094"/>
        <w:gridCol w:w="2135"/>
        <w:gridCol w:w="2246"/>
      </w:tblGrid>
      <w:tr w:rsidR="0048472B" w:rsidRPr="00E5158F" w14:paraId="2C7D9B13" w14:textId="77777777" w:rsidTr="00305845">
        <w:trPr>
          <w:cantSplit/>
          <w:tblHeader/>
        </w:trPr>
        <w:tc>
          <w:tcPr>
            <w:tcW w:w="1129" w:type="dxa"/>
            <w:shd w:val="clear" w:color="auto" w:fill="DDDDDD"/>
            <w:vAlign w:val="center"/>
          </w:tcPr>
          <w:p w14:paraId="6BDBF878" w14:textId="77777777" w:rsidR="0048472B" w:rsidRPr="00E5158F" w:rsidRDefault="0048472B" w:rsidP="00305845">
            <w:pPr>
              <w:pStyle w:val="Tablehead"/>
              <w:rPr>
                <w:rFonts w:eastAsia="DengXian" w:cs="Calibri"/>
                <w:color w:val="000000"/>
                <w:lang w:val="ru-RU"/>
              </w:rPr>
            </w:pPr>
            <w:bookmarkStart w:id="36" w:name="lt_pId049"/>
            <w:r w:rsidRPr="00E5158F">
              <w:rPr>
                <w:rFonts w:cs="Calibri"/>
                <w:lang w:val="ru-RU"/>
              </w:rPr>
              <w:t>Год</w:t>
            </w:r>
            <w:bookmarkEnd w:id="36"/>
          </w:p>
        </w:tc>
        <w:tc>
          <w:tcPr>
            <w:tcW w:w="3119" w:type="dxa"/>
            <w:shd w:val="clear" w:color="auto" w:fill="DDDDDD"/>
            <w:noWrap/>
            <w:vAlign w:val="center"/>
          </w:tcPr>
          <w:p w14:paraId="70D7F96B" w14:textId="77777777" w:rsidR="0048472B" w:rsidRPr="00E5158F" w:rsidRDefault="0048472B" w:rsidP="00305845">
            <w:pPr>
              <w:pStyle w:val="Tablehead"/>
              <w:rPr>
                <w:rFonts w:eastAsia="DengXian" w:cs="Calibri"/>
                <w:color w:val="000000"/>
                <w:lang w:val="ru-RU"/>
              </w:rPr>
            </w:pPr>
            <w:bookmarkStart w:id="37" w:name="lt_pId050"/>
            <w:r w:rsidRPr="00E5158F">
              <w:rPr>
                <w:rFonts w:cs="Calibri"/>
                <w:lang w:val="ru-RU"/>
              </w:rPr>
              <w:t>Сумма</w:t>
            </w:r>
            <w:bookmarkEnd w:id="37"/>
          </w:p>
        </w:tc>
        <w:tc>
          <w:tcPr>
            <w:tcW w:w="1193" w:type="dxa"/>
            <w:shd w:val="clear" w:color="auto" w:fill="DDDDDD"/>
            <w:noWrap/>
            <w:vAlign w:val="center"/>
          </w:tcPr>
          <w:p w14:paraId="28887861" w14:textId="77777777" w:rsidR="0048472B" w:rsidRPr="00E5158F" w:rsidRDefault="0048472B" w:rsidP="00305845">
            <w:pPr>
              <w:pStyle w:val="Tablehead"/>
              <w:rPr>
                <w:rFonts w:eastAsia="DengXian" w:cs="Calibri"/>
                <w:color w:val="000000"/>
                <w:lang w:val="ru-RU"/>
              </w:rPr>
            </w:pPr>
            <w:bookmarkStart w:id="38" w:name="lt_pId051"/>
            <w:r w:rsidRPr="00E5158F">
              <w:rPr>
                <w:rFonts w:cs="Calibri"/>
                <w:lang w:val="ru-RU"/>
              </w:rPr>
              <w:t>Валюта</w:t>
            </w:r>
            <w:bookmarkEnd w:id="38"/>
          </w:p>
        </w:tc>
        <w:tc>
          <w:tcPr>
            <w:tcW w:w="1091" w:type="dxa"/>
            <w:shd w:val="clear" w:color="auto" w:fill="DDDDDD"/>
            <w:vAlign w:val="center"/>
          </w:tcPr>
          <w:p w14:paraId="167EFA7B" w14:textId="77777777" w:rsidR="0048472B" w:rsidRPr="00E5158F" w:rsidRDefault="0048472B" w:rsidP="00305845">
            <w:pPr>
              <w:pStyle w:val="Tablehead"/>
              <w:rPr>
                <w:rFonts w:eastAsia="DengXian" w:cs="Calibri"/>
                <w:color w:val="000000"/>
                <w:lang w:val="ru-RU"/>
              </w:rPr>
            </w:pPr>
            <w:bookmarkStart w:id="39" w:name="lt_pId052"/>
            <w:r w:rsidRPr="00E5158F">
              <w:rPr>
                <w:rFonts w:cs="Calibri"/>
                <w:lang w:val="ru-RU"/>
              </w:rPr>
              <w:t>Кол-во UIFN</w:t>
            </w:r>
            <w:bookmarkEnd w:id="39"/>
          </w:p>
        </w:tc>
        <w:tc>
          <w:tcPr>
            <w:tcW w:w="3094" w:type="dxa"/>
            <w:shd w:val="clear" w:color="auto" w:fill="DDDDDD"/>
            <w:noWrap/>
            <w:vAlign w:val="center"/>
          </w:tcPr>
          <w:p w14:paraId="205C00F9" w14:textId="77777777" w:rsidR="0048472B" w:rsidRPr="00E5158F" w:rsidRDefault="0048472B" w:rsidP="00305845">
            <w:pPr>
              <w:pStyle w:val="Tablehead"/>
              <w:rPr>
                <w:rFonts w:eastAsia="DengXian" w:cs="Calibri"/>
                <w:color w:val="000000"/>
                <w:lang w:val="ru-RU"/>
              </w:rPr>
            </w:pPr>
            <w:bookmarkStart w:id="40" w:name="lt_pId053"/>
            <w:r w:rsidRPr="00E5158F">
              <w:rPr>
                <w:rFonts w:cs="Calibri"/>
                <w:lang w:val="ru-RU"/>
              </w:rPr>
              <w:t>Название компании</w:t>
            </w:r>
            <w:bookmarkEnd w:id="40"/>
          </w:p>
        </w:tc>
        <w:tc>
          <w:tcPr>
            <w:tcW w:w="2135" w:type="dxa"/>
            <w:shd w:val="clear" w:color="auto" w:fill="DDDDDD"/>
            <w:noWrap/>
            <w:vAlign w:val="center"/>
          </w:tcPr>
          <w:p w14:paraId="049E2475" w14:textId="77777777" w:rsidR="0048472B" w:rsidRPr="00E5158F" w:rsidRDefault="0048472B" w:rsidP="00305845">
            <w:pPr>
              <w:pStyle w:val="Tablehead"/>
              <w:rPr>
                <w:rFonts w:eastAsia="DengXian" w:cs="Calibri"/>
                <w:color w:val="000000"/>
                <w:lang w:val="ru-RU"/>
              </w:rPr>
            </w:pPr>
            <w:bookmarkStart w:id="41" w:name="lt_pId054"/>
            <w:r w:rsidRPr="00E5158F">
              <w:rPr>
                <w:rFonts w:cs="Calibri"/>
                <w:lang w:val="ru-RU"/>
              </w:rPr>
              <w:t>Страна/</w:t>
            </w:r>
            <w:r w:rsidRPr="00E5158F">
              <w:rPr>
                <w:rFonts w:cs="Calibri"/>
                <w:lang w:val="ru-RU"/>
              </w:rPr>
              <w:br/>
              <w:t>географическая зона</w:t>
            </w:r>
            <w:bookmarkStart w:id="42" w:name="lt_pId055"/>
            <w:bookmarkEnd w:id="41"/>
            <w:bookmarkEnd w:id="42"/>
          </w:p>
        </w:tc>
        <w:tc>
          <w:tcPr>
            <w:tcW w:w="2246" w:type="dxa"/>
            <w:shd w:val="clear" w:color="auto" w:fill="DDDDDD"/>
            <w:vAlign w:val="center"/>
          </w:tcPr>
          <w:p w14:paraId="41E9415E" w14:textId="77777777" w:rsidR="0048472B" w:rsidRPr="00E5158F" w:rsidRDefault="0048472B" w:rsidP="00305845">
            <w:pPr>
              <w:pStyle w:val="Tablehead"/>
              <w:rPr>
                <w:rFonts w:eastAsia="DengXian" w:cs="Calibri"/>
                <w:color w:val="000000"/>
                <w:lang w:val="ru-RU"/>
              </w:rPr>
            </w:pPr>
            <w:bookmarkStart w:id="43" w:name="lt_pId056"/>
            <w:r w:rsidRPr="00E5158F">
              <w:rPr>
                <w:rFonts w:cs="Calibri"/>
                <w:lang w:val="ru-RU"/>
              </w:rPr>
              <w:t>Примечание</w:t>
            </w:r>
            <w:bookmarkEnd w:id="43"/>
          </w:p>
        </w:tc>
      </w:tr>
      <w:tr w:rsidR="0048472B" w:rsidRPr="00E5158F" w14:paraId="63268966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69B2FF44" w14:textId="77777777" w:rsidR="0048472B" w:rsidRPr="00E5158F" w:rsidRDefault="0048472B" w:rsidP="00305845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  <w:r w:rsidRPr="00E5158F">
              <w:rPr>
                <w:rFonts w:eastAsia="Calibri" w:cs="Calibri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2F7CBF7" w14:textId="77777777" w:rsidR="0048472B" w:rsidRPr="00E5158F" w:rsidRDefault="0048472B" w:rsidP="00305845">
            <w:pPr>
              <w:pStyle w:val="Tabletext"/>
              <w:rPr>
                <w:rFonts w:eastAsia="Calibri" w:cs="Calibri"/>
                <w:lang w:val="ru-RU"/>
              </w:rPr>
            </w:pPr>
            <w:r w:rsidRPr="00E5158F">
              <w:rPr>
                <w:rFonts w:eastAsia="Calibri" w:cs="Calibri"/>
                <w:lang w:val="ru-RU"/>
              </w:rPr>
              <w:t>14 000,00</w:t>
            </w:r>
            <w:r w:rsidRPr="00E5158F">
              <w:rPr>
                <w:rFonts w:cs="Calibri"/>
                <w:lang w:val="ru-RU"/>
              </w:rPr>
              <w:br/>
            </w:r>
            <w:r w:rsidRPr="00E5158F">
              <w:rPr>
                <w:rFonts w:eastAsia="Calibri" w:cs="Calibri"/>
                <w:lang w:val="ru-RU"/>
              </w:rPr>
              <w:t>[частичная оплата: 2 800 шв. фр.]</w:t>
            </w:r>
            <w:bookmarkStart w:id="44" w:name="lt_pId059"/>
            <w:bookmarkEnd w:id="44"/>
          </w:p>
        </w:tc>
        <w:tc>
          <w:tcPr>
            <w:tcW w:w="1193" w:type="dxa"/>
            <w:shd w:val="clear" w:color="auto" w:fill="auto"/>
            <w:noWrap/>
            <w:hideMark/>
          </w:tcPr>
          <w:p w14:paraId="47588AA9" w14:textId="77777777" w:rsidR="0048472B" w:rsidRPr="00E5158F" w:rsidRDefault="0048472B" w:rsidP="00305845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2ACC5D9F" w14:textId="77777777" w:rsidR="0048472B" w:rsidRPr="00E5158F" w:rsidRDefault="0048472B" w:rsidP="00305845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140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7D3069A2" w14:textId="77777777" w:rsidR="0048472B" w:rsidRPr="00E5158F" w:rsidRDefault="0048472B" w:rsidP="00305845">
            <w:pPr>
              <w:pStyle w:val="Tabletext"/>
              <w:rPr>
                <w:rFonts w:eastAsia="Calibri" w:cs="Calibri"/>
                <w:lang w:val="ru-RU"/>
              </w:rPr>
            </w:pPr>
            <w:bookmarkStart w:id="45" w:name="lt_pId062"/>
            <w:r w:rsidRPr="00E5158F">
              <w:rPr>
                <w:rFonts w:eastAsia="Calibri" w:cs="Calibri"/>
                <w:lang w:val="ru-RU"/>
              </w:rPr>
              <w:t>Bezeq International</w:t>
            </w:r>
            <w:bookmarkEnd w:id="45"/>
          </w:p>
        </w:tc>
        <w:tc>
          <w:tcPr>
            <w:tcW w:w="2135" w:type="dxa"/>
            <w:shd w:val="clear" w:color="auto" w:fill="auto"/>
            <w:noWrap/>
            <w:hideMark/>
          </w:tcPr>
          <w:p w14:paraId="455179FE" w14:textId="77777777" w:rsidR="0048472B" w:rsidRPr="00E5158F" w:rsidRDefault="0048472B" w:rsidP="00305845">
            <w:pPr>
              <w:pStyle w:val="Tabletext"/>
              <w:rPr>
                <w:rFonts w:eastAsia="Calibri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Израиль</w:t>
            </w:r>
          </w:p>
        </w:tc>
        <w:tc>
          <w:tcPr>
            <w:tcW w:w="2246" w:type="dxa"/>
            <w:shd w:val="clear" w:color="auto" w:fill="auto"/>
          </w:tcPr>
          <w:p w14:paraId="61C1CEC7" w14:textId="77777777" w:rsidR="0048472B" w:rsidRPr="00E5158F" w:rsidRDefault="0048472B" w:rsidP="00305845">
            <w:pPr>
              <w:pStyle w:val="Tabletext"/>
              <w:rPr>
                <w:rFonts w:eastAsia="Calibri" w:cs="Calibri"/>
                <w:lang w:val="ru-RU"/>
              </w:rPr>
            </w:pPr>
          </w:p>
        </w:tc>
      </w:tr>
      <w:tr w:rsidR="0048472B" w:rsidRPr="00E5158F" w14:paraId="5E1A1E03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5871F77A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72FF2F7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5 600,00</w:t>
            </w:r>
            <w:r w:rsidRPr="00E5158F">
              <w:rPr>
                <w:rFonts w:cs="Calibri"/>
                <w:lang w:val="ru-RU"/>
              </w:rPr>
              <w:br/>
            </w:r>
            <w:bookmarkStart w:id="46" w:name="lt_pId066"/>
            <w:r w:rsidRPr="00E5158F">
              <w:rPr>
                <w:rFonts w:eastAsia="DengXian" w:cs="Calibri"/>
                <w:lang w:val="ru-RU"/>
              </w:rPr>
              <w:t>[частичная оплата в кредит:</w:t>
            </w:r>
            <w:bookmarkEnd w:id="46"/>
            <w:r w:rsidRPr="00E5158F">
              <w:rPr>
                <w:rFonts w:eastAsia="DengXian" w:cs="Calibri"/>
                <w:lang w:val="ru-RU"/>
              </w:rPr>
              <w:t xml:space="preserve"> </w:t>
            </w:r>
            <w:r w:rsidRPr="00E5158F">
              <w:rPr>
                <w:rFonts w:cs="Calibri"/>
                <w:lang w:val="ru-RU"/>
              </w:rPr>
              <w:br/>
            </w:r>
            <w:bookmarkStart w:id="47" w:name="lt_pId067"/>
            <w:r w:rsidRPr="00E5158F">
              <w:rPr>
                <w:rFonts w:eastAsia="DengXian" w:cs="Calibri"/>
                <w:lang w:val="ru-RU"/>
              </w:rPr>
              <w:t>4 000</w:t>
            </w:r>
            <w:r w:rsidRPr="00E5158F">
              <w:rPr>
                <w:rFonts w:eastAsia="Calibri" w:cs="Calibri"/>
                <w:lang w:val="ru-RU"/>
              </w:rPr>
              <w:t xml:space="preserve"> шв. фр.</w:t>
            </w:r>
            <w:r w:rsidRPr="00E5158F">
              <w:rPr>
                <w:rFonts w:eastAsia="DengXian" w:cs="Calibri"/>
                <w:lang w:val="ru-RU"/>
              </w:rPr>
              <w:t>]</w:t>
            </w:r>
            <w:bookmarkEnd w:id="47"/>
          </w:p>
        </w:tc>
        <w:tc>
          <w:tcPr>
            <w:tcW w:w="1193" w:type="dxa"/>
            <w:shd w:val="clear" w:color="auto" w:fill="auto"/>
            <w:noWrap/>
            <w:hideMark/>
          </w:tcPr>
          <w:p w14:paraId="7588B9EE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1951D540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56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736EC067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48" w:name="lt_pId070"/>
            <w:r w:rsidRPr="00E5158F">
              <w:rPr>
                <w:rFonts w:eastAsia="DengXian" w:cs="Calibri"/>
                <w:lang w:val="ru-RU"/>
              </w:rPr>
              <w:t>International Telcom Ltd.</w:t>
            </w:r>
            <w:bookmarkEnd w:id="48"/>
          </w:p>
        </w:tc>
        <w:tc>
          <w:tcPr>
            <w:tcW w:w="2135" w:type="dxa"/>
            <w:shd w:val="clear" w:color="auto" w:fill="auto"/>
            <w:noWrap/>
            <w:hideMark/>
          </w:tcPr>
          <w:p w14:paraId="7AD82C8C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Соединенные Штаты Америки</w:t>
            </w:r>
          </w:p>
        </w:tc>
        <w:tc>
          <w:tcPr>
            <w:tcW w:w="2246" w:type="dxa"/>
            <w:shd w:val="clear" w:color="auto" w:fill="auto"/>
          </w:tcPr>
          <w:p w14:paraId="5231DDE3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19B19CB6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529CCAE3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4203703" w14:textId="77777777" w:rsidR="0048472B" w:rsidRPr="00E5158F" w:rsidRDefault="0048472B" w:rsidP="00305845">
            <w:pPr>
              <w:pStyle w:val="Tabletext"/>
              <w:rPr>
                <w:rFonts w:eastAsiaTheme="majorEastAsia" w:cs="Calibri"/>
                <w:lang w:val="ru-RU"/>
              </w:rPr>
            </w:pPr>
            <w:r w:rsidRPr="00E5158F">
              <w:rPr>
                <w:rFonts w:eastAsiaTheme="majorEastAsia" w:cs="Calibri"/>
                <w:lang w:val="ru-RU"/>
              </w:rPr>
              <w:t>2 300,00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42EB520B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58B755AC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23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0C5E93FC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49" w:name="lt_pId082"/>
            <w:r w:rsidRPr="00E5158F">
              <w:rPr>
                <w:rFonts w:cs="Calibri"/>
                <w:lang w:val="ru-RU"/>
              </w:rPr>
              <w:t>TeliaSonera Finland Oyj</w:t>
            </w:r>
            <w:bookmarkEnd w:id="49"/>
          </w:p>
        </w:tc>
        <w:tc>
          <w:tcPr>
            <w:tcW w:w="2135" w:type="dxa"/>
            <w:shd w:val="clear" w:color="auto" w:fill="auto"/>
            <w:noWrap/>
            <w:hideMark/>
          </w:tcPr>
          <w:p w14:paraId="235FDEA0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Финляндия</w:t>
            </w:r>
          </w:p>
        </w:tc>
        <w:tc>
          <w:tcPr>
            <w:tcW w:w="2246" w:type="dxa"/>
            <w:shd w:val="clear" w:color="auto" w:fill="auto"/>
          </w:tcPr>
          <w:p w14:paraId="2FEC5CD1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35DFD559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4DD5C357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CB3B68D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1 300,00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56EFFD0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7E589810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13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27CEA549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50" w:name="lt_pId088"/>
            <w:r w:rsidRPr="00E5158F">
              <w:rPr>
                <w:rFonts w:eastAsia="DengXian" w:cs="Calibri"/>
                <w:lang w:val="ru-RU"/>
              </w:rPr>
              <w:t>Slovak Telekom, a.s.</w:t>
            </w:r>
            <w:bookmarkEnd w:id="50"/>
          </w:p>
        </w:tc>
        <w:tc>
          <w:tcPr>
            <w:tcW w:w="2135" w:type="dxa"/>
            <w:shd w:val="clear" w:color="auto" w:fill="auto"/>
            <w:noWrap/>
            <w:hideMark/>
          </w:tcPr>
          <w:p w14:paraId="3DA7A495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Словакия</w:t>
            </w:r>
          </w:p>
        </w:tc>
        <w:tc>
          <w:tcPr>
            <w:tcW w:w="2246" w:type="dxa"/>
            <w:shd w:val="clear" w:color="auto" w:fill="auto"/>
          </w:tcPr>
          <w:p w14:paraId="6361B168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AA1808" w14:paraId="52F0A593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670886C1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D2688A2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1 000,00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5A54859E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7796E546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10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72E69754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51" w:name="lt_pId094"/>
            <w:r w:rsidRPr="00E5158F">
              <w:rPr>
                <w:rFonts w:eastAsia="DengXian" w:cs="Calibri"/>
                <w:lang w:val="ru-RU"/>
              </w:rPr>
              <w:t>Eutelia S.p.A.</w:t>
            </w:r>
            <w:bookmarkEnd w:id="51"/>
          </w:p>
        </w:tc>
        <w:tc>
          <w:tcPr>
            <w:tcW w:w="2135" w:type="dxa"/>
            <w:shd w:val="clear" w:color="auto" w:fill="auto"/>
            <w:noWrap/>
            <w:hideMark/>
          </w:tcPr>
          <w:p w14:paraId="134856BF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Италия</w:t>
            </w:r>
          </w:p>
        </w:tc>
        <w:tc>
          <w:tcPr>
            <w:tcW w:w="2246" w:type="dxa"/>
            <w:shd w:val="clear" w:color="auto" w:fill="auto"/>
          </w:tcPr>
          <w:p w14:paraId="5934A026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52" w:name="lt_pId096"/>
            <w:r w:rsidRPr="00E5158F">
              <w:rPr>
                <w:rFonts w:cs="Calibri"/>
                <w:lang w:val="ru-RU"/>
              </w:rPr>
              <w:t>Частично приобретена компанией CloudItalia без ответственности по UIFN, однако три UIFN остаются доступными.</w:t>
            </w:r>
            <w:bookmarkStart w:id="53" w:name="lt_pId097"/>
            <w:bookmarkEnd w:id="52"/>
            <w:bookmarkEnd w:id="53"/>
          </w:p>
        </w:tc>
      </w:tr>
      <w:tr w:rsidR="0048472B" w:rsidRPr="00E5158F" w14:paraId="7AC27FD4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13D769E3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2022</w:t>
            </w:r>
          </w:p>
        </w:tc>
        <w:tc>
          <w:tcPr>
            <w:tcW w:w="3119" w:type="dxa"/>
            <w:shd w:val="clear" w:color="auto" w:fill="auto"/>
            <w:noWrap/>
          </w:tcPr>
          <w:p w14:paraId="4A05E6C2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600,00</w:t>
            </w:r>
          </w:p>
        </w:tc>
        <w:tc>
          <w:tcPr>
            <w:tcW w:w="1193" w:type="dxa"/>
            <w:shd w:val="clear" w:color="auto" w:fill="auto"/>
            <w:noWrap/>
          </w:tcPr>
          <w:p w14:paraId="5F726A48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436422C6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6</w:t>
            </w:r>
          </w:p>
        </w:tc>
        <w:tc>
          <w:tcPr>
            <w:tcW w:w="3094" w:type="dxa"/>
            <w:shd w:val="clear" w:color="auto" w:fill="auto"/>
            <w:noWrap/>
          </w:tcPr>
          <w:p w14:paraId="7396DEDE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54" w:name="lt_pId108"/>
            <w:r w:rsidRPr="00E5158F">
              <w:rPr>
                <w:rFonts w:eastAsia="DengXian" w:cs="Calibri"/>
                <w:lang w:val="ru-RU"/>
              </w:rPr>
              <w:t>PLANinterNET VoIP-GmbH</w:t>
            </w:r>
            <w:bookmarkEnd w:id="54"/>
          </w:p>
        </w:tc>
        <w:tc>
          <w:tcPr>
            <w:tcW w:w="2135" w:type="dxa"/>
            <w:shd w:val="clear" w:color="auto" w:fill="auto"/>
            <w:noWrap/>
          </w:tcPr>
          <w:p w14:paraId="7DF0DBC9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Германия</w:t>
            </w:r>
          </w:p>
        </w:tc>
        <w:tc>
          <w:tcPr>
            <w:tcW w:w="2246" w:type="dxa"/>
            <w:shd w:val="clear" w:color="auto" w:fill="auto"/>
          </w:tcPr>
          <w:p w14:paraId="1C2CB904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7EA577EA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4C11D22A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eastAsia="DengXian" w:cs="Calibri"/>
                <w:color w:val="000000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</w:tcPr>
          <w:p w14:paraId="62B862A8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500,00</w:t>
            </w:r>
            <w:r w:rsidRPr="00E5158F">
              <w:rPr>
                <w:rFonts w:eastAsia="DengXian" w:cs="Calibri"/>
                <w:lang w:val="ru-RU"/>
              </w:rPr>
              <w:br/>
            </w:r>
            <w:bookmarkStart w:id="55" w:name="lt_pId118"/>
            <w:r w:rsidRPr="00E5158F">
              <w:rPr>
                <w:rFonts w:eastAsia="DengXian" w:cs="Calibri"/>
                <w:lang w:val="ru-RU"/>
              </w:rPr>
              <w:t>[частичная оплата в кредит:</w:t>
            </w:r>
            <w:bookmarkEnd w:id="55"/>
            <w:r w:rsidRPr="00E5158F">
              <w:rPr>
                <w:rFonts w:eastAsia="DengXian" w:cs="Calibri"/>
                <w:lang w:val="ru-RU"/>
              </w:rPr>
              <w:br/>
            </w:r>
            <w:bookmarkStart w:id="56" w:name="lt_pId119"/>
            <w:r w:rsidRPr="00E5158F">
              <w:rPr>
                <w:rFonts w:eastAsia="DengXian" w:cs="Calibri"/>
                <w:lang w:val="ru-RU"/>
              </w:rPr>
              <w:t xml:space="preserve">200 </w:t>
            </w:r>
            <w:r w:rsidRPr="00E5158F">
              <w:rPr>
                <w:rFonts w:eastAsia="Calibri" w:cs="Calibri"/>
                <w:lang w:val="ru-RU"/>
              </w:rPr>
              <w:t>шв. фр.</w:t>
            </w:r>
            <w:r w:rsidRPr="00E5158F">
              <w:rPr>
                <w:rFonts w:eastAsia="DengXian" w:cs="Calibri"/>
                <w:lang w:val="ru-RU"/>
              </w:rPr>
              <w:t>]</w:t>
            </w:r>
            <w:bookmarkEnd w:id="56"/>
          </w:p>
        </w:tc>
        <w:tc>
          <w:tcPr>
            <w:tcW w:w="1193" w:type="dxa"/>
            <w:shd w:val="clear" w:color="auto" w:fill="auto"/>
            <w:noWrap/>
          </w:tcPr>
          <w:p w14:paraId="56ADB939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61A792A7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5</w:t>
            </w:r>
          </w:p>
        </w:tc>
        <w:tc>
          <w:tcPr>
            <w:tcW w:w="3094" w:type="dxa"/>
            <w:shd w:val="clear" w:color="auto" w:fill="auto"/>
            <w:noWrap/>
          </w:tcPr>
          <w:p w14:paraId="74B1ED6D" w14:textId="77777777" w:rsidR="0048472B" w:rsidRPr="00AA1808" w:rsidRDefault="0048472B" w:rsidP="00305845">
            <w:pPr>
              <w:pStyle w:val="Tabletext"/>
              <w:rPr>
                <w:rFonts w:eastAsia="DengXian" w:cs="Calibri"/>
                <w:color w:val="000000"/>
                <w:lang w:val="es-ES"/>
              </w:rPr>
            </w:pPr>
            <w:bookmarkStart w:id="57" w:name="lt_pId122"/>
            <w:r w:rsidRPr="00AA1808">
              <w:rPr>
                <w:rFonts w:eastAsia="DengXian" w:cs="Calibri"/>
                <w:lang w:val="es-ES"/>
              </w:rPr>
              <w:t>Telefónica S.A.</w:t>
            </w:r>
            <w:bookmarkEnd w:id="57"/>
            <w:r w:rsidRPr="00AA1808">
              <w:rPr>
                <w:rFonts w:eastAsia="DengXian" w:cs="Calibri"/>
                <w:lang w:val="es-ES"/>
              </w:rPr>
              <w:t xml:space="preserve"> </w:t>
            </w:r>
            <w:r w:rsidRPr="00AA1808">
              <w:rPr>
                <w:rFonts w:eastAsia="DengXian" w:cs="Calibri"/>
                <w:lang w:val="es-ES"/>
              </w:rPr>
              <w:br/>
              <w:t>(</w:t>
            </w:r>
            <w:r w:rsidRPr="00E5158F">
              <w:rPr>
                <w:rFonts w:eastAsia="DengXian" w:cs="Calibri"/>
                <w:lang w:val="ru-RU"/>
              </w:rPr>
              <w:t>ранее</w:t>
            </w:r>
            <w:r w:rsidRPr="00AA1808">
              <w:rPr>
                <w:rFonts w:eastAsia="DengXian" w:cs="Calibri"/>
                <w:lang w:val="es-ES"/>
              </w:rPr>
              <w:t xml:space="preserve"> – Colombia Telecomunicaciones S.A. </w:t>
            </w:r>
            <w:proofErr w:type="spellStart"/>
            <w:r w:rsidRPr="00AA1808">
              <w:rPr>
                <w:rFonts w:eastAsia="DengXian" w:cs="Calibri"/>
                <w:lang w:val="es-ES"/>
              </w:rPr>
              <w:t>ESP</w:t>
            </w:r>
            <w:proofErr w:type="spellEnd"/>
            <w:r w:rsidRPr="00AA1808">
              <w:rPr>
                <w:rFonts w:eastAsia="DengXian" w:cs="Calibri"/>
                <w:lang w:val="es-ES"/>
              </w:rPr>
              <w:t xml:space="preserve"> − Telecom Colombia)</w:t>
            </w:r>
            <w:bookmarkStart w:id="58" w:name="lt_pId123"/>
            <w:bookmarkEnd w:id="58"/>
          </w:p>
        </w:tc>
        <w:tc>
          <w:tcPr>
            <w:tcW w:w="2135" w:type="dxa"/>
            <w:shd w:val="clear" w:color="auto" w:fill="auto"/>
            <w:noWrap/>
          </w:tcPr>
          <w:p w14:paraId="68EE69DA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Колумбия</w:t>
            </w:r>
          </w:p>
        </w:tc>
        <w:tc>
          <w:tcPr>
            <w:tcW w:w="2246" w:type="dxa"/>
            <w:shd w:val="clear" w:color="auto" w:fill="auto"/>
          </w:tcPr>
          <w:p w14:paraId="1D5FC8C2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1F489CE2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2CF64A1D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</w:tcPr>
          <w:p w14:paraId="7F8608FB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500,00</w:t>
            </w:r>
            <w:r w:rsidRPr="00E5158F">
              <w:rPr>
                <w:rFonts w:cs="Calibri"/>
                <w:lang w:val="ru-RU"/>
              </w:rPr>
              <w:br/>
            </w:r>
            <w:bookmarkStart w:id="59" w:name="lt_pId127"/>
            <w:r w:rsidRPr="00E5158F">
              <w:rPr>
                <w:rFonts w:eastAsia="DengXian" w:cs="Calibri"/>
                <w:lang w:val="ru-RU"/>
              </w:rPr>
              <w:t>[частичная оплата в кредит:</w:t>
            </w:r>
            <w:bookmarkEnd w:id="59"/>
            <w:r w:rsidRPr="00E5158F">
              <w:rPr>
                <w:rFonts w:cs="Calibri"/>
                <w:lang w:val="ru-RU"/>
              </w:rPr>
              <w:br/>
            </w:r>
            <w:bookmarkStart w:id="60" w:name="lt_pId128"/>
            <w:r w:rsidRPr="00E5158F">
              <w:rPr>
                <w:rFonts w:eastAsia="DengXian" w:cs="Calibri"/>
                <w:lang w:val="ru-RU"/>
              </w:rPr>
              <w:t>400</w:t>
            </w:r>
            <w:r w:rsidRPr="00E5158F">
              <w:rPr>
                <w:rFonts w:eastAsia="Calibri" w:cs="Calibri"/>
                <w:lang w:val="ru-RU"/>
              </w:rPr>
              <w:t xml:space="preserve"> шв. фр.</w:t>
            </w:r>
            <w:r w:rsidRPr="00E5158F">
              <w:rPr>
                <w:rFonts w:eastAsia="DengXian" w:cs="Calibri"/>
                <w:lang w:val="ru-RU"/>
              </w:rPr>
              <w:t>]</w:t>
            </w:r>
            <w:bookmarkEnd w:id="60"/>
          </w:p>
        </w:tc>
        <w:tc>
          <w:tcPr>
            <w:tcW w:w="1193" w:type="dxa"/>
            <w:shd w:val="clear" w:color="auto" w:fill="auto"/>
            <w:noWrap/>
          </w:tcPr>
          <w:p w14:paraId="54138C34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0CF68D05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5</w:t>
            </w:r>
          </w:p>
        </w:tc>
        <w:tc>
          <w:tcPr>
            <w:tcW w:w="3094" w:type="dxa"/>
            <w:shd w:val="clear" w:color="auto" w:fill="auto"/>
            <w:noWrap/>
          </w:tcPr>
          <w:p w14:paraId="698CC265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61" w:name="lt_pId131"/>
            <w:r w:rsidRPr="00E5158F">
              <w:rPr>
                <w:rFonts w:eastAsia="DengXian" w:cs="Calibri"/>
                <w:lang w:val="ru-RU"/>
              </w:rPr>
              <w:t>Kingston communications/Affiniti</w:t>
            </w:r>
            <w:bookmarkEnd w:id="61"/>
          </w:p>
        </w:tc>
        <w:tc>
          <w:tcPr>
            <w:tcW w:w="2135" w:type="dxa"/>
            <w:shd w:val="clear" w:color="auto" w:fill="auto"/>
            <w:noWrap/>
          </w:tcPr>
          <w:p w14:paraId="580A84C4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Соединенное Королевство</w:t>
            </w:r>
          </w:p>
        </w:tc>
        <w:tc>
          <w:tcPr>
            <w:tcW w:w="2246" w:type="dxa"/>
            <w:shd w:val="clear" w:color="auto" w:fill="auto"/>
          </w:tcPr>
          <w:p w14:paraId="26943882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184D0FCA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3FB752C8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2021</w:t>
            </w:r>
          </w:p>
        </w:tc>
        <w:tc>
          <w:tcPr>
            <w:tcW w:w="3119" w:type="dxa"/>
            <w:shd w:val="clear" w:color="auto" w:fill="auto"/>
            <w:noWrap/>
          </w:tcPr>
          <w:p w14:paraId="76EFA3D6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500,00</w:t>
            </w:r>
          </w:p>
        </w:tc>
        <w:tc>
          <w:tcPr>
            <w:tcW w:w="1193" w:type="dxa"/>
            <w:shd w:val="clear" w:color="auto" w:fill="auto"/>
            <w:noWrap/>
          </w:tcPr>
          <w:p w14:paraId="626D3922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1335B8E0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5</w:t>
            </w:r>
          </w:p>
        </w:tc>
        <w:tc>
          <w:tcPr>
            <w:tcW w:w="3094" w:type="dxa"/>
            <w:shd w:val="clear" w:color="auto" w:fill="auto"/>
            <w:noWrap/>
          </w:tcPr>
          <w:p w14:paraId="0F0235F4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62" w:name="lt_pId137"/>
            <w:r w:rsidRPr="00E5158F">
              <w:rPr>
                <w:rFonts w:eastAsia="DengXian" w:cs="Calibri"/>
                <w:lang w:val="ru-RU"/>
              </w:rPr>
              <w:t>Qupra Wholesale</w:t>
            </w:r>
            <w:bookmarkEnd w:id="62"/>
          </w:p>
        </w:tc>
        <w:tc>
          <w:tcPr>
            <w:tcW w:w="2135" w:type="dxa"/>
            <w:shd w:val="clear" w:color="auto" w:fill="auto"/>
            <w:noWrap/>
          </w:tcPr>
          <w:p w14:paraId="62DC9D8B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Нидерланды</w:t>
            </w:r>
          </w:p>
        </w:tc>
        <w:tc>
          <w:tcPr>
            <w:tcW w:w="2246" w:type="dxa"/>
            <w:shd w:val="clear" w:color="auto" w:fill="auto"/>
          </w:tcPr>
          <w:p w14:paraId="4494B769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48472B" w:rsidRPr="00E5158F" w14:paraId="22A79604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5F636749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eastAsia="DengXian" w:cs="Calibri"/>
                <w:color w:val="000000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</w:tcPr>
          <w:p w14:paraId="037E507D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eastAsia="DengXian" w:cs="Calibri"/>
                <w:color w:val="000000"/>
                <w:lang w:val="ru-RU"/>
              </w:rPr>
              <w:t>400,00</w:t>
            </w:r>
          </w:p>
        </w:tc>
        <w:tc>
          <w:tcPr>
            <w:tcW w:w="1193" w:type="dxa"/>
            <w:shd w:val="clear" w:color="auto" w:fill="auto"/>
            <w:noWrap/>
          </w:tcPr>
          <w:p w14:paraId="1FE26D48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4C871A87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4</w:t>
            </w:r>
          </w:p>
        </w:tc>
        <w:tc>
          <w:tcPr>
            <w:tcW w:w="3094" w:type="dxa"/>
            <w:shd w:val="clear" w:color="auto" w:fill="auto"/>
            <w:noWrap/>
          </w:tcPr>
          <w:p w14:paraId="76118FCC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bookmarkStart w:id="63" w:name="lt_pId143"/>
            <w:r w:rsidRPr="00E5158F">
              <w:rPr>
                <w:rFonts w:eastAsia="DengXian" w:cs="Calibri"/>
                <w:lang w:val="ru-RU"/>
              </w:rPr>
              <w:t>HKBN Enterprise Solutions HK Limited (ранее – WTT HK Limited)</w:t>
            </w:r>
            <w:bookmarkEnd w:id="63"/>
          </w:p>
        </w:tc>
        <w:tc>
          <w:tcPr>
            <w:tcW w:w="2135" w:type="dxa"/>
            <w:shd w:val="clear" w:color="auto" w:fill="auto"/>
            <w:noWrap/>
          </w:tcPr>
          <w:p w14:paraId="1AC66E63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Гонконг, Китай</w:t>
            </w:r>
          </w:p>
        </w:tc>
        <w:tc>
          <w:tcPr>
            <w:tcW w:w="2246" w:type="dxa"/>
            <w:shd w:val="clear" w:color="auto" w:fill="auto"/>
          </w:tcPr>
          <w:p w14:paraId="49858762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42FF417C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69BA8DB4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eastAsia="DengXian" w:cs="Calibri"/>
                <w:color w:val="000000"/>
                <w:lang w:val="ru-RU"/>
              </w:rPr>
              <w:lastRenderedPageBreak/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4DB2734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eastAsia="DengXian" w:cs="Calibri"/>
                <w:color w:val="000000"/>
                <w:lang w:val="ru-RU"/>
              </w:rPr>
              <w:t>300,00</w:t>
            </w:r>
            <w:r w:rsidRPr="00E5158F">
              <w:rPr>
                <w:rFonts w:eastAsia="DengXian" w:cs="Calibri"/>
                <w:color w:val="000000"/>
                <w:lang w:val="ru-RU"/>
              </w:rPr>
              <w:br/>
              <w:t xml:space="preserve">[частичная оплата: 200 </w:t>
            </w:r>
            <w:r w:rsidRPr="00E5158F">
              <w:rPr>
                <w:rFonts w:eastAsia="Calibri" w:cs="Calibri"/>
                <w:lang w:val="ru-RU"/>
              </w:rPr>
              <w:t>шв. фр.</w:t>
            </w:r>
            <w:r w:rsidRPr="00E5158F">
              <w:rPr>
                <w:rFonts w:eastAsia="DengXian" w:cs="Calibri"/>
                <w:color w:val="000000"/>
                <w:lang w:val="ru-RU"/>
              </w:rPr>
              <w:t>]</w:t>
            </w:r>
            <w:bookmarkStart w:id="64" w:name="lt_pId153"/>
            <w:bookmarkEnd w:id="64"/>
          </w:p>
        </w:tc>
        <w:tc>
          <w:tcPr>
            <w:tcW w:w="1193" w:type="dxa"/>
            <w:shd w:val="clear" w:color="auto" w:fill="auto"/>
            <w:noWrap/>
            <w:hideMark/>
          </w:tcPr>
          <w:p w14:paraId="567BD68C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67E29ED6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3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7BF459BF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bookmarkStart w:id="65" w:name="lt_pId156"/>
            <w:r w:rsidRPr="00E5158F">
              <w:rPr>
                <w:rFonts w:eastAsia="DengXian" w:cs="Calibri"/>
                <w:color w:val="000000"/>
                <w:lang w:val="ru-RU"/>
              </w:rPr>
              <w:t>Telefonica del Peru</w:t>
            </w:r>
            <w:bookmarkEnd w:id="65"/>
          </w:p>
        </w:tc>
        <w:tc>
          <w:tcPr>
            <w:tcW w:w="2135" w:type="dxa"/>
            <w:shd w:val="clear" w:color="auto" w:fill="auto"/>
            <w:noWrap/>
            <w:hideMark/>
          </w:tcPr>
          <w:p w14:paraId="6823E4B4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Перу</w:t>
            </w:r>
          </w:p>
        </w:tc>
        <w:tc>
          <w:tcPr>
            <w:tcW w:w="2246" w:type="dxa"/>
            <w:shd w:val="clear" w:color="auto" w:fill="auto"/>
          </w:tcPr>
          <w:p w14:paraId="4409B205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48472B" w:rsidRPr="00E5158F" w14:paraId="0C8C08F2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557FF974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eastAsia="DengXian" w:cs="Calibri"/>
                <w:color w:val="000000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991B4F4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eastAsia="DengXian" w:cs="Calibri"/>
                <w:color w:val="000000"/>
                <w:lang w:val="ru-RU"/>
              </w:rPr>
              <w:t>300,00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55D7B800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4FBABD27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3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49F76340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66" w:name="lt_pId162"/>
            <w:r w:rsidRPr="00E5158F">
              <w:rPr>
                <w:rFonts w:eastAsia="DengXian" w:cs="Calibri"/>
                <w:lang w:val="ru-RU"/>
              </w:rPr>
              <w:t>PTGI INTERNATIONAL CARRIER</w:t>
            </w:r>
            <w:bookmarkEnd w:id="66"/>
            <w:r w:rsidRPr="00E5158F">
              <w:rPr>
                <w:rFonts w:eastAsia="DengXian" w:cs="Calibri"/>
                <w:lang w:val="ru-RU"/>
              </w:rPr>
              <w:t xml:space="preserve"> </w:t>
            </w:r>
            <w:r w:rsidRPr="00E5158F">
              <w:rPr>
                <w:rFonts w:eastAsia="DengXian" w:cs="Calibri"/>
                <w:lang w:val="ru-RU"/>
              </w:rPr>
              <w:br/>
            </w:r>
            <w:bookmarkStart w:id="67" w:name="lt_pId163"/>
            <w:r w:rsidRPr="00E5158F">
              <w:rPr>
                <w:rFonts w:eastAsia="DengXian" w:cs="Calibri"/>
                <w:lang w:val="ru-RU"/>
              </w:rPr>
              <w:t>(ранее – PRIMUS Telecommunications Ltd.)</w:t>
            </w:r>
            <w:bookmarkEnd w:id="67"/>
          </w:p>
        </w:tc>
        <w:tc>
          <w:tcPr>
            <w:tcW w:w="2135" w:type="dxa"/>
            <w:shd w:val="clear" w:color="auto" w:fill="auto"/>
            <w:noWrap/>
            <w:hideMark/>
          </w:tcPr>
          <w:p w14:paraId="32A75F2C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Соединенное Королевство</w:t>
            </w:r>
          </w:p>
        </w:tc>
        <w:tc>
          <w:tcPr>
            <w:tcW w:w="2246" w:type="dxa"/>
            <w:shd w:val="clear" w:color="auto" w:fill="auto"/>
          </w:tcPr>
          <w:p w14:paraId="59FAFB6A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48472B" w:rsidRPr="00E5158F" w14:paraId="1785546A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733FF3EB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</w:tcPr>
          <w:p w14:paraId="777D6D90" w14:textId="77777777" w:rsidR="0048472B" w:rsidRPr="00E5158F" w:rsidRDefault="0048472B" w:rsidP="00305845">
            <w:pPr>
              <w:pStyle w:val="Tabletext"/>
              <w:rPr>
                <w:rFonts w:eastAsiaTheme="majorEastAsia" w:cs="Calibri"/>
                <w:lang w:val="ru-RU"/>
              </w:rPr>
            </w:pPr>
            <w:r w:rsidRPr="00E5158F">
              <w:rPr>
                <w:rFonts w:eastAsiaTheme="majorEastAsia" w:cs="Calibri"/>
                <w:lang w:val="ru-RU"/>
              </w:rPr>
              <w:t>200,00</w:t>
            </w:r>
          </w:p>
        </w:tc>
        <w:tc>
          <w:tcPr>
            <w:tcW w:w="1193" w:type="dxa"/>
            <w:shd w:val="clear" w:color="auto" w:fill="auto"/>
            <w:noWrap/>
          </w:tcPr>
          <w:p w14:paraId="21E11C6F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540C902F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2</w:t>
            </w:r>
          </w:p>
        </w:tc>
        <w:tc>
          <w:tcPr>
            <w:tcW w:w="3094" w:type="dxa"/>
            <w:shd w:val="clear" w:color="auto" w:fill="auto"/>
            <w:noWrap/>
          </w:tcPr>
          <w:p w14:paraId="01044E51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68" w:name="lt_pId169"/>
            <w:r w:rsidRPr="00E5158F">
              <w:rPr>
                <w:rFonts w:eastAsia="SimSun" w:cs="Calibri"/>
                <w:lang w:val="ru-RU"/>
              </w:rPr>
              <w:t>EMTEX GmbH</w:t>
            </w:r>
            <w:bookmarkEnd w:id="68"/>
          </w:p>
        </w:tc>
        <w:tc>
          <w:tcPr>
            <w:tcW w:w="2135" w:type="dxa"/>
            <w:shd w:val="clear" w:color="auto" w:fill="auto"/>
            <w:noWrap/>
          </w:tcPr>
          <w:p w14:paraId="1D3D3AD7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Германия</w:t>
            </w:r>
          </w:p>
        </w:tc>
        <w:tc>
          <w:tcPr>
            <w:tcW w:w="2246" w:type="dxa"/>
            <w:shd w:val="clear" w:color="auto" w:fill="auto"/>
          </w:tcPr>
          <w:p w14:paraId="51071389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67E7DADE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48230BAB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2020</w:t>
            </w:r>
          </w:p>
        </w:tc>
        <w:tc>
          <w:tcPr>
            <w:tcW w:w="3119" w:type="dxa"/>
            <w:shd w:val="clear" w:color="auto" w:fill="auto"/>
            <w:noWrap/>
          </w:tcPr>
          <w:p w14:paraId="038389C0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200,00</w:t>
            </w:r>
          </w:p>
        </w:tc>
        <w:tc>
          <w:tcPr>
            <w:tcW w:w="1193" w:type="dxa"/>
            <w:shd w:val="clear" w:color="auto" w:fill="auto"/>
            <w:noWrap/>
          </w:tcPr>
          <w:p w14:paraId="68482A11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3382CB88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2</w:t>
            </w:r>
          </w:p>
        </w:tc>
        <w:tc>
          <w:tcPr>
            <w:tcW w:w="3094" w:type="dxa"/>
            <w:shd w:val="clear" w:color="auto" w:fill="auto"/>
            <w:noWrap/>
          </w:tcPr>
          <w:p w14:paraId="3BC6F5D3" w14:textId="77777777" w:rsidR="0048472B" w:rsidRPr="00AA1808" w:rsidRDefault="0048472B" w:rsidP="00305845">
            <w:pPr>
              <w:pStyle w:val="Tabletext"/>
              <w:rPr>
                <w:rFonts w:eastAsia="DengXian" w:cs="Calibri"/>
                <w:lang w:val="es-ES"/>
              </w:rPr>
            </w:pPr>
            <w:bookmarkStart w:id="69" w:name="lt_pId188"/>
            <w:r w:rsidRPr="00AA1808">
              <w:rPr>
                <w:rFonts w:eastAsia="DengXian" w:cs="Calibri"/>
                <w:lang w:val="es-ES"/>
              </w:rPr>
              <w:t xml:space="preserve">Telefónica de Argentina </w:t>
            </w:r>
            <w:proofErr w:type="gramStart"/>
            <w:r w:rsidRPr="00AA1808">
              <w:rPr>
                <w:rFonts w:eastAsia="DengXian" w:cs="Calibri"/>
                <w:lang w:val="es-ES"/>
              </w:rPr>
              <w:t>S.A</w:t>
            </w:r>
            <w:bookmarkEnd w:id="69"/>
            <w:proofErr w:type="gramEnd"/>
          </w:p>
        </w:tc>
        <w:tc>
          <w:tcPr>
            <w:tcW w:w="2135" w:type="dxa"/>
            <w:shd w:val="clear" w:color="auto" w:fill="auto"/>
            <w:noWrap/>
          </w:tcPr>
          <w:p w14:paraId="5AD17C30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Аргентина</w:t>
            </w:r>
          </w:p>
        </w:tc>
        <w:tc>
          <w:tcPr>
            <w:tcW w:w="2246" w:type="dxa"/>
            <w:shd w:val="clear" w:color="auto" w:fill="auto"/>
          </w:tcPr>
          <w:p w14:paraId="319623CA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2AEC1D9C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44C4525C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A9879D9" w14:textId="77777777" w:rsidR="0048472B" w:rsidRPr="00E5158F" w:rsidRDefault="0048472B" w:rsidP="00305845">
            <w:pPr>
              <w:pStyle w:val="Tabletext"/>
              <w:rPr>
                <w:rFonts w:eastAsiaTheme="majorEastAsia" w:cs="Calibri"/>
                <w:lang w:val="ru-RU"/>
              </w:rPr>
            </w:pPr>
            <w:r w:rsidRPr="00E5158F">
              <w:rPr>
                <w:rFonts w:eastAsiaTheme="majorEastAsia" w:cs="Calibri"/>
                <w:lang w:val="ru-RU"/>
              </w:rPr>
              <w:t>100,00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06875F4A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125F4B1D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6CD157F9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70" w:name="lt_pId194"/>
            <w:r w:rsidRPr="00E5158F">
              <w:rPr>
                <w:rFonts w:eastAsia="SimSun" w:cs="Calibri"/>
                <w:lang w:val="ru-RU"/>
              </w:rPr>
              <w:t>HGC Global Communications Limited</w:t>
            </w:r>
            <w:bookmarkEnd w:id="70"/>
          </w:p>
        </w:tc>
        <w:tc>
          <w:tcPr>
            <w:tcW w:w="2135" w:type="dxa"/>
            <w:shd w:val="clear" w:color="auto" w:fill="auto"/>
            <w:noWrap/>
            <w:hideMark/>
          </w:tcPr>
          <w:p w14:paraId="3628CD64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Гонконг, Китай</w:t>
            </w:r>
          </w:p>
        </w:tc>
        <w:tc>
          <w:tcPr>
            <w:tcW w:w="2246" w:type="dxa"/>
            <w:shd w:val="clear" w:color="auto" w:fill="auto"/>
          </w:tcPr>
          <w:p w14:paraId="565C3863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7D0200CF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619A2596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1A0D537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100,00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42208422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7479EE94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04C2A8FE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71" w:name="lt_pId206"/>
            <w:r w:rsidRPr="00E5158F">
              <w:rPr>
                <w:rFonts w:eastAsia="DengXian" w:cs="Calibri"/>
                <w:lang w:val="ru-RU"/>
              </w:rPr>
              <w:t>Vodafone New Zealand</w:t>
            </w:r>
            <w:bookmarkEnd w:id="71"/>
          </w:p>
        </w:tc>
        <w:tc>
          <w:tcPr>
            <w:tcW w:w="2135" w:type="dxa"/>
            <w:shd w:val="clear" w:color="auto" w:fill="auto"/>
            <w:noWrap/>
            <w:hideMark/>
          </w:tcPr>
          <w:p w14:paraId="3AD9CA40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Новая Зеландия</w:t>
            </w:r>
          </w:p>
        </w:tc>
        <w:tc>
          <w:tcPr>
            <w:tcW w:w="2246" w:type="dxa"/>
            <w:shd w:val="clear" w:color="auto" w:fill="auto"/>
          </w:tcPr>
          <w:p w14:paraId="5030D902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665C2876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50E5F24B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08D1312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100,00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5F215BA0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1DC4EAE9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2674A1B2" w14:textId="77777777" w:rsidR="0048472B" w:rsidRPr="00AA1808" w:rsidRDefault="0048472B" w:rsidP="00305845">
            <w:pPr>
              <w:pStyle w:val="Tabletext"/>
              <w:rPr>
                <w:rFonts w:eastAsia="DengXian" w:cs="Calibri"/>
                <w:lang w:val="es-ES"/>
              </w:rPr>
            </w:pPr>
            <w:bookmarkStart w:id="72" w:name="lt_pId212"/>
            <w:r w:rsidRPr="00AA1808">
              <w:rPr>
                <w:rFonts w:eastAsia="DengXian" w:cs="Calibri"/>
                <w:lang w:val="es-ES"/>
              </w:rPr>
              <w:t xml:space="preserve">Empresa Hondureña de </w:t>
            </w:r>
            <w:proofErr w:type="spellStart"/>
            <w:r w:rsidRPr="00AA1808">
              <w:rPr>
                <w:rFonts w:eastAsia="DengXian" w:cs="Calibri"/>
                <w:lang w:val="es-ES"/>
              </w:rPr>
              <w:t>Telecommunicaciones</w:t>
            </w:r>
            <w:proofErr w:type="spellEnd"/>
            <w:r w:rsidRPr="00AA1808">
              <w:rPr>
                <w:rFonts w:eastAsia="DengXian" w:cs="Calibri"/>
                <w:lang w:val="es-ES"/>
              </w:rPr>
              <w:t xml:space="preserve"> (HONDUTEL)</w:t>
            </w:r>
            <w:bookmarkEnd w:id="72"/>
          </w:p>
        </w:tc>
        <w:tc>
          <w:tcPr>
            <w:tcW w:w="2135" w:type="dxa"/>
            <w:shd w:val="clear" w:color="auto" w:fill="auto"/>
            <w:noWrap/>
            <w:hideMark/>
          </w:tcPr>
          <w:p w14:paraId="636BF437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Гондурас</w:t>
            </w:r>
          </w:p>
        </w:tc>
        <w:tc>
          <w:tcPr>
            <w:tcW w:w="2246" w:type="dxa"/>
            <w:shd w:val="clear" w:color="auto" w:fill="auto"/>
          </w:tcPr>
          <w:p w14:paraId="3F84D7EB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</w:p>
        </w:tc>
      </w:tr>
      <w:tr w:rsidR="0048472B" w:rsidRPr="00E5158F" w14:paraId="02578368" w14:textId="77777777" w:rsidTr="00305845">
        <w:trPr>
          <w:cantSplit/>
        </w:trPr>
        <w:tc>
          <w:tcPr>
            <w:tcW w:w="1129" w:type="dxa"/>
            <w:shd w:val="clear" w:color="auto" w:fill="auto"/>
          </w:tcPr>
          <w:p w14:paraId="78892BC1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16072BD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100,00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2C1E9E98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2DB6F035" w14:textId="77777777" w:rsidR="0048472B" w:rsidRPr="00E5158F" w:rsidRDefault="0048472B" w:rsidP="00305845">
            <w:pPr>
              <w:pStyle w:val="Tabletext"/>
              <w:jc w:val="center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5E29E390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lang w:val="ru-RU"/>
              </w:rPr>
            </w:pPr>
            <w:bookmarkStart w:id="73" w:name="lt_pId218"/>
            <w:r w:rsidRPr="00E5158F">
              <w:rPr>
                <w:rFonts w:eastAsia="DengXian" w:cs="Calibri"/>
                <w:lang w:val="ru-RU"/>
              </w:rPr>
              <w:t>Telecom Itália Móbile S.p.A.</w:t>
            </w:r>
            <w:bookmarkEnd w:id="73"/>
            <w:r w:rsidRPr="00E5158F">
              <w:rPr>
                <w:rFonts w:eastAsia="DengXian" w:cs="Calibri"/>
                <w:lang w:val="ru-RU"/>
              </w:rPr>
              <w:t xml:space="preserve"> (TIM) </w:t>
            </w:r>
            <w:r w:rsidRPr="00E5158F">
              <w:rPr>
                <w:rFonts w:eastAsia="DengXian" w:cs="Calibri"/>
                <w:lang w:val="ru-RU"/>
              </w:rPr>
              <w:br/>
              <w:t>(ранее – INTELIG Telecomunicações Ltda.)</w:t>
            </w:r>
            <w:bookmarkStart w:id="74" w:name="lt_pId219"/>
            <w:bookmarkStart w:id="75" w:name="lt_pId220"/>
            <w:bookmarkEnd w:id="74"/>
            <w:bookmarkEnd w:id="75"/>
          </w:p>
        </w:tc>
        <w:tc>
          <w:tcPr>
            <w:tcW w:w="2135" w:type="dxa"/>
            <w:shd w:val="clear" w:color="auto" w:fill="auto"/>
            <w:noWrap/>
            <w:hideMark/>
          </w:tcPr>
          <w:p w14:paraId="080C0201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  <w:r w:rsidRPr="00E5158F">
              <w:rPr>
                <w:rFonts w:cs="Calibri"/>
                <w:lang w:val="ru-RU"/>
              </w:rPr>
              <w:t>Бразилия</w:t>
            </w:r>
          </w:p>
        </w:tc>
        <w:tc>
          <w:tcPr>
            <w:tcW w:w="2246" w:type="dxa"/>
            <w:shd w:val="clear" w:color="auto" w:fill="auto"/>
          </w:tcPr>
          <w:p w14:paraId="4FB5890C" w14:textId="77777777" w:rsidR="0048472B" w:rsidRPr="00E5158F" w:rsidRDefault="0048472B" w:rsidP="00305845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0FD5942D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0CEA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2FEC" w14:textId="3E6312E6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55 900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2C15" w14:textId="3AD911C6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CFB5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559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47CB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eircom Limited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05F3" w14:textId="6AE42A09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Ирландия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EE88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04171B7E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41BE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BCC3" w14:textId="0F1DA69A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1 300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5B29" w14:textId="6B4264AC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F0F6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E8A2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Slovak Telekom, a.s.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4B79" w14:textId="6804D4DC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Словакия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126A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7068A609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5FFB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E44C" w14:textId="609E775F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EF5B" w14:textId="0D42C9F8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554B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F2EA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JSC Kazakhtelecom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DE96" w14:textId="09AFE7DF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Казахстан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09B2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1A40603A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A632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C0FA" w14:textId="2133050D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700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178E" w14:textId="11B4CEC9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693E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5462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Cable &amp; Wireless Panamá S.A.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D372" w14:textId="45414C0D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Панама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9DD2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6390D64D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49DE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9759" w14:textId="17CCB786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1 200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1909" w14:textId="6836B535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30BB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5431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Cyprus Telecoms. Authority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C8F8" w14:textId="163B04C3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Кипр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C4F6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64186133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2602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F2FE" w14:textId="2FF52208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28 100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D310" w14:textId="49EABFAA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F004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281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B62C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TDC A/S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A566" w14:textId="78383027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Дания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3E15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71297EBE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DCDD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BD02" w14:textId="02D7537F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55 900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F4CE" w14:textId="0405029E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5F12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559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2661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eircom Limited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4636" w14:textId="48E5580B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Ирландия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3978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551CF414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2A2B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AA3C" w14:textId="1C64E56A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13</w:t>
            </w:r>
            <w:r w:rsidR="00E73518" w:rsidRPr="00E5158F">
              <w:rPr>
                <w:rFonts w:eastAsia="DengXian" w:cs="Calibri"/>
                <w:lang w:val="ru-RU"/>
              </w:rPr>
              <w:t> </w:t>
            </w:r>
            <w:r w:rsidRPr="00E5158F">
              <w:rPr>
                <w:rFonts w:eastAsia="DengXian" w:cs="Calibri"/>
                <w:lang w:val="ru-RU"/>
              </w:rPr>
              <w:t>200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87E1" w14:textId="353EDE5C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9289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132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7CC4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Singapore Telecommunications Ltd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53BA" w14:textId="09D8803C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Сингапур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EF52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246D2EFD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948E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FE01" w14:textId="3C7184E9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900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2DDB" w14:textId="40A03360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D498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A13D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Beltelecom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7FB9" w14:textId="0803EF06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Беларусь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9886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2F6EA53A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5F61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B9F3" w14:textId="4F380079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600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4B1C" w14:textId="10C8851E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54FA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D290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Hellenic Telecommunications Org. S.A.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ACB0" w14:textId="0AD18CD5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Греция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B5A1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69E4A5E4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5D57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lastRenderedPageBreak/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A015" w14:textId="19CBF11A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300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186D" w14:textId="488EE2EE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DC6C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F85F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Mass Response Service GmbH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25E3" w14:textId="694DE20E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Австрия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32FC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41A3DC19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0C73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4B7B" w14:textId="0B3B9939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4 500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6DE5" w14:textId="41B30925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DD94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45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6C7B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MessageBird B.V.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6BF1" w14:textId="2FBC777C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Нидерланды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04C6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152511AE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7F74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4CDA" w14:textId="144646A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F427" w14:textId="273D4F58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5569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5D6F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EMTEX GmbH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3F53" w14:textId="5941D38C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Германия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0F06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1BBD9E8A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F20A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3B74" w14:textId="17329125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2 100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B877" w14:textId="542DE5B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9994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8F44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Telia Norge AS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0F01" w14:textId="023E1F5E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Норвегия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5108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4D2BE5B7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D206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0B5F" w14:textId="60A5C9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2 300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F128" w14:textId="4A3DBF2F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8DD5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F96C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TeliaSonera Finland Oyj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844B" w14:textId="7F91DC25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Финляндия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05D8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  <w:tr w:rsidR="002A489D" w:rsidRPr="00E5158F" w14:paraId="1FC52E6A" w14:textId="77777777" w:rsidTr="002A489D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8ACD" w14:textId="77777777" w:rsidR="002A489D" w:rsidRPr="00E5158F" w:rsidRDefault="002A489D" w:rsidP="002A489D">
            <w:pPr>
              <w:pStyle w:val="Tabletext"/>
              <w:jc w:val="center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B4D6" w14:textId="42B8FCF6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100</w:t>
            </w:r>
            <w:r w:rsidR="00DD7813" w:rsidRPr="00E5158F">
              <w:rPr>
                <w:rFonts w:eastAsia="DengXian" w:cs="Calibri"/>
                <w:lang w:val="ru-RU"/>
              </w:rPr>
              <w:t>,</w:t>
            </w:r>
            <w:r w:rsidRPr="00E5158F">
              <w:rPr>
                <w:rFonts w:eastAsia="DengXian" w:cs="Calibri"/>
                <w:lang w:val="ru-RU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51D5" w14:textId="44C5C471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шв. фр.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14EC" w14:textId="77777777" w:rsidR="002A489D" w:rsidRPr="00E5158F" w:rsidRDefault="002A489D" w:rsidP="002A489D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7296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lang w:val="ru-RU"/>
              </w:rPr>
            </w:pPr>
            <w:r w:rsidRPr="00E5158F">
              <w:rPr>
                <w:rFonts w:eastAsia="DengXian" w:cs="Calibri"/>
                <w:lang w:val="ru-RU"/>
              </w:rPr>
              <w:t>Elisa Eesti AS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A30E" w14:textId="6BB28353" w:rsidR="002A489D" w:rsidRPr="00E5158F" w:rsidRDefault="00DD7813" w:rsidP="002A489D">
            <w:pPr>
              <w:pStyle w:val="Tabletext"/>
              <w:rPr>
                <w:rFonts w:cs="Calibri"/>
                <w:lang w:val="ru-RU"/>
              </w:rPr>
            </w:pPr>
            <w:r w:rsidRPr="00E5158F">
              <w:rPr>
                <w:rFonts w:cs="Calibri"/>
                <w:lang w:val="ru-RU"/>
              </w:rPr>
              <w:t>Эстония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43A0" w14:textId="77777777" w:rsidR="002A489D" w:rsidRPr="00E5158F" w:rsidRDefault="002A489D" w:rsidP="002A489D">
            <w:pPr>
              <w:pStyle w:val="Tabletext"/>
              <w:rPr>
                <w:rFonts w:eastAsia="DengXian" w:cs="Calibri"/>
                <w:color w:val="000000"/>
                <w:lang w:val="ru-RU"/>
              </w:rPr>
            </w:pPr>
          </w:p>
        </w:tc>
      </w:tr>
    </w:tbl>
    <w:p w14:paraId="70777370" w14:textId="77777777" w:rsidR="00796BD3" w:rsidRPr="00E5158F" w:rsidRDefault="00C462C5" w:rsidP="002A489D">
      <w:pPr>
        <w:spacing w:before="720"/>
        <w:jc w:val="center"/>
        <w:rPr>
          <w:lang w:val="ru-RU"/>
        </w:rPr>
      </w:pPr>
      <w:r w:rsidRPr="00E5158F">
        <w:rPr>
          <w:lang w:val="ru-RU"/>
        </w:rPr>
        <w:t>______________</w:t>
      </w:r>
    </w:p>
    <w:sectPr w:rsidR="00796BD3" w:rsidRPr="00E5158F" w:rsidSect="0048472B">
      <w:footerReference w:type="default" r:id="rId16"/>
      <w:headerReference w:type="first" r:id="rId17"/>
      <w:footerReference w:type="first" r:id="rId18"/>
      <w:pgSz w:w="16834" w:h="11907" w:orient="landscape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C93E" w14:textId="77777777" w:rsidR="007536F0" w:rsidRDefault="007536F0">
      <w:r>
        <w:separator/>
      </w:r>
    </w:p>
  </w:endnote>
  <w:endnote w:type="continuationSeparator" w:id="0">
    <w:p w14:paraId="0E2F58A4" w14:textId="77777777" w:rsidR="007536F0" w:rsidRDefault="0075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8472B" w:rsidRPr="00784011" w14:paraId="15F4742C" w14:textId="77777777" w:rsidTr="00E31DCE">
      <w:trPr>
        <w:jc w:val="center"/>
      </w:trPr>
      <w:tc>
        <w:tcPr>
          <w:tcW w:w="1803" w:type="dxa"/>
          <w:vAlign w:val="center"/>
        </w:tcPr>
        <w:p w14:paraId="7258CB6D" w14:textId="5DBF85AB" w:rsidR="0048472B" w:rsidRPr="00DC5B59" w:rsidRDefault="0048472B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5380F99A" w14:textId="5DD341BF" w:rsidR="0048472B" w:rsidRPr="00E06FD5" w:rsidRDefault="0048472B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9B2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E196CB0" w14:textId="77777777" w:rsidR="0048472B" w:rsidRPr="00672F8A" w:rsidRDefault="0048472B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8472B" w:rsidRPr="00784011" w14:paraId="3C0C13E2" w14:textId="77777777" w:rsidTr="00E31DCE">
      <w:trPr>
        <w:jc w:val="center"/>
      </w:trPr>
      <w:tc>
        <w:tcPr>
          <w:tcW w:w="1803" w:type="dxa"/>
          <w:vAlign w:val="center"/>
        </w:tcPr>
        <w:p w14:paraId="451342A5" w14:textId="276F0C14" w:rsidR="0048472B" w:rsidRDefault="006609B2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0EF08431" w14:textId="7FFFA1B9" w:rsidR="0048472B" w:rsidRPr="00E06FD5" w:rsidRDefault="0048472B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9B2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6394E7" w14:textId="77777777" w:rsidR="0048472B" w:rsidRPr="00672F8A" w:rsidRDefault="0048472B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12044"/>
    </w:tblGrid>
    <w:tr w:rsidR="00672F8A" w:rsidRPr="00784011" w14:paraId="656537E0" w14:textId="77777777" w:rsidTr="00520615">
      <w:trPr>
        <w:jc w:val="center"/>
      </w:trPr>
      <w:tc>
        <w:tcPr>
          <w:tcW w:w="2340" w:type="dxa"/>
          <w:vAlign w:val="center"/>
        </w:tcPr>
        <w:p w14:paraId="1574E730" w14:textId="7A973586" w:rsidR="00672F8A" w:rsidRPr="00C77478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12044" w:type="dxa"/>
        </w:tcPr>
        <w:p w14:paraId="40D5CEA4" w14:textId="3FC45FCA" w:rsidR="00672F8A" w:rsidRPr="00E06FD5" w:rsidRDefault="00672F8A" w:rsidP="00520615">
          <w:pPr>
            <w:pStyle w:val="Header"/>
            <w:tabs>
              <w:tab w:val="left" w:pos="10595"/>
              <w:tab w:val="right" w:pos="11831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1F5873">
            <w:rPr>
              <w:bCs/>
              <w:lang w:val="ru-RU"/>
            </w:rPr>
            <w:t>38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71D8575" w14:textId="77777777" w:rsidR="000E568E" w:rsidRPr="00672F8A" w:rsidRDefault="000E568E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CDEA4B3" w14:textId="77777777" w:rsidTr="00E31DCE">
      <w:trPr>
        <w:jc w:val="center"/>
      </w:trPr>
      <w:tc>
        <w:tcPr>
          <w:tcW w:w="1803" w:type="dxa"/>
          <w:vAlign w:val="center"/>
        </w:tcPr>
        <w:p w14:paraId="295378C3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024C86DE" w14:textId="3FDBC131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1F5873">
            <w:rPr>
              <w:bCs/>
              <w:lang w:val="ru-RU"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4614DC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D9EEA" w14:textId="77777777" w:rsidR="007536F0" w:rsidRDefault="007536F0">
      <w:r>
        <w:t>____________________</w:t>
      </w:r>
    </w:p>
  </w:footnote>
  <w:footnote w:type="continuationSeparator" w:id="0">
    <w:p w14:paraId="3E696FD1" w14:textId="77777777" w:rsidR="007536F0" w:rsidRDefault="0075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6D1B16" w:rsidRPr="00784011" w14:paraId="18B449E3" w14:textId="77777777" w:rsidTr="00305845">
      <w:trPr>
        <w:trHeight w:val="1104"/>
        <w:jc w:val="center"/>
      </w:trPr>
      <w:tc>
        <w:tcPr>
          <w:tcW w:w="6359" w:type="dxa"/>
          <w:vAlign w:val="center"/>
        </w:tcPr>
        <w:p w14:paraId="70EB0404" w14:textId="77777777" w:rsidR="006D1B16" w:rsidRDefault="006D1B16" w:rsidP="006D1B16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78344F6" wp14:editId="61F96463">
                <wp:extent cx="3901233" cy="612000"/>
                <wp:effectExtent l="0" t="0" r="0" b="0"/>
                <wp:docPr id="801782954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0306032B" w14:textId="77777777" w:rsidR="006D1B16" w:rsidRDefault="006D1B16" w:rsidP="006D1B1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FB77196" w14:textId="77777777" w:rsidR="0048472B" w:rsidRDefault="0048472B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B4D02" wp14:editId="339610A8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1381454261" name="Rectangle 1381454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E1660" id="Rectangle 1381454261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81A1D5C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071BE58B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B71CF40" wp14:editId="282877BC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5441B719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CE5461D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62497" wp14:editId="3C367EA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9E135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D6"/>
    <w:rsid w:val="00005BE0"/>
    <w:rsid w:val="0002183E"/>
    <w:rsid w:val="000265FD"/>
    <w:rsid w:val="000569B4"/>
    <w:rsid w:val="0006007D"/>
    <w:rsid w:val="00080E82"/>
    <w:rsid w:val="000B2DE7"/>
    <w:rsid w:val="000D193E"/>
    <w:rsid w:val="000E568E"/>
    <w:rsid w:val="000E7F75"/>
    <w:rsid w:val="0010111C"/>
    <w:rsid w:val="001116D6"/>
    <w:rsid w:val="001411C7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1F5873"/>
    <w:rsid w:val="00225368"/>
    <w:rsid w:val="00227FF0"/>
    <w:rsid w:val="002368AA"/>
    <w:rsid w:val="00291EB6"/>
    <w:rsid w:val="002A489D"/>
    <w:rsid w:val="002C3F32"/>
    <w:rsid w:val="002D2F57"/>
    <w:rsid w:val="002D48C5"/>
    <w:rsid w:val="0033025A"/>
    <w:rsid w:val="00345D2A"/>
    <w:rsid w:val="00360533"/>
    <w:rsid w:val="00390993"/>
    <w:rsid w:val="003A6008"/>
    <w:rsid w:val="003F099E"/>
    <w:rsid w:val="003F235E"/>
    <w:rsid w:val="00401FD7"/>
    <w:rsid w:val="004023E0"/>
    <w:rsid w:val="00403DD8"/>
    <w:rsid w:val="00442515"/>
    <w:rsid w:val="0045686C"/>
    <w:rsid w:val="0048472B"/>
    <w:rsid w:val="004918C4"/>
    <w:rsid w:val="00497703"/>
    <w:rsid w:val="004A0374"/>
    <w:rsid w:val="004A45B5"/>
    <w:rsid w:val="004D0129"/>
    <w:rsid w:val="00515795"/>
    <w:rsid w:val="00520615"/>
    <w:rsid w:val="0055328C"/>
    <w:rsid w:val="00583770"/>
    <w:rsid w:val="005A64D5"/>
    <w:rsid w:val="005B153F"/>
    <w:rsid w:val="005B3DEC"/>
    <w:rsid w:val="00601994"/>
    <w:rsid w:val="00660449"/>
    <w:rsid w:val="006609B2"/>
    <w:rsid w:val="00672F8A"/>
    <w:rsid w:val="006B4605"/>
    <w:rsid w:val="006C17BD"/>
    <w:rsid w:val="006D1B16"/>
    <w:rsid w:val="006E2D42"/>
    <w:rsid w:val="00703676"/>
    <w:rsid w:val="00707304"/>
    <w:rsid w:val="00732269"/>
    <w:rsid w:val="0073346A"/>
    <w:rsid w:val="00750AE4"/>
    <w:rsid w:val="007536F0"/>
    <w:rsid w:val="00762555"/>
    <w:rsid w:val="0077110E"/>
    <w:rsid w:val="00785ABD"/>
    <w:rsid w:val="00796BD3"/>
    <w:rsid w:val="007A2DD4"/>
    <w:rsid w:val="007A68D8"/>
    <w:rsid w:val="007D38B5"/>
    <w:rsid w:val="007E7EA0"/>
    <w:rsid w:val="00801971"/>
    <w:rsid w:val="00807255"/>
    <w:rsid w:val="0081023E"/>
    <w:rsid w:val="008173AA"/>
    <w:rsid w:val="0084050B"/>
    <w:rsid w:val="00840A14"/>
    <w:rsid w:val="00847FDE"/>
    <w:rsid w:val="008B62B4"/>
    <w:rsid w:val="008D2D7B"/>
    <w:rsid w:val="008E0737"/>
    <w:rsid w:val="008F7C2C"/>
    <w:rsid w:val="00940E96"/>
    <w:rsid w:val="00950A82"/>
    <w:rsid w:val="00952078"/>
    <w:rsid w:val="009B0BAE"/>
    <w:rsid w:val="009C1C89"/>
    <w:rsid w:val="009D7A24"/>
    <w:rsid w:val="009F3448"/>
    <w:rsid w:val="00A01CF9"/>
    <w:rsid w:val="00A20B63"/>
    <w:rsid w:val="00A71773"/>
    <w:rsid w:val="00AA1808"/>
    <w:rsid w:val="00AE2C85"/>
    <w:rsid w:val="00B0107F"/>
    <w:rsid w:val="00B12A37"/>
    <w:rsid w:val="00B41837"/>
    <w:rsid w:val="00B63EF2"/>
    <w:rsid w:val="00B9612F"/>
    <w:rsid w:val="00BA7D89"/>
    <w:rsid w:val="00BC0D39"/>
    <w:rsid w:val="00BC7BC0"/>
    <w:rsid w:val="00BD57B7"/>
    <w:rsid w:val="00BE63E2"/>
    <w:rsid w:val="00C462C5"/>
    <w:rsid w:val="00C47EA2"/>
    <w:rsid w:val="00C77478"/>
    <w:rsid w:val="00CD2009"/>
    <w:rsid w:val="00CF629C"/>
    <w:rsid w:val="00D631AA"/>
    <w:rsid w:val="00D86384"/>
    <w:rsid w:val="00D92EEA"/>
    <w:rsid w:val="00DA10DB"/>
    <w:rsid w:val="00DA5D4E"/>
    <w:rsid w:val="00DA770A"/>
    <w:rsid w:val="00DC5B59"/>
    <w:rsid w:val="00DD7813"/>
    <w:rsid w:val="00DE2B48"/>
    <w:rsid w:val="00E05752"/>
    <w:rsid w:val="00E176BA"/>
    <w:rsid w:val="00E32AED"/>
    <w:rsid w:val="00E33C80"/>
    <w:rsid w:val="00E423EC"/>
    <w:rsid w:val="00E5158F"/>
    <w:rsid w:val="00E55121"/>
    <w:rsid w:val="00E73518"/>
    <w:rsid w:val="00E809B1"/>
    <w:rsid w:val="00EB4FCB"/>
    <w:rsid w:val="00EC6BC5"/>
    <w:rsid w:val="00ED1E37"/>
    <w:rsid w:val="00F25C76"/>
    <w:rsid w:val="00F348D0"/>
    <w:rsid w:val="00F35898"/>
    <w:rsid w:val="00F5225B"/>
    <w:rsid w:val="00FA01D3"/>
    <w:rsid w:val="00FE57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5F57C08"/>
  <w15:docId w15:val="{26D5F3B7-139F-44DD-AA4A-7F0B7ABE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AA1808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A1808"/>
    <w:pPr>
      <w:spacing w:after="240"/>
      <w:jc w:val="center"/>
    </w:pPr>
    <w:rPr>
      <w:noProof/>
      <w:lang w:val="ru-RU"/>
    </w:rPr>
  </w:style>
  <w:style w:type="paragraph" w:customStyle="1" w:styleId="Figuretitle">
    <w:name w:val="Figure_title"/>
    <w:basedOn w:val="Tabletitle"/>
    <w:next w:val="Normalaftertitle"/>
    <w:rsid w:val="00227FF0"/>
    <w:pPr>
      <w:spacing w:after="480"/>
    </w:pPr>
  </w:style>
  <w:style w:type="paragraph" w:customStyle="1" w:styleId="Tabletitle">
    <w:name w:val="Table_title"/>
    <w:basedOn w:val="TableNo"/>
    <w:next w:val="Tabletext"/>
    <w:rsid w:val="00AA1808"/>
    <w:pPr>
      <w:spacing w:before="240"/>
    </w:pPr>
    <w:rPr>
      <w:b/>
      <w:caps w:val="0"/>
      <w:lang w:val="ru-RU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1F5873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6C17B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33/en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38/en" TargetMode="External"/><Relationship Id="rId12" Type="http://schemas.openxmlformats.org/officeDocument/2006/relationships/hyperlink" Target="https://www.itu.int/md/S25-CWGFHR20-C-0013/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4-CL-C-0038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34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964</Words>
  <Characters>6925</Characters>
  <Application>Microsoft Office Word</Application>
  <DocSecurity>0</DocSecurity>
  <Lines>432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on implementation of Council Decisions 600 and 601 (UIFN, IIN)</dc:title>
  <dc:subject>ITU Council 2025</dc:subject>
  <cp:keywords>C2025, C25, Council-25</cp:keywords>
  <dc:description/>
  <cp:lastPrinted>2006-03-28T16:12:00Z</cp:lastPrinted>
  <dcterms:created xsi:type="dcterms:W3CDTF">2025-05-21T09:34:00Z</dcterms:created>
  <dcterms:modified xsi:type="dcterms:W3CDTF">2025-05-21T09:34:00Z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