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212A1" w14:paraId="498EB0AD" w14:textId="77777777" w:rsidTr="00D72F49">
        <w:trPr>
          <w:cantSplit/>
          <w:trHeight w:val="23"/>
        </w:trPr>
        <w:tc>
          <w:tcPr>
            <w:tcW w:w="3969" w:type="dxa"/>
            <w:vMerge w:val="restart"/>
            <w:tcMar>
              <w:left w:w="0" w:type="dxa"/>
            </w:tcMar>
          </w:tcPr>
          <w:p w14:paraId="75DCDC09" w14:textId="735B7B8D" w:rsidR="00D72F49" w:rsidRPr="00E212A1" w:rsidRDefault="00D72F49" w:rsidP="00D72F49">
            <w:pPr>
              <w:tabs>
                <w:tab w:val="left" w:pos="851"/>
              </w:tabs>
              <w:spacing w:before="0" w:line="240" w:lineRule="atLeast"/>
              <w:rPr>
                <w:b/>
              </w:rPr>
            </w:pPr>
            <w:r w:rsidRPr="00E212A1">
              <w:rPr>
                <w:b/>
              </w:rPr>
              <w:t>Point de l'ordre du jour:</w:t>
            </w:r>
            <w:r w:rsidR="00D7230B" w:rsidRPr="00E212A1">
              <w:rPr>
                <w:b/>
              </w:rPr>
              <w:t xml:space="preserve"> ADM 1</w:t>
            </w:r>
          </w:p>
        </w:tc>
        <w:tc>
          <w:tcPr>
            <w:tcW w:w="5245" w:type="dxa"/>
          </w:tcPr>
          <w:p w14:paraId="34F22BFF" w14:textId="2B497F5A" w:rsidR="00D72F49" w:rsidRPr="00E212A1" w:rsidRDefault="00D72F49" w:rsidP="00D72F49">
            <w:pPr>
              <w:tabs>
                <w:tab w:val="left" w:pos="851"/>
              </w:tabs>
              <w:spacing w:before="0" w:line="240" w:lineRule="atLeast"/>
              <w:jc w:val="right"/>
              <w:rPr>
                <w:b/>
              </w:rPr>
            </w:pPr>
            <w:r w:rsidRPr="00E212A1">
              <w:rPr>
                <w:b/>
              </w:rPr>
              <w:t>Document C2</w:t>
            </w:r>
            <w:r w:rsidR="00FC6D7D" w:rsidRPr="00E212A1">
              <w:rPr>
                <w:b/>
              </w:rPr>
              <w:t>5</w:t>
            </w:r>
            <w:r w:rsidRPr="00E212A1">
              <w:rPr>
                <w:b/>
              </w:rPr>
              <w:t>/</w:t>
            </w:r>
            <w:r w:rsidR="00D7230B" w:rsidRPr="00E212A1">
              <w:rPr>
                <w:b/>
              </w:rPr>
              <w:t>38</w:t>
            </w:r>
            <w:r w:rsidRPr="00E212A1">
              <w:rPr>
                <w:b/>
              </w:rPr>
              <w:t>-F</w:t>
            </w:r>
          </w:p>
        </w:tc>
      </w:tr>
      <w:tr w:rsidR="00D72F49" w:rsidRPr="00E212A1" w14:paraId="4D60FC3B" w14:textId="77777777" w:rsidTr="00D72F49">
        <w:trPr>
          <w:cantSplit/>
        </w:trPr>
        <w:tc>
          <w:tcPr>
            <w:tcW w:w="3969" w:type="dxa"/>
            <w:vMerge/>
          </w:tcPr>
          <w:p w14:paraId="021CAAED" w14:textId="77777777" w:rsidR="00D72F49" w:rsidRPr="00E212A1" w:rsidRDefault="00D72F49" w:rsidP="00D72F49">
            <w:pPr>
              <w:tabs>
                <w:tab w:val="left" w:pos="851"/>
              </w:tabs>
              <w:spacing w:line="240" w:lineRule="atLeast"/>
              <w:rPr>
                <w:b/>
              </w:rPr>
            </w:pPr>
          </w:p>
        </w:tc>
        <w:tc>
          <w:tcPr>
            <w:tcW w:w="5245" w:type="dxa"/>
          </w:tcPr>
          <w:p w14:paraId="20D603EA" w14:textId="4614FD64" w:rsidR="00D72F49" w:rsidRPr="00E212A1" w:rsidRDefault="00D7230B" w:rsidP="00D72F49">
            <w:pPr>
              <w:tabs>
                <w:tab w:val="left" w:pos="851"/>
              </w:tabs>
              <w:spacing w:before="0"/>
              <w:jc w:val="right"/>
              <w:rPr>
                <w:b/>
              </w:rPr>
            </w:pPr>
            <w:r w:rsidRPr="00E212A1">
              <w:rPr>
                <w:b/>
              </w:rPr>
              <w:t>1</w:t>
            </w:r>
            <w:r w:rsidR="00AC2ABA" w:rsidRPr="00E212A1">
              <w:rPr>
                <w:b/>
              </w:rPr>
              <w:t>7</w:t>
            </w:r>
            <w:r w:rsidRPr="00E212A1">
              <w:rPr>
                <w:b/>
              </w:rPr>
              <w:t xml:space="preserve"> avril 2025</w:t>
            </w:r>
          </w:p>
        </w:tc>
      </w:tr>
      <w:tr w:rsidR="00D72F49" w:rsidRPr="00E212A1" w14:paraId="1B744A11" w14:textId="77777777" w:rsidTr="00D72F49">
        <w:trPr>
          <w:cantSplit/>
          <w:trHeight w:val="23"/>
        </w:trPr>
        <w:tc>
          <w:tcPr>
            <w:tcW w:w="3969" w:type="dxa"/>
            <w:vMerge/>
          </w:tcPr>
          <w:p w14:paraId="1CB93435" w14:textId="77777777" w:rsidR="00D72F49" w:rsidRPr="00E212A1" w:rsidRDefault="00D72F49" w:rsidP="00D72F49">
            <w:pPr>
              <w:tabs>
                <w:tab w:val="left" w:pos="851"/>
              </w:tabs>
              <w:spacing w:line="240" w:lineRule="atLeast"/>
              <w:rPr>
                <w:b/>
              </w:rPr>
            </w:pPr>
          </w:p>
        </w:tc>
        <w:tc>
          <w:tcPr>
            <w:tcW w:w="5245" w:type="dxa"/>
          </w:tcPr>
          <w:p w14:paraId="0814A7C1" w14:textId="77777777" w:rsidR="00D72F49" w:rsidRPr="00E212A1" w:rsidRDefault="00D72F49" w:rsidP="00D72F49">
            <w:pPr>
              <w:tabs>
                <w:tab w:val="left" w:pos="851"/>
              </w:tabs>
              <w:spacing w:before="0" w:line="240" w:lineRule="atLeast"/>
              <w:jc w:val="right"/>
              <w:rPr>
                <w:b/>
              </w:rPr>
            </w:pPr>
            <w:r w:rsidRPr="00E212A1">
              <w:rPr>
                <w:b/>
              </w:rPr>
              <w:t>Original: anglais</w:t>
            </w:r>
          </w:p>
        </w:tc>
      </w:tr>
      <w:tr w:rsidR="00D72F49" w:rsidRPr="00E212A1" w14:paraId="31177722" w14:textId="77777777" w:rsidTr="00D72F49">
        <w:trPr>
          <w:cantSplit/>
          <w:trHeight w:val="23"/>
        </w:trPr>
        <w:tc>
          <w:tcPr>
            <w:tcW w:w="3969" w:type="dxa"/>
          </w:tcPr>
          <w:p w14:paraId="574A356E" w14:textId="77777777" w:rsidR="00D72F49" w:rsidRPr="00E212A1" w:rsidRDefault="00D72F49" w:rsidP="00D72F49">
            <w:pPr>
              <w:tabs>
                <w:tab w:val="left" w:pos="851"/>
              </w:tabs>
              <w:spacing w:line="240" w:lineRule="atLeast"/>
              <w:rPr>
                <w:b/>
              </w:rPr>
            </w:pPr>
          </w:p>
        </w:tc>
        <w:tc>
          <w:tcPr>
            <w:tcW w:w="5245" w:type="dxa"/>
          </w:tcPr>
          <w:p w14:paraId="54F0B332" w14:textId="77777777" w:rsidR="00D72F49" w:rsidRPr="00E212A1" w:rsidRDefault="00D72F49" w:rsidP="00D72F49">
            <w:pPr>
              <w:tabs>
                <w:tab w:val="left" w:pos="851"/>
              </w:tabs>
              <w:spacing w:before="0" w:line="240" w:lineRule="atLeast"/>
              <w:jc w:val="right"/>
              <w:rPr>
                <w:b/>
              </w:rPr>
            </w:pPr>
          </w:p>
        </w:tc>
      </w:tr>
      <w:tr w:rsidR="00D72F49" w:rsidRPr="00E212A1" w14:paraId="3DA21274" w14:textId="77777777" w:rsidTr="00D72F49">
        <w:trPr>
          <w:cantSplit/>
        </w:trPr>
        <w:tc>
          <w:tcPr>
            <w:tcW w:w="9214" w:type="dxa"/>
            <w:gridSpan w:val="2"/>
            <w:tcMar>
              <w:left w:w="0" w:type="dxa"/>
            </w:tcMar>
          </w:tcPr>
          <w:p w14:paraId="6C421164" w14:textId="77777777" w:rsidR="00D72F49" w:rsidRPr="00E212A1" w:rsidRDefault="00D72F49" w:rsidP="00D72F49">
            <w:pPr>
              <w:pStyle w:val="Source"/>
              <w:jc w:val="left"/>
              <w:rPr>
                <w:sz w:val="34"/>
                <w:szCs w:val="34"/>
              </w:rPr>
            </w:pPr>
            <w:r w:rsidRPr="00E212A1">
              <w:rPr>
                <w:rFonts w:cstheme="minorHAnsi"/>
                <w:color w:val="000000"/>
                <w:sz w:val="34"/>
                <w:szCs w:val="34"/>
              </w:rPr>
              <w:t xml:space="preserve">Rapport </w:t>
            </w:r>
            <w:r w:rsidR="00E95647" w:rsidRPr="00E212A1">
              <w:rPr>
                <w:rFonts w:cstheme="minorHAnsi"/>
                <w:color w:val="000000"/>
                <w:sz w:val="34"/>
                <w:szCs w:val="34"/>
              </w:rPr>
              <w:t xml:space="preserve">de la </w:t>
            </w:r>
            <w:r w:rsidRPr="00E212A1">
              <w:rPr>
                <w:rFonts w:cstheme="minorHAnsi"/>
                <w:color w:val="000000"/>
                <w:sz w:val="34"/>
                <w:szCs w:val="34"/>
              </w:rPr>
              <w:t>Secrétaire général</w:t>
            </w:r>
            <w:r w:rsidR="00E95647" w:rsidRPr="00E212A1">
              <w:rPr>
                <w:rFonts w:cstheme="minorHAnsi"/>
                <w:color w:val="000000"/>
                <w:sz w:val="34"/>
                <w:szCs w:val="34"/>
              </w:rPr>
              <w:t>e</w:t>
            </w:r>
          </w:p>
        </w:tc>
      </w:tr>
      <w:tr w:rsidR="00D72F49" w:rsidRPr="00E212A1" w14:paraId="6A940A33" w14:textId="77777777" w:rsidTr="00D72F49">
        <w:trPr>
          <w:cantSplit/>
        </w:trPr>
        <w:tc>
          <w:tcPr>
            <w:tcW w:w="9214" w:type="dxa"/>
            <w:gridSpan w:val="2"/>
            <w:tcMar>
              <w:left w:w="0" w:type="dxa"/>
            </w:tcMar>
          </w:tcPr>
          <w:p w14:paraId="0DAABFFD" w14:textId="51D28810" w:rsidR="00D72F49" w:rsidRPr="00E212A1" w:rsidRDefault="00BC0B1F" w:rsidP="00D72F49">
            <w:pPr>
              <w:pStyle w:val="Subtitle"/>
              <w:framePr w:hSpace="0" w:wrap="auto" w:hAnchor="text" w:xAlign="left" w:yAlign="inline"/>
              <w:rPr>
                <w:sz w:val="32"/>
                <w:szCs w:val="32"/>
                <w:lang w:val="fr-FR"/>
              </w:rPr>
            </w:pPr>
            <w:r w:rsidRPr="00E212A1">
              <w:rPr>
                <w:rFonts w:cstheme="minorHAnsi"/>
                <w:sz w:val="32"/>
                <w:szCs w:val="32"/>
                <w:lang w:val="fr-FR"/>
              </w:rPr>
              <w:t xml:space="preserve">RAPPORT D'ACTIVITÉ SUR LA MISE EN ŒUVRE DES DÉCISIONS 600 ET 601 DU CONSEIL (NUMÉROS </w:t>
            </w:r>
            <w:proofErr w:type="spellStart"/>
            <w:r w:rsidRPr="00E212A1">
              <w:rPr>
                <w:rFonts w:cstheme="minorHAnsi"/>
                <w:sz w:val="32"/>
                <w:szCs w:val="32"/>
                <w:lang w:val="fr-FR"/>
              </w:rPr>
              <w:t>UIFN</w:t>
            </w:r>
            <w:proofErr w:type="spellEnd"/>
            <w:r w:rsidRPr="00E212A1">
              <w:rPr>
                <w:rFonts w:cstheme="minorHAnsi"/>
                <w:sz w:val="32"/>
                <w:szCs w:val="32"/>
                <w:lang w:val="fr-FR"/>
              </w:rPr>
              <w:t xml:space="preserve"> ET </w:t>
            </w:r>
            <w:proofErr w:type="spellStart"/>
            <w:r w:rsidRPr="00E212A1">
              <w:rPr>
                <w:rFonts w:cstheme="minorHAnsi"/>
                <w:sz w:val="32"/>
                <w:szCs w:val="32"/>
                <w:lang w:val="fr-FR"/>
              </w:rPr>
              <w:t>IIN</w:t>
            </w:r>
            <w:proofErr w:type="spellEnd"/>
            <w:r w:rsidRPr="00E212A1">
              <w:rPr>
                <w:rFonts w:cstheme="minorHAnsi"/>
                <w:sz w:val="32"/>
                <w:szCs w:val="32"/>
                <w:lang w:val="fr-FR"/>
              </w:rPr>
              <w:t>)</w:t>
            </w:r>
          </w:p>
        </w:tc>
      </w:tr>
      <w:tr w:rsidR="00D72F49" w:rsidRPr="00E212A1" w14:paraId="14C97D11" w14:textId="77777777" w:rsidTr="00D72F49">
        <w:trPr>
          <w:cantSplit/>
        </w:trPr>
        <w:tc>
          <w:tcPr>
            <w:tcW w:w="9214" w:type="dxa"/>
            <w:gridSpan w:val="2"/>
            <w:tcBorders>
              <w:top w:val="single" w:sz="4" w:space="0" w:color="auto"/>
              <w:bottom w:val="single" w:sz="4" w:space="0" w:color="auto"/>
            </w:tcBorders>
            <w:tcMar>
              <w:left w:w="0" w:type="dxa"/>
            </w:tcMar>
          </w:tcPr>
          <w:p w14:paraId="4C5836B2" w14:textId="77777777" w:rsidR="00D72F49" w:rsidRPr="00E212A1" w:rsidRDefault="00F37FE5" w:rsidP="00D72F49">
            <w:pPr>
              <w:spacing w:before="160"/>
              <w:rPr>
                <w:b/>
                <w:bCs/>
                <w:sz w:val="26"/>
                <w:szCs w:val="26"/>
              </w:rPr>
            </w:pPr>
            <w:r w:rsidRPr="00E212A1">
              <w:rPr>
                <w:b/>
                <w:bCs/>
                <w:sz w:val="26"/>
                <w:szCs w:val="26"/>
              </w:rPr>
              <w:t>Objet</w:t>
            </w:r>
          </w:p>
          <w:p w14:paraId="6F372147" w14:textId="170B0BA2" w:rsidR="00D72F49" w:rsidRPr="00E212A1" w:rsidRDefault="00D7230B" w:rsidP="00D72F49">
            <w:r w:rsidRPr="00E212A1">
              <w:t xml:space="preserve">Suite à l'approbation des Décisions 600 et 601 par le Conseil à sa session de 2017, l'UIT a procédé à la mise en œuvre de ces Décisions. Le présent rapport apporte des mises à jour sur les renseignements fournis dans le Document </w:t>
            </w:r>
            <w:hyperlink r:id="rId7" w:history="1">
              <w:r w:rsidRPr="00E212A1">
                <w:rPr>
                  <w:rStyle w:val="Hyperlink"/>
                  <w:rFonts w:eastAsia="Times New Roman" w:cs="Times New Roman"/>
                  <w:szCs w:val="20"/>
                </w:rPr>
                <w:t>C24/38</w:t>
              </w:r>
            </w:hyperlink>
            <w:r w:rsidRPr="00E212A1">
              <w:t>.</w:t>
            </w:r>
          </w:p>
          <w:p w14:paraId="3104A019" w14:textId="77777777" w:rsidR="00D72F49" w:rsidRPr="00E212A1" w:rsidRDefault="00D72F49" w:rsidP="00D72F49">
            <w:pPr>
              <w:spacing w:before="160"/>
              <w:rPr>
                <w:b/>
                <w:bCs/>
                <w:sz w:val="26"/>
                <w:szCs w:val="26"/>
              </w:rPr>
            </w:pPr>
            <w:r w:rsidRPr="00E212A1">
              <w:rPr>
                <w:b/>
                <w:bCs/>
                <w:sz w:val="26"/>
                <w:szCs w:val="26"/>
              </w:rPr>
              <w:t>Suite à donner par le Conseil</w:t>
            </w:r>
          </w:p>
          <w:p w14:paraId="197EA9F0" w14:textId="3809FEAE" w:rsidR="00D72F49" w:rsidRPr="00E212A1" w:rsidRDefault="00D7230B" w:rsidP="00D72F49">
            <w:r w:rsidRPr="00E212A1">
              <w:t xml:space="preserve">Le Conseil est invité </w:t>
            </w:r>
            <w:r w:rsidRPr="00E212A1">
              <w:rPr>
                <w:b/>
                <w:bCs/>
              </w:rPr>
              <w:t>à prendre note</w:t>
            </w:r>
            <w:r w:rsidRPr="00E212A1">
              <w:t xml:space="preserve"> du présent rapport.</w:t>
            </w:r>
          </w:p>
          <w:p w14:paraId="2B4A2146" w14:textId="3D66660D" w:rsidR="00D72F49" w:rsidRPr="00E212A1" w:rsidRDefault="00D72F49" w:rsidP="00D72F49">
            <w:pPr>
              <w:spacing w:before="160"/>
              <w:rPr>
                <w:b/>
                <w:bCs/>
                <w:sz w:val="26"/>
                <w:szCs w:val="26"/>
              </w:rPr>
            </w:pPr>
            <w:r w:rsidRPr="00E212A1">
              <w:rPr>
                <w:b/>
                <w:bCs/>
                <w:sz w:val="26"/>
                <w:szCs w:val="26"/>
              </w:rPr>
              <w:t xml:space="preserve">Liens pertinents avec le </w:t>
            </w:r>
            <w:r w:rsidR="00F37FE5" w:rsidRPr="00E212A1">
              <w:rPr>
                <w:b/>
                <w:bCs/>
                <w:sz w:val="26"/>
                <w:szCs w:val="26"/>
              </w:rPr>
              <w:t>p</w:t>
            </w:r>
            <w:r w:rsidRPr="00E212A1">
              <w:rPr>
                <w:b/>
                <w:bCs/>
                <w:sz w:val="26"/>
                <w:szCs w:val="26"/>
              </w:rPr>
              <w:t>lan stratégique</w:t>
            </w:r>
          </w:p>
          <w:p w14:paraId="55EB4009" w14:textId="14A208C1" w:rsidR="00D72F49" w:rsidRPr="00E212A1" w:rsidRDefault="00D7230B" w:rsidP="00D72F49">
            <w:r w:rsidRPr="00E212A1">
              <w:t>Ressources internationales de numérotage des télécommunications.</w:t>
            </w:r>
          </w:p>
          <w:p w14:paraId="3D048FA8" w14:textId="77777777" w:rsidR="00E95647" w:rsidRPr="00E212A1" w:rsidRDefault="00D72F49" w:rsidP="00D72F49">
            <w:pPr>
              <w:spacing w:before="160"/>
              <w:rPr>
                <w:b/>
                <w:bCs/>
                <w:sz w:val="26"/>
                <w:szCs w:val="26"/>
              </w:rPr>
            </w:pPr>
            <w:r w:rsidRPr="00E212A1">
              <w:rPr>
                <w:b/>
                <w:bCs/>
                <w:sz w:val="26"/>
                <w:szCs w:val="26"/>
              </w:rPr>
              <w:t>Incidences financières</w:t>
            </w:r>
          </w:p>
          <w:p w14:paraId="7307F991" w14:textId="78F28AD2" w:rsidR="00D72F49" w:rsidRPr="00E212A1" w:rsidRDefault="00D7230B" w:rsidP="00882919">
            <w:pPr>
              <w:rPr>
                <w:szCs w:val="24"/>
              </w:rPr>
            </w:pPr>
            <w:r w:rsidRPr="00E212A1">
              <w:rPr>
                <w:szCs w:val="24"/>
              </w:rPr>
              <w:t>Les produits tirés de la mise en œuvre des Décisions 600 et 601 du Conseil sont inscrits au budget pour 2024-2025.</w:t>
            </w:r>
          </w:p>
          <w:p w14:paraId="13FE3234" w14:textId="77777777" w:rsidR="00D72F49" w:rsidRPr="00E212A1" w:rsidRDefault="00D72F49" w:rsidP="00D72F49">
            <w:pPr>
              <w:spacing w:before="160"/>
              <w:rPr>
                <w:caps/>
                <w:sz w:val="22"/>
              </w:rPr>
            </w:pPr>
            <w:r w:rsidRPr="00E212A1">
              <w:rPr>
                <w:sz w:val="22"/>
              </w:rPr>
              <w:t>__________________</w:t>
            </w:r>
          </w:p>
          <w:p w14:paraId="19D8B88E" w14:textId="77777777" w:rsidR="00D72F49" w:rsidRPr="00E212A1" w:rsidRDefault="00D72F49" w:rsidP="00D72F49">
            <w:pPr>
              <w:spacing w:before="160"/>
              <w:rPr>
                <w:b/>
                <w:bCs/>
                <w:sz w:val="26"/>
                <w:szCs w:val="26"/>
              </w:rPr>
            </w:pPr>
            <w:r w:rsidRPr="00E212A1">
              <w:rPr>
                <w:b/>
                <w:bCs/>
                <w:sz w:val="26"/>
                <w:szCs w:val="26"/>
              </w:rPr>
              <w:t>Références</w:t>
            </w:r>
          </w:p>
          <w:p w14:paraId="2A2CD3E3" w14:textId="15433501" w:rsidR="00D72F49" w:rsidRPr="00E212A1" w:rsidRDefault="00D7230B" w:rsidP="00D72F49">
            <w:pPr>
              <w:spacing w:after="160"/>
              <w:rPr>
                <w:i/>
                <w:iCs/>
                <w:szCs w:val="24"/>
              </w:rPr>
            </w:pPr>
            <w:r w:rsidRPr="00E212A1">
              <w:rPr>
                <w:i/>
                <w:iCs/>
                <w:szCs w:val="24"/>
              </w:rPr>
              <w:t xml:space="preserve">Documents </w:t>
            </w:r>
            <w:hyperlink r:id="rId8" w:history="1">
              <w:r w:rsidRPr="00E212A1">
                <w:rPr>
                  <w:rStyle w:val="Hyperlink"/>
                  <w:rFonts w:eastAsia="Times New Roman" w:cs="Times New Roman"/>
                  <w:i/>
                  <w:iCs/>
                  <w:szCs w:val="24"/>
                </w:rPr>
                <w:t>C17/133</w:t>
              </w:r>
            </w:hyperlink>
            <w:r w:rsidRPr="00E212A1">
              <w:rPr>
                <w:i/>
                <w:iCs/>
                <w:szCs w:val="24"/>
              </w:rPr>
              <w:t xml:space="preserve"> et </w:t>
            </w:r>
            <w:hyperlink r:id="rId9" w:history="1">
              <w:r w:rsidRPr="00E212A1">
                <w:rPr>
                  <w:rStyle w:val="Hyperlink"/>
                  <w:rFonts w:eastAsia="Times New Roman" w:cs="Times New Roman"/>
                  <w:i/>
                  <w:iCs/>
                  <w:szCs w:val="24"/>
                </w:rPr>
                <w:t>C17/134</w:t>
              </w:r>
            </w:hyperlink>
            <w:r w:rsidRPr="00E212A1">
              <w:rPr>
                <w:i/>
                <w:iCs/>
                <w:szCs w:val="24"/>
              </w:rPr>
              <w:t xml:space="preserve">; </w:t>
            </w:r>
            <w:hyperlink r:id="rId10" w:history="1">
              <w:r w:rsidRPr="00E212A1">
                <w:rPr>
                  <w:rStyle w:val="Hyperlink"/>
                  <w:rFonts w:eastAsia="Times New Roman" w:cs="Times New Roman"/>
                  <w:i/>
                  <w:iCs/>
                  <w:szCs w:val="24"/>
                </w:rPr>
                <w:t>C18/100</w:t>
              </w:r>
            </w:hyperlink>
            <w:r w:rsidRPr="00E212A1">
              <w:rPr>
                <w:i/>
                <w:iCs/>
                <w:szCs w:val="24"/>
              </w:rPr>
              <w:t xml:space="preserve">; </w:t>
            </w:r>
            <w:hyperlink r:id="rId11" w:history="1">
              <w:r w:rsidRPr="00E212A1">
                <w:rPr>
                  <w:rStyle w:val="Hyperlink"/>
                  <w:rFonts w:eastAsia="Times New Roman" w:cs="Times New Roman"/>
                  <w:i/>
                  <w:iCs/>
                  <w:szCs w:val="24"/>
                </w:rPr>
                <w:t>CWG-FHR 9/14</w:t>
              </w:r>
            </w:hyperlink>
            <w:r w:rsidRPr="00E212A1">
              <w:rPr>
                <w:i/>
                <w:iCs/>
                <w:szCs w:val="24"/>
              </w:rPr>
              <w:t xml:space="preserve"> et </w:t>
            </w:r>
            <w:hyperlink r:id="rId12" w:history="1">
              <w:r w:rsidRPr="00E212A1">
                <w:rPr>
                  <w:rStyle w:val="Hyperlink"/>
                  <w:rFonts w:eastAsia="Times New Roman" w:cs="Times New Roman"/>
                  <w:i/>
                  <w:iCs/>
                  <w:szCs w:val="24"/>
                </w:rPr>
                <w:t>CWG-FHR 9/15</w:t>
              </w:r>
            </w:hyperlink>
            <w:r w:rsidRPr="00E212A1">
              <w:rPr>
                <w:i/>
                <w:iCs/>
                <w:szCs w:val="24"/>
              </w:rPr>
              <w:t xml:space="preserve">; </w:t>
            </w:r>
            <w:hyperlink r:id="rId13" w:history="1">
              <w:r w:rsidRPr="00E212A1">
                <w:rPr>
                  <w:rStyle w:val="Hyperlink"/>
                  <w:rFonts w:eastAsia="Times New Roman" w:cs="Times New Roman"/>
                  <w:i/>
                  <w:iCs/>
                  <w:szCs w:val="24"/>
                </w:rPr>
                <w:t>C19/47</w:t>
              </w:r>
            </w:hyperlink>
            <w:r w:rsidRPr="00E212A1">
              <w:rPr>
                <w:i/>
                <w:iCs/>
                <w:szCs w:val="24"/>
              </w:rPr>
              <w:t xml:space="preserve"> et </w:t>
            </w:r>
            <w:hyperlink r:id="rId14" w:history="1">
              <w:r w:rsidRPr="00E212A1">
                <w:rPr>
                  <w:rStyle w:val="Hyperlink"/>
                  <w:rFonts w:eastAsia="Times New Roman" w:cs="Times New Roman"/>
                  <w:i/>
                  <w:iCs/>
                  <w:szCs w:val="24"/>
                </w:rPr>
                <w:t>C19/120</w:t>
              </w:r>
            </w:hyperlink>
            <w:r w:rsidRPr="00E212A1">
              <w:rPr>
                <w:i/>
                <w:iCs/>
                <w:szCs w:val="24"/>
              </w:rPr>
              <w:t xml:space="preserve">; </w:t>
            </w:r>
            <w:hyperlink r:id="rId15" w:history="1">
              <w:r w:rsidRPr="00E212A1">
                <w:rPr>
                  <w:rStyle w:val="Hyperlink"/>
                  <w:rFonts w:eastAsia="Times New Roman" w:cs="Times New Roman"/>
                  <w:i/>
                  <w:iCs/>
                  <w:szCs w:val="24"/>
                </w:rPr>
                <w:t>C20/47</w:t>
              </w:r>
            </w:hyperlink>
            <w:r w:rsidRPr="00E212A1">
              <w:rPr>
                <w:i/>
                <w:iCs/>
                <w:szCs w:val="24"/>
              </w:rPr>
              <w:t xml:space="preserve">; </w:t>
            </w:r>
            <w:hyperlink r:id="rId16" w:history="1">
              <w:r w:rsidRPr="00E212A1">
                <w:rPr>
                  <w:rStyle w:val="Hyperlink"/>
                  <w:rFonts w:eastAsia="Times New Roman" w:cs="Times New Roman"/>
                  <w:i/>
                  <w:iCs/>
                  <w:szCs w:val="24"/>
                </w:rPr>
                <w:t>C21/47</w:t>
              </w:r>
            </w:hyperlink>
            <w:r w:rsidRPr="00E212A1">
              <w:rPr>
                <w:i/>
                <w:iCs/>
                <w:szCs w:val="24"/>
              </w:rPr>
              <w:t xml:space="preserve">; </w:t>
            </w:r>
            <w:hyperlink r:id="rId17" w:history="1">
              <w:r w:rsidRPr="00E212A1">
                <w:rPr>
                  <w:rStyle w:val="Hyperlink"/>
                  <w:rFonts w:eastAsia="Times New Roman" w:cs="Times New Roman"/>
                  <w:i/>
                  <w:iCs/>
                  <w:szCs w:val="24"/>
                </w:rPr>
                <w:t>CWG-FHR-14/6</w:t>
              </w:r>
            </w:hyperlink>
            <w:r w:rsidRPr="00E212A1">
              <w:rPr>
                <w:i/>
                <w:iCs/>
                <w:szCs w:val="24"/>
              </w:rPr>
              <w:t xml:space="preserve">, </w:t>
            </w:r>
            <w:hyperlink r:id="rId18" w:history="1">
              <w:r w:rsidRPr="00E212A1">
                <w:rPr>
                  <w:rStyle w:val="Hyperlink"/>
                  <w:rFonts w:eastAsia="Times New Roman" w:cs="Times New Roman"/>
                  <w:i/>
                  <w:iCs/>
                  <w:szCs w:val="24"/>
                </w:rPr>
                <w:t>CWG-FHR-14/7</w:t>
              </w:r>
            </w:hyperlink>
            <w:r w:rsidRPr="00E212A1">
              <w:rPr>
                <w:i/>
                <w:iCs/>
                <w:szCs w:val="24"/>
              </w:rPr>
              <w:t xml:space="preserve"> et </w:t>
            </w:r>
            <w:hyperlink r:id="rId19" w:history="1">
              <w:r w:rsidRPr="00E212A1">
                <w:rPr>
                  <w:rStyle w:val="Hyperlink"/>
                  <w:rFonts w:eastAsia="Times New Roman" w:cs="Times New Roman"/>
                  <w:i/>
                  <w:iCs/>
                  <w:szCs w:val="24"/>
                </w:rPr>
                <w:t>CWG-FHR-14/12</w:t>
              </w:r>
            </w:hyperlink>
            <w:r w:rsidRPr="00E212A1">
              <w:rPr>
                <w:i/>
                <w:iCs/>
                <w:szCs w:val="24"/>
              </w:rPr>
              <w:t xml:space="preserve">; </w:t>
            </w:r>
            <w:hyperlink r:id="rId20" w:history="1">
              <w:r w:rsidRPr="00E212A1">
                <w:rPr>
                  <w:rStyle w:val="Hyperlink"/>
                  <w:rFonts w:eastAsia="Times New Roman" w:cs="Times New Roman"/>
                  <w:i/>
                  <w:iCs/>
                  <w:szCs w:val="24"/>
                </w:rPr>
                <w:t>C22/50</w:t>
              </w:r>
            </w:hyperlink>
            <w:r w:rsidRPr="00E212A1">
              <w:rPr>
                <w:i/>
                <w:iCs/>
                <w:szCs w:val="24"/>
              </w:rPr>
              <w:t xml:space="preserve">; </w:t>
            </w:r>
            <w:hyperlink r:id="rId21" w:history="1">
              <w:r w:rsidRPr="00E212A1">
                <w:rPr>
                  <w:rStyle w:val="Hyperlink"/>
                  <w:rFonts w:eastAsia="Times New Roman" w:cs="Times New Roman"/>
                  <w:i/>
                  <w:iCs/>
                  <w:szCs w:val="24"/>
                </w:rPr>
                <w:t>CWG</w:t>
              </w:r>
              <w:r w:rsidR="003656BD" w:rsidRPr="00E212A1">
                <w:rPr>
                  <w:rStyle w:val="Hyperlink"/>
                  <w:rFonts w:eastAsia="Times New Roman" w:cs="Times New Roman"/>
                  <w:i/>
                  <w:iCs/>
                  <w:szCs w:val="24"/>
                </w:rPr>
                <w:noBreakHyphen/>
              </w:r>
              <w:r w:rsidRPr="00E212A1">
                <w:rPr>
                  <w:rStyle w:val="Hyperlink"/>
                  <w:rFonts w:eastAsia="Times New Roman" w:cs="Times New Roman"/>
                  <w:i/>
                  <w:iCs/>
                  <w:szCs w:val="24"/>
                </w:rPr>
                <w:t>FHR-17/8</w:t>
              </w:r>
            </w:hyperlink>
            <w:r w:rsidRPr="00E212A1">
              <w:rPr>
                <w:i/>
                <w:iCs/>
                <w:szCs w:val="24"/>
              </w:rPr>
              <w:t xml:space="preserve">; </w:t>
            </w:r>
            <w:hyperlink r:id="rId22" w:history="1">
              <w:r w:rsidRPr="00E212A1">
                <w:rPr>
                  <w:rStyle w:val="Hyperlink"/>
                  <w:rFonts w:eastAsia="Times New Roman" w:cs="Times New Roman"/>
                  <w:i/>
                  <w:iCs/>
                  <w:szCs w:val="24"/>
                </w:rPr>
                <w:t>C24/38</w:t>
              </w:r>
            </w:hyperlink>
            <w:r w:rsidRPr="00E212A1">
              <w:rPr>
                <w:i/>
                <w:iCs/>
                <w:szCs w:val="24"/>
              </w:rPr>
              <w:t xml:space="preserve">; </w:t>
            </w:r>
            <w:hyperlink r:id="rId23" w:history="1">
              <w:r w:rsidRPr="00E212A1">
                <w:rPr>
                  <w:rStyle w:val="Hyperlink"/>
                  <w:rFonts w:eastAsia="Times New Roman" w:cs="Times New Roman"/>
                  <w:i/>
                  <w:iCs/>
                  <w:szCs w:val="24"/>
                </w:rPr>
                <w:t>CWG-FHR-20/13</w:t>
              </w:r>
            </w:hyperlink>
          </w:p>
        </w:tc>
      </w:tr>
    </w:tbl>
    <w:p w14:paraId="08694D26" w14:textId="77777777" w:rsidR="00A51849" w:rsidRPr="00E212A1" w:rsidRDefault="00A51849">
      <w:pPr>
        <w:tabs>
          <w:tab w:val="clear" w:pos="567"/>
          <w:tab w:val="clear" w:pos="1134"/>
          <w:tab w:val="clear" w:pos="1701"/>
          <w:tab w:val="clear" w:pos="2268"/>
          <w:tab w:val="clear" w:pos="2835"/>
        </w:tabs>
        <w:overflowPunct/>
        <w:autoSpaceDE/>
        <w:autoSpaceDN/>
        <w:adjustRightInd/>
        <w:spacing w:before="0"/>
        <w:textAlignment w:val="auto"/>
      </w:pPr>
      <w:r w:rsidRPr="00E212A1">
        <w:br w:type="page"/>
      </w:r>
    </w:p>
    <w:p w14:paraId="5A20E558" w14:textId="77777777" w:rsidR="00891D80" w:rsidRPr="00E212A1" w:rsidRDefault="00891D80" w:rsidP="00891D80">
      <w:pPr>
        <w:pStyle w:val="Headingb"/>
      </w:pPr>
      <w:r w:rsidRPr="00E212A1">
        <w:lastRenderedPageBreak/>
        <w:t>Considérations générales</w:t>
      </w:r>
    </w:p>
    <w:p w14:paraId="3B0B5568" w14:textId="14ED9B3B" w:rsidR="00891D80" w:rsidRPr="00E212A1" w:rsidRDefault="00891D80" w:rsidP="00891D80">
      <w:r w:rsidRPr="00E212A1">
        <w:t>1</w:t>
      </w:r>
      <w:r w:rsidRPr="00E212A1">
        <w:tab/>
        <w:t>Suite à l'approbation des Décisions 600 (</w:t>
      </w:r>
      <w:r w:rsidR="003656BD" w:rsidRPr="00E212A1">
        <w:t xml:space="preserve">Document </w:t>
      </w:r>
      <w:hyperlink r:id="rId24" w:history="1">
        <w:r w:rsidRPr="00E212A1">
          <w:rPr>
            <w:rStyle w:val="Hyperlink"/>
            <w:rFonts w:eastAsia="Times New Roman" w:cs="Times New Roman"/>
            <w:szCs w:val="20"/>
          </w:rPr>
          <w:t>C17/133</w:t>
        </w:r>
      </w:hyperlink>
      <w:r w:rsidRPr="00E212A1">
        <w:t>) et 601 (</w:t>
      </w:r>
      <w:r w:rsidR="003656BD" w:rsidRPr="00E212A1">
        <w:t>Document </w:t>
      </w:r>
      <w:hyperlink r:id="rId25" w:history="1">
        <w:r w:rsidRPr="00E212A1">
          <w:rPr>
            <w:rStyle w:val="Hyperlink"/>
            <w:rFonts w:eastAsia="Times New Roman" w:cs="Times New Roman"/>
            <w:szCs w:val="20"/>
          </w:rPr>
          <w:t>C17/134</w:t>
        </w:r>
      </w:hyperlink>
      <w:r w:rsidRPr="00E212A1">
        <w:t>) par le Conseil à sa session de 2017, le Secrétariat de l'UIT a procédé à la mise en œuvre de ces Décisions.</w:t>
      </w:r>
    </w:p>
    <w:p w14:paraId="3CD85AF6" w14:textId="35206D54" w:rsidR="00891D80" w:rsidRPr="00E212A1" w:rsidRDefault="00891D80" w:rsidP="00891D80">
      <w:r w:rsidRPr="00E212A1">
        <w:t>2</w:t>
      </w:r>
      <w:r w:rsidRPr="00E212A1">
        <w:tab/>
      </w:r>
      <w:r w:rsidR="005671CB" w:rsidRPr="00E212A1">
        <w:rPr>
          <w:rFonts w:eastAsia="Times New Roman" w:cs="Calibri"/>
          <w:lang w:eastAsia="zh-CN"/>
        </w:rPr>
        <w:t>À</w:t>
      </w:r>
      <w:r w:rsidRPr="00E212A1">
        <w:t xml:space="preserve"> la session de 2024 du Conseil de l</w:t>
      </w:r>
      <w:r w:rsidR="005671CB" w:rsidRPr="00E212A1">
        <w:t>'</w:t>
      </w:r>
      <w:r w:rsidRPr="00E212A1">
        <w:t xml:space="preserve">UIT, le Bureau de la normalisation des télécommunications (TSB) a présenté le Document </w:t>
      </w:r>
      <w:hyperlink r:id="rId26" w:history="1">
        <w:r w:rsidRPr="00E212A1">
          <w:rPr>
            <w:rStyle w:val="Hyperlink"/>
            <w:rFonts w:eastAsia="Times New Roman" w:cs="Times New Roman"/>
            <w:szCs w:val="20"/>
          </w:rPr>
          <w:t>C24/38</w:t>
        </w:r>
      </w:hyperlink>
      <w:r w:rsidRPr="00E212A1">
        <w:t>, qui fait le point sur la mise en œuvre des Décisions du Conseil ainsi que sur les produits tirés des numéros universels de libre appel international (UIFN) et des numéros d'identification d'entité émettrice (IIN).</w:t>
      </w:r>
    </w:p>
    <w:p w14:paraId="53266396" w14:textId="77777777" w:rsidR="00891D80" w:rsidRPr="00E212A1" w:rsidRDefault="00891D80" w:rsidP="00891D80">
      <w:r w:rsidRPr="00E212A1">
        <w:t>3</w:t>
      </w:r>
      <w:r w:rsidRPr="00E212A1">
        <w:tab/>
        <w:t>Le présent document contient des informations mises à jour sur l'avancement de la mise en œuvre des Décisions susvisées depuis la session de 2024 du Conseil.</w:t>
      </w:r>
    </w:p>
    <w:p w14:paraId="751FFAC9" w14:textId="259FB716" w:rsidR="006A11AE" w:rsidRPr="00E212A1" w:rsidRDefault="00891D80" w:rsidP="00891D80">
      <w:pPr>
        <w:pStyle w:val="Headingb"/>
      </w:pPr>
      <w:r w:rsidRPr="00E212A1">
        <w:t>Informations financières actualisées</w:t>
      </w:r>
      <w:r w:rsidR="00D162AD" w:rsidRPr="00E212A1">
        <w:t xml:space="preserve"> </w:t>
      </w:r>
      <w:r w:rsidRPr="00E212A1">
        <w:t>sur les numéros UIFN (Décision 600 du Conseil):</w:t>
      </w:r>
    </w:p>
    <w:p w14:paraId="1609F154" w14:textId="46441192" w:rsidR="00891D80" w:rsidRPr="00E212A1" w:rsidRDefault="00517763" w:rsidP="00517763">
      <w:pPr>
        <w:jc w:val="center"/>
      </w:pPr>
      <w:r w:rsidRPr="00E212A1">
        <w:rPr>
          <w:noProof/>
        </w:rPr>
        <w:drawing>
          <wp:inline distT="0" distB="0" distL="0" distR="0" wp14:anchorId="3C62F90A" wp14:editId="669DB5E1">
            <wp:extent cx="5760085" cy="2970530"/>
            <wp:effectExtent l="0" t="0" r="0" b="1270"/>
            <wp:docPr id="251628910" name="Picture 1" descr="A graph with numbers and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28910" name="Picture 1" descr="A graph with numbers and a bar chart&#10;&#10;AI-generated content may be incorrect."/>
                    <pic:cNvPicPr/>
                  </pic:nvPicPr>
                  <pic:blipFill>
                    <a:blip r:embed="rId27"/>
                    <a:stretch>
                      <a:fillRect/>
                    </a:stretch>
                  </pic:blipFill>
                  <pic:spPr>
                    <a:xfrm>
                      <a:off x="0" y="0"/>
                      <a:ext cx="5760085" cy="2970530"/>
                    </a:xfrm>
                    <a:prstGeom prst="rect">
                      <a:avLst/>
                    </a:prstGeom>
                  </pic:spPr>
                </pic:pic>
              </a:graphicData>
            </a:graphic>
          </wp:inline>
        </w:drawing>
      </w:r>
    </w:p>
    <w:p w14:paraId="7DBE226B" w14:textId="7A68F58E" w:rsidR="00891D80" w:rsidRPr="00E212A1" w:rsidRDefault="00891D80" w:rsidP="00891D80">
      <w:r w:rsidRPr="00E212A1">
        <w:t>Depuis le 1er mars 2024, dernier jour de la période considérée pour le Conseil 2024, les paiements supplémentaires ci-après ont été reçus au 19 mars 2025:</w:t>
      </w:r>
    </w:p>
    <w:p w14:paraId="023B5E22" w14:textId="61DAD1C0" w:rsidR="00891D80" w:rsidRPr="00E212A1" w:rsidRDefault="00891D80" w:rsidP="00891D80">
      <w:pPr>
        <w:pStyle w:val="enumlev1"/>
      </w:pPr>
      <w:r w:rsidRPr="00E212A1">
        <w:t>–</w:t>
      </w:r>
      <w:r w:rsidRPr="00E212A1">
        <w:tab/>
        <w:t>Un montant supplémentaire de 300 CHF a été versé au titre des droits de gestion annuels pour 2018. À ce jour, 96% des factures valables ont été acquittées et des factures d'un montant de 15 300 CHF doivent encore être recouvrées.</w:t>
      </w:r>
    </w:p>
    <w:p w14:paraId="3A96F5B9" w14:textId="72DAA503" w:rsidR="00891D80" w:rsidRPr="00E212A1" w:rsidRDefault="00891D80" w:rsidP="00891D80">
      <w:pPr>
        <w:pStyle w:val="enumlev1"/>
      </w:pPr>
      <w:r w:rsidRPr="00E212A1">
        <w:t>–</w:t>
      </w:r>
      <w:r w:rsidRPr="00E212A1">
        <w:tab/>
        <w:t>Concernant les droits de gestion annuels pour 2023, un montant supplémentaire de 5</w:t>
      </w:r>
      <w:r w:rsidR="00874BD8" w:rsidRPr="00E212A1">
        <w:t> </w:t>
      </w:r>
      <w:r w:rsidRPr="00E212A1">
        <w:t>900 CHF a été versé. À ce jour, 69% des factures valables ont été acquittées et des factures d'un montant de 59 800 CHF doivent encore être recouvrées.</w:t>
      </w:r>
    </w:p>
    <w:p w14:paraId="4C5D9CF7" w14:textId="27A14199" w:rsidR="00891D80" w:rsidRPr="00E212A1" w:rsidRDefault="00891D80" w:rsidP="00891D80">
      <w:pPr>
        <w:pStyle w:val="enumlev1"/>
      </w:pPr>
      <w:r w:rsidRPr="00E212A1">
        <w:t>–</w:t>
      </w:r>
      <w:r w:rsidRPr="00E212A1">
        <w:tab/>
        <w:t>Un montant de 222 400 CHF a été versé au titre des droits de gestion annuels pour</w:t>
      </w:r>
      <w:r w:rsidR="00874BD8" w:rsidRPr="00E212A1">
        <w:t> </w:t>
      </w:r>
      <w:r w:rsidRPr="00E212A1">
        <w:t>2024. À ce jour, 67% des factures valables ont été acquittées et des factures d'un montant de 111 500 CHF doivent encore être recouvrées.</w:t>
      </w:r>
    </w:p>
    <w:p w14:paraId="3E5B89A5" w14:textId="029F4116" w:rsidR="00891D80" w:rsidRPr="00E212A1" w:rsidRDefault="00891D80" w:rsidP="00891D80">
      <w:r w:rsidRPr="00E212A1">
        <w:t>Le montant des droits impayés pour la période 2018-2022 a diminué pour passer à</w:t>
      </w:r>
      <w:r w:rsidR="00874BD8" w:rsidRPr="00E212A1">
        <w:t> </w:t>
      </w:r>
      <w:r w:rsidRPr="00E212A1">
        <w:t>16</w:t>
      </w:r>
      <w:r w:rsidR="00874BD8" w:rsidRPr="00E212A1">
        <w:t> </w:t>
      </w:r>
      <w:r w:rsidRPr="00E212A1">
        <w:t>600 CHF. Le montant des droits impayés pour la période 2023-2024 s'élève à</w:t>
      </w:r>
      <w:r w:rsidR="00874BD8" w:rsidRPr="00E212A1">
        <w:t> </w:t>
      </w:r>
      <w:r w:rsidRPr="00E212A1">
        <w:t>171</w:t>
      </w:r>
      <w:r w:rsidR="00874BD8" w:rsidRPr="00E212A1">
        <w:t> </w:t>
      </w:r>
      <w:r w:rsidRPr="00E212A1">
        <w:t>300</w:t>
      </w:r>
      <w:r w:rsidR="00874BD8" w:rsidRPr="00E212A1">
        <w:t> </w:t>
      </w:r>
      <w:r w:rsidRPr="00E212A1">
        <w:t>CHF au total, et les droits impayés d'un prestataire de services représentent 65</w:t>
      </w:r>
      <w:r w:rsidR="00874BD8" w:rsidRPr="00E212A1">
        <w:t>%</w:t>
      </w:r>
      <w:r w:rsidR="003656BD" w:rsidRPr="00E212A1">
        <w:t> </w:t>
      </w:r>
      <w:r w:rsidRPr="00E212A1">
        <w:t>du montant total</w:t>
      </w:r>
      <w:r w:rsidR="00AC2ABA" w:rsidRPr="00E212A1">
        <w:t xml:space="preserve"> pour cette même période</w:t>
      </w:r>
      <w:r w:rsidRPr="00E212A1">
        <w:t>.</w:t>
      </w:r>
    </w:p>
    <w:p w14:paraId="58BC5795" w14:textId="77777777" w:rsidR="00891D80" w:rsidRPr="00E212A1" w:rsidRDefault="00891D80" w:rsidP="00891D80">
      <w:r w:rsidRPr="00E212A1">
        <w:lastRenderedPageBreak/>
        <w:t>On trouvera dans l'Annexe 1 la liste des entités pour lesquelles le TSB dispose d'un point de contact, qui ont été facturées pour 2018-2024 et qui ne s'étaient pas acquittées de leurs factures au 19 mars 2025.</w:t>
      </w:r>
    </w:p>
    <w:p w14:paraId="4C78C466" w14:textId="77777777" w:rsidR="00891D80" w:rsidRPr="00E212A1" w:rsidRDefault="00891D80" w:rsidP="00891D80">
      <w:r w:rsidRPr="00E212A1">
        <w:t>Pour 2024, les produits attendus des numéros UIFN s'élèvent à 403 800 CHF (ce montant inclut la redevance forfaitaire et les droits de gestion annuels).</w:t>
      </w:r>
    </w:p>
    <w:p w14:paraId="50134BA7" w14:textId="1F67B037" w:rsidR="00891D80" w:rsidRPr="00E212A1" w:rsidRDefault="00891D80" w:rsidP="00874BD8">
      <w:pPr>
        <w:pStyle w:val="Headingb"/>
        <w:tabs>
          <w:tab w:val="clear" w:pos="567"/>
        </w:tabs>
        <w:ind w:left="0" w:firstLine="0"/>
      </w:pPr>
      <w:r w:rsidRPr="00E212A1">
        <w:t>Discussion sur les numéros d</w:t>
      </w:r>
      <w:r w:rsidR="005671CB" w:rsidRPr="00E212A1">
        <w:t>'</w:t>
      </w:r>
      <w:r w:rsidRPr="00E212A1">
        <w:t>identification d</w:t>
      </w:r>
      <w:r w:rsidR="005671CB" w:rsidRPr="00E212A1">
        <w:t>'</w:t>
      </w:r>
      <w:r w:rsidRPr="00E212A1">
        <w:t>identité émettrice au sein du Groupe de travail du Conseil sur les ressources financières et les ressources humaines (Décision 601 du Conseil)</w:t>
      </w:r>
    </w:p>
    <w:p w14:paraId="0F4A3444" w14:textId="44BDDC3E" w:rsidR="00891D80" w:rsidRPr="00E212A1" w:rsidRDefault="00891D80" w:rsidP="00891D80">
      <w:r w:rsidRPr="00E212A1">
        <w:t xml:space="preserve">Lors de la 20ème réunion du Groupe de travail du Conseil sur les ressources financières et les ressources humaines (GTC-FHR) qui s'est tenue en février 2025, le TSB a présenté le document </w:t>
      </w:r>
      <w:hyperlink r:id="rId28" w:history="1">
        <w:r w:rsidRPr="00E212A1">
          <w:rPr>
            <w:rStyle w:val="Hyperlink"/>
            <w:rFonts w:eastAsia="Times New Roman" w:cs="Times New Roman"/>
            <w:szCs w:val="20"/>
          </w:rPr>
          <w:t>CWG-FHR-20/13</w:t>
        </w:r>
      </w:hyperlink>
      <w:r w:rsidRPr="00E212A1">
        <w:t xml:space="preserve"> intitulé "Difficultés rencontrées dans la mise en œuvre de la Décision 601 du Conseil relative à l'enregistrement des numéros IIN". Un conseiller (le</w:t>
      </w:r>
      <w:r w:rsidR="00874BD8" w:rsidRPr="00E212A1">
        <w:t> </w:t>
      </w:r>
      <w:r w:rsidRPr="00E212A1">
        <w:t>président de la Commission d'études 2) a indiqué que la Recommandation UIT-T E.118 avait fait l'objet d'une révision et avait été déterminée lors de la réunion de la Commission</w:t>
      </w:r>
      <w:r w:rsidR="003656BD" w:rsidRPr="00E212A1">
        <w:t> </w:t>
      </w:r>
      <w:r w:rsidRPr="00E212A1">
        <w:t>d'études 2 (CE 2) de l'UIT-T (Genève, 5-14 février 2025). La fonction d'enregistrement des numéros IIN a été supprimée de la Recommandation révisée</w:t>
      </w:r>
      <w:r w:rsidR="00AC2ABA" w:rsidRPr="00E212A1">
        <w:t>, ce qui pourrait se traduire par une possible perte de 35 000 CHF environ</w:t>
      </w:r>
      <w:r w:rsidRPr="00E212A1">
        <w:t>. Il est prévu que la CE 2 de l'UIT-T se mette en rapport avec le Conseil par l'intermédiaire du Directeur du TSB une fois que la Recommandation UIT-T E.118 révisée sur les numéros IIN aura été officiellement approuvée. En conséquence, la Décision 601 sera vraisemblablement abrogée/supprimée.</w:t>
      </w:r>
    </w:p>
    <w:p w14:paraId="6E78D7A8" w14:textId="77777777" w:rsidR="00891D80" w:rsidRPr="00E212A1" w:rsidRDefault="00891D80" w:rsidP="00874BD8">
      <w:pPr>
        <w:pStyle w:val="Headingb"/>
      </w:pPr>
      <w:r w:rsidRPr="00E212A1">
        <w:t>Conclusion</w:t>
      </w:r>
    </w:p>
    <w:p w14:paraId="2CF6314F" w14:textId="77777777" w:rsidR="00891D80" w:rsidRPr="00E212A1" w:rsidRDefault="00891D80" w:rsidP="00891D80">
      <w:r w:rsidRPr="00E212A1">
        <w:t>Le Secrétariat poursuit la mise en œuvre des Décisions 600 et 601 du Conseil.</w:t>
      </w:r>
    </w:p>
    <w:p w14:paraId="5F4ADB4C" w14:textId="1AB9D491" w:rsidR="00874BD8" w:rsidRPr="00E212A1" w:rsidRDefault="00891D80" w:rsidP="00874BD8">
      <w:pPr>
        <w:pStyle w:val="Headingb"/>
        <w:spacing w:before="1800"/>
      </w:pPr>
      <w:r w:rsidRPr="00E212A1">
        <w:t xml:space="preserve">Annexe: </w:t>
      </w:r>
      <w:r w:rsidR="00923BC8" w:rsidRPr="00E212A1">
        <w:rPr>
          <w:b w:val="0"/>
          <w:bCs/>
        </w:rPr>
        <w:t>1</w:t>
      </w:r>
    </w:p>
    <w:p w14:paraId="0ADEA703" w14:textId="77777777" w:rsidR="00923BC8" w:rsidRPr="00E212A1" w:rsidRDefault="00923BC8" w:rsidP="00923BC8"/>
    <w:p w14:paraId="02DE2271" w14:textId="7228A59B" w:rsidR="00923BC8" w:rsidRPr="00E212A1" w:rsidRDefault="00923BC8" w:rsidP="00923BC8">
      <w:pPr>
        <w:sectPr w:rsidR="00923BC8" w:rsidRPr="00E212A1" w:rsidSect="00D72F49">
          <w:headerReference w:type="even" r:id="rId29"/>
          <w:footerReference w:type="even" r:id="rId30"/>
          <w:footerReference w:type="default" r:id="rId31"/>
          <w:headerReference w:type="first" r:id="rId32"/>
          <w:footerReference w:type="first" r:id="rId33"/>
          <w:pgSz w:w="11907" w:h="16840" w:code="9"/>
          <w:pgMar w:top="1418" w:right="1418" w:bottom="1418" w:left="1418" w:header="720" w:footer="720" w:gutter="0"/>
          <w:paperSrc w:first="286" w:other="286"/>
          <w:cols w:space="720"/>
          <w:titlePg/>
        </w:sectPr>
      </w:pPr>
    </w:p>
    <w:p w14:paraId="66E4E681" w14:textId="289C5BD9" w:rsidR="00897553" w:rsidRPr="00E212A1" w:rsidRDefault="00874BD8" w:rsidP="00320FEC">
      <w:pPr>
        <w:pStyle w:val="AnnexNo"/>
        <w:spacing w:before="240"/>
      </w:pPr>
      <w:r w:rsidRPr="00E212A1">
        <w:lastRenderedPageBreak/>
        <w:t>ANNEXE</w:t>
      </w:r>
    </w:p>
    <w:p w14:paraId="68F365EB" w14:textId="18E0EE9F" w:rsidR="00874BD8" w:rsidRPr="00E212A1" w:rsidRDefault="00874BD8" w:rsidP="00874BD8">
      <w:pPr>
        <w:pStyle w:val="Annextitle"/>
      </w:pPr>
      <w:r w:rsidRPr="00E212A1">
        <w:t>Mise à jour de la liste des fournisseurs de services UIFN n'ayant pas encore procédé au paiement</w:t>
      </w:r>
      <w:r w:rsidR="00CE19EA" w:rsidRPr="00E212A1">
        <w:br/>
      </w:r>
      <w:r w:rsidRPr="00E212A1">
        <w:t>(pour 2018, 2019, 2020, 2021, 2022, 2023 et 2024, au 19 mars 2025)</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38"/>
        <w:gridCol w:w="850"/>
        <w:gridCol w:w="1276"/>
        <w:gridCol w:w="3544"/>
        <w:gridCol w:w="1843"/>
        <w:gridCol w:w="2126"/>
      </w:tblGrid>
      <w:tr w:rsidR="00CE19EA" w:rsidRPr="00E212A1" w14:paraId="25D2D3EC" w14:textId="77777777" w:rsidTr="006D2CF3">
        <w:trPr>
          <w:trHeight w:val="255"/>
          <w:tblHeader/>
          <w:jc w:val="center"/>
        </w:trPr>
        <w:tc>
          <w:tcPr>
            <w:tcW w:w="1276" w:type="dxa"/>
            <w:shd w:val="clear" w:color="auto" w:fill="DDDDDD"/>
          </w:tcPr>
          <w:p w14:paraId="4DABD29E" w14:textId="77777777" w:rsidR="00CE19EA" w:rsidRPr="00E212A1" w:rsidRDefault="00CE19EA" w:rsidP="00CE19EA">
            <w:pPr>
              <w:pStyle w:val="Tablehead"/>
            </w:pPr>
            <w:r w:rsidRPr="00E212A1">
              <w:t>Année</w:t>
            </w:r>
          </w:p>
        </w:tc>
        <w:tc>
          <w:tcPr>
            <w:tcW w:w="1838" w:type="dxa"/>
            <w:shd w:val="clear" w:color="auto" w:fill="DDDDDD"/>
            <w:noWrap/>
          </w:tcPr>
          <w:p w14:paraId="53BBC7F2" w14:textId="77777777" w:rsidR="00CE19EA" w:rsidRPr="00E212A1" w:rsidRDefault="00CE19EA" w:rsidP="00CE19EA">
            <w:pPr>
              <w:pStyle w:val="Tablehead"/>
            </w:pPr>
            <w:r w:rsidRPr="00E212A1">
              <w:t>Montant</w:t>
            </w:r>
          </w:p>
        </w:tc>
        <w:tc>
          <w:tcPr>
            <w:tcW w:w="850" w:type="dxa"/>
            <w:shd w:val="clear" w:color="auto" w:fill="DDDDDD"/>
            <w:noWrap/>
          </w:tcPr>
          <w:p w14:paraId="65F272DE" w14:textId="77777777" w:rsidR="00CE19EA" w:rsidRPr="00E212A1" w:rsidRDefault="00CE19EA" w:rsidP="00CE19EA">
            <w:pPr>
              <w:pStyle w:val="Tablehead"/>
            </w:pPr>
            <w:r w:rsidRPr="00E212A1">
              <w:t>Devise</w:t>
            </w:r>
          </w:p>
        </w:tc>
        <w:tc>
          <w:tcPr>
            <w:tcW w:w="1276" w:type="dxa"/>
            <w:shd w:val="clear" w:color="auto" w:fill="DDDDDD"/>
          </w:tcPr>
          <w:p w14:paraId="212D9454" w14:textId="77777777" w:rsidR="00CE19EA" w:rsidRPr="00E212A1" w:rsidRDefault="00CE19EA" w:rsidP="00CE19EA">
            <w:pPr>
              <w:pStyle w:val="Tablehead"/>
            </w:pPr>
            <w:r w:rsidRPr="00E212A1">
              <w:t>Nombre de numéros UIFN</w:t>
            </w:r>
          </w:p>
        </w:tc>
        <w:tc>
          <w:tcPr>
            <w:tcW w:w="3544" w:type="dxa"/>
            <w:shd w:val="clear" w:color="auto" w:fill="DDDDDD"/>
            <w:noWrap/>
          </w:tcPr>
          <w:p w14:paraId="6CA020A5" w14:textId="77777777" w:rsidR="00CE19EA" w:rsidRPr="00E212A1" w:rsidRDefault="00CE19EA" w:rsidP="00CE19EA">
            <w:pPr>
              <w:pStyle w:val="Tablehead"/>
            </w:pPr>
            <w:r w:rsidRPr="00E212A1">
              <w:t>Nom de l'entreprise</w:t>
            </w:r>
          </w:p>
        </w:tc>
        <w:tc>
          <w:tcPr>
            <w:tcW w:w="1843" w:type="dxa"/>
            <w:shd w:val="clear" w:color="auto" w:fill="DDDDDD"/>
            <w:noWrap/>
          </w:tcPr>
          <w:p w14:paraId="56115ABE" w14:textId="5014AE76" w:rsidR="00CE19EA" w:rsidRPr="00E212A1" w:rsidRDefault="00CE19EA" w:rsidP="00CE19EA">
            <w:pPr>
              <w:pStyle w:val="Tablehead"/>
            </w:pPr>
            <w:r w:rsidRPr="00E212A1">
              <w:t>Pays/zone géographique</w:t>
            </w:r>
          </w:p>
        </w:tc>
        <w:tc>
          <w:tcPr>
            <w:tcW w:w="2126" w:type="dxa"/>
            <w:shd w:val="clear" w:color="auto" w:fill="DDDDDD"/>
          </w:tcPr>
          <w:p w14:paraId="72D30E27" w14:textId="77777777" w:rsidR="00CE19EA" w:rsidRPr="00E212A1" w:rsidRDefault="00CE19EA" w:rsidP="00CE19EA">
            <w:pPr>
              <w:pStyle w:val="Tablehead"/>
            </w:pPr>
            <w:r w:rsidRPr="00E212A1">
              <w:t>Note</w:t>
            </w:r>
          </w:p>
        </w:tc>
      </w:tr>
      <w:tr w:rsidR="00CE19EA" w:rsidRPr="00E212A1" w14:paraId="0EE05163" w14:textId="77777777" w:rsidTr="006D2CF3">
        <w:trPr>
          <w:cantSplit/>
          <w:trHeight w:val="255"/>
          <w:jc w:val="center"/>
        </w:trPr>
        <w:tc>
          <w:tcPr>
            <w:tcW w:w="1276" w:type="dxa"/>
            <w:shd w:val="clear" w:color="auto" w:fill="auto"/>
          </w:tcPr>
          <w:p w14:paraId="2418D1FD" w14:textId="77777777" w:rsidR="00CE19EA" w:rsidRPr="00E212A1" w:rsidRDefault="00CE19EA" w:rsidP="00CE19EA">
            <w:pPr>
              <w:pStyle w:val="Tabletext"/>
              <w:jc w:val="center"/>
            </w:pPr>
            <w:r w:rsidRPr="00E212A1">
              <w:t>2018</w:t>
            </w:r>
          </w:p>
        </w:tc>
        <w:tc>
          <w:tcPr>
            <w:tcW w:w="1838" w:type="dxa"/>
            <w:shd w:val="clear" w:color="auto" w:fill="auto"/>
            <w:noWrap/>
            <w:hideMark/>
          </w:tcPr>
          <w:p w14:paraId="673C94CD" w14:textId="21944309" w:rsidR="00CE19EA" w:rsidRPr="00E212A1" w:rsidRDefault="00CE19EA" w:rsidP="00CE19EA">
            <w:pPr>
              <w:pStyle w:val="Tabletext"/>
            </w:pPr>
            <w:r w:rsidRPr="00E212A1">
              <w:t>14 000,00</w:t>
            </w:r>
            <w:r w:rsidRPr="00E212A1">
              <w:br/>
              <w:t>[paiement partiel:</w:t>
            </w:r>
            <w:r w:rsidR="005671CB" w:rsidRPr="00E212A1">
              <w:t xml:space="preserve"> </w:t>
            </w:r>
            <w:r w:rsidRPr="00E212A1">
              <w:t>2 800 CHF]</w:t>
            </w:r>
          </w:p>
        </w:tc>
        <w:tc>
          <w:tcPr>
            <w:tcW w:w="850" w:type="dxa"/>
            <w:shd w:val="clear" w:color="auto" w:fill="auto"/>
            <w:noWrap/>
            <w:hideMark/>
          </w:tcPr>
          <w:p w14:paraId="1A2557AA" w14:textId="77777777" w:rsidR="00CE19EA" w:rsidRPr="00E212A1" w:rsidRDefault="00CE19EA" w:rsidP="00CE19EA">
            <w:pPr>
              <w:pStyle w:val="Tabletext"/>
              <w:jc w:val="center"/>
            </w:pPr>
            <w:r w:rsidRPr="00E212A1">
              <w:t>CHF</w:t>
            </w:r>
          </w:p>
        </w:tc>
        <w:tc>
          <w:tcPr>
            <w:tcW w:w="1276" w:type="dxa"/>
            <w:shd w:val="clear" w:color="auto" w:fill="auto"/>
          </w:tcPr>
          <w:p w14:paraId="25A0CA69" w14:textId="77777777" w:rsidR="00CE19EA" w:rsidRPr="00E212A1" w:rsidRDefault="00CE19EA" w:rsidP="00CE19EA">
            <w:pPr>
              <w:pStyle w:val="Tabletext"/>
              <w:jc w:val="center"/>
            </w:pPr>
            <w:r w:rsidRPr="00E212A1">
              <w:t>140</w:t>
            </w:r>
          </w:p>
        </w:tc>
        <w:tc>
          <w:tcPr>
            <w:tcW w:w="3544" w:type="dxa"/>
            <w:shd w:val="clear" w:color="auto" w:fill="auto"/>
            <w:noWrap/>
            <w:hideMark/>
          </w:tcPr>
          <w:p w14:paraId="2481D3B8" w14:textId="77777777" w:rsidR="00CE19EA" w:rsidRPr="00E212A1" w:rsidRDefault="00CE19EA" w:rsidP="00CE19EA">
            <w:pPr>
              <w:pStyle w:val="Tabletext"/>
            </w:pPr>
            <w:r w:rsidRPr="00E212A1">
              <w:t>Bezeq International</w:t>
            </w:r>
          </w:p>
        </w:tc>
        <w:tc>
          <w:tcPr>
            <w:tcW w:w="1843" w:type="dxa"/>
            <w:shd w:val="clear" w:color="auto" w:fill="auto"/>
            <w:noWrap/>
            <w:hideMark/>
          </w:tcPr>
          <w:p w14:paraId="23A40ED1" w14:textId="77777777" w:rsidR="00CE19EA" w:rsidRPr="00E212A1" w:rsidRDefault="00CE19EA" w:rsidP="00CE19EA">
            <w:pPr>
              <w:pStyle w:val="Tabletext"/>
            </w:pPr>
            <w:r w:rsidRPr="00E212A1">
              <w:t>Israël</w:t>
            </w:r>
          </w:p>
        </w:tc>
        <w:tc>
          <w:tcPr>
            <w:tcW w:w="2126" w:type="dxa"/>
            <w:shd w:val="clear" w:color="auto" w:fill="auto"/>
          </w:tcPr>
          <w:p w14:paraId="67D91AA6" w14:textId="77777777" w:rsidR="00CE19EA" w:rsidRPr="00E212A1" w:rsidRDefault="00CE19EA" w:rsidP="00CE19EA">
            <w:pPr>
              <w:pStyle w:val="Tabletext"/>
            </w:pPr>
          </w:p>
        </w:tc>
      </w:tr>
      <w:tr w:rsidR="00CE19EA" w:rsidRPr="00E212A1" w14:paraId="0E7CE138" w14:textId="77777777" w:rsidTr="006D2CF3">
        <w:trPr>
          <w:cantSplit/>
          <w:trHeight w:val="255"/>
          <w:jc w:val="center"/>
        </w:trPr>
        <w:tc>
          <w:tcPr>
            <w:tcW w:w="1276" w:type="dxa"/>
            <w:shd w:val="clear" w:color="auto" w:fill="auto"/>
          </w:tcPr>
          <w:p w14:paraId="4E9EF8D6" w14:textId="77777777" w:rsidR="00CE19EA" w:rsidRPr="00E212A1" w:rsidRDefault="00CE19EA" w:rsidP="00CE19EA">
            <w:pPr>
              <w:pStyle w:val="Tabletext"/>
              <w:jc w:val="center"/>
            </w:pPr>
            <w:r w:rsidRPr="00E212A1">
              <w:t>2018</w:t>
            </w:r>
          </w:p>
        </w:tc>
        <w:tc>
          <w:tcPr>
            <w:tcW w:w="1838" w:type="dxa"/>
            <w:shd w:val="clear" w:color="auto" w:fill="auto"/>
            <w:noWrap/>
          </w:tcPr>
          <w:p w14:paraId="43BD1A96" w14:textId="67DFDFE1" w:rsidR="00CE19EA" w:rsidRPr="00E212A1" w:rsidRDefault="00CE19EA" w:rsidP="00CE19EA">
            <w:pPr>
              <w:pStyle w:val="Tabletext"/>
            </w:pPr>
            <w:r w:rsidRPr="00E212A1">
              <w:t>5 600,00</w:t>
            </w:r>
            <w:r w:rsidRPr="00E212A1">
              <w:br/>
              <w:t>[paiement partiel par crédit:</w:t>
            </w:r>
            <w:r w:rsidRPr="00E212A1">
              <w:br/>
              <w:t>4 000 CHF]</w:t>
            </w:r>
          </w:p>
        </w:tc>
        <w:tc>
          <w:tcPr>
            <w:tcW w:w="850" w:type="dxa"/>
            <w:shd w:val="clear" w:color="auto" w:fill="auto"/>
            <w:noWrap/>
          </w:tcPr>
          <w:p w14:paraId="48B1B519" w14:textId="77777777" w:rsidR="00CE19EA" w:rsidRPr="00E212A1" w:rsidRDefault="00CE19EA" w:rsidP="00CE19EA">
            <w:pPr>
              <w:pStyle w:val="Tabletext"/>
              <w:jc w:val="center"/>
            </w:pPr>
            <w:r w:rsidRPr="00E212A1">
              <w:t>CHF</w:t>
            </w:r>
          </w:p>
        </w:tc>
        <w:tc>
          <w:tcPr>
            <w:tcW w:w="1276" w:type="dxa"/>
            <w:shd w:val="clear" w:color="auto" w:fill="auto"/>
          </w:tcPr>
          <w:p w14:paraId="647D5A4B" w14:textId="77777777" w:rsidR="00CE19EA" w:rsidRPr="00E212A1" w:rsidRDefault="00CE19EA" w:rsidP="00CE19EA">
            <w:pPr>
              <w:pStyle w:val="Tabletext"/>
              <w:jc w:val="center"/>
            </w:pPr>
            <w:r w:rsidRPr="00E212A1">
              <w:t>56</w:t>
            </w:r>
          </w:p>
        </w:tc>
        <w:tc>
          <w:tcPr>
            <w:tcW w:w="3544" w:type="dxa"/>
            <w:shd w:val="clear" w:color="auto" w:fill="auto"/>
            <w:noWrap/>
          </w:tcPr>
          <w:p w14:paraId="37FDE3C3" w14:textId="77777777" w:rsidR="00CE19EA" w:rsidRPr="00E212A1" w:rsidRDefault="00CE19EA" w:rsidP="00CE19EA">
            <w:pPr>
              <w:pStyle w:val="Tabletext"/>
            </w:pPr>
            <w:r w:rsidRPr="00E212A1">
              <w:t>International Telcom Ltd.</w:t>
            </w:r>
          </w:p>
        </w:tc>
        <w:tc>
          <w:tcPr>
            <w:tcW w:w="1843" w:type="dxa"/>
            <w:shd w:val="clear" w:color="auto" w:fill="auto"/>
            <w:noWrap/>
          </w:tcPr>
          <w:p w14:paraId="221774A0" w14:textId="77777777" w:rsidR="00CE19EA" w:rsidRPr="00E212A1" w:rsidRDefault="00CE19EA" w:rsidP="00CE19EA">
            <w:pPr>
              <w:pStyle w:val="Tabletext"/>
            </w:pPr>
            <w:r w:rsidRPr="00E212A1">
              <w:t>États-Unis</w:t>
            </w:r>
          </w:p>
        </w:tc>
        <w:tc>
          <w:tcPr>
            <w:tcW w:w="2126" w:type="dxa"/>
            <w:shd w:val="clear" w:color="auto" w:fill="auto"/>
          </w:tcPr>
          <w:p w14:paraId="78E1EE38" w14:textId="77777777" w:rsidR="00CE19EA" w:rsidRPr="00E212A1" w:rsidRDefault="00CE19EA" w:rsidP="00CE19EA">
            <w:pPr>
              <w:pStyle w:val="Tabletext"/>
            </w:pPr>
          </w:p>
        </w:tc>
      </w:tr>
      <w:tr w:rsidR="00CE19EA" w:rsidRPr="00E212A1" w14:paraId="7EBDA58F" w14:textId="77777777" w:rsidTr="006D2CF3">
        <w:trPr>
          <w:cantSplit/>
          <w:trHeight w:val="255"/>
          <w:jc w:val="center"/>
        </w:trPr>
        <w:tc>
          <w:tcPr>
            <w:tcW w:w="1276" w:type="dxa"/>
            <w:shd w:val="clear" w:color="auto" w:fill="auto"/>
          </w:tcPr>
          <w:p w14:paraId="67D8D305" w14:textId="77777777" w:rsidR="00CE19EA" w:rsidRPr="00E212A1" w:rsidRDefault="00CE19EA" w:rsidP="00CE19EA">
            <w:pPr>
              <w:pStyle w:val="Tabletext"/>
              <w:jc w:val="center"/>
            </w:pPr>
            <w:r w:rsidRPr="00E212A1">
              <w:t>2023</w:t>
            </w:r>
          </w:p>
        </w:tc>
        <w:tc>
          <w:tcPr>
            <w:tcW w:w="1838" w:type="dxa"/>
            <w:shd w:val="clear" w:color="auto" w:fill="auto"/>
            <w:noWrap/>
          </w:tcPr>
          <w:p w14:paraId="04245112" w14:textId="77777777" w:rsidR="00CE19EA" w:rsidRPr="00E212A1" w:rsidRDefault="00CE19EA" w:rsidP="00CE19EA">
            <w:pPr>
              <w:pStyle w:val="Tabletext"/>
            </w:pPr>
            <w:r w:rsidRPr="00E212A1">
              <w:t>2 300,00</w:t>
            </w:r>
          </w:p>
        </w:tc>
        <w:tc>
          <w:tcPr>
            <w:tcW w:w="850" w:type="dxa"/>
            <w:shd w:val="clear" w:color="auto" w:fill="auto"/>
            <w:noWrap/>
          </w:tcPr>
          <w:p w14:paraId="0046C263" w14:textId="77777777" w:rsidR="00CE19EA" w:rsidRPr="00E212A1" w:rsidRDefault="00CE19EA" w:rsidP="00CE19EA">
            <w:pPr>
              <w:pStyle w:val="Tabletext"/>
              <w:jc w:val="center"/>
            </w:pPr>
            <w:r w:rsidRPr="00E212A1">
              <w:t>CHF</w:t>
            </w:r>
          </w:p>
        </w:tc>
        <w:tc>
          <w:tcPr>
            <w:tcW w:w="1276" w:type="dxa"/>
            <w:shd w:val="clear" w:color="auto" w:fill="auto"/>
          </w:tcPr>
          <w:p w14:paraId="359BEED6" w14:textId="77777777" w:rsidR="00CE19EA" w:rsidRPr="00E212A1" w:rsidRDefault="00CE19EA" w:rsidP="00CE19EA">
            <w:pPr>
              <w:pStyle w:val="Tabletext"/>
              <w:jc w:val="center"/>
            </w:pPr>
            <w:r w:rsidRPr="00E212A1">
              <w:t>23</w:t>
            </w:r>
          </w:p>
        </w:tc>
        <w:tc>
          <w:tcPr>
            <w:tcW w:w="3544" w:type="dxa"/>
            <w:shd w:val="clear" w:color="auto" w:fill="auto"/>
            <w:noWrap/>
          </w:tcPr>
          <w:p w14:paraId="3A265B4A" w14:textId="77777777" w:rsidR="00CE19EA" w:rsidRPr="00E212A1" w:rsidRDefault="00CE19EA" w:rsidP="00CE19EA">
            <w:pPr>
              <w:pStyle w:val="Tabletext"/>
            </w:pPr>
            <w:r w:rsidRPr="00E212A1">
              <w:t>TeliaSonera Finland Oyj</w:t>
            </w:r>
          </w:p>
        </w:tc>
        <w:tc>
          <w:tcPr>
            <w:tcW w:w="1843" w:type="dxa"/>
            <w:shd w:val="clear" w:color="auto" w:fill="auto"/>
            <w:noWrap/>
          </w:tcPr>
          <w:p w14:paraId="6C88FC0C" w14:textId="77777777" w:rsidR="00CE19EA" w:rsidRPr="00E212A1" w:rsidRDefault="00CE19EA" w:rsidP="00CE19EA">
            <w:pPr>
              <w:pStyle w:val="Tabletext"/>
            </w:pPr>
            <w:r w:rsidRPr="00E212A1">
              <w:t>Finlande</w:t>
            </w:r>
          </w:p>
        </w:tc>
        <w:tc>
          <w:tcPr>
            <w:tcW w:w="2126" w:type="dxa"/>
            <w:shd w:val="clear" w:color="auto" w:fill="auto"/>
          </w:tcPr>
          <w:p w14:paraId="5E3A5437" w14:textId="77777777" w:rsidR="00CE19EA" w:rsidRPr="00E212A1" w:rsidRDefault="00CE19EA" w:rsidP="00CE19EA">
            <w:pPr>
              <w:pStyle w:val="Tabletext"/>
            </w:pPr>
          </w:p>
        </w:tc>
      </w:tr>
      <w:tr w:rsidR="00CE19EA" w:rsidRPr="00E212A1" w14:paraId="17F48516" w14:textId="77777777" w:rsidTr="006D2CF3">
        <w:trPr>
          <w:cantSplit/>
          <w:trHeight w:val="255"/>
          <w:jc w:val="center"/>
        </w:trPr>
        <w:tc>
          <w:tcPr>
            <w:tcW w:w="1276" w:type="dxa"/>
            <w:shd w:val="clear" w:color="auto" w:fill="auto"/>
          </w:tcPr>
          <w:p w14:paraId="4C854826" w14:textId="77777777" w:rsidR="00CE19EA" w:rsidRPr="00E212A1" w:rsidRDefault="00CE19EA" w:rsidP="00CE19EA">
            <w:pPr>
              <w:pStyle w:val="Tabletext"/>
              <w:jc w:val="center"/>
            </w:pPr>
            <w:r w:rsidRPr="00E212A1">
              <w:t>2023</w:t>
            </w:r>
          </w:p>
        </w:tc>
        <w:tc>
          <w:tcPr>
            <w:tcW w:w="1838" w:type="dxa"/>
            <w:shd w:val="clear" w:color="auto" w:fill="auto"/>
            <w:noWrap/>
          </w:tcPr>
          <w:p w14:paraId="302DB48B" w14:textId="77777777" w:rsidR="00CE19EA" w:rsidRPr="00E212A1" w:rsidRDefault="00CE19EA" w:rsidP="00CE19EA">
            <w:pPr>
              <w:pStyle w:val="Tabletext"/>
            </w:pPr>
            <w:r w:rsidRPr="00E212A1">
              <w:t>1 300,00</w:t>
            </w:r>
          </w:p>
        </w:tc>
        <w:tc>
          <w:tcPr>
            <w:tcW w:w="850" w:type="dxa"/>
            <w:shd w:val="clear" w:color="auto" w:fill="auto"/>
            <w:noWrap/>
          </w:tcPr>
          <w:p w14:paraId="6474110F" w14:textId="77777777" w:rsidR="00CE19EA" w:rsidRPr="00E212A1" w:rsidRDefault="00CE19EA" w:rsidP="00CE19EA">
            <w:pPr>
              <w:pStyle w:val="Tabletext"/>
              <w:jc w:val="center"/>
            </w:pPr>
            <w:r w:rsidRPr="00E212A1">
              <w:t>CHF</w:t>
            </w:r>
          </w:p>
        </w:tc>
        <w:tc>
          <w:tcPr>
            <w:tcW w:w="1276" w:type="dxa"/>
            <w:shd w:val="clear" w:color="auto" w:fill="auto"/>
          </w:tcPr>
          <w:p w14:paraId="53BF611D" w14:textId="77777777" w:rsidR="00CE19EA" w:rsidRPr="00E212A1" w:rsidRDefault="00CE19EA" w:rsidP="00CE19EA">
            <w:pPr>
              <w:pStyle w:val="Tabletext"/>
              <w:jc w:val="center"/>
            </w:pPr>
            <w:r w:rsidRPr="00E212A1">
              <w:t>13</w:t>
            </w:r>
          </w:p>
        </w:tc>
        <w:tc>
          <w:tcPr>
            <w:tcW w:w="3544" w:type="dxa"/>
            <w:shd w:val="clear" w:color="auto" w:fill="auto"/>
            <w:noWrap/>
          </w:tcPr>
          <w:p w14:paraId="6FFD6841" w14:textId="77777777" w:rsidR="00CE19EA" w:rsidRPr="00E212A1" w:rsidRDefault="00CE19EA" w:rsidP="00CE19EA">
            <w:pPr>
              <w:pStyle w:val="Tabletext"/>
            </w:pPr>
            <w:r w:rsidRPr="00E212A1">
              <w:t>Slovak Telekom, a.s.</w:t>
            </w:r>
          </w:p>
        </w:tc>
        <w:tc>
          <w:tcPr>
            <w:tcW w:w="1843" w:type="dxa"/>
            <w:shd w:val="clear" w:color="auto" w:fill="auto"/>
            <w:noWrap/>
          </w:tcPr>
          <w:p w14:paraId="679573D5" w14:textId="77777777" w:rsidR="00CE19EA" w:rsidRPr="00E212A1" w:rsidRDefault="00CE19EA" w:rsidP="00CE19EA">
            <w:pPr>
              <w:pStyle w:val="Tabletext"/>
            </w:pPr>
            <w:r w:rsidRPr="00E212A1">
              <w:t>Slovaquie</w:t>
            </w:r>
          </w:p>
        </w:tc>
        <w:tc>
          <w:tcPr>
            <w:tcW w:w="2126" w:type="dxa"/>
            <w:shd w:val="clear" w:color="auto" w:fill="auto"/>
          </w:tcPr>
          <w:p w14:paraId="6B8993B5" w14:textId="77777777" w:rsidR="00CE19EA" w:rsidRPr="00E212A1" w:rsidRDefault="00CE19EA" w:rsidP="00CE19EA">
            <w:pPr>
              <w:pStyle w:val="Tabletext"/>
            </w:pPr>
          </w:p>
        </w:tc>
      </w:tr>
      <w:tr w:rsidR="00CE19EA" w:rsidRPr="00E212A1" w14:paraId="1BEC4569" w14:textId="77777777" w:rsidTr="006D2CF3">
        <w:trPr>
          <w:cantSplit/>
          <w:trHeight w:val="255"/>
          <w:jc w:val="center"/>
        </w:trPr>
        <w:tc>
          <w:tcPr>
            <w:tcW w:w="1276" w:type="dxa"/>
            <w:shd w:val="clear" w:color="auto" w:fill="auto"/>
          </w:tcPr>
          <w:p w14:paraId="1AA25A10" w14:textId="77777777" w:rsidR="00CE19EA" w:rsidRPr="00E212A1" w:rsidRDefault="00CE19EA" w:rsidP="00CE19EA">
            <w:pPr>
              <w:pStyle w:val="Tabletext"/>
              <w:jc w:val="center"/>
            </w:pPr>
            <w:r w:rsidRPr="00E212A1">
              <w:t>2018</w:t>
            </w:r>
          </w:p>
        </w:tc>
        <w:tc>
          <w:tcPr>
            <w:tcW w:w="1838" w:type="dxa"/>
            <w:shd w:val="clear" w:color="auto" w:fill="auto"/>
            <w:noWrap/>
            <w:hideMark/>
          </w:tcPr>
          <w:p w14:paraId="6165CCB6" w14:textId="77777777" w:rsidR="00CE19EA" w:rsidRPr="00E212A1" w:rsidRDefault="00CE19EA" w:rsidP="00CE19EA">
            <w:pPr>
              <w:pStyle w:val="Tabletext"/>
            </w:pPr>
            <w:r w:rsidRPr="00E212A1">
              <w:t>1 000,00</w:t>
            </w:r>
          </w:p>
        </w:tc>
        <w:tc>
          <w:tcPr>
            <w:tcW w:w="850" w:type="dxa"/>
            <w:shd w:val="clear" w:color="auto" w:fill="auto"/>
            <w:noWrap/>
            <w:hideMark/>
          </w:tcPr>
          <w:p w14:paraId="196B451A" w14:textId="77777777" w:rsidR="00CE19EA" w:rsidRPr="00E212A1" w:rsidRDefault="00CE19EA" w:rsidP="00CE19EA">
            <w:pPr>
              <w:pStyle w:val="Tabletext"/>
              <w:jc w:val="center"/>
            </w:pPr>
            <w:r w:rsidRPr="00E212A1">
              <w:t>CHF</w:t>
            </w:r>
          </w:p>
        </w:tc>
        <w:tc>
          <w:tcPr>
            <w:tcW w:w="1276" w:type="dxa"/>
            <w:shd w:val="clear" w:color="auto" w:fill="auto"/>
          </w:tcPr>
          <w:p w14:paraId="4346A7E6" w14:textId="77777777" w:rsidR="00CE19EA" w:rsidRPr="00E212A1" w:rsidRDefault="00CE19EA" w:rsidP="00CE19EA">
            <w:pPr>
              <w:pStyle w:val="Tabletext"/>
              <w:jc w:val="center"/>
            </w:pPr>
            <w:r w:rsidRPr="00E212A1">
              <w:t>10</w:t>
            </w:r>
          </w:p>
        </w:tc>
        <w:tc>
          <w:tcPr>
            <w:tcW w:w="3544" w:type="dxa"/>
            <w:shd w:val="clear" w:color="auto" w:fill="auto"/>
            <w:noWrap/>
            <w:hideMark/>
          </w:tcPr>
          <w:p w14:paraId="08A3F7E7" w14:textId="77777777" w:rsidR="00CE19EA" w:rsidRPr="00E212A1" w:rsidRDefault="00CE19EA" w:rsidP="00CE19EA">
            <w:pPr>
              <w:pStyle w:val="Tabletext"/>
            </w:pPr>
            <w:r w:rsidRPr="00E212A1">
              <w:t>Eutelia S.p.A.</w:t>
            </w:r>
          </w:p>
        </w:tc>
        <w:tc>
          <w:tcPr>
            <w:tcW w:w="1843" w:type="dxa"/>
            <w:shd w:val="clear" w:color="auto" w:fill="auto"/>
            <w:noWrap/>
            <w:hideMark/>
          </w:tcPr>
          <w:p w14:paraId="156A0820" w14:textId="77777777" w:rsidR="00CE19EA" w:rsidRPr="00E212A1" w:rsidRDefault="00CE19EA" w:rsidP="00CE19EA">
            <w:pPr>
              <w:pStyle w:val="Tabletext"/>
            </w:pPr>
            <w:r w:rsidRPr="00E212A1">
              <w:t>Italie</w:t>
            </w:r>
          </w:p>
        </w:tc>
        <w:tc>
          <w:tcPr>
            <w:tcW w:w="2126" w:type="dxa"/>
            <w:shd w:val="clear" w:color="auto" w:fill="auto"/>
          </w:tcPr>
          <w:p w14:paraId="1FC677BD" w14:textId="18B15104" w:rsidR="00CE19EA" w:rsidRPr="00E212A1" w:rsidRDefault="00CE19EA" w:rsidP="00CE19EA">
            <w:pPr>
              <w:pStyle w:val="Tabletext"/>
            </w:pPr>
            <w:r w:rsidRPr="00E212A1">
              <w:t>En partie rachetée par CloudItalia, qui n'a aucune responsabilité en matière de numéros UIFN; toutefois,</w:t>
            </w:r>
            <w:r w:rsidR="00923BC8" w:rsidRPr="00E212A1">
              <w:br/>
            </w:r>
            <w:r w:rsidRPr="00E212A1">
              <w:t>3 numéros UIFN sont accessibles</w:t>
            </w:r>
          </w:p>
        </w:tc>
      </w:tr>
      <w:tr w:rsidR="00CE19EA" w:rsidRPr="00E212A1" w14:paraId="11B8B7C0" w14:textId="77777777" w:rsidTr="006D2CF3">
        <w:trPr>
          <w:cantSplit/>
          <w:trHeight w:val="255"/>
          <w:jc w:val="center"/>
        </w:trPr>
        <w:tc>
          <w:tcPr>
            <w:tcW w:w="1276" w:type="dxa"/>
            <w:shd w:val="clear" w:color="auto" w:fill="auto"/>
          </w:tcPr>
          <w:p w14:paraId="522F8604" w14:textId="77777777" w:rsidR="00CE19EA" w:rsidRPr="00E212A1" w:rsidRDefault="00CE19EA" w:rsidP="00CE19EA">
            <w:pPr>
              <w:pStyle w:val="Tabletext"/>
              <w:jc w:val="center"/>
            </w:pPr>
            <w:r w:rsidRPr="00E212A1">
              <w:t>2022</w:t>
            </w:r>
          </w:p>
        </w:tc>
        <w:tc>
          <w:tcPr>
            <w:tcW w:w="1838" w:type="dxa"/>
            <w:shd w:val="clear" w:color="auto" w:fill="auto"/>
            <w:noWrap/>
            <w:hideMark/>
          </w:tcPr>
          <w:p w14:paraId="04351C20" w14:textId="77777777" w:rsidR="00CE19EA" w:rsidRPr="00E212A1" w:rsidRDefault="00CE19EA" w:rsidP="00CE19EA">
            <w:pPr>
              <w:pStyle w:val="Tabletext"/>
            </w:pPr>
            <w:r w:rsidRPr="00E212A1">
              <w:t>600,00</w:t>
            </w:r>
          </w:p>
        </w:tc>
        <w:tc>
          <w:tcPr>
            <w:tcW w:w="850" w:type="dxa"/>
            <w:shd w:val="clear" w:color="auto" w:fill="auto"/>
            <w:noWrap/>
            <w:hideMark/>
          </w:tcPr>
          <w:p w14:paraId="0484B4D8" w14:textId="77777777" w:rsidR="00CE19EA" w:rsidRPr="00E212A1" w:rsidRDefault="00CE19EA" w:rsidP="00CE19EA">
            <w:pPr>
              <w:pStyle w:val="Tabletext"/>
              <w:jc w:val="center"/>
            </w:pPr>
            <w:r w:rsidRPr="00E212A1">
              <w:t>CHF</w:t>
            </w:r>
          </w:p>
        </w:tc>
        <w:tc>
          <w:tcPr>
            <w:tcW w:w="1276" w:type="dxa"/>
            <w:shd w:val="clear" w:color="auto" w:fill="auto"/>
          </w:tcPr>
          <w:p w14:paraId="721A854D" w14:textId="77777777" w:rsidR="00CE19EA" w:rsidRPr="00E212A1" w:rsidRDefault="00CE19EA" w:rsidP="00CE19EA">
            <w:pPr>
              <w:pStyle w:val="Tabletext"/>
              <w:jc w:val="center"/>
            </w:pPr>
            <w:r w:rsidRPr="00E212A1">
              <w:t>6</w:t>
            </w:r>
          </w:p>
        </w:tc>
        <w:tc>
          <w:tcPr>
            <w:tcW w:w="3544" w:type="dxa"/>
            <w:shd w:val="clear" w:color="auto" w:fill="auto"/>
            <w:noWrap/>
            <w:hideMark/>
          </w:tcPr>
          <w:p w14:paraId="7E78DC12" w14:textId="77777777" w:rsidR="00CE19EA" w:rsidRPr="00E212A1" w:rsidRDefault="00CE19EA" w:rsidP="00CE19EA">
            <w:pPr>
              <w:pStyle w:val="Tabletext"/>
            </w:pPr>
            <w:r w:rsidRPr="00E212A1">
              <w:t>PLANinterNET VoIP-GmbH</w:t>
            </w:r>
          </w:p>
        </w:tc>
        <w:tc>
          <w:tcPr>
            <w:tcW w:w="1843" w:type="dxa"/>
            <w:shd w:val="clear" w:color="auto" w:fill="auto"/>
            <w:noWrap/>
            <w:hideMark/>
          </w:tcPr>
          <w:p w14:paraId="7D9F9D8A" w14:textId="77777777" w:rsidR="00CE19EA" w:rsidRPr="00E212A1" w:rsidRDefault="00CE19EA" w:rsidP="00CE19EA">
            <w:pPr>
              <w:pStyle w:val="Tabletext"/>
            </w:pPr>
            <w:r w:rsidRPr="00E212A1">
              <w:t>Allemagne</w:t>
            </w:r>
          </w:p>
        </w:tc>
        <w:tc>
          <w:tcPr>
            <w:tcW w:w="2126" w:type="dxa"/>
            <w:shd w:val="clear" w:color="auto" w:fill="auto"/>
          </w:tcPr>
          <w:p w14:paraId="6F6BB2D6" w14:textId="77777777" w:rsidR="00CE19EA" w:rsidRPr="00E212A1" w:rsidRDefault="00CE19EA" w:rsidP="00CE19EA">
            <w:pPr>
              <w:pStyle w:val="Tabletext"/>
            </w:pPr>
          </w:p>
        </w:tc>
      </w:tr>
      <w:tr w:rsidR="00CE19EA" w:rsidRPr="00E212A1" w14:paraId="28663D40" w14:textId="77777777" w:rsidTr="006D2CF3">
        <w:trPr>
          <w:cantSplit/>
          <w:trHeight w:val="255"/>
          <w:jc w:val="center"/>
        </w:trPr>
        <w:tc>
          <w:tcPr>
            <w:tcW w:w="1276" w:type="dxa"/>
            <w:shd w:val="clear" w:color="auto" w:fill="auto"/>
          </w:tcPr>
          <w:p w14:paraId="766E0BE6" w14:textId="77777777" w:rsidR="00CE19EA" w:rsidRPr="00E212A1" w:rsidRDefault="00CE19EA" w:rsidP="00CE19EA">
            <w:pPr>
              <w:pStyle w:val="Tabletext"/>
              <w:jc w:val="center"/>
            </w:pPr>
            <w:r w:rsidRPr="00E212A1">
              <w:lastRenderedPageBreak/>
              <w:t>2018</w:t>
            </w:r>
          </w:p>
        </w:tc>
        <w:tc>
          <w:tcPr>
            <w:tcW w:w="1838" w:type="dxa"/>
            <w:shd w:val="clear" w:color="auto" w:fill="auto"/>
            <w:noWrap/>
          </w:tcPr>
          <w:p w14:paraId="76CB7DDF" w14:textId="77777777" w:rsidR="00CE19EA" w:rsidRPr="00E212A1" w:rsidRDefault="00CE19EA" w:rsidP="00CE19EA">
            <w:pPr>
              <w:pStyle w:val="Tabletext"/>
            </w:pPr>
            <w:r w:rsidRPr="00E212A1">
              <w:t>500,00</w:t>
            </w:r>
            <w:r w:rsidRPr="00E212A1">
              <w:br/>
              <w:t>[paiement partiel par crédit:</w:t>
            </w:r>
            <w:r w:rsidRPr="00E212A1">
              <w:br/>
              <w:t>200 CHF]</w:t>
            </w:r>
          </w:p>
        </w:tc>
        <w:tc>
          <w:tcPr>
            <w:tcW w:w="850" w:type="dxa"/>
            <w:shd w:val="clear" w:color="auto" w:fill="auto"/>
            <w:noWrap/>
          </w:tcPr>
          <w:p w14:paraId="77A8D602" w14:textId="77777777" w:rsidR="00CE19EA" w:rsidRPr="00E212A1" w:rsidRDefault="00CE19EA" w:rsidP="00CE19EA">
            <w:pPr>
              <w:pStyle w:val="Tabletext"/>
              <w:jc w:val="center"/>
            </w:pPr>
            <w:r w:rsidRPr="00E212A1">
              <w:t>CHF</w:t>
            </w:r>
          </w:p>
        </w:tc>
        <w:tc>
          <w:tcPr>
            <w:tcW w:w="1276" w:type="dxa"/>
            <w:shd w:val="clear" w:color="auto" w:fill="auto"/>
          </w:tcPr>
          <w:p w14:paraId="232710A0" w14:textId="77777777" w:rsidR="00CE19EA" w:rsidRPr="00E212A1" w:rsidRDefault="00CE19EA" w:rsidP="00CE19EA">
            <w:pPr>
              <w:pStyle w:val="Tabletext"/>
              <w:jc w:val="center"/>
            </w:pPr>
            <w:r w:rsidRPr="00E212A1">
              <w:t>5</w:t>
            </w:r>
          </w:p>
        </w:tc>
        <w:tc>
          <w:tcPr>
            <w:tcW w:w="3544" w:type="dxa"/>
            <w:shd w:val="clear" w:color="auto" w:fill="auto"/>
            <w:noWrap/>
          </w:tcPr>
          <w:p w14:paraId="2CB59461" w14:textId="77777777" w:rsidR="00CE19EA" w:rsidRPr="00BC0B1F" w:rsidRDefault="00CE19EA" w:rsidP="00CE19EA">
            <w:pPr>
              <w:pStyle w:val="Tabletext"/>
              <w:rPr>
                <w:lang w:val="es-ES"/>
              </w:rPr>
            </w:pPr>
            <w:r w:rsidRPr="00BC0B1F">
              <w:rPr>
                <w:lang w:val="es-ES"/>
              </w:rPr>
              <w:t xml:space="preserve">Telefónica S.A. </w:t>
            </w:r>
            <w:r w:rsidRPr="00BC0B1F">
              <w:rPr>
                <w:lang w:val="es-ES"/>
              </w:rPr>
              <w:br/>
              <w:t>(</w:t>
            </w:r>
            <w:proofErr w:type="spellStart"/>
            <w:r w:rsidRPr="00BC0B1F">
              <w:rPr>
                <w:lang w:val="es-ES"/>
              </w:rPr>
              <w:t>anciennement</w:t>
            </w:r>
            <w:proofErr w:type="spellEnd"/>
            <w:r w:rsidRPr="00BC0B1F">
              <w:rPr>
                <w:lang w:val="es-ES"/>
              </w:rPr>
              <w:t xml:space="preserve"> Colombia Telecomunicaciones S.A. </w:t>
            </w:r>
            <w:proofErr w:type="spellStart"/>
            <w:r w:rsidRPr="00BC0B1F">
              <w:rPr>
                <w:lang w:val="es-ES"/>
              </w:rPr>
              <w:t>ESP</w:t>
            </w:r>
            <w:proofErr w:type="spellEnd"/>
            <w:r w:rsidRPr="00BC0B1F">
              <w:rPr>
                <w:lang w:val="es-ES"/>
              </w:rPr>
              <w:t> – Telecom Colombia)</w:t>
            </w:r>
          </w:p>
        </w:tc>
        <w:tc>
          <w:tcPr>
            <w:tcW w:w="1843" w:type="dxa"/>
            <w:shd w:val="clear" w:color="auto" w:fill="auto"/>
            <w:noWrap/>
          </w:tcPr>
          <w:p w14:paraId="4D0A274D" w14:textId="77777777" w:rsidR="00CE19EA" w:rsidRPr="00E212A1" w:rsidRDefault="00CE19EA" w:rsidP="00CE19EA">
            <w:pPr>
              <w:pStyle w:val="Tabletext"/>
            </w:pPr>
            <w:r w:rsidRPr="00E212A1">
              <w:t>Colombie</w:t>
            </w:r>
          </w:p>
        </w:tc>
        <w:tc>
          <w:tcPr>
            <w:tcW w:w="2126" w:type="dxa"/>
            <w:shd w:val="clear" w:color="auto" w:fill="auto"/>
          </w:tcPr>
          <w:p w14:paraId="19929B8D" w14:textId="77777777" w:rsidR="00CE19EA" w:rsidRPr="00E212A1" w:rsidRDefault="00CE19EA" w:rsidP="00CE19EA">
            <w:pPr>
              <w:pStyle w:val="Tabletext"/>
            </w:pPr>
          </w:p>
        </w:tc>
      </w:tr>
      <w:tr w:rsidR="00CE19EA" w:rsidRPr="00E212A1" w14:paraId="25CCB63E" w14:textId="77777777" w:rsidTr="006D2CF3">
        <w:trPr>
          <w:cantSplit/>
          <w:trHeight w:val="255"/>
          <w:jc w:val="center"/>
        </w:trPr>
        <w:tc>
          <w:tcPr>
            <w:tcW w:w="1276" w:type="dxa"/>
            <w:shd w:val="clear" w:color="auto" w:fill="auto"/>
          </w:tcPr>
          <w:p w14:paraId="75488F99" w14:textId="77777777" w:rsidR="00CE19EA" w:rsidRPr="00E212A1" w:rsidRDefault="00CE19EA" w:rsidP="00CE19EA">
            <w:pPr>
              <w:pStyle w:val="Tabletext"/>
              <w:jc w:val="center"/>
            </w:pPr>
            <w:r w:rsidRPr="00E212A1">
              <w:t>2018</w:t>
            </w:r>
          </w:p>
        </w:tc>
        <w:tc>
          <w:tcPr>
            <w:tcW w:w="1838" w:type="dxa"/>
            <w:shd w:val="clear" w:color="auto" w:fill="auto"/>
            <w:noWrap/>
            <w:hideMark/>
          </w:tcPr>
          <w:p w14:paraId="7BB9C821" w14:textId="77777777" w:rsidR="00CE19EA" w:rsidRPr="00E212A1" w:rsidRDefault="00CE19EA" w:rsidP="00CE19EA">
            <w:pPr>
              <w:pStyle w:val="Tabletext"/>
            </w:pPr>
            <w:r w:rsidRPr="00E212A1">
              <w:t>500,00</w:t>
            </w:r>
            <w:r w:rsidRPr="00E212A1">
              <w:br/>
              <w:t>[paiement partiel par crédit:</w:t>
            </w:r>
            <w:r w:rsidRPr="00E212A1">
              <w:br/>
              <w:t>400 CHF]</w:t>
            </w:r>
          </w:p>
        </w:tc>
        <w:tc>
          <w:tcPr>
            <w:tcW w:w="850" w:type="dxa"/>
            <w:shd w:val="clear" w:color="auto" w:fill="auto"/>
            <w:noWrap/>
            <w:hideMark/>
          </w:tcPr>
          <w:p w14:paraId="213F9B64" w14:textId="77777777" w:rsidR="00CE19EA" w:rsidRPr="00E212A1" w:rsidRDefault="00CE19EA" w:rsidP="00CE19EA">
            <w:pPr>
              <w:pStyle w:val="Tabletext"/>
              <w:jc w:val="center"/>
            </w:pPr>
            <w:r w:rsidRPr="00E212A1">
              <w:t>CHF</w:t>
            </w:r>
          </w:p>
        </w:tc>
        <w:tc>
          <w:tcPr>
            <w:tcW w:w="1276" w:type="dxa"/>
            <w:shd w:val="clear" w:color="auto" w:fill="auto"/>
          </w:tcPr>
          <w:p w14:paraId="2039197B" w14:textId="77777777" w:rsidR="00CE19EA" w:rsidRPr="00E212A1" w:rsidRDefault="00CE19EA" w:rsidP="00CE19EA">
            <w:pPr>
              <w:pStyle w:val="Tabletext"/>
              <w:jc w:val="center"/>
            </w:pPr>
            <w:r w:rsidRPr="00E212A1">
              <w:t>5</w:t>
            </w:r>
          </w:p>
        </w:tc>
        <w:tc>
          <w:tcPr>
            <w:tcW w:w="3544" w:type="dxa"/>
            <w:shd w:val="clear" w:color="auto" w:fill="auto"/>
            <w:noWrap/>
            <w:hideMark/>
          </w:tcPr>
          <w:p w14:paraId="49934878" w14:textId="77777777" w:rsidR="00CE19EA" w:rsidRPr="00E212A1" w:rsidRDefault="00CE19EA" w:rsidP="00CE19EA">
            <w:pPr>
              <w:pStyle w:val="Tabletext"/>
            </w:pPr>
            <w:r w:rsidRPr="00E212A1">
              <w:t>Kingston communications/Affiniti</w:t>
            </w:r>
          </w:p>
        </w:tc>
        <w:tc>
          <w:tcPr>
            <w:tcW w:w="1843" w:type="dxa"/>
            <w:shd w:val="clear" w:color="auto" w:fill="auto"/>
            <w:noWrap/>
            <w:hideMark/>
          </w:tcPr>
          <w:p w14:paraId="324FF3B1" w14:textId="77777777" w:rsidR="00CE19EA" w:rsidRPr="00E212A1" w:rsidRDefault="00CE19EA" w:rsidP="00CE19EA">
            <w:pPr>
              <w:pStyle w:val="Tabletext"/>
            </w:pPr>
            <w:r w:rsidRPr="00E212A1">
              <w:t>Royaume-Uni</w:t>
            </w:r>
          </w:p>
        </w:tc>
        <w:tc>
          <w:tcPr>
            <w:tcW w:w="2126" w:type="dxa"/>
            <w:shd w:val="clear" w:color="auto" w:fill="auto"/>
          </w:tcPr>
          <w:p w14:paraId="4044ADCF" w14:textId="77777777" w:rsidR="00CE19EA" w:rsidRPr="00E212A1" w:rsidRDefault="00CE19EA" w:rsidP="00CE19EA">
            <w:pPr>
              <w:pStyle w:val="Tabletext"/>
            </w:pPr>
          </w:p>
        </w:tc>
      </w:tr>
      <w:tr w:rsidR="00CE19EA" w:rsidRPr="00E212A1" w14:paraId="57D76790" w14:textId="77777777" w:rsidTr="006D2CF3">
        <w:trPr>
          <w:cantSplit/>
          <w:trHeight w:val="255"/>
          <w:jc w:val="center"/>
        </w:trPr>
        <w:tc>
          <w:tcPr>
            <w:tcW w:w="1276" w:type="dxa"/>
            <w:shd w:val="clear" w:color="auto" w:fill="auto"/>
          </w:tcPr>
          <w:p w14:paraId="39782C69" w14:textId="77777777" w:rsidR="00CE19EA" w:rsidRPr="00E212A1" w:rsidRDefault="00CE19EA" w:rsidP="00CE19EA">
            <w:pPr>
              <w:pStyle w:val="Tabletext"/>
              <w:jc w:val="center"/>
            </w:pPr>
            <w:r w:rsidRPr="00E212A1">
              <w:t>2021</w:t>
            </w:r>
          </w:p>
        </w:tc>
        <w:tc>
          <w:tcPr>
            <w:tcW w:w="1838" w:type="dxa"/>
            <w:shd w:val="clear" w:color="auto" w:fill="auto"/>
            <w:noWrap/>
          </w:tcPr>
          <w:p w14:paraId="524C8159" w14:textId="77777777" w:rsidR="00CE19EA" w:rsidRPr="00E212A1" w:rsidRDefault="00CE19EA" w:rsidP="00CE19EA">
            <w:pPr>
              <w:pStyle w:val="Tabletext"/>
            </w:pPr>
            <w:r w:rsidRPr="00E212A1">
              <w:t>500,00</w:t>
            </w:r>
          </w:p>
        </w:tc>
        <w:tc>
          <w:tcPr>
            <w:tcW w:w="850" w:type="dxa"/>
            <w:shd w:val="clear" w:color="auto" w:fill="auto"/>
            <w:noWrap/>
          </w:tcPr>
          <w:p w14:paraId="5C0B1EED" w14:textId="77777777" w:rsidR="00CE19EA" w:rsidRPr="00E212A1" w:rsidRDefault="00CE19EA" w:rsidP="00CE19EA">
            <w:pPr>
              <w:pStyle w:val="Tabletext"/>
              <w:jc w:val="center"/>
            </w:pPr>
            <w:r w:rsidRPr="00E212A1">
              <w:t>CHF</w:t>
            </w:r>
          </w:p>
        </w:tc>
        <w:tc>
          <w:tcPr>
            <w:tcW w:w="1276" w:type="dxa"/>
            <w:shd w:val="clear" w:color="auto" w:fill="auto"/>
          </w:tcPr>
          <w:p w14:paraId="31AE6402" w14:textId="77777777" w:rsidR="00CE19EA" w:rsidRPr="00E212A1" w:rsidRDefault="00CE19EA" w:rsidP="00CE19EA">
            <w:pPr>
              <w:pStyle w:val="Tabletext"/>
              <w:jc w:val="center"/>
            </w:pPr>
            <w:r w:rsidRPr="00E212A1">
              <w:t>5</w:t>
            </w:r>
          </w:p>
        </w:tc>
        <w:tc>
          <w:tcPr>
            <w:tcW w:w="3544" w:type="dxa"/>
            <w:shd w:val="clear" w:color="auto" w:fill="auto"/>
            <w:noWrap/>
          </w:tcPr>
          <w:p w14:paraId="0A3F6883" w14:textId="77777777" w:rsidR="00CE19EA" w:rsidRPr="00E212A1" w:rsidRDefault="00CE19EA" w:rsidP="00CE19EA">
            <w:pPr>
              <w:pStyle w:val="Tabletext"/>
            </w:pPr>
            <w:r w:rsidRPr="00E212A1">
              <w:t>Qupra Wholesale</w:t>
            </w:r>
          </w:p>
        </w:tc>
        <w:tc>
          <w:tcPr>
            <w:tcW w:w="1843" w:type="dxa"/>
            <w:shd w:val="clear" w:color="auto" w:fill="auto"/>
            <w:noWrap/>
          </w:tcPr>
          <w:p w14:paraId="3D991D84" w14:textId="77777777" w:rsidR="00CE19EA" w:rsidRPr="00E212A1" w:rsidRDefault="00CE19EA" w:rsidP="00CE19EA">
            <w:pPr>
              <w:pStyle w:val="Tabletext"/>
            </w:pPr>
            <w:r w:rsidRPr="00E212A1">
              <w:t>Pays-Bas</w:t>
            </w:r>
          </w:p>
        </w:tc>
        <w:tc>
          <w:tcPr>
            <w:tcW w:w="2126" w:type="dxa"/>
            <w:shd w:val="clear" w:color="auto" w:fill="auto"/>
          </w:tcPr>
          <w:p w14:paraId="360E2613" w14:textId="77777777" w:rsidR="00CE19EA" w:rsidRPr="00E212A1" w:rsidRDefault="00CE19EA" w:rsidP="00CE19EA">
            <w:pPr>
              <w:pStyle w:val="Tabletext"/>
            </w:pPr>
          </w:p>
        </w:tc>
      </w:tr>
      <w:tr w:rsidR="00CE19EA" w:rsidRPr="00E212A1" w14:paraId="1A5A8A20" w14:textId="77777777" w:rsidTr="006D2CF3">
        <w:trPr>
          <w:cantSplit/>
          <w:trHeight w:val="255"/>
          <w:jc w:val="center"/>
        </w:trPr>
        <w:tc>
          <w:tcPr>
            <w:tcW w:w="1276" w:type="dxa"/>
            <w:shd w:val="clear" w:color="auto" w:fill="auto"/>
          </w:tcPr>
          <w:p w14:paraId="7DACF625" w14:textId="77777777" w:rsidR="00CE19EA" w:rsidRPr="00E212A1" w:rsidRDefault="00CE19EA" w:rsidP="00CE19EA">
            <w:pPr>
              <w:pStyle w:val="Tabletext"/>
              <w:jc w:val="center"/>
            </w:pPr>
            <w:r w:rsidRPr="00E212A1">
              <w:t>2018</w:t>
            </w:r>
          </w:p>
        </w:tc>
        <w:tc>
          <w:tcPr>
            <w:tcW w:w="1838" w:type="dxa"/>
            <w:shd w:val="clear" w:color="auto" w:fill="auto"/>
            <w:noWrap/>
          </w:tcPr>
          <w:p w14:paraId="6F6BECCA" w14:textId="77777777" w:rsidR="00CE19EA" w:rsidRPr="00E212A1" w:rsidRDefault="00CE19EA" w:rsidP="00CE19EA">
            <w:pPr>
              <w:pStyle w:val="Tabletext"/>
            </w:pPr>
            <w:r w:rsidRPr="00E212A1">
              <w:t>400,00</w:t>
            </w:r>
          </w:p>
        </w:tc>
        <w:tc>
          <w:tcPr>
            <w:tcW w:w="850" w:type="dxa"/>
            <w:shd w:val="clear" w:color="auto" w:fill="auto"/>
            <w:noWrap/>
          </w:tcPr>
          <w:p w14:paraId="1A67EB42" w14:textId="77777777" w:rsidR="00CE19EA" w:rsidRPr="00E212A1" w:rsidRDefault="00CE19EA" w:rsidP="00CE19EA">
            <w:pPr>
              <w:pStyle w:val="Tabletext"/>
              <w:jc w:val="center"/>
            </w:pPr>
            <w:r w:rsidRPr="00E212A1">
              <w:t>CHF</w:t>
            </w:r>
          </w:p>
        </w:tc>
        <w:tc>
          <w:tcPr>
            <w:tcW w:w="1276" w:type="dxa"/>
            <w:shd w:val="clear" w:color="auto" w:fill="auto"/>
          </w:tcPr>
          <w:p w14:paraId="1FB90FC8" w14:textId="77777777" w:rsidR="00CE19EA" w:rsidRPr="00E212A1" w:rsidRDefault="00CE19EA" w:rsidP="00CE19EA">
            <w:pPr>
              <w:pStyle w:val="Tabletext"/>
              <w:jc w:val="center"/>
            </w:pPr>
            <w:r w:rsidRPr="00E212A1">
              <w:t>4</w:t>
            </w:r>
          </w:p>
        </w:tc>
        <w:tc>
          <w:tcPr>
            <w:tcW w:w="3544" w:type="dxa"/>
            <w:shd w:val="clear" w:color="auto" w:fill="auto"/>
            <w:noWrap/>
          </w:tcPr>
          <w:p w14:paraId="199F261A" w14:textId="7D9D188B" w:rsidR="00CE19EA" w:rsidRPr="00E212A1" w:rsidRDefault="00CE19EA" w:rsidP="00CE19EA">
            <w:pPr>
              <w:pStyle w:val="Tabletext"/>
            </w:pPr>
            <w:r w:rsidRPr="00E212A1">
              <w:t>HKBN Enterprise Solutions HK Limited (ex WTT HK Limited)</w:t>
            </w:r>
          </w:p>
        </w:tc>
        <w:tc>
          <w:tcPr>
            <w:tcW w:w="1843" w:type="dxa"/>
            <w:shd w:val="clear" w:color="auto" w:fill="auto"/>
            <w:noWrap/>
          </w:tcPr>
          <w:p w14:paraId="09858100" w14:textId="77777777" w:rsidR="00CE19EA" w:rsidRPr="00E212A1" w:rsidRDefault="00CE19EA" w:rsidP="00CE19EA">
            <w:pPr>
              <w:pStyle w:val="Tabletext"/>
            </w:pPr>
            <w:r w:rsidRPr="00E212A1">
              <w:t>Hong Kong, Chine</w:t>
            </w:r>
          </w:p>
        </w:tc>
        <w:tc>
          <w:tcPr>
            <w:tcW w:w="2126" w:type="dxa"/>
            <w:shd w:val="clear" w:color="auto" w:fill="auto"/>
          </w:tcPr>
          <w:p w14:paraId="61B29066" w14:textId="77777777" w:rsidR="00CE19EA" w:rsidRPr="00E212A1" w:rsidRDefault="00CE19EA" w:rsidP="00CE19EA">
            <w:pPr>
              <w:pStyle w:val="Tabletext"/>
            </w:pPr>
          </w:p>
        </w:tc>
      </w:tr>
      <w:tr w:rsidR="00CE19EA" w:rsidRPr="00E212A1" w14:paraId="0245D40D" w14:textId="77777777" w:rsidTr="006D2CF3">
        <w:trPr>
          <w:cantSplit/>
          <w:trHeight w:val="255"/>
          <w:jc w:val="center"/>
        </w:trPr>
        <w:tc>
          <w:tcPr>
            <w:tcW w:w="1276" w:type="dxa"/>
            <w:shd w:val="clear" w:color="auto" w:fill="auto"/>
          </w:tcPr>
          <w:p w14:paraId="1E71A4C6" w14:textId="77777777" w:rsidR="00CE19EA" w:rsidRPr="00E212A1" w:rsidRDefault="00CE19EA" w:rsidP="00CE19EA">
            <w:pPr>
              <w:pStyle w:val="Tabletext"/>
              <w:jc w:val="center"/>
            </w:pPr>
            <w:r w:rsidRPr="00E212A1">
              <w:t>2018</w:t>
            </w:r>
          </w:p>
        </w:tc>
        <w:tc>
          <w:tcPr>
            <w:tcW w:w="1838" w:type="dxa"/>
            <w:shd w:val="clear" w:color="auto" w:fill="auto"/>
            <w:noWrap/>
          </w:tcPr>
          <w:p w14:paraId="08CB0DC9" w14:textId="77777777" w:rsidR="00CE19EA" w:rsidRPr="00E212A1" w:rsidRDefault="00CE19EA" w:rsidP="00CE19EA">
            <w:pPr>
              <w:pStyle w:val="Tabletext"/>
            </w:pPr>
            <w:r w:rsidRPr="00E212A1">
              <w:t>300,00</w:t>
            </w:r>
            <w:r w:rsidRPr="00E212A1">
              <w:br/>
              <w:t>[paiement partiel: 200 CHF]</w:t>
            </w:r>
          </w:p>
        </w:tc>
        <w:tc>
          <w:tcPr>
            <w:tcW w:w="850" w:type="dxa"/>
            <w:shd w:val="clear" w:color="auto" w:fill="auto"/>
            <w:noWrap/>
          </w:tcPr>
          <w:p w14:paraId="70DC80ED" w14:textId="77777777" w:rsidR="00CE19EA" w:rsidRPr="00E212A1" w:rsidRDefault="00CE19EA" w:rsidP="00CE19EA">
            <w:pPr>
              <w:pStyle w:val="Tabletext"/>
              <w:jc w:val="center"/>
            </w:pPr>
            <w:r w:rsidRPr="00E212A1">
              <w:t>CHF</w:t>
            </w:r>
          </w:p>
        </w:tc>
        <w:tc>
          <w:tcPr>
            <w:tcW w:w="1276" w:type="dxa"/>
            <w:shd w:val="clear" w:color="auto" w:fill="auto"/>
          </w:tcPr>
          <w:p w14:paraId="564B0B0B" w14:textId="77777777" w:rsidR="00CE19EA" w:rsidRPr="00E212A1" w:rsidRDefault="00CE19EA" w:rsidP="00CE19EA">
            <w:pPr>
              <w:pStyle w:val="Tabletext"/>
              <w:jc w:val="center"/>
            </w:pPr>
            <w:r w:rsidRPr="00E212A1">
              <w:t>3</w:t>
            </w:r>
          </w:p>
        </w:tc>
        <w:tc>
          <w:tcPr>
            <w:tcW w:w="3544" w:type="dxa"/>
            <w:shd w:val="clear" w:color="auto" w:fill="auto"/>
            <w:noWrap/>
          </w:tcPr>
          <w:p w14:paraId="17F38415" w14:textId="77777777" w:rsidR="00CE19EA" w:rsidRPr="00E212A1" w:rsidRDefault="00CE19EA" w:rsidP="00CE19EA">
            <w:pPr>
              <w:pStyle w:val="Tabletext"/>
            </w:pPr>
            <w:r w:rsidRPr="00E212A1">
              <w:t>Telefónica del Perú</w:t>
            </w:r>
          </w:p>
        </w:tc>
        <w:tc>
          <w:tcPr>
            <w:tcW w:w="1843" w:type="dxa"/>
            <w:shd w:val="clear" w:color="auto" w:fill="auto"/>
            <w:noWrap/>
          </w:tcPr>
          <w:p w14:paraId="741EE05C" w14:textId="77777777" w:rsidR="00CE19EA" w:rsidRPr="00E212A1" w:rsidRDefault="00CE19EA" w:rsidP="00CE19EA">
            <w:pPr>
              <w:pStyle w:val="Tabletext"/>
            </w:pPr>
            <w:r w:rsidRPr="00E212A1">
              <w:t>Pérou</w:t>
            </w:r>
          </w:p>
        </w:tc>
        <w:tc>
          <w:tcPr>
            <w:tcW w:w="2126" w:type="dxa"/>
            <w:shd w:val="clear" w:color="auto" w:fill="auto"/>
          </w:tcPr>
          <w:p w14:paraId="5F92153E" w14:textId="77777777" w:rsidR="00CE19EA" w:rsidRPr="00E212A1" w:rsidRDefault="00CE19EA" w:rsidP="00CE19EA">
            <w:pPr>
              <w:pStyle w:val="Tabletext"/>
            </w:pPr>
          </w:p>
        </w:tc>
      </w:tr>
      <w:tr w:rsidR="00CE19EA" w:rsidRPr="00E212A1" w14:paraId="1B2228F9" w14:textId="77777777" w:rsidTr="006D2CF3">
        <w:trPr>
          <w:cantSplit/>
          <w:trHeight w:val="255"/>
          <w:jc w:val="center"/>
        </w:trPr>
        <w:tc>
          <w:tcPr>
            <w:tcW w:w="1276" w:type="dxa"/>
            <w:shd w:val="clear" w:color="auto" w:fill="auto"/>
          </w:tcPr>
          <w:p w14:paraId="4BE4B91C" w14:textId="77777777" w:rsidR="00CE19EA" w:rsidRPr="00E212A1" w:rsidRDefault="00CE19EA" w:rsidP="00CE19EA">
            <w:pPr>
              <w:pStyle w:val="Tabletext"/>
              <w:jc w:val="center"/>
            </w:pPr>
            <w:r w:rsidRPr="00E212A1">
              <w:t>2018</w:t>
            </w:r>
          </w:p>
        </w:tc>
        <w:tc>
          <w:tcPr>
            <w:tcW w:w="1838" w:type="dxa"/>
            <w:shd w:val="clear" w:color="auto" w:fill="auto"/>
            <w:noWrap/>
            <w:hideMark/>
          </w:tcPr>
          <w:p w14:paraId="209E3E78" w14:textId="77777777" w:rsidR="00CE19EA" w:rsidRPr="00E212A1" w:rsidRDefault="00CE19EA" w:rsidP="00CE19EA">
            <w:pPr>
              <w:pStyle w:val="Tabletext"/>
            </w:pPr>
            <w:r w:rsidRPr="00E212A1">
              <w:t>300,00</w:t>
            </w:r>
          </w:p>
        </w:tc>
        <w:tc>
          <w:tcPr>
            <w:tcW w:w="850" w:type="dxa"/>
            <w:shd w:val="clear" w:color="auto" w:fill="auto"/>
            <w:noWrap/>
            <w:hideMark/>
          </w:tcPr>
          <w:p w14:paraId="71CF3D29" w14:textId="77777777" w:rsidR="00CE19EA" w:rsidRPr="00E212A1" w:rsidRDefault="00CE19EA" w:rsidP="00CE19EA">
            <w:pPr>
              <w:pStyle w:val="Tabletext"/>
              <w:jc w:val="center"/>
            </w:pPr>
            <w:r w:rsidRPr="00E212A1">
              <w:t>CHF</w:t>
            </w:r>
          </w:p>
        </w:tc>
        <w:tc>
          <w:tcPr>
            <w:tcW w:w="1276" w:type="dxa"/>
            <w:shd w:val="clear" w:color="auto" w:fill="auto"/>
          </w:tcPr>
          <w:p w14:paraId="366A373F" w14:textId="77777777" w:rsidR="00CE19EA" w:rsidRPr="00E212A1" w:rsidRDefault="00CE19EA" w:rsidP="00CE19EA">
            <w:pPr>
              <w:pStyle w:val="Tabletext"/>
              <w:jc w:val="center"/>
            </w:pPr>
            <w:r w:rsidRPr="00E212A1">
              <w:t>3</w:t>
            </w:r>
          </w:p>
        </w:tc>
        <w:tc>
          <w:tcPr>
            <w:tcW w:w="3544" w:type="dxa"/>
            <w:shd w:val="clear" w:color="auto" w:fill="auto"/>
            <w:noWrap/>
            <w:hideMark/>
          </w:tcPr>
          <w:p w14:paraId="23D62E5A" w14:textId="77777777" w:rsidR="00CE19EA" w:rsidRPr="00E212A1" w:rsidRDefault="00CE19EA" w:rsidP="00CE19EA">
            <w:pPr>
              <w:pStyle w:val="Tabletext"/>
            </w:pPr>
            <w:r w:rsidRPr="00E212A1">
              <w:t xml:space="preserve">PTGI INTERNATIONAL CARRIER </w:t>
            </w:r>
            <w:r w:rsidRPr="00E212A1">
              <w:br/>
              <w:t>(anciennement PRIMUS Telecommunications Ltd.)</w:t>
            </w:r>
          </w:p>
        </w:tc>
        <w:tc>
          <w:tcPr>
            <w:tcW w:w="1843" w:type="dxa"/>
            <w:shd w:val="clear" w:color="auto" w:fill="auto"/>
            <w:noWrap/>
            <w:hideMark/>
          </w:tcPr>
          <w:p w14:paraId="6ABCEA97" w14:textId="77777777" w:rsidR="00CE19EA" w:rsidRPr="00E212A1" w:rsidRDefault="00CE19EA" w:rsidP="00CE19EA">
            <w:pPr>
              <w:pStyle w:val="Tabletext"/>
            </w:pPr>
            <w:r w:rsidRPr="00E212A1">
              <w:t>Royaume-Uni</w:t>
            </w:r>
          </w:p>
        </w:tc>
        <w:tc>
          <w:tcPr>
            <w:tcW w:w="2126" w:type="dxa"/>
            <w:shd w:val="clear" w:color="auto" w:fill="auto"/>
          </w:tcPr>
          <w:p w14:paraId="6C809006" w14:textId="77777777" w:rsidR="00CE19EA" w:rsidRPr="00E212A1" w:rsidRDefault="00CE19EA" w:rsidP="00CE19EA">
            <w:pPr>
              <w:pStyle w:val="Tabletext"/>
            </w:pPr>
          </w:p>
        </w:tc>
      </w:tr>
      <w:tr w:rsidR="00CE19EA" w:rsidRPr="00E212A1" w14:paraId="198EFA40" w14:textId="77777777" w:rsidTr="006D2CF3">
        <w:trPr>
          <w:cantSplit/>
          <w:trHeight w:val="255"/>
          <w:jc w:val="center"/>
        </w:trPr>
        <w:tc>
          <w:tcPr>
            <w:tcW w:w="1276" w:type="dxa"/>
            <w:shd w:val="clear" w:color="auto" w:fill="auto"/>
          </w:tcPr>
          <w:p w14:paraId="088A966D" w14:textId="77777777" w:rsidR="00CE19EA" w:rsidRPr="00E212A1" w:rsidRDefault="00CE19EA" w:rsidP="00CE19EA">
            <w:pPr>
              <w:pStyle w:val="Tabletext"/>
              <w:jc w:val="center"/>
            </w:pPr>
            <w:r w:rsidRPr="00E212A1">
              <w:t>2023</w:t>
            </w:r>
          </w:p>
        </w:tc>
        <w:tc>
          <w:tcPr>
            <w:tcW w:w="1838" w:type="dxa"/>
            <w:shd w:val="clear" w:color="auto" w:fill="auto"/>
            <w:noWrap/>
          </w:tcPr>
          <w:p w14:paraId="47B98F64" w14:textId="77777777" w:rsidR="00CE19EA" w:rsidRPr="00E212A1" w:rsidRDefault="00CE19EA" w:rsidP="00CE19EA">
            <w:pPr>
              <w:pStyle w:val="Tabletext"/>
            </w:pPr>
            <w:r w:rsidRPr="00E212A1">
              <w:t>200,00</w:t>
            </w:r>
          </w:p>
        </w:tc>
        <w:tc>
          <w:tcPr>
            <w:tcW w:w="850" w:type="dxa"/>
            <w:shd w:val="clear" w:color="auto" w:fill="auto"/>
            <w:noWrap/>
          </w:tcPr>
          <w:p w14:paraId="34BEC738" w14:textId="77777777" w:rsidR="00CE19EA" w:rsidRPr="00E212A1" w:rsidRDefault="00CE19EA" w:rsidP="00CE19EA">
            <w:pPr>
              <w:pStyle w:val="Tabletext"/>
              <w:jc w:val="center"/>
            </w:pPr>
            <w:r w:rsidRPr="00E212A1">
              <w:t>CHF</w:t>
            </w:r>
          </w:p>
        </w:tc>
        <w:tc>
          <w:tcPr>
            <w:tcW w:w="1276" w:type="dxa"/>
            <w:shd w:val="clear" w:color="auto" w:fill="auto"/>
          </w:tcPr>
          <w:p w14:paraId="15ED8BA9" w14:textId="77777777" w:rsidR="00CE19EA" w:rsidRPr="00E212A1" w:rsidRDefault="00CE19EA" w:rsidP="00CE19EA">
            <w:pPr>
              <w:pStyle w:val="Tabletext"/>
              <w:jc w:val="center"/>
            </w:pPr>
            <w:r w:rsidRPr="00E212A1">
              <w:t>2</w:t>
            </w:r>
          </w:p>
        </w:tc>
        <w:tc>
          <w:tcPr>
            <w:tcW w:w="3544" w:type="dxa"/>
            <w:shd w:val="clear" w:color="auto" w:fill="auto"/>
            <w:noWrap/>
          </w:tcPr>
          <w:p w14:paraId="55137D7A" w14:textId="77777777" w:rsidR="00CE19EA" w:rsidRPr="00E212A1" w:rsidRDefault="00CE19EA" w:rsidP="00CE19EA">
            <w:pPr>
              <w:pStyle w:val="Tabletext"/>
            </w:pPr>
            <w:r w:rsidRPr="00E212A1">
              <w:t>EMTEX GmbH</w:t>
            </w:r>
          </w:p>
        </w:tc>
        <w:tc>
          <w:tcPr>
            <w:tcW w:w="1843" w:type="dxa"/>
            <w:shd w:val="clear" w:color="auto" w:fill="auto"/>
            <w:noWrap/>
          </w:tcPr>
          <w:p w14:paraId="67C19C2A" w14:textId="77777777" w:rsidR="00CE19EA" w:rsidRPr="00E212A1" w:rsidRDefault="00CE19EA" w:rsidP="00CE19EA">
            <w:pPr>
              <w:pStyle w:val="Tabletext"/>
            </w:pPr>
            <w:r w:rsidRPr="00E212A1">
              <w:t>Allemagne</w:t>
            </w:r>
          </w:p>
        </w:tc>
        <w:tc>
          <w:tcPr>
            <w:tcW w:w="2126" w:type="dxa"/>
            <w:shd w:val="clear" w:color="auto" w:fill="auto"/>
          </w:tcPr>
          <w:p w14:paraId="0990F837" w14:textId="77777777" w:rsidR="00CE19EA" w:rsidRPr="00E212A1" w:rsidRDefault="00CE19EA" w:rsidP="00CE19EA">
            <w:pPr>
              <w:pStyle w:val="Tabletext"/>
            </w:pPr>
          </w:p>
        </w:tc>
      </w:tr>
      <w:tr w:rsidR="00CE19EA" w:rsidRPr="00E212A1" w14:paraId="53FD361F" w14:textId="77777777" w:rsidTr="006D2CF3">
        <w:trPr>
          <w:cantSplit/>
          <w:trHeight w:val="255"/>
          <w:jc w:val="center"/>
        </w:trPr>
        <w:tc>
          <w:tcPr>
            <w:tcW w:w="1276" w:type="dxa"/>
            <w:shd w:val="clear" w:color="auto" w:fill="auto"/>
          </w:tcPr>
          <w:p w14:paraId="1D23196E" w14:textId="77777777" w:rsidR="00CE19EA" w:rsidRPr="00E212A1" w:rsidRDefault="00CE19EA" w:rsidP="00CE19EA">
            <w:pPr>
              <w:pStyle w:val="Tabletext"/>
              <w:jc w:val="center"/>
            </w:pPr>
            <w:r w:rsidRPr="00E212A1">
              <w:t>2020</w:t>
            </w:r>
          </w:p>
        </w:tc>
        <w:tc>
          <w:tcPr>
            <w:tcW w:w="1838" w:type="dxa"/>
            <w:shd w:val="clear" w:color="auto" w:fill="auto"/>
            <w:noWrap/>
          </w:tcPr>
          <w:p w14:paraId="669362EE" w14:textId="77777777" w:rsidR="00CE19EA" w:rsidRPr="00E212A1" w:rsidRDefault="00CE19EA" w:rsidP="00CE19EA">
            <w:pPr>
              <w:pStyle w:val="Tabletext"/>
            </w:pPr>
            <w:r w:rsidRPr="00E212A1">
              <w:t>200,00</w:t>
            </w:r>
          </w:p>
        </w:tc>
        <w:tc>
          <w:tcPr>
            <w:tcW w:w="850" w:type="dxa"/>
            <w:shd w:val="clear" w:color="auto" w:fill="auto"/>
            <w:noWrap/>
          </w:tcPr>
          <w:p w14:paraId="3F4739B9" w14:textId="77777777" w:rsidR="00CE19EA" w:rsidRPr="00E212A1" w:rsidRDefault="00CE19EA" w:rsidP="00CE19EA">
            <w:pPr>
              <w:pStyle w:val="Tabletext"/>
              <w:jc w:val="center"/>
            </w:pPr>
            <w:r w:rsidRPr="00E212A1">
              <w:t>CHF</w:t>
            </w:r>
          </w:p>
        </w:tc>
        <w:tc>
          <w:tcPr>
            <w:tcW w:w="1276" w:type="dxa"/>
            <w:shd w:val="clear" w:color="auto" w:fill="auto"/>
          </w:tcPr>
          <w:p w14:paraId="2A7E5250" w14:textId="77777777" w:rsidR="00CE19EA" w:rsidRPr="00E212A1" w:rsidRDefault="00CE19EA" w:rsidP="00CE19EA">
            <w:pPr>
              <w:pStyle w:val="Tabletext"/>
              <w:jc w:val="center"/>
            </w:pPr>
            <w:r w:rsidRPr="00E212A1">
              <w:t>2</w:t>
            </w:r>
          </w:p>
        </w:tc>
        <w:tc>
          <w:tcPr>
            <w:tcW w:w="3544" w:type="dxa"/>
            <w:shd w:val="clear" w:color="auto" w:fill="auto"/>
            <w:noWrap/>
          </w:tcPr>
          <w:p w14:paraId="4B289450" w14:textId="77777777" w:rsidR="00CE19EA" w:rsidRPr="00BC0B1F" w:rsidRDefault="00CE19EA" w:rsidP="00CE19EA">
            <w:pPr>
              <w:pStyle w:val="Tabletext"/>
              <w:rPr>
                <w:lang w:val="es-ES"/>
              </w:rPr>
            </w:pPr>
            <w:r w:rsidRPr="00BC0B1F">
              <w:rPr>
                <w:lang w:val="es-ES"/>
              </w:rPr>
              <w:t xml:space="preserve">Telefónica de Argentina </w:t>
            </w:r>
            <w:proofErr w:type="gramStart"/>
            <w:r w:rsidRPr="00BC0B1F">
              <w:rPr>
                <w:lang w:val="es-ES"/>
              </w:rPr>
              <w:t>S.A</w:t>
            </w:r>
            <w:proofErr w:type="gramEnd"/>
          </w:p>
        </w:tc>
        <w:tc>
          <w:tcPr>
            <w:tcW w:w="1843" w:type="dxa"/>
            <w:shd w:val="clear" w:color="auto" w:fill="auto"/>
            <w:noWrap/>
          </w:tcPr>
          <w:p w14:paraId="6ECEA550" w14:textId="77777777" w:rsidR="00CE19EA" w:rsidRPr="00E212A1" w:rsidRDefault="00CE19EA" w:rsidP="00CE19EA">
            <w:pPr>
              <w:pStyle w:val="Tabletext"/>
            </w:pPr>
            <w:r w:rsidRPr="00E212A1">
              <w:t>Argentine</w:t>
            </w:r>
          </w:p>
        </w:tc>
        <w:tc>
          <w:tcPr>
            <w:tcW w:w="2126" w:type="dxa"/>
            <w:shd w:val="clear" w:color="auto" w:fill="auto"/>
          </w:tcPr>
          <w:p w14:paraId="08A8EF9E" w14:textId="77777777" w:rsidR="00CE19EA" w:rsidRPr="00E212A1" w:rsidRDefault="00CE19EA" w:rsidP="00CE19EA">
            <w:pPr>
              <w:pStyle w:val="Tabletext"/>
            </w:pPr>
          </w:p>
        </w:tc>
      </w:tr>
      <w:tr w:rsidR="00CE19EA" w:rsidRPr="00E212A1" w14:paraId="6B1CA282" w14:textId="77777777" w:rsidTr="006D2CF3">
        <w:trPr>
          <w:cantSplit/>
          <w:trHeight w:val="256"/>
          <w:jc w:val="center"/>
        </w:trPr>
        <w:tc>
          <w:tcPr>
            <w:tcW w:w="1276" w:type="dxa"/>
            <w:shd w:val="clear" w:color="auto" w:fill="auto"/>
          </w:tcPr>
          <w:p w14:paraId="3412262B" w14:textId="77777777" w:rsidR="00CE19EA" w:rsidRPr="00E212A1" w:rsidRDefault="00CE19EA" w:rsidP="00CE19EA">
            <w:pPr>
              <w:pStyle w:val="Tabletext"/>
              <w:jc w:val="center"/>
            </w:pPr>
            <w:r w:rsidRPr="00E212A1">
              <w:t>2023</w:t>
            </w:r>
          </w:p>
        </w:tc>
        <w:tc>
          <w:tcPr>
            <w:tcW w:w="1838" w:type="dxa"/>
            <w:shd w:val="clear" w:color="auto" w:fill="auto"/>
            <w:noWrap/>
          </w:tcPr>
          <w:p w14:paraId="374F1078" w14:textId="77777777" w:rsidR="00CE19EA" w:rsidRPr="00E212A1" w:rsidRDefault="00CE19EA" w:rsidP="00CE19EA">
            <w:pPr>
              <w:pStyle w:val="Tabletext"/>
            </w:pPr>
            <w:r w:rsidRPr="00E212A1">
              <w:t>100,00</w:t>
            </w:r>
          </w:p>
        </w:tc>
        <w:tc>
          <w:tcPr>
            <w:tcW w:w="850" w:type="dxa"/>
            <w:shd w:val="clear" w:color="auto" w:fill="auto"/>
            <w:noWrap/>
          </w:tcPr>
          <w:p w14:paraId="6F37A50E" w14:textId="77777777" w:rsidR="00CE19EA" w:rsidRPr="00E212A1" w:rsidRDefault="00CE19EA" w:rsidP="00CE19EA">
            <w:pPr>
              <w:pStyle w:val="Tabletext"/>
              <w:jc w:val="center"/>
            </w:pPr>
            <w:r w:rsidRPr="00E212A1">
              <w:t>CHF</w:t>
            </w:r>
          </w:p>
        </w:tc>
        <w:tc>
          <w:tcPr>
            <w:tcW w:w="1276" w:type="dxa"/>
            <w:shd w:val="clear" w:color="auto" w:fill="auto"/>
          </w:tcPr>
          <w:p w14:paraId="44C405A5" w14:textId="77777777" w:rsidR="00CE19EA" w:rsidRPr="00E212A1" w:rsidRDefault="00CE19EA" w:rsidP="00CE19EA">
            <w:pPr>
              <w:pStyle w:val="Tabletext"/>
              <w:jc w:val="center"/>
            </w:pPr>
            <w:r w:rsidRPr="00E212A1">
              <w:t>1</w:t>
            </w:r>
          </w:p>
        </w:tc>
        <w:tc>
          <w:tcPr>
            <w:tcW w:w="3544" w:type="dxa"/>
            <w:shd w:val="clear" w:color="auto" w:fill="auto"/>
            <w:noWrap/>
          </w:tcPr>
          <w:p w14:paraId="2F1952A6" w14:textId="77777777" w:rsidR="00CE19EA" w:rsidRPr="00E212A1" w:rsidRDefault="00CE19EA" w:rsidP="00CE19EA">
            <w:pPr>
              <w:pStyle w:val="Tabletext"/>
            </w:pPr>
            <w:r w:rsidRPr="00E212A1">
              <w:t>HGC Global Communications Limited</w:t>
            </w:r>
          </w:p>
        </w:tc>
        <w:tc>
          <w:tcPr>
            <w:tcW w:w="1843" w:type="dxa"/>
            <w:shd w:val="clear" w:color="auto" w:fill="auto"/>
            <w:noWrap/>
          </w:tcPr>
          <w:p w14:paraId="79847D9F" w14:textId="77777777" w:rsidR="00CE19EA" w:rsidRPr="00E212A1" w:rsidRDefault="00CE19EA" w:rsidP="00CE19EA">
            <w:pPr>
              <w:pStyle w:val="Tabletext"/>
            </w:pPr>
            <w:r w:rsidRPr="00E212A1">
              <w:t>Hong Kong, Chine</w:t>
            </w:r>
          </w:p>
        </w:tc>
        <w:tc>
          <w:tcPr>
            <w:tcW w:w="2126" w:type="dxa"/>
            <w:shd w:val="clear" w:color="auto" w:fill="auto"/>
          </w:tcPr>
          <w:p w14:paraId="6AD43C5D" w14:textId="77777777" w:rsidR="00CE19EA" w:rsidRPr="00E212A1" w:rsidRDefault="00CE19EA" w:rsidP="00CE19EA">
            <w:pPr>
              <w:pStyle w:val="Tabletext"/>
            </w:pPr>
          </w:p>
        </w:tc>
      </w:tr>
      <w:tr w:rsidR="00CE19EA" w:rsidRPr="00E212A1" w14:paraId="7272B05A" w14:textId="77777777" w:rsidTr="006D2CF3">
        <w:trPr>
          <w:cantSplit/>
          <w:trHeight w:val="255"/>
          <w:jc w:val="center"/>
        </w:trPr>
        <w:tc>
          <w:tcPr>
            <w:tcW w:w="1276" w:type="dxa"/>
            <w:shd w:val="clear" w:color="auto" w:fill="auto"/>
          </w:tcPr>
          <w:p w14:paraId="449356A1" w14:textId="77777777" w:rsidR="00CE19EA" w:rsidRPr="00E212A1" w:rsidRDefault="00CE19EA" w:rsidP="00CE19EA">
            <w:pPr>
              <w:pStyle w:val="Tabletext"/>
              <w:jc w:val="center"/>
            </w:pPr>
            <w:r w:rsidRPr="00E212A1">
              <w:t>2018</w:t>
            </w:r>
          </w:p>
        </w:tc>
        <w:tc>
          <w:tcPr>
            <w:tcW w:w="1838" w:type="dxa"/>
            <w:shd w:val="clear" w:color="auto" w:fill="auto"/>
            <w:noWrap/>
            <w:hideMark/>
          </w:tcPr>
          <w:p w14:paraId="636F2CA3" w14:textId="77777777" w:rsidR="00CE19EA" w:rsidRPr="00E212A1" w:rsidRDefault="00CE19EA" w:rsidP="00CE19EA">
            <w:pPr>
              <w:pStyle w:val="Tabletext"/>
            </w:pPr>
            <w:r w:rsidRPr="00E212A1">
              <w:t>100,00</w:t>
            </w:r>
          </w:p>
        </w:tc>
        <w:tc>
          <w:tcPr>
            <w:tcW w:w="850" w:type="dxa"/>
            <w:shd w:val="clear" w:color="auto" w:fill="auto"/>
            <w:noWrap/>
            <w:hideMark/>
          </w:tcPr>
          <w:p w14:paraId="3B10545D" w14:textId="77777777" w:rsidR="00CE19EA" w:rsidRPr="00E212A1" w:rsidRDefault="00CE19EA" w:rsidP="00CE19EA">
            <w:pPr>
              <w:pStyle w:val="Tabletext"/>
              <w:jc w:val="center"/>
            </w:pPr>
            <w:r w:rsidRPr="00E212A1">
              <w:t>CHF</w:t>
            </w:r>
          </w:p>
        </w:tc>
        <w:tc>
          <w:tcPr>
            <w:tcW w:w="1276" w:type="dxa"/>
            <w:shd w:val="clear" w:color="auto" w:fill="auto"/>
          </w:tcPr>
          <w:p w14:paraId="7C8143E1" w14:textId="77777777" w:rsidR="00CE19EA" w:rsidRPr="00E212A1" w:rsidRDefault="00CE19EA" w:rsidP="00CE19EA">
            <w:pPr>
              <w:pStyle w:val="Tabletext"/>
              <w:jc w:val="center"/>
            </w:pPr>
            <w:r w:rsidRPr="00E212A1">
              <w:t>1</w:t>
            </w:r>
          </w:p>
        </w:tc>
        <w:tc>
          <w:tcPr>
            <w:tcW w:w="3544" w:type="dxa"/>
            <w:shd w:val="clear" w:color="auto" w:fill="auto"/>
            <w:noWrap/>
            <w:hideMark/>
          </w:tcPr>
          <w:p w14:paraId="0616159D" w14:textId="77777777" w:rsidR="00CE19EA" w:rsidRPr="00E212A1" w:rsidRDefault="00CE19EA" w:rsidP="00CE19EA">
            <w:pPr>
              <w:pStyle w:val="Tabletext"/>
            </w:pPr>
            <w:r w:rsidRPr="00E212A1">
              <w:t>Vodafone New Zealand</w:t>
            </w:r>
          </w:p>
        </w:tc>
        <w:tc>
          <w:tcPr>
            <w:tcW w:w="1843" w:type="dxa"/>
            <w:shd w:val="clear" w:color="auto" w:fill="auto"/>
            <w:noWrap/>
            <w:hideMark/>
          </w:tcPr>
          <w:p w14:paraId="1847D9B7" w14:textId="77777777" w:rsidR="00CE19EA" w:rsidRPr="00E212A1" w:rsidRDefault="00CE19EA" w:rsidP="00CE19EA">
            <w:pPr>
              <w:pStyle w:val="Tabletext"/>
            </w:pPr>
            <w:r w:rsidRPr="00E212A1">
              <w:t>Nouvelle-Zélande</w:t>
            </w:r>
          </w:p>
        </w:tc>
        <w:tc>
          <w:tcPr>
            <w:tcW w:w="2126" w:type="dxa"/>
            <w:shd w:val="clear" w:color="auto" w:fill="auto"/>
          </w:tcPr>
          <w:p w14:paraId="1778055E" w14:textId="77777777" w:rsidR="00CE19EA" w:rsidRPr="00E212A1" w:rsidRDefault="00CE19EA" w:rsidP="00CE19EA">
            <w:pPr>
              <w:pStyle w:val="Tabletext"/>
            </w:pPr>
          </w:p>
        </w:tc>
      </w:tr>
      <w:tr w:rsidR="00CE19EA" w:rsidRPr="00E212A1" w14:paraId="5571546B" w14:textId="77777777" w:rsidTr="006D2CF3">
        <w:trPr>
          <w:cantSplit/>
          <w:trHeight w:val="255"/>
          <w:jc w:val="center"/>
        </w:trPr>
        <w:tc>
          <w:tcPr>
            <w:tcW w:w="1276" w:type="dxa"/>
            <w:shd w:val="clear" w:color="auto" w:fill="auto"/>
          </w:tcPr>
          <w:p w14:paraId="34E4584B" w14:textId="77777777" w:rsidR="00CE19EA" w:rsidRPr="00E212A1" w:rsidRDefault="00CE19EA" w:rsidP="00CE19EA">
            <w:pPr>
              <w:pStyle w:val="Tabletext"/>
              <w:jc w:val="center"/>
            </w:pPr>
            <w:r w:rsidRPr="00E212A1">
              <w:t>2018</w:t>
            </w:r>
          </w:p>
        </w:tc>
        <w:tc>
          <w:tcPr>
            <w:tcW w:w="1838" w:type="dxa"/>
            <w:shd w:val="clear" w:color="auto" w:fill="auto"/>
            <w:noWrap/>
            <w:hideMark/>
          </w:tcPr>
          <w:p w14:paraId="371C08CB" w14:textId="77777777" w:rsidR="00CE19EA" w:rsidRPr="00E212A1" w:rsidRDefault="00CE19EA" w:rsidP="00CE19EA">
            <w:pPr>
              <w:pStyle w:val="Tabletext"/>
            </w:pPr>
            <w:r w:rsidRPr="00E212A1">
              <w:t>100,00</w:t>
            </w:r>
          </w:p>
        </w:tc>
        <w:tc>
          <w:tcPr>
            <w:tcW w:w="850" w:type="dxa"/>
            <w:shd w:val="clear" w:color="auto" w:fill="auto"/>
            <w:noWrap/>
            <w:hideMark/>
          </w:tcPr>
          <w:p w14:paraId="498A1B87" w14:textId="77777777" w:rsidR="00CE19EA" w:rsidRPr="00E212A1" w:rsidRDefault="00CE19EA" w:rsidP="00CE19EA">
            <w:pPr>
              <w:pStyle w:val="Tabletext"/>
              <w:jc w:val="center"/>
            </w:pPr>
            <w:r w:rsidRPr="00E212A1">
              <w:t>CHF</w:t>
            </w:r>
          </w:p>
        </w:tc>
        <w:tc>
          <w:tcPr>
            <w:tcW w:w="1276" w:type="dxa"/>
            <w:shd w:val="clear" w:color="auto" w:fill="auto"/>
          </w:tcPr>
          <w:p w14:paraId="524EE455" w14:textId="77777777" w:rsidR="00CE19EA" w:rsidRPr="00E212A1" w:rsidRDefault="00CE19EA" w:rsidP="00CE19EA">
            <w:pPr>
              <w:pStyle w:val="Tabletext"/>
              <w:jc w:val="center"/>
            </w:pPr>
            <w:r w:rsidRPr="00E212A1">
              <w:t>1</w:t>
            </w:r>
          </w:p>
        </w:tc>
        <w:tc>
          <w:tcPr>
            <w:tcW w:w="3544" w:type="dxa"/>
            <w:shd w:val="clear" w:color="auto" w:fill="auto"/>
            <w:noWrap/>
            <w:hideMark/>
          </w:tcPr>
          <w:p w14:paraId="379A6600" w14:textId="77777777" w:rsidR="00CE19EA" w:rsidRPr="00BC0B1F" w:rsidRDefault="00CE19EA" w:rsidP="00CE19EA">
            <w:pPr>
              <w:pStyle w:val="Tabletext"/>
              <w:rPr>
                <w:lang w:val="es-ES"/>
              </w:rPr>
            </w:pPr>
            <w:r w:rsidRPr="00BC0B1F">
              <w:rPr>
                <w:lang w:val="es-ES"/>
              </w:rPr>
              <w:t>Empresa Hondureña de Telecomunicaciones (HONDUTEL)</w:t>
            </w:r>
          </w:p>
        </w:tc>
        <w:tc>
          <w:tcPr>
            <w:tcW w:w="1843" w:type="dxa"/>
            <w:shd w:val="clear" w:color="auto" w:fill="auto"/>
            <w:noWrap/>
            <w:hideMark/>
          </w:tcPr>
          <w:p w14:paraId="3947CEAA" w14:textId="77777777" w:rsidR="00CE19EA" w:rsidRPr="00E212A1" w:rsidRDefault="00CE19EA" w:rsidP="00CE19EA">
            <w:pPr>
              <w:pStyle w:val="Tabletext"/>
            </w:pPr>
            <w:r w:rsidRPr="00E212A1">
              <w:t>Honduras</w:t>
            </w:r>
          </w:p>
        </w:tc>
        <w:tc>
          <w:tcPr>
            <w:tcW w:w="2126" w:type="dxa"/>
            <w:shd w:val="clear" w:color="auto" w:fill="auto"/>
          </w:tcPr>
          <w:p w14:paraId="12D0203C" w14:textId="77777777" w:rsidR="00CE19EA" w:rsidRPr="00E212A1" w:rsidRDefault="00CE19EA" w:rsidP="00CE19EA">
            <w:pPr>
              <w:pStyle w:val="Tabletext"/>
            </w:pPr>
          </w:p>
        </w:tc>
      </w:tr>
      <w:tr w:rsidR="00CE19EA" w:rsidRPr="00E212A1" w14:paraId="38225D38" w14:textId="77777777" w:rsidTr="006D2CF3">
        <w:trPr>
          <w:cantSplit/>
          <w:trHeight w:val="255"/>
          <w:jc w:val="center"/>
        </w:trPr>
        <w:tc>
          <w:tcPr>
            <w:tcW w:w="1276" w:type="dxa"/>
            <w:shd w:val="clear" w:color="auto" w:fill="auto"/>
          </w:tcPr>
          <w:p w14:paraId="77C076AB" w14:textId="77777777" w:rsidR="00CE19EA" w:rsidRPr="00E212A1" w:rsidRDefault="00CE19EA" w:rsidP="00CE19EA">
            <w:pPr>
              <w:pStyle w:val="Tabletext"/>
              <w:jc w:val="center"/>
            </w:pPr>
            <w:r w:rsidRPr="00E212A1">
              <w:lastRenderedPageBreak/>
              <w:t>2018</w:t>
            </w:r>
          </w:p>
        </w:tc>
        <w:tc>
          <w:tcPr>
            <w:tcW w:w="1838" w:type="dxa"/>
            <w:shd w:val="clear" w:color="auto" w:fill="auto"/>
            <w:noWrap/>
          </w:tcPr>
          <w:p w14:paraId="2D956A3E" w14:textId="77777777" w:rsidR="00CE19EA" w:rsidRPr="00E212A1" w:rsidRDefault="00CE19EA" w:rsidP="00CE19EA">
            <w:pPr>
              <w:pStyle w:val="Tabletext"/>
            </w:pPr>
            <w:r w:rsidRPr="00E212A1">
              <w:t>100,00</w:t>
            </w:r>
          </w:p>
        </w:tc>
        <w:tc>
          <w:tcPr>
            <w:tcW w:w="850" w:type="dxa"/>
            <w:shd w:val="clear" w:color="auto" w:fill="auto"/>
            <w:noWrap/>
          </w:tcPr>
          <w:p w14:paraId="5819AA8F" w14:textId="77777777" w:rsidR="00CE19EA" w:rsidRPr="00E212A1" w:rsidRDefault="00CE19EA" w:rsidP="00CE19EA">
            <w:pPr>
              <w:pStyle w:val="Tabletext"/>
              <w:jc w:val="center"/>
            </w:pPr>
            <w:r w:rsidRPr="00E212A1">
              <w:t>CHF</w:t>
            </w:r>
          </w:p>
        </w:tc>
        <w:tc>
          <w:tcPr>
            <w:tcW w:w="1276" w:type="dxa"/>
            <w:shd w:val="clear" w:color="auto" w:fill="auto"/>
          </w:tcPr>
          <w:p w14:paraId="6BB10836" w14:textId="77777777" w:rsidR="00CE19EA" w:rsidRPr="00E212A1" w:rsidRDefault="00CE19EA" w:rsidP="00CE19EA">
            <w:pPr>
              <w:pStyle w:val="Tabletext"/>
              <w:jc w:val="center"/>
            </w:pPr>
            <w:r w:rsidRPr="00E212A1">
              <w:t>1</w:t>
            </w:r>
          </w:p>
        </w:tc>
        <w:tc>
          <w:tcPr>
            <w:tcW w:w="3544" w:type="dxa"/>
            <w:shd w:val="clear" w:color="auto" w:fill="auto"/>
            <w:noWrap/>
          </w:tcPr>
          <w:p w14:paraId="0194FEC6" w14:textId="77777777" w:rsidR="00CE19EA" w:rsidRPr="00E212A1" w:rsidRDefault="00CE19EA" w:rsidP="00CE19EA">
            <w:pPr>
              <w:pStyle w:val="Tabletext"/>
            </w:pPr>
            <w:r w:rsidRPr="00E212A1">
              <w:t>Telecom Itália Móbile S.p.A. (TIM)</w:t>
            </w:r>
            <w:r w:rsidRPr="00E212A1">
              <w:br/>
              <w:t>(anciennement INTELIG Telecomunicações Ltda.)</w:t>
            </w:r>
          </w:p>
        </w:tc>
        <w:tc>
          <w:tcPr>
            <w:tcW w:w="1843" w:type="dxa"/>
            <w:shd w:val="clear" w:color="auto" w:fill="auto"/>
            <w:noWrap/>
          </w:tcPr>
          <w:p w14:paraId="4BFEAED9" w14:textId="77777777" w:rsidR="00CE19EA" w:rsidRPr="00E212A1" w:rsidRDefault="00CE19EA" w:rsidP="00CE19EA">
            <w:pPr>
              <w:pStyle w:val="Tabletext"/>
            </w:pPr>
            <w:r w:rsidRPr="00E212A1">
              <w:t>Brésil</w:t>
            </w:r>
          </w:p>
        </w:tc>
        <w:tc>
          <w:tcPr>
            <w:tcW w:w="2126" w:type="dxa"/>
            <w:shd w:val="clear" w:color="auto" w:fill="auto"/>
          </w:tcPr>
          <w:p w14:paraId="0486882A" w14:textId="77777777" w:rsidR="00CE19EA" w:rsidRPr="00E212A1" w:rsidRDefault="00CE19EA" w:rsidP="00CE19EA">
            <w:pPr>
              <w:pStyle w:val="Tabletext"/>
            </w:pPr>
          </w:p>
        </w:tc>
      </w:tr>
      <w:tr w:rsidR="00CE19EA" w:rsidRPr="00E212A1" w14:paraId="2E42D7B4" w14:textId="77777777" w:rsidTr="006D2CF3">
        <w:trPr>
          <w:cantSplit/>
          <w:trHeight w:val="255"/>
          <w:jc w:val="center"/>
        </w:trPr>
        <w:tc>
          <w:tcPr>
            <w:tcW w:w="1276" w:type="dxa"/>
            <w:shd w:val="clear" w:color="auto" w:fill="auto"/>
          </w:tcPr>
          <w:p w14:paraId="195EFC65" w14:textId="77777777" w:rsidR="00CE19EA" w:rsidRPr="00E212A1" w:rsidRDefault="00CE19EA" w:rsidP="00CE19EA">
            <w:pPr>
              <w:pStyle w:val="Tabletext"/>
              <w:jc w:val="center"/>
            </w:pPr>
            <w:r w:rsidRPr="00E212A1">
              <w:t>2023</w:t>
            </w:r>
          </w:p>
        </w:tc>
        <w:tc>
          <w:tcPr>
            <w:tcW w:w="1838" w:type="dxa"/>
            <w:shd w:val="clear" w:color="auto" w:fill="auto"/>
            <w:noWrap/>
          </w:tcPr>
          <w:p w14:paraId="6C057A5E" w14:textId="77777777" w:rsidR="00CE19EA" w:rsidRPr="00E212A1" w:rsidRDefault="00CE19EA" w:rsidP="00CE19EA">
            <w:pPr>
              <w:pStyle w:val="Tabletext"/>
            </w:pPr>
            <w:r w:rsidRPr="00E212A1">
              <w:t>55 900,00</w:t>
            </w:r>
          </w:p>
        </w:tc>
        <w:tc>
          <w:tcPr>
            <w:tcW w:w="850" w:type="dxa"/>
            <w:shd w:val="clear" w:color="auto" w:fill="auto"/>
            <w:noWrap/>
          </w:tcPr>
          <w:p w14:paraId="29345386" w14:textId="77777777" w:rsidR="00CE19EA" w:rsidRPr="00E212A1" w:rsidRDefault="00CE19EA" w:rsidP="00CE19EA">
            <w:pPr>
              <w:pStyle w:val="Tabletext"/>
              <w:jc w:val="center"/>
            </w:pPr>
            <w:r w:rsidRPr="00E212A1">
              <w:t>CHF</w:t>
            </w:r>
          </w:p>
        </w:tc>
        <w:tc>
          <w:tcPr>
            <w:tcW w:w="1276" w:type="dxa"/>
            <w:shd w:val="clear" w:color="auto" w:fill="auto"/>
          </w:tcPr>
          <w:p w14:paraId="5774FA65" w14:textId="77777777" w:rsidR="00CE19EA" w:rsidRPr="00E212A1" w:rsidRDefault="00CE19EA" w:rsidP="00CE19EA">
            <w:pPr>
              <w:pStyle w:val="Tabletext"/>
              <w:jc w:val="center"/>
            </w:pPr>
            <w:r w:rsidRPr="00E212A1">
              <w:t>559</w:t>
            </w:r>
          </w:p>
        </w:tc>
        <w:tc>
          <w:tcPr>
            <w:tcW w:w="3544" w:type="dxa"/>
            <w:shd w:val="clear" w:color="auto" w:fill="auto"/>
            <w:noWrap/>
          </w:tcPr>
          <w:p w14:paraId="3DB6CFCE" w14:textId="77777777" w:rsidR="00CE19EA" w:rsidRPr="00E212A1" w:rsidRDefault="00CE19EA" w:rsidP="00CE19EA">
            <w:pPr>
              <w:pStyle w:val="Tabletext"/>
            </w:pPr>
            <w:r w:rsidRPr="00E212A1">
              <w:t>eircom Limited</w:t>
            </w:r>
          </w:p>
        </w:tc>
        <w:tc>
          <w:tcPr>
            <w:tcW w:w="1843" w:type="dxa"/>
            <w:shd w:val="clear" w:color="auto" w:fill="auto"/>
            <w:noWrap/>
          </w:tcPr>
          <w:p w14:paraId="294EE6E2" w14:textId="77777777" w:rsidR="00CE19EA" w:rsidRPr="00E212A1" w:rsidRDefault="00CE19EA" w:rsidP="00CE19EA">
            <w:pPr>
              <w:pStyle w:val="Tabletext"/>
            </w:pPr>
            <w:r w:rsidRPr="00E212A1">
              <w:t>Irlande</w:t>
            </w:r>
          </w:p>
        </w:tc>
        <w:tc>
          <w:tcPr>
            <w:tcW w:w="2126" w:type="dxa"/>
            <w:shd w:val="clear" w:color="auto" w:fill="auto"/>
          </w:tcPr>
          <w:p w14:paraId="52FC25CC" w14:textId="77777777" w:rsidR="00CE19EA" w:rsidRPr="00E212A1" w:rsidRDefault="00CE19EA" w:rsidP="00CE19EA">
            <w:pPr>
              <w:pStyle w:val="Tabletext"/>
            </w:pPr>
          </w:p>
        </w:tc>
      </w:tr>
      <w:tr w:rsidR="00CE19EA" w:rsidRPr="00E212A1" w14:paraId="11DA9A24" w14:textId="77777777" w:rsidTr="006D2CF3">
        <w:trPr>
          <w:cantSplit/>
          <w:trHeight w:val="255"/>
          <w:jc w:val="center"/>
        </w:trPr>
        <w:tc>
          <w:tcPr>
            <w:tcW w:w="1276" w:type="dxa"/>
            <w:shd w:val="clear" w:color="auto" w:fill="auto"/>
          </w:tcPr>
          <w:p w14:paraId="5559F100" w14:textId="77777777" w:rsidR="00CE19EA" w:rsidRPr="00E212A1" w:rsidRDefault="00CE19EA" w:rsidP="00CE19EA">
            <w:pPr>
              <w:pStyle w:val="Tabletext"/>
              <w:jc w:val="center"/>
            </w:pPr>
            <w:r w:rsidRPr="00E212A1">
              <w:t>2024</w:t>
            </w:r>
          </w:p>
        </w:tc>
        <w:tc>
          <w:tcPr>
            <w:tcW w:w="1838" w:type="dxa"/>
            <w:shd w:val="clear" w:color="auto" w:fill="auto"/>
            <w:noWrap/>
          </w:tcPr>
          <w:p w14:paraId="767F7A51" w14:textId="77777777" w:rsidR="00CE19EA" w:rsidRPr="00E212A1" w:rsidRDefault="00CE19EA" w:rsidP="00CE19EA">
            <w:pPr>
              <w:pStyle w:val="Tabletext"/>
            </w:pPr>
            <w:r w:rsidRPr="00E212A1">
              <w:t>1 300,00</w:t>
            </w:r>
          </w:p>
        </w:tc>
        <w:tc>
          <w:tcPr>
            <w:tcW w:w="850" w:type="dxa"/>
            <w:shd w:val="clear" w:color="auto" w:fill="auto"/>
            <w:noWrap/>
          </w:tcPr>
          <w:p w14:paraId="13847628" w14:textId="77777777" w:rsidR="00CE19EA" w:rsidRPr="00E212A1" w:rsidRDefault="00CE19EA" w:rsidP="00CE19EA">
            <w:pPr>
              <w:pStyle w:val="Tabletext"/>
              <w:jc w:val="center"/>
            </w:pPr>
            <w:r w:rsidRPr="00E212A1">
              <w:t>CHF</w:t>
            </w:r>
          </w:p>
        </w:tc>
        <w:tc>
          <w:tcPr>
            <w:tcW w:w="1276" w:type="dxa"/>
            <w:shd w:val="clear" w:color="auto" w:fill="auto"/>
          </w:tcPr>
          <w:p w14:paraId="5BB59267" w14:textId="77777777" w:rsidR="00CE19EA" w:rsidRPr="00E212A1" w:rsidRDefault="00CE19EA" w:rsidP="00CE19EA">
            <w:pPr>
              <w:pStyle w:val="Tabletext"/>
              <w:jc w:val="center"/>
            </w:pPr>
            <w:r w:rsidRPr="00E212A1">
              <w:t>13</w:t>
            </w:r>
          </w:p>
        </w:tc>
        <w:tc>
          <w:tcPr>
            <w:tcW w:w="3544" w:type="dxa"/>
            <w:shd w:val="clear" w:color="auto" w:fill="auto"/>
            <w:noWrap/>
          </w:tcPr>
          <w:p w14:paraId="5FBE6A42" w14:textId="77777777" w:rsidR="00CE19EA" w:rsidRPr="00E212A1" w:rsidRDefault="00CE19EA" w:rsidP="00CE19EA">
            <w:pPr>
              <w:pStyle w:val="Tabletext"/>
            </w:pPr>
            <w:r w:rsidRPr="00E212A1">
              <w:t>Slovak Telekom, a.s.</w:t>
            </w:r>
          </w:p>
        </w:tc>
        <w:tc>
          <w:tcPr>
            <w:tcW w:w="1843" w:type="dxa"/>
            <w:shd w:val="clear" w:color="auto" w:fill="auto"/>
            <w:noWrap/>
          </w:tcPr>
          <w:p w14:paraId="26FF54F2" w14:textId="77777777" w:rsidR="00CE19EA" w:rsidRPr="00E212A1" w:rsidRDefault="00CE19EA" w:rsidP="00CE19EA">
            <w:pPr>
              <w:pStyle w:val="Tabletext"/>
            </w:pPr>
            <w:r w:rsidRPr="00E212A1">
              <w:t>Slovaquie</w:t>
            </w:r>
          </w:p>
        </w:tc>
        <w:tc>
          <w:tcPr>
            <w:tcW w:w="2126" w:type="dxa"/>
            <w:shd w:val="clear" w:color="auto" w:fill="auto"/>
          </w:tcPr>
          <w:p w14:paraId="2C6AA221" w14:textId="77777777" w:rsidR="00CE19EA" w:rsidRPr="00E212A1" w:rsidRDefault="00CE19EA" w:rsidP="00CE19EA">
            <w:pPr>
              <w:pStyle w:val="Tabletext"/>
            </w:pPr>
          </w:p>
        </w:tc>
      </w:tr>
      <w:tr w:rsidR="00CE19EA" w:rsidRPr="00E212A1" w14:paraId="1E8FE64B" w14:textId="77777777" w:rsidTr="006D2CF3">
        <w:trPr>
          <w:cantSplit/>
          <w:trHeight w:val="255"/>
          <w:jc w:val="center"/>
        </w:trPr>
        <w:tc>
          <w:tcPr>
            <w:tcW w:w="1276" w:type="dxa"/>
            <w:shd w:val="clear" w:color="auto" w:fill="auto"/>
          </w:tcPr>
          <w:p w14:paraId="0A581BDE" w14:textId="77777777" w:rsidR="00CE19EA" w:rsidRPr="00E212A1" w:rsidRDefault="00CE19EA" w:rsidP="00CE19EA">
            <w:pPr>
              <w:pStyle w:val="Tabletext"/>
              <w:jc w:val="center"/>
            </w:pPr>
            <w:r w:rsidRPr="00E212A1">
              <w:t>2024</w:t>
            </w:r>
          </w:p>
        </w:tc>
        <w:tc>
          <w:tcPr>
            <w:tcW w:w="1838" w:type="dxa"/>
            <w:shd w:val="clear" w:color="auto" w:fill="auto"/>
            <w:noWrap/>
          </w:tcPr>
          <w:p w14:paraId="7131BD61" w14:textId="77777777" w:rsidR="00CE19EA" w:rsidRPr="00E212A1" w:rsidRDefault="00CE19EA" w:rsidP="00CE19EA">
            <w:pPr>
              <w:pStyle w:val="Tabletext"/>
            </w:pPr>
            <w:r w:rsidRPr="00E212A1">
              <w:t>100,00</w:t>
            </w:r>
          </w:p>
        </w:tc>
        <w:tc>
          <w:tcPr>
            <w:tcW w:w="850" w:type="dxa"/>
            <w:shd w:val="clear" w:color="auto" w:fill="auto"/>
            <w:noWrap/>
          </w:tcPr>
          <w:p w14:paraId="1C3B391D" w14:textId="77777777" w:rsidR="00CE19EA" w:rsidRPr="00E212A1" w:rsidRDefault="00CE19EA" w:rsidP="00CE19EA">
            <w:pPr>
              <w:pStyle w:val="Tabletext"/>
              <w:jc w:val="center"/>
            </w:pPr>
            <w:r w:rsidRPr="00E212A1">
              <w:t>CHF</w:t>
            </w:r>
          </w:p>
        </w:tc>
        <w:tc>
          <w:tcPr>
            <w:tcW w:w="1276" w:type="dxa"/>
            <w:shd w:val="clear" w:color="auto" w:fill="auto"/>
          </w:tcPr>
          <w:p w14:paraId="270ABF37" w14:textId="77777777" w:rsidR="00CE19EA" w:rsidRPr="00E212A1" w:rsidRDefault="00CE19EA" w:rsidP="00CE19EA">
            <w:pPr>
              <w:pStyle w:val="Tabletext"/>
              <w:jc w:val="center"/>
            </w:pPr>
            <w:r w:rsidRPr="00E212A1">
              <w:t>1</w:t>
            </w:r>
          </w:p>
        </w:tc>
        <w:tc>
          <w:tcPr>
            <w:tcW w:w="3544" w:type="dxa"/>
            <w:shd w:val="clear" w:color="auto" w:fill="auto"/>
            <w:noWrap/>
          </w:tcPr>
          <w:p w14:paraId="625664DD" w14:textId="77777777" w:rsidR="00CE19EA" w:rsidRPr="00E212A1" w:rsidRDefault="00CE19EA" w:rsidP="00CE19EA">
            <w:pPr>
              <w:pStyle w:val="Tabletext"/>
            </w:pPr>
            <w:r w:rsidRPr="00E212A1">
              <w:t>JSC Kazakhtelecom</w:t>
            </w:r>
          </w:p>
        </w:tc>
        <w:tc>
          <w:tcPr>
            <w:tcW w:w="1843" w:type="dxa"/>
            <w:shd w:val="clear" w:color="auto" w:fill="auto"/>
            <w:noWrap/>
          </w:tcPr>
          <w:p w14:paraId="276861DB" w14:textId="77777777" w:rsidR="00CE19EA" w:rsidRPr="00E212A1" w:rsidRDefault="00CE19EA" w:rsidP="00CE19EA">
            <w:pPr>
              <w:pStyle w:val="Tabletext"/>
            </w:pPr>
            <w:r w:rsidRPr="00E212A1">
              <w:t>Kazakhstan</w:t>
            </w:r>
          </w:p>
        </w:tc>
        <w:tc>
          <w:tcPr>
            <w:tcW w:w="2126" w:type="dxa"/>
            <w:shd w:val="clear" w:color="auto" w:fill="auto"/>
          </w:tcPr>
          <w:p w14:paraId="6A7ED3CA" w14:textId="77777777" w:rsidR="00CE19EA" w:rsidRPr="00E212A1" w:rsidRDefault="00CE19EA" w:rsidP="00CE19EA">
            <w:pPr>
              <w:pStyle w:val="Tabletext"/>
            </w:pPr>
          </w:p>
        </w:tc>
      </w:tr>
      <w:tr w:rsidR="00CE19EA" w:rsidRPr="00E212A1" w14:paraId="01DA979E" w14:textId="77777777" w:rsidTr="006D2CF3">
        <w:trPr>
          <w:cantSplit/>
          <w:trHeight w:val="255"/>
          <w:jc w:val="center"/>
        </w:trPr>
        <w:tc>
          <w:tcPr>
            <w:tcW w:w="1276" w:type="dxa"/>
            <w:shd w:val="clear" w:color="auto" w:fill="auto"/>
          </w:tcPr>
          <w:p w14:paraId="11829308" w14:textId="77777777" w:rsidR="00CE19EA" w:rsidRPr="00E212A1" w:rsidRDefault="00CE19EA" w:rsidP="00CE19EA">
            <w:pPr>
              <w:pStyle w:val="Tabletext"/>
              <w:jc w:val="center"/>
            </w:pPr>
            <w:r w:rsidRPr="00E212A1">
              <w:t>2024</w:t>
            </w:r>
          </w:p>
        </w:tc>
        <w:tc>
          <w:tcPr>
            <w:tcW w:w="1838" w:type="dxa"/>
            <w:shd w:val="clear" w:color="auto" w:fill="auto"/>
            <w:noWrap/>
          </w:tcPr>
          <w:p w14:paraId="594F4DD5" w14:textId="77777777" w:rsidR="00CE19EA" w:rsidRPr="00E212A1" w:rsidRDefault="00CE19EA" w:rsidP="00CE19EA">
            <w:pPr>
              <w:pStyle w:val="Tabletext"/>
            </w:pPr>
            <w:r w:rsidRPr="00E212A1">
              <w:t>700,00</w:t>
            </w:r>
          </w:p>
        </w:tc>
        <w:tc>
          <w:tcPr>
            <w:tcW w:w="850" w:type="dxa"/>
            <w:shd w:val="clear" w:color="auto" w:fill="auto"/>
            <w:noWrap/>
          </w:tcPr>
          <w:p w14:paraId="5269B97F" w14:textId="77777777" w:rsidR="00CE19EA" w:rsidRPr="00E212A1" w:rsidRDefault="00CE19EA" w:rsidP="00CE19EA">
            <w:pPr>
              <w:pStyle w:val="Tabletext"/>
              <w:jc w:val="center"/>
            </w:pPr>
            <w:r w:rsidRPr="00E212A1">
              <w:t>CHF</w:t>
            </w:r>
          </w:p>
        </w:tc>
        <w:tc>
          <w:tcPr>
            <w:tcW w:w="1276" w:type="dxa"/>
            <w:shd w:val="clear" w:color="auto" w:fill="auto"/>
          </w:tcPr>
          <w:p w14:paraId="3CFE242A" w14:textId="77777777" w:rsidR="00CE19EA" w:rsidRPr="00E212A1" w:rsidRDefault="00CE19EA" w:rsidP="00CE19EA">
            <w:pPr>
              <w:pStyle w:val="Tabletext"/>
              <w:jc w:val="center"/>
            </w:pPr>
            <w:r w:rsidRPr="00E212A1">
              <w:t>7</w:t>
            </w:r>
          </w:p>
        </w:tc>
        <w:tc>
          <w:tcPr>
            <w:tcW w:w="3544" w:type="dxa"/>
            <w:shd w:val="clear" w:color="auto" w:fill="auto"/>
            <w:noWrap/>
          </w:tcPr>
          <w:p w14:paraId="7CBE2FBA" w14:textId="77777777" w:rsidR="00CE19EA" w:rsidRPr="00E212A1" w:rsidRDefault="00CE19EA" w:rsidP="00CE19EA">
            <w:pPr>
              <w:pStyle w:val="Tabletext"/>
            </w:pPr>
            <w:r w:rsidRPr="00E212A1">
              <w:t>Cable &amp; Wireless Panamá S.A.</w:t>
            </w:r>
          </w:p>
        </w:tc>
        <w:tc>
          <w:tcPr>
            <w:tcW w:w="1843" w:type="dxa"/>
            <w:shd w:val="clear" w:color="auto" w:fill="auto"/>
            <w:noWrap/>
          </w:tcPr>
          <w:p w14:paraId="2739F5EC" w14:textId="77777777" w:rsidR="00CE19EA" w:rsidRPr="00E212A1" w:rsidRDefault="00CE19EA" w:rsidP="00CE19EA">
            <w:pPr>
              <w:pStyle w:val="Tabletext"/>
            </w:pPr>
            <w:r w:rsidRPr="00E212A1">
              <w:t>Panama</w:t>
            </w:r>
          </w:p>
        </w:tc>
        <w:tc>
          <w:tcPr>
            <w:tcW w:w="2126" w:type="dxa"/>
            <w:shd w:val="clear" w:color="auto" w:fill="auto"/>
          </w:tcPr>
          <w:p w14:paraId="759C223E" w14:textId="77777777" w:rsidR="00CE19EA" w:rsidRPr="00E212A1" w:rsidRDefault="00CE19EA" w:rsidP="00CE19EA">
            <w:pPr>
              <w:pStyle w:val="Tabletext"/>
            </w:pPr>
          </w:p>
        </w:tc>
      </w:tr>
      <w:tr w:rsidR="00CE19EA" w:rsidRPr="00E212A1" w14:paraId="7AE72D26" w14:textId="77777777" w:rsidTr="006D2CF3">
        <w:trPr>
          <w:cantSplit/>
          <w:trHeight w:val="255"/>
          <w:jc w:val="center"/>
        </w:trPr>
        <w:tc>
          <w:tcPr>
            <w:tcW w:w="1276" w:type="dxa"/>
            <w:shd w:val="clear" w:color="auto" w:fill="auto"/>
          </w:tcPr>
          <w:p w14:paraId="39F73BE0" w14:textId="77777777" w:rsidR="00CE19EA" w:rsidRPr="00E212A1" w:rsidRDefault="00CE19EA" w:rsidP="00CE19EA">
            <w:pPr>
              <w:pStyle w:val="Tabletext"/>
              <w:jc w:val="center"/>
            </w:pPr>
            <w:r w:rsidRPr="00E212A1">
              <w:t>2024</w:t>
            </w:r>
          </w:p>
        </w:tc>
        <w:tc>
          <w:tcPr>
            <w:tcW w:w="1838" w:type="dxa"/>
            <w:shd w:val="clear" w:color="auto" w:fill="auto"/>
            <w:noWrap/>
          </w:tcPr>
          <w:p w14:paraId="5CC0D20C" w14:textId="77777777" w:rsidR="00CE19EA" w:rsidRPr="00E212A1" w:rsidRDefault="00CE19EA" w:rsidP="00CE19EA">
            <w:pPr>
              <w:pStyle w:val="Tabletext"/>
            </w:pPr>
            <w:r w:rsidRPr="00E212A1">
              <w:t>1 200,00</w:t>
            </w:r>
          </w:p>
        </w:tc>
        <w:tc>
          <w:tcPr>
            <w:tcW w:w="850" w:type="dxa"/>
            <w:shd w:val="clear" w:color="auto" w:fill="auto"/>
            <w:noWrap/>
          </w:tcPr>
          <w:p w14:paraId="6C4706C0" w14:textId="77777777" w:rsidR="00CE19EA" w:rsidRPr="00E212A1" w:rsidRDefault="00CE19EA" w:rsidP="00CE19EA">
            <w:pPr>
              <w:pStyle w:val="Tabletext"/>
              <w:jc w:val="center"/>
            </w:pPr>
            <w:r w:rsidRPr="00E212A1">
              <w:t>CHF</w:t>
            </w:r>
          </w:p>
        </w:tc>
        <w:tc>
          <w:tcPr>
            <w:tcW w:w="1276" w:type="dxa"/>
            <w:shd w:val="clear" w:color="auto" w:fill="auto"/>
          </w:tcPr>
          <w:p w14:paraId="7BDADF45" w14:textId="77777777" w:rsidR="00CE19EA" w:rsidRPr="00E212A1" w:rsidRDefault="00CE19EA" w:rsidP="00CE19EA">
            <w:pPr>
              <w:pStyle w:val="Tabletext"/>
              <w:jc w:val="center"/>
            </w:pPr>
            <w:r w:rsidRPr="00E212A1">
              <w:t>12</w:t>
            </w:r>
          </w:p>
        </w:tc>
        <w:tc>
          <w:tcPr>
            <w:tcW w:w="3544" w:type="dxa"/>
            <w:shd w:val="clear" w:color="auto" w:fill="auto"/>
            <w:noWrap/>
          </w:tcPr>
          <w:p w14:paraId="16B44D16" w14:textId="77777777" w:rsidR="00CE19EA" w:rsidRPr="00E212A1" w:rsidRDefault="00CE19EA" w:rsidP="00CE19EA">
            <w:pPr>
              <w:pStyle w:val="Tabletext"/>
            </w:pPr>
            <w:r w:rsidRPr="00E212A1">
              <w:t>Cyprus Telecoms. Authority</w:t>
            </w:r>
          </w:p>
        </w:tc>
        <w:tc>
          <w:tcPr>
            <w:tcW w:w="1843" w:type="dxa"/>
            <w:shd w:val="clear" w:color="auto" w:fill="auto"/>
            <w:noWrap/>
          </w:tcPr>
          <w:p w14:paraId="1DFDF194" w14:textId="77777777" w:rsidR="00CE19EA" w:rsidRPr="00E212A1" w:rsidRDefault="00CE19EA" w:rsidP="00CE19EA">
            <w:pPr>
              <w:pStyle w:val="Tabletext"/>
            </w:pPr>
            <w:r w:rsidRPr="00E212A1">
              <w:t>Chypre</w:t>
            </w:r>
          </w:p>
        </w:tc>
        <w:tc>
          <w:tcPr>
            <w:tcW w:w="2126" w:type="dxa"/>
            <w:shd w:val="clear" w:color="auto" w:fill="auto"/>
          </w:tcPr>
          <w:p w14:paraId="3229712A" w14:textId="77777777" w:rsidR="00CE19EA" w:rsidRPr="00E212A1" w:rsidRDefault="00CE19EA" w:rsidP="00CE19EA">
            <w:pPr>
              <w:pStyle w:val="Tabletext"/>
            </w:pPr>
          </w:p>
        </w:tc>
      </w:tr>
      <w:tr w:rsidR="00CE19EA" w:rsidRPr="00E212A1" w14:paraId="74488852" w14:textId="77777777" w:rsidTr="006D2CF3">
        <w:trPr>
          <w:cantSplit/>
          <w:trHeight w:val="255"/>
          <w:jc w:val="center"/>
        </w:trPr>
        <w:tc>
          <w:tcPr>
            <w:tcW w:w="1276" w:type="dxa"/>
            <w:shd w:val="clear" w:color="auto" w:fill="auto"/>
          </w:tcPr>
          <w:p w14:paraId="11BC034B" w14:textId="77777777" w:rsidR="00CE19EA" w:rsidRPr="00E212A1" w:rsidRDefault="00CE19EA" w:rsidP="00CE19EA">
            <w:pPr>
              <w:pStyle w:val="Tabletext"/>
              <w:jc w:val="center"/>
            </w:pPr>
            <w:r w:rsidRPr="00E212A1">
              <w:t>2024</w:t>
            </w:r>
          </w:p>
        </w:tc>
        <w:tc>
          <w:tcPr>
            <w:tcW w:w="1838" w:type="dxa"/>
            <w:shd w:val="clear" w:color="auto" w:fill="auto"/>
            <w:noWrap/>
          </w:tcPr>
          <w:p w14:paraId="74D70AB7" w14:textId="77777777" w:rsidR="00CE19EA" w:rsidRPr="00E212A1" w:rsidRDefault="00CE19EA" w:rsidP="00CE19EA">
            <w:pPr>
              <w:pStyle w:val="Tabletext"/>
            </w:pPr>
            <w:r w:rsidRPr="00E212A1">
              <w:t>28 100,00</w:t>
            </w:r>
          </w:p>
        </w:tc>
        <w:tc>
          <w:tcPr>
            <w:tcW w:w="850" w:type="dxa"/>
            <w:shd w:val="clear" w:color="auto" w:fill="auto"/>
            <w:noWrap/>
          </w:tcPr>
          <w:p w14:paraId="78C310B4" w14:textId="77777777" w:rsidR="00CE19EA" w:rsidRPr="00E212A1" w:rsidRDefault="00CE19EA" w:rsidP="00CE19EA">
            <w:pPr>
              <w:pStyle w:val="Tabletext"/>
              <w:jc w:val="center"/>
            </w:pPr>
            <w:r w:rsidRPr="00E212A1">
              <w:t>CHF</w:t>
            </w:r>
          </w:p>
        </w:tc>
        <w:tc>
          <w:tcPr>
            <w:tcW w:w="1276" w:type="dxa"/>
            <w:shd w:val="clear" w:color="auto" w:fill="auto"/>
          </w:tcPr>
          <w:p w14:paraId="6E64BDE7" w14:textId="77777777" w:rsidR="00CE19EA" w:rsidRPr="00E212A1" w:rsidRDefault="00CE19EA" w:rsidP="00CE19EA">
            <w:pPr>
              <w:pStyle w:val="Tabletext"/>
              <w:jc w:val="center"/>
            </w:pPr>
            <w:r w:rsidRPr="00E212A1">
              <w:t>281</w:t>
            </w:r>
          </w:p>
        </w:tc>
        <w:tc>
          <w:tcPr>
            <w:tcW w:w="3544" w:type="dxa"/>
            <w:shd w:val="clear" w:color="auto" w:fill="auto"/>
            <w:noWrap/>
          </w:tcPr>
          <w:p w14:paraId="29D63224" w14:textId="77777777" w:rsidR="00CE19EA" w:rsidRPr="00E212A1" w:rsidRDefault="00CE19EA" w:rsidP="00CE19EA">
            <w:pPr>
              <w:pStyle w:val="Tabletext"/>
            </w:pPr>
            <w:r w:rsidRPr="00E212A1">
              <w:t>TDC A/S</w:t>
            </w:r>
          </w:p>
        </w:tc>
        <w:tc>
          <w:tcPr>
            <w:tcW w:w="1843" w:type="dxa"/>
            <w:shd w:val="clear" w:color="auto" w:fill="auto"/>
            <w:noWrap/>
          </w:tcPr>
          <w:p w14:paraId="194E6639" w14:textId="77777777" w:rsidR="00CE19EA" w:rsidRPr="00E212A1" w:rsidRDefault="00CE19EA" w:rsidP="00CE19EA">
            <w:pPr>
              <w:pStyle w:val="Tabletext"/>
            </w:pPr>
            <w:r w:rsidRPr="00E212A1">
              <w:t>Danemark</w:t>
            </w:r>
          </w:p>
        </w:tc>
        <w:tc>
          <w:tcPr>
            <w:tcW w:w="2126" w:type="dxa"/>
            <w:shd w:val="clear" w:color="auto" w:fill="auto"/>
          </w:tcPr>
          <w:p w14:paraId="6FB455B2" w14:textId="77777777" w:rsidR="00CE19EA" w:rsidRPr="00E212A1" w:rsidRDefault="00CE19EA" w:rsidP="00CE19EA">
            <w:pPr>
              <w:pStyle w:val="Tabletext"/>
            </w:pPr>
          </w:p>
        </w:tc>
      </w:tr>
      <w:tr w:rsidR="00CE19EA" w:rsidRPr="00E212A1" w14:paraId="2B5B7B55" w14:textId="77777777" w:rsidTr="006D2CF3">
        <w:trPr>
          <w:cantSplit/>
          <w:trHeight w:val="255"/>
          <w:jc w:val="center"/>
        </w:trPr>
        <w:tc>
          <w:tcPr>
            <w:tcW w:w="1276" w:type="dxa"/>
            <w:shd w:val="clear" w:color="auto" w:fill="auto"/>
          </w:tcPr>
          <w:p w14:paraId="1DA298F8" w14:textId="77777777" w:rsidR="00CE19EA" w:rsidRPr="00E212A1" w:rsidRDefault="00CE19EA" w:rsidP="00CE19EA">
            <w:pPr>
              <w:pStyle w:val="Tabletext"/>
              <w:jc w:val="center"/>
            </w:pPr>
            <w:r w:rsidRPr="00E212A1">
              <w:t>2024</w:t>
            </w:r>
          </w:p>
        </w:tc>
        <w:tc>
          <w:tcPr>
            <w:tcW w:w="1838" w:type="dxa"/>
            <w:shd w:val="clear" w:color="auto" w:fill="auto"/>
            <w:noWrap/>
          </w:tcPr>
          <w:p w14:paraId="01D31A38" w14:textId="77777777" w:rsidR="00CE19EA" w:rsidRPr="00E212A1" w:rsidRDefault="00CE19EA" w:rsidP="00CE19EA">
            <w:pPr>
              <w:pStyle w:val="Tabletext"/>
            </w:pPr>
            <w:r w:rsidRPr="00E212A1">
              <w:t>55 900,00</w:t>
            </w:r>
          </w:p>
        </w:tc>
        <w:tc>
          <w:tcPr>
            <w:tcW w:w="850" w:type="dxa"/>
            <w:shd w:val="clear" w:color="auto" w:fill="auto"/>
            <w:noWrap/>
          </w:tcPr>
          <w:p w14:paraId="1AA18BB2" w14:textId="77777777" w:rsidR="00CE19EA" w:rsidRPr="00E212A1" w:rsidRDefault="00CE19EA" w:rsidP="00CE19EA">
            <w:pPr>
              <w:pStyle w:val="Tabletext"/>
              <w:jc w:val="center"/>
            </w:pPr>
            <w:r w:rsidRPr="00E212A1">
              <w:t>CHF</w:t>
            </w:r>
          </w:p>
        </w:tc>
        <w:tc>
          <w:tcPr>
            <w:tcW w:w="1276" w:type="dxa"/>
            <w:shd w:val="clear" w:color="auto" w:fill="auto"/>
          </w:tcPr>
          <w:p w14:paraId="4278EBBB" w14:textId="77777777" w:rsidR="00CE19EA" w:rsidRPr="00E212A1" w:rsidRDefault="00CE19EA" w:rsidP="00CE19EA">
            <w:pPr>
              <w:pStyle w:val="Tabletext"/>
              <w:jc w:val="center"/>
            </w:pPr>
            <w:r w:rsidRPr="00E212A1">
              <w:t>559</w:t>
            </w:r>
          </w:p>
        </w:tc>
        <w:tc>
          <w:tcPr>
            <w:tcW w:w="3544" w:type="dxa"/>
            <w:shd w:val="clear" w:color="auto" w:fill="auto"/>
            <w:noWrap/>
          </w:tcPr>
          <w:p w14:paraId="33F83B07" w14:textId="77777777" w:rsidR="00CE19EA" w:rsidRPr="00E212A1" w:rsidRDefault="00CE19EA" w:rsidP="00CE19EA">
            <w:pPr>
              <w:pStyle w:val="Tabletext"/>
            </w:pPr>
            <w:r w:rsidRPr="00E212A1">
              <w:t>eircom Limited</w:t>
            </w:r>
          </w:p>
        </w:tc>
        <w:tc>
          <w:tcPr>
            <w:tcW w:w="1843" w:type="dxa"/>
            <w:shd w:val="clear" w:color="auto" w:fill="auto"/>
            <w:noWrap/>
          </w:tcPr>
          <w:p w14:paraId="54FD4A11" w14:textId="77777777" w:rsidR="00CE19EA" w:rsidRPr="00E212A1" w:rsidRDefault="00CE19EA" w:rsidP="00CE19EA">
            <w:pPr>
              <w:pStyle w:val="Tabletext"/>
            </w:pPr>
            <w:r w:rsidRPr="00E212A1">
              <w:t>Irlande</w:t>
            </w:r>
          </w:p>
        </w:tc>
        <w:tc>
          <w:tcPr>
            <w:tcW w:w="2126" w:type="dxa"/>
            <w:shd w:val="clear" w:color="auto" w:fill="auto"/>
          </w:tcPr>
          <w:p w14:paraId="140F55CE" w14:textId="77777777" w:rsidR="00CE19EA" w:rsidRPr="00E212A1" w:rsidRDefault="00CE19EA" w:rsidP="00CE19EA">
            <w:pPr>
              <w:pStyle w:val="Tabletext"/>
            </w:pPr>
          </w:p>
        </w:tc>
      </w:tr>
      <w:tr w:rsidR="00CE19EA" w:rsidRPr="00E212A1" w14:paraId="517DD61B" w14:textId="77777777" w:rsidTr="006D2CF3">
        <w:trPr>
          <w:cantSplit/>
          <w:trHeight w:val="255"/>
          <w:jc w:val="center"/>
        </w:trPr>
        <w:tc>
          <w:tcPr>
            <w:tcW w:w="1276" w:type="dxa"/>
            <w:shd w:val="clear" w:color="auto" w:fill="auto"/>
          </w:tcPr>
          <w:p w14:paraId="6F9727E5" w14:textId="77777777" w:rsidR="00CE19EA" w:rsidRPr="00E212A1" w:rsidRDefault="00CE19EA" w:rsidP="00CE19EA">
            <w:pPr>
              <w:pStyle w:val="Tabletext"/>
              <w:jc w:val="center"/>
            </w:pPr>
            <w:r w:rsidRPr="00E212A1">
              <w:t>2024</w:t>
            </w:r>
          </w:p>
        </w:tc>
        <w:tc>
          <w:tcPr>
            <w:tcW w:w="1838" w:type="dxa"/>
            <w:shd w:val="clear" w:color="auto" w:fill="auto"/>
            <w:noWrap/>
          </w:tcPr>
          <w:p w14:paraId="14E268FE" w14:textId="77777777" w:rsidR="00CE19EA" w:rsidRPr="00E212A1" w:rsidRDefault="00CE19EA" w:rsidP="00CE19EA">
            <w:pPr>
              <w:pStyle w:val="Tabletext"/>
            </w:pPr>
            <w:r w:rsidRPr="00E212A1">
              <w:t>13 200,00</w:t>
            </w:r>
          </w:p>
        </w:tc>
        <w:tc>
          <w:tcPr>
            <w:tcW w:w="850" w:type="dxa"/>
            <w:shd w:val="clear" w:color="auto" w:fill="auto"/>
            <w:noWrap/>
          </w:tcPr>
          <w:p w14:paraId="4CE281DC" w14:textId="77777777" w:rsidR="00CE19EA" w:rsidRPr="00E212A1" w:rsidRDefault="00CE19EA" w:rsidP="00CE19EA">
            <w:pPr>
              <w:pStyle w:val="Tabletext"/>
              <w:jc w:val="center"/>
            </w:pPr>
            <w:r w:rsidRPr="00E212A1">
              <w:t>CHF</w:t>
            </w:r>
          </w:p>
        </w:tc>
        <w:tc>
          <w:tcPr>
            <w:tcW w:w="1276" w:type="dxa"/>
            <w:shd w:val="clear" w:color="auto" w:fill="auto"/>
          </w:tcPr>
          <w:p w14:paraId="289CA77F" w14:textId="77777777" w:rsidR="00CE19EA" w:rsidRPr="00E212A1" w:rsidRDefault="00CE19EA" w:rsidP="00CE19EA">
            <w:pPr>
              <w:pStyle w:val="Tabletext"/>
              <w:jc w:val="center"/>
            </w:pPr>
            <w:r w:rsidRPr="00E212A1">
              <w:t>132</w:t>
            </w:r>
          </w:p>
        </w:tc>
        <w:tc>
          <w:tcPr>
            <w:tcW w:w="3544" w:type="dxa"/>
            <w:shd w:val="clear" w:color="auto" w:fill="auto"/>
            <w:noWrap/>
          </w:tcPr>
          <w:p w14:paraId="1CD26D0F" w14:textId="77777777" w:rsidR="00CE19EA" w:rsidRPr="00E212A1" w:rsidRDefault="00CE19EA" w:rsidP="00CE19EA">
            <w:pPr>
              <w:pStyle w:val="Tabletext"/>
            </w:pPr>
            <w:r w:rsidRPr="00E212A1">
              <w:t>Singapore Telecommunications Ltd</w:t>
            </w:r>
          </w:p>
        </w:tc>
        <w:tc>
          <w:tcPr>
            <w:tcW w:w="1843" w:type="dxa"/>
            <w:shd w:val="clear" w:color="auto" w:fill="auto"/>
            <w:noWrap/>
          </w:tcPr>
          <w:p w14:paraId="4FAE9B96" w14:textId="77777777" w:rsidR="00CE19EA" w:rsidRPr="00E212A1" w:rsidRDefault="00CE19EA" w:rsidP="00CE19EA">
            <w:pPr>
              <w:pStyle w:val="Tabletext"/>
            </w:pPr>
            <w:r w:rsidRPr="00E212A1">
              <w:t>Singapour</w:t>
            </w:r>
          </w:p>
        </w:tc>
        <w:tc>
          <w:tcPr>
            <w:tcW w:w="2126" w:type="dxa"/>
            <w:shd w:val="clear" w:color="auto" w:fill="auto"/>
          </w:tcPr>
          <w:p w14:paraId="789399BD" w14:textId="77777777" w:rsidR="00CE19EA" w:rsidRPr="00E212A1" w:rsidRDefault="00CE19EA" w:rsidP="00CE19EA">
            <w:pPr>
              <w:pStyle w:val="Tabletext"/>
            </w:pPr>
          </w:p>
        </w:tc>
      </w:tr>
      <w:tr w:rsidR="00CE19EA" w:rsidRPr="00E212A1" w14:paraId="57708D0B" w14:textId="77777777" w:rsidTr="006D2CF3">
        <w:trPr>
          <w:cantSplit/>
          <w:trHeight w:val="255"/>
          <w:jc w:val="center"/>
        </w:trPr>
        <w:tc>
          <w:tcPr>
            <w:tcW w:w="1276" w:type="dxa"/>
            <w:shd w:val="clear" w:color="auto" w:fill="auto"/>
          </w:tcPr>
          <w:p w14:paraId="638B99C1" w14:textId="77777777" w:rsidR="00CE19EA" w:rsidRPr="00E212A1" w:rsidRDefault="00CE19EA" w:rsidP="00CE19EA">
            <w:pPr>
              <w:pStyle w:val="Tabletext"/>
              <w:jc w:val="center"/>
            </w:pPr>
            <w:r w:rsidRPr="00E212A1">
              <w:t>2024</w:t>
            </w:r>
          </w:p>
        </w:tc>
        <w:tc>
          <w:tcPr>
            <w:tcW w:w="1838" w:type="dxa"/>
            <w:shd w:val="clear" w:color="auto" w:fill="auto"/>
            <w:noWrap/>
          </w:tcPr>
          <w:p w14:paraId="7D967A0B" w14:textId="77777777" w:rsidR="00CE19EA" w:rsidRPr="00E212A1" w:rsidRDefault="00CE19EA" w:rsidP="00CE19EA">
            <w:pPr>
              <w:pStyle w:val="Tabletext"/>
            </w:pPr>
            <w:r w:rsidRPr="00E212A1">
              <w:t>900,00</w:t>
            </w:r>
          </w:p>
        </w:tc>
        <w:tc>
          <w:tcPr>
            <w:tcW w:w="850" w:type="dxa"/>
            <w:shd w:val="clear" w:color="auto" w:fill="auto"/>
            <w:noWrap/>
          </w:tcPr>
          <w:p w14:paraId="10D4FEA5" w14:textId="77777777" w:rsidR="00CE19EA" w:rsidRPr="00E212A1" w:rsidRDefault="00CE19EA" w:rsidP="00CE19EA">
            <w:pPr>
              <w:pStyle w:val="Tabletext"/>
              <w:jc w:val="center"/>
            </w:pPr>
            <w:r w:rsidRPr="00E212A1">
              <w:t>CHF</w:t>
            </w:r>
          </w:p>
        </w:tc>
        <w:tc>
          <w:tcPr>
            <w:tcW w:w="1276" w:type="dxa"/>
            <w:shd w:val="clear" w:color="auto" w:fill="auto"/>
          </w:tcPr>
          <w:p w14:paraId="5639C327" w14:textId="77777777" w:rsidR="00CE19EA" w:rsidRPr="00E212A1" w:rsidRDefault="00CE19EA" w:rsidP="00CE19EA">
            <w:pPr>
              <w:pStyle w:val="Tabletext"/>
              <w:jc w:val="center"/>
            </w:pPr>
            <w:r w:rsidRPr="00E212A1">
              <w:t>9</w:t>
            </w:r>
          </w:p>
        </w:tc>
        <w:tc>
          <w:tcPr>
            <w:tcW w:w="3544" w:type="dxa"/>
            <w:shd w:val="clear" w:color="auto" w:fill="auto"/>
            <w:noWrap/>
          </w:tcPr>
          <w:p w14:paraId="01008663" w14:textId="77777777" w:rsidR="00CE19EA" w:rsidRPr="00E212A1" w:rsidRDefault="00CE19EA" w:rsidP="00CE19EA">
            <w:pPr>
              <w:pStyle w:val="Tabletext"/>
            </w:pPr>
            <w:r w:rsidRPr="00E212A1">
              <w:t>Beltelecom</w:t>
            </w:r>
          </w:p>
        </w:tc>
        <w:tc>
          <w:tcPr>
            <w:tcW w:w="1843" w:type="dxa"/>
            <w:shd w:val="clear" w:color="auto" w:fill="auto"/>
            <w:noWrap/>
          </w:tcPr>
          <w:p w14:paraId="0C3047EE" w14:textId="77777777" w:rsidR="00CE19EA" w:rsidRPr="00E212A1" w:rsidRDefault="00CE19EA" w:rsidP="00CE19EA">
            <w:pPr>
              <w:pStyle w:val="Tabletext"/>
            </w:pPr>
            <w:r w:rsidRPr="00E212A1">
              <w:t>Bélarus</w:t>
            </w:r>
          </w:p>
        </w:tc>
        <w:tc>
          <w:tcPr>
            <w:tcW w:w="2126" w:type="dxa"/>
            <w:shd w:val="clear" w:color="auto" w:fill="auto"/>
          </w:tcPr>
          <w:p w14:paraId="33441F46" w14:textId="77777777" w:rsidR="00CE19EA" w:rsidRPr="00E212A1" w:rsidRDefault="00CE19EA" w:rsidP="00CE19EA">
            <w:pPr>
              <w:pStyle w:val="Tabletext"/>
            </w:pPr>
          </w:p>
        </w:tc>
      </w:tr>
      <w:tr w:rsidR="00CE19EA" w:rsidRPr="00E212A1" w14:paraId="4FB29C51" w14:textId="77777777" w:rsidTr="006D2CF3">
        <w:trPr>
          <w:cantSplit/>
          <w:trHeight w:val="255"/>
          <w:jc w:val="center"/>
        </w:trPr>
        <w:tc>
          <w:tcPr>
            <w:tcW w:w="1276" w:type="dxa"/>
            <w:shd w:val="clear" w:color="auto" w:fill="auto"/>
          </w:tcPr>
          <w:p w14:paraId="13DFC191" w14:textId="77777777" w:rsidR="00CE19EA" w:rsidRPr="00E212A1" w:rsidRDefault="00CE19EA" w:rsidP="00CE19EA">
            <w:pPr>
              <w:pStyle w:val="Tabletext"/>
              <w:jc w:val="center"/>
            </w:pPr>
            <w:r w:rsidRPr="00E212A1">
              <w:t>2024</w:t>
            </w:r>
          </w:p>
        </w:tc>
        <w:tc>
          <w:tcPr>
            <w:tcW w:w="1838" w:type="dxa"/>
            <w:shd w:val="clear" w:color="auto" w:fill="auto"/>
            <w:noWrap/>
          </w:tcPr>
          <w:p w14:paraId="0A119C50" w14:textId="77777777" w:rsidR="00CE19EA" w:rsidRPr="00E212A1" w:rsidRDefault="00CE19EA" w:rsidP="00CE19EA">
            <w:pPr>
              <w:pStyle w:val="Tabletext"/>
            </w:pPr>
            <w:r w:rsidRPr="00E212A1">
              <w:t>600,00</w:t>
            </w:r>
          </w:p>
        </w:tc>
        <w:tc>
          <w:tcPr>
            <w:tcW w:w="850" w:type="dxa"/>
            <w:shd w:val="clear" w:color="auto" w:fill="auto"/>
            <w:noWrap/>
          </w:tcPr>
          <w:p w14:paraId="60A66B39" w14:textId="77777777" w:rsidR="00CE19EA" w:rsidRPr="00E212A1" w:rsidRDefault="00CE19EA" w:rsidP="00CE19EA">
            <w:pPr>
              <w:pStyle w:val="Tabletext"/>
              <w:jc w:val="center"/>
            </w:pPr>
            <w:r w:rsidRPr="00E212A1">
              <w:t>CHF</w:t>
            </w:r>
          </w:p>
        </w:tc>
        <w:tc>
          <w:tcPr>
            <w:tcW w:w="1276" w:type="dxa"/>
            <w:shd w:val="clear" w:color="auto" w:fill="auto"/>
          </w:tcPr>
          <w:p w14:paraId="6B6C5274" w14:textId="77777777" w:rsidR="00CE19EA" w:rsidRPr="00E212A1" w:rsidRDefault="00CE19EA" w:rsidP="00CE19EA">
            <w:pPr>
              <w:pStyle w:val="Tabletext"/>
              <w:jc w:val="center"/>
            </w:pPr>
            <w:r w:rsidRPr="00E212A1">
              <w:t>6</w:t>
            </w:r>
          </w:p>
        </w:tc>
        <w:tc>
          <w:tcPr>
            <w:tcW w:w="3544" w:type="dxa"/>
            <w:shd w:val="clear" w:color="auto" w:fill="auto"/>
            <w:noWrap/>
          </w:tcPr>
          <w:p w14:paraId="35A429CC" w14:textId="51DA0B8B" w:rsidR="00CE19EA" w:rsidRPr="00E212A1" w:rsidRDefault="00CE19EA" w:rsidP="00CE19EA">
            <w:pPr>
              <w:pStyle w:val="Tabletext"/>
            </w:pPr>
            <w:r w:rsidRPr="00E212A1">
              <w:t>Hellenic Telecommunications Org.</w:t>
            </w:r>
            <w:r w:rsidR="00D162AD" w:rsidRPr="00E212A1">
              <w:t> </w:t>
            </w:r>
            <w:r w:rsidRPr="00E212A1">
              <w:t>S.A.</w:t>
            </w:r>
          </w:p>
        </w:tc>
        <w:tc>
          <w:tcPr>
            <w:tcW w:w="1843" w:type="dxa"/>
            <w:shd w:val="clear" w:color="auto" w:fill="auto"/>
            <w:noWrap/>
          </w:tcPr>
          <w:p w14:paraId="75E4421C" w14:textId="77777777" w:rsidR="00CE19EA" w:rsidRPr="00E212A1" w:rsidRDefault="00CE19EA" w:rsidP="00CE19EA">
            <w:pPr>
              <w:pStyle w:val="Tabletext"/>
            </w:pPr>
            <w:r w:rsidRPr="00E212A1">
              <w:t>Grèce</w:t>
            </w:r>
          </w:p>
        </w:tc>
        <w:tc>
          <w:tcPr>
            <w:tcW w:w="2126" w:type="dxa"/>
            <w:shd w:val="clear" w:color="auto" w:fill="auto"/>
          </w:tcPr>
          <w:p w14:paraId="50C9258E" w14:textId="77777777" w:rsidR="00CE19EA" w:rsidRPr="00E212A1" w:rsidRDefault="00CE19EA" w:rsidP="00CE19EA">
            <w:pPr>
              <w:pStyle w:val="Tabletext"/>
            </w:pPr>
          </w:p>
        </w:tc>
      </w:tr>
      <w:tr w:rsidR="00CE19EA" w:rsidRPr="00E212A1" w14:paraId="63B05049" w14:textId="77777777" w:rsidTr="006D2CF3">
        <w:trPr>
          <w:cantSplit/>
          <w:trHeight w:val="255"/>
          <w:jc w:val="center"/>
        </w:trPr>
        <w:tc>
          <w:tcPr>
            <w:tcW w:w="1276" w:type="dxa"/>
            <w:shd w:val="clear" w:color="auto" w:fill="auto"/>
          </w:tcPr>
          <w:p w14:paraId="1223A034" w14:textId="77777777" w:rsidR="00CE19EA" w:rsidRPr="00E212A1" w:rsidRDefault="00CE19EA" w:rsidP="00CE19EA">
            <w:pPr>
              <w:pStyle w:val="Tabletext"/>
              <w:jc w:val="center"/>
            </w:pPr>
            <w:r w:rsidRPr="00E212A1">
              <w:t>2024</w:t>
            </w:r>
          </w:p>
        </w:tc>
        <w:tc>
          <w:tcPr>
            <w:tcW w:w="1838" w:type="dxa"/>
            <w:shd w:val="clear" w:color="auto" w:fill="auto"/>
            <w:noWrap/>
          </w:tcPr>
          <w:p w14:paraId="7BC59705" w14:textId="77777777" w:rsidR="00CE19EA" w:rsidRPr="00E212A1" w:rsidRDefault="00CE19EA" w:rsidP="00CE19EA">
            <w:pPr>
              <w:pStyle w:val="Tabletext"/>
            </w:pPr>
            <w:r w:rsidRPr="00E212A1">
              <w:t>300,00</w:t>
            </w:r>
          </w:p>
        </w:tc>
        <w:tc>
          <w:tcPr>
            <w:tcW w:w="850" w:type="dxa"/>
            <w:shd w:val="clear" w:color="auto" w:fill="auto"/>
            <w:noWrap/>
          </w:tcPr>
          <w:p w14:paraId="663F9A7E" w14:textId="77777777" w:rsidR="00CE19EA" w:rsidRPr="00E212A1" w:rsidRDefault="00CE19EA" w:rsidP="00CE19EA">
            <w:pPr>
              <w:pStyle w:val="Tabletext"/>
              <w:jc w:val="center"/>
            </w:pPr>
            <w:r w:rsidRPr="00E212A1">
              <w:t>CHF</w:t>
            </w:r>
          </w:p>
        </w:tc>
        <w:tc>
          <w:tcPr>
            <w:tcW w:w="1276" w:type="dxa"/>
            <w:shd w:val="clear" w:color="auto" w:fill="auto"/>
          </w:tcPr>
          <w:p w14:paraId="3116C165" w14:textId="77777777" w:rsidR="00CE19EA" w:rsidRPr="00E212A1" w:rsidRDefault="00CE19EA" w:rsidP="00CE19EA">
            <w:pPr>
              <w:pStyle w:val="Tabletext"/>
              <w:jc w:val="center"/>
            </w:pPr>
            <w:r w:rsidRPr="00E212A1">
              <w:t>3</w:t>
            </w:r>
          </w:p>
        </w:tc>
        <w:tc>
          <w:tcPr>
            <w:tcW w:w="3544" w:type="dxa"/>
            <w:shd w:val="clear" w:color="auto" w:fill="auto"/>
            <w:noWrap/>
          </w:tcPr>
          <w:p w14:paraId="51060F90" w14:textId="77777777" w:rsidR="00CE19EA" w:rsidRPr="00E212A1" w:rsidRDefault="00CE19EA" w:rsidP="00CE19EA">
            <w:pPr>
              <w:pStyle w:val="Tabletext"/>
            </w:pPr>
            <w:r w:rsidRPr="00E212A1">
              <w:t>Mass Response Service GmbH</w:t>
            </w:r>
          </w:p>
        </w:tc>
        <w:tc>
          <w:tcPr>
            <w:tcW w:w="1843" w:type="dxa"/>
            <w:shd w:val="clear" w:color="auto" w:fill="auto"/>
            <w:noWrap/>
          </w:tcPr>
          <w:p w14:paraId="708FF947" w14:textId="77777777" w:rsidR="00CE19EA" w:rsidRPr="00E212A1" w:rsidRDefault="00CE19EA" w:rsidP="00CE19EA">
            <w:pPr>
              <w:pStyle w:val="Tabletext"/>
            </w:pPr>
            <w:r w:rsidRPr="00E212A1">
              <w:t>Autriche</w:t>
            </w:r>
          </w:p>
        </w:tc>
        <w:tc>
          <w:tcPr>
            <w:tcW w:w="2126" w:type="dxa"/>
            <w:shd w:val="clear" w:color="auto" w:fill="auto"/>
          </w:tcPr>
          <w:p w14:paraId="5E5AFD32" w14:textId="77777777" w:rsidR="00CE19EA" w:rsidRPr="00E212A1" w:rsidRDefault="00CE19EA" w:rsidP="00CE19EA">
            <w:pPr>
              <w:pStyle w:val="Tabletext"/>
            </w:pPr>
          </w:p>
        </w:tc>
      </w:tr>
      <w:tr w:rsidR="00CE19EA" w:rsidRPr="00E212A1" w14:paraId="2FC9499C" w14:textId="77777777" w:rsidTr="006D2CF3">
        <w:trPr>
          <w:cantSplit/>
          <w:trHeight w:val="255"/>
          <w:jc w:val="center"/>
        </w:trPr>
        <w:tc>
          <w:tcPr>
            <w:tcW w:w="1276" w:type="dxa"/>
            <w:shd w:val="clear" w:color="auto" w:fill="auto"/>
          </w:tcPr>
          <w:p w14:paraId="7E04FAA6" w14:textId="77777777" w:rsidR="00CE19EA" w:rsidRPr="00E212A1" w:rsidRDefault="00CE19EA" w:rsidP="00CE19EA">
            <w:pPr>
              <w:pStyle w:val="Tabletext"/>
              <w:jc w:val="center"/>
            </w:pPr>
            <w:r w:rsidRPr="00E212A1">
              <w:t>2024</w:t>
            </w:r>
          </w:p>
        </w:tc>
        <w:tc>
          <w:tcPr>
            <w:tcW w:w="1838" w:type="dxa"/>
            <w:shd w:val="clear" w:color="auto" w:fill="auto"/>
            <w:noWrap/>
          </w:tcPr>
          <w:p w14:paraId="2010B55B" w14:textId="77777777" w:rsidR="00CE19EA" w:rsidRPr="00E212A1" w:rsidRDefault="00CE19EA" w:rsidP="00CE19EA">
            <w:pPr>
              <w:pStyle w:val="Tabletext"/>
            </w:pPr>
            <w:r w:rsidRPr="00E212A1">
              <w:t>4 500,00</w:t>
            </w:r>
          </w:p>
        </w:tc>
        <w:tc>
          <w:tcPr>
            <w:tcW w:w="850" w:type="dxa"/>
            <w:shd w:val="clear" w:color="auto" w:fill="auto"/>
            <w:noWrap/>
          </w:tcPr>
          <w:p w14:paraId="3C0A320F" w14:textId="77777777" w:rsidR="00CE19EA" w:rsidRPr="00E212A1" w:rsidRDefault="00CE19EA" w:rsidP="00CE19EA">
            <w:pPr>
              <w:pStyle w:val="Tabletext"/>
              <w:jc w:val="center"/>
            </w:pPr>
            <w:r w:rsidRPr="00E212A1">
              <w:t>CHF</w:t>
            </w:r>
          </w:p>
        </w:tc>
        <w:tc>
          <w:tcPr>
            <w:tcW w:w="1276" w:type="dxa"/>
            <w:shd w:val="clear" w:color="auto" w:fill="auto"/>
          </w:tcPr>
          <w:p w14:paraId="6E2F46A8" w14:textId="77777777" w:rsidR="00CE19EA" w:rsidRPr="00E212A1" w:rsidRDefault="00CE19EA" w:rsidP="00CE19EA">
            <w:pPr>
              <w:pStyle w:val="Tabletext"/>
              <w:jc w:val="center"/>
            </w:pPr>
            <w:r w:rsidRPr="00E212A1">
              <w:t>45</w:t>
            </w:r>
          </w:p>
        </w:tc>
        <w:tc>
          <w:tcPr>
            <w:tcW w:w="3544" w:type="dxa"/>
            <w:shd w:val="clear" w:color="auto" w:fill="auto"/>
            <w:noWrap/>
          </w:tcPr>
          <w:p w14:paraId="26B699BD" w14:textId="77777777" w:rsidR="00CE19EA" w:rsidRPr="00E212A1" w:rsidRDefault="00CE19EA" w:rsidP="00CE19EA">
            <w:pPr>
              <w:pStyle w:val="Tabletext"/>
            </w:pPr>
            <w:r w:rsidRPr="00E212A1">
              <w:t>MessageBird B.V.</w:t>
            </w:r>
          </w:p>
        </w:tc>
        <w:tc>
          <w:tcPr>
            <w:tcW w:w="1843" w:type="dxa"/>
            <w:shd w:val="clear" w:color="auto" w:fill="auto"/>
            <w:noWrap/>
          </w:tcPr>
          <w:p w14:paraId="4634A121" w14:textId="77777777" w:rsidR="00CE19EA" w:rsidRPr="00E212A1" w:rsidRDefault="00CE19EA" w:rsidP="00CE19EA">
            <w:pPr>
              <w:pStyle w:val="Tabletext"/>
            </w:pPr>
            <w:r w:rsidRPr="00E212A1">
              <w:t>Pays-Bas</w:t>
            </w:r>
          </w:p>
        </w:tc>
        <w:tc>
          <w:tcPr>
            <w:tcW w:w="2126" w:type="dxa"/>
            <w:shd w:val="clear" w:color="auto" w:fill="auto"/>
          </w:tcPr>
          <w:p w14:paraId="6C16550A" w14:textId="77777777" w:rsidR="00CE19EA" w:rsidRPr="00E212A1" w:rsidRDefault="00CE19EA" w:rsidP="00CE19EA">
            <w:pPr>
              <w:pStyle w:val="Tabletext"/>
            </w:pPr>
          </w:p>
        </w:tc>
      </w:tr>
      <w:tr w:rsidR="00CE19EA" w:rsidRPr="00E212A1" w14:paraId="4AFD885C" w14:textId="77777777" w:rsidTr="006D2CF3">
        <w:trPr>
          <w:cantSplit/>
          <w:trHeight w:val="255"/>
          <w:jc w:val="center"/>
        </w:trPr>
        <w:tc>
          <w:tcPr>
            <w:tcW w:w="1276" w:type="dxa"/>
            <w:shd w:val="clear" w:color="auto" w:fill="auto"/>
          </w:tcPr>
          <w:p w14:paraId="5819AB94" w14:textId="77777777" w:rsidR="00CE19EA" w:rsidRPr="00E212A1" w:rsidRDefault="00CE19EA" w:rsidP="00CE19EA">
            <w:pPr>
              <w:pStyle w:val="Tabletext"/>
              <w:jc w:val="center"/>
            </w:pPr>
            <w:r w:rsidRPr="00E212A1">
              <w:t>2024</w:t>
            </w:r>
          </w:p>
        </w:tc>
        <w:tc>
          <w:tcPr>
            <w:tcW w:w="1838" w:type="dxa"/>
            <w:shd w:val="clear" w:color="auto" w:fill="auto"/>
            <w:noWrap/>
          </w:tcPr>
          <w:p w14:paraId="6BD838A9" w14:textId="77777777" w:rsidR="00CE19EA" w:rsidRPr="00E212A1" w:rsidRDefault="00CE19EA" w:rsidP="00CE19EA">
            <w:pPr>
              <w:pStyle w:val="Tabletext"/>
            </w:pPr>
            <w:r w:rsidRPr="00E212A1">
              <w:t>200,00</w:t>
            </w:r>
          </w:p>
        </w:tc>
        <w:tc>
          <w:tcPr>
            <w:tcW w:w="850" w:type="dxa"/>
            <w:shd w:val="clear" w:color="auto" w:fill="auto"/>
            <w:noWrap/>
          </w:tcPr>
          <w:p w14:paraId="61029AD0" w14:textId="77777777" w:rsidR="00CE19EA" w:rsidRPr="00E212A1" w:rsidRDefault="00CE19EA" w:rsidP="00CE19EA">
            <w:pPr>
              <w:pStyle w:val="Tabletext"/>
              <w:jc w:val="center"/>
            </w:pPr>
            <w:r w:rsidRPr="00E212A1">
              <w:t>CHF</w:t>
            </w:r>
          </w:p>
        </w:tc>
        <w:tc>
          <w:tcPr>
            <w:tcW w:w="1276" w:type="dxa"/>
            <w:shd w:val="clear" w:color="auto" w:fill="auto"/>
          </w:tcPr>
          <w:p w14:paraId="3BF9FB4C" w14:textId="77777777" w:rsidR="00CE19EA" w:rsidRPr="00E212A1" w:rsidRDefault="00CE19EA" w:rsidP="00CE19EA">
            <w:pPr>
              <w:pStyle w:val="Tabletext"/>
              <w:jc w:val="center"/>
            </w:pPr>
            <w:r w:rsidRPr="00E212A1">
              <w:t>2</w:t>
            </w:r>
          </w:p>
        </w:tc>
        <w:tc>
          <w:tcPr>
            <w:tcW w:w="3544" w:type="dxa"/>
            <w:shd w:val="clear" w:color="auto" w:fill="auto"/>
            <w:noWrap/>
          </w:tcPr>
          <w:p w14:paraId="002A755E" w14:textId="77777777" w:rsidR="00CE19EA" w:rsidRPr="00E212A1" w:rsidRDefault="00CE19EA" w:rsidP="00CE19EA">
            <w:pPr>
              <w:pStyle w:val="Tabletext"/>
            </w:pPr>
            <w:r w:rsidRPr="00E212A1">
              <w:t>EMTEX GmbH</w:t>
            </w:r>
          </w:p>
        </w:tc>
        <w:tc>
          <w:tcPr>
            <w:tcW w:w="1843" w:type="dxa"/>
            <w:shd w:val="clear" w:color="auto" w:fill="auto"/>
            <w:noWrap/>
          </w:tcPr>
          <w:p w14:paraId="77E55A0E" w14:textId="77777777" w:rsidR="00CE19EA" w:rsidRPr="00E212A1" w:rsidRDefault="00CE19EA" w:rsidP="00CE19EA">
            <w:pPr>
              <w:pStyle w:val="Tabletext"/>
            </w:pPr>
            <w:r w:rsidRPr="00E212A1">
              <w:t>Allemagne</w:t>
            </w:r>
          </w:p>
        </w:tc>
        <w:tc>
          <w:tcPr>
            <w:tcW w:w="2126" w:type="dxa"/>
            <w:shd w:val="clear" w:color="auto" w:fill="auto"/>
          </w:tcPr>
          <w:p w14:paraId="34BCD328" w14:textId="77777777" w:rsidR="00CE19EA" w:rsidRPr="00E212A1" w:rsidRDefault="00CE19EA" w:rsidP="00CE19EA">
            <w:pPr>
              <w:pStyle w:val="Tabletext"/>
            </w:pPr>
          </w:p>
        </w:tc>
      </w:tr>
      <w:tr w:rsidR="00CE19EA" w:rsidRPr="00E212A1" w14:paraId="7E89D955" w14:textId="77777777" w:rsidTr="006D2CF3">
        <w:trPr>
          <w:cantSplit/>
          <w:trHeight w:val="255"/>
          <w:jc w:val="center"/>
        </w:trPr>
        <w:tc>
          <w:tcPr>
            <w:tcW w:w="1276" w:type="dxa"/>
            <w:shd w:val="clear" w:color="auto" w:fill="auto"/>
          </w:tcPr>
          <w:p w14:paraId="7B6521A9" w14:textId="77777777" w:rsidR="00CE19EA" w:rsidRPr="00E212A1" w:rsidRDefault="00CE19EA" w:rsidP="00CE19EA">
            <w:pPr>
              <w:pStyle w:val="Tabletext"/>
              <w:jc w:val="center"/>
            </w:pPr>
            <w:r w:rsidRPr="00E212A1">
              <w:t>2024</w:t>
            </w:r>
          </w:p>
        </w:tc>
        <w:tc>
          <w:tcPr>
            <w:tcW w:w="1838" w:type="dxa"/>
            <w:shd w:val="clear" w:color="auto" w:fill="auto"/>
            <w:noWrap/>
          </w:tcPr>
          <w:p w14:paraId="71C95457" w14:textId="77777777" w:rsidR="00CE19EA" w:rsidRPr="00E212A1" w:rsidRDefault="00CE19EA" w:rsidP="00CE19EA">
            <w:pPr>
              <w:pStyle w:val="Tabletext"/>
            </w:pPr>
            <w:r w:rsidRPr="00E212A1">
              <w:t>2 100,00</w:t>
            </w:r>
          </w:p>
        </w:tc>
        <w:tc>
          <w:tcPr>
            <w:tcW w:w="850" w:type="dxa"/>
            <w:shd w:val="clear" w:color="auto" w:fill="auto"/>
            <w:noWrap/>
          </w:tcPr>
          <w:p w14:paraId="53B588DD" w14:textId="77777777" w:rsidR="00CE19EA" w:rsidRPr="00E212A1" w:rsidRDefault="00CE19EA" w:rsidP="00CE19EA">
            <w:pPr>
              <w:pStyle w:val="Tabletext"/>
              <w:jc w:val="center"/>
            </w:pPr>
            <w:r w:rsidRPr="00E212A1">
              <w:t>CHF</w:t>
            </w:r>
          </w:p>
        </w:tc>
        <w:tc>
          <w:tcPr>
            <w:tcW w:w="1276" w:type="dxa"/>
            <w:shd w:val="clear" w:color="auto" w:fill="auto"/>
          </w:tcPr>
          <w:p w14:paraId="7650587A" w14:textId="77777777" w:rsidR="00CE19EA" w:rsidRPr="00E212A1" w:rsidRDefault="00CE19EA" w:rsidP="00CE19EA">
            <w:pPr>
              <w:pStyle w:val="Tabletext"/>
              <w:jc w:val="center"/>
            </w:pPr>
            <w:r w:rsidRPr="00E212A1">
              <w:t>21</w:t>
            </w:r>
          </w:p>
        </w:tc>
        <w:tc>
          <w:tcPr>
            <w:tcW w:w="3544" w:type="dxa"/>
            <w:shd w:val="clear" w:color="auto" w:fill="auto"/>
            <w:noWrap/>
          </w:tcPr>
          <w:p w14:paraId="035F4A7E" w14:textId="77777777" w:rsidR="00CE19EA" w:rsidRPr="00E212A1" w:rsidRDefault="00CE19EA" w:rsidP="00CE19EA">
            <w:pPr>
              <w:pStyle w:val="Tabletext"/>
            </w:pPr>
            <w:r w:rsidRPr="00E212A1">
              <w:t>Telia Norge AS</w:t>
            </w:r>
          </w:p>
        </w:tc>
        <w:tc>
          <w:tcPr>
            <w:tcW w:w="1843" w:type="dxa"/>
            <w:shd w:val="clear" w:color="auto" w:fill="auto"/>
            <w:noWrap/>
          </w:tcPr>
          <w:p w14:paraId="79B97526" w14:textId="77777777" w:rsidR="00CE19EA" w:rsidRPr="00E212A1" w:rsidRDefault="00CE19EA" w:rsidP="00CE19EA">
            <w:pPr>
              <w:pStyle w:val="Tabletext"/>
            </w:pPr>
            <w:r w:rsidRPr="00E212A1">
              <w:t>Norvège</w:t>
            </w:r>
          </w:p>
        </w:tc>
        <w:tc>
          <w:tcPr>
            <w:tcW w:w="2126" w:type="dxa"/>
            <w:shd w:val="clear" w:color="auto" w:fill="auto"/>
          </w:tcPr>
          <w:p w14:paraId="5AD0278B" w14:textId="77777777" w:rsidR="00CE19EA" w:rsidRPr="00E212A1" w:rsidRDefault="00CE19EA" w:rsidP="00CE19EA">
            <w:pPr>
              <w:pStyle w:val="Tabletext"/>
            </w:pPr>
          </w:p>
        </w:tc>
      </w:tr>
      <w:tr w:rsidR="00CE19EA" w:rsidRPr="00E212A1" w14:paraId="412C83D2" w14:textId="77777777" w:rsidTr="006D2CF3">
        <w:trPr>
          <w:cantSplit/>
          <w:trHeight w:val="255"/>
          <w:jc w:val="center"/>
        </w:trPr>
        <w:tc>
          <w:tcPr>
            <w:tcW w:w="1276" w:type="dxa"/>
            <w:shd w:val="clear" w:color="auto" w:fill="auto"/>
          </w:tcPr>
          <w:p w14:paraId="096389EB" w14:textId="77777777" w:rsidR="00CE19EA" w:rsidRPr="00E212A1" w:rsidRDefault="00CE19EA" w:rsidP="00CE19EA">
            <w:pPr>
              <w:pStyle w:val="Tabletext"/>
              <w:jc w:val="center"/>
            </w:pPr>
            <w:r w:rsidRPr="00E212A1">
              <w:t>2024</w:t>
            </w:r>
          </w:p>
        </w:tc>
        <w:tc>
          <w:tcPr>
            <w:tcW w:w="1838" w:type="dxa"/>
            <w:shd w:val="clear" w:color="auto" w:fill="auto"/>
            <w:noWrap/>
          </w:tcPr>
          <w:p w14:paraId="4AAEAF8C" w14:textId="77777777" w:rsidR="00CE19EA" w:rsidRPr="00E212A1" w:rsidRDefault="00CE19EA" w:rsidP="00CE19EA">
            <w:pPr>
              <w:pStyle w:val="Tabletext"/>
            </w:pPr>
            <w:r w:rsidRPr="00E212A1">
              <w:t>2 300,00</w:t>
            </w:r>
          </w:p>
        </w:tc>
        <w:tc>
          <w:tcPr>
            <w:tcW w:w="850" w:type="dxa"/>
            <w:shd w:val="clear" w:color="auto" w:fill="auto"/>
            <w:noWrap/>
          </w:tcPr>
          <w:p w14:paraId="2A916A06" w14:textId="77777777" w:rsidR="00CE19EA" w:rsidRPr="00E212A1" w:rsidRDefault="00CE19EA" w:rsidP="00CE19EA">
            <w:pPr>
              <w:pStyle w:val="Tabletext"/>
              <w:jc w:val="center"/>
            </w:pPr>
            <w:r w:rsidRPr="00E212A1">
              <w:t>CHF</w:t>
            </w:r>
          </w:p>
        </w:tc>
        <w:tc>
          <w:tcPr>
            <w:tcW w:w="1276" w:type="dxa"/>
            <w:shd w:val="clear" w:color="auto" w:fill="auto"/>
          </w:tcPr>
          <w:p w14:paraId="279D2BB1" w14:textId="77777777" w:rsidR="00CE19EA" w:rsidRPr="00E212A1" w:rsidRDefault="00CE19EA" w:rsidP="00CE19EA">
            <w:pPr>
              <w:pStyle w:val="Tabletext"/>
              <w:jc w:val="center"/>
            </w:pPr>
            <w:r w:rsidRPr="00E212A1">
              <w:t>23</w:t>
            </w:r>
          </w:p>
        </w:tc>
        <w:tc>
          <w:tcPr>
            <w:tcW w:w="3544" w:type="dxa"/>
            <w:shd w:val="clear" w:color="auto" w:fill="auto"/>
            <w:noWrap/>
          </w:tcPr>
          <w:p w14:paraId="53A1F207" w14:textId="77777777" w:rsidR="00CE19EA" w:rsidRPr="00E212A1" w:rsidRDefault="00CE19EA" w:rsidP="00CE19EA">
            <w:pPr>
              <w:pStyle w:val="Tabletext"/>
            </w:pPr>
            <w:r w:rsidRPr="00E212A1">
              <w:t>TeliaSonera Finland Oyj</w:t>
            </w:r>
          </w:p>
        </w:tc>
        <w:tc>
          <w:tcPr>
            <w:tcW w:w="1843" w:type="dxa"/>
            <w:shd w:val="clear" w:color="auto" w:fill="auto"/>
            <w:noWrap/>
          </w:tcPr>
          <w:p w14:paraId="06CED063" w14:textId="77777777" w:rsidR="00CE19EA" w:rsidRPr="00E212A1" w:rsidRDefault="00CE19EA" w:rsidP="00CE19EA">
            <w:pPr>
              <w:pStyle w:val="Tabletext"/>
            </w:pPr>
            <w:r w:rsidRPr="00E212A1">
              <w:t>Finlande</w:t>
            </w:r>
          </w:p>
        </w:tc>
        <w:tc>
          <w:tcPr>
            <w:tcW w:w="2126" w:type="dxa"/>
            <w:shd w:val="clear" w:color="auto" w:fill="auto"/>
          </w:tcPr>
          <w:p w14:paraId="471D1146" w14:textId="77777777" w:rsidR="00CE19EA" w:rsidRPr="00E212A1" w:rsidRDefault="00CE19EA" w:rsidP="00CE19EA">
            <w:pPr>
              <w:pStyle w:val="Tabletext"/>
            </w:pPr>
          </w:p>
        </w:tc>
      </w:tr>
      <w:tr w:rsidR="00CE19EA" w:rsidRPr="00E212A1" w14:paraId="3F73C908" w14:textId="77777777" w:rsidTr="006D2CF3">
        <w:trPr>
          <w:cantSplit/>
          <w:trHeight w:val="255"/>
          <w:jc w:val="center"/>
        </w:trPr>
        <w:tc>
          <w:tcPr>
            <w:tcW w:w="1276" w:type="dxa"/>
            <w:shd w:val="clear" w:color="auto" w:fill="auto"/>
          </w:tcPr>
          <w:p w14:paraId="63C9DD83" w14:textId="77777777" w:rsidR="00CE19EA" w:rsidRPr="00E212A1" w:rsidRDefault="00CE19EA" w:rsidP="00CE19EA">
            <w:pPr>
              <w:pStyle w:val="Tabletext"/>
              <w:jc w:val="center"/>
            </w:pPr>
            <w:r w:rsidRPr="00E212A1">
              <w:t>2024</w:t>
            </w:r>
          </w:p>
        </w:tc>
        <w:tc>
          <w:tcPr>
            <w:tcW w:w="1838" w:type="dxa"/>
            <w:shd w:val="clear" w:color="auto" w:fill="auto"/>
            <w:noWrap/>
          </w:tcPr>
          <w:p w14:paraId="5243DCB4" w14:textId="77777777" w:rsidR="00CE19EA" w:rsidRPr="00E212A1" w:rsidRDefault="00CE19EA" w:rsidP="00CE19EA">
            <w:pPr>
              <w:pStyle w:val="Tabletext"/>
            </w:pPr>
            <w:r w:rsidRPr="00E212A1">
              <w:t>100,00</w:t>
            </w:r>
          </w:p>
        </w:tc>
        <w:tc>
          <w:tcPr>
            <w:tcW w:w="850" w:type="dxa"/>
            <w:shd w:val="clear" w:color="auto" w:fill="auto"/>
            <w:noWrap/>
          </w:tcPr>
          <w:p w14:paraId="1076D7BC" w14:textId="77777777" w:rsidR="00CE19EA" w:rsidRPr="00E212A1" w:rsidRDefault="00CE19EA" w:rsidP="00CE19EA">
            <w:pPr>
              <w:pStyle w:val="Tabletext"/>
              <w:jc w:val="center"/>
            </w:pPr>
            <w:r w:rsidRPr="00E212A1">
              <w:t>CHF</w:t>
            </w:r>
          </w:p>
        </w:tc>
        <w:tc>
          <w:tcPr>
            <w:tcW w:w="1276" w:type="dxa"/>
            <w:shd w:val="clear" w:color="auto" w:fill="auto"/>
          </w:tcPr>
          <w:p w14:paraId="3A3F01D1" w14:textId="77777777" w:rsidR="00CE19EA" w:rsidRPr="00E212A1" w:rsidRDefault="00CE19EA" w:rsidP="00CE19EA">
            <w:pPr>
              <w:pStyle w:val="Tabletext"/>
              <w:jc w:val="center"/>
            </w:pPr>
            <w:r w:rsidRPr="00E212A1">
              <w:t>1</w:t>
            </w:r>
          </w:p>
        </w:tc>
        <w:tc>
          <w:tcPr>
            <w:tcW w:w="3544" w:type="dxa"/>
            <w:shd w:val="clear" w:color="auto" w:fill="auto"/>
            <w:noWrap/>
          </w:tcPr>
          <w:p w14:paraId="1E358373" w14:textId="77777777" w:rsidR="00CE19EA" w:rsidRPr="00E212A1" w:rsidRDefault="00CE19EA" w:rsidP="00CE19EA">
            <w:pPr>
              <w:pStyle w:val="Tabletext"/>
            </w:pPr>
            <w:r w:rsidRPr="00E212A1">
              <w:t>Elisa Eesti AS</w:t>
            </w:r>
          </w:p>
        </w:tc>
        <w:tc>
          <w:tcPr>
            <w:tcW w:w="1843" w:type="dxa"/>
            <w:shd w:val="clear" w:color="auto" w:fill="auto"/>
            <w:noWrap/>
          </w:tcPr>
          <w:p w14:paraId="06008210" w14:textId="77777777" w:rsidR="00CE19EA" w:rsidRPr="00E212A1" w:rsidRDefault="00CE19EA" w:rsidP="00CE19EA">
            <w:pPr>
              <w:pStyle w:val="Tabletext"/>
            </w:pPr>
            <w:r w:rsidRPr="00E212A1">
              <w:t>Estonie</w:t>
            </w:r>
          </w:p>
        </w:tc>
        <w:tc>
          <w:tcPr>
            <w:tcW w:w="2126" w:type="dxa"/>
            <w:shd w:val="clear" w:color="auto" w:fill="auto"/>
          </w:tcPr>
          <w:p w14:paraId="5C8A4487" w14:textId="77777777" w:rsidR="00CE19EA" w:rsidRPr="00E212A1" w:rsidRDefault="00CE19EA" w:rsidP="00CE19EA">
            <w:pPr>
              <w:pStyle w:val="Tabletext"/>
            </w:pPr>
          </w:p>
        </w:tc>
      </w:tr>
    </w:tbl>
    <w:p w14:paraId="58CDF66B" w14:textId="77777777" w:rsidR="006D2CF3" w:rsidRPr="00E212A1" w:rsidRDefault="006D2CF3">
      <w:pPr>
        <w:jc w:val="center"/>
      </w:pPr>
      <w:r w:rsidRPr="00E212A1">
        <w:t>______________</w:t>
      </w:r>
    </w:p>
    <w:sectPr w:rsidR="006D2CF3" w:rsidRPr="00E212A1" w:rsidSect="00874BD8">
      <w:footerReference w:type="default" r:id="rId34"/>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5C7A" w14:textId="77777777" w:rsidR="00F133FD" w:rsidRDefault="00F133FD">
      <w:r>
        <w:separator/>
      </w:r>
    </w:p>
  </w:endnote>
  <w:endnote w:type="continuationSeparator" w:id="0">
    <w:p w14:paraId="4E094D66" w14:textId="77777777" w:rsidR="00F133FD" w:rsidRDefault="00F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3692" w14:textId="45D1D09F" w:rsidR="00732045" w:rsidRDefault="00B873F6">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BC0B1F">
      <w:t>29.04.25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1A71020" w14:textId="77777777" w:rsidTr="00E31DCE">
      <w:trPr>
        <w:jc w:val="center"/>
      </w:trPr>
      <w:tc>
        <w:tcPr>
          <w:tcW w:w="1803" w:type="dxa"/>
          <w:vAlign w:val="center"/>
        </w:tcPr>
        <w:p w14:paraId="2E710A26" w14:textId="497B8E0D" w:rsidR="00A51849" w:rsidRDefault="00BD7D6E" w:rsidP="00A51849">
          <w:pPr>
            <w:pStyle w:val="Header"/>
            <w:jc w:val="left"/>
            <w:rPr>
              <w:noProof/>
            </w:rPr>
          </w:pPr>
          <w:r>
            <w:rPr>
              <w:noProof/>
            </w:rPr>
            <w:t>250</w:t>
          </w:r>
          <w:r w:rsidR="00891D80">
            <w:rPr>
              <w:noProof/>
            </w:rPr>
            <w:t>0904</w:t>
          </w:r>
        </w:p>
      </w:tc>
      <w:tc>
        <w:tcPr>
          <w:tcW w:w="8261" w:type="dxa"/>
        </w:tcPr>
        <w:p w14:paraId="419F26FA" w14:textId="2C2E72A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91D80">
            <w:rPr>
              <w:bCs/>
            </w:rPr>
            <w:t>38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1226428"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690912A" w14:textId="77777777" w:rsidTr="00E31DCE">
      <w:trPr>
        <w:jc w:val="center"/>
      </w:trPr>
      <w:tc>
        <w:tcPr>
          <w:tcW w:w="1803" w:type="dxa"/>
          <w:vAlign w:val="center"/>
        </w:tcPr>
        <w:p w14:paraId="36AAD02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1FF9F56" w14:textId="5E8B5BA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D7D6E">
            <w:rPr>
              <w:bCs/>
            </w:rPr>
            <w:t>38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31DD9D2" w14:textId="77777777" w:rsidR="00732045" w:rsidRPr="00A51849" w:rsidRDefault="00732045" w:rsidP="00FC6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8261"/>
    </w:tblGrid>
    <w:tr w:rsidR="00D162AD" w:rsidRPr="00784011" w14:paraId="28E92B75" w14:textId="77777777" w:rsidTr="00D162AD">
      <w:trPr>
        <w:jc w:val="center"/>
      </w:trPr>
      <w:tc>
        <w:tcPr>
          <w:tcW w:w="5064" w:type="dxa"/>
          <w:vAlign w:val="center"/>
        </w:tcPr>
        <w:p w14:paraId="5DA15392" w14:textId="77777777" w:rsidR="00D162AD" w:rsidRDefault="00D162AD" w:rsidP="00A51849">
          <w:pPr>
            <w:pStyle w:val="Header"/>
            <w:jc w:val="left"/>
            <w:rPr>
              <w:noProof/>
            </w:rPr>
          </w:pPr>
          <w:r>
            <w:rPr>
              <w:noProof/>
            </w:rPr>
            <w:t>2500904</w:t>
          </w:r>
        </w:p>
      </w:tc>
      <w:tc>
        <w:tcPr>
          <w:tcW w:w="8261" w:type="dxa"/>
        </w:tcPr>
        <w:p w14:paraId="110FDEF6" w14:textId="77777777" w:rsidR="00D162AD" w:rsidRPr="00E06FD5" w:rsidRDefault="00D162AD"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38</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1434E1CD" w14:textId="77777777" w:rsidR="00D162AD" w:rsidRPr="00A51849" w:rsidRDefault="00D162AD"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5CA5" w14:textId="77777777" w:rsidR="00F133FD" w:rsidRDefault="00F133FD">
      <w:r>
        <w:t>____________________</w:t>
      </w:r>
    </w:p>
  </w:footnote>
  <w:footnote w:type="continuationSeparator" w:id="0">
    <w:p w14:paraId="39CBEAB0" w14:textId="77777777" w:rsidR="00F133FD" w:rsidRDefault="00F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FAD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2EF24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1F6BFB0" w14:textId="77777777" w:rsidTr="00D37B53">
      <w:trPr>
        <w:trHeight w:val="1104"/>
        <w:jc w:val="center"/>
      </w:trPr>
      <w:tc>
        <w:tcPr>
          <w:tcW w:w="5317" w:type="dxa"/>
          <w:vAlign w:val="center"/>
        </w:tcPr>
        <w:p w14:paraId="6FDB159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C3539FA" wp14:editId="00FE036A">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2D72016" w14:textId="77777777" w:rsidR="00524E8D" w:rsidRDefault="00524E8D" w:rsidP="00A51849">
          <w:pPr>
            <w:pStyle w:val="Header"/>
            <w:jc w:val="right"/>
            <w:rPr>
              <w:rFonts w:ascii="Arial" w:hAnsi="Arial" w:cs="Arial"/>
              <w:b/>
              <w:bCs/>
              <w:color w:val="009CD6"/>
              <w:szCs w:val="18"/>
            </w:rPr>
          </w:pPr>
        </w:p>
      </w:tc>
    </w:tr>
  </w:tbl>
  <w:p w14:paraId="022498A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BD5B9F3" wp14:editId="414B5AD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E9C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F6"/>
    <w:rsid w:val="000165F5"/>
    <w:rsid w:val="00076A2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74EA2"/>
    <w:rsid w:val="002A5D44"/>
    <w:rsid w:val="002C3F32"/>
    <w:rsid w:val="002C4E3D"/>
    <w:rsid w:val="002E0BC4"/>
    <w:rsid w:val="002F1B76"/>
    <w:rsid w:val="00314489"/>
    <w:rsid w:val="00320FEC"/>
    <w:rsid w:val="0033568E"/>
    <w:rsid w:val="00355FF5"/>
    <w:rsid w:val="00361350"/>
    <w:rsid w:val="003656BD"/>
    <w:rsid w:val="00377EB0"/>
    <w:rsid w:val="003C3FAE"/>
    <w:rsid w:val="004038CB"/>
    <w:rsid w:val="0040546F"/>
    <w:rsid w:val="004177BD"/>
    <w:rsid w:val="004233A4"/>
    <w:rsid w:val="0042404A"/>
    <w:rsid w:val="0044618F"/>
    <w:rsid w:val="0046769A"/>
    <w:rsid w:val="00475FB3"/>
    <w:rsid w:val="004C37A9"/>
    <w:rsid w:val="004D1D50"/>
    <w:rsid w:val="004F259E"/>
    <w:rsid w:val="004F7962"/>
    <w:rsid w:val="00511F1D"/>
    <w:rsid w:val="00517763"/>
    <w:rsid w:val="00520F36"/>
    <w:rsid w:val="00524E8D"/>
    <w:rsid w:val="00534E13"/>
    <w:rsid w:val="00540615"/>
    <w:rsid w:val="00540A6D"/>
    <w:rsid w:val="00566679"/>
    <w:rsid w:val="005671CB"/>
    <w:rsid w:val="00571EEA"/>
    <w:rsid w:val="00575417"/>
    <w:rsid w:val="005768E1"/>
    <w:rsid w:val="005B1938"/>
    <w:rsid w:val="005C3890"/>
    <w:rsid w:val="005F7BFE"/>
    <w:rsid w:val="00600017"/>
    <w:rsid w:val="006235CA"/>
    <w:rsid w:val="0062366E"/>
    <w:rsid w:val="006643AB"/>
    <w:rsid w:val="006A11AE"/>
    <w:rsid w:val="006B30EA"/>
    <w:rsid w:val="006D2CF3"/>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74BD8"/>
    <w:rsid w:val="00882919"/>
    <w:rsid w:val="00891D80"/>
    <w:rsid w:val="00897553"/>
    <w:rsid w:val="008A4E87"/>
    <w:rsid w:val="008D76E6"/>
    <w:rsid w:val="0092392D"/>
    <w:rsid w:val="00923BC8"/>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7733C"/>
    <w:rsid w:val="00A82767"/>
    <w:rsid w:val="00AA332F"/>
    <w:rsid w:val="00AA7BBB"/>
    <w:rsid w:val="00AB64A8"/>
    <w:rsid w:val="00AC0266"/>
    <w:rsid w:val="00AC2ABA"/>
    <w:rsid w:val="00AD24EC"/>
    <w:rsid w:val="00B27B00"/>
    <w:rsid w:val="00B309F9"/>
    <w:rsid w:val="00B32B60"/>
    <w:rsid w:val="00B51005"/>
    <w:rsid w:val="00B61619"/>
    <w:rsid w:val="00B873F6"/>
    <w:rsid w:val="00BB4545"/>
    <w:rsid w:val="00BC0B1F"/>
    <w:rsid w:val="00BD5873"/>
    <w:rsid w:val="00BD7D6E"/>
    <w:rsid w:val="00BE463C"/>
    <w:rsid w:val="00BF4B60"/>
    <w:rsid w:val="00C049D7"/>
    <w:rsid w:val="00C04BE3"/>
    <w:rsid w:val="00C25D29"/>
    <w:rsid w:val="00C27A7C"/>
    <w:rsid w:val="00C42437"/>
    <w:rsid w:val="00CA08ED"/>
    <w:rsid w:val="00CC6EAA"/>
    <w:rsid w:val="00CE19EA"/>
    <w:rsid w:val="00CF183B"/>
    <w:rsid w:val="00D162AD"/>
    <w:rsid w:val="00D32983"/>
    <w:rsid w:val="00D375CD"/>
    <w:rsid w:val="00D37B53"/>
    <w:rsid w:val="00D553A2"/>
    <w:rsid w:val="00D7230B"/>
    <w:rsid w:val="00D72F49"/>
    <w:rsid w:val="00D774D3"/>
    <w:rsid w:val="00D904E8"/>
    <w:rsid w:val="00DA08C3"/>
    <w:rsid w:val="00DB5A3E"/>
    <w:rsid w:val="00DC22AA"/>
    <w:rsid w:val="00DD1A99"/>
    <w:rsid w:val="00DE6E6B"/>
    <w:rsid w:val="00DF74DD"/>
    <w:rsid w:val="00E212A1"/>
    <w:rsid w:val="00E25AD0"/>
    <w:rsid w:val="00E4428F"/>
    <w:rsid w:val="00E47427"/>
    <w:rsid w:val="00E93668"/>
    <w:rsid w:val="00E95647"/>
    <w:rsid w:val="00EB6350"/>
    <w:rsid w:val="00EC6EC3"/>
    <w:rsid w:val="00F133FD"/>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8858E"/>
  <w15:docId w15:val="{9E2DE1D2-604B-4FAE-B082-1F6C3326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47/fr" TargetMode="External"/><Relationship Id="rId18" Type="http://schemas.openxmlformats.org/officeDocument/2006/relationships/hyperlink" Target="https://www.itu.int/md/S21-CWGFHR14-C-0007/fr" TargetMode="External"/><Relationship Id="rId26" Type="http://schemas.openxmlformats.org/officeDocument/2006/relationships/hyperlink" Target="https://www.itu.int/md/S24-CL-C-0038/fr" TargetMode="External"/><Relationship Id="rId3" Type="http://schemas.openxmlformats.org/officeDocument/2006/relationships/settings" Target="settings.xml"/><Relationship Id="rId21" Type="http://schemas.openxmlformats.org/officeDocument/2006/relationships/hyperlink" Target="https://www.itu.int/md/S24-CWGFHR17-C-0008/fr" TargetMode="External"/><Relationship Id="rId34" Type="http://schemas.openxmlformats.org/officeDocument/2006/relationships/footer" Target="footer4.xml"/><Relationship Id="rId7" Type="http://schemas.openxmlformats.org/officeDocument/2006/relationships/hyperlink" Target="https://www.itu.int/md/S24-CL-C-0038/fr" TargetMode="External"/><Relationship Id="rId12" Type="http://schemas.openxmlformats.org/officeDocument/2006/relationships/hyperlink" Target="https://www.itu.int/md/S19-CLCWGFHR09-C-0015/fr" TargetMode="External"/><Relationship Id="rId17" Type="http://schemas.openxmlformats.org/officeDocument/2006/relationships/hyperlink" Target="https://www.itu.int/md/S21-CWGFHR14-C-0006/fr" TargetMode="External"/><Relationship Id="rId25" Type="http://schemas.openxmlformats.org/officeDocument/2006/relationships/hyperlink" Target="https://www.itu.int/md/S17-CL-C-0134/fr"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21-CL-C-0047/fr" TargetMode="External"/><Relationship Id="rId20" Type="http://schemas.openxmlformats.org/officeDocument/2006/relationships/hyperlink" Target="https://www.itu.int/md/S22-CL-C-0050/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WGFHR09-C-0014/fr" TargetMode="External"/><Relationship Id="rId24" Type="http://schemas.openxmlformats.org/officeDocument/2006/relationships/hyperlink" Target="https://www.itu.int/md/S17-CL-C-0133/fr"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0-CL-C-0047/fr" TargetMode="External"/><Relationship Id="rId23" Type="http://schemas.openxmlformats.org/officeDocument/2006/relationships/hyperlink" Target="https://www.itu.int/md/S25-CWGFHR20-C-0013/fr" TargetMode="External"/><Relationship Id="rId28" Type="http://schemas.openxmlformats.org/officeDocument/2006/relationships/hyperlink" Target="https://www.itu.int/md/S25-CWGFHR20-C-0013/fr" TargetMode="External"/><Relationship Id="rId36" Type="http://schemas.openxmlformats.org/officeDocument/2006/relationships/theme" Target="theme/theme1.xml"/><Relationship Id="rId10" Type="http://schemas.openxmlformats.org/officeDocument/2006/relationships/hyperlink" Target="https://www.itu.int/md/S18-CL-C-0100/fr" TargetMode="External"/><Relationship Id="rId19" Type="http://schemas.openxmlformats.org/officeDocument/2006/relationships/hyperlink" Target="https://www.itu.int/md/S21-CWGFHR14-C-0012/f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7-CL-C-0134/fr" TargetMode="External"/><Relationship Id="rId14" Type="http://schemas.openxmlformats.org/officeDocument/2006/relationships/hyperlink" Target="https://www.itu.int/md/S19-CL-C-0120/fr" TargetMode="External"/><Relationship Id="rId22" Type="http://schemas.openxmlformats.org/officeDocument/2006/relationships/hyperlink" Target="https://www.itu.int/md/S24-CL-C-0038/fr"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hyperlink" Target="https://www.itu.int/md/S17-CL-C-0133/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F31D-9D48-43DA-AD5D-F85DF64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16</TotalTime>
  <Pages>6</Pages>
  <Words>1161</Words>
  <Characters>6038</Characters>
  <Application>Microsoft Office Word</Application>
  <DocSecurity>0</DocSecurity>
  <Lines>363</Lines>
  <Paragraphs>249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6955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des Décisions 600 et 601 du Conseil (numéros UIFN ET IIN)</dc:title>
  <dc:subject>Conseil 2025 de l'UIT</dc:subject>
  <cp:keywords>C2025, C25, Council-25</cp:keywords>
  <dc:description/>
  <cp:lastPrinted>2000-07-18T08:55:00Z</cp:lastPrinted>
  <dcterms:created xsi:type="dcterms:W3CDTF">2025-04-29T09:02:00Z</dcterms:created>
  <dcterms:modified xsi:type="dcterms:W3CDTF">2025-05-05T15:37:00Z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