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6343F8D5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974E766" w14:textId="7B4492A1" w:rsidR="00FE57F6" w:rsidRPr="00BB6FD8" w:rsidRDefault="00760C5C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760C5C">
              <w:rPr>
                <w:b/>
              </w:rPr>
              <w:t>Punto del orden del día: PL 2</w:t>
            </w:r>
          </w:p>
        </w:tc>
        <w:tc>
          <w:tcPr>
            <w:tcW w:w="5245" w:type="dxa"/>
          </w:tcPr>
          <w:p w14:paraId="54DDFD1C" w14:textId="40542BF3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</w:t>
            </w:r>
            <w:r w:rsidR="00760C5C">
              <w:rPr>
                <w:b/>
              </w:rPr>
              <w:t>36</w:t>
            </w:r>
            <w:r w:rsidRPr="00BB6FD8">
              <w:rPr>
                <w:b/>
              </w:rPr>
              <w:t>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1B985701" w14:textId="77777777" w:rsidTr="00C538FC">
        <w:trPr>
          <w:cantSplit/>
        </w:trPr>
        <w:tc>
          <w:tcPr>
            <w:tcW w:w="3969" w:type="dxa"/>
            <w:vMerge/>
          </w:tcPr>
          <w:p w14:paraId="41ADDF2B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6573BA7" w14:textId="540673A8" w:rsidR="00FE57F6" w:rsidRPr="00666D09" w:rsidRDefault="00381512" w:rsidP="00C538FC">
            <w:pPr>
              <w:tabs>
                <w:tab w:val="left" w:pos="851"/>
              </w:tabs>
              <w:spacing w:before="0"/>
              <w:jc w:val="right"/>
              <w:rPr>
                <w:b/>
                <w:lang w:val="en-GB"/>
              </w:rPr>
            </w:pPr>
            <w:r>
              <w:rPr>
                <w:b/>
                <w:lang w:val="es-ES"/>
              </w:rPr>
              <w:t>16 de mayo de 2025</w:t>
            </w:r>
          </w:p>
        </w:tc>
      </w:tr>
      <w:tr w:rsidR="00FE57F6" w:rsidRPr="00BB6FD8" w14:paraId="4839AD6A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E4E72F7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629D5102" w14:textId="77777777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>Original: inglés</w:t>
            </w:r>
          </w:p>
        </w:tc>
      </w:tr>
      <w:tr w:rsidR="00FE57F6" w:rsidRPr="00BB6FD8" w14:paraId="18F17B64" w14:textId="77777777" w:rsidTr="00C538FC">
        <w:trPr>
          <w:cantSplit/>
          <w:trHeight w:val="23"/>
        </w:trPr>
        <w:tc>
          <w:tcPr>
            <w:tcW w:w="3969" w:type="dxa"/>
          </w:tcPr>
          <w:p w14:paraId="67BEA6BA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80F2B01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326638F7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3175D62" w14:textId="77777777" w:rsidR="00FE57F6" w:rsidRPr="00BB6FD8" w:rsidRDefault="00157AC4" w:rsidP="00C538FC">
            <w:pPr>
              <w:pStyle w:val="Source"/>
              <w:jc w:val="left"/>
              <w:rPr>
                <w:sz w:val="34"/>
                <w:szCs w:val="34"/>
              </w:rPr>
            </w:pPr>
            <w:r>
              <w:rPr>
                <w:rFonts w:cstheme="minorHAnsi"/>
                <w:sz w:val="34"/>
                <w:szCs w:val="34"/>
              </w:rPr>
              <w:t>Informe de la Secretaria General</w:t>
            </w:r>
          </w:p>
        </w:tc>
      </w:tr>
      <w:tr w:rsidR="00FE57F6" w:rsidRPr="00BB6FD8" w14:paraId="34D328C6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6A436B3" w14:textId="72AFA393" w:rsidR="00FE57F6" w:rsidRPr="00F92BED" w:rsidRDefault="000131BF" w:rsidP="00760C5C">
            <w:pPr>
              <w:pStyle w:val="Subtitle"/>
              <w:framePr w:hSpace="0" w:wrap="auto" w:vAnchor="margin" w:hAnchor="text" w:xAlign="left" w:yAlign="inline"/>
            </w:pPr>
            <w:bookmarkStart w:id="1" w:name="_Hlk135504519"/>
            <w:r w:rsidRPr="00760C5C">
              <w:rPr>
                <w:lang w:val="es-ES"/>
              </w:rPr>
              <w:t>FUNCIÓN DE LA UIT EN LA APLICACIÓN DE</w:t>
            </w:r>
            <w:r>
              <w:rPr>
                <w:lang w:val="es-ES"/>
              </w:rPr>
              <w:t xml:space="preserve"> </w:t>
            </w:r>
            <w:r w:rsidRPr="00760C5C">
              <w:rPr>
                <w:lang w:val="es-ES"/>
              </w:rPr>
              <w:t>LA AGENDA "</w:t>
            </w:r>
            <w:proofErr w:type="spellStart"/>
            <w:r w:rsidRPr="00760C5C">
              <w:rPr>
                <w:lang w:val="es-ES"/>
              </w:rPr>
              <w:t>ESPACIO2030</w:t>
            </w:r>
            <w:proofErr w:type="spellEnd"/>
            <w:r w:rsidRPr="00760C5C">
              <w:rPr>
                <w:lang w:val="es-ES"/>
              </w:rPr>
              <w:t>": EL ESPACIO COMO MOTOR DEL DESARROLLO SOSTENIBLE, ASÍ COMO DE SUS PROCESOS DE SEGUIMIENTO Y EXAMEN</w:t>
            </w:r>
            <w:bookmarkEnd w:id="1"/>
          </w:p>
        </w:tc>
      </w:tr>
      <w:tr w:rsidR="00FE57F6" w:rsidRPr="00BB6FD8" w14:paraId="49A63FB3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3D0132A" w14:textId="39326A57" w:rsidR="00FE57F6" w:rsidRPr="00BB6FD8" w:rsidRDefault="00760C5C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760C5C">
              <w:rPr>
                <w:b/>
                <w:bCs/>
                <w:sz w:val="26"/>
                <w:szCs w:val="26"/>
              </w:rPr>
              <w:t>Objetivo</w:t>
            </w:r>
          </w:p>
          <w:p w14:paraId="007C06EE" w14:textId="1029A5EF" w:rsidR="00FE57F6" w:rsidRPr="00BB6FD8" w:rsidRDefault="00760C5C" w:rsidP="00760C5C">
            <w:r w:rsidRPr="00760C5C">
              <w:rPr>
                <w:lang w:val="es-ES"/>
              </w:rPr>
              <w:t>La presente contribución responde a los requisitos de información establecidos en la Resolución</w:t>
            </w:r>
            <w:r w:rsidR="00DD1A91">
              <w:rPr>
                <w:lang w:val="es-ES"/>
              </w:rPr>
              <w:t> </w:t>
            </w:r>
            <w:r w:rsidRPr="00760C5C">
              <w:rPr>
                <w:lang w:val="es-ES"/>
              </w:rPr>
              <w:t>218 (Bucarest, 2022) de la Conferencia de Plenipotenciarios sobre la aplicación por la UIT de la Agenda "Espacio2030".</w:t>
            </w:r>
          </w:p>
          <w:p w14:paraId="312295AE" w14:textId="77777777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16D4F70D" w14:textId="046B49D4" w:rsidR="00F92BED" w:rsidRPr="00760C5C" w:rsidRDefault="00760C5C" w:rsidP="00760C5C">
            <w:pPr>
              <w:rPr>
                <w:lang w:val="es-ES"/>
              </w:rPr>
            </w:pPr>
            <w:r w:rsidRPr="00760C5C">
              <w:rPr>
                <w:lang w:val="es-ES"/>
              </w:rPr>
              <w:t xml:space="preserve">Se invita al Consejo a </w:t>
            </w:r>
            <w:r w:rsidRPr="00760C5C">
              <w:rPr>
                <w:b/>
                <w:bCs/>
                <w:lang w:val="es-ES"/>
              </w:rPr>
              <w:t>tomar nota</w:t>
            </w:r>
            <w:r w:rsidRPr="00760C5C">
              <w:rPr>
                <w:lang w:val="es-ES"/>
              </w:rPr>
              <w:t xml:space="preserve"> del presente Informe.</w:t>
            </w:r>
          </w:p>
          <w:p w14:paraId="03166D9A" w14:textId="197019BB" w:rsidR="00F92BED" w:rsidRPr="00F24B71" w:rsidRDefault="00F92BED" w:rsidP="00F92BED">
            <w:pPr>
              <w:spacing w:before="160"/>
              <w:rPr>
                <w:b/>
                <w:bCs/>
                <w:sz w:val="26"/>
                <w:szCs w:val="26"/>
                <w:lang w:val="es-ES"/>
              </w:rPr>
            </w:pPr>
            <w:r w:rsidRPr="00F24B71">
              <w:rPr>
                <w:b/>
                <w:bCs/>
                <w:sz w:val="26"/>
                <w:szCs w:val="26"/>
                <w:lang w:val="es-ES"/>
              </w:rPr>
              <w:t>Vínculos pertinentes con el Plan Estratégico</w:t>
            </w:r>
          </w:p>
          <w:p w14:paraId="0E776DCD" w14:textId="0AA7F82A" w:rsidR="00F92BED" w:rsidRPr="00F24B71" w:rsidRDefault="00760C5C" w:rsidP="00760C5C">
            <w:pPr>
              <w:rPr>
                <w:lang w:val="es-ES"/>
              </w:rPr>
            </w:pPr>
            <w:r w:rsidRPr="00760C5C">
              <w:rPr>
                <w:lang w:val="es-ES"/>
              </w:rPr>
              <w:t>Prioridad temática – Utilización del espectro de servicios espaciales y terrenales</w:t>
            </w:r>
          </w:p>
          <w:p w14:paraId="16BBF9D4" w14:textId="77777777" w:rsidR="00F92BED" w:rsidRDefault="00F92BED" w:rsidP="00F92BED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F24B71">
              <w:rPr>
                <w:b/>
                <w:bCs/>
                <w:sz w:val="26"/>
                <w:szCs w:val="26"/>
              </w:rPr>
              <w:t>Repercusiones financieras</w:t>
            </w:r>
          </w:p>
          <w:p w14:paraId="446BEA28" w14:textId="7E09E8B4" w:rsidR="00F92BED" w:rsidRPr="00BB6FD8" w:rsidRDefault="00760C5C" w:rsidP="00760C5C">
            <w:r w:rsidRPr="00760C5C">
              <w:rPr>
                <w:lang w:val="es-ES"/>
              </w:rPr>
              <w:t>Dentro del presupuesto asignado para 2024-2025</w:t>
            </w:r>
          </w:p>
          <w:p w14:paraId="7B02E232" w14:textId="77777777" w:rsidR="00FE57F6" w:rsidRPr="00BB6FD8" w:rsidRDefault="00FE57F6" w:rsidP="00C538FC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38ACA2A2" w14:textId="5A42554D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  <w:r w:rsidR="00F92BED">
              <w:rPr>
                <w:b/>
                <w:bCs/>
                <w:sz w:val="26"/>
                <w:szCs w:val="26"/>
              </w:rPr>
              <w:t>s</w:t>
            </w:r>
          </w:p>
          <w:p w14:paraId="51E7EE1A" w14:textId="4A3B4DA3" w:rsidR="00FE57F6" w:rsidRPr="000131BF" w:rsidRDefault="00760C5C" w:rsidP="00A3389D">
            <w:pPr>
              <w:spacing w:after="120"/>
              <w:rPr>
                <w:i/>
                <w:iCs/>
                <w:sz w:val="22"/>
                <w:szCs w:val="22"/>
              </w:rPr>
            </w:pPr>
            <w:hyperlink r:id="rId8" w:history="1">
              <w:r w:rsidRPr="000131BF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Resolución</w:t>
              </w:r>
              <w:r w:rsidR="0050689D" w:rsidRPr="000131BF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 </w:t>
              </w:r>
              <w:r w:rsidRPr="000131BF">
                <w:rPr>
                  <w:rStyle w:val="Hyperlink"/>
                  <w:i/>
                  <w:iCs/>
                  <w:sz w:val="22"/>
                  <w:szCs w:val="22"/>
                  <w:lang w:val="es-ES"/>
                </w:rPr>
                <w:t>218</w:t>
              </w:r>
            </w:hyperlink>
            <w:r w:rsidRPr="000131BF">
              <w:rPr>
                <w:i/>
                <w:iCs/>
                <w:sz w:val="22"/>
                <w:szCs w:val="22"/>
                <w:lang w:val="es-ES"/>
              </w:rPr>
              <w:t xml:space="preserve"> (Bucarest, 2022) de la Conferencia de Plenipotenciarios; Documentos </w:t>
            </w:r>
            <w:hyperlink r:id="rId9" w:history="1">
              <w:r w:rsidRPr="000131BF">
                <w:rPr>
                  <w:rStyle w:val="Hyperlink"/>
                  <w:i/>
                  <w:iCs/>
                  <w:sz w:val="22"/>
                  <w:szCs w:val="22"/>
                </w:rPr>
                <w:t>C23/58</w:t>
              </w:r>
            </w:hyperlink>
            <w:r w:rsidRPr="000131BF">
              <w:rPr>
                <w:i/>
                <w:iCs/>
                <w:sz w:val="22"/>
                <w:szCs w:val="22"/>
                <w:lang w:val="es-ES"/>
              </w:rPr>
              <w:t xml:space="preserve"> y </w:t>
            </w:r>
            <w:hyperlink r:id="rId10" w:history="1">
              <w:r w:rsidRPr="000131BF">
                <w:rPr>
                  <w:rStyle w:val="Hyperlink"/>
                  <w:i/>
                  <w:iCs/>
                  <w:sz w:val="22"/>
                  <w:szCs w:val="22"/>
                </w:rPr>
                <w:t>C24/36</w:t>
              </w:r>
            </w:hyperlink>
            <w:r w:rsidRPr="000131BF">
              <w:rPr>
                <w:i/>
                <w:iCs/>
                <w:sz w:val="22"/>
                <w:szCs w:val="22"/>
                <w:lang w:val="es-ES"/>
              </w:rPr>
              <w:t xml:space="preserve"> del Consejo</w:t>
            </w:r>
          </w:p>
        </w:tc>
      </w:tr>
      <w:bookmarkEnd w:id="0"/>
    </w:tbl>
    <w:p w14:paraId="6D5DC6FD" w14:textId="77777777" w:rsidR="001559F5" w:rsidRPr="00BB6FD8" w:rsidRDefault="001559F5" w:rsidP="00760C5C">
      <w:r w:rsidRPr="00BB6FD8">
        <w:br w:type="page"/>
      </w:r>
    </w:p>
    <w:p w14:paraId="293E9241" w14:textId="77777777" w:rsidR="00760C5C" w:rsidRPr="002D2E23" w:rsidRDefault="00760C5C" w:rsidP="00760C5C">
      <w:pPr>
        <w:pStyle w:val="Headingb"/>
        <w:rPr>
          <w:lang w:val="es-ES"/>
        </w:rPr>
      </w:pPr>
      <w:r w:rsidRPr="002D2E23">
        <w:rPr>
          <w:lang w:val="es-ES"/>
        </w:rPr>
        <w:lastRenderedPageBreak/>
        <w:t>Antecedentes</w:t>
      </w:r>
    </w:p>
    <w:p w14:paraId="607D89C6" w14:textId="77777777" w:rsidR="00760C5C" w:rsidRPr="00760C5C" w:rsidRDefault="00760C5C" w:rsidP="000131BF">
      <w:pPr>
        <w:jc w:val="both"/>
      </w:pPr>
      <w:r w:rsidRPr="006C1938">
        <w:rPr>
          <w:lang w:val="es-ES"/>
        </w:rPr>
        <w:t xml:space="preserve">En la Agenda </w:t>
      </w:r>
      <w:r>
        <w:rPr>
          <w:b/>
          <w:lang w:val="es-ES"/>
        </w:rPr>
        <w:t>"</w:t>
      </w:r>
      <w:r w:rsidRPr="006C1938">
        <w:rPr>
          <w:lang w:val="es-ES"/>
        </w:rPr>
        <w:t>Espacio2030</w:t>
      </w:r>
      <w:r>
        <w:rPr>
          <w:b/>
          <w:lang w:val="es-ES"/>
        </w:rPr>
        <w:t>"</w:t>
      </w:r>
      <w:r w:rsidRPr="006C1938">
        <w:rPr>
          <w:lang w:val="es-ES"/>
        </w:rPr>
        <w:t>, definida por la Comisión de las Naciones Unidas sobre la Utilización del Espacio Ultraterrestre con Fines Pacíficos (COPUOS), l</w:t>
      </w:r>
      <w:r>
        <w:rPr>
          <w:lang w:val="es-ES"/>
        </w:rPr>
        <w:t>os Estados Miembros expusieron una visión para potenciar el uso de la ciencia y la tecnología espaciales con miras a la consecución de la Agenda 2030 para el Desarrollo Sostenible</w:t>
      </w:r>
      <w:r w:rsidRPr="006C1938">
        <w:rPr>
          <w:lang w:val="es-ES"/>
        </w:rPr>
        <w:t>.</w:t>
      </w:r>
    </w:p>
    <w:p w14:paraId="4B1B59AE" w14:textId="77777777" w:rsidR="00760C5C" w:rsidRPr="00760C5C" w:rsidRDefault="00760C5C" w:rsidP="000131BF">
      <w:pPr>
        <w:jc w:val="both"/>
        <w:rPr>
          <w:lang w:val="es-ES"/>
        </w:rPr>
      </w:pPr>
      <w:r w:rsidRPr="00760C5C">
        <w:rPr>
          <w:lang w:val="es-ES"/>
        </w:rPr>
        <w:t>En su septuagésimo sexto periodo de sesiones, celebrado en octubre de 2021, la Asamblea General de las Naciones Unidas adoptó la Agenda Espacio2030: el espacio como motor del desarrollo sostenible con cuatro objetivos generales:</w:t>
      </w:r>
    </w:p>
    <w:p w14:paraId="734C3F80" w14:textId="77777777" w:rsidR="00760C5C" w:rsidRPr="00760C5C" w:rsidRDefault="00760C5C" w:rsidP="000131BF">
      <w:pPr>
        <w:pStyle w:val="enumlev1"/>
        <w:jc w:val="both"/>
      </w:pPr>
      <w:r>
        <w:rPr>
          <w:lang w:val="es-ES"/>
        </w:rPr>
        <w:t>1</w:t>
      </w:r>
      <w:r>
        <w:rPr>
          <w:lang w:val="es-ES"/>
        </w:rPr>
        <w:tab/>
      </w:r>
      <w:r w:rsidRPr="006C1938">
        <w:rPr>
          <w:lang w:val="es-ES"/>
        </w:rPr>
        <w:t>aumentar los beneficios económicos derivados del espacio y reforzar el papel del sector espacial como motor importante del desarrollo sostenible</w:t>
      </w:r>
      <w:r w:rsidRPr="00760C5C">
        <w:t>;</w:t>
      </w:r>
    </w:p>
    <w:p w14:paraId="4F2D02CA" w14:textId="77777777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2</w:t>
      </w:r>
      <w:r w:rsidRPr="00760C5C">
        <w:rPr>
          <w:lang w:val="es-ES"/>
        </w:rPr>
        <w:tab/>
        <w:t xml:space="preserve">utilizar el </w:t>
      </w:r>
      <w:r w:rsidRPr="0059147E">
        <w:rPr>
          <w:lang w:val="es-ES"/>
        </w:rPr>
        <w:t>potencial</w:t>
      </w:r>
      <w:r w:rsidRPr="00760C5C">
        <w:rPr>
          <w:lang w:val="es-ES"/>
        </w:rPr>
        <w:t xml:space="preserve"> del espacio para resolver los problemas cotidianos y aprovechar las innovaciones relacionadas con el espacio para mejorar la calidad de vida;</w:t>
      </w:r>
    </w:p>
    <w:p w14:paraId="0CD0F1CD" w14:textId="77777777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3</w:t>
      </w:r>
      <w:r w:rsidRPr="00760C5C">
        <w:rPr>
          <w:lang w:val="es-ES"/>
        </w:rPr>
        <w:tab/>
        <w:t xml:space="preserve">aumentar el acceso al espacio para todos y garantizar que todos los países puedan </w:t>
      </w:r>
      <w:r w:rsidRPr="0059147E">
        <w:rPr>
          <w:lang w:val="es-ES"/>
        </w:rPr>
        <w:t>beneficiarse</w:t>
      </w:r>
      <w:r w:rsidRPr="00760C5C">
        <w:rPr>
          <w:lang w:val="es-ES"/>
        </w:rPr>
        <w:t xml:space="preserve"> socioeconómicamente de las aplicaciones de la ciencia y la tecnología espaciales, y de los datos, la información y los productos basados en el espacio, contribuyendo con ello al logro de los Objetivos de Desarrollo Sostenible; y</w:t>
      </w:r>
    </w:p>
    <w:p w14:paraId="46D906F6" w14:textId="77777777" w:rsidR="00760C5C" w:rsidRPr="00760C5C" w:rsidRDefault="00760C5C" w:rsidP="000131BF">
      <w:pPr>
        <w:pStyle w:val="enumlev1"/>
        <w:jc w:val="both"/>
        <w:rPr>
          <w:lang w:val="es-ES"/>
        </w:rPr>
      </w:pPr>
      <w:r>
        <w:rPr>
          <w:lang w:val="es-ES"/>
        </w:rPr>
        <w:t>4</w:t>
      </w:r>
      <w:r>
        <w:rPr>
          <w:lang w:val="es-ES"/>
        </w:rPr>
        <w:tab/>
      </w:r>
      <w:r w:rsidRPr="0059147E">
        <w:rPr>
          <w:lang w:val="es-ES"/>
        </w:rPr>
        <w:t>establecer</w:t>
      </w:r>
      <w:r w:rsidRPr="00760C5C">
        <w:rPr>
          <w:lang w:val="es-ES"/>
        </w:rPr>
        <w:t xml:space="preserve"> alianzas y fortalecer la cooperación internacional para la utilización del espacio </w:t>
      </w:r>
      <w:r w:rsidRPr="0059147E">
        <w:rPr>
          <w:lang w:val="es-ES"/>
        </w:rPr>
        <w:t>ultraterrestre</w:t>
      </w:r>
      <w:r w:rsidRPr="00760C5C">
        <w:rPr>
          <w:lang w:val="es-ES"/>
        </w:rPr>
        <w:t xml:space="preserve"> con fines pacíficos y para la gobernanza global de las actividades en el espacio ultraterrestre.</w:t>
      </w:r>
    </w:p>
    <w:p w14:paraId="0EECDBC5" w14:textId="6CEEA1D7" w:rsidR="00760C5C" w:rsidRPr="00760C5C" w:rsidRDefault="00760C5C" w:rsidP="000131BF">
      <w:pPr>
        <w:jc w:val="both"/>
        <w:rPr>
          <w:lang w:val="es-ES"/>
        </w:rPr>
      </w:pPr>
      <w:r w:rsidRPr="00760C5C">
        <w:rPr>
          <w:lang w:val="es-ES"/>
        </w:rPr>
        <w:t xml:space="preserve">Para su </w:t>
      </w:r>
      <w:r w:rsidRPr="0059147E">
        <w:rPr>
          <w:lang w:val="es-ES"/>
        </w:rPr>
        <w:t>ejecución</w:t>
      </w:r>
      <w:r w:rsidRPr="00760C5C">
        <w:rPr>
          <w:lang w:val="es-ES"/>
        </w:rPr>
        <w:t>, la Agenda "Espacio2030" pide a los Estados Miembros que contribuyan a través de asociaciones, herramientas y recursos.</w:t>
      </w:r>
    </w:p>
    <w:p w14:paraId="2FB7C439" w14:textId="19C3B90F" w:rsidR="00760C5C" w:rsidRPr="00760C5C" w:rsidRDefault="00760C5C" w:rsidP="000131BF">
      <w:pPr>
        <w:jc w:val="both"/>
        <w:rPr>
          <w:lang w:val="es-ES"/>
        </w:rPr>
      </w:pPr>
      <w:r w:rsidRPr="00760C5C">
        <w:rPr>
          <w:lang w:val="es-ES"/>
        </w:rPr>
        <w:t>La Oficina de las Naciones Unidas para Asuntos del Espacio Ultraterrestre (UNOOSA) presta servicios de secretaría a la COPUOS y coordina la aplicación de la Agenda "Espacio2030".</w:t>
      </w:r>
    </w:p>
    <w:p w14:paraId="37EF8644" w14:textId="3856B9BE" w:rsidR="00760C5C" w:rsidRPr="00760C5C" w:rsidRDefault="00760C5C" w:rsidP="000131BF">
      <w:pPr>
        <w:jc w:val="both"/>
        <w:rPr>
          <w:lang w:val="es-ES"/>
        </w:rPr>
      </w:pPr>
      <w:r w:rsidRPr="00760C5C">
        <w:rPr>
          <w:lang w:val="es-ES"/>
        </w:rPr>
        <w:t>La Conferencia de Plenipotenciarios de la UIT de 2022 (PP-22) reconoció que la UIT desempeña un papel esencial en la consecución de sus objetivos. En este sentido la PP-22 adoptó la Resolución</w:t>
      </w:r>
      <w:r>
        <w:rPr>
          <w:lang w:val="es-ES"/>
        </w:rPr>
        <w:t> </w:t>
      </w:r>
      <w:r w:rsidRPr="00760C5C">
        <w:rPr>
          <w:lang w:val="es-ES"/>
        </w:rPr>
        <w:t>218 (Bucarest,</w:t>
      </w:r>
      <w:r w:rsidR="00685E59">
        <w:rPr>
          <w:lang w:val="es-ES"/>
        </w:rPr>
        <w:t xml:space="preserve"> </w:t>
      </w:r>
      <w:r w:rsidRPr="00760C5C">
        <w:rPr>
          <w:lang w:val="es-ES"/>
        </w:rPr>
        <w:t xml:space="preserve">2022) en la que se </w:t>
      </w:r>
      <w:r w:rsidRPr="00760C5C">
        <w:rPr>
          <w:i/>
          <w:iCs/>
          <w:lang w:val="es-ES"/>
        </w:rPr>
        <w:t>resuelve</w:t>
      </w:r>
      <w:r w:rsidRPr="00760C5C">
        <w:rPr>
          <w:lang w:val="es-ES"/>
        </w:rPr>
        <w:t>:</w:t>
      </w:r>
    </w:p>
    <w:p w14:paraId="7AFEA415" w14:textId="3CB3BB8A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1</w:t>
      </w:r>
      <w:r w:rsidRPr="00760C5C">
        <w:rPr>
          <w:lang w:val="es-ES"/>
        </w:rPr>
        <w:tab/>
        <w:t>que la UIT apoye la aplicación de la Agenda "Espacio2030", en particular las partes relativas a los servicios espaciales del objetivo general</w:t>
      </w:r>
      <w:r w:rsidR="00DD1A91">
        <w:rPr>
          <w:lang w:val="es-ES"/>
        </w:rPr>
        <w:t> </w:t>
      </w:r>
      <w:r w:rsidRPr="00760C5C">
        <w:rPr>
          <w:lang w:val="es-ES"/>
        </w:rPr>
        <w:t xml:space="preserve">3 mencionado en el </w:t>
      </w:r>
      <w:r w:rsidRPr="00760C5C">
        <w:rPr>
          <w:i/>
          <w:iCs/>
          <w:lang w:val="es-ES"/>
        </w:rPr>
        <w:t>recordando</w:t>
      </w:r>
      <w:r>
        <w:rPr>
          <w:i/>
          <w:iCs/>
          <w:lang w:val="es-ES"/>
        </w:rPr>
        <w:t> </w:t>
      </w:r>
      <w:r w:rsidRPr="00760C5C">
        <w:rPr>
          <w:i/>
          <w:iCs/>
          <w:lang w:val="es-ES"/>
        </w:rPr>
        <w:t>b) supra</w:t>
      </w:r>
      <w:r w:rsidRPr="00760C5C">
        <w:rPr>
          <w:lang w:val="es-ES"/>
        </w:rPr>
        <w:t>, teniendo en cuenta la función única de la UIT con respecto al acceso al espectro de frecuencias radioeléctricas y a las órbitas de satélites asociadas, de conformidad con el Artículo</w:t>
      </w:r>
      <w:r>
        <w:rPr>
          <w:lang w:val="es-ES"/>
        </w:rPr>
        <w:t> </w:t>
      </w:r>
      <w:r w:rsidRPr="00760C5C">
        <w:rPr>
          <w:lang w:val="es-ES"/>
        </w:rPr>
        <w:t>44 de la Constitución;</w:t>
      </w:r>
    </w:p>
    <w:p w14:paraId="15E9C17A" w14:textId="7BD4A181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2</w:t>
      </w:r>
      <w:r w:rsidRPr="00760C5C">
        <w:rPr>
          <w:lang w:val="es-ES"/>
        </w:rPr>
        <w:tab/>
        <w:t xml:space="preserve">que la aplicación del </w:t>
      </w:r>
      <w:r w:rsidRPr="00760C5C">
        <w:rPr>
          <w:i/>
          <w:iCs/>
          <w:lang w:val="es-ES"/>
        </w:rPr>
        <w:t>resuelve</w:t>
      </w:r>
      <w:r>
        <w:rPr>
          <w:lang w:val="es-ES"/>
        </w:rPr>
        <w:t> </w:t>
      </w:r>
      <w:r w:rsidRPr="00760C5C">
        <w:rPr>
          <w:lang w:val="es-ES"/>
        </w:rPr>
        <w:t xml:space="preserve">1 </w:t>
      </w:r>
      <w:r w:rsidRPr="00760C5C">
        <w:rPr>
          <w:i/>
          <w:iCs/>
          <w:lang w:val="es-ES"/>
        </w:rPr>
        <w:t>supra</w:t>
      </w:r>
      <w:r w:rsidRPr="00760C5C">
        <w:rPr>
          <w:lang w:val="es-ES"/>
        </w:rPr>
        <w:t xml:space="preserve"> debería aprovechar la participación de la </w:t>
      </w:r>
      <w:r w:rsidR="00DD1A91" w:rsidRPr="008008B0">
        <w:rPr>
          <w:lang w:val="es-ES"/>
        </w:rPr>
        <w:t>p</w:t>
      </w:r>
      <w:r w:rsidRPr="008008B0">
        <w:rPr>
          <w:lang w:val="es-ES"/>
        </w:rPr>
        <w:t>resencia</w:t>
      </w:r>
      <w:r w:rsidRPr="00760C5C">
        <w:rPr>
          <w:lang w:val="es-ES"/>
        </w:rPr>
        <w:t xml:space="preserve"> </w:t>
      </w:r>
      <w:r w:rsidR="00DD1A91" w:rsidRPr="00760C5C">
        <w:rPr>
          <w:lang w:val="es-ES"/>
        </w:rPr>
        <w:t>r</w:t>
      </w:r>
      <w:r w:rsidRPr="00760C5C">
        <w:rPr>
          <w:lang w:val="es-ES"/>
        </w:rPr>
        <w:t>egional de la UIT y prestar especial atención a los países en desarrollo, los países menos adelantados (PMA), los pequeños Estados insulares en desarrollo (PEID) y los países en desarrollo sin litoral (PDSL);</w:t>
      </w:r>
    </w:p>
    <w:p w14:paraId="43B024EF" w14:textId="29C4F1CE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3</w:t>
      </w:r>
      <w:r w:rsidRPr="00760C5C">
        <w:rPr>
          <w:lang w:val="es-ES"/>
        </w:rPr>
        <w:tab/>
        <w:t xml:space="preserve">que la Oficina de Radiocomunicaciones (BR) y la Oficina de Desarrollo de las Telecomunicaciones (BDT) sigan ayudando a los países en desarrollo, </w:t>
      </w:r>
      <w:r w:rsidR="00DD1A91">
        <w:rPr>
          <w:lang w:val="es-ES"/>
        </w:rPr>
        <w:t>los </w:t>
      </w:r>
      <w:r w:rsidRPr="00760C5C">
        <w:rPr>
          <w:lang w:val="es-ES"/>
        </w:rPr>
        <w:t xml:space="preserve">PMA, </w:t>
      </w:r>
      <w:r w:rsidR="00DD1A91">
        <w:rPr>
          <w:lang w:val="es-ES"/>
        </w:rPr>
        <w:t>los </w:t>
      </w:r>
      <w:r w:rsidRPr="00760C5C">
        <w:rPr>
          <w:lang w:val="es-ES"/>
        </w:rPr>
        <w:t xml:space="preserve">PEID y </w:t>
      </w:r>
      <w:r w:rsidR="00DD1A91">
        <w:rPr>
          <w:lang w:val="es-ES"/>
        </w:rPr>
        <w:t>los </w:t>
      </w:r>
      <w:r w:rsidRPr="00760C5C">
        <w:rPr>
          <w:lang w:val="es-ES"/>
        </w:rPr>
        <w:t xml:space="preserve">PDSL a </w:t>
      </w:r>
      <w:r w:rsidRPr="008008B0">
        <w:rPr>
          <w:lang w:val="es-ES"/>
        </w:rPr>
        <w:t>acceder</w:t>
      </w:r>
      <w:r w:rsidRPr="00760C5C">
        <w:rPr>
          <w:lang w:val="es-ES"/>
        </w:rPr>
        <w:t xml:space="preserve"> al espectro de radiofrecuencias y a las órbitas de satélites asociadas, en particular para alcanzar los objetivos de la Agenda "Espacio2030".</w:t>
      </w:r>
    </w:p>
    <w:p w14:paraId="5785C6D4" w14:textId="77777777" w:rsidR="00760C5C" w:rsidRPr="0016266A" w:rsidRDefault="00760C5C" w:rsidP="00760C5C">
      <w:pPr>
        <w:pStyle w:val="Headingb"/>
        <w:rPr>
          <w:lang w:val="es-ES"/>
        </w:rPr>
      </w:pPr>
      <w:r w:rsidRPr="0016266A">
        <w:rPr>
          <w:lang w:val="es-ES"/>
        </w:rPr>
        <w:lastRenderedPageBreak/>
        <w:t>Informes sobre la ejecución por la UIT de la Agenda Espacio</w:t>
      </w:r>
      <w:r>
        <w:rPr>
          <w:lang w:val="es-ES"/>
        </w:rPr>
        <w:t>2030</w:t>
      </w:r>
    </w:p>
    <w:p w14:paraId="4229A355" w14:textId="0D199DFD" w:rsidR="00760C5C" w:rsidRPr="00760C5C" w:rsidRDefault="00760C5C" w:rsidP="000131BF">
      <w:pPr>
        <w:keepNext/>
        <w:keepLines/>
        <w:jc w:val="both"/>
        <w:rPr>
          <w:lang w:val="es-ES"/>
        </w:rPr>
      </w:pPr>
      <w:r w:rsidRPr="00760C5C">
        <w:rPr>
          <w:lang w:val="es-ES"/>
        </w:rPr>
        <w:t>En la Resolución</w:t>
      </w:r>
      <w:r>
        <w:rPr>
          <w:lang w:val="es-ES"/>
        </w:rPr>
        <w:t> </w:t>
      </w:r>
      <w:r w:rsidRPr="00760C5C">
        <w:rPr>
          <w:lang w:val="es-ES"/>
        </w:rPr>
        <w:t>218 (Bucarest, 2022) se encarga al Secretario General de la UIT y a los Directores de las Oficinas que, entre otras cosas:</w:t>
      </w:r>
    </w:p>
    <w:p w14:paraId="526BD86F" w14:textId="39446152" w:rsidR="00760C5C" w:rsidRPr="000131BF" w:rsidRDefault="00760C5C" w:rsidP="000131BF">
      <w:pPr>
        <w:pStyle w:val="enumlev1"/>
        <w:jc w:val="both"/>
        <w:rPr>
          <w:spacing w:val="-2"/>
          <w:lang w:val="es-ES"/>
        </w:rPr>
      </w:pPr>
      <w:r w:rsidRPr="000131BF">
        <w:rPr>
          <w:spacing w:val="-2"/>
          <w:lang w:val="es-ES"/>
        </w:rPr>
        <w:t>1</w:t>
      </w:r>
      <w:r w:rsidRPr="000131BF">
        <w:rPr>
          <w:spacing w:val="-2"/>
          <w:lang w:val="es-ES"/>
        </w:rPr>
        <w:tab/>
        <w:t>presenten anualmente al Consejo de la</w:t>
      </w:r>
      <w:r w:rsidR="00DD1A91" w:rsidRPr="000131BF">
        <w:rPr>
          <w:spacing w:val="-2"/>
          <w:lang w:val="es-ES"/>
        </w:rPr>
        <w:t> </w:t>
      </w:r>
      <w:r w:rsidRPr="000131BF">
        <w:rPr>
          <w:spacing w:val="-2"/>
          <w:lang w:val="es-ES"/>
        </w:rPr>
        <w:t xml:space="preserve">UIT un informe completo sobre la situación de los </w:t>
      </w:r>
      <w:r w:rsidR="00DD1A91" w:rsidRPr="000131BF">
        <w:rPr>
          <w:spacing w:val="-2"/>
          <w:lang w:val="es-ES"/>
        </w:rPr>
        <w:t>p</w:t>
      </w:r>
      <w:r w:rsidRPr="000131BF">
        <w:rPr>
          <w:spacing w:val="-2"/>
          <w:lang w:val="es-ES"/>
        </w:rPr>
        <w:t>lanes regidos por los Apéndices </w:t>
      </w:r>
      <w:r w:rsidRPr="000131BF">
        <w:rPr>
          <w:b/>
          <w:bCs/>
          <w:spacing w:val="-2"/>
          <w:lang w:val="es-ES"/>
        </w:rPr>
        <w:t>30</w:t>
      </w:r>
      <w:r w:rsidRPr="000131BF">
        <w:rPr>
          <w:spacing w:val="-2"/>
          <w:lang w:val="es-ES"/>
        </w:rPr>
        <w:t xml:space="preserve">, </w:t>
      </w:r>
      <w:r w:rsidRPr="000131BF">
        <w:rPr>
          <w:b/>
          <w:bCs/>
          <w:spacing w:val="-2"/>
          <w:lang w:val="es-ES"/>
        </w:rPr>
        <w:t>30A</w:t>
      </w:r>
      <w:r w:rsidRPr="000131BF">
        <w:rPr>
          <w:spacing w:val="-2"/>
          <w:lang w:val="es-ES"/>
        </w:rPr>
        <w:t xml:space="preserve"> y </w:t>
      </w:r>
      <w:r w:rsidRPr="000131BF">
        <w:rPr>
          <w:b/>
          <w:bCs/>
          <w:spacing w:val="-2"/>
          <w:lang w:val="es-ES"/>
        </w:rPr>
        <w:t>30B</w:t>
      </w:r>
      <w:r w:rsidRPr="000131BF">
        <w:rPr>
          <w:spacing w:val="-2"/>
          <w:lang w:val="es-ES"/>
        </w:rPr>
        <w:t xml:space="preserve"> del Reglamento de Radiocomunicaciones, destacando la situación de los países en desarrollo y cualquier reto relacionado con la aplicación de dichos </w:t>
      </w:r>
      <w:r w:rsidR="00DD1A91" w:rsidRPr="000131BF">
        <w:rPr>
          <w:spacing w:val="-2"/>
          <w:lang w:val="es-ES"/>
        </w:rPr>
        <w:t>p</w:t>
      </w:r>
      <w:r w:rsidRPr="000131BF">
        <w:rPr>
          <w:spacing w:val="-2"/>
          <w:lang w:val="es-ES"/>
        </w:rPr>
        <w:t>lanes, como la evolución de las situaciones de referencia de las distintas asignaciones de frecuencias y adjudicaciones, incluida cualquier dificultad y problema que la</w:t>
      </w:r>
      <w:r w:rsidR="00DD1A91" w:rsidRPr="000131BF">
        <w:rPr>
          <w:spacing w:val="-2"/>
          <w:lang w:val="es-ES"/>
        </w:rPr>
        <w:t> </w:t>
      </w:r>
      <w:r w:rsidRPr="000131BF">
        <w:rPr>
          <w:spacing w:val="-2"/>
          <w:lang w:val="es-ES"/>
        </w:rPr>
        <w:t xml:space="preserve">BR haya encontrado en la aplicación de estos </w:t>
      </w:r>
      <w:r w:rsidR="00DD1A91" w:rsidRPr="000131BF">
        <w:rPr>
          <w:spacing w:val="-2"/>
          <w:lang w:val="es-ES"/>
        </w:rPr>
        <w:t>p</w:t>
      </w:r>
      <w:r w:rsidRPr="000131BF">
        <w:rPr>
          <w:spacing w:val="-2"/>
          <w:lang w:val="es-ES"/>
        </w:rPr>
        <w:t>lanes, así como los problemas comunicados por las administraciones a la BR</w:t>
      </w:r>
      <w:bookmarkStart w:id="2" w:name="_Hlk135536731"/>
      <w:r w:rsidRPr="000131BF">
        <w:rPr>
          <w:spacing w:val="-2"/>
          <w:lang w:val="es-ES"/>
        </w:rPr>
        <w:t xml:space="preserve"> (</w:t>
      </w:r>
      <w:r w:rsidRPr="000131BF">
        <w:rPr>
          <w:i/>
          <w:iCs/>
          <w:spacing w:val="-2"/>
          <w:lang w:val="es-ES"/>
        </w:rPr>
        <w:t>encarga</w:t>
      </w:r>
      <w:r w:rsidRPr="000131BF">
        <w:rPr>
          <w:spacing w:val="-2"/>
          <w:lang w:val="es-ES"/>
        </w:rPr>
        <w:t> 2)</w:t>
      </w:r>
      <w:bookmarkEnd w:id="2"/>
      <w:r w:rsidR="0050689D" w:rsidRPr="000131BF">
        <w:rPr>
          <w:spacing w:val="-2"/>
          <w:lang w:val="es-ES"/>
        </w:rPr>
        <w:t>;</w:t>
      </w:r>
    </w:p>
    <w:p w14:paraId="0E5AEB06" w14:textId="1363AFCD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2</w:t>
      </w:r>
      <w:r w:rsidRPr="00760C5C">
        <w:rPr>
          <w:lang w:val="es-ES"/>
        </w:rPr>
        <w:tab/>
        <w:t>presenten al Consejo un informe anual sobre la función de la UIT en la aplicación de la Agenda "Espacio2030" (</w:t>
      </w:r>
      <w:r w:rsidRPr="00760C5C">
        <w:rPr>
          <w:i/>
          <w:iCs/>
          <w:lang w:val="es-ES"/>
        </w:rPr>
        <w:t>encarga</w:t>
      </w:r>
      <w:r>
        <w:rPr>
          <w:lang w:val="es-ES"/>
        </w:rPr>
        <w:t> </w:t>
      </w:r>
      <w:r w:rsidRPr="00760C5C">
        <w:rPr>
          <w:lang w:val="es-ES"/>
        </w:rPr>
        <w:t>3)</w:t>
      </w:r>
      <w:r w:rsidR="0050689D">
        <w:rPr>
          <w:lang w:val="es-ES"/>
        </w:rPr>
        <w:t>;</w:t>
      </w:r>
    </w:p>
    <w:p w14:paraId="50F710B5" w14:textId="00FC4432" w:rsidR="00760C5C" w:rsidRPr="00760C5C" w:rsidRDefault="00760C5C" w:rsidP="000131BF">
      <w:pPr>
        <w:pStyle w:val="enumlev1"/>
        <w:jc w:val="both"/>
        <w:rPr>
          <w:lang w:val="es-ES"/>
        </w:rPr>
      </w:pPr>
      <w:r w:rsidRPr="00760C5C">
        <w:rPr>
          <w:lang w:val="es-ES"/>
        </w:rPr>
        <w:t>3</w:t>
      </w:r>
      <w:r w:rsidRPr="00760C5C">
        <w:rPr>
          <w:lang w:val="es-ES"/>
        </w:rPr>
        <w:tab/>
        <w:t>informen al Consejo acerca de las sesiones de la Reunión interinstitucional de las Naciones Unidas sobre las actividades relativas al espacio ultraterrestre (ONU</w:t>
      </w:r>
      <w:r w:rsidRPr="00760C5C">
        <w:rPr>
          <w:lang w:val="es-ES"/>
        </w:rPr>
        <w:noBreakHyphen/>
        <w:t>Espacio) y sobre las medidas que se apliquen para promover sinergias y evitar la duplicación de esfuerzos relacionados con el uso de la tecnología espacial (</w:t>
      </w:r>
      <w:r w:rsidRPr="00760C5C">
        <w:rPr>
          <w:i/>
          <w:iCs/>
          <w:lang w:val="es-ES"/>
        </w:rPr>
        <w:t>encarga</w:t>
      </w:r>
      <w:r w:rsidRPr="00760C5C">
        <w:rPr>
          <w:lang w:val="es-ES"/>
        </w:rPr>
        <w:t> 8)</w:t>
      </w:r>
      <w:r w:rsidR="0050689D">
        <w:rPr>
          <w:lang w:val="es-ES"/>
        </w:rPr>
        <w:t>.</w:t>
      </w:r>
    </w:p>
    <w:p w14:paraId="3148CD31" w14:textId="2891CE08" w:rsidR="00760C5C" w:rsidRPr="00760C5C" w:rsidRDefault="00760C5C" w:rsidP="000131BF">
      <w:pPr>
        <w:jc w:val="both"/>
        <w:rPr>
          <w:lang w:val="es-ES"/>
        </w:rPr>
      </w:pPr>
      <w:r w:rsidRPr="0016266A">
        <w:rPr>
          <w:lang w:val="es-ES"/>
        </w:rPr>
        <w:t>Los informes sobre cada uno de estos asuntos se presentan</w:t>
      </w:r>
      <w:r>
        <w:rPr>
          <w:lang w:val="es-ES"/>
        </w:rPr>
        <w:t xml:space="preserve"> en el Documento</w:t>
      </w:r>
      <w:r w:rsidR="0050689D">
        <w:rPr>
          <w:lang w:val="es-ES"/>
        </w:rPr>
        <w:t> </w:t>
      </w:r>
      <w:hyperlink r:id="rId11" w:history="1">
        <w:r w:rsidRPr="0050689D">
          <w:rPr>
            <w:rStyle w:val="Hyperlink"/>
          </w:rPr>
          <w:t>C25/INF/3</w:t>
        </w:r>
      </w:hyperlink>
      <w:r w:rsidRPr="0016266A">
        <w:rPr>
          <w:lang w:val="es-ES"/>
        </w:rPr>
        <w:t>.</w:t>
      </w:r>
    </w:p>
    <w:p w14:paraId="50F497AF" w14:textId="28BF8B12" w:rsidR="00760C5C" w:rsidRPr="0050689D" w:rsidRDefault="00760C5C" w:rsidP="000131BF">
      <w:pPr>
        <w:pStyle w:val="Headingb"/>
        <w:jc w:val="both"/>
        <w:rPr>
          <w:lang w:val="es-ES"/>
        </w:rPr>
      </w:pPr>
      <w:bookmarkStart w:id="3" w:name="_Hlk165533456"/>
      <w:r w:rsidRPr="0050689D">
        <w:rPr>
          <w:lang w:val="es-ES"/>
        </w:rPr>
        <w:t>Actividades de la UIT recientes y planificadas más destacadas</w:t>
      </w:r>
    </w:p>
    <w:p w14:paraId="526BE7F8" w14:textId="7E5D206A" w:rsidR="00760C5C" w:rsidRPr="0050689D" w:rsidRDefault="00760C5C" w:rsidP="000131BF">
      <w:pPr>
        <w:pStyle w:val="enumlev1"/>
        <w:jc w:val="both"/>
        <w:rPr>
          <w:lang w:val="es-ES"/>
        </w:rPr>
      </w:pPr>
      <w:r w:rsidRPr="0050689D">
        <w:rPr>
          <w:lang w:val="es-ES"/>
        </w:rPr>
        <w:t>–</w:t>
      </w:r>
      <w:r w:rsidRPr="0050689D">
        <w:rPr>
          <w:lang w:val="es-ES"/>
        </w:rPr>
        <w:tab/>
        <w:t xml:space="preserve">La primera edición del </w:t>
      </w:r>
      <w:hyperlink r:id="rId12" w:history="1">
        <w:r w:rsidRPr="0050689D">
          <w:rPr>
            <w:rStyle w:val="Hyperlink"/>
            <w:lang w:val="es-ES"/>
          </w:rPr>
          <w:t>Foro sobre Sostenibilidad Espacial</w:t>
        </w:r>
      </w:hyperlink>
      <w:r w:rsidRPr="0050689D">
        <w:rPr>
          <w:lang w:val="es-ES"/>
        </w:rPr>
        <w:t xml:space="preserve"> se celebró los días 10 y 11 de septiembre de 2024 en la Sede de la UIT. El Foro reunió a líderes y expertos de la industria espacial y de satélites, organismos espaciales y de telecomunicaciones, gobiernos y demás interesados en el espacio dedicados al uso responsable del espacio. El Foro ofreció una oportunidad para presentar, debatir y analizar en profundidad políticas, prácticas idóneas, directrices y estrategias para preservar la accesibilidad y sostenibilidad del espacio con miras a las actividades espaciales presentes y futuras. Se prevé que la segunda edición del Foro se celebre los días 7 y 8 de octubre de 2025.</w:t>
      </w:r>
    </w:p>
    <w:p w14:paraId="10AEF54E" w14:textId="26FDF9EE" w:rsidR="00760C5C" w:rsidRPr="0050689D" w:rsidRDefault="00760C5C" w:rsidP="000131BF">
      <w:pPr>
        <w:pStyle w:val="enumlev1"/>
        <w:jc w:val="both"/>
        <w:rPr>
          <w:lang w:val="es-ES"/>
        </w:rPr>
      </w:pPr>
      <w:r w:rsidRPr="0050689D">
        <w:rPr>
          <w:lang w:val="es-ES"/>
        </w:rPr>
        <w:t>–</w:t>
      </w:r>
      <w:r w:rsidRPr="0050689D">
        <w:rPr>
          <w:lang w:val="es-ES"/>
        </w:rPr>
        <w:tab/>
        <w:t xml:space="preserve">La </w:t>
      </w:r>
      <w:hyperlink r:id="rId13" w:history="1">
        <w:r w:rsidRPr="0050689D">
          <w:rPr>
            <w:rStyle w:val="Hyperlink"/>
            <w:lang w:val="es-ES"/>
          </w:rPr>
          <w:t>serie Space Connect</w:t>
        </w:r>
      </w:hyperlink>
      <w:r w:rsidRPr="0050689D">
        <w:rPr>
          <w:lang w:val="es-ES"/>
        </w:rPr>
        <w:t xml:space="preserve"> consta de episodios virtuales en los que se explora la rápida evolución del sector espacial y reúne a líderes de la industria, reguladores y especialistas de todo el mundo que cada mes abordan temas que van desde la tecnología de satélites a la seguridad espacial, pasando por la supervisión climática, las operaciones de emergencia y el desarrollo económico. Cada episodio contiene presentaciones de los expertos y debates interactivos y ofrece oportunidades para que el público participe. Todos los materiales presentados y considerados durante las sesiones pueden encontrarse en el portal de la UIT en línea.</w:t>
      </w:r>
    </w:p>
    <w:p w14:paraId="23056D81" w14:textId="6BBC4E82" w:rsidR="00760C5C" w:rsidRPr="0050689D" w:rsidRDefault="00760C5C" w:rsidP="000131BF">
      <w:pPr>
        <w:pStyle w:val="enumlev1"/>
        <w:jc w:val="both"/>
        <w:rPr>
          <w:lang w:val="es-ES"/>
        </w:rPr>
      </w:pPr>
      <w:r w:rsidRPr="0050689D">
        <w:rPr>
          <w:lang w:val="es-ES"/>
        </w:rPr>
        <w:t>–</w:t>
      </w:r>
      <w:r w:rsidRPr="0050689D">
        <w:rPr>
          <w:lang w:val="es-ES"/>
        </w:rPr>
        <w:tab/>
        <w:t xml:space="preserve">La página web </w:t>
      </w:r>
      <w:r w:rsidR="0050689D" w:rsidRPr="0050689D">
        <w:rPr>
          <w:lang w:val="es-ES"/>
        </w:rPr>
        <w:t>"</w:t>
      </w:r>
      <w:hyperlink r:id="rId14" w:history="1">
        <w:r w:rsidRPr="0050689D">
          <w:rPr>
            <w:rStyle w:val="Hyperlink"/>
            <w:lang w:val="es-ES"/>
          </w:rPr>
          <w:t>Space Sustainability Gateway</w:t>
        </w:r>
      </w:hyperlink>
      <w:r w:rsidR="0050689D" w:rsidRPr="0050689D">
        <w:rPr>
          <w:lang w:val="es-ES"/>
        </w:rPr>
        <w:t>"</w:t>
      </w:r>
      <w:r w:rsidRPr="0050689D">
        <w:rPr>
          <w:lang w:val="es-ES"/>
        </w:rPr>
        <w:t xml:space="preserve"> es el portal de la UIT dedicado a la sostenibilidad espacial. La creación y actualización periódica de este portal responden a la </w:t>
      </w:r>
      <w:hyperlink r:id="rId15" w:history="1">
        <w:r w:rsidRPr="0050689D">
          <w:rPr>
            <w:rStyle w:val="Hyperlink"/>
            <w:lang w:val="es-ES"/>
          </w:rPr>
          <w:t>Resolución</w:t>
        </w:r>
        <w:r w:rsidR="0050689D" w:rsidRPr="0050689D">
          <w:rPr>
            <w:rStyle w:val="Hyperlink"/>
            <w:lang w:val="es-ES"/>
          </w:rPr>
          <w:t> </w:t>
        </w:r>
        <w:r w:rsidRPr="0050689D">
          <w:rPr>
            <w:rStyle w:val="Hyperlink"/>
            <w:lang w:val="es-ES"/>
          </w:rPr>
          <w:t>219 (Bucarest</w:t>
        </w:r>
        <w:r w:rsidR="0050689D" w:rsidRPr="0050689D">
          <w:rPr>
            <w:rStyle w:val="Hyperlink"/>
            <w:lang w:val="es-ES"/>
          </w:rPr>
          <w:t>,</w:t>
        </w:r>
        <w:r w:rsidRPr="0050689D">
          <w:rPr>
            <w:rStyle w:val="Hyperlink"/>
            <w:lang w:val="es-ES"/>
          </w:rPr>
          <w:t xml:space="preserve"> 2022)</w:t>
        </w:r>
      </w:hyperlink>
      <w:r w:rsidRPr="0050689D">
        <w:rPr>
          <w:lang w:val="es-ES"/>
        </w:rPr>
        <w:t xml:space="preserve"> y a la </w:t>
      </w:r>
      <w:hyperlink r:id="rId16" w:history="1">
        <w:r w:rsidRPr="0050689D">
          <w:rPr>
            <w:rStyle w:val="Hyperlink"/>
            <w:lang w:val="es-ES"/>
          </w:rPr>
          <w:t>Resolución</w:t>
        </w:r>
        <w:r w:rsidR="0050689D">
          <w:rPr>
            <w:rStyle w:val="Hyperlink"/>
            <w:lang w:val="es-ES"/>
          </w:rPr>
          <w:t> </w:t>
        </w:r>
        <w:r w:rsidRPr="0050689D">
          <w:rPr>
            <w:rStyle w:val="Hyperlink"/>
            <w:lang w:val="es-ES"/>
          </w:rPr>
          <w:t>UIT-R 74 (2023)</w:t>
        </w:r>
      </w:hyperlink>
      <w:r w:rsidRPr="0050689D">
        <w:rPr>
          <w:lang w:val="es-ES"/>
        </w:rPr>
        <w:t>, cuyo objetivo es facilitar el acceso, la divulgación y el intercambio de información entre partes interesadas en el espacio. Se invita a los Miembros de la UIT y demás interesados en el tema a presentar información adicional o actualizar sus anteriores aportaciones.</w:t>
      </w:r>
    </w:p>
    <w:p w14:paraId="5EB9F279" w14:textId="3C249552" w:rsidR="00760C5C" w:rsidRPr="0050689D" w:rsidRDefault="00760C5C" w:rsidP="000131BF">
      <w:pPr>
        <w:jc w:val="both"/>
        <w:rPr>
          <w:lang w:val="es-ES"/>
        </w:rPr>
      </w:pPr>
      <w:r w:rsidRPr="0050689D">
        <w:rPr>
          <w:lang w:val="es-ES"/>
        </w:rPr>
        <w:t xml:space="preserve">Estas actividades se llevan a cabo en el marco de </w:t>
      </w:r>
      <w:r w:rsidR="0050689D" w:rsidRPr="0050689D">
        <w:rPr>
          <w:lang w:val="es-ES"/>
        </w:rPr>
        <w:t>"</w:t>
      </w:r>
      <w:r w:rsidRPr="0050689D">
        <w:rPr>
          <w:lang w:val="es-ES"/>
        </w:rPr>
        <w:t>UnaUIT</w:t>
      </w:r>
      <w:r w:rsidR="0050689D" w:rsidRPr="0050689D">
        <w:rPr>
          <w:lang w:val="es-ES"/>
        </w:rPr>
        <w:t>"</w:t>
      </w:r>
      <w:r w:rsidRPr="0050689D">
        <w:rPr>
          <w:lang w:val="es-ES"/>
        </w:rPr>
        <w:t xml:space="preserve"> gracias a la estrecha cooperación entre la Secretaría General y las tres Oficinas.</w:t>
      </w:r>
    </w:p>
    <w:bookmarkEnd w:id="3"/>
    <w:p w14:paraId="5AC899F0" w14:textId="77777777" w:rsidR="000131BF" w:rsidRDefault="000131BF" w:rsidP="000131BF">
      <w:pPr>
        <w:jc w:val="center"/>
      </w:pPr>
      <w:r>
        <w:t>______________</w:t>
      </w:r>
    </w:p>
    <w:sectPr w:rsidR="000131BF" w:rsidSect="00C538FC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F5EC" w14:textId="77777777" w:rsidR="00381512" w:rsidRDefault="00381512">
      <w:r>
        <w:separator/>
      </w:r>
    </w:p>
  </w:endnote>
  <w:endnote w:type="continuationSeparator" w:id="0">
    <w:p w14:paraId="164FFE75" w14:textId="77777777" w:rsidR="00381512" w:rsidRDefault="0038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xt2 W1G Medium">
    <w:altName w:val="Calibri"/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0F1176D9" w14:textId="77777777" w:rsidTr="00E31DCE">
      <w:trPr>
        <w:jc w:val="center"/>
      </w:trPr>
      <w:tc>
        <w:tcPr>
          <w:tcW w:w="1803" w:type="dxa"/>
          <w:vAlign w:val="center"/>
        </w:tcPr>
        <w:p w14:paraId="03F23C9E" w14:textId="7596805D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760C5C">
            <w:rPr>
              <w:noProof/>
            </w:rPr>
            <w:t>2501225</w:t>
          </w:r>
        </w:p>
      </w:tc>
      <w:tc>
        <w:tcPr>
          <w:tcW w:w="8261" w:type="dxa"/>
        </w:tcPr>
        <w:p w14:paraId="7F0C1F15" w14:textId="2F843458" w:rsidR="003273A4" w:rsidRPr="00E06FD5" w:rsidRDefault="003273A4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760C5C">
            <w:rPr>
              <w:bCs/>
            </w:rPr>
            <w:t>36</w:t>
          </w:r>
          <w:r w:rsidRPr="00623AE3">
            <w:rPr>
              <w:bCs/>
            </w:rPr>
            <w:t>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C090D05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780FD673" w14:textId="77777777" w:rsidTr="00E31DCE">
      <w:trPr>
        <w:jc w:val="center"/>
      </w:trPr>
      <w:tc>
        <w:tcPr>
          <w:tcW w:w="1803" w:type="dxa"/>
          <w:vAlign w:val="center"/>
        </w:tcPr>
        <w:p w14:paraId="3E1A77CA" w14:textId="77777777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18726816" w14:textId="4D98AC04" w:rsidR="00F24B71" w:rsidRPr="00E06FD5" w:rsidRDefault="00F24B71" w:rsidP="00B060DF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</w:t>
          </w:r>
          <w:r w:rsidR="00760C5C">
            <w:rPr>
              <w:bCs/>
            </w:rPr>
            <w:t>36</w:t>
          </w:r>
          <w:r w:rsidRPr="00623AE3">
            <w:rPr>
              <w:bCs/>
            </w:rPr>
            <w:t>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A2FE67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347E8" w14:textId="77777777" w:rsidR="00381512" w:rsidRDefault="00381512">
      <w:r>
        <w:t>____________________</w:t>
      </w:r>
    </w:p>
  </w:footnote>
  <w:footnote w:type="continuationSeparator" w:id="0">
    <w:p w14:paraId="168AFA50" w14:textId="77777777" w:rsidR="00381512" w:rsidRDefault="0038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5F33DC4F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64451975" w14:textId="77777777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73AC853F" wp14:editId="3C80A4CB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49EE8A13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6397A1A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3ED098" wp14:editId="3AD530AF">
              <wp:simplePos x="0" y="0"/>
              <wp:positionH relativeFrom="page">
                <wp:posOffset>13005</wp:posOffset>
              </wp:positionH>
              <wp:positionV relativeFrom="topMargin">
                <wp:posOffset>659765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9824B2" id="Rectangle 5" o:spid="_x0000_s1026" style="position:absolute;margin-left:1pt;margin-top:51.9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E74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9046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0C1C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88DC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B67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469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A4AB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7643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06D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9C89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109EF"/>
    <w:multiLevelType w:val="hybridMultilevel"/>
    <w:tmpl w:val="86669A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C0C49BB"/>
    <w:multiLevelType w:val="multilevel"/>
    <w:tmpl w:val="ED8242E2"/>
    <w:lvl w:ilvl="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12" w15:restartNumberingAfterBreak="0">
    <w:nsid w:val="0EC661AC"/>
    <w:multiLevelType w:val="hybridMultilevel"/>
    <w:tmpl w:val="C2109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4627D"/>
    <w:multiLevelType w:val="hybridMultilevel"/>
    <w:tmpl w:val="18B8BC6A"/>
    <w:lvl w:ilvl="0" w:tplc="4470D6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A12A1"/>
    <w:multiLevelType w:val="hybridMultilevel"/>
    <w:tmpl w:val="16E47880"/>
    <w:lvl w:ilvl="0" w:tplc="A45A9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5434F"/>
    <w:multiLevelType w:val="hybridMultilevel"/>
    <w:tmpl w:val="FB3C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D55EF3"/>
    <w:multiLevelType w:val="hybridMultilevel"/>
    <w:tmpl w:val="C624E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F1056"/>
    <w:multiLevelType w:val="hybridMultilevel"/>
    <w:tmpl w:val="987E83A4"/>
    <w:lvl w:ilvl="0" w:tplc="A1468D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EC5"/>
    <w:multiLevelType w:val="hybridMultilevel"/>
    <w:tmpl w:val="93C8D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D4955"/>
    <w:multiLevelType w:val="hybridMultilevel"/>
    <w:tmpl w:val="6820F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40707D"/>
    <w:multiLevelType w:val="hybridMultilevel"/>
    <w:tmpl w:val="6DCEF7B6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2EAE07F4"/>
    <w:multiLevelType w:val="hybridMultilevel"/>
    <w:tmpl w:val="15EC7458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0B25223"/>
    <w:multiLevelType w:val="hybridMultilevel"/>
    <w:tmpl w:val="3B4AD15C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55547F7"/>
    <w:multiLevelType w:val="hybridMultilevel"/>
    <w:tmpl w:val="ED56B542"/>
    <w:lvl w:ilvl="0" w:tplc="972C2006">
      <w:numFmt w:val="bullet"/>
      <w:lvlText w:val="•"/>
      <w:lvlJc w:val="left"/>
      <w:pPr>
        <w:ind w:left="1080" w:hanging="72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4052A"/>
    <w:multiLevelType w:val="hybridMultilevel"/>
    <w:tmpl w:val="FFFFFFFF"/>
    <w:lvl w:ilvl="0" w:tplc="D79AD75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211787"/>
    <w:multiLevelType w:val="hybridMultilevel"/>
    <w:tmpl w:val="88CE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55373E"/>
    <w:multiLevelType w:val="hybridMultilevel"/>
    <w:tmpl w:val="FF6A2248"/>
    <w:lvl w:ilvl="0" w:tplc="2A488C6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30492"/>
    <w:multiLevelType w:val="hybridMultilevel"/>
    <w:tmpl w:val="1E3C32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FA37C1"/>
    <w:multiLevelType w:val="multilevel"/>
    <w:tmpl w:val="6D608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5E57D6"/>
    <w:multiLevelType w:val="hybridMultilevel"/>
    <w:tmpl w:val="1BD8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894D35"/>
    <w:multiLevelType w:val="multilevel"/>
    <w:tmpl w:val="DC82F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9D24DF8"/>
    <w:multiLevelType w:val="hybridMultilevel"/>
    <w:tmpl w:val="AEB00898"/>
    <w:lvl w:ilvl="0" w:tplc="307C8680">
      <w:start w:val="1"/>
      <w:numFmt w:val="decimal"/>
      <w:lvlText w:val="%1"/>
      <w:lvlJc w:val="left"/>
      <w:pPr>
        <w:ind w:left="113" w:hanging="56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414042"/>
        <w:w w:val="100"/>
        <w:sz w:val="18"/>
        <w:szCs w:val="18"/>
        <w:lang w:val="en-US" w:eastAsia="en-US" w:bidi="ar-SA"/>
      </w:rPr>
    </w:lvl>
    <w:lvl w:ilvl="1" w:tplc="5EB0EFEC">
      <w:numFmt w:val="bullet"/>
      <w:lvlText w:val="•"/>
      <w:lvlJc w:val="left"/>
      <w:pPr>
        <w:ind w:left="811" w:hanging="567"/>
      </w:pPr>
      <w:rPr>
        <w:rFonts w:hint="default"/>
        <w:lang w:val="en-US" w:eastAsia="en-US" w:bidi="ar-SA"/>
      </w:rPr>
    </w:lvl>
    <w:lvl w:ilvl="2" w:tplc="E1C019BC">
      <w:numFmt w:val="bullet"/>
      <w:lvlText w:val="•"/>
      <w:lvlJc w:val="left"/>
      <w:pPr>
        <w:ind w:left="1502" w:hanging="567"/>
      </w:pPr>
      <w:rPr>
        <w:rFonts w:hint="default"/>
        <w:lang w:val="en-US" w:eastAsia="en-US" w:bidi="ar-SA"/>
      </w:rPr>
    </w:lvl>
    <w:lvl w:ilvl="3" w:tplc="AEF2ED0C">
      <w:numFmt w:val="bullet"/>
      <w:lvlText w:val="•"/>
      <w:lvlJc w:val="left"/>
      <w:pPr>
        <w:ind w:left="2193" w:hanging="567"/>
      </w:pPr>
      <w:rPr>
        <w:rFonts w:hint="default"/>
        <w:lang w:val="en-US" w:eastAsia="en-US" w:bidi="ar-SA"/>
      </w:rPr>
    </w:lvl>
    <w:lvl w:ilvl="4" w:tplc="87DEEB4C">
      <w:numFmt w:val="bullet"/>
      <w:lvlText w:val="•"/>
      <w:lvlJc w:val="left"/>
      <w:pPr>
        <w:ind w:left="2884" w:hanging="567"/>
      </w:pPr>
      <w:rPr>
        <w:rFonts w:hint="default"/>
        <w:lang w:val="en-US" w:eastAsia="en-US" w:bidi="ar-SA"/>
      </w:rPr>
    </w:lvl>
    <w:lvl w:ilvl="5" w:tplc="524C7F5C">
      <w:numFmt w:val="bullet"/>
      <w:lvlText w:val="•"/>
      <w:lvlJc w:val="left"/>
      <w:pPr>
        <w:ind w:left="3575" w:hanging="567"/>
      </w:pPr>
      <w:rPr>
        <w:rFonts w:hint="default"/>
        <w:lang w:val="en-US" w:eastAsia="en-US" w:bidi="ar-SA"/>
      </w:rPr>
    </w:lvl>
    <w:lvl w:ilvl="6" w:tplc="65D88304">
      <w:numFmt w:val="bullet"/>
      <w:lvlText w:val="•"/>
      <w:lvlJc w:val="left"/>
      <w:pPr>
        <w:ind w:left="4266" w:hanging="567"/>
      </w:pPr>
      <w:rPr>
        <w:rFonts w:hint="default"/>
        <w:lang w:val="en-US" w:eastAsia="en-US" w:bidi="ar-SA"/>
      </w:rPr>
    </w:lvl>
    <w:lvl w:ilvl="7" w:tplc="AFBC2FF8">
      <w:numFmt w:val="bullet"/>
      <w:lvlText w:val="•"/>
      <w:lvlJc w:val="left"/>
      <w:pPr>
        <w:ind w:left="4957" w:hanging="567"/>
      </w:pPr>
      <w:rPr>
        <w:rFonts w:hint="default"/>
        <w:lang w:val="en-US" w:eastAsia="en-US" w:bidi="ar-SA"/>
      </w:rPr>
    </w:lvl>
    <w:lvl w:ilvl="8" w:tplc="88129254">
      <w:numFmt w:val="bullet"/>
      <w:lvlText w:val="•"/>
      <w:lvlJc w:val="left"/>
      <w:pPr>
        <w:ind w:left="5648" w:hanging="567"/>
      </w:pPr>
      <w:rPr>
        <w:rFonts w:hint="default"/>
        <w:lang w:val="en-US" w:eastAsia="en-US" w:bidi="ar-SA"/>
      </w:rPr>
    </w:lvl>
  </w:abstractNum>
  <w:abstractNum w:abstractNumId="32" w15:restartNumberingAfterBreak="0">
    <w:nsid w:val="4D3A5FC8"/>
    <w:multiLevelType w:val="hybridMultilevel"/>
    <w:tmpl w:val="95E2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57041"/>
    <w:multiLevelType w:val="multilevel"/>
    <w:tmpl w:val="B97A24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8DB7FC9"/>
    <w:multiLevelType w:val="hybridMultilevel"/>
    <w:tmpl w:val="45DC9CA4"/>
    <w:lvl w:ilvl="0" w:tplc="08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4B70DC2"/>
    <w:multiLevelType w:val="hybridMultilevel"/>
    <w:tmpl w:val="15CC9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51CA5"/>
    <w:multiLevelType w:val="hybridMultilevel"/>
    <w:tmpl w:val="53F43E88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6B93360C"/>
    <w:multiLevelType w:val="hybridMultilevel"/>
    <w:tmpl w:val="6D72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26007D"/>
    <w:multiLevelType w:val="multilevel"/>
    <w:tmpl w:val="DC82F6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0ED0C9B"/>
    <w:multiLevelType w:val="hybridMultilevel"/>
    <w:tmpl w:val="B3BE1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007011"/>
    <w:multiLevelType w:val="multilevel"/>
    <w:tmpl w:val="F4EED7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8F7977"/>
    <w:multiLevelType w:val="hybridMultilevel"/>
    <w:tmpl w:val="546C2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F38AE"/>
    <w:multiLevelType w:val="hybridMultilevel"/>
    <w:tmpl w:val="2262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059581">
    <w:abstractNumId w:val="9"/>
  </w:num>
  <w:num w:numId="2" w16cid:durableId="6963513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1139729">
    <w:abstractNumId w:val="33"/>
  </w:num>
  <w:num w:numId="4" w16cid:durableId="287244509">
    <w:abstractNumId w:val="38"/>
  </w:num>
  <w:num w:numId="5" w16cid:durableId="1469518135">
    <w:abstractNumId w:val="10"/>
  </w:num>
  <w:num w:numId="6" w16cid:durableId="201410280">
    <w:abstractNumId w:val="30"/>
  </w:num>
  <w:num w:numId="7" w16cid:durableId="2128889">
    <w:abstractNumId w:val="40"/>
  </w:num>
  <w:num w:numId="8" w16cid:durableId="1675456769">
    <w:abstractNumId w:val="25"/>
  </w:num>
  <w:num w:numId="9" w16cid:durableId="80954182">
    <w:abstractNumId w:val="24"/>
  </w:num>
  <w:num w:numId="10" w16cid:durableId="449130035">
    <w:abstractNumId w:val="21"/>
  </w:num>
  <w:num w:numId="11" w16cid:durableId="157767636">
    <w:abstractNumId w:val="20"/>
  </w:num>
  <w:num w:numId="12" w16cid:durableId="680157681">
    <w:abstractNumId w:val="26"/>
  </w:num>
  <w:num w:numId="13" w16cid:durableId="901788499">
    <w:abstractNumId w:val="17"/>
  </w:num>
  <w:num w:numId="14" w16cid:durableId="565577822">
    <w:abstractNumId w:val="28"/>
  </w:num>
  <w:num w:numId="15" w16cid:durableId="511460361">
    <w:abstractNumId w:val="35"/>
  </w:num>
  <w:num w:numId="16" w16cid:durableId="1094326912">
    <w:abstractNumId w:val="23"/>
  </w:num>
  <w:num w:numId="17" w16cid:durableId="1365911263">
    <w:abstractNumId w:val="19"/>
  </w:num>
  <w:num w:numId="18" w16cid:durableId="1653874658">
    <w:abstractNumId w:val="32"/>
  </w:num>
  <w:num w:numId="19" w16cid:durableId="1454396219">
    <w:abstractNumId w:val="37"/>
  </w:num>
  <w:num w:numId="20" w16cid:durableId="1148936668">
    <w:abstractNumId w:val="12"/>
  </w:num>
  <w:num w:numId="21" w16cid:durableId="2038070880">
    <w:abstractNumId w:val="41"/>
  </w:num>
  <w:num w:numId="22" w16cid:durableId="1833138598">
    <w:abstractNumId w:val="27"/>
  </w:num>
  <w:num w:numId="23" w16cid:durableId="358315546">
    <w:abstractNumId w:val="39"/>
  </w:num>
  <w:num w:numId="24" w16cid:durableId="371659713">
    <w:abstractNumId w:val="18"/>
  </w:num>
  <w:num w:numId="25" w16cid:durableId="153450969">
    <w:abstractNumId w:val="31"/>
  </w:num>
  <w:num w:numId="26" w16cid:durableId="1407220128">
    <w:abstractNumId w:val="36"/>
  </w:num>
  <w:num w:numId="27" w16cid:durableId="1051535970">
    <w:abstractNumId w:val="14"/>
  </w:num>
  <w:num w:numId="28" w16cid:durableId="585387049">
    <w:abstractNumId w:val="11"/>
  </w:num>
  <w:num w:numId="29" w16cid:durableId="1963539538">
    <w:abstractNumId w:val="13"/>
  </w:num>
  <w:num w:numId="30" w16cid:durableId="1608073689">
    <w:abstractNumId w:val="42"/>
  </w:num>
  <w:num w:numId="31" w16cid:durableId="1724207281">
    <w:abstractNumId w:val="16"/>
  </w:num>
  <w:num w:numId="32" w16cid:durableId="1781679201">
    <w:abstractNumId w:val="15"/>
  </w:num>
  <w:num w:numId="33" w16cid:durableId="26805729">
    <w:abstractNumId w:val="29"/>
  </w:num>
  <w:num w:numId="34" w16cid:durableId="929659155">
    <w:abstractNumId w:val="7"/>
  </w:num>
  <w:num w:numId="35" w16cid:durableId="729233264">
    <w:abstractNumId w:val="6"/>
  </w:num>
  <w:num w:numId="36" w16cid:durableId="2094080102">
    <w:abstractNumId w:val="5"/>
  </w:num>
  <w:num w:numId="37" w16cid:durableId="262081540">
    <w:abstractNumId w:val="4"/>
  </w:num>
  <w:num w:numId="38" w16cid:durableId="746609561">
    <w:abstractNumId w:val="8"/>
  </w:num>
  <w:num w:numId="39" w16cid:durableId="1305430644">
    <w:abstractNumId w:val="3"/>
  </w:num>
  <w:num w:numId="40" w16cid:durableId="299044826">
    <w:abstractNumId w:val="2"/>
  </w:num>
  <w:num w:numId="41" w16cid:durableId="1546141789">
    <w:abstractNumId w:val="1"/>
  </w:num>
  <w:num w:numId="42" w16cid:durableId="1897811160">
    <w:abstractNumId w:val="0"/>
  </w:num>
  <w:num w:numId="43" w16cid:durableId="1103501416">
    <w:abstractNumId w:val="22"/>
  </w:num>
  <w:num w:numId="44" w16cid:durableId="22472557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12"/>
    <w:rsid w:val="000007D1"/>
    <w:rsid w:val="000131BF"/>
    <w:rsid w:val="0006007D"/>
    <w:rsid w:val="00093EEB"/>
    <w:rsid w:val="000B0D00"/>
    <w:rsid w:val="000B7C15"/>
    <w:rsid w:val="000D1D0F"/>
    <w:rsid w:val="000E3F07"/>
    <w:rsid w:val="000F5290"/>
    <w:rsid w:val="0010165C"/>
    <w:rsid w:val="00146BFB"/>
    <w:rsid w:val="001559F5"/>
    <w:rsid w:val="00157AC4"/>
    <w:rsid w:val="0016169C"/>
    <w:rsid w:val="001B6E2B"/>
    <w:rsid w:val="001F14A2"/>
    <w:rsid w:val="002801AA"/>
    <w:rsid w:val="002946E2"/>
    <w:rsid w:val="002B46AA"/>
    <w:rsid w:val="002C3F32"/>
    <w:rsid w:val="002C4676"/>
    <w:rsid w:val="002C70B0"/>
    <w:rsid w:val="002F3CC4"/>
    <w:rsid w:val="003032E2"/>
    <w:rsid w:val="0031300A"/>
    <w:rsid w:val="003273A4"/>
    <w:rsid w:val="0034796E"/>
    <w:rsid w:val="00381512"/>
    <w:rsid w:val="00473962"/>
    <w:rsid w:val="00484550"/>
    <w:rsid w:val="004B5D49"/>
    <w:rsid w:val="004D3A3C"/>
    <w:rsid w:val="0050689D"/>
    <w:rsid w:val="00513630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481D"/>
    <w:rsid w:val="0064731F"/>
    <w:rsid w:val="00664572"/>
    <w:rsid w:val="00666D09"/>
    <w:rsid w:val="006710F6"/>
    <w:rsid w:val="00677A97"/>
    <w:rsid w:val="00685E59"/>
    <w:rsid w:val="006C1B56"/>
    <w:rsid w:val="006D4761"/>
    <w:rsid w:val="00726872"/>
    <w:rsid w:val="00760C5C"/>
    <w:rsid w:val="00760F1C"/>
    <w:rsid w:val="007657F0"/>
    <w:rsid w:val="0077110E"/>
    <w:rsid w:val="0077252D"/>
    <w:rsid w:val="007955DA"/>
    <w:rsid w:val="007E5DD3"/>
    <w:rsid w:val="007F350B"/>
    <w:rsid w:val="00820BE4"/>
    <w:rsid w:val="008451E8"/>
    <w:rsid w:val="008933DD"/>
    <w:rsid w:val="008F6ABC"/>
    <w:rsid w:val="00913B9C"/>
    <w:rsid w:val="00927F93"/>
    <w:rsid w:val="00956E77"/>
    <w:rsid w:val="009623C2"/>
    <w:rsid w:val="009A338E"/>
    <w:rsid w:val="009F4811"/>
    <w:rsid w:val="00A25B75"/>
    <w:rsid w:val="00A3389D"/>
    <w:rsid w:val="00A94438"/>
    <w:rsid w:val="00AA390C"/>
    <w:rsid w:val="00B0200A"/>
    <w:rsid w:val="00B060DF"/>
    <w:rsid w:val="00B574DB"/>
    <w:rsid w:val="00B826C2"/>
    <w:rsid w:val="00B8298E"/>
    <w:rsid w:val="00BB6FD8"/>
    <w:rsid w:val="00BD0723"/>
    <w:rsid w:val="00BD2518"/>
    <w:rsid w:val="00BF1D1C"/>
    <w:rsid w:val="00C20C59"/>
    <w:rsid w:val="00C2727F"/>
    <w:rsid w:val="00C538FC"/>
    <w:rsid w:val="00C55B1F"/>
    <w:rsid w:val="00CF1A67"/>
    <w:rsid w:val="00D2750E"/>
    <w:rsid w:val="00D375E0"/>
    <w:rsid w:val="00D50A36"/>
    <w:rsid w:val="00D62446"/>
    <w:rsid w:val="00DA4EA2"/>
    <w:rsid w:val="00DC3D3E"/>
    <w:rsid w:val="00DD1A91"/>
    <w:rsid w:val="00DE2C90"/>
    <w:rsid w:val="00DE3B24"/>
    <w:rsid w:val="00E06947"/>
    <w:rsid w:val="00E11319"/>
    <w:rsid w:val="00E21444"/>
    <w:rsid w:val="00E25355"/>
    <w:rsid w:val="00E34072"/>
    <w:rsid w:val="00E3592D"/>
    <w:rsid w:val="00E50D76"/>
    <w:rsid w:val="00E8018B"/>
    <w:rsid w:val="00E92DE8"/>
    <w:rsid w:val="00EB1212"/>
    <w:rsid w:val="00ED65AB"/>
    <w:rsid w:val="00F12850"/>
    <w:rsid w:val="00F24B71"/>
    <w:rsid w:val="00F33BF4"/>
    <w:rsid w:val="00F7105E"/>
    <w:rsid w:val="00F75F57"/>
    <w:rsid w:val="00F82FEE"/>
    <w:rsid w:val="00F92BED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A411333"/>
  <w15:docId w15:val="{BB6421E2-609D-47A7-BD57-553367F1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link w:val="Foot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0B0D00"/>
    <w:rPr>
      <w:position w:val="6"/>
      <w:sz w:val="16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qFormat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uiPriority w:val="99"/>
    <w:rsid w:val="000131BF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92BED"/>
    <w:pPr>
      <w:framePr w:hSpace="181" w:wrap="around" w:vAnchor="page" w:hAnchor="page" w:x="1821" w:y="2314"/>
      <w:spacing w:before="120" w:after="160"/>
      <w:jc w:val="left"/>
    </w:pPr>
    <w:rPr>
      <w:rFonts w:cstheme="minorHAnsi"/>
      <w:caps w:val="0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Object">
    <w:name w:val="Object"/>
    <w:basedOn w:val="Subject"/>
    <w:next w:val="Subject"/>
    <w:rsid w:val="00760C5C"/>
    <w:pPr>
      <w:tabs>
        <w:tab w:val="clear" w:pos="709"/>
      </w:tabs>
      <w:ind w:left="1134" w:hanging="1134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60C5C"/>
    <w:rPr>
      <w:rFonts w:ascii="Calibri" w:hAnsi="Calibri"/>
      <w:b/>
      <w:sz w:val="28"/>
      <w:lang w:val="es-ES_tradnl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60C5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0C5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760C5C"/>
    <w:rPr>
      <w:rFonts w:ascii="Calibri" w:hAnsi="Calibri"/>
      <w:b/>
      <w:sz w:val="24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60C5C"/>
    <w:rPr>
      <w:rFonts w:ascii="Calibri" w:hAnsi="Calibri"/>
      <w:b/>
      <w:sz w:val="24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760C5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Theme="minorEastAsia" w:cs="Calibri"/>
      <w:sz w:val="22"/>
      <w:szCs w:val="22"/>
      <w:lang w:val="en-US"/>
      <w14:ligatures w14:val="standardContextual"/>
    </w:rPr>
  </w:style>
  <w:style w:type="paragraph" w:customStyle="1" w:styleId="msonormal0">
    <w:name w:val="msonormal"/>
    <w:basedOn w:val="Normal"/>
    <w:rsid w:val="00760C5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GB" w:eastAsia="en-GB"/>
    </w:rPr>
  </w:style>
  <w:style w:type="table" w:styleId="GridTable3-Accent1">
    <w:name w:val="Grid Table 3 Accent 1"/>
    <w:basedOn w:val="TableNormal"/>
    <w:uiPriority w:val="48"/>
    <w:rsid w:val="00760C5C"/>
    <w:rPr>
      <w:rFonts w:asciiTheme="minorHAnsi" w:eastAsia="SimSun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5Dark-Accent5">
    <w:name w:val="Grid Table 5 Dark Accent 5"/>
    <w:basedOn w:val="TableNormal"/>
    <w:uiPriority w:val="50"/>
    <w:rsid w:val="00760C5C"/>
    <w:rPr>
      <w:rFonts w:asciiTheme="minorHAnsi" w:eastAsia="SimSun" w:hAnsiTheme="minorHAnsi" w:cstheme="minorBidi"/>
      <w:kern w:val="2"/>
      <w:sz w:val="22"/>
      <w:szCs w:val="22"/>
      <w:lang w:val="en-GB" w:eastAsia="en-US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FootnoteTextChar">
    <w:name w:val="Footnote Text Char"/>
    <w:aliases w:val="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760C5C"/>
    <w:rPr>
      <w:rFonts w:ascii="Calibri" w:hAnsi="Calibri"/>
      <w:sz w:val="24"/>
      <w:lang w:val="es-ES_tradnl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60C5C"/>
    <w:rPr>
      <w:rFonts w:ascii="Calibri" w:hAnsi="Calibri"/>
      <w:caps/>
      <w:noProof/>
      <w:sz w:val="16"/>
      <w:lang w:val="es-ES_tradnl" w:eastAsia="en-US"/>
    </w:rPr>
  </w:style>
  <w:style w:type="character" w:customStyle="1" w:styleId="ui-provider">
    <w:name w:val="ui-provider"/>
    <w:basedOn w:val="DefaultParagraphFont"/>
    <w:rsid w:val="00760C5C"/>
  </w:style>
  <w:style w:type="paragraph" w:customStyle="1" w:styleId="xl65">
    <w:name w:val="xl65"/>
    <w:basedOn w:val="Normal"/>
    <w:rsid w:val="00760C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66">
    <w:name w:val="xl66"/>
    <w:basedOn w:val="Normal"/>
    <w:rsid w:val="00760C5C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67">
    <w:name w:val="xl67"/>
    <w:basedOn w:val="Normal"/>
    <w:rsid w:val="00760C5C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68">
    <w:name w:val="xl68"/>
    <w:basedOn w:val="Normal"/>
    <w:rsid w:val="00760C5C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69">
    <w:name w:val="xl69"/>
    <w:basedOn w:val="Normal"/>
    <w:rsid w:val="00760C5C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70">
    <w:name w:val="xl70"/>
    <w:basedOn w:val="Normal"/>
    <w:rsid w:val="00760C5C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SimSun" w:hAnsi="Times New Roman"/>
      <w:szCs w:val="24"/>
      <w:lang w:val="en-US" w:eastAsia="zh-CN"/>
    </w:rPr>
  </w:style>
  <w:style w:type="paragraph" w:customStyle="1" w:styleId="xl75">
    <w:name w:val="xl75"/>
    <w:basedOn w:val="Normal"/>
    <w:rsid w:val="00760C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SimSun" w:cs="Calibri"/>
      <w:color w:val="000000"/>
      <w:szCs w:val="24"/>
      <w:lang w:val="en-GB" w:eastAsia="en-GB"/>
    </w:rPr>
  </w:style>
  <w:style w:type="paragraph" w:customStyle="1" w:styleId="xl76">
    <w:name w:val="xl76"/>
    <w:basedOn w:val="Normal"/>
    <w:rsid w:val="00760C5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SimSun" w:cs="Calibri"/>
      <w:color w:val="000000"/>
      <w:szCs w:val="24"/>
      <w:lang w:val="en-GB" w:eastAsia="en-GB"/>
    </w:rPr>
  </w:style>
  <w:style w:type="paragraph" w:customStyle="1" w:styleId="xl77">
    <w:name w:val="xl77"/>
    <w:basedOn w:val="Normal"/>
    <w:rsid w:val="00760C5C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 w:cs="Calibri"/>
      <w:color w:val="000000"/>
      <w:szCs w:val="24"/>
      <w:lang w:val="en-GB" w:eastAsia="en-GB"/>
    </w:rPr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"/>
    <w:locked/>
    <w:rsid w:val="00760C5C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table" w:styleId="GridTable4-Accent1">
    <w:name w:val="Grid Table 4 Accent 1"/>
    <w:basedOn w:val="TableNormal"/>
    <w:uiPriority w:val="49"/>
    <w:rsid w:val="00760C5C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760C5C"/>
    <w:rPr>
      <w:rFonts w:ascii="Calibri" w:eastAsiaTheme="minorEastAsia" w:hAnsi="Calibri" w:cs="Calibri"/>
      <w:sz w:val="22"/>
      <w:szCs w:val="22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760C5C"/>
    <w:rPr>
      <w:rFonts w:ascii="Calibri" w:hAnsi="Calibri"/>
      <w:b/>
      <w:sz w:val="24"/>
      <w:lang w:val="es-ES_tradnl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760C5C"/>
    <w:rPr>
      <w:rFonts w:ascii="Calibri" w:hAnsi="Calibri"/>
      <w:b/>
      <w:sz w:val="24"/>
      <w:lang w:val="es-ES_tradnl" w:eastAsia="en-US"/>
    </w:rPr>
  </w:style>
  <w:style w:type="paragraph" w:styleId="BodyText">
    <w:name w:val="Body Text"/>
    <w:basedOn w:val="Normal"/>
    <w:link w:val="BodyTextChar"/>
    <w:uiPriority w:val="99"/>
    <w:unhideWhenUsed/>
    <w:rsid w:val="00760C5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eastAsiaTheme="minorEastAsia" w:hAnsi="Times New Roman"/>
      <w:szCs w:val="24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760C5C"/>
    <w:rPr>
      <w:rFonts w:ascii="Times New Roman" w:eastAsiaTheme="minorEastAsia" w:hAnsi="Times New Roman"/>
      <w:sz w:val="24"/>
      <w:szCs w:val="24"/>
      <w:lang w:eastAsia="en-US"/>
      <w14:ligatures w14:val="standardContextual"/>
    </w:rPr>
  </w:style>
  <w:style w:type="character" w:styleId="CommentReference">
    <w:name w:val="annotation reference"/>
    <w:basedOn w:val="DefaultParagraphFont"/>
    <w:semiHidden/>
    <w:unhideWhenUsed/>
    <w:rsid w:val="00760C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0C5C"/>
    <w:rPr>
      <w:rFonts w:eastAsia="SimSun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60C5C"/>
    <w:rPr>
      <w:rFonts w:ascii="Calibri" w:eastAsia="SimSun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0C5C"/>
    <w:rPr>
      <w:rFonts w:ascii="Calibri" w:eastAsia="SimSun" w:hAnsi="Calibri"/>
      <w:b/>
      <w:bCs/>
      <w:lang w:val="en-GB" w:eastAsia="en-US"/>
    </w:rPr>
  </w:style>
  <w:style w:type="character" w:customStyle="1" w:styleId="apple-converted-space">
    <w:name w:val="apple-converted-space"/>
    <w:basedOn w:val="DefaultParagraphFont"/>
    <w:rsid w:val="00760C5C"/>
  </w:style>
  <w:style w:type="paragraph" w:customStyle="1" w:styleId="Subtitle1">
    <w:name w:val="Subtitle1"/>
    <w:basedOn w:val="Title1"/>
    <w:qFormat/>
    <w:rsid w:val="00760C5C"/>
    <w:pPr>
      <w:framePr w:hSpace="180" w:wrap="around" w:hAnchor="text" w:x="1821" w:y="2317"/>
      <w:spacing w:before="120" w:after="160"/>
      <w:jc w:val="left"/>
    </w:pPr>
    <w:rPr>
      <w:caps w:val="0"/>
      <w:sz w:val="32"/>
      <w:szCs w:val="32"/>
      <w:lang w:val="en-GB"/>
    </w:rPr>
  </w:style>
  <w:style w:type="character" w:styleId="Mention">
    <w:name w:val="Mention"/>
    <w:basedOn w:val="DefaultParagraphFont"/>
    <w:uiPriority w:val="99"/>
    <w:unhideWhenUsed/>
    <w:rsid w:val="00760C5C"/>
    <w:rPr>
      <w:color w:val="2B579A"/>
      <w:shd w:val="clear" w:color="auto" w:fill="E1DFDD"/>
    </w:rPr>
  </w:style>
  <w:style w:type="paragraph" w:customStyle="1" w:styleId="Legend">
    <w:name w:val="Legend"/>
    <w:basedOn w:val="Normal"/>
    <w:rsid w:val="00760C5C"/>
    <w:pPr>
      <w:keepNext/>
      <w:tabs>
        <w:tab w:val="left" w:pos="540"/>
      </w:tabs>
      <w:spacing w:before="480"/>
    </w:pPr>
    <w:rPr>
      <w:rFonts w:asciiTheme="minorHAnsi" w:hAnsiTheme="minorHAnsi" w:cstheme="minorHAnsi"/>
      <w:b/>
      <w:bCs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-2023/RES-218-S.pdf" TargetMode="External"/><Relationship Id="rId13" Type="http://schemas.openxmlformats.org/officeDocument/2006/relationships/hyperlink" Target="https://www.itu.int/space-connect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ssf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dms_pub/itu-r/opb/res/R-RES-R.74-2023-PDF-s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5-CL-INF-0003/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council/Documents/basic-texts-2023/RES-219-S.pdf" TargetMode="External"/><Relationship Id="rId10" Type="http://schemas.openxmlformats.org/officeDocument/2006/relationships/hyperlink" Target="https://www.itu.int/md/S24-CL-C-0036/es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3-CL-C-0058/es" TargetMode="External"/><Relationship Id="rId14" Type="http://schemas.openxmlformats.org/officeDocument/2006/relationships/hyperlink" Target="https://www.itu.int/space-sustainability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GS\PS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054E0-67BC-4AFB-AD93-3F5F86DC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PS_Council25.dotx</Template>
  <TotalTime>1</TotalTime>
  <Pages>3</Pages>
  <Words>1140</Words>
  <Characters>6766</Characters>
  <Application>Microsoft Office Word</Application>
  <DocSecurity>0</DocSecurity>
  <Lines>120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7853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Función de la UIT en la aplicación de la agenda "Espacio2030": el espacio como motor del desarrollo sostenible, así como de sus procesos de seguimiento y examen</dc:title>
  <dc:subject>Consejo 2025 de la UIT</dc:subject>
  <cp:keywords>C2025, C25, Council-25</cp:keywords>
  <dc:description/>
  <cp:lastPrinted>2006-03-24T09:51:00Z</cp:lastPrinted>
  <dcterms:created xsi:type="dcterms:W3CDTF">2025-05-29T14:16:00Z</dcterms:created>
  <dcterms:modified xsi:type="dcterms:W3CDTF">2025-05-29T14:16:00Z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