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5E0B02" w14:paraId="2592CC74" w14:textId="77777777" w:rsidTr="00D72F49">
        <w:trPr>
          <w:cantSplit/>
          <w:trHeight w:val="23"/>
        </w:trPr>
        <w:tc>
          <w:tcPr>
            <w:tcW w:w="3969" w:type="dxa"/>
            <w:vMerge w:val="restart"/>
            <w:tcMar>
              <w:left w:w="0" w:type="dxa"/>
            </w:tcMar>
          </w:tcPr>
          <w:p w14:paraId="27E56DEB" w14:textId="2EA640F1" w:rsidR="00D72F49" w:rsidRPr="005E0B02" w:rsidRDefault="00D72F49" w:rsidP="00D72F49">
            <w:pPr>
              <w:tabs>
                <w:tab w:val="left" w:pos="851"/>
              </w:tabs>
              <w:spacing w:before="0" w:line="240" w:lineRule="atLeast"/>
              <w:rPr>
                <w:b/>
              </w:rPr>
            </w:pPr>
            <w:r w:rsidRPr="005E0B02">
              <w:rPr>
                <w:b/>
              </w:rPr>
              <w:t>Point de l'ordre du jour:</w:t>
            </w:r>
            <w:r w:rsidR="00802D88" w:rsidRPr="005E0B02">
              <w:rPr>
                <w:b/>
              </w:rPr>
              <w:t xml:space="preserve"> PL 2</w:t>
            </w:r>
          </w:p>
        </w:tc>
        <w:tc>
          <w:tcPr>
            <w:tcW w:w="5245" w:type="dxa"/>
          </w:tcPr>
          <w:p w14:paraId="27B6A98A" w14:textId="791F574E" w:rsidR="00D72F49" w:rsidRPr="005E0B02" w:rsidRDefault="00D72F49" w:rsidP="00D72F49">
            <w:pPr>
              <w:tabs>
                <w:tab w:val="left" w:pos="851"/>
              </w:tabs>
              <w:spacing w:before="0" w:line="240" w:lineRule="atLeast"/>
              <w:jc w:val="right"/>
              <w:rPr>
                <w:b/>
              </w:rPr>
            </w:pPr>
            <w:r w:rsidRPr="005E0B02">
              <w:rPr>
                <w:b/>
              </w:rPr>
              <w:t xml:space="preserve">Document </w:t>
            </w:r>
            <w:r w:rsidR="0001388C" w:rsidRPr="005E0B02">
              <w:rPr>
                <w:b/>
              </w:rPr>
              <w:t>C25</w:t>
            </w:r>
            <w:r w:rsidRPr="005E0B02">
              <w:rPr>
                <w:b/>
              </w:rPr>
              <w:t>/</w:t>
            </w:r>
            <w:r w:rsidR="00802D88" w:rsidRPr="005E0B02">
              <w:rPr>
                <w:b/>
              </w:rPr>
              <w:t>36</w:t>
            </w:r>
            <w:r w:rsidRPr="005E0B02">
              <w:rPr>
                <w:b/>
              </w:rPr>
              <w:t>-F</w:t>
            </w:r>
          </w:p>
        </w:tc>
      </w:tr>
      <w:tr w:rsidR="00D72F49" w:rsidRPr="005E0B02" w14:paraId="41096C77" w14:textId="77777777" w:rsidTr="00D72F49">
        <w:trPr>
          <w:cantSplit/>
        </w:trPr>
        <w:tc>
          <w:tcPr>
            <w:tcW w:w="3969" w:type="dxa"/>
            <w:vMerge/>
          </w:tcPr>
          <w:p w14:paraId="0BBA5643" w14:textId="77777777" w:rsidR="00D72F49" w:rsidRPr="005E0B02" w:rsidRDefault="00D72F49" w:rsidP="00D72F49">
            <w:pPr>
              <w:tabs>
                <w:tab w:val="left" w:pos="851"/>
              </w:tabs>
              <w:spacing w:line="240" w:lineRule="atLeast"/>
              <w:rPr>
                <w:b/>
              </w:rPr>
            </w:pPr>
          </w:p>
        </w:tc>
        <w:tc>
          <w:tcPr>
            <w:tcW w:w="5245" w:type="dxa"/>
          </w:tcPr>
          <w:p w14:paraId="068BECD5" w14:textId="24765143" w:rsidR="00D72F49" w:rsidRPr="005E0B02" w:rsidRDefault="0001388C" w:rsidP="00D72F49">
            <w:pPr>
              <w:tabs>
                <w:tab w:val="left" w:pos="851"/>
              </w:tabs>
              <w:spacing w:before="0"/>
              <w:jc w:val="right"/>
              <w:rPr>
                <w:b/>
              </w:rPr>
            </w:pPr>
            <w:r w:rsidRPr="005E0B02">
              <w:rPr>
                <w:b/>
              </w:rPr>
              <w:t>16 mai 2025</w:t>
            </w:r>
          </w:p>
        </w:tc>
      </w:tr>
      <w:tr w:rsidR="00D72F49" w:rsidRPr="005E0B02" w14:paraId="17E5B988" w14:textId="77777777" w:rsidTr="00D72F49">
        <w:trPr>
          <w:cantSplit/>
          <w:trHeight w:val="23"/>
        </w:trPr>
        <w:tc>
          <w:tcPr>
            <w:tcW w:w="3969" w:type="dxa"/>
            <w:vMerge/>
          </w:tcPr>
          <w:p w14:paraId="2192D6D7" w14:textId="77777777" w:rsidR="00D72F49" w:rsidRPr="005E0B02" w:rsidRDefault="00D72F49" w:rsidP="00D72F49">
            <w:pPr>
              <w:tabs>
                <w:tab w:val="left" w:pos="851"/>
              </w:tabs>
              <w:spacing w:line="240" w:lineRule="atLeast"/>
              <w:rPr>
                <w:b/>
              </w:rPr>
            </w:pPr>
          </w:p>
        </w:tc>
        <w:tc>
          <w:tcPr>
            <w:tcW w:w="5245" w:type="dxa"/>
          </w:tcPr>
          <w:p w14:paraId="1948C622" w14:textId="77777777" w:rsidR="00D72F49" w:rsidRPr="005E0B02" w:rsidRDefault="00D72F49" w:rsidP="00D72F49">
            <w:pPr>
              <w:tabs>
                <w:tab w:val="left" w:pos="851"/>
              </w:tabs>
              <w:spacing w:before="0" w:line="240" w:lineRule="atLeast"/>
              <w:jc w:val="right"/>
              <w:rPr>
                <w:b/>
              </w:rPr>
            </w:pPr>
            <w:r w:rsidRPr="005E0B02">
              <w:rPr>
                <w:b/>
              </w:rPr>
              <w:t>Original: anglais</w:t>
            </w:r>
          </w:p>
        </w:tc>
      </w:tr>
      <w:tr w:rsidR="00D72F49" w:rsidRPr="005E0B02" w14:paraId="53623BEE" w14:textId="77777777" w:rsidTr="00D72F49">
        <w:trPr>
          <w:cantSplit/>
          <w:trHeight w:val="23"/>
        </w:trPr>
        <w:tc>
          <w:tcPr>
            <w:tcW w:w="3969" w:type="dxa"/>
          </w:tcPr>
          <w:p w14:paraId="630B4C34" w14:textId="77777777" w:rsidR="00D72F49" w:rsidRPr="005E0B02" w:rsidRDefault="00D72F49" w:rsidP="00D72F49">
            <w:pPr>
              <w:tabs>
                <w:tab w:val="left" w:pos="851"/>
              </w:tabs>
              <w:spacing w:line="240" w:lineRule="atLeast"/>
              <w:rPr>
                <w:b/>
              </w:rPr>
            </w:pPr>
          </w:p>
        </w:tc>
        <w:tc>
          <w:tcPr>
            <w:tcW w:w="5245" w:type="dxa"/>
          </w:tcPr>
          <w:p w14:paraId="437750C4" w14:textId="77777777" w:rsidR="00D72F49" w:rsidRPr="005E0B02" w:rsidRDefault="00D72F49" w:rsidP="00D72F49">
            <w:pPr>
              <w:tabs>
                <w:tab w:val="left" w:pos="851"/>
              </w:tabs>
              <w:spacing w:before="0" w:line="240" w:lineRule="atLeast"/>
              <w:jc w:val="right"/>
              <w:rPr>
                <w:b/>
              </w:rPr>
            </w:pPr>
          </w:p>
        </w:tc>
      </w:tr>
      <w:tr w:rsidR="00D72F49" w:rsidRPr="005E0B02" w14:paraId="31FFA2A5" w14:textId="77777777" w:rsidTr="00D72F49">
        <w:trPr>
          <w:cantSplit/>
        </w:trPr>
        <w:tc>
          <w:tcPr>
            <w:tcW w:w="9214" w:type="dxa"/>
            <w:gridSpan w:val="2"/>
            <w:tcMar>
              <w:left w:w="0" w:type="dxa"/>
            </w:tcMar>
          </w:tcPr>
          <w:p w14:paraId="7AA1F34C" w14:textId="3E7729BE" w:rsidR="00D72F49" w:rsidRPr="005E0B02" w:rsidRDefault="00D72F49" w:rsidP="00D72F49">
            <w:pPr>
              <w:pStyle w:val="Source"/>
              <w:jc w:val="left"/>
              <w:rPr>
                <w:sz w:val="34"/>
                <w:szCs w:val="34"/>
              </w:rPr>
            </w:pPr>
            <w:r w:rsidRPr="005E0B02">
              <w:rPr>
                <w:rFonts w:cstheme="minorHAnsi"/>
                <w:color w:val="000000"/>
                <w:sz w:val="34"/>
                <w:szCs w:val="34"/>
              </w:rPr>
              <w:t xml:space="preserve">Rapport </w:t>
            </w:r>
            <w:r w:rsidR="00E95647" w:rsidRPr="005E0B02">
              <w:rPr>
                <w:rFonts w:cstheme="minorHAnsi"/>
                <w:color w:val="000000"/>
                <w:sz w:val="34"/>
                <w:szCs w:val="34"/>
              </w:rPr>
              <w:t xml:space="preserve">de la </w:t>
            </w:r>
            <w:r w:rsidRPr="005E0B02">
              <w:rPr>
                <w:rFonts w:cstheme="minorHAnsi"/>
                <w:color w:val="000000"/>
                <w:sz w:val="34"/>
                <w:szCs w:val="34"/>
              </w:rPr>
              <w:t>Secrétaire général</w:t>
            </w:r>
            <w:r w:rsidR="00E95647" w:rsidRPr="005E0B02">
              <w:rPr>
                <w:rFonts w:cstheme="minorHAnsi"/>
                <w:color w:val="000000"/>
                <w:sz w:val="34"/>
                <w:szCs w:val="34"/>
              </w:rPr>
              <w:t>e</w:t>
            </w:r>
          </w:p>
        </w:tc>
      </w:tr>
      <w:tr w:rsidR="00D72F49" w:rsidRPr="005E0B02" w14:paraId="65E7E3D8" w14:textId="77777777" w:rsidTr="00D72F49">
        <w:trPr>
          <w:cantSplit/>
        </w:trPr>
        <w:tc>
          <w:tcPr>
            <w:tcW w:w="9214" w:type="dxa"/>
            <w:gridSpan w:val="2"/>
            <w:tcMar>
              <w:left w:w="0" w:type="dxa"/>
            </w:tcMar>
          </w:tcPr>
          <w:p w14:paraId="370F6D7B" w14:textId="0BAC431B" w:rsidR="00D72F49" w:rsidRPr="005E0B02" w:rsidRDefault="002326CD" w:rsidP="00802D88">
            <w:pPr>
              <w:pStyle w:val="Subtitle"/>
              <w:framePr w:hSpace="0" w:wrap="auto" w:hAnchor="text" w:xAlign="left" w:yAlign="inline"/>
              <w:rPr>
                <w:rFonts w:cstheme="minorHAnsi"/>
                <w:lang w:val="fr-FR"/>
              </w:rPr>
            </w:pPr>
            <w:r w:rsidRPr="005E0B02">
              <w:rPr>
                <w:rFonts w:cstheme="minorHAnsi"/>
                <w:lang w:val="fr-FR"/>
              </w:rPr>
              <w:t>RÔLE DE L'UIT DANS LA MISE EN ŒUVRE DU PROGRAMME "ESPACE 2030" SUR L'ESPACE COMME MOTEUR DE DÉVELOPPEMENT DURABLE, ET DANS LE PROCESSUS</w:t>
            </w:r>
            <w:r>
              <w:rPr>
                <w:rFonts w:cstheme="minorHAnsi"/>
                <w:lang w:val="fr-FR"/>
              </w:rPr>
              <w:t xml:space="preserve"> </w:t>
            </w:r>
            <w:r w:rsidRPr="005E0B02">
              <w:rPr>
                <w:rFonts w:cstheme="minorHAnsi"/>
                <w:lang w:val="fr-FR"/>
              </w:rPr>
              <w:t>DE SUIVI ET D'EXAMEN DE CE PROGRAMME</w:t>
            </w:r>
          </w:p>
        </w:tc>
      </w:tr>
      <w:tr w:rsidR="00D72F49" w:rsidRPr="005E0B02" w14:paraId="2C09D976" w14:textId="77777777" w:rsidTr="00D72F49">
        <w:trPr>
          <w:cantSplit/>
        </w:trPr>
        <w:tc>
          <w:tcPr>
            <w:tcW w:w="9214" w:type="dxa"/>
            <w:gridSpan w:val="2"/>
            <w:tcBorders>
              <w:top w:val="single" w:sz="4" w:space="0" w:color="auto"/>
              <w:bottom w:val="single" w:sz="4" w:space="0" w:color="auto"/>
            </w:tcBorders>
            <w:tcMar>
              <w:left w:w="0" w:type="dxa"/>
            </w:tcMar>
          </w:tcPr>
          <w:p w14:paraId="0C1CBF59" w14:textId="4F1930CB" w:rsidR="00D72F49" w:rsidRPr="005E0B02" w:rsidRDefault="00F37FE5" w:rsidP="00D72F49">
            <w:pPr>
              <w:spacing w:before="160"/>
              <w:rPr>
                <w:b/>
                <w:bCs/>
                <w:sz w:val="26"/>
                <w:szCs w:val="26"/>
              </w:rPr>
            </w:pPr>
            <w:r w:rsidRPr="005E0B02">
              <w:rPr>
                <w:b/>
                <w:bCs/>
                <w:sz w:val="26"/>
                <w:szCs w:val="26"/>
              </w:rPr>
              <w:t>Objet</w:t>
            </w:r>
          </w:p>
          <w:p w14:paraId="45E55FB2" w14:textId="68FFD665" w:rsidR="00D72F49" w:rsidRPr="005E0B02" w:rsidRDefault="00802D88" w:rsidP="00D72F49">
            <w:r w:rsidRPr="005E0B02">
              <w:t>La présente contribution est soumise en application des dispositions concernant l'établissement de rapports énoncées par la Conférence de plénipotentiaires dans sa Résolution 218 (Bucarest, 2022) sur le rôle de l'UIT dans la mise en œuvre du programme "Espace 2030".</w:t>
            </w:r>
          </w:p>
          <w:p w14:paraId="0B950982" w14:textId="77777777" w:rsidR="00D72F49" w:rsidRPr="005E0B02" w:rsidRDefault="00D72F49" w:rsidP="00D72F49">
            <w:pPr>
              <w:spacing w:before="160"/>
              <w:rPr>
                <w:b/>
                <w:bCs/>
                <w:sz w:val="26"/>
                <w:szCs w:val="26"/>
              </w:rPr>
            </w:pPr>
            <w:r w:rsidRPr="005E0B02">
              <w:rPr>
                <w:b/>
                <w:bCs/>
                <w:sz w:val="26"/>
                <w:szCs w:val="26"/>
              </w:rPr>
              <w:t>Suite à donner par le Conseil</w:t>
            </w:r>
          </w:p>
          <w:p w14:paraId="6F9A6B88" w14:textId="551646ED" w:rsidR="00D72F49" w:rsidRPr="005E0B02" w:rsidRDefault="00802D88" w:rsidP="00D72F49">
            <w:r w:rsidRPr="005E0B02">
              <w:t xml:space="preserve">Le Conseil est invité à </w:t>
            </w:r>
            <w:r w:rsidRPr="005E0B02">
              <w:rPr>
                <w:b/>
                <w:bCs/>
              </w:rPr>
              <w:t>prendre note</w:t>
            </w:r>
            <w:r w:rsidRPr="005E0B02">
              <w:t xml:space="preserve"> du présent rapport.</w:t>
            </w:r>
          </w:p>
          <w:p w14:paraId="121C402A" w14:textId="72FCD2FB" w:rsidR="00D72F49" w:rsidRPr="005E0B02" w:rsidRDefault="00D72F49" w:rsidP="00D72F49">
            <w:pPr>
              <w:spacing w:before="160"/>
              <w:rPr>
                <w:b/>
                <w:bCs/>
                <w:sz w:val="26"/>
                <w:szCs w:val="26"/>
              </w:rPr>
            </w:pPr>
            <w:r w:rsidRPr="005E0B02">
              <w:rPr>
                <w:b/>
                <w:bCs/>
                <w:sz w:val="26"/>
                <w:szCs w:val="26"/>
              </w:rPr>
              <w:t xml:space="preserve">Lien pertinent avec le </w:t>
            </w:r>
            <w:r w:rsidR="00F37FE5" w:rsidRPr="005E0B02">
              <w:rPr>
                <w:b/>
                <w:bCs/>
                <w:sz w:val="26"/>
                <w:szCs w:val="26"/>
              </w:rPr>
              <w:t>p</w:t>
            </w:r>
            <w:r w:rsidRPr="005E0B02">
              <w:rPr>
                <w:b/>
                <w:bCs/>
                <w:sz w:val="26"/>
                <w:szCs w:val="26"/>
              </w:rPr>
              <w:t>lan stratégique</w:t>
            </w:r>
          </w:p>
          <w:p w14:paraId="60D63331" w14:textId="133FEF26" w:rsidR="00D72F49" w:rsidRPr="005E0B02" w:rsidRDefault="0001388C" w:rsidP="00D72F49">
            <w:r w:rsidRPr="005E0B02">
              <w:t xml:space="preserve">Priorité thématique – </w:t>
            </w:r>
            <w:r w:rsidR="00802D88" w:rsidRPr="005E0B02">
              <w:t>Utilisation du spectre pour les services spatiaux et les services de Terre.</w:t>
            </w:r>
          </w:p>
          <w:p w14:paraId="11FAADC9" w14:textId="06808E11" w:rsidR="00E95647" w:rsidRPr="005E0B02" w:rsidRDefault="00D72F49" w:rsidP="00D72F49">
            <w:pPr>
              <w:spacing w:before="160"/>
              <w:rPr>
                <w:b/>
                <w:bCs/>
                <w:sz w:val="26"/>
                <w:szCs w:val="26"/>
              </w:rPr>
            </w:pPr>
            <w:r w:rsidRPr="005E0B02">
              <w:rPr>
                <w:b/>
                <w:bCs/>
                <w:sz w:val="26"/>
                <w:szCs w:val="26"/>
              </w:rPr>
              <w:t>Incidences financières</w:t>
            </w:r>
          </w:p>
          <w:p w14:paraId="1476D7E3" w14:textId="09930003" w:rsidR="00D72F49" w:rsidRPr="005E0B02" w:rsidRDefault="00802D88" w:rsidP="00D72F49">
            <w:pPr>
              <w:spacing w:before="160"/>
              <w:rPr>
                <w:sz w:val="26"/>
                <w:szCs w:val="26"/>
              </w:rPr>
            </w:pPr>
            <w:r w:rsidRPr="005E0B02">
              <w:rPr>
                <w:szCs w:val="24"/>
              </w:rPr>
              <w:t>Les coûts sont couverts par le budget alloué pour la période 2024-2025.</w:t>
            </w:r>
          </w:p>
          <w:p w14:paraId="2E44E753" w14:textId="77777777" w:rsidR="00D72F49" w:rsidRPr="005E0B02" w:rsidRDefault="00D72F49" w:rsidP="00D72F49">
            <w:pPr>
              <w:spacing w:before="160"/>
              <w:rPr>
                <w:caps/>
                <w:sz w:val="22"/>
              </w:rPr>
            </w:pPr>
            <w:r w:rsidRPr="005E0B02">
              <w:rPr>
                <w:sz w:val="22"/>
              </w:rPr>
              <w:t>__________________</w:t>
            </w:r>
          </w:p>
          <w:p w14:paraId="246B160C" w14:textId="77777777" w:rsidR="00D72F49" w:rsidRPr="005E0B02" w:rsidRDefault="00D72F49" w:rsidP="00D72F49">
            <w:pPr>
              <w:spacing w:before="160"/>
              <w:rPr>
                <w:b/>
                <w:bCs/>
                <w:sz w:val="26"/>
                <w:szCs w:val="26"/>
              </w:rPr>
            </w:pPr>
            <w:r w:rsidRPr="005E0B02">
              <w:rPr>
                <w:b/>
                <w:bCs/>
                <w:sz w:val="26"/>
                <w:szCs w:val="26"/>
              </w:rPr>
              <w:t>Références</w:t>
            </w:r>
          </w:p>
          <w:p w14:paraId="3B399B5C" w14:textId="35E95772" w:rsidR="00D72F49" w:rsidRPr="005F2F7A" w:rsidRDefault="00802D88" w:rsidP="009812F1">
            <w:pPr>
              <w:spacing w:after="160"/>
              <w:rPr>
                <w:sz w:val="22"/>
                <w:szCs w:val="22"/>
              </w:rPr>
            </w:pPr>
            <w:hyperlink r:id="rId7" w:history="1">
              <w:r w:rsidRPr="005F2F7A">
                <w:rPr>
                  <w:rStyle w:val="Hyperlink"/>
                  <w:i/>
                  <w:iCs/>
                  <w:sz w:val="22"/>
                  <w:szCs w:val="22"/>
                </w:rPr>
                <w:t>Résolution 218 (Bucarest, 2022)</w:t>
              </w:r>
            </w:hyperlink>
            <w:r w:rsidRPr="005F2F7A">
              <w:rPr>
                <w:i/>
                <w:iCs/>
                <w:sz w:val="22"/>
                <w:szCs w:val="22"/>
              </w:rPr>
              <w:t xml:space="preserve"> de la Conférence de plénipotentiaires</w:t>
            </w:r>
            <w:r w:rsidR="005F2F7A" w:rsidRPr="005F2F7A">
              <w:rPr>
                <w:i/>
                <w:iCs/>
                <w:sz w:val="22"/>
                <w:szCs w:val="22"/>
              </w:rPr>
              <w:t xml:space="preserve">; </w:t>
            </w:r>
            <w:r w:rsidRPr="005F2F7A">
              <w:rPr>
                <w:i/>
                <w:iCs/>
                <w:sz w:val="22"/>
                <w:szCs w:val="22"/>
              </w:rPr>
              <w:t>Document</w:t>
            </w:r>
            <w:r w:rsidR="00C149E7" w:rsidRPr="005F2F7A">
              <w:rPr>
                <w:i/>
                <w:iCs/>
                <w:sz w:val="22"/>
                <w:szCs w:val="22"/>
              </w:rPr>
              <w:t>s</w:t>
            </w:r>
            <w:r w:rsidRPr="005F2F7A">
              <w:rPr>
                <w:i/>
                <w:iCs/>
                <w:sz w:val="22"/>
                <w:szCs w:val="22"/>
              </w:rPr>
              <w:t xml:space="preserve"> </w:t>
            </w:r>
            <w:hyperlink r:id="rId8" w:history="1">
              <w:r w:rsidRPr="005F2F7A">
                <w:rPr>
                  <w:rStyle w:val="Hyperlink"/>
                  <w:i/>
                  <w:iCs/>
                  <w:sz w:val="22"/>
                  <w:szCs w:val="22"/>
                </w:rPr>
                <w:t>C23/58</w:t>
              </w:r>
            </w:hyperlink>
            <w:r w:rsidRPr="005F2F7A">
              <w:rPr>
                <w:i/>
                <w:iCs/>
                <w:sz w:val="22"/>
                <w:szCs w:val="22"/>
              </w:rPr>
              <w:t xml:space="preserve"> </w:t>
            </w:r>
            <w:r w:rsidR="00C149E7" w:rsidRPr="005F2F7A">
              <w:rPr>
                <w:i/>
                <w:iCs/>
                <w:sz w:val="22"/>
                <w:szCs w:val="22"/>
              </w:rPr>
              <w:t xml:space="preserve">et </w:t>
            </w:r>
            <w:hyperlink r:id="rId9" w:history="1">
              <w:r w:rsidR="00C149E7" w:rsidRPr="005F2F7A">
                <w:rPr>
                  <w:rStyle w:val="Hyperlink"/>
                  <w:i/>
                  <w:iCs/>
                  <w:sz w:val="22"/>
                  <w:szCs w:val="22"/>
                </w:rPr>
                <w:t>C24/36</w:t>
              </w:r>
            </w:hyperlink>
            <w:r w:rsidR="00C149E7" w:rsidRPr="005F2F7A">
              <w:rPr>
                <w:i/>
                <w:iCs/>
                <w:sz w:val="22"/>
                <w:szCs w:val="22"/>
              </w:rPr>
              <w:t xml:space="preserve"> </w:t>
            </w:r>
            <w:r w:rsidRPr="005F2F7A">
              <w:rPr>
                <w:i/>
                <w:iCs/>
                <w:sz w:val="22"/>
                <w:szCs w:val="22"/>
              </w:rPr>
              <w:t>du Conseil</w:t>
            </w:r>
          </w:p>
        </w:tc>
      </w:tr>
    </w:tbl>
    <w:p w14:paraId="3B7150AC" w14:textId="77777777" w:rsidR="00A51849" w:rsidRPr="005E0B02" w:rsidRDefault="00A51849">
      <w:pPr>
        <w:tabs>
          <w:tab w:val="clear" w:pos="567"/>
          <w:tab w:val="clear" w:pos="1134"/>
          <w:tab w:val="clear" w:pos="1701"/>
          <w:tab w:val="clear" w:pos="2268"/>
          <w:tab w:val="clear" w:pos="2835"/>
        </w:tabs>
        <w:overflowPunct/>
        <w:autoSpaceDE/>
        <w:autoSpaceDN/>
        <w:adjustRightInd/>
        <w:spacing w:before="0"/>
        <w:textAlignment w:val="auto"/>
      </w:pPr>
      <w:r w:rsidRPr="005E0B02">
        <w:br w:type="page"/>
      </w:r>
    </w:p>
    <w:p w14:paraId="17BAB597" w14:textId="77777777" w:rsidR="00802D88" w:rsidRPr="005E0B02" w:rsidRDefault="00802D88" w:rsidP="00802D88">
      <w:pPr>
        <w:pStyle w:val="Headingb"/>
      </w:pPr>
      <w:r w:rsidRPr="005E0B02">
        <w:lastRenderedPageBreak/>
        <w:t>Considérations générales</w:t>
      </w:r>
    </w:p>
    <w:p w14:paraId="70D50D76" w14:textId="7F4810D8" w:rsidR="00802D88" w:rsidRPr="00942F46" w:rsidRDefault="00802D88" w:rsidP="002326CD">
      <w:pPr>
        <w:jc w:val="both"/>
      </w:pPr>
      <w:r w:rsidRPr="005E0B02">
        <w:t xml:space="preserve">Le </w:t>
      </w:r>
      <w:r w:rsidRPr="00942F46">
        <w:t xml:space="preserve">programme "Espace 2030" a été élaboré par Comité des utilisations pacifiques de l'espace extra-atmosphérique des Nations Unies (COPUOS). Dans ce </w:t>
      </w:r>
      <w:r w:rsidR="00A35300" w:rsidRPr="00942F46">
        <w:t>p</w:t>
      </w:r>
      <w:r w:rsidRPr="00942F46">
        <w:t xml:space="preserve">rogramme, les États Membres définissent un projet visant à améliorer l'utilisation qui est faite des sciences et technologies de l'espace dans la réalisation du </w:t>
      </w:r>
      <w:r w:rsidR="0064151E" w:rsidRPr="00942F46">
        <w:t>P</w:t>
      </w:r>
      <w:r w:rsidRPr="00942F46">
        <w:t>rogramme de développement durable à l'horizon 2030.</w:t>
      </w:r>
    </w:p>
    <w:p w14:paraId="38725D21" w14:textId="7799B215" w:rsidR="00802D88" w:rsidRPr="00942F46" w:rsidRDefault="00802D88" w:rsidP="002326CD">
      <w:pPr>
        <w:jc w:val="both"/>
      </w:pPr>
      <w:r w:rsidRPr="00942F46">
        <w:t>À sa soixante-seizième session, tenue en octobre 2021, l'Assemblée générale des Nations Unies a adopté le programme "Espace 2030": l'espace comme moteur du développement durable, qui comporte quatre objectifs généraux:</w:t>
      </w:r>
    </w:p>
    <w:p w14:paraId="166B9F2C" w14:textId="77777777" w:rsidR="00802D88" w:rsidRPr="00942F46" w:rsidRDefault="00802D88" w:rsidP="002326CD">
      <w:pPr>
        <w:pStyle w:val="enumlev1"/>
        <w:jc w:val="both"/>
      </w:pPr>
      <w:r w:rsidRPr="00942F46">
        <w:t>1)</w:t>
      </w:r>
      <w:r w:rsidRPr="00942F46">
        <w:tab/>
        <w:t>accroître les avantages économiques tirés de l'espace et renforcer le rôle de moteur essentiel du développement durable que joue le secteur spatial;</w:t>
      </w:r>
    </w:p>
    <w:p w14:paraId="39C608D7" w14:textId="77777777" w:rsidR="00802D88" w:rsidRPr="00942F46" w:rsidRDefault="00802D88" w:rsidP="002326CD">
      <w:pPr>
        <w:pStyle w:val="enumlev1"/>
        <w:jc w:val="both"/>
      </w:pPr>
      <w:r w:rsidRPr="00942F46">
        <w:t>2)</w:t>
      </w:r>
      <w:r w:rsidRPr="00942F46">
        <w:tab/>
        <w:t>tirer parti des possibilités qu'offrent les activités spatiales pour résoudre des difficultés de la vie quotidienne et mettre à profit les innovations du secteur spatial pour améliorer la qualité de la vie;</w:t>
      </w:r>
    </w:p>
    <w:p w14:paraId="7D4E003C" w14:textId="77777777" w:rsidR="00802D88" w:rsidRPr="00942F46" w:rsidRDefault="00802D88" w:rsidP="002326CD">
      <w:pPr>
        <w:pStyle w:val="enumlev1"/>
        <w:jc w:val="both"/>
      </w:pPr>
      <w:r w:rsidRPr="00942F46">
        <w:t>3)</w:t>
      </w:r>
      <w:r w:rsidRPr="00942F46">
        <w:tab/>
        <w:t>améliorer l'accès à l'espace pour tous et veiller à ce que tous les pays puissent bénéficier des avantages socioéconomiques des applications des sciences et techniques spatiales et des données, informations et produits d'origine spatiale, afin de concourir à la réalisation des objectifs de développement durable; et</w:t>
      </w:r>
    </w:p>
    <w:p w14:paraId="346BFFB9" w14:textId="77777777" w:rsidR="00802D88" w:rsidRPr="00942F46" w:rsidRDefault="00802D88" w:rsidP="002326CD">
      <w:pPr>
        <w:pStyle w:val="enumlev1"/>
        <w:jc w:val="both"/>
      </w:pPr>
      <w:r w:rsidRPr="00942F46">
        <w:t>4)</w:t>
      </w:r>
      <w:r w:rsidRPr="00942F46">
        <w:tab/>
        <w:t>établir des partenariats et renforcer la coopération internationale en matière d'utilisations pacifiques de l'espace extra-atmosphérique et de la gouvernance mondiale des activités spatiales connexes.</w:t>
      </w:r>
    </w:p>
    <w:p w14:paraId="267A6108" w14:textId="77777777" w:rsidR="00292CA3" w:rsidRPr="00942F46" w:rsidRDefault="00802D88" w:rsidP="002326CD">
      <w:pPr>
        <w:jc w:val="both"/>
      </w:pPr>
      <w:r w:rsidRPr="00942F46">
        <w:t>Dans le cadre de la mise en œuvre du programme "Espace 2030", les États Membres sont invités à apporter leur contribution sous la forme de partenariats, d'outils et de ressources.</w:t>
      </w:r>
    </w:p>
    <w:p w14:paraId="2E3E34D9" w14:textId="3FE9366A" w:rsidR="00802D88" w:rsidRPr="00942F46" w:rsidRDefault="00802D88" w:rsidP="002326CD">
      <w:pPr>
        <w:jc w:val="both"/>
      </w:pPr>
      <w:r w:rsidRPr="00942F46">
        <w:t>Le Bureau des affaires spatiales de l'Organisation des Nations Unies (UNOOSA) assure le secrétariat du COPUOS et, à ce titre, coordonne la mise en œuvre du programme "Espace 2030".</w:t>
      </w:r>
    </w:p>
    <w:p w14:paraId="237E3E1A" w14:textId="5CFBBF0C" w:rsidR="00802D88" w:rsidRPr="00942F46" w:rsidRDefault="00802D88" w:rsidP="002326CD">
      <w:pPr>
        <w:jc w:val="both"/>
      </w:pPr>
      <w:r w:rsidRPr="00942F46">
        <w:t xml:space="preserve">La Conférence de plénipotentiaires de 2022 de l'UIT (PP-22) a estimé que l'UIT avait un rôle essentiel à jouer dans la réalisation des objectifs du programme susvisé. Dans ce contexte, la PP-22 a adopté la Résolution 218 (Bucarest, 2022), dans laquelle il est </w:t>
      </w:r>
      <w:r w:rsidRPr="00942F46">
        <w:rPr>
          <w:i/>
          <w:iCs/>
        </w:rPr>
        <w:t>décidé</w:t>
      </w:r>
      <w:r w:rsidR="00292CA3" w:rsidRPr="00942F46">
        <w:t>:</w:t>
      </w:r>
    </w:p>
    <w:p w14:paraId="3D213A0C" w14:textId="7BBF2F4C" w:rsidR="00802D88" w:rsidRPr="00942F46" w:rsidRDefault="00802D88" w:rsidP="002326CD">
      <w:pPr>
        <w:pStyle w:val="enumlev1"/>
        <w:jc w:val="both"/>
      </w:pPr>
      <w:r w:rsidRPr="00942F46">
        <w:t>1)</w:t>
      </w:r>
      <w:r w:rsidRPr="00942F46">
        <w:tab/>
        <w:t>que l'UIT devrait appuyer la mise en œuvre du programme "Espace 2030", en particulier les parties relatives aux services spatiaux de l'objectif général 3 visé au point</w:t>
      </w:r>
      <w:r w:rsidR="00292CA3" w:rsidRPr="00942F46">
        <w:t> </w:t>
      </w:r>
      <w:r w:rsidRPr="00942F46">
        <w:rPr>
          <w:i/>
          <w:iCs/>
        </w:rPr>
        <w:t>b)</w:t>
      </w:r>
      <w:r w:rsidRPr="00942F46">
        <w:t xml:space="preserve"> du </w:t>
      </w:r>
      <w:r w:rsidRPr="00942F46">
        <w:rPr>
          <w:i/>
          <w:iCs/>
        </w:rPr>
        <w:t>rappelant</w:t>
      </w:r>
      <w:r w:rsidRPr="00942F46">
        <w:t>, compte tenu du rôle unique que joue l'UIT en ce qui concerne l'accès au spectre des fréquences radioélectriques et aux orbites de satellites associées, conformément à l'article 44 de la Constitution;</w:t>
      </w:r>
    </w:p>
    <w:p w14:paraId="3EBCA697" w14:textId="4E4E3B71" w:rsidR="00802D88" w:rsidRPr="00942F46" w:rsidRDefault="00802D88" w:rsidP="002326CD">
      <w:pPr>
        <w:pStyle w:val="enumlev1"/>
        <w:jc w:val="both"/>
      </w:pPr>
      <w:r w:rsidRPr="00942F46">
        <w:t>2)</w:t>
      </w:r>
      <w:r w:rsidRPr="00942F46">
        <w:tab/>
        <w:t xml:space="preserve">que dans le cadre de la mise en œuvre du point 1 du </w:t>
      </w:r>
      <w:r w:rsidRPr="00942F46">
        <w:rPr>
          <w:i/>
          <w:iCs/>
        </w:rPr>
        <w:t>décide</w:t>
      </w:r>
      <w:r w:rsidRPr="00942F46">
        <w:t xml:space="preserve"> ci-dessus, il conviendrait de mettre à profit la participation de la présence régionale de l'UIT et d'accorder une attention particulière aux pays en développement, aux pays les moins avancés (PMA), aux petits États insulaires en développement (PEID) et aux pays en développement sans littoral (PDSL);</w:t>
      </w:r>
    </w:p>
    <w:p w14:paraId="49A0BBAE" w14:textId="184141DA" w:rsidR="006A11AE" w:rsidRPr="00942F46" w:rsidRDefault="00802D88" w:rsidP="002326CD">
      <w:pPr>
        <w:pStyle w:val="enumlev1"/>
        <w:jc w:val="both"/>
      </w:pPr>
      <w:r w:rsidRPr="00942F46">
        <w:t>3)</w:t>
      </w:r>
      <w:r w:rsidRPr="00942F46">
        <w:tab/>
        <w:t>que le Bureau des radiocommunications (BR) et le Bureau du développement des télécommunications (BDT) continuent d'aider les pays en développement, les PMA, les</w:t>
      </w:r>
      <w:r w:rsidR="00292CA3" w:rsidRPr="00942F46">
        <w:t> </w:t>
      </w:r>
      <w:r w:rsidRPr="00942F46">
        <w:t>PEID et les PDSL à accéder au spectre des fréquences radioélectriques et aux orbites de satellites associés, en particulier pour atteindre les objectifs du programme</w:t>
      </w:r>
      <w:r w:rsidR="00292CA3" w:rsidRPr="00942F46">
        <w:t> </w:t>
      </w:r>
      <w:r w:rsidRPr="00942F46">
        <w:t>"Espace</w:t>
      </w:r>
      <w:r w:rsidR="00292CA3" w:rsidRPr="00942F46">
        <w:t> </w:t>
      </w:r>
      <w:r w:rsidRPr="00942F46">
        <w:t>2030".</w:t>
      </w:r>
    </w:p>
    <w:p w14:paraId="46FA0AA4" w14:textId="77777777" w:rsidR="003C0819" w:rsidRPr="00942F46" w:rsidRDefault="003C0819" w:rsidP="003C0819">
      <w:pPr>
        <w:pStyle w:val="Headingb"/>
      </w:pPr>
      <w:r w:rsidRPr="00942F46">
        <w:lastRenderedPageBreak/>
        <w:t>Présentation de rapports sur la mise en œuvre du programme "Espace 2030"</w:t>
      </w:r>
    </w:p>
    <w:p w14:paraId="01771963" w14:textId="3DF53D43" w:rsidR="003C0819" w:rsidRPr="00942F46" w:rsidRDefault="003C0819" w:rsidP="002326CD">
      <w:pPr>
        <w:jc w:val="both"/>
      </w:pPr>
      <w:r w:rsidRPr="00942F46">
        <w:t>Aux termes de la Résolution 218 (Bucarest, 2022) de la Conférence de plénipotentiaires, la Secrétaire générale de l'UIT et les Directeurs des Bureaux sont chargés, notamment:</w:t>
      </w:r>
    </w:p>
    <w:p w14:paraId="51159C58" w14:textId="3D522017" w:rsidR="003C0819" w:rsidRPr="00942F46" w:rsidRDefault="003C0819" w:rsidP="002326CD">
      <w:pPr>
        <w:pStyle w:val="enumlev1"/>
        <w:jc w:val="both"/>
      </w:pPr>
      <w:r w:rsidRPr="00942F46">
        <w:t>1)</w:t>
      </w:r>
      <w:r w:rsidRPr="00942F46">
        <w:tab/>
        <w:t xml:space="preserve">de présenter chaque année au Conseil de l'UIT un rapport exhaustif sur la situation des Plans régis par les Appendices </w:t>
      </w:r>
      <w:r w:rsidRPr="00942F46">
        <w:rPr>
          <w:b/>
          <w:bCs/>
        </w:rPr>
        <w:t>30</w:t>
      </w:r>
      <w:r w:rsidRPr="00942F46">
        <w:t xml:space="preserve">, </w:t>
      </w:r>
      <w:r w:rsidRPr="00942F46">
        <w:rPr>
          <w:b/>
          <w:bCs/>
        </w:rPr>
        <w:t>30A</w:t>
      </w:r>
      <w:r w:rsidRPr="00942F46">
        <w:t xml:space="preserve"> et </w:t>
      </w:r>
      <w:r w:rsidRPr="00942F46">
        <w:rPr>
          <w:b/>
          <w:bCs/>
        </w:rPr>
        <w:t>30B</w:t>
      </w:r>
      <w:r w:rsidRPr="00942F46">
        <w:t xml:space="preserve"> du Règlement des radiocommunications, en mettant en évidence la situation des pays en développement et les difficultés éventuelles liées à la mise en œuvre de ces Plans, telle que l'évolution des situations de référence des diverses assignations et des divers allotissements de fréquences, y compris les difficultés et problèmes éventuels rencontrés par le BR dans leur mise en</w:t>
      </w:r>
      <w:r w:rsidR="00DD229E" w:rsidRPr="00942F46">
        <w:t> </w:t>
      </w:r>
      <w:r w:rsidRPr="00942F46">
        <w:t>œuvre ainsi que les problèmes signalés au BR par les administrations (point</w:t>
      </w:r>
      <w:r w:rsidR="00DD229E" w:rsidRPr="00942F46">
        <w:t> </w:t>
      </w:r>
      <w:r w:rsidRPr="00942F46">
        <w:t>2</w:t>
      </w:r>
      <w:r w:rsidR="00DD229E" w:rsidRPr="00942F46">
        <w:t> </w:t>
      </w:r>
      <w:r w:rsidRPr="00942F46">
        <w:t>du </w:t>
      </w:r>
      <w:r w:rsidRPr="00942F46">
        <w:rPr>
          <w:i/>
          <w:iCs/>
        </w:rPr>
        <w:t>charge</w:t>
      </w:r>
      <w:r w:rsidRPr="00942F46">
        <w:t>);</w:t>
      </w:r>
    </w:p>
    <w:p w14:paraId="451BAA58" w14:textId="7B535BE5" w:rsidR="003C0819" w:rsidRPr="00942F46" w:rsidRDefault="003C0819" w:rsidP="002326CD">
      <w:pPr>
        <w:pStyle w:val="enumlev1"/>
        <w:jc w:val="both"/>
      </w:pPr>
      <w:r w:rsidRPr="00942F46">
        <w:t>2)</w:t>
      </w:r>
      <w:r w:rsidRPr="00942F46">
        <w:tab/>
        <w:t>de présenter chaque année au Conseil un rapport sur le rôle de l'UIT dans la mise en</w:t>
      </w:r>
      <w:r w:rsidR="00DD229E" w:rsidRPr="00942F46">
        <w:t> </w:t>
      </w:r>
      <w:r w:rsidRPr="00942F46">
        <w:t xml:space="preserve">œuvre du programme "Espace 2030" (point 3 du </w:t>
      </w:r>
      <w:r w:rsidRPr="00942F46">
        <w:rPr>
          <w:i/>
          <w:iCs/>
        </w:rPr>
        <w:t>charge</w:t>
      </w:r>
      <w:r w:rsidRPr="00942F46">
        <w:t>);</w:t>
      </w:r>
    </w:p>
    <w:p w14:paraId="5162D71F" w14:textId="6F295C89" w:rsidR="003C0819" w:rsidRPr="00942F46" w:rsidRDefault="003C0819" w:rsidP="002326CD">
      <w:pPr>
        <w:pStyle w:val="enumlev1"/>
        <w:jc w:val="both"/>
      </w:pPr>
      <w:r w:rsidRPr="00942F46">
        <w:t>3)</w:t>
      </w:r>
      <w:r w:rsidRPr="00942F46">
        <w:tab/>
        <w:t xml:space="preserve">de rendre compte au Conseil des réunions interinstitutions des Nations Unies sur les activités liées à l'espace extra-atmosphérique (ONU-Espace) et des mesures prises pour promouvoir les synergies et éviter tout double emploi en ce qui concerne l'utilisation des technologies spatiales (point 8 du </w:t>
      </w:r>
      <w:r w:rsidRPr="00942F46">
        <w:rPr>
          <w:i/>
          <w:iCs/>
        </w:rPr>
        <w:t>charge</w:t>
      </w:r>
      <w:r w:rsidRPr="00942F46">
        <w:t>).</w:t>
      </w:r>
    </w:p>
    <w:p w14:paraId="06F374C1" w14:textId="0974EDF2" w:rsidR="003C0819" w:rsidRPr="00942F46" w:rsidRDefault="003C0819" w:rsidP="002326CD">
      <w:pPr>
        <w:jc w:val="both"/>
      </w:pPr>
      <w:r w:rsidRPr="00942F46">
        <w:t xml:space="preserve">Les rapports concernant ces points sont présentés dans </w:t>
      </w:r>
      <w:r w:rsidR="00970854" w:rsidRPr="00942F46">
        <w:t xml:space="preserve">le Document </w:t>
      </w:r>
      <w:hyperlink r:id="rId10" w:history="1">
        <w:r w:rsidR="00970854" w:rsidRPr="00942F46">
          <w:rPr>
            <w:rStyle w:val="Hyperlink"/>
          </w:rPr>
          <w:t>C25/INF/3</w:t>
        </w:r>
      </w:hyperlink>
      <w:r w:rsidRPr="00942F46">
        <w:t>.</w:t>
      </w:r>
    </w:p>
    <w:p w14:paraId="747C8587" w14:textId="0FB104A8" w:rsidR="003C0819" w:rsidRPr="00942F46" w:rsidRDefault="003C0819" w:rsidP="002326CD">
      <w:pPr>
        <w:pStyle w:val="Headingb"/>
        <w:jc w:val="both"/>
      </w:pPr>
      <w:r w:rsidRPr="00942F46">
        <w:t>Principaux éléments des activités récentes menées par l'UIT et des activités à venir</w:t>
      </w:r>
    </w:p>
    <w:p w14:paraId="61FB2B01" w14:textId="5EE4F7E6" w:rsidR="00970854" w:rsidRPr="00942F46" w:rsidRDefault="00970854" w:rsidP="002326CD">
      <w:pPr>
        <w:pStyle w:val="enumlev1"/>
        <w:jc w:val="both"/>
      </w:pPr>
      <w:r w:rsidRPr="00942F46">
        <w:t>–</w:t>
      </w:r>
      <w:r w:rsidRPr="00942F46">
        <w:tab/>
        <w:t xml:space="preserve">La première édition du </w:t>
      </w:r>
      <w:hyperlink r:id="rId11" w:anchor="/fr" w:history="1">
        <w:r w:rsidRPr="00942F46">
          <w:rPr>
            <w:rStyle w:val="Hyperlink"/>
            <w:color w:val="4F81BD" w:themeColor="accent1"/>
          </w:rPr>
          <w:t>Forum sur la viabilité de l'utilisation de l'espace</w:t>
        </w:r>
      </w:hyperlink>
      <w:r w:rsidRPr="00942F46">
        <w:t xml:space="preserve"> a eu lieu les 10 et 11 septembre 2024 au siège de l'UIT. Ce Forum a rassemblé des hauts responsables et d'éminents spécialistes </w:t>
      </w:r>
      <w:r w:rsidR="007703F5" w:rsidRPr="00942F46">
        <w:t>du secteur des satellites</w:t>
      </w:r>
      <w:r w:rsidRPr="00942F46">
        <w:t xml:space="preserve"> et </w:t>
      </w:r>
      <w:r w:rsidR="007703F5" w:rsidRPr="00942F46">
        <w:t xml:space="preserve">du secteur </w:t>
      </w:r>
      <w:r w:rsidRPr="00942F46">
        <w:t>spatial, des agences spatiales, des organisations de télécommunication, des pouvoirs publics et des autres parties prenantes du secteur spatial qui sont engagés en faveur de l'utilisation responsable de l'espace.</w:t>
      </w:r>
      <w:r w:rsidR="003360BF" w:rsidRPr="00942F46">
        <w:t xml:space="preserve"> Il a été l'occasion de présenter, d'examiner et d'explorer en détail les politiques, les bonnes pratiques, les lignes directrices et les stratégies nécessaires pour faire en sorte que l'espace reste accessible et </w:t>
      </w:r>
      <w:r w:rsidR="007703F5" w:rsidRPr="00942F46">
        <w:t xml:space="preserve">son utilisation </w:t>
      </w:r>
      <w:r w:rsidR="003360BF" w:rsidRPr="00942F46">
        <w:t xml:space="preserve">durable pour faciliter les activités spatiales d'aujourd'hui et de demain. </w:t>
      </w:r>
      <w:r w:rsidR="00FD2B40" w:rsidRPr="00942F46">
        <w:t>La deuxième édition du Forum se tiendra les 7 et 8 octobre 2025.</w:t>
      </w:r>
    </w:p>
    <w:p w14:paraId="1D1FA3D2" w14:textId="1AB43407" w:rsidR="004B19B0" w:rsidRPr="00942F46" w:rsidRDefault="00970854" w:rsidP="002326CD">
      <w:pPr>
        <w:pStyle w:val="enumlev1"/>
        <w:jc w:val="both"/>
      </w:pPr>
      <w:r w:rsidRPr="00942F46">
        <w:t>–</w:t>
      </w:r>
      <w:r w:rsidRPr="00942F46">
        <w:tab/>
      </w:r>
      <w:r w:rsidR="004B19B0" w:rsidRPr="00942F46">
        <w:t xml:space="preserve">La </w:t>
      </w:r>
      <w:hyperlink r:id="rId12" w:anchor="/fr" w:history="1">
        <w:r w:rsidR="004B19B0" w:rsidRPr="00942F46">
          <w:rPr>
            <w:rStyle w:val="Hyperlink"/>
            <w:color w:val="4F81BD" w:themeColor="accent1"/>
          </w:rPr>
          <w:t>série de manifestation</w:t>
        </w:r>
        <w:r w:rsidR="00BD3C1A" w:rsidRPr="00942F46">
          <w:rPr>
            <w:rStyle w:val="Hyperlink"/>
            <w:color w:val="4F81BD" w:themeColor="accent1"/>
          </w:rPr>
          <w:t>s</w:t>
        </w:r>
        <w:r w:rsidR="004B19B0" w:rsidRPr="00942F46">
          <w:rPr>
            <w:rStyle w:val="Hyperlink"/>
            <w:color w:val="4F81BD" w:themeColor="accent1"/>
          </w:rPr>
          <w:t xml:space="preserve"> relevant du programme Space Connect</w:t>
        </w:r>
      </w:hyperlink>
      <w:r w:rsidR="004B19B0" w:rsidRPr="00942F46">
        <w:t xml:space="preserve"> comprend des épisodes virtuels visant à étudier l'évolution rapide du secteur spatial. Les séances mensuelles, qui réunissent des chefs d'entreprises, des régulateurs et des experts du monde entier, portent sur des thèmes allant des technologies </w:t>
      </w:r>
      <w:r w:rsidR="0070427A" w:rsidRPr="00942F46">
        <w:t xml:space="preserve">satellitaires </w:t>
      </w:r>
      <w:r w:rsidR="00A85062" w:rsidRPr="00942F46">
        <w:t xml:space="preserve">à la sécurité spatiale en passant par la surveillance du climat, les interventions d'urgence et le développement économique. </w:t>
      </w:r>
      <w:r w:rsidR="00016E97" w:rsidRPr="00942F46">
        <w:t xml:space="preserve">Chaque épisode comprend des présentations d'experts, des tables rondes interactives et des activités permettant la participation du public. </w:t>
      </w:r>
      <w:r w:rsidR="003F6B9A" w:rsidRPr="00942F46">
        <w:t>Tous les documents examinés et présentés pendant les séances sont mis à disposition sur le portail en ligne de l'UIT.</w:t>
      </w:r>
    </w:p>
    <w:p w14:paraId="32991827" w14:textId="3B9A0D45" w:rsidR="00A85D3F" w:rsidRPr="00942F46" w:rsidRDefault="00970854" w:rsidP="002326CD">
      <w:pPr>
        <w:pStyle w:val="enumlev1"/>
        <w:jc w:val="both"/>
      </w:pPr>
      <w:r w:rsidRPr="00942F46">
        <w:t>–</w:t>
      </w:r>
      <w:r w:rsidRPr="00942F46">
        <w:tab/>
      </w:r>
      <w:r w:rsidR="00A85D3F" w:rsidRPr="00942F46">
        <w:t xml:space="preserve">L'UIT </w:t>
      </w:r>
      <w:r w:rsidR="00486C9E" w:rsidRPr="00942F46">
        <w:t>a élaboré un</w:t>
      </w:r>
      <w:r w:rsidR="00A85D3F" w:rsidRPr="00942F46">
        <w:t xml:space="preserve"> </w:t>
      </w:r>
      <w:hyperlink r:id="rId13" w:anchor="/fr" w:history="1">
        <w:r w:rsidR="00A85D3F" w:rsidRPr="00942F46">
          <w:rPr>
            <w:rStyle w:val="Hyperlink"/>
            <w:color w:val="4F81BD" w:themeColor="accent1"/>
          </w:rPr>
          <w:t xml:space="preserve">portail web consacré à la viabilité </w:t>
        </w:r>
        <w:r w:rsidR="00BE14E2" w:rsidRPr="00942F46">
          <w:rPr>
            <w:rStyle w:val="Hyperlink"/>
            <w:color w:val="4F81BD" w:themeColor="accent1"/>
          </w:rPr>
          <w:t>de l</w:t>
        </w:r>
        <w:r w:rsidR="00403764" w:rsidRPr="00942F46">
          <w:rPr>
            <w:rStyle w:val="Hyperlink"/>
            <w:color w:val="4F81BD" w:themeColor="accent1"/>
          </w:rPr>
          <w:t>'</w:t>
        </w:r>
        <w:r w:rsidR="00BE14E2" w:rsidRPr="00942F46">
          <w:rPr>
            <w:rStyle w:val="Hyperlink"/>
            <w:color w:val="4F81BD" w:themeColor="accent1"/>
          </w:rPr>
          <w:t>utilisation de l</w:t>
        </w:r>
        <w:r w:rsidR="00403764" w:rsidRPr="00942F46">
          <w:rPr>
            <w:rStyle w:val="Hyperlink"/>
            <w:color w:val="4F81BD" w:themeColor="accent1"/>
          </w:rPr>
          <w:t>'</w:t>
        </w:r>
        <w:r w:rsidR="00BE14E2" w:rsidRPr="00942F46">
          <w:rPr>
            <w:rStyle w:val="Hyperlink"/>
            <w:color w:val="4F81BD" w:themeColor="accent1"/>
          </w:rPr>
          <w:t>espace</w:t>
        </w:r>
      </w:hyperlink>
      <w:r w:rsidR="00486C9E" w:rsidRPr="00942F46">
        <w:t xml:space="preserve">, qu'elle met régulièrement à jour en application de la </w:t>
      </w:r>
      <w:hyperlink r:id="rId14" w:history="1">
        <w:r w:rsidR="00486C9E" w:rsidRPr="00942F46">
          <w:rPr>
            <w:rStyle w:val="Hyperlink"/>
            <w:color w:val="4F81BD" w:themeColor="accent1"/>
          </w:rPr>
          <w:t>Résolution 219</w:t>
        </w:r>
      </w:hyperlink>
      <w:r w:rsidR="00486C9E" w:rsidRPr="00942F46">
        <w:t xml:space="preserve"> (Bucarest, 2022) de la Conférence de plénipotentiaires et de la </w:t>
      </w:r>
      <w:hyperlink r:id="rId15" w:history="1">
        <w:r w:rsidR="00486C9E" w:rsidRPr="00942F46">
          <w:rPr>
            <w:rStyle w:val="Hyperlink"/>
            <w:color w:val="4F81BD" w:themeColor="accent1"/>
          </w:rPr>
          <w:t>Résolution UIT-R 74</w:t>
        </w:r>
      </w:hyperlink>
      <w:r w:rsidR="00486C9E" w:rsidRPr="00942F46">
        <w:t xml:space="preserve"> (2023) dans le but de faciliter l'accès aux </w:t>
      </w:r>
      <w:r w:rsidR="00D8257C" w:rsidRPr="00942F46">
        <w:t>renseignements pertinents</w:t>
      </w:r>
      <w:r w:rsidR="00486C9E" w:rsidRPr="00942F46">
        <w:t xml:space="preserve">, la diffusion et l'échange de ces </w:t>
      </w:r>
      <w:r w:rsidR="00D8257C" w:rsidRPr="00942F46">
        <w:t>renseignements</w:t>
      </w:r>
      <w:r w:rsidR="00486C9E" w:rsidRPr="00942F46">
        <w:t xml:space="preserve"> entre les parties prenantes du secteur spatial.</w:t>
      </w:r>
      <w:r w:rsidR="00A813DC" w:rsidRPr="00942F46">
        <w:t xml:space="preserve"> Les membres de l'UIT et </w:t>
      </w:r>
      <w:r w:rsidR="00A813DC" w:rsidRPr="00942F46">
        <w:lastRenderedPageBreak/>
        <w:t>les parties prenantes concernées sont invités à soumettre des rens</w:t>
      </w:r>
      <w:r w:rsidR="00D8257C" w:rsidRPr="00942F46">
        <w:t>eignements complémentaires</w:t>
      </w:r>
      <w:r w:rsidR="00927286" w:rsidRPr="00942F46">
        <w:t xml:space="preserve"> ou à mettre à jour ceux </w:t>
      </w:r>
      <w:r w:rsidR="008F387D" w:rsidRPr="00942F46">
        <w:t xml:space="preserve">qu'ils ont </w:t>
      </w:r>
      <w:r w:rsidR="00927286" w:rsidRPr="00942F46">
        <w:t>déjà soumis.</w:t>
      </w:r>
    </w:p>
    <w:p w14:paraId="0EE5C58A" w14:textId="183D93C9" w:rsidR="00670339" w:rsidRPr="00942F46" w:rsidRDefault="00670339" w:rsidP="002326CD">
      <w:pPr>
        <w:jc w:val="both"/>
      </w:pPr>
      <w:r w:rsidRPr="00942F46">
        <w:t>Ces activités sont mises en œuvre selon l'approche "Une UIT unie dans l'action", grâce à une collaboration étroite entre le Secrétariat général et les trois Bureaux.</w:t>
      </w:r>
    </w:p>
    <w:p w14:paraId="66E4096A" w14:textId="77777777" w:rsidR="005F2F7A" w:rsidRPr="00942F46" w:rsidRDefault="005F2F7A" w:rsidP="00403764"/>
    <w:p w14:paraId="05309BCC" w14:textId="4BF3C5BC" w:rsidR="00897553" w:rsidRPr="005E0B02" w:rsidRDefault="006A11AE" w:rsidP="006A11AE">
      <w:pPr>
        <w:jc w:val="center"/>
      </w:pPr>
      <w:r w:rsidRPr="005E0B02">
        <w:t>______________</w:t>
      </w:r>
    </w:p>
    <w:sectPr w:rsidR="00897553" w:rsidRPr="005E0B02" w:rsidSect="00D72F49">
      <w:headerReference w:type="even" r:id="rId16"/>
      <w:footerReference w:type="even" r:id="rId17"/>
      <w:footerReference w:type="default" r:id="rId18"/>
      <w:headerReference w:type="first" r:id="rId19"/>
      <w:footerReference w:type="first" r:id="rId20"/>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E9E6" w14:textId="77777777" w:rsidR="00566679" w:rsidRDefault="00566679">
      <w:r>
        <w:separator/>
      </w:r>
    </w:p>
  </w:endnote>
  <w:endnote w:type="continuationSeparator" w:id="0">
    <w:p w14:paraId="3D4797BD" w14:textId="77777777" w:rsidR="00566679" w:rsidRDefault="0056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0A98" w14:textId="6FCC355B" w:rsidR="00732045" w:rsidRPr="00600647" w:rsidRDefault="0025710E">
    <w:pPr>
      <w:pStyle w:val="Footer"/>
      <w:rPr>
        <w:lang w:val="en-US"/>
      </w:rPr>
    </w:pPr>
    <w:r>
      <w:fldChar w:fldCharType="begin"/>
    </w:r>
    <w:r w:rsidRPr="00600647">
      <w:rPr>
        <w:lang w:val="en-US"/>
      </w:rPr>
      <w:instrText xml:space="preserve"> FILENAME \p \* MERGEFORMAT </w:instrText>
    </w:r>
    <w:r>
      <w:fldChar w:fldCharType="separate"/>
    </w:r>
    <w:r w:rsidR="00897609" w:rsidRPr="00600647">
      <w:rPr>
        <w:lang w:val="en-US"/>
      </w:rPr>
      <w:t>P:\FRA\gDoc\SG\C24\24-00705F.docx</w:t>
    </w:r>
    <w:r>
      <w:fldChar w:fldCharType="end"/>
    </w:r>
    <w:r w:rsidR="00732045" w:rsidRPr="00600647">
      <w:rPr>
        <w:lang w:val="en-US"/>
      </w:rPr>
      <w:tab/>
    </w:r>
    <w:r w:rsidR="002F1B76">
      <w:fldChar w:fldCharType="begin"/>
    </w:r>
    <w:r w:rsidR="00732045">
      <w:instrText xml:space="preserve"> savedate \@ dd.MM.yy </w:instrText>
    </w:r>
    <w:r w:rsidR="002F1B76">
      <w:fldChar w:fldCharType="separate"/>
    </w:r>
    <w:r w:rsidR="00DA24BD">
      <w:t>27.05.25</w:t>
    </w:r>
    <w:r w:rsidR="002F1B76">
      <w:fldChar w:fldCharType="end"/>
    </w:r>
    <w:r w:rsidR="00732045" w:rsidRPr="00600647">
      <w:rPr>
        <w:lang w:val="en-US"/>
      </w:rPr>
      <w:tab/>
    </w:r>
    <w:r w:rsidR="002F1B76">
      <w:fldChar w:fldCharType="begin"/>
    </w:r>
    <w:r w:rsidR="00732045">
      <w:instrText xml:space="preserve"> printdate \@ dd.MM.yy </w:instrText>
    </w:r>
    <w:r w:rsidR="002F1B76">
      <w:fldChar w:fldCharType="separate"/>
    </w:r>
    <w:r w:rsidR="00897609">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7AA90" w14:textId="77777777" w:rsidTr="00E31DCE">
      <w:trPr>
        <w:jc w:val="center"/>
      </w:trPr>
      <w:tc>
        <w:tcPr>
          <w:tcW w:w="1803" w:type="dxa"/>
          <w:vAlign w:val="center"/>
        </w:tcPr>
        <w:p w14:paraId="2C2E77A4" w14:textId="6880C78F" w:rsidR="00A51849" w:rsidRDefault="00403764" w:rsidP="00A51849">
          <w:pPr>
            <w:pStyle w:val="Header"/>
            <w:jc w:val="left"/>
            <w:rPr>
              <w:noProof/>
            </w:rPr>
          </w:pPr>
          <w:r>
            <w:rPr>
              <w:noProof/>
            </w:rPr>
            <w:t>2501225</w:t>
          </w:r>
        </w:p>
      </w:tc>
      <w:tc>
        <w:tcPr>
          <w:tcW w:w="8261" w:type="dxa"/>
        </w:tcPr>
        <w:p w14:paraId="0DB0A3C6" w14:textId="2026657D"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9827CD">
            <w:rPr>
              <w:bCs/>
            </w:rPr>
            <w:t>5</w:t>
          </w:r>
          <w:r w:rsidRPr="00623AE3">
            <w:rPr>
              <w:bCs/>
            </w:rPr>
            <w:t>/</w:t>
          </w:r>
          <w:r w:rsidR="00802D88">
            <w:rPr>
              <w:bCs/>
            </w:rPr>
            <w:t>36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BA722AB" w14:textId="75254440" w:rsidR="00732045" w:rsidRPr="00A51849" w:rsidRDefault="00732045" w:rsidP="00403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C0095" w14:textId="77777777" w:rsidTr="00E31DCE">
      <w:trPr>
        <w:jc w:val="center"/>
      </w:trPr>
      <w:tc>
        <w:tcPr>
          <w:tcW w:w="1803" w:type="dxa"/>
          <w:vAlign w:val="center"/>
        </w:tcPr>
        <w:p w14:paraId="5151DAA0" w14:textId="52CC02AB" w:rsidR="00A51849" w:rsidRPr="0082299A" w:rsidRDefault="00970854" w:rsidP="00A51849">
          <w:pPr>
            <w:pStyle w:val="Header"/>
            <w:jc w:val="left"/>
            <w:rPr>
              <w:noProof/>
              <w:color w:val="0563C1"/>
            </w:rPr>
          </w:pPr>
          <w:hyperlink r:id="rId1" w:history="1">
            <w:r w:rsidRPr="009827CD">
              <w:rPr>
                <w:rStyle w:val="Hyperlink"/>
                <w:color w:val="4F81BD" w:themeColor="accent1"/>
              </w:rPr>
              <w:t>council.itu.int/2025</w:t>
            </w:r>
          </w:hyperlink>
        </w:p>
      </w:tc>
      <w:tc>
        <w:tcPr>
          <w:tcW w:w="8261" w:type="dxa"/>
        </w:tcPr>
        <w:p w14:paraId="4C3D0956" w14:textId="5BB1C9B5"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00970854" w:rsidRPr="00623AE3">
            <w:rPr>
              <w:bCs/>
            </w:rPr>
            <w:t>C</w:t>
          </w:r>
          <w:r w:rsidR="00970854">
            <w:rPr>
              <w:bCs/>
            </w:rPr>
            <w:t>25</w:t>
          </w:r>
          <w:r w:rsidRPr="00623AE3">
            <w:rPr>
              <w:bCs/>
            </w:rPr>
            <w:t>/</w:t>
          </w:r>
          <w:r w:rsidR="00802D88">
            <w:rPr>
              <w:bCs/>
            </w:rPr>
            <w:t>36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7CF33E3" w14:textId="0F7A5B72" w:rsidR="00732045" w:rsidRPr="00A51849" w:rsidRDefault="00732045" w:rsidP="006A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2B46" w14:textId="77777777" w:rsidR="00566679" w:rsidRDefault="00566679">
      <w:r>
        <w:t>____________________</w:t>
      </w:r>
    </w:p>
  </w:footnote>
  <w:footnote w:type="continuationSeparator" w:id="0">
    <w:p w14:paraId="073173F3" w14:textId="77777777" w:rsidR="00566679" w:rsidRDefault="0056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D4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E3D5A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A51849" w:rsidRPr="00784011" w14:paraId="33F25067" w14:textId="77777777" w:rsidTr="00E31DCE">
      <w:trPr>
        <w:trHeight w:val="1104"/>
        <w:jc w:val="center"/>
      </w:trPr>
      <w:tc>
        <w:tcPr>
          <w:tcW w:w="4390" w:type="dxa"/>
          <w:vAlign w:val="center"/>
        </w:tcPr>
        <w:p w14:paraId="113CB22E" w14:textId="3974D995" w:rsidR="00A51849" w:rsidRPr="009621F8" w:rsidRDefault="0001388C" w:rsidP="00A51849">
          <w:pPr>
            <w:pStyle w:val="Header"/>
            <w:jc w:val="left"/>
            <w:rPr>
              <w:rFonts w:ascii="Arial" w:hAnsi="Arial" w:cs="Arial"/>
              <w:b/>
              <w:bCs/>
              <w:color w:val="009CD6"/>
              <w:sz w:val="36"/>
              <w:szCs w:val="36"/>
            </w:rPr>
          </w:pPr>
          <w:r>
            <w:rPr>
              <w:rFonts w:ascii="Arial" w:hAnsi="Arial" w:cs="Arial"/>
              <w:b/>
              <w:bCs/>
              <w:noProof/>
              <w:color w:val="009CD6"/>
              <w:sz w:val="36"/>
              <w:szCs w:val="36"/>
            </w:rPr>
            <w:drawing>
              <wp:inline distT="0" distB="0" distL="0" distR="0" wp14:anchorId="19D05751" wp14:editId="68B28B4D">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608C3FDD" w14:textId="77777777" w:rsidR="00A51849" w:rsidRDefault="00A51849" w:rsidP="00A51849">
          <w:pPr>
            <w:pStyle w:val="Header"/>
            <w:jc w:val="right"/>
            <w:rPr>
              <w:rFonts w:ascii="Arial" w:hAnsi="Arial" w:cs="Arial"/>
              <w:b/>
              <w:bCs/>
              <w:color w:val="009CD6"/>
              <w:szCs w:val="18"/>
            </w:rPr>
          </w:pPr>
        </w:p>
        <w:p w14:paraId="7F7AE11D" w14:textId="77777777" w:rsidR="00A51849" w:rsidRDefault="00A51849" w:rsidP="00A51849">
          <w:pPr>
            <w:pStyle w:val="Header"/>
            <w:jc w:val="right"/>
            <w:rPr>
              <w:rFonts w:ascii="Arial" w:hAnsi="Arial" w:cs="Arial"/>
              <w:b/>
              <w:bCs/>
              <w:color w:val="009CD6"/>
              <w:szCs w:val="18"/>
            </w:rPr>
          </w:pPr>
        </w:p>
        <w:p w14:paraId="281B21F4"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203532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0D2914" wp14:editId="0FEDBB8F">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407AF"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1388C"/>
    <w:rsid w:val="00016E97"/>
    <w:rsid w:val="00076A2C"/>
    <w:rsid w:val="0009646C"/>
    <w:rsid w:val="000D0D0A"/>
    <w:rsid w:val="00103163"/>
    <w:rsid w:val="00106B19"/>
    <w:rsid w:val="001133EF"/>
    <w:rsid w:val="00115D93"/>
    <w:rsid w:val="001247A8"/>
    <w:rsid w:val="00132CBA"/>
    <w:rsid w:val="001378C0"/>
    <w:rsid w:val="0018694A"/>
    <w:rsid w:val="001A3287"/>
    <w:rsid w:val="001A6508"/>
    <w:rsid w:val="001D2819"/>
    <w:rsid w:val="001D4C31"/>
    <w:rsid w:val="001E4D21"/>
    <w:rsid w:val="002065E6"/>
    <w:rsid w:val="00207CD1"/>
    <w:rsid w:val="00226657"/>
    <w:rsid w:val="002326CD"/>
    <w:rsid w:val="002477A2"/>
    <w:rsid w:val="0025710E"/>
    <w:rsid w:val="00263A51"/>
    <w:rsid w:val="00267E02"/>
    <w:rsid w:val="00276BF0"/>
    <w:rsid w:val="00285691"/>
    <w:rsid w:val="002872F3"/>
    <w:rsid w:val="00292CA3"/>
    <w:rsid w:val="002A5D44"/>
    <w:rsid w:val="002B1144"/>
    <w:rsid w:val="002C7511"/>
    <w:rsid w:val="002E0BC4"/>
    <w:rsid w:val="002F1B76"/>
    <w:rsid w:val="002F5614"/>
    <w:rsid w:val="003227AF"/>
    <w:rsid w:val="0033568E"/>
    <w:rsid w:val="003360BF"/>
    <w:rsid w:val="00355FF5"/>
    <w:rsid w:val="00361350"/>
    <w:rsid w:val="00370196"/>
    <w:rsid w:val="003C0819"/>
    <w:rsid w:val="003C3FAE"/>
    <w:rsid w:val="003F6B9A"/>
    <w:rsid w:val="004014AE"/>
    <w:rsid w:val="00403764"/>
    <w:rsid w:val="004038CB"/>
    <w:rsid w:val="0040546F"/>
    <w:rsid w:val="00420819"/>
    <w:rsid w:val="0042404A"/>
    <w:rsid w:val="00441447"/>
    <w:rsid w:val="0044618F"/>
    <w:rsid w:val="0046769A"/>
    <w:rsid w:val="00475FB3"/>
    <w:rsid w:val="00486C9E"/>
    <w:rsid w:val="00497506"/>
    <w:rsid w:val="004B19B0"/>
    <w:rsid w:val="004C37A9"/>
    <w:rsid w:val="004D1D50"/>
    <w:rsid w:val="004F259E"/>
    <w:rsid w:val="00511F1D"/>
    <w:rsid w:val="00520F36"/>
    <w:rsid w:val="005341E0"/>
    <w:rsid w:val="00534E13"/>
    <w:rsid w:val="00534FDC"/>
    <w:rsid w:val="00540615"/>
    <w:rsid w:val="00540A6D"/>
    <w:rsid w:val="00566679"/>
    <w:rsid w:val="00567BB9"/>
    <w:rsid w:val="00571EEA"/>
    <w:rsid w:val="00575417"/>
    <w:rsid w:val="005768E1"/>
    <w:rsid w:val="005B1938"/>
    <w:rsid w:val="005C3890"/>
    <w:rsid w:val="005E0B02"/>
    <w:rsid w:val="005F2F7A"/>
    <w:rsid w:val="005F7BFE"/>
    <w:rsid w:val="00600017"/>
    <w:rsid w:val="00600647"/>
    <w:rsid w:val="0061208E"/>
    <w:rsid w:val="006235CA"/>
    <w:rsid w:val="0064151E"/>
    <w:rsid w:val="00661C12"/>
    <w:rsid w:val="006643AB"/>
    <w:rsid w:val="00670339"/>
    <w:rsid w:val="00677F70"/>
    <w:rsid w:val="006A11AE"/>
    <w:rsid w:val="006F0A53"/>
    <w:rsid w:val="0070427A"/>
    <w:rsid w:val="007145B2"/>
    <w:rsid w:val="007210CD"/>
    <w:rsid w:val="00722B71"/>
    <w:rsid w:val="00732045"/>
    <w:rsid w:val="007325A4"/>
    <w:rsid w:val="0073275D"/>
    <w:rsid w:val="007369DB"/>
    <w:rsid w:val="007703F5"/>
    <w:rsid w:val="007956C2"/>
    <w:rsid w:val="007A187E"/>
    <w:rsid w:val="007C72C2"/>
    <w:rsid w:val="007D4436"/>
    <w:rsid w:val="007F257A"/>
    <w:rsid w:val="007F3665"/>
    <w:rsid w:val="007F4AED"/>
    <w:rsid w:val="00800037"/>
    <w:rsid w:val="00802D88"/>
    <w:rsid w:val="0082299A"/>
    <w:rsid w:val="00824075"/>
    <w:rsid w:val="0083391C"/>
    <w:rsid w:val="00861D73"/>
    <w:rsid w:val="00897553"/>
    <w:rsid w:val="00897609"/>
    <w:rsid w:val="008A4D98"/>
    <w:rsid w:val="008A4E87"/>
    <w:rsid w:val="008D3609"/>
    <w:rsid w:val="008D76E6"/>
    <w:rsid w:val="008F387D"/>
    <w:rsid w:val="0092392D"/>
    <w:rsid w:val="00927286"/>
    <w:rsid w:val="0093234A"/>
    <w:rsid w:val="00942F46"/>
    <w:rsid w:val="00956A78"/>
    <w:rsid w:val="009619CB"/>
    <w:rsid w:val="00970854"/>
    <w:rsid w:val="0097363B"/>
    <w:rsid w:val="00973F53"/>
    <w:rsid w:val="009812F1"/>
    <w:rsid w:val="009827CD"/>
    <w:rsid w:val="009A6BAA"/>
    <w:rsid w:val="009B5E0E"/>
    <w:rsid w:val="009C23D2"/>
    <w:rsid w:val="009C307F"/>
    <w:rsid w:val="009C353C"/>
    <w:rsid w:val="00A16B44"/>
    <w:rsid w:val="00A2113E"/>
    <w:rsid w:val="00A23A51"/>
    <w:rsid w:val="00A24607"/>
    <w:rsid w:val="00A25CD3"/>
    <w:rsid w:val="00A35300"/>
    <w:rsid w:val="00A51849"/>
    <w:rsid w:val="00A709FE"/>
    <w:rsid w:val="00A73C60"/>
    <w:rsid w:val="00A813DC"/>
    <w:rsid w:val="00A82767"/>
    <w:rsid w:val="00A832D1"/>
    <w:rsid w:val="00A85062"/>
    <w:rsid w:val="00A85D3F"/>
    <w:rsid w:val="00AA332F"/>
    <w:rsid w:val="00AA7BBB"/>
    <w:rsid w:val="00AB5448"/>
    <w:rsid w:val="00AB64A8"/>
    <w:rsid w:val="00AC0266"/>
    <w:rsid w:val="00AD24EC"/>
    <w:rsid w:val="00AF0F61"/>
    <w:rsid w:val="00B309F9"/>
    <w:rsid w:val="00B32B60"/>
    <w:rsid w:val="00B61619"/>
    <w:rsid w:val="00B751E8"/>
    <w:rsid w:val="00BB4545"/>
    <w:rsid w:val="00BD3C1A"/>
    <w:rsid w:val="00BD5873"/>
    <w:rsid w:val="00BE14E2"/>
    <w:rsid w:val="00BF4B60"/>
    <w:rsid w:val="00C04BE3"/>
    <w:rsid w:val="00C149E7"/>
    <w:rsid w:val="00C25D29"/>
    <w:rsid w:val="00C27A7C"/>
    <w:rsid w:val="00C42437"/>
    <w:rsid w:val="00C8791B"/>
    <w:rsid w:val="00CA08ED"/>
    <w:rsid w:val="00CA1CDD"/>
    <w:rsid w:val="00CA7D38"/>
    <w:rsid w:val="00CF183B"/>
    <w:rsid w:val="00D30901"/>
    <w:rsid w:val="00D375CD"/>
    <w:rsid w:val="00D45C17"/>
    <w:rsid w:val="00D553A2"/>
    <w:rsid w:val="00D72F49"/>
    <w:rsid w:val="00D774D3"/>
    <w:rsid w:val="00D8257C"/>
    <w:rsid w:val="00D904E8"/>
    <w:rsid w:val="00D931DD"/>
    <w:rsid w:val="00DA08C3"/>
    <w:rsid w:val="00DA24BD"/>
    <w:rsid w:val="00DB5A3E"/>
    <w:rsid w:val="00DC22AA"/>
    <w:rsid w:val="00DC68C0"/>
    <w:rsid w:val="00DD111C"/>
    <w:rsid w:val="00DD229E"/>
    <w:rsid w:val="00DF74DD"/>
    <w:rsid w:val="00E25355"/>
    <w:rsid w:val="00E25AD0"/>
    <w:rsid w:val="00E4428F"/>
    <w:rsid w:val="00E45CAA"/>
    <w:rsid w:val="00E7509E"/>
    <w:rsid w:val="00E93668"/>
    <w:rsid w:val="00E95647"/>
    <w:rsid w:val="00EB6350"/>
    <w:rsid w:val="00F15B57"/>
    <w:rsid w:val="00F35EF4"/>
    <w:rsid w:val="00F37FE5"/>
    <w:rsid w:val="00F401C9"/>
    <w:rsid w:val="00F427DB"/>
    <w:rsid w:val="00F9613A"/>
    <w:rsid w:val="00FA5EB1"/>
    <w:rsid w:val="00FA7439"/>
    <w:rsid w:val="00FC4EC0"/>
    <w:rsid w:val="00FD2B4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5F2F7A"/>
    <w:rPr>
      <w:color w:val="0070C0"/>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UnresolvedMention">
    <w:name w:val="Unresolved Mention"/>
    <w:basedOn w:val="DefaultParagraphFont"/>
    <w:uiPriority w:val="99"/>
    <w:semiHidden/>
    <w:unhideWhenUsed/>
    <w:rsid w:val="00802D88"/>
    <w:rPr>
      <w:color w:val="605E5C"/>
      <w:shd w:val="clear" w:color="auto" w:fill="E1DFDD"/>
    </w:rPr>
  </w:style>
  <w:style w:type="character" w:styleId="CommentReference">
    <w:name w:val="annotation reference"/>
    <w:basedOn w:val="DefaultParagraphFont"/>
    <w:semiHidden/>
    <w:unhideWhenUsed/>
    <w:rsid w:val="00970854"/>
    <w:rPr>
      <w:sz w:val="16"/>
      <w:szCs w:val="16"/>
    </w:rPr>
  </w:style>
  <w:style w:type="paragraph" w:styleId="CommentText">
    <w:name w:val="annotation text"/>
    <w:basedOn w:val="Normal"/>
    <w:link w:val="CommentTextChar"/>
    <w:semiHidden/>
    <w:unhideWhenUsed/>
    <w:rsid w:val="00970854"/>
    <w:rPr>
      <w:sz w:val="20"/>
    </w:rPr>
  </w:style>
  <w:style w:type="character" w:customStyle="1" w:styleId="CommentTextChar">
    <w:name w:val="Comment Text Char"/>
    <w:basedOn w:val="DefaultParagraphFont"/>
    <w:link w:val="CommentText"/>
    <w:semiHidden/>
    <w:rsid w:val="00970854"/>
    <w:rPr>
      <w:rFonts w:ascii="Calibri" w:hAnsi="Calibri"/>
      <w:lang w:val="fr-FR" w:eastAsia="en-US"/>
    </w:rPr>
  </w:style>
  <w:style w:type="paragraph" w:styleId="CommentSubject">
    <w:name w:val="annotation subject"/>
    <w:basedOn w:val="CommentText"/>
    <w:next w:val="CommentText"/>
    <w:link w:val="CommentSubjectChar"/>
    <w:semiHidden/>
    <w:unhideWhenUsed/>
    <w:rsid w:val="00970854"/>
    <w:rPr>
      <w:b/>
      <w:bCs/>
    </w:rPr>
  </w:style>
  <w:style w:type="character" w:customStyle="1" w:styleId="CommentSubjectChar">
    <w:name w:val="Comment Subject Char"/>
    <w:basedOn w:val="CommentTextChar"/>
    <w:link w:val="CommentSubject"/>
    <w:semiHidden/>
    <w:rsid w:val="00970854"/>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058/fr" TargetMode="External"/><Relationship Id="rId13" Type="http://schemas.openxmlformats.org/officeDocument/2006/relationships/hyperlink" Target="https://www.itu.int/space-sustainability/"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tu.int/en/council/Documents/basic-texts-2023/RES-218-F.pdf" TargetMode="External"/><Relationship Id="rId12" Type="http://schemas.openxmlformats.org/officeDocument/2006/relationships/hyperlink" Target="https://www.itu.int/space-connec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ssf/" TargetMode="External"/><Relationship Id="rId5" Type="http://schemas.openxmlformats.org/officeDocument/2006/relationships/footnotes" Target="footnotes.xml"/><Relationship Id="rId15" Type="http://schemas.openxmlformats.org/officeDocument/2006/relationships/hyperlink" Target="https://www.itu.int/dms_pub/itu-r/opb/res/R-RES-R.74-2023-PDF-F.pdf" TargetMode="External"/><Relationship Id="rId10" Type="http://schemas.openxmlformats.org/officeDocument/2006/relationships/hyperlink" Target="https://www.itu.int/md/S25-CL-INF-0003/f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itu.int/md/S24-CL-C-0036/fr" TargetMode="External"/><Relationship Id="rId14" Type="http://schemas.openxmlformats.org/officeDocument/2006/relationships/hyperlink" Target="https://www.itu.int/dms_pub/itu-s/opb/conf/S-CONF-ACTF-2022-PDF-F.pdf"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998CA-29A5-458B-9D25-7B59DDBA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7383</Characters>
  <Application>Microsoft Office Word</Application>
  <DocSecurity>0</DocSecurity>
  <Lines>134</Lines>
  <Paragraphs>53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8550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Rôle de l'UIT dans la mise en œuvre du programme "Espace 2030" sur l'espace comme moteur de développement durable, et dans le processus de suivi et d'examen de ce programme</dc:title>
  <dc:subject>Conseil 2025 de l'UIT</dc:subject>
  <cp:keywords>C2025, C25, Council-25</cp:keywords>
  <dc:description/>
  <cp:lastPrinted>2000-07-18T08:55:00Z</cp:lastPrinted>
  <dcterms:created xsi:type="dcterms:W3CDTF">2025-05-29T14:07:00Z</dcterms:created>
  <dcterms:modified xsi:type="dcterms:W3CDTF">2025-05-29T14:07:00Z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265d97ef-27c4-4f66-a944-963db7050345</vt:lpwstr>
  </property>
</Properties>
</file>