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567147B1"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744C60">
              <w:rPr>
                <w:b/>
              </w:rPr>
              <w:t>PL 2</w:t>
            </w:r>
          </w:p>
        </w:tc>
        <w:tc>
          <w:tcPr>
            <w:tcW w:w="5245" w:type="dxa"/>
          </w:tcPr>
          <w:p w14:paraId="6779937E" w14:textId="5FD2488E"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744F26">
              <w:rPr>
                <w:b/>
              </w:rPr>
              <w:t>36</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5C33E063" w:rsidR="00AD3606" w:rsidRPr="00C0458D" w:rsidRDefault="005635F9" w:rsidP="00AD3606">
            <w:pPr>
              <w:tabs>
                <w:tab w:val="left" w:pos="851"/>
              </w:tabs>
              <w:spacing w:before="0"/>
              <w:jc w:val="right"/>
              <w:rPr>
                <w:b/>
              </w:rPr>
            </w:pPr>
            <w:r>
              <w:rPr>
                <w:b/>
              </w:rPr>
              <w:t>1</w:t>
            </w:r>
            <w:r w:rsidR="00331B03">
              <w:rPr>
                <w:b/>
              </w:rPr>
              <w:t>6</w:t>
            </w:r>
            <w:r>
              <w:rPr>
                <w:b/>
              </w:rPr>
              <w:t xml:space="preserve"> May</w:t>
            </w:r>
            <w:r w:rsidR="00744F26">
              <w:rPr>
                <w:b/>
              </w:rPr>
              <w:t xml:space="preserve">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00AD3606">
        <w:trPr>
          <w:cantSplit/>
        </w:trPr>
        <w:tc>
          <w:tcPr>
            <w:tcW w:w="9214" w:type="dxa"/>
            <w:gridSpan w:val="2"/>
            <w:tcMar>
              <w:left w:w="0" w:type="dxa"/>
            </w:tcMar>
          </w:tcPr>
          <w:p w14:paraId="2A2DCF47" w14:textId="0D027460" w:rsidR="00AD3606" w:rsidRPr="000F7289" w:rsidRDefault="00CE0CA4" w:rsidP="000F7289">
            <w:pPr>
              <w:pStyle w:val="Subtitle"/>
              <w:framePr w:hSpace="0" w:wrap="auto" w:xAlign="left" w:yAlign="inline"/>
            </w:pPr>
            <w:bookmarkStart w:id="9" w:name="_Hlk135504519"/>
            <w:bookmarkStart w:id="10" w:name="dtitle1" w:colFirst="0" w:colLast="0"/>
            <w:bookmarkEnd w:id="8"/>
            <w:r w:rsidRPr="001A476D">
              <w:t xml:space="preserve">ITU'S ROLE IN THE IMPLEMENTATION OF THE </w:t>
            </w:r>
            <w:r w:rsidR="00A1663F">
              <w:t>“</w:t>
            </w:r>
            <w:r w:rsidRPr="001A476D">
              <w:t>SPACE2030</w:t>
            </w:r>
            <w:r w:rsidR="00A1663F">
              <w:t>”</w:t>
            </w:r>
            <w:r w:rsidRPr="001A476D">
              <w:t xml:space="preserve"> AGENDA: SPACE AS A DRIVER OF SUSTAINABLE DEVELOPMENT, </w:t>
            </w:r>
            <w:r w:rsidR="00B34B71">
              <w:br/>
            </w:r>
            <w:r w:rsidRPr="001A476D">
              <w:t>AND ITS FOLLOW-UP AND REVIEW PROCESS</w:t>
            </w:r>
            <w:bookmarkEnd w:id="9"/>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522B0FC8" w:rsidR="00AD3606" w:rsidRPr="00331B03" w:rsidRDefault="004755C8" w:rsidP="004755C8">
            <w:pPr>
              <w:jc w:val="both"/>
              <w:rPr>
                <w:szCs w:val="24"/>
              </w:rPr>
            </w:pPr>
            <w:r w:rsidRPr="00331B03">
              <w:rPr>
                <w:szCs w:val="24"/>
              </w:rPr>
              <w:t xml:space="preserve">This contribution fulfils the reporting requirements established by Resolution 218 (Bucharest, 2022) of the Plenipotentiary Conference on the ITU’s implementation of the </w:t>
            </w:r>
            <w:r w:rsidR="00A1663F" w:rsidRPr="00331B03">
              <w:rPr>
                <w:szCs w:val="24"/>
              </w:rPr>
              <w:t>“</w:t>
            </w:r>
            <w:r w:rsidRPr="00331B03">
              <w:rPr>
                <w:szCs w:val="24"/>
              </w:rPr>
              <w:t>Space2030</w:t>
            </w:r>
            <w:r w:rsidR="00A1663F" w:rsidRPr="00331B03">
              <w:rPr>
                <w:szCs w:val="24"/>
              </w:rPr>
              <w:t>”</w:t>
            </w:r>
            <w:r w:rsidRPr="00331B03">
              <w:rPr>
                <w:szCs w:val="24"/>
              </w:rPr>
              <w:t xml:space="preserve"> Agenda.</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3EBF7ADF" w:rsidR="00722551" w:rsidRDefault="006053B2" w:rsidP="00F36CBE">
            <w:r>
              <w:t xml:space="preserve">The </w:t>
            </w:r>
            <w:r w:rsidR="00F36CBE">
              <w:t xml:space="preserve">Council is invited </w:t>
            </w:r>
            <w:r w:rsidR="00F36CBE" w:rsidRPr="00C44B11">
              <w:rPr>
                <w:b/>
                <w:bCs/>
              </w:rPr>
              <w:t>to note</w:t>
            </w:r>
            <w:r w:rsidR="00F36CBE">
              <w:t xml:space="preserve"> this report.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D1D2F73" w14:textId="77777777" w:rsidR="00304441" w:rsidRDefault="00304441" w:rsidP="00304441">
            <w:pPr>
              <w:jc w:val="both"/>
            </w:pPr>
            <w:r>
              <w:t>Thematic priority – Spectrum use for space and terrestrial services.</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774CC1CC" w:rsidR="00453079" w:rsidRPr="008C62C1" w:rsidRDefault="008C62C1" w:rsidP="008C62C1">
            <w:r>
              <w:t>Within the allocated budget 2024-2025</w:t>
            </w:r>
            <w:r w:rsidR="00744F26">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12F9FFA4" w:rsidR="00AD3606" w:rsidRPr="00B032AC" w:rsidRDefault="007709AC" w:rsidP="00F16BAB">
            <w:pPr>
              <w:spacing w:after="160"/>
              <w:rPr>
                <w:i/>
                <w:iCs/>
                <w:sz w:val="22"/>
                <w:szCs w:val="22"/>
              </w:rPr>
            </w:pPr>
            <w:hyperlink r:id="rId11" w:history="1">
              <w:r w:rsidRPr="00B032AC">
                <w:rPr>
                  <w:rStyle w:val="Hyperlink"/>
                  <w:i/>
                  <w:iCs/>
                  <w:sz w:val="22"/>
                  <w:szCs w:val="22"/>
                </w:rPr>
                <w:t>Resolution 218</w:t>
              </w:r>
            </w:hyperlink>
            <w:r w:rsidRPr="00B032AC">
              <w:rPr>
                <w:i/>
                <w:iCs/>
                <w:sz w:val="22"/>
                <w:szCs w:val="22"/>
              </w:rPr>
              <w:t xml:space="preserve"> (Bucharest, 2022) of the Plenipotentiary Conference</w:t>
            </w:r>
            <w:r w:rsidR="00744F26" w:rsidRPr="00B032AC">
              <w:rPr>
                <w:i/>
                <w:iCs/>
                <w:sz w:val="22"/>
                <w:szCs w:val="22"/>
              </w:rPr>
              <w:t xml:space="preserve">; </w:t>
            </w:r>
            <w:r w:rsidRPr="00B032AC">
              <w:rPr>
                <w:i/>
                <w:iCs/>
                <w:sz w:val="22"/>
                <w:szCs w:val="22"/>
              </w:rPr>
              <w:t>Council</w:t>
            </w:r>
            <w:r w:rsidR="00744F26" w:rsidRPr="00B032AC">
              <w:rPr>
                <w:i/>
                <w:iCs/>
                <w:sz w:val="22"/>
                <w:szCs w:val="22"/>
              </w:rPr>
              <w:t> Documents </w:t>
            </w:r>
            <w:hyperlink r:id="rId12" w:history="1">
              <w:r w:rsidRPr="00B032AC">
                <w:rPr>
                  <w:rStyle w:val="Hyperlink"/>
                  <w:i/>
                  <w:iCs/>
                  <w:sz w:val="22"/>
                  <w:szCs w:val="22"/>
                </w:rPr>
                <w:t>C23/58</w:t>
              </w:r>
            </w:hyperlink>
            <w:r w:rsidR="00744F26" w:rsidRPr="00B032AC">
              <w:rPr>
                <w:i/>
                <w:iCs/>
                <w:sz w:val="22"/>
                <w:szCs w:val="22"/>
              </w:rPr>
              <w:t xml:space="preserve"> and</w:t>
            </w:r>
            <w:r w:rsidR="00B032AC" w:rsidRPr="00B032AC">
              <w:rPr>
                <w:i/>
                <w:iCs/>
                <w:sz w:val="22"/>
                <w:szCs w:val="22"/>
              </w:rPr>
              <w:t> </w:t>
            </w:r>
            <w:hyperlink r:id="rId13" w:history="1">
              <w:r w:rsidRPr="00B032AC">
                <w:rPr>
                  <w:rStyle w:val="Hyperlink"/>
                  <w:i/>
                  <w:iCs/>
                  <w:sz w:val="22"/>
                  <w:szCs w:val="22"/>
                </w:rPr>
                <w:t>C24/36</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4DF5B6DE" w14:textId="77777777" w:rsidR="00020293" w:rsidRPr="004663EA" w:rsidRDefault="00020293" w:rsidP="00997D9C">
      <w:pPr>
        <w:pStyle w:val="Headingb"/>
      </w:pPr>
      <w:r w:rsidRPr="004663EA">
        <w:rPr>
          <w:lang w:val="en-US"/>
        </w:rPr>
        <w:lastRenderedPageBreak/>
        <w:t>Background</w:t>
      </w:r>
    </w:p>
    <w:p w14:paraId="667536F1" w14:textId="5A6F738F" w:rsidR="00020293" w:rsidRPr="004663EA" w:rsidRDefault="00020293" w:rsidP="00997D9C">
      <w:pPr>
        <w:jc w:val="both"/>
        <w:rPr>
          <w:b/>
        </w:rPr>
      </w:pPr>
      <w:r w:rsidRPr="1E742419">
        <w:t xml:space="preserve">In the </w:t>
      </w:r>
      <w:r w:rsidR="00A1663F">
        <w:t>“</w:t>
      </w:r>
      <w:r w:rsidRPr="1E742419">
        <w:t>Space2030</w:t>
      </w:r>
      <w:r w:rsidR="00A1663F">
        <w:t>”</w:t>
      </w:r>
      <w:r w:rsidRPr="1E742419">
        <w:t xml:space="preserve"> Agenda, developed by the United Nations Committee on the Peaceful Uses of Outer Space (COPUOS), Member States laid out a vision to enhance the use of space science and technology for the attainment of the 2030 Sustainable Development Agenda.</w:t>
      </w:r>
    </w:p>
    <w:p w14:paraId="39C9A2A7" w14:textId="77777777" w:rsidR="00020293" w:rsidRPr="004663EA" w:rsidRDefault="00020293" w:rsidP="000008B3">
      <w:pPr>
        <w:spacing w:before="240"/>
        <w:jc w:val="both"/>
        <w:rPr>
          <w:rFonts w:cstheme="minorHAnsi"/>
          <w:b/>
          <w:bCs/>
        </w:rPr>
      </w:pPr>
      <w:r w:rsidRPr="004663EA">
        <w:rPr>
          <w:rFonts w:cstheme="minorHAnsi"/>
          <w:bCs/>
        </w:rPr>
        <w:t xml:space="preserve">During its seventy-sixth session in October 2021, the United Nations General Assembly adopted the </w:t>
      </w:r>
      <w:r w:rsidRPr="004663EA">
        <w:rPr>
          <w:rFonts w:cstheme="minorHAnsi"/>
        </w:rPr>
        <w:t>Space2030 Agenda: space as a driver of sustainable development</w:t>
      </w:r>
      <w:r w:rsidRPr="004663EA">
        <w:rPr>
          <w:rFonts w:cstheme="minorHAnsi"/>
          <w:bCs/>
        </w:rPr>
        <w:t xml:space="preserve"> with four overarching objectives:</w:t>
      </w:r>
    </w:p>
    <w:p w14:paraId="0771B81D" w14:textId="46BBC34B" w:rsidR="00020293" w:rsidRPr="00997D9C" w:rsidRDefault="00B032AC" w:rsidP="00997D9C">
      <w:pPr>
        <w:pStyle w:val="enumlev1"/>
        <w:jc w:val="both"/>
        <w:rPr>
          <w:bCs/>
        </w:rPr>
      </w:pPr>
      <w:r w:rsidRPr="00997D9C">
        <w:rPr>
          <w:bCs/>
        </w:rPr>
        <w:t>1</w:t>
      </w:r>
      <w:r w:rsidRPr="00997D9C">
        <w:rPr>
          <w:bCs/>
        </w:rPr>
        <w:tab/>
      </w:r>
      <w:r w:rsidR="00020293" w:rsidRPr="00997D9C">
        <w:rPr>
          <w:bCs/>
        </w:rPr>
        <w:t xml:space="preserve">Enhance space-derived economic benefits and strengthen the role of the space sector as a major driver of sustainable </w:t>
      </w:r>
      <w:proofErr w:type="gramStart"/>
      <w:r w:rsidR="00020293" w:rsidRPr="00997D9C">
        <w:rPr>
          <w:bCs/>
        </w:rPr>
        <w:t>development;</w:t>
      </w:r>
      <w:proofErr w:type="gramEnd"/>
    </w:p>
    <w:p w14:paraId="30B0E30A" w14:textId="2C3FE3F9" w:rsidR="00020293" w:rsidRPr="00997D9C" w:rsidRDefault="00B032AC" w:rsidP="00997D9C">
      <w:pPr>
        <w:pStyle w:val="enumlev1"/>
        <w:jc w:val="both"/>
        <w:rPr>
          <w:bCs/>
        </w:rPr>
      </w:pPr>
      <w:r w:rsidRPr="00997D9C">
        <w:rPr>
          <w:bCs/>
        </w:rPr>
        <w:t>2</w:t>
      </w:r>
      <w:r w:rsidRPr="00997D9C">
        <w:rPr>
          <w:bCs/>
        </w:rPr>
        <w:tab/>
      </w:r>
      <w:r w:rsidR="00020293" w:rsidRPr="00997D9C">
        <w:rPr>
          <w:bCs/>
        </w:rPr>
        <w:t xml:space="preserve">Harness the potential of space to solve everyday challenges and leverage space-related innovation to improve the quality of </w:t>
      </w:r>
      <w:proofErr w:type="gramStart"/>
      <w:r w:rsidR="00020293" w:rsidRPr="00997D9C">
        <w:rPr>
          <w:bCs/>
        </w:rPr>
        <w:t>life;</w:t>
      </w:r>
      <w:proofErr w:type="gramEnd"/>
    </w:p>
    <w:p w14:paraId="0D02BA72" w14:textId="2A198520" w:rsidR="00020293" w:rsidRPr="00997D9C" w:rsidRDefault="00B032AC" w:rsidP="00997D9C">
      <w:pPr>
        <w:pStyle w:val="enumlev1"/>
        <w:jc w:val="both"/>
        <w:rPr>
          <w:bCs/>
        </w:rPr>
      </w:pPr>
      <w:r w:rsidRPr="00997D9C">
        <w:rPr>
          <w:bCs/>
        </w:rPr>
        <w:t>3</w:t>
      </w:r>
      <w:r w:rsidRPr="00997D9C">
        <w:rPr>
          <w:bCs/>
        </w:rPr>
        <w:tab/>
      </w:r>
      <w:r w:rsidR="00020293" w:rsidRPr="00997D9C">
        <w:rPr>
          <w:bCs/>
          <w:lang w:val="en-US"/>
        </w:rPr>
        <w:t>Improve access to space for all and ensure that all countries can benefit</w:t>
      </w:r>
      <w:r w:rsidR="00020293" w:rsidRPr="00997D9C">
        <w:rPr>
          <w:bCs/>
        </w:rPr>
        <w:t xml:space="preserve"> socioeconomically from space science and technology applications and space-based data, information and products, thereby supporting the achievement of the Sustainable Development Goals; and</w:t>
      </w:r>
    </w:p>
    <w:p w14:paraId="3CB769A7" w14:textId="3014E2E9" w:rsidR="00020293" w:rsidRPr="00997D9C" w:rsidRDefault="00B032AC" w:rsidP="00997D9C">
      <w:pPr>
        <w:pStyle w:val="enumlev1"/>
        <w:jc w:val="both"/>
        <w:rPr>
          <w:bCs/>
        </w:rPr>
      </w:pPr>
      <w:r w:rsidRPr="00997D9C">
        <w:rPr>
          <w:bCs/>
        </w:rPr>
        <w:t>4</w:t>
      </w:r>
      <w:r w:rsidRPr="00997D9C">
        <w:rPr>
          <w:bCs/>
        </w:rPr>
        <w:tab/>
      </w:r>
      <w:r w:rsidR="00020293" w:rsidRPr="00997D9C">
        <w:rPr>
          <w:bCs/>
        </w:rPr>
        <w:t>Build partnerships and strengthen international cooperation in the peaceful uses of outer space and in the global governance of outer space activities.</w:t>
      </w:r>
    </w:p>
    <w:p w14:paraId="635CF505" w14:textId="3B20A6C3" w:rsidR="00020293" w:rsidRPr="004663EA" w:rsidRDefault="00020293" w:rsidP="00997D9C">
      <w:pPr>
        <w:jc w:val="both"/>
        <w:rPr>
          <w:b/>
          <w:lang w:val="en-US"/>
        </w:rPr>
      </w:pPr>
      <w:r w:rsidRPr="1E742419">
        <w:rPr>
          <w:lang w:val="en-US"/>
        </w:rPr>
        <w:t xml:space="preserve">For its implementation, the </w:t>
      </w:r>
      <w:r w:rsidR="00A1663F">
        <w:rPr>
          <w:lang w:val="en-US"/>
        </w:rPr>
        <w:t>“</w:t>
      </w:r>
      <w:r w:rsidRPr="1E742419">
        <w:rPr>
          <w:lang w:val="en-US"/>
        </w:rPr>
        <w:t>Space2030</w:t>
      </w:r>
      <w:r w:rsidR="00A1663F">
        <w:rPr>
          <w:lang w:val="en-US"/>
        </w:rPr>
        <w:t>”</w:t>
      </w:r>
      <w:r w:rsidRPr="1E742419">
        <w:rPr>
          <w:lang w:val="en-US"/>
        </w:rPr>
        <w:t xml:space="preserve"> Agenda calls on Member States to contribute via partnerships, tools and resources.</w:t>
      </w:r>
    </w:p>
    <w:p w14:paraId="0030BA5B" w14:textId="05047581" w:rsidR="00020293" w:rsidRPr="00451F70" w:rsidRDefault="00020293" w:rsidP="00997D9C">
      <w:pPr>
        <w:jc w:val="both"/>
        <w:rPr>
          <w:b/>
          <w:bCs/>
          <w:lang w:val="en-US"/>
        </w:rPr>
      </w:pPr>
      <w:r w:rsidRPr="00451F70">
        <w:rPr>
          <w:bCs/>
        </w:rPr>
        <w:t xml:space="preserve">The United Nations Office for Outer Space Affairs (UNOOSA) serves as the secretariat for </w:t>
      </w:r>
      <w:proofErr w:type="gramStart"/>
      <w:r w:rsidRPr="00451F70">
        <w:rPr>
          <w:bCs/>
        </w:rPr>
        <w:t>COPUOS, and</w:t>
      </w:r>
      <w:proofErr w:type="gramEnd"/>
      <w:r w:rsidRPr="00451F70">
        <w:rPr>
          <w:bCs/>
        </w:rPr>
        <w:t xml:space="preserve"> </w:t>
      </w:r>
      <w:r w:rsidRPr="00451F70">
        <w:rPr>
          <w:bCs/>
          <w:lang w:val="en-US"/>
        </w:rPr>
        <w:t xml:space="preserve">coordinates the implementation of the </w:t>
      </w:r>
      <w:r w:rsidR="00A1663F">
        <w:rPr>
          <w:bCs/>
          <w:lang w:val="en-US"/>
        </w:rPr>
        <w:t>“</w:t>
      </w:r>
      <w:r w:rsidRPr="00451F70">
        <w:rPr>
          <w:bCs/>
          <w:lang w:val="en-US"/>
        </w:rPr>
        <w:t>Space2030</w:t>
      </w:r>
      <w:r w:rsidR="00A1663F">
        <w:rPr>
          <w:bCs/>
          <w:lang w:val="en-US"/>
        </w:rPr>
        <w:t>”</w:t>
      </w:r>
      <w:r w:rsidRPr="00451F70">
        <w:rPr>
          <w:bCs/>
          <w:lang w:val="en-US"/>
        </w:rPr>
        <w:t xml:space="preserve"> Agenda. </w:t>
      </w:r>
    </w:p>
    <w:p w14:paraId="6869D9FF" w14:textId="51AC13EA" w:rsidR="00020293" w:rsidRPr="004663EA" w:rsidRDefault="00020293" w:rsidP="000008B3">
      <w:pPr>
        <w:spacing w:before="240"/>
        <w:jc w:val="both"/>
        <w:rPr>
          <w:b/>
          <w:lang w:val="en-US"/>
        </w:rPr>
      </w:pPr>
      <w:r w:rsidRPr="1E742419">
        <w:rPr>
          <w:lang w:val="en-US"/>
        </w:rPr>
        <w:t>The 2022 ITU Plenipotentiary Conference (PP-22) recognized that ITU has an essential role in achieving its objectives. As such, PP-22 adopted Resolution 218 (Bucharest,</w:t>
      </w:r>
      <w:r w:rsidR="00997D9C">
        <w:rPr>
          <w:lang w:val="en-US"/>
        </w:rPr>
        <w:t xml:space="preserve"> </w:t>
      </w:r>
      <w:r w:rsidRPr="1E742419">
        <w:rPr>
          <w:lang w:val="en-US"/>
        </w:rPr>
        <w:t xml:space="preserve">2022) which </w:t>
      </w:r>
      <w:r w:rsidRPr="1E742419">
        <w:rPr>
          <w:i/>
          <w:iCs/>
          <w:lang w:val="en-US"/>
        </w:rPr>
        <w:t>resolved</w:t>
      </w:r>
      <w:r w:rsidR="00997D9C">
        <w:rPr>
          <w:lang w:val="en-US"/>
        </w:rPr>
        <w:t>:</w:t>
      </w:r>
    </w:p>
    <w:p w14:paraId="3FDCFA88" w14:textId="5B72D4F3" w:rsidR="00020293" w:rsidRPr="00997D9C" w:rsidRDefault="00B032AC" w:rsidP="000008B3">
      <w:pPr>
        <w:pStyle w:val="enumlev1"/>
        <w:tabs>
          <w:tab w:val="clear" w:pos="567"/>
          <w:tab w:val="clear" w:pos="1134"/>
        </w:tabs>
        <w:jc w:val="both"/>
        <w:rPr>
          <w:bCs/>
          <w:lang w:val="en-US"/>
        </w:rPr>
      </w:pPr>
      <w:r w:rsidRPr="00997D9C">
        <w:rPr>
          <w:bCs/>
          <w:lang w:val="en-US"/>
        </w:rPr>
        <w:t>1</w:t>
      </w:r>
      <w:r w:rsidRPr="00997D9C">
        <w:rPr>
          <w:bCs/>
          <w:lang w:val="en-US"/>
        </w:rPr>
        <w:tab/>
      </w:r>
      <w:r w:rsidR="00020293" w:rsidRPr="00997D9C">
        <w:rPr>
          <w:bCs/>
          <w:lang w:val="en-US"/>
        </w:rPr>
        <w:t xml:space="preserve">that ITU should support the implementation of the </w:t>
      </w:r>
      <w:r w:rsidR="00A1663F">
        <w:rPr>
          <w:bCs/>
          <w:lang w:val="en-US"/>
        </w:rPr>
        <w:t>“</w:t>
      </w:r>
      <w:r w:rsidR="00020293" w:rsidRPr="00997D9C">
        <w:rPr>
          <w:bCs/>
          <w:lang w:val="en-US"/>
        </w:rPr>
        <w:t>Space2030</w:t>
      </w:r>
      <w:r w:rsidR="00A1663F">
        <w:rPr>
          <w:bCs/>
          <w:lang w:val="en-US"/>
        </w:rPr>
        <w:t>”</w:t>
      </w:r>
      <w:r w:rsidR="00020293" w:rsidRPr="00997D9C">
        <w:rPr>
          <w:bCs/>
          <w:lang w:val="en-US"/>
        </w:rPr>
        <w:t xml:space="preserve"> Agenda, especially the parts relevant to space services of overarching objective 3 referred to in recalling b) above, </w:t>
      </w:r>
      <w:proofErr w:type="gramStart"/>
      <w:r w:rsidR="00020293" w:rsidRPr="00997D9C">
        <w:rPr>
          <w:bCs/>
          <w:lang w:val="en-US"/>
        </w:rPr>
        <w:t>taking into account</w:t>
      </w:r>
      <w:proofErr w:type="gramEnd"/>
      <w:r w:rsidR="00020293" w:rsidRPr="00997D9C">
        <w:rPr>
          <w:bCs/>
          <w:lang w:val="en-US"/>
        </w:rPr>
        <w:t xml:space="preserve"> the unique role of ITU with respect to access to the radio-frequency spectrum and associated satellite orbits, consistent with Article 44 of the </w:t>
      </w:r>
      <w:proofErr w:type="gramStart"/>
      <w:r w:rsidR="00020293" w:rsidRPr="00997D9C">
        <w:rPr>
          <w:bCs/>
          <w:lang w:val="en-US"/>
        </w:rPr>
        <w:t>Constitution;</w:t>
      </w:r>
      <w:proofErr w:type="gramEnd"/>
    </w:p>
    <w:p w14:paraId="1B84150A" w14:textId="3220B8BB" w:rsidR="00020293" w:rsidRPr="00997D9C" w:rsidRDefault="00B032AC" w:rsidP="000008B3">
      <w:pPr>
        <w:pStyle w:val="enumlev1"/>
        <w:jc w:val="both"/>
        <w:rPr>
          <w:bCs/>
          <w:lang w:val="en-US"/>
        </w:rPr>
      </w:pPr>
      <w:r w:rsidRPr="00997D9C">
        <w:rPr>
          <w:bCs/>
          <w:lang w:val="en-US"/>
        </w:rPr>
        <w:t>2</w:t>
      </w:r>
      <w:r w:rsidRPr="00997D9C">
        <w:rPr>
          <w:bCs/>
          <w:lang w:val="en-US"/>
        </w:rPr>
        <w:tab/>
      </w:r>
      <w:r w:rsidR="00020293" w:rsidRPr="00997D9C">
        <w:rPr>
          <w:bCs/>
          <w:lang w:val="en-US"/>
        </w:rPr>
        <w:t xml:space="preserve">that the implementation of </w:t>
      </w:r>
      <w:r w:rsidR="00020293" w:rsidRPr="00997D9C">
        <w:rPr>
          <w:bCs/>
          <w:i/>
          <w:iCs/>
          <w:lang w:val="en-US"/>
        </w:rPr>
        <w:t>resolves</w:t>
      </w:r>
      <w:r w:rsidR="00020293" w:rsidRPr="00997D9C">
        <w:rPr>
          <w:bCs/>
          <w:lang w:val="en-US"/>
        </w:rPr>
        <w:t xml:space="preserve"> 1 above should leverage the involvement of the ITU regional presence and pay particular attention to developing countries, least developed countries (LDCs), small island developing states (SIDS) and landlocked developing countries (LLDCs</w:t>
      </w:r>
      <w:proofErr w:type="gramStart"/>
      <w:r w:rsidR="00020293" w:rsidRPr="00997D9C">
        <w:rPr>
          <w:bCs/>
          <w:lang w:val="en-US"/>
        </w:rPr>
        <w:t>);</w:t>
      </w:r>
      <w:proofErr w:type="gramEnd"/>
    </w:p>
    <w:p w14:paraId="3527EE1C" w14:textId="2C5BA33E" w:rsidR="00020293" w:rsidRPr="00997D9C" w:rsidRDefault="00B032AC" w:rsidP="000008B3">
      <w:pPr>
        <w:pStyle w:val="enumlev1"/>
        <w:jc w:val="both"/>
        <w:rPr>
          <w:rFonts w:cstheme="minorBidi"/>
          <w:bCs/>
          <w:lang w:val="en-US"/>
        </w:rPr>
      </w:pPr>
      <w:r w:rsidRPr="00997D9C">
        <w:rPr>
          <w:rFonts w:cstheme="minorBidi"/>
          <w:bCs/>
          <w:lang w:val="en-US"/>
        </w:rPr>
        <w:t>3</w:t>
      </w:r>
      <w:r w:rsidRPr="00997D9C">
        <w:rPr>
          <w:rFonts w:cstheme="minorBidi"/>
          <w:bCs/>
          <w:lang w:val="en-US"/>
        </w:rPr>
        <w:tab/>
      </w:r>
      <w:r w:rsidR="00020293" w:rsidRPr="00997D9C">
        <w:rPr>
          <w:rFonts w:cstheme="minorBidi"/>
          <w:bCs/>
          <w:lang w:val="en-US"/>
        </w:rPr>
        <w:t xml:space="preserve">that the Radiocommunication Bureau (BR) and the Telecommunication Development Bureau (BDT) continue to assist developing countries, LDCs, SIDS and LLDCs in accessing the radio-frequency spectrum and associated satellite orbits, in particular </w:t>
      </w:r>
      <w:proofErr w:type="gramStart"/>
      <w:r w:rsidR="00020293" w:rsidRPr="00997D9C">
        <w:rPr>
          <w:rFonts w:cstheme="minorBidi"/>
          <w:bCs/>
          <w:lang w:val="en-US"/>
        </w:rPr>
        <w:t>in order to</w:t>
      </w:r>
      <w:proofErr w:type="gramEnd"/>
      <w:r w:rsidR="00020293" w:rsidRPr="00997D9C">
        <w:rPr>
          <w:rFonts w:cstheme="minorBidi"/>
          <w:bCs/>
          <w:lang w:val="en-US"/>
        </w:rPr>
        <w:t xml:space="preserve"> achieve the objectives of the </w:t>
      </w:r>
      <w:r w:rsidR="00A1663F">
        <w:rPr>
          <w:rFonts w:cstheme="minorBidi"/>
          <w:bCs/>
          <w:lang w:val="en-US"/>
        </w:rPr>
        <w:t>“</w:t>
      </w:r>
      <w:r w:rsidR="00020293" w:rsidRPr="00997D9C">
        <w:rPr>
          <w:rFonts w:cstheme="minorBidi"/>
          <w:bCs/>
          <w:lang w:val="en-US"/>
        </w:rPr>
        <w:t>Space2030</w:t>
      </w:r>
      <w:r w:rsidR="00A1663F">
        <w:rPr>
          <w:rFonts w:cstheme="minorBidi"/>
          <w:bCs/>
          <w:lang w:val="en-US"/>
        </w:rPr>
        <w:t>”</w:t>
      </w:r>
      <w:r w:rsidR="00020293" w:rsidRPr="00997D9C">
        <w:rPr>
          <w:rFonts w:cstheme="minorBidi"/>
          <w:bCs/>
          <w:lang w:val="en-US"/>
        </w:rPr>
        <w:t xml:space="preserve"> Agenda.</w:t>
      </w:r>
    </w:p>
    <w:p w14:paraId="57E67AF7" w14:textId="26C24502" w:rsidR="00020293" w:rsidRPr="004663EA" w:rsidRDefault="00020293" w:rsidP="00997D9C">
      <w:pPr>
        <w:pStyle w:val="Headingb"/>
        <w:rPr>
          <w:lang w:val="en-US"/>
        </w:rPr>
      </w:pPr>
      <w:proofErr w:type="gramStart"/>
      <w:r w:rsidRPr="004663EA">
        <w:rPr>
          <w:lang w:val="en-US"/>
        </w:rPr>
        <w:lastRenderedPageBreak/>
        <w:t>Reporting</w:t>
      </w:r>
      <w:proofErr w:type="gramEnd"/>
      <w:r w:rsidRPr="004663EA">
        <w:rPr>
          <w:lang w:val="en-US"/>
        </w:rPr>
        <w:t xml:space="preserve"> on ITU Implementation of the Space2030 Agenda</w:t>
      </w:r>
    </w:p>
    <w:p w14:paraId="40084AEB" w14:textId="77777777" w:rsidR="00020293" w:rsidRPr="004663EA" w:rsidRDefault="00020293" w:rsidP="00997D9C">
      <w:pPr>
        <w:keepNext/>
        <w:jc w:val="both"/>
        <w:rPr>
          <w:b/>
          <w:lang w:val="en-US"/>
        </w:rPr>
      </w:pPr>
      <w:r w:rsidRPr="004663EA">
        <w:rPr>
          <w:lang w:val="en-US"/>
        </w:rPr>
        <w:t xml:space="preserve">Resolution 218 (Bucharest, 2022) instructed the ITU Secretary-General and the Directors of the Bureaux to, </w:t>
      </w:r>
      <w:r w:rsidRPr="004663EA">
        <w:rPr>
          <w:i/>
          <w:iCs/>
          <w:lang w:val="en-US"/>
        </w:rPr>
        <w:t>inter alia</w:t>
      </w:r>
      <w:r w:rsidRPr="004663EA">
        <w:rPr>
          <w:lang w:val="en-US"/>
        </w:rPr>
        <w:t xml:space="preserve">: </w:t>
      </w:r>
    </w:p>
    <w:p w14:paraId="192EF682" w14:textId="46D6F99C" w:rsidR="00020293" w:rsidRPr="00997D9C" w:rsidRDefault="00B032AC" w:rsidP="000008B3">
      <w:pPr>
        <w:pStyle w:val="enumlev1"/>
        <w:tabs>
          <w:tab w:val="clear" w:pos="567"/>
          <w:tab w:val="clear" w:pos="1134"/>
          <w:tab w:val="clear" w:pos="1701"/>
          <w:tab w:val="clear" w:pos="2268"/>
          <w:tab w:val="clear" w:pos="2835"/>
        </w:tabs>
        <w:jc w:val="both"/>
        <w:rPr>
          <w:bCs/>
          <w:lang w:val="en-US"/>
        </w:rPr>
      </w:pPr>
      <w:r w:rsidRPr="00997D9C">
        <w:rPr>
          <w:bCs/>
          <w:lang w:val="en-US"/>
        </w:rPr>
        <w:t>1</w:t>
      </w:r>
      <w:r w:rsidRPr="00997D9C">
        <w:rPr>
          <w:bCs/>
          <w:lang w:val="en-US"/>
        </w:rPr>
        <w:tab/>
      </w:r>
      <w:r w:rsidR="00020293" w:rsidRPr="00997D9C">
        <w:rPr>
          <w:bCs/>
          <w:lang w:val="en-US"/>
        </w:rPr>
        <w:t xml:space="preserve">To provide annually to the ITU Council a comprehensive report on the status of the plans governed by Appendices </w:t>
      </w:r>
      <w:r w:rsidR="00020293" w:rsidRPr="00744C60">
        <w:rPr>
          <w:b/>
          <w:lang w:val="en-US"/>
        </w:rPr>
        <w:t>30</w:t>
      </w:r>
      <w:r w:rsidR="00020293" w:rsidRPr="00997D9C">
        <w:rPr>
          <w:bCs/>
          <w:lang w:val="en-US"/>
        </w:rPr>
        <w:t xml:space="preserve">, </w:t>
      </w:r>
      <w:r w:rsidR="00020293" w:rsidRPr="00744C60">
        <w:rPr>
          <w:b/>
          <w:lang w:val="en-US"/>
        </w:rPr>
        <w:t>30A</w:t>
      </w:r>
      <w:r w:rsidR="00020293" w:rsidRPr="00997D9C">
        <w:rPr>
          <w:bCs/>
          <w:lang w:val="en-US"/>
        </w:rPr>
        <w:t xml:space="preserve"> and </w:t>
      </w:r>
      <w:r w:rsidR="00020293" w:rsidRPr="00744C60">
        <w:rPr>
          <w:b/>
          <w:lang w:val="en-US"/>
        </w:rPr>
        <w:t>30B</w:t>
      </w:r>
      <w:r w:rsidR="00020293" w:rsidRPr="00997D9C">
        <w:rPr>
          <w:bCs/>
          <w:lang w:val="en-US"/>
        </w:rPr>
        <w:t xml:space="preserve"> to the Radio Regulations, highlighting the situation of developing countries and any challenges related to the implementation of those plans, such as the evolution of reference situations of the various frequency assignments and allotments, including any difficulties and problems encountered by BR in the implementation of these plans and problems reported to BR by administrations; </w:t>
      </w:r>
      <w:bookmarkStart w:id="12" w:name="_Hlk135536731"/>
      <w:r w:rsidR="00020293" w:rsidRPr="00997D9C">
        <w:rPr>
          <w:bCs/>
          <w:i/>
          <w:iCs/>
          <w:lang w:val="en-US"/>
        </w:rPr>
        <w:t xml:space="preserve">(instructs </w:t>
      </w:r>
      <w:r w:rsidR="00020293" w:rsidRPr="002760AB">
        <w:rPr>
          <w:bCs/>
          <w:lang w:val="en-US"/>
        </w:rPr>
        <w:t>2</w:t>
      </w:r>
      <w:r w:rsidR="00020293" w:rsidRPr="00997D9C">
        <w:rPr>
          <w:bCs/>
          <w:i/>
          <w:iCs/>
          <w:lang w:val="en-US"/>
        </w:rPr>
        <w:t>)</w:t>
      </w:r>
      <w:bookmarkEnd w:id="12"/>
    </w:p>
    <w:p w14:paraId="39B3AA99" w14:textId="4032B44E" w:rsidR="00020293" w:rsidRPr="00997D9C" w:rsidRDefault="00B032AC" w:rsidP="000008B3">
      <w:pPr>
        <w:pStyle w:val="enumlev1"/>
        <w:tabs>
          <w:tab w:val="clear" w:pos="567"/>
          <w:tab w:val="clear" w:pos="1134"/>
          <w:tab w:val="clear" w:pos="1701"/>
          <w:tab w:val="clear" w:pos="2268"/>
          <w:tab w:val="clear" w:pos="2835"/>
        </w:tabs>
        <w:jc w:val="both"/>
        <w:rPr>
          <w:bCs/>
          <w:lang w:val="en-US"/>
        </w:rPr>
      </w:pPr>
      <w:r w:rsidRPr="00997D9C">
        <w:rPr>
          <w:bCs/>
          <w:lang w:val="en-US"/>
        </w:rPr>
        <w:t>2</w:t>
      </w:r>
      <w:r w:rsidRPr="00997D9C">
        <w:rPr>
          <w:bCs/>
          <w:lang w:val="en-US"/>
        </w:rPr>
        <w:tab/>
      </w:r>
      <w:r w:rsidR="00020293" w:rsidRPr="00997D9C">
        <w:rPr>
          <w:bCs/>
          <w:lang w:val="en-US"/>
        </w:rPr>
        <w:t xml:space="preserve">To provide annually to the Council a report on the role of ITU in the implementation of the </w:t>
      </w:r>
      <w:r w:rsidR="00A1663F">
        <w:rPr>
          <w:bCs/>
          <w:lang w:val="en-US"/>
        </w:rPr>
        <w:t>“</w:t>
      </w:r>
      <w:r w:rsidR="00020293" w:rsidRPr="00997D9C">
        <w:rPr>
          <w:bCs/>
          <w:lang w:val="en-US"/>
        </w:rPr>
        <w:t>Space2030</w:t>
      </w:r>
      <w:r w:rsidR="00A1663F">
        <w:rPr>
          <w:bCs/>
          <w:lang w:val="en-US"/>
        </w:rPr>
        <w:t>”</w:t>
      </w:r>
      <w:r w:rsidR="00020293" w:rsidRPr="00997D9C">
        <w:rPr>
          <w:bCs/>
          <w:lang w:val="en-US"/>
        </w:rPr>
        <w:t xml:space="preserve"> Agenda; </w:t>
      </w:r>
      <w:r w:rsidR="00020293" w:rsidRPr="00997D9C">
        <w:rPr>
          <w:bCs/>
          <w:i/>
          <w:iCs/>
          <w:lang w:val="en-US"/>
        </w:rPr>
        <w:t xml:space="preserve">(instructs </w:t>
      </w:r>
      <w:r w:rsidR="00020293" w:rsidRPr="002760AB">
        <w:rPr>
          <w:bCs/>
          <w:lang w:val="en-US"/>
        </w:rPr>
        <w:t>3</w:t>
      </w:r>
      <w:r w:rsidR="00020293" w:rsidRPr="00997D9C">
        <w:rPr>
          <w:bCs/>
          <w:i/>
          <w:iCs/>
          <w:lang w:val="en-US"/>
        </w:rPr>
        <w:t>)</w:t>
      </w:r>
    </w:p>
    <w:p w14:paraId="3CA49376" w14:textId="743BFDFB" w:rsidR="00020293" w:rsidRPr="00997D9C" w:rsidRDefault="00B032AC" w:rsidP="000008B3">
      <w:pPr>
        <w:pStyle w:val="enumlev1"/>
        <w:tabs>
          <w:tab w:val="clear" w:pos="567"/>
          <w:tab w:val="clear" w:pos="1134"/>
          <w:tab w:val="clear" w:pos="1701"/>
          <w:tab w:val="clear" w:pos="2268"/>
          <w:tab w:val="clear" w:pos="2835"/>
        </w:tabs>
        <w:jc w:val="both"/>
        <w:rPr>
          <w:rFonts w:cstheme="minorBidi"/>
          <w:bCs/>
          <w:lang w:val="en-US"/>
        </w:rPr>
      </w:pPr>
      <w:r w:rsidRPr="00997D9C">
        <w:rPr>
          <w:rFonts w:cstheme="minorBidi"/>
          <w:bCs/>
          <w:lang w:val="en-US"/>
        </w:rPr>
        <w:t>3</w:t>
      </w:r>
      <w:r w:rsidRPr="00997D9C">
        <w:rPr>
          <w:rFonts w:cstheme="minorBidi"/>
          <w:bCs/>
          <w:lang w:val="en-US"/>
        </w:rPr>
        <w:tab/>
      </w:r>
      <w:r w:rsidR="00020293" w:rsidRPr="00997D9C">
        <w:rPr>
          <w:rFonts w:cstheme="minorBidi"/>
          <w:bCs/>
          <w:lang w:val="en-US"/>
        </w:rPr>
        <w:t>To report to the Council on sessions of the United Nations Inter-Agency Meeting on Outer Space Activities (UN-Space) and the measures being implemented in promoting synergies and avoiding duplication of efforts related to the use of space technology.</w:t>
      </w:r>
      <w:r w:rsidR="00020293" w:rsidRPr="00997D9C">
        <w:rPr>
          <w:rFonts w:cstheme="minorBidi"/>
          <w:bCs/>
          <w:i/>
          <w:iCs/>
          <w:lang w:val="en-US"/>
        </w:rPr>
        <w:t xml:space="preserve"> (instructs </w:t>
      </w:r>
      <w:r w:rsidR="00020293" w:rsidRPr="002760AB">
        <w:rPr>
          <w:rFonts w:cstheme="minorBidi"/>
          <w:bCs/>
          <w:lang w:val="en-US"/>
        </w:rPr>
        <w:t>8</w:t>
      </w:r>
      <w:r w:rsidR="00020293" w:rsidRPr="00997D9C">
        <w:rPr>
          <w:rFonts w:cstheme="minorBidi"/>
          <w:bCs/>
          <w:i/>
          <w:iCs/>
          <w:lang w:val="en-US"/>
        </w:rPr>
        <w:t>)</w:t>
      </w:r>
    </w:p>
    <w:p w14:paraId="10B9F494" w14:textId="458E59A9" w:rsidR="00020293" w:rsidRDefault="00020293" w:rsidP="002760AB">
      <w:pPr>
        <w:jc w:val="both"/>
        <w:rPr>
          <w:lang w:val="en-US"/>
        </w:rPr>
      </w:pPr>
      <w:r w:rsidRPr="00BD5727">
        <w:rPr>
          <w:lang w:val="en-US"/>
        </w:rPr>
        <w:t>The reports on each of the above matters are presented in</w:t>
      </w:r>
      <w:r w:rsidR="00C42650" w:rsidRPr="00BD5727">
        <w:rPr>
          <w:lang w:val="en-US"/>
        </w:rPr>
        <w:t xml:space="preserve"> Document </w:t>
      </w:r>
      <w:hyperlink r:id="rId14" w:history="1">
        <w:r w:rsidR="00C42650" w:rsidRPr="00BD5727">
          <w:rPr>
            <w:rStyle w:val="Hyperlink"/>
            <w:lang w:val="en-US"/>
          </w:rPr>
          <w:t>C2</w:t>
        </w:r>
        <w:r w:rsidR="00BD5727" w:rsidRPr="00BD5727">
          <w:rPr>
            <w:rStyle w:val="Hyperlink"/>
            <w:lang w:val="en-US"/>
          </w:rPr>
          <w:t>5</w:t>
        </w:r>
        <w:r w:rsidR="00C42650" w:rsidRPr="00BD5727">
          <w:rPr>
            <w:rStyle w:val="Hyperlink"/>
            <w:lang w:val="en-US"/>
          </w:rPr>
          <w:t>/INF/</w:t>
        </w:r>
        <w:r w:rsidR="00BD5727" w:rsidRPr="00BD5727">
          <w:rPr>
            <w:rStyle w:val="Hyperlink"/>
            <w:lang w:val="en-US"/>
          </w:rPr>
          <w:t>3</w:t>
        </w:r>
      </w:hyperlink>
      <w:r w:rsidRPr="00BD5727">
        <w:rPr>
          <w:lang w:val="en-US"/>
        </w:rPr>
        <w:t>.</w:t>
      </w:r>
    </w:p>
    <w:p w14:paraId="48E89C05" w14:textId="0A602277" w:rsidR="00020293" w:rsidRDefault="00020293" w:rsidP="000008B3">
      <w:pPr>
        <w:pStyle w:val="Headingb"/>
        <w:spacing w:before="240"/>
        <w:rPr>
          <w:lang w:val="en-US"/>
        </w:rPr>
      </w:pPr>
      <w:bookmarkStart w:id="13" w:name="_Hlk165533456"/>
      <w:r w:rsidRPr="120CFC1C">
        <w:rPr>
          <w:lang w:val="en-US"/>
        </w:rPr>
        <w:t>Highlights of recent and planned ITU activities</w:t>
      </w:r>
    </w:p>
    <w:p w14:paraId="5A867487" w14:textId="434A43CC" w:rsidR="008C55B5" w:rsidRDefault="002760AB" w:rsidP="002760AB">
      <w:pPr>
        <w:pStyle w:val="enumlev1"/>
        <w:jc w:val="both"/>
        <w:rPr>
          <w:b/>
          <w:lang w:val="en-US"/>
        </w:rPr>
      </w:pPr>
      <w:r>
        <w:rPr>
          <w:lang w:val="en-US"/>
        </w:rPr>
        <w:t>–</w:t>
      </w:r>
      <w:r>
        <w:rPr>
          <w:lang w:val="en-US"/>
        </w:rPr>
        <w:tab/>
      </w:r>
      <w:r w:rsidR="0056547C" w:rsidRPr="00D44D58">
        <w:rPr>
          <w:lang w:val="en-US"/>
        </w:rPr>
        <w:t>The f</w:t>
      </w:r>
      <w:r w:rsidR="00500D4C" w:rsidRPr="00D44D58">
        <w:rPr>
          <w:lang w:val="en-US"/>
        </w:rPr>
        <w:t xml:space="preserve">irst edition of the </w:t>
      </w:r>
      <w:hyperlink r:id="rId15" w:history="1">
        <w:r w:rsidR="00500D4C" w:rsidRPr="00D44D58">
          <w:rPr>
            <w:rStyle w:val="Hyperlink"/>
            <w:rFonts w:asciiTheme="minorHAnsi" w:hAnsiTheme="minorHAnsi" w:cstheme="minorHAnsi"/>
            <w:bCs/>
            <w:szCs w:val="24"/>
            <w:lang w:val="en-US"/>
          </w:rPr>
          <w:t>Space Sustainability Forum</w:t>
        </w:r>
      </w:hyperlink>
      <w:r w:rsidR="0056547C" w:rsidRPr="00D44D58">
        <w:rPr>
          <w:lang w:val="en-US"/>
        </w:rPr>
        <w:t xml:space="preserve"> took place </w:t>
      </w:r>
      <w:r w:rsidR="00953BC2" w:rsidRPr="00D44D58">
        <w:rPr>
          <w:lang w:val="en-US"/>
        </w:rPr>
        <w:t xml:space="preserve">on 10 and 11 September 2024 at the ITU headquarters. </w:t>
      </w:r>
      <w:r w:rsidR="0056547C" w:rsidRPr="00D44D58">
        <w:rPr>
          <w:lang w:val="en-US"/>
        </w:rPr>
        <w:t>The Forum convene</w:t>
      </w:r>
      <w:r w:rsidR="00F24455" w:rsidRPr="00D44D58">
        <w:rPr>
          <w:lang w:val="en-US"/>
        </w:rPr>
        <w:t>d</w:t>
      </w:r>
      <w:r w:rsidR="0056547C" w:rsidRPr="00D44D58">
        <w:rPr>
          <w:lang w:val="en-US"/>
        </w:rPr>
        <w:t xml:space="preserve"> top leaders and experts from the satellite and space industries, space and telecom agencies, governments and other space stakeholders that are committed to the responsible use of </w:t>
      </w:r>
      <w:proofErr w:type="gramStart"/>
      <w:r w:rsidR="0056547C" w:rsidRPr="00D44D58">
        <w:rPr>
          <w:lang w:val="en-US"/>
        </w:rPr>
        <w:t>the space</w:t>
      </w:r>
      <w:proofErr w:type="gramEnd"/>
      <w:r w:rsidR="0056547C" w:rsidRPr="00D44D58">
        <w:rPr>
          <w:lang w:val="en-US"/>
        </w:rPr>
        <w:t xml:space="preserve">. The Forum </w:t>
      </w:r>
      <w:r w:rsidR="008A256E" w:rsidRPr="00D44D58">
        <w:rPr>
          <w:lang w:val="en-US"/>
        </w:rPr>
        <w:t xml:space="preserve">was </w:t>
      </w:r>
      <w:r w:rsidR="0056547C" w:rsidRPr="00D44D58">
        <w:rPr>
          <w:lang w:val="en-US"/>
        </w:rPr>
        <w:t>an opportunity to present, discuss and dive deep</w:t>
      </w:r>
      <w:r w:rsidR="008A256E" w:rsidRPr="00D44D58">
        <w:rPr>
          <w:lang w:val="en-US"/>
        </w:rPr>
        <w:t>er</w:t>
      </w:r>
      <w:r w:rsidR="0056547C" w:rsidRPr="00D44D58">
        <w:rPr>
          <w:lang w:val="en-US"/>
        </w:rPr>
        <w:t xml:space="preserve"> into the policies, best practices, guidelines and strategies to ensure space remains accessible and sustainable for the future space activities envisioned today and in the future. </w:t>
      </w:r>
      <w:r w:rsidR="00DE4688" w:rsidRPr="00D44D58">
        <w:rPr>
          <w:lang w:val="en-US"/>
        </w:rPr>
        <w:t xml:space="preserve">The </w:t>
      </w:r>
      <w:r w:rsidR="0093775E" w:rsidRPr="00D44D58">
        <w:rPr>
          <w:lang w:val="en-US"/>
        </w:rPr>
        <w:t xml:space="preserve">second edition </w:t>
      </w:r>
      <w:r w:rsidR="00DE4688" w:rsidRPr="00D44D58">
        <w:rPr>
          <w:lang w:val="en-US"/>
        </w:rPr>
        <w:t xml:space="preserve">of the Forum is </w:t>
      </w:r>
      <w:r w:rsidR="0093775E" w:rsidRPr="00D44D58">
        <w:rPr>
          <w:lang w:val="en-US"/>
        </w:rPr>
        <w:t xml:space="preserve">scheduled on </w:t>
      </w:r>
      <w:r w:rsidR="0056547C" w:rsidRPr="00D44D58">
        <w:rPr>
          <w:lang w:val="en-US"/>
        </w:rPr>
        <w:t>7 and 8 October 2025.</w:t>
      </w:r>
    </w:p>
    <w:p w14:paraId="42CA6706" w14:textId="0AF40535" w:rsidR="008C55B5" w:rsidRDefault="002760AB" w:rsidP="002760AB">
      <w:pPr>
        <w:pStyle w:val="enumlev1"/>
        <w:jc w:val="both"/>
        <w:rPr>
          <w:b/>
          <w:lang w:val="en-US"/>
        </w:rPr>
      </w:pPr>
      <w:r>
        <w:rPr>
          <w:lang w:val="en-US"/>
        </w:rPr>
        <w:t>–</w:t>
      </w:r>
      <w:r>
        <w:rPr>
          <w:lang w:val="en-US"/>
        </w:rPr>
        <w:tab/>
      </w:r>
      <w:r w:rsidR="00D86F76" w:rsidRPr="008C55B5">
        <w:rPr>
          <w:lang w:val="en-US"/>
        </w:rPr>
        <w:t>T</w:t>
      </w:r>
      <w:r w:rsidR="005D52EF" w:rsidRPr="008C55B5">
        <w:rPr>
          <w:lang w:val="en-US"/>
        </w:rPr>
        <w:t xml:space="preserve">he </w:t>
      </w:r>
      <w:hyperlink r:id="rId16" w:history="1">
        <w:r w:rsidR="005D52EF" w:rsidRPr="008C55B5">
          <w:rPr>
            <w:rStyle w:val="Hyperlink"/>
            <w:rFonts w:asciiTheme="minorHAnsi" w:hAnsiTheme="minorHAnsi" w:cstheme="minorHAnsi"/>
            <w:bCs/>
            <w:szCs w:val="24"/>
            <w:lang w:val="en-US"/>
          </w:rPr>
          <w:t>Space Connect series</w:t>
        </w:r>
      </w:hyperlink>
      <w:r w:rsidR="005D52EF" w:rsidRPr="008C55B5">
        <w:rPr>
          <w:lang w:val="en-US"/>
        </w:rPr>
        <w:t xml:space="preserve"> offers virtual episodes exploring the rapidly evolving space sector</w:t>
      </w:r>
      <w:r w:rsidR="004148AF" w:rsidRPr="008C55B5">
        <w:rPr>
          <w:lang w:val="en-US"/>
        </w:rPr>
        <w:t>: b</w:t>
      </w:r>
      <w:r w:rsidR="005D52EF" w:rsidRPr="008C55B5">
        <w:rPr>
          <w:lang w:val="en-US"/>
        </w:rPr>
        <w:t>ringing together industry leaders, regulators and specialists from across the globe, the monthly sessions cover topics ranging from satellite technologies and space safety to climate monitoring, emergency response and economic development.</w:t>
      </w:r>
      <w:r w:rsidR="00D86F76" w:rsidRPr="008C55B5">
        <w:rPr>
          <w:lang w:val="en-US"/>
        </w:rPr>
        <w:t xml:space="preserve"> </w:t>
      </w:r>
      <w:r w:rsidR="005D52EF" w:rsidRPr="008C55B5">
        <w:rPr>
          <w:lang w:val="en-US"/>
        </w:rPr>
        <w:t>Each episode features expert presentations, interactive panel discussions, and opportunities for audience engagement</w:t>
      </w:r>
      <w:r w:rsidR="008C3C50" w:rsidRPr="008C55B5">
        <w:rPr>
          <w:lang w:val="en-US"/>
        </w:rPr>
        <w:t xml:space="preserve">. All the </w:t>
      </w:r>
      <w:r w:rsidR="005D52EF" w:rsidRPr="008C55B5">
        <w:rPr>
          <w:lang w:val="en-US"/>
        </w:rPr>
        <w:t xml:space="preserve">materials </w:t>
      </w:r>
      <w:r w:rsidR="008C3C50" w:rsidRPr="008C55B5">
        <w:rPr>
          <w:lang w:val="en-US"/>
        </w:rPr>
        <w:t xml:space="preserve">discussed and presented during the session </w:t>
      </w:r>
      <w:proofErr w:type="gramStart"/>
      <w:r w:rsidR="008C3C50" w:rsidRPr="008C55B5">
        <w:rPr>
          <w:lang w:val="en-US"/>
        </w:rPr>
        <w:t>is</w:t>
      </w:r>
      <w:proofErr w:type="gramEnd"/>
      <w:r w:rsidR="008C3C50" w:rsidRPr="008C55B5">
        <w:rPr>
          <w:lang w:val="en-US"/>
        </w:rPr>
        <w:t xml:space="preserve"> </w:t>
      </w:r>
      <w:r w:rsidR="005D52EF" w:rsidRPr="008C55B5">
        <w:rPr>
          <w:lang w:val="en-US"/>
        </w:rPr>
        <w:t xml:space="preserve">made available through </w:t>
      </w:r>
      <w:proofErr w:type="gramStart"/>
      <w:r w:rsidR="008C3C50" w:rsidRPr="008C55B5">
        <w:rPr>
          <w:lang w:val="en-US"/>
        </w:rPr>
        <w:t xml:space="preserve">the </w:t>
      </w:r>
      <w:r w:rsidR="005D52EF" w:rsidRPr="008C55B5">
        <w:rPr>
          <w:lang w:val="en-US"/>
        </w:rPr>
        <w:t>ITU’s</w:t>
      </w:r>
      <w:proofErr w:type="gramEnd"/>
      <w:r w:rsidR="005D52EF" w:rsidRPr="008C55B5">
        <w:rPr>
          <w:lang w:val="en-US"/>
        </w:rPr>
        <w:t xml:space="preserve"> online portal.</w:t>
      </w:r>
    </w:p>
    <w:p w14:paraId="3BA150A6" w14:textId="089D710F" w:rsidR="008C55B5" w:rsidRDefault="002760AB" w:rsidP="002760AB">
      <w:pPr>
        <w:pStyle w:val="enumlev1"/>
        <w:jc w:val="both"/>
        <w:rPr>
          <w:lang w:val="en-US"/>
        </w:rPr>
      </w:pPr>
      <w:r>
        <w:rPr>
          <w:lang w:val="en-US"/>
        </w:rPr>
        <w:t>–</w:t>
      </w:r>
      <w:r>
        <w:tab/>
      </w:r>
      <w:r w:rsidR="003B4AD6" w:rsidRPr="008C55B5">
        <w:rPr>
          <w:lang w:val="en-US"/>
        </w:rPr>
        <w:t xml:space="preserve">The </w:t>
      </w:r>
      <w:r w:rsidR="00020293" w:rsidRPr="008C55B5">
        <w:rPr>
          <w:lang w:val="en-US"/>
        </w:rPr>
        <w:t xml:space="preserve">dedicated webpage </w:t>
      </w:r>
      <w:r w:rsidR="00A1663F">
        <w:rPr>
          <w:lang w:val="en-US"/>
        </w:rPr>
        <w:t>“</w:t>
      </w:r>
      <w:hyperlink r:id="rId17">
        <w:r w:rsidR="2923F527" w:rsidRPr="3C54EB30">
          <w:rPr>
            <w:rStyle w:val="Hyperlink"/>
            <w:rFonts w:asciiTheme="minorHAnsi" w:hAnsiTheme="minorHAnsi" w:cstheme="minorBidi"/>
            <w:lang w:val="en-US"/>
          </w:rPr>
          <w:t>Space Sustainability Gateway</w:t>
        </w:r>
      </w:hyperlink>
      <w:r w:rsidR="007C1752" w:rsidRPr="3C54EB30">
        <w:rPr>
          <w:lang w:val="en-US"/>
        </w:rPr>
        <w:t>”</w:t>
      </w:r>
      <w:r w:rsidR="00020293" w:rsidRPr="008C55B5">
        <w:rPr>
          <w:lang w:val="en-US"/>
        </w:rPr>
        <w:t xml:space="preserve"> </w:t>
      </w:r>
      <w:r w:rsidR="003B4AD6" w:rsidRPr="008C55B5">
        <w:rPr>
          <w:lang w:val="en-US"/>
        </w:rPr>
        <w:t xml:space="preserve">is </w:t>
      </w:r>
      <w:r w:rsidR="007F64A2" w:rsidRPr="008C55B5">
        <w:rPr>
          <w:lang w:val="en-US"/>
        </w:rPr>
        <w:t xml:space="preserve">the ITU portal dedicated to </w:t>
      </w:r>
      <w:r w:rsidR="005C4313" w:rsidRPr="008C55B5">
        <w:rPr>
          <w:lang w:val="en-US"/>
        </w:rPr>
        <w:t>s</w:t>
      </w:r>
      <w:r w:rsidR="007F64A2" w:rsidRPr="008C55B5">
        <w:rPr>
          <w:lang w:val="en-US"/>
        </w:rPr>
        <w:t xml:space="preserve">pace </w:t>
      </w:r>
      <w:r w:rsidR="005C4313" w:rsidRPr="008C55B5">
        <w:rPr>
          <w:lang w:val="en-US"/>
        </w:rPr>
        <w:t>s</w:t>
      </w:r>
      <w:r w:rsidR="007F64A2" w:rsidRPr="008C55B5">
        <w:rPr>
          <w:lang w:val="en-US"/>
        </w:rPr>
        <w:t>ustainability</w:t>
      </w:r>
      <w:r w:rsidR="005C4313" w:rsidRPr="008C55B5">
        <w:rPr>
          <w:lang w:val="en-US"/>
        </w:rPr>
        <w:t xml:space="preserve">. </w:t>
      </w:r>
      <w:r w:rsidR="007F64A2" w:rsidRPr="008C55B5">
        <w:rPr>
          <w:lang w:val="en-US"/>
        </w:rPr>
        <w:t xml:space="preserve">This portal was developed and is regularly updated in response to </w:t>
      </w:r>
      <w:hyperlink r:id="rId18">
        <w:r w:rsidR="7221805B" w:rsidRPr="3C54EB30">
          <w:rPr>
            <w:rStyle w:val="Hyperlink"/>
            <w:rFonts w:asciiTheme="minorHAnsi" w:hAnsiTheme="minorHAnsi" w:cstheme="minorBidi"/>
            <w:lang w:val="en-US"/>
          </w:rPr>
          <w:t>Resolution 219 (Bucharest 2022)</w:t>
        </w:r>
      </w:hyperlink>
      <w:r w:rsidR="007F64A2" w:rsidRPr="008C55B5">
        <w:rPr>
          <w:lang w:val="en-US"/>
        </w:rPr>
        <w:t xml:space="preserve"> and </w:t>
      </w:r>
      <w:r w:rsidR="000977AB" w:rsidRPr="008C55B5">
        <w:rPr>
          <w:lang w:val="en-US"/>
        </w:rPr>
        <w:t xml:space="preserve">to </w:t>
      </w:r>
      <w:hyperlink r:id="rId19">
        <w:r w:rsidR="7221805B" w:rsidRPr="3C54EB30">
          <w:rPr>
            <w:rStyle w:val="Hyperlink"/>
            <w:rFonts w:asciiTheme="minorHAnsi" w:hAnsiTheme="minorHAnsi" w:cstheme="minorBidi"/>
            <w:lang w:val="en-US"/>
          </w:rPr>
          <w:t xml:space="preserve">Resolution </w:t>
        </w:r>
        <w:r w:rsidR="79C6B652" w:rsidRPr="3C54EB30">
          <w:rPr>
            <w:rStyle w:val="Hyperlink"/>
            <w:rFonts w:asciiTheme="minorHAnsi" w:hAnsiTheme="minorHAnsi" w:cstheme="minorBidi"/>
            <w:lang w:val="en-US"/>
          </w:rPr>
          <w:t xml:space="preserve">ITU-R </w:t>
        </w:r>
        <w:r w:rsidR="7221805B" w:rsidRPr="3C54EB30">
          <w:rPr>
            <w:rStyle w:val="Hyperlink"/>
            <w:rFonts w:asciiTheme="minorHAnsi" w:hAnsiTheme="minorHAnsi" w:cstheme="minorBidi"/>
            <w:lang w:val="en-US"/>
          </w:rPr>
          <w:t>74 (2023)</w:t>
        </w:r>
      </w:hyperlink>
      <w:r w:rsidR="007F64A2" w:rsidRPr="008C55B5">
        <w:rPr>
          <w:lang w:val="en-US"/>
        </w:rPr>
        <w:t xml:space="preserve"> with the objective of facilitating the access, dissemination and exchange of relevant information among space stakeholders. ITU </w:t>
      </w:r>
      <w:r w:rsidR="00FE5498" w:rsidRPr="008C55B5">
        <w:rPr>
          <w:lang w:val="en-US"/>
        </w:rPr>
        <w:t xml:space="preserve">members and concerned space stakeholders </w:t>
      </w:r>
      <w:r w:rsidR="007F64A2" w:rsidRPr="008C55B5">
        <w:rPr>
          <w:lang w:val="en-US"/>
        </w:rPr>
        <w:t xml:space="preserve">are invited to </w:t>
      </w:r>
      <w:r w:rsidR="005A196F" w:rsidRPr="008C55B5">
        <w:rPr>
          <w:lang w:val="en-US"/>
        </w:rPr>
        <w:t xml:space="preserve">submit additional information or </w:t>
      </w:r>
      <w:r w:rsidR="007F64A2" w:rsidRPr="008C55B5">
        <w:rPr>
          <w:lang w:val="en-US"/>
        </w:rPr>
        <w:t>update</w:t>
      </w:r>
      <w:r w:rsidR="005A196F" w:rsidRPr="008C55B5">
        <w:rPr>
          <w:lang w:val="en-US"/>
        </w:rPr>
        <w:t xml:space="preserve"> their previous submissions</w:t>
      </w:r>
      <w:r w:rsidR="007F64A2" w:rsidRPr="008C55B5">
        <w:rPr>
          <w:lang w:val="en-US"/>
        </w:rPr>
        <w:t>.</w:t>
      </w:r>
      <w:bookmarkEnd w:id="13"/>
    </w:p>
    <w:p w14:paraId="4277133F" w14:textId="6C5784CF" w:rsidR="404251D0" w:rsidRDefault="404251D0" w:rsidP="3C54EB30">
      <w:pPr>
        <w:pStyle w:val="enumlev1"/>
        <w:spacing w:line="259" w:lineRule="auto"/>
        <w:ind w:left="0" w:firstLine="0"/>
        <w:jc w:val="both"/>
      </w:pPr>
      <w:r w:rsidRPr="3C54EB30">
        <w:t>These activities are implemented through an “</w:t>
      </w:r>
      <w:proofErr w:type="spellStart"/>
      <w:r w:rsidRPr="3C54EB30">
        <w:t>OneITU</w:t>
      </w:r>
      <w:proofErr w:type="spellEnd"/>
      <w:r w:rsidRPr="3C54EB30">
        <w:t xml:space="preserve">” approach thanks to </w:t>
      </w:r>
      <w:r w:rsidR="4F11A540" w:rsidRPr="3C54EB30">
        <w:t xml:space="preserve">a close cooperation between the General Secretariat and the three Bureaux. </w:t>
      </w:r>
    </w:p>
    <w:p w14:paraId="132D1347" w14:textId="61B0B3D0" w:rsidR="00C83026" w:rsidRPr="00C83026" w:rsidRDefault="00C83026" w:rsidP="000008B3">
      <w:pPr>
        <w:spacing w:before="480"/>
        <w:jc w:val="center"/>
      </w:pPr>
      <w:r>
        <w:t>______________</w:t>
      </w:r>
    </w:p>
    <w:sectPr w:rsidR="00C83026" w:rsidRPr="00C83026"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2FAE6" w14:textId="77777777" w:rsidR="008625DF" w:rsidRDefault="008625DF">
      <w:r>
        <w:separator/>
      </w:r>
    </w:p>
  </w:endnote>
  <w:endnote w:type="continuationSeparator" w:id="0">
    <w:p w14:paraId="41C46918" w14:textId="77777777" w:rsidR="008625DF" w:rsidRDefault="008625DF">
      <w:r>
        <w:continuationSeparator/>
      </w:r>
    </w:p>
  </w:endnote>
  <w:endnote w:type="continuationNotice" w:id="1">
    <w:p w14:paraId="5A02DA4E" w14:textId="77777777" w:rsidR="008625DF" w:rsidRDefault="008625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753E38DA" w:rsidR="00EE49E8" w:rsidRPr="00E06FD5" w:rsidRDefault="00EE49E8" w:rsidP="00744C60">
          <w:pPr>
            <w:pStyle w:val="Header"/>
            <w:tabs>
              <w:tab w:val="left" w:pos="6740"/>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744F26">
            <w:rPr>
              <w:bCs/>
            </w:rPr>
            <w:t>36</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12D0393B" w:rsidR="00EE49E8" w:rsidRPr="00E06FD5" w:rsidRDefault="00EE49E8" w:rsidP="00744C60">
          <w:pPr>
            <w:pStyle w:val="Header"/>
            <w:tabs>
              <w:tab w:val="left" w:pos="6740"/>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744F26">
            <w:rPr>
              <w:bCs/>
            </w:rPr>
            <w:t>36</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72CBA" w14:textId="77777777" w:rsidR="008625DF" w:rsidRDefault="008625DF">
      <w:r>
        <w:t>____________________</w:t>
      </w:r>
    </w:p>
  </w:footnote>
  <w:footnote w:type="continuationSeparator" w:id="0">
    <w:p w14:paraId="2F78031F" w14:textId="77777777" w:rsidR="008625DF" w:rsidRDefault="008625DF">
      <w:r>
        <w:continuationSeparator/>
      </w:r>
    </w:p>
  </w:footnote>
  <w:footnote w:type="continuationNotice" w:id="1">
    <w:p w14:paraId="24DF9ED2" w14:textId="77777777" w:rsidR="008625DF" w:rsidRDefault="008625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4"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58CC7"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09EF"/>
    <w:multiLevelType w:val="hybridMultilevel"/>
    <w:tmpl w:val="86669A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0C49BB"/>
    <w:multiLevelType w:val="multilevel"/>
    <w:tmpl w:val="ED8242E2"/>
    <w:lvl w:ilvl="0">
      <w:start w:val="1"/>
      <w:numFmt w:val="decimal"/>
      <w:lvlText w:val="%1."/>
      <w:lvlJc w:val="left"/>
      <w:pPr>
        <w:ind w:left="757" w:hanging="360"/>
      </w:pPr>
      <w:rPr>
        <w:rFonts w:hint="default"/>
      </w:rPr>
    </w:lvl>
    <w:lvl w:ilvl="1">
      <w:start w:val="2"/>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3" w15:restartNumberingAfterBreak="0">
    <w:nsid w:val="125C0243"/>
    <w:multiLevelType w:val="multilevel"/>
    <w:tmpl w:val="C620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55EF3"/>
    <w:multiLevelType w:val="hybridMultilevel"/>
    <w:tmpl w:val="FE1CF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E0EC5"/>
    <w:multiLevelType w:val="hybridMultilevel"/>
    <w:tmpl w:val="93C8D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30492"/>
    <w:multiLevelType w:val="hybridMultilevel"/>
    <w:tmpl w:val="1E3C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FA37C1"/>
    <w:multiLevelType w:val="multilevel"/>
    <w:tmpl w:val="6D608B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5E57D6"/>
    <w:multiLevelType w:val="hybridMultilevel"/>
    <w:tmpl w:val="0908D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A5FC8"/>
    <w:multiLevelType w:val="hybridMultilevel"/>
    <w:tmpl w:val="95E2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F38AE"/>
    <w:multiLevelType w:val="hybridMultilevel"/>
    <w:tmpl w:val="2262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044062745">
    <w:abstractNumId w:val="6"/>
  </w:num>
  <w:num w:numId="3" w16cid:durableId="1157578773">
    <w:abstractNumId w:val="5"/>
  </w:num>
  <w:num w:numId="4" w16cid:durableId="1723747666">
    <w:abstractNumId w:val="2"/>
  </w:num>
  <w:num w:numId="5" w16cid:durableId="354234235">
    <w:abstractNumId w:val="8"/>
  </w:num>
  <w:num w:numId="6" w16cid:durableId="1231306502">
    <w:abstractNumId w:val="1"/>
  </w:num>
  <w:num w:numId="7" w16cid:durableId="67968676">
    <w:abstractNumId w:val="7"/>
  </w:num>
  <w:num w:numId="8" w16cid:durableId="1128746488">
    <w:abstractNumId w:val="9"/>
  </w:num>
  <w:num w:numId="9" w16cid:durableId="934754066">
    <w:abstractNumId w:val="10"/>
  </w:num>
  <w:num w:numId="10" w16cid:durableId="2143452449">
    <w:abstractNumId w:val="4"/>
  </w:num>
  <w:num w:numId="11" w16cid:durableId="512956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08B3"/>
    <w:rsid w:val="00011517"/>
    <w:rsid w:val="00020293"/>
    <w:rsid w:val="000210D4"/>
    <w:rsid w:val="00037C1B"/>
    <w:rsid w:val="0006007D"/>
    <w:rsid w:val="00063016"/>
    <w:rsid w:val="00066795"/>
    <w:rsid w:val="000714C2"/>
    <w:rsid w:val="000745AB"/>
    <w:rsid w:val="00076AF6"/>
    <w:rsid w:val="00081DD0"/>
    <w:rsid w:val="0008354E"/>
    <w:rsid w:val="00083954"/>
    <w:rsid w:val="00085CF2"/>
    <w:rsid w:val="0009156C"/>
    <w:rsid w:val="000977AB"/>
    <w:rsid w:val="000A56BB"/>
    <w:rsid w:val="000A7B0B"/>
    <w:rsid w:val="000B1705"/>
    <w:rsid w:val="000D75B2"/>
    <w:rsid w:val="000E1864"/>
    <w:rsid w:val="000F3D3D"/>
    <w:rsid w:val="000F5DDB"/>
    <w:rsid w:val="000F62F5"/>
    <w:rsid w:val="000F7289"/>
    <w:rsid w:val="00111DCA"/>
    <w:rsid w:val="001121F5"/>
    <w:rsid w:val="001136ED"/>
    <w:rsid w:val="001213F4"/>
    <w:rsid w:val="0012390D"/>
    <w:rsid w:val="001400DC"/>
    <w:rsid w:val="00140CE1"/>
    <w:rsid w:val="0017539C"/>
    <w:rsid w:val="00175AC2"/>
    <w:rsid w:val="0017609F"/>
    <w:rsid w:val="0017677D"/>
    <w:rsid w:val="00193E63"/>
    <w:rsid w:val="001A3154"/>
    <w:rsid w:val="001A6611"/>
    <w:rsid w:val="001A7D1D"/>
    <w:rsid w:val="001B2FC5"/>
    <w:rsid w:val="001B51DD"/>
    <w:rsid w:val="001C2782"/>
    <w:rsid w:val="001C628E"/>
    <w:rsid w:val="001D56D6"/>
    <w:rsid w:val="001E0F7B"/>
    <w:rsid w:val="001E2590"/>
    <w:rsid w:val="001E6AC6"/>
    <w:rsid w:val="001F17D6"/>
    <w:rsid w:val="001F5569"/>
    <w:rsid w:val="002119FD"/>
    <w:rsid w:val="00211A27"/>
    <w:rsid w:val="002130E0"/>
    <w:rsid w:val="0021692C"/>
    <w:rsid w:val="00221D34"/>
    <w:rsid w:val="00221F46"/>
    <w:rsid w:val="00225873"/>
    <w:rsid w:val="002406AD"/>
    <w:rsid w:val="00264425"/>
    <w:rsid w:val="00265875"/>
    <w:rsid w:val="0027303B"/>
    <w:rsid w:val="00273F4A"/>
    <w:rsid w:val="002760AB"/>
    <w:rsid w:val="00280E31"/>
    <w:rsid w:val="0028109B"/>
    <w:rsid w:val="002A2188"/>
    <w:rsid w:val="002A490E"/>
    <w:rsid w:val="002B1F58"/>
    <w:rsid w:val="002C1449"/>
    <w:rsid w:val="002C1C7A"/>
    <w:rsid w:val="002C54E2"/>
    <w:rsid w:val="002D3095"/>
    <w:rsid w:val="0030160F"/>
    <w:rsid w:val="00304441"/>
    <w:rsid w:val="003121B9"/>
    <w:rsid w:val="003131EA"/>
    <w:rsid w:val="003139DB"/>
    <w:rsid w:val="00320223"/>
    <w:rsid w:val="00322D0D"/>
    <w:rsid w:val="00331B03"/>
    <w:rsid w:val="003451D2"/>
    <w:rsid w:val="003602D7"/>
    <w:rsid w:val="00361465"/>
    <w:rsid w:val="00384A06"/>
    <w:rsid w:val="003852FC"/>
    <w:rsid w:val="003877F5"/>
    <w:rsid w:val="003936D3"/>
    <w:rsid w:val="003942D4"/>
    <w:rsid w:val="003958A8"/>
    <w:rsid w:val="003A0C58"/>
    <w:rsid w:val="003A3282"/>
    <w:rsid w:val="003B0BC2"/>
    <w:rsid w:val="003B29C2"/>
    <w:rsid w:val="003B441F"/>
    <w:rsid w:val="003B4AD6"/>
    <w:rsid w:val="003C2414"/>
    <w:rsid w:val="003C2533"/>
    <w:rsid w:val="003D5A7F"/>
    <w:rsid w:val="003E69E1"/>
    <w:rsid w:val="003F3470"/>
    <w:rsid w:val="00400094"/>
    <w:rsid w:val="0040435A"/>
    <w:rsid w:val="004148AF"/>
    <w:rsid w:val="004158B9"/>
    <w:rsid w:val="00416A24"/>
    <w:rsid w:val="00427BFF"/>
    <w:rsid w:val="00431D9E"/>
    <w:rsid w:val="00432C73"/>
    <w:rsid w:val="00433CE8"/>
    <w:rsid w:val="00434A5C"/>
    <w:rsid w:val="00451F70"/>
    <w:rsid w:val="00453079"/>
    <w:rsid w:val="004544D9"/>
    <w:rsid w:val="00456E3E"/>
    <w:rsid w:val="00472BAD"/>
    <w:rsid w:val="004755C8"/>
    <w:rsid w:val="004809A1"/>
    <w:rsid w:val="004811F8"/>
    <w:rsid w:val="00484009"/>
    <w:rsid w:val="00490E72"/>
    <w:rsid w:val="00491157"/>
    <w:rsid w:val="00491BA9"/>
    <w:rsid w:val="004921C8"/>
    <w:rsid w:val="00495B0B"/>
    <w:rsid w:val="004A1B8B"/>
    <w:rsid w:val="004B25A1"/>
    <w:rsid w:val="004D1851"/>
    <w:rsid w:val="004D599D"/>
    <w:rsid w:val="004E05B5"/>
    <w:rsid w:val="004E2EA5"/>
    <w:rsid w:val="004E3AEB"/>
    <w:rsid w:val="00500D4C"/>
    <w:rsid w:val="0050223C"/>
    <w:rsid w:val="005157BC"/>
    <w:rsid w:val="005243FF"/>
    <w:rsid w:val="005635F9"/>
    <w:rsid w:val="00564FBC"/>
    <w:rsid w:val="0056547C"/>
    <w:rsid w:val="005725D9"/>
    <w:rsid w:val="00575BD5"/>
    <w:rsid w:val="005800BC"/>
    <w:rsid w:val="00582442"/>
    <w:rsid w:val="005A196F"/>
    <w:rsid w:val="005C1FF6"/>
    <w:rsid w:val="005C4313"/>
    <w:rsid w:val="005C66C6"/>
    <w:rsid w:val="005D52EF"/>
    <w:rsid w:val="005E590E"/>
    <w:rsid w:val="005F21D0"/>
    <w:rsid w:val="005F3269"/>
    <w:rsid w:val="006016AB"/>
    <w:rsid w:val="006034FD"/>
    <w:rsid w:val="006053B2"/>
    <w:rsid w:val="00623AE3"/>
    <w:rsid w:val="00630C4D"/>
    <w:rsid w:val="00644EC6"/>
    <w:rsid w:val="0064737F"/>
    <w:rsid w:val="00651D18"/>
    <w:rsid w:val="006535F1"/>
    <w:rsid w:val="0065557D"/>
    <w:rsid w:val="00660D50"/>
    <w:rsid w:val="00662984"/>
    <w:rsid w:val="00664C84"/>
    <w:rsid w:val="006703D7"/>
    <w:rsid w:val="00670C6F"/>
    <w:rsid w:val="006716BB"/>
    <w:rsid w:val="00687E0D"/>
    <w:rsid w:val="006B1859"/>
    <w:rsid w:val="006B4139"/>
    <w:rsid w:val="006B6680"/>
    <w:rsid w:val="006B6DCC"/>
    <w:rsid w:val="006B77F1"/>
    <w:rsid w:val="006C143F"/>
    <w:rsid w:val="006C5542"/>
    <w:rsid w:val="006C5ECF"/>
    <w:rsid w:val="006D4720"/>
    <w:rsid w:val="006F4491"/>
    <w:rsid w:val="006F484C"/>
    <w:rsid w:val="00702DEF"/>
    <w:rsid w:val="00703349"/>
    <w:rsid w:val="00704E89"/>
    <w:rsid w:val="007052F4"/>
    <w:rsid w:val="00706861"/>
    <w:rsid w:val="007163E8"/>
    <w:rsid w:val="00722551"/>
    <w:rsid w:val="0073629D"/>
    <w:rsid w:val="00744C60"/>
    <w:rsid w:val="00744F26"/>
    <w:rsid w:val="0075051B"/>
    <w:rsid w:val="00757082"/>
    <w:rsid w:val="00760D70"/>
    <w:rsid w:val="0076360E"/>
    <w:rsid w:val="007637B5"/>
    <w:rsid w:val="007672E8"/>
    <w:rsid w:val="007709AC"/>
    <w:rsid w:val="0077110E"/>
    <w:rsid w:val="0078062C"/>
    <w:rsid w:val="007811F0"/>
    <w:rsid w:val="00781389"/>
    <w:rsid w:val="00793188"/>
    <w:rsid w:val="00794D34"/>
    <w:rsid w:val="007A3FCD"/>
    <w:rsid w:val="007B19CF"/>
    <w:rsid w:val="007B3107"/>
    <w:rsid w:val="007C1752"/>
    <w:rsid w:val="007D00BB"/>
    <w:rsid w:val="007D01AF"/>
    <w:rsid w:val="007E79EC"/>
    <w:rsid w:val="007F64A2"/>
    <w:rsid w:val="00803556"/>
    <w:rsid w:val="0081017D"/>
    <w:rsid w:val="00813E5E"/>
    <w:rsid w:val="00814662"/>
    <w:rsid w:val="00817D62"/>
    <w:rsid w:val="0083581B"/>
    <w:rsid w:val="008625DF"/>
    <w:rsid w:val="00863874"/>
    <w:rsid w:val="00864AFF"/>
    <w:rsid w:val="00865925"/>
    <w:rsid w:val="008673C7"/>
    <w:rsid w:val="00867C38"/>
    <w:rsid w:val="00877F27"/>
    <w:rsid w:val="008A2446"/>
    <w:rsid w:val="008A256E"/>
    <w:rsid w:val="008A51A6"/>
    <w:rsid w:val="008B4A6A"/>
    <w:rsid w:val="008C3C50"/>
    <w:rsid w:val="008C55B5"/>
    <w:rsid w:val="008C62C1"/>
    <w:rsid w:val="008C7E27"/>
    <w:rsid w:val="008F7448"/>
    <w:rsid w:val="0090147A"/>
    <w:rsid w:val="00910FE5"/>
    <w:rsid w:val="00911F4B"/>
    <w:rsid w:val="009173EF"/>
    <w:rsid w:val="009252D7"/>
    <w:rsid w:val="00927A40"/>
    <w:rsid w:val="00932906"/>
    <w:rsid w:val="0093775E"/>
    <w:rsid w:val="00953BC2"/>
    <w:rsid w:val="00960B36"/>
    <w:rsid w:val="00961B0B"/>
    <w:rsid w:val="00962D33"/>
    <w:rsid w:val="00997D9C"/>
    <w:rsid w:val="009A2D7B"/>
    <w:rsid w:val="009B38C3"/>
    <w:rsid w:val="009C4BA3"/>
    <w:rsid w:val="009D3F15"/>
    <w:rsid w:val="009D406E"/>
    <w:rsid w:val="009E0BB2"/>
    <w:rsid w:val="009E17BD"/>
    <w:rsid w:val="009E485A"/>
    <w:rsid w:val="009F2D6C"/>
    <w:rsid w:val="00A049E2"/>
    <w:rsid w:val="00A04CEC"/>
    <w:rsid w:val="00A1663F"/>
    <w:rsid w:val="00A2070C"/>
    <w:rsid w:val="00A23C23"/>
    <w:rsid w:val="00A27F92"/>
    <w:rsid w:val="00A30F0F"/>
    <w:rsid w:val="00A32257"/>
    <w:rsid w:val="00A33051"/>
    <w:rsid w:val="00A34A9D"/>
    <w:rsid w:val="00A36D20"/>
    <w:rsid w:val="00A37D35"/>
    <w:rsid w:val="00A43FF5"/>
    <w:rsid w:val="00A514A4"/>
    <w:rsid w:val="00A55622"/>
    <w:rsid w:val="00A83502"/>
    <w:rsid w:val="00A86E5A"/>
    <w:rsid w:val="00A94BAB"/>
    <w:rsid w:val="00A95FB7"/>
    <w:rsid w:val="00A9713C"/>
    <w:rsid w:val="00AA1580"/>
    <w:rsid w:val="00AB3D1C"/>
    <w:rsid w:val="00AB4C13"/>
    <w:rsid w:val="00AC3E35"/>
    <w:rsid w:val="00AD15B3"/>
    <w:rsid w:val="00AD31BD"/>
    <w:rsid w:val="00AD3606"/>
    <w:rsid w:val="00AD4A3D"/>
    <w:rsid w:val="00AD677D"/>
    <w:rsid w:val="00AE4ECE"/>
    <w:rsid w:val="00AF0AC9"/>
    <w:rsid w:val="00AF6316"/>
    <w:rsid w:val="00AF68F4"/>
    <w:rsid w:val="00AF6E49"/>
    <w:rsid w:val="00B032AC"/>
    <w:rsid w:val="00B04A67"/>
    <w:rsid w:val="00B0583C"/>
    <w:rsid w:val="00B130B1"/>
    <w:rsid w:val="00B278F5"/>
    <w:rsid w:val="00B34B71"/>
    <w:rsid w:val="00B366AE"/>
    <w:rsid w:val="00B40A81"/>
    <w:rsid w:val="00B41405"/>
    <w:rsid w:val="00B427F0"/>
    <w:rsid w:val="00B44910"/>
    <w:rsid w:val="00B4543F"/>
    <w:rsid w:val="00B52E3D"/>
    <w:rsid w:val="00B55896"/>
    <w:rsid w:val="00B72267"/>
    <w:rsid w:val="00B76EB6"/>
    <w:rsid w:val="00B7737B"/>
    <w:rsid w:val="00B824C8"/>
    <w:rsid w:val="00B84B9D"/>
    <w:rsid w:val="00B9131F"/>
    <w:rsid w:val="00BA7844"/>
    <w:rsid w:val="00BB0646"/>
    <w:rsid w:val="00BB3AF6"/>
    <w:rsid w:val="00BC251A"/>
    <w:rsid w:val="00BD032B"/>
    <w:rsid w:val="00BD5727"/>
    <w:rsid w:val="00BE01C6"/>
    <w:rsid w:val="00BE0593"/>
    <w:rsid w:val="00BE2640"/>
    <w:rsid w:val="00BF1FDE"/>
    <w:rsid w:val="00C01189"/>
    <w:rsid w:val="00C0458D"/>
    <w:rsid w:val="00C32A47"/>
    <w:rsid w:val="00C374DE"/>
    <w:rsid w:val="00C37B9D"/>
    <w:rsid w:val="00C42650"/>
    <w:rsid w:val="00C47AD4"/>
    <w:rsid w:val="00C52D81"/>
    <w:rsid w:val="00C55198"/>
    <w:rsid w:val="00C56B09"/>
    <w:rsid w:val="00C614DE"/>
    <w:rsid w:val="00C6520B"/>
    <w:rsid w:val="00C83026"/>
    <w:rsid w:val="00CA6393"/>
    <w:rsid w:val="00CA7995"/>
    <w:rsid w:val="00CB18FF"/>
    <w:rsid w:val="00CB241E"/>
    <w:rsid w:val="00CD0C08"/>
    <w:rsid w:val="00CD41B0"/>
    <w:rsid w:val="00CD71A4"/>
    <w:rsid w:val="00CE03FB"/>
    <w:rsid w:val="00CE0CA4"/>
    <w:rsid w:val="00CE433C"/>
    <w:rsid w:val="00CF0161"/>
    <w:rsid w:val="00CF2B37"/>
    <w:rsid w:val="00CF33F3"/>
    <w:rsid w:val="00CF4A2B"/>
    <w:rsid w:val="00D024CA"/>
    <w:rsid w:val="00D06183"/>
    <w:rsid w:val="00D12993"/>
    <w:rsid w:val="00D22C42"/>
    <w:rsid w:val="00D365F2"/>
    <w:rsid w:val="00D424E0"/>
    <w:rsid w:val="00D438AD"/>
    <w:rsid w:val="00D44D58"/>
    <w:rsid w:val="00D44E75"/>
    <w:rsid w:val="00D51D1C"/>
    <w:rsid w:val="00D65041"/>
    <w:rsid w:val="00D677F1"/>
    <w:rsid w:val="00D67F33"/>
    <w:rsid w:val="00D86F76"/>
    <w:rsid w:val="00D90800"/>
    <w:rsid w:val="00D97F90"/>
    <w:rsid w:val="00DB1936"/>
    <w:rsid w:val="00DB384B"/>
    <w:rsid w:val="00DC00E6"/>
    <w:rsid w:val="00DC606D"/>
    <w:rsid w:val="00DD11ED"/>
    <w:rsid w:val="00DD6D40"/>
    <w:rsid w:val="00DE4688"/>
    <w:rsid w:val="00DF0189"/>
    <w:rsid w:val="00DF0C34"/>
    <w:rsid w:val="00DF26C9"/>
    <w:rsid w:val="00E06FD5"/>
    <w:rsid w:val="00E078EE"/>
    <w:rsid w:val="00E10E80"/>
    <w:rsid w:val="00E124F0"/>
    <w:rsid w:val="00E227F3"/>
    <w:rsid w:val="00E34C06"/>
    <w:rsid w:val="00E545C6"/>
    <w:rsid w:val="00E60F04"/>
    <w:rsid w:val="00E627F5"/>
    <w:rsid w:val="00E65B24"/>
    <w:rsid w:val="00E854E4"/>
    <w:rsid w:val="00E86DBF"/>
    <w:rsid w:val="00E93FC8"/>
    <w:rsid w:val="00E969AF"/>
    <w:rsid w:val="00E96D12"/>
    <w:rsid w:val="00EB0D6F"/>
    <w:rsid w:val="00EB2232"/>
    <w:rsid w:val="00EB2B35"/>
    <w:rsid w:val="00EC2E38"/>
    <w:rsid w:val="00EC5337"/>
    <w:rsid w:val="00ED5542"/>
    <w:rsid w:val="00ED6330"/>
    <w:rsid w:val="00EE38E8"/>
    <w:rsid w:val="00EE46DE"/>
    <w:rsid w:val="00EE495B"/>
    <w:rsid w:val="00EE49E8"/>
    <w:rsid w:val="00EF5D6F"/>
    <w:rsid w:val="00F14255"/>
    <w:rsid w:val="00F16BAB"/>
    <w:rsid w:val="00F2150A"/>
    <w:rsid w:val="00F231D8"/>
    <w:rsid w:val="00F23BD6"/>
    <w:rsid w:val="00F24455"/>
    <w:rsid w:val="00F36CBE"/>
    <w:rsid w:val="00F41209"/>
    <w:rsid w:val="00F44C00"/>
    <w:rsid w:val="00F45D2C"/>
    <w:rsid w:val="00F46C5F"/>
    <w:rsid w:val="00F632C0"/>
    <w:rsid w:val="00F641E1"/>
    <w:rsid w:val="00F814CA"/>
    <w:rsid w:val="00F94A63"/>
    <w:rsid w:val="00FA1C28"/>
    <w:rsid w:val="00FA3E7E"/>
    <w:rsid w:val="00FB1279"/>
    <w:rsid w:val="00FB6B76"/>
    <w:rsid w:val="00FB7596"/>
    <w:rsid w:val="00FC4488"/>
    <w:rsid w:val="00FD17A2"/>
    <w:rsid w:val="00FD4214"/>
    <w:rsid w:val="00FE2D26"/>
    <w:rsid w:val="00FE4077"/>
    <w:rsid w:val="00FE500D"/>
    <w:rsid w:val="00FE5498"/>
    <w:rsid w:val="00FE77D2"/>
    <w:rsid w:val="00FF03F1"/>
    <w:rsid w:val="00FF39B1"/>
    <w:rsid w:val="04237A8A"/>
    <w:rsid w:val="10F9FA44"/>
    <w:rsid w:val="120CFC1C"/>
    <w:rsid w:val="149C5CF9"/>
    <w:rsid w:val="2219F634"/>
    <w:rsid w:val="2923F527"/>
    <w:rsid w:val="2CA5F67B"/>
    <w:rsid w:val="3146925F"/>
    <w:rsid w:val="33D54AAF"/>
    <w:rsid w:val="36F352F4"/>
    <w:rsid w:val="3C39F7B2"/>
    <w:rsid w:val="3C54EB30"/>
    <w:rsid w:val="404251D0"/>
    <w:rsid w:val="44C522C6"/>
    <w:rsid w:val="4F11A540"/>
    <w:rsid w:val="541CBE3B"/>
    <w:rsid w:val="5E04E647"/>
    <w:rsid w:val="7221805B"/>
    <w:rsid w:val="76B50347"/>
    <w:rsid w:val="776C6921"/>
    <w:rsid w:val="79C6B652"/>
    <w:rsid w:val="7D2DD3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5C804C8D-6018-4637-B815-AEAD624E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link w:val="Heading3Char"/>
    <w:uiPriority w:val="9"/>
    <w:qFormat/>
    <w:rsid w:val="00B9131F"/>
    <w:pPr>
      <w:spacing w:before="200"/>
      <w:outlineLvl w:val="2"/>
    </w:pPr>
    <w:rPr>
      <w:sz w:val="24"/>
    </w:rPr>
  </w:style>
  <w:style w:type="paragraph" w:styleId="Heading4">
    <w:name w:val="heading 4"/>
    <w:basedOn w:val="Heading3"/>
    <w:next w:val="Normal"/>
    <w:link w:val="Heading4Char"/>
    <w:uiPriority w:val="9"/>
    <w:qFormat/>
    <w:rsid w:val="00B9131F"/>
    <w:pPr>
      <w:ind w:left="1134" w:hanging="1134"/>
      <w:outlineLvl w:val="3"/>
    </w:pPr>
  </w:style>
  <w:style w:type="paragraph" w:styleId="Heading5">
    <w:name w:val="heading 5"/>
    <w:basedOn w:val="Heading4"/>
    <w:next w:val="Normal"/>
    <w:link w:val="Heading5Char"/>
    <w:uiPriority w:val="9"/>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
    <w:basedOn w:val="DefaultParagraphFont"/>
    <w:uiPriority w:val="99"/>
    <w:rsid w:val="00813E5E"/>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Heading4Char">
    <w:name w:val="Heading 4 Char"/>
    <w:basedOn w:val="DefaultParagraphFont"/>
    <w:link w:val="Heading4"/>
    <w:uiPriority w:val="9"/>
    <w:rsid w:val="00020293"/>
    <w:rPr>
      <w:rFonts w:ascii="Calibri" w:hAnsi="Calibri"/>
      <w:b/>
      <w:sz w:val="24"/>
      <w:lang w:val="en-GB" w:eastAsia="en-US"/>
    </w:rPr>
  </w:style>
  <w:style w:type="paragraph" w:styleId="ListParagraph">
    <w:name w:val="List Paragraph"/>
    <w:basedOn w:val="Normal"/>
    <w:uiPriority w:val="34"/>
    <w:qFormat/>
    <w:rsid w:val="00500D4C"/>
    <w:pPr>
      <w:ind w:left="720"/>
      <w:contextualSpacing/>
    </w:pPr>
  </w:style>
  <w:style w:type="paragraph" w:customStyle="1" w:styleId="AppendixNo">
    <w:name w:val="Appendix_No"/>
    <w:basedOn w:val="AnnexNo"/>
    <w:next w:val="Normal"/>
    <w:rsid w:val="007637B5"/>
    <w:pPr>
      <w:keepNext w:val="0"/>
      <w:keepLines w:val="0"/>
    </w:pPr>
  </w:style>
  <w:style w:type="character" w:customStyle="1" w:styleId="Heading3Char">
    <w:name w:val="Heading 3 Char"/>
    <w:basedOn w:val="DefaultParagraphFont"/>
    <w:link w:val="Heading3"/>
    <w:uiPriority w:val="9"/>
    <w:rsid w:val="007637B5"/>
    <w:rPr>
      <w:rFonts w:ascii="Calibri" w:hAnsi="Calibri"/>
      <w:b/>
      <w:sz w:val="24"/>
      <w:lang w:val="en-GB" w:eastAsia="en-US"/>
    </w:rPr>
  </w:style>
  <w:style w:type="paragraph" w:customStyle="1" w:styleId="msonormal0">
    <w:name w:val="msonormal"/>
    <w:basedOn w:val="Normal"/>
    <w:rsid w:val="007637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eastAsia="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7637B5"/>
    <w:rPr>
      <w:rFonts w:ascii="Calibri" w:hAnsi="Calibri"/>
      <w:sz w:val="22"/>
      <w:lang w:val="en-GB" w:eastAsia="en-US"/>
    </w:rPr>
  </w:style>
  <w:style w:type="character" w:customStyle="1" w:styleId="Heading5Char">
    <w:name w:val="Heading 5 Char"/>
    <w:basedOn w:val="DefaultParagraphFont"/>
    <w:link w:val="Heading5"/>
    <w:uiPriority w:val="9"/>
    <w:rsid w:val="007637B5"/>
    <w:rPr>
      <w:rFonts w:ascii="Calibri" w:hAnsi="Calibri"/>
      <w:b/>
      <w:sz w:val="24"/>
      <w:lang w:val="en-GB" w:eastAsia="en-US"/>
    </w:rPr>
  </w:style>
  <w:style w:type="character" w:customStyle="1" w:styleId="apple-converted-space">
    <w:name w:val="apple-converted-space"/>
    <w:basedOn w:val="DefaultParagraphFont"/>
    <w:rsid w:val="007637B5"/>
  </w:style>
  <w:style w:type="paragraph" w:customStyle="1" w:styleId="Tablefin">
    <w:name w:val="Table_fin"/>
    <w:basedOn w:val="Tabletext"/>
    <w:rsid w:val="000F3D3D"/>
    <w:pPr>
      <w:spacing w:before="0" w:after="0"/>
    </w:pPr>
  </w:style>
  <w:style w:type="paragraph" w:styleId="Revision">
    <w:name w:val="Revision"/>
    <w:hidden/>
    <w:uiPriority w:val="99"/>
    <w:semiHidden/>
    <w:rsid w:val="003131EA"/>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F23BD6"/>
    <w:rPr>
      <w:b/>
      <w:bCs/>
    </w:rPr>
  </w:style>
  <w:style w:type="character" w:customStyle="1" w:styleId="CommentSubjectChar">
    <w:name w:val="Comment Subject Char"/>
    <w:basedOn w:val="CommentTextChar"/>
    <w:link w:val="CommentSubject"/>
    <w:semiHidden/>
    <w:rsid w:val="00F23BD6"/>
    <w:rPr>
      <w:rFonts w:ascii="Calibri" w:hAnsi="Calibri"/>
      <w:b/>
      <w:bCs/>
      <w:lang w:val="en-GB" w:eastAsia="en-US"/>
    </w:rPr>
  </w:style>
  <w:style w:type="character" w:styleId="Mention">
    <w:name w:val="Mention"/>
    <w:basedOn w:val="DefaultParagraphFont"/>
    <w:uiPriority w:val="99"/>
    <w:unhideWhenUsed/>
    <w:rsid w:val="00F23B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5155">
      <w:bodyDiv w:val="1"/>
      <w:marLeft w:val="0"/>
      <w:marRight w:val="0"/>
      <w:marTop w:val="0"/>
      <w:marBottom w:val="0"/>
      <w:divBdr>
        <w:top w:val="none" w:sz="0" w:space="0" w:color="auto"/>
        <w:left w:val="none" w:sz="0" w:space="0" w:color="auto"/>
        <w:bottom w:val="none" w:sz="0" w:space="0" w:color="auto"/>
        <w:right w:val="none" w:sz="0" w:space="0" w:color="auto"/>
      </w:divBdr>
      <w:divsChild>
        <w:div w:id="369451010">
          <w:marLeft w:val="0"/>
          <w:marRight w:val="0"/>
          <w:marTop w:val="0"/>
          <w:marBottom w:val="0"/>
          <w:divBdr>
            <w:top w:val="none" w:sz="0" w:space="0" w:color="auto"/>
            <w:left w:val="none" w:sz="0" w:space="0" w:color="auto"/>
            <w:bottom w:val="none" w:sz="0" w:space="0" w:color="auto"/>
            <w:right w:val="none" w:sz="0" w:space="0" w:color="auto"/>
          </w:divBdr>
        </w:div>
        <w:div w:id="1265965641">
          <w:marLeft w:val="0"/>
          <w:marRight w:val="0"/>
          <w:marTop w:val="0"/>
          <w:marBottom w:val="0"/>
          <w:divBdr>
            <w:top w:val="none" w:sz="0" w:space="0" w:color="auto"/>
            <w:left w:val="none" w:sz="0" w:space="0" w:color="auto"/>
            <w:bottom w:val="none" w:sz="0" w:space="0" w:color="auto"/>
            <w:right w:val="none" w:sz="0" w:space="0" w:color="auto"/>
          </w:divBdr>
        </w:div>
        <w:div w:id="1764261157">
          <w:marLeft w:val="0"/>
          <w:marRight w:val="0"/>
          <w:marTop w:val="0"/>
          <w:marBottom w:val="0"/>
          <w:divBdr>
            <w:top w:val="none" w:sz="0" w:space="0" w:color="auto"/>
            <w:left w:val="none" w:sz="0" w:space="0" w:color="auto"/>
            <w:bottom w:val="none" w:sz="0" w:space="0" w:color="auto"/>
            <w:right w:val="none" w:sz="0" w:space="0" w:color="auto"/>
          </w:divBdr>
        </w:div>
        <w:div w:id="806631815">
          <w:marLeft w:val="0"/>
          <w:marRight w:val="0"/>
          <w:marTop w:val="0"/>
          <w:marBottom w:val="0"/>
          <w:divBdr>
            <w:top w:val="none" w:sz="0" w:space="0" w:color="auto"/>
            <w:left w:val="none" w:sz="0" w:space="0" w:color="auto"/>
            <w:bottom w:val="none" w:sz="0" w:space="0" w:color="auto"/>
            <w:right w:val="none" w:sz="0" w:space="0" w:color="auto"/>
          </w:divBdr>
        </w:div>
      </w:divsChild>
    </w:div>
    <w:div w:id="256717007">
      <w:bodyDiv w:val="1"/>
      <w:marLeft w:val="0"/>
      <w:marRight w:val="0"/>
      <w:marTop w:val="0"/>
      <w:marBottom w:val="0"/>
      <w:divBdr>
        <w:top w:val="none" w:sz="0" w:space="0" w:color="auto"/>
        <w:left w:val="none" w:sz="0" w:space="0" w:color="auto"/>
        <w:bottom w:val="none" w:sz="0" w:space="0" w:color="auto"/>
        <w:right w:val="none" w:sz="0" w:space="0" w:color="auto"/>
      </w:divBdr>
    </w:div>
    <w:div w:id="526020052">
      <w:bodyDiv w:val="1"/>
      <w:marLeft w:val="0"/>
      <w:marRight w:val="0"/>
      <w:marTop w:val="0"/>
      <w:marBottom w:val="0"/>
      <w:divBdr>
        <w:top w:val="none" w:sz="0" w:space="0" w:color="auto"/>
        <w:left w:val="none" w:sz="0" w:space="0" w:color="auto"/>
        <w:bottom w:val="none" w:sz="0" w:space="0" w:color="auto"/>
        <w:right w:val="none" w:sz="0" w:space="0" w:color="auto"/>
      </w:divBdr>
      <w:divsChild>
        <w:div w:id="1194071373">
          <w:marLeft w:val="0"/>
          <w:marRight w:val="0"/>
          <w:marTop w:val="0"/>
          <w:marBottom w:val="0"/>
          <w:divBdr>
            <w:top w:val="none" w:sz="0" w:space="0" w:color="auto"/>
            <w:left w:val="none" w:sz="0" w:space="0" w:color="auto"/>
            <w:bottom w:val="none" w:sz="0" w:space="0" w:color="auto"/>
            <w:right w:val="none" w:sz="0" w:space="0" w:color="auto"/>
          </w:divBdr>
        </w:div>
        <w:div w:id="800391465">
          <w:marLeft w:val="0"/>
          <w:marRight w:val="0"/>
          <w:marTop w:val="0"/>
          <w:marBottom w:val="0"/>
          <w:divBdr>
            <w:top w:val="none" w:sz="0" w:space="0" w:color="auto"/>
            <w:left w:val="none" w:sz="0" w:space="0" w:color="auto"/>
            <w:bottom w:val="none" w:sz="0" w:space="0" w:color="auto"/>
            <w:right w:val="none" w:sz="0" w:space="0" w:color="auto"/>
          </w:divBdr>
        </w:div>
        <w:div w:id="27803436">
          <w:marLeft w:val="0"/>
          <w:marRight w:val="0"/>
          <w:marTop w:val="0"/>
          <w:marBottom w:val="0"/>
          <w:divBdr>
            <w:top w:val="none" w:sz="0" w:space="0" w:color="auto"/>
            <w:left w:val="none" w:sz="0" w:space="0" w:color="auto"/>
            <w:bottom w:val="none" w:sz="0" w:space="0" w:color="auto"/>
            <w:right w:val="none" w:sz="0" w:space="0" w:color="auto"/>
          </w:divBdr>
        </w:div>
        <w:div w:id="606079014">
          <w:marLeft w:val="0"/>
          <w:marRight w:val="0"/>
          <w:marTop w:val="0"/>
          <w:marBottom w:val="0"/>
          <w:divBdr>
            <w:top w:val="none" w:sz="0" w:space="0" w:color="auto"/>
            <w:left w:val="none" w:sz="0" w:space="0" w:color="auto"/>
            <w:bottom w:val="none" w:sz="0" w:space="0" w:color="auto"/>
            <w:right w:val="none" w:sz="0" w:space="0" w:color="auto"/>
          </w:divBdr>
        </w:div>
      </w:divsChild>
    </w:div>
    <w:div w:id="594360210">
      <w:bodyDiv w:val="1"/>
      <w:marLeft w:val="0"/>
      <w:marRight w:val="0"/>
      <w:marTop w:val="0"/>
      <w:marBottom w:val="0"/>
      <w:divBdr>
        <w:top w:val="none" w:sz="0" w:space="0" w:color="auto"/>
        <w:left w:val="none" w:sz="0" w:space="0" w:color="auto"/>
        <w:bottom w:val="none" w:sz="0" w:space="0" w:color="auto"/>
        <w:right w:val="none" w:sz="0" w:space="0" w:color="auto"/>
      </w:divBdr>
      <w:divsChild>
        <w:div w:id="24907232">
          <w:marLeft w:val="0"/>
          <w:marRight w:val="0"/>
          <w:marTop w:val="0"/>
          <w:marBottom w:val="0"/>
          <w:divBdr>
            <w:top w:val="none" w:sz="0" w:space="0" w:color="auto"/>
            <w:left w:val="none" w:sz="0" w:space="0" w:color="auto"/>
            <w:bottom w:val="none" w:sz="0" w:space="0" w:color="auto"/>
            <w:right w:val="none" w:sz="0" w:space="0" w:color="auto"/>
          </w:divBdr>
        </w:div>
        <w:div w:id="1723795931">
          <w:marLeft w:val="0"/>
          <w:marRight w:val="0"/>
          <w:marTop w:val="0"/>
          <w:marBottom w:val="0"/>
          <w:divBdr>
            <w:top w:val="none" w:sz="0" w:space="0" w:color="auto"/>
            <w:left w:val="none" w:sz="0" w:space="0" w:color="auto"/>
            <w:bottom w:val="none" w:sz="0" w:space="0" w:color="auto"/>
            <w:right w:val="none" w:sz="0" w:space="0" w:color="auto"/>
          </w:divBdr>
        </w:div>
        <w:div w:id="239100195">
          <w:marLeft w:val="0"/>
          <w:marRight w:val="0"/>
          <w:marTop w:val="0"/>
          <w:marBottom w:val="0"/>
          <w:divBdr>
            <w:top w:val="none" w:sz="0" w:space="0" w:color="auto"/>
            <w:left w:val="none" w:sz="0" w:space="0" w:color="auto"/>
            <w:bottom w:val="none" w:sz="0" w:space="0" w:color="auto"/>
            <w:right w:val="none" w:sz="0" w:space="0" w:color="auto"/>
          </w:divBdr>
        </w:div>
      </w:divsChild>
    </w:div>
    <w:div w:id="1105461482">
      <w:bodyDiv w:val="1"/>
      <w:marLeft w:val="0"/>
      <w:marRight w:val="0"/>
      <w:marTop w:val="0"/>
      <w:marBottom w:val="0"/>
      <w:divBdr>
        <w:top w:val="none" w:sz="0" w:space="0" w:color="auto"/>
        <w:left w:val="none" w:sz="0" w:space="0" w:color="auto"/>
        <w:bottom w:val="none" w:sz="0" w:space="0" w:color="auto"/>
        <w:right w:val="none" w:sz="0" w:space="0" w:color="auto"/>
      </w:divBdr>
      <w:divsChild>
        <w:div w:id="767039986">
          <w:marLeft w:val="0"/>
          <w:marRight w:val="0"/>
          <w:marTop w:val="0"/>
          <w:marBottom w:val="0"/>
          <w:divBdr>
            <w:top w:val="none" w:sz="0" w:space="0" w:color="auto"/>
            <w:left w:val="none" w:sz="0" w:space="0" w:color="auto"/>
            <w:bottom w:val="none" w:sz="0" w:space="0" w:color="auto"/>
            <w:right w:val="none" w:sz="0" w:space="0" w:color="auto"/>
          </w:divBdr>
        </w:div>
        <w:div w:id="1459032341">
          <w:marLeft w:val="0"/>
          <w:marRight w:val="0"/>
          <w:marTop w:val="0"/>
          <w:marBottom w:val="0"/>
          <w:divBdr>
            <w:top w:val="none" w:sz="0" w:space="0" w:color="auto"/>
            <w:left w:val="none" w:sz="0" w:space="0" w:color="auto"/>
            <w:bottom w:val="none" w:sz="0" w:space="0" w:color="auto"/>
            <w:right w:val="none" w:sz="0" w:space="0" w:color="auto"/>
          </w:divBdr>
        </w:div>
        <w:div w:id="1388994068">
          <w:marLeft w:val="0"/>
          <w:marRight w:val="0"/>
          <w:marTop w:val="0"/>
          <w:marBottom w:val="0"/>
          <w:divBdr>
            <w:top w:val="none" w:sz="0" w:space="0" w:color="auto"/>
            <w:left w:val="none" w:sz="0" w:space="0" w:color="auto"/>
            <w:bottom w:val="none" w:sz="0" w:space="0" w:color="auto"/>
            <w:right w:val="none" w:sz="0" w:space="0" w:color="auto"/>
          </w:divBdr>
        </w:div>
      </w:divsChild>
    </w:div>
    <w:div w:id="1118911575">
      <w:bodyDiv w:val="1"/>
      <w:marLeft w:val="0"/>
      <w:marRight w:val="0"/>
      <w:marTop w:val="0"/>
      <w:marBottom w:val="0"/>
      <w:divBdr>
        <w:top w:val="none" w:sz="0" w:space="0" w:color="auto"/>
        <w:left w:val="none" w:sz="0" w:space="0" w:color="auto"/>
        <w:bottom w:val="none" w:sz="0" w:space="0" w:color="auto"/>
        <w:right w:val="none" w:sz="0" w:space="0" w:color="auto"/>
      </w:divBdr>
      <w:divsChild>
        <w:div w:id="1177307144">
          <w:marLeft w:val="0"/>
          <w:marRight w:val="0"/>
          <w:marTop w:val="0"/>
          <w:marBottom w:val="0"/>
          <w:divBdr>
            <w:top w:val="none" w:sz="0" w:space="0" w:color="auto"/>
            <w:left w:val="none" w:sz="0" w:space="0" w:color="auto"/>
            <w:bottom w:val="none" w:sz="0" w:space="0" w:color="auto"/>
            <w:right w:val="none" w:sz="0" w:space="0" w:color="auto"/>
          </w:divBdr>
        </w:div>
        <w:div w:id="1870070602">
          <w:marLeft w:val="0"/>
          <w:marRight w:val="0"/>
          <w:marTop w:val="0"/>
          <w:marBottom w:val="0"/>
          <w:divBdr>
            <w:top w:val="none" w:sz="0" w:space="0" w:color="auto"/>
            <w:left w:val="none" w:sz="0" w:space="0" w:color="auto"/>
            <w:bottom w:val="none" w:sz="0" w:space="0" w:color="auto"/>
            <w:right w:val="none" w:sz="0" w:space="0" w:color="auto"/>
          </w:divBdr>
        </w:div>
      </w:divsChild>
    </w:div>
    <w:div w:id="11596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36/en" TargetMode="External"/><Relationship Id="rId18" Type="http://schemas.openxmlformats.org/officeDocument/2006/relationships/hyperlink" Target="https://www.itu.int/dms_pub/itu-s/opb/conf/S-CONF-ACTF-2022-PDF-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23-CL-C-0058/en" TargetMode="External"/><Relationship Id="rId17" Type="http://schemas.openxmlformats.org/officeDocument/2006/relationships/hyperlink" Target="https://www.itu.int/space-sustainability/" TargetMode="External"/><Relationship Id="rId2" Type="http://schemas.openxmlformats.org/officeDocument/2006/relationships/customXml" Target="../customXml/item2.xml"/><Relationship Id="rId16" Type="http://schemas.openxmlformats.org/officeDocument/2006/relationships/hyperlink" Target="https://www.itu.int/space-conne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218-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ss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dms_pub/itu-r/opb/res/R-RES-R.74-2023-PDF-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INF-0003/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1E2F2AC-2255-4DBF-9278-6619577B4509}">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a1cf676c-2816-4389-ad5d-0f2e7c7e67c4"/>
    <ds:schemaRef ds:uri="http://schemas.microsoft.com/office/2006/metadata/properties"/>
  </ds:schemaRefs>
</ds:datastoreItem>
</file>

<file path=customXml/itemProps4.xml><?xml version="1.0" encoding="utf-8"?>
<ds:datastoreItem xmlns:ds="http://schemas.openxmlformats.org/officeDocument/2006/customXml" ds:itemID="{6592F7B3-4592-432D-BFE3-7EDCB8C0E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941</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role in the implementation of the “Space2030” agenda: Space as a driver of sustainable development, and its follow-up and review process</dc:title>
  <dc:subject>Council 2025</dc:subject>
  <dc:creator>LRT</dc:creator>
  <cp:keywords>C25; C2025; Council 2025; ITU160</cp:keywords>
  <dc:description/>
  <cp:lastModifiedBy>GBS</cp:lastModifiedBy>
  <cp:revision>5</cp:revision>
  <cp:lastPrinted>2000-07-18T22:30:00Z</cp:lastPrinted>
  <dcterms:created xsi:type="dcterms:W3CDTF">2025-05-16T10:59:00Z</dcterms:created>
  <dcterms:modified xsi:type="dcterms:W3CDTF">2025-05-16T11:11:00Z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